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69E" w:rsidRDefault="003533DA" w:rsidP="00F228AB">
      <w:pPr>
        <w:tabs>
          <w:tab w:val="center" w:pos="4536"/>
        </w:tabs>
        <w:ind w:right="-2"/>
        <w:jc w:val="right"/>
        <w:rPr>
          <w:rFonts w:ascii="Calibri" w:hAnsi="Calibri" w:cs="Calibri"/>
        </w:rPr>
      </w:pPr>
      <w:r>
        <w:rPr>
          <w:noProof/>
        </w:rPr>
        <mc:AlternateContent>
          <mc:Choice Requires="wps">
            <w:drawing>
              <wp:anchor distT="45720" distB="45720" distL="114300" distR="114300" simplePos="0" relativeHeight="251658240" behindDoc="1" locked="0" layoutInCell="1" allowOverlap="1">
                <wp:simplePos x="0" y="0"/>
                <wp:positionH relativeFrom="margin">
                  <wp:align>left</wp:align>
                </wp:positionH>
                <wp:positionV relativeFrom="paragraph">
                  <wp:posOffset>7620</wp:posOffset>
                </wp:positionV>
                <wp:extent cx="1962150" cy="68580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85800"/>
                        </a:xfrm>
                        <a:prstGeom prst="rect">
                          <a:avLst/>
                        </a:prstGeom>
                        <a:solidFill>
                          <a:srgbClr val="FFFFFF"/>
                        </a:solidFill>
                        <a:ln w="9525">
                          <a:noFill/>
                          <a:miter lim="800000"/>
                          <a:headEnd/>
                          <a:tailEnd/>
                        </a:ln>
                      </wps:spPr>
                      <wps:txbx>
                        <w:txbxContent>
                          <w:p w:rsidR="00AB3BE4" w:rsidRDefault="003533DA" w:rsidP="00AB3BE4">
                            <w:pPr>
                              <w:spacing w:line="276" w:lineRule="auto"/>
                              <w:jc w:val="center"/>
                            </w:pPr>
                            <w:r>
                              <w:rPr>
                                <w:noProof/>
                              </w:rPr>
                              <w:drawing>
                                <wp:inline distT="0" distB="0" distL="0" distR="0">
                                  <wp:extent cx="374669" cy="368319"/>
                                  <wp:effectExtent l="0" t="0" r="6350" b="0"/>
                                  <wp:docPr id="117412410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ło.png"/>
                                          <pic:cNvPicPr/>
                                        </pic:nvPicPr>
                                        <pic:blipFill>
                                          <a:blip r:embed="rId7">
                                            <a:extLst>
                                              <a:ext uri="{28A0092B-C50C-407E-A947-70E740481C1C}">
                                                <a14:useLocalDpi xmlns:a14="http://schemas.microsoft.com/office/drawing/2010/main" val="0"/>
                                              </a:ext>
                                            </a:extLst>
                                          </a:blip>
                                          <a:stretch>
                                            <a:fillRect/>
                                          </a:stretch>
                                        </pic:blipFill>
                                        <pic:spPr>
                                          <a:xfrm>
                                            <a:off x="0" y="0"/>
                                            <a:ext cx="374669" cy="368319"/>
                                          </a:xfrm>
                                          <a:prstGeom prst="rect">
                                            <a:avLst/>
                                          </a:prstGeom>
                                        </pic:spPr>
                                      </pic:pic>
                                    </a:graphicData>
                                  </a:graphic>
                                </wp:inline>
                              </w:drawing>
                            </w:r>
                          </w:p>
                          <w:p w:rsidR="00AB3BE4" w:rsidRPr="00EB0165" w:rsidRDefault="003533DA" w:rsidP="00AB3BE4">
                            <w:pPr>
                              <w:jc w:val="center"/>
                              <w:rPr>
                                <w:rFonts w:ascii="Calibri" w:hAnsi="Calibri" w:cs="Calibri"/>
                                <w:b/>
                              </w:rPr>
                            </w:pPr>
                            <w:r w:rsidRPr="00EB0165">
                              <w:rPr>
                                <w:rFonts w:ascii="Calibri" w:hAnsi="Calibri" w:cs="Calibri"/>
                                <w:b/>
                              </w:rPr>
                              <w:t>WOJEWODA MAZOWIECKI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6pt;width:154.5pt;height:5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" stroked="f">
                <v:textbox>
                  <w:txbxContent>
                    <w:p w:rsidR="00AB3BE4" w:rsidRDefault="003533DA" w:rsidP="00AB3BE4">
                      <w:pPr>
                        <w:spacing w:line="276" w:lineRule="auto"/>
                        <w:jc w:val="center"/>
                      </w:pPr>
                      <w:r>
                        <w:rPr>
                          <w:noProof/>
                        </w:rPr>
                        <w:drawing>
                          <wp:inline distT="0" distB="0" distL="0" distR="0">
                            <wp:extent cx="374669" cy="368319"/>
                            <wp:effectExtent l="0" t="0" r="6350" b="0"/>
                            <wp:docPr id="117412410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ło.png"/>
                                    <pic:cNvPicPr/>
                                  </pic:nvPicPr>
                                  <pic:blipFill>
                                    <a:blip r:embed="rId7">
                                      <a:extLst>
                                        <a:ext uri="{28A0092B-C50C-407E-A947-70E740481C1C}">
                                          <a14:useLocalDpi xmlns:a14="http://schemas.microsoft.com/office/drawing/2010/main" val="0"/>
                                        </a:ext>
                                      </a:extLst>
                                    </a:blip>
                                    <a:stretch>
                                      <a:fillRect/>
                                    </a:stretch>
                                  </pic:blipFill>
                                  <pic:spPr>
                                    <a:xfrm>
                                      <a:off x="0" y="0"/>
                                      <a:ext cx="374669" cy="368319"/>
                                    </a:xfrm>
                                    <a:prstGeom prst="rect">
                                      <a:avLst/>
                                    </a:prstGeom>
                                  </pic:spPr>
                                </pic:pic>
                              </a:graphicData>
                            </a:graphic>
                          </wp:inline>
                        </w:drawing>
                      </w:r>
                    </w:p>
                    <w:p w:rsidR="00AB3BE4" w:rsidRPr="00EB0165" w:rsidRDefault="003533DA" w:rsidP="00AB3BE4">
                      <w:pPr>
                        <w:jc w:val="center"/>
                        <w:rPr>
                          <w:rFonts w:ascii="Calibri" w:hAnsi="Calibri" w:cs="Calibri"/>
                          <w:b/>
                        </w:rPr>
                      </w:pPr>
                      <w:r w:rsidRPr="00EB0165">
                        <w:rPr>
                          <w:rFonts w:ascii="Calibri" w:hAnsi="Calibri" w:cs="Calibri"/>
                          <w:b/>
                        </w:rPr>
                        <w:t>WOJEWODA MAZOWIECKI</w:t>
                      </w:r>
                    </w:p>
                  </w:txbxContent>
                </v:textbox>
                <w10:wrap anchorx="margin"/>
              </v:shape>
            </w:pict>
          </mc:Fallback>
        </mc:AlternateContent>
      </w:r>
      <w:r w:rsidRPr="0036010D">
        <w:rPr>
          <w:rFonts w:ascii="Calibri" w:hAnsi="Calibri" w:cs="Calibri"/>
        </w:rPr>
        <w:t>Warszawa,</w:t>
      </w:r>
      <w:r>
        <w:rPr>
          <w:rFonts w:ascii="Calibri" w:hAnsi="Calibri" w:cs="Calibri"/>
        </w:rPr>
        <w:t xml:space="preserve"> </w:t>
      </w:r>
      <w:bookmarkStart w:id="0" w:name="ezdDataPodpisu"/>
      <w:r>
        <w:rPr>
          <w:rFonts w:ascii="Calibri" w:hAnsi="Calibri" w:cs="Calibri"/>
        </w:rPr>
        <w:t>09 lutego 2022 r.</w:t>
      </w:r>
      <w:bookmarkEnd w:id="0"/>
    </w:p>
    <w:p w:rsidR="004824F3" w:rsidRPr="00C922D9" w:rsidRDefault="003533DA" w:rsidP="00691727">
      <w:pPr>
        <w:spacing w:before="840"/>
        <w:ind w:right="6660"/>
        <w:jc w:val="center"/>
        <w:rPr>
          <w:rFonts w:ascii="Calibri" w:hAnsi="Calibri" w:cs="Calibri"/>
          <w:bCs/>
        </w:rPr>
      </w:pPr>
      <w:bookmarkStart w:id="1" w:name="ezdSprawaZnak"/>
      <w:bookmarkStart w:id="2" w:name="_GoBack"/>
      <w:r w:rsidRPr="00C922D9">
        <w:rPr>
          <w:rFonts w:ascii="Calibri" w:hAnsi="Calibri" w:cs="Calibri"/>
          <w:bCs/>
        </w:rPr>
        <w:t>WNP-S.4131.5.2022</w:t>
      </w:r>
      <w:bookmarkEnd w:id="1"/>
    </w:p>
    <w:bookmarkEnd w:id="2"/>
    <w:p w:rsidR="00E31C1A" w:rsidRDefault="003533DA" w:rsidP="00E31C1A">
      <w:pPr>
        <w:shd w:val="clear" w:color="auto" w:fill="FFFFFF"/>
        <w:tabs>
          <w:tab w:val="left" w:pos="4678"/>
        </w:tabs>
        <w:spacing w:line="276" w:lineRule="auto"/>
        <w:ind w:right="-82"/>
        <w:rPr>
          <w:b/>
          <w:bCs/>
          <w:color w:val="000000"/>
          <w:sz w:val="28"/>
          <w:szCs w:val="28"/>
        </w:rPr>
      </w:pPr>
      <w:r>
        <w:rPr>
          <w:b/>
          <w:bCs/>
          <w:i/>
          <w:color w:val="000000"/>
          <w:sz w:val="28"/>
          <w:szCs w:val="28"/>
        </w:rPr>
        <w:t xml:space="preserve">                 </w:t>
      </w:r>
      <w:r>
        <w:rPr>
          <w:b/>
          <w:bCs/>
          <w:color w:val="000000"/>
          <w:sz w:val="28"/>
          <w:szCs w:val="28"/>
        </w:rPr>
        <w:t xml:space="preserve">                                                 </w:t>
      </w:r>
    </w:p>
    <w:p w:rsidR="00E31C1A" w:rsidRPr="00F625B1" w:rsidRDefault="003533DA" w:rsidP="00E31C1A">
      <w:pPr>
        <w:shd w:val="clear" w:color="auto" w:fill="FFFFFF"/>
        <w:tabs>
          <w:tab w:val="left" w:pos="4678"/>
        </w:tabs>
        <w:spacing w:line="276" w:lineRule="auto"/>
        <w:ind w:right="-82"/>
        <w:rPr>
          <w:rFonts w:ascii="Calibri" w:hAnsi="Calibri" w:cs="Calibri"/>
          <w:b/>
          <w:color w:val="000000"/>
        </w:rPr>
      </w:pPr>
      <w:r>
        <w:rPr>
          <w:b/>
          <w:bCs/>
          <w:color w:val="000000"/>
          <w:sz w:val="28"/>
          <w:szCs w:val="28"/>
        </w:rPr>
        <w:t xml:space="preserve">                                                                  </w:t>
      </w:r>
      <w:r w:rsidRPr="00F625B1">
        <w:rPr>
          <w:rFonts w:ascii="Calibri" w:hAnsi="Calibri" w:cs="Calibri"/>
          <w:b/>
          <w:bCs/>
          <w:color w:val="000000"/>
        </w:rPr>
        <w:t>Rada Gminy Korytnica</w:t>
      </w:r>
    </w:p>
    <w:p w:rsidR="00E31C1A" w:rsidRPr="00F625B1" w:rsidRDefault="003533DA" w:rsidP="00E31C1A">
      <w:pPr>
        <w:shd w:val="clear" w:color="auto" w:fill="FFFFFF"/>
        <w:spacing w:line="276" w:lineRule="auto"/>
        <w:ind w:right="11"/>
        <w:rPr>
          <w:rFonts w:ascii="Calibri" w:hAnsi="Calibri" w:cs="Calibri"/>
          <w:color w:val="000000"/>
          <w:spacing w:val="-1"/>
        </w:rPr>
      </w:pPr>
      <w:r w:rsidRPr="00F625B1">
        <w:rPr>
          <w:rFonts w:ascii="Calibri" w:hAnsi="Calibri" w:cs="Calibri"/>
          <w:b/>
          <w:color w:val="000000"/>
          <w:spacing w:val="-1"/>
        </w:rPr>
        <w:tab/>
      </w:r>
      <w:r w:rsidRPr="00F625B1">
        <w:rPr>
          <w:rFonts w:ascii="Calibri" w:hAnsi="Calibri" w:cs="Calibri"/>
          <w:b/>
          <w:color w:val="000000"/>
          <w:spacing w:val="-1"/>
        </w:rPr>
        <w:tab/>
      </w:r>
      <w:r w:rsidRPr="00F625B1">
        <w:rPr>
          <w:rFonts w:ascii="Calibri" w:hAnsi="Calibri" w:cs="Calibri"/>
          <w:b/>
          <w:color w:val="000000"/>
          <w:spacing w:val="-1"/>
        </w:rPr>
        <w:tab/>
      </w:r>
      <w:r w:rsidRPr="00F625B1">
        <w:rPr>
          <w:rFonts w:ascii="Calibri" w:hAnsi="Calibri" w:cs="Calibri"/>
          <w:b/>
          <w:color w:val="000000"/>
          <w:spacing w:val="-1"/>
        </w:rPr>
        <w:tab/>
      </w:r>
      <w:r w:rsidRPr="00F625B1">
        <w:rPr>
          <w:rFonts w:ascii="Calibri" w:hAnsi="Calibri" w:cs="Calibri"/>
          <w:b/>
          <w:color w:val="000000"/>
          <w:spacing w:val="-1"/>
        </w:rPr>
        <w:tab/>
      </w:r>
      <w:r w:rsidRPr="00F625B1">
        <w:rPr>
          <w:rFonts w:ascii="Calibri" w:hAnsi="Calibri" w:cs="Calibri"/>
          <w:b/>
          <w:color w:val="000000"/>
          <w:spacing w:val="-1"/>
        </w:rPr>
        <w:tab/>
        <w:t xml:space="preserve">       </w:t>
      </w:r>
      <w:r w:rsidRPr="00F625B1">
        <w:rPr>
          <w:rFonts w:ascii="Calibri" w:hAnsi="Calibri" w:cs="Calibri"/>
          <w:color w:val="000000"/>
          <w:spacing w:val="-1"/>
        </w:rPr>
        <w:t xml:space="preserve">ul. Adama </w:t>
      </w:r>
      <w:r w:rsidRPr="00F625B1">
        <w:rPr>
          <w:rFonts w:ascii="Calibri" w:hAnsi="Calibri" w:cs="Calibri"/>
          <w:color w:val="000000"/>
          <w:spacing w:val="-1"/>
        </w:rPr>
        <w:t>Małkowskiego 20</w:t>
      </w:r>
    </w:p>
    <w:p w:rsidR="00E31C1A" w:rsidRPr="00F625B1" w:rsidRDefault="003533DA" w:rsidP="00E31C1A">
      <w:pPr>
        <w:shd w:val="clear" w:color="auto" w:fill="FFFFFF"/>
        <w:spacing w:line="276" w:lineRule="auto"/>
        <w:ind w:right="11"/>
        <w:rPr>
          <w:rFonts w:ascii="Calibri" w:hAnsi="Calibri" w:cs="Calibri"/>
          <w:color w:val="000000"/>
          <w:spacing w:val="-1"/>
        </w:rPr>
      </w:pPr>
      <w:r w:rsidRPr="00F625B1">
        <w:rPr>
          <w:rFonts w:ascii="Calibri" w:hAnsi="Calibri" w:cs="Calibri"/>
          <w:color w:val="000000"/>
          <w:spacing w:val="-1"/>
        </w:rPr>
        <w:tab/>
      </w:r>
      <w:r w:rsidRPr="00F625B1">
        <w:rPr>
          <w:rFonts w:ascii="Calibri" w:hAnsi="Calibri" w:cs="Calibri"/>
          <w:color w:val="000000"/>
          <w:spacing w:val="-1"/>
        </w:rPr>
        <w:tab/>
      </w:r>
      <w:r w:rsidRPr="00F625B1">
        <w:rPr>
          <w:rFonts w:ascii="Calibri" w:hAnsi="Calibri" w:cs="Calibri"/>
          <w:color w:val="000000"/>
          <w:spacing w:val="-1"/>
        </w:rPr>
        <w:tab/>
      </w:r>
      <w:r w:rsidRPr="00F625B1">
        <w:rPr>
          <w:rFonts w:ascii="Calibri" w:hAnsi="Calibri" w:cs="Calibri"/>
          <w:color w:val="000000"/>
          <w:spacing w:val="-1"/>
        </w:rPr>
        <w:tab/>
      </w:r>
      <w:r w:rsidRPr="00F625B1">
        <w:rPr>
          <w:rFonts w:ascii="Calibri" w:hAnsi="Calibri" w:cs="Calibri"/>
          <w:color w:val="000000"/>
          <w:spacing w:val="-1"/>
        </w:rPr>
        <w:tab/>
      </w:r>
      <w:r w:rsidRPr="00F625B1">
        <w:rPr>
          <w:rFonts w:ascii="Calibri" w:hAnsi="Calibri" w:cs="Calibri"/>
          <w:color w:val="000000"/>
          <w:spacing w:val="-1"/>
        </w:rPr>
        <w:tab/>
        <w:t xml:space="preserve">       07-120 Korytnica</w:t>
      </w:r>
    </w:p>
    <w:p w:rsidR="00E31C1A" w:rsidRDefault="003533DA" w:rsidP="00E31C1A">
      <w:pPr>
        <w:spacing w:line="360" w:lineRule="auto"/>
        <w:jc w:val="center"/>
        <w:rPr>
          <w:rFonts w:ascii="Calibri" w:hAnsi="Calibri" w:cs="Calibri"/>
          <w:b/>
        </w:rPr>
      </w:pPr>
    </w:p>
    <w:p w:rsidR="00E31C1A" w:rsidRDefault="003533DA" w:rsidP="00E31C1A">
      <w:pPr>
        <w:spacing w:line="360" w:lineRule="auto"/>
        <w:jc w:val="center"/>
        <w:rPr>
          <w:rFonts w:ascii="Calibri" w:hAnsi="Calibri" w:cs="Calibri"/>
          <w:b/>
        </w:rPr>
      </w:pPr>
    </w:p>
    <w:p w:rsidR="00E31C1A" w:rsidRPr="00F625B1" w:rsidRDefault="003533DA" w:rsidP="00E31C1A">
      <w:pPr>
        <w:spacing w:line="276" w:lineRule="auto"/>
        <w:jc w:val="center"/>
        <w:rPr>
          <w:rFonts w:ascii="Calibri" w:hAnsi="Calibri" w:cs="Calibri"/>
          <w:b/>
        </w:rPr>
      </w:pPr>
      <w:r w:rsidRPr="00F625B1">
        <w:rPr>
          <w:rFonts w:ascii="Calibri" w:hAnsi="Calibri" w:cs="Calibri"/>
          <w:b/>
        </w:rPr>
        <w:t>Rozstrzygnięcie nadzorcze</w:t>
      </w:r>
    </w:p>
    <w:p w:rsidR="00E31C1A" w:rsidRDefault="003533DA" w:rsidP="00E31C1A">
      <w:pPr>
        <w:spacing w:line="276" w:lineRule="auto"/>
        <w:jc w:val="center"/>
        <w:rPr>
          <w:b/>
          <w:sz w:val="28"/>
          <w:szCs w:val="28"/>
        </w:rPr>
      </w:pPr>
    </w:p>
    <w:p w:rsidR="00E31C1A" w:rsidRPr="0016552E" w:rsidRDefault="003533DA" w:rsidP="00E31C1A">
      <w:pPr>
        <w:spacing w:line="276" w:lineRule="auto"/>
        <w:jc w:val="both"/>
        <w:rPr>
          <w:rFonts w:ascii="Calibri" w:hAnsi="Calibri" w:cs="Calibri"/>
          <w:sz w:val="28"/>
          <w:szCs w:val="28"/>
        </w:rPr>
      </w:pPr>
      <w:r>
        <w:rPr>
          <w:b/>
          <w:sz w:val="28"/>
          <w:szCs w:val="28"/>
        </w:rPr>
        <w:tab/>
      </w:r>
      <w:r w:rsidRPr="0016552E">
        <w:rPr>
          <w:rFonts w:ascii="Calibri" w:hAnsi="Calibri" w:cs="Calibri"/>
        </w:rPr>
        <w:t xml:space="preserve">Na podstawie art. 91 ust. 1 ustawy z dnia 8 marca 1990 r. o samorządzie gminnym </w:t>
      </w:r>
      <w:r w:rsidRPr="0016552E">
        <w:rPr>
          <w:rFonts w:ascii="Calibri" w:hAnsi="Calibri" w:cs="Calibri"/>
        </w:rPr>
        <w:br/>
        <w:t>(Dz.U. z 2021 r. poz. 1372, z późn. zm.)</w:t>
      </w:r>
    </w:p>
    <w:p w:rsidR="00E31C1A" w:rsidRPr="00E31C1A" w:rsidRDefault="003533DA" w:rsidP="00E31C1A">
      <w:pPr>
        <w:spacing w:line="276" w:lineRule="auto"/>
        <w:jc w:val="center"/>
        <w:rPr>
          <w:b/>
          <w:sz w:val="28"/>
          <w:szCs w:val="28"/>
        </w:rPr>
      </w:pPr>
    </w:p>
    <w:p w:rsidR="00E31C1A" w:rsidRDefault="003533DA" w:rsidP="00E31C1A">
      <w:pPr>
        <w:spacing w:line="276" w:lineRule="auto"/>
        <w:jc w:val="center"/>
        <w:rPr>
          <w:rFonts w:ascii="Calibri" w:hAnsi="Calibri" w:cs="Calibri"/>
          <w:b/>
          <w:iCs/>
        </w:rPr>
      </w:pPr>
      <w:r w:rsidRPr="00F625B1">
        <w:rPr>
          <w:rFonts w:ascii="Calibri" w:hAnsi="Calibri" w:cs="Calibri"/>
          <w:b/>
          <w:iCs/>
        </w:rPr>
        <w:t>stwierdzam nieważność</w:t>
      </w:r>
    </w:p>
    <w:p w:rsidR="00E31C1A" w:rsidRPr="00E31C1A" w:rsidRDefault="003533DA" w:rsidP="00E31C1A">
      <w:pPr>
        <w:spacing w:line="276" w:lineRule="auto"/>
        <w:jc w:val="center"/>
        <w:rPr>
          <w:rFonts w:ascii="Calibri" w:hAnsi="Calibri" w:cs="Calibri"/>
          <w:b/>
          <w:iCs/>
        </w:rPr>
      </w:pPr>
    </w:p>
    <w:p w:rsidR="00E31C1A" w:rsidRPr="0016552E" w:rsidRDefault="003533DA" w:rsidP="00C922D9">
      <w:pPr>
        <w:spacing w:before="120" w:line="360" w:lineRule="auto"/>
        <w:jc w:val="both"/>
        <w:rPr>
          <w:rFonts w:ascii="Calibri" w:hAnsi="Calibri" w:cs="Calibri"/>
        </w:rPr>
      </w:pPr>
      <w:r w:rsidRPr="0016552E">
        <w:rPr>
          <w:rFonts w:ascii="Calibri" w:hAnsi="Calibri" w:cs="Calibri"/>
        </w:rPr>
        <w:t>uchwały</w:t>
      </w:r>
      <w:r w:rsidRPr="0016552E">
        <w:rPr>
          <w:rFonts w:ascii="Calibri" w:hAnsi="Calibri" w:cs="Calibri"/>
          <w:color w:val="000000"/>
          <w:spacing w:val="-2"/>
        </w:rPr>
        <w:t xml:space="preserve"> Nr X</w:t>
      </w:r>
      <w:r>
        <w:rPr>
          <w:rFonts w:ascii="Calibri" w:hAnsi="Calibri" w:cs="Calibri"/>
          <w:color w:val="000000"/>
          <w:spacing w:val="-2"/>
        </w:rPr>
        <w:t>LIV/244/22</w:t>
      </w:r>
      <w:r w:rsidRPr="0016552E">
        <w:rPr>
          <w:rFonts w:ascii="Calibri" w:hAnsi="Calibri" w:cs="Calibri"/>
          <w:color w:val="000000"/>
          <w:spacing w:val="-2"/>
        </w:rPr>
        <w:t xml:space="preserve"> Rady Gminy </w:t>
      </w:r>
      <w:r>
        <w:rPr>
          <w:rFonts w:ascii="Calibri" w:hAnsi="Calibri" w:cs="Calibri"/>
          <w:color w:val="000000"/>
          <w:spacing w:val="-2"/>
        </w:rPr>
        <w:t>Korytnica</w:t>
      </w:r>
      <w:r w:rsidRPr="0016552E">
        <w:rPr>
          <w:rFonts w:ascii="Calibri" w:hAnsi="Calibri" w:cs="Calibri"/>
          <w:color w:val="000000"/>
          <w:spacing w:val="-2"/>
        </w:rPr>
        <w:t xml:space="preserve"> z dnia 2</w:t>
      </w:r>
      <w:r>
        <w:rPr>
          <w:rFonts w:ascii="Calibri" w:hAnsi="Calibri" w:cs="Calibri"/>
          <w:color w:val="000000"/>
          <w:spacing w:val="-2"/>
        </w:rPr>
        <w:t>1 stycznia</w:t>
      </w:r>
      <w:r w:rsidRPr="0016552E">
        <w:rPr>
          <w:rFonts w:ascii="Calibri" w:hAnsi="Calibri" w:cs="Calibri"/>
          <w:color w:val="000000"/>
          <w:spacing w:val="-2"/>
        </w:rPr>
        <w:t xml:space="preserve"> 202</w:t>
      </w:r>
      <w:r>
        <w:rPr>
          <w:rFonts w:ascii="Calibri" w:hAnsi="Calibri" w:cs="Calibri"/>
          <w:color w:val="000000"/>
          <w:spacing w:val="-2"/>
        </w:rPr>
        <w:t>2</w:t>
      </w:r>
      <w:r w:rsidRPr="0016552E">
        <w:rPr>
          <w:rFonts w:ascii="Calibri" w:hAnsi="Calibri" w:cs="Calibri"/>
          <w:color w:val="000000"/>
          <w:spacing w:val="-2"/>
        </w:rPr>
        <w:t xml:space="preserve"> r. </w:t>
      </w:r>
      <w:r w:rsidRPr="0016552E">
        <w:rPr>
          <w:rFonts w:ascii="Calibri" w:hAnsi="Calibri" w:cs="Calibri"/>
          <w:i/>
          <w:color w:val="000000"/>
          <w:spacing w:val="-2"/>
        </w:rPr>
        <w:t xml:space="preserve">w sprawie </w:t>
      </w:r>
      <w:r>
        <w:rPr>
          <w:rFonts w:ascii="Calibri" w:hAnsi="Calibri" w:cs="Calibri"/>
          <w:i/>
          <w:color w:val="000000"/>
          <w:spacing w:val="-2"/>
        </w:rPr>
        <w:t>zmiany Uchwały nr LVI/328/18 Rady Gminy Korytnica w sprawie zasad usytuowania na terenie Gminy Korytnica miejsc sprzedaży i podawania napojów alkoholowych</w:t>
      </w:r>
      <w:r w:rsidRPr="0016552E">
        <w:rPr>
          <w:rFonts w:ascii="Calibri" w:hAnsi="Calibri" w:cs="Calibri"/>
          <w:i/>
          <w:color w:val="000000"/>
          <w:spacing w:val="-2"/>
        </w:rPr>
        <w:t>.</w:t>
      </w:r>
    </w:p>
    <w:p w:rsidR="00E31C1A" w:rsidRPr="008E6B6C" w:rsidRDefault="003533DA" w:rsidP="00E31C1A">
      <w:pPr>
        <w:spacing w:line="360" w:lineRule="auto"/>
        <w:jc w:val="both"/>
        <w:rPr>
          <w:i/>
        </w:rPr>
      </w:pPr>
    </w:p>
    <w:p w:rsidR="00E31C1A" w:rsidRDefault="003533DA" w:rsidP="00E31C1A">
      <w:pPr>
        <w:spacing w:line="360" w:lineRule="auto"/>
        <w:jc w:val="center"/>
        <w:rPr>
          <w:rFonts w:ascii="Calibri" w:hAnsi="Calibri" w:cs="Calibri"/>
          <w:b/>
        </w:rPr>
      </w:pPr>
      <w:r w:rsidRPr="00F625B1">
        <w:rPr>
          <w:rFonts w:ascii="Calibri" w:hAnsi="Calibri" w:cs="Calibri"/>
          <w:b/>
        </w:rPr>
        <w:t>Uzasadnienie</w:t>
      </w:r>
    </w:p>
    <w:p w:rsidR="00E31C1A" w:rsidRDefault="003533DA" w:rsidP="00C922D9">
      <w:pPr>
        <w:spacing w:before="120" w:line="360" w:lineRule="auto"/>
        <w:ind w:firstLine="709"/>
        <w:jc w:val="both"/>
        <w:rPr>
          <w:rFonts w:ascii="Calibri" w:hAnsi="Calibri" w:cs="Calibri"/>
        </w:rPr>
      </w:pPr>
      <w:r w:rsidRPr="0016552E">
        <w:rPr>
          <w:rFonts w:ascii="Calibri" w:hAnsi="Calibri" w:cs="Calibri"/>
        </w:rPr>
        <w:t>Na sesji w dniu 2</w:t>
      </w:r>
      <w:r>
        <w:rPr>
          <w:rFonts w:ascii="Calibri" w:hAnsi="Calibri" w:cs="Calibri"/>
        </w:rPr>
        <w:t>1 stycznia</w:t>
      </w:r>
      <w:r w:rsidRPr="0016552E">
        <w:rPr>
          <w:rFonts w:ascii="Calibri" w:hAnsi="Calibri" w:cs="Calibri"/>
        </w:rPr>
        <w:t xml:space="preserve"> 202</w:t>
      </w:r>
      <w:r>
        <w:rPr>
          <w:rFonts w:ascii="Calibri" w:hAnsi="Calibri" w:cs="Calibri"/>
        </w:rPr>
        <w:t>2</w:t>
      </w:r>
      <w:r w:rsidRPr="0016552E">
        <w:rPr>
          <w:rFonts w:ascii="Calibri" w:hAnsi="Calibri" w:cs="Calibri"/>
        </w:rPr>
        <w:t xml:space="preserve"> r. Rad</w:t>
      </w:r>
      <w:r w:rsidRPr="0016552E">
        <w:rPr>
          <w:rFonts w:ascii="Calibri" w:hAnsi="Calibri" w:cs="Calibri"/>
        </w:rPr>
        <w:t xml:space="preserve">a Gminy </w:t>
      </w:r>
      <w:r>
        <w:rPr>
          <w:rFonts w:ascii="Calibri" w:hAnsi="Calibri" w:cs="Calibri"/>
        </w:rPr>
        <w:t>Korytnica</w:t>
      </w:r>
      <w:r w:rsidRPr="0016552E">
        <w:rPr>
          <w:rFonts w:ascii="Calibri" w:hAnsi="Calibri" w:cs="Calibri"/>
        </w:rPr>
        <w:t xml:space="preserve"> podjęła uchwałę </w:t>
      </w:r>
      <w:r w:rsidRPr="0016552E">
        <w:rPr>
          <w:rFonts w:ascii="Calibri" w:hAnsi="Calibri" w:cs="Calibri"/>
          <w:color w:val="000000"/>
          <w:spacing w:val="-2"/>
        </w:rPr>
        <w:t>Nr X</w:t>
      </w:r>
      <w:r>
        <w:rPr>
          <w:rFonts w:ascii="Calibri" w:hAnsi="Calibri" w:cs="Calibri"/>
          <w:color w:val="000000"/>
          <w:spacing w:val="-2"/>
        </w:rPr>
        <w:t>LIV/244/22</w:t>
      </w:r>
      <w:r w:rsidRPr="0016552E">
        <w:rPr>
          <w:rFonts w:ascii="Calibri" w:hAnsi="Calibri" w:cs="Calibri"/>
          <w:color w:val="000000"/>
          <w:spacing w:val="-2"/>
        </w:rPr>
        <w:t xml:space="preserve"> </w:t>
      </w:r>
      <w:r>
        <w:rPr>
          <w:rFonts w:ascii="Calibri" w:hAnsi="Calibri" w:cs="Calibri"/>
          <w:color w:val="000000"/>
          <w:spacing w:val="-2"/>
        </w:rPr>
        <w:br/>
      </w:r>
      <w:r w:rsidRPr="0016552E">
        <w:rPr>
          <w:rFonts w:ascii="Calibri" w:hAnsi="Calibri" w:cs="Calibri"/>
          <w:i/>
          <w:color w:val="000000"/>
          <w:spacing w:val="-2"/>
        </w:rPr>
        <w:t>w sprawie</w:t>
      </w:r>
      <w:r w:rsidRPr="0016552E">
        <w:rPr>
          <w:rFonts w:ascii="Calibri" w:hAnsi="Calibri" w:cs="Calibri"/>
          <w:color w:val="000000"/>
          <w:spacing w:val="-2"/>
        </w:rPr>
        <w:t xml:space="preserve"> </w:t>
      </w:r>
      <w:r>
        <w:rPr>
          <w:rFonts w:ascii="Calibri" w:hAnsi="Calibri" w:cs="Calibri"/>
          <w:i/>
          <w:color w:val="000000"/>
          <w:spacing w:val="-2"/>
        </w:rPr>
        <w:t xml:space="preserve">zmiany Uchwały nr LVI/328/18 Rady Gminy Korytnica w sprawie zasad usytuowania </w:t>
      </w:r>
      <w:r>
        <w:rPr>
          <w:rFonts w:ascii="Calibri" w:hAnsi="Calibri" w:cs="Calibri"/>
          <w:i/>
          <w:color w:val="000000"/>
          <w:spacing w:val="-2"/>
        </w:rPr>
        <w:br/>
        <w:t>na terenie Gminy Korytnica miejsc sprzedaży i podawania napojów alkoholowych</w:t>
      </w:r>
      <w:r w:rsidRPr="0026074F">
        <w:rPr>
          <w:rFonts w:ascii="Calibri" w:hAnsi="Calibri" w:cs="Calibri"/>
          <w:i/>
          <w:color w:val="000000"/>
          <w:spacing w:val="-2"/>
        </w:rPr>
        <w:t>.</w:t>
      </w:r>
      <w:r w:rsidRPr="0016552E">
        <w:rPr>
          <w:rFonts w:ascii="Calibri" w:hAnsi="Calibri" w:cs="Calibri"/>
          <w:i/>
          <w:color w:val="000000"/>
          <w:spacing w:val="-2"/>
        </w:rPr>
        <w:t xml:space="preserve"> </w:t>
      </w:r>
      <w:r w:rsidRPr="0016552E">
        <w:rPr>
          <w:rFonts w:ascii="Calibri" w:hAnsi="Calibri" w:cs="Calibri"/>
        </w:rPr>
        <w:t>W podstawie prawnej uchwały wskazano ar</w:t>
      </w:r>
      <w:r w:rsidRPr="0016552E">
        <w:rPr>
          <w:rFonts w:ascii="Calibri" w:hAnsi="Calibri" w:cs="Calibri"/>
        </w:rPr>
        <w:t xml:space="preserve">t. 18 ust. 2 pkt </w:t>
      </w:r>
      <w:r>
        <w:rPr>
          <w:rFonts w:ascii="Calibri" w:hAnsi="Calibri" w:cs="Calibri"/>
        </w:rPr>
        <w:t>15</w:t>
      </w:r>
      <w:r w:rsidRPr="0016552E">
        <w:rPr>
          <w:rFonts w:ascii="Calibri" w:hAnsi="Calibri" w:cs="Calibri"/>
        </w:rPr>
        <w:t xml:space="preserve"> ustawy z dnia 8 marca 1990 r. o samorządzie gminnym (</w:t>
      </w:r>
      <w:r>
        <w:rPr>
          <w:rFonts w:ascii="Calibri" w:hAnsi="Calibri" w:cs="Calibri"/>
        </w:rPr>
        <w:t xml:space="preserve">t.j. </w:t>
      </w:r>
      <w:r w:rsidRPr="0016552E">
        <w:rPr>
          <w:rFonts w:ascii="Calibri" w:hAnsi="Calibri" w:cs="Calibri"/>
        </w:rPr>
        <w:t>Dz.U. z 20</w:t>
      </w:r>
      <w:r>
        <w:rPr>
          <w:rFonts w:ascii="Calibri" w:hAnsi="Calibri" w:cs="Calibri"/>
        </w:rPr>
        <w:t>18</w:t>
      </w:r>
      <w:r w:rsidRPr="0016552E">
        <w:rPr>
          <w:rFonts w:ascii="Calibri" w:hAnsi="Calibri" w:cs="Calibri"/>
        </w:rPr>
        <w:t xml:space="preserve"> r. poz. </w:t>
      </w:r>
      <w:r>
        <w:rPr>
          <w:rFonts w:ascii="Calibri" w:hAnsi="Calibri" w:cs="Calibri"/>
        </w:rPr>
        <w:t>994</w:t>
      </w:r>
      <w:r w:rsidRPr="0016552E">
        <w:rPr>
          <w:rFonts w:ascii="Calibri" w:hAnsi="Calibri" w:cs="Calibri"/>
        </w:rPr>
        <w:t xml:space="preserve">, z późn. zm.) oraz art. </w:t>
      </w:r>
      <w:r>
        <w:rPr>
          <w:rFonts w:ascii="Calibri" w:hAnsi="Calibri" w:cs="Calibri"/>
        </w:rPr>
        <w:t>12 ust. 3 ustawy z dnia 26 października 1982 r. o wychowaniu w trzeźwości i przeciwdziałaniu alkoholizmowi</w:t>
      </w:r>
      <w:r w:rsidRPr="0016552E">
        <w:rPr>
          <w:rFonts w:ascii="Calibri" w:hAnsi="Calibri" w:cs="Calibri"/>
        </w:rPr>
        <w:t xml:space="preserve"> (</w:t>
      </w:r>
      <w:r>
        <w:rPr>
          <w:rFonts w:ascii="Calibri" w:hAnsi="Calibri" w:cs="Calibri"/>
        </w:rPr>
        <w:t xml:space="preserve">t.j. </w:t>
      </w:r>
      <w:r w:rsidRPr="0016552E">
        <w:rPr>
          <w:rFonts w:ascii="Calibri" w:hAnsi="Calibri" w:cs="Calibri"/>
        </w:rPr>
        <w:t>Dz.U. z 201</w:t>
      </w:r>
      <w:r>
        <w:rPr>
          <w:rFonts w:ascii="Calibri" w:hAnsi="Calibri" w:cs="Calibri"/>
        </w:rPr>
        <w:t>6</w:t>
      </w:r>
      <w:r w:rsidRPr="0016552E">
        <w:rPr>
          <w:rFonts w:ascii="Calibri" w:hAnsi="Calibri" w:cs="Calibri"/>
        </w:rPr>
        <w:t xml:space="preserve"> r. </w:t>
      </w:r>
      <w:r w:rsidRPr="0016552E">
        <w:rPr>
          <w:rFonts w:ascii="Calibri" w:hAnsi="Calibri" w:cs="Calibri"/>
        </w:rPr>
        <w:t>poz.</w:t>
      </w:r>
      <w:r>
        <w:rPr>
          <w:rFonts w:ascii="Calibri" w:hAnsi="Calibri" w:cs="Calibri"/>
        </w:rPr>
        <w:t xml:space="preserve"> 487</w:t>
      </w:r>
      <w:r w:rsidRPr="0016552E">
        <w:rPr>
          <w:rFonts w:ascii="Calibri" w:hAnsi="Calibri" w:cs="Calibri"/>
        </w:rPr>
        <w:t xml:space="preserve">, </w:t>
      </w:r>
      <w:r>
        <w:rPr>
          <w:rFonts w:ascii="Calibri" w:hAnsi="Calibri" w:cs="Calibri"/>
        </w:rPr>
        <w:br/>
      </w:r>
      <w:r w:rsidRPr="0016552E">
        <w:rPr>
          <w:rFonts w:ascii="Calibri" w:hAnsi="Calibri" w:cs="Calibri"/>
        </w:rPr>
        <w:t>z późn.</w:t>
      </w:r>
      <w:r>
        <w:rPr>
          <w:rFonts w:ascii="Calibri" w:hAnsi="Calibri" w:cs="Calibri"/>
        </w:rPr>
        <w:t xml:space="preserve"> </w:t>
      </w:r>
      <w:r w:rsidRPr="0016552E">
        <w:rPr>
          <w:rFonts w:ascii="Calibri" w:hAnsi="Calibri" w:cs="Calibri"/>
        </w:rPr>
        <w:t xml:space="preserve">zm.). Uchwała </w:t>
      </w:r>
      <w:r>
        <w:rPr>
          <w:rFonts w:ascii="Calibri" w:hAnsi="Calibri" w:cs="Calibri"/>
        </w:rPr>
        <w:t xml:space="preserve">wraz z uzasadnieniem </w:t>
      </w:r>
      <w:r w:rsidRPr="0016552E">
        <w:rPr>
          <w:rFonts w:ascii="Calibri" w:hAnsi="Calibri" w:cs="Calibri"/>
        </w:rPr>
        <w:t xml:space="preserve">została doręczona Wojewodzie Mazowieckiemu </w:t>
      </w:r>
      <w:r>
        <w:rPr>
          <w:rFonts w:ascii="Calibri" w:hAnsi="Calibri" w:cs="Calibri"/>
        </w:rPr>
        <w:br/>
        <w:t>w dniu 26 stycznia 2022 r.</w:t>
      </w:r>
    </w:p>
    <w:p w:rsidR="00E31C1A" w:rsidRPr="0016552E" w:rsidRDefault="003533DA" w:rsidP="00C922D9">
      <w:pPr>
        <w:spacing w:before="120" w:line="360" w:lineRule="auto"/>
        <w:ind w:firstLine="708"/>
        <w:jc w:val="both"/>
        <w:rPr>
          <w:rFonts w:ascii="Calibri" w:hAnsi="Calibri" w:cs="Calibri"/>
        </w:rPr>
      </w:pPr>
      <w:r w:rsidRPr="0016552E">
        <w:rPr>
          <w:rFonts w:ascii="Calibri" w:hAnsi="Calibri" w:cs="Calibri"/>
        </w:rPr>
        <w:t xml:space="preserve">W dniu </w:t>
      </w:r>
      <w:r>
        <w:rPr>
          <w:rFonts w:ascii="Calibri" w:hAnsi="Calibri" w:cs="Calibri"/>
        </w:rPr>
        <w:t>2 lutego 2022</w:t>
      </w:r>
      <w:r w:rsidRPr="0016552E">
        <w:rPr>
          <w:rFonts w:ascii="Calibri" w:hAnsi="Calibri" w:cs="Calibri"/>
        </w:rPr>
        <w:t xml:space="preserve"> r. organ nadzoru wszczął postępowanie nadzorcze w stosunku </w:t>
      </w:r>
      <w:r>
        <w:rPr>
          <w:rFonts w:ascii="Calibri" w:hAnsi="Calibri" w:cs="Calibri"/>
        </w:rPr>
        <w:br/>
      </w:r>
      <w:r w:rsidRPr="0016552E">
        <w:rPr>
          <w:rFonts w:ascii="Calibri" w:hAnsi="Calibri" w:cs="Calibri"/>
        </w:rPr>
        <w:t xml:space="preserve">do uchwały. W wyniku przeprowadzonego postępowania organ nadzoru uznał, że uchwała została podjęta z istotnym naruszeniem art. </w:t>
      </w:r>
      <w:r>
        <w:rPr>
          <w:rFonts w:ascii="Calibri" w:hAnsi="Calibri" w:cs="Calibri"/>
        </w:rPr>
        <w:t>12 ust. 3</w:t>
      </w:r>
      <w:r w:rsidRPr="0016552E">
        <w:rPr>
          <w:rFonts w:ascii="Calibri" w:hAnsi="Calibri" w:cs="Calibri"/>
        </w:rPr>
        <w:t xml:space="preserve"> ustawy </w:t>
      </w:r>
      <w:r>
        <w:rPr>
          <w:rFonts w:ascii="Calibri" w:hAnsi="Calibri" w:cs="Calibri"/>
        </w:rPr>
        <w:t xml:space="preserve">z dnia 26 października 1982 r. o wychowaniu </w:t>
      </w:r>
      <w:r>
        <w:rPr>
          <w:rFonts w:ascii="Calibri" w:hAnsi="Calibri" w:cs="Calibri"/>
        </w:rPr>
        <w:lastRenderedPageBreak/>
        <w:t>w trzeźwości i przeciwdziałaniu alkoholizmowi</w:t>
      </w:r>
      <w:r w:rsidRPr="0041018B">
        <w:rPr>
          <w:rFonts w:ascii="Calibri" w:hAnsi="Calibri" w:cs="Calibri"/>
        </w:rPr>
        <w:t xml:space="preserve"> (Dz.U. z 20</w:t>
      </w:r>
      <w:r>
        <w:rPr>
          <w:rFonts w:ascii="Calibri" w:hAnsi="Calibri" w:cs="Calibri"/>
        </w:rPr>
        <w:t>21</w:t>
      </w:r>
      <w:r w:rsidRPr="0041018B">
        <w:rPr>
          <w:rFonts w:ascii="Calibri" w:hAnsi="Calibri" w:cs="Calibri"/>
        </w:rPr>
        <w:t xml:space="preserve"> r. poz. </w:t>
      </w:r>
      <w:r>
        <w:rPr>
          <w:rFonts w:ascii="Calibri" w:hAnsi="Calibri" w:cs="Calibri"/>
        </w:rPr>
        <w:t>1119</w:t>
      </w:r>
      <w:r w:rsidRPr="0041018B">
        <w:rPr>
          <w:rFonts w:ascii="Calibri" w:hAnsi="Calibri" w:cs="Calibri"/>
        </w:rPr>
        <w:t>, z późn. zm.)</w:t>
      </w:r>
      <w:r>
        <w:rPr>
          <w:rFonts w:ascii="Calibri" w:hAnsi="Calibri" w:cs="Calibri"/>
        </w:rPr>
        <w:t xml:space="preserve"> – zwanej dalej „ustawą”</w:t>
      </w:r>
      <w:r w:rsidRPr="0016552E">
        <w:rPr>
          <w:rFonts w:ascii="Calibri" w:hAnsi="Calibri" w:cs="Calibri"/>
        </w:rPr>
        <w:t>.</w:t>
      </w:r>
    </w:p>
    <w:p w:rsidR="00E31C1A" w:rsidRDefault="003533DA" w:rsidP="00C922D9">
      <w:pPr>
        <w:spacing w:before="120" w:line="360" w:lineRule="auto"/>
        <w:ind w:firstLine="708"/>
        <w:jc w:val="both"/>
        <w:rPr>
          <w:rFonts w:ascii="Calibri" w:hAnsi="Calibri" w:cs="Calibri"/>
          <w:i/>
          <w:iCs/>
        </w:rPr>
      </w:pPr>
      <w:r w:rsidRPr="0016552E">
        <w:rPr>
          <w:rFonts w:ascii="Calibri" w:hAnsi="Calibri" w:cs="Calibri"/>
        </w:rPr>
        <w:t xml:space="preserve">Przedmiotową uchwałą Rada Gminy w § 1 </w:t>
      </w:r>
      <w:r>
        <w:rPr>
          <w:rFonts w:ascii="Calibri" w:hAnsi="Calibri" w:cs="Calibri"/>
        </w:rPr>
        <w:t xml:space="preserve">dokonała zmiany Uchwały Nr LVI/328/18 Rady Gminy Korytnica z dnia 20 lipca 2018 r. </w:t>
      </w:r>
      <w:r w:rsidRPr="008506DD">
        <w:rPr>
          <w:rFonts w:ascii="Calibri" w:hAnsi="Calibri" w:cs="Calibri"/>
          <w:i/>
          <w:iCs/>
        </w:rPr>
        <w:t>w sprawie zasad usytuowania na terenie Gminy Korytnica miejsc sprzedaży i podawania napojów</w:t>
      </w:r>
      <w:r w:rsidRPr="008506DD">
        <w:rPr>
          <w:rFonts w:ascii="Calibri" w:hAnsi="Calibri" w:cs="Calibri"/>
          <w:i/>
          <w:iCs/>
        </w:rPr>
        <w:t xml:space="preserve"> alkoholowych</w:t>
      </w:r>
      <w:r>
        <w:rPr>
          <w:rFonts w:ascii="Calibri" w:hAnsi="Calibri" w:cs="Calibri"/>
        </w:rPr>
        <w:t xml:space="preserve"> stwierdzając, że: </w:t>
      </w:r>
      <w:r w:rsidRPr="00005CF9">
        <w:rPr>
          <w:rFonts w:ascii="Calibri" w:hAnsi="Calibri" w:cs="Calibri"/>
          <w:i/>
          <w:iCs/>
        </w:rPr>
        <w:t xml:space="preserve">„po art. 1 dodaje się </w:t>
      </w:r>
      <w:r>
        <w:rPr>
          <w:rFonts w:ascii="Calibri" w:hAnsi="Calibri" w:cs="Calibri"/>
          <w:i/>
          <w:iCs/>
        </w:rPr>
        <w:br/>
      </w:r>
      <w:r w:rsidRPr="00005CF9">
        <w:rPr>
          <w:rFonts w:ascii="Calibri" w:hAnsi="Calibri" w:cs="Calibri"/>
          <w:i/>
          <w:iCs/>
        </w:rPr>
        <w:t>art. 1a w brzmieniu: Zasady usytuowania określone w § 1 nie odnoszą się do miejsc sprzedaży alkoholu, w których prowadzona była sprzedaż alkoholu w dniu wejścia w życie niniejszej uchwały.”</w:t>
      </w:r>
    </w:p>
    <w:p w:rsidR="00E31C1A" w:rsidRPr="00B348A1" w:rsidRDefault="003533DA" w:rsidP="00C922D9">
      <w:pPr>
        <w:spacing w:before="120" w:line="360" w:lineRule="auto"/>
        <w:ind w:firstLine="708"/>
        <w:jc w:val="both"/>
        <w:rPr>
          <w:rFonts w:ascii="Calibri" w:hAnsi="Calibri" w:cs="Calibri"/>
          <w:i/>
          <w:iCs/>
        </w:rPr>
      </w:pPr>
      <w:r>
        <w:rPr>
          <w:rFonts w:ascii="Calibri" w:hAnsi="Calibri" w:cs="Calibri"/>
        </w:rPr>
        <w:t>Jednocześni</w:t>
      </w:r>
      <w:r>
        <w:rPr>
          <w:rFonts w:ascii="Calibri" w:hAnsi="Calibri" w:cs="Calibri"/>
        </w:rPr>
        <w:t xml:space="preserve">e w uzasadnieniu do niniejszej uchwały Rada Gminy podkreśliła, że podobny wyjątek wcześniej obowiązywał w uchwale z 1992 r., a który to wyjątek usunęła Uchwała </w:t>
      </w:r>
      <w:r>
        <w:rPr>
          <w:rFonts w:ascii="Calibri" w:hAnsi="Calibri" w:cs="Calibri"/>
        </w:rPr>
        <w:br/>
        <w:t xml:space="preserve">Nr LVI/328/13 Rady Gminy Korytnica z dnia 20 lipca 2018 r. Jak również wskazano, że </w:t>
      </w:r>
      <w:r w:rsidRPr="00B348A1">
        <w:rPr>
          <w:rFonts w:ascii="Calibri" w:hAnsi="Calibri" w:cs="Calibri"/>
          <w:i/>
          <w:iCs/>
        </w:rPr>
        <w:t>„powyższy w</w:t>
      </w:r>
      <w:r w:rsidRPr="00B348A1">
        <w:rPr>
          <w:rFonts w:ascii="Calibri" w:hAnsi="Calibri" w:cs="Calibri"/>
          <w:i/>
          <w:iCs/>
        </w:rPr>
        <w:t>yjątek dotyczył w skali Gminy Korytnica li tylko miejscowości Pniewnik. W istniejącym w centrum wsi sklepie po dawnej spółdzielni alkohol sprzedawany był od prawie 30 lat. Niniejszy sklep istnieje do dziś i posiada zezwolenie na sprzedaż alkoholi niskoproc</w:t>
      </w:r>
      <w:r w:rsidRPr="00B348A1">
        <w:rPr>
          <w:rFonts w:ascii="Calibri" w:hAnsi="Calibri" w:cs="Calibri"/>
          <w:i/>
          <w:iCs/>
        </w:rPr>
        <w:t xml:space="preserve">entowych oraz piwa. Uchwalona w lipcu 2020 r. uchwała godzi w ustabilizowane relacje i stosunki wiejskie. Mieszkańcy wsi Pniewnik akceptują i godzą się z tym, że sklep spożywczo-przemysłowy, gdzie prowadzi się sprzedaż alkoholi niskoprocentowych oraz piwa </w:t>
      </w:r>
      <w:r w:rsidRPr="00B348A1">
        <w:rPr>
          <w:rFonts w:ascii="Calibri" w:hAnsi="Calibri" w:cs="Calibri"/>
          <w:i/>
          <w:iCs/>
        </w:rPr>
        <w:t>znajduje się w odległości m</w:t>
      </w:r>
      <w:r>
        <w:rPr>
          <w:rFonts w:ascii="Calibri" w:hAnsi="Calibri" w:cs="Calibri"/>
          <w:i/>
          <w:iCs/>
        </w:rPr>
        <w:t>n</w:t>
      </w:r>
      <w:r w:rsidRPr="00B348A1">
        <w:rPr>
          <w:rFonts w:ascii="Calibri" w:hAnsi="Calibri" w:cs="Calibri"/>
          <w:i/>
          <w:iCs/>
        </w:rPr>
        <w:t>iej niż 100 metrów od kościoła.</w:t>
      </w:r>
      <w:r>
        <w:rPr>
          <w:rFonts w:ascii="Calibri" w:hAnsi="Calibri" w:cs="Calibri"/>
          <w:i/>
          <w:iCs/>
        </w:rPr>
        <w:t xml:space="preserve"> Mieszkańcy wsi obawiają się, że na skutek dalszego obowiązywania uchwały nr LVI/328/18 w dotychczasowej treści dojdzie do likwidacji sklepu</w:t>
      </w:r>
      <w:r>
        <w:rPr>
          <w:rFonts w:ascii="Calibri" w:hAnsi="Calibri" w:cs="Calibri"/>
          <w:i/>
          <w:iCs/>
        </w:rPr>
        <w:t>,</w:t>
      </w:r>
      <w:r>
        <w:rPr>
          <w:rFonts w:ascii="Calibri" w:hAnsi="Calibri" w:cs="Calibri"/>
          <w:i/>
          <w:iCs/>
        </w:rPr>
        <w:t xml:space="preserve"> o którym mowa wyżej.</w:t>
      </w:r>
      <w:r w:rsidRPr="00B348A1">
        <w:rPr>
          <w:rFonts w:ascii="Calibri" w:hAnsi="Calibri" w:cs="Calibri"/>
          <w:i/>
          <w:iCs/>
        </w:rPr>
        <w:t>”</w:t>
      </w:r>
    </w:p>
    <w:p w:rsidR="00E31C1A" w:rsidRDefault="003533DA" w:rsidP="00C922D9">
      <w:pPr>
        <w:spacing w:before="120" w:line="360" w:lineRule="auto"/>
        <w:ind w:firstLine="708"/>
        <w:jc w:val="both"/>
        <w:rPr>
          <w:rFonts w:ascii="Calibri" w:hAnsi="Calibri" w:cs="Calibri"/>
        </w:rPr>
      </w:pPr>
      <w:r>
        <w:rPr>
          <w:rFonts w:ascii="Calibri" w:hAnsi="Calibri" w:cs="Calibri"/>
        </w:rPr>
        <w:t>Zdaniem organu nadzoru powyższa r</w:t>
      </w:r>
      <w:r>
        <w:rPr>
          <w:rFonts w:ascii="Calibri" w:hAnsi="Calibri" w:cs="Calibri"/>
        </w:rPr>
        <w:t xml:space="preserve">egulacja uchwały została podjęta z przekroczeniem upoważnienia ustawowego w sposób istotny naruszając art. 12 ust. 3  ustawy. </w:t>
      </w:r>
    </w:p>
    <w:p w:rsidR="00E31C1A" w:rsidRDefault="003533DA" w:rsidP="00C922D9">
      <w:pPr>
        <w:spacing w:before="120" w:line="360" w:lineRule="auto"/>
        <w:ind w:firstLine="708"/>
        <w:jc w:val="both"/>
        <w:rPr>
          <w:rFonts w:ascii="Calibri" w:hAnsi="Calibri" w:cs="Calibri"/>
        </w:rPr>
      </w:pPr>
      <w:r>
        <w:rPr>
          <w:rFonts w:ascii="Calibri" w:hAnsi="Calibri" w:cs="Calibri"/>
        </w:rPr>
        <w:t xml:space="preserve">Zgodnie z art. 12 ust. 3 ustawy </w:t>
      </w:r>
      <w:r w:rsidRPr="002B4550">
        <w:rPr>
          <w:rFonts w:ascii="Calibri" w:hAnsi="Calibri" w:cs="Calibri"/>
          <w:i/>
        </w:rPr>
        <w:t xml:space="preserve">„rada gminy ustala, w drodze uchwały, zasady usytuowania na terenie gminy miejsc sprzedaży i </w:t>
      </w:r>
      <w:r w:rsidRPr="002B4550">
        <w:rPr>
          <w:rFonts w:ascii="Calibri" w:hAnsi="Calibri" w:cs="Calibri"/>
          <w:i/>
        </w:rPr>
        <w:t>podawania napojów alkoholowych</w:t>
      </w:r>
      <w:r w:rsidRPr="002B4550">
        <w:rPr>
          <w:rFonts w:ascii="Calibri" w:hAnsi="Calibri" w:cs="Calibri"/>
          <w:i/>
          <w:iCs/>
        </w:rPr>
        <w:t>.”</w:t>
      </w:r>
      <w:r>
        <w:rPr>
          <w:rFonts w:ascii="Calibri" w:hAnsi="Calibri" w:cs="Calibri"/>
        </w:rPr>
        <w:t xml:space="preserve"> Do kompetencji Rady Gminy należy więc wyłącznie określenie zasad usytuowania na terenie gminy miejsc sprzedaży </w:t>
      </w:r>
      <w:r>
        <w:rPr>
          <w:rFonts w:ascii="Calibri" w:hAnsi="Calibri" w:cs="Calibri"/>
        </w:rPr>
        <w:br/>
        <w:t xml:space="preserve">i podawania napojów alkoholowych. Pod pojęciem „zasad usytuowania” miejsc sprzedaży </w:t>
      </w:r>
      <w:r>
        <w:rPr>
          <w:rFonts w:ascii="Calibri" w:hAnsi="Calibri" w:cs="Calibri"/>
        </w:rPr>
        <w:br/>
        <w:t>i podawania napojów alkoho</w:t>
      </w:r>
      <w:r>
        <w:rPr>
          <w:rFonts w:ascii="Calibri" w:hAnsi="Calibri" w:cs="Calibri"/>
        </w:rPr>
        <w:t>lowych należy rozumieć ich rozmieszczenie na terenie gminy względem określonych miejsc chronionych wskazanych w uchwale, takich jak np. szkoły, placówki oświatowo-wychowawcze i opiekuńcze czy miejsca kultu religijnego. Zawarte w art. 12 ust. 3 ustawy upowa</w:t>
      </w:r>
      <w:r>
        <w:rPr>
          <w:rFonts w:ascii="Calibri" w:hAnsi="Calibri" w:cs="Calibri"/>
        </w:rPr>
        <w:t>żnienie do ustalenia „zasad usytuowania” musi podlegać ścisłej wykładni językowej, a tym samym „usytuowanie” to: położenie, lokalizacja, umiejscowienie miejsc sprzedaży i podawania napojów alkoholowych, względem określonych w uchwale miejsc, które w ocenie</w:t>
      </w:r>
      <w:r>
        <w:rPr>
          <w:rFonts w:ascii="Calibri" w:hAnsi="Calibri" w:cs="Calibri"/>
        </w:rPr>
        <w:t xml:space="preserve"> rady gminy powinny być chronione przed negatywnymi efektami i zjawiskami spożywania napojów </w:t>
      </w:r>
      <w:r>
        <w:rPr>
          <w:rFonts w:ascii="Calibri" w:hAnsi="Calibri" w:cs="Calibri"/>
        </w:rPr>
        <w:lastRenderedPageBreak/>
        <w:t>alkoholowych. Takie rozumienie pojęcia „zasad usytuowania miejsc” potwierdza również Naczelny Sąd Administracyjny w wyroku z dnia 10 maja 2012 r., sygn. akt II GSK</w:t>
      </w:r>
      <w:r>
        <w:rPr>
          <w:rFonts w:ascii="Calibri" w:hAnsi="Calibri" w:cs="Calibri"/>
        </w:rPr>
        <w:t xml:space="preserve"> 497/11, czy z dnia 8 czerwca 2017 r., sygn. akt II GSK 4181/16. </w:t>
      </w:r>
    </w:p>
    <w:p w:rsidR="00E31C1A" w:rsidRDefault="003533DA" w:rsidP="00C922D9">
      <w:pPr>
        <w:spacing w:before="120" w:line="360" w:lineRule="auto"/>
        <w:ind w:firstLine="708"/>
        <w:jc w:val="both"/>
        <w:rPr>
          <w:rFonts w:ascii="Calibri" w:hAnsi="Calibri" w:cs="Calibri"/>
        </w:rPr>
      </w:pPr>
      <w:r>
        <w:rPr>
          <w:rFonts w:ascii="Calibri" w:hAnsi="Calibri" w:cs="Calibri"/>
        </w:rPr>
        <w:t>Ponadto należy wskazać, że zasady usytuowania miejsc sprzedaży i podawania napojów alkoholowych na terenie gminy</w:t>
      </w:r>
      <w:r>
        <w:rPr>
          <w:rFonts w:ascii="Calibri" w:hAnsi="Calibri" w:cs="Calibri"/>
        </w:rPr>
        <w:t>,</w:t>
      </w:r>
      <w:r>
        <w:rPr>
          <w:rFonts w:ascii="Calibri" w:hAnsi="Calibri" w:cs="Calibri"/>
        </w:rPr>
        <w:t xml:space="preserve"> powinny pozostawać w zgodzie z ogólnymi założeniami i celami ustawy o wychow</w:t>
      </w:r>
      <w:r>
        <w:rPr>
          <w:rFonts w:ascii="Calibri" w:hAnsi="Calibri" w:cs="Calibri"/>
        </w:rPr>
        <w:t xml:space="preserve">aniu w trzeźwości i przeciwdziałaniu alkoholizmowi. Należy je odczytywać </w:t>
      </w:r>
      <w:r>
        <w:rPr>
          <w:rFonts w:ascii="Calibri" w:hAnsi="Calibri" w:cs="Calibri"/>
        </w:rPr>
        <w:br/>
        <w:t xml:space="preserve">z samego tytułu ustawy, akcentującego konieczność wychowania w trzeźwości oraz przeciwdziałania alkoholizmowi oraz z preambuły ustawy, akcentującej życie obywateli w trzeźwości jako </w:t>
      </w:r>
      <w:r>
        <w:rPr>
          <w:rFonts w:ascii="Calibri" w:hAnsi="Calibri" w:cs="Calibri"/>
        </w:rPr>
        <w:t>niezbędny warunek moralnego i materialnego dobra Narodu jak również z art. 1 i 2 ustawy (tak też Naczelny Sąd Administracyjny w wyroku z dnia 22 marca 2017 r., sygn. akt II GSK 1497/15). Celem tych norm, jak wynika z art. 1 ust. 1 ustawy, jest ograniczenie</w:t>
      </w:r>
      <w:r>
        <w:rPr>
          <w:rFonts w:ascii="Calibri" w:hAnsi="Calibri" w:cs="Calibri"/>
        </w:rPr>
        <w:t xml:space="preserve"> spożycia napojów alkoholowych oraz zmiana struktury ich spożywania, inicjowanie i wspieranie przedsięwzięć mających na celu zmianę obyczajów w zakresie sposobu spożywania tych napojów. Zadania te wykonuje się przez odpowiednie kształtowanie polityki społe</w:t>
      </w:r>
      <w:r>
        <w:rPr>
          <w:rFonts w:ascii="Calibri" w:hAnsi="Calibri" w:cs="Calibri"/>
        </w:rPr>
        <w:t xml:space="preserve">cznej, m. in. ograniczanie dostępności alkoholu – art. 2 ust. 1 pkt 4 ustawy czy zapobieganie negatywnym następstwom nadużywania alkoholu i ich usuwanie – art. 2 ust. 1 pkt 6 ustawy. Skoro więc celem ustawy jest m. in. ograniczenie dostępności alkoholu </w:t>
      </w:r>
      <w:r>
        <w:rPr>
          <w:rFonts w:ascii="Calibri" w:hAnsi="Calibri" w:cs="Calibri"/>
        </w:rPr>
        <w:br/>
        <w:t xml:space="preserve">i </w:t>
      </w:r>
      <w:r>
        <w:rPr>
          <w:rFonts w:ascii="Calibri" w:hAnsi="Calibri" w:cs="Calibri"/>
        </w:rPr>
        <w:t>motywowanie obywateli do powstrzymywania się od jego spożywania, to obowiązkiem organu stanowiącego przepisy prawa miejscowego jest podporządkowanie się tym celom. Są one bowiem dla niego nie postulatami, lecz normami o charakterze wiążącym (tak, WSA w Łod</w:t>
      </w:r>
      <w:r>
        <w:rPr>
          <w:rFonts w:ascii="Calibri" w:hAnsi="Calibri" w:cs="Calibri"/>
        </w:rPr>
        <w:t>zi w wyroku z dnia 28 grudnia 2017 r., sygn. akt III SA/Łd 755/17).</w:t>
      </w:r>
    </w:p>
    <w:p w:rsidR="00E31C1A" w:rsidRDefault="003533DA" w:rsidP="00C922D9">
      <w:pPr>
        <w:spacing w:before="120" w:line="360" w:lineRule="auto"/>
        <w:ind w:firstLine="708"/>
        <w:jc w:val="both"/>
        <w:rPr>
          <w:rFonts w:ascii="Calibri" w:hAnsi="Calibri" w:cs="Calibri"/>
        </w:rPr>
      </w:pPr>
      <w:r>
        <w:rPr>
          <w:rFonts w:ascii="Calibri" w:hAnsi="Calibri" w:cs="Calibri"/>
        </w:rPr>
        <w:t xml:space="preserve">Wobec powyższego organ nadzoru zauważa, że sprzeczne ze wskazanymi celami ustawy </w:t>
      </w:r>
      <w:r>
        <w:rPr>
          <w:rFonts w:ascii="Calibri" w:hAnsi="Calibri" w:cs="Calibri"/>
        </w:rPr>
        <w:br/>
        <w:t>o wychowaniu w trzeźwości i przeciwdziałaniu alkoholizmowi należy uznać czynienie wyjątków od ustalonych z</w:t>
      </w:r>
      <w:r>
        <w:rPr>
          <w:rFonts w:ascii="Calibri" w:hAnsi="Calibri" w:cs="Calibri"/>
        </w:rPr>
        <w:t xml:space="preserve">asad usytuowania miejsc sprzedaży i podawania napojów alkoholowych. Tymczasem Uchwałą Nr XLIV/244/22 z dnia 21 stycznia 2022 r. zmieniono Uchwałę Nr LVI/328/18 z dnia </w:t>
      </w:r>
      <w:r>
        <w:rPr>
          <w:rFonts w:ascii="Calibri" w:hAnsi="Calibri" w:cs="Calibri"/>
        </w:rPr>
        <w:br/>
        <w:t>20 lipca 2018 r. i ustalono wyjątek kiedy ograniczenie odległości wprowadzonych w uchwal</w:t>
      </w:r>
      <w:r>
        <w:rPr>
          <w:rFonts w:ascii="Calibri" w:hAnsi="Calibri" w:cs="Calibri"/>
        </w:rPr>
        <w:t xml:space="preserve">e </w:t>
      </w:r>
      <w:r>
        <w:rPr>
          <w:rFonts w:ascii="Calibri" w:hAnsi="Calibri" w:cs="Calibri"/>
        </w:rPr>
        <w:br/>
        <w:t>z 2018 r., tj. nie mniejszej niż 100 m od obiektów chronionych do spożycia alkoholu poza miejscem sprzedaży i nie mniejszej niż 150 m od obiektów chronionych do spożycia alkoholu w miejscu sprzedaży – nie obowiązuje, co w oczywisty sposób kłóci się z ko</w:t>
      </w:r>
      <w:r>
        <w:rPr>
          <w:rFonts w:ascii="Calibri" w:hAnsi="Calibri" w:cs="Calibri"/>
        </w:rPr>
        <w:t xml:space="preserve">niecznością realizowania obowiązku ograniczenia dostępności alkoholu. Warto zwrócić uwagę na wyrok WSA w Lublinie z dnia 6 grudnia 2016 r., sygn. akt III SA/Lu 757/16, w którym sąd orzekł, że </w:t>
      </w:r>
      <w:r w:rsidRPr="008E694D">
        <w:rPr>
          <w:rFonts w:ascii="Calibri" w:hAnsi="Calibri" w:cs="Calibri"/>
          <w:i/>
          <w:iCs/>
        </w:rPr>
        <w:t>„tworzenie zasad stojących w sprzeczności z zadaniami gminy post</w:t>
      </w:r>
      <w:r w:rsidRPr="008E694D">
        <w:rPr>
          <w:rFonts w:ascii="Calibri" w:hAnsi="Calibri" w:cs="Calibri"/>
          <w:i/>
          <w:iCs/>
        </w:rPr>
        <w:t xml:space="preserve">awionymi przez ustawodawcę oznacza naruszenie prawa. Jeśli cel jest </w:t>
      </w:r>
      <w:r w:rsidRPr="008E694D">
        <w:rPr>
          <w:rFonts w:ascii="Calibri" w:hAnsi="Calibri" w:cs="Calibri"/>
          <w:i/>
          <w:iCs/>
        </w:rPr>
        <w:lastRenderedPageBreak/>
        <w:t xml:space="preserve">wytyczony przez ustawę wprost a podmiot realizujący tę ustawę wykonuje w jej ramach działania nie zmierzające do realizacji tego celu, to można uznać, że działa on niezgodnie </w:t>
      </w:r>
      <w:r>
        <w:rPr>
          <w:rFonts w:ascii="Calibri" w:hAnsi="Calibri" w:cs="Calibri"/>
          <w:i/>
          <w:iCs/>
        </w:rPr>
        <w:br/>
      </w:r>
      <w:r w:rsidRPr="008E694D">
        <w:rPr>
          <w:rFonts w:ascii="Calibri" w:hAnsi="Calibri" w:cs="Calibri"/>
          <w:i/>
          <w:iCs/>
        </w:rPr>
        <w:t xml:space="preserve">z prawem, a </w:t>
      </w:r>
      <w:r w:rsidRPr="008E694D">
        <w:rPr>
          <w:rFonts w:ascii="Calibri" w:hAnsi="Calibri" w:cs="Calibri"/>
          <w:i/>
          <w:iCs/>
        </w:rPr>
        <w:t>nawet bez podstawy prawnej. Jeśli taki akt nie pozwala na realizację celu wyrażonego w jego podstawie prawnej, to jest on nie tylko „niecelowy” ale również sprzeczny z ustawą.”</w:t>
      </w:r>
    </w:p>
    <w:p w:rsidR="00E31C1A" w:rsidRDefault="003533DA" w:rsidP="00C922D9">
      <w:pPr>
        <w:spacing w:before="120" w:line="360" w:lineRule="auto"/>
        <w:ind w:firstLine="708"/>
        <w:jc w:val="both"/>
        <w:rPr>
          <w:rFonts w:ascii="Calibri" w:hAnsi="Calibri" w:cs="Calibri"/>
        </w:rPr>
      </w:pPr>
      <w:r>
        <w:rPr>
          <w:rFonts w:ascii="Calibri" w:hAnsi="Calibri" w:cs="Calibri"/>
        </w:rPr>
        <w:t>Dlatego też w ocenie organu nadzoru pojęcie zasad usytuowania należy interpreto</w:t>
      </w:r>
      <w:r>
        <w:rPr>
          <w:rFonts w:ascii="Calibri" w:hAnsi="Calibri" w:cs="Calibri"/>
        </w:rPr>
        <w:t xml:space="preserve">wać </w:t>
      </w:r>
      <w:r>
        <w:rPr>
          <w:rFonts w:ascii="Calibri" w:hAnsi="Calibri" w:cs="Calibri"/>
        </w:rPr>
        <w:br/>
        <w:t>w sposób ścisły, a tym samym nie należy dokonywać wykładni rozszerzającej. Gdyby wolą ustawodawcy było nadanie kompetencji radzie gminy do ustalenia zasad oraz wyjątków od tych zasad, to odpowiednie upoważnienie do tego typu zapisów znalazłoby się w p</w:t>
      </w:r>
      <w:r>
        <w:rPr>
          <w:rFonts w:ascii="Calibri" w:hAnsi="Calibri" w:cs="Calibri"/>
        </w:rPr>
        <w:t>rzepisach ustawowych.</w:t>
      </w:r>
    </w:p>
    <w:p w:rsidR="00E31C1A" w:rsidRDefault="003533DA" w:rsidP="00C922D9">
      <w:pPr>
        <w:spacing w:before="120" w:line="360" w:lineRule="auto"/>
        <w:ind w:firstLine="708"/>
        <w:jc w:val="both"/>
        <w:rPr>
          <w:rFonts w:ascii="Calibri" w:hAnsi="Calibri" w:cs="Calibri"/>
        </w:rPr>
      </w:pPr>
      <w:r>
        <w:rPr>
          <w:rFonts w:ascii="Calibri" w:hAnsi="Calibri" w:cs="Calibri"/>
        </w:rPr>
        <w:t>Mając na uwadze powyższe rozważania co do legalności § 1 Uchwały Nr XLIV/244/22 Rady Gminy Korytnica z dnia 21 stycznia 2022 r., nie można nie dostrzec także naruszenia konstytucyjnej zasady równości wobec prawa, tj. art. 32 ust. 1 Ko</w:t>
      </w:r>
      <w:r>
        <w:rPr>
          <w:rFonts w:ascii="Calibri" w:hAnsi="Calibri" w:cs="Calibri"/>
        </w:rPr>
        <w:t xml:space="preserve">nstytucji RP. Rada poprzez dodanie „art. 1a” do uchwały naruszyła zasadę równości wobec prawa poprzez doprowadzenie do nieuprawnionego zróżnicowania sytuacji prawnej podmiotów ubiegających się o uzyskanie zezwolenia na sprzedaż napojów alkoholowych. Zapis </w:t>
      </w:r>
      <w:r>
        <w:rPr>
          <w:rFonts w:ascii="Calibri" w:hAnsi="Calibri" w:cs="Calibri"/>
        </w:rPr>
        <w:t>ten bowiem prowadzi do swoistego dualizmu w zakresie obowiązywania prawa, bowiem wymóg zachowania odległości będzie obowiązywał tylko tych, którzy rozpoczynają tego typu działalność. Nie będzie natomiast obowiązywał na co wskazuje uzasadnienie uchwały jedn</w:t>
      </w:r>
      <w:r>
        <w:rPr>
          <w:rFonts w:ascii="Calibri" w:hAnsi="Calibri" w:cs="Calibri"/>
        </w:rPr>
        <w:t>ego przedsiębiorcy w jednej z miejscowości Gminy Korytnica. Ewentualnie również tych podmiotów, którzy prowadzą w chwili obecnej sprzedaż napojów alkoholowych w miejscach, przy których w przyszłości powstaną obiekty chronione w odległościach mniejszych niż</w:t>
      </w:r>
      <w:r>
        <w:rPr>
          <w:rFonts w:ascii="Calibri" w:hAnsi="Calibri" w:cs="Calibri"/>
        </w:rPr>
        <w:t xml:space="preserve"> wskazane w uchwale. </w:t>
      </w:r>
    </w:p>
    <w:p w:rsidR="00E31C1A" w:rsidRDefault="003533DA" w:rsidP="00C922D9">
      <w:pPr>
        <w:spacing w:before="120" w:line="360" w:lineRule="auto"/>
        <w:ind w:firstLine="708"/>
        <w:jc w:val="both"/>
        <w:rPr>
          <w:rFonts w:ascii="Calibri" w:hAnsi="Calibri" w:cs="Calibri"/>
        </w:rPr>
      </w:pPr>
      <w:r>
        <w:rPr>
          <w:rFonts w:ascii="Calibri" w:hAnsi="Calibri" w:cs="Calibri"/>
        </w:rPr>
        <w:t>Podkreślić należy, że realizacja celów ustawy nie może sprowadzać się do ochrony praw przedsiębiorców z pominięciem konieczności ochrony mieszkańców gminy przed negatywnymi skutkami spożywania alkoholu. Zasada wolności gospodarczej ni</w:t>
      </w:r>
      <w:r>
        <w:rPr>
          <w:rFonts w:ascii="Calibri" w:hAnsi="Calibri" w:cs="Calibri"/>
        </w:rPr>
        <w:t>e ma bowiem charakteru absolutnego. Konstytucja RP dopuszcza ograniczenie wolności gospodarczej w drodze ustawy, jeżeli wymaga tego ważny interes publiczny – art. 22 Konstytucji RP. Ustawą, która ogranicza wolność działalności gospodarczej w zakresie sprze</w:t>
      </w:r>
      <w:r>
        <w:rPr>
          <w:rFonts w:ascii="Calibri" w:hAnsi="Calibri" w:cs="Calibri"/>
        </w:rPr>
        <w:t>daży i podawania napojów alkoholowych jest m. in. ustawa o wychowaniu w trzeźwości i przeciwdziałaniu alkoholizmowi. Z kolei art. 31 ust. 3 Konstytucji RP stanowi, że ograniczenia w zakresie korzystania z konstytucyjnych wolności i praw mogą być ustanowion</w:t>
      </w:r>
      <w:r>
        <w:rPr>
          <w:rFonts w:ascii="Calibri" w:hAnsi="Calibri" w:cs="Calibri"/>
        </w:rPr>
        <w:t xml:space="preserve">e tylko w ustawie i tylko wtedy, gdy są konieczne w demokratycznym państwie dla jego bezpieczeństwa lub porządku publicznego, bądź dla ochrony środowiska, zdrowia </w:t>
      </w:r>
      <w:r>
        <w:rPr>
          <w:rFonts w:ascii="Calibri" w:hAnsi="Calibri" w:cs="Calibri"/>
        </w:rPr>
        <w:br/>
      </w:r>
      <w:r>
        <w:rPr>
          <w:rFonts w:ascii="Calibri" w:hAnsi="Calibri" w:cs="Calibri"/>
        </w:rPr>
        <w:lastRenderedPageBreak/>
        <w:t>i moralności publicznej albo wolności i praw innych osób. Zdaniem organu nadzoru do takich w</w:t>
      </w:r>
      <w:r>
        <w:rPr>
          <w:rFonts w:ascii="Calibri" w:hAnsi="Calibri" w:cs="Calibri"/>
        </w:rPr>
        <w:t>łaśnie wartości z całą pewnością należy życie obywateli w trzeźwości (preambuła ustawy), a tym samym jej ochrona może powodować ograniczenia w zakresie korzystania przez przedsiębiorców z wolności działalności gospodarczej (tak, Naczelny Sąd Administracyjn</w:t>
      </w:r>
      <w:r>
        <w:rPr>
          <w:rFonts w:ascii="Calibri" w:hAnsi="Calibri" w:cs="Calibri"/>
        </w:rPr>
        <w:t xml:space="preserve">y w wyroku z dnia 22 marca 2017 r., sygn. akt II GSK 1497/15, oraz z dnia 12 kwietnia 2016 r., sygn. akt II GSK 2466/15). </w:t>
      </w:r>
    </w:p>
    <w:p w:rsidR="00E31C1A" w:rsidRPr="00C95995" w:rsidRDefault="003533DA" w:rsidP="00C922D9">
      <w:pPr>
        <w:spacing w:before="120" w:line="360" w:lineRule="auto"/>
        <w:ind w:firstLine="708"/>
        <w:jc w:val="both"/>
        <w:rPr>
          <w:rFonts w:ascii="Calibri" w:hAnsi="Calibri" w:cs="Calibri"/>
          <w:iCs/>
        </w:rPr>
      </w:pPr>
      <w:r>
        <w:rPr>
          <w:rFonts w:ascii="Calibri" w:hAnsi="Calibri" w:cs="Calibri"/>
        </w:rPr>
        <w:t>Na marginesie organ nadzoru zwraca również uwagę na konieczność stosowania Rozporządzenia  Prezesa Rady Ministrów z dnia 20 czerwca 2</w:t>
      </w:r>
      <w:r>
        <w:rPr>
          <w:rFonts w:ascii="Calibri" w:hAnsi="Calibri" w:cs="Calibri"/>
        </w:rPr>
        <w:t>002 r. w sprawie „Zasad techniki prawodawczej” (Dz.U. z 2016 r. poz. 283, z późn. zm.) – zwanym dalej „ZTP” przy redagowaniu aktów prawa miejscowego.  Zgodnie z § 121 ZTP, który na podstawie § 143 ZTP stosuje się odpowiednio do projektów aktów prawa miejsc</w:t>
      </w:r>
      <w:r>
        <w:rPr>
          <w:rFonts w:ascii="Calibri" w:hAnsi="Calibri" w:cs="Calibri"/>
        </w:rPr>
        <w:t>owego, tekst uchwały należy rozpocząć od przytoczenia podstawy prawnej, tj. wskazania przepisu ustawy zawierającego upoważnienie do jej wydania, czyli przytoczeniem jednostki redakcyjnej, nazwy aktu prawnego wraz z dniem jego wydania, jak również wskazanie</w:t>
      </w:r>
      <w:r>
        <w:rPr>
          <w:rFonts w:ascii="Calibri" w:hAnsi="Calibri" w:cs="Calibri"/>
        </w:rPr>
        <w:t xml:space="preserve">m w nawiasie dziennika urzędowego, w którym akt ten został ogłoszony wraz ze zmianami albo ostatni tekst jednolity i jego zmiany. W Uchwale Nr XLIV/244/22 Rady Gminy Korytnica z dnia 21 stycznia 2022 r. </w:t>
      </w:r>
      <w:r w:rsidRPr="0016552E">
        <w:rPr>
          <w:rFonts w:ascii="Calibri" w:hAnsi="Calibri" w:cs="Calibri"/>
          <w:i/>
          <w:color w:val="000000"/>
          <w:spacing w:val="-2"/>
        </w:rPr>
        <w:t xml:space="preserve">w sprawie </w:t>
      </w:r>
      <w:r>
        <w:rPr>
          <w:rFonts w:ascii="Calibri" w:hAnsi="Calibri" w:cs="Calibri"/>
          <w:i/>
          <w:color w:val="000000"/>
          <w:spacing w:val="-2"/>
        </w:rPr>
        <w:t>zmiany Uchwały nr LVI/328/18 Rady Gminy Kor</w:t>
      </w:r>
      <w:r>
        <w:rPr>
          <w:rFonts w:ascii="Calibri" w:hAnsi="Calibri" w:cs="Calibri"/>
          <w:i/>
          <w:color w:val="000000"/>
          <w:spacing w:val="-2"/>
        </w:rPr>
        <w:t>ytnica w sprawie zasad usytuowania na terenie Gminy Korytnica miejsc sprzedaży i podawania napojów alkoholowych</w:t>
      </w:r>
      <w:r>
        <w:rPr>
          <w:rFonts w:ascii="Calibri" w:hAnsi="Calibri" w:cs="Calibri"/>
          <w:iCs/>
          <w:color w:val="000000"/>
          <w:spacing w:val="-2"/>
        </w:rPr>
        <w:t xml:space="preserve"> mamy do czynienia z przytoczeniem nieaktualnego już tekstu jednolitego zarówno ustawy o samorządzie gminnym jaki i ustawy o wychowaniu w trzeźwo</w:t>
      </w:r>
      <w:r>
        <w:rPr>
          <w:rFonts w:ascii="Calibri" w:hAnsi="Calibri" w:cs="Calibri"/>
          <w:iCs/>
          <w:color w:val="000000"/>
          <w:spacing w:val="-2"/>
        </w:rPr>
        <w:t>ści i przeciwdziałaniu alkoholizmowi. Ponadto w § 1 powyższej uchwały doszło do nieprawidłowego wskazania jednostek redakcyjnych w zmienianej Uchwale nr LVI/328/18 z dnia 20 lipca 2018 r., ponieważ uchwała z 2018 r. nie posługuje się jednostką redakcyjną o</w:t>
      </w:r>
      <w:r>
        <w:rPr>
          <w:rFonts w:ascii="Calibri" w:hAnsi="Calibri" w:cs="Calibri"/>
          <w:iCs/>
          <w:color w:val="000000"/>
          <w:spacing w:val="-2"/>
        </w:rPr>
        <w:t xml:space="preserve">znaczoną jako „art.” tylko „§” i po nim wskazuje na kolejno numerowane ustępy </w:t>
      </w:r>
      <w:r>
        <w:rPr>
          <w:rFonts w:ascii="Calibri" w:hAnsi="Calibri" w:cs="Calibri"/>
          <w:iCs/>
          <w:color w:val="000000"/>
          <w:spacing w:val="-2"/>
        </w:rPr>
        <w:br/>
        <w:t>w obrębie danego paragrafu. Co prawda naruszenia te nie mają wagi istotnej, nie mniej jednak należy zwrócić uwagę, że jedną z głównych funkcji zasad techniki prawodawczej jest z</w:t>
      </w:r>
      <w:r>
        <w:rPr>
          <w:rFonts w:ascii="Calibri" w:hAnsi="Calibri" w:cs="Calibri"/>
          <w:iCs/>
          <w:color w:val="000000"/>
          <w:spacing w:val="-2"/>
        </w:rPr>
        <w:t xml:space="preserve">apewnienie spójności </w:t>
      </w:r>
      <w:r>
        <w:rPr>
          <w:rFonts w:ascii="Calibri" w:hAnsi="Calibri" w:cs="Calibri"/>
          <w:iCs/>
          <w:color w:val="000000"/>
          <w:spacing w:val="-2"/>
        </w:rPr>
        <w:br/>
        <w:t>i kompletności systemu prawa oraz przejrzystości tekstów aktów normatywnych.</w:t>
      </w:r>
    </w:p>
    <w:p w:rsidR="00E31C1A" w:rsidRDefault="003533DA" w:rsidP="00C922D9">
      <w:pPr>
        <w:spacing w:before="120" w:line="360" w:lineRule="auto"/>
        <w:ind w:firstLine="708"/>
        <w:jc w:val="both"/>
        <w:rPr>
          <w:rFonts w:ascii="Calibri" w:hAnsi="Calibri" w:cs="Calibri"/>
          <w:color w:val="000000"/>
          <w:spacing w:val="-2"/>
        </w:rPr>
      </w:pPr>
      <w:r w:rsidRPr="0016552E">
        <w:rPr>
          <w:rFonts w:ascii="Calibri" w:hAnsi="Calibri" w:cs="Calibri"/>
          <w:color w:val="000000"/>
          <w:spacing w:val="-2"/>
        </w:rPr>
        <w:t xml:space="preserve">Mając powyższe na uwadze, </w:t>
      </w:r>
      <w:r>
        <w:rPr>
          <w:rFonts w:ascii="Calibri" w:hAnsi="Calibri" w:cs="Calibri"/>
          <w:color w:val="000000"/>
          <w:spacing w:val="-2"/>
        </w:rPr>
        <w:t xml:space="preserve">w ocenie organu nadzoru, </w:t>
      </w:r>
      <w:r w:rsidRPr="0016552E">
        <w:rPr>
          <w:rFonts w:ascii="Calibri" w:hAnsi="Calibri" w:cs="Calibri"/>
          <w:color w:val="000000"/>
          <w:spacing w:val="-2"/>
        </w:rPr>
        <w:t xml:space="preserve">stwierdzenie nieważności wskazanej powyżej uchwały Rady Gminy </w:t>
      </w:r>
      <w:r>
        <w:rPr>
          <w:rFonts w:ascii="Calibri" w:hAnsi="Calibri" w:cs="Calibri"/>
          <w:color w:val="000000"/>
          <w:spacing w:val="-2"/>
        </w:rPr>
        <w:t>Korytnica</w:t>
      </w:r>
      <w:r w:rsidRPr="0016552E">
        <w:rPr>
          <w:rFonts w:ascii="Calibri" w:hAnsi="Calibri" w:cs="Calibri"/>
          <w:color w:val="000000"/>
          <w:spacing w:val="-2"/>
        </w:rPr>
        <w:t xml:space="preserve"> w całości jako istotnie naruszającej prawo, należy uznać za uzasadnione i konieczne.</w:t>
      </w:r>
    </w:p>
    <w:p w:rsidR="00C922D9" w:rsidRDefault="003533DA" w:rsidP="00C922D9">
      <w:pPr>
        <w:suppressAutoHyphens/>
        <w:spacing w:before="120" w:line="360" w:lineRule="auto"/>
        <w:ind w:firstLine="708"/>
        <w:jc w:val="both"/>
        <w:rPr>
          <w:rFonts w:asciiTheme="minorHAnsi" w:hAnsiTheme="minorHAnsi" w:cstheme="minorHAnsi"/>
          <w:color w:val="000000"/>
        </w:rPr>
      </w:pPr>
      <w:r w:rsidRPr="002F19D5">
        <w:rPr>
          <w:rFonts w:asciiTheme="minorHAnsi" w:hAnsiTheme="minorHAnsi" w:cstheme="minorHAnsi"/>
          <w:color w:val="000000"/>
        </w:rPr>
        <w:t xml:space="preserve">Gminie, </w:t>
      </w:r>
      <w:r>
        <w:rPr>
          <w:rFonts w:asciiTheme="minorHAnsi" w:hAnsiTheme="minorHAnsi" w:cstheme="minorHAnsi"/>
          <w:color w:val="000000"/>
        </w:rPr>
        <w:t>na podstawie</w:t>
      </w:r>
      <w:r w:rsidRPr="002F19D5">
        <w:rPr>
          <w:rFonts w:asciiTheme="minorHAnsi" w:hAnsiTheme="minorHAnsi" w:cstheme="minorHAnsi"/>
          <w:color w:val="000000"/>
        </w:rPr>
        <w:t xml:space="preserve"> art. 98 ust. 1 ustawy o samorządzie gminnym, służy skarga do Wojewódzkiego Sądu Administracyjnego w Warszawie</w:t>
      </w:r>
      <w:r>
        <w:rPr>
          <w:rFonts w:asciiTheme="minorHAnsi" w:hAnsiTheme="minorHAnsi" w:cstheme="minorHAnsi"/>
          <w:color w:val="000000"/>
        </w:rPr>
        <w:t>,</w:t>
      </w:r>
      <w:r w:rsidRPr="002F19D5">
        <w:rPr>
          <w:rFonts w:asciiTheme="minorHAnsi" w:hAnsiTheme="minorHAnsi" w:cstheme="minorHAnsi"/>
          <w:color w:val="000000"/>
        </w:rPr>
        <w:t xml:space="preserve"> w terminie 30 dni od dnia doręczenia r</w:t>
      </w:r>
      <w:r w:rsidRPr="002F19D5">
        <w:rPr>
          <w:rFonts w:asciiTheme="minorHAnsi" w:hAnsiTheme="minorHAnsi" w:cstheme="minorHAnsi"/>
          <w:color w:val="000000"/>
        </w:rPr>
        <w:t>ozstrzygnięcia nadzorczego</w:t>
      </w:r>
      <w:r>
        <w:rPr>
          <w:rFonts w:asciiTheme="minorHAnsi" w:hAnsiTheme="minorHAnsi" w:cstheme="minorHAnsi"/>
          <w:color w:val="000000"/>
        </w:rPr>
        <w:t>,</w:t>
      </w:r>
      <w:r w:rsidRPr="002F19D5">
        <w:rPr>
          <w:rFonts w:asciiTheme="minorHAnsi" w:hAnsiTheme="minorHAnsi" w:cstheme="minorHAnsi"/>
          <w:color w:val="000000"/>
        </w:rPr>
        <w:t xml:space="preserve"> wnoszona za pośrednictwem organu, który skarżone orzeczenie wydał.</w:t>
      </w:r>
    </w:p>
    <w:p w:rsidR="00C922D9" w:rsidRPr="002F19D5" w:rsidRDefault="003533DA" w:rsidP="00C922D9">
      <w:pPr>
        <w:suppressAutoHyphens/>
        <w:spacing w:before="120" w:line="360" w:lineRule="auto"/>
        <w:ind w:firstLine="708"/>
        <w:jc w:val="both"/>
        <w:rPr>
          <w:rFonts w:asciiTheme="minorHAnsi" w:hAnsiTheme="minorHAnsi" w:cstheme="minorHAnsi"/>
          <w:color w:val="000000"/>
        </w:rPr>
      </w:pPr>
      <w:r>
        <w:rPr>
          <w:rFonts w:asciiTheme="minorHAnsi" w:hAnsiTheme="minorHAnsi" w:cstheme="minorHAnsi"/>
          <w:color w:val="000000"/>
        </w:rPr>
        <w:lastRenderedPageBreak/>
        <w:t>R</w:t>
      </w:r>
      <w:r w:rsidRPr="002F19D5">
        <w:rPr>
          <w:rFonts w:asciiTheme="minorHAnsi" w:hAnsiTheme="minorHAnsi" w:cstheme="minorHAnsi"/>
          <w:color w:val="000000"/>
        </w:rPr>
        <w:t>ozstrzygnięci</w:t>
      </w:r>
      <w:r>
        <w:rPr>
          <w:rFonts w:asciiTheme="minorHAnsi" w:hAnsiTheme="minorHAnsi" w:cstheme="minorHAnsi"/>
          <w:color w:val="000000"/>
        </w:rPr>
        <w:t>e</w:t>
      </w:r>
      <w:r w:rsidRPr="002F19D5">
        <w:rPr>
          <w:rFonts w:asciiTheme="minorHAnsi" w:hAnsiTheme="minorHAnsi" w:cstheme="minorHAnsi"/>
          <w:color w:val="000000"/>
        </w:rPr>
        <w:t xml:space="preserve"> nadzorcze</w:t>
      </w:r>
      <w:r>
        <w:rPr>
          <w:rFonts w:asciiTheme="minorHAnsi" w:hAnsiTheme="minorHAnsi" w:cstheme="minorHAnsi"/>
          <w:color w:val="000000"/>
        </w:rPr>
        <w:t>, z</w:t>
      </w:r>
      <w:r w:rsidRPr="002F19D5">
        <w:rPr>
          <w:rFonts w:asciiTheme="minorHAnsi" w:hAnsiTheme="minorHAnsi" w:cstheme="minorHAnsi"/>
          <w:color w:val="000000"/>
        </w:rPr>
        <w:t xml:space="preserve"> mocy art. 92 ust. 1 ustawy o samorządzie gminnym</w:t>
      </w:r>
      <w:r>
        <w:rPr>
          <w:rFonts w:asciiTheme="minorHAnsi" w:hAnsiTheme="minorHAnsi" w:cstheme="minorHAnsi"/>
          <w:color w:val="000000"/>
        </w:rPr>
        <w:t>,</w:t>
      </w:r>
      <w:r w:rsidRPr="002F19D5">
        <w:rPr>
          <w:rFonts w:asciiTheme="minorHAnsi" w:hAnsiTheme="minorHAnsi" w:cstheme="minorHAnsi"/>
          <w:color w:val="000000"/>
        </w:rPr>
        <w:t xml:space="preserve"> skutkuje wstrzymaniem wykonania</w:t>
      </w:r>
      <w:r>
        <w:rPr>
          <w:rFonts w:asciiTheme="minorHAnsi" w:hAnsiTheme="minorHAnsi" w:cstheme="minorHAnsi"/>
          <w:color w:val="000000"/>
        </w:rPr>
        <w:t xml:space="preserve"> uchwały</w:t>
      </w:r>
      <w:r w:rsidRPr="00C922D9">
        <w:rPr>
          <w:rFonts w:asciiTheme="minorHAnsi" w:hAnsiTheme="minorHAnsi" w:cstheme="minorHAnsi"/>
          <w:color w:val="000000"/>
        </w:rPr>
        <w:t xml:space="preserve"> </w:t>
      </w:r>
      <w:r w:rsidRPr="002F19D5">
        <w:rPr>
          <w:rFonts w:asciiTheme="minorHAnsi" w:hAnsiTheme="minorHAnsi" w:cstheme="minorHAnsi"/>
          <w:color w:val="000000"/>
        </w:rPr>
        <w:t>z dniem</w:t>
      </w:r>
      <w:r>
        <w:rPr>
          <w:rFonts w:asciiTheme="minorHAnsi" w:hAnsiTheme="minorHAnsi" w:cstheme="minorHAnsi"/>
          <w:color w:val="000000"/>
        </w:rPr>
        <w:t xml:space="preserve"> jego</w:t>
      </w:r>
      <w:r w:rsidRPr="002F19D5">
        <w:rPr>
          <w:rFonts w:asciiTheme="minorHAnsi" w:hAnsiTheme="minorHAnsi" w:cstheme="minorHAnsi"/>
          <w:color w:val="000000"/>
        </w:rPr>
        <w:t xml:space="preserve"> doręczenia.</w:t>
      </w:r>
    </w:p>
    <w:p w:rsidR="00E31C1A" w:rsidRPr="00C922D9" w:rsidRDefault="003533DA" w:rsidP="00E31C1A">
      <w:pPr>
        <w:spacing w:line="360" w:lineRule="auto"/>
        <w:rPr>
          <w:rFonts w:ascii="Calibri" w:hAnsi="Calibri" w:cs="Calibri"/>
          <w:bCs/>
        </w:rPr>
      </w:pPr>
    </w:p>
    <w:p w:rsidR="004824F3" w:rsidRDefault="003533DA" w:rsidP="004330A8">
      <w:pPr>
        <w:spacing w:before="840" w:line="276" w:lineRule="auto"/>
        <w:ind w:left="3402"/>
        <w:jc w:val="center"/>
        <w:rPr>
          <w:rFonts w:ascii="Calibri" w:hAnsi="Calibri" w:cs="Calibri"/>
        </w:rPr>
      </w:pPr>
    </w:p>
    <w:p w:rsidR="004330A8" w:rsidRDefault="003533DA" w:rsidP="004330A8">
      <w:pPr>
        <w:spacing w:before="120" w:line="276" w:lineRule="auto"/>
        <w:ind w:left="3402"/>
        <w:jc w:val="center"/>
        <w:rPr>
          <w:rFonts w:ascii="Calibri" w:hAnsi="Calibri" w:cs="Calibri"/>
        </w:rPr>
      </w:pPr>
      <w:bookmarkStart w:id="3" w:name="ezdPracownikNazwa"/>
      <w:r>
        <w:rPr>
          <w:rFonts w:ascii="Calibri" w:hAnsi="Calibri" w:cs="Calibri"/>
        </w:rPr>
        <w:t>Konstanty Radzi</w:t>
      </w:r>
      <w:r>
        <w:rPr>
          <w:rFonts w:ascii="Calibri" w:hAnsi="Calibri" w:cs="Calibri"/>
        </w:rPr>
        <w:t>wiłł</w:t>
      </w:r>
      <w:bookmarkEnd w:id="3"/>
    </w:p>
    <w:p w:rsidR="004330A8" w:rsidRDefault="003533DA" w:rsidP="004330A8">
      <w:pPr>
        <w:spacing w:before="120" w:line="276" w:lineRule="auto"/>
        <w:ind w:left="3402"/>
        <w:jc w:val="center"/>
        <w:rPr>
          <w:rFonts w:ascii="Calibri" w:hAnsi="Calibri" w:cs="Calibri"/>
        </w:rPr>
      </w:pPr>
      <w:bookmarkStart w:id="4" w:name="ezdPracownikStanowisko"/>
      <w:r>
        <w:rPr>
          <w:rFonts w:ascii="Calibri" w:hAnsi="Calibri" w:cs="Calibri"/>
        </w:rPr>
        <w:t>Wojewoda Mazowiecki</w:t>
      </w:r>
      <w:bookmarkEnd w:id="4"/>
    </w:p>
    <w:p w:rsidR="00691727" w:rsidRDefault="003533DA" w:rsidP="004330A8">
      <w:pPr>
        <w:spacing w:before="120" w:line="276" w:lineRule="auto"/>
        <w:ind w:left="3402"/>
        <w:jc w:val="center"/>
        <w:rPr>
          <w:rFonts w:ascii="Calibri" w:hAnsi="Calibri" w:cs="Calibri"/>
          <w:sz w:val="22"/>
          <w:szCs w:val="22"/>
        </w:rPr>
      </w:pPr>
      <w:r>
        <w:rPr>
          <w:rFonts w:ascii="Calibri" w:hAnsi="Calibri" w:cs="Calibri"/>
        </w:rPr>
        <w:t>/podpisano bezpiecznym podpisem elektronicznym</w:t>
      </w:r>
    </w:p>
    <w:p w:rsidR="004824F3" w:rsidRPr="00504F2F" w:rsidRDefault="003533DA" w:rsidP="00691727">
      <w:pPr>
        <w:spacing w:line="276" w:lineRule="auto"/>
        <w:ind w:left="3402"/>
        <w:jc w:val="center"/>
        <w:rPr>
          <w:rFonts w:ascii="Calibri" w:hAnsi="Calibri" w:cs="Calibri"/>
        </w:rPr>
      </w:pPr>
      <w:r>
        <w:rPr>
          <w:rFonts w:ascii="Calibri" w:hAnsi="Calibri" w:cs="Calibri"/>
        </w:rPr>
        <w:t>weryfikowanym ważnym kwalifikowanym certyfikatem/</w:t>
      </w:r>
    </w:p>
    <w:sectPr w:rsidR="004824F3" w:rsidRPr="00504F2F" w:rsidSect="003E626C">
      <w:footerReference w:type="default" r:id="rId8"/>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3DA" w:rsidRDefault="003533DA">
      <w:r>
        <w:separator/>
      </w:r>
    </w:p>
  </w:endnote>
  <w:endnote w:type="continuationSeparator" w:id="0">
    <w:p w:rsidR="003533DA" w:rsidRDefault="0035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02462"/>
      <w:docPartObj>
        <w:docPartGallery w:val="Page Numbers (Bottom of Page)"/>
        <w:docPartUnique/>
      </w:docPartObj>
    </w:sdtPr>
    <w:sdtEndPr>
      <w:rPr>
        <w:rFonts w:asciiTheme="minorHAnsi" w:hAnsiTheme="minorHAnsi" w:cstheme="minorHAnsi"/>
        <w:sz w:val="22"/>
        <w:szCs w:val="22"/>
      </w:rPr>
    </w:sdtEndPr>
    <w:sdtContent>
      <w:p w:rsidR="009D2DBE" w:rsidRPr="00C922D9" w:rsidRDefault="003533DA" w:rsidP="00C922D9">
        <w:pPr>
          <w:pStyle w:val="Stopka"/>
          <w:jc w:val="right"/>
          <w:rPr>
            <w:rFonts w:asciiTheme="minorHAnsi" w:hAnsiTheme="minorHAnsi" w:cstheme="minorHAnsi"/>
            <w:sz w:val="22"/>
            <w:szCs w:val="22"/>
          </w:rPr>
        </w:pPr>
        <w:r w:rsidRPr="00C922D9">
          <w:rPr>
            <w:rFonts w:asciiTheme="minorHAnsi" w:hAnsiTheme="minorHAnsi" w:cstheme="minorHAnsi"/>
            <w:sz w:val="22"/>
            <w:szCs w:val="22"/>
          </w:rPr>
          <w:fldChar w:fldCharType="begin"/>
        </w:r>
        <w:r w:rsidRPr="00C922D9">
          <w:rPr>
            <w:rFonts w:asciiTheme="minorHAnsi" w:hAnsiTheme="minorHAnsi" w:cstheme="minorHAnsi"/>
            <w:sz w:val="22"/>
            <w:szCs w:val="22"/>
          </w:rPr>
          <w:instrText>PAGE   \* MERGEFORMAT</w:instrText>
        </w:r>
        <w:r w:rsidRPr="00C922D9">
          <w:rPr>
            <w:rFonts w:asciiTheme="minorHAnsi" w:hAnsiTheme="minorHAnsi" w:cstheme="minorHAnsi"/>
            <w:sz w:val="22"/>
            <w:szCs w:val="22"/>
          </w:rPr>
          <w:fldChar w:fldCharType="separate"/>
        </w:r>
        <w:r>
          <w:rPr>
            <w:rFonts w:asciiTheme="minorHAnsi" w:hAnsiTheme="minorHAnsi" w:cstheme="minorHAnsi"/>
            <w:noProof/>
            <w:sz w:val="22"/>
            <w:szCs w:val="22"/>
          </w:rPr>
          <w:t>5</w:t>
        </w:r>
        <w:r w:rsidRPr="00C922D9">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3DA" w:rsidRDefault="003533DA">
      <w:r>
        <w:separator/>
      </w:r>
    </w:p>
  </w:footnote>
  <w:footnote w:type="continuationSeparator" w:id="0">
    <w:p w:rsidR="003533DA" w:rsidRDefault="00353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F3"/>
    <w:rsid w:val="003533DA"/>
    <w:rsid w:val="00626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893AAC-83E2-4061-B9AE-664AAFFC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D757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691727"/>
    <w:rPr>
      <w:rFonts w:ascii="Segoe UI" w:hAnsi="Segoe UI" w:cs="Segoe UI"/>
      <w:sz w:val="18"/>
      <w:szCs w:val="18"/>
    </w:rPr>
  </w:style>
  <w:style w:type="character" w:customStyle="1" w:styleId="TekstdymkaZnak">
    <w:name w:val="Tekst dymka Znak"/>
    <w:basedOn w:val="Domylnaczcionkaakapitu"/>
    <w:link w:val="Tekstdymka"/>
    <w:rsid w:val="00691727"/>
    <w:rPr>
      <w:rFonts w:ascii="Segoe UI" w:hAnsi="Segoe UI" w:cs="Segoe UI"/>
      <w:sz w:val="18"/>
      <w:szCs w:val="18"/>
    </w:rPr>
  </w:style>
  <w:style w:type="paragraph" w:styleId="Nagwek">
    <w:name w:val="header"/>
    <w:basedOn w:val="Normalny"/>
    <w:link w:val="NagwekZnak"/>
    <w:rsid w:val="009D2DBE"/>
    <w:pPr>
      <w:tabs>
        <w:tab w:val="center" w:pos="4536"/>
        <w:tab w:val="right" w:pos="9072"/>
      </w:tabs>
    </w:pPr>
  </w:style>
  <w:style w:type="character" w:customStyle="1" w:styleId="NagwekZnak">
    <w:name w:val="Nagłówek Znak"/>
    <w:basedOn w:val="Domylnaczcionkaakapitu"/>
    <w:link w:val="Nagwek"/>
    <w:rsid w:val="009D2DBE"/>
    <w:rPr>
      <w:sz w:val="24"/>
      <w:szCs w:val="24"/>
    </w:rPr>
  </w:style>
  <w:style w:type="paragraph" w:styleId="Stopka">
    <w:name w:val="footer"/>
    <w:basedOn w:val="Normalny"/>
    <w:link w:val="StopkaZnak"/>
    <w:uiPriority w:val="99"/>
    <w:rsid w:val="009D2DBE"/>
    <w:pPr>
      <w:tabs>
        <w:tab w:val="center" w:pos="4536"/>
        <w:tab w:val="right" w:pos="9072"/>
      </w:tabs>
    </w:pPr>
  </w:style>
  <w:style w:type="character" w:customStyle="1" w:styleId="StopkaZnak">
    <w:name w:val="Stopka Znak"/>
    <w:basedOn w:val="Domylnaczcionkaakapitu"/>
    <w:link w:val="Stopka"/>
    <w:uiPriority w:val="99"/>
    <w:rsid w:val="009D2D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F588E-6E9E-4679-9EFE-B1D5D0CE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10973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Wojewoda - pismo zewn. podpis elektroniczny</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Wojewoda - pismo zewn. podpis elektroniczny</dc:title>
  <dc:creator>kkili</dc:creator>
  <cp:lastModifiedBy>Beata Darnowska</cp:lastModifiedBy>
  <cp:revision>2</cp:revision>
  <cp:lastPrinted>2021-11-19T14:18:00Z</cp:lastPrinted>
  <dcterms:created xsi:type="dcterms:W3CDTF">2022-02-09T13:09:00Z</dcterms:created>
  <dcterms:modified xsi:type="dcterms:W3CDTF">2022-02-09T13:09:00Z</dcterms:modified>
</cp:coreProperties>
</file>