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7F6" w:rsidRPr="00E878C1" w:rsidRDefault="00AA37F6" w:rsidP="00AA37F6">
      <w:pPr>
        <w:tabs>
          <w:tab w:val="center" w:pos="4896"/>
          <w:tab w:val="right" w:pos="9432"/>
        </w:tabs>
        <w:spacing w:line="276" w:lineRule="auto"/>
        <w:jc w:val="center"/>
        <w:rPr>
          <w:rFonts w:ascii="Verdana" w:hAnsi="Verdana"/>
          <w:b/>
          <w:w w:val="90"/>
          <w:sz w:val="22"/>
          <w:szCs w:val="22"/>
        </w:rPr>
      </w:pPr>
      <w:bookmarkStart w:id="0" w:name="_GoBack"/>
      <w:bookmarkEnd w:id="0"/>
      <w:r w:rsidRPr="00E878C1">
        <w:rPr>
          <w:rFonts w:ascii="Verdana" w:hAnsi="Verdana"/>
          <w:b/>
          <w:w w:val="90"/>
          <w:sz w:val="22"/>
          <w:szCs w:val="22"/>
        </w:rPr>
        <w:t>OPIS PRZEDMIOTU ZAMÓWIENIA</w:t>
      </w:r>
    </w:p>
    <w:p w:rsidR="00AA37F6" w:rsidRPr="00E878C1" w:rsidRDefault="00AA37F6" w:rsidP="00AA37F6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2"/>
          <w:szCs w:val="22"/>
        </w:rPr>
      </w:pPr>
    </w:p>
    <w:p w:rsidR="00AA37F6" w:rsidRPr="00E878C1" w:rsidRDefault="00AA37F6" w:rsidP="00AA37F6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2"/>
          <w:szCs w:val="22"/>
        </w:rPr>
      </w:pPr>
    </w:p>
    <w:p w:rsidR="00AA37F6" w:rsidRPr="00861903" w:rsidRDefault="00AA37F6" w:rsidP="00861903">
      <w:pPr>
        <w:pStyle w:val="Akapitzlist"/>
        <w:numPr>
          <w:ilvl w:val="0"/>
          <w:numId w:val="10"/>
        </w:numPr>
        <w:tabs>
          <w:tab w:val="center" w:pos="4896"/>
          <w:tab w:val="right" w:pos="9432"/>
        </w:tabs>
        <w:spacing w:line="276" w:lineRule="auto"/>
        <w:ind w:left="0" w:hanging="284"/>
        <w:jc w:val="both"/>
        <w:rPr>
          <w:rFonts w:ascii="Verdana" w:hAnsi="Verdana"/>
          <w:w w:val="90"/>
          <w:sz w:val="22"/>
          <w:szCs w:val="22"/>
        </w:rPr>
      </w:pPr>
      <w:r w:rsidRPr="00861903">
        <w:rPr>
          <w:rFonts w:ascii="Verdana" w:hAnsi="Verdana"/>
          <w:w w:val="90"/>
          <w:sz w:val="22"/>
          <w:szCs w:val="22"/>
        </w:rPr>
        <w:t>Przedmiotem zamówienia jest:</w:t>
      </w:r>
    </w:p>
    <w:p w:rsidR="00AA37F6" w:rsidRPr="00E878C1" w:rsidRDefault="00AA37F6" w:rsidP="00861903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</w:p>
    <w:p w:rsidR="0033209B" w:rsidRPr="0033209B" w:rsidRDefault="0033209B" w:rsidP="0033209B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33209B">
        <w:rPr>
          <w:rFonts w:ascii="Verdana" w:hAnsi="Verdana"/>
          <w:b/>
          <w:w w:val="90"/>
          <w:sz w:val="20"/>
          <w:szCs w:val="20"/>
        </w:rPr>
        <w:t>„Wykonanie opisów topograficznych punktów referencyjnych na terenie GDDKiA Oddział Kielce z podziałem na części:</w:t>
      </w:r>
    </w:p>
    <w:p w:rsidR="0033209B" w:rsidRPr="0033209B" w:rsidRDefault="0033209B" w:rsidP="0033209B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33209B">
        <w:rPr>
          <w:rFonts w:ascii="Verdana" w:hAnsi="Verdana"/>
          <w:b/>
          <w:w w:val="90"/>
          <w:sz w:val="20"/>
          <w:szCs w:val="20"/>
        </w:rPr>
        <w:t>Część 1 Rejon Busko-Zdrój</w:t>
      </w:r>
    </w:p>
    <w:p w:rsidR="0033209B" w:rsidRPr="0033209B" w:rsidRDefault="0033209B" w:rsidP="0033209B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33209B">
        <w:rPr>
          <w:rFonts w:ascii="Verdana" w:hAnsi="Verdana"/>
          <w:b/>
          <w:w w:val="90"/>
          <w:sz w:val="20"/>
          <w:szCs w:val="20"/>
        </w:rPr>
        <w:t>Część 2 Rejon Jędrzejów</w:t>
      </w:r>
    </w:p>
    <w:p w:rsidR="0033209B" w:rsidRPr="0033209B" w:rsidRDefault="0033209B" w:rsidP="0033209B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33209B">
        <w:rPr>
          <w:rFonts w:ascii="Verdana" w:hAnsi="Verdana"/>
          <w:b/>
          <w:w w:val="90"/>
          <w:sz w:val="20"/>
          <w:szCs w:val="20"/>
        </w:rPr>
        <w:t>Część 3 Rejon Kielce</w:t>
      </w:r>
    </w:p>
    <w:p w:rsidR="0033209B" w:rsidRPr="0033209B" w:rsidRDefault="0033209B" w:rsidP="0033209B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33209B">
        <w:rPr>
          <w:rFonts w:ascii="Verdana" w:hAnsi="Verdana"/>
          <w:b/>
          <w:w w:val="90"/>
          <w:sz w:val="20"/>
          <w:szCs w:val="20"/>
        </w:rPr>
        <w:t>Część 4 Rejon Opatów</w:t>
      </w:r>
    </w:p>
    <w:p w:rsidR="00AA37F6" w:rsidRDefault="0033209B" w:rsidP="0033209B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33209B">
        <w:rPr>
          <w:rFonts w:ascii="Verdana" w:hAnsi="Verdana"/>
          <w:b/>
          <w:w w:val="90"/>
          <w:sz w:val="20"/>
          <w:szCs w:val="20"/>
        </w:rPr>
        <w:t>Część</w:t>
      </w:r>
      <w:r>
        <w:rPr>
          <w:rFonts w:ascii="Verdana" w:hAnsi="Verdana"/>
          <w:b/>
          <w:w w:val="90"/>
          <w:sz w:val="20"/>
          <w:szCs w:val="20"/>
        </w:rPr>
        <w:t xml:space="preserve"> 5 Rejon Starachowice”</w:t>
      </w:r>
      <w:r w:rsidR="00067666">
        <w:rPr>
          <w:rFonts w:ascii="Verdana" w:hAnsi="Verdana"/>
          <w:b/>
          <w:w w:val="90"/>
          <w:sz w:val="20"/>
          <w:szCs w:val="20"/>
        </w:rPr>
        <w:t>.</w:t>
      </w:r>
    </w:p>
    <w:p w:rsidR="0033209B" w:rsidRPr="00E878C1" w:rsidRDefault="0033209B" w:rsidP="0033209B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2"/>
          <w:szCs w:val="22"/>
        </w:rPr>
      </w:pPr>
    </w:p>
    <w:p w:rsidR="00CD0FCC" w:rsidRDefault="007F58BB" w:rsidP="00861903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Opisy topograficzne</w:t>
      </w:r>
      <w:r w:rsidR="00624A1D">
        <w:rPr>
          <w:rFonts w:ascii="Verdana" w:hAnsi="Verdana"/>
          <w:sz w:val="22"/>
          <w:szCs w:val="22"/>
        </w:rPr>
        <w:t xml:space="preserve"> punktów referencyjnych </w:t>
      </w:r>
      <w:r w:rsidR="00452036">
        <w:rPr>
          <w:rFonts w:ascii="Verdana" w:hAnsi="Verdana"/>
          <w:sz w:val="22"/>
          <w:szCs w:val="22"/>
        </w:rPr>
        <w:t xml:space="preserve">należy wykonać </w:t>
      </w:r>
      <w:r>
        <w:rPr>
          <w:rFonts w:ascii="Verdana" w:hAnsi="Verdana"/>
          <w:sz w:val="22"/>
          <w:szCs w:val="22"/>
        </w:rPr>
        <w:t>zgodnie z  wymaganiami Zarządzenia Nr 44</w:t>
      </w:r>
      <w:r w:rsidR="00593E72">
        <w:rPr>
          <w:rFonts w:ascii="Verdana" w:hAnsi="Verdana"/>
          <w:sz w:val="22"/>
          <w:szCs w:val="22"/>
        </w:rPr>
        <w:t xml:space="preserve"> Generalnego Dyrektora Dr</w:t>
      </w:r>
      <w:r>
        <w:rPr>
          <w:rFonts w:ascii="Verdana" w:hAnsi="Verdana"/>
          <w:sz w:val="22"/>
          <w:szCs w:val="22"/>
        </w:rPr>
        <w:t>óg Krajowych i Autostrad z dn. 22 października 2020</w:t>
      </w:r>
      <w:r w:rsidR="00593E72">
        <w:rPr>
          <w:rFonts w:ascii="Verdana" w:hAnsi="Verdana"/>
          <w:sz w:val="22"/>
          <w:szCs w:val="22"/>
        </w:rPr>
        <w:t>r.</w:t>
      </w:r>
      <w:r w:rsidR="00861903">
        <w:rPr>
          <w:rFonts w:ascii="Verdana" w:hAnsi="Verdana"/>
          <w:sz w:val="22"/>
          <w:szCs w:val="22"/>
        </w:rPr>
        <w:t xml:space="preserve"> które stanowi załącznik do niniejszego OPZ</w:t>
      </w:r>
      <w:r w:rsidR="00CD0FCC" w:rsidRPr="00E878C1">
        <w:rPr>
          <w:rFonts w:ascii="Verdana" w:hAnsi="Verdana"/>
          <w:sz w:val="22"/>
          <w:szCs w:val="22"/>
        </w:rPr>
        <w:t>.</w:t>
      </w:r>
    </w:p>
    <w:p w:rsidR="0014438E" w:rsidRDefault="00E85209" w:rsidP="0014438E">
      <w:pPr>
        <w:tabs>
          <w:tab w:val="center" w:pos="4896"/>
          <w:tab w:val="right" w:pos="9432"/>
        </w:tabs>
        <w:spacing w:line="276" w:lineRule="auto"/>
        <w:ind w:firstLine="360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 xml:space="preserve">Zamawiający udostępni po podpisaniu umowy wykaz wszystkich punktów z numerami </w:t>
      </w:r>
      <w:r>
        <w:rPr>
          <w:rFonts w:ascii="Verdana" w:hAnsi="Verdana"/>
          <w:w w:val="90"/>
          <w:sz w:val="22"/>
          <w:szCs w:val="22"/>
        </w:rPr>
        <w:br/>
        <w:t>i przybliżoną lokalizacją na terenie dla właściwych rejonów odpowiednio do zakresu umowy</w:t>
      </w:r>
      <w:r w:rsidR="0014438E">
        <w:rPr>
          <w:rFonts w:ascii="Verdana" w:hAnsi="Verdana"/>
          <w:w w:val="90"/>
          <w:sz w:val="22"/>
          <w:szCs w:val="22"/>
        </w:rPr>
        <w:t>.</w:t>
      </w:r>
    </w:p>
    <w:p w:rsidR="00AA37F6" w:rsidRPr="00E878C1" w:rsidRDefault="00AA37F6" w:rsidP="00861903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b/>
          <w:w w:val="90"/>
          <w:sz w:val="22"/>
          <w:szCs w:val="22"/>
        </w:rPr>
      </w:pPr>
    </w:p>
    <w:p w:rsidR="00452036" w:rsidRDefault="007F58BB" w:rsidP="00861903">
      <w:pPr>
        <w:pStyle w:val="Akapitzlist"/>
        <w:numPr>
          <w:ilvl w:val="0"/>
          <w:numId w:val="10"/>
        </w:numPr>
        <w:tabs>
          <w:tab w:val="center" w:pos="4896"/>
          <w:tab w:val="right" w:pos="9432"/>
        </w:tabs>
        <w:spacing w:line="276" w:lineRule="auto"/>
        <w:ind w:left="0" w:hanging="284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>Wykonanie opisów topograficznych</w:t>
      </w:r>
      <w:r w:rsidR="00861903" w:rsidRPr="00861903">
        <w:rPr>
          <w:rFonts w:ascii="Verdana" w:hAnsi="Verdana"/>
          <w:w w:val="90"/>
          <w:sz w:val="22"/>
          <w:szCs w:val="22"/>
        </w:rPr>
        <w:t xml:space="preserve"> punktów referencyjnych</w:t>
      </w:r>
      <w:r w:rsidR="00905274">
        <w:rPr>
          <w:rFonts w:ascii="Verdana" w:hAnsi="Verdana"/>
          <w:w w:val="90"/>
          <w:sz w:val="22"/>
          <w:szCs w:val="22"/>
        </w:rPr>
        <w:t xml:space="preserve">  obejmuje opracowanie arkuszy dla każdego z punktów zawierające</w:t>
      </w:r>
      <w:r w:rsidR="00452036" w:rsidRPr="00861903">
        <w:rPr>
          <w:rFonts w:ascii="Verdana" w:hAnsi="Verdana"/>
          <w:w w:val="90"/>
          <w:sz w:val="22"/>
          <w:szCs w:val="22"/>
        </w:rPr>
        <w:t>:</w:t>
      </w:r>
    </w:p>
    <w:p w:rsidR="00861903" w:rsidRPr="00861903" w:rsidRDefault="00861903" w:rsidP="00861903">
      <w:pPr>
        <w:pStyle w:val="Akapitzlist"/>
        <w:tabs>
          <w:tab w:val="center" w:pos="4896"/>
          <w:tab w:val="right" w:pos="9432"/>
        </w:tabs>
        <w:spacing w:line="276" w:lineRule="auto"/>
        <w:ind w:left="0"/>
        <w:jc w:val="both"/>
        <w:rPr>
          <w:rFonts w:ascii="Verdana" w:hAnsi="Verdana"/>
          <w:w w:val="90"/>
          <w:sz w:val="22"/>
          <w:szCs w:val="22"/>
        </w:rPr>
      </w:pPr>
    </w:p>
    <w:p w:rsidR="00905274" w:rsidRPr="00905274" w:rsidRDefault="00905274" w:rsidP="00905274">
      <w:pPr>
        <w:pStyle w:val="PKTpunkt"/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</w:pP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 xml:space="preserve">1) </w:t>
      </w: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ab/>
        <w:t>rysunek pomocniczy przebiegu dróg w obrębie punktu referencyjnego wraz z opisem ich numerów, numerów jezdni i kierunków narastania kilometrażu oraz nazwy ulic;</w:t>
      </w:r>
    </w:p>
    <w:p w:rsidR="00905274" w:rsidRPr="00905274" w:rsidRDefault="00905274" w:rsidP="00905274">
      <w:pPr>
        <w:pStyle w:val="PKTpunkt"/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</w:pP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 xml:space="preserve">2) </w:t>
      </w: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ab/>
        <w:t>kod punktu referencyjnego;</w:t>
      </w:r>
    </w:p>
    <w:p w:rsidR="00905274" w:rsidRPr="00905274" w:rsidRDefault="00905274" w:rsidP="00905274">
      <w:pPr>
        <w:pStyle w:val="PKTpunkt"/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</w:pP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 xml:space="preserve">3) </w:t>
      </w: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ab/>
        <w:t>współrzędne geograficzne i geodezyjne;</w:t>
      </w:r>
    </w:p>
    <w:p w:rsidR="00905274" w:rsidRPr="00905274" w:rsidRDefault="00905274" w:rsidP="00905274">
      <w:pPr>
        <w:pStyle w:val="PKTpunkt"/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</w:pP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 xml:space="preserve">4) </w:t>
      </w: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ab/>
        <w:t>numery dróg krajowych i dróg pozostałych;</w:t>
      </w:r>
    </w:p>
    <w:p w:rsidR="00905274" w:rsidRPr="00905274" w:rsidRDefault="00905274" w:rsidP="00905274">
      <w:pPr>
        <w:pStyle w:val="PKTpunkt"/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</w:pP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 xml:space="preserve">5) </w:t>
      </w: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ab/>
        <w:t>miejsce lokalizacji punktu referencyjnego;</w:t>
      </w:r>
    </w:p>
    <w:p w:rsidR="00905274" w:rsidRPr="00905274" w:rsidRDefault="00905274" w:rsidP="00905274">
      <w:pPr>
        <w:pStyle w:val="PKTpunkt"/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</w:pP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 xml:space="preserve">6) </w:t>
      </w: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ab/>
        <w:t>domiary punktu referencyjnego do punktów stałych w terenie, lokalizację oznaczenia punktu referencyjnego oraz oznakowania pionowego punktu referencyjnego, wskazanie osi dróg oraz wskazanie kierunku północnego, będące elementami szkicu lokalizacyjnego;</w:t>
      </w:r>
    </w:p>
    <w:p w:rsidR="00905274" w:rsidRPr="00905274" w:rsidRDefault="00905274" w:rsidP="00905274">
      <w:pPr>
        <w:pStyle w:val="PKTpunkt"/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</w:pP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 xml:space="preserve">7) </w:t>
      </w: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ab/>
        <w:t>nazwisko autora opisu i datę jego wykonania;</w:t>
      </w:r>
    </w:p>
    <w:p w:rsidR="00905274" w:rsidRPr="00905274" w:rsidRDefault="00905274" w:rsidP="00905274">
      <w:pPr>
        <w:pStyle w:val="PKTpunkt"/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</w:pP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lastRenderedPageBreak/>
        <w:t xml:space="preserve">8) </w:t>
      </w:r>
      <w:r w:rsidRPr="00905274">
        <w:rPr>
          <w:rFonts w:ascii="Verdana" w:eastAsia="Times New Roman" w:hAnsi="Verdana" w:cs="Verdana"/>
          <w:bCs w:val="0"/>
          <w:color w:val="000000"/>
          <w:spacing w:val="4"/>
          <w:w w:val="90"/>
          <w:sz w:val="22"/>
          <w:szCs w:val="22"/>
          <w:lang w:eastAsia="ar-SA"/>
        </w:rPr>
        <w:tab/>
        <w:t>nazwę miejscowości, gminy, województwa i zarządcy drogi.</w:t>
      </w:r>
    </w:p>
    <w:p w:rsidR="006163C6" w:rsidRDefault="00C65E37" w:rsidP="00A47425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 xml:space="preserve">Opracowanie należy wykonać na podstawie pomiarów w terenie. </w:t>
      </w:r>
    </w:p>
    <w:p w:rsidR="006163C6" w:rsidRDefault="006163C6" w:rsidP="00A47425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>Dokładność i zakres opracowania musi spełniać wymagania określone zapisami Zarządzenia nr 44 Generalnego Dyrektora Dróg Krajowych i Autostrad z dnia 22 października 2020r. (w załączeniu)</w:t>
      </w:r>
    </w:p>
    <w:p w:rsidR="00C65E37" w:rsidRDefault="00C65E37" w:rsidP="00A47425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>Prawidłowość pomiarów musi potwierdzić osoba posiadająca uprawnienia geodezyjne</w:t>
      </w:r>
      <w:r w:rsidR="001031A1">
        <w:rPr>
          <w:rFonts w:ascii="Verdana" w:hAnsi="Verdana"/>
          <w:w w:val="90"/>
          <w:sz w:val="22"/>
          <w:szCs w:val="22"/>
        </w:rPr>
        <w:t xml:space="preserve"> zakres 1</w:t>
      </w:r>
      <w:r>
        <w:rPr>
          <w:rFonts w:ascii="Verdana" w:hAnsi="Verdana"/>
          <w:w w:val="90"/>
          <w:sz w:val="22"/>
          <w:szCs w:val="22"/>
        </w:rPr>
        <w:t>.</w:t>
      </w:r>
    </w:p>
    <w:p w:rsidR="00C65E37" w:rsidRDefault="006163C6" w:rsidP="00A47425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>Na W</w:t>
      </w:r>
      <w:r w:rsidR="00C65E37">
        <w:rPr>
          <w:rFonts w:ascii="Verdana" w:hAnsi="Verdana"/>
          <w:w w:val="90"/>
          <w:sz w:val="22"/>
          <w:szCs w:val="22"/>
        </w:rPr>
        <w:t>ykonawcy ciąży obowiązek zapewnienia warunków bezpieczeństwa podczas pomiaru</w:t>
      </w:r>
      <w:r w:rsidR="00A47425">
        <w:rPr>
          <w:rFonts w:ascii="Verdana" w:hAnsi="Verdana"/>
          <w:w w:val="90"/>
          <w:sz w:val="22"/>
          <w:szCs w:val="22"/>
        </w:rPr>
        <w:t>.</w:t>
      </w:r>
    </w:p>
    <w:p w:rsidR="00C65E37" w:rsidRDefault="00C65E37" w:rsidP="00A47425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>Rozpoczęcie robót należy zgłosić na 5 dni przed rozpoczęciem</w:t>
      </w:r>
      <w:r w:rsidR="00A533B4">
        <w:rPr>
          <w:rFonts w:ascii="Verdana" w:hAnsi="Verdana"/>
          <w:w w:val="90"/>
          <w:sz w:val="22"/>
          <w:szCs w:val="22"/>
        </w:rPr>
        <w:t xml:space="preserve"> ze wskazaniem punktów na których wykonywany będzie pomiar</w:t>
      </w:r>
      <w:r>
        <w:rPr>
          <w:rFonts w:ascii="Verdana" w:hAnsi="Verdana"/>
          <w:w w:val="90"/>
          <w:sz w:val="22"/>
          <w:szCs w:val="22"/>
        </w:rPr>
        <w:t>.</w:t>
      </w:r>
    </w:p>
    <w:p w:rsidR="00A47425" w:rsidRDefault="00B47E24" w:rsidP="00A47425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>Opracowanie należy z</w:t>
      </w:r>
      <w:r w:rsidR="00C65E37">
        <w:rPr>
          <w:rFonts w:ascii="Verdana" w:hAnsi="Verdana"/>
          <w:w w:val="90"/>
          <w:sz w:val="22"/>
          <w:szCs w:val="22"/>
        </w:rPr>
        <w:t>realizować i przekazać d</w:t>
      </w:r>
      <w:r w:rsidR="007F67E6">
        <w:rPr>
          <w:rFonts w:ascii="Verdana" w:hAnsi="Verdana"/>
          <w:w w:val="90"/>
          <w:sz w:val="22"/>
          <w:szCs w:val="22"/>
        </w:rPr>
        <w:t>o zamawiającego w terminie trzech</w:t>
      </w:r>
      <w:r w:rsidR="00C65E37">
        <w:rPr>
          <w:rFonts w:ascii="Verdana" w:hAnsi="Verdana"/>
          <w:w w:val="90"/>
          <w:sz w:val="22"/>
          <w:szCs w:val="22"/>
        </w:rPr>
        <w:t xml:space="preserve"> miesięcy </w:t>
      </w:r>
      <w:r w:rsidR="00A47425">
        <w:rPr>
          <w:rFonts w:ascii="Verdana" w:hAnsi="Verdana"/>
          <w:w w:val="90"/>
          <w:sz w:val="22"/>
          <w:szCs w:val="22"/>
        </w:rPr>
        <w:t xml:space="preserve"> </w:t>
      </w:r>
      <w:r w:rsidR="00C65E37">
        <w:rPr>
          <w:rFonts w:ascii="Verdana" w:hAnsi="Verdana"/>
          <w:w w:val="90"/>
          <w:sz w:val="22"/>
          <w:szCs w:val="22"/>
        </w:rPr>
        <w:t>od daty podpisania umowy.</w:t>
      </w:r>
    </w:p>
    <w:p w:rsidR="00D92EB3" w:rsidRDefault="00D92EB3" w:rsidP="00A47425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>Zamawiający dokona odbioru opracowania w terminie 14 dni od daty otrzymania.</w:t>
      </w:r>
    </w:p>
    <w:p w:rsidR="003E69CF" w:rsidRDefault="003E69CF" w:rsidP="00A47425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 xml:space="preserve">Zamawiający może w uzasadnionych przypadkach </w:t>
      </w:r>
      <w:r w:rsidR="00A533B4">
        <w:rPr>
          <w:rFonts w:ascii="Verdana" w:hAnsi="Verdana"/>
          <w:w w:val="90"/>
          <w:sz w:val="22"/>
          <w:szCs w:val="22"/>
        </w:rPr>
        <w:t xml:space="preserve">(zmiana systemu referencyjnego) </w:t>
      </w:r>
      <w:r>
        <w:rPr>
          <w:rFonts w:ascii="Verdana" w:hAnsi="Verdana"/>
          <w:w w:val="90"/>
          <w:sz w:val="22"/>
          <w:szCs w:val="22"/>
        </w:rPr>
        <w:t>podjąć decyzję o  zmniejszeniu lub zwiększeniu ilości punktów</w:t>
      </w:r>
      <w:r w:rsidR="00A533B4">
        <w:rPr>
          <w:rFonts w:ascii="Verdana" w:hAnsi="Verdana"/>
          <w:w w:val="90"/>
          <w:sz w:val="22"/>
          <w:szCs w:val="22"/>
        </w:rPr>
        <w:t xml:space="preserve"> systemu referencyjnego co będzie miało wpływ na ilość realizowanych robót, obmiar oraz rozliczenie powykonawcze. Zmiana ilości punktów może wynosić ±4 szt.</w:t>
      </w:r>
    </w:p>
    <w:p w:rsidR="00A533B4" w:rsidRDefault="00A533B4" w:rsidP="00A47425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lastRenderedPageBreak/>
        <w:t>Informację o korekcie ilości punktów zamawiający może przekazać nie później niż dwa dni przed rozpoczęciem zgłoszonych przez Wykonawcę prac.</w:t>
      </w:r>
    </w:p>
    <w:p w:rsidR="00F828F3" w:rsidRDefault="00F828F3" w:rsidP="00861903">
      <w:pPr>
        <w:tabs>
          <w:tab w:val="center" w:pos="4896"/>
          <w:tab w:val="right" w:pos="9432"/>
        </w:tabs>
        <w:spacing w:line="276" w:lineRule="auto"/>
        <w:ind w:firstLine="851"/>
        <w:jc w:val="both"/>
        <w:rPr>
          <w:rFonts w:ascii="Verdana" w:hAnsi="Verdana"/>
          <w:w w:val="90"/>
          <w:sz w:val="22"/>
          <w:szCs w:val="22"/>
        </w:rPr>
      </w:pPr>
      <w:r>
        <w:rPr>
          <w:rFonts w:ascii="Verdana" w:hAnsi="Verdana"/>
          <w:w w:val="90"/>
          <w:sz w:val="22"/>
          <w:szCs w:val="22"/>
        </w:rPr>
        <w:tab/>
      </w:r>
    </w:p>
    <w:p w:rsidR="00911390" w:rsidRDefault="00911390" w:rsidP="0010069A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</w:p>
    <w:p w:rsidR="00911390" w:rsidRPr="00452036" w:rsidRDefault="00911390" w:rsidP="0010069A">
      <w:pPr>
        <w:tabs>
          <w:tab w:val="center" w:pos="4896"/>
          <w:tab w:val="right" w:pos="9432"/>
        </w:tabs>
        <w:spacing w:line="276" w:lineRule="auto"/>
        <w:jc w:val="both"/>
        <w:rPr>
          <w:rFonts w:ascii="Verdana" w:hAnsi="Verdana"/>
          <w:w w:val="90"/>
          <w:sz w:val="22"/>
          <w:szCs w:val="22"/>
        </w:rPr>
      </w:pPr>
    </w:p>
    <w:sectPr w:rsidR="00911390" w:rsidRPr="00452036" w:rsidSect="00C82E5D">
      <w:footerReference w:type="default" r:id="rId7"/>
      <w:footnotePr>
        <w:pos w:val="beneathText"/>
      </w:footnotePr>
      <w:pgSz w:w="11905" w:h="16837"/>
      <w:pgMar w:top="851" w:right="1134" w:bottom="1560" w:left="1418" w:header="708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0AB" w:rsidRDefault="003E10AB" w:rsidP="008D3071">
      <w:r>
        <w:separator/>
      </w:r>
    </w:p>
  </w:endnote>
  <w:endnote w:type="continuationSeparator" w:id="0">
    <w:p w:rsidR="003E10AB" w:rsidRDefault="003E10AB" w:rsidP="008D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615" w:rsidRDefault="00390F06">
    <w:pPr>
      <w:pStyle w:val="Stopka"/>
      <w:jc w:val="right"/>
      <w:rPr>
        <w:sz w:val="22"/>
      </w:rPr>
    </w:pPr>
    <w:r>
      <w:fldChar w:fldCharType="begin"/>
    </w:r>
    <w:r w:rsidR="00670615">
      <w:instrText xml:space="preserve"> PAGE \*ARABIC </w:instrText>
    </w:r>
    <w:r>
      <w:fldChar w:fldCharType="separate"/>
    </w:r>
    <w:r w:rsidR="00AF6FAF">
      <w:rPr>
        <w:noProof/>
      </w:rPr>
      <w:t>2</w:t>
    </w:r>
    <w:r>
      <w:fldChar w:fldCharType="end"/>
    </w:r>
  </w:p>
  <w:p w:rsidR="00670615" w:rsidRDefault="00670615">
    <w:pPr>
      <w:pStyle w:val="Stopka"/>
      <w:tabs>
        <w:tab w:val="clear" w:pos="4536"/>
        <w:tab w:val="clear" w:pos="9072"/>
        <w:tab w:val="center" w:pos="4896"/>
        <w:tab w:val="right" w:pos="9432"/>
      </w:tabs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0AB" w:rsidRDefault="003E10AB" w:rsidP="008D3071">
      <w:r>
        <w:separator/>
      </w:r>
    </w:p>
  </w:footnote>
  <w:footnote w:type="continuationSeparator" w:id="0">
    <w:p w:rsidR="003E10AB" w:rsidRDefault="003E10AB" w:rsidP="008D30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0B4A"/>
    <w:multiLevelType w:val="hybridMultilevel"/>
    <w:tmpl w:val="CC2C3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65B5A"/>
    <w:multiLevelType w:val="singleLevel"/>
    <w:tmpl w:val="80F48B5E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2" w15:restartNumberingAfterBreak="0">
    <w:nsid w:val="39B64953"/>
    <w:multiLevelType w:val="hybridMultilevel"/>
    <w:tmpl w:val="836C5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65426"/>
    <w:multiLevelType w:val="hybridMultilevel"/>
    <w:tmpl w:val="7F568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6782A"/>
    <w:multiLevelType w:val="hybridMultilevel"/>
    <w:tmpl w:val="5F6AD97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4B9432F4"/>
    <w:multiLevelType w:val="hybridMultilevel"/>
    <w:tmpl w:val="01C652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377554"/>
    <w:multiLevelType w:val="hybridMultilevel"/>
    <w:tmpl w:val="CFE4EC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06669"/>
    <w:multiLevelType w:val="hybridMultilevel"/>
    <w:tmpl w:val="48C4F1C2"/>
    <w:lvl w:ilvl="0" w:tplc="4C98C79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A7569"/>
    <w:multiLevelType w:val="hybridMultilevel"/>
    <w:tmpl w:val="93E2D14E"/>
    <w:lvl w:ilvl="0" w:tplc="073AA8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852216"/>
    <w:multiLevelType w:val="hybridMultilevel"/>
    <w:tmpl w:val="C8BEAA52"/>
    <w:lvl w:ilvl="0" w:tplc="D804D3E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7F6"/>
    <w:rsid w:val="000000A8"/>
    <w:rsid w:val="00011E5F"/>
    <w:rsid w:val="00053534"/>
    <w:rsid w:val="00067666"/>
    <w:rsid w:val="00095B88"/>
    <w:rsid w:val="00096FBD"/>
    <w:rsid w:val="000A38FA"/>
    <w:rsid w:val="000C2A14"/>
    <w:rsid w:val="000D64A6"/>
    <w:rsid w:val="000F4C01"/>
    <w:rsid w:val="0010069A"/>
    <w:rsid w:val="001031A1"/>
    <w:rsid w:val="0013588C"/>
    <w:rsid w:val="0014438E"/>
    <w:rsid w:val="001468B0"/>
    <w:rsid w:val="00190F4A"/>
    <w:rsid w:val="001A1D03"/>
    <w:rsid w:val="001C058A"/>
    <w:rsid w:val="001E3E88"/>
    <w:rsid w:val="00245FDB"/>
    <w:rsid w:val="00273BFE"/>
    <w:rsid w:val="002A4D12"/>
    <w:rsid w:val="002F2A91"/>
    <w:rsid w:val="002F530A"/>
    <w:rsid w:val="002F6C6B"/>
    <w:rsid w:val="00304A19"/>
    <w:rsid w:val="003103BE"/>
    <w:rsid w:val="0033209B"/>
    <w:rsid w:val="00336C5D"/>
    <w:rsid w:val="003444EF"/>
    <w:rsid w:val="003544EF"/>
    <w:rsid w:val="00383A4E"/>
    <w:rsid w:val="00390F06"/>
    <w:rsid w:val="003B3CF4"/>
    <w:rsid w:val="003C2726"/>
    <w:rsid w:val="003C4CBF"/>
    <w:rsid w:val="003C6059"/>
    <w:rsid w:val="003E10AB"/>
    <w:rsid w:val="003E69CF"/>
    <w:rsid w:val="003F0CF7"/>
    <w:rsid w:val="003F1307"/>
    <w:rsid w:val="003F56BC"/>
    <w:rsid w:val="00412D83"/>
    <w:rsid w:val="00423BE6"/>
    <w:rsid w:val="0044038F"/>
    <w:rsid w:val="00452036"/>
    <w:rsid w:val="00461E5A"/>
    <w:rsid w:val="00476139"/>
    <w:rsid w:val="00487D65"/>
    <w:rsid w:val="00492DB4"/>
    <w:rsid w:val="00494B66"/>
    <w:rsid w:val="004A699D"/>
    <w:rsid w:val="004C0EC5"/>
    <w:rsid w:val="004E4E68"/>
    <w:rsid w:val="00520B9C"/>
    <w:rsid w:val="00534AE1"/>
    <w:rsid w:val="0059076A"/>
    <w:rsid w:val="005923A7"/>
    <w:rsid w:val="00593E72"/>
    <w:rsid w:val="005D66BB"/>
    <w:rsid w:val="005E2EE9"/>
    <w:rsid w:val="005F0F56"/>
    <w:rsid w:val="005F3A09"/>
    <w:rsid w:val="006163C6"/>
    <w:rsid w:val="0062189A"/>
    <w:rsid w:val="00624A1D"/>
    <w:rsid w:val="0064286A"/>
    <w:rsid w:val="00645B83"/>
    <w:rsid w:val="00646E06"/>
    <w:rsid w:val="006502CC"/>
    <w:rsid w:val="006522A9"/>
    <w:rsid w:val="00660508"/>
    <w:rsid w:val="00666664"/>
    <w:rsid w:val="00670615"/>
    <w:rsid w:val="00675CF4"/>
    <w:rsid w:val="00677EA2"/>
    <w:rsid w:val="006873C5"/>
    <w:rsid w:val="006A3B0D"/>
    <w:rsid w:val="006B50AE"/>
    <w:rsid w:val="006F2A3A"/>
    <w:rsid w:val="006F46F4"/>
    <w:rsid w:val="007129EB"/>
    <w:rsid w:val="007239B9"/>
    <w:rsid w:val="00733A3A"/>
    <w:rsid w:val="0074044B"/>
    <w:rsid w:val="00750B26"/>
    <w:rsid w:val="00756BF2"/>
    <w:rsid w:val="00760165"/>
    <w:rsid w:val="007B3F74"/>
    <w:rsid w:val="007B705C"/>
    <w:rsid w:val="007C2578"/>
    <w:rsid w:val="007F58BB"/>
    <w:rsid w:val="007F67E6"/>
    <w:rsid w:val="0082336F"/>
    <w:rsid w:val="00835A2B"/>
    <w:rsid w:val="00861903"/>
    <w:rsid w:val="00871A5F"/>
    <w:rsid w:val="00872B35"/>
    <w:rsid w:val="00876238"/>
    <w:rsid w:val="008B2AFC"/>
    <w:rsid w:val="008D3071"/>
    <w:rsid w:val="008E0138"/>
    <w:rsid w:val="00905274"/>
    <w:rsid w:val="00911390"/>
    <w:rsid w:val="0094681B"/>
    <w:rsid w:val="009624B7"/>
    <w:rsid w:val="009811B3"/>
    <w:rsid w:val="009A2C87"/>
    <w:rsid w:val="009B0C9E"/>
    <w:rsid w:val="009B74BA"/>
    <w:rsid w:val="009C28D0"/>
    <w:rsid w:val="009D432A"/>
    <w:rsid w:val="009D4FAE"/>
    <w:rsid w:val="009F55C2"/>
    <w:rsid w:val="00A01D38"/>
    <w:rsid w:val="00A35D2F"/>
    <w:rsid w:val="00A427AF"/>
    <w:rsid w:val="00A47425"/>
    <w:rsid w:val="00A533B4"/>
    <w:rsid w:val="00A535A6"/>
    <w:rsid w:val="00A96864"/>
    <w:rsid w:val="00AA37F6"/>
    <w:rsid w:val="00AA4C81"/>
    <w:rsid w:val="00AD1334"/>
    <w:rsid w:val="00AF6FAF"/>
    <w:rsid w:val="00B16710"/>
    <w:rsid w:val="00B22AC7"/>
    <w:rsid w:val="00B267B9"/>
    <w:rsid w:val="00B47E24"/>
    <w:rsid w:val="00B62AB6"/>
    <w:rsid w:val="00B633A5"/>
    <w:rsid w:val="00B770A5"/>
    <w:rsid w:val="00B80122"/>
    <w:rsid w:val="00B97BD4"/>
    <w:rsid w:val="00BA2E61"/>
    <w:rsid w:val="00BD2196"/>
    <w:rsid w:val="00C038B2"/>
    <w:rsid w:val="00C20C69"/>
    <w:rsid w:val="00C36B25"/>
    <w:rsid w:val="00C53947"/>
    <w:rsid w:val="00C65E37"/>
    <w:rsid w:val="00C73AF7"/>
    <w:rsid w:val="00C82E5D"/>
    <w:rsid w:val="00CC392B"/>
    <w:rsid w:val="00CD0FCC"/>
    <w:rsid w:val="00CE01DC"/>
    <w:rsid w:val="00D00EAF"/>
    <w:rsid w:val="00D27C98"/>
    <w:rsid w:val="00D423C0"/>
    <w:rsid w:val="00D72FF4"/>
    <w:rsid w:val="00D76196"/>
    <w:rsid w:val="00D92EB3"/>
    <w:rsid w:val="00D94DA7"/>
    <w:rsid w:val="00DD3BB9"/>
    <w:rsid w:val="00DD4F0F"/>
    <w:rsid w:val="00DE2320"/>
    <w:rsid w:val="00DE6623"/>
    <w:rsid w:val="00E40CE8"/>
    <w:rsid w:val="00E85209"/>
    <w:rsid w:val="00E87312"/>
    <w:rsid w:val="00E878C1"/>
    <w:rsid w:val="00EA3D7C"/>
    <w:rsid w:val="00EB0609"/>
    <w:rsid w:val="00EC7B64"/>
    <w:rsid w:val="00EF4C4F"/>
    <w:rsid w:val="00F20A31"/>
    <w:rsid w:val="00F828F3"/>
    <w:rsid w:val="00F97366"/>
    <w:rsid w:val="00FA5E05"/>
    <w:rsid w:val="00FA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0A1C5-5811-4C67-9AE4-E3F60144C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37F6"/>
    <w:pPr>
      <w:suppressAutoHyphens/>
      <w:spacing w:after="0" w:line="240" w:lineRule="auto"/>
    </w:pPr>
    <w:rPr>
      <w:rFonts w:ascii="Times New Roman" w:eastAsia="Times New Roman" w:hAnsi="Times New Roman" w:cs="Verdana"/>
      <w:color w:val="000000"/>
      <w:spacing w:val="4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A37F6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A37F6"/>
    <w:rPr>
      <w:rFonts w:ascii="Arial" w:eastAsia="Times New Roman" w:hAnsi="Arial" w:cs="Verdana"/>
      <w:color w:val="000000"/>
      <w:spacing w:val="4"/>
      <w:sz w:val="24"/>
      <w:szCs w:val="20"/>
      <w:lang w:eastAsia="ar-SA"/>
    </w:rPr>
  </w:style>
  <w:style w:type="paragraph" w:styleId="Stopka">
    <w:name w:val="footer"/>
    <w:basedOn w:val="Normalny"/>
    <w:link w:val="StopkaZnak"/>
    <w:semiHidden/>
    <w:rsid w:val="00AA37F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A37F6"/>
    <w:rPr>
      <w:rFonts w:ascii="Times New Roman" w:eastAsia="Times New Roman" w:hAnsi="Times New Roman" w:cs="Verdana"/>
      <w:color w:val="000000"/>
      <w:spacing w:val="4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A37F6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2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E5D"/>
    <w:rPr>
      <w:rFonts w:ascii="Times New Roman" w:eastAsia="Times New Roman" w:hAnsi="Times New Roman" w:cs="Verdana"/>
      <w:color w:val="000000"/>
      <w:spacing w:val="4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E5D"/>
    <w:rPr>
      <w:rFonts w:ascii="Times New Roman" w:eastAsia="Times New Roman" w:hAnsi="Times New Roman" w:cs="Verdana"/>
      <w:b/>
      <w:bCs/>
      <w:color w:val="000000"/>
      <w:spacing w:val="4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E5D"/>
    <w:rPr>
      <w:rFonts w:ascii="Tahoma" w:eastAsia="Times New Roman" w:hAnsi="Tahoma" w:cs="Tahoma"/>
      <w:color w:val="000000"/>
      <w:spacing w:val="4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B16710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93E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93E72"/>
    <w:rPr>
      <w:rFonts w:ascii="Times New Roman" w:eastAsia="Times New Roman" w:hAnsi="Times New Roman" w:cs="Verdana"/>
      <w:color w:val="000000"/>
      <w:spacing w:val="4"/>
      <w:sz w:val="24"/>
      <w:szCs w:val="24"/>
      <w:lang w:eastAsia="ar-SA"/>
    </w:rPr>
  </w:style>
  <w:style w:type="paragraph" w:customStyle="1" w:styleId="PKTpunkt">
    <w:name w:val="PKT – punkt"/>
    <w:uiPriority w:val="13"/>
    <w:qFormat/>
    <w:rsid w:val="0090527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kkopec</dc:creator>
  <cp:lastModifiedBy>Gabriela Kula</cp:lastModifiedBy>
  <cp:revision>2</cp:revision>
  <cp:lastPrinted>2017-08-23T10:43:00Z</cp:lastPrinted>
  <dcterms:created xsi:type="dcterms:W3CDTF">2022-02-18T08:36:00Z</dcterms:created>
  <dcterms:modified xsi:type="dcterms:W3CDTF">2022-02-18T08:36:00Z</dcterms:modified>
</cp:coreProperties>
</file>