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77C6" w14:textId="5593A536" w:rsidR="00171C7E" w:rsidRPr="00D5004F" w:rsidRDefault="006520BB" w:rsidP="006520BB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cs="Microsoft Sans Serif"/>
          <w:b/>
          <w:color w:val="000000"/>
        </w:rPr>
      </w:pPr>
      <w:r w:rsidRPr="00D5004F">
        <w:rPr>
          <w:rFonts w:cs="Microsoft Sans Serif"/>
          <w:b/>
          <w:color w:val="000000"/>
        </w:rPr>
        <w:t xml:space="preserve">Załącznik nr </w:t>
      </w:r>
      <w:r w:rsidR="00317369">
        <w:rPr>
          <w:rFonts w:cs="Microsoft Sans Serif"/>
          <w:b/>
          <w:color w:val="000000"/>
        </w:rPr>
        <w:t>2</w:t>
      </w:r>
      <w:r w:rsidR="00D9334F" w:rsidRPr="00D5004F">
        <w:rPr>
          <w:rFonts w:cs="Microsoft Sans Serif"/>
          <w:b/>
          <w:color w:val="000000"/>
        </w:rPr>
        <w:t xml:space="preserve"> </w:t>
      </w:r>
      <w:r w:rsidRPr="00D5004F">
        <w:rPr>
          <w:rFonts w:cs="Microsoft Sans Serif"/>
          <w:b/>
          <w:color w:val="000000"/>
        </w:rPr>
        <w:t>do Regulaminu</w:t>
      </w:r>
    </w:p>
    <w:p w14:paraId="34D1CF15" w14:textId="77777777" w:rsidR="006520BB" w:rsidRPr="00D5004F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</w:rPr>
      </w:pPr>
    </w:p>
    <w:p w14:paraId="70021E89" w14:textId="77777777" w:rsidR="006520BB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1C5A59AB" w14:textId="4B9ADC86" w:rsidR="00171C7E" w:rsidRDefault="00903FBD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>
        <w:rPr>
          <w:rFonts w:cs="Helv"/>
          <w:b/>
          <w:color w:val="000000"/>
          <w:sz w:val="24"/>
          <w:szCs w:val="24"/>
        </w:rPr>
        <w:t>OGŁOSZENIE</w:t>
      </w:r>
      <w:r w:rsidR="00657196">
        <w:rPr>
          <w:rFonts w:cs="Helv"/>
          <w:b/>
          <w:color w:val="000000"/>
          <w:sz w:val="24"/>
          <w:szCs w:val="24"/>
        </w:rPr>
        <w:t xml:space="preserve"> </w:t>
      </w:r>
      <w:r w:rsidR="00B55807">
        <w:rPr>
          <w:rFonts w:cs="Helv"/>
          <w:b/>
          <w:color w:val="000000"/>
          <w:sz w:val="24"/>
          <w:szCs w:val="24"/>
        </w:rPr>
        <w:t xml:space="preserve">I </w:t>
      </w:r>
      <w:r>
        <w:rPr>
          <w:rFonts w:cs="Helv"/>
          <w:b/>
          <w:color w:val="000000"/>
          <w:sz w:val="24"/>
          <w:szCs w:val="24"/>
        </w:rPr>
        <w:t>NABORU</w:t>
      </w:r>
    </w:p>
    <w:p w14:paraId="512EBE2D" w14:textId="77777777" w:rsidR="00B5320D" w:rsidRPr="00103CDE" w:rsidRDefault="00B5320D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DF5B43" w14:textId="3F7BE852" w:rsidR="002568D9" w:rsidRPr="00D52091" w:rsidRDefault="000D179C" w:rsidP="00430CA8">
      <w:pPr>
        <w:tabs>
          <w:tab w:val="left" w:pos="1276"/>
        </w:tabs>
        <w:autoSpaceDE w:val="0"/>
        <w:autoSpaceDN w:val="0"/>
        <w:adjustRightInd w:val="0"/>
        <w:spacing w:before="240" w:after="240"/>
        <w:jc w:val="both"/>
        <w:rPr>
          <w:b/>
        </w:rPr>
      </w:pPr>
      <w:r>
        <w:rPr>
          <w:b/>
        </w:rPr>
        <w:t>Nabór wniosków</w:t>
      </w:r>
      <w:r w:rsidRPr="00103CDE">
        <w:rPr>
          <w:b/>
        </w:rPr>
        <w:t xml:space="preserve"> </w:t>
      </w:r>
      <w:r>
        <w:rPr>
          <w:b/>
        </w:rPr>
        <w:t xml:space="preserve">o </w:t>
      </w:r>
      <w:r w:rsidRPr="00961036">
        <w:rPr>
          <w:b/>
        </w:rPr>
        <w:t xml:space="preserve">dofinansowanie inwestycji ze środków </w:t>
      </w:r>
      <w:r>
        <w:rPr>
          <w:b/>
        </w:rPr>
        <w:t xml:space="preserve">NFOŚiGW </w:t>
      </w:r>
      <w:r w:rsidRPr="00961036">
        <w:rPr>
          <w:b/>
        </w:rPr>
        <w:t xml:space="preserve">zgromadzonych na rachunku Funduszu Modernizacyjnego </w:t>
      </w:r>
      <w:r w:rsidRPr="00103CDE">
        <w:rPr>
          <w:b/>
        </w:rPr>
        <w:t>w ramach programu priorytetowego</w:t>
      </w:r>
      <w:r w:rsidR="00FF5F40" w:rsidRPr="00103CDE">
        <w:rPr>
          <w:b/>
        </w:rPr>
        <w:t xml:space="preserve"> </w:t>
      </w:r>
      <w:r w:rsidR="007A7B4B" w:rsidRPr="007A7B4B">
        <w:rPr>
          <w:b/>
        </w:rPr>
        <w:t>„</w:t>
      </w:r>
      <w:r w:rsidR="00D52091" w:rsidRPr="00D52091">
        <w:rPr>
          <w:b/>
        </w:rPr>
        <w:t>Elektroenergetyka - Inteligentna infrastruktura energetyczna</w:t>
      </w:r>
      <w:r w:rsidR="007A7B4B">
        <w:rPr>
          <w:b/>
        </w:rPr>
        <w:t>”</w:t>
      </w:r>
    </w:p>
    <w:p w14:paraId="59D3CCE1" w14:textId="00B9C85B" w:rsidR="007762CB" w:rsidRPr="00103CDE" w:rsidRDefault="00D7636E" w:rsidP="00430CA8">
      <w:pPr>
        <w:tabs>
          <w:tab w:val="left" w:pos="1276"/>
        </w:tabs>
        <w:autoSpaceDE w:val="0"/>
        <w:autoSpaceDN w:val="0"/>
        <w:adjustRightInd w:val="0"/>
        <w:spacing w:before="240" w:after="240"/>
        <w:jc w:val="both"/>
      </w:pPr>
      <w:r w:rsidRPr="00103CDE">
        <w:t xml:space="preserve">Narodowy Fundusz Ochrony Środowiska i Gospodarki Wodnej </w:t>
      </w:r>
      <w:r w:rsidRPr="00B6435F">
        <w:t xml:space="preserve">jako Krajowy operator Funduszu Modernizacyjnego </w:t>
      </w:r>
      <w:r w:rsidRPr="00103CDE">
        <w:t xml:space="preserve">ogłasza </w:t>
      </w:r>
      <w:r>
        <w:t xml:space="preserve">nabór wniosków o dofinansowanie inwestycji </w:t>
      </w:r>
      <w:r w:rsidRPr="00103CDE">
        <w:t xml:space="preserve">w ramach </w:t>
      </w:r>
      <w:r w:rsidRPr="006520BB">
        <w:t>programu priorytetowego</w:t>
      </w:r>
      <w:r w:rsidR="006520BB" w:rsidRPr="006520BB">
        <w:t xml:space="preserve"> </w:t>
      </w:r>
      <w:r w:rsidR="008A302A" w:rsidRPr="007A7B4B">
        <w:rPr>
          <w:b/>
        </w:rPr>
        <w:t>„</w:t>
      </w:r>
      <w:r w:rsidR="00D52091" w:rsidRPr="00D52091">
        <w:rPr>
          <w:b/>
        </w:rPr>
        <w:t>Elektroenergetyka - Inteligentna infrastruktura energetyczna</w:t>
      </w:r>
      <w:r w:rsidR="008A302A">
        <w:rPr>
          <w:b/>
        </w:rPr>
        <w:t>”</w:t>
      </w:r>
    </w:p>
    <w:p w14:paraId="2D67ABB5" w14:textId="77777777" w:rsidR="00FF5F40" w:rsidRPr="00103CDE" w:rsidRDefault="00FF5F40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after="120" w:line="240" w:lineRule="auto"/>
        <w:ind w:left="714" w:hanging="357"/>
        <w:jc w:val="both"/>
        <w:rPr>
          <w:b/>
        </w:rPr>
      </w:pPr>
      <w:r w:rsidRPr="00103CDE">
        <w:rPr>
          <w:b/>
        </w:rPr>
        <w:t>Cel programu</w:t>
      </w:r>
    </w:p>
    <w:p w14:paraId="6507EC0B" w14:textId="310C6413" w:rsidR="00D744FF" w:rsidRDefault="00D52091" w:rsidP="001F365E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  <w:highlight w:val="lightGray"/>
        </w:rPr>
      </w:pPr>
      <w:r w:rsidRPr="7CBC9D9C">
        <w:rPr>
          <w:rFonts w:cs="Calibri"/>
        </w:rPr>
        <w:t xml:space="preserve">Rozwój inteligentnej infrastruktury energetycznej pozwalającej na szeroką wielostronną komunikację wszystkich stron procesu </w:t>
      </w:r>
      <w:r>
        <w:rPr>
          <w:rFonts w:cs="Calibri"/>
        </w:rPr>
        <w:t>dystrybucji energii elektrycznej</w:t>
      </w:r>
      <w:r w:rsidRPr="7CBC9D9C">
        <w:rPr>
          <w:rFonts w:cs="Calibri"/>
        </w:rPr>
        <w:t xml:space="preserve">, poprzez instalację u odbiorców końcowych </w:t>
      </w:r>
      <w:r>
        <w:rPr>
          <w:rFonts w:cs="Calibri"/>
        </w:rPr>
        <w:t xml:space="preserve">liczników zdalnego odczytu, o których mowa w art. 3 pkt 64 ustawy z dnia </w:t>
      </w:r>
      <w:r w:rsidRPr="00C54140">
        <w:rPr>
          <w:rFonts w:cs="Calibri"/>
        </w:rPr>
        <w:t>10 kwietnia 1997 r.</w:t>
      </w:r>
      <w:r>
        <w:rPr>
          <w:rFonts w:cs="Calibri"/>
        </w:rPr>
        <w:t xml:space="preserve"> – Prawo energetyczne (t.j. </w:t>
      </w:r>
      <w:r w:rsidRPr="005413E1">
        <w:rPr>
          <w:rFonts w:cs="Calibri"/>
        </w:rPr>
        <w:t>Dz. U. z 2021 r. poz. 716</w:t>
      </w:r>
      <w:r>
        <w:rPr>
          <w:rFonts w:cs="Calibri"/>
        </w:rPr>
        <w:t>,</w:t>
      </w:r>
      <w:r w:rsidR="002078DE">
        <w:rPr>
          <w:rFonts w:cs="Calibri"/>
        </w:rPr>
        <w:t xml:space="preserve"> </w:t>
      </w:r>
      <w:r>
        <w:rPr>
          <w:rFonts w:cs="Calibri"/>
        </w:rPr>
        <w:t>z późn.zm.</w:t>
      </w:r>
      <w:r w:rsidRPr="005413E1">
        <w:rPr>
          <w:rFonts w:cs="Calibri"/>
        </w:rPr>
        <w:t>)</w:t>
      </w:r>
      <w:r>
        <w:rPr>
          <w:rFonts w:cs="Calibri"/>
        </w:rPr>
        <w:t>,</w:t>
      </w:r>
      <w:r w:rsidRPr="7CBC9D9C">
        <w:rPr>
          <w:rFonts w:cs="Calibri"/>
        </w:rPr>
        <w:t xml:space="preserve"> tzw. liczników inteligentnych (AMI) wraz z</w:t>
      </w:r>
      <w:r w:rsidRPr="00BA69B8">
        <w:rPr>
          <w:rFonts w:cs="Calibri"/>
        </w:rPr>
        <w:t xml:space="preserve"> infrastrukturą informatyczno-zarządczą, mający na celu optymalizację pracy sieci, szybszą obsługę procesów rynku energii elektrycznej i umożliwienie wdrażania mechanizmów DSR</w:t>
      </w:r>
      <w:r>
        <w:rPr>
          <w:rFonts w:cs="Calibri"/>
        </w:rPr>
        <w:t xml:space="preserve"> (</w:t>
      </w:r>
      <w:r w:rsidRPr="00CF7B17">
        <w:rPr>
          <w:rFonts w:cs="Calibri"/>
        </w:rPr>
        <w:t>Demand Side Response</w:t>
      </w:r>
      <w:r>
        <w:rPr>
          <w:rFonts w:cs="Calibri"/>
        </w:rPr>
        <w:t>)</w:t>
      </w:r>
      <w:r w:rsidR="00D744FF" w:rsidRPr="00D744FF">
        <w:rPr>
          <w:rFonts w:asciiTheme="minorHAnsi" w:hAnsiTheme="minorHAnsi"/>
          <w:color w:val="000000"/>
        </w:rPr>
        <w:t>.</w:t>
      </w:r>
    </w:p>
    <w:p w14:paraId="69B63DD6" w14:textId="77777777" w:rsidR="00D744FF" w:rsidRDefault="00D744FF" w:rsidP="00D744FF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</w:p>
    <w:p w14:paraId="4A1E811F" w14:textId="66C72FFC" w:rsidR="00D744FF" w:rsidRDefault="009D47BC" w:rsidP="009D47BC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after="120" w:line="240" w:lineRule="auto"/>
        <w:ind w:left="714" w:hanging="357"/>
        <w:jc w:val="both"/>
        <w:rPr>
          <w:rFonts w:asciiTheme="minorHAnsi" w:hAnsiTheme="minorHAnsi"/>
          <w:color w:val="000000"/>
        </w:rPr>
      </w:pPr>
      <w:r w:rsidRPr="009D47BC">
        <w:rPr>
          <w:rFonts w:asciiTheme="minorHAnsi" w:hAnsiTheme="minorHAnsi"/>
          <w:b/>
          <w:color w:val="000000"/>
        </w:rPr>
        <w:t>Zakres wsparcia</w:t>
      </w:r>
      <w:r w:rsidR="00D744FF" w:rsidRPr="00D744FF">
        <w:rPr>
          <w:rFonts w:asciiTheme="minorHAnsi" w:hAnsiTheme="minorHAnsi"/>
          <w:color w:val="000000"/>
        </w:rPr>
        <w:t>:</w:t>
      </w:r>
    </w:p>
    <w:p w14:paraId="22FE23AD" w14:textId="5AF9C626" w:rsidR="00D52091" w:rsidRPr="00D744FF" w:rsidRDefault="009D47BC" w:rsidP="00D744FF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Program przewiduje wsparcie następujących działań:</w:t>
      </w:r>
    </w:p>
    <w:p w14:paraId="0CC6C1BF" w14:textId="77777777" w:rsidR="00D52091" w:rsidRPr="00552B7C" w:rsidRDefault="00D52091" w:rsidP="00552B7C">
      <w:pPr>
        <w:pStyle w:val="NormalnyWeb"/>
        <w:numPr>
          <w:ilvl w:val="0"/>
          <w:numId w:val="9"/>
        </w:numPr>
        <w:spacing w:before="120" w:beforeAutospacing="0" w:after="200" w:afterAutospacing="0" w:line="276" w:lineRule="auto"/>
        <w:jc w:val="both"/>
        <w:rPr>
          <w:rFonts w:asciiTheme="minorHAnsi" w:hAnsiTheme="minorHAnsi" w:cstheme="minorHAnsi"/>
        </w:rPr>
      </w:pPr>
      <w:r w:rsidRPr="00552B7C">
        <w:rPr>
          <w:rFonts w:asciiTheme="minorHAnsi" w:hAnsiTheme="minorHAnsi" w:cstheme="minorHAnsi"/>
          <w:sz w:val="22"/>
          <w:szCs w:val="22"/>
        </w:rPr>
        <w:t>zakup liczników zdalnego odczytu - liczników inteligentnych AMI,</w:t>
      </w:r>
    </w:p>
    <w:p w14:paraId="40037E53" w14:textId="77777777" w:rsidR="00D52091" w:rsidRPr="00552B7C" w:rsidRDefault="00D52091" w:rsidP="00552B7C">
      <w:pPr>
        <w:pStyle w:val="NormalnyWeb"/>
        <w:numPr>
          <w:ilvl w:val="0"/>
          <w:numId w:val="9"/>
        </w:numPr>
        <w:spacing w:before="120" w:beforeAutospacing="0" w:after="200" w:afterAutospacing="0" w:line="276" w:lineRule="auto"/>
        <w:jc w:val="both"/>
        <w:rPr>
          <w:rFonts w:asciiTheme="minorHAnsi" w:hAnsiTheme="minorHAnsi" w:cstheme="minorHAnsi"/>
        </w:rPr>
      </w:pPr>
      <w:r w:rsidRPr="00552B7C">
        <w:rPr>
          <w:rFonts w:asciiTheme="minorHAnsi" w:hAnsiTheme="minorHAnsi" w:cstheme="minorHAnsi"/>
          <w:sz w:val="22"/>
          <w:szCs w:val="22"/>
        </w:rPr>
        <w:t xml:space="preserve">instalacja liczników, modernizacja i dostosowanie infrastruktury sieci energetycznej pozwalającej na obsługę, zarządzanie i prawidłowe użytkowanie nabytych liczników. Przedsięwzięcia służyć mają powstaniu oprogramowania służącego do przeprowadzania analiz wydajności sieci, raportów o oszczędnościach, statystykach, stratach oraz umożliwić dostosowanie systemu do nowopowstającego centralnego systemu informacji rynku energii, </w:t>
      </w:r>
    </w:p>
    <w:p w14:paraId="611209FF" w14:textId="77777777" w:rsidR="00D52091" w:rsidRPr="00552B7C" w:rsidRDefault="00D52091" w:rsidP="00552B7C">
      <w:pPr>
        <w:pStyle w:val="NormalnyWeb"/>
        <w:spacing w:before="120" w:beforeAutospacing="0" w:after="200" w:afterAutospacing="0" w:line="276" w:lineRule="auto"/>
        <w:ind w:left="720"/>
        <w:jc w:val="both"/>
        <w:rPr>
          <w:rFonts w:asciiTheme="minorHAnsi" w:hAnsiTheme="minorHAnsi" w:cstheme="minorHAnsi"/>
        </w:rPr>
      </w:pPr>
      <w:r w:rsidRPr="00552B7C">
        <w:rPr>
          <w:rFonts w:asciiTheme="minorHAnsi" w:hAnsiTheme="minorHAnsi" w:cstheme="minorHAnsi"/>
          <w:sz w:val="22"/>
          <w:szCs w:val="22"/>
        </w:rPr>
        <w:t>wykorzystywanych do świadczenia usługi dystrybucji energii na zasadzie równoprawnego traktowania wszystkich odbiorców oraz przedsiębiorców zajmującym się sprzedażą energii.</w:t>
      </w:r>
    </w:p>
    <w:p w14:paraId="65A79C4E" w14:textId="0AAB736D" w:rsidR="00A41B60" w:rsidRDefault="00A41B60" w:rsidP="00D52091">
      <w:pPr>
        <w:tabs>
          <w:tab w:val="left" w:pos="709"/>
        </w:tabs>
        <w:spacing w:after="120" w:line="240" w:lineRule="auto"/>
        <w:jc w:val="both"/>
        <w:rPr>
          <w:b/>
        </w:rPr>
      </w:pPr>
    </w:p>
    <w:p w14:paraId="1F9A884E" w14:textId="28AA5347" w:rsidR="00DD164D" w:rsidRPr="00A41B60" w:rsidRDefault="00FF5F40" w:rsidP="00A41B60">
      <w:pPr>
        <w:pStyle w:val="Akapitzlist"/>
        <w:numPr>
          <w:ilvl w:val="0"/>
          <w:numId w:val="1"/>
        </w:numPr>
        <w:tabs>
          <w:tab w:val="left" w:pos="709"/>
        </w:tabs>
        <w:spacing w:after="120" w:line="240" w:lineRule="auto"/>
        <w:jc w:val="both"/>
        <w:rPr>
          <w:b/>
        </w:rPr>
      </w:pPr>
      <w:r w:rsidRPr="00A41B60">
        <w:rPr>
          <w:b/>
        </w:rPr>
        <w:t>Terminy i sposób składania wniosków</w:t>
      </w:r>
    </w:p>
    <w:p w14:paraId="066BCE5D" w14:textId="761AE139" w:rsidR="00DD164D" w:rsidRDefault="00FF76E6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</w:t>
      </w:r>
      <w:r w:rsidR="00DD164D" w:rsidRPr="00C25241">
        <w:rPr>
          <w:rFonts w:ascii="Calibri" w:hAnsi="Calibri"/>
          <w:b/>
          <w:sz w:val="22"/>
          <w:szCs w:val="22"/>
        </w:rPr>
        <w:t>nioski o dofinasowanie</w:t>
      </w:r>
      <w:r w:rsidR="00E955C1" w:rsidRPr="00C25241">
        <w:rPr>
          <w:rFonts w:ascii="Calibri" w:hAnsi="Calibri"/>
          <w:b/>
          <w:sz w:val="22"/>
          <w:szCs w:val="22"/>
        </w:rPr>
        <w:t xml:space="preserve"> w </w:t>
      </w:r>
      <w:r w:rsidR="00E955C1" w:rsidRPr="00A41B60">
        <w:rPr>
          <w:rFonts w:ascii="Calibri" w:hAnsi="Calibri"/>
          <w:b/>
          <w:sz w:val="22"/>
          <w:szCs w:val="22"/>
        </w:rPr>
        <w:t>formie dotacji</w:t>
      </w:r>
      <w:r w:rsidR="00DD164D" w:rsidRPr="00A41B60">
        <w:rPr>
          <w:rFonts w:ascii="Calibri" w:hAnsi="Calibri"/>
          <w:b/>
          <w:sz w:val="22"/>
          <w:szCs w:val="22"/>
        </w:rPr>
        <w:t xml:space="preserve"> należy składać</w:t>
      </w:r>
      <w:r w:rsidR="00E47BD0">
        <w:rPr>
          <w:rFonts w:ascii="Calibri" w:hAnsi="Calibri"/>
          <w:b/>
          <w:sz w:val="22"/>
          <w:szCs w:val="22"/>
        </w:rPr>
        <w:t>, w trybie ciągłym</w:t>
      </w:r>
      <w:r w:rsidR="00637DA6">
        <w:rPr>
          <w:rFonts w:ascii="Calibri" w:hAnsi="Calibri"/>
          <w:b/>
          <w:sz w:val="22"/>
          <w:szCs w:val="22"/>
        </w:rPr>
        <w:t>, w</w:t>
      </w:r>
      <w:r w:rsidR="00731979">
        <w:rPr>
          <w:rFonts w:ascii="Calibri" w:hAnsi="Calibri"/>
          <w:b/>
          <w:sz w:val="22"/>
          <w:szCs w:val="22"/>
        </w:rPr>
        <w:t> </w:t>
      </w:r>
      <w:r w:rsidR="00637DA6">
        <w:rPr>
          <w:rFonts w:ascii="Calibri" w:hAnsi="Calibri"/>
          <w:b/>
          <w:sz w:val="22"/>
          <w:szCs w:val="22"/>
        </w:rPr>
        <w:t xml:space="preserve"> </w:t>
      </w:r>
      <w:r w:rsidR="00767049" w:rsidRPr="00A41B60">
        <w:rPr>
          <w:rFonts w:ascii="Calibri" w:hAnsi="Calibri"/>
          <w:b/>
          <w:sz w:val="22"/>
          <w:szCs w:val="22"/>
        </w:rPr>
        <w:t>okresie</w:t>
      </w:r>
      <w:r w:rsidR="0027398E" w:rsidRPr="00A41B60">
        <w:rPr>
          <w:rFonts w:ascii="Calibri" w:hAnsi="Calibri"/>
          <w:b/>
          <w:sz w:val="22"/>
          <w:szCs w:val="22"/>
        </w:rPr>
        <w:t xml:space="preserve"> </w:t>
      </w:r>
      <w:r w:rsidR="00867D6E">
        <w:rPr>
          <w:rFonts w:ascii="Calibri" w:hAnsi="Calibri"/>
          <w:b/>
          <w:sz w:val="22"/>
          <w:szCs w:val="22"/>
        </w:rPr>
        <w:t>15</w:t>
      </w:r>
      <w:r w:rsidR="00F10136" w:rsidRPr="002078DE">
        <w:rPr>
          <w:rFonts w:ascii="Calibri" w:hAnsi="Calibri"/>
          <w:b/>
          <w:sz w:val="22"/>
          <w:szCs w:val="22"/>
        </w:rPr>
        <w:t>.0</w:t>
      </w:r>
      <w:r w:rsidR="00867D6E">
        <w:rPr>
          <w:rFonts w:ascii="Calibri" w:hAnsi="Calibri"/>
          <w:b/>
          <w:sz w:val="22"/>
          <w:szCs w:val="22"/>
        </w:rPr>
        <w:t>7</w:t>
      </w:r>
      <w:r w:rsidR="004E2128" w:rsidRPr="002078DE">
        <w:rPr>
          <w:rFonts w:ascii="Calibri" w:hAnsi="Calibri"/>
          <w:b/>
          <w:sz w:val="22"/>
          <w:szCs w:val="22"/>
        </w:rPr>
        <w:t>.202</w:t>
      </w:r>
      <w:r w:rsidR="009D47BC" w:rsidRPr="002078DE">
        <w:rPr>
          <w:rFonts w:ascii="Calibri" w:hAnsi="Calibri"/>
          <w:b/>
          <w:sz w:val="22"/>
          <w:szCs w:val="22"/>
        </w:rPr>
        <w:t>2</w:t>
      </w:r>
      <w:r w:rsidR="004E2128" w:rsidRPr="002078DE">
        <w:rPr>
          <w:rFonts w:ascii="Calibri" w:hAnsi="Calibri"/>
          <w:b/>
          <w:sz w:val="22"/>
          <w:szCs w:val="22"/>
        </w:rPr>
        <w:t xml:space="preserve"> </w:t>
      </w:r>
      <w:r w:rsidR="00DD12AD" w:rsidRPr="002078DE">
        <w:rPr>
          <w:rFonts w:ascii="Calibri" w:hAnsi="Calibri"/>
          <w:b/>
          <w:sz w:val="22"/>
          <w:szCs w:val="22"/>
        </w:rPr>
        <w:t>r</w:t>
      </w:r>
      <w:r w:rsidR="00433C09" w:rsidRPr="002078DE">
        <w:rPr>
          <w:rFonts w:ascii="Calibri" w:hAnsi="Calibri"/>
          <w:b/>
          <w:sz w:val="22"/>
          <w:szCs w:val="22"/>
        </w:rPr>
        <w:t xml:space="preserve">. </w:t>
      </w:r>
      <w:r w:rsidR="002C0269" w:rsidRPr="002078DE">
        <w:rPr>
          <w:rFonts w:ascii="Calibri" w:hAnsi="Calibri"/>
          <w:b/>
          <w:sz w:val="22"/>
          <w:szCs w:val="22"/>
        </w:rPr>
        <w:t>–</w:t>
      </w:r>
      <w:r w:rsidR="00433C09" w:rsidRPr="002078DE">
        <w:rPr>
          <w:rFonts w:ascii="Calibri" w:hAnsi="Calibri"/>
          <w:b/>
          <w:sz w:val="22"/>
          <w:szCs w:val="22"/>
        </w:rPr>
        <w:t xml:space="preserve"> </w:t>
      </w:r>
      <w:r w:rsidR="00A41B60" w:rsidRPr="002078DE">
        <w:rPr>
          <w:rFonts w:ascii="Calibri" w:hAnsi="Calibri"/>
          <w:b/>
          <w:sz w:val="22"/>
          <w:szCs w:val="22"/>
        </w:rPr>
        <w:t>1</w:t>
      </w:r>
      <w:r w:rsidR="008F55B3">
        <w:rPr>
          <w:rFonts w:ascii="Calibri" w:hAnsi="Calibri"/>
          <w:b/>
          <w:sz w:val="22"/>
          <w:szCs w:val="22"/>
        </w:rPr>
        <w:t>6</w:t>
      </w:r>
      <w:r w:rsidR="00A41B60" w:rsidRPr="002078DE">
        <w:rPr>
          <w:rFonts w:ascii="Calibri" w:hAnsi="Calibri"/>
          <w:b/>
          <w:sz w:val="22"/>
          <w:szCs w:val="22"/>
        </w:rPr>
        <w:t>.</w:t>
      </w:r>
      <w:r w:rsidR="009D47BC" w:rsidRPr="002078DE">
        <w:rPr>
          <w:rFonts w:ascii="Calibri" w:hAnsi="Calibri"/>
          <w:b/>
          <w:sz w:val="22"/>
          <w:szCs w:val="22"/>
        </w:rPr>
        <w:t>0</w:t>
      </w:r>
      <w:r w:rsidR="0047307B" w:rsidRPr="002078DE">
        <w:rPr>
          <w:rFonts w:ascii="Calibri" w:hAnsi="Calibri"/>
          <w:b/>
          <w:sz w:val="22"/>
          <w:szCs w:val="22"/>
        </w:rPr>
        <w:t>9</w:t>
      </w:r>
      <w:r w:rsidR="003C4C7A" w:rsidRPr="002078DE">
        <w:rPr>
          <w:rFonts w:ascii="Calibri" w:hAnsi="Calibri"/>
          <w:b/>
          <w:sz w:val="22"/>
          <w:szCs w:val="22"/>
        </w:rPr>
        <w:t>.202</w:t>
      </w:r>
      <w:r w:rsidR="009D47BC" w:rsidRPr="002078DE">
        <w:rPr>
          <w:rFonts w:ascii="Calibri" w:hAnsi="Calibri"/>
          <w:b/>
          <w:sz w:val="22"/>
          <w:szCs w:val="22"/>
        </w:rPr>
        <w:t>2</w:t>
      </w:r>
      <w:r w:rsidR="00C559A1" w:rsidRPr="002078DE">
        <w:rPr>
          <w:rFonts w:ascii="Calibri" w:hAnsi="Calibri"/>
          <w:b/>
          <w:sz w:val="22"/>
          <w:szCs w:val="22"/>
        </w:rPr>
        <w:t xml:space="preserve"> r. </w:t>
      </w:r>
      <w:r w:rsidR="00767049" w:rsidRPr="002078DE">
        <w:rPr>
          <w:rFonts w:ascii="Calibri" w:hAnsi="Calibri"/>
          <w:b/>
          <w:sz w:val="22"/>
          <w:szCs w:val="22"/>
        </w:rPr>
        <w:t>jednak</w:t>
      </w:r>
      <w:r w:rsidR="00767049" w:rsidRPr="00A41B60">
        <w:rPr>
          <w:rFonts w:ascii="Calibri" w:hAnsi="Calibri"/>
          <w:b/>
          <w:sz w:val="22"/>
          <w:szCs w:val="22"/>
        </w:rPr>
        <w:t xml:space="preserve"> nie dłużej niż </w:t>
      </w:r>
      <w:r w:rsidR="002C0269" w:rsidRPr="00A41B60">
        <w:rPr>
          <w:rFonts w:ascii="Calibri" w:hAnsi="Calibri"/>
          <w:b/>
          <w:sz w:val="22"/>
          <w:szCs w:val="22"/>
        </w:rPr>
        <w:t>do wyczerpania środków alokacji</w:t>
      </w:r>
      <w:r w:rsidR="00695BFB">
        <w:rPr>
          <w:rFonts w:ascii="Calibri" w:hAnsi="Calibri"/>
          <w:b/>
          <w:sz w:val="22"/>
          <w:szCs w:val="22"/>
        </w:rPr>
        <w:t>.</w:t>
      </w:r>
    </w:p>
    <w:p w14:paraId="52A09CAF" w14:textId="77777777" w:rsidR="000A7E98" w:rsidRPr="00C25241" w:rsidRDefault="000A7E98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</w:p>
    <w:p w14:paraId="3B7A3378" w14:textId="4968BD77" w:rsidR="00E955C1" w:rsidRDefault="003D4166" w:rsidP="00B55807">
      <w:pPr>
        <w:pStyle w:val="NormalnyWeb"/>
        <w:spacing w:before="12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341CF7">
        <w:rPr>
          <w:rFonts w:asciiTheme="minorHAnsi" w:hAnsiTheme="minorHAnsi" w:cstheme="minorHAnsi"/>
          <w:sz w:val="22"/>
          <w:szCs w:val="22"/>
        </w:rPr>
        <w:t>W przypadku wyczerpania alokacji środków przed terminem zakończenia naboru wniosków na stronie internetowej NFOŚiGW zostanie umieszczona informacja o braku możliwości składania wniosków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4275CC" w14:textId="4261C337" w:rsidR="00DD12AD" w:rsidRDefault="00FF5F40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lastRenderedPageBreak/>
        <w:t>Przygotowane wnioski należy składać w wersji elektronicznej przez Generator Wniosków o Dofinansowanie („GWD”)</w:t>
      </w:r>
      <w:r w:rsidR="00745CAA">
        <w:rPr>
          <w:rFonts w:ascii="Calibri" w:hAnsi="Calibri"/>
          <w:sz w:val="22"/>
          <w:szCs w:val="22"/>
        </w:rPr>
        <w:t xml:space="preserve"> </w:t>
      </w:r>
      <w:r w:rsidR="00745CAA" w:rsidRPr="00430CA8">
        <w:rPr>
          <w:rFonts w:ascii="Calibri" w:hAnsi="Calibri"/>
          <w:sz w:val="22"/>
          <w:szCs w:val="22"/>
        </w:rPr>
        <w:t>dostępny pod adresem</w:t>
      </w:r>
      <w:r w:rsidR="00745CAA">
        <w:t xml:space="preserve"> </w:t>
      </w:r>
      <w:hyperlink r:id="rId8" w:history="1">
        <w:r w:rsidR="00745CAA" w:rsidRPr="00EF0180">
          <w:rPr>
            <w:rStyle w:val="Hipercze"/>
            <w:rFonts w:asciiTheme="minorHAnsi" w:hAnsiTheme="minorHAnsi"/>
            <w:sz w:val="22"/>
            <w:szCs w:val="22"/>
          </w:rPr>
          <w:t>http://gwd.nfosigw.gov.pl</w:t>
        </w:r>
      </w:hyperlink>
      <w:r w:rsidR="00BF18A0">
        <w:rPr>
          <w:rFonts w:ascii="Calibri" w:hAnsi="Calibri"/>
          <w:sz w:val="22"/>
          <w:szCs w:val="22"/>
        </w:rPr>
        <w:t>.</w:t>
      </w:r>
      <w:r w:rsidRPr="00103CDE">
        <w:rPr>
          <w:rFonts w:ascii="Calibri" w:hAnsi="Calibri"/>
          <w:sz w:val="22"/>
          <w:szCs w:val="22"/>
        </w:rPr>
        <w:t xml:space="preserve"> </w:t>
      </w:r>
    </w:p>
    <w:p w14:paraId="3BDAF719" w14:textId="30609A7A" w:rsidR="00FF5F40" w:rsidRDefault="00FF5F40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Wnioski poddawane będą ocenie na bieżąco.</w:t>
      </w:r>
    </w:p>
    <w:p w14:paraId="6B253C4E" w14:textId="5F54BDD5" w:rsidR="00DD12AD" w:rsidRPr="00103CDE" w:rsidRDefault="00DD12AD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Wnioski, które wpłyną po terminie</w:t>
      </w:r>
      <w:r>
        <w:rPr>
          <w:rFonts w:ascii="Calibri" w:hAnsi="Calibri"/>
          <w:sz w:val="22"/>
          <w:szCs w:val="22"/>
        </w:rPr>
        <w:t>,</w:t>
      </w:r>
      <w:r w:rsidRPr="00C06D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zostaną odrzucone</w:t>
      </w:r>
      <w:r w:rsidR="00451DF0">
        <w:rPr>
          <w:rFonts w:ascii="Calibri" w:hAnsi="Calibri"/>
          <w:sz w:val="22"/>
          <w:szCs w:val="22"/>
        </w:rPr>
        <w:t xml:space="preserve">. </w:t>
      </w:r>
    </w:p>
    <w:p w14:paraId="2B10BE3D" w14:textId="2758D077" w:rsidR="007475E6" w:rsidRPr="00872C43" w:rsidRDefault="00BF18A0" w:rsidP="00B55807">
      <w:pPr>
        <w:pStyle w:val="NormalnyWeb"/>
        <w:spacing w:before="120" w:beforeAutospacing="0" w:after="200" w:afterAutospacing="0"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33C09">
        <w:rPr>
          <w:rFonts w:asciiTheme="minorHAnsi" w:hAnsiTheme="minorHAnsi" w:cstheme="minorHAnsi"/>
          <w:sz w:val="22"/>
          <w:szCs w:val="22"/>
        </w:rPr>
        <w:t xml:space="preserve">Korespondencja z Wnioskodawcą w sprawie oceny wniosków o wsparcie jest prowadzona w </w:t>
      </w:r>
      <w:r w:rsidR="003C55EE">
        <w:rPr>
          <w:rFonts w:asciiTheme="minorHAnsi" w:hAnsiTheme="minorHAnsi" w:cstheme="minorHAnsi"/>
          <w:sz w:val="22"/>
          <w:szCs w:val="22"/>
        </w:rPr>
        <w:t>postaci</w:t>
      </w:r>
      <w:r w:rsidR="003C55EE" w:rsidRPr="00433C09">
        <w:rPr>
          <w:rFonts w:asciiTheme="minorHAnsi" w:hAnsiTheme="minorHAnsi" w:cstheme="minorHAnsi"/>
          <w:sz w:val="22"/>
          <w:szCs w:val="22"/>
        </w:rPr>
        <w:t xml:space="preserve"> </w:t>
      </w:r>
      <w:r w:rsidRPr="00433C09">
        <w:rPr>
          <w:rFonts w:asciiTheme="minorHAnsi" w:hAnsiTheme="minorHAnsi" w:cstheme="minorHAnsi"/>
          <w:sz w:val="22"/>
          <w:szCs w:val="22"/>
        </w:rPr>
        <w:t xml:space="preserve">elektronicznej za pośrednictwem skrzynki </w:t>
      </w:r>
      <w:r w:rsidRPr="00FD6841">
        <w:rPr>
          <w:rFonts w:asciiTheme="minorHAnsi" w:hAnsiTheme="minorHAnsi" w:cstheme="minorHAnsi"/>
          <w:sz w:val="22"/>
          <w:szCs w:val="22"/>
        </w:rPr>
        <w:t>email</w:t>
      </w:r>
      <w:bookmarkStart w:id="0" w:name="_GoBack"/>
      <w:bookmarkEnd w:id="0"/>
      <w:r w:rsidR="005B204E" w:rsidRPr="00FD6841">
        <w:rPr>
          <w:rFonts w:asciiTheme="minorHAnsi" w:hAnsiTheme="minorHAnsi" w:cs="Arial"/>
          <w:sz w:val="22"/>
          <w:szCs w:val="22"/>
        </w:rPr>
        <w:t>.</w:t>
      </w:r>
      <w:r w:rsidRPr="00433C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9D0B68" w14:textId="00E9B349" w:rsidR="007762CB" w:rsidRPr="00B52060" w:rsidRDefault="005153B1" w:rsidP="00A41B60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b/>
        </w:rPr>
      </w:pPr>
      <w:r>
        <w:rPr>
          <w:b/>
        </w:rPr>
        <w:t xml:space="preserve">Budżet </w:t>
      </w:r>
      <w:r w:rsidR="00365CC3">
        <w:rPr>
          <w:b/>
        </w:rPr>
        <w:t xml:space="preserve">naboru </w:t>
      </w:r>
    </w:p>
    <w:p w14:paraId="30CB7D9B" w14:textId="2E8B1FA2" w:rsidR="007762CB" w:rsidRPr="00D5508E" w:rsidRDefault="007762CB" w:rsidP="00B55807">
      <w:pPr>
        <w:pStyle w:val="Akapitzlist"/>
        <w:tabs>
          <w:tab w:val="left" w:pos="709"/>
        </w:tabs>
        <w:spacing w:before="120"/>
        <w:ind w:left="720"/>
        <w:jc w:val="both"/>
      </w:pPr>
      <w:r w:rsidRPr="00D5508E">
        <w:t xml:space="preserve">Budżet na realizację celu programu wynosi do </w:t>
      </w:r>
      <w:r w:rsidR="00BA50BA">
        <w:t>1 0</w:t>
      </w:r>
      <w:r w:rsidR="00CF1407" w:rsidRPr="00D5508E">
        <w:t>00</w:t>
      </w:r>
      <w:r w:rsidRPr="00D5508E">
        <w:t xml:space="preserve"> 000 000 zł, w tym:</w:t>
      </w:r>
    </w:p>
    <w:p w14:paraId="099E81A6" w14:textId="1A070027" w:rsidR="007762CB" w:rsidRDefault="007762CB" w:rsidP="00A41B60">
      <w:pPr>
        <w:pStyle w:val="Akapitzlist"/>
        <w:numPr>
          <w:ilvl w:val="0"/>
          <w:numId w:val="5"/>
        </w:numPr>
        <w:tabs>
          <w:tab w:val="left" w:pos="709"/>
        </w:tabs>
        <w:ind w:hanging="87"/>
        <w:jc w:val="both"/>
      </w:pPr>
      <w:r w:rsidRPr="00D5508E">
        <w:t>dla bezzwr</w:t>
      </w:r>
      <w:r w:rsidR="003F3A87" w:rsidRPr="00D5508E">
        <w:t>o</w:t>
      </w:r>
      <w:r w:rsidR="00C266B1" w:rsidRPr="00D5508E">
        <w:t xml:space="preserve">tnych form dofinansowania – do </w:t>
      </w:r>
      <w:r w:rsidR="00BA50BA">
        <w:t>1 0</w:t>
      </w:r>
      <w:r w:rsidR="00CF1407" w:rsidRPr="00D5508E">
        <w:t>0</w:t>
      </w:r>
      <w:r w:rsidR="00773F95" w:rsidRPr="00D5508E">
        <w:t>0</w:t>
      </w:r>
      <w:r w:rsidR="003F3A87" w:rsidRPr="00D5508E">
        <w:t xml:space="preserve"> </w:t>
      </w:r>
      <w:r w:rsidRPr="00D5508E">
        <w:t>000 000 zł</w:t>
      </w:r>
      <w:r w:rsidR="00BA50BA">
        <w:t>.</w:t>
      </w:r>
    </w:p>
    <w:p w14:paraId="3F46CBD8" w14:textId="17B166B2" w:rsidR="00BA50BA" w:rsidRPr="00D5508E" w:rsidRDefault="00BA50BA" w:rsidP="00BA50BA">
      <w:pPr>
        <w:tabs>
          <w:tab w:val="left" w:pos="709"/>
        </w:tabs>
        <w:jc w:val="both"/>
      </w:pPr>
      <w:r>
        <w:tab/>
      </w:r>
      <w:r w:rsidRPr="002078DE">
        <w:t xml:space="preserve">W ramach I naboru budżet wynosi </w:t>
      </w:r>
      <w:r w:rsidR="00D52091" w:rsidRPr="002078DE">
        <w:t>2</w:t>
      </w:r>
      <w:r w:rsidRPr="002078DE">
        <w:t>00 000 000 zł.</w:t>
      </w:r>
      <w:r>
        <w:t xml:space="preserve"> </w:t>
      </w:r>
    </w:p>
    <w:p w14:paraId="0C402983" w14:textId="77777777" w:rsidR="00CD105F" w:rsidRPr="00CD105F" w:rsidRDefault="00FF5F40" w:rsidP="00A41B60">
      <w:pPr>
        <w:pStyle w:val="Akapitzlist"/>
        <w:numPr>
          <w:ilvl w:val="0"/>
          <w:numId w:val="1"/>
        </w:numPr>
        <w:tabs>
          <w:tab w:val="left" w:pos="709"/>
        </w:tabs>
        <w:spacing w:before="120" w:after="0" w:line="240" w:lineRule="auto"/>
        <w:jc w:val="both"/>
        <w:rPr>
          <w:b/>
        </w:rPr>
      </w:pPr>
      <w:r w:rsidRPr="00103CDE">
        <w:rPr>
          <w:b/>
        </w:rPr>
        <w:t>Formy dofinansowania</w:t>
      </w:r>
    </w:p>
    <w:p w14:paraId="14853EDD" w14:textId="37E2343F" w:rsidR="00CD105F" w:rsidRDefault="00FF5F40" w:rsidP="00430CA8">
      <w:pPr>
        <w:pStyle w:val="Akapitzlist"/>
        <w:spacing w:before="120" w:after="0"/>
        <w:ind w:left="709"/>
        <w:jc w:val="both"/>
      </w:pPr>
      <w:r>
        <w:t>Dofinansowanie będzie udzielane w formie</w:t>
      </w:r>
      <w:r w:rsidR="00171C7E">
        <w:t xml:space="preserve"> </w:t>
      </w:r>
      <w:r w:rsidR="00B5320D">
        <w:t>dotacji</w:t>
      </w:r>
      <w:r w:rsidR="00171C7E">
        <w:t xml:space="preserve">, </w:t>
      </w:r>
      <w:r>
        <w:t>zgodnie z programem priorytetowym</w:t>
      </w:r>
      <w:r w:rsidR="00CD105F">
        <w:t>.</w:t>
      </w:r>
    </w:p>
    <w:p w14:paraId="4D3BB2E9" w14:textId="77777777" w:rsidR="007A0064" w:rsidRPr="00864677" w:rsidRDefault="00FF5F40" w:rsidP="00A41B60">
      <w:pPr>
        <w:pStyle w:val="Akapitzlist"/>
        <w:numPr>
          <w:ilvl w:val="0"/>
          <w:numId w:val="1"/>
        </w:numPr>
        <w:tabs>
          <w:tab w:val="left" w:pos="709"/>
        </w:tabs>
        <w:spacing w:before="120" w:after="0" w:line="240" w:lineRule="auto"/>
        <w:jc w:val="both"/>
        <w:rPr>
          <w:b/>
        </w:rPr>
      </w:pPr>
      <w:r>
        <w:rPr>
          <w:b/>
        </w:rPr>
        <w:t>Intensywność dofinansowania</w:t>
      </w:r>
    </w:p>
    <w:p w14:paraId="476CF243" w14:textId="72CF242A" w:rsidR="002568D9" w:rsidRPr="001A2A64" w:rsidRDefault="007A0064" w:rsidP="001A2A64">
      <w:pPr>
        <w:pStyle w:val="Akapitzlist"/>
        <w:tabs>
          <w:tab w:val="left" w:pos="709"/>
        </w:tabs>
        <w:spacing w:before="120" w:after="0" w:line="240" w:lineRule="auto"/>
        <w:ind w:left="720"/>
        <w:jc w:val="both"/>
        <w:rPr>
          <w:u w:val="single"/>
        </w:rPr>
      </w:pPr>
      <w:r w:rsidRPr="00864677">
        <w:rPr>
          <w:u w:val="single"/>
        </w:rPr>
        <w:t>Intensywność dofinansowania dla dotacji:</w:t>
      </w:r>
    </w:p>
    <w:p w14:paraId="13A05613" w14:textId="77777777" w:rsidR="00A05C7B" w:rsidRDefault="003E506B" w:rsidP="00A05C7B">
      <w:pPr>
        <w:autoSpaceDE w:val="0"/>
        <w:autoSpaceDN w:val="0"/>
        <w:adjustRightInd w:val="0"/>
        <w:spacing w:before="120"/>
        <w:ind w:left="851" w:hanging="142"/>
        <w:jc w:val="both"/>
        <w:rPr>
          <w:rFonts w:asciiTheme="minorHAnsi" w:hAnsiTheme="minorHAnsi"/>
        </w:rPr>
      </w:pPr>
      <w:r w:rsidRPr="00A05C7B">
        <w:rPr>
          <w:rFonts w:asciiTheme="minorHAnsi" w:hAnsiTheme="minorHAnsi"/>
        </w:rPr>
        <w:t>dofinansowanie w formie dotacji w wysokości</w:t>
      </w:r>
      <w:r w:rsidR="00A05C7B">
        <w:rPr>
          <w:rFonts w:asciiTheme="minorHAnsi" w:hAnsiTheme="minorHAnsi"/>
        </w:rPr>
        <w:t>:</w:t>
      </w:r>
    </w:p>
    <w:p w14:paraId="64805545" w14:textId="7F74E456" w:rsidR="00A05C7B" w:rsidRPr="00BA69B8" w:rsidRDefault="00A05C7B" w:rsidP="00A05C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Theme="minorHAnsi" w:hAnsiTheme="minorHAnsi" w:cstheme="minorHAnsi"/>
        </w:rPr>
      </w:pPr>
      <w:r w:rsidRPr="00A05C7B">
        <w:rPr>
          <w:rFonts w:asciiTheme="minorHAnsi" w:hAnsiTheme="minorHAnsi" w:cstheme="minorHAnsi"/>
        </w:rPr>
        <w:t xml:space="preserve"> </w:t>
      </w:r>
      <w:r w:rsidRPr="00AB4445">
        <w:rPr>
          <w:rFonts w:asciiTheme="minorHAnsi" w:hAnsiTheme="minorHAnsi" w:cstheme="minorHAnsi"/>
        </w:rPr>
        <w:t xml:space="preserve">dofinansowanie w formie dotacji w wysokości do 100% kosztów kwalifikowanych udzielane </w:t>
      </w:r>
      <w:r w:rsidRPr="00253687">
        <w:rPr>
          <w:rFonts w:asciiTheme="minorHAnsi" w:hAnsiTheme="minorHAnsi" w:cstheme="minorHAnsi"/>
        </w:rPr>
        <w:t xml:space="preserve">będzie na działania związane z instalacją liczników, dostosowaniem niezbędnej infrastruktury </w:t>
      </w:r>
      <w:r w:rsidRPr="00EB55FA">
        <w:rPr>
          <w:rFonts w:asciiTheme="minorHAnsi" w:hAnsiTheme="minorHAnsi" w:cstheme="minorHAnsi"/>
        </w:rPr>
        <w:t xml:space="preserve">energetycznej, </w:t>
      </w:r>
      <w:r>
        <w:rPr>
          <w:rFonts w:asciiTheme="minorHAnsi" w:hAnsiTheme="minorHAnsi" w:cstheme="minorHAnsi"/>
        </w:rPr>
        <w:t>telekomunikacyjnej lub</w:t>
      </w:r>
      <w:r w:rsidRPr="00EB55FA">
        <w:rPr>
          <w:rFonts w:asciiTheme="minorHAnsi" w:hAnsiTheme="minorHAnsi" w:cstheme="minorHAnsi"/>
        </w:rPr>
        <w:t xml:space="preserve"> technicznej </w:t>
      </w:r>
      <w:r w:rsidRPr="00253687">
        <w:rPr>
          <w:rFonts w:asciiTheme="minorHAnsi" w:hAnsiTheme="minorHAnsi" w:cstheme="minorHAnsi"/>
        </w:rPr>
        <w:t>wymaganej</w:t>
      </w:r>
      <w:r w:rsidRPr="00EB55FA">
        <w:rPr>
          <w:rFonts w:asciiTheme="minorHAnsi" w:hAnsiTheme="minorHAnsi" w:cstheme="minorHAnsi"/>
        </w:rPr>
        <w:t xml:space="preserve"> </w:t>
      </w:r>
      <w:r w:rsidRPr="008006A3">
        <w:rPr>
          <w:rFonts w:asciiTheme="minorHAnsi" w:hAnsiTheme="minorHAnsi" w:cstheme="minorHAnsi"/>
        </w:rPr>
        <w:t>do prawidłowego funkcjonowania tego</w:t>
      </w:r>
      <w:r w:rsidRPr="00BA69B8">
        <w:rPr>
          <w:rFonts w:asciiTheme="minorHAnsi" w:hAnsiTheme="minorHAnsi" w:cstheme="minorHAnsi"/>
        </w:rPr>
        <w:t xml:space="preserve"> licznika u odbiorcy końcowego, koszty oprogramowania (w tym systemów pomiarowych, systemów zdalnego odczytu)</w:t>
      </w:r>
      <w:r>
        <w:rPr>
          <w:rFonts w:asciiTheme="minorHAnsi" w:hAnsiTheme="minorHAnsi" w:cstheme="minorHAnsi"/>
        </w:rPr>
        <w:t>,</w:t>
      </w:r>
    </w:p>
    <w:p w14:paraId="2A542431" w14:textId="2B1859AF" w:rsidR="00A05C7B" w:rsidRPr="00401C00" w:rsidRDefault="00A05C7B" w:rsidP="00A05C7B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EastAsia" w:hAnsiTheme="minorHAnsi" w:cstheme="minorBidi"/>
        </w:rPr>
      </w:pPr>
      <w:r w:rsidRPr="501E32B3">
        <w:rPr>
          <w:rFonts w:asciiTheme="minorHAnsi" w:hAnsiTheme="minorHAnsi"/>
        </w:rPr>
        <w:t xml:space="preserve">dofinansowanie w formie dotacji w wysokości do 50% kosztów kwalifikowanych </w:t>
      </w:r>
      <w:r>
        <w:rPr>
          <w:rFonts w:asciiTheme="minorHAnsi" w:hAnsiTheme="minorHAnsi"/>
        </w:rPr>
        <w:t xml:space="preserve">udzielane będzie na działania </w:t>
      </w:r>
      <w:r w:rsidRPr="501E32B3">
        <w:rPr>
          <w:rFonts w:asciiTheme="minorHAnsi" w:hAnsiTheme="minorHAnsi"/>
        </w:rPr>
        <w:t>związan</w:t>
      </w:r>
      <w:r>
        <w:rPr>
          <w:rFonts w:asciiTheme="minorHAnsi" w:hAnsiTheme="minorHAnsi"/>
        </w:rPr>
        <w:t xml:space="preserve">e </w:t>
      </w:r>
      <w:r w:rsidRPr="501E32B3">
        <w:rPr>
          <w:rFonts w:asciiTheme="minorHAnsi" w:hAnsiTheme="minorHAnsi"/>
        </w:rPr>
        <w:t xml:space="preserve">z </w:t>
      </w:r>
      <w:r w:rsidRPr="501E32B3">
        <w:rPr>
          <w:rFonts w:cs="Calibri"/>
        </w:rPr>
        <w:t xml:space="preserve">zakupem (bez kosztów instalacji) </w:t>
      </w:r>
      <w:r>
        <w:rPr>
          <w:rFonts w:cs="Calibri"/>
        </w:rPr>
        <w:t xml:space="preserve"> </w:t>
      </w:r>
      <w:r w:rsidRPr="501E32B3">
        <w:rPr>
          <w:rFonts w:cs="Calibri"/>
        </w:rPr>
        <w:t>liczników</w:t>
      </w:r>
      <w:r>
        <w:rPr>
          <w:rFonts w:cs="Calibri"/>
        </w:rPr>
        <w:t xml:space="preserve"> zdalnego odczytu – inteligent</w:t>
      </w:r>
      <w:r w:rsidR="00D74E52">
        <w:rPr>
          <w:rFonts w:cs="Calibri"/>
        </w:rPr>
        <w:t>n</w:t>
      </w:r>
      <w:r>
        <w:rPr>
          <w:rFonts w:cs="Calibri"/>
        </w:rPr>
        <w:t>ych liczników</w:t>
      </w:r>
      <w:r w:rsidRPr="501E32B3">
        <w:rPr>
          <w:rFonts w:cs="Calibri"/>
        </w:rPr>
        <w:t xml:space="preserve"> </w:t>
      </w:r>
      <w:r>
        <w:rPr>
          <w:rFonts w:cs="Calibri"/>
        </w:rPr>
        <w:t>AMI</w:t>
      </w:r>
      <w:r>
        <w:rPr>
          <w:rFonts w:asciiTheme="minorHAnsi" w:hAnsiTheme="minorHAnsi"/>
        </w:rPr>
        <w:t>.</w:t>
      </w:r>
      <w:r w:rsidRPr="501E32B3">
        <w:rPr>
          <w:rFonts w:asciiTheme="minorHAnsi" w:hAnsiTheme="minorHAnsi"/>
        </w:rPr>
        <w:t xml:space="preserve"> </w:t>
      </w:r>
    </w:p>
    <w:p w14:paraId="504AEC31" w14:textId="0912D77F" w:rsidR="00D14D69" w:rsidRPr="00A05C7B" w:rsidRDefault="003E506B" w:rsidP="00A05C7B">
      <w:pPr>
        <w:autoSpaceDE w:val="0"/>
        <w:autoSpaceDN w:val="0"/>
        <w:adjustRightInd w:val="0"/>
        <w:spacing w:before="120"/>
        <w:ind w:left="851" w:hanging="142"/>
        <w:jc w:val="both"/>
        <w:rPr>
          <w:rFonts w:asciiTheme="minorHAnsi" w:hAnsiTheme="minorHAnsi"/>
        </w:rPr>
      </w:pPr>
      <w:r w:rsidRPr="00A05C7B">
        <w:rPr>
          <w:rFonts w:asciiTheme="minorHAnsi" w:hAnsiTheme="minorHAnsi"/>
        </w:rPr>
        <w:t xml:space="preserve"> </w:t>
      </w:r>
    </w:p>
    <w:p w14:paraId="6553FAFA" w14:textId="5871934F" w:rsidR="00D14D69" w:rsidRPr="00A05C7B" w:rsidRDefault="00D14D69" w:rsidP="00A05C7B">
      <w:pPr>
        <w:pStyle w:val="Akapitzlist"/>
        <w:numPr>
          <w:ilvl w:val="0"/>
          <w:numId w:val="1"/>
        </w:numPr>
        <w:rPr>
          <w:b/>
        </w:rPr>
      </w:pPr>
      <w:r w:rsidRPr="00D14D69">
        <w:rPr>
          <w:b/>
        </w:rPr>
        <w:t>Koszty kwalifikowane</w:t>
      </w:r>
    </w:p>
    <w:p w14:paraId="5DCC4472" w14:textId="0A39AE53" w:rsidR="00D14D69" w:rsidRPr="00A05C7B" w:rsidRDefault="00D14D69" w:rsidP="00D14D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A05C7B">
        <w:rPr>
          <w:rFonts w:asciiTheme="minorHAnsi" w:hAnsiTheme="minorHAnsi"/>
        </w:rPr>
        <w:t>Okres kwalifikowalności kosztów od 01.01.2021 r. do 31.12.202</w:t>
      </w:r>
      <w:r w:rsidR="00A05C7B">
        <w:rPr>
          <w:rFonts w:asciiTheme="minorHAnsi" w:hAnsiTheme="minorHAnsi"/>
        </w:rPr>
        <w:t>5</w:t>
      </w:r>
      <w:r w:rsidRPr="00A05C7B">
        <w:rPr>
          <w:rFonts w:asciiTheme="minorHAnsi" w:hAnsiTheme="minorHAnsi"/>
        </w:rPr>
        <w:t xml:space="preserve"> r., w którym to okresie poniesione koszty mogą być uznane za kwalifikowane,</w:t>
      </w:r>
    </w:p>
    <w:p w14:paraId="006AAB59" w14:textId="1ADCD932" w:rsidR="00D14D69" w:rsidRDefault="00D14D69" w:rsidP="00D14D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D14D69">
        <w:rPr>
          <w:rFonts w:asciiTheme="minorHAnsi" w:hAnsiTheme="minorHAnsi"/>
        </w:rPr>
        <w:t xml:space="preserve">kwalifikowalność kosztów ustala się zgodnie z „Wytycznymi w zakresie kosztów kwalifikowanych”, z zastrzeżeniem, że kwalifikowane są: </w:t>
      </w:r>
    </w:p>
    <w:p w14:paraId="1E98295D" w14:textId="77777777" w:rsidR="00A05C7B" w:rsidRPr="00401C00" w:rsidRDefault="00A05C7B" w:rsidP="00552B7C">
      <w:pPr>
        <w:pStyle w:val="Tekstpodstawowy"/>
        <w:keepLines w:val="0"/>
        <w:numPr>
          <w:ilvl w:val="1"/>
          <w:numId w:val="4"/>
        </w:numPr>
        <w:spacing w:before="60"/>
        <w:rPr>
          <w:rFonts w:asciiTheme="minorHAnsi" w:eastAsiaTheme="minorEastAsia" w:hAnsiTheme="minorHAnsi" w:cstheme="minorBidi"/>
          <w:color w:val="000000"/>
          <w:spacing w:val="0"/>
          <w:szCs w:val="22"/>
        </w:rPr>
      </w:pPr>
      <w:r w:rsidRPr="501E32B3">
        <w:rPr>
          <w:rFonts w:asciiTheme="minorHAnsi" w:hAnsiTheme="minorHAnsi" w:cstheme="minorBidi"/>
          <w:color w:val="000000"/>
          <w:spacing w:val="0"/>
        </w:rPr>
        <w:t xml:space="preserve">koszty nabycia </w:t>
      </w:r>
      <w:r w:rsidRPr="501E32B3">
        <w:rPr>
          <w:rFonts w:ascii="Calibri" w:eastAsia="Calibri" w:hAnsi="Calibri" w:cs="Calibri"/>
          <w:szCs w:val="22"/>
        </w:rPr>
        <w:t>liczników zdalnego odczytu</w:t>
      </w:r>
      <w:r w:rsidRPr="501E32B3">
        <w:rPr>
          <w:rFonts w:asciiTheme="minorHAnsi" w:hAnsiTheme="minorHAnsi" w:cstheme="minorBidi"/>
          <w:color w:val="000000"/>
          <w:spacing w:val="0"/>
        </w:rPr>
        <w:t xml:space="preserve">, </w:t>
      </w:r>
    </w:p>
    <w:p w14:paraId="4E778CD5" w14:textId="77777777" w:rsidR="00A05C7B" w:rsidRPr="00BA69B8" w:rsidRDefault="00A05C7B" w:rsidP="00552B7C">
      <w:pPr>
        <w:pStyle w:val="Tekstpodstawowy"/>
        <w:keepLines w:val="0"/>
        <w:numPr>
          <w:ilvl w:val="1"/>
          <w:numId w:val="4"/>
        </w:numPr>
        <w:spacing w:before="60"/>
        <w:rPr>
          <w:rFonts w:asciiTheme="minorHAnsi" w:eastAsiaTheme="minorEastAsia" w:hAnsiTheme="minorHAnsi" w:cstheme="minorHAnsi"/>
          <w:color w:val="000000"/>
          <w:spacing w:val="0"/>
          <w:szCs w:val="22"/>
        </w:rPr>
      </w:pPr>
      <w:r>
        <w:rPr>
          <w:rFonts w:asciiTheme="minorHAnsi" w:hAnsiTheme="minorHAnsi" w:cstheme="minorHAnsi"/>
          <w:color w:val="000000"/>
          <w:spacing w:val="0"/>
          <w:szCs w:val="22"/>
        </w:rPr>
        <w:t>k</w:t>
      </w:r>
      <w:r w:rsidRPr="00AB4445">
        <w:rPr>
          <w:rFonts w:asciiTheme="minorHAnsi" w:hAnsiTheme="minorHAnsi" w:cstheme="minorHAnsi"/>
          <w:color w:val="000000"/>
          <w:spacing w:val="0"/>
          <w:szCs w:val="22"/>
        </w:rPr>
        <w:t>oszty</w:t>
      </w:r>
      <w:r w:rsidRPr="00AB4445">
        <w:rPr>
          <w:rFonts w:asciiTheme="minorHAnsi" w:eastAsia="Calibri" w:hAnsiTheme="minorHAnsi" w:cstheme="minorHAnsi"/>
          <w:szCs w:val="22"/>
        </w:rPr>
        <w:t xml:space="preserve"> związane z dostosowaniem infrastruktury energetycznej</w:t>
      </w:r>
      <w:r>
        <w:rPr>
          <w:rFonts w:asciiTheme="minorHAnsi" w:eastAsia="Calibri" w:hAnsiTheme="minorHAnsi" w:cstheme="minorHAnsi"/>
          <w:szCs w:val="22"/>
        </w:rPr>
        <w:t>, telekomunikacyjnej lub technicznej niezbędnej do obsługi</w:t>
      </w:r>
      <w:r w:rsidRPr="00AB4445">
        <w:rPr>
          <w:rFonts w:asciiTheme="minorHAnsi" w:eastAsia="Calibri" w:hAnsiTheme="minorHAnsi" w:cstheme="minorHAnsi"/>
          <w:szCs w:val="22"/>
        </w:rPr>
        <w:t xml:space="preserve"> liczników</w:t>
      </w:r>
      <w:r>
        <w:rPr>
          <w:rFonts w:asciiTheme="minorHAnsi" w:eastAsia="Calibri" w:hAnsiTheme="minorHAnsi" w:cstheme="minorHAnsi"/>
          <w:szCs w:val="22"/>
        </w:rPr>
        <w:t xml:space="preserve"> zdalnego odczytu</w:t>
      </w:r>
      <w:r w:rsidRPr="00AB4445">
        <w:rPr>
          <w:rFonts w:asciiTheme="minorHAnsi" w:hAnsiTheme="minorHAnsi" w:cstheme="minorHAnsi"/>
          <w:color w:val="000000"/>
          <w:spacing w:val="0"/>
          <w:szCs w:val="22"/>
        </w:rPr>
        <w:t xml:space="preserve">, </w:t>
      </w:r>
      <w:r w:rsidRPr="00BA69B8">
        <w:rPr>
          <w:rFonts w:asciiTheme="minorHAnsi" w:hAnsiTheme="minorHAnsi" w:cstheme="minorHAnsi"/>
          <w:color w:val="000000"/>
          <w:spacing w:val="0"/>
          <w:szCs w:val="22"/>
        </w:rPr>
        <w:t xml:space="preserve">w tym koszty montażu (instalacji)  liczników i </w:t>
      </w:r>
      <w:r>
        <w:rPr>
          <w:rFonts w:asciiTheme="minorHAnsi" w:hAnsiTheme="minorHAnsi" w:cstheme="minorHAnsi"/>
          <w:color w:val="000000"/>
          <w:spacing w:val="0"/>
          <w:szCs w:val="22"/>
        </w:rPr>
        <w:t xml:space="preserve">niezbędnej </w:t>
      </w:r>
      <w:r w:rsidRPr="00BA69B8">
        <w:rPr>
          <w:rFonts w:asciiTheme="minorHAnsi" w:hAnsiTheme="minorHAnsi" w:cstheme="minorHAnsi"/>
          <w:color w:val="000000"/>
          <w:spacing w:val="0"/>
          <w:szCs w:val="22"/>
        </w:rPr>
        <w:t>in</w:t>
      </w:r>
      <w:r>
        <w:rPr>
          <w:rFonts w:asciiTheme="minorHAnsi" w:hAnsiTheme="minorHAnsi" w:cstheme="minorHAnsi"/>
          <w:color w:val="000000"/>
          <w:spacing w:val="0"/>
          <w:szCs w:val="22"/>
        </w:rPr>
        <w:t>frastruktury,</w:t>
      </w:r>
    </w:p>
    <w:p w14:paraId="0D5C000F" w14:textId="77777777" w:rsidR="00552B7C" w:rsidRPr="00552B7C" w:rsidRDefault="00A05C7B" w:rsidP="00552B7C">
      <w:pPr>
        <w:pStyle w:val="Tekstpodstawowy"/>
        <w:numPr>
          <w:ilvl w:val="1"/>
          <w:numId w:val="4"/>
        </w:numPr>
        <w:spacing w:before="60" w:line="257" w:lineRule="auto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00EE52A3">
        <w:rPr>
          <w:rFonts w:asciiTheme="minorHAnsi" w:hAnsiTheme="minorHAnsi" w:cstheme="minorBidi"/>
          <w:color w:val="000000" w:themeColor="text1"/>
          <w:szCs w:val="22"/>
          <w:lang w:val="fr"/>
        </w:rPr>
        <w:t xml:space="preserve">koszty oprogramowania (w tym systemów pomiarowych, systemów zdalnego odczytu), </w:t>
      </w:r>
      <w:r w:rsidRPr="00EE52A3">
        <w:rPr>
          <w:rFonts w:ascii="Calibri" w:eastAsia="Calibri" w:hAnsi="Calibri" w:cs="Calibri"/>
          <w:szCs w:val="22"/>
        </w:rPr>
        <w:t>koszty infrastruktury informatycznej: macierze, serwery</w:t>
      </w:r>
      <w:r>
        <w:rPr>
          <w:rFonts w:ascii="Calibri" w:eastAsia="Calibri" w:hAnsi="Calibri" w:cs="Calibri"/>
          <w:szCs w:val="22"/>
        </w:rPr>
        <w:t>,</w:t>
      </w:r>
    </w:p>
    <w:p w14:paraId="710C3BCF" w14:textId="24EDE855" w:rsidR="00A05C7B" w:rsidRPr="00552B7C" w:rsidRDefault="00A05C7B" w:rsidP="00552B7C">
      <w:pPr>
        <w:pStyle w:val="Tekstpodstawowy"/>
        <w:numPr>
          <w:ilvl w:val="0"/>
          <w:numId w:val="14"/>
        </w:numPr>
        <w:spacing w:before="60" w:line="257" w:lineRule="auto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00552B7C">
        <w:rPr>
          <w:rFonts w:asciiTheme="minorHAnsi" w:hAnsiTheme="minorHAnsi" w:cstheme="minorHAnsi"/>
          <w:lang w:val="fr"/>
        </w:rPr>
        <w:lastRenderedPageBreak/>
        <w:t xml:space="preserve">w zakresie w jakim </w:t>
      </w:r>
      <w:r w:rsidRPr="00552B7C">
        <w:rPr>
          <w:rFonts w:asciiTheme="minorHAnsi" w:hAnsiTheme="minorHAnsi" w:cstheme="minorHAnsi"/>
        </w:rPr>
        <w:t>stanowią uzasadnione koszty działalności operatora systemu dystrybucyjnego elektroenergetycznego,</w:t>
      </w:r>
    </w:p>
    <w:p w14:paraId="191A4697" w14:textId="77777777" w:rsidR="00A05C7B" w:rsidRPr="00401C00" w:rsidRDefault="00A05C7B" w:rsidP="00552B7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12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401C00">
        <w:rPr>
          <w:rFonts w:asciiTheme="minorHAnsi" w:hAnsiTheme="minorHAnsi" w:cstheme="minorHAnsi"/>
          <w:color w:val="000000"/>
        </w:rPr>
        <w:t xml:space="preserve">podatek od towarów i usług (VAT) jest kosztem kwalifikowanym tylko wówczas, gdy jest on faktycznie i ostatecznie ponoszony przez Beneficjenta, a Beneficjent nie ma prawnej możliwości odliczenia podatku naliczonego od podatku należnego w jakiejkolwiek części, zgodnie z przepisami ustawy </w:t>
      </w:r>
      <w:r>
        <w:rPr>
          <w:rFonts w:asciiTheme="minorHAnsi" w:hAnsiTheme="minorHAnsi" w:cstheme="minorHAnsi"/>
          <w:color w:val="000000"/>
        </w:rPr>
        <w:t xml:space="preserve">z dnia 11 marca 2004 r. </w:t>
      </w:r>
      <w:r w:rsidRPr="00401C00">
        <w:rPr>
          <w:rFonts w:asciiTheme="minorHAnsi" w:hAnsiTheme="minorHAnsi" w:cstheme="minorHAnsi"/>
          <w:color w:val="000000"/>
        </w:rPr>
        <w:t>o podatku od towarów i usług</w:t>
      </w:r>
      <w:r>
        <w:rPr>
          <w:rFonts w:asciiTheme="minorHAnsi" w:hAnsiTheme="minorHAnsi" w:cstheme="minorHAnsi"/>
          <w:color w:val="000000"/>
        </w:rPr>
        <w:t xml:space="preserve"> (t.j. </w:t>
      </w:r>
      <w:r w:rsidRPr="005413E1">
        <w:rPr>
          <w:rFonts w:asciiTheme="minorHAnsi" w:hAnsiTheme="minorHAnsi" w:cstheme="minorHAnsi"/>
          <w:color w:val="000000"/>
        </w:rPr>
        <w:t>Dz. U. z 2021 r. poz. 685</w:t>
      </w:r>
      <w:r>
        <w:rPr>
          <w:rFonts w:asciiTheme="minorHAnsi" w:hAnsiTheme="minorHAnsi" w:cstheme="minorHAnsi"/>
          <w:color w:val="000000"/>
        </w:rPr>
        <w:t>, z późn. zm.</w:t>
      </w:r>
      <w:r w:rsidRPr="005413E1">
        <w:rPr>
          <w:rFonts w:asciiTheme="minorHAnsi" w:hAnsiTheme="minorHAnsi" w:cstheme="minorHAnsi"/>
          <w:color w:val="000000"/>
        </w:rPr>
        <w:t>)</w:t>
      </w:r>
      <w:r w:rsidRPr="00401C00">
        <w:rPr>
          <w:rFonts w:asciiTheme="minorHAnsi" w:hAnsiTheme="minorHAnsi" w:cstheme="minorHAnsi"/>
          <w:color w:val="000000"/>
        </w:rPr>
        <w:t xml:space="preserve">. Podatek VAT, który można odliczyć, nie może być uznany za kwalifikowany, nawet jeżeli nie został faktycznie odzyskany przez Beneficjenta. Oznacza to, że w  przypadkach, gdy Beneficjent może odliczyć podatek VAT, ale rezygnuje z tej możliwości, podatek VAT nie jest kosztem kwalifikowanym. </w:t>
      </w:r>
    </w:p>
    <w:p w14:paraId="04B7E9FC" w14:textId="77777777" w:rsidR="00A05C7B" w:rsidRPr="00D14D69" w:rsidRDefault="00A05C7B" w:rsidP="00552B7C">
      <w:pPr>
        <w:pStyle w:val="Akapitzlist"/>
        <w:autoSpaceDE w:val="0"/>
        <w:autoSpaceDN w:val="0"/>
        <w:adjustRightInd w:val="0"/>
        <w:spacing w:before="120"/>
        <w:ind w:left="1287"/>
        <w:jc w:val="both"/>
        <w:rPr>
          <w:rFonts w:asciiTheme="minorHAnsi" w:hAnsiTheme="minorHAnsi"/>
        </w:rPr>
      </w:pPr>
    </w:p>
    <w:p w14:paraId="3C389697" w14:textId="3F24AB74" w:rsidR="0014718D" w:rsidRDefault="00FF5F40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F64A29">
        <w:rPr>
          <w:b/>
        </w:rPr>
        <w:t>Beneficjenci</w:t>
      </w:r>
    </w:p>
    <w:p w14:paraId="7CD268B0" w14:textId="6B988527" w:rsidR="008C539D" w:rsidRDefault="008C539D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>
        <w:rPr>
          <w:rFonts w:asciiTheme="minorHAnsi" w:hAnsiTheme="minorHAnsi"/>
        </w:rPr>
        <w:t>O</w:t>
      </w:r>
      <w:r w:rsidRPr="5EBE894A">
        <w:rPr>
          <w:rFonts w:asciiTheme="minorHAnsi" w:hAnsiTheme="minorHAnsi"/>
        </w:rPr>
        <w:t>perator</w:t>
      </w:r>
      <w:r>
        <w:rPr>
          <w:rFonts w:asciiTheme="minorHAnsi" w:hAnsiTheme="minorHAnsi"/>
        </w:rPr>
        <w:t>zy</w:t>
      </w:r>
      <w:r w:rsidRPr="5EBE89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</w:t>
      </w:r>
      <w:r w:rsidRPr="5EBE894A">
        <w:rPr>
          <w:rFonts w:asciiTheme="minorHAnsi" w:hAnsiTheme="minorHAnsi"/>
        </w:rPr>
        <w:t xml:space="preserve">ystemu </w:t>
      </w:r>
      <w:r>
        <w:rPr>
          <w:rFonts w:asciiTheme="minorHAnsi" w:hAnsiTheme="minorHAnsi"/>
        </w:rPr>
        <w:t>d</w:t>
      </w:r>
      <w:r w:rsidRPr="5EBE894A">
        <w:rPr>
          <w:rFonts w:asciiTheme="minorHAnsi" w:hAnsiTheme="minorHAnsi"/>
        </w:rPr>
        <w:t>ystrybucyjnego</w:t>
      </w:r>
      <w:r>
        <w:rPr>
          <w:rFonts w:asciiTheme="minorHAnsi" w:hAnsiTheme="minorHAnsi"/>
        </w:rPr>
        <w:t xml:space="preserve"> - </w:t>
      </w:r>
      <w:r w:rsidRPr="00C4576E">
        <w:rPr>
          <w:rFonts w:asciiTheme="minorHAnsi" w:hAnsiTheme="minorHAnsi"/>
        </w:rPr>
        <w:t xml:space="preserve">operatorzy systemu dystrybucyjnego elektroenergetycznego w rozumieniu </w:t>
      </w:r>
      <w:r>
        <w:rPr>
          <w:rFonts w:asciiTheme="minorHAnsi" w:hAnsiTheme="minorHAnsi"/>
        </w:rPr>
        <w:t>art. 3 pkt. 25 ustawy</w:t>
      </w:r>
      <w:r w:rsidRPr="00125B1A">
        <w:rPr>
          <w:rFonts w:asciiTheme="minorHAnsi" w:hAnsiTheme="minorHAnsi"/>
        </w:rPr>
        <w:t xml:space="preserve"> z dnia 10 kwietnia 1997 r. - Prawo energetyczne</w:t>
      </w:r>
      <w:r>
        <w:rPr>
          <w:rFonts w:asciiTheme="minorHAnsi" w:hAnsiTheme="minorHAnsi"/>
        </w:rPr>
        <w:t xml:space="preserve"> (t.j. </w:t>
      </w:r>
      <w:r w:rsidRPr="00125B1A">
        <w:rPr>
          <w:rFonts w:asciiTheme="minorHAnsi" w:hAnsiTheme="minorHAnsi"/>
        </w:rPr>
        <w:t xml:space="preserve">Dz.U. </w:t>
      </w:r>
      <w:r>
        <w:rPr>
          <w:rFonts w:asciiTheme="minorHAnsi" w:hAnsiTheme="minorHAnsi"/>
        </w:rPr>
        <w:t>z 2021 r.</w:t>
      </w:r>
      <w:r w:rsidRPr="00125B1A">
        <w:rPr>
          <w:rFonts w:asciiTheme="minorHAnsi" w:hAnsiTheme="minorHAnsi"/>
        </w:rPr>
        <w:t xml:space="preserve"> poz. </w:t>
      </w:r>
      <w:r>
        <w:rPr>
          <w:rFonts w:asciiTheme="minorHAnsi" w:hAnsiTheme="minorHAnsi"/>
        </w:rPr>
        <w:t>716, z późn. zm.)</w:t>
      </w:r>
      <w:r w:rsidRPr="0056399F">
        <w:rPr>
          <w:rFonts w:asciiTheme="minorHAnsi" w:hAnsiTheme="minorHAnsi"/>
        </w:rPr>
        <w:t>.</w:t>
      </w:r>
    </w:p>
    <w:p w14:paraId="6273C086" w14:textId="5893F4D6" w:rsidR="00745CAA" w:rsidRPr="00A75005" w:rsidRDefault="00745CAA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A75005">
        <w:rPr>
          <w:b/>
        </w:rPr>
        <w:t>Kontakt w sprawie programu</w:t>
      </w:r>
    </w:p>
    <w:p w14:paraId="60C88D8F" w14:textId="57E82DF4" w:rsidR="003E506B" w:rsidRDefault="003C06BD" w:rsidP="0062484E">
      <w:pPr>
        <w:pStyle w:val="NormalnyWeb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hyperlink r:id="rId9" w:history="1">
        <w:r w:rsidR="00617AB9" w:rsidRPr="00617AB9">
          <w:rPr>
            <w:rStyle w:val="Hipercze"/>
            <w:rFonts w:ascii="Calibri" w:hAnsi="Calibri"/>
            <w:sz w:val="22"/>
            <w:szCs w:val="22"/>
          </w:rPr>
          <w:t>FM@nfosigw.gov.pl</w:t>
        </w:r>
      </w:hyperlink>
    </w:p>
    <w:p w14:paraId="2FCF0395" w14:textId="77777777" w:rsidR="003E506B" w:rsidRPr="0062484E" w:rsidRDefault="003E506B" w:rsidP="0062484E">
      <w:pPr>
        <w:pStyle w:val="NormalnyWeb"/>
        <w:spacing w:before="120" w:beforeAutospacing="0" w:after="0" w:afterAutospacing="0"/>
        <w:ind w:left="720"/>
        <w:jc w:val="both"/>
        <w:rPr>
          <w:rFonts w:ascii="Calibri" w:hAnsi="Calibri"/>
          <w:bCs/>
          <w:sz w:val="22"/>
          <w:szCs w:val="22"/>
        </w:rPr>
      </w:pPr>
    </w:p>
    <w:sectPr w:rsidR="003E506B" w:rsidRPr="0062484E" w:rsidSect="00864677">
      <w:pgSz w:w="12240" w:h="15840"/>
      <w:pgMar w:top="709" w:right="1134" w:bottom="1134" w:left="993" w:header="709" w:footer="709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E2C71" w16cex:dateUtc="2020-10-24T0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A2E331" w16cid:durableId="233E2C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4A114" w14:textId="77777777" w:rsidR="007E50BB" w:rsidRDefault="007E50BB" w:rsidP="005A30BD">
      <w:pPr>
        <w:spacing w:after="0" w:line="240" w:lineRule="auto"/>
      </w:pPr>
      <w:r>
        <w:separator/>
      </w:r>
    </w:p>
  </w:endnote>
  <w:endnote w:type="continuationSeparator" w:id="0">
    <w:p w14:paraId="1237FC47" w14:textId="77777777" w:rsidR="007E50BB" w:rsidRDefault="007E50BB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97885" w14:textId="77777777" w:rsidR="007E50BB" w:rsidRDefault="007E50BB" w:rsidP="005A30BD">
      <w:pPr>
        <w:spacing w:after="0" w:line="240" w:lineRule="auto"/>
      </w:pPr>
      <w:r>
        <w:separator/>
      </w:r>
    </w:p>
  </w:footnote>
  <w:footnote w:type="continuationSeparator" w:id="0">
    <w:p w14:paraId="65644AC6" w14:textId="77777777" w:rsidR="007E50BB" w:rsidRDefault="007E50BB" w:rsidP="005A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A2B"/>
    <w:multiLevelType w:val="hybridMultilevel"/>
    <w:tmpl w:val="2A00951C"/>
    <w:lvl w:ilvl="0" w:tplc="04150011">
      <w:start w:val="1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AD3DF9"/>
    <w:multiLevelType w:val="hybridMultilevel"/>
    <w:tmpl w:val="4C62E198"/>
    <w:lvl w:ilvl="0" w:tplc="40A6B45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96C"/>
    <w:multiLevelType w:val="hybridMultilevel"/>
    <w:tmpl w:val="C8284E94"/>
    <w:lvl w:ilvl="0" w:tplc="534ABA6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07B8E">
      <w:numFmt w:val="bullet"/>
      <w:lvlText w:val="•"/>
      <w:lvlJc w:val="left"/>
      <w:pPr>
        <w:ind w:left="2685" w:hanging="705"/>
      </w:pPr>
      <w:rPr>
        <w:rFonts w:ascii="Calibri" w:eastAsia="Times New Roman" w:hAnsi="Calibr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2822"/>
    <w:multiLevelType w:val="hybridMultilevel"/>
    <w:tmpl w:val="A0EE4E46"/>
    <w:lvl w:ilvl="0" w:tplc="4E3475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EB4ED8"/>
    <w:multiLevelType w:val="hybridMultilevel"/>
    <w:tmpl w:val="889A271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003FEB"/>
    <w:multiLevelType w:val="hybridMultilevel"/>
    <w:tmpl w:val="CD3E4D3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622CD"/>
    <w:multiLevelType w:val="hybridMultilevel"/>
    <w:tmpl w:val="401836F8"/>
    <w:lvl w:ilvl="0" w:tplc="A338244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02164"/>
    <w:multiLevelType w:val="hybridMultilevel"/>
    <w:tmpl w:val="6D165552"/>
    <w:lvl w:ilvl="0" w:tplc="01046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675E1"/>
    <w:multiLevelType w:val="hybridMultilevel"/>
    <w:tmpl w:val="C22A496A"/>
    <w:lvl w:ilvl="0" w:tplc="89D681EC">
      <w:numFmt w:val="bullet"/>
      <w:lvlText w:val="-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61A718A0"/>
    <w:multiLevelType w:val="hybridMultilevel"/>
    <w:tmpl w:val="EFB45654"/>
    <w:lvl w:ilvl="0" w:tplc="EFD2070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668660FE"/>
    <w:multiLevelType w:val="hybridMultilevel"/>
    <w:tmpl w:val="36E8D8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2818B2"/>
    <w:multiLevelType w:val="hybridMultilevel"/>
    <w:tmpl w:val="2DD23008"/>
    <w:lvl w:ilvl="0" w:tplc="FFFFFFFF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8A51EA4"/>
    <w:multiLevelType w:val="hybridMultilevel"/>
    <w:tmpl w:val="05446CF4"/>
    <w:lvl w:ilvl="0" w:tplc="3B7A0B60">
      <w:start w:val="1"/>
      <w:numFmt w:val="decimal"/>
      <w:lvlText w:val="%1)"/>
      <w:lvlJc w:val="left"/>
      <w:pPr>
        <w:ind w:left="1707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4649EF"/>
    <w:multiLevelType w:val="hybridMultilevel"/>
    <w:tmpl w:val="B5203202"/>
    <w:lvl w:ilvl="0" w:tplc="4E686D86">
      <w:start w:val="1"/>
      <w:numFmt w:val="decimal"/>
      <w:lvlText w:val="%1)"/>
      <w:lvlJc w:val="left"/>
      <w:pPr>
        <w:ind w:left="1287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4B0A"/>
    <w:rsid w:val="0002537F"/>
    <w:rsid w:val="00036856"/>
    <w:rsid w:val="00046942"/>
    <w:rsid w:val="000523A2"/>
    <w:rsid w:val="000620C1"/>
    <w:rsid w:val="000700A7"/>
    <w:rsid w:val="00074B8D"/>
    <w:rsid w:val="0008301F"/>
    <w:rsid w:val="0009120F"/>
    <w:rsid w:val="000A7E98"/>
    <w:rsid w:val="000D179C"/>
    <w:rsid w:val="000F3C18"/>
    <w:rsid w:val="00103CDE"/>
    <w:rsid w:val="001043E1"/>
    <w:rsid w:val="00105BB0"/>
    <w:rsid w:val="0010606A"/>
    <w:rsid w:val="00133B82"/>
    <w:rsid w:val="0014718D"/>
    <w:rsid w:val="00153D75"/>
    <w:rsid w:val="00171394"/>
    <w:rsid w:val="00171C7E"/>
    <w:rsid w:val="00185BC7"/>
    <w:rsid w:val="00190B67"/>
    <w:rsid w:val="00197B2D"/>
    <w:rsid w:val="001A0064"/>
    <w:rsid w:val="001A231E"/>
    <w:rsid w:val="001A2A64"/>
    <w:rsid w:val="001A347A"/>
    <w:rsid w:val="001B3AF9"/>
    <w:rsid w:val="001C7653"/>
    <w:rsid w:val="001D51A6"/>
    <w:rsid w:val="001F2CEA"/>
    <w:rsid w:val="001F365E"/>
    <w:rsid w:val="00204852"/>
    <w:rsid w:val="00207133"/>
    <w:rsid w:val="002078DE"/>
    <w:rsid w:val="00225351"/>
    <w:rsid w:val="00231D57"/>
    <w:rsid w:val="00232361"/>
    <w:rsid w:val="00243345"/>
    <w:rsid w:val="002568D9"/>
    <w:rsid w:val="0027398E"/>
    <w:rsid w:val="00274966"/>
    <w:rsid w:val="002753F5"/>
    <w:rsid w:val="00277F85"/>
    <w:rsid w:val="002A78B7"/>
    <w:rsid w:val="002C0269"/>
    <w:rsid w:val="002E3288"/>
    <w:rsid w:val="002E453E"/>
    <w:rsid w:val="002F6506"/>
    <w:rsid w:val="00305477"/>
    <w:rsid w:val="00317369"/>
    <w:rsid w:val="003637F4"/>
    <w:rsid w:val="00364BA7"/>
    <w:rsid w:val="00365CC3"/>
    <w:rsid w:val="0037449A"/>
    <w:rsid w:val="00374E4D"/>
    <w:rsid w:val="00380A8B"/>
    <w:rsid w:val="00386CE0"/>
    <w:rsid w:val="00395A76"/>
    <w:rsid w:val="003A4BB2"/>
    <w:rsid w:val="003B2BC1"/>
    <w:rsid w:val="003B5106"/>
    <w:rsid w:val="003B7E68"/>
    <w:rsid w:val="003C06BD"/>
    <w:rsid w:val="003C4C7A"/>
    <w:rsid w:val="003C55EE"/>
    <w:rsid w:val="003C6234"/>
    <w:rsid w:val="003D4166"/>
    <w:rsid w:val="003E506B"/>
    <w:rsid w:val="003F08A1"/>
    <w:rsid w:val="003F3A87"/>
    <w:rsid w:val="003F4F1F"/>
    <w:rsid w:val="00412316"/>
    <w:rsid w:val="00430CA8"/>
    <w:rsid w:val="00433C09"/>
    <w:rsid w:val="004375DD"/>
    <w:rsid w:val="00441041"/>
    <w:rsid w:val="00447E2E"/>
    <w:rsid w:val="00451DF0"/>
    <w:rsid w:val="0047307B"/>
    <w:rsid w:val="00481C94"/>
    <w:rsid w:val="00482D1B"/>
    <w:rsid w:val="0048363F"/>
    <w:rsid w:val="00486B71"/>
    <w:rsid w:val="0049163B"/>
    <w:rsid w:val="00496582"/>
    <w:rsid w:val="0049743A"/>
    <w:rsid w:val="004A30CA"/>
    <w:rsid w:val="004C77CA"/>
    <w:rsid w:val="004D048F"/>
    <w:rsid w:val="004D2203"/>
    <w:rsid w:val="004D40E1"/>
    <w:rsid w:val="004D416A"/>
    <w:rsid w:val="004E2128"/>
    <w:rsid w:val="004E60BF"/>
    <w:rsid w:val="005153B1"/>
    <w:rsid w:val="0053399A"/>
    <w:rsid w:val="00536225"/>
    <w:rsid w:val="005529FB"/>
    <w:rsid w:val="00552B7C"/>
    <w:rsid w:val="005534A0"/>
    <w:rsid w:val="00556B59"/>
    <w:rsid w:val="00556C34"/>
    <w:rsid w:val="005642DB"/>
    <w:rsid w:val="00565329"/>
    <w:rsid w:val="00594827"/>
    <w:rsid w:val="005A30BD"/>
    <w:rsid w:val="005B15BE"/>
    <w:rsid w:val="005B204E"/>
    <w:rsid w:val="005F16A9"/>
    <w:rsid w:val="005F52B9"/>
    <w:rsid w:val="00601B84"/>
    <w:rsid w:val="0060654A"/>
    <w:rsid w:val="00613BC9"/>
    <w:rsid w:val="00617AB9"/>
    <w:rsid w:val="0062484E"/>
    <w:rsid w:val="00633131"/>
    <w:rsid w:val="00637DA6"/>
    <w:rsid w:val="00647535"/>
    <w:rsid w:val="006520BB"/>
    <w:rsid w:val="00657196"/>
    <w:rsid w:val="0067090D"/>
    <w:rsid w:val="006828F7"/>
    <w:rsid w:val="00683974"/>
    <w:rsid w:val="006858AD"/>
    <w:rsid w:val="0069185D"/>
    <w:rsid w:val="00695BFB"/>
    <w:rsid w:val="006B24DE"/>
    <w:rsid w:val="006B7BB2"/>
    <w:rsid w:val="006C02BD"/>
    <w:rsid w:val="006C6C45"/>
    <w:rsid w:val="006E51D2"/>
    <w:rsid w:val="006F203A"/>
    <w:rsid w:val="006F4E62"/>
    <w:rsid w:val="006F77D6"/>
    <w:rsid w:val="00710733"/>
    <w:rsid w:val="0072051A"/>
    <w:rsid w:val="00731979"/>
    <w:rsid w:val="00737C7E"/>
    <w:rsid w:val="00745095"/>
    <w:rsid w:val="00745CAA"/>
    <w:rsid w:val="007475E6"/>
    <w:rsid w:val="007550FF"/>
    <w:rsid w:val="007623F9"/>
    <w:rsid w:val="00767049"/>
    <w:rsid w:val="00771319"/>
    <w:rsid w:val="00773F95"/>
    <w:rsid w:val="007762CB"/>
    <w:rsid w:val="007849F2"/>
    <w:rsid w:val="007A0064"/>
    <w:rsid w:val="007A74CD"/>
    <w:rsid w:val="007A7B4B"/>
    <w:rsid w:val="007B0768"/>
    <w:rsid w:val="007B1341"/>
    <w:rsid w:val="007B3379"/>
    <w:rsid w:val="007B603B"/>
    <w:rsid w:val="007B7792"/>
    <w:rsid w:val="007C531F"/>
    <w:rsid w:val="007E50BB"/>
    <w:rsid w:val="007E5EDF"/>
    <w:rsid w:val="007E7E6D"/>
    <w:rsid w:val="007F1F21"/>
    <w:rsid w:val="007F595E"/>
    <w:rsid w:val="007F6BF6"/>
    <w:rsid w:val="008029C0"/>
    <w:rsid w:val="008039A0"/>
    <w:rsid w:val="00804E31"/>
    <w:rsid w:val="00827462"/>
    <w:rsid w:val="008321CC"/>
    <w:rsid w:val="008353BD"/>
    <w:rsid w:val="00840BA1"/>
    <w:rsid w:val="008455D7"/>
    <w:rsid w:val="008523EB"/>
    <w:rsid w:val="00853963"/>
    <w:rsid w:val="00860005"/>
    <w:rsid w:val="00860D4D"/>
    <w:rsid w:val="00864677"/>
    <w:rsid w:val="00867D6E"/>
    <w:rsid w:val="008715A1"/>
    <w:rsid w:val="00872C43"/>
    <w:rsid w:val="00875D59"/>
    <w:rsid w:val="00882F74"/>
    <w:rsid w:val="008949AB"/>
    <w:rsid w:val="00896152"/>
    <w:rsid w:val="008A0219"/>
    <w:rsid w:val="008A302A"/>
    <w:rsid w:val="008C0648"/>
    <w:rsid w:val="008C4E52"/>
    <w:rsid w:val="008C539D"/>
    <w:rsid w:val="008D1869"/>
    <w:rsid w:val="008E1E11"/>
    <w:rsid w:val="008F12DE"/>
    <w:rsid w:val="008F23E8"/>
    <w:rsid w:val="008F55B3"/>
    <w:rsid w:val="008F7B9F"/>
    <w:rsid w:val="00902D67"/>
    <w:rsid w:val="00903FBD"/>
    <w:rsid w:val="00910FC7"/>
    <w:rsid w:val="009145CE"/>
    <w:rsid w:val="0093109C"/>
    <w:rsid w:val="00934444"/>
    <w:rsid w:val="00946D4D"/>
    <w:rsid w:val="009553DB"/>
    <w:rsid w:val="0098453B"/>
    <w:rsid w:val="009A2A9A"/>
    <w:rsid w:val="009A6EFC"/>
    <w:rsid w:val="009D114C"/>
    <w:rsid w:val="009D47BC"/>
    <w:rsid w:val="009E5749"/>
    <w:rsid w:val="00A03A85"/>
    <w:rsid w:val="00A05C7B"/>
    <w:rsid w:val="00A05E90"/>
    <w:rsid w:val="00A05FC5"/>
    <w:rsid w:val="00A12184"/>
    <w:rsid w:val="00A17DEA"/>
    <w:rsid w:val="00A22E38"/>
    <w:rsid w:val="00A37558"/>
    <w:rsid w:val="00A41B60"/>
    <w:rsid w:val="00A45239"/>
    <w:rsid w:val="00A54455"/>
    <w:rsid w:val="00A6629E"/>
    <w:rsid w:val="00A8346D"/>
    <w:rsid w:val="00A868F9"/>
    <w:rsid w:val="00A93419"/>
    <w:rsid w:val="00AC0143"/>
    <w:rsid w:val="00AC2C1B"/>
    <w:rsid w:val="00AD4008"/>
    <w:rsid w:val="00AE4A9D"/>
    <w:rsid w:val="00AE76E1"/>
    <w:rsid w:val="00AF29FC"/>
    <w:rsid w:val="00AF5D4D"/>
    <w:rsid w:val="00B04CE6"/>
    <w:rsid w:val="00B1388C"/>
    <w:rsid w:val="00B15B75"/>
    <w:rsid w:val="00B17FC6"/>
    <w:rsid w:val="00B37CE5"/>
    <w:rsid w:val="00B417C5"/>
    <w:rsid w:val="00B43E15"/>
    <w:rsid w:val="00B47D92"/>
    <w:rsid w:val="00B52060"/>
    <w:rsid w:val="00B5320D"/>
    <w:rsid w:val="00B55807"/>
    <w:rsid w:val="00B7160A"/>
    <w:rsid w:val="00B86266"/>
    <w:rsid w:val="00BA50BA"/>
    <w:rsid w:val="00BA66FE"/>
    <w:rsid w:val="00BA6747"/>
    <w:rsid w:val="00BB04D0"/>
    <w:rsid w:val="00BD6DE6"/>
    <w:rsid w:val="00BF18A0"/>
    <w:rsid w:val="00BF765D"/>
    <w:rsid w:val="00C06D28"/>
    <w:rsid w:val="00C14228"/>
    <w:rsid w:val="00C25241"/>
    <w:rsid w:val="00C266B1"/>
    <w:rsid w:val="00C33352"/>
    <w:rsid w:val="00C471F7"/>
    <w:rsid w:val="00C477FE"/>
    <w:rsid w:val="00C53196"/>
    <w:rsid w:val="00C559A1"/>
    <w:rsid w:val="00C671AC"/>
    <w:rsid w:val="00C771DC"/>
    <w:rsid w:val="00C86E93"/>
    <w:rsid w:val="00CB3EA7"/>
    <w:rsid w:val="00CB3FD2"/>
    <w:rsid w:val="00CB5B8C"/>
    <w:rsid w:val="00CC5D80"/>
    <w:rsid w:val="00CD105F"/>
    <w:rsid w:val="00CD238A"/>
    <w:rsid w:val="00CD493A"/>
    <w:rsid w:val="00CE0ECB"/>
    <w:rsid w:val="00CF1407"/>
    <w:rsid w:val="00D00C6A"/>
    <w:rsid w:val="00D14D69"/>
    <w:rsid w:val="00D21BB2"/>
    <w:rsid w:val="00D21DE0"/>
    <w:rsid w:val="00D2458F"/>
    <w:rsid w:val="00D270B8"/>
    <w:rsid w:val="00D5004F"/>
    <w:rsid w:val="00D52091"/>
    <w:rsid w:val="00D5508E"/>
    <w:rsid w:val="00D744FF"/>
    <w:rsid w:val="00D74E52"/>
    <w:rsid w:val="00D7636E"/>
    <w:rsid w:val="00D91611"/>
    <w:rsid w:val="00D92295"/>
    <w:rsid w:val="00D9334F"/>
    <w:rsid w:val="00D93F03"/>
    <w:rsid w:val="00DA6810"/>
    <w:rsid w:val="00DC23BF"/>
    <w:rsid w:val="00DD12AD"/>
    <w:rsid w:val="00DD164D"/>
    <w:rsid w:val="00DD4E94"/>
    <w:rsid w:val="00DF3E1C"/>
    <w:rsid w:val="00DF7C4C"/>
    <w:rsid w:val="00E0148F"/>
    <w:rsid w:val="00E47BD0"/>
    <w:rsid w:val="00E61AD5"/>
    <w:rsid w:val="00E955C1"/>
    <w:rsid w:val="00EA37A8"/>
    <w:rsid w:val="00EC1CD4"/>
    <w:rsid w:val="00EF11F8"/>
    <w:rsid w:val="00EF2F74"/>
    <w:rsid w:val="00EF321D"/>
    <w:rsid w:val="00EF556F"/>
    <w:rsid w:val="00F00A95"/>
    <w:rsid w:val="00F036C1"/>
    <w:rsid w:val="00F03DD2"/>
    <w:rsid w:val="00F06315"/>
    <w:rsid w:val="00F10136"/>
    <w:rsid w:val="00F128C0"/>
    <w:rsid w:val="00F1552A"/>
    <w:rsid w:val="00F2500C"/>
    <w:rsid w:val="00F37937"/>
    <w:rsid w:val="00F40B86"/>
    <w:rsid w:val="00F54701"/>
    <w:rsid w:val="00F56A57"/>
    <w:rsid w:val="00F56CD6"/>
    <w:rsid w:val="00F57D77"/>
    <w:rsid w:val="00F6140E"/>
    <w:rsid w:val="00F64A29"/>
    <w:rsid w:val="00F65BB3"/>
    <w:rsid w:val="00F724B7"/>
    <w:rsid w:val="00F93D37"/>
    <w:rsid w:val="00FA0E53"/>
    <w:rsid w:val="00FA3BC7"/>
    <w:rsid w:val="00FA6BAE"/>
    <w:rsid w:val="00FB1694"/>
    <w:rsid w:val="00FB7CA5"/>
    <w:rsid w:val="00FD138E"/>
    <w:rsid w:val="00FD3DBB"/>
    <w:rsid w:val="00FD5BDC"/>
    <w:rsid w:val="00FD6841"/>
    <w:rsid w:val="00FE2A8F"/>
    <w:rsid w:val="00FE3824"/>
    <w:rsid w:val="00FF2BDF"/>
    <w:rsid w:val="00FF5F40"/>
    <w:rsid w:val="00FF76E6"/>
    <w:rsid w:val="08D601F9"/>
    <w:rsid w:val="14500797"/>
    <w:rsid w:val="4EC76DAD"/>
    <w:rsid w:val="6C0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EBE"/>
  <w15:chartTrackingRefBased/>
  <w15:docId w15:val="{F3DCC635-6C42-4C2E-8B3D-8B78334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64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7762CB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62CB"/>
    <w:pPr>
      <w:widowControl w:val="0"/>
      <w:shd w:val="clear" w:color="auto" w:fill="FFFFFF"/>
      <w:spacing w:before="60" w:after="0" w:line="269" w:lineRule="exact"/>
      <w:ind w:hanging="400"/>
      <w:jc w:val="both"/>
    </w:pPr>
    <w:rPr>
      <w:lang w:eastAsia="pl-PL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872C4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0B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0BA"/>
    <w:rPr>
      <w:vertAlign w:val="superscript"/>
    </w:rPr>
  </w:style>
  <w:style w:type="paragraph" w:styleId="Tekstpodstawowy">
    <w:name w:val="Body Text"/>
    <w:basedOn w:val="Normalny"/>
    <w:link w:val="TekstpodstawowyZnak"/>
    <w:rsid w:val="00A05C7B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5C7B"/>
    <w:rPr>
      <w:rFonts w:ascii="Verdana" w:eastAsia="Times New Roman" w:hAnsi="Verdana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d.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M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AE85-E2F7-42E9-ADC0-3E9E53DB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Pintowska-Bryłka Anna</cp:lastModifiedBy>
  <cp:revision>7</cp:revision>
  <cp:lastPrinted>2020-06-10T08:57:00Z</cp:lastPrinted>
  <dcterms:created xsi:type="dcterms:W3CDTF">2022-06-13T14:21:00Z</dcterms:created>
  <dcterms:modified xsi:type="dcterms:W3CDTF">2022-06-22T10:27:00Z</dcterms:modified>
</cp:coreProperties>
</file>