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AA65" w14:textId="4BF73370" w:rsidR="005821B0" w:rsidRPr="00F564AC" w:rsidRDefault="005821B0" w:rsidP="00F564AC">
      <w:pPr>
        <w:pStyle w:val="Nagwek1"/>
        <w:rPr>
          <w:sz w:val="36"/>
          <w:szCs w:val="36"/>
        </w:rPr>
      </w:pPr>
      <w:r w:rsidRPr="00F564AC">
        <w:rPr>
          <w:sz w:val="36"/>
          <w:szCs w:val="36"/>
        </w:rPr>
        <w:t>Regulamin Konkursu Grantowego Cyfrowa Gmina</w:t>
      </w:r>
    </w:p>
    <w:p w14:paraId="743D31AF" w14:textId="77777777" w:rsidR="005821B0" w:rsidRPr="00F564AC" w:rsidRDefault="005821B0" w:rsidP="00F564AC">
      <w:pPr>
        <w:spacing w:before="960"/>
        <w:rPr>
          <w:b/>
          <w:bCs/>
          <w:sz w:val="36"/>
          <w:szCs w:val="36"/>
        </w:rPr>
      </w:pPr>
      <w:r w:rsidRPr="00F564AC">
        <w:rPr>
          <w:b/>
          <w:bCs/>
          <w:sz w:val="36"/>
          <w:szCs w:val="36"/>
        </w:rPr>
        <w:t>Oś V. Rozwój cyfrowy JST oraz wzmocnienie cyfrowej odporności na zagrożenia - REACT-EU</w:t>
      </w:r>
    </w:p>
    <w:p w14:paraId="42AFA4FD" w14:textId="77777777" w:rsidR="00F564AC" w:rsidRDefault="005821B0" w:rsidP="00F564AC">
      <w:pPr>
        <w:spacing w:before="960"/>
        <w:rPr>
          <w:b/>
          <w:bCs/>
          <w:sz w:val="30"/>
          <w:szCs w:val="30"/>
        </w:rPr>
      </w:pPr>
      <w:r w:rsidRPr="00F564AC">
        <w:rPr>
          <w:b/>
          <w:bCs/>
          <w:sz w:val="30"/>
          <w:szCs w:val="30"/>
        </w:rPr>
        <w:t>Działanie 5.1 Rozwój cyfrowy JST oraz wzmocnienie cyfrowej odporności na zagrożenia</w:t>
      </w:r>
    </w:p>
    <w:p w14:paraId="62994E9D" w14:textId="77777777" w:rsidR="00F564AC" w:rsidRDefault="005821B0" w:rsidP="00F564AC">
      <w:pPr>
        <w:spacing w:before="960"/>
        <w:rPr>
          <w:b/>
          <w:bCs/>
          <w:sz w:val="30"/>
          <w:szCs w:val="30"/>
        </w:rPr>
      </w:pPr>
      <w:r w:rsidRPr="00F564AC">
        <w:rPr>
          <w:b/>
          <w:bCs/>
          <w:sz w:val="30"/>
          <w:szCs w:val="30"/>
        </w:rPr>
        <w:t>Program Operacyjny</w:t>
      </w:r>
      <w:r w:rsidR="00F564AC">
        <w:rPr>
          <w:b/>
          <w:bCs/>
          <w:sz w:val="30"/>
          <w:szCs w:val="30"/>
        </w:rPr>
        <w:t xml:space="preserve"> </w:t>
      </w:r>
      <w:r w:rsidRPr="00F564AC">
        <w:rPr>
          <w:b/>
          <w:bCs/>
          <w:sz w:val="30"/>
          <w:szCs w:val="30"/>
        </w:rPr>
        <w:t>Polska Cyfrowa na lata 2014 – 2020</w:t>
      </w:r>
    </w:p>
    <w:p w14:paraId="055FA4A1" w14:textId="4A243B6D" w:rsidR="0056731D" w:rsidRDefault="0056731D" w:rsidP="0056731D">
      <w:pPr>
        <w:spacing w:before="6960"/>
        <w:rPr>
          <w:szCs w:val="24"/>
          <w:highlight w:val="yellow"/>
        </w:rPr>
      </w:pPr>
      <w:r w:rsidRPr="00F564AC">
        <w:rPr>
          <w:szCs w:val="24"/>
          <w:highlight w:val="yellow"/>
        </w:rPr>
        <w:t>Warszawa, kwiecień 2022 r.</w:t>
      </w:r>
      <w:r>
        <w:rPr>
          <w:szCs w:val="24"/>
          <w:highlight w:val="yellow"/>
        </w:rPr>
        <w:br w:type="page"/>
      </w:r>
    </w:p>
    <w:p w14:paraId="0A144CEE" w14:textId="580DF8F3" w:rsidR="005821B0" w:rsidRDefault="005821B0" w:rsidP="00F564AC">
      <w:pPr>
        <w:pStyle w:val="Nagwek2"/>
        <w:spacing w:before="4920"/>
      </w:pPr>
      <w:r>
        <w:lastRenderedPageBreak/>
        <w:t>§1 Słownik pojęć</w:t>
      </w:r>
    </w:p>
    <w:p w14:paraId="42DE8665" w14:textId="1AF810D2" w:rsidR="005821B0" w:rsidRDefault="005821B0" w:rsidP="00F564AC">
      <w:r w:rsidRPr="00F564AC">
        <w:rPr>
          <w:b/>
          <w:bCs/>
        </w:rPr>
        <w:t>Generator Wniosków Grantowych (GWG)</w:t>
      </w:r>
      <w:r>
        <w:t xml:space="preserve"> – aplikacja służąca do kompleksowej obsługi wniosków grantowych</w:t>
      </w:r>
    </w:p>
    <w:p w14:paraId="6DD6AD86" w14:textId="39A9FA91" w:rsidR="005821B0" w:rsidRDefault="005821B0" w:rsidP="00F564AC">
      <w:r>
        <w:t>(w zakresie składania wniosków, oceny wniosków, rozliczenia wniosków, komunikacji między Operatorem a Wnioskodawcą), dostępna na stronie internetowej Projektu;</w:t>
      </w:r>
    </w:p>
    <w:p w14:paraId="5FCBEFE7" w14:textId="48FE61F2" w:rsidR="005821B0" w:rsidRDefault="005821B0" w:rsidP="00F564AC">
      <w:r w:rsidRPr="00F564AC">
        <w:rPr>
          <w:b/>
          <w:bCs/>
        </w:rPr>
        <w:t xml:space="preserve">Grant </w:t>
      </w:r>
      <w:r>
        <w:t>– środki finansowe, które Operator na podstawie Umowy o powierzenie Grantu powierzył Grantobiorcy na realizację zadań służących osiągnięciu celu Projektu;</w:t>
      </w:r>
    </w:p>
    <w:p w14:paraId="2DBF656F" w14:textId="62004F83" w:rsidR="005821B0" w:rsidRDefault="005821B0" w:rsidP="00F564AC">
      <w:r w:rsidRPr="00F564AC">
        <w:rPr>
          <w:b/>
          <w:bCs/>
        </w:rPr>
        <w:t>Grantobiorca</w:t>
      </w:r>
      <w:r>
        <w:t xml:space="preserve"> – podmiot, będący jednostką samorządu terytorialnego, uprawniony do udziału w konkursie, wybrany w procesie otwartego naboru, ogłoszonego przez Operatora, który realizuje Projekt Grantowy na podstawie Umowy o powierzenie Grantu;</w:t>
      </w:r>
    </w:p>
    <w:p w14:paraId="22A3181C" w14:textId="40F7432F" w:rsidR="005821B0" w:rsidRDefault="005821B0" w:rsidP="00F564AC">
      <w:r w:rsidRPr="00F564AC">
        <w:rPr>
          <w:b/>
          <w:bCs/>
        </w:rPr>
        <w:t>Beneficjent</w:t>
      </w:r>
      <w:r>
        <w:t xml:space="preserve"> – Beneficjent projektu indykatywnego Cyfrowa Gmina - Centrum Projektów Polska Cyfrowa (CPPC);</w:t>
      </w:r>
    </w:p>
    <w:p w14:paraId="65E0BA45" w14:textId="68D93FCF" w:rsidR="005821B0" w:rsidRDefault="005821B0" w:rsidP="00F564AC">
      <w:r w:rsidRPr="00F564AC">
        <w:rPr>
          <w:b/>
          <w:bCs/>
        </w:rPr>
        <w:t xml:space="preserve">JST </w:t>
      </w:r>
      <w:r>
        <w:t>– jednostki samorządu terytorialnego uprawnione do otrzymania Grantu w ramach Konkursu Grantowego;</w:t>
      </w:r>
    </w:p>
    <w:p w14:paraId="7956C992" w14:textId="7171CAF4" w:rsidR="005821B0" w:rsidRDefault="005821B0" w:rsidP="00F564AC">
      <w:r w:rsidRPr="00F564AC">
        <w:rPr>
          <w:b/>
          <w:bCs/>
        </w:rPr>
        <w:t>Komisja Przyznająca Granty (KPG)</w:t>
      </w:r>
      <w:r>
        <w:t xml:space="preserve"> – komisja zatwierdzająca listę wniosków o przyznanie Grantu według zasad określonych w niniejszym Regulaminie;</w:t>
      </w:r>
    </w:p>
    <w:p w14:paraId="117FE472" w14:textId="3583DBEA" w:rsidR="005821B0" w:rsidRDefault="005821B0" w:rsidP="00F564AC">
      <w:r w:rsidRPr="00F564AC">
        <w:rPr>
          <w:b/>
          <w:bCs/>
        </w:rPr>
        <w:t>Konkurs Grantowy</w:t>
      </w:r>
      <w:r>
        <w:t xml:space="preserve"> – nabór prowadzony przez Operatora w celu wyłonienia Grantobiorców;</w:t>
      </w:r>
    </w:p>
    <w:p w14:paraId="726BAD5F" w14:textId="77777777" w:rsidR="005821B0" w:rsidRDefault="005821B0" w:rsidP="00F564AC">
      <w:r w:rsidRPr="00F564AC">
        <w:rPr>
          <w:b/>
          <w:bCs/>
        </w:rPr>
        <w:t>NASK</w:t>
      </w:r>
      <w:r>
        <w:t xml:space="preserve"> - Naukowa i Akademicka Sieć Komputerowa – Państwowy Instytut Badawczy; </w:t>
      </w:r>
    </w:p>
    <w:p w14:paraId="27E70C0D" w14:textId="1E9881CB" w:rsidR="005821B0" w:rsidRDefault="005821B0" w:rsidP="00F564AC">
      <w:r w:rsidRPr="00F564AC">
        <w:rPr>
          <w:b/>
          <w:bCs/>
        </w:rPr>
        <w:t>Operator</w:t>
      </w:r>
      <w:r>
        <w:t xml:space="preserve"> – Politechnika Łódzka;</w:t>
      </w:r>
    </w:p>
    <w:p w14:paraId="65C60FFC" w14:textId="5BB7FDCB" w:rsidR="005821B0" w:rsidRDefault="005821B0" w:rsidP="00F564AC">
      <w:r w:rsidRPr="00F564AC">
        <w:rPr>
          <w:b/>
          <w:bCs/>
        </w:rPr>
        <w:t>Partner</w:t>
      </w:r>
      <w:r>
        <w:t xml:space="preserve"> - Partner Projektu – Politechnika Łódzka;</w:t>
      </w:r>
    </w:p>
    <w:p w14:paraId="7A601866" w14:textId="3C9045AA" w:rsidR="005821B0" w:rsidRDefault="005821B0" w:rsidP="00F564AC">
      <w:r w:rsidRPr="00F564AC">
        <w:rPr>
          <w:b/>
          <w:bCs/>
        </w:rPr>
        <w:t>POPC</w:t>
      </w:r>
      <w:r>
        <w:t xml:space="preserve"> – Program Operacyjny Polska Cyfrowa na lata 2014-2020;</w:t>
      </w:r>
    </w:p>
    <w:p w14:paraId="539509CC" w14:textId="05CD5A56" w:rsidR="005821B0" w:rsidRDefault="005821B0" w:rsidP="00F564AC">
      <w:r w:rsidRPr="00F564AC">
        <w:rPr>
          <w:b/>
          <w:bCs/>
        </w:rPr>
        <w:lastRenderedPageBreak/>
        <w:t>Projekt</w:t>
      </w:r>
      <w:r>
        <w:t xml:space="preserve"> – przedsięwzięcie realizowane przez Centrum Projektów Polska Cyfrowa pod nazwą „Cyfrowa Gmina”;</w:t>
      </w:r>
    </w:p>
    <w:p w14:paraId="17A5C3FC" w14:textId="2440334D" w:rsidR="005821B0" w:rsidRDefault="005821B0" w:rsidP="00F564AC">
      <w:r w:rsidRPr="00F564AC">
        <w:rPr>
          <w:b/>
          <w:bCs/>
        </w:rPr>
        <w:t>Projekt Grantowy</w:t>
      </w:r>
      <w:r>
        <w:t xml:space="preserve"> – projekt realizowany  przez Grantobiorcę, na podstawie Umowy o</w:t>
      </w:r>
      <w:r w:rsidR="00B036B6">
        <w:t> </w:t>
      </w:r>
      <w:r>
        <w:t>powierzenie Grantu zawartej z CPPC;</w:t>
      </w:r>
    </w:p>
    <w:p w14:paraId="4D5C4B1A" w14:textId="0ED5D2FC" w:rsidR="005821B0" w:rsidRDefault="005821B0" w:rsidP="00F564AC">
      <w:r w:rsidRPr="00F564AC">
        <w:rPr>
          <w:b/>
          <w:bCs/>
        </w:rPr>
        <w:t>Regulamin</w:t>
      </w:r>
      <w:r>
        <w:t xml:space="preserve"> – niniejszy Regulamin naboru;</w:t>
      </w:r>
    </w:p>
    <w:p w14:paraId="68B9F2E5" w14:textId="70F21F49" w:rsidR="005821B0" w:rsidRDefault="005821B0" w:rsidP="00F564AC">
      <w:r w:rsidRPr="00F564AC">
        <w:rPr>
          <w:b/>
          <w:bCs/>
        </w:rPr>
        <w:t>Strona internetowa Projektu</w:t>
      </w:r>
      <w:r>
        <w:t xml:space="preserve"> – </w:t>
      </w:r>
      <w:hyperlink r:id="rId7" w:history="1">
        <w:r w:rsidR="0056731D" w:rsidRPr="0056731D">
          <w:rPr>
            <w:rStyle w:val="Hipercze"/>
          </w:rPr>
          <w:t>Cyfrowa gmina</w:t>
        </w:r>
      </w:hyperlink>
      <w:r>
        <w:t>;</w:t>
      </w:r>
    </w:p>
    <w:p w14:paraId="40A81BD9" w14:textId="2C09BD0F" w:rsidR="005821B0" w:rsidRDefault="005821B0" w:rsidP="00F564AC">
      <w:r w:rsidRPr="00F564AC">
        <w:rPr>
          <w:b/>
          <w:bCs/>
        </w:rPr>
        <w:t>SZOOP</w:t>
      </w:r>
      <w:r>
        <w:t xml:space="preserve"> - Szczegółowy Opis Osi Priorytetowych Programu Operacyjnego Polska Cyfrowa na lata 2014-2020;</w:t>
      </w:r>
    </w:p>
    <w:p w14:paraId="0C4139D0" w14:textId="7511E10F" w:rsidR="005821B0" w:rsidRDefault="005821B0" w:rsidP="00F564AC">
      <w:r w:rsidRPr="00F564AC">
        <w:rPr>
          <w:b/>
          <w:bCs/>
        </w:rPr>
        <w:t>Umowa o powierzenie Grantu</w:t>
      </w:r>
      <w:r>
        <w:t xml:space="preserve"> - umowa pomiędzy Grantobiorcą i Grantodawcą określająca w</w:t>
      </w:r>
      <w:r w:rsidR="00B036B6">
        <w:t> </w:t>
      </w:r>
      <w:r>
        <w:t>szczególności przedmiot umowy, zadania Grantobiorcy objęte grantem, kwotę grantu, okres realizacji umowy o powierzenie grantu, warunki przekazania i rozliczenia grantu;</w:t>
      </w:r>
    </w:p>
    <w:p w14:paraId="3D539C35" w14:textId="22639416" w:rsidR="005821B0" w:rsidRDefault="005821B0" w:rsidP="00F564AC">
      <w:r w:rsidRPr="00F564AC">
        <w:rPr>
          <w:b/>
          <w:bCs/>
        </w:rPr>
        <w:t>Ustawa wdrożeniowa</w:t>
      </w:r>
      <w:r>
        <w:t xml:space="preserve"> - ustawa z dnia 11 lipca 2014 r. o zasadach realizacji programów w</w:t>
      </w:r>
      <w:r w:rsidR="00B036B6">
        <w:t> </w:t>
      </w:r>
      <w:r>
        <w:t>zakresie polityki spójności finansowanych w perspektywie finansowej 2014-2020 (Dz.</w:t>
      </w:r>
      <w:r w:rsidR="0056731D">
        <w:t> </w:t>
      </w:r>
      <w:r>
        <w:t>U.</w:t>
      </w:r>
      <w:r w:rsidR="0056731D">
        <w:t> </w:t>
      </w:r>
      <w:r>
        <w:t>z</w:t>
      </w:r>
      <w:r w:rsidR="00B036B6">
        <w:t> </w:t>
      </w:r>
      <w:r>
        <w:t>2020 r. poz. 818, z późn. zm.);</w:t>
      </w:r>
    </w:p>
    <w:p w14:paraId="4B9C6735" w14:textId="39D23B3C" w:rsidR="005821B0" w:rsidRDefault="005821B0" w:rsidP="00F564AC">
      <w:r w:rsidRPr="005F3A5F">
        <w:rPr>
          <w:b/>
          <w:bCs/>
        </w:rPr>
        <w:t>Wniosek o przyznanie Grantu, Wniosek</w:t>
      </w:r>
      <w:r>
        <w:t xml:space="preserve"> – wniosek grantowy (którego wzór stanowi załącznik nr 1) złożony za pośrednictwem aplikacji do składania wniosków, dostępnej na stronie: </w:t>
      </w:r>
      <w:hyperlink r:id="rId8" w:history="1">
        <w:r w:rsidR="00B036B6" w:rsidRPr="00B036B6">
          <w:rPr>
            <w:rStyle w:val="Hipercze"/>
          </w:rPr>
          <w:t>Cyfrowa Gmina</w:t>
        </w:r>
      </w:hyperlink>
      <w:r>
        <w:t>;</w:t>
      </w:r>
    </w:p>
    <w:p w14:paraId="4A3040CF" w14:textId="5792266B" w:rsidR="005821B0" w:rsidRDefault="005821B0" w:rsidP="00F564AC">
      <w:r w:rsidRPr="005F3A5F">
        <w:rPr>
          <w:b/>
          <w:bCs/>
        </w:rPr>
        <w:t>Wnioskodawca</w:t>
      </w:r>
      <w:r>
        <w:t xml:space="preserve"> – podmiot, będący jednostką samorządu terytorialnego, aplikujący o Grant na realizację Projektu Grantowego, który złożył za pomocą GWG Wniosek o przyznanie Grantu;</w:t>
      </w:r>
    </w:p>
    <w:p w14:paraId="383315E6" w14:textId="422F2BAA" w:rsidR="005821B0" w:rsidRDefault="005821B0" w:rsidP="00F564AC">
      <w:r w:rsidRPr="005F3A5F">
        <w:rPr>
          <w:b/>
          <w:bCs/>
        </w:rPr>
        <w:t>ZUCH</w:t>
      </w:r>
      <w:r>
        <w:t xml:space="preserve"> - system Zapewniania Usług Chmurowych dostępny na stronie </w:t>
      </w:r>
      <w:hyperlink r:id="rId9" w:history="1">
        <w:r w:rsidR="008B6B94" w:rsidRPr="008B6B94">
          <w:rPr>
            <w:rStyle w:val="Hipercze"/>
          </w:rPr>
          <w:t>Czym jest ZUCH</w:t>
        </w:r>
      </w:hyperlink>
      <w:r>
        <w:t>.</w:t>
      </w:r>
    </w:p>
    <w:p w14:paraId="1ADBE416" w14:textId="420290A4" w:rsidR="005821B0" w:rsidRPr="005F3A5F" w:rsidRDefault="005821B0" w:rsidP="00630863">
      <w:pPr>
        <w:pStyle w:val="Nagwek2"/>
      </w:pPr>
      <w:r w:rsidRPr="005F3A5F">
        <w:t>§2 Podstawy prawne</w:t>
      </w:r>
    </w:p>
    <w:p w14:paraId="5A4C6E0F" w14:textId="30BBBCCB" w:rsidR="005821B0" w:rsidRDefault="005821B0" w:rsidP="008B6B94">
      <w:pPr>
        <w:pStyle w:val="Akapitzlist"/>
        <w:numPr>
          <w:ilvl w:val="0"/>
          <w:numId w:val="2"/>
        </w:numPr>
      </w:pPr>
      <w:r>
        <w:t>Konkurs Grantowy jest organizowany w oparciu o następujące akty prawne:</w:t>
      </w:r>
    </w:p>
    <w:p w14:paraId="412708D9" w14:textId="762A6B09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lastRenderedPageBreak/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</w:t>
      </w:r>
      <w:r w:rsidR="00B036B6">
        <w:t> </w:t>
      </w:r>
      <w:r>
        <w:t>Europejskiego Funduszu Morskiego i Rybackiego oraz uchylające rozporządzenie Rady (WE) nr 1083/2006 (Dz.U. UE L 347 z 20.12.2013 r., z późn. zm.), zwane rozporządzeniem ogólnym;</w:t>
      </w:r>
    </w:p>
    <w:p w14:paraId="118B3225" w14:textId="166C6809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240F6998" w14:textId="70913942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>Ustawę z dnia 11 lipca 2014 r. o zasadach realizacji programów w zakresie polityki spójności finansowanych w perspektywie finansowej 2014-2020 (Dz. U. z 2020 r. poz. 818, z</w:t>
      </w:r>
      <w:r w:rsidR="00B036B6">
        <w:t> </w:t>
      </w:r>
      <w:r>
        <w:t>późn. zm);</w:t>
      </w:r>
    </w:p>
    <w:p w14:paraId="7E52AFE0" w14:textId="0373A7EB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 xml:space="preserve">Program Operacyjny Polska Cyfrowa na lata 2014-2020, przyjęty decyzją nr </w:t>
      </w:r>
      <w:proofErr w:type="spellStart"/>
      <w:r>
        <w:t>nr</w:t>
      </w:r>
      <w:proofErr w:type="spellEnd"/>
      <w:r>
        <w:t xml:space="preserve"> C(2014) 9384 final Komisji Europejskiej z dnia 5 grudnia 2014 r. ze zmianami z dnia 15 lutego 2017 r.;</w:t>
      </w:r>
    </w:p>
    <w:p w14:paraId="45322567" w14:textId="44B0D0EC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>Porozumienie Trójstronne w sprawie systemu realizacji Programu Operacyjnego Polska Cyfrowa na lata 2014-2020 z dnia 22 grudnia 2014 r., zawarte pomiędzy Ministerstwem Infrastruktury i Rozwoju a Ministerstwem Administracji i Cyfryzacji a</w:t>
      </w:r>
      <w:r w:rsidR="0056731D">
        <w:t> </w:t>
      </w:r>
      <w:r>
        <w:t>Władzą Wdrażającą Programy Europejskie ;</w:t>
      </w:r>
    </w:p>
    <w:p w14:paraId="2FD1B22B" w14:textId="7DBCA190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>Zarządzenie nr 48 Prezesa Rady Ministrów z dnia 12 kwietnia 2016 r. w sprawie Komitetu Rady Ministrów ds. Cyfryzacji (M.P. poz. 379);</w:t>
      </w:r>
    </w:p>
    <w:p w14:paraId="1AACD59E" w14:textId="4E2B2D71" w:rsidR="005821B0" w:rsidRDefault="005821B0" w:rsidP="00BA4AAB">
      <w:pPr>
        <w:pStyle w:val="Akapitzlist"/>
        <w:numPr>
          <w:ilvl w:val="1"/>
          <w:numId w:val="2"/>
        </w:numPr>
        <w:contextualSpacing/>
      </w:pPr>
      <w:r>
        <w:t>Ustawę z dnia 2 marca 2020 r. o szczególnych rozwiązaniach związanych z</w:t>
      </w:r>
      <w:r w:rsidR="00B036B6">
        <w:t> </w:t>
      </w:r>
      <w:r>
        <w:t>zapobieganiem, przeciwdziałaniem i zwalczaniem COVID-19, innych chorób zakaźnych oraz wywołanych nimi sytuacji kryzysowych (Dz. U. z 2020 r., poz. 1842 ze</w:t>
      </w:r>
      <w:r w:rsidR="0056731D">
        <w:t> </w:t>
      </w:r>
      <w:r>
        <w:t>zm.);</w:t>
      </w:r>
    </w:p>
    <w:p w14:paraId="56FD98FD" w14:textId="23982385" w:rsidR="005821B0" w:rsidRDefault="005821B0" w:rsidP="00BA4AAB">
      <w:pPr>
        <w:pStyle w:val="Akapitzlist"/>
        <w:numPr>
          <w:ilvl w:val="1"/>
          <w:numId w:val="2"/>
        </w:numPr>
      </w:pPr>
      <w:r>
        <w:lastRenderedPageBreak/>
        <w:t>Ustawę z dnia 5 września 2016 r. o usługach zaufania oraz identyfikacji elektronicznej (Dz. U. z 2020 r.</w:t>
      </w:r>
      <w:r w:rsidR="00BA4AAB">
        <w:t xml:space="preserve"> </w:t>
      </w:r>
      <w:r>
        <w:t>poz. 1173).</w:t>
      </w:r>
    </w:p>
    <w:p w14:paraId="59E310BA" w14:textId="2644D5BA" w:rsidR="005821B0" w:rsidRDefault="005821B0" w:rsidP="005F3A5F">
      <w:pPr>
        <w:pStyle w:val="Nagwek2"/>
      </w:pPr>
      <w:r>
        <w:t>§3 Informacje ogólne</w:t>
      </w:r>
    </w:p>
    <w:p w14:paraId="7705A235" w14:textId="7FBA2E7F" w:rsidR="005821B0" w:rsidRDefault="005821B0" w:rsidP="00BA4AAB">
      <w:pPr>
        <w:pStyle w:val="Akapitzlist"/>
        <w:numPr>
          <w:ilvl w:val="0"/>
          <w:numId w:val="4"/>
        </w:numPr>
      </w:pPr>
      <w:r>
        <w:t>Celem Konkursu Grantowego jest wybór do dofinansowania projektów, które w</w:t>
      </w:r>
      <w:r w:rsidR="00B036B6">
        <w:t> </w:t>
      </w:r>
      <w:r>
        <w:t>największym stopniu przyczynią się do osiągnięcia celów POPC oraz celów działania określonych w SZOOP. Do celów tych należy w szczególności wsparcie JST w zakresie realizacji usług publicznych na drodze teleinformatycznej, poprzez zwiększenie cyfryzacji instytucji samorządowych oraz jednostek im podległych i nadzorowanych, a także zwiększenie cyberbezpieczeństwa.</w:t>
      </w:r>
    </w:p>
    <w:p w14:paraId="2E2CC803" w14:textId="4ECC58F3" w:rsidR="005821B0" w:rsidRDefault="005821B0" w:rsidP="00BA4AAB">
      <w:pPr>
        <w:pStyle w:val="Akapitzlist"/>
        <w:numPr>
          <w:ilvl w:val="0"/>
          <w:numId w:val="4"/>
        </w:numPr>
      </w:pPr>
      <w:r>
        <w:t>Dofinansowanie dla JST udzielane w formie grantów może być przeznaczone na zadania w</w:t>
      </w:r>
      <w:r w:rsidR="00BA4AAB">
        <w:t> </w:t>
      </w:r>
      <w:r>
        <w:t>ramach obszarów (obszary 1 – 3 są fakultatywne, obszar 4 jest obligatoryjny):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880"/>
        <w:gridCol w:w="5337"/>
      </w:tblGrid>
      <w:tr w:rsidR="00BA4AAB" w14:paraId="3A5EC8D1" w14:textId="77777777" w:rsidTr="00BA4AAB">
        <w:trPr>
          <w:tblHeader/>
        </w:trPr>
        <w:tc>
          <w:tcPr>
            <w:tcW w:w="845" w:type="dxa"/>
            <w:shd w:val="clear" w:color="auto" w:fill="BFBFBF" w:themeFill="background1" w:themeFillShade="BF"/>
          </w:tcPr>
          <w:p w14:paraId="75EC5555" w14:textId="1E72FD7A" w:rsidR="00BA4AAB" w:rsidRPr="00BA4AAB" w:rsidRDefault="00BA4AAB" w:rsidP="00F564AC">
            <w:pPr>
              <w:rPr>
                <w:b/>
                <w:bCs/>
              </w:rPr>
            </w:pPr>
            <w:r w:rsidRPr="00BA4AAB">
              <w:rPr>
                <w:b/>
                <w:bCs/>
              </w:rPr>
              <w:t>Lp.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069287C2" w14:textId="0F75F202" w:rsidR="00BA4AAB" w:rsidRPr="00BA4AAB" w:rsidRDefault="00BA4AAB" w:rsidP="00F564AC">
            <w:pPr>
              <w:rPr>
                <w:b/>
                <w:bCs/>
              </w:rPr>
            </w:pPr>
            <w:r w:rsidRPr="00BA4AAB">
              <w:rPr>
                <w:b/>
                <w:bCs/>
              </w:rPr>
              <w:t>Nazwa obszaru</w:t>
            </w:r>
          </w:p>
        </w:tc>
        <w:tc>
          <w:tcPr>
            <w:tcW w:w="5337" w:type="dxa"/>
            <w:shd w:val="clear" w:color="auto" w:fill="BFBFBF" w:themeFill="background1" w:themeFillShade="BF"/>
          </w:tcPr>
          <w:p w14:paraId="3E6EC3EA" w14:textId="2726CF6A" w:rsidR="00BA4AAB" w:rsidRPr="00BA4AAB" w:rsidRDefault="00BA4AAB" w:rsidP="00F564AC">
            <w:pPr>
              <w:rPr>
                <w:b/>
                <w:bCs/>
              </w:rPr>
            </w:pPr>
            <w:r w:rsidRPr="00BA4AAB">
              <w:rPr>
                <w:b/>
                <w:bCs/>
              </w:rPr>
              <w:t>Zadania</w:t>
            </w:r>
          </w:p>
        </w:tc>
      </w:tr>
      <w:tr w:rsidR="00BA4AAB" w14:paraId="4FBD1D2D" w14:textId="77777777" w:rsidTr="00BA4AAB">
        <w:tc>
          <w:tcPr>
            <w:tcW w:w="845" w:type="dxa"/>
          </w:tcPr>
          <w:p w14:paraId="614AC77A" w14:textId="00E698CC" w:rsidR="00BA4AAB" w:rsidRPr="006D0963" w:rsidRDefault="006D0963" w:rsidP="00F564AC">
            <w:r w:rsidRPr="006D0963">
              <w:t>1</w:t>
            </w:r>
            <w:r w:rsidR="006E4E42">
              <w:t>.</w:t>
            </w:r>
          </w:p>
        </w:tc>
        <w:tc>
          <w:tcPr>
            <w:tcW w:w="2880" w:type="dxa"/>
          </w:tcPr>
          <w:p w14:paraId="0CD36D16" w14:textId="44146CC6" w:rsidR="00BA4AAB" w:rsidRPr="006D0963" w:rsidRDefault="00BA4AAB" w:rsidP="006D0963">
            <w:r w:rsidRPr="006D0963">
              <w:t>Cyfryzacja urzędów JST, jednostek podległych oraz nadzorowanych (z</w:t>
            </w:r>
            <w:r w:rsidR="006D0963">
              <w:t> </w:t>
            </w:r>
            <w:r w:rsidRPr="006D0963">
              <w:t>wyłączeniem placówek ochrony zdrowia) oraz upowszechnienie wykorzystania chmury obliczeniowej przez samorządy</w:t>
            </w:r>
            <w:r w:rsidR="006D0963">
              <w:t>.</w:t>
            </w:r>
          </w:p>
        </w:tc>
        <w:tc>
          <w:tcPr>
            <w:tcW w:w="5337" w:type="dxa"/>
          </w:tcPr>
          <w:p w14:paraId="2FD3177A" w14:textId="5E9DBCBF" w:rsidR="00BA4AAB" w:rsidRPr="006D0963" w:rsidRDefault="00BA4AAB" w:rsidP="006D0963">
            <w:pPr>
              <w:contextualSpacing/>
            </w:pPr>
            <w:r w:rsidRPr="006D0963">
              <w:t>Zakup sprzętu IT, doposażenia serwerowni, modernizacji/rozbudowy wewnętrznej sieci LAN, oprogramowania, licencji niezbędnych do realizacji e-usług oraz zdalnej pracy i nauki np. stacje robocze, skanery, podpisy kwalifikowane, czytniki itp. oraz zakup usług chmury obliczeniowej:</w:t>
            </w:r>
          </w:p>
          <w:p w14:paraId="4F5C092D" w14:textId="645EDCE7" w:rsidR="00BA4AAB" w:rsidRPr="006D0963" w:rsidRDefault="00BA4AAB" w:rsidP="006D0963">
            <w:pPr>
              <w:pStyle w:val="Akapitzlist"/>
              <w:numPr>
                <w:ilvl w:val="0"/>
                <w:numId w:val="5"/>
              </w:numPr>
              <w:ind w:left="414" w:hanging="357"/>
              <w:contextualSpacing/>
            </w:pPr>
            <w:r w:rsidRPr="006D0963">
              <w:t>zakup usług chmurowych. zakup usług SaaS umożliwiających zdalną pracę i wspierających realizację zadań opisanych w rozdziale „Ustawowe zadania gmin”;</w:t>
            </w:r>
          </w:p>
          <w:p w14:paraId="260CAFB3" w14:textId="2F1D65CF" w:rsidR="00BA4AAB" w:rsidRPr="006D0963" w:rsidRDefault="00BA4AAB" w:rsidP="006D0963">
            <w:pPr>
              <w:pStyle w:val="Akapitzlist"/>
              <w:numPr>
                <w:ilvl w:val="0"/>
                <w:numId w:val="5"/>
              </w:numPr>
              <w:ind w:left="414"/>
            </w:pPr>
            <w:r w:rsidRPr="006D0963">
              <w:t xml:space="preserve">tworzenie środowisk zapewniających ciągłość działania kluczowych systemów </w:t>
            </w:r>
            <w:r w:rsidRPr="006D0963">
              <w:lastRenderedPageBreak/>
              <w:t xml:space="preserve">informatycznych (np.: </w:t>
            </w:r>
            <w:proofErr w:type="spellStart"/>
            <w:r w:rsidRPr="006D0963">
              <w:t>Disaster</w:t>
            </w:r>
            <w:proofErr w:type="spellEnd"/>
            <w:r w:rsidRPr="006D0963">
              <w:t xml:space="preserve"> </w:t>
            </w:r>
            <w:proofErr w:type="spellStart"/>
            <w:r w:rsidRPr="006D0963">
              <w:t>Recovery</w:t>
            </w:r>
            <w:proofErr w:type="spellEnd"/>
            <w:r w:rsidRPr="006D0963">
              <w:t>, backup).</w:t>
            </w:r>
          </w:p>
        </w:tc>
      </w:tr>
      <w:tr w:rsidR="00BA4AAB" w14:paraId="3CA672BE" w14:textId="77777777" w:rsidTr="00BA4AAB">
        <w:tc>
          <w:tcPr>
            <w:tcW w:w="845" w:type="dxa"/>
          </w:tcPr>
          <w:p w14:paraId="68A9157F" w14:textId="3CFF4BF1" w:rsidR="00BA4AAB" w:rsidRPr="006D0963" w:rsidRDefault="006D0963" w:rsidP="00F564AC">
            <w:r w:rsidRPr="006D0963">
              <w:lastRenderedPageBreak/>
              <w:t>2</w:t>
            </w:r>
            <w:r w:rsidR="0066496A">
              <w:t>.</w:t>
            </w:r>
          </w:p>
        </w:tc>
        <w:tc>
          <w:tcPr>
            <w:tcW w:w="2880" w:type="dxa"/>
          </w:tcPr>
          <w:p w14:paraId="39AAA00C" w14:textId="21DF0E6A" w:rsidR="00BA4AAB" w:rsidRPr="006D0963" w:rsidRDefault="006D0963" w:rsidP="006D0963">
            <w:r w:rsidRPr="006D0963">
              <w:t>Zakup sprzętu IT dla szkół i</w:t>
            </w:r>
            <w:r>
              <w:t> </w:t>
            </w:r>
            <w:r w:rsidRPr="006D0963">
              <w:t>placówek specjalnych</w:t>
            </w:r>
          </w:p>
        </w:tc>
        <w:tc>
          <w:tcPr>
            <w:tcW w:w="5337" w:type="dxa"/>
          </w:tcPr>
          <w:p w14:paraId="61CAD050" w14:textId="3BDC175E" w:rsidR="00BA4AAB" w:rsidRPr="006D0963" w:rsidRDefault="006D0963" w:rsidP="00F564AC">
            <w:r w:rsidRPr="006D0963">
              <w:t>Zakup sprzętu IT np. laptopy, stacje robocze, monitory.</w:t>
            </w:r>
          </w:p>
        </w:tc>
      </w:tr>
      <w:tr w:rsidR="00BA4AAB" w14:paraId="1C624119" w14:textId="77777777" w:rsidTr="00BA4AAB">
        <w:tc>
          <w:tcPr>
            <w:tcW w:w="845" w:type="dxa"/>
          </w:tcPr>
          <w:p w14:paraId="25151533" w14:textId="29113604" w:rsidR="00BA4AAB" w:rsidRPr="006D0963" w:rsidRDefault="006D0963" w:rsidP="00F564AC">
            <w:r w:rsidRPr="006D0963">
              <w:t>3</w:t>
            </w:r>
            <w:r w:rsidR="0066496A">
              <w:t>.</w:t>
            </w:r>
          </w:p>
        </w:tc>
        <w:tc>
          <w:tcPr>
            <w:tcW w:w="2880" w:type="dxa"/>
          </w:tcPr>
          <w:p w14:paraId="34DB14CD" w14:textId="6DD3CA0E" w:rsidR="00BA4AAB" w:rsidRPr="006D0963" w:rsidRDefault="006D0963" w:rsidP="006D0963">
            <w:r w:rsidRPr="006D0963">
              <w:t>Edukacja cyfrowa dla JST</w:t>
            </w:r>
          </w:p>
        </w:tc>
        <w:tc>
          <w:tcPr>
            <w:tcW w:w="5337" w:type="dxa"/>
          </w:tcPr>
          <w:p w14:paraId="53B9DD0E" w14:textId="1206E02D" w:rsidR="00BA4AAB" w:rsidRPr="006D0963" w:rsidRDefault="006D0963" w:rsidP="006D0963">
            <w:r w:rsidRPr="006D0963">
              <w:t>Zakup szkoleń stacjonarnych lub on-line w zakresie obsługi nabytego sprzętu, oprogramowania, licencji, usług edukacyjnych w zakresie pozyskanych usług chmurowych</w:t>
            </w:r>
            <w:r>
              <w:t xml:space="preserve"> </w:t>
            </w:r>
            <w:r w:rsidRPr="006D0963">
              <w:t>(np.: szkolenia, warsztaty), szkolenia dla urzędników z zakresu cyberbezpieczeństwa.</w:t>
            </w:r>
          </w:p>
        </w:tc>
      </w:tr>
      <w:tr w:rsidR="00BA4AAB" w14:paraId="481DB108" w14:textId="77777777" w:rsidTr="00BA4AAB">
        <w:tc>
          <w:tcPr>
            <w:tcW w:w="845" w:type="dxa"/>
          </w:tcPr>
          <w:p w14:paraId="00681BDA" w14:textId="14520CA6" w:rsidR="00BA4AAB" w:rsidRPr="006D0963" w:rsidRDefault="006D0963" w:rsidP="00F564AC">
            <w:r w:rsidRPr="006D0963">
              <w:t>4</w:t>
            </w:r>
            <w:r w:rsidR="0066496A">
              <w:t>.</w:t>
            </w:r>
          </w:p>
        </w:tc>
        <w:tc>
          <w:tcPr>
            <w:tcW w:w="2880" w:type="dxa"/>
          </w:tcPr>
          <w:p w14:paraId="35011D6A" w14:textId="05DEE3EB" w:rsidR="00BA4AAB" w:rsidRPr="006D0963" w:rsidRDefault="006D0963" w:rsidP="006D0963">
            <w:proofErr w:type="spellStart"/>
            <w:r w:rsidRPr="006D0963">
              <w:t>Cyberbezpieczństwo</w:t>
            </w:r>
            <w:proofErr w:type="spellEnd"/>
            <w:r w:rsidRPr="006D0963">
              <w:t xml:space="preserve"> </w:t>
            </w:r>
            <w:r w:rsidRPr="006D0963">
              <w:tab/>
            </w:r>
          </w:p>
        </w:tc>
        <w:tc>
          <w:tcPr>
            <w:tcW w:w="5337" w:type="dxa"/>
          </w:tcPr>
          <w:p w14:paraId="06D22D3A" w14:textId="34E6CCF5" w:rsidR="00BA4AAB" w:rsidRPr="006D0963" w:rsidRDefault="006D0963" w:rsidP="00F564AC">
            <w:r w:rsidRPr="006D0963">
              <w:t>W ramach kategorii obowiązkowe / obligatoryjne będzie przeprowadzenie technicznej diagnozy cyberbezpieczeństwa JST zgodnie z formularzem stanowiącym załącznik do dokumentacji konkursowej. Ponadto dopuszcza się zakup specjalistycznego oprogramowania, zakup usług w</w:t>
            </w:r>
            <w:r w:rsidR="0056731D">
              <w:t> </w:t>
            </w:r>
            <w:r w:rsidRPr="006D0963">
              <w:t>tym zakup usług doradczych.</w:t>
            </w:r>
          </w:p>
        </w:tc>
      </w:tr>
    </w:tbl>
    <w:p w14:paraId="553AA658" w14:textId="50B2D4F0" w:rsidR="005821B0" w:rsidRDefault="005821B0" w:rsidP="000F03EF">
      <w:pPr>
        <w:pStyle w:val="Akapitzlist"/>
        <w:numPr>
          <w:ilvl w:val="0"/>
          <w:numId w:val="4"/>
        </w:numPr>
      </w:pPr>
      <w:r>
        <w:t>Niniejszy Regulamin określa szczegółowe zasady powierzania Grantów w ramach Konkursu Grantowego.</w:t>
      </w:r>
    </w:p>
    <w:p w14:paraId="460C60CD" w14:textId="26790158" w:rsidR="005821B0" w:rsidRDefault="005821B0" w:rsidP="000F03EF">
      <w:pPr>
        <w:pStyle w:val="Akapitzlist"/>
        <w:numPr>
          <w:ilvl w:val="0"/>
          <w:numId w:val="4"/>
        </w:numPr>
      </w:pPr>
      <w:r>
        <w:t>Konkurs Grantowy jest prowadzony na terenie całej Polski.</w:t>
      </w:r>
    </w:p>
    <w:p w14:paraId="63EA625A" w14:textId="10E7562F" w:rsidR="005821B0" w:rsidRDefault="005821B0" w:rsidP="000F03EF">
      <w:pPr>
        <w:pStyle w:val="Akapitzlist"/>
        <w:numPr>
          <w:ilvl w:val="0"/>
          <w:numId w:val="4"/>
        </w:numPr>
      </w:pPr>
      <w:r>
        <w:lastRenderedPageBreak/>
        <w:t>Konkurs Grantowy przeprowadzany jest jawnie, z zapewnieniem publicznego dostępu do informacji o zasadach jego przeprowadzania oraz listy Projektów Grantowych, które otrzymały Grant.</w:t>
      </w:r>
    </w:p>
    <w:p w14:paraId="31CBF448" w14:textId="4E6DF087" w:rsidR="005821B0" w:rsidRDefault="005821B0" w:rsidP="000F03EF">
      <w:pPr>
        <w:pStyle w:val="Akapitzlist"/>
        <w:numPr>
          <w:ilvl w:val="0"/>
          <w:numId w:val="4"/>
        </w:numPr>
      </w:pPr>
      <w:r>
        <w:t>Konkurs Grantowy jest podzielony na rundy.</w:t>
      </w:r>
    </w:p>
    <w:p w14:paraId="786742F9" w14:textId="41C1CEF5" w:rsidR="005821B0" w:rsidRDefault="005821B0" w:rsidP="000F03EF">
      <w:pPr>
        <w:pStyle w:val="Akapitzlist"/>
        <w:numPr>
          <w:ilvl w:val="0"/>
          <w:numId w:val="4"/>
        </w:numPr>
      </w:pPr>
      <w:r>
        <w:t>Grantobiorcy będą realizowali Projekty Grantowe na podstawie Umowy o</w:t>
      </w:r>
      <w:r w:rsidR="00B036B6">
        <w:t> </w:t>
      </w:r>
      <w:r>
        <w:t>powierzenie Grantu, zawartej z Beneficjentem.</w:t>
      </w:r>
    </w:p>
    <w:p w14:paraId="2C813BFA" w14:textId="2E1C0CA0" w:rsidR="005821B0" w:rsidRDefault="005821B0" w:rsidP="0056731D">
      <w:pPr>
        <w:pStyle w:val="Akapitzlist"/>
        <w:numPr>
          <w:ilvl w:val="0"/>
          <w:numId w:val="4"/>
        </w:numPr>
        <w:contextualSpacing/>
      </w:pPr>
      <w:r>
        <w:t>Warunki dotyczące okresu realizacji Projektu Grantowego:</w:t>
      </w:r>
    </w:p>
    <w:p w14:paraId="74E6A07C" w14:textId="2789EC2A" w:rsidR="005821B0" w:rsidRDefault="005821B0" w:rsidP="000F03EF">
      <w:pPr>
        <w:pStyle w:val="Akapitzlist"/>
        <w:numPr>
          <w:ilvl w:val="1"/>
          <w:numId w:val="6"/>
        </w:numPr>
        <w:contextualSpacing/>
      </w:pPr>
      <w:r>
        <w:t>okres realizacji Projektu Grantowego wynosi maksymalnie 18 miesięcy od dnia wejścia w życie Umowy o powierzenie Grantu, jednak nie później niż do 31.10.2023</w:t>
      </w:r>
      <w:r w:rsidR="000F03EF">
        <w:t> </w:t>
      </w:r>
      <w:r>
        <w:t>r.;</w:t>
      </w:r>
    </w:p>
    <w:p w14:paraId="4EA7BDDE" w14:textId="760F58E5" w:rsidR="005821B0" w:rsidRDefault="005821B0" w:rsidP="0056731D">
      <w:pPr>
        <w:pStyle w:val="Akapitzlist"/>
        <w:numPr>
          <w:ilvl w:val="1"/>
          <w:numId w:val="6"/>
        </w:numPr>
      </w:pPr>
      <w:r>
        <w:t>dopuszcza się kwalifikowalność wydatków poniesionych w okresie od dnia 01.02.2020 r. do dnia zakończenia realizacji Projektu Grantowego określonego w</w:t>
      </w:r>
      <w:r w:rsidR="000F03EF">
        <w:t> </w:t>
      </w:r>
      <w:r>
        <w:t>Umowie o powierzenie Grantu.</w:t>
      </w:r>
    </w:p>
    <w:p w14:paraId="142BBB34" w14:textId="071B502B" w:rsidR="005821B0" w:rsidRDefault="005821B0" w:rsidP="0056731D">
      <w:pPr>
        <w:pStyle w:val="Akapitzlist"/>
        <w:numPr>
          <w:ilvl w:val="0"/>
          <w:numId w:val="4"/>
        </w:numPr>
        <w:contextualSpacing/>
      </w:pPr>
      <w:r>
        <w:t>Wniosek o przyznanie Grantu uznaje się za złożony, jeśli spełnia następujące warunki:</w:t>
      </w:r>
    </w:p>
    <w:p w14:paraId="1CD36DEF" w14:textId="2E97D14E" w:rsidR="000F03EF" w:rsidRDefault="005821B0" w:rsidP="000F03EF">
      <w:pPr>
        <w:pStyle w:val="Akapitzlist"/>
        <w:numPr>
          <w:ilvl w:val="1"/>
          <w:numId w:val="7"/>
        </w:numPr>
        <w:contextualSpacing/>
      </w:pPr>
      <w:r>
        <w:t>został złożony w terminie, o którym mowa w § 5 ust. 1, pkt 3</w:t>
      </w:r>
      <w:r w:rsidR="000F03EF">
        <w:t>,</w:t>
      </w:r>
    </w:p>
    <w:p w14:paraId="20A2A0F4" w14:textId="6FB77B97" w:rsidR="005821B0" w:rsidRDefault="005821B0" w:rsidP="000F03EF">
      <w:pPr>
        <w:pStyle w:val="Akapitzlist"/>
        <w:numPr>
          <w:ilvl w:val="1"/>
          <w:numId w:val="7"/>
        </w:numPr>
        <w:contextualSpacing/>
      </w:pPr>
      <w:r>
        <w:t>został złożony zgodnie z zasadami określonymi w § 5 ust. 2.</w:t>
      </w:r>
    </w:p>
    <w:p w14:paraId="5C6E5E1A" w14:textId="1E1B22B5" w:rsidR="005821B0" w:rsidRDefault="005821B0" w:rsidP="005F3A5F">
      <w:pPr>
        <w:pStyle w:val="Nagwek2"/>
      </w:pPr>
      <w:r>
        <w:t>§4 Podmioty uprawnione do udziału w Konkursie grantowym i zasady finansowania projektów</w:t>
      </w:r>
    </w:p>
    <w:p w14:paraId="111CFCF7" w14:textId="13B9D228" w:rsidR="005821B0" w:rsidRDefault="005821B0" w:rsidP="009F392B">
      <w:pPr>
        <w:pStyle w:val="Akapitzlist"/>
        <w:numPr>
          <w:ilvl w:val="0"/>
          <w:numId w:val="8"/>
        </w:numPr>
      </w:pPr>
      <w:r>
        <w:t>Do udziału w Konkursie Grantowym uprawnione są JST – zgodnie z listami wnioskodawców publikowanymi w dniu ogłoszenia danej rundy konkursowej.</w:t>
      </w:r>
    </w:p>
    <w:p w14:paraId="20214A54" w14:textId="08F40BAF" w:rsidR="005821B0" w:rsidRDefault="005821B0" w:rsidP="009F392B">
      <w:pPr>
        <w:pStyle w:val="Akapitzlist"/>
        <w:numPr>
          <w:ilvl w:val="0"/>
          <w:numId w:val="8"/>
        </w:numPr>
      </w:pPr>
      <w:r>
        <w:t>Alokacja na Granty wynosi 628 133 729,00 zł.</w:t>
      </w:r>
    </w:p>
    <w:p w14:paraId="382D2DA4" w14:textId="0D73350C" w:rsidR="005821B0" w:rsidRDefault="005821B0" w:rsidP="009F392B">
      <w:pPr>
        <w:pStyle w:val="Akapitzlist"/>
        <w:numPr>
          <w:ilvl w:val="0"/>
          <w:numId w:val="8"/>
        </w:numPr>
      </w:pPr>
      <w:r>
        <w:t>Maksymalna intensywność dofinansowania projektu może wynosić do 100% kosztów kwalifikowalnych.</w:t>
      </w:r>
    </w:p>
    <w:p w14:paraId="383CBE1A" w14:textId="258FE29E" w:rsidR="005821B0" w:rsidRDefault="005821B0" w:rsidP="009F392B">
      <w:pPr>
        <w:pStyle w:val="Akapitzlist"/>
        <w:numPr>
          <w:ilvl w:val="0"/>
          <w:numId w:val="8"/>
        </w:numPr>
      </w:pPr>
      <w:r>
        <w:t>Minimalna wysokość Grantu dla jednej gminy wynosi 100 000 zł, natomiast maksymalna wysokość Grantu wynosi 2 000 000 zł.</w:t>
      </w:r>
    </w:p>
    <w:p w14:paraId="0D55B6E7" w14:textId="66FFFA6F" w:rsidR="005821B0" w:rsidRDefault="005821B0" w:rsidP="009F392B">
      <w:pPr>
        <w:pStyle w:val="Akapitzlist"/>
        <w:numPr>
          <w:ilvl w:val="0"/>
          <w:numId w:val="8"/>
        </w:numPr>
      </w:pPr>
      <w:r>
        <w:lastRenderedPageBreak/>
        <w:t>Wysokość dofinansowania w ramach Grantów dla poszczególnych JST zostanie określona zgodnie z metodologią opartą o wskaźnik G „wskaźnik podstawowych dochodów podatkowych na 1 mieszkańca gminy przyjęty do obliczania subwencji wyrównawczej w</w:t>
      </w:r>
      <w:r w:rsidR="009F392B">
        <w:t> </w:t>
      </w:r>
      <w:r>
        <w:t>2021 r.”, publikowany przez Ministerstwo Finansów, a także liczbę mieszkańców w danej jednostce. Wartość wskaźnika dla kraju w 2021 r. wynosi 2 098,22 zł. Kwota dofinansowania dla gminy uzależniona jest od stosunku wskaźnika dla danej gminy do wskaźnika oszacowanego dla kraju i wyrażona jest następującym wzorem:</w:t>
      </w:r>
    </w:p>
    <w:p w14:paraId="2C566C06" w14:textId="45896FF8" w:rsidR="005821B0" w:rsidRDefault="005821B0" w:rsidP="00DE0552">
      <w:pPr>
        <w:pStyle w:val="Nagwek3"/>
      </w:pPr>
      <w:r>
        <w:t>Metodologia wyliczenia wysokości grantu dla gminy.</w:t>
      </w:r>
    </w:p>
    <w:p w14:paraId="0A7AED30" w14:textId="44995848" w:rsidR="005821B0" w:rsidRPr="009F392B" w:rsidRDefault="005821B0" w:rsidP="009F392B">
      <w:pPr>
        <w:rPr>
          <w:b/>
          <w:bCs/>
        </w:rPr>
      </w:pPr>
      <w:r w:rsidRPr="009F392B">
        <w:rPr>
          <w:b/>
          <w:bCs/>
        </w:rPr>
        <w:t>Maksymalna kwota grantu jest wyliczana wg wzoru:</w:t>
      </w:r>
    </w:p>
    <w:p w14:paraId="32B93773" w14:textId="745C2D8F" w:rsidR="005821B0" w:rsidRDefault="005821B0" w:rsidP="00F564AC">
      <w:r>
        <w:t>X = (</w:t>
      </w:r>
      <w:r>
        <w:rPr>
          <w:rFonts w:ascii="Cambria Math" w:hAnsi="Cambria Math" w:cs="Cambria Math"/>
        </w:rPr>
        <w:t>𝐆𝐤</w:t>
      </w:r>
      <w:r>
        <w:t xml:space="preserve"> − </w:t>
      </w:r>
      <w:r>
        <w:rPr>
          <w:rFonts w:ascii="Cambria Math" w:hAnsi="Cambria Math" w:cs="Cambria Math"/>
        </w:rPr>
        <w:t>𝐆</w:t>
      </w:r>
      <w:r>
        <w:t xml:space="preserve">)/ </w:t>
      </w:r>
      <w:r>
        <w:rPr>
          <w:rFonts w:ascii="Cambria Math" w:hAnsi="Cambria Math" w:cs="Cambria Math"/>
        </w:rPr>
        <w:t>𝟏𝟎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</w:t>
      </w:r>
      <w:r>
        <w:rPr>
          <w:rFonts w:ascii="Cambria Math" w:hAnsi="Cambria Math" w:cs="Cambria Math"/>
        </w:rPr>
        <w:t>𝐿</w:t>
      </w:r>
      <w:r>
        <w:t xml:space="preserve"> + 100 000</w:t>
      </w:r>
    </w:p>
    <w:p w14:paraId="2AED9F79" w14:textId="25CB24B3" w:rsidR="005821B0" w:rsidRDefault="005821B0" w:rsidP="00F564AC">
      <w:r w:rsidRPr="009F392B">
        <w:rPr>
          <w:b/>
          <w:bCs/>
        </w:rPr>
        <w:t>Gdzie:</w:t>
      </w:r>
      <w:r w:rsidR="009F392B">
        <w:br/>
      </w:r>
      <w:r>
        <w:t>L- liczba ludności w gminie</w:t>
      </w:r>
      <w:r w:rsidR="009F392B">
        <w:br/>
      </w:r>
      <w:r>
        <w:t>G- wskaźnik podstawowych dochodów podatkowych na 1 mieszkańca gminy przyjęty do obliczania subwencji wyrównawczej na 2021 r. publikowany przez Ministerstwo Finansów.</w:t>
      </w:r>
      <w:r w:rsidR="009F392B">
        <w:br/>
      </w:r>
      <w:proofErr w:type="spellStart"/>
      <w:r>
        <w:t>Gk</w:t>
      </w:r>
      <w:proofErr w:type="spellEnd"/>
      <w:r>
        <w:t xml:space="preserve"> - Wartość wskaźnika dla kraju w 2021 roku wynosi 2 098,22 PLN.</w:t>
      </w:r>
    </w:p>
    <w:p w14:paraId="790B9F06" w14:textId="64950FEE" w:rsidR="005821B0" w:rsidRPr="009F392B" w:rsidRDefault="005821B0" w:rsidP="00F564AC">
      <w:pPr>
        <w:rPr>
          <w:b/>
          <w:bCs/>
        </w:rPr>
      </w:pPr>
      <w:r w:rsidRPr="009F392B">
        <w:rPr>
          <w:b/>
          <w:bCs/>
        </w:rPr>
        <w:t>Jeśli:</w:t>
      </w:r>
    </w:p>
    <w:p w14:paraId="4DE0A09D" w14:textId="255D98CA" w:rsidR="005821B0" w:rsidRDefault="005821B0" w:rsidP="009F392B">
      <w:pPr>
        <w:pStyle w:val="Akapitzlist"/>
        <w:numPr>
          <w:ilvl w:val="0"/>
          <w:numId w:val="9"/>
        </w:numPr>
        <w:ind w:left="714" w:hanging="357"/>
        <w:contextualSpacing/>
      </w:pPr>
      <w:r w:rsidRPr="009F392B">
        <w:rPr>
          <w:rFonts w:ascii="Cambria Math" w:hAnsi="Cambria Math" w:cs="Cambria Math"/>
        </w:rPr>
        <w:t>𝑋</w:t>
      </w:r>
      <w:r>
        <w:t xml:space="preserve"> ≤ 100 000, to kwota grantu wynosi 100 000,00 zł</w:t>
      </w:r>
    </w:p>
    <w:p w14:paraId="3D7E958E" w14:textId="7823CC92" w:rsidR="005821B0" w:rsidRDefault="005821B0" w:rsidP="009F392B">
      <w:pPr>
        <w:pStyle w:val="Akapitzlist"/>
        <w:numPr>
          <w:ilvl w:val="0"/>
          <w:numId w:val="9"/>
        </w:numPr>
        <w:ind w:left="714" w:hanging="357"/>
        <w:contextualSpacing/>
      </w:pPr>
      <w:r w:rsidRPr="009F392B">
        <w:rPr>
          <w:rFonts w:ascii="Cambria Math" w:hAnsi="Cambria Math" w:cs="Cambria Math"/>
        </w:rPr>
        <w:t>𝑋</w:t>
      </w:r>
      <w:r>
        <w:t xml:space="preserve"> ≥ 2 000 000, to kwota grantu wynosi 2 000 000,00 zł</w:t>
      </w:r>
    </w:p>
    <w:p w14:paraId="3C3C3F5A" w14:textId="0745DE07" w:rsidR="005821B0" w:rsidRDefault="005821B0" w:rsidP="009F392B">
      <w:pPr>
        <w:pStyle w:val="Akapitzlist"/>
        <w:numPr>
          <w:ilvl w:val="0"/>
          <w:numId w:val="9"/>
        </w:numPr>
        <w:ind w:left="714" w:hanging="357"/>
        <w:contextualSpacing/>
      </w:pPr>
      <w:r>
        <w:t xml:space="preserve">100 000 &lt; </w:t>
      </w:r>
      <w:r w:rsidRPr="009F392B">
        <w:rPr>
          <w:rFonts w:ascii="Cambria Math" w:hAnsi="Cambria Math" w:cs="Cambria Math"/>
        </w:rPr>
        <w:t>𝑋</w:t>
      </w:r>
      <w:r>
        <w:t xml:space="preserve"> &lt; 2 000 000, to kwota grantu jest równa X</w:t>
      </w:r>
    </w:p>
    <w:p w14:paraId="389DE68F" w14:textId="45D9419A" w:rsidR="005821B0" w:rsidRDefault="005821B0" w:rsidP="00F564AC">
      <w:r>
        <w:t xml:space="preserve">Jeśli </w:t>
      </w:r>
      <w:r>
        <w:rPr>
          <w:rFonts w:ascii="Cambria Math" w:hAnsi="Cambria Math" w:cs="Cambria Math"/>
        </w:rPr>
        <w:t>𝑋</w:t>
      </w:r>
      <w:r>
        <w:t xml:space="preserve"> &gt; </w:t>
      </w:r>
      <w:r>
        <w:rPr>
          <w:rFonts w:ascii="Cambria Math" w:hAnsi="Cambria Math" w:cs="Cambria Math"/>
        </w:rPr>
        <w:t>𝐿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30, w</w:t>
      </w:r>
      <w:r>
        <w:rPr>
          <w:rFonts w:cs="Calibri"/>
        </w:rPr>
        <w:t>ó</w:t>
      </w:r>
      <w:r>
        <w:t xml:space="preserve">wczas </w:t>
      </w:r>
      <w:r>
        <w:rPr>
          <w:rFonts w:ascii="Cambria Math" w:hAnsi="Cambria Math" w:cs="Cambria Math"/>
        </w:rPr>
        <w:t>𝑿</w:t>
      </w:r>
      <w:r>
        <w:t xml:space="preserve"> = </w:t>
      </w:r>
      <w:r>
        <w:rPr>
          <w:rFonts w:ascii="Cambria Math" w:hAnsi="Cambria Math" w:cs="Cambria Math"/>
        </w:rPr>
        <w:t>𝑳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</w:t>
      </w:r>
      <w:r>
        <w:rPr>
          <w:rFonts w:ascii="Cambria Math" w:hAnsi="Cambria Math" w:cs="Cambria Math"/>
        </w:rPr>
        <w:t>𝟑𝟎</w:t>
      </w:r>
      <w:r w:rsidR="009F392B">
        <w:br/>
      </w:r>
      <w:r>
        <w:rPr>
          <w:rFonts w:ascii="Cambria Math" w:hAnsi="Cambria Math" w:cs="Cambria Math"/>
        </w:rPr>
        <w:t>𝑅</w:t>
      </w:r>
      <w:r>
        <w:t xml:space="preserve"> = (</w:t>
      </w:r>
      <w:r>
        <w:rPr>
          <w:rFonts w:ascii="Cambria Math" w:hAnsi="Cambria Math" w:cs="Cambria Math"/>
        </w:rPr>
        <w:t>𝐆𝐤</w:t>
      </w:r>
      <w:r>
        <w:t xml:space="preserve"> − </w:t>
      </w:r>
      <w:r>
        <w:rPr>
          <w:rFonts w:ascii="Cambria Math" w:hAnsi="Cambria Math" w:cs="Cambria Math"/>
        </w:rPr>
        <w:t>𝐆</w:t>
      </w:r>
      <w:r>
        <w:t xml:space="preserve"> )/</w:t>
      </w:r>
      <w:r>
        <w:rPr>
          <w:rFonts w:ascii="Cambria Math" w:hAnsi="Cambria Math" w:cs="Cambria Math"/>
        </w:rPr>
        <w:t>𝟏𝟎</w:t>
      </w:r>
      <w:r>
        <w:t xml:space="preserve"> - różnica wyznaczona jako minimum z </w:t>
      </w:r>
      <w:r>
        <w:rPr>
          <w:rFonts w:ascii="Cambria Math" w:hAnsi="Cambria Math" w:cs="Cambria Math"/>
        </w:rPr>
        <w:t>𝑅</w:t>
      </w:r>
      <w:r>
        <w:t xml:space="preserve">₁ = 30 i </w:t>
      </w:r>
      <w:r>
        <w:rPr>
          <w:rFonts w:ascii="Cambria Math" w:hAnsi="Cambria Math" w:cs="Cambria Math"/>
        </w:rPr>
        <w:t>𝑅</w:t>
      </w:r>
      <w:r>
        <w:t xml:space="preserve">₂, przy czym </w:t>
      </w:r>
      <w:r>
        <w:rPr>
          <w:rFonts w:ascii="Cambria Math" w:hAnsi="Cambria Math" w:cs="Cambria Math"/>
        </w:rPr>
        <w:t>𝑅</w:t>
      </w:r>
      <w:r>
        <w:t xml:space="preserve">₂ wyznaczamy jako maximum z r₁ i r₂, gdzie: </w:t>
      </w:r>
      <w:r>
        <w:rPr>
          <w:rFonts w:ascii="Cambria Math" w:hAnsi="Cambria Math" w:cs="Cambria Math"/>
        </w:rPr>
        <w:t>𝑟</w:t>
      </w:r>
      <w:r>
        <w:t xml:space="preserve">₁ = 0 </w:t>
      </w:r>
      <w:r>
        <w:rPr>
          <w:rFonts w:ascii="Cambria Math" w:hAnsi="Cambria Math" w:cs="Cambria Math"/>
        </w:rPr>
        <w:t>𝑖</w:t>
      </w:r>
      <w:r>
        <w:t xml:space="preserve"> </w:t>
      </w:r>
      <w:r>
        <w:rPr>
          <w:rFonts w:ascii="Cambria Math" w:hAnsi="Cambria Math" w:cs="Cambria Math"/>
        </w:rPr>
        <w:t>𝑟</w:t>
      </w:r>
      <w:r>
        <w:t>₂ = (</w:t>
      </w:r>
      <w:r>
        <w:rPr>
          <w:rFonts w:ascii="Cambria Math" w:hAnsi="Cambria Math" w:cs="Cambria Math"/>
        </w:rPr>
        <w:t>𝑮𝒌</w:t>
      </w:r>
      <w:r>
        <w:t xml:space="preserve"> − </w:t>
      </w:r>
      <w:r>
        <w:rPr>
          <w:rFonts w:ascii="Cambria Math" w:hAnsi="Cambria Math" w:cs="Cambria Math"/>
        </w:rPr>
        <w:t>𝑮</w:t>
      </w:r>
      <w:r>
        <w:t>)/</w:t>
      </w:r>
      <w:r>
        <w:rPr>
          <w:rFonts w:ascii="Cambria Math" w:hAnsi="Cambria Math" w:cs="Cambria Math"/>
        </w:rPr>
        <w:t>𝟏𝟎</w:t>
      </w:r>
      <w:r w:rsidR="009F392B">
        <w:br/>
      </w:r>
      <w:r>
        <w:rPr>
          <w:rFonts w:ascii="Cambria Math" w:hAnsi="Cambria Math" w:cs="Cambria Math"/>
        </w:rPr>
        <w:t>𝑍</w:t>
      </w:r>
      <w:r>
        <w:t xml:space="preserve"> = </w:t>
      </w:r>
      <w:r>
        <w:rPr>
          <w:rFonts w:ascii="Cambria Math" w:hAnsi="Cambria Math" w:cs="Cambria Math"/>
        </w:rPr>
        <w:t>𝑅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</w:t>
      </w:r>
      <w:r>
        <w:rPr>
          <w:rFonts w:ascii="Cambria Math" w:hAnsi="Cambria Math" w:cs="Cambria Math"/>
        </w:rPr>
        <w:t>𝐿</w:t>
      </w:r>
      <w:r>
        <w:t xml:space="preserve"> </w:t>
      </w:r>
      <w:r w:rsidR="009F392B">
        <w:t>–</w:t>
      </w:r>
      <w:r>
        <w:t xml:space="preserve"> zmienna</w:t>
      </w:r>
      <w:r w:rsidR="009F392B">
        <w:br/>
      </w:r>
      <w:r>
        <w:rPr>
          <w:rFonts w:ascii="Cambria Math" w:hAnsi="Cambria Math" w:cs="Cambria Math"/>
        </w:rPr>
        <w:t>𝑍𝐶</w:t>
      </w:r>
      <w:r>
        <w:t xml:space="preserve">- zmienna + cap wyznaczona jako minimum z </w:t>
      </w:r>
      <w:r>
        <w:rPr>
          <w:rFonts w:ascii="Cambria Math" w:hAnsi="Cambria Math" w:cs="Cambria Math"/>
        </w:rPr>
        <w:t>𝑍𝐶</w:t>
      </w:r>
      <w:r>
        <w:t xml:space="preserve">₁ = 1 900 000 </w:t>
      </w:r>
      <w:r>
        <w:rPr>
          <w:rFonts w:ascii="Cambria Math" w:hAnsi="Cambria Math" w:cs="Cambria Math"/>
        </w:rPr>
        <w:t>𝑖</w:t>
      </w:r>
      <w:r>
        <w:t xml:space="preserve"> </w:t>
      </w:r>
      <w:r>
        <w:rPr>
          <w:rFonts w:ascii="Cambria Math" w:hAnsi="Cambria Math" w:cs="Cambria Math"/>
        </w:rPr>
        <w:t>𝑍𝐶</w:t>
      </w:r>
      <w:r>
        <w:t>₂ = Z</w:t>
      </w:r>
    </w:p>
    <w:p w14:paraId="65EB6548" w14:textId="1909C158" w:rsidR="005821B0" w:rsidRDefault="005821B0" w:rsidP="009F392B">
      <w:pPr>
        <w:pStyle w:val="Akapitzlist"/>
        <w:numPr>
          <w:ilvl w:val="0"/>
          <w:numId w:val="8"/>
        </w:numPr>
      </w:pPr>
      <w:r>
        <w:t>Do wydatków kwalifikowanych w ramach Grantu zalicza się:</w:t>
      </w:r>
    </w:p>
    <w:p w14:paraId="129955AC" w14:textId="37517C7F" w:rsidR="005821B0" w:rsidRDefault="009F392B" w:rsidP="009333C7">
      <w:pPr>
        <w:pStyle w:val="Akapitzlist"/>
        <w:numPr>
          <w:ilvl w:val="1"/>
          <w:numId w:val="8"/>
        </w:numPr>
        <w:contextualSpacing/>
      </w:pPr>
      <w:r>
        <w:lastRenderedPageBreak/>
        <w:t>ś</w:t>
      </w:r>
      <w:r w:rsidR="005821B0">
        <w:t>rodki trwałe, wartości niematerialne i prawne oraz rzeczowe aktywa niestanowiące środków trwałych</w:t>
      </w:r>
      <w:r>
        <w:t>:</w:t>
      </w:r>
    </w:p>
    <w:p w14:paraId="2A73F886" w14:textId="76502410" w:rsidR="004A5128" w:rsidRDefault="005821B0" w:rsidP="009333C7">
      <w:pPr>
        <w:pStyle w:val="Akapitzlist"/>
        <w:numPr>
          <w:ilvl w:val="2"/>
          <w:numId w:val="8"/>
        </w:numPr>
        <w:contextualSpacing/>
      </w:pPr>
      <w:r>
        <w:t>środki trwałe oraz rzeczowe aktywa niestanowiące środków trwałych:</w:t>
      </w:r>
    </w:p>
    <w:p w14:paraId="1D6EEE68" w14:textId="5B43A325" w:rsidR="005821B0" w:rsidRDefault="005821B0" w:rsidP="009333C7">
      <w:pPr>
        <w:pStyle w:val="Akapitzlist"/>
        <w:numPr>
          <w:ilvl w:val="3"/>
          <w:numId w:val="8"/>
        </w:numPr>
        <w:contextualSpacing/>
      </w:pPr>
      <w:r>
        <w:t>sprzęt informatyczny  niezbędny do cyfryzacji JST oraz jednostek podległych i nadzorowanych (np.</w:t>
      </w:r>
      <w:r w:rsidR="005F3A5F">
        <w:t>:</w:t>
      </w:r>
      <w:r w:rsidR="009F392B">
        <w:t xml:space="preserve"> </w:t>
      </w:r>
      <w:r>
        <w:t>szkół, z wyłączeniem Podstawowej Opieki Zdrowotnej), w tym realizacji e-usług, pracy i</w:t>
      </w:r>
      <w:r w:rsidR="00B036B6">
        <w:t> </w:t>
      </w:r>
      <w:r>
        <w:t>edukacji zdanej, zdalnej obsługi mieszkańców:</w:t>
      </w:r>
    </w:p>
    <w:p w14:paraId="1E4C55D1" w14:textId="09938C96" w:rsidR="00287464" w:rsidRDefault="005821B0" w:rsidP="009333C7">
      <w:pPr>
        <w:pStyle w:val="Akapitzlist"/>
        <w:numPr>
          <w:ilvl w:val="4"/>
          <w:numId w:val="8"/>
        </w:numPr>
        <w:contextualSpacing/>
      </w:pPr>
      <w:r>
        <w:t>zakup i dostawa sprzętu informatycznego z urządzeniami peryferyjnymi i</w:t>
      </w:r>
      <w:r w:rsidR="00B036B6">
        <w:t> </w:t>
      </w:r>
      <w:r>
        <w:t xml:space="preserve">akcesoriami </w:t>
      </w:r>
      <w:r w:rsidR="009F392B">
        <w:t xml:space="preserve">np.: </w:t>
      </w:r>
      <w:r>
        <w:t>stacje robocze, skanery, signature pady, czytniki e-dowodu, słuchawki z mikrofonem,</w:t>
      </w:r>
    </w:p>
    <w:p w14:paraId="234B1283" w14:textId="6A799284" w:rsidR="005E2C7E" w:rsidRDefault="005821B0" w:rsidP="009333C7">
      <w:pPr>
        <w:pStyle w:val="Akapitzlist"/>
        <w:numPr>
          <w:ilvl w:val="4"/>
          <w:numId w:val="8"/>
        </w:numPr>
        <w:contextualSpacing/>
      </w:pPr>
      <w:r>
        <w:t>doposażenie serwerowni oraz modernizacja / rozbudowa wewnętrznej sieci LAN</w:t>
      </w:r>
      <w:r w:rsidR="009333C7">
        <w:t>;</w:t>
      </w:r>
    </w:p>
    <w:p w14:paraId="3FA5433D" w14:textId="745FC175" w:rsidR="005821B0" w:rsidRDefault="005821B0" w:rsidP="009333C7">
      <w:pPr>
        <w:pStyle w:val="Akapitzlist"/>
        <w:numPr>
          <w:ilvl w:val="2"/>
          <w:numId w:val="8"/>
        </w:numPr>
        <w:contextualSpacing/>
      </w:pPr>
      <w:r>
        <w:t>wartości niematerialne i prawne:</w:t>
      </w:r>
    </w:p>
    <w:p w14:paraId="4211468A" w14:textId="2F7D6DB3" w:rsidR="005821B0" w:rsidRDefault="005821B0" w:rsidP="009333C7">
      <w:pPr>
        <w:pStyle w:val="Akapitzlist"/>
        <w:numPr>
          <w:ilvl w:val="3"/>
          <w:numId w:val="8"/>
        </w:numPr>
        <w:contextualSpacing/>
      </w:pPr>
      <w:r>
        <w:t>oprogramowanie biurowe:</w:t>
      </w:r>
    </w:p>
    <w:p w14:paraId="2BCBEBA2" w14:textId="0C49307F" w:rsidR="005821B0" w:rsidRDefault="005821B0" w:rsidP="009333C7">
      <w:pPr>
        <w:pStyle w:val="Akapitzlist"/>
        <w:numPr>
          <w:ilvl w:val="4"/>
          <w:numId w:val="8"/>
        </w:numPr>
        <w:contextualSpacing/>
      </w:pPr>
      <w:r>
        <w:t>oprogramowanie ułatwiające/umożliwiające pracę, naukę zdalną (np. współdzielenie dokumentów, budowanie i przydzielanie list zadań, komunikatory),</w:t>
      </w:r>
    </w:p>
    <w:p w14:paraId="491B74FA" w14:textId="170F5213" w:rsidR="005821B0" w:rsidRDefault="005821B0" w:rsidP="009333C7">
      <w:pPr>
        <w:pStyle w:val="Akapitzlist"/>
        <w:numPr>
          <w:ilvl w:val="4"/>
          <w:numId w:val="8"/>
        </w:numPr>
        <w:contextualSpacing/>
      </w:pPr>
      <w:r>
        <w:t>oprogramowanie/systemy związane z komunikacją on – line: video-spotkania, wymiana plików i wiadomości, prowadzenie telekonferencji, transmisji, w tym systemy do zdalnej obsługi mieszkańców</w:t>
      </w:r>
      <w:r w:rsidR="009333C7">
        <w:t>;</w:t>
      </w:r>
    </w:p>
    <w:p w14:paraId="10A3E7F4" w14:textId="3A41416E" w:rsidR="009333C7" w:rsidRDefault="005821B0" w:rsidP="009333C7">
      <w:pPr>
        <w:pStyle w:val="Akapitzlist"/>
        <w:numPr>
          <w:ilvl w:val="3"/>
          <w:numId w:val="8"/>
        </w:numPr>
        <w:contextualSpacing/>
      </w:pPr>
      <w:r>
        <w:t>licencje, oprogramowanie umożliwiające korzystanie z podpisów elektronicznych,</w:t>
      </w:r>
    </w:p>
    <w:p w14:paraId="3D636D77" w14:textId="2126FB3A" w:rsidR="005821B0" w:rsidRDefault="005821B0" w:rsidP="009333C7">
      <w:pPr>
        <w:pStyle w:val="Akapitzlist"/>
        <w:numPr>
          <w:ilvl w:val="3"/>
          <w:numId w:val="8"/>
        </w:numPr>
        <w:contextualSpacing/>
      </w:pPr>
      <w:r>
        <w:t>oprogramowanie wspomagające cyberbezpieczeństwo w JST.</w:t>
      </w:r>
    </w:p>
    <w:p w14:paraId="2A6B557C" w14:textId="595F3EC9" w:rsidR="005821B0" w:rsidRDefault="005821B0" w:rsidP="00F564AC">
      <w:r>
        <w:t>Kwalifikowany jest zakup, dostawa oraz ubezpieczenie środków trwałych, rzeczowych aktywów niestanowiących środków trwałych oraz wartości niematerialnych i prawnych</w:t>
      </w:r>
      <w:r w:rsidR="009333C7">
        <w:t>.</w:t>
      </w:r>
    </w:p>
    <w:p w14:paraId="72BB350F" w14:textId="3AB91292" w:rsidR="005821B0" w:rsidRDefault="009333C7" w:rsidP="009333C7">
      <w:pPr>
        <w:pStyle w:val="Akapitzlist"/>
        <w:numPr>
          <w:ilvl w:val="1"/>
          <w:numId w:val="8"/>
        </w:numPr>
        <w:contextualSpacing/>
      </w:pPr>
      <w:r>
        <w:t>u</w:t>
      </w:r>
      <w:r w:rsidR="005821B0">
        <w:t>sługi zewnętrzne:</w:t>
      </w:r>
    </w:p>
    <w:p w14:paraId="07C5C840" w14:textId="34206E97" w:rsidR="005821B0" w:rsidRDefault="005821B0" w:rsidP="009333C7">
      <w:pPr>
        <w:pStyle w:val="Akapitzlist"/>
        <w:numPr>
          <w:ilvl w:val="2"/>
          <w:numId w:val="12"/>
        </w:numPr>
        <w:contextualSpacing/>
      </w:pPr>
      <w:r>
        <w:t>usługi dotyczące analiz, ekspertyz:</w:t>
      </w:r>
    </w:p>
    <w:p w14:paraId="499FFA71" w14:textId="53388807" w:rsidR="005821B0" w:rsidRDefault="005821B0" w:rsidP="009333C7">
      <w:pPr>
        <w:pStyle w:val="Akapitzlist"/>
        <w:numPr>
          <w:ilvl w:val="3"/>
          <w:numId w:val="12"/>
        </w:numPr>
        <w:contextualSpacing/>
      </w:pPr>
      <w:r>
        <w:t>diagnoza cyberbezpieczeństwa JST,</w:t>
      </w:r>
    </w:p>
    <w:p w14:paraId="5D8B0429" w14:textId="0A815E00" w:rsidR="004A5128" w:rsidRDefault="005821B0" w:rsidP="009333C7">
      <w:pPr>
        <w:pStyle w:val="Akapitzlist"/>
        <w:numPr>
          <w:ilvl w:val="3"/>
          <w:numId w:val="12"/>
        </w:numPr>
      </w:pPr>
      <w:r>
        <w:lastRenderedPageBreak/>
        <w:t>usługi doradcze – np. wsparcie w zakresie przygotowania opisu przedmiotu zamówienia, oceny zapotrzebowania JST w zakresie wydatków w ramach Grantu – na ten wydatek możliwe jest przeznaczenie do 5 % wartości przyznanego Grantu;</w:t>
      </w:r>
    </w:p>
    <w:p w14:paraId="1957ADED" w14:textId="29AC47C9" w:rsidR="005821B0" w:rsidRDefault="009333C7" w:rsidP="009333C7">
      <w:pPr>
        <w:pStyle w:val="Akapitzlist"/>
        <w:numPr>
          <w:ilvl w:val="1"/>
          <w:numId w:val="8"/>
        </w:numPr>
        <w:contextualSpacing/>
      </w:pPr>
      <w:r>
        <w:t>p</w:t>
      </w:r>
      <w:r w:rsidR="005821B0">
        <w:t>ozostałe usługi:</w:t>
      </w:r>
    </w:p>
    <w:p w14:paraId="53B80DA6" w14:textId="1BE47E21" w:rsidR="005821B0" w:rsidRDefault="005821B0" w:rsidP="009333C7">
      <w:pPr>
        <w:pStyle w:val="Akapitzlist"/>
        <w:numPr>
          <w:ilvl w:val="2"/>
          <w:numId w:val="8"/>
        </w:numPr>
        <w:contextualSpacing/>
      </w:pPr>
      <w:r>
        <w:t>inne usługi z zakresu cyberbezpieczeństwa,</w:t>
      </w:r>
    </w:p>
    <w:p w14:paraId="56F08E1E" w14:textId="2EC94848" w:rsidR="005821B0" w:rsidRDefault="005821B0" w:rsidP="009333C7">
      <w:pPr>
        <w:pStyle w:val="Akapitzlist"/>
        <w:numPr>
          <w:ilvl w:val="2"/>
          <w:numId w:val="8"/>
        </w:numPr>
        <w:contextualSpacing/>
      </w:pPr>
      <w:r>
        <w:t>usługi szkoleniowe,</w:t>
      </w:r>
    </w:p>
    <w:p w14:paraId="6588F58E" w14:textId="01B895F6" w:rsidR="005821B0" w:rsidRDefault="005821B0" w:rsidP="009333C7">
      <w:pPr>
        <w:pStyle w:val="Akapitzlist"/>
        <w:numPr>
          <w:ilvl w:val="2"/>
          <w:numId w:val="8"/>
        </w:numPr>
        <w:contextualSpacing/>
      </w:pPr>
      <w:r>
        <w:t>usługi informatyczne, w zakresie wdrożenia, konserwacji i serwisu sprzętu informatycznego oraz oprogramowania,</w:t>
      </w:r>
    </w:p>
    <w:p w14:paraId="52412E90" w14:textId="792A1A84" w:rsidR="005821B0" w:rsidRDefault="005821B0" w:rsidP="009333C7">
      <w:pPr>
        <w:pStyle w:val="Akapitzlist"/>
        <w:numPr>
          <w:ilvl w:val="2"/>
          <w:numId w:val="8"/>
        </w:numPr>
        <w:contextualSpacing/>
      </w:pPr>
      <w:r>
        <w:t>usługi dostępu do chmury obliczeniowej,</w:t>
      </w:r>
    </w:p>
    <w:p w14:paraId="29A42C52" w14:textId="24769B21" w:rsidR="005821B0" w:rsidRDefault="005821B0" w:rsidP="009333C7">
      <w:pPr>
        <w:pStyle w:val="Akapitzlist"/>
        <w:numPr>
          <w:ilvl w:val="2"/>
          <w:numId w:val="8"/>
        </w:numPr>
      </w:pPr>
      <w:r>
        <w:t>usługi migracji danych do chmury obliczeniowej.</w:t>
      </w:r>
    </w:p>
    <w:p w14:paraId="6679D093" w14:textId="7841BBD2" w:rsidR="005821B0" w:rsidRDefault="005821B0" w:rsidP="009333C7">
      <w:pPr>
        <w:pStyle w:val="Akapitzlist"/>
        <w:numPr>
          <w:ilvl w:val="0"/>
          <w:numId w:val="8"/>
        </w:numPr>
      </w:pPr>
      <w:r>
        <w:t>W zakresie rozwiązań chmurowych rekomenduje się korzystanie z platformy ZUCH. Usługi świadczone w systemie ZUCH są zweryfikowane pod kątem bezpieczeństwa i zgodności ze</w:t>
      </w:r>
      <w:r w:rsidR="009333C7">
        <w:t> </w:t>
      </w:r>
      <w:r>
        <w:t>Standardami Cyberbezpieczeństwa Chmur Obliczeniowych (SCCO). Szczegółowa weryfikacja dostawców zwiększa poufność i integralność informacji oraz zapewnienia najwyższy poziom bezpieczeństwa cybernetycznego. W załączniku nr 7 do Regulaminu przedstawiono dodatkowe informacje dotyczące rekomendowanych usług świadczonych w</w:t>
      </w:r>
      <w:r w:rsidR="00287464">
        <w:t> </w:t>
      </w:r>
      <w:r>
        <w:t>systemie ZUCH.</w:t>
      </w:r>
    </w:p>
    <w:p w14:paraId="6A438E76" w14:textId="16422447" w:rsidR="005821B0" w:rsidRDefault="005821B0" w:rsidP="009333C7">
      <w:pPr>
        <w:pStyle w:val="Akapitzlist"/>
        <w:numPr>
          <w:ilvl w:val="0"/>
          <w:numId w:val="8"/>
        </w:numPr>
      </w:pPr>
      <w:r>
        <w:t>W ramach przyznanego Grantu obligatoryjna jest realizacja zadania związanego z</w:t>
      </w:r>
      <w:r w:rsidR="009333C7">
        <w:t> </w:t>
      </w:r>
      <w:r>
        <w:t>przeprowadzeniem diagnozy cyberbezpieczeństwa, zgodnie z zakresem oraz formularzem stanowiącym załącznik nr 8 do Regulaminu Diagnoza cyberbezpieczeństwa powinna zostać przeprowadzona w terminie do 6 miesięcy od dnia zawarcia Umowy o</w:t>
      </w:r>
      <w:r w:rsidR="009333C7">
        <w:t> </w:t>
      </w:r>
      <w:r>
        <w:t xml:space="preserve">powierzenie Grantu. </w:t>
      </w:r>
      <w:proofErr w:type="spellStart"/>
      <w:r>
        <w:t>W</w:t>
      </w:r>
      <w:proofErr w:type="spellEnd"/>
      <w:r>
        <w:t xml:space="preserve"> uzasadnionych przypadkach, po przekazaniu pisemnych wyjaśnień, Grantobiorca może przekazać diagnozę w terminie późniejszym, ustalonym z</w:t>
      </w:r>
      <w:r w:rsidR="009333C7">
        <w:t> </w:t>
      </w:r>
      <w:r>
        <w:t xml:space="preserve">Beneficjentem. Po przeprowadzeniu diagnozy, Grantobiorca zobligowany jest do przekazania wypełnionego formularza diagnozy (przeprowadzonej przez osobę posiadająca uprawnienia wykazane w Rozporządzeniu Ministra Cyfryzacji z dnia 12 października 2018 r. w sprawie wykazu certyfikatów uprawniających do przeprowadzenia </w:t>
      </w:r>
      <w:r>
        <w:lastRenderedPageBreak/>
        <w:t xml:space="preserve">audytu) za pomocą elektronicznej skrzynki podawczej ePUAP do NASK na adres skrzynki: /NASK- Instytut/SkrytkaESP (akronim/temat: </w:t>
      </w:r>
      <w:proofErr w:type="spellStart"/>
      <w:r>
        <w:t>cyfrowa.gmina.diagnoza.cyber</w:t>
      </w:r>
      <w:proofErr w:type="spellEnd"/>
      <w:r>
        <w:t>).</w:t>
      </w:r>
    </w:p>
    <w:p w14:paraId="3CBD36C2" w14:textId="504409A3" w:rsidR="005821B0" w:rsidRDefault="005821B0" w:rsidP="009333C7">
      <w:pPr>
        <w:pStyle w:val="Akapitzlist"/>
        <w:numPr>
          <w:ilvl w:val="0"/>
          <w:numId w:val="8"/>
        </w:numPr>
      </w:pPr>
      <w:r>
        <w:t>W celu rozliczenia Grantu, Grantobiorca składa Operatorowi wniosek rozliczający za pośrednictwem aplikacji GWG, do którego załącza protokół/protokoły odbioru sprzętu/oprogramowania/usługi, z wyszczególnionymi ilościami oraz specyfikacją zakupionego sprzętu/oprogramowania/usług oraz listę placówek, którym przekazano sprzęt/oprogramowanie/usługę. Na potwierdzenie ubezpieczenia sprzętu zostanie przedstawiona polisa obejmująca zadeklarowany sprzęt. W zakresie potwierdzenia prawidłowości wyboru dostawców i wykonawców - dokumentację z postępowania o</w:t>
      </w:r>
      <w:r w:rsidR="00287464">
        <w:t> </w:t>
      </w:r>
      <w:r>
        <w:t>udzielenie zamówienia, przeprowadzonego zgodnie z Wytycznymi w zakresie kwalifikowalności wydatków w ramach Europejskiego Funduszu Rozwoju Regionalnego, Europejskiego Funduszu Społecznego oraz Funduszu Spójności na lata 2014-2020 lub ustawą z dnia 11 września 2019 r. - Prawo zamówień publicznych.</w:t>
      </w:r>
    </w:p>
    <w:p w14:paraId="41EA8DEA" w14:textId="1656962A" w:rsidR="005821B0" w:rsidRDefault="005821B0" w:rsidP="009333C7">
      <w:pPr>
        <w:pStyle w:val="Akapitzlist"/>
        <w:numPr>
          <w:ilvl w:val="0"/>
          <w:numId w:val="8"/>
        </w:numPr>
      </w:pPr>
      <w:r>
        <w:t>Grantobiorca ma prawo do zmiany wskaźników zadeklarowanych we Wniosku o</w:t>
      </w:r>
      <w:r w:rsidR="00287464">
        <w:t> </w:t>
      </w:r>
      <w:r>
        <w:t>powierzenie Grantu, jeśli wynika to ze zrealizowania większego zakresu z innej kategorii.</w:t>
      </w:r>
    </w:p>
    <w:p w14:paraId="5E5310E3" w14:textId="7355DD22" w:rsidR="005821B0" w:rsidRDefault="005821B0" w:rsidP="009333C7">
      <w:pPr>
        <w:pStyle w:val="Akapitzlist"/>
        <w:numPr>
          <w:ilvl w:val="0"/>
          <w:numId w:val="8"/>
        </w:numPr>
      </w:pPr>
      <w:r>
        <w:t>Grantobiorca jest zobowiązany do utrzymania efektów Projektu Grantowego, w tym do opracowania oraz wdrożenia procedury monitorowania utrzymania efektów Projektu Grantowego tj. utrzymania środków trwałych i usług nabytych w ramach projektu przez okres 2 lat od dnia zakończenia Projektu oraz utrzymania trwałości Projektu Grantowego (jeśli dotyczy). Za datę zakończenia Projektu Grantowego rozumie się datę zaakceptowania przez Operatora końcowego rozliczenia Projektu Grantowego.</w:t>
      </w:r>
    </w:p>
    <w:p w14:paraId="33BBCE39" w14:textId="7406D7A9" w:rsidR="005821B0" w:rsidRDefault="005821B0" w:rsidP="00DE0552">
      <w:pPr>
        <w:pStyle w:val="Nagwek2"/>
      </w:pPr>
      <w:r>
        <w:t>§5 Zasady i sposób wyboru Wnioskodawców</w:t>
      </w:r>
    </w:p>
    <w:p w14:paraId="46E340EA" w14:textId="287CD912" w:rsidR="005821B0" w:rsidRPr="00F3156E" w:rsidRDefault="005821B0" w:rsidP="00F3156E">
      <w:pPr>
        <w:pStyle w:val="Akapitzlist"/>
        <w:numPr>
          <w:ilvl w:val="0"/>
          <w:numId w:val="13"/>
        </w:numPr>
        <w:rPr>
          <w:b/>
          <w:bCs/>
        </w:rPr>
      </w:pPr>
      <w:r w:rsidRPr="00F3156E">
        <w:rPr>
          <w:b/>
          <w:bCs/>
        </w:rPr>
        <w:t>Nabór Wniosków o przyznanie Grantów</w:t>
      </w:r>
    </w:p>
    <w:p w14:paraId="484C0980" w14:textId="560770DE" w:rsidR="005821B0" w:rsidRDefault="005821B0" w:rsidP="00F3156E">
      <w:pPr>
        <w:pStyle w:val="Akapitzlist"/>
        <w:numPr>
          <w:ilvl w:val="1"/>
          <w:numId w:val="15"/>
        </w:numPr>
      </w:pPr>
      <w:r>
        <w:t>Wnioskodawcy zostaną wybrani w otwartym Konkursie Grantowym, z zachowaniem zasady bezstronności i przejrzystości.</w:t>
      </w:r>
    </w:p>
    <w:p w14:paraId="28156192" w14:textId="4669EABC" w:rsidR="005821B0" w:rsidRDefault="005821B0" w:rsidP="00F3156E">
      <w:pPr>
        <w:pStyle w:val="Akapitzlist"/>
        <w:numPr>
          <w:ilvl w:val="1"/>
          <w:numId w:val="15"/>
        </w:numPr>
      </w:pPr>
      <w:r>
        <w:lastRenderedPageBreak/>
        <w:t>Nabór Wniosków o przyznanie Grantów zostanie przeprowadzony w 3 rundach (w</w:t>
      </w:r>
      <w:r w:rsidR="00287464">
        <w:t> </w:t>
      </w:r>
      <w:r>
        <w:t>przypadku, gdy nie wszystkie uprawione podmioty złożą wnioski w 3 pierwszych rundach, Beneficjent zastrzega możliwość przeprowadzenia dodatkowej 4 rundy dla Wnioskodawców, którzy nie złożyli wniosków w jednej z 3 rund). Czas trwania jednej rundy wynosi 30 dni. Lista podmiotów uprawnionych do uczestnictwa w</w:t>
      </w:r>
      <w:r w:rsidR="00F3156E">
        <w:t> </w:t>
      </w:r>
      <w:r>
        <w:t>poszczególnych rundach stanowi załącznik nr 2 do Regulaminu.</w:t>
      </w:r>
    </w:p>
    <w:p w14:paraId="3DD42FA9" w14:textId="3CCDEA51" w:rsidR="005821B0" w:rsidRDefault="005821B0" w:rsidP="00F3156E">
      <w:pPr>
        <w:pStyle w:val="Akapitzlist"/>
        <w:numPr>
          <w:ilvl w:val="1"/>
          <w:numId w:val="15"/>
        </w:numPr>
      </w:pPr>
      <w:r>
        <w:t>Ogłoszenia o poszczególnych rundach Konkursu Grantowego będą publikowane na Stronie internetowej Projektu wraz z wskazaniem terminów składania Wniosków o</w:t>
      </w:r>
      <w:r w:rsidR="00287464">
        <w:t> </w:t>
      </w:r>
      <w:r>
        <w:t>przyznanie Grantów w ramach danej rundy.</w:t>
      </w:r>
    </w:p>
    <w:p w14:paraId="67D9995A" w14:textId="630D93AB" w:rsidR="005821B0" w:rsidRPr="00630863" w:rsidRDefault="005821B0" w:rsidP="00F3156E">
      <w:pPr>
        <w:pStyle w:val="Akapitzlist"/>
        <w:numPr>
          <w:ilvl w:val="0"/>
          <w:numId w:val="13"/>
        </w:numPr>
        <w:rPr>
          <w:b/>
          <w:bCs/>
        </w:rPr>
      </w:pPr>
      <w:r w:rsidRPr="00630863">
        <w:rPr>
          <w:b/>
          <w:bCs/>
        </w:rPr>
        <w:t>2.</w:t>
      </w:r>
      <w:r w:rsidRPr="00630863">
        <w:rPr>
          <w:b/>
          <w:bCs/>
        </w:rPr>
        <w:tab/>
        <w:t>Sposób składania Wniosków o przyznanie Grantu</w:t>
      </w:r>
    </w:p>
    <w:p w14:paraId="21DD034A" w14:textId="2BEA9412" w:rsidR="005821B0" w:rsidRDefault="005821B0" w:rsidP="00F3156E">
      <w:pPr>
        <w:pStyle w:val="Akapitzlist"/>
        <w:numPr>
          <w:ilvl w:val="1"/>
          <w:numId w:val="16"/>
        </w:numPr>
      </w:pPr>
      <w:r>
        <w:t>Wzór Wniosku o przyznanie Grantu jest dostępny na Stronie internetowej Projektu oraz stanowi załącznik nr 1 do Regulaminu.</w:t>
      </w:r>
    </w:p>
    <w:p w14:paraId="36D3EF72" w14:textId="3E4696DC" w:rsidR="005821B0" w:rsidRDefault="005821B0" w:rsidP="00F3156E">
      <w:pPr>
        <w:pStyle w:val="Akapitzlist"/>
        <w:numPr>
          <w:ilvl w:val="1"/>
          <w:numId w:val="16"/>
        </w:numPr>
      </w:pPr>
      <w:r>
        <w:t>Wniosek o przyznanie Grantu należy wypełnić za pomocą Generatora Wniosków Grantowych, zamieszczonego na stronie internetowej Projektu pod adresem:</w:t>
      </w:r>
      <w:r w:rsidR="0077257C">
        <w:t> </w:t>
      </w:r>
      <w:hyperlink r:id="rId10" w:history="1">
        <w:r w:rsidR="0077257C" w:rsidRPr="0077257C">
          <w:rPr>
            <w:rStyle w:val="Hipercze"/>
          </w:rPr>
          <w:t>Cyfrowa gmina</w:t>
        </w:r>
      </w:hyperlink>
      <w:r>
        <w:t>.</w:t>
      </w:r>
    </w:p>
    <w:p w14:paraId="7B95BFC7" w14:textId="666F6084" w:rsidR="005821B0" w:rsidRDefault="005821B0" w:rsidP="00F3156E">
      <w:pPr>
        <w:pStyle w:val="Akapitzlist"/>
        <w:numPr>
          <w:ilvl w:val="1"/>
          <w:numId w:val="16"/>
        </w:numPr>
      </w:pPr>
      <w:r>
        <w:t>Złożenie Wniosku o przyznanie Grantu jest możliwe wyłącznie przez Wnioskodawcę, który we Wniosku o przyznanie Grantu oświadczy, że zapoznał się z</w:t>
      </w:r>
      <w:r w:rsidR="0077257C">
        <w:t> </w:t>
      </w:r>
      <w:r>
        <w:t>Regulaminem Konkursu i</w:t>
      </w:r>
      <w:r w:rsidR="00287464">
        <w:t> </w:t>
      </w:r>
      <w:r>
        <w:t>akceptuje jego zasady.</w:t>
      </w:r>
    </w:p>
    <w:p w14:paraId="3AEB2D8E" w14:textId="2B1BB390" w:rsidR="005821B0" w:rsidRDefault="005821B0" w:rsidP="00F3156E">
      <w:pPr>
        <w:pStyle w:val="Akapitzlist"/>
        <w:numPr>
          <w:ilvl w:val="1"/>
          <w:numId w:val="16"/>
        </w:numPr>
      </w:pPr>
      <w:r>
        <w:t>Wnioskodawca ma możliwość wycofania Wniosku o przyznanie Grantu przesyłając za pośrednictwem GWG pismo z informacją o wycofaniu z Konkursu Grantowego, podpisane elektronicznie zgodnie z reprezentacją Wnioskodawcy.</w:t>
      </w:r>
    </w:p>
    <w:p w14:paraId="5AEAB37A" w14:textId="4A63D7BA" w:rsidR="005821B0" w:rsidRDefault="005821B0" w:rsidP="00F3156E">
      <w:pPr>
        <w:pStyle w:val="Akapitzlist"/>
        <w:numPr>
          <w:ilvl w:val="1"/>
          <w:numId w:val="16"/>
        </w:numPr>
      </w:pPr>
      <w:r>
        <w:t>Wnioskodawca ma możliwość zwrócenia się z pisemną prośbą do Operatora za pośrednictwem GWG o przywrócenie terminu na złożenie Wniosku o przyznanie Grantu w</w:t>
      </w:r>
      <w:r w:rsidR="00287464">
        <w:t> </w:t>
      </w:r>
      <w:r>
        <w:t xml:space="preserve">przypadku wystąpienia problemów technicznych w GWG, uniemożliwiających złożenie ww. wniosku w okresie trwania naboru wniosków. Termin na złożenie pisemnej prośby należy wnieść do dnia 18.05.2022 r. </w:t>
      </w:r>
      <w:r>
        <w:lastRenderedPageBreak/>
        <w:t>W</w:t>
      </w:r>
      <w:r w:rsidR="0077257C">
        <w:t> </w:t>
      </w:r>
      <w:r>
        <w:t>przypadku ogłoszenia czwartego naboru, termin ten wynosi 14 dni od dnia zakończenia naboru wniosków. Wnioskodawca zobowiązany jest wówczas do uprawdopodobnienia, że niezłożenie prawidłowo wypełnionego wniosku nastąpiło bez jego winy, a przyczyną była niemożność złożenia stosownej dokumentacji z</w:t>
      </w:r>
      <w:r w:rsidR="0077257C">
        <w:t> </w:t>
      </w:r>
      <w:r>
        <w:t>uwagi na problemy techniczne, które wystąpiły w aplikacji służącej do</w:t>
      </w:r>
      <w:r w:rsidR="0077257C">
        <w:t> </w:t>
      </w:r>
      <w:r>
        <w:t>kompleksowej obsługi wniosków grantowych GWG.  Wraz z wnioskiem o</w:t>
      </w:r>
      <w:r w:rsidR="0077257C">
        <w:t> </w:t>
      </w:r>
      <w:r>
        <w:t>przywrócenie terminu, Wnioskodawca zobligowany jest przesłać Wniosek o</w:t>
      </w:r>
      <w:r w:rsidR="0077257C">
        <w:t> </w:t>
      </w:r>
      <w:r>
        <w:t>przyznanie Grantu.</w:t>
      </w:r>
    </w:p>
    <w:p w14:paraId="4C03C2BC" w14:textId="61F6A9D9" w:rsidR="005821B0" w:rsidRPr="00630863" w:rsidRDefault="005821B0" w:rsidP="00F3156E">
      <w:pPr>
        <w:pStyle w:val="Akapitzlist"/>
        <w:numPr>
          <w:ilvl w:val="0"/>
          <w:numId w:val="13"/>
        </w:numPr>
        <w:rPr>
          <w:b/>
          <w:bCs/>
        </w:rPr>
      </w:pPr>
      <w:r w:rsidRPr="00630863">
        <w:rPr>
          <w:b/>
          <w:bCs/>
        </w:rPr>
        <w:t>Sposób i zasady oceny Wniosków o przyznanie Grantu</w:t>
      </w:r>
    </w:p>
    <w:p w14:paraId="47528E39" w14:textId="0D0707D9" w:rsidR="005821B0" w:rsidRDefault="005821B0" w:rsidP="0077257C">
      <w:pPr>
        <w:pStyle w:val="Akapitzlist"/>
        <w:numPr>
          <w:ilvl w:val="1"/>
          <w:numId w:val="17"/>
        </w:numPr>
      </w:pPr>
      <w:r>
        <w:t>Ocena będzie dokonywana przez Komisję Przyznającą Granty. Po wstępnej walidacji Wniosku o przyznanie Grantu możliwe będzie naniesienie poprawek przez Wnioskodawcę zgodnie z uwagami KPG</w:t>
      </w:r>
      <w:r w:rsidR="0077257C">
        <w:t>.</w:t>
      </w:r>
    </w:p>
    <w:p w14:paraId="4526F813" w14:textId="79F4C334" w:rsidR="005821B0" w:rsidRDefault="005821B0" w:rsidP="0077257C">
      <w:pPr>
        <w:pStyle w:val="Akapitzlist"/>
        <w:numPr>
          <w:ilvl w:val="1"/>
          <w:numId w:val="17"/>
        </w:numPr>
      </w:pPr>
      <w:r>
        <w:t>W przypadku stwierdzenia oczywistych omyłek lub braków we Wniosku o</w:t>
      </w:r>
      <w:r w:rsidR="0077257C">
        <w:t> </w:t>
      </w:r>
      <w:r>
        <w:t>przyznanie Grantu uniemożliwiających przeprowadzenie oceny, w tym uwzględnienia w nim wydatków niezgodnych z zakresem kosztów kwalifikowalnych zgodnie z postanowieniami §4 ust. 6, KPG skieruje za pośrednictwem GWG do</w:t>
      </w:r>
      <w:r w:rsidR="0077257C">
        <w:t> </w:t>
      </w:r>
      <w:r>
        <w:t>Wnioskodawcy wezwanie, w zakresie omyłek/braków i</w:t>
      </w:r>
      <w:r w:rsidR="00287464">
        <w:t> </w:t>
      </w:r>
      <w:r>
        <w:t>sposobu ich uzupełnienia/poprawienia oraz naniesienia stosownych korekt we Wniosku o</w:t>
      </w:r>
      <w:r w:rsidR="0077257C">
        <w:t> </w:t>
      </w:r>
      <w:r>
        <w:t>przyznanie Grantu. Wnioskodawca będzie miał 3 dni robocze od dnia otrzymania wezwania na usunięcie oczywistej omyłki, uzupełnienie braków lub modyfikację katalogu kosztów kwalifikowalnych</w:t>
      </w:r>
      <w:r w:rsidR="0077257C">
        <w:t>.</w:t>
      </w:r>
    </w:p>
    <w:p w14:paraId="0307C2CE" w14:textId="6D91A8C2" w:rsidR="005821B0" w:rsidRDefault="005821B0" w:rsidP="0077257C">
      <w:pPr>
        <w:pStyle w:val="Akapitzlist"/>
        <w:numPr>
          <w:ilvl w:val="1"/>
          <w:numId w:val="17"/>
        </w:numPr>
      </w:pPr>
      <w:r>
        <w:t>W przypadku braku modyfikacji katalogu kosztów kwalifikowalnych lub ich zakwestionowania przez Wnioskodawcę, KPG przekazuje Wnioskodawcy ponowne wezwanie do uzupełnienia/modyfikacji Wniosku o przyznanie Grantu w terminie 2</w:t>
      </w:r>
      <w:r w:rsidR="0077257C">
        <w:t> </w:t>
      </w:r>
      <w:r>
        <w:t>dni roboczych od dnia jego otrzymania wraz z adnotacją, iż niezastosowanie się do zaleceń skutkuje obniżeniem wartości kwoty dofinansowania o koszty niekwalifikowalne wskazane w</w:t>
      </w:r>
      <w:r w:rsidR="00287464">
        <w:t> </w:t>
      </w:r>
      <w:r>
        <w:t>wezwaniu</w:t>
      </w:r>
      <w:r w:rsidR="0077257C">
        <w:t>.</w:t>
      </w:r>
    </w:p>
    <w:p w14:paraId="5BC8FA67" w14:textId="3BA2480E" w:rsidR="005821B0" w:rsidRDefault="005821B0" w:rsidP="0077257C">
      <w:pPr>
        <w:pStyle w:val="Akapitzlist"/>
        <w:numPr>
          <w:ilvl w:val="1"/>
          <w:numId w:val="17"/>
        </w:numPr>
      </w:pPr>
      <w:r>
        <w:lastRenderedPageBreak/>
        <w:t>W przypadku, gdy we Wniosku o przyznanie Grantu została określona pozycja niekwalifikująca się do sfinansowania, następuje usunięcie całej pozycji kosztowej.</w:t>
      </w:r>
      <w:r w:rsidR="00287464">
        <w:t xml:space="preserve"> </w:t>
      </w:r>
      <w:r>
        <w:t>Jeżeli we Wniosku o powierzenie Grantu wskazano grupę kosztów niekwalifikujących się do dofinansowania w ramach danego obszaru zgodnie §3 ust.</w:t>
      </w:r>
      <w:r w:rsidR="0077257C">
        <w:t> </w:t>
      </w:r>
      <w:r>
        <w:t>2, kwota dofinansowania obniżana jest o 10% w ramach danego obszaru.</w:t>
      </w:r>
    </w:p>
    <w:p w14:paraId="483B29A5" w14:textId="24774387" w:rsidR="005821B0" w:rsidRDefault="005821B0" w:rsidP="0077257C">
      <w:pPr>
        <w:pStyle w:val="Akapitzlist"/>
        <w:numPr>
          <w:ilvl w:val="1"/>
          <w:numId w:val="17"/>
        </w:numPr>
      </w:pPr>
      <w:r>
        <w:t>W przypadku, gdy Wnioskodawca nie zgadza się z decyzją KPG w zakresie kwalifikowalności wydatków i obniżenia wartości dofinasowania o koszty niekwalifikowalne, ma możliwość wycofania wniosku z Konkursu Grantowego, zgodnie z §5 ust. 2 pkt. 4). Jednocześnie brak wycofania wniosku z Konkursu jest jednoznaczny z zaakceptowaniem decyzji KPG w zakresie wysokości otrzymania dofinansowania.</w:t>
      </w:r>
    </w:p>
    <w:p w14:paraId="20B982D3" w14:textId="3909DDF2" w:rsidR="005821B0" w:rsidRDefault="005821B0" w:rsidP="0077257C">
      <w:pPr>
        <w:pStyle w:val="Akapitzlist"/>
        <w:numPr>
          <w:ilvl w:val="1"/>
          <w:numId w:val="17"/>
        </w:numPr>
      </w:pPr>
      <w:r>
        <w:t>Jeżeli Wnioskodawca nie poprawi lub nie uzupełni Wniosku o przyznanie Grantu w</w:t>
      </w:r>
      <w:r w:rsidR="00287464">
        <w:t> </w:t>
      </w:r>
      <w:r>
        <w:t>terminie lub zakresie wskazanym w wezwaniu, o którym mowa w pkt 2, ocena Projektu Grantowego prowadzona jest na podstawie złożonego Wniosku o</w:t>
      </w:r>
      <w:r w:rsidR="0077257C">
        <w:t> </w:t>
      </w:r>
      <w:r>
        <w:t>przyznanie Grantu.</w:t>
      </w:r>
    </w:p>
    <w:p w14:paraId="07DC9101" w14:textId="1412323E" w:rsidR="005821B0" w:rsidRDefault="005821B0" w:rsidP="0077257C">
      <w:pPr>
        <w:pStyle w:val="Akapitzlist"/>
        <w:numPr>
          <w:ilvl w:val="1"/>
          <w:numId w:val="17"/>
        </w:numPr>
      </w:pPr>
      <w:r>
        <w:t>W przypadku stwierdzenia omyłek lub braków we Wniosku o przyznanie Grantu, które nie uniemożliwiają dokonania oceny Wniosku o przyznanie Grantu, dopuszcza się skorygowanie stwierdzonych błędów przy zawarciu Umowy o</w:t>
      </w:r>
      <w:r w:rsidR="0077257C">
        <w:t> </w:t>
      </w:r>
      <w:r>
        <w:t>powierzenie Grantu</w:t>
      </w:r>
      <w:r w:rsidR="0077257C">
        <w:t>.</w:t>
      </w:r>
    </w:p>
    <w:p w14:paraId="33B37741" w14:textId="40B3E973" w:rsidR="005821B0" w:rsidRDefault="005821B0" w:rsidP="0077257C">
      <w:pPr>
        <w:pStyle w:val="Akapitzlist"/>
        <w:numPr>
          <w:ilvl w:val="1"/>
          <w:numId w:val="17"/>
        </w:numPr>
      </w:pPr>
      <w:r>
        <w:t>Wnioski o przyznanie Grantu zostaną poddane ocenie formalno-merytorycznej w</w:t>
      </w:r>
      <w:r w:rsidR="00287464">
        <w:t> </w:t>
      </w:r>
      <w:r>
        <w:t>oparciu o kryteria wyboru projektów grantowych, określone w załączniku nr 3 do</w:t>
      </w:r>
      <w:r w:rsidR="0077257C">
        <w:t> </w:t>
      </w:r>
      <w:r>
        <w:t>Regulaminu</w:t>
      </w:r>
      <w:r w:rsidR="0077257C">
        <w:t>.</w:t>
      </w:r>
    </w:p>
    <w:p w14:paraId="06F2D2AE" w14:textId="49BDCFA4" w:rsidR="005821B0" w:rsidRDefault="005821B0" w:rsidP="0077257C">
      <w:pPr>
        <w:pStyle w:val="Akapitzlist"/>
        <w:numPr>
          <w:ilvl w:val="1"/>
          <w:numId w:val="17"/>
        </w:numPr>
      </w:pPr>
      <w:r>
        <w:t>Oceny formalno-merytorycznej Wniosku o przyznanie Grantu dokonuje KPG</w:t>
      </w:r>
      <w:r w:rsidR="0077257C">
        <w:t>.</w:t>
      </w:r>
    </w:p>
    <w:p w14:paraId="2C891D6D" w14:textId="136E26AA" w:rsidR="005821B0" w:rsidRDefault="005821B0" w:rsidP="0077257C">
      <w:pPr>
        <w:pStyle w:val="Akapitzlist"/>
        <w:numPr>
          <w:ilvl w:val="1"/>
          <w:numId w:val="17"/>
        </w:numPr>
      </w:pPr>
      <w:r>
        <w:t>W skład KPG wchodzą pracownicy Operatora w tym: Przewodniczący, Sekretarz i</w:t>
      </w:r>
      <w:r w:rsidR="0077257C">
        <w:t> </w:t>
      </w:r>
      <w:r>
        <w:t>co</w:t>
      </w:r>
      <w:r w:rsidR="0077257C">
        <w:t> </w:t>
      </w:r>
      <w:r>
        <w:t>najmniej dwóch Oceniających</w:t>
      </w:r>
      <w:r w:rsidR="0077257C">
        <w:t>.</w:t>
      </w:r>
    </w:p>
    <w:p w14:paraId="233AABA0" w14:textId="6EDA9B7A" w:rsidR="005821B0" w:rsidRDefault="005821B0" w:rsidP="0077257C">
      <w:pPr>
        <w:pStyle w:val="Akapitzlist"/>
        <w:numPr>
          <w:ilvl w:val="1"/>
          <w:numId w:val="17"/>
        </w:numPr>
      </w:pPr>
      <w:r>
        <w:lastRenderedPageBreak/>
        <w:t>Ocena Wniosków o przyznanie Grantu trwa ok. 40 dni, liczonych od dnia zakończenia danej rundy wniosków o przyznanie Grantów</w:t>
      </w:r>
      <w:r w:rsidR="0077257C">
        <w:t>.</w:t>
      </w:r>
    </w:p>
    <w:p w14:paraId="1CD6E87A" w14:textId="55E779FD" w:rsidR="005821B0" w:rsidRDefault="005821B0" w:rsidP="0077257C">
      <w:pPr>
        <w:pStyle w:val="Akapitzlist"/>
        <w:numPr>
          <w:ilvl w:val="1"/>
          <w:numId w:val="17"/>
        </w:numPr>
      </w:pPr>
      <w:r>
        <w:t>Prawdziwość oświadczeń i danych zawartych we Wniosku o przyznanie Grantu może zostać zweryfikowana w trakcie weryfikacji warunków formalnych i oceny, jak również przed i po zawarciu Umowy o powierzenie Grantu</w:t>
      </w:r>
      <w:r w:rsidR="0077257C">
        <w:t>.</w:t>
      </w:r>
    </w:p>
    <w:p w14:paraId="7BA15181" w14:textId="6E23A456" w:rsidR="005821B0" w:rsidRDefault="005821B0" w:rsidP="0077257C">
      <w:pPr>
        <w:pStyle w:val="Akapitzlist"/>
        <w:numPr>
          <w:ilvl w:val="1"/>
          <w:numId w:val="17"/>
        </w:numPr>
      </w:pPr>
      <w:r>
        <w:t>Wnioskodawca ma prawo dostępu do dokumentów związanych z oceną złożonego przez siebie Wniosku o przyznanie Grantu, z zastrzeżeniem, że dane osobowe członków KPG dokonujących oceny nie podlegają ujawnieniu</w:t>
      </w:r>
      <w:r w:rsidR="0077257C">
        <w:t>.</w:t>
      </w:r>
    </w:p>
    <w:p w14:paraId="76C0C31D" w14:textId="083A75C5" w:rsidR="005821B0" w:rsidRDefault="005821B0" w:rsidP="0077257C">
      <w:pPr>
        <w:pStyle w:val="Akapitzlist"/>
        <w:numPr>
          <w:ilvl w:val="1"/>
          <w:numId w:val="17"/>
        </w:numPr>
      </w:pPr>
      <w:r>
        <w:t>Wyniki oceny formalno-merytorycznej zostaną opublikowane na Stronie internetowej Projektu, a informacja o zakończeniu oceny zostanie wysłana przez GWG do Wnioskodawców</w:t>
      </w:r>
      <w:r w:rsidR="0077257C">
        <w:t>.</w:t>
      </w:r>
    </w:p>
    <w:p w14:paraId="5C0A161C" w14:textId="07885B09" w:rsidR="005821B0" w:rsidRDefault="005821B0" w:rsidP="0056731D">
      <w:pPr>
        <w:pStyle w:val="Akapitzlist"/>
        <w:numPr>
          <w:ilvl w:val="1"/>
          <w:numId w:val="17"/>
        </w:numPr>
        <w:contextualSpacing/>
      </w:pPr>
      <w:r>
        <w:t>Projekt może zostać wybrany do dofinansowania, jeżeli jednocześnie:</w:t>
      </w:r>
    </w:p>
    <w:p w14:paraId="09FF23A4" w14:textId="3B152C9F" w:rsidR="005821B0" w:rsidRDefault="005821B0" w:rsidP="0056731D">
      <w:pPr>
        <w:pStyle w:val="Akapitzlist"/>
        <w:numPr>
          <w:ilvl w:val="2"/>
          <w:numId w:val="17"/>
        </w:numPr>
        <w:contextualSpacing/>
      </w:pPr>
      <w:r>
        <w:t>spełnił kryteria wyboru projektów i uzyskał wymaganą liczbę punktów,</w:t>
      </w:r>
    </w:p>
    <w:p w14:paraId="1C06FA89" w14:textId="1DAF48C6" w:rsidR="005821B0" w:rsidRDefault="005821B0" w:rsidP="0077257C">
      <w:pPr>
        <w:pStyle w:val="Akapitzlist"/>
        <w:numPr>
          <w:ilvl w:val="2"/>
          <w:numId w:val="17"/>
        </w:numPr>
      </w:pPr>
      <w:r>
        <w:t>Wnioskodawca nie został wykluczony z możliwości otrzymania dofinansowania zgodnie z art. 37 ust. 3 ustawy wdrożeniowej</w:t>
      </w:r>
      <w:r w:rsidR="0056731D">
        <w:t>.</w:t>
      </w:r>
    </w:p>
    <w:p w14:paraId="52C616D6" w14:textId="0E551B64" w:rsidR="005821B0" w:rsidRDefault="005821B0" w:rsidP="0077257C">
      <w:pPr>
        <w:pStyle w:val="Akapitzlist"/>
        <w:numPr>
          <w:ilvl w:val="1"/>
          <w:numId w:val="17"/>
        </w:numPr>
      </w:pPr>
      <w:r>
        <w:t>Członkowie KPG są zobowiązani do złożenia oświadczenia o bezstronności i braku osobistego interesu w procesie oceny. Za konflikt interesów uważa się jakiekolwiek przesłanki osobiste, rodzinne, zawodowe, finansowe czy innej natury mogące przeszkodzić w bezstronnej ocenie Wniosku o przyznanie Grantu.</w:t>
      </w:r>
    </w:p>
    <w:p w14:paraId="3379CFC9" w14:textId="4262CFB3" w:rsidR="005821B0" w:rsidRPr="00630863" w:rsidRDefault="005821B0" w:rsidP="00630863">
      <w:pPr>
        <w:pStyle w:val="Nagwek2"/>
      </w:pPr>
      <w:r w:rsidRPr="00630863">
        <w:t>§6 Zawarcie Umowy o powierzenie Grantu</w:t>
      </w:r>
    </w:p>
    <w:p w14:paraId="6325275C" w14:textId="5ED67E50" w:rsidR="005821B0" w:rsidRDefault="005821B0" w:rsidP="00ED2E9D">
      <w:pPr>
        <w:pStyle w:val="Akapitzlist"/>
        <w:numPr>
          <w:ilvl w:val="0"/>
          <w:numId w:val="18"/>
        </w:numPr>
      </w:pPr>
      <w:r>
        <w:t>Wzór Umowy o powierzenie Grantu stanowi załącznik nr 5 do Regulaminu.</w:t>
      </w:r>
    </w:p>
    <w:p w14:paraId="2363F05B" w14:textId="0AE729F8" w:rsidR="005821B0" w:rsidRDefault="005821B0" w:rsidP="00ED2E9D">
      <w:pPr>
        <w:pStyle w:val="Akapitzlist"/>
        <w:numPr>
          <w:ilvl w:val="0"/>
          <w:numId w:val="18"/>
        </w:numPr>
      </w:pPr>
      <w:r>
        <w:t>Wraz z informacją o wyborze Projektu Grantowego do dofinansowania, Operator wzywa Wnioskodawcę za pośrednictwem GWG, do dostarczenia dokumentów niezbędnych do</w:t>
      </w:r>
      <w:r w:rsidR="00ED2E9D">
        <w:t> </w:t>
      </w:r>
      <w:r>
        <w:t>zawarcia Umowy o powierzenie Grantu, wymienionych w załączniku nr 6 do Regulaminu.</w:t>
      </w:r>
    </w:p>
    <w:p w14:paraId="4C08972B" w14:textId="2E82BD45" w:rsidR="005821B0" w:rsidRDefault="005821B0" w:rsidP="00ED2E9D">
      <w:pPr>
        <w:pStyle w:val="Akapitzlist"/>
        <w:numPr>
          <w:ilvl w:val="0"/>
          <w:numId w:val="18"/>
        </w:numPr>
      </w:pPr>
      <w:r>
        <w:lastRenderedPageBreak/>
        <w:t>Umowa o powierzenie Grantu zostaje zawarta w formie elektronicznej.</w:t>
      </w:r>
    </w:p>
    <w:p w14:paraId="0220272C" w14:textId="6EFFBFCF" w:rsidR="005821B0" w:rsidRDefault="005821B0" w:rsidP="00ED2E9D">
      <w:pPr>
        <w:pStyle w:val="Akapitzlist"/>
        <w:numPr>
          <w:ilvl w:val="0"/>
          <w:numId w:val="18"/>
        </w:numPr>
      </w:pPr>
      <w:r>
        <w:t>Wnioskodawca dostarcza dokumenty niezbędne do zawarcia Umowy o powierzenie Grantu w terminie 14 dni od dnia otrzymania przez Wnioskodawcę wezwania, o którym mowa w ust. 2. W przypadku niedostarczenia kompletnych co do formy i treści dokumentów w tym terminie, Operator może odmówić zawarcia Umowy o powierzenie Grantu.</w:t>
      </w:r>
    </w:p>
    <w:p w14:paraId="268B714B" w14:textId="38BED52D" w:rsidR="005821B0" w:rsidRPr="00630863" w:rsidRDefault="005821B0" w:rsidP="00630863">
      <w:pPr>
        <w:pStyle w:val="Nagwek2"/>
      </w:pPr>
      <w:r w:rsidRPr="00630863">
        <w:t>§7 Postanowienia końcowe</w:t>
      </w:r>
    </w:p>
    <w:p w14:paraId="4E8612F6" w14:textId="3C264ACC" w:rsidR="005821B0" w:rsidRDefault="005821B0" w:rsidP="00ED2E9D">
      <w:pPr>
        <w:pStyle w:val="Akapitzlist"/>
        <w:numPr>
          <w:ilvl w:val="0"/>
          <w:numId w:val="20"/>
        </w:numPr>
      </w:pPr>
      <w:r>
        <w:t>Składając Wniosek o przyznanie Grantu, Wnioskodawca akceptuje zasady Konkursu Grantowego zawarte w niniejszym Regulaminie.</w:t>
      </w:r>
    </w:p>
    <w:p w14:paraId="08924837" w14:textId="6510D229" w:rsidR="005821B0" w:rsidRDefault="005821B0" w:rsidP="00ED2E9D">
      <w:pPr>
        <w:pStyle w:val="Akapitzlist"/>
        <w:numPr>
          <w:ilvl w:val="0"/>
          <w:numId w:val="20"/>
        </w:numPr>
      </w:pPr>
      <w:r>
        <w:t>Odpowiedzi na najczęstsze pytania dotyczące Konkursu Grantowego będą publikowane w</w:t>
      </w:r>
      <w:r w:rsidR="00ED2E9D">
        <w:t> </w:t>
      </w:r>
      <w:r>
        <w:t xml:space="preserve">FAQ na stronie: </w:t>
      </w:r>
      <w:hyperlink r:id="rId11" w:history="1">
        <w:r w:rsidR="00ED2E9D" w:rsidRPr="00ED2E9D">
          <w:rPr>
            <w:rStyle w:val="Hipercze"/>
          </w:rPr>
          <w:t>Cyfrowa gmina</w:t>
        </w:r>
      </w:hyperlink>
      <w:r>
        <w:t>.</w:t>
      </w:r>
    </w:p>
    <w:p w14:paraId="0111FD34" w14:textId="679D477D" w:rsidR="005821B0" w:rsidRDefault="005821B0" w:rsidP="00ED2E9D">
      <w:pPr>
        <w:pStyle w:val="Akapitzlist"/>
        <w:numPr>
          <w:ilvl w:val="0"/>
          <w:numId w:val="20"/>
        </w:numPr>
      </w:pPr>
      <w:r>
        <w:t>Ewentualne pytania dotyczące Konkursu Grantowego Wnioskodawcy mogą zgłaszać na</w:t>
      </w:r>
      <w:r w:rsidR="00ED2E9D">
        <w:t> </w:t>
      </w:r>
      <w:r>
        <w:t>adres e-mail:</w:t>
      </w:r>
      <w:r w:rsidR="00ED2E9D">
        <w:t xml:space="preserve"> </w:t>
      </w:r>
      <w:r>
        <w:t>cyfrowagmina@cppc</w:t>
      </w:r>
      <w:r w:rsidR="00ED2E9D">
        <w:t>.</w:t>
      </w:r>
      <w:r>
        <w:t>gov.pl oraz na infolinię obsługiwaną przez Operatora pod nr: +48 42 631 21 05. Odpowiedzi polegające na wyjaśnieniu procedur będą dodatkowo zamieszczane w</w:t>
      </w:r>
      <w:r w:rsidR="00287464">
        <w:t> </w:t>
      </w:r>
      <w:r>
        <w:t>FAQ.</w:t>
      </w:r>
    </w:p>
    <w:p w14:paraId="2A2B699E" w14:textId="7A7C71B6" w:rsidR="005821B0" w:rsidRDefault="005821B0" w:rsidP="00ED2E9D">
      <w:pPr>
        <w:pStyle w:val="Akapitzlist"/>
        <w:numPr>
          <w:ilvl w:val="0"/>
          <w:numId w:val="20"/>
        </w:numPr>
      </w:pPr>
      <w:r>
        <w:t>W sprawach nieuregulowanych niniejszym Regulaminem mają zastosowanie powszechnie obowiązujące przepisy prawa.</w:t>
      </w:r>
    </w:p>
    <w:p w14:paraId="5E7F8EF1" w14:textId="315E959E" w:rsidR="005821B0" w:rsidRDefault="005821B0" w:rsidP="00ED2E9D">
      <w:pPr>
        <w:pStyle w:val="Akapitzlist"/>
        <w:numPr>
          <w:ilvl w:val="0"/>
          <w:numId w:val="20"/>
        </w:numPr>
      </w:pPr>
      <w:r>
        <w:t>W przypadku zmiany Regulaminu, Centrum Projektów Polska Cyfrowa zamieszcza na Stronie internetowej Projektu informację o jego zmianie.</w:t>
      </w:r>
    </w:p>
    <w:p w14:paraId="5E9B8FE6" w14:textId="2EBFB93A" w:rsidR="005821B0" w:rsidRDefault="005821B0" w:rsidP="00ED2E9D">
      <w:pPr>
        <w:pStyle w:val="Akapitzlist"/>
        <w:numPr>
          <w:ilvl w:val="0"/>
          <w:numId w:val="20"/>
        </w:numPr>
      </w:pPr>
      <w:r>
        <w:t>Centrum Projektów Polska Cyfrowa zastrzega możliwość anulowania Konkursu Grantowego, w szczególności w przypadku wprowadzenia istotnych zmian w przepisach prawa mających wpływ na warunki przeprowadzenia konkursu lub zaistnienia zdarzeń o</w:t>
      </w:r>
      <w:r w:rsidR="00287464">
        <w:t> </w:t>
      </w:r>
      <w:r>
        <w:t>charakterze siły wyższej.</w:t>
      </w:r>
    </w:p>
    <w:p w14:paraId="552DAFA9" w14:textId="7288259C" w:rsidR="005821B0" w:rsidRPr="00630863" w:rsidRDefault="005821B0" w:rsidP="00BD73A7">
      <w:pPr>
        <w:pStyle w:val="Nagwek2"/>
      </w:pPr>
      <w:r w:rsidRPr="00630863">
        <w:lastRenderedPageBreak/>
        <w:t>Załączniki:</w:t>
      </w:r>
    </w:p>
    <w:p w14:paraId="54B8D24A" w14:textId="254AAE4A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Wzór Wniosku o przyznanie Grantu</w:t>
      </w:r>
      <w:r w:rsidR="00ED2E9D">
        <w:t>.</w:t>
      </w:r>
    </w:p>
    <w:p w14:paraId="5168504D" w14:textId="3D0D0CF2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Lista podmiotów uprawnionych do uczestniczenia w poszczególnych rundach</w:t>
      </w:r>
      <w:r w:rsidR="00ED2E9D">
        <w:t>.</w:t>
      </w:r>
    </w:p>
    <w:p w14:paraId="29DD77A2" w14:textId="38B6855E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Kryteria wyboru projektów grantowych</w:t>
      </w:r>
      <w:r w:rsidR="00ED2E9D">
        <w:t>.</w:t>
      </w:r>
    </w:p>
    <w:p w14:paraId="30435DA4" w14:textId="4D273EBD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Instrukcja wypełniania wniosku o udzielenie Grantu</w:t>
      </w:r>
      <w:r w:rsidR="00ED2E9D">
        <w:t>.</w:t>
      </w:r>
    </w:p>
    <w:p w14:paraId="236C239D" w14:textId="759EBF75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Wzór Umowy o powierzenie Grantu</w:t>
      </w:r>
      <w:r w:rsidR="00ED2E9D">
        <w:t>.</w:t>
      </w:r>
    </w:p>
    <w:p w14:paraId="069EF902" w14:textId="6623F3CC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Lista dokumentów niezbędnych do podpisania Umowy o powierzenie Grantu</w:t>
      </w:r>
      <w:r w:rsidR="00ED2E9D">
        <w:t>.</w:t>
      </w:r>
    </w:p>
    <w:p w14:paraId="1BC37355" w14:textId="0C4CC289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Informacje dotyczące rekomendowanych usług świadczonych w systemie ZUCH</w:t>
      </w:r>
      <w:r w:rsidR="00ED2E9D">
        <w:t>.</w:t>
      </w:r>
    </w:p>
    <w:p w14:paraId="342C40CC" w14:textId="77CFCB0C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Formularz informacji związanych z przeprowadzeniem diagnozy cyberbezpieczeństwa</w:t>
      </w:r>
      <w:r w:rsidR="00ED2E9D">
        <w:t>.</w:t>
      </w:r>
    </w:p>
    <w:p w14:paraId="20BE9F70" w14:textId="098408C9" w:rsidR="005821B0" w:rsidRDefault="005821B0" w:rsidP="00ED2E9D">
      <w:pPr>
        <w:pStyle w:val="Akapitzlist"/>
        <w:numPr>
          <w:ilvl w:val="0"/>
          <w:numId w:val="22"/>
        </w:numPr>
        <w:contextualSpacing/>
      </w:pPr>
      <w:r>
        <w:t>Załącznik do wniosku rozliczającego grant - Oświadczenie Grantobiorcy o</w:t>
      </w:r>
      <w:r w:rsidR="00ED2E9D">
        <w:t> </w:t>
      </w:r>
      <w:r>
        <w:t>kwalifikowalności podatku VAT</w:t>
      </w:r>
      <w:r w:rsidR="00ED2E9D">
        <w:t>.</w:t>
      </w:r>
    </w:p>
    <w:sectPr w:rsidR="005821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634C" w14:textId="77777777" w:rsidR="00493280" w:rsidRDefault="00493280" w:rsidP="00F564AC">
      <w:pPr>
        <w:spacing w:before="0" w:after="0" w:line="240" w:lineRule="auto"/>
      </w:pPr>
      <w:r>
        <w:separator/>
      </w:r>
    </w:p>
  </w:endnote>
  <w:endnote w:type="continuationSeparator" w:id="0">
    <w:p w14:paraId="5D3CF799" w14:textId="77777777" w:rsidR="00493280" w:rsidRDefault="00493280" w:rsidP="00F564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25301"/>
      <w:docPartObj>
        <w:docPartGallery w:val="Page Numbers (Bottom of Page)"/>
        <w:docPartUnique/>
      </w:docPartObj>
    </w:sdtPr>
    <w:sdtContent>
      <w:p w14:paraId="2996F5CF" w14:textId="76CAF71E" w:rsidR="0056731D" w:rsidRDefault="0056731D" w:rsidP="00567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82F6" w14:textId="77777777" w:rsidR="00493280" w:rsidRDefault="00493280" w:rsidP="00F564AC">
      <w:pPr>
        <w:spacing w:before="0" w:after="0" w:line="240" w:lineRule="auto"/>
      </w:pPr>
      <w:r>
        <w:separator/>
      </w:r>
    </w:p>
  </w:footnote>
  <w:footnote w:type="continuationSeparator" w:id="0">
    <w:p w14:paraId="7E8E9B73" w14:textId="77777777" w:rsidR="00493280" w:rsidRDefault="00493280" w:rsidP="00F564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6740" w14:textId="6F9D4C63" w:rsidR="005F3A5F" w:rsidRDefault="005F3A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8877CA" wp14:editId="649FF127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5702300" cy="584835"/>
          <wp:effectExtent l="0" t="0" r="0" b="0"/>
          <wp:wrapNone/>
          <wp:docPr id="1737238961" name="Obraz 17372389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3695" name="Obraz 3360369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114"/>
    <w:multiLevelType w:val="multilevel"/>
    <w:tmpl w:val="A838214A"/>
    <w:name w:val="Moja_lista_CG22222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F487348"/>
    <w:multiLevelType w:val="multilevel"/>
    <w:tmpl w:val="58009148"/>
    <w:styleLink w:val="Mjstyl"/>
    <w:lvl w:ilvl="0">
      <w:start w:val="1"/>
      <w:numFmt w:val="decimal"/>
      <w:lvlText w:val="%1."/>
      <w:lvlJc w:val="left"/>
      <w:pPr>
        <w:ind w:left="381"/>
      </w:pPr>
      <w:rPr>
        <w:rFonts w:ascii="Calibri" w:hAnsi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2042"/>
    <w:multiLevelType w:val="hybridMultilevel"/>
    <w:tmpl w:val="AD0C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54A3"/>
    <w:multiLevelType w:val="hybridMultilevel"/>
    <w:tmpl w:val="67048E90"/>
    <w:lvl w:ilvl="0" w:tplc="82522D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D74"/>
    <w:multiLevelType w:val="multilevel"/>
    <w:tmpl w:val="1A84973C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A815DDB"/>
    <w:multiLevelType w:val="hybridMultilevel"/>
    <w:tmpl w:val="EAD0AF10"/>
    <w:lvl w:ilvl="0" w:tplc="595EC4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18C8"/>
    <w:multiLevelType w:val="hybridMultilevel"/>
    <w:tmpl w:val="5CB8731E"/>
    <w:name w:val="Moja_lista_CG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4D46E">
      <w:start w:val="1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3CA0"/>
    <w:multiLevelType w:val="multilevel"/>
    <w:tmpl w:val="A838214A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2E634FAC"/>
    <w:multiLevelType w:val="multilevel"/>
    <w:tmpl w:val="A838214A"/>
    <w:name w:val="Moja_lista_CG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06B3F9B"/>
    <w:multiLevelType w:val="multilevel"/>
    <w:tmpl w:val="A838214A"/>
    <w:name w:val="Moja_lista_CG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3BBC6B09"/>
    <w:multiLevelType w:val="multilevel"/>
    <w:tmpl w:val="A838214A"/>
    <w:name w:val="Moja_lista_CG222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BE801BD"/>
    <w:multiLevelType w:val="multilevel"/>
    <w:tmpl w:val="A838214A"/>
    <w:name w:val="Moja_lista_CG2222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3E015C2F"/>
    <w:multiLevelType w:val="hybridMultilevel"/>
    <w:tmpl w:val="8FCE3DBC"/>
    <w:name w:val="Moja_lista_CG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8D7"/>
    <w:multiLevelType w:val="multilevel"/>
    <w:tmpl w:val="1A84973C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81D54FB"/>
    <w:multiLevelType w:val="multilevel"/>
    <w:tmpl w:val="1A84973C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9FE56B7"/>
    <w:multiLevelType w:val="multilevel"/>
    <w:tmpl w:val="A838214A"/>
    <w:name w:val="Moja_lista_CG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5AE53A99"/>
    <w:multiLevelType w:val="hybridMultilevel"/>
    <w:tmpl w:val="42EE3794"/>
    <w:lvl w:ilvl="0" w:tplc="3F1803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0B42"/>
    <w:multiLevelType w:val="hybridMultilevel"/>
    <w:tmpl w:val="FEF8329C"/>
    <w:lvl w:ilvl="0" w:tplc="0602C38A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E305D"/>
    <w:multiLevelType w:val="hybridMultilevel"/>
    <w:tmpl w:val="33AE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10EAD"/>
    <w:multiLevelType w:val="multilevel"/>
    <w:tmpl w:val="1A84973C"/>
    <w:name w:val="Moja_lista_CG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71E06935"/>
    <w:multiLevelType w:val="multilevel"/>
    <w:tmpl w:val="A838214A"/>
    <w:name w:val="Moja_lista_CG22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7293C94"/>
    <w:multiLevelType w:val="multilevel"/>
    <w:tmpl w:val="A838214A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A171189"/>
    <w:multiLevelType w:val="multilevel"/>
    <w:tmpl w:val="B1B63760"/>
    <w:name w:val="Moja_lista_CG22222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 w:color="000000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337802260">
    <w:abstractNumId w:val="1"/>
  </w:num>
  <w:num w:numId="2" w16cid:durableId="578367526">
    <w:abstractNumId w:val="19"/>
  </w:num>
  <w:num w:numId="3" w16cid:durableId="202983160">
    <w:abstractNumId w:val="2"/>
  </w:num>
  <w:num w:numId="4" w16cid:durableId="1248807568">
    <w:abstractNumId w:val="4"/>
  </w:num>
  <w:num w:numId="5" w16cid:durableId="1876309300">
    <w:abstractNumId w:val="12"/>
  </w:num>
  <w:num w:numId="6" w16cid:durableId="999430038">
    <w:abstractNumId w:val="13"/>
  </w:num>
  <w:num w:numId="7" w16cid:durableId="1682395554">
    <w:abstractNumId w:val="14"/>
  </w:num>
  <w:num w:numId="8" w16cid:durableId="1705789436">
    <w:abstractNumId w:val="9"/>
  </w:num>
  <w:num w:numId="9" w16cid:durableId="1501237840">
    <w:abstractNumId w:val="6"/>
  </w:num>
  <w:num w:numId="10" w16cid:durableId="1912958092">
    <w:abstractNumId w:val="17"/>
  </w:num>
  <w:num w:numId="11" w16cid:durableId="780538104">
    <w:abstractNumId w:val="8"/>
  </w:num>
  <w:num w:numId="12" w16cid:durableId="1021247766">
    <w:abstractNumId w:val="15"/>
  </w:num>
  <w:num w:numId="13" w16cid:durableId="920796967">
    <w:abstractNumId w:val="22"/>
  </w:num>
  <w:num w:numId="14" w16cid:durableId="1623918105">
    <w:abstractNumId w:val="18"/>
  </w:num>
  <w:num w:numId="15" w16cid:durableId="1117797265">
    <w:abstractNumId w:val="20"/>
  </w:num>
  <w:num w:numId="16" w16cid:durableId="1007712741">
    <w:abstractNumId w:val="21"/>
  </w:num>
  <w:num w:numId="17" w16cid:durableId="69734503">
    <w:abstractNumId w:val="7"/>
  </w:num>
  <w:num w:numId="18" w16cid:durableId="412703998">
    <w:abstractNumId w:val="10"/>
  </w:num>
  <w:num w:numId="19" w16cid:durableId="1937443404">
    <w:abstractNumId w:val="3"/>
  </w:num>
  <w:num w:numId="20" w16cid:durableId="1947804868">
    <w:abstractNumId w:val="11"/>
  </w:num>
  <w:num w:numId="21" w16cid:durableId="779690800">
    <w:abstractNumId w:val="5"/>
  </w:num>
  <w:num w:numId="22" w16cid:durableId="1343119222">
    <w:abstractNumId w:val="0"/>
  </w:num>
  <w:num w:numId="23" w16cid:durableId="821773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B0"/>
    <w:rsid w:val="000F03EF"/>
    <w:rsid w:val="000F1699"/>
    <w:rsid w:val="001732FA"/>
    <w:rsid w:val="00287464"/>
    <w:rsid w:val="00393DD2"/>
    <w:rsid w:val="00412114"/>
    <w:rsid w:val="00493280"/>
    <w:rsid w:val="004A5128"/>
    <w:rsid w:val="0056731D"/>
    <w:rsid w:val="005821B0"/>
    <w:rsid w:val="005E2C7E"/>
    <w:rsid w:val="005F3A5F"/>
    <w:rsid w:val="00630863"/>
    <w:rsid w:val="0066496A"/>
    <w:rsid w:val="00680717"/>
    <w:rsid w:val="006D0963"/>
    <w:rsid w:val="006E03D8"/>
    <w:rsid w:val="006E4E42"/>
    <w:rsid w:val="007219AE"/>
    <w:rsid w:val="0077257C"/>
    <w:rsid w:val="0082117F"/>
    <w:rsid w:val="008B6B94"/>
    <w:rsid w:val="009321C0"/>
    <w:rsid w:val="009333C7"/>
    <w:rsid w:val="00995277"/>
    <w:rsid w:val="009F392B"/>
    <w:rsid w:val="009F5A1D"/>
    <w:rsid w:val="00B036B6"/>
    <w:rsid w:val="00B44951"/>
    <w:rsid w:val="00BA4AAB"/>
    <w:rsid w:val="00BD73A7"/>
    <w:rsid w:val="00D44A36"/>
    <w:rsid w:val="00DE0552"/>
    <w:rsid w:val="00ED2E9D"/>
    <w:rsid w:val="00F3156E"/>
    <w:rsid w:val="00F5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6DF1"/>
  <w15:chartTrackingRefBased/>
  <w15:docId w15:val="{1DFB0144-B5A8-4565-9C0A-D97D1689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B0"/>
    <w:pPr>
      <w:spacing w:before="360" w:after="360" w:line="360" w:lineRule="auto"/>
    </w:pPr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1B0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1B0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1B0"/>
    <w:pPr>
      <w:keepNext/>
      <w:keepLines/>
      <w:spacing w:line="276" w:lineRule="auto"/>
      <w:outlineLvl w:val="2"/>
    </w:pPr>
    <w:rPr>
      <w:rFonts w:eastAsiaTheme="majorEastAsia" w:cstheme="majorBidi"/>
      <w:b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117F"/>
    <w:pPr>
      <w:keepNext/>
      <w:keepLines/>
      <w:spacing w:line="276" w:lineRule="auto"/>
      <w:outlineLvl w:val="3"/>
    </w:pPr>
    <w:rPr>
      <w:rFonts w:eastAsiaTheme="majorEastAsia" w:cstheme="majorBidi"/>
      <w:b/>
      <w:i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1B0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21B0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21B0"/>
    <w:rPr>
      <w:rFonts w:eastAsiaTheme="majorEastAsia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9321C0"/>
    <w:pPr>
      <w:ind w:left="709"/>
    </w:pPr>
  </w:style>
  <w:style w:type="character" w:customStyle="1" w:styleId="Nagwek4Znak">
    <w:name w:val="Nagłówek 4 Znak"/>
    <w:basedOn w:val="Domylnaczcionkaakapitu"/>
    <w:link w:val="Nagwek4"/>
    <w:uiPriority w:val="9"/>
    <w:rsid w:val="0082117F"/>
    <w:rPr>
      <w:rFonts w:eastAsiaTheme="majorEastAsia" w:cstheme="majorBidi"/>
      <w:b/>
      <w:iCs/>
      <w:sz w:val="24"/>
    </w:rPr>
  </w:style>
  <w:style w:type="numbering" w:customStyle="1" w:styleId="Mjstyl">
    <w:name w:val="Mój_styl"/>
    <w:uiPriority w:val="99"/>
    <w:rsid w:val="0068071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564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4AC"/>
    <w:rPr>
      <w:rFonts w:eastAsia="Times New Roman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4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4AC"/>
    <w:rPr>
      <w:rFonts w:eastAsia="Times New Roman"/>
      <w:sz w:val="24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B03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6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cppc/cyfrowa-gmin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yfrowa-gmina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cppc/cyfrowa-gmin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cppc/cyfrowa-gmin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mura.gov.pl/informacje/czym-%20jest-zu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3499</Words>
  <Characters>20996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Wiśniewski</dc:creator>
  <cp:keywords/>
  <dc:description/>
  <cp:lastModifiedBy>Sebastian Wiśniewski</cp:lastModifiedBy>
  <cp:revision>14</cp:revision>
  <dcterms:created xsi:type="dcterms:W3CDTF">2023-09-20T17:11:00Z</dcterms:created>
  <dcterms:modified xsi:type="dcterms:W3CDTF">2023-09-20T19:06:00Z</dcterms:modified>
</cp:coreProperties>
</file>