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0E83" w14:textId="7499CD74" w:rsidR="00B03C62" w:rsidRDefault="00483B61" w:rsidP="00483B61">
      <w:pPr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</w:t>
      </w:r>
      <w:r w:rsidR="00B03C6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B.65</w:t>
      </w:r>
      <w:r w:rsidRPr="00483B61">
        <w:rPr>
          <w:rFonts w:ascii="Times New Roman" w:hAnsi="Times New Roman"/>
          <w:sz w:val="22"/>
          <w:szCs w:val="22"/>
        </w:rPr>
        <w:t>.</w:t>
      </w:r>
    </w:p>
    <w:p w14:paraId="4B6BC431" w14:textId="77777777" w:rsidR="00024D0B" w:rsidRDefault="00024D0B" w:rsidP="00483B61">
      <w:pPr>
        <w:widowControl/>
        <w:rPr>
          <w:rFonts w:ascii="Times New Roman" w:hAnsi="Times New Roman"/>
          <w:sz w:val="22"/>
          <w:szCs w:val="22"/>
        </w:rPr>
      </w:pPr>
    </w:p>
    <w:p w14:paraId="589A3689" w14:textId="317111DD" w:rsidR="00AB01BB" w:rsidRPr="00AB01BB" w:rsidRDefault="00605C33" w:rsidP="00483B61">
      <w:pPr>
        <w:spacing w:after="240"/>
        <w:rPr>
          <w:rFonts w:ascii="Times New Roman" w:hAnsi="Times New Roman"/>
          <w:sz w:val="28"/>
          <w:szCs w:val="28"/>
        </w:rPr>
      </w:pPr>
      <w:r w:rsidRPr="00605C33">
        <w:rPr>
          <w:rFonts w:ascii="Times New Roman" w:hAnsi="Times New Roman"/>
          <w:b/>
          <w:sz w:val="28"/>
          <w:szCs w:val="28"/>
        </w:rPr>
        <w:t>LECZENIE</w:t>
      </w:r>
      <w:r w:rsidR="00B03C62">
        <w:rPr>
          <w:rFonts w:ascii="Times New Roman" w:hAnsi="Times New Roman"/>
          <w:b/>
          <w:sz w:val="28"/>
          <w:szCs w:val="28"/>
        </w:rPr>
        <w:t xml:space="preserve"> </w:t>
      </w:r>
      <w:r w:rsidR="00C92CD0">
        <w:rPr>
          <w:rFonts w:ascii="Times New Roman" w:hAnsi="Times New Roman"/>
          <w:b/>
          <w:sz w:val="28"/>
          <w:szCs w:val="28"/>
        </w:rPr>
        <w:t>CHORYCH</w:t>
      </w:r>
      <w:r w:rsidR="00B03C62">
        <w:rPr>
          <w:rFonts w:ascii="Times New Roman" w:hAnsi="Times New Roman"/>
          <w:b/>
          <w:sz w:val="28"/>
          <w:szCs w:val="28"/>
        </w:rPr>
        <w:t xml:space="preserve"> </w:t>
      </w:r>
      <w:r w:rsidR="00C92CD0">
        <w:rPr>
          <w:rFonts w:ascii="Times New Roman" w:hAnsi="Times New Roman"/>
          <w:b/>
          <w:sz w:val="28"/>
          <w:szCs w:val="28"/>
        </w:rPr>
        <w:t>NA</w:t>
      </w:r>
      <w:r w:rsidR="00B03C62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OSTR</w:t>
      </w:r>
      <w:r w:rsidR="00C92CD0">
        <w:rPr>
          <w:rFonts w:ascii="Times New Roman" w:hAnsi="Times New Roman"/>
          <w:b/>
          <w:sz w:val="28"/>
          <w:szCs w:val="28"/>
        </w:rPr>
        <w:t>Ą</w:t>
      </w:r>
      <w:r w:rsidR="00B03C62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BIAŁACZK</w:t>
      </w:r>
      <w:r w:rsidR="00C92CD0">
        <w:rPr>
          <w:rFonts w:ascii="Times New Roman" w:hAnsi="Times New Roman"/>
          <w:b/>
          <w:sz w:val="28"/>
          <w:szCs w:val="28"/>
        </w:rPr>
        <w:t>Ę</w:t>
      </w:r>
      <w:r w:rsidR="00B03C62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LIMFOBLASTYCZN</w:t>
      </w:r>
      <w:r w:rsidR="00C92CD0">
        <w:rPr>
          <w:rFonts w:ascii="Times New Roman" w:hAnsi="Times New Roman"/>
          <w:b/>
          <w:sz w:val="28"/>
          <w:szCs w:val="28"/>
        </w:rPr>
        <w:t>Ą</w:t>
      </w:r>
      <w:r w:rsidR="00B03C62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(ICD-10</w:t>
      </w:r>
      <w:r w:rsidR="00B03C62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C91.0)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6233"/>
        <w:gridCol w:w="4534"/>
        <w:gridCol w:w="4623"/>
      </w:tblGrid>
      <w:tr w:rsidR="00AB01BB" w:rsidRPr="00DE1B23" w14:paraId="20C20828" w14:textId="77777777" w:rsidTr="00305077">
        <w:trPr>
          <w:trHeight w:val="567"/>
        </w:trPr>
        <w:tc>
          <w:tcPr>
            <w:tcW w:w="5000" w:type="pct"/>
            <w:gridSpan w:val="3"/>
            <w:vAlign w:val="center"/>
          </w:tcPr>
          <w:p w14:paraId="2F2B0741" w14:textId="2B3AAC45"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ZAKRES</w:t>
            </w:r>
            <w:r w:rsidR="00B03C62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ŚWIADCZENIA</w:t>
            </w:r>
            <w:r w:rsidR="00B03C62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GWARANTOWANEGO</w:t>
            </w:r>
          </w:p>
        </w:tc>
      </w:tr>
      <w:tr w:rsidR="00DE1B23" w:rsidRPr="00DE1B23" w14:paraId="4CA7D0E2" w14:textId="77777777" w:rsidTr="00305077">
        <w:trPr>
          <w:trHeight w:val="567"/>
        </w:trPr>
        <w:tc>
          <w:tcPr>
            <w:tcW w:w="2025" w:type="pct"/>
            <w:vAlign w:val="center"/>
          </w:tcPr>
          <w:p w14:paraId="4EBF9B35" w14:textId="77777777"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473" w:type="pct"/>
            <w:vAlign w:val="center"/>
          </w:tcPr>
          <w:p w14:paraId="27B20E55" w14:textId="1EC19E34"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SCHEMAT</w:t>
            </w:r>
            <w:r w:rsidR="00B03C62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DAWKOWANIA</w:t>
            </w:r>
            <w:r w:rsidR="00B03C62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LEKÓW</w:t>
            </w:r>
            <w:r w:rsidR="00B03C62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br/>
              <w:t>W</w:t>
            </w:r>
            <w:r w:rsidR="00B03C62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PROGRAMIE</w:t>
            </w:r>
          </w:p>
        </w:tc>
        <w:tc>
          <w:tcPr>
            <w:tcW w:w="1502" w:type="pct"/>
            <w:vAlign w:val="center"/>
          </w:tcPr>
          <w:p w14:paraId="74DC90B1" w14:textId="0DFB0D89"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BAD</w:t>
            </w:r>
            <w:r w:rsidR="002A765A" w:rsidRPr="00DE1B23">
              <w:rPr>
                <w:rFonts w:ascii="Times New Roman" w:hAnsi="Times New Roman"/>
                <w:b/>
              </w:rPr>
              <w:t>ANIA</w:t>
            </w:r>
            <w:r w:rsidR="00B03C62">
              <w:rPr>
                <w:rFonts w:ascii="Times New Roman" w:hAnsi="Times New Roman"/>
                <w:b/>
              </w:rPr>
              <w:t xml:space="preserve"> </w:t>
            </w:r>
            <w:r w:rsidR="002A765A" w:rsidRPr="00DE1B23">
              <w:rPr>
                <w:rFonts w:ascii="Times New Roman" w:hAnsi="Times New Roman"/>
                <w:b/>
              </w:rPr>
              <w:t>DIAGNOSTYCZNE</w:t>
            </w:r>
            <w:r w:rsidR="00B03C62">
              <w:rPr>
                <w:rFonts w:ascii="Times New Roman" w:hAnsi="Times New Roman"/>
                <w:b/>
              </w:rPr>
              <w:t xml:space="preserve"> </w:t>
            </w:r>
            <w:r w:rsidR="002A765A" w:rsidRPr="00DE1B23">
              <w:rPr>
                <w:rFonts w:ascii="Times New Roman" w:hAnsi="Times New Roman"/>
                <w:b/>
              </w:rPr>
              <w:t>WYKONYWANE</w:t>
            </w:r>
            <w:r w:rsidR="00B03C62">
              <w:rPr>
                <w:rFonts w:ascii="Times New Roman" w:hAnsi="Times New Roman"/>
                <w:b/>
              </w:rPr>
              <w:t xml:space="preserve"> </w:t>
            </w:r>
            <w:r w:rsidR="002A765A" w:rsidRPr="00DE1B23">
              <w:rPr>
                <w:rFonts w:ascii="Times New Roman" w:hAnsi="Times New Roman"/>
                <w:b/>
              </w:rPr>
              <w:t>W</w:t>
            </w:r>
            <w:r w:rsidR="00B03C62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RAMACH</w:t>
            </w:r>
            <w:r w:rsidR="00B03C62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PROGRAMU</w:t>
            </w:r>
          </w:p>
        </w:tc>
      </w:tr>
      <w:tr w:rsidR="00DE1B23" w:rsidRPr="00F15804" w14:paraId="692FE380" w14:textId="77777777" w:rsidTr="00305077">
        <w:trPr>
          <w:trHeight w:val="20"/>
        </w:trPr>
        <w:tc>
          <w:tcPr>
            <w:tcW w:w="2025" w:type="pct"/>
          </w:tcPr>
          <w:p w14:paraId="0486573D" w14:textId="2F459C40" w:rsidR="00B03C62" w:rsidRPr="00F15804" w:rsidRDefault="00B03C62" w:rsidP="00E83905">
            <w:pPr>
              <w:pStyle w:val="Akapitzlist"/>
              <w:numPr>
                <w:ilvl w:val="0"/>
                <w:numId w:val="1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 xml:space="preserve">Kryteria kwalifikacji do leczenia 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dazatynibem</w:t>
            </w:r>
            <w:proofErr w:type="spellEnd"/>
            <w:r w:rsidRPr="00F15804">
              <w:rPr>
                <w:rFonts w:ascii="Times New Roman" w:hAnsi="Times New Roman"/>
                <w:b/>
                <w:bCs/>
              </w:rPr>
              <w:t xml:space="preserve"> ostrej białaczki 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limfoblastycznej</w:t>
            </w:r>
            <w:proofErr w:type="spellEnd"/>
            <w:r w:rsidRPr="00F15804">
              <w:rPr>
                <w:rFonts w:ascii="Times New Roman" w:hAnsi="Times New Roman"/>
                <w:b/>
                <w:bCs/>
              </w:rPr>
              <w:t xml:space="preserve"> z obecnością chromosomu Filadelfia (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Ph</w:t>
            </w:r>
            <w:proofErr w:type="spellEnd"/>
            <w:r w:rsidRPr="00F15804">
              <w:rPr>
                <w:rFonts w:ascii="Times New Roman" w:hAnsi="Times New Roman"/>
                <w:b/>
                <w:bCs/>
              </w:rPr>
              <w:t xml:space="preserve">+) u dorosłych </w:t>
            </w:r>
          </w:p>
          <w:p w14:paraId="30CD60CE" w14:textId="173F541A" w:rsidR="00B03C62" w:rsidRPr="00F15804" w:rsidRDefault="00B03C62" w:rsidP="00F15804">
            <w:pPr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Do leczenia kwalifikowani są pacjenci ze zdiagnozowaną ostrą białaczką </w:t>
            </w:r>
            <w:proofErr w:type="spellStart"/>
            <w:r w:rsidRPr="00F15804">
              <w:rPr>
                <w:rFonts w:ascii="Times New Roman" w:hAnsi="Times New Roman"/>
              </w:rPr>
              <w:t>limfoblastyczną</w:t>
            </w:r>
            <w:proofErr w:type="spellEnd"/>
            <w:r w:rsidRPr="00F15804">
              <w:rPr>
                <w:rFonts w:ascii="Times New Roman" w:hAnsi="Times New Roman"/>
              </w:rPr>
              <w:t xml:space="preserve"> z udokumentowaną obecnością genu BCR-ABL lub chromosomu Filadelfia (</w:t>
            </w:r>
            <w:proofErr w:type="spellStart"/>
            <w:r w:rsidRPr="00F15804">
              <w:rPr>
                <w:rFonts w:ascii="Times New Roman" w:hAnsi="Times New Roman"/>
              </w:rPr>
              <w:t>Ph</w:t>
            </w:r>
            <w:proofErr w:type="spellEnd"/>
            <w:r w:rsidRPr="00F15804">
              <w:rPr>
                <w:rFonts w:ascii="Times New Roman" w:hAnsi="Times New Roman"/>
              </w:rPr>
              <w:t>+) w wieku 18 lat i powyżej, u</w:t>
            </w:r>
            <w:r w:rsidR="00912B30"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 xml:space="preserve">których: </w:t>
            </w:r>
          </w:p>
          <w:p w14:paraId="520787AA" w14:textId="1E0A50E4" w:rsidR="00B03C62" w:rsidRPr="00F15804" w:rsidRDefault="00B03C62" w:rsidP="00E83905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nie uzyskano całkowitej remisji hematologicznej po leczeniu indukującym remisję lub większej odpowiedzi molekularnej po leczeniu konsolidującym remisję, jeżeli protokół leczenia nie obejmował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</w:p>
          <w:p w14:paraId="05EC73E1" w14:textId="77777777" w:rsidR="00B03C62" w:rsidRPr="00F15804" w:rsidRDefault="00B03C62" w:rsidP="00F15804">
            <w:pPr>
              <w:spacing w:after="60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5B264086" w14:textId="5A48057B" w:rsidR="00B03C62" w:rsidRPr="00F15804" w:rsidRDefault="00B03C62" w:rsidP="00E83905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uzyskano remisję całkowitą lub odpowiedź molekularną w wyniku leczenia obejmującego stosowanie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  <w:r w:rsidRPr="00F15804">
              <w:rPr>
                <w:rFonts w:ascii="Times New Roman" w:hAnsi="Times New Roman"/>
              </w:rPr>
              <w:t xml:space="preserve"> i prowadzone jest leczenie podtrzymujące</w:t>
            </w:r>
          </w:p>
          <w:p w14:paraId="658640F3" w14:textId="77777777" w:rsidR="00B03C62" w:rsidRPr="00F15804" w:rsidRDefault="00B03C62" w:rsidP="00F15804">
            <w:pPr>
              <w:spacing w:after="60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6A76962C" w14:textId="5B0C4541" w:rsidR="00B03C62" w:rsidRPr="00F15804" w:rsidRDefault="00B03C62" w:rsidP="00E83905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wystąpiła hematologiczna remisja całkowita i w badaniu molekularnym lub </w:t>
            </w:r>
            <w:proofErr w:type="spellStart"/>
            <w:r w:rsidRPr="00F15804">
              <w:rPr>
                <w:rFonts w:ascii="Times New Roman" w:hAnsi="Times New Roman"/>
              </w:rPr>
              <w:t>immunofenotypowym</w:t>
            </w:r>
            <w:proofErr w:type="spellEnd"/>
            <w:r w:rsidRPr="00F15804">
              <w:rPr>
                <w:rFonts w:ascii="Times New Roman" w:hAnsi="Times New Roman"/>
              </w:rPr>
              <w:t xml:space="preserve"> stwierdzono nawrót lub narastanie minimalnej choroby resztkowej, jeżeli protokół leczenia nie obejmował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</w:p>
          <w:p w14:paraId="626C0567" w14:textId="77777777" w:rsidR="00B03C62" w:rsidRPr="00F15804" w:rsidRDefault="00B03C62" w:rsidP="00F15804">
            <w:pPr>
              <w:spacing w:after="60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65181E14" w14:textId="2ACB8496" w:rsidR="00B03C62" w:rsidRPr="00F15804" w:rsidRDefault="00B03C62" w:rsidP="00E83905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wykonano przeszczepienie komórek krwiotwórczych i przed przeszczepieniem nie uzyskano całkowitej odpowiedzi molekularnej</w:t>
            </w:r>
          </w:p>
          <w:p w14:paraId="6946C10D" w14:textId="77777777" w:rsidR="00B03C62" w:rsidRPr="00F15804" w:rsidRDefault="00B03C62" w:rsidP="00F15804">
            <w:pPr>
              <w:spacing w:after="60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5A68FD1E" w14:textId="7F734BAA" w:rsidR="00B03C62" w:rsidRPr="00F15804" w:rsidRDefault="00B03C62" w:rsidP="00E83905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wystąpiła wznowa hematologiczna choroby, jeżeli protokół leczenia nie obejmował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</w:p>
          <w:p w14:paraId="5D054E3C" w14:textId="6BA28B95" w:rsidR="00A32C7C" w:rsidRPr="00F15804" w:rsidRDefault="00B03C62" w:rsidP="00F15804">
            <w:pPr>
              <w:spacing w:after="60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>lub</w:t>
            </w:r>
          </w:p>
          <w:p w14:paraId="6D437A05" w14:textId="537C8642" w:rsidR="00B03C62" w:rsidRPr="00F15804" w:rsidRDefault="00B03C62" w:rsidP="00E83905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wystąpiły objawy nietolerancji </w:t>
            </w:r>
            <w:proofErr w:type="spellStart"/>
            <w:r w:rsidRPr="00F15804">
              <w:rPr>
                <w:rFonts w:ascii="Times New Roman" w:hAnsi="Times New Roman"/>
              </w:rPr>
              <w:t>imatynibu</w:t>
            </w:r>
            <w:proofErr w:type="spellEnd"/>
            <w:r w:rsidRPr="00F15804">
              <w:rPr>
                <w:rFonts w:ascii="Times New Roman" w:hAnsi="Times New Roman"/>
              </w:rPr>
              <w:t xml:space="preserve"> w trakcie wcześniejszej terapii w stopniu uniemożliwiającym dalsze jego stosowanie</w:t>
            </w:r>
          </w:p>
          <w:p w14:paraId="50AD0B33" w14:textId="5DB8B154" w:rsidR="00B03C62" w:rsidRPr="00F15804" w:rsidRDefault="00B03C62" w:rsidP="00F15804">
            <w:pPr>
              <w:spacing w:after="60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19938742" w14:textId="5EFA1024" w:rsidR="00B03C62" w:rsidRPr="00F15804" w:rsidRDefault="00B03C62" w:rsidP="00E83905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stwierdzono pierwotne zajęcie ośrodkowego układu nerwowego (OUN). </w:t>
            </w:r>
          </w:p>
          <w:p w14:paraId="4BB8BFC0" w14:textId="15EE8B1D" w:rsidR="00B03C62" w:rsidRPr="00F15804" w:rsidRDefault="00B03C62" w:rsidP="00F15804">
            <w:pPr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Do programu włączani są również pacjenci ze zdiagnozowaną ostrą białaczką </w:t>
            </w:r>
            <w:proofErr w:type="spellStart"/>
            <w:r w:rsidRPr="00F15804">
              <w:rPr>
                <w:rFonts w:ascii="Times New Roman" w:hAnsi="Times New Roman"/>
              </w:rPr>
              <w:t>limfoblastyczną</w:t>
            </w:r>
            <w:proofErr w:type="spellEnd"/>
            <w:r w:rsidRPr="00F15804">
              <w:rPr>
                <w:rFonts w:ascii="Times New Roman" w:hAnsi="Times New Roman"/>
              </w:rPr>
              <w:t xml:space="preserve"> z udokumentowaną obecnością genu BCR-ABL lub chromosomu Filadelfia (</w:t>
            </w:r>
            <w:proofErr w:type="spellStart"/>
            <w:r w:rsidRPr="00F15804">
              <w:rPr>
                <w:rFonts w:ascii="Times New Roman" w:hAnsi="Times New Roman"/>
              </w:rPr>
              <w:t>Ph</w:t>
            </w:r>
            <w:proofErr w:type="spellEnd"/>
            <w:r w:rsidRPr="00F15804">
              <w:rPr>
                <w:rFonts w:ascii="Times New Roman" w:hAnsi="Times New Roman"/>
              </w:rPr>
              <w:t xml:space="preserve">+), którzy uprzednio byli leczeni </w:t>
            </w:r>
            <w:proofErr w:type="spellStart"/>
            <w:r w:rsidRPr="00F15804">
              <w:rPr>
                <w:rFonts w:ascii="Times New Roman" w:hAnsi="Times New Roman"/>
              </w:rPr>
              <w:t>dazatynibem</w:t>
            </w:r>
            <w:proofErr w:type="spellEnd"/>
            <w:r w:rsidRPr="00F15804">
              <w:rPr>
                <w:rFonts w:ascii="Times New Roman" w:hAnsi="Times New Roman"/>
              </w:rPr>
              <w:t xml:space="preserve"> w ramach chemioterapii niestandardowej oraz nowo zdiagnozowani pacjenci, którzy rozpoczęli terapię w okresie od 1</w:t>
            </w:r>
            <w:r w:rsidR="00912B30"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>stycznia 2015 r. do 31 marca 2015 r. i rozpoczynając leczenie spełniali kryteria kwalifikacji do programu.</w:t>
            </w:r>
          </w:p>
          <w:p w14:paraId="09A0FB40" w14:textId="10340E0B" w:rsidR="00B03C62" w:rsidRPr="00F15804" w:rsidRDefault="00B03C62" w:rsidP="00F15804">
            <w:pPr>
              <w:spacing w:after="60"/>
              <w:ind w:firstLine="48"/>
              <w:jc w:val="both"/>
              <w:rPr>
                <w:rFonts w:ascii="Times New Roman" w:hAnsi="Times New Roman"/>
              </w:rPr>
            </w:pPr>
          </w:p>
          <w:p w14:paraId="7FD37933" w14:textId="380B6EE0" w:rsidR="00B03C62" w:rsidRPr="00F15804" w:rsidRDefault="00B03C62" w:rsidP="00E83905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F15804">
              <w:rPr>
                <w:rFonts w:ascii="Times New Roman" w:hAnsi="Times New Roman"/>
                <w:b/>
                <w:bCs/>
              </w:rPr>
              <w:t xml:space="preserve">Określenie czasu leczenia w programie </w:t>
            </w:r>
          </w:p>
          <w:p w14:paraId="6EDD8725" w14:textId="6C44DE41" w:rsidR="00B03C62" w:rsidRPr="00F15804" w:rsidRDefault="00B03C62" w:rsidP="00E83905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u chorych niepoddanych transplantacji komórek krwiotwórczych leczenie </w:t>
            </w:r>
            <w:proofErr w:type="spellStart"/>
            <w:r w:rsidRPr="00F15804">
              <w:rPr>
                <w:rFonts w:ascii="Times New Roman" w:hAnsi="Times New Roman"/>
              </w:rPr>
              <w:t>dazatynibem</w:t>
            </w:r>
            <w:proofErr w:type="spellEnd"/>
            <w:r w:rsidRPr="00F15804">
              <w:rPr>
                <w:rFonts w:ascii="Times New Roman" w:hAnsi="Times New Roman"/>
              </w:rPr>
              <w:t xml:space="preserve"> należy kontynuować do czasu progresji choroby;</w:t>
            </w:r>
          </w:p>
          <w:p w14:paraId="3AF36580" w14:textId="1452D004" w:rsidR="00B03C62" w:rsidRDefault="00B03C62" w:rsidP="00E83905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u chorych poddanych transplantacji komórek krwiotwórczych leczenie </w:t>
            </w:r>
            <w:proofErr w:type="spellStart"/>
            <w:r w:rsidRPr="00F15804">
              <w:rPr>
                <w:rFonts w:ascii="Times New Roman" w:hAnsi="Times New Roman"/>
              </w:rPr>
              <w:t>dazatynibem</w:t>
            </w:r>
            <w:proofErr w:type="spellEnd"/>
            <w:r w:rsidRPr="00F15804">
              <w:rPr>
                <w:rFonts w:ascii="Times New Roman" w:hAnsi="Times New Roman"/>
              </w:rPr>
              <w:t xml:space="preserve"> należy kontynuować do czasu uzyskania całkowitej odpowiedzi molekularnej, a następnie rozważyć kontynuowanie leczenia przez kolejne dwa lata lub do czasu progresji choroby. </w:t>
            </w:r>
          </w:p>
          <w:p w14:paraId="4802E120" w14:textId="77777777" w:rsidR="00F15804" w:rsidRPr="00F15804" w:rsidRDefault="00F15804" w:rsidP="00F15804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5617EBBA" w14:textId="7873C923" w:rsidR="00B03C62" w:rsidRPr="00F15804" w:rsidRDefault="00B03C62" w:rsidP="00E83905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 xml:space="preserve">Kryteria wyłączenia z programu </w:t>
            </w:r>
          </w:p>
          <w:p w14:paraId="6EBB23F2" w14:textId="05A67B11" w:rsidR="00B03C62" w:rsidRPr="00F15804" w:rsidRDefault="00B03C62" w:rsidP="00E83905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wystąpienie objawów nietolerancji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  <w:r w:rsidRPr="00F15804">
              <w:rPr>
                <w:rFonts w:ascii="Times New Roman" w:hAnsi="Times New Roman"/>
              </w:rPr>
              <w:t xml:space="preserve">; </w:t>
            </w:r>
          </w:p>
          <w:p w14:paraId="5F47BC4C" w14:textId="413B931C" w:rsidR="00B03C62" w:rsidRDefault="00B03C62" w:rsidP="00E83905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progresja choroby w trakcie leczenia </w:t>
            </w:r>
            <w:proofErr w:type="spellStart"/>
            <w:r w:rsidRPr="00F15804">
              <w:rPr>
                <w:rFonts w:ascii="Times New Roman" w:hAnsi="Times New Roman"/>
              </w:rPr>
              <w:t>dazatynibem</w:t>
            </w:r>
            <w:proofErr w:type="spellEnd"/>
            <w:r w:rsidRPr="00F15804">
              <w:rPr>
                <w:rFonts w:ascii="Times New Roman" w:hAnsi="Times New Roman"/>
              </w:rPr>
              <w:t xml:space="preserve">. </w:t>
            </w:r>
          </w:p>
          <w:p w14:paraId="49BB560E" w14:textId="1E2EE031" w:rsidR="00923864" w:rsidRPr="00F15804" w:rsidRDefault="00923864" w:rsidP="00E87C2A">
            <w:pPr>
              <w:widowControl/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473" w:type="pct"/>
          </w:tcPr>
          <w:p w14:paraId="06D0A6BC" w14:textId="01983B27" w:rsidR="00605C33" w:rsidRPr="00F15804" w:rsidRDefault="00605C33" w:rsidP="00E83905">
            <w:pPr>
              <w:pStyle w:val="Akapitzlist"/>
              <w:numPr>
                <w:ilvl w:val="0"/>
                <w:numId w:val="2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lastRenderedPageBreak/>
              <w:t>Dawkowanie</w:t>
            </w:r>
            <w:r w:rsidR="00E83905">
              <w:rPr>
                <w:rFonts w:ascii="Times New Roman" w:hAnsi="Times New Roman"/>
                <w:b/>
              </w:rPr>
              <w:t xml:space="preserve"> </w:t>
            </w:r>
          </w:p>
          <w:p w14:paraId="53916504" w14:textId="0FFB94B2" w:rsidR="00B03C62" w:rsidRDefault="00605C33" w:rsidP="00E83905">
            <w:pPr>
              <w:spacing w:after="60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E83905">
              <w:rPr>
                <w:rFonts w:ascii="Times New Roman" w:hAnsi="Times New Roman"/>
              </w:rPr>
              <w:t>Dazatynib</w:t>
            </w:r>
            <w:proofErr w:type="spellEnd"/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należy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podawać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w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dawce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140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mg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na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dobę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doustnie,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do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indywidualnej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decyzji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pozostawia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się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możliwość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modyfikowania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dawkowania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leku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w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oparciu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o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Charakterystykę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Produktu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Leczniczego</w:t>
            </w:r>
            <w:r w:rsidRPr="00E83905">
              <w:rPr>
                <w:rFonts w:ascii="Times New Roman" w:hAnsi="Times New Roman"/>
                <w:b/>
              </w:rPr>
              <w:t>.</w:t>
            </w:r>
          </w:p>
          <w:p w14:paraId="41841FB8" w14:textId="77777777" w:rsidR="00E83905" w:rsidRPr="00E83905" w:rsidRDefault="00E83905" w:rsidP="00E83905">
            <w:pPr>
              <w:spacing w:after="60"/>
              <w:jc w:val="both"/>
              <w:rPr>
                <w:rFonts w:ascii="Times New Roman" w:hAnsi="Times New Roman"/>
                <w:b/>
              </w:rPr>
            </w:pPr>
          </w:p>
          <w:p w14:paraId="6D6A0DF6" w14:textId="0D76A527" w:rsidR="00457B24" w:rsidRPr="00F15804" w:rsidRDefault="00457B24" w:rsidP="00E87C2A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502" w:type="pct"/>
          </w:tcPr>
          <w:p w14:paraId="48F6DBDA" w14:textId="54CDE9DA" w:rsidR="001A764E" w:rsidRPr="00F15804" w:rsidRDefault="001A764E" w:rsidP="00E83905">
            <w:pPr>
              <w:pStyle w:val="Akapitzlist"/>
              <w:numPr>
                <w:ilvl w:val="0"/>
                <w:numId w:val="3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  <w:bCs/>
              </w:rPr>
              <w:t>Leczenie</w:t>
            </w:r>
            <w:r w:rsidR="00B03C62" w:rsidRPr="00F1580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dazatynibem</w:t>
            </w:r>
            <w:proofErr w:type="spellEnd"/>
            <w:r w:rsidR="00B03C62" w:rsidRPr="00F15804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ostrej</w:t>
            </w:r>
            <w:r w:rsidR="00B03C62" w:rsidRPr="00F15804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białaczki</w:t>
            </w:r>
            <w:r w:rsidR="00B03C62" w:rsidRPr="00F1580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limfoblastycznej</w:t>
            </w:r>
            <w:proofErr w:type="spellEnd"/>
            <w:r w:rsidR="00B03C62" w:rsidRPr="00F15804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z</w:t>
            </w:r>
            <w:r w:rsidR="00B03C62" w:rsidRPr="00F15804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obecnością</w:t>
            </w:r>
            <w:r w:rsidR="00B03C62" w:rsidRPr="00F15804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chromosomu</w:t>
            </w:r>
            <w:r w:rsidR="00B03C62" w:rsidRPr="00F15804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Filadelfia</w:t>
            </w:r>
            <w:r w:rsidR="00B03C62" w:rsidRPr="00F15804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(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Ph</w:t>
            </w:r>
            <w:proofErr w:type="spellEnd"/>
            <w:r w:rsidRPr="00F15804">
              <w:rPr>
                <w:rFonts w:ascii="Times New Roman" w:hAnsi="Times New Roman"/>
                <w:b/>
                <w:bCs/>
              </w:rPr>
              <w:t>+)</w:t>
            </w:r>
            <w:r w:rsidR="00B03C62" w:rsidRPr="00F15804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u</w:t>
            </w:r>
            <w:r w:rsidR="00B03C62" w:rsidRPr="00F15804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dorosłych</w:t>
            </w:r>
            <w:r w:rsidR="00B03C62" w:rsidRPr="00F15804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415D268B" w14:textId="2FF4B192" w:rsidR="00605C33" w:rsidRPr="00F15804" w:rsidRDefault="00605C33" w:rsidP="00E83905">
            <w:pPr>
              <w:pStyle w:val="Akapitzlist"/>
              <w:numPr>
                <w:ilvl w:val="1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Badania</w:t>
            </w:r>
            <w:r w:rsidR="00B03C62" w:rsidRPr="00F15804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przy</w:t>
            </w:r>
            <w:r w:rsidR="00B03C62" w:rsidRPr="00F15804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kwalifikacji</w:t>
            </w:r>
          </w:p>
          <w:p w14:paraId="655B17EF" w14:textId="5ACA3146" w:rsidR="00605C33" w:rsidRPr="00F15804" w:rsidRDefault="00F36D28" w:rsidP="00E83905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</w:t>
            </w:r>
            <w:r w:rsidR="00605C33" w:rsidRPr="00F15804">
              <w:rPr>
                <w:rFonts w:ascii="Times New Roman" w:hAnsi="Times New Roman"/>
              </w:rPr>
              <w:t>orfologia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z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rozmazem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72B209DB" w14:textId="0A23BD51" w:rsidR="00605C33" w:rsidRPr="00F15804" w:rsidRDefault="00605C33" w:rsidP="00E83905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F15804">
              <w:rPr>
                <w:rFonts w:ascii="Times New Roman" w:hAnsi="Times New Roman"/>
              </w:rPr>
              <w:t>AspAT</w:t>
            </w:r>
            <w:proofErr w:type="spellEnd"/>
            <w:r w:rsidRPr="00F15804">
              <w:rPr>
                <w:rFonts w:ascii="Times New Roman" w:hAnsi="Times New Roman"/>
              </w:rPr>
              <w:t>,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AlAT</w:t>
            </w:r>
            <w:proofErr w:type="spellEnd"/>
            <w:r w:rsidRPr="00F15804">
              <w:rPr>
                <w:rFonts w:ascii="Times New Roman" w:hAnsi="Times New Roman"/>
              </w:rPr>
              <w:t>,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33311530" w14:textId="77777777" w:rsidR="00605C33" w:rsidRPr="00F15804" w:rsidRDefault="00F36D28" w:rsidP="00E83905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ilirubina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2DEE4515" w14:textId="3F94B74D" w:rsidR="00605C33" w:rsidRPr="00F15804" w:rsidRDefault="00F36D28" w:rsidP="00E83905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cytologiczne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4C259DEF" w14:textId="3EEDA530" w:rsidR="00B03C62" w:rsidRDefault="00F36D28" w:rsidP="00E83905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molekularne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PCR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metodą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783F6A" w:rsidRPr="00F15804">
              <w:rPr>
                <w:rFonts w:ascii="Times New Roman" w:hAnsi="Times New Roman"/>
              </w:rPr>
              <w:t>jakościową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E430A8" w:rsidRPr="00F15804">
              <w:rPr>
                <w:rFonts w:ascii="Times New Roman" w:hAnsi="Times New Roman"/>
              </w:rPr>
              <w:br/>
            </w:r>
            <w:r w:rsidR="00783F6A" w:rsidRPr="00F15804">
              <w:rPr>
                <w:rFonts w:ascii="Times New Roman" w:hAnsi="Times New Roman"/>
              </w:rPr>
              <w:t>lub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ilościową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na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obecność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BCR-ABL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w</w:t>
            </w:r>
            <w:r w:rsidR="00783F6A" w:rsidRPr="00F15804">
              <w:rPr>
                <w:rFonts w:ascii="Times New Roman" w:hAnsi="Times New Roman"/>
              </w:rPr>
              <w:t>e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badanie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cytogenetyczne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3DE70B7D" w14:textId="77777777" w:rsidR="00E83905" w:rsidRPr="00F15804" w:rsidRDefault="00E83905" w:rsidP="00E83905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3936A2F7" w14:textId="1496D3EB" w:rsidR="00605C33" w:rsidRPr="00F15804" w:rsidRDefault="00605C33" w:rsidP="00E83905">
            <w:pPr>
              <w:pStyle w:val="Akapitzlist"/>
              <w:numPr>
                <w:ilvl w:val="1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Monitorowanie</w:t>
            </w:r>
            <w:r w:rsidR="00B03C62" w:rsidRPr="00F15804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leczenia</w:t>
            </w:r>
          </w:p>
          <w:p w14:paraId="0016BFD1" w14:textId="7AFD1A6C" w:rsidR="00605C33" w:rsidRPr="00E83905" w:rsidRDefault="00605C33" w:rsidP="00E83905">
            <w:pPr>
              <w:spacing w:after="60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>Co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2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tygodnie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przez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="00783F6A" w:rsidRPr="00E83905">
              <w:rPr>
                <w:rFonts w:ascii="Times New Roman" w:hAnsi="Times New Roman"/>
              </w:rPr>
              <w:t>pierwszy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="00783F6A" w:rsidRPr="00E83905">
              <w:rPr>
                <w:rFonts w:ascii="Times New Roman" w:hAnsi="Times New Roman"/>
              </w:rPr>
              <w:t>miesiąc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="00783F6A" w:rsidRPr="00E83905">
              <w:rPr>
                <w:rFonts w:ascii="Times New Roman" w:hAnsi="Times New Roman"/>
              </w:rPr>
              <w:t>leczenia</w:t>
            </w:r>
            <w:r w:rsidRPr="00E83905">
              <w:rPr>
                <w:rFonts w:ascii="Times New Roman" w:hAnsi="Times New Roman"/>
              </w:rPr>
              <w:t>,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następnie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co</w:t>
            </w:r>
            <w:r w:rsidR="00172D62">
              <w:rPr>
                <w:rFonts w:ascii="Times New Roman" w:hAnsi="Times New Roman"/>
              </w:rPr>
              <w:t> </w:t>
            </w:r>
            <w:r w:rsidRPr="00E83905">
              <w:rPr>
                <w:rFonts w:ascii="Times New Roman" w:hAnsi="Times New Roman"/>
              </w:rPr>
              <w:t>4</w:t>
            </w:r>
            <w:r w:rsidR="00172D62">
              <w:rPr>
                <w:rFonts w:ascii="Times New Roman" w:hAnsi="Times New Roman"/>
              </w:rPr>
              <w:t> </w:t>
            </w:r>
            <w:r w:rsidRPr="00E83905">
              <w:rPr>
                <w:rFonts w:ascii="Times New Roman" w:hAnsi="Times New Roman"/>
              </w:rPr>
              <w:t>tygodnie:</w:t>
            </w:r>
          </w:p>
          <w:p w14:paraId="5F60F87B" w14:textId="496D8A96" w:rsidR="00605C33" w:rsidRPr="00F15804" w:rsidRDefault="00F36D28" w:rsidP="00E83905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</w:t>
            </w:r>
            <w:r w:rsidR="00605C33" w:rsidRPr="00F15804">
              <w:rPr>
                <w:rFonts w:ascii="Times New Roman" w:hAnsi="Times New Roman"/>
              </w:rPr>
              <w:t>orfologia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2629656A" w14:textId="3466A8BA" w:rsidR="00605C33" w:rsidRPr="00F15804" w:rsidRDefault="00605C33" w:rsidP="00E83905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F15804">
              <w:rPr>
                <w:rFonts w:ascii="Times New Roman" w:hAnsi="Times New Roman"/>
              </w:rPr>
              <w:t>AspAT</w:t>
            </w:r>
            <w:proofErr w:type="spellEnd"/>
            <w:r w:rsidRPr="00F15804">
              <w:rPr>
                <w:rFonts w:ascii="Times New Roman" w:hAnsi="Times New Roman"/>
              </w:rPr>
              <w:t>,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AlAT</w:t>
            </w:r>
            <w:proofErr w:type="spellEnd"/>
            <w:r w:rsidRPr="00F15804">
              <w:rPr>
                <w:rFonts w:ascii="Times New Roman" w:hAnsi="Times New Roman"/>
              </w:rPr>
              <w:t>,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74D7C8FE" w14:textId="537C2187" w:rsidR="00F873D5" w:rsidRPr="00F15804" w:rsidRDefault="00F36D28" w:rsidP="00E83905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ilirubina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280910DD" w14:textId="71051D87" w:rsidR="00B96AC3" w:rsidRPr="00F15804" w:rsidRDefault="00605C33" w:rsidP="00E83905">
            <w:pPr>
              <w:spacing w:after="60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>Co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4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tygodnie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przez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pierwsze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dwa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miesiące</w:t>
            </w:r>
            <w:r w:rsidR="00B03C62" w:rsidRPr="00E83905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leczenia,</w:t>
            </w:r>
            <w:r w:rsidR="00E83905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następnie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co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783F6A" w:rsidRPr="00F15804">
              <w:rPr>
                <w:rFonts w:ascii="Times New Roman" w:hAnsi="Times New Roman"/>
              </w:rPr>
              <w:t>8-12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tygodni:</w:t>
            </w:r>
          </w:p>
          <w:p w14:paraId="7ED8BEAE" w14:textId="1072409B" w:rsidR="00605C33" w:rsidRPr="00F15804" w:rsidRDefault="00F36D28" w:rsidP="00E83905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cytologiczne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59C6E2BA" w14:textId="3A24AC1D" w:rsidR="00B03C62" w:rsidRDefault="00F36D28" w:rsidP="00E83905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molekularne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PCR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metodą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ilościową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na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obecność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BCR-ABL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w</w:t>
            </w:r>
            <w:r w:rsidR="00783F6A" w:rsidRPr="00F15804">
              <w:rPr>
                <w:rFonts w:ascii="Times New Roman" w:hAnsi="Times New Roman"/>
              </w:rPr>
              <w:t>e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badanie</w:t>
            </w:r>
            <w:r w:rsidR="00B03C62" w:rsidRPr="00F15804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cytogenetyczne.</w:t>
            </w:r>
          </w:p>
          <w:p w14:paraId="2BEB97F9" w14:textId="77777777" w:rsidR="00E83905" w:rsidRPr="00F15804" w:rsidRDefault="00E83905" w:rsidP="00E83905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3A339D8C" w14:textId="240A22D0" w:rsidR="00B55D29" w:rsidRPr="00E87C2A" w:rsidRDefault="00B55D29" w:rsidP="00E87C2A">
            <w:pPr>
              <w:widowControl/>
              <w:tabs>
                <w:tab w:val="left" w:pos="0"/>
              </w:tabs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</w:rPr>
            </w:pPr>
          </w:p>
        </w:tc>
      </w:tr>
      <w:tr w:rsidR="00E87C2A" w:rsidRPr="00F15804" w14:paraId="5364EFBB" w14:textId="77777777" w:rsidTr="00305077">
        <w:trPr>
          <w:trHeight w:val="20"/>
        </w:trPr>
        <w:tc>
          <w:tcPr>
            <w:tcW w:w="2025" w:type="pct"/>
          </w:tcPr>
          <w:p w14:paraId="7B243ED1" w14:textId="77777777" w:rsidR="00E87C2A" w:rsidRPr="00F15804" w:rsidRDefault="00E87C2A" w:rsidP="00E87C2A">
            <w:pPr>
              <w:pStyle w:val="Akapitzlist"/>
              <w:numPr>
                <w:ilvl w:val="0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lastRenderedPageBreak/>
              <w:t xml:space="preserve">Leczenie </w:t>
            </w:r>
            <w:proofErr w:type="spellStart"/>
            <w:r w:rsidRPr="00F15804">
              <w:rPr>
                <w:rFonts w:ascii="Times New Roman" w:hAnsi="Times New Roman"/>
                <w:b/>
              </w:rPr>
              <w:t>ponatynibem</w:t>
            </w:r>
            <w:proofErr w:type="spellEnd"/>
            <w:r w:rsidRPr="00F15804">
              <w:rPr>
                <w:rFonts w:ascii="Times New Roman" w:hAnsi="Times New Roman"/>
                <w:b/>
              </w:rPr>
              <w:t xml:space="preserve"> chorych na ostrą białaczkę </w:t>
            </w:r>
            <w:proofErr w:type="spellStart"/>
            <w:r w:rsidRPr="00F15804">
              <w:rPr>
                <w:rFonts w:ascii="Times New Roman" w:hAnsi="Times New Roman"/>
                <w:b/>
              </w:rPr>
              <w:t>limfoblastyczną</w:t>
            </w:r>
            <w:proofErr w:type="spellEnd"/>
            <w:r w:rsidRPr="00F15804">
              <w:rPr>
                <w:rFonts w:ascii="Times New Roman" w:hAnsi="Times New Roman"/>
                <w:b/>
              </w:rPr>
              <w:t xml:space="preserve"> z chromosomem Philadelphia (</w:t>
            </w:r>
            <w:proofErr w:type="spellStart"/>
            <w:r w:rsidRPr="00F15804">
              <w:rPr>
                <w:rFonts w:ascii="Times New Roman" w:hAnsi="Times New Roman"/>
                <w:b/>
              </w:rPr>
              <w:t>Ph</w:t>
            </w:r>
            <w:proofErr w:type="spellEnd"/>
            <w:r w:rsidRPr="00F15804">
              <w:rPr>
                <w:rFonts w:ascii="Times New Roman" w:hAnsi="Times New Roman"/>
                <w:b/>
              </w:rPr>
              <w:t>+) (ICD - 10 91.0)</w:t>
            </w:r>
          </w:p>
          <w:p w14:paraId="388ADC8D" w14:textId="77777777" w:rsidR="00E87C2A" w:rsidRPr="00F15804" w:rsidRDefault="00E87C2A" w:rsidP="00E87C2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 xml:space="preserve">Kryteria kwalifikacji do leczenia 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ponatynibem</w:t>
            </w:r>
            <w:proofErr w:type="spellEnd"/>
            <w:r w:rsidRPr="00F15804">
              <w:rPr>
                <w:rFonts w:ascii="Times New Roman" w:hAnsi="Times New Roman"/>
                <w:b/>
                <w:bCs/>
              </w:rPr>
              <w:t xml:space="preserve"> ostrej białaczki 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limfoblastycznej</w:t>
            </w:r>
            <w:proofErr w:type="spellEnd"/>
            <w:r w:rsidRPr="00F15804">
              <w:rPr>
                <w:rFonts w:ascii="Times New Roman" w:hAnsi="Times New Roman"/>
                <w:b/>
                <w:bCs/>
              </w:rPr>
              <w:t xml:space="preserve"> z obecnością chromosomu Filadelfia (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Ph</w:t>
            </w:r>
            <w:proofErr w:type="spellEnd"/>
            <w:r w:rsidRPr="00F15804">
              <w:rPr>
                <w:rFonts w:ascii="Times New Roman" w:hAnsi="Times New Roman"/>
                <w:b/>
                <w:bCs/>
              </w:rPr>
              <w:t xml:space="preserve">+) u dorosłych </w:t>
            </w:r>
          </w:p>
          <w:p w14:paraId="423BD42E" w14:textId="77777777" w:rsidR="00E87C2A" w:rsidRPr="00F15804" w:rsidRDefault="00E87C2A" w:rsidP="00E87C2A">
            <w:pPr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Do leczenia kwalifikowani są pacjenci z rozpoznaniem ostrej białaczki </w:t>
            </w:r>
            <w:proofErr w:type="spellStart"/>
            <w:r w:rsidRPr="00F15804">
              <w:rPr>
                <w:rFonts w:ascii="Times New Roman" w:hAnsi="Times New Roman"/>
              </w:rPr>
              <w:t>limfoblastycznej</w:t>
            </w:r>
            <w:proofErr w:type="spellEnd"/>
            <w:r w:rsidRPr="00F15804">
              <w:rPr>
                <w:rFonts w:ascii="Times New Roman" w:hAnsi="Times New Roman"/>
              </w:rPr>
              <w:t xml:space="preserve"> z udokumentowaną obecnością genu BCR-ABL lub chromosomu Filadelfia (</w:t>
            </w:r>
            <w:proofErr w:type="spellStart"/>
            <w:r w:rsidRPr="00F15804">
              <w:rPr>
                <w:rFonts w:ascii="Times New Roman" w:hAnsi="Times New Roman"/>
              </w:rPr>
              <w:t>Ph</w:t>
            </w:r>
            <w:proofErr w:type="spellEnd"/>
            <w:r w:rsidRPr="00F15804">
              <w:rPr>
                <w:rFonts w:ascii="Times New Roman" w:hAnsi="Times New Roman"/>
              </w:rPr>
              <w:t xml:space="preserve">+) w wieku 18 lat i powyżej, u których: </w:t>
            </w:r>
          </w:p>
          <w:p w14:paraId="0C47C314" w14:textId="77777777" w:rsidR="00E87C2A" w:rsidRPr="00F15804" w:rsidRDefault="00E87C2A" w:rsidP="00E87C2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 xml:space="preserve">nie uzyskano całkowitej remisji hematologicznej po leczeniu indukującym remisję lub remisji cytogenetycznej po leczeniu konsolidującym remisję lub stwierdzono utrzymywanie się dodatniej minimalnej choroby resztkowej w badaniu molekularnym po leczeniu konsolidującym remisję, pomimo stosowania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</w:p>
          <w:p w14:paraId="38138BFD" w14:textId="77777777" w:rsidR="00E87C2A" w:rsidRPr="00F15804" w:rsidRDefault="00E87C2A" w:rsidP="00E87C2A">
            <w:pPr>
              <w:spacing w:after="60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60EE4BD0" w14:textId="77777777" w:rsidR="00E87C2A" w:rsidRPr="00F15804" w:rsidRDefault="00E87C2A" w:rsidP="00E87C2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wystąpiła wznowa hematologiczna lub progresja molekularna pomimo stosowania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</w:p>
          <w:p w14:paraId="30DF61C6" w14:textId="77777777" w:rsidR="00E87C2A" w:rsidRPr="00F15804" w:rsidRDefault="00E87C2A" w:rsidP="00E87C2A">
            <w:pPr>
              <w:spacing w:after="60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04B6C266" w14:textId="77777777" w:rsidR="00E87C2A" w:rsidRPr="00F15804" w:rsidRDefault="00E87C2A" w:rsidP="00E87C2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na dowolnym etapie leczenia stwierdzono nietolerancję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  <w:r w:rsidRPr="00F15804">
              <w:rPr>
                <w:rFonts w:ascii="Times New Roman" w:hAnsi="Times New Roman"/>
              </w:rPr>
              <w:t xml:space="preserve"> uniemożliwiającą jego dalsze stosowanie</w:t>
            </w:r>
          </w:p>
          <w:p w14:paraId="724C71E2" w14:textId="77777777" w:rsidR="00E87C2A" w:rsidRPr="00F15804" w:rsidRDefault="00E87C2A" w:rsidP="00E87C2A">
            <w:pPr>
              <w:spacing w:after="60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79B9D918" w14:textId="77777777" w:rsidR="00E87C2A" w:rsidRPr="00F15804" w:rsidRDefault="00E87C2A" w:rsidP="00E87C2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na dowolnym etapie leczenia stwierdzono wystąpienie mutacji T315I genu BCR-ABL</w:t>
            </w:r>
          </w:p>
          <w:p w14:paraId="69CA606F" w14:textId="77777777" w:rsidR="00E87C2A" w:rsidRDefault="00E87C2A" w:rsidP="00E87C2A">
            <w:pPr>
              <w:suppressAutoHyphens/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Ponadto do programu lekowego kwalifikowani są również pacjenci, którzy byli leczeni </w:t>
            </w:r>
            <w:proofErr w:type="spellStart"/>
            <w:r w:rsidRPr="00F15804">
              <w:rPr>
                <w:rFonts w:ascii="Times New Roman" w:hAnsi="Times New Roman"/>
              </w:rPr>
              <w:t>ponatynibem</w:t>
            </w:r>
            <w:proofErr w:type="spellEnd"/>
            <w:r w:rsidRPr="00F15804">
              <w:rPr>
                <w:rFonts w:ascii="Times New Roman" w:hAnsi="Times New Roman"/>
              </w:rPr>
              <w:t xml:space="preserve"> w ramach innego sposobu finansowania terapii, pod warunkiem, że w chwili rozpoczęcia leczenia spełniali kryteria kwalifikacji do programu lekowego.</w:t>
            </w:r>
          </w:p>
          <w:p w14:paraId="13E25FC3" w14:textId="77777777" w:rsidR="00E87C2A" w:rsidRPr="00F15804" w:rsidRDefault="00E87C2A" w:rsidP="00E87C2A">
            <w:pPr>
              <w:suppressAutoHyphens/>
              <w:spacing w:after="60"/>
              <w:jc w:val="both"/>
              <w:rPr>
                <w:rFonts w:ascii="Times New Roman" w:hAnsi="Times New Roman"/>
              </w:rPr>
            </w:pPr>
          </w:p>
          <w:p w14:paraId="6E8082B8" w14:textId="77777777" w:rsidR="00E87C2A" w:rsidRPr="00F15804" w:rsidRDefault="00E87C2A" w:rsidP="00E87C2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 xml:space="preserve">Określenie czasu leczenia w programie </w:t>
            </w:r>
          </w:p>
          <w:p w14:paraId="5323C69A" w14:textId="77777777" w:rsidR="00E87C2A" w:rsidRPr="00F15804" w:rsidRDefault="00E87C2A" w:rsidP="00E87C2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u wszystkich chorych leczonych </w:t>
            </w:r>
            <w:proofErr w:type="spellStart"/>
            <w:r w:rsidRPr="00F15804">
              <w:rPr>
                <w:rFonts w:ascii="Times New Roman" w:hAnsi="Times New Roman"/>
              </w:rPr>
              <w:t>ponatynibem</w:t>
            </w:r>
            <w:proofErr w:type="spellEnd"/>
            <w:r w:rsidRPr="00F15804">
              <w:rPr>
                <w:rFonts w:ascii="Times New Roman" w:hAnsi="Times New Roman"/>
              </w:rPr>
              <w:t xml:space="preserve"> należy dążyć do</w:t>
            </w:r>
            <w:r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 xml:space="preserve">wykonania możliwie szybko transplantacji allogenicznych macierzystych komórek krwiotwórczych od dawcy rodzinnego lub niespokrewnionego; leczenie </w:t>
            </w:r>
            <w:proofErr w:type="spellStart"/>
            <w:r w:rsidRPr="00F15804">
              <w:rPr>
                <w:rFonts w:ascii="Times New Roman" w:hAnsi="Times New Roman"/>
              </w:rPr>
              <w:t>ponatynibem</w:t>
            </w:r>
            <w:proofErr w:type="spellEnd"/>
            <w:r w:rsidRPr="00F15804">
              <w:rPr>
                <w:rFonts w:ascii="Times New Roman" w:hAnsi="Times New Roman"/>
              </w:rPr>
              <w:t xml:space="preserve"> należy zakończyć przed transplantacją,</w:t>
            </w:r>
          </w:p>
          <w:p w14:paraId="1E86E23B" w14:textId="77777777" w:rsidR="00E87C2A" w:rsidRPr="00F15804" w:rsidRDefault="00E87C2A" w:rsidP="00E87C2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 przypadku braku dawcy lub przeciwwskazań do transplantacji allogenicznych macierzystych komórek krwiotwórczych leczenie należy kontynuować do czasu progresji choroby.</w:t>
            </w:r>
          </w:p>
          <w:p w14:paraId="37A1B492" w14:textId="77777777" w:rsidR="00E87C2A" w:rsidRPr="00F15804" w:rsidRDefault="00E87C2A" w:rsidP="00E87C2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 xml:space="preserve">Kryteria wyłączenia z programu </w:t>
            </w:r>
          </w:p>
          <w:p w14:paraId="51991549" w14:textId="77777777" w:rsidR="00E87C2A" w:rsidRPr="00F15804" w:rsidRDefault="00E87C2A" w:rsidP="00E87C2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u chorych włączonych z powodu oporności na </w:t>
            </w:r>
            <w:proofErr w:type="spellStart"/>
            <w:r w:rsidRPr="00F15804">
              <w:rPr>
                <w:rFonts w:ascii="Times New Roman" w:hAnsi="Times New Roman"/>
              </w:rPr>
              <w:t>dazatynib</w:t>
            </w:r>
            <w:proofErr w:type="spellEnd"/>
            <w:r w:rsidRPr="00F15804">
              <w:rPr>
                <w:rFonts w:ascii="Times New Roman" w:hAnsi="Times New Roman"/>
              </w:rPr>
              <w:t xml:space="preserve"> lub nawrotu hematologicznego – brak całkowitej remisji po 3</w:t>
            </w:r>
            <w:r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 xml:space="preserve">miesiącach leczenia </w:t>
            </w:r>
            <w:proofErr w:type="spellStart"/>
            <w:r w:rsidRPr="00F15804">
              <w:rPr>
                <w:rFonts w:ascii="Times New Roman" w:hAnsi="Times New Roman"/>
              </w:rPr>
              <w:t>ponatynibem</w:t>
            </w:r>
            <w:proofErr w:type="spellEnd"/>
            <w:r w:rsidRPr="00F15804">
              <w:rPr>
                <w:rFonts w:ascii="Times New Roman" w:hAnsi="Times New Roman"/>
              </w:rPr>
              <w:t>,</w:t>
            </w:r>
          </w:p>
          <w:p w14:paraId="78D27FF6" w14:textId="77777777" w:rsidR="00E87C2A" w:rsidRPr="00F15804" w:rsidRDefault="00E87C2A" w:rsidP="00E87C2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wystąpienie objawów nietolerancji </w:t>
            </w:r>
            <w:proofErr w:type="spellStart"/>
            <w:r w:rsidRPr="00F15804">
              <w:rPr>
                <w:rFonts w:ascii="Times New Roman" w:hAnsi="Times New Roman"/>
              </w:rPr>
              <w:t>ponatynibu</w:t>
            </w:r>
            <w:proofErr w:type="spellEnd"/>
            <w:r w:rsidRPr="00F15804">
              <w:rPr>
                <w:rFonts w:ascii="Times New Roman" w:hAnsi="Times New Roman"/>
              </w:rPr>
              <w:t xml:space="preserve"> zgodnie z</w:t>
            </w:r>
            <w:r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 xml:space="preserve">Charakterystyką Produktu Leczniczego, </w:t>
            </w:r>
          </w:p>
          <w:p w14:paraId="3E83F688" w14:textId="77777777" w:rsidR="00E87C2A" w:rsidRDefault="00E87C2A" w:rsidP="00E87C2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 xml:space="preserve">progresja choroby w trakcie leczenia </w:t>
            </w:r>
            <w:proofErr w:type="spellStart"/>
            <w:r w:rsidRPr="00F15804">
              <w:rPr>
                <w:rFonts w:ascii="Times New Roman" w:hAnsi="Times New Roman"/>
              </w:rPr>
              <w:t>ponatynibem</w:t>
            </w:r>
            <w:proofErr w:type="spellEnd"/>
            <w:r w:rsidRPr="00F15804">
              <w:rPr>
                <w:rFonts w:ascii="Times New Roman" w:hAnsi="Times New Roman"/>
              </w:rPr>
              <w:t xml:space="preserve">. </w:t>
            </w:r>
          </w:p>
          <w:p w14:paraId="2EB4BD84" w14:textId="77777777" w:rsidR="00E87C2A" w:rsidRPr="00F15804" w:rsidRDefault="00E87C2A" w:rsidP="00E87C2A">
            <w:pPr>
              <w:widowControl/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73" w:type="pct"/>
          </w:tcPr>
          <w:p w14:paraId="76C2E5B9" w14:textId="719E5161" w:rsidR="00E87C2A" w:rsidRPr="00F15804" w:rsidRDefault="00E87C2A" w:rsidP="00E87C2A">
            <w:pPr>
              <w:pStyle w:val="Akapitzlist"/>
              <w:numPr>
                <w:ilvl w:val="0"/>
                <w:numId w:val="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lastRenderedPageBreak/>
              <w:t>Dawkowanie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2DF3D13C" w14:textId="77777777" w:rsidR="00E87C2A" w:rsidRDefault="00E87C2A" w:rsidP="00E87C2A">
            <w:pPr>
              <w:widowControl/>
              <w:tabs>
                <w:tab w:val="left" w:pos="176"/>
              </w:tabs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E83905">
              <w:rPr>
                <w:rFonts w:ascii="Times New Roman" w:hAnsi="Times New Roman"/>
              </w:rPr>
              <w:t>Ponatynib</w:t>
            </w:r>
            <w:proofErr w:type="spellEnd"/>
            <w:r w:rsidRPr="00E83905">
              <w:rPr>
                <w:rFonts w:ascii="Times New Roman" w:hAnsi="Times New Roman"/>
              </w:rPr>
              <w:t xml:space="preserve"> należy stosować w dawce 45 mg na dobę doustnie. Do indywidualnej decyzji pozostawia się możliwość redukcji dawkowania leku w oparciu o Charakterystykę Produktu Leczniczego</w:t>
            </w:r>
            <w:r w:rsidRPr="00E83905">
              <w:rPr>
                <w:rFonts w:ascii="Times New Roman" w:hAnsi="Times New Roman"/>
                <w:b/>
              </w:rPr>
              <w:t>.</w:t>
            </w:r>
          </w:p>
          <w:p w14:paraId="7DAEBB57" w14:textId="77777777" w:rsidR="00E87C2A" w:rsidRPr="00E83905" w:rsidRDefault="00E87C2A" w:rsidP="00E87C2A">
            <w:pPr>
              <w:widowControl/>
              <w:tabs>
                <w:tab w:val="left" w:pos="176"/>
              </w:tabs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  <w:b/>
              </w:rPr>
            </w:pPr>
          </w:p>
          <w:p w14:paraId="66D74BD7" w14:textId="77777777" w:rsidR="00E87C2A" w:rsidRPr="00F15804" w:rsidRDefault="00E87C2A" w:rsidP="00E87C2A">
            <w:pPr>
              <w:spacing w:after="6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02" w:type="pct"/>
          </w:tcPr>
          <w:p w14:paraId="3B4D7B5B" w14:textId="77777777" w:rsidR="00E87C2A" w:rsidRPr="00F15804" w:rsidRDefault="00E87C2A" w:rsidP="00E87C2A">
            <w:pPr>
              <w:pStyle w:val="Akapitzlist"/>
              <w:numPr>
                <w:ilvl w:val="0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 xml:space="preserve">Leczenie </w:t>
            </w:r>
            <w:proofErr w:type="spellStart"/>
            <w:r w:rsidRPr="00F15804">
              <w:rPr>
                <w:rFonts w:ascii="Times New Roman" w:hAnsi="Times New Roman"/>
                <w:b/>
              </w:rPr>
              <w:t>ponatynibem</w:t>
            </w:r>
            <w:proofErr w:type="spellEnd"/>
            <w:r w:rsidRPr="00F15804">
              <w:rPr>
                <w:rFonts w:ascii="Times New Roman" w:hAnsi="Times New Roman"/>
                <w:b/>
              </w:rPr>
              <w:t xml:space="preserve"> chorych na ostrą białaczkę </w:t>
            </w:r>
            <w:proofErr w:type="spellStart"/>
            <w:r w:rsidRPr="00F15804">
              <w:rPr>
                <w:rFonts w:ascii="Times New Roman" w:hAnsi="Times New Roman"/>
                <w:b/>
              </w:rPr>
              <w:t>limfoblastyczną</w:t>
            </w:r>
            <w:proofErr w:type="spellEnd"/>
            <w:r w:rsidRPr="00F15804">
              <w:rPr>
                <w:rFonts w:ascii="Times New Roman" w:hAnsi="Times New Roman"/>
                <w:b/>
              </w:rPr>
              <w:t xml:space="preserve"> z chromosomem Philadelphia (</w:t>
            </w:r>
            <w:proofErr w:type="spellStart"/>
            <w:r w:rsidRPr="00F15804">
              <w:rPr>
                <w:rFonts w:ascii="Times New Roman" w:hAnsi="Times New Roman"/>
                <w:b/>
              </w:rPr>
              <w:t>Ph</w:t>
            </w:r>
            <w:proofErr w:type="spellEnd"/>
            <w:r w:rsidRPr="00F15804">
              <w:rPr>
                <w:rFonts w:ascii="Times New Roman" w:hAnsi="Times New Roman"/>
                <w:b/>
              </w:rPr>
              <w:t xml:space="preserve">+) </w:t>
            </w:r>
          </w:p>
          <w:p w14:paraId="268215B9" w14:textId="77777777" w:rsidR="00E87C2A" w:rsidRPr="00F15804" w:rsidRDefault="00E87C2A" w:rsidP="00E87C2A">
            <w:pPr>
              <w:pStyle w:val="Akapitzlist"/>
              <w:numPr>
                <w:ilvl w:val="1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Badania przy kwalifikacji</w:t>
            </w:r>
          </w:p>
          <w:p w14:paraId="67880E81" w14:textId="77777777" w:rsidR="00E87C2A" w:rsidRPr="00F15804" w:rsidRDefault="00E87C2A" w:rsidP="00E87C2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morfologia krwi z rozmazem,</w:t>
            </w:r>
          </w:p>
          <w:p w14:paraId="69A162D2" w14:textId="77777777" w:rsidR="00E87C2A" w:rsidRPr="00F15804" w:rsidRDefault="00E87C2A" w:rsidP="00E87C2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F15804">
              <w:rPr>
                <w:rFonts w:ascii="Times New Roman" w:hAnsi="Times New Roman"/>
              </w:rPr>
              <w:t>AspAT</w:t>
            </w:r>
            <w:proofErr w:type="spellEnd"/>
            <w:r w:rsidRPr="00F15804">
              <w:rPr>
                <w:rFonts w:ascii="Times New Roman" w:hAnsi="Times New Roman"/>
              </w:rPr>
              <w:t xml:space="preserve">, </w:t>
            </w:r>
            <w:proofErr w:type="spellStart"/>
            <w:r w:rsidRPr="00F15804">
              <w:rPr>
                <w:rFonts w:ascii="Times New Roman" w:hAnsi="Times New Roman"/>
              </w:rPr>
              <w:t>AlAT</w:t>
            </w:r>
            <w:proofErr w:type="spellEnd"/>
            <w:r w:rsidRPr="00F15804">
              <w:rPr>
                <w:rFonts w:ascii="Times New Roman" w:hAnsi="Times New Roman"/>
              </w:rPr>
              <w:t xml:space="preserve">, </w:t>
            </w:r>
          </w:p>
          <w:p w14:paraId="6F590B12" w14:textId="77777777" w:rsidR="00E87C2A" w:rsidRPr="00F15804" w:rsidRDefault="00E87C2A" w:rsidP="00E87C2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bilirubina,</w:t>
            </w:r>
          </w:p>
          <w:p w14:paraId="460AAA40" w14:textId="77777777" w:rsidR="00E87C2A" w:rsidRPr="00F15804" w:rsidRDefault="00E87C2A" w:rsidP="00E87C2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>lipaza,</w:t>
            </w:r>
          </w:p>
          <w:p w14:paraId="223224B4" w14:textId="77777777" w:rsidR="00E87C2A" w:rsidRPr="00F15804" w:rsidRDefault="00E87C2A" w:rsidP="00E87C2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F15804">
              <w:rPr>
                <w:rFonts w:ascii="Times New Roman" w:hAnsi="Times New Roman"/>
              </w:rPr>
              <w:t>lipidogram</w:t>
            </w:r>
            <w:proofErr w:type="spellEnd"/>
            <w:r w:rsidRPr="00F15804">
              <w:rPr>
                <w:rFonts w:ascii="Times New Roman" w:hAnsi="Times New Roman"/>
              </w:rPr>
              <w:t xml:space="preserve"> (cholesterol całkowity, trójglicerydy, HDL, LDL)</w:t>
            </w:r>
          </w:p>
          <w:p w14:paraId="78B6E3DB" w14:textId="77777777" w:rsidR="00E87C2A" w:rsidRPr="00F15804" w:rsidRDefault="00E87C2A" w:rsidP="00E87C2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badanie cytologiczne szpiku,</w:t>
            </w:r>
          </w:p>
          <w:p w14:paraId="1B5039ED" w14:textId="77777777" w:rsidR="00E87C2A" w:rsidRDefault="00E87C2A" w:rsidP="00E87C2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badanie molekularne PCR metodą jakościową </w:t>
            </w:r>
            <w:r w:rsidRPr="00F15804">
              <w:rPr>
                <w:rFonts w:ascii="Times New Roman" w:hAnsi="Times New Roman"/>
              </w:rPr>
              <w:br/>
              <w:t>lub ilościową na obecność BCR-ABL we krwi lub szpiku lub badanie cytogenetyczne;</w:t>
            </w:r>
          </w:p>
          <w:p w14:paraId="6FCB0C31" w14:textId="77777777" w:rsidR="00E87C2A" w:rsidRPr="00F15804" w:rsidRDefault="00E87C2A" w:rsidP="00E87C2A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5B9F9E7F" w14:textId="77777777" w:rsidR="00E87C2A" w:rsidRPr="00F15804" w:rsidRDefault="00E87C2A" w:rsidP="00E87C2A">
            <w:pPr>
              <w:pStyle w:val="Akapitzlist"/>
              <w:numPr>
                <w:ilvl w:val="1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Monitorowanie leczenia</w:t>
            </w:r>
          </w:p>
          <w:p w14:paraId="15906128" w14:textId="77777777" w:rsidR="00E87C2A" w:rsidRPr="00E83905" w:rsidRDefault="00E87C2A" w:rsidP="00E87C2A">
            <w:pPr>
              <w:spacing w:after="60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>Co 2 tygodnie przez pierwszy miesiąc leczenia, następnie co</w:t>
            </w:r>
            <w:r>
              <w:rPr>
                <w:rFonts w:ascii="Times New Roman" w:hAnsi="Times New Roman"/>
              </w:rPr>
              <w:t> </w:t>
            </w:r>
            <w:r w:rsidRPr="00E83905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 w:rsidRPr="00E83905">
              <w:rPr>
                <w:rFonts w:ascii="Times New Roman" w:hAnsi="Times New Roman"/>
              </w:rPr>
              <w:t>tygodnie:</w:t>
            </w:r>
          </w:p>
          <w:p w14:paraId="5EEBE809" w14:textId="77777777" w:rsidR="00E87C2A" w:rsidRPr="00F15804" w:rsidRDefault="00E87C2A" w:rsidP="00E87C2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morfologia krwi,</w:t>
            </w:r>
          </w:p>
          <w:p w14:paraId="1B319D6E" w14:textId="77777777" w:rsidR="00E87C2A" w:rsidRPr="00F15804" w:rsidRDefault="00E87C2A" w:rsidP="00E87C2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F15804">
              <w:rPr>
                <w:rFonts w:ascii="Times New Roman" w:hAnsi="Times New Roman"/>
              </w:rPr>
              <w:t>AspAT</w:t>
            </w:r>
            <w:proofErr w:type="spellEnd"/>
            <w:r w:rsidRPr="00F15804">
              <w:rPr>
                <w:rFonts w:ascii="Times New Roman" w:hAnsi="Times New Roman"/>
              </w:rPr>
              <w:t xml:space="preserve">, </w:t>
            </w:r>
            <w:proofErr w:type="spellStart"/>
            <w:r w:rsidRPr="00F15804">
              <w:rPr>
                <w:rFonts w:ascii="Times New Roman" w:hAnsi="Times New Roman"/>
              </w:rPr>
              <w:t>AlAT</w:t>
            </w:r>
            <w:proofErr w:type="spellEnd"/>
            <w:r w:rsidRPr="00F15804">
              <w:rPr>
                <w:rFonts w:ascii="Times New Roman" w:hAnsi="Times New Roman"/>
              </w:rPr>
              <w:t xml:space="preserve">, </w:t>
            </w:r>
          </w:p>
          <w:p w14:paraId="5971379C" w14:textId="77777777" w:rsidR="00E87C2A" w:rsidRPr="00F15804" w:rsidRDefault="00E87C2A" w:rsidP="00E87C2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bilirubina,</w:t>
            </w:r>
          </w:p>
          <w:p w14:paraId="676F53C8" w14:textId="77777777" w:rsidR="00E87C2A" w:rsidRPr="00F15804" w:rsidRDefault="00E87C2A" w:rsidP="00E87C2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lipaza,</w:t>
            </w:r>
          </w:p>
          <w:p w14:paraId="34EE0004" w14:textId="77777777" w:rsidR="00E87C2A" w:rsidRPr="00F15804" w:rsidRDefault="00E87C2A" w:rsidP="00E87C2A">
            <w:pPr>
              <w:widowControl/>
              <w:numPr>
                <w:ilvl w:val="2"/>
                <w:numId w:val="4"/>
              </w:numPr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trójglicerydy, cholesterol całkowity, cholesterol-HDL i –LDL - tylko u chorych z wyjściowo nieprawidłowym wynikiem</w:t>
            </w:r>
          </w:p>
          <w:p w14:paraId="2983638F" w14:textId="77777777" w:rsidR="00E87C2A" w:rsidRPr="00F15804" w:rsidRDefault="00E87C2A" w:rsidP="00E87C2A">
            <w:pPr>
              <w:spacing w:after="60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>Co 4 tygodnie przez pierwsze dwa miesiące leczenia,</w:t>
            </w:r>
            <w:r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następnie co 8-12 tygodni:</w:t>
            </w:r>
          </w:p>
          <w:p w14:paraId="308F3114" w14:textId="77777777" w:rsidR="00E87C2A" w:rsidRPr="00F15804" w:rsidRDefault="00E87C2A" w:rsidP="00E87C2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badanie cytologiczne szpiku,</w:t>
            </w:r>
          </w:p>
          <w:p w14:paraId="005A94BA" w14:textId="77777777" w:rsidR="00E87C2A" w:rsidRDefault="00E87C2A" w:rsidP="00E87C2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badanie molekularne PCR metodą ilościową na obecność BCR-ABL we krwi lub szpiku lub badanie cytogenetyczne.</w:t>
            </w:r>
          </w:p>
          <w:p w14:paraId="2E08497C" w14:textId="77777777" w:rsidR="00E87C2A" w:rsidRDefault="00E87C2A" w:rsidP="00E87C2A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0EF7F072" w14:textId="77777777" w:rsidR="00E87C2A" w:rsidRPr="00E83905" w:rsidRDefault="00E87C2A" w:rsidP="00E87C2A">
            <w:pPr>
              <w:pStyle w:val="Akapitzlist"/>
              <w:numPr>
                <w:ilvl w:val="0"/>
                <w:numId w:val="5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vanish/>
              </w:rPr>
            </w:pPr>
          </w:p>
          <w:p w14:paraId="6C855D9B" w14:textId="77777777" w:rsidR="00E87C2A" w:rsidRPr="00F15804" w:rsidRDefault="00E87C2A" w:rsidP="00E87C2A">
            <w:pPr>
              <w:pStyle w:val="Akapitzlist"/>
              <w:widowControl/>
              <w:tabs>
                <w:tab w:val="left" w:pos="0"/>
              </w:tabs>
              <w:autoSpaceDE/>
              <w:autoSpaceDN/>
              <w:adjustRightInd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E87C2A" w:rsidRPr="00F15804" w14:paraId="2CB95C13" w14:textId="77777777" w:rsidTr="00305077">
        <w:trPr>
          <w:trHeight w:val="20"/>
        </w:trPr>
        <w:tc>
          <w:tcPr>
            <w:tcW w:w="2025" w:type="pct"/>
          </w:tcPr>
          <w:p w14:paraId="7CD3C26E" w14:textId="77777777" w:rsidR="00E87C2A" w:rsidRPr="00F15804" w:rsidRDefault="00E87C2A" w:rsidP="00E87C2A">
            <w:pPr>
              <w:pStyle w:val="Akapitzlist"/>
              <w:widowControl/>
              <w:numPr>
                <w:ilvl w:val="0"/>
                <w:numId w:val="1"/>
              </w:numPr>
              <w:tabs>
                <w:tab w:val="left" w:pos="0"/>
              </w:tabs>
              <w:autoSpaceDE/>
              <w:autoSpaceDN/>
              <w:adjustRightInd/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lastRenderedPageBreak/>
              <w:t xml:space="preserve">Leczenie </w:t>
            </w:r>
            <w:proofErr w:type="spellStart"/>
            <w:r w:rsidRPr="00F15804">
              <w:rPr>
                <w:rFonts w:ascii="Times New Roman" w:hAnsi="Times New Roman"/>
                <w:b/>
              </w:rPr>
              <w:t>blinatumomabem</w:t>
            </w:r>
            <w:proofErr w:type="spellEnd"/>
            <w:r w:rsidRPr="00F15804">
              <w:rPr>
                <w:rFonts w:ascii="Times New Roman" w:hAnsi="Times New Roman"/>
                <w:b/>
              </w:rPr>
              <w:t xml:space="preserve"> ostrej białaczki </w:t>
            </w:r>
            <w:proofErr w:type="spellStart"/>
            <w:r w:rsidRPr="00F15804">
              <w:rPr>
                <w:rFonts w:ascii="Times New Roman" w:hAnsi="Times New Roman"/>
                <w:b/>
              </w:rPr>
              <w:t>limfoblastycznej</w:t>
            </w:r>
            <w:proofErr w:type="spellEnd"/>
            <w:r w:rsidRPr="00F15804">
              <w:rPr>
                <w:rFonts w:ascii="Times New Roman" w:hAnsi="Times New Roman"/>
                <w:b/>
              </w:rPr>
              <w:t xml:space="preserve"> z</w:t>
            </w:r>
            <w:r>
              <w:rPr>
                <w:rFonts w:ascii="Times New Roman" w:hAnsi="Times New Roman"/>
                <w:b/>
              </w:rPr>
              <w:t> </w:t>
            </w:r>
            <w:r w:rsidRPr="00F15804">
              <w:rPr>
                <w:rFonts w:ascii="Times New Roman" w:hAnsi="Times New Roman"/>
                <w:b/>
              </w:rPr>
              <w:t xml:space="preserve">komórek </w:t>
            </w:r>
            <w:proofErr w:type="spellStart"/>
            <w:r w:rsidRPr="00F15804">
              <w:rPr>
                <w:rFonts w:ascii="Times New Roman" w:hAnsi="Times New Roman"/>
                <w:b/>
              </w:rPr>
              <w:t>prekursorowych</w:t>
            </w:r>
            <w:proofErr w:type="spellEnd"/>
            <w:r w:rsidRPr="00F15804">
              <w:rPr>
                <w:rFonts w:ascii="Times New Roman" w:hAnsi="Times New Roman"/>
                <w:b/>
              </w:rPr>
              <w:t xml:space="preserve"> limfocytów B bez chromosomu Filadelfia u dorosłych</w:t>
            </w:r>
          </w:p>
          <w:p w14:paraId="62D6E514" w14:textId="77777777" w:rsidR="00E87C2A" w:rsidRPr="00F15804" w:rsidRDefault="00E87C2A" w:rsidP="00E87C2A">
            <w:pPr>
              <w:pStyle w:val="Akapitzlist"/>
              <w:widowControl/>
              <w:numPr>
                <w:ilvl w:val="1"/>
                <w:numId w:val="1"/>
              </w:numPr>
              <w:tabs>
                <w:tab w:val="left" w:pos="0"/>
              </w:tabs>
              <w:autoSpaceDE/>
              <w:autoSpaceDN/>
              <w:adjustRightInd/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Kryteria kwalifikacji do leczenia</w:t>
            </w:r>
          </w:p>
          <w:p w14:paraId="691F187D" w14:textId="77777777" w:rsidR="00E87C2A" w:rsidRPr="00F15804" w:rsidRDefault="00E87C2A" w:rsidP="00E87C2A">
            <w:pPr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Do leczenia kwalifikowani są dorośli (≥ 18 lat) chorzy na ostrą białaczkę </w:t>
            </w:r>
            <w:proofErr w:type="spellStart"/>
            <w:r w:rsidRPr="00F15804">
              <w:rPr>
                <w:rFonts w:ascii="Times New Roman" w:hAnsi="Times New Roman"/>
              </w:rPr>
              <w:t>limfoblastyczną</w:t>
            </w:r>
            <w:proofErr w:type="spellEnd"/>
            <w:r w:rsidRPr="00F15804">
              <w:rPr>
                <w:rFonts w:ascii="Times New Roman" w:hAnsi="Times New Roman"/>
              </w:rPr>
              <w:t xml:space="preserve"> z komórek </w:t>
            </w:r>
            <w:proofErr w:type="spellStart"/>
            <w:r w:rsidRPr="00F15804">
              <w:rPr>
                <w:rFonts w:ascii="Times New Roman" w:hAnsi="Times New Roman"/>
              </w:rPr>
              <w:t>prekursorowych</w:t>
            </w:r>
            <w:proofErr w:type="spellEnd"/>
            <w:r w:rsidRPr="00F15804">
              <w:rPr>
                <w:rFonts w:ascii="Times New Roman" w:hAnsi="Times New Roman"/>
              </w:rPr>
              <w:t xml:space="preserve"> limfocytów B bez obecności genu</w:t>
            </w:r>
            <w:r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  <w:i/>
              </w:rPr>
              <w:t>BCR-ABL</w:t>
            </w:r>
            <w:r w:rsidRPr="00F15804">
              <w:rPr>
                <w:rFonts w:ascii="Times New Roman" w:hAnsi="Times New Roman"/>
              </w:rPr>
              <w:t xml:space="preserve"> i/lub chromosomu Philadelphia, u</w:t>
            </w:r>
            <w:r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>których spełniony jest przynajmniej jeden z warunków:</w:t>
            </w:r>
          </w:p>
          <w:p w14:paraId="68FB66A6" w14:textId="77777777" w:rsidR="00E87C2A" w:rsidRPr="00F15804" w:rsidRDefault="00E87C2A" w:rsidP="00E87C2A">
            <w:pPr>
              <w:widowControl/>
              <w:numPr>
                <w:ilvl w:val="2"/>
                <w:numId w:val="1"/>
              </w:numPr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Świadczeniobiorcy, u których nie uzyskano remisji hematologicznej po leczeniu indukującym remisję </w:t>
            </w:r>
          </w:p>
          <w:p w14:paraId="0F9DD615" w14:textId="77777777" w:rsidR="00E87C2A" w:rsidRPr="00F15804" w:rsidRDefault="00E87C2A" w:rsidP="00E87C2A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Brak remisji hematologicznej jest definiowany jako spełnienie co</w:t>
            </w:r>
            <w:r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 xml:space="preserve">najmniej jednego z poniższych warunków: </w:t>
            </w:r>
          </w:p>
          <w:p w14:paraId="352AAD0F" w14:textId="77777777" w:rsidR="00E87C2A" w:rsidRPr="00F15804" w:rsidRDefault="00E87C2A" w:rsidP="00E87C2A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odsetek komórek blastycznych w szpiku ≥5%, </w:t>
            </w:r>
          </w:p>
          <w:p w14:paraId="413DF297" w14:textId="77777777" w:rsidR="00E87C2A" w:rsidRPr="00F15804" w:rsidRDefault="00E87C2A" w:rsidP="00E87C2A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obecność komórek blastycznych we krwi, wykrywanych metodą cytologiczną,</w:t>
            </w:r>
          </w:p>
          <w:p w14:paraId="0090520B" w14:textId="77777777" w:rsidR="00E87C2A" w:rsidRPr="00F15804" w:rsidRDefault="00E87C2A" w:rsidP="00E87C2A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obecność </w:t>
            </w:r>
            <w:proofErr w:type="spellStart"/>
            <w:r w:rsidRPr="00F15804">
              <w:rPr>
                <w:rFonts w:ascii="Times New Roman" w:hAnsi="Times New Roman"/>
              </w:rPr>
              <w:t>pozaszpikowych</w:t>
            </w:r>
            <w:proofErr w:type="spellEnd"/>
            <w:r w:rsidRPr="00F15804">
              <w:rPr>
                <w:rFonts w:ascii="Times New Roman" w:hAnsi="Times New Roman"/>
              </w:rPr>
              <w:t xml:space="preserve"> ognisk choroby.</w:t>
            </w:r>
          </w:p>
          <w:p w14:paraId="3BA8128A" w14:textId="77777777" w:rsidR="00E87C2A" w:rsidRPr="00F15804" w:rsidRDefault="00E87C2A" w:rsidP="00E87C2A">
            <w:pPr>
              <w:widowControl/>
              <w:numPr>
                <w:ilvl w:val="2"/>
                <w:numId w:val="1"/>
              </w:numPr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Świadczeniobiorcy ze wznową hematologiczną choroby </w:t>
            </w:r>
          </w:p>
          <w:p w14:paraId="39DC07DC" w14:textId="77777777" w:rsidR="00E87C2A" w:rsidRPr="00F15804" w:rsidRDefault="00E87C2A" w:rsidP="00E87C2A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Wznowa hematologiczna definiowana jest jako wystąpienie co</w:t>
            </w:r>
            <w:r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 xml:space="preserve">najmniej jednego z poniższych warunków: </w:t>
            </w:r>
          </w:p>
          <w:p w14:paraId="49264C0D" w14:textId="77777777" w:rsidR="00E87C2A" w:rsidRPr="00F15804" w:rsidRDefault="00E87C2A" w:rsidP="00E87C2A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odsetek komórek blastycznych w szpiku ≥5%, </w:t>
            </w:r>
          </w:p>
          <w:p w14:paraId="5D40735A" w14:textId="77777777" w:rsidR="00E87C2A" w:rsidRPr="00F15804" w:rsidRDefault="00E87C2A" w:rsidP="00E87C2A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obecność komórek blastycznych we krwi, wykrywanych metodą cytologiczną,</w:t>
            </w:r>
          </w:p>
          <w:p w14:paraId="0C961B5D" w14:textId="77777777" w:rsidR="00E87C2A" w:rsidRPr="00F15804" w:rsidRDefault="00E87C2A" w:rsidP="00E87C2A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obecność </w:t>
            </w:r>
            <w:proofErr w:type="spellStart"/>
            <w:r w:rsidRPr="00F15804">
              <w:rPr>
                <w:rFonts w:ascii="Times New Roman" w:hAnsi="Times New Roman"/>
              </w:rPr>
              <w:t>pozaszpikowych</w:t>
            </w:r>
            <w:proofErr w:type="spellEnd"/>
            <w:r w:rsidRPr="00F15804">
              <w:rPr>
                <w:rFonts w:ascii="Times New Roman" w:hAnsi="Times New Roman"/>
              </w:rPr>
              <w:t xml:space="preserve"> ognisk choroby,</w:t>
            </w:r>
          </w:p>
          <w:p w14:paraId="75A48630" w14:textId="77777777" w:rsidR="00E87C2A" w:rsidRPr="00F15804" w:rsidRDefault="00E87C2A" w:rsidP="00E87C2A">
            <w:pPr>
              <w:spacing w:after="60"/>
              <w:ind w:left="34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po okresie remisji tj. stanu, w którym żaden z powyższych warunków nie był spełniony,</w:t>
            </w:r>
          </w:p>
          <w:p w14:paraId="43BCE39C" w14:textId="77777777" w:rsidR="00E87C2A" w:rsidRPr="00F15804" w:rsidRDefault="00E87C2A" w:rsidP="00E87C2A">
            <w:pPr>
              <w:pStyle w:val="Akapitzlist"/>
              <w:widowControl/>
              <w:numPr>
                <w:ilvl w:val="2"/>
                <w:numId w:val="1"/>
              </w:numPr>
              <w:autoSpaceDE/>
              <w:autoSpaceDN/>
              <w:adjustRightInd/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Świadczeniobiorcy zakwalifikowani wcześniej do leczenia w</w:t>
            </w:r>
            <w:r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>ramach niniejszego programu lekowego i wyłączeni czasowo z leczenia ze względu na wystąpienie objawów nietolerancji, zgodnie z zapisami Charakterystyki Produktu Leczniczego, (przerwa w leczeniu trwająca więcej niż 7, ale nie dłuższa niż 14 dni). W przypadku tych pacjentów badania do kwalifikacji powinny zostać wykonane zgodnie z decyzją lekarza prowadzącego.</w:t>
            </w:r>
          </w:p>
          <w:p w14:paraId="4074C165" w14:textId="77777777" w:rsidR="00E87C2A" w:rsidRDefault="00E87C2A" w:rsidP="00E87C2A">
            <w:pPr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 xml:space="preserve">Do programu są kwalifikowani wyłącznie chorzy bez cech zajęcia ośrodkowego układu nerwowego (OUN) i u których nie ma przeciwwskazań do wykonania allogenicznej transplantacji komórek krwiotwórczych w przypadku identyfikacji dawcy i uzyskania całkowitej remisji hematologicznej po leczeniu </w:t>
            </w:r>
            <w:proofErr w:type="spellStart"/>
            <w:r w:rsidRPr="00F15804">
              <w:rPr>
                <w:rFonts w:ascii="Times New Roman" w:hAnsi="Times New Roman"/>
              </w:rPr>
              <w:t>blinatumomabem</w:t>
            </w:r>
            <w:proofErr w:type="spellEnd"/>
            <w:r w:rsidRPr="00F15804">
              <w:rPr>
                <w:rFonts w:ascii="Times New Roman" w:hAnsi="Times New Roman"/>
              </w:rPr>
              <w:t>.</w:t>
            </w:r>
          </w:p>
          <w:p w14:paraId="5A2C24D8" w14:textId="77777777" w:rsidR="00E87C2A" w:rsidRPr="00F15804" w:rsidRDefault="00E87C2A" w:rsidP="00E87C2A">
            <w:pPr>
              <w:spacing w:after="60"/>
              <w:jc w:val="both"/>
              <w:rPr>
                <w:rFonts w:ascii="Times New Roman" w:hAnsi="Times New Roman"/>
              </w:rPr>
            </w:pPr>
          </w:p>
          <w:p w14:paraId="6A8E548C" w14:textId="77777777" w:rsidR="00E87C2A" w:rsidRPr="00F15804" w:rsidRDefault="00E87C2A" w:rsidP="00E87C2A">
            <w:pPr>
              <w:pStyle w:val="Akapitzlist"/>
              <w:widowControl/>
              <w:numPr>
                <w:ilvl w:val="1"/>
                <w:numId w:val="1"/>
              </w:numPr>
              <w:autoSpaceDE/>
              <w:autoSpaceDN/>
              <w:adjustRightInd/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 xml:space="preserve">Określenie czasu leczenia w programie </w:t>
            </w:r>
          </w:p>
          <w:p w14:paraId="714E7624" w14:textId="77777777" w:rsidR="00E87C2A" w:rsidRPr="00F15804" w:rsidRDefault="00E87C2A" w:rsidP="00E87C2A">
            <w:pPr>
              <w:pStyle w:val="Akapitzlist"/>
              <w:widowControl/>
              <w:numPr>
                <w:ilvl w:val="2"/>
                <w:numId w:val="1"/>
              </w:numPr>
              <w:autoSpaceDE/>
              <w:autoSpaceDN/>
              <w:adjustRightInd/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 chorych można zastosować maksymalnie dwa cykle leczenia</w:t>
            </w:r>
          </w:p>
          <w:p w14:paraId="6A1749DF" w14:textId="77777777" w:rsidR="00E87C2A" w:rsidRPr="00F15804" w:rsidRDefault="00E87C2A" w:rsidP="00E87C2A">
            <w:pPr>
              <w:pStyle w:val="Akapitzlist"/>
              <w:widowControl/>
              <w:numPr>
                <w:ilvl w:val="2"/>
                <w:numId w:val="1"/>
              </w:numPr>
              <w:autoSpaceDE/>
              <w:autoSpaceDN/>
              <w:adjustRightInd/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W momencie kwalifikacji do leczenia </w:t>
            </w:r>
            <w:proofErr w:type="spellStart"/>
            <w:r w:rsidRPr="00F15804">
              <w:rPr>
                <w:rFonts w:ascii="Times New Roman" w:hAnsi="Times New Roman"/>
              </w:rPr>
              <w:t>blinatumomabem</w:t>
            </w:r>
            <w:proofErr w:type="spellEnd"/>
            <w:r w:rsidRPr="00F15804">
              <w:rPr>
                <w:rFonts w:ascii="Times New Roman" w:hAnsi="Times New Roman"/>
              </w:rPr>
              <w:t xml:space="preserve">, o ile nie było to wykonane wcześniej, należy zlecić badania zmierzające do identyfikacji potencjalnego dawcy komórek krwiotwórczych (zgodnego w zakresie HLA rodzeństwa, dawcy niespokrewnionego lub dawcy </w:t>
            </w:r>
            <w:proofErr w:type="spellStart"/>
            <w:r w:rsidRPr="00F15804">
              <w:rPr>
                <w:rFonts w:ascii="Times New Roman" w:hAnsi="Times New Roman"/>
              </w:rPr>
              <w:t>haploidentycznego</w:t>
            </w:r>
            <w:proofErr w:type="spellEnd"/>
            <w:r w:rsidRPr="00F15804">
              <w:rPr>
                <w:rFonts w:ascii="Times New Roman" w:hAnsi="Times New Roman"/>
              </w:rPr>
              <w:t xml:space="preserve">). Celem jest wykonanie allogenicznej transplantacji komórek krwiotwórczych po jednym lub dwóch cyklach leczenia </w:t>
            </w:r>
            <w:proofErr w:type="spellStart"/>
            <w:r w:rsidRPr="00F15804">
              <w:rPr>
                <w:rFonts w:ascii="Times New Roman" w:hAnsi="Times New Roman"/>
              </w:rPr>
              <w:t>blinatumomabem</w:t>
            </w:r>
            <w:proofErr w:type="spellEnd"/>
            <w:r w:rsidRPr="00F15804">
              <w:rPr>
                <w:rFonts w:ascii="Times New Roman" w:hAnsi="Times New Roman"/>
              </w:rPr>
              <w:t xml:space="preserve"> u</w:t>
            </w:r>
            <w:r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>chorych, którzy uzyskają całkowitą remisję hematologiczną.</w:t>
            </w:r>
          </w:p>
          <w:p w14:paraId="1A79E786" w14:textId="77777777" w:rsidR="00E87C2A" w:rsidRPr="00F15804" w:rsidRDefault="00E87C2A" w:rsidP="00E87C2A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Całkowita remisja hematologiczna jest definiowana jako spełnienie wszystkich poniższych warunków:</w:t>
            </w:r>
          </w:p>
          <w:p w14:paraId="51B3CEA7" w14:textId="77777777" w:rsidR="00E87C2A" w:rsidRPr="00F15804" w:rsidRDefault="00E87C2A" w:rsidP="00E87C2A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odsetek komórek blastycznych w szpiku &lt;5%, </w:t>
            </w:r>
          </w:p>
          <w:p w14:paraId="7A0BC7BD" w14:textId="77777777" w:rsidR="00E87C2A" w:rsidRPr="00F15804" w:rsidRDefault="00E87C2A" w:rsidP="00E87C2A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brak komórek blastycznych we krwi, wykrywanych metodą cytologiczną,</w:t>
            </w:r>
          </w:p>
          <w:p w14:paraId="30FA8D28" w14:textId="77777777" w:rsidR="00E87C2A" w:rsidRPr="00F15804" w:rsidRDefault="00E87C2A" w:rsidP="00E87C2A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brak </w:t>
            </w:r>
            <w:proofErr w:type="spellStart"/>
            <w:r w:rsidRPr="00F15804">
              <w:rPr>
                <w:rFonts w:ascii="Times New Roman" w:hAnsi="Times New Roman"/>
              </w:rPr>
              <w:t>pozaszpikowych</w:t>
            </w:r>
            <w:proofErr w:type="spellEnd"/>
            <w:r w:rsidRPr="00F15804">
              <w:rPr>
                <w:rFonts w:ascii="Times New Roman" w:hAnsi="Times New Roman"/>
              </w:rPr>
              <w:t xml:space="preserve"> ognisk choroby.</w:t>
            </w:r>
          </w:p>
          <w:p w14:paraId="1705F5CD" w14:textId="77777777" w:rsidR="00E87C2A" w:rsidRPr="00E83905" w:rsidRDefault="00E87C2A" w:rsidP="00E87C2A">
            <w:pPr>
              <w:spacing w:after="60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>(UWAGA: przy definiowaniu całkowitej remisji w programie nie bierze się pod uwagę normalizacji parametrów morfologii krwi, nie wpływa to bowiem na kwalifikację chorego do allogenicznej transplantacji komórek krwiotwórczych)</w:t>
            </w:r>
          </w:p>
          <w:p w14:paraId="5AB36AC6" w14:textId="77777777" w:rsidR="00E87C2A" w:rsidRDefault="00E87C2A" w:rsidP="00E87C2A">
            <w:pPr>
              <w:spacing w:after="60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>Czasowe przerwanie leczenia następuje w przypadkach</w:t>
            </w:r>
            <w:r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określonych w</w:t>
            </w:r>
            <w:r>
              <w:rPr>
                <w:rFonts w:ascii="Times New Roman" w:hAnsi="Times New Roman"/>
              </w:rPr>
              <w:t> </w:t>
            </w:r>
            <w:r w:rsidRPr="00E83905">
              <w:rPr>
                <w:rFonts w:ascii="Times New Roman" w:hAnsi="Times New Roman"/>
              </w:rPr>
              <w:t>Charakterystyce Produktu Leczniczego.</w:t>
            </w:r>
          </w:p>
          <w:p w14:paraId="30141BB3" w14:textId="77777777" w:rsidR="00E87C2A" w:rsidRPr="00E83905" w:rsidRDefault="00E87C2A" w:rsidP="00E87C2A">
            <w:pPr>
              <w:spacing w:after="60"/>
              <w:jc w:val="both"/>
              <w:rPr>
                <w:rFonts w:ascii="Times New Roman" w:hAnsi="Times New Roman"/>
              </w:rPr>
            </w:pPr>
          </w:p>
          <w:p w14:paraId="0E777FD7" w14:textId="77777777" w:rsidR="00E87C2A" w:rsidRPr="00F15804" w:rsidRDefault="00E87C2A" w:rsidP="00E87C2A">
            <w:pPr>
              <w:pStyle w:val="Akapitzlist"/>
              <w:widowControl/>
              <w:numPr>
                <w:ilvl w:val="1"/>
                <w:numId w:val="1"/>
              </w:numPr>
              <w:tabs>
                <w:tab w:val="left" w:pos="663"/>
              </w:tabs>
              <w:autoSpaceDE/>
              <w:autoSpaceDN/>
              <w:adjustRightInd/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Kryteria wyłączenia z programu</w:t>
            </w:r>
          </w:p>
          <w:p w14:paraId="19701E78" w14:textId="77777777" w:rsidR="00E87C2A" w:rsidRPr="00F15804" w:rsidRDefault="00E87C2A" w:rsidP="00E87C2A">
            <w:pPr>
              <w:widowControl/>
              <w:numPr>
                <w:ilvl w:val="2"/>
                <w:numId w:val="1"/>
              </w:numPr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Wystąpienie objawów nietolerancji </w:t>
            </w:r>
            <w:proofErr w:type="spellStart"/>
            <w:r w:rsidRPr="00F15804">
              <w:rPr>
                <w:rFonts w:ascii="Times New Roman" w:hAnsi="Times New Roman"/>
              </w:rPr>
              <w:t>blinatumomabu</w:t>
            </w:r>
            <w:proofErr w:type="spellEnd"/>
            <w:r w:rsidRPr="00F15804">
              <w:rPr>
                <w:rFonts w:ascii="Times New Roman" w:hAnsi="Times New Roman"/>
              </w:rPr>
              <w:t>, wskazanych w Charakterystyce Produktu Leczniczego, wiążących się z</w:t>
            </w:r>
            <w:r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 xml:space="preserve">przerwą w leczeniu dłuższą niż 7 dni; </w:t>
            </w:r>
          </w:p>
          <w:p w14:paraId="7D4DA061" w14:textId="77777777" w:rsidR="00E87C2A" w:rsidRPr="00F15804" w:rsidRDefault="00E87C2A" w:rsidP="00E87C2A">
            <w:pPr>
              <w:widowControl/>
              <w:numPr>
                <w:ilvl w:val="2"/>
                <w:numId w:val="1"/>
              </w:numPr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 xml:space="preserve">Brak remisji hematologicznej po pierwszym cyklu leczenia </w:t>
            </w:r>
            <w:proofErr w:type="spellStart"/>
            <w:r w:rsidRPr="00F15804">
              <w:rPr>
                <w:rFonts w:ascii="Times New Roman" w:hAnsi="Times New Roman"/>
              </w:rPr>
              <w:t>blinatumomabem</w:t>
            </w:r>
            <w:proofErr w:type="spellEnd"/>
            <w:r w:rsidRPr="00F15804">
              <w:rPr>
                <w:rFonts w:ascii="Times New Roman" w:hAnsi="Times New Roman"/>
              </w:rPr>
              <w:t>.</w:t>
            </w:r>
          </w:p>
          <w:p w14:paraId="260EB1AF" w14:textId="77777777" w:rsidR="00E87C2A" w:rsidRPr="00F15804" w:rsidRDefault="00E87C2A" w:rsidP="00E87C2A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Brak remisji hematologicznej jest definiowany jako spełnienie co najmniej jednego z poniższych warunków: </w:t>
            </w:r>
          </w:p>
          <w:p w14:paraId="1CC35793" w14:textId="77777777" w:rsidR="00E87C2A" w:rsidRPr="00F15804" w:rsidRDefault="00E87C2A" w:rsidP="00E87C2A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odsetek komórek blastycznych w szpiku ≥5%, </w:t>
            </w:r>
          </w:p>
          <w:p w14:paraId="0D036372" w14:textId="77777777" w:rsidR="00E87C2A" w:rsidRPr="00F15804" w:rsidRDefault="00E87C2A" w:rsidP="00E87C2A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obecność komórek blastycznych we krwi, wykrywanych metodą cytologiczną,</w:t>
            </w:r>
          </w:p>
          <w:p w14:paraId="560AB300" w14:textId="77777777" w:rsidR="00E87C2A" w:rsidRPr="00F15804" w:rsidRDefault="00E87C2A" w:rsidP="00E87C2A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obecność </w:t>
            </w:r>
            <w:proofErr w:type="spellStart"/>
            <w:r w:rsidRPr="00F15804">
              <w:rPr>
                <w:rFonts w:ascii="Times New Roman" w:hAnsi="Times New Roman"/>
              </w:rPr>
              <w:t>pozaszpikowych</w:t>
            </w:r>
            <w:proofErr w:type="spellEnd"/>
            <w:r w:rsidRPr="00F15804">
              <w:rPr>
                <w:rFonts w:ascii="Times New Roman" w:hAnsi="Times New Roman"/>
              </w:rPr>
              <w:t xml:space="preserve"> ognisk choroby.</w:t>
            </w:r>
          </w:p>
          <w:p w14:paraId="7381F5BE" w14:textId="77777777" w:rsidR="00E87C2A" w:rsidRPr="00F15804" w:rsidRDefault="00E87C2A" w:rsidP="00E87C2A">
            <w:pPr>
              <w:widowControl/>
              <w:numPr>
                <w:ilvl w:val="2"/>
                <w:numId w:val="1"/>
              </w:numPr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Karmienie piersią.</w:t>
            </w:r>
          </w:p>
          <w:p w14:paraId="01841870" w14:textId="77777777" w:rsidR="00E87C2A" w:rsidRPr="00F15804" w:rsidRDefault="00E87C2A" w:rsidP="00E87C2A">
            <w:pPr>
              <w:pStyle w:val="Akapitzlist"/>
              <w:spacing w:before="120" w:after="60"/>
              <w:ind w:left="227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73" w:type="pct"/>
          </w:tcPr>
          <w:p w14:paraId="6D8F279E" w14:textId="34FF7898" w:rsidR="00E87C2A" w:rsidRPr="00F15804" w:rsidRDefault="00E87C2A" w:rsidP="00E87C2A">
            <w:pPr>
              <w:pStyle w:val="Akapitzlist"/>
              <w:widowControl/>
              <w:numPr>
                <w:ilvl w:val="0"/>
                <w:numId w:val="2"/>
              </w:numPr>
              <w:tabs>
                <w:tab w:val="left" w:pos="176"/>
              </w:tabs>
              <w:autoSpaceDE/>
              <w:autoSpaceDN/>
              <w:adjustRightInd/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lastRenderedPageBreak/>
              <w:t xml:space="preserve">Dawkowanie </w:t>
            </w:r>
          </w:p>
          <w:p w14:paraId="27EFC904" w14:textId="77777777" w:rsidR="00E87C2A" w:rsidRPr="00E83905" w:rsidRDefault="00E87C2A" w:rsidP="00E87C2A">
            <w:pPr>
              <w:spacing w:after="60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>Dawkowanie i podawanie leku należy prowadzić zgodnie z Charakterystyką Produktu Leczniczego.</w:t>
            </w:r>
          </w:p>
          <w:p w14:paraId="43AA415A" w14:textId="77777777" w:rsidR="00E87C2A" w:rsidRPr="00F15804" w:rsidRDefault="00E87C2A" w:rsidP="00E87C2A">
            <w:pPr>
              <w:pStyle w:val="Akapitzlist"/>
              <w:spacing w:before="120" w:after="60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02" w:type="pct"/>
          </w:tcPr>
          <w:p w14:paraId="1305FA82" w14:textId="77777777" w:rsidR="00E87C2A" w:rsidRPr="00E83905" w:rsidRDefault="00E87C2A" w:rsidP="00E87C2A">
            <w:pPr>
              <w:pStyle w:val="Akapitzlist"/>
              <w:numPr>
                <w:ilvl w:val="0"/>
                <w:numId w:val="5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  <w:b/>
              </w:rPr>
              <w:t xml:space="preserve">Leczenie </w:t>
            </w:r>
            <w:proofErr w:type="spellStart"/>
            <w:r w:rsidRPr="00E83905">
              <w:rPr>
                <w:rFonts w:ascii="Times New Roman" w:hAnsi="Times New Roman"/>
                <w:b/>
              </w:rPr>
              <w:t>blinatumomabem</w:t>
            </w:r>
            <w:proofErr w:type="spellEnd"/>
            <w:r w:rsidRPr="00E83905">
              <w:rPr>
                <w:rFonts w:ascii="Times New Roman" w:hAnsi="Times New Roman"/>
                <w:b/>
              </w:rPr>
              <w:t xml:space="preserve"> ostrej białaczki </w:t>
            </w:r>
            <w:proofErr w:type="spellStart"/>
            <w:r w:rsidRPr="00E83905">
              <w:rPr>
                <w:rFonts w:ascii="Times New Roman" w:hAnsi="Times New Roman"/>
                <w:b/>
              </w:rPr>
              <w:t>limfoblastycznej</w:t>
            </w:r>
            <w:proofErr w:type="spellEnd"/>
            <w:r w:rsidRPr="00E83905">
              <w:rPr>
                <w:rFonts w:ascii="Times New Roman" w:hAnsi="Times New Roman"/>
                <w:b/>
              </w:rPr>
              <w:t xml:space="preserve"> z komórek </w:t>
            </w:r>
            <w:proofErr w:type="spellStart"/>
            <w:r w:rsidRPr="00E83905">
              <w:rPr>
                <w:rFonts w:ascii="Times New Roman" w:hAnsi="Times New Roman"/>
                <w:b/>
              </w:rPr>
              <w:t>prekursorowych</w:t>
            </w:r>
            <w:proofErr w:type="spellEnd"/>
            <w:r w:rsidRPr="00E83905">
              <w:rPr>
                <w:rFonts w:ascii="Times New Roman" w:hAnsi="Times New Roman"/>
                <w:b/>
              </w:rPr>
              <w:t xml:space="preserve"> limfocytów B bez chromosomu Filadelfia u dorosłych</w:t>
            </w:r>
          </w:p>
          <w:p w14:paraId="6767F696" w14:textId="77777777" w:rsidR="00E87C2A" w:rsidRPr="00F15804" w:rsidRDefault="00E87C2A" w:rsidP="00E87C2A">
            <w:pPr>
              <w:pStyle w:val="Akapitzlist"/>
              <w:widowControl/>
              <w:numPr>
                <w:ilvl w:val="1"/>
                <w:numId w:val="5"/>
              </w:numPr>
              <w:tabs>
                <w:tab w:val="left" w:pos="0"/>
              </w:tabs>
              <w:autoSpaceDE/>
              <w:autoSpaceDN/>
              <w:adjustRightInd/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Badania przy kwalifikacji</w:t>
            </w:r>
          </w:p>
          <w:p w14:paraId="1A6BBC86" w14:textId="77777777" w:rsidR="00E87C2A" w:rsidRPr="00F15804" w:rsidRDefault="00E87C2A" w:rsidP="00E87C2A">
            <w:pPr>
              <w:pStyle w:val="Akapitzlist"/>
              <w:widowControl/>
              <w:numPr>
                <w:ilvl w:val="2"/>
                <w:numId w:val="5"/>
              </w:numPr>
              <w:autoSpaceDE/>
              <w:autoSpaceDN/>
              <w:adjustRightInd/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Odsetek limfoblastów z ekspresją CD19 w szpiku i/albo we krwi, oceniany badaniem </w:t>
            </w:r>
            <w:proofErr w:type="spellStart"/>
            <w:r w:rsidRPr="00F15804">
              <w:rPr>
                <w:rFonts w:ascii="Times New Roman" w:hAnsi="Times New Roman"/>
              </w:rPr>
              <w:t>immunofenotypowym</w:t>
            </w:r>
            <w:proofErr w:type="spellEnd"/>
            <w:r w:rsidRPr="00F15804">
              <w:rPr>
                <w:rFonts w:ascii="Times New Roman" w:hAnsi="Times New Roman"/>
              </w:rPr>
              <w:t xml:space="preserve"> metodą </w:t>
            </w:r>
            <w:proofErr w:type="spellStart"/>
            <w:r w:rsidRPr="00F15804">
              <w:rPr>
                <w:rFonts w:ascii="Times New Roman" w:hAnsi="Times New Roman"/>
              </w:rPr>
              <w:t>cytometrii</w:t>
            </w:r>
            <w:proofErr w:type="spellEnd"/>
            <w:r w:rsidRPr="00F15804">
              <w:rPr>
                <w:rFonts w:ascii="Times New Roman" w:hAnsi="Times New Roman"/>
              </w:rPr>
              <w:t xml:space="preserve"> przepływowej</w:t>
            </w:r>
          </w:p>
          <w:p w14:paraId="322C26F7" w14:textId="77777777" w:rsidR="00E87C2A" w:rsidRPr="00F15804" w:rsidRDefault="00E87C2A" w:rsidP="00E87C2A">
            <w:pPr>
              <w:widowControl/>
              <w:numPr>
                <w:ilvl w:val="2"/>
                <w:numId w:val="5"/>
              </w:numPr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Potwierdzenie obecności komórek białaczkowych w</w:t>
            </w:r>
            <w:r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 xml:space="preserve">materiale tkankowym innym niż szpik lub krew, w badaniu histopatologicznym i/lub </w:t>
            </w:r>
            <w:proofErr w:type="spellStart"/>
            <w:r w:rsidRPr="00F15804">
              <w:rPr>
                <w:rFonts w:ascii="Times New Roman" w:hAnsi="Times New Roman"/>
              </w:rPr>
              <w:t>cytomorfologicznym</w:t>
            </w:r>
            <w:proofErr w:type="spellEnd"/>
            <w:r w:rsidRPr="00F15804">
              <w:rPr>
                <w:rFonts w:ascii="Times New Roman" w:hAnsi="Times New Roman"/>
              </w:rPr>
              <w:t xml:space="preserve"> i/lub </w:t>
            </w:r>
            <w:proofErr w:type="spellStart"/>
            <w:r w:rsidRPr="00F15804">
              <w:rPr>
                <w:rFonts w:ascii="Times New Roman" w:hAnsi="Times New Roman"/>
              </w:rPr>
              <w:t>immunofenotypowym</w:t>
            </w:r>
            <w:proofErr w:type="spellEnd"/>
            <w:r w:rsidRPr="00F15804">
              <w:rPr>
                <w:rFonts w:ascii="Times New Roman" w:hAnsi="Times New Roman"/>
              </w:rPr>
              <w:t>, jeżeli nie stwierdza się zajęcia szpiku ani obecności komórek białaczkowych we krwi</w:t>
            </w:r>
            <w:r>
              <w:rPr>
                <w:rFonts w:ascii="Times New Roman" w:hAnsi="Times New Roman"/>
              </w:rPr>
              <w:t>,</w:t>
            </w:r>
          </w:p>
          <w:p w14:paraId="62DF93BE" w14:textId="77777777" w:rsidR="00E87C2A" w:rsidRPr="00F15804" w:rsidRDefault="00E87C2A" w:rsidP="00E87C2A">
            <w:pPr>
              <w:widowControl/>
              <w:numPr>
                <w:ilvl w:val="2"/>
                <w:numId w:val="5"/>
              </w:numPr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Potwierdzenie </w:t>
            </w:r>
            <w:proofErr w:type="spellStart"/>
            <w:r w:rsidRPr="00F15804">
              <w:rPr>
                <w:rFonts w:ascii="Times New Roman" w:hAnsi="Times New Roman"/>
              </w:rPr>
              <w:t>pozaszpikowych</w:t>
            </w:r>
            <w:proofErr w:type="spellEnd"/>
            <w:r w:rsidRPr="00F15804">
              <w:rPr>
                <w:rFonts w:ascii="Times New Roman" w:hAnsi="Times New Roman"/>
              </w:rPr>
              <w:t xml:space="preserve"> ognisk choroby w</w:t>
            </w:r>
            <w:r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>badaniach obrazowych, jeżeli nie stwierdza się zajęcia szpiku ani obecności komórek białaczkowych we krwi</w:t>
            </w:r>
            <w:r>
              <w:rPr>
                <w:rFonts w:ascii="Times New Roman" w:hAnsi="Times New Roman"/>
              </w:rPr>
              <w:t>,</w:t>
            </w:r>
          </w:p>
          <w:p w14:paraId="3633BAD6" w14:textId="77777777" w:rsidR="00E87C2A" w:rsidRDefault="00E87C2A" w:rsidP="00E87C2A">
            <w:pPr>
              <w:widowControl/>
              <w:numPr>
                <w:ilvl w:val="2"/>
                <w:numId w:val="5"/>
              </w:numPr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Wykluczenie zajęcia OUN na podstawie badania ogólnego płynu mózgowo-rdzeniowego lub badań obrazowych OUN</w:t>
            </w:r>
            <w:r>
              <w:rPr>
                <w:rFonts w:ascii="Times New Roman" w:hAnsi="Times New Roman"/>
              </w:rPr>
              <w:t>.</w:t>
            </w:r>
          </w:p>
          <w:p w14:paraId="79938346" w14:textId="77777777" w:rsidR="00E87C2A" w:rsidRPr="00F15804" w:rsidRDefault="00E87C2A" w:rsidP="00E87C2A">
            <w:pPr>
              <w:widowControl/>
              <w:autoSpaceDE/>
              <w:autoSpaceDN/>
              <w:adjustRightInd/>
              <w:spacing w:after="60"/>
              <w:ind w:left="397"/>
              <w:jc w:val="both"/>
              <w:rPr>
                <w:rFonts w:ascii="Times New Roman" w:hAnsi="Times New Roman"/>
              </w:rPr>
            </w:pPr>
          </w:p>
          <w:p w14:paraId="2B2004F9" w14:textId="77777777" w:rsidR="00E87C2A" w:rsidRPr="00F15804" w:rsidRDefault="00E87C2A" w:rsidP="00E87C2A">
            <w:pPr>
              <w:pStyle w:val="Akapitzlist"/>
              <w:numPr>
                <w:ilvl w:val="1"/>
                <w:numId w:val="5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 xml:space="preserve">Monitorowanie leczenia </w:t>
            </w:r>
            <w:proofErr w:type="spellStart"/>
            <w:r w:rsidRPr="00F15804">
              <w:rPr>
                <w:rFonts w:ascii="Times New Roman" w:hAnsi="Times New Roman"/>
                <w:b/>
              </w:rPr>
              <w:t>blinatumomabem</w:t>
            </w:r>
            <w:proofErr w:type="spellEnd"/>
          </w:p>
          <w:p w14:paraId="066B97B5" w14:textId="77777777" w:rsidR="00E87C2A" w:rsidRPr="00E83905" w:rsidRDefault="00E87C2A" w:rsidP="00E87C2A">
            <w:pPr>
              <w:spacing w:after="60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>Leczenie będzie prowadzone w warunkach szpitalnych.</w:t>
            </w:r>
          </w:p>
          <w:p w14:paraId="68A7A6A9" w14:textId="77777777" w:rsidR="00E87C2A" w:rsidRPr="00E83905" w:rsidRDefault="00E87C2A" w:rsidP="00E87C2A">
            <w:pPr>
              <w:spacing w:after="60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 xml:space="preserve">Po pierwszym i drugim cyklu leczenia: </w:t>
            </w:r>
          </w:p>
          <w:p w14:paraId="02B18C2C" w14:textId="77777777" w:rsidR="00E87C2A" w:rsidRPr="00F15804" w:rsidRDefault="00E87C2A" w:rsidP="00E87C2A">
            <w:pPr>
              <w:widowControl/>
              <w:numPr>
                <w:ilvl w:val="2"/>
                <w:numId w:val="5"/>
              </w:numPr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Morfologia krwi</w:t>
            </w:r>
            <w:r>
              <w:rPr>
                <w:rFonts w:ascii="Times New Roman" w:hAnsi="Times New Roman"/>
              </w:rPr>
              <w:t>,</w:t>
            </w:r>
          </w:p>
          <w:p w14:paraId="705B213D" w14:textId="77777777" w:rsidR="00E87C2A" w:rsidRPr="00F15804" w:rsidRDefault="00E87C2A" w:rsidP="00E87C2A">
            <w:pPr>
              <w:widowControl/>
              <w:numPr>
                <w:ilvl w:val="2"/>
                <w:numId w:val="5"/>
              </w:numPr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Odsetek limfoblastów z ekspresją CD19 w szpiku i/albo we krwi oceniany badaniem </w:t>
            </w:r>
            <w:proofErr w:type="spellStart"/>
            <w:r w:rsidRPr="00F15804">
              <w:rPr>
                <w:rFonts w:ascii="Times New Roman" w:hAnsi="Times New Roman"/>
              </w:rPr>
              <w:t>immunofenotypowym</w:t>
            </w:r>
            <w:proofErr w:type="spellEnd"/>
            <w:r w:rsidRPr="00F15804">
              <w:rPr>
                <w:rFonts w:ascii="Times New Roman" w:hAnsi="Times New Roman"/>
              </w:rPr>
              <w:t xml:space="preserve"> metodą </w:t>
            </w:r>
            <w:proofErr w:type="spellStart"/>
            <w:r w:rsidRPr="00F15804">
              <w:rPr>
                <w:rFonts w:ascii="Times New Roman" w:hAnsi="Times New Roman"/>
              </w:rPr>
              <w:t>cytometrii</w:t>
            </w:r>
            <w:proofErr w:type="spellEnd"/>
            <w:r w:rsidRPr="00F15804">
              <w:rPr>
                <w:rFonts w:ascii="Times New Roman" w:hAnsi="Times New Roman"/>
              </w:rPr>
              <w:t xml:space="preserve"> przepływowej</w:t>
            </w:r>
            <w:r>
              <w:rPr>
                <w:rFonts w:ascii="Times New Roman" w:hAnsi="Times New Roman"/>
              </w:rPr>
              <w:t>,</w:t>
            </w:r>
          </w:p>
          <w:p w14:paraId="73171646" w14:textId="77777777" w:rsidR="00E87C2A" w:rsidRPr="00F15804" w:rsidRDefault="00E87C2A" w:rsidP="00E87C2A">
            <w:pPr>
              <w:widowControl/>
              <w:numPr>
                <w:ilvl w:val="2"/>
                <w:numId w:val="5"/>
              </w:numPr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 xml:space="preserve">Ocena obecności komórek białaczkowych w materiale tkankowym innym niż szpik lub krew, w badaniu histopatologicznym i/lub </w:t>
            </w:r>
            <w:proofErr w:type="spellStart"/>
            <w:r w:rsidRPr="00F15804">
              <w:rPr>
                <w:rFonts w:ascii="Times New Roman" w:hAnsi="Times New Roman"/>
              </w:rPr>
              <w:t>cytomorfologicznym</w:t>
            </w:r>
            <w:proofErr w:type="spellEnd"/>
            <w:r w:rsidRPr="00F15804">
              <w:rPr>
                <w:rFonts w:ascii="Times New Roman" w:hAnsi="Times New Roman"/>
              </w:rPr>
              <w:t xml:space="preserve"> i/lub </w:t>
            </w:r>
            <w:proofErr w:type="spellStart"/>
            <w:r w:rsidRPr="00F15804">
              <w:rPr>
                <w:rFonts w:ascii="Times New Roman" w:hAnsi="Times New Roman"/>
              </w:rPr>
              <w:t>immunofenotypowym</w:t>
            </w:r>
            <w:proofErr w:type="spellEnd"/>
            <w:r w:rsidRPr="00F15804">
              <w:rPr>
                <w:rFonts w:ascii="Times New Roman" w:hAnsi="Times New Roman"/>
              </w:rPr>
              <w:t>, jeżeli nie stwierdza się zajęcia szpiku ani obecności komórek białaczkowych we krwi</w:t>
            </w:r>
            <w:r>
              <w:rPr>
                <w:rFonts w:ascii="Times New Roman" w:hAnsi="Times New Roman"/>
              </w:rPr>
              <w:t>,</w:t>
            </w:r>
          </w:p>
          <w:p w14:paraId="57BE6899" w14:textId="77777777" w:rsidR="00E87C2A" w:rsidRDefault="00E87C2A" w:rsidP="00E87C2A">
            <w:pPr>
              <w:widowControl/>
              <w:numPr>
                <w:ilvl w:val="2"/>
                <w:numId w:val="5"/>
              </w:numPr>
              <w:autoSpaceDE/>
              <w:autoSpaceDN/>
              <w:adjustRightInd/>
              <w:spacing w:after="6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 xml:space="preserve">Ocena </w:t>
            </w:r>
            <w:proofErr w:type="spellStart"/>
            <w:r w:rsidRPr="00F15804">
              <w:rPr>
                <w:rFonts w:ascii="Times New Roman" w:hAnsi="Times New Roman"/>
              </w:rPr>
              <w:t>pozaszpikowych</w:t>
            </w:r>
            <w:proofErr w:type="spellEnd"/>
            <w:r w:rsidRPr="00F15804">
              <w:rPr>
                <w:rFonts w:ascii="Times New Roman" w:hAnsi="Times New Roman"/>
              </w:rPr>
              <w:t xml:space="preserve"> ognisk choroby w</w:t>
            </w:r>
            <w:r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>badaniach obrazowych, jeżeli nie stwierdza się zajęcia szpiku ani obecności komórek białaczkowych we krwi</w:t>
            </w:r>
            <w:r>
              <w:rPr>
                <w:rFonts w:ascii="Times New Roman" w:hAnsi="Times New Roman"/>
              </w:rPr>
              <w:t>.</w:t>
            </w:r>
          </w:p>
          <w:p w14:paraId="3EBFA873" w14:textId="2B33CA1C" w:rsidR="00E87C2A" w:rsidRDefault="00E87C2A" w:rsidP="00E87C2A">
            <w:pPr>
              <w:widowControl/>
              <w:autoSpaceDE/>
              <w:autoSpaceDN/>
              <w:adjustRightInd/>
              <w:spacing w:after="60"/>
              <w:ind w:left="397"/>
              <w:jc w:val="both"/>
              <w:rPr>
                <w:rFonts w:ascii="Times New Roman" w:hAnsi="Times New Roman"/>
              </w:rPr>
            </w:pPr>
          </w:p>
          <w:p w14:paraId="7599EA2B" w14:textId="77777777" w:rsidR="00E87C2A" w:rsidRPr="00F15804" w:rsidRDefault="00E87C2A" w:rsidP="00DA6F19">
            <w:pPr>
              <w:widowControl/>
              <w:autoSpaceDE/>
              <w:autoSpaceDN/>
              <w:adjustRightInd/>
              <w:spacing w:after="60"/>
              <w:ind w:left="397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258EB" w:rsidRPr="00F15804" w14:paraId="5454AA24" w14:textId="77777777" w:rsidTr="00305077">
        <w:trPr>
          <w:trHeight w:val="20"/>
        </w:trPr>
        <w:tc>
          <w:tcPr>
            <w:tcW w:w="2025" w:type="pct"/>
          </w:tcPr>
          <w:p w14:paraId="0EA50DC2" w14:textId="77777777" w:rsidR="00C258EB" w:rsidRPr="00F15804" w:rsidRDefault="00C258EB" w:rsidP="00C258EB">
            <w:pPr>
              <w:pStyle w:val="Akapitzlist"/>
              <w:widowControl/>
              <w:tabs>
                <w:tab w:val="left" w:pos="0"/>
              </w:tabs>
              <w:autoSpaceDE/>
              <w:autoSpaceDN/>
              <w:adjustRightInd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73" w:type="pct"/>
          </w:tcPr>
          <w:p w14:paraId="6D0D8611" w14:textId="77777777" w:rsidR="00C258EB" w:rsidRPr="00F15804" w:rsidRDefault="00C258EB" w:rsidP="00C258EB">
            <w:pPr>
              <w:pStyle w:val="Akapitzlist"/>
              <w:widowControl/>
              <w:tabs>
                <w:tab w:val="left" w:pos="176"/>
              </w:tabs>
              <w:autoSpaceDE/>
              <w:autoSpaceDN/>
              <w:adjustRightInd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02" w:type="pct"/>
          </w:tcPr>
          <w:p w14:paraId="62F13A9E" w14:textId="77777777" w:rsidR="00DA6F19" w:rsidRPr="00F15804" w:rsidRDefault="00DA6F19" w:rsidP="00DA6F19">
            <w:pPr>
              <w:pStyle w:val="Akapitzlist"/>
              <w:numPr>
                <w:ilvl w:val="0"/>
                <w:numId w:val="5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Monitorowanie programu:</w:t>
            </w:r>
          </w:p>
          <w:p w14:paraId="5B62B269" w14:textId="77777777" w:rsidR="00DA6F19" w:rsidRPr="00F15804" w:rsidRDefault="00DA6F19" w:rsidP="00DA6F19">
            <w:pPr>
              <w:pStyle w:val="Akapitzlist"/>
              <w:numPr>
                <w:ilvl w:val="2"/>
                <w:numId w:val="5"/>
              </w:numPr>
              <w:tabs>
                <w:tab w:val="left" w:pos="451"/>
              </w:tabs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74635F60" w14:textId="77777777" w:rsidR="00DA6F19" w:rsidRPr="00E87C2A" w:rsidRDefault="00DA6F19" w:rsidP="00DA6F19">
            <w:pPr>
              <w:pStyle w:val="Akapitzlist"/>
              <w:numPr>
                <w:ilvl w:val="2"/>
                <w:numId w:val="5"/>
              </w:numPr>
              <w:tabs>
                <w:tab w:val="left" w:pos="451"/>
              </w:tabs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uzupełnienie danych zawartych w rejestrze (SMPT) dostępnym za pomocą aplikacji internetowej udostępnionej przez OW NFZ, z</w:t>
            </w:r>
            <w:r>
              <w:rPr>
                <w:rFonts w:ascii="Times New Roman" w:hAnsi="Times New Roman"/>
              </w:rPr>
              <w:t> </w:t>
            </w:r>
            <w:r w:rsidRPr="00F15804">
              <w:rPr>
                <w:rFonts w:ascii="Times New Roman" w:hAnsi="Times New Roman"/>
              </w:rPr>
              <w:t xml:space="preserve">częstotliwością zgodną z opisem programu </w:t>
            </w:r>
            <w:r w:rsidRPr="00E87C2A">
              <w:rPr>
                <w:rFonts w:ascii="Times New Roman" w:hAnsi="Times New Roman"/>
              </w:rPr>
              <w:t>oraz na zakończenie leczenia;</w:t>
            </w:r>
          </w:p>
          <w:p w14:paraId="234EE209" w14:textId="77777777" w:rsidR="00DA6F19" w:rsidRPr="00E87C2A" w:rsidRDefault="00DA6F19" w:rsidP="00DA6F19">
            <w:pPr>
              <w:pStyle w:val="Akapitzlist"/>
              <w:widowControl/>
              <w:numPr>
                <w:ilvl w:val="2"/>
                <w:numId w:val="5"/>
              </w:numPr>
              <w:tabs>
                <w:tab w:val="left" w:pos="0"/>
              </w:tabs>
              <w:autoSpaceDE/>
              <w:autoSpaceDN/>
              <w:adjustRightInd/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E87C2A">
              <w:rPr>
                <w:rFonts w:ascii="Times New Roman" w:hAnsi="Times New Roman"/>
              </w:rPr>
              <w:t>przekazywanie informacji sprawozdawczo-rozliczeniowych do NFZ: informacje przekazuje się do NFZ w formie papierowej lub w formie elektronicznej, zgodnie z wymaganiami opublikowanymi przez Narodowy Fundusz Zdrowia.</w:t>
            </w:r>
          </w:p>
          <w:p w14:paraId="3ADD3C07" w14:textId="77777777" w:rsidR="00C258EB" w:rsidRPr="00E83905" w:rsidRDefault="00C258EB" w:rsidP="00C258EB">
            <w:pPr>
              <w:pStyle w:val="Akapitzlist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6D379CB5" w14:textId="77777777" w:rsidR="001A3CC7" w:rsidRDefault="001A3CC7">
      <w:pPr>
        <w:rPr>
          <w:rFonts w:cs="Arial"/>
        </w:rPr>
      </w:pPr>
    </w:p>
    <w:sectPr w:rsidR="001A3CC7" w:rsidSect="00B12B4B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4F06D" w14:textId="77777777" w:rsidR="00024D0B" w:rsidRDefault="00024D0B" w:rsidP="00953566">
      <w:r>
        <w:separator/>
      </w:r>
    </w:p>
  </w:endnote>
  <w:endnote w:type="continuationSeparator" w:id="0">
    <w:p w14:paraId="679814E9" w14:textId="77777777" w:rsidR="00024D0B" w:rsidRDefault="00024D0B" w:rsidP="0095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9E94" w14:textId="77777777" w:rsidR="00024D0B" w:rsidRDefault="00024D0B" w:rsidP="00953566">
      <w:r>
        <w:separator/>
      </w:r>
    </w:p>
  </w:footnote>
  <w:footnote w:type="continuationSeparator" w:id="0">
    <w:p w14:paraId="3A68968E" w14:textId="77777777" w:rsidR="00024D0B" w:rsidRDefault="00024D0B" w:rsidP="0095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86EFE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2040E11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9A317F4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B6A4505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6C490A4C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062"/>
    <w:rsid w:val="00024D0B"/>
    <w:rsid w:val="00026AEB"/>
    <w:rsid w:val="00034D13"/>
    <w:rsid w:val="0004105E"/>
    <w:rsid w:val="00041AB0"/>
    <w:rsid w:val="0004439F"/>
    <w:rsid w:val="000450B1"/>
    <w:rsid w:val="000515AB"/>
    <w:rsid w:val="00056B3C"/>
    <w:rsid w:val="00063E91"/>
    <w:rsid w:val="00081436"/>
    <w:rsid w:val="00087B50"/>
    <w:rsid w:val="00093458"/>
    <w:rsid w:val="000936CE"/>
    <w:rsid w:val="000953ED"/>
    <w:rsid w:val="000A5B3A"/>
    <w:rsid w:val="000C7B30"/>
    <w:rsid w:val="000F6156"/>
    <w:rsid w:val="000F7DC3"/>
    <w:rsid w:val="00106C25"/>
    <w:rsid w:val="00113823"/>
    <w:rsid w:val="00141859"/>
    <w:rsid w:val="00156296"/>
    <w:rsid w:val="00157B14"/>
    <w:rsid w:val="001641F3"/>
    <w:rsid w:val="00172671"/>
    <w:rsid w:val="00172D62"/>
    <w:rsid w:val="00187EF6"/>
    <w:rsid w:val="00190F6C"/>
    <w:rsid w:val="00196529"/>
    <w:rsid w:val="001A3CC7"/>
    <w:rsid w:val="001A764E"/>
    <w:rsid w:val="001B216B"/>
    <w:rsid w:val="001B261B"/>
    <w:rsid w:val="001D3F04"/>
    <w:rsid w:val="001D63C6"/>
    <w:rsid w:val="001E719B"/>
    <w:rsid w:val="00200BF1"/>
    <w:rsid w:val="00204E57"/>
    <w:rsid w:val="00210E3C"/>
    <w:rsid w:val="00234AE8"/>
    <w:rsid w:val="00234B07"/>
    <w:rsid w:val="00236DA0"/>
    <w:rsid w:val="00262208"/>
    <w:rsid w:val="00263F0E"/>
    <w:rsid w:val="002722E6"/>
    <w:rsid w:val="0027363C"/>
    <w:rsid w:val="00292EE6"/>
    <w:rsid w:val="002A765A"/>
    <w:rsid w:val="002B3C10"/>
    <w:rsid w:val="002B42A4"/>
    <w:rsid w:val="002D3143"/>
    <w:rsid w:val="002E2234"/>
    <w:rsid w:val="002E30AD"/>
    <w:rsid w:val="002F4EF1"/>
    <w:rsid w:val="002F77F6"/>
    <w:rsid w:val="00303317"/>
    <w:rsid w:val="00305077"/>
    <w:rsid w:val="00313BF4"/>
    <w:rsid w:val="00320159"/>
    <w:rsid w:val="003276A6"/>
    <w:rsid w:val="00332CF1"/>
    <w:rsid w:val="003560EC"/>
    <w:rsid w:val="00366FAC"/>
    <w:rsid w:val="00376AE1"/>
    <w:rsid w:val="00383921"/>
    <w:rsid w:val="00397BCB"/>
    <w:rsid w:val="003C02F3"/>
    <w:rsid w:val="003C405B"/>
    <w:rsid w:val="003C7AA4"/>
    <w:rsid w:val="003D5D3C"/>
    <w:rsid w:val="004004BC"/>
    <w:rsid w:val="00454487"/>
    <w:rsid w:val="00457B24"/>
    <w:rsid w:val="00476D12"/>
    <w:rsid w:val="00477C54"/>
    <w:rsid w:val="00483B61"/>
    <w:rsid w:val="004941A3"/>
    <w:rsid w:val="004B274B"/>
    <w:rsid w:val="004B34CA"/>
    <w:rsid w:val="004C1993"/>
    <w:rsid w:val="00502900"/>
    <w:rsid w:val="00503634"/>
    <w:rsid w:val="005052D9"/>
    <w:rsid w:val="00514BBF"/>
    <w:rsid w:val="00524B1E"/>
    <w:rsid w:val="00536694"/>
    <w:rsid w:val="005446F4"/>
    <w:rsid w:val="0059190C"/>
    <w:rsid w:val="005B0C2C"/>
    <w:rsid w:val="005C5BC4"/>
    <w:rsid w:val="005E5BA2"/>
    <w:rsid w:val="005F0A35"/>
    <w:rsid w:val="005F126A"/>
    <w:rsid w:val="00603017"/>
    <w:rsid w:val="00605C33"/>
    <w:rsid w:val="00607AD8"/>
    <w:rsid w:val="0062091A"/>
    <w:rsid w:val="00634BB3"/>
    <w:rsid w:val="00637F89"/>
    <w:rsid w:val="00641E2C"/>
    <w:rsid w:val="00646AA0"/>
    <w:rsid w:val="006517C1"/>
    <w:rsid w:val="00667AE6"/>
    <w:rsid w:val="00671562"/>
    <w:rsid w:val="00683560"/>
    <w:rsid w:val="00695162"/>
    <w:rsid w:val="006A5240"/>
    <w:rsid w:val="006B3643"/>
    <w:rsid w:val="00731DF6"/>
    <w:rsid w:val="00737501"/>
    <w:rsid w:val="0074165C"/>
    <w:rsid w:val="00765A2A"/>
    <w:rsid w:val="007723C9"/>
    <w:rsid w:val="007747EE"/>
    <w:rsid w:val="00775916"/>
    <w:rsid w:val="007836F9"/>
    <w:rsid w:val="00783F6A"/>
    <w:rsid w:val="00796D3B"/>
    <w:rsid w:val="007D0062"/>
    <w:rsid w:val="007E4098"/>
    <w:rsid w:val="007E4547"/>
    <w:rsid w:val="007F290E"/>
    <w:rsid w:val="007F3E05"/>
    <w:rsid w:val="008022E3"/>
    <w:rsid w:val="00804BCF"/>
    <w:rsid w:val="00804BF9"/>
    <w:rsid w:val="00836D28"/>
    <w:rsid w:val="00847D43"/>
    <w:rsid w:val="008541F4"/>
    <w:rsid w:val="00856373"/>
    <w:rsid w:val="00856B0C"/>
    <w:rsid w:val="0086219D"/>
    <w:rsid w:val="0087222E"/>
    <w:rsid w:val="00875A4B"/>
    <w:rsid w:val="008B5503"/>
    <w:rsid w:val="008C268D"/>
    <w:rsid w:val="008C4130"/>
    <w:rsid w:val="008C7EC3"/>
    <w:rsid w:val="008E0D68"/>
    <w:rsid w:val="008E34AA"/>
    <w:rsid w:val="008E5331"/>
    <w:rsid w:val="008F794F"/>
    <w:rsid w:val="00900F86"/>
    <w:rsid w:val="00912B30"/>
    <w:rsid w:val="00920184"/>
    <w:rsid w:val="00923864"/>
    <w:rsid w:val="00933702"/>
    <w:rsid w:val="0094523D"/>
    <w:rsid w:val="00947E5A"/>
    <w:rsid w:val="00953566"/>
    <w:rsid w:val="00966FAB"/>
    <w:rsid w:val="00971FA0"/>
    <w:rsid w:val="009724D6"/>
    <w:rsid w:val="0097764B"/>
    <w:rsid w:val="00981479"/>
    <w:rsid w:val="009844B7"/>
    <w:rsid w:val="009906E0"/>
    <w:rsid w:val="009A4D5C"/>
    <w:rsid w:val="009B3934"/>
    <w:rsid w:val="009B5EAD"/>
    <w:rsid w:val="009B609E"/>
    <w:rsid w:val="009C7616"/>
    <w:rsid w:val="009E05AA"/>
    <w:rsid w:val="009F6AFA"/>
    <w:rsid w:val="00A0398E"/>
    <w:rsid w:val="00A11163"/>
    <w:rsid w:val="00A32C7C"/>
    <w:rsid w:val="00A4465F"/>
    <w:rsid w:val="00A45B2F"/>
    <w:rsid w:val="00A63E22"/>
    <w:rsid w:val="00A65CF2"/>
    <w:rsid w:val="00A660FA"/>
    <w:rsid w:val="00AA04EB"/>
    <w:rsid w:val="00AB01BB"/>
    <w:rsid w:val="00AB3019"/>
    <w:rsid w:val="00AC7AC9"/>
    <w:rsid w:val="00AD0156"/>
    <w:rsid w:val="00B010D7"/>
    <w:rsid w:val="00B03C62"/>
    <w:rsid w:val="00B12B4B"/>
    <w:rsid w:val="00B23090"/>
    <w:rsid w:val="00B24DD4"/>
    <w:rsid w:val="00B27E81"/>
    <w:rsid w:val="00B3198E"/>
    <w:rsid w:val="00B3332C"/>
    <w:rsid w:val="00B44141"/>
    <w:rsid w:val="00B540C6"/>
    <w:rsid w:val="00B55D29"/>
    <w:rsid w:val="00B96916"/>
    <w:rsid w:val="00B96AC3"/>
    <w:rsid w:val="00BB44F1"/>
    <w:rsid w:val="00BE245A"/>
    <w:rsid w:val="00BE3B41"/>
    <w:rsid w:val="00BE507C"/>
    <w:rsid w:val="00C02848"/>
    <w:rsid w:val="00C065C5"/>
    <w:rsid w:val="00C154C5"/>
    <w:rsid w:val="00C258EB"/>
    <w:rsid w:val="00C303CC"/>
    <w:rsid w:val="00C35031"/>
    <w:rsid w:val="00C4276C"/>
    <w:rsid w:val="00C75C31"/>
    <w:rsid w:val="00C86C13"/>
    <w:rsid w:val="00C92CD0"/>
    <w:rsid w:val="00C93D13"/>
    <w:rsid w:val="00CA343A"/>
    <w:rsid w:val="00CA6EE2"/>
    <w:rsid w:val="00CC47CF"/>
    <w:rsid w:val="00CE7656"/>
    <w:rsid w:val="00D1558C"/>
    <w:rsid w:val="00D1748B"/>
    <w:rsid w:val="00D17BC2"/>
    <w:rsid w:val="00D21367"/>
    <w:rsid w:val="00D543FD"/>
    <w:rsid w:val="00D85035"/>
    <w:rsid w:val="00D853FF"/>
    <w:rsid w:val="00D936BB"/>
    <w:rsid w:val="00DA3882"/>
    <w:rsid w:val="00DA64FA"/>
    <w:rsid w:val="00DA6F19"/>
    <w:rsid w:val="00DA792C"/>
    <w:rsid w:val="00DB1B13"/>
    <w:rsid w:val="00DC023A"/>
    <w:rsid w:val="00DD0A48"/>
    <w:rsid w:val="00DD0E2E"/>
    <w:rsid w:val="00DD0FA2"/>
    <w:rsid w:val="00DE1B23"/>
    <w:rsid w:val="00DE20D6"/>
    <w:rsid w:val="00E07B0C"/>
    <w:rsid w:val="00E15A4D"/>
    <w:rsid w:val="00E16007"/>
    <w:rsid w:val="00E25EE0"/>
    <w:rsid w:val="00E2666D"/>
    <w:rsid w:val="00E3454D"/>
    <w:rsid w:val="00E430A8"/>
    <w:rsid w:val="00E522E5"/>
    <w:rsid w:val="00E813DB"/>
    <w:rsid w:val="00E83905"/>
    <w:rsid w:val="00E8678B"/>
    <w:rsid w:val="00E87C2A"/>
    <w:rsid w:val="00E969A6"/>
    <w:rsid w:val="00EA3BF2"/>
    <w:rsid w:val="00EB1D6A"/>
    <w:rsid w:val="00EB596D"/>
    <w:rsid w:val="00EC4552"/>
    <w:rsid w:val="00ED1603"/>
    <w:rsid w:val="00ED16AE"/>
    <w:rsid w:val="00ED39CF"/>
    <w:rsid w:val="00F145E7"/>
    <w:rsid w:val="00F15804"/>
    <w:rsid w:val="00F16D65"/>
    <w:rsid w:val="00F317BF"/>
    <w:rsid w:val="00F344E6"/>
    <w:rsid w:val="00F352DE"/>
    <w:rsid w:val="00F36D28"/>
    <w:rsid w:val="00F41F9A"/>
    <w:rsid w:val="00F44A2C"/>
    <w:rsid w:val="00F54972"/>
    <w:rsid w:val="00F65A96"/>
    <w:rsid w:val="00F66486"/>
    <w:rsid w:val="00F873D5"/>
    <w:rsid w:val="00FC7326"/>
    <w:rsid w:val="00FD11A1"/>
    <w:rsid w:val="00FE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12FDA7"/>
  <w14:defaultImageDpi w14:val="0"/>
  <w15:docId w15:val="{EA8C6F7D-893D-4461-A6B5-1982AFA8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864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Symbol" w:hAnsi="Symbol" w:cs="Symbol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0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E30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3566"/>
    <w:pPr>
      <w:widowControl/>
      <w:autoSpaceDE/>
      <w:autoSpaceDN/>
      <w:adjustRightInd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3566"/>
  </w:style>
  <w:style w:type="character" w:styleId="Odwoanieprzypisudolnego">
    <w:name w:val="footnote reference"/>
    <w:uiPriority w:val="99"/>
    <w:semiHidden/>
    <w:unhideWhenUsed/>
    <w:rsid w:val="00953566"/>
    <w:rPr>
      <w:vertAlign w:val="superscript"/>
    </w:rPr>
  </w:style>
  <w:style w:type="paragraph" w:styleId="Bezodstpw">
    <w:name w:val="No Spacing"/>
    <w:uiPriority w:val="1"/>
    <w:qFormat/>
    <w:rsid w:val="002F4EF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E522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2E5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E522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22E5"/>
    <w:rPr>
      <w:rFonts w:ascii="Arial" w:hAnsi="Arial"/>
    </w:rPr>
  </w:style>
  <w:style w:type="paragraph" w:styleId="Akapitzlist">
    <w:name w:val="List Paragraph"/>
    <w:basedOn w:val="Normalny"/>
    <w:uiPriority w:val="99"/>
    <w:qFormat/>
    <w:rsid w:val="00E16007"/>
    <w:pPr>
      <w:ind w:left="720"/>
      <w:contextualSpacing/>
    </w:pPr>
  </w:style>
  <w:style w:type="paragraph" w:styleId="Poprawka">
    <w:name w:val="Revision"/>
    <w:hidden/>
    <w:uiPriority w:val="99"/>
    <w:semiHidden/>
    <w:rsid w:val="000953ED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3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3B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3BF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3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3BF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45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C2625-822A-48AF-A233-257315F42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1590</Words>
  <Characters>10736</Characters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2020-03-11T12:09:00Z</cp:lastPrinted>
  <dcterms:created xsi:type="dcterms:W3CDTF">2020-06-08T14:04:00Z</dcterms:created>
  <dcterms:modified xsi:type="dcterms:W3CDTF">2020-07-30T12:30:00Z</dcterms:modified>
</cp:coreProperties>
</file>