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20AE6" w14:textId="5C45CB02" w:rsidR="005864CB" w:rsidRDefault="00201B3D" w:rsidP="00603FA9">
      <w:pPr>
        <w:rPr>
          <w:rFonts w:eastAsia="PMingLiU"/>
          <w:sz w:val="22"/>
          <w:szCs w:val="22"/>
          <w:lang w:eastAsia="zh-TW"/>
        </w:rPr>
      </w:pPr>
      <w:r w:rsidRPr="00201B3D">
        <w:rPr>
          <w:rFonts w:eastAsia="PMingLiU"/>
          <w:sz w:val="22"/>
          <w:szCs w:val="22"/>
          <w:lang w:eastAsia="zh-TW"/>
        </w:rPr>
        <w:t>Załącznik</w:t>
      </w:r>
      <w:r w:rsidR="00CE3429">
        <w:rPr>
          <w:rFonts w:eastAsia="PMingLiU"/>
          <w:sz w:val="22"/>
          <w:szCs w:val="22"/>
          <w:lang w:eastAsia="zh-TW"/>
        </w:rPr>
        <w:t xml:space="preserve"> </w:t>
      </w:r>
      <w:r w:rsidRPr="00201B3D">
        <w:rPr>
          <w:rFonts w:eastAsia="PMingLiU"/>
          <w:sz w:val="22"/>
          <w:szCs w:val="22"/>
          <w:lang w:eastAsia="zh-TW"/>
        </w:rPr>
        <w:t>B.59.</w:t>
      </w:r>
    </w:p>
    <w:p w14:paraId="73250C76" w14:textId="77777777" w:rsidR="00603FA9" w:rsidRDefault="00603FA9" w:rsidP="00603FA9">
      <w:pPr>
        <w:rPr>
          <w:rFonts w:eastAsia="PMingLiU"/>
          <w:sz w:val="22"/>
          <w:szCs w:val="22"/>
          <w:lang w:eastAsia="zh-TW"/>
        </w:rPr>
      </w:pPr>
    </w:p>
    <w:p w14:paraId="5DE91602" w14:textId="396AED4A" w:rsidR="00201B3D" w:rsidRPr="005864CB" w:rsidRDefault="00201B3D" w:rsidP="00603FA9">
      <w:pPr>
        <w:spacing w:after="240"/>
        <w:rPr>
          <w:rFonts w:eastAsia="PMingLiU"/>
          <w:sz w:val="28"/>
          <w:szCs w:val="28"/>
          <w:lang w:eastAsia="zh-TW"/>
        </w:rPr>
      </w:pPr>
      <w:r w:rsidRPr="005864CB">
        <w:rPr>
          <w:rFonts w:eastAsia="PMingLiU"/>
          <w:b/>
          <w:sz w:val="28"/>
          <w:szCs w:val="28"/>
          <w:lang w:eastAsia="zh-TW"/>
        </w:rPr>
        <w:t>LECZENIE</w:t>
      </w:r>
      <w:r w:rsidR="00CE3429">
        <w:rPr>
          <w:rFonts w:eastAsia="PMingLiU"/>
          <w:b/>
          <w:sz w:val="28"/>
          <w:szCs w:val="28"/>
          <w:lang w:eastAsia="zh-TW"/>
        </w:rPr>
        <w:t xml:space="preserve"> </w:t>
      </w:r>
      <w:r w:rsidRPr="005864CB">
        <w:rPr>
          <w:rFonts w:eastAsia="PMingLiU"/>
          <w:b/>
          <w:sz w:val="28"/>
          <w:szCs w:val="28"/>
          <w:lang w:eastAsia="zh-TW"/>
        </w:rPr>
        <w:t>CZERNIAKA</w:t>
      </w:r>
      <w:r w:rsidR="00CE3429">
        <w:rPr>
          <w:rFonts w:eastAsia="PMingLiU"/>
          <w:b/>
          <w:sz w:val="28"/>
          <w:szCs w:val="28"/>
          <w:lang w:eastAsia="zh-TW"/>
        </w:rPr>
        <w:t xml:space="preserve"> </w:t>
      </w:r>
      <w:r w:rsidRPr="005864CB">
        <w:rPr>
          <w:rFonts w:eastAsia="PMingLiU"/>
          <w:b/>
          <w:sz w:val="28"/>
          <w:szCs w:val="28"/>
          <w:lang w:eastAsia="zh-TW"/>
        </w:rPr>
        <w:t>SKÓ</w:t>
      </w:r>
      <w:r w:rsidR="005E7E86">
        <w:rPr>
          <w:rFonts w:eastAsia="PMingLiU"/>
          <w:b/>
          <w:sz w:val="28"/>
          <w:szCs w:val="28"/>
          <w:lang w:eastAsia="zh-TW"/>
        </w:rPr>
        <w:t>RY</w:t>
      </w:r>
      <w:r w:rsidR="00CE3429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LUB</w:t>
      </w:r>
      <w:r w:rsidR="00CE3429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BŁON</w:t>
      </w:r>
      <w:r w:rsidR="00CE3429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ŚLUZOWYCH</w:t>
      </w:r>
      <w:r w:rsidR="00CE3429">
        <w:rPr>
          <w:rFonts w:eastAsia="PMingLiU"/>
          <w:b/>
          <w:sz w:val="28"/>
          <w:szCs w:val="28"/>
          <w:lang w:eastAsia="zh-TW"/>
        </w:rPr>
        <w:t xml:space="preserve"> </w:t>
      </w:r>
      <w:r w:rsidR="005E7E86">
        <w:rPr>
          <w:rFonts w:eastAsia="PMingLiU"/>
          <w:b/>
          <w:sz w:val="28"/>
          <w:szCs w:val="28"/>
          <w:lang w:eastAsia="zh-TW"/>
        </w:rPr>
        <w:t>(ICD-</w:t>
      </w:r>
      <w:r w:rsidR="0089715F">
        <w:rPr>
          <w:rFonts w:eastAsia="PMingLiU"/>
          <w:b/>
          <w:sz w:val="28"/>
          <w:szCs w:val="28"/>
          <w:lang w:eastAsia="zh-TW"/>
        </w:rPr>
        <w:t>10</w:t>
      </w:r>
      <w:r w:rsidR="00CE3429">
        <w:rPr>
          <w:rFonts w:eastAsia="PMingLiU"/>
          <w:b/>
          <w:sz w:val="28"/>
          <w:szCs w:val="28"/>
          <w:lang w:eastAsia="zh-TW"/>
        </w:rPr>
        <w:t xml:space="preserve"> </w:t>
      </w:r>
      <w:r w:rsidRPr="005864CB">
        <w:rPr>
          <w:rFonts w:eastAsia="PMingLiU"/>
          <w:b/>
          <w:sz w:val="28"/>
          <w:szCs w:val="28"/>
          <w:lang w:eastAsia="zh-TW"/>
        </w:rPr>
        <w:t>C43)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56"/>
        <w:gridCol w:w="3829"/>
        <w:gridCol w:w="4903"/>
      </w:tblGrid>
      <w:tr w:rsidR="00201B3D" w:rsidRPr="00603FA9" w14:paraId="21DE3189" w14:textId="77777777" w:rsidTr="003A79A8">
        <w:trPr>
          <w:trHeight w:val="567"/>
        </w:trPr>
        <w:tc>
          <w:tcPr>
            <w:tcW w:w="5000" w:type="pct"/>
            <w:gridSpan w:val="3"/>
            <w:vAlign w:val="center"/>
          </w:tcPr>
          <w:p w14:paraId="51FE3FB0" w14:textId="18384BAA" w:rsidR="00201B3D" w:rsidRPr="00603FA9" w:rsidRDefault="00201B3D" w:rsidP="003A79A8">
            <w:pPr>
              <w:jc w:val="center"/>
              <w:rPr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ZAKRES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ŚWIADCZENIA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GWARANTOWANEGO</w:t>
            </w:r>
          </w:p>
        </w:tc>
      </w:tr>
      <w:tr w:rsidR="00CE3429" w:rsidRPr="00603FA9" w14:paraId="74A6E75F" w14:textId="77777777" w:rsidTr="00CE3429">
        <w:trPr>
          <w:trHeight w:val="567"/>
        </w:trPr>
        <w:tc>
          <w:tcPr>
            <w:tcW w:w="2163" w:type="pct"/>
            <w:vAlign w:val="center"/>
          </w:tcPr>
          <w:p w14:paraId="641F0C24" w14:textId="77777777" w:rsidR="00201B3D" w:rsidRPr="00603FA9" w:rsidRDefault="00201B3D" w:rsidP="003A79A8">
            <w:pPr>
              <w:jc w:val="center"/>
              <w:rPr>
                <w:b/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244" w:type="pct"/>
            <w:vAlign w:val="center"/>
          </w:tcPr>
          <w:p w14:paraId="14566381" w14:textId="1AB76318" w:rsidR="00CE3429" w:rsidRDefault="00201B3D" w:rsidP="003A79A8">
            <w:pPr>
              <w:jc w:val="center"/>
              <w:rPr>
                <w:b/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SCHEMAT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DAWKOWANIA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LEKU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</w:p>
          <w:p w14:paraId="1621A3D6" w14:textId="1B18B043" w:rsidR="00201B3D" w:rsidRPr="00603FA9" w:rsidRDefault="00201B3D" w:rsidP="003A79A8">
            <w:pPr>
              <w:jc w:val="center"/>
              <w:rPr>
                <w:b/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W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593" w:type="pct"/>
            <w:vAlign w:val="center"/>
          </w:tcPr>
          <w:p w14:paraId="1A04CBBE" w14:textId="647E2C0E" w:rsidR="00CE3429" w:rsidRDefault="00201B3D" w:rsidP="00CE3429">
            <w:pPr>
              <w:jc w:val="center"/>
              <w:rPr>
                <w:b/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BADANIA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DIAGNOSTYCZNE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WYKONYWANE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</w:p>
          <w:p w14:paraId="23970BA8" w14:textId="1354AB78" w:rsidR="00201B3D" w:rsidRPr="00603FA9" w:rsidRDefault="00201B3D" w:rsidP="00CE3429">
            <w:pPr>
              <w:jc w:val="center"/>
              <w:rPr>
                <w:b/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W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RAMACH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PROGRAMU</w:t>
            </w:r>
          </w:p>
        </w:tc>
      </w:tr>
      <w:tr w:rsidR="00CE3429" w:rsidRPr="00603FA9" w14:paraId="0FEDC711" w14:textId="77777777" w:rsidTr="00CE3429">
        <w:tc>
          <w:tcPr>
            <w:tcW w:w="2163" w:type="pct"/>
          </w:tcPr>
          <w:p w14:paraId="42072252" w14:textId="5BDEE598" w:rsidR="00F1128E" w:rsidRPr="00603FA9" w:rsidRDefault="00F12B51" w:rsidP="003905E1">
            <w:pPr>
              <w:pStyle w:val="Akapitzlist"/>
              <w:numPr>
                <w:ilvl w:val="0"/>
                <w:numId w:val="36"/>
              </w:numPr>
              <w:spacing w:before="120"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Kryteria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kwalifikacji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do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leczenia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F1128E" w:rsidRPr="00603FA9">
              <w:rPr>
                <w:b/>
                <w:bCs/>
                <w:sz w:val="20"/>
                <w:szCs w:val="20"/>
              </w:rPr>
              <w:t>w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F1128E" w:rsidRPr="00603FA9">
              <w:rPr>
                <w:b/>
                <w:bCs/>
                <w:sz w:val="20"/>
                <w:szCs w:val="20"/>
              </w:rPr>
              <w:t>programie</w:t>
            </w:r>
          </w:p>
          <w:p w14:paraId="26BC728A" w14:textId="118737C9" w:rsidR="00F1128E" w:rsidRPr="00603FA9" w:rsidRDefault="00F1128E" w:rsidP="003905E1">
            <w:pPr>
              <w:pStyle w:val="Akapitzlist"/>
              <w:numPr>
                <w:ilvl w:val="1"/>
                <w:numId w:val="36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Kryteria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kwalif</w:t>
            </w:r>
            <w:r w:rsidR="00BF3E56" w:rsidRPr="00603FA9">
              <w:rPr>
                <w:b/>
                <w:bCs/>
                <w:sz w:val="20"/>
                <w:szCs w:val="20"/>
              </w:rPr>
              <w:t>ikacji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03FA9">
              <w:rPr>
                <w:b/>
                <w:bCs/>
                <w:sz w:val="20"/>
                <w:szCs w:val="20"/>
              </w:rPr>
              <w:t>do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03FA9">
              <w:rPr>
                <w:b/>
                <w:bCs/>
                <w:sz w:val="20"/>
                <w:szCs w:val="20"/>
              </w:rPr>
              <w:t>leczenia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03FA9">
              <w:rPr>
                <w:b/>
                <w:bCs/>
                <w:sz w:val="20"/>
                <w:szCs w:val="20"/>
              </w:rPr>
              <w:t>ipilimumabem,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03FA9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03FA9">
              <w:rPr>
                <w:b/>
                <w:bCs/>
                <w:sz w:val="20"/>
                <w:szCs w:val="20"/>
              </w:rPr>
              <w:t>niwolumabem,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03FA9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F3E56" w:rsidRPr="00603FA9">
              <w:rPr>
                <w:b/>
                <w:bCs/>
                <w:sz w:val="20"/>
                <w:szCs w:val="20"/>
              </w:rPr>
              <w:t>pembrolizumabem</w:t>
            </w:r>
            <w:r w:rsidR="0025482B" w:rsidRPr="00603FA9">
              <w:rPr>
                <w:b/>
                <w:bCs/>
                <w:sz w:val="20"/>
                <w:szCs w:val="20"/>
              </w:rPr>
              <w:t>,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/>
                <w:bCs/>
                <w:sz w:val="20"/>
                <w:szCs w:val="20"/>
              </w:rPr>
              <w:t>niwolumabem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/>
                <w:bCs/>
                <w:sz w:val="20"/>
                <w:szCs w:val="20"/>
              </w:rPr>
              <w:t>ipilimumabem</w:t>
            </w:r>
          </w:p>
          <w:p w14:paraId="2682EE4D" w14:textId="715B357E" w:rsidR="002C312C" w:rsidRPr="00603FA9" w:rsidRDefault="005864CB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H</w:t>
            </w:r>
            <w:r w:rsidR="00B540AA" w:rsidRPr="00603FA9">
              <w:rPr>
                <w:bCs/>
                <w:sz w:val="20"/>
                <w:szCs w:val="20"/>
              </w:rPr>
              <w:t>istologiczne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540AA" w:rsidRPr="00603FA9">
              <w:rPr>
                <w:bCs/>
                <w:sz w:val="20"/>
                <w:szCs w:val="20"/>
              </w:rPr>
              <w:t>potwierdzenie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540AA" w:rsidRPr="00603FA9">
              <w:rPr>
                <w:bCs/>
                <w:sz w:val="20"/>
                <w:szCs w:val="20"/>
              </w:rPr>
              <w:t>czerniaka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540AA" w:rsidRPr="00603FA9">
              <w:rPr>
                <w:bCs/>
                <w:sz w:val="20"/>
                <w:szCs w:val="20"/>
              </w:rPr>
              <w:t>skóry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540AA"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540AA" w:rsidRPr="00603FA9">
              <w:rPr>
                <w:bCs/>
                <w:sz w:val="20"/>
                <w:szCs w:val="20"/>
              </w:rPr>
              <w:t>błon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540AA" w:rsidRPr="00603FA9">
              <w:rPr>
                <w:bCs/>
                <w:sz w:val="20"/>
                <w:szCs w:val="20"/>
              </w:rPr>
              <w:t>śluzowych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540AA"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540AA" w:rsidRPr="00603FA9">
              <w:rPr>
                <w:bCs/>
                <w:sz w:val="20"/>
                <w:szCs w:val="20"/>
              </w:rPr>
              <w:t>stadium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540AA" w:rsidRPr="00603FA9">
              <w:rPr>
                <w:bCs/>
                <w:sz w:val="20"/>
                <w:szCs w:val="20"/>
              </w:rPr>
              <w:t>zaawansow</w:t>
            </w:r>
            <w:r w:rsidR="002C312C" w:rsidRPr="00603FA9">
              <w:rPr>
                <w:bCs/>
                <w:sz w:val="20"/>
                <w:szCs w:val="20"/>
              </w:rPr>
              <w:t>ania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III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AF600A" w:rsidRPr="00603FA9">
              <w:rPr>
                <w:bCs/>
                <w:sz w:val="20"/>
                <w:szCs w:val="20"/>
              </w:rPr>
              <w:t>(nieoperacyjny)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AF600A"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AF600A" w:rsidRPr="00603FA9">
              <w:rPr>
                <w:bCs/>
                <w:sz w:val="20"/>
                <w:szCs w:val="20"/>
              </w:rPr>
              <w:t>IV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AF600A" w:rsidRPr="00603FA9">
              <w:rPr>
                <w:bCs/>
                <w:sz w:val="20"/>
                <w:szCs w:val="20"/>
              </w:rPr>
              <w:t>oraz:</w:t>
            </w:r>
          </w:p>
          <w:p w14:paraId="07FCD578" w14:textId="1FE0A30D" w:rsidR="002C312C" w:rsidRPr="00603FA9" w:rsidRDefault="00254B32" w:rsidP="003905E1">
            <w:pPr>
              <w:pStyle w:val="Akapitzlist"/>
              <w:numPr>
                <w:ilvl w:val="4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przypadku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Cs/>
                <w:sz w:val="20"/>
                <w:szCs w:val="20"/>
              </w:rPr>
              <w:t>mono</w:t>
            </w:r>
            <w:r w:rsidR="002C312C" w:rsidRPr="00603FA9">
              <w:rPr>
                <w:bCs/>
                <w:sz w:val="20"/>
                <w:szCs w:val="20"/>
              </w:rPr>
              <w:t>terapii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ipilimumabem: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nieskuteczne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wcześniejsze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jedno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systemowe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czerniaka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brak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tolerancji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pozwalający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na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jego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kontynuację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(nie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dotyczy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chorych,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którzy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otrzymywali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uzupełniające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pooperacyjne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-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wymienieni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chorzy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mogą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być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kwalifikowani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do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ipilimumabem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po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wspomnianym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leczeniu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uzupełniającym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oraz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jednej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linii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systemowego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powodu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uogólnienia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nowotworu),</w:t>
            </w:r>
          </w:p>
          <w:p w14:paraId="70A548CF" w14:textId="6C0CD9D5" w:rsidR="00867AA4" w:rsidRPr="00603FA9" w:rsidRDefault="00254B32" w:rsidP="003905E1">
            <w:pPr>
              <w:pStyle w:val="Akapitzlist"/>
              <w:numPr>
                <w:ilvl w:val="4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przypadku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terapii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niwolumabem</w:t>
            </w:r>
            <w:r w:rsidR="00D37D10" w:rsidRPr="00603FA9">
              <w:rPr>
                <w:bCs/>
                <w:sz w:val="20"/>
                <w:szCs w:val="20"/>
              </w:rPr>
              <w:t>,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C312C" w:rsidRPr="00603FA9">
              <w:rPr>
                <w:bCs/>
                <w:sz w:val="20"/>
                <w:szCs w:val="20"/>
              </w:rPr>
              <w:t>pembrolizumabem</w:t>
            </w:r>
            <w:r w:rsidR="00D37D10" w:rsidRPr="00603FA9">
              <w:rPr>
                <w:bCs/>
                <w:sz w:val="20"/>
                <w:szCs w:val="20"/>
              </w:rPr>
              <w:t>,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Cs/>
                <w:sz w:val="20"/>
                <w:szCs w:val="20"/>
              </w:rPr>
              <w:t>terapii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Cs/>
                <w:sz w:val="20"/>
                <w:szCs w:val="20"/>
              </w:rPr>
              <w:t>skojarzonej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Cs/>
                <w:sz w:val="20"/>
                <w:szCs w:val="20"/>
              </w:rPr>
              <w:t>niwolumabem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25482B" w:rsidRPr="00603FA9">
              <w:rPr>
                <w:bCs/>
                <w:sz w:val="20"/>
                <w:szCs w:val="20"/>
              </w:rPr>
              <w:t>ipilimumabem</w:t>
            </w:r>
            <w:r w:rsidR="002C312C" w:rsidRPr="00603FA9">
              <w:rPr>
                <w:bCs/>
                <w:sz w:val="20"/>
                <w:szCs w:val="20"/>
              </w:rPr>
              <w:t>: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</w:p>
          <w:p w14:paraId="4852E304" w14:textId="1176486F" w:rsidR="0084506A" w:rsidRPr="00603FA9" w:rsidRDefault="0084506A" w:rsidP="003905E1">
            <w:pPr>
              <w:pStyle w:val="Akapitzlist"/>
              <w:numPr>
                <w:ilvl w:val="5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brak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wcześniejszego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pomocą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przeciwciał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monoklonalnych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anty-PD-1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(z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wyjątkiem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skojarzenia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ipilimumabem,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gdy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zakończono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powodu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toksyczności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38E9" w:rsidRPr="00603FA9">
              <w:rPr>
                <w:bCs/>
                <w:sz w:val="20"/>
                <w:szCs w:val="20"/>
              </w:rPr>
              <w:t>ipilimumabu)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oraz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</w:p>
          <w:p w14:paraId="1E0B90FC" w14:textId="19587FF4" w:rsidR="0084506A" w:rsidRPr="00603FA9" w:rsidRDefault="002C312C" w:rsidP="00E575A3">
            <w:pPr>
              <w:pStyle w:val="Akapitzlist"/>
              <w:numPr>
                <w:ilvl w:val="6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brak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wcześniejszego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farmakologicznego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powodu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czerniaka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skóry</w:t>
            </w:r>
            <w:r w:rsidR="0084506A" w:rsidRPr="00603FA9">
              <w:rPr>
                <w:bCs/>
                <w:sz w:val="20"/>
                <w:szCs w:val="20"/>
              </w:rPr>
              <w:t>,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albo</w:t>
            </w:r>
          </w:p>
          <w:p w14:paraId="55E2BF47" w14:textId="1D2A5300" w:rsidR="00ED7F30" w:rsidRPr="00603FA9" w:rsidRDefault="002C312C" w:rsidP="00E575A3">
            <w:pPr>
              <w:pStyle w:val="Akapitzlist"/>
              <w:numPr>
                <w:ilvl w:val="6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nieskuteczne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wcześniejsze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jedno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systemowe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C2FBE" w:rsidRPr="00603FA9">
              <w:rPr>
                <w:bCs/>
                <w:sz w:val="20"/>
                <w:szCs w:val="20"/>
              </w:rPr>
              <w:t>stosowane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C2FBE"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C2FBE" w:rsidRPr="00603FA9">
              <w:rPr>
                <w:bCs/>
                <w:sz w:val="20"/>
                <w:szCs w:val="20"/>
              </w:rPr>
              <w:t>zaawansowanym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C2FBE" w:rsidRPr="00603FA9">
              <w:rPr>
                <w:bCs/>
                <w:sz w:val="20"/>
                <w:szCs w:val="20"/>
              </w:rPr>
              <w:t>stadium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F60484" w:rsidRPr="00603FA9">
              <w:rPr>
                <w:bCs/>
                <w:sz w:val="20"/>
                <w:szCs w:val="20"/>
              </w:rPr>
              <w:t>czerniaka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brak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tolerancji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</w:t>
            </w:r>
            <w:r w:rsidR="00543068" w:rsidRPr="00603FA9">
              <w:rPr>
                <w:bCs/>
                <w:sz w:val="20"/>
                <w:szCs w:val="20"/>
              </w:rPr>
              <w:t>ozwalający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543068" w:rsidRPr="00603FA9">
              <w:rPr>
                <w:bCs/>
                <w:sz w:val="20"/>
                <w:szCs w:val="20"/>
              </w:rPr>
              <w:t>na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543068" w:rsidRPr="00603FA9">
              <w:rPr>
                <w:bCs/>
                <w:sz w:val="20"/>
                <w:szCs w:val="20"/>
              </w:rPr>
              <w:t>jego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543068" w:rsidRPr="00603FA9">
              <w:rPr>
                <w:bCs/>
                <w:sz w:val="20"/>
                <w:szCs w:val="20"/>
              </w:rPr>
              <w:t>kontynuację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(</w:t>
            </w:r>
            <w:r w:rsidR="0084506A" w:rsidRPr="00603FA9">
              <w:rPr>
                <w:bCs/>
                <w:sz w:val="20"/>
                <w:szCs w:val="20"/>
              </w:rPr>
              <w:t>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4506A" w:rsidRPr="00603FA9">
              <w:rPr>
                <w:bCs/>
                <w:sz w:val="20"/>
                <w:szCs w:val="20"/>
              </w:rPr>
              <w:t>dotyczy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4506A" w:rsidRPr="00603FA9">
              <w:rPr>
                <w:bCs/>
                <w:sz w:val="20"/>
                <w:szCs w:val="20"/>
              </w:rPr>
              <w:t>terapii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4506A" w:rsidRPr="00603FA9">
              <w:rPr>
                <w:bCs/>
                <w:sz w:val="20"/>
                <w:szCs w:val="20"/>
              </w:rPr>
              <w:t>skojarzonej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4506A" w:rsidRPr="00603FA9">
              <w:rPr>
                <w:bCs/>
                <w:sz w:val="20"/>
                <w:szCs w:val="20"/>
              </w:rPr>
              <w:t>niwolumabu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4506A"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4506A" w:rsidRPr="00603FA9">
              <w:rPr>
                <w:bCs/>
                <w:sz w:val="20"/>
                <w:szCs w:val="20"/>
              </w:rPr>
              <w:t>ipilimumabem</w:t>
            </w:r>
            <w:r w:rsidR="00ED7F30" w:rsidRPr="00603FA9">
              <w:rPr>
                <w:bCs/>
                <w:sz w:val="20"/>
                <w:szCs w:val="20"/>
              </w:rPr>
              <w:t>)</w:t>
            </w:r>
            <w:r w:rsidR="00D37D10" w:rsidRPr="00603FA9">
              <w:rPr>
                <w:bCs/>
                <w:sz w:val="20"/>
                <w:szCs w:val="20"/>
              </w:rPr>
              <w:t>.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D37D10" w:rsidRPr="00603FA9">
              <w:rPr>
                <w:bCs/>
                <w:sz w:val="20"/>
                <w:szCs w:val="20"/>
              </w:rPr>
              <w:t>F</w:t>
            </w:r>
            <w:r w:rsidR="00ED7F30" w:rsidRPr="00603FA9">
              <w:rPr>
                <w:bCs/>
                <w:sz w:val="20"/>
                <w:szCs w:val="20"/>
              </w:rPr>
              <w:t>armakologiczne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systemowe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(w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tym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użyciem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anty-PD-1)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stadium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lastRenderedPageBreak/>
              <w:t>zaawansowanym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obejmuje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uzupełniającego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ED7F30" w:rsidRPr="00603FA9">
              <w:rPr>
                <w:bCs/>
                <w:sz w:val="20"/>
                <w:szCs w:val="20"/>
              </w:rPr>
              <w:t>pooperacyjnego</w:t>
            </w:r>
            <w:r w:rsidR="00D37D10" w:rsidRPr="00603FA9">
              <w:rPr>
                <w:bCs/>
                <w:sz w:val="20"/>
                <w:szCs w:val="20"/>
              </w:rPr>
              <w:t>;</w:t>
            </w:r>
          </w:p>
          <w:p w14:paraId="5E662387" w14:textId="67E1F92C" w:rsidR="00BF3E56" w:rsidRPr="00603FA9" w:rsidRDefault="00BF3E56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Zmiany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nowotworowe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umożliwiające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ocenę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odpowiedzi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według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kryteriów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aktualnej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wersji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RECIST;</w:t>
            </w:r>
          </w:p>
          <w:p w14:paraId="0F6DD0E8" w14:textId="02333575" w:rsidR="00BF3E56" w:rsidRPr="00603FA9" w:rsidRDefault="00BF3E56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Stan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sprawności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według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kryteriów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ECOG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stopniu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0-1;</w:t>
            </w:r>
          </w:p>
          <w:p w14:paraId="3B97784A" w14:textId="1F05184E" w:rsidR="00902E60" w:rsidRPr="00603FA9" w:rsidRDefault="00BF3E56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Wiek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≥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18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lat;</w:t>
            </w:r>
          </w:p>
          <w:p w14:paraId="0FCAA262" w14:textId="41CD3639" w:rsidR="00902E60" w:rsidRPr="00603FA9" w:rsidRDefault="00902E60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Do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niwolumabem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skojarzeniu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ipilimumabem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kwalifikowani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A35519">
              <w:rPr>
                <w:bCs/>
                <w:sz w:val="20"/>
                <w:szCs w:val="20"/>
              </w:rPr>
              <w:t>są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pacjenci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ekspresją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PDL-1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poniżej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5%;</w:t>
            </w:r>
          </w:p>
          <w:p w14:paraId="693EA554" w14:textId="2C7E423B" w:rsidR="00A4073C" w:rsidRPr="00603FA9" w:rsidRDefault="00BF3E56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Rozpoczynanie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chwili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ustąpienia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wszystkich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klinicznie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istotnych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działań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niepożądanych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wcześniejszego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leczenia;</w:t>
            </w:r>
          </w:p>
          <w:p w14:paraId="6AE7E114" w14:textId="3CA77E23" w:rsidR="00A4073C" w:rsidRPr="00603FA9" w:rsidRDefault="00A4073C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Brak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objawowych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przerzutów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ośrodkowego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układu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nerwowego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stan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bezobjawowy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przebytym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chirurgicznym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radioterapii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przerzutów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mózgu;</w:t>
            </w:r>
          </w:p>
          <w:p w14:paraId="3F5824EF" w14:textId="45749BFC" w:rsidR="00BF3E56" w:rsidRPr="00603FA9" w:rsidRDefault="00BF3E56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Antykoncepcyjne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przeciwdziałanie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kobiet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wieku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rozrodczym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cały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okres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stosowania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oraz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A4073C" w:rsidRPr="00603FA9">
              <w:rPr>
                <w:bCs/>
                <w:sz w:val="20"/>
                <w:szCs w:val="20"/>
              </w:rPr>
              <w:t>1</w:t>
            </w:r>
            <w:r w:rsidRPr="00603FA9">
              <w:rPr>
                <w:bCs/>
                <w:sz w:val="20"/>
                <w:szCs w:val="20"/>
              </w:rPr>
              <w:t>6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tygodni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podaniu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ostatniej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dawki</w:t>
            </w:r>
            <w:r w:rsidR="00A4073C" w:rsidRPr="00603FA9">
              <w:rPr>
                <w:bCs/>
                <w:sz w:val="20"/>
                <w:szCs w:val="20"/>
              </w:rPr>
              <w:t>;</w:t>
            </w:r>
            <w:r w:rsidRPr="00603FA9">
              <w:rPr>
                <w:bCs/>
                <w:sz w:val="20"/>
                <w:szCs w:val="20"/>
              </w:rPr>
              <w:t>;</w:t>
            </w:r>
          </w:p>
          <w:p w14:paraId="338DA856" w14:textId="46340C6A" w:rsidR="00BF3E56" w:rsidRPr="00603FA9" w:rsidRDefault="00BF3E56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Wykluczenie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ciąży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79D4" w:rsidRPr="00603FA9">
              <w:rPr>
                <w:bCs/>
                <w:sz w:val="20"/>
                <w:szCs w:val="20"/>
              </w:rPr>
              <w:t>karmienia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79D4" w:rsidRPr="00603FA9">
              <w:rPr>
                <w:bCs/>
                <w:sz w:val="20"/>
                <w:szCs w:val="20"/>
              </w:rPr>
              <w:t>piersią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79D4" w:rsidRPr="00603FA9">
              <w:rPr>
                <w:bCs/>
                <w:sz w:val="20"/>
                <w:szCs w:val="20"/>
              </w:rPr>
              <w:t>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E79D4" w:rsidRPr="00603FA9">
              <w:rPr>
                <w:bCs/>
                <w:sz w:val="20"/>
                <w:szCs w:val="20"/>
              </w:rPr>
              <w:t>pacjentek</w:t>
            </w:r>
            <w:r w:rsidR="00C40B59" w:rsidRPr="00603FA9">
              <w:rPr>
                <w:bCs/>
                <w:sz w:val="20"/>
                <w:szCs w:val="20"/>
              </w:rPr>
              <w:t>;</w:t>
            </w:r>
          </w:p>
          <w:p w14:paraId="5C7FB7F8" w14:textId="1EDE9657" w:rsidR="00BF3E56" w:rsidRPr="00603FA9" w:rsidRDefault="000A53A8" w:rsidP="003905E1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Wyniki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badania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morfologii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oraz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badań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biochemicznych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krwi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umożliwiające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zgodnie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aktualną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Charakterystyką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Produktu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Leczniczego;</w:t>
            </w:r>
          </w:p>
          <w:p w14:paraId="2AC17EEF" w14:textId="22F25FE0" w:rsidR="000A53A8" w:rsidRPr="00603FA9" w:rsidRDefault="000A53A8" w:rsidP="00E575A3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Brak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przeciwskazań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rozpoczęcia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wskazanych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Charakterystyce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Produktu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Leczniczego</w:t>
            </w:r>
            <w:r w:rsidR="00CE3429">
              <w:rPr>
                <w:bCs/>
                <w:sz w:val="20"/>
                <w:szCs w:val="20"/>
              </w:rPr>
              <w:t>.</w:t>
            </w:r>
          </w:p>
          <w:p w14:paraId="5C2F687F" w14:textId="2233A740" w:rsidR="00B540AA" w:rsidRDefault="00B42DE1" w:rsidP="00E575A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E575A3">
              <w:rPr>
                <w:sz w:val="20"/>
                <w:szCs w:val="20"/>
              </w:rPr>
              <w:t>Kryteria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kwalifikacji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muszą</w:t>
            </w:r>
            <w:r w:rsidR="00CE3429">
              <w:rPr>
                <w:sz w:val="20"/>
                <w:szCs w:val="20"/>
              </w:rPr>
              <w:t xml:space="preserve"> </w:t>
            </w:r>
            <w:r w:rsidR="00B540AA" w:rsidRPr="00E575A3">
              <w:rPr>
                <w:sz w:val="20"/>
                <w:szCs w:val="20"/>
              </w:rPr>
              <w:t>być</w:t>
            </w:r>
            <w:r w:rsidR="00CE3429">
              <w:rPr>
                <w:sz w:val="20"/>
                <w:szCs w:val="20"/>
              </w:rPr>
              <w:t xml:space="preserve"> </w:t>
            </w:r>
            <w:r w:rsidR="00B540AA" w:rsidRPr="00E575A3">
              <w:rPr>
                <w:sz w:val="20"/>
                <w:szCs w:val="20"/>
              </w:rPr>
              <w:t>spełnione</w:t>
            </w:r>
            <w:r w:rsidR="00CE3429">
              <w:rPr>
                <w:sz w:val="20"/>
                <w:szCs w:val="20"/>
              </w:rPr>
              <w:t xml:space="preserve"> </w:t>
            </w:r>
            <w:r w:rsidR="00B540AA" w:rsidRPr="00E575A3">
              <w:rPr>
                <w:sz w:val="20"/>
                <w:szCs w:val="20"/>
              </w:rPr>
              <w:t>łącznie.</w:t>
            </w:r>
          </w:p>
          <w:p w14:paraId="747F26B8" w14:textId="77777777" w:rsidR="00CE3429" w:rsidRPr="00E575A3" w:rsidRDefault="00CE3429" w:rsidP="00E575A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21C8A987" w14:textId="3464C59D" w:rsidR="00352F28" w:rsidRPr="00603FA9" w:rsidRDefault="00BE32E5" w:rsidP="003905E1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Kryteria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kwalifikacji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do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zastosowaniem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wemurafenibu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kobimetynibu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albo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zastosowaniem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dabrafenibu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/>
                <w:bCs/>
                <w:sz w:val="20"/>
                <w:szCs w:val="20"/>
              </w:rPr>
              <w:t>trametynibu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603FA9">
              <w:rPr>
                <w:b/>
                <w:bCs/>
                <w:sz w:val="20"/>
                <w:szCs w:val="20"/>
              </w:rPr>
              <w:t>albo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603FA9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603FA9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577818" w:rsidRPr="00603FA9">
              <w:rPr>
                <w:b/>
                <w:sz w:val="20"/>
                <w:szCs w:val="20"/>
              </w:rPr>
              <w:t>enkorafenib</w:t>
            </w:r>
            <w:r w:rsidR="00680D15" w:rsidRPr="00603FA9">
              <w:rPr>
                <w:b/>
                <w:sz w:val="20"/>
                <w:szCs w:val="20"/>
              </w:rPr>
              <w:t>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577818"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577818" w:rsidRPr="00603FA9">
              <w:rPr>
                <w:b/>
                <w:sz w:val="20"/>
                <w:szCs w:val="20"/>
              </w:rPr>
              <w:t>binimetynibem</w:t>
            </w:r>
          </w:p>
          <w:p w14:paraId="2A1C6E45" w14:textId="1D88B9FC" w:rsidR="00352F28" w:rsidRPr="00603FA9" w:rsidRDefault="00352F28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Rozpoznanie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nieresekcyjnego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(stopień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III)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uogólnionego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(stopień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IV)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czerniaka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skóry;</w:t>
            </w:r>
          </w:p>
          <w:p w14:paraId="1FBF18D2" w14:textId="69DE54DD" w:rsidR="00352F28" w:rsidRPr="00603FA9" w:rsidRDefault="00352F28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Potwierdzenie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mutacji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BRAF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V600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komórkach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nowotworowych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pomocą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zwalidowanego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testu;</w:t>
            </w:r>
          </w:p>
          <w:p w14:paraId="0127FC45" w14:textId="22AA24A0" w:rsidR="00352F28" w:rsidRPr="00603FA9" w:rsidRDefault="00352F28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Zmiany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nowotworowe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umożliwiające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ocenę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odpowiedzi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według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kryteriów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aktualnej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wersji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RECIST;</w:t>
            </w:r>
          </w:p>
          <w:p w14:paraId="76059D95" w14:textId="79DC1ACE" w:rsidR="00352F28" w:rsidRPr="00603FA9" w:rsidRDefault="00352F28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lastRenderedPageBreak/>
              <w:t>Wiek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≥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18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lat;</w:t>
            </w:r>
          </w:p>
          <w:p w14:paraId="507B5803" w14:textId="666C12DD" w:rsidR="00352F28" w:rsidRPr="00603FA9" w:rsidRDefault="00352F28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S</w:t>
            </w:r>
            <w:r w:rsidR="00682D6F" w:rsidRPr="00603FA9">
              <w:rPr>
                <w:bCs/>
                <w:sz w:val="20"/>
                <w:szCs w:val="20"/>
              </w:rPr>
              <w:t>prawność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682D6F"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682D6F" w:rsidRPr="00603FA9">
              <w:rPr>
                <w:bCs/>
                <w:sz w:val="20"/>
                <w:szCs w:val="20"/>
              </w:rPr>
              <w:t>stopniu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682D6F" w:rsidRPr="00603FA9">
              <w:rPr>
                <w:bCs/>
                <w:sz w:val="20"/>
                <w:szCs w:val="20"/>
              </w:rPr>
              <w:t>0-1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wg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klasyfikacji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Zubroda-WHO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ECOG;</w:t>
            </w:r>
          </w:p>
          <w:p w14:paraId="26EC4C46" w14:textId="06C0B960" w:rsidR="00352F28" w:rsidRPr="00603FA9" w:rsidRDefault="00352F28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Brak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objawowych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przerzutów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ośrodkowego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układu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nerwowego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stan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bezobjawowy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przebytym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chirurgicznym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radioterapii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przerzutów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mózgu;</w:t>
            </w:r>
          </w:p>
          <w:p w14:paraId="5236E375" w14:textId="2AE20253" w:rsidR="00352F28" w:rsidRPr="00603FA9" w:rsidRDefault="00352F28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Wiel</w:t>
            </w:r>
            <w:r w:rsidR="00682D6F" w:rsidRPr="00603FA9">
              <w:rPr>
                <w:bCs/>
                <w:sz w:val="20"/>
                <w:szCs w:val="20"/>
              </w:rPr>
              <w:t>kość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682D6F" w:rsidRPr="00603FA9">
              <w:rPr>
                <w:bCs/>
                <w:sz w:val="20"/>
                <w:szCs w:val="20"/>
              </w:rPr>
              <w:t>odstępu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682D6F" w:rsidRPr="00603FA9">
              <w:rPr>
                <w:bCs/>
                <w:sz w:val="20"/>
                <w:szCs w:val="20"/>
              </w:rPr>
              <w:t>QTc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682D6F"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682D6F" w:rsidRPr="00603FA9">
              <w:rPr>
                <w:bCs/>
                <w:sz w:val="20"/>
                <w:szCs w:val="20"/>
              </w:rPr>
              <w:t>badaniu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682D6F" w:rsidRPr="00603FA9">
              <w:rPr>
                <w:bCs/>
                <w:sz w:val="20"/>
                <w:szCs w:val="20"/>
              </w:rPr>
              <w:t>EKG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≤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500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ms;</w:t>
            </w:r>
          </w:p>
          <w:p w14:paraId="1EC0EB07" w14:textId="44F642AB" w:rsidR="00352F28" w:rsidRPr="00603FA9" w:rsidRDefault="00997DD6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</w:t>
            </w:r>
            <w:r w:rsidR="00352F28" w:rsidRPr="00603FA9">
              <w:rPr>
                <w:bCs/>
                <w:sz w:val="20"/>
                <w:szCs w:val="20"/>
              </w:rPr>
              <w:t>yniki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badania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morfologii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oraz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badań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biochemicznych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krwi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umożliwiające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zgodnie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aktualnymi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Charakterystykami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Produktów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Leczniczych;</w:t>
            </w:r>
          </w:p>
          <w:p w14:paraId="6A05381E" w14:textId="08E29F22" w:rsidR="00352F28" w:rsidRPr="00603FA9" w:rsidRDefault="00352F28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Brak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przeciwwskazań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określonych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aktualnych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Charakterystykach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Produktów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Leczniczych</w:t>
            </w:r>
            <w:r w:rsidR="00997DD6" w:rsidRPr="00603FA9">
              <w:rPr>
                <w:bCs/>
                <w:sz w:val="20"/>
                <w:szCs w:val="20"/>
              </w:rPr>
              <w:t>;</w:t>
            </w:r>
          </w:p>
          <w:p w14:paraId="6546C92A" w14:textId="3D67739D" w:rsidR="00352F28" w:rsidRPr="00603FA9" w:rsidRDefault="00997DD6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B</w:t>
            </w:r>
            <w:r w:rsidR="00352F28" w:rsidRPr="00603FA9">
              <w:rPr>
                <w:bCs/>
                <w:sz w:val="20"/>
                <w:szCs w:val="20"/>
              </w:rPr>
              <w:t>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schorzeń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towarzyszących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zaburzeń,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uniemożliwiających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leczenie</w:t>
            </w:r>
            <w:r w:rsidRPr="00603FA9">
              <w:rPr>
                <w:bCs/>
                <w:sz w:val="20"/>
                <w:szCs w:val="20"/>
              </w:rPr>
              <w:t>;</w:t>
            </w:r>
          </w:p>
          <w:p w14:paraId="67A02A2B" w14:textId="07C2D0CB" w:rsidR="00352F28" w:rsidRPr="00603FA9" w:rsidRDefault="00997DD6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</w:t>
            </w:r>
            <w:r w:rsidR="00352F28" w:rsidRPr="00603FA9">
              <w:rPr>
                <w:bCs/>
                <w:sz w:val="20"/>
                <w:szCs w:val="20"/>
              </w:rPr>
              <w:t>ykluczone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stosowanie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jednoczesnej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chemioterapii;</w:t>
            </w:r>
          </w:p>
          <w:p w14:paraId="067EB2A1" w14:textId="12E9B3B2" w:rsidR="00352F28" w:rsidRPr="00603FA9" w:rsidRDefault="00997DD6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</w:t>
            </w:r>
            <w:r w:rsidR="00352F28" w:rsidRPr="00603FA9">
              <w:rPr>
                <w:bCs/>
                <w:sz w:val="20"/>
                <w:szCs w:val="20"/>
              </w:rPr>
              <w:t>ykluczenie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współistniejącego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innego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0B3CAA" w:rsidRPr="00603FA9">
              <w:rPr>
                <w:bCs/>
                <w:sz w:val="20"/>
                <w:szCs w:val="20"/>
              </w:rPr>
              <w:t>aktywnego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nowotworu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złośliwego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wyjątk</w:t>
            </w:r>
            <w:r w:rsidR="00872568" w:rsidRPr="00603FA9">
              <w:rPr>
                <w:bCs/>
                <w:sz w:val="20"/>
                <w:szCs w:val="20"/>
              </w:rPr>
              <w:t>iem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72568" w:rsidRPr="00603FA9">
              <w:rPr>
                <w:bCs/>
                <w:sz w:val="20"/>
                <w:szCs w:val="20"/>
              </w:rPr>
              <w:t>nowotworów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72568" w:rsidRPr="00603FA9">
              <w:rPr>
                <w:bCs/>
                <w:sz w:val="20"/>
                <w:szCs w:val="20"/>
              </w:rPr>
              <w:t>złośliwych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872568" w:rsidRPr="00603FA9">
              <w:rPr>
                <w:bCs/>
                <w:sz w:val="20"/>
                <w:szCs w:val="20"/>
              </w:rPr>
              <w:t>skóry;</w:t>
            </w:r>
          </w:p>
          <w:p w14:paraId="45977965" w14:textId="15BB6746" w:rsidR="00352F28" w:rsidRPr="00603FA9" w:rsidRDefault="00997DD6" w:rsidP="00E575A3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W</w:t>
            </w:r>
            <w:r w:rsidR="00352F28" w:rsidRPr="00603FA9">
              <w:rPr>
                <w:bCs/>
                <w:sz w:val="20"/>
                <w:szCs w:val="20"/>
              </w:rPr>
              <w:t>ykluczenie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ciąży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karmienia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piersią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352F28" w:rsidRPr="00603FA9">
              <w:rPr>
                <w:bCs/>
                <w:sz w:val="20"/>
                <w:szCs w:val="20"/>
              </w:rPr>
              <w:t>pacjentek</w:t>
            </w:r>
            <w:r w:rsidRPr="00603FA9">
              <w:rPr>
                <w:bCs/>
                <w:sz w:val="20"/>
                <w:szCs w:val="20"/>
              </w:rPr>
              <w:t>;</w:t>
            </w:r>
          </w:p>
          <w:p w14:paraId="5F18E64A" w14:textId="03B330E5" w:rsidR="00352F28" w:rsidRDefault="00352F28" w:rsidP="00E575A3">
            <w:pPr>
              <w:spacing w:after="60"/>
              <w:jc w:val="both"/>
              <w:rPr>
                <w:sz w:val="20"/>
                <w:szCs w:val="20"/>
              </w:rPr>
            </w:pPr>
            <w:r w:rsidRPr="00E575A3">
              <w:rPr>
                <w:sz w:val="20"/>
                <w:szCs w:val="20"/>
              </w:rPr>
              <w:t>Kryteria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kwalifikacji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muszą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być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spełnione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łącznie.</w:t>
            </w:r>
          </w:p>
          <w:p w14:paraId="7B1BD2FB" w14:textId="77777777" w:rsidR="00E575A3" w:rsidRPr="00E575A3" w:rsidRDefault="00E575A3" w:rsidP="00E575A3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5947937A" w14:textId="01019332" w:rsidR="00F12B51" w:rsidRPr="00603FA9" w:rsidRDefault="00F12B51" w:rsidP="003905E1">
            <w:pPr>
              <w:pStyle w:val="Akapitzlist"/>
              <w:numPr>
                <w:ilvl w:val="0"/>
                <w:numId w:val="36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Określenie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czasu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leczenia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w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programie</w:t>
            </w:r>
          </w:p>
          <w:p w14:paraId="29F18D0F" w14:textId="2922CECF" w:rsidR="005864CB" w:rsidRPr="00603FA9" w:rsidRDefault="00F14700" w:rsidP="003905E1">
            <w:pPr>
              <w:pStyle w:val="Akapitzlist"/>
              <w:numPr>
                <w:ilvl w:val="1"/>
                <w:numId w:val="36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Określenie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czasu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leczenia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37064" w:rsidRPr="00603FA9">
              <w:rPr>
                <w:b/>
                <w:bCs/>
                <w:sz w:val="20"/>
                <w:szCs w:val="20"/>
              </w:rPr>
              <w:t>w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37064" w:rsidRPr="00603FA9">
              <w:rPr>
                <w:b/>
                <w:bCs/>
                <w:sz w:val="20"/>
                <w:szCs w:val="20"/>
              </w:rPr>
              <w:t>monoterapii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ipilimumabem</w:t>
            </w:r>
          </w:p>
          <w:p w14:paraId="32BD34D8" w14:textId="23F9D1E5" w:rsidR="005864CB" w:rsidRPr="00E575A3" w:rsidRDefault="005864CB" w:rsidP="00E575A3">
            <w:pPr>
              <w:spacing w:after="60"/>
              <w:jc w:val="both"/>
              <w:rPr>
                <w:bCs/>
                <w:sz w:val="20"/>
                <w:szCs w:val="20"/>
              </w:rPr>
            </w:pPr>
            <w:r w:rsidRPr="00E575A3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84D4C" w:rsidRPr="00E575A3">
              <w:rPr>
                <w:bCs/>
                <w:sz w:val="20"/>
                <w:szCs w:val="20"/>
              </w:rPr>
              <w:t>-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przypadku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dobrej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tolerancji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uzyskania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obiektywnych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korzyści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84D4C" w:rsidRPr="00E575A3">
              <w:rPr>
                <w:bCs/>
                <w:sz w:val="20"/>
                <w:szCs w:val="20"/>
              </w:rPr>
              <w:t>-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może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trwać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10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tygodni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(zastosowanie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leku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tygodniach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1.,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4.,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7.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10.).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przypadku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wystąpienia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objawów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nietolerancji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cech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progresji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choroby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według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kryteriów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immunologicznej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odpowiedzi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leczenie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powinno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być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odroczone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przerywane.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Kryteria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immunologicznej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odpowiedzi:</w:t>
            </w:r>
          </w:p>
          <w:p w14:paraId="1FA10562" w14:textId="7B39CEDB" w:rsidR="005864CB" w:rsidRPr="00603FA9" w:rsidRDefault="005864CB" w:rsidP="00E575A3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irCR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84D4C" w:rsidRPr="00603FA9">
              <w:rPr>
                <w:bCs/>
                <w:sz w:val="20"/>
                <w:szCs w:val="20"/>
              </w:rPr>
              <w:t>-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całkowite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ustąpienie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wszystkich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zmian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(mierzalnych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niemierzalnych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oraz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brak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nowych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zmian)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potwierdzone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powtórną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oceną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wykonaną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mniej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niż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4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tygodnie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od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daty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pierwszej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dokumentacji;</w:t>
            </w:r>
          </w:p>
          <w:p w14:paraId="7F583BF1" w14:textId="68253A65" w:rsidR="005864CB" w:rsidRPr="00603FA9" w:rsidRDefault="005864CB" w:rsidP="00E575A3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irPR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84D4C" w:rsidRPr="00603FA9">
              <w:rPr>
                <w:bCs/>
                <w:sz w:val="20"/>
                <w:szCs w:val="20"/>
              </w:rPr>
              <w:t>-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zmniejszenie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się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zaawansowania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nowotworu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sym w:font="Symbol" w:char="F0B3"/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50%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względem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stanu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wyjściowego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potwierdzone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kolejną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oceną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wykonan</w:t>
            </w:r>
            <w:r w:rsidR="006D5742" w:rsidRPr="00603FA9">
              <w:rPr>
                <w:bCs/>
                <w:sz w:val="20"/>
                <w:szCs w:val="20"/>
              </w:rPr>
              <w:t>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przynajmniej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4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tygodnie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pierwszej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dokumentacji;</w:t>
            </w:r>
          </w:p>
          <w:p w14:paraId="7700875B" w14:textId="5CEE69E6" w:rsidR="005864CB" w:rsidRPr="00603FA9" w:rsidRDefault="005864CB" w:rsidP="00E575A3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t>irSD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84D4C" w:rsidRPr="00603FA9">
              <w:rPr>
                <w:bCs/>
                <w:sz w:val="20"/>
                <w:szCs w:val="20"/>
              </w:rPr>
              <w:t>-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nieobecność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kryteriów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irCR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irPR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oraz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nieobecność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irPD;</w:t>
            </w:r>
          </w:p>
          <w:p w14:paraId="6A55A32B" w14:textId="4BF63E3A" w:rsidR="005864CB" w:rsidRPr="00603FA9" w:rsidRDefault="005864CB" w:rsidP="00E575A3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603FA9">
              <w:rPr>
                <w:bCs/>
                <w:sz w:val="20"/>
                <w:szCs w:val="20"/>
              </w:rPr>
              <w:lastRenderedPageBreak/>
              <w:t>irPD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B84D4C" w:rsidRPr="00603FA9">
              <w:rPr>
                <w:bCs/>
                <w:sz w:val="20"/>
                <w:szCs w:val="20"/>
              </w:rPr>
              <w:t>-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zwiększenie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zaawansowania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guza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sym w:font="Symbol" w:char="F0B3"/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25%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względem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minimalnego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zarejestrowanego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stopnia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zaawansowania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potwierdzone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powtórną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oceną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wykonaną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mniej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niż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4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603FA9">
              <w:rPr>
                <w:bCs/>
                <w:sz w:val="20"/>
                <w:szCs w:val="20"/>
              </w:rPr>
              <w:t>tygodnie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C87CAD" w:rsidRPr="00603FA9">
              <w:rPr>
                <w:bCs/>
                <w:sz w:val="20"/>
                <w:szCs w:val="20"/>
              </w:rPr>
              <w:t>od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C87CAD" w:rsidRPr="00603FA9">
              <w:rPr>
                <w:bCs/>
                <w:sz w:val="20"/>
                <w:szCs w:val="20"/>
              </w:rPr>
              <w:t>daty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C87CAD" w:rsidRPr="00603FA9">
              <w:rPr>
                <w:bCs/>
                <w:sz w:val="20"/>
                <w:szCs w:val="20"/>
              </w:rPr>
              <w:t>pierwszej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="00C87CAD" w:rsidRPr="00603FA9">
              <w:rPr>
                <w:bCs/>
                <w:sz w:val="20"/>
                <w:szCs w:val="20"/>
              </w:rPr>
              <w:t>dokumentacji.</w:t>
            </w:r>
          </w:p>
          <w:p w14:paraId="7261A539" w14:textId="11B04811" w:rsidR="005864CB" w:rsidRPr="00E575A3" w:rsidRDefault="005864CB" w:rsidP="00E575A3">
            <w:pPr>
              <w:spacing w:after="60"/>
              <w:jc w:val="both"/>
              <w:rPr>
                <w:bCs/>
                <w:sz w:val="20"/>
                <w:szCs w:val="20"/>
              </w:rPr>
            </w:pPr>
            <w:r w:rsidRPr="00E575A3">
              <w:rPr>
                <w:bCs/>
                <w:sz w:val="20"/>
                <w:szCs w:val="20"/>
              </w:rPr>
              <w:t>Czasowe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przerwanie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(zawieszenie)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leczenia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może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mieć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miejsce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w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przypadku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wystąpienia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poważnych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działań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niepożądanych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lub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znaczącego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pogorszenia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stanu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sprawności</w:t>
            </w:r>
            <w:r w:rsidR="00CE3429">
              <w:rPr>
                <w:bCs/>
                <w:sz w:val="20"/>
                <w:szCs w:val="20"/>
              </w:rPr>
              <w:t xml:space="preserve"> </w:t>
            </w:r>
            <w:r w:rsidRPr="00E575A3">
              <w:rPr>
                <w:bCs/>
                <w:sz w:val="20"/>
                <w:szCs w:val="20"/>
              </w:rPr>
              <w:t>pacjenta.</w:t>
            </w:r>
          </w:p>
          <w:p w14:paraId="270C7E89" w14:textId="1E5EA2E3" w:rsidR="005864CB" w:rsidRPr="00E575A3" w:rsidRDefault="00F12B51" w:rsidP="00E575A3">
            <w:pPr>
              <w:spacing w:after="60"/>
              <w:jc w:val="both"/>
              <w:rPr>
                <w:iCs/>
                <w:sz w:val="20"/>
                <w:szCs w:val="20"/>
              </w:rPr>
            </w:pPr>
            <w:r w:rsidRPr="00E575A3">
              <w:rPr>
                <w:iCs/>
                <w:sz w:val="20"/>
                <w:szCs w:val="20"/>
              </w:rPr>
              <w:t>W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razie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wystąpienia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przynajmniej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jednego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z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następujących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zdarzeń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niepożądanych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konieczne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może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być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wstrzymanie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dawki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ipilimumabu:</w:t>
            </w:r>
          </w:p>
          <w:p w14:paraId="255F06F1" w14:textId="48737CE0" w:rsidR="005864CB" w:rsidRPr="00603FA9" w:rsidRDefault="00F12B51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03FA9">
              <w:rPr>
                <w:iCs/>
                <w:sz w:val="20"/>
                <w:szCs w:val="20"/>
              </w:rPr>
              <w:t>jakiekolwiek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zdarzenie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niepożądane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stopnia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≥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2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niezwiązane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ze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skórą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(włącznie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z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irAE),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z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wyjątkiem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nieprawidłowych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wyników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badań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laboratoryjnych;</w:t>
            </w:r>
          </w:p>
          <w:p w14:paraId="499A15BB" w14:textId="386284A2" w:rsidR="005864CB" w:rsidRPr="00603FA9" w:rsidRDefault="00F12B51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03FA9">
              <w:rPr>
                <w:iCs/>
                <w:sz w:val="20"/>
                <w:szCs w:val="20"/>
              </w:rPr>
              <w:t>jakikolwiek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nieprawidłowy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wynik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badania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laboratoryjnego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w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stopniu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≥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3;</w:t>
            </w:r>
          </w:p>
          <w:p w14:paraId="37407A08" w14:textId="7AEAE764" w:rsidR="00F12B51" w:rsidRPr="00603FA9" w:rsidRDefault="00F12B51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03FA9">
              <w:rPr>
                <w:iCs/>
                <w:sz w:val="20"/>
                <w:szCs w:val="20"/>
              </w:rPr>
              <w:t>jakiekolwiek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zdarzenie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niepożądane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stopnia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≥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3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dotyczące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skóry,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niezależnie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od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związku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przyczynowego.</w:t>
            </w:r>
          </w:p>
          <w:p w14:paraId="3F96493E" w14:textId="19BB9E5C" w:rsidR="00F12B51" w:rsidRDefault="00F12B51" w:rsidP="00E575A3">
            <w:pPr>
              <w:spacing w:after="60"/>
              <w:jc w:val="both"/>
              <w:rPr>
                <w:iCs/>
                <w:sz w:val="20"/>
                <w:szCs w:val="20"/>
              </w:rPr>
            </w:pPr>
            <w:r w:rsidRPr="00E575A3">
              <w:rPr>
                <w:iCs/>
                <w:sz w:val="20"/>
                <w:szCs w:val="20"/>
              </w:rPr>
              <w:t>Należy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wznowić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leczenie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ipilimumabem,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jeżeli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nasilenie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zdarzeń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niepożądanych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zmniejszy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się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do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stopnia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≤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1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następnie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powrócić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do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dawkowania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do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chwili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podania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wszystkich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4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dawek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lub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do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16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tygodni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po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pierwszej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dawce,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cokolwiek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nastąpi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wcześniej.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</w:p>
          <w:p w14:paraId="4B785D78" w14:textId="77777777" w:rsidR="00E575A3" w:rsidRPr="00E575A3" w:rsidRDefault="00E575A3" w:rsidP="00E575A3">
            <w:pPr>
              <w:spacing w:after="60"/>
              <w:jc w:val="both"/>
              <w:rPr>
                <w:iCs/>
                <w:sz w:val="20"/>
                <w:szCs w:val="20"/>
              </w:rPr>
            </w:pPr>
          </w:p>
          <w:p w14:paraId="46F2A49D" w14:textId="77777777" w:rsidR="00E575A3" w:rsidRPr="00E575A3" w:rsidRDefault="00E575A3" w:rsidP="00E575A3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vanish/>
                <w:sz w:val="20"/>
                <w:szCs w:val="20"/>
              </w:rPr>
            </w:pPr>
          </w:p>
          <w:p w14:paraId="103C328F" w14:textId="77777777" w:rsidR="00E575A3" w:rsidRPr="00E575A3" w:rsidRDefault="00E575A3" w:rsidP="00E575A3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vanish/>
                <w:sz w:val="20"/>
                <w:szCs w:val="20"/>
              </w:rPr>
            </w:pPr>
          </w:p>
          <w:p w14:paraId="03849C2E" w14:textId="0C74ABEF" w:rsidR="00F12B51" w:rsidRPr="00603FA9" w:rsidRDefault="00FF13F3" w:rsidP="00E575A3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Określenie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czasu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leczenia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niwolumabem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lub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F12B51" w:rsidRPr="00603FA9">
              <w:rPr>
                <w:b/>
                <w:sz w:val="20"/>
                <w:szCs w:val="20"/>
              </w:rPr>
              <w:t>pembrolizumabem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37064" w:rsidRPr="00603FA9">
              <w:rPr>
                <w:b/>
                <w:sz w:val="20"/>
                <w:szCs w:val="20"/>
              </w:rPr>
              <w:t>lub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37064" w:rsidRPr="00603FA9">
              <w:rPr>
                <w:b/>
                <w:sz w:val="20"/>
                <w:szCs w:val="20"/>
              </w:rPr>
              <w:t>terapii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37064" w:rsidRPr="00603FA9">
              <w:rPr>
                <w:b/>
                <w:sz w:val="20"/>
                <w:szCs w:val="20"/>
              </w:rPr>
              <w:t>skojarzonej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37064" w:rsidRPr="00603FA9">
              <w:rPr>
                <w:b/>
                <w:sz w:val="20"/>
                <w:szCs w:val="20"/>
              </w:rPr>
              <w:t>niwolumab</w:t>
            </w:r>
            <w:r w:rsidR="00680D15" w:rsidRPr="00603FA9">
              <w:rPr>
                <w:b/>
                <w:sz w:val="20"/>
                <w:szCs w:val="20"/>
              </w:rPr>
              <w:t>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37064"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37064" w:rsidRPr="00603FA9">
              <w:rPr>
                <w:b/>
                <w:sz w:val="20"/>
                <w:szCs w:val="20"/>
              </w:rPr>
              <w:t>ipilimumabem</w:t>
            </w:r>
          </w:p>
          <w:p w14:paraId="11683D39" w14:textId="37EC884C" w:rsidR="00F12B51" w:rsidRPr="00E575A3" w:rsidRDefault="00F12B51" w:rsidP="00E575A3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E575A3">
              <w:rPr>
                <w:sz w:val="20"/>
                <w:szCs w:val="20"/>
              </w:rPr>
              <w:t>Leczenie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trwa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czasu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podjęcia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lekarza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prowadzącego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decyzji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wyłączeniu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świadczeniobiorcy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programu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zgodnie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kryteriami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wyłączenia.</w:t>
            </w:r>
          </w:p>
          <w:p w14:paraId="4298C0F4" w14:textId="265C6DD2" w:rsidR="00024E8D" w:rsidRPr="00E575A3" w:rsidRDefault="00787372" w:rsidP="00E575A3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E575A3">
              <w:rPr>
                <w:sz w:val="20"/>
                <w:szCs w:val="20"/>
              </w:rPr>
              <w:t>Dopuszcza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się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możliwość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zawieszenia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terapii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niwolumabem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pembrolizumabem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okresie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minimum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6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miesięcy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trwania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terapii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chorych,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których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uzyskano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korzyść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kliniczną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(stabilizacja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choroby,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częściowa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całkowita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odpowiedź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wg.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RECIST)</w:t>
            </w:r>
            <w:r w:rsidR="00CE3429">
              <w:rPr>
                <w:sz w:val="20"/>
                <w:szCs w:val="20"/>
              </w:rPr>
              <w:t xml:space="preserve"> </w:t>
            </w:r>
            <w:r w:rsidR="00024E8D" w:rsidRPr="00E575A3">
              <w:rPr>
                <w:sz w:val="20"/>
                <w:szCs w:val="20"/>
              </w:rPr>
              <w:t>pod</w:t>
            </w:r>
            <w:r w:rsidR="00CE3429">
              <w:rPr>
                <w:sz w:val="20"/>
                <w:szCs w:val="20"/>
              </w:rPr>
              <w:t xml:space="preserve"> </w:t>
            </w:r>
            <w:r w:rsidR="00024E8D" w:rsidRPr="00E575A3">
              <w:rPr>
                <w:sz w:val="20"/>
                <w:szCs w:val="20"/>
              </w:rPr>
              <w:t>następującymi</w:t>
            </w:r>
            <w:r w:rsidR="00CE3429">
              <w:rPr>
                <w:sz w:val="20"/>
                <w:szCs w:val="20"/>
              </w:rPr>
              <w:t xml:space="preserve"> </w:t>
            </w:r>
            <w:r w:rsidR="00024E8D" w:rsidRPr="00E575A3">
              <w:rPr>
                <w:sz w:val="20"/>
                <w:szCs w:val="20"/>
              </w:rPr>
              <w:t>warunkami:</w:t>
            </w:r>
          </w:p>
          <w:p w14:paraId="239D3213" w14:textId="2357D74A" w:rsidR="004F7B41" w:rsidRPr="00603FA9" w:rsidRDefault="004F7B41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potwierdzenie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korzyści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klinicznej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kolejnym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badaniu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obrazowym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wykonanym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najmniej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tygodniach,</w:t>
            </w:r>
            <w:r w:rsidR="00CE3429">
              <w:rPr>
                <w:sz w:val="20"/>
                <w:szCs w:val="20"/>
              </w:rPr>
              <w:t xml:space="preserve"> </w:t>
            </w:r>
          </w:p>
          <w:p w14:paraId="4DDFA31E" w14:textId="10E7E4C3" w:rsidR="00024E8D" w:rsidRPr="00603FA9" w:rsidRDefault="004F7B41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konsolidacja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uzyskanej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korzyści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klinicznej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2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kolejnymi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podaniami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leku,</w:t>
            </w:r>
          </w:p>
          <w:p w14:paraId="4DD05E65" w14:textId="61B32D99" w:rsidR="004F7B41" w:rsidRPr="00603FA9" w:rsidRDefault="004F7B41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obopólna,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udokumentowana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decyzja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zgoda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zarówno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lekarza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jak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pacjenta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zawieszenie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terapii.</w:t>
            </w:r>
          </w:p>
          <w:p w14:paraId="5B985146" w14:textId="35571DD5" w:rsidR="004F7B41" w:rsidRDefault="004F7B41" w:rsidP="00E575A3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E575A3">
              <w:rPr>
                <w:sz w:val="20"/>
                <w:szCs w:val="20"/>
              </w:rPr>
              <w:lastRenderedPageBreak/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przypadku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wystąpienia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progresji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istnieje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możliwość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powrotu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tego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leczenia,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ile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pacjent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spełnia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kryteriów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wyłączenia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programu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zachodzą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inne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przeciwwskazania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leczenia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niwolumabem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pembrolizumabem.</w:t>
            </w:r>
          </w:p>
          <w:p w14:paraId="49BCB16F" w14:textId="77777777" w:rsidR="00E575A3" w:rsidRPr="00E575A3" w:rsidRDefault="00E575A3" w:rsidP="00E575A3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1532E87D" w14:textId="22119556" w:rsidR="005A721C" w:rsidRPr="00603FA9" w:rsidRDefault="00BE32E5" w:rsidP="00E575A3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Określenie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czasu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trwania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zastosowaniem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wemurafenibu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kobimetynibu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albo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zastosowaniem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dabrafenibu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bCs/>
                <w:sz w:val="20"/>
                <w:szCs w:val="20"/>
              </w:rPr>
              <w:t>trametynibu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5A721C" w:rsidRPr="00603FA9">
              <w:rPr>
                <w:b/>
                <w:bCs/>
                <w:sz w:val="20"/>
                <w:szCs w:val="20"/>
              </w:rPr>
              <w:t>albo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5A721C" w:rsidRPr="00603FA9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5A721C" w:rsidRPr="00603FA9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5A721C" w:rsidRPr="00603FA9">
              <w:rPr>
                <w:b/>
                <w:sz w:val="20"/>
                <w:szCs w:val="20"/>
              </w:rPr>
              <w:t>enkorafenib</w:t>
            </w:r>
            <w:r w:rsidR="00680D15" w:rsidRPr="00603FA9">
              <w:rPr>
                <w:b/>
                <w:sz w:val="20"/>
                <w:szCs w:val="20"/>
              </w:rPr>
              <w:t>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5A721C"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5A721C" w:rsidRPr="00603FA9">
              <w:rPr>
                <w:b/>
                <w:sz w:val="20"/>
                <w:szCs w:val="20"/>
              </w:rPr>
              <w:t>binimetynibem</w:t>
            </w:r>
          </w:p>
          <w:p w14:paraId="6352EDAE" w14:textId="47CFAA37" w:rsidR="00997DD6" w:rsidRDefault="00997DD6" w:rsidP="00E575A3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E575A3">
              <w:rPr>
                <w:sz w:val="20"/>
                <w:szCs w:val="20"/>
              </w:rPr>
              <w:t>Leczenie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trwa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czasu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podjęcia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lekarza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prowadzącego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decyzji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o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wyłączeniu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świadczeniobiorcy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zgodnie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kryteriami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E575A3">
              <w:rPr>
                <w:sz w:val="20"/>
                <w:szCs w:val="20"/>
              </w:rPr>
              <w:t>wyłączenia.</w:t>
            </w:r>
          </w:p>
          <w:p w14:paraId="3E17E163" w14:textId="77777777" w:rsidR="00E575A3" w:rsidRPr="00E575A3" w:rsidRDefault="00E575A3" w:rsidP="00E575A3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7F750C91" w14:textId="663EBC99" w:rsidR="007D2744" w:rsidRPr="00603FA9" w:rsidRDefault="00F12B51" w:rsidP="00E575A3">
            <w:pPr>
              <w:pStyle w:val="Akapitzlist"/>
              <w:numPr>
                <w:ilvl w:val="0"/>
                <w:numId w:val="38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Kryteria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wyłączenia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programu</w:t>
            </w:r>
          </w:p>
          <w:p w14:paraId="48700725" w14:textId="32158092" w:rsidR="00F12B51" w:rsidRPr="00603FA9" w:rsidRDefault="007D2744" w:rsidP="00E575A3">
            <w:pPr>
              <w:pStyle w:val="Akapitzlist"/>
              <w:numPr>
                <w:ilvl w:val="1"/>
                <w:numId w:val="38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Kryteria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wyłączenia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leczenia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8F7C21" w:rsidRPr="00603FA9">
              <w:rPr>
                <w:b/>
                <w:bCs/>
                <w:sz w:val="20"/>
                <w:szCs w:val="20"/>
              </w:rPr>
              <w:t>monoterapią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F12B51" w:rsidRPr="00603FA9">
              <w:rPr>
                <w:b/>
                <w:bCs/>
                <w:sz w:val="20"/>
                <w:szCs w:val="20"/>
              </w:rPr>
              <w:t>ipilimumab</w:t>
            </w:r>
            <w:r w:rsidRPr="00603FA9">
              <w:rPr>
                <w:b/>
                <w:bCs/>
                <w:sz w:val="20"/>
                <w:szCs w:val="20"/>
              </w:rPr>
              <w:t>em</w:t>
            </w:r>
          </w:p>
          <w:p w14:paraId="0CCEE2A6" w14:textId="18C6DF16" w:rsidR="00B0624D" w:rsidRPr="00603FA9" w:rsidRDefault="00B0624D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Jakiekolwiek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zdarzenie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niepożądane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≥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niezwiązane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skórą,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wyjątkiem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nieprawidłowych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wyników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badań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laboratoryjnych;</w:t>
            </w:r>
          </w:p>
          <w:p w14:paraId="77D9A35D" w14:textId="56CA0350" w:rsidR="00B0624D" w:rsidRPr="00603FA9" w:rsidRDefault="00B0624D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Jakikolwiek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nieprawidłowy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wynik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laboratoryjnego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≥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wyjątkiem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AST,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ALT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bilirubiny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całkowitej;</w:t>
            </w:r>
          </w:p>
          <w:p w14:paraId="735D154D" w14:textId="4373E9E3" w:rsidR="00B0624D" w:rsidRPr="00603FA9" w:rsidRDefault="00B0624D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aktywność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AST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ALT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&gt;8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GGN;</w:t>
            </w:r>
          </w:p>
          <w:p w14:paraId="5507282D" w14:textId="6A60570E" w:rsidR="00B0624D" w:rsidRPr="00603FA9" w:rsidRDefault="00B0624D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stężenie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bilirubiny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całkowitej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&gt;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5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GGN;</w:t>
            </w:r>
          </w:p>
          <w:p w14:paraId="0E9D3445" w14:textId="2F726FB7" w:rsidR="00B0624D" w:rsidRPr="00603FA9" w:rsidRDefault="00B0624D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dowolne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inne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zdarzenie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niepożądane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≥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4;</w:t>
            </w:r>
          </w:p>
          <w:p w14:paraId="3FEB0073" w14:textId="051D811D" w:rsidR="00B0624D" w:rsidRPr="00603FA9" w:rsidRDefault="00B0624D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jakikolwiek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ból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oka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zmniejszenie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ostrości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widzenia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≥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2,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które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reaguje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miejscowe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ulega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poprawie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≤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1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ciągu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2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tygodni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od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rozpoczęcia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leczenia,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bądź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które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wymaga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leczenia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ogólnoustrojowego.</w:t>
            </w:r>
          </w:p>
          <w:p w14:paraId="357D1D43" w14:textId="7B2F6834" w:rsidR="00B0624D" w:rsidRPr="00603FA9" w:rsidRDefault="00B0624D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Kobiety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wieku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rozrodczym,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które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chcą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stosować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dopuszczalnej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metody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antykoncepcji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celu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uniknięcia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ciąży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cały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okres</w:t>
            </w:r>
            <w:r w:rsidR="00CE3429">
              <w:rPr>
                <w:sz w:val="20"/>
                <w:szCs w:val="20"/>
              </w:rPr>
              <w:t xml:space="preserve"> </w:t>
            </w:r>
            <w:r w:rsidR="00EF174C" w:rsidRPr="00603FA9">
              <w:rPr>
                <w:sz w:val="20"/>
                <w:szCs w:val="20"/>
              </w:rPr>
              <w:t>leczenia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="00EF174C" w:rsidRPr="00603FA9">
              <w:rPr>
                <w:sz w:val="20"/>
                <w:szCs w:val="20"/>
              </w:rPr>
              <w:t>16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tygodni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zakończeniu;</w:t>
            </w:r>
          </w:p>
          <w:p w14:paraId="1BD852E2" w14:textId="172EA197" w:rsidR="002B4DD5" w:rsidRPr="00603FA9" w:rsidRDefault="002B4DD5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Kobiety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ciąży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karmiące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piersią;</w:t>
            </w:r>
          </w:p>
          <w:p w14:paraId="54F05CC6" w14:textId="7DEAFAFF" w:rsidR="002B4DD5" w:rsidRPr="00603FA9" w:rsidRDefault="002B4DD5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Kobiety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dodatnim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wynikiem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testu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ciążowego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włączeniu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przed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podaniem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ipilimumabu;</w:t>
            </w:r>
          </w:p>
          <w:p w14:paraId="24240C5F" w14:textId="4F122F61" w:rsidR="002B4DD5" w:rsidRPr="00603FA9" w:rsidRDefault="002B4DD5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Chorzy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przyjmujący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jakiekolwiek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inne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ogólnoustrojowe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przeciwnowotworowe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(w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603FA9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jakiekolwiek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eksperymentalne);</w:t>
            </w:r>
          </w:p>
          <w:p w14:paraId="15FB5655" w14:textId="6D735431" w:rsidR="002B4DD5" w:rsidRPr="00603FA9" w:rsidRDefault="002B4DD5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Chorzy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autoimmunologicznymi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chorobami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603FA9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potwierdzoną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chorobą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zapalną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jelit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wywiadzie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(w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603FA9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wrzodziejące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zapalenie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jelita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grubego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lastRenderedPageBreak/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choroba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Leśniowskiego-Crohna),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objawową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chorobą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układową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wywiadzie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(np.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reumatoidalne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zapalenie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stawów,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postępująca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twardzina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uogólniona,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toczeń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rumieniowaty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układowy,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autoimmunologiczne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zapalenie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naczyń),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zaburzenia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neuropatyczne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pochodzenia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autoimmunologicznego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(zespół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Guillaina-Barrégo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miastenia).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dotyczy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przypadków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występowania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bielactwa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nabytego;</w:t>
            </w:r>
          </w:p>
          <w:p w14:paraId="662BA8BC" w14:textId="5C760318" w:rsidR="002B4DD5" w:rsidRPr="00603FA9" w:rsidRDefault="002B4DD5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Chorzy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potwierdzonym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zakażeniem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HIV,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HBV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HCV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(niezależnie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od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skuteczności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stosowanego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leczenia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przeciwwirusowego);</w:t>
            </w:r>
          </w:p>
          <w:p w14:paraId="33F5146E" w14:textId="5018D39C" w:rsidR="002B4DD5" w:rsidRPr="00603FA9" w:rsidRDefault="002B4DD5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Chorzy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innym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współistniejącym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nowotworem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złośliwym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(wyjątek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603FA9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odpowiednio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leczony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rak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podstawnokomórkowy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płaskonabłonkowy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skóry,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rak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powierzchniowy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pęcherza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rak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szyjki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macicy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in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situ);</w:t>
            </w:r>
          </w:p>
          <w:p w14:paraId="5C1D9B86" w14:textId="1B1D8C8D" w:rsidR="002B4DD5" w:rsidRPr="00603FA9" w:rsidRDefault="002B4DD5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Chorzy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przyjmujący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jakiekolwiek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nieonkologiczne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szczepienia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przeciwko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chorobom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zakaźnym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okresie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tygodni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przed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tygodni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każdej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dawce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ipilimumabu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(wyjątek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603FA9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amantadyna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flumadyna);</w:t>
            </w:r>
          </w:p>
          <w:p w14:paraId="76E43C2B" w14:textId="664BC912" w:rsidR="002B4DD5" w:rsidRPr="00603FA9" w:rsidRDefault="002B4DD5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Chorzy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stanami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zagrażającymi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życiu,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które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wymagają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podawania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dużych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dawek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leków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immunosupresyjnych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długotrwałego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stosowania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kortykosteroidów</w:t>
            </w:r>
            <w:r w:rsidR="00872568" w:rsidRPr="00603FA9">
              <w:rPr>
                <w:sz w:val="20"/>
                <w:szCs w:val="20"/>
              </w:rPr>
              <w:t>;</w:t>
            </w:r>
          </w:p>
          <w:p w14:paraId="2CE52B51" w14:textId="10F63F84" w:rsidR="002B4DD5" w:rsidRDefault="002B4DD5" w:rsidP="00E575A3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C</w:t>
            </w:r>
            <w:r w:rsidR="00872568" w:rsidRPr="00603FA9">
              <w:rPr>
                <w:sz w:val="20"/>
                <w:szCs w:val="20"/>
              </w:rPr>
              <w:t>horzy</w:t>
            </w:r>
            <w:r w:rsidR="00CE3429">
              <w:rPr>
                <w:sz w:val="20"/>
                <w:szCs w:val="20"/>
              </w:rPr>
              <w:t xml:space="preserve"> </w:t>
            </w:r>
            <w:r w:rsidR="00872568" w:rsidRPr="00603FA9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="00872568" w:rsidRPr="00603FA9">
              <w:rPr>
                <w:sz w:val="20"/>
                <w:szCs w:val="20"/>
              </w:rPr>
              <w:t>czerniaka</w:t>
            </w:r>
            <w:r w:rsidR="00CE3429">
              <w:rPr>
                <w:sz w:val="20"/>
                <w:szCs w:val="20"/>
              </w:rPr>
              <w:t xml:space="preserve"> </w:t>
            </w:r>
            <w:r w:rsidR="00872568" w:rsidRPr="00603FA9">
              <w:rPr>
                <w:sz w:val="20"/>
                <w:szCs w:val="20"/>
              </w:rPr>
              <w:t>gałki</w:t>
            </w:r>
            <w:r w:rsidR="00CE3429">
              <w:rPr>
                <w:sz w:val="20"/>
                <w:szCs w:val="20"/>
              </w:rPr>
              <w:t xml:space="preserve"> </w:t>
            </w:r>
            <w:r w:rsidR="00872568" w:rsidRPr="00603FA9">
              <w:rPr>
                <w:sz w:val="20"/>
                <w:szCs w:val="20"/>
              </w:rPr>
              <w:t>ocznej</w:t>
            </w:r>
            <w:r w:rsidR="00E575A3">
              <w:rPr>
                <w:sz w:val="20"/>
                <w:szCs w:val="20"/>
              </w:rPr>
              <w:t>.</w:t>
            </w:r>
          </w:p>
          <w:p w14:paraId="311645B1" w14:textId="77777777" w:rsidR="00E575A3" w:rsidRPr="00603FA9" w:rsidRDefault="00E575A3" w:rsidP="00E575A3">
            <w:pPr>
              <w:pStyle w:val="Akapitzlist"/>
              <w:spacing w:after="60"/>
              <w:ind w:left="567"/>
              <w:contextualSpacing w:val="0"/>
              <w:jc w:val="both"/>
              <w:rPr>
                <w:sz w:val="20"/>
                <w:szCs w:val="20"/>
              </w:rPr>
            </w:pPr>
          </w:p>
          <w:p w14:paraId="6EBB9944" w14:textId="31B2ADDB" w:rsidR="00F12B51" w:rsidRPr="00603FA9" w:rsidRDefault="00FF13F3" w:rsidP="00E575A3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Kryteria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wyłączenia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leczenia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niwolumabem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B77150" w:rsidRPr="00603FA9">
              <w:rPr>
                <w:b/>
                <w:sz w:val="20"/>
                <w:szCs w:val="20"/>
              </w:rPr>
              <w:t>lu</w:t>
            </w:r>
            <w:r w:rsidRPr="00603FA9">
              <w:rPr>
                <w:b/>
                <w:sz w:val="20"/>
                <w:szCs w:val="20"/>
              </w:rPr>
              <w:t>b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7D2744" w:rsidRPr="00603FA9">
              <w:rPr>
                <w:b/>
                <w:sz w:val="20"/>
                <w:szCs w:val="20"/>
              </w:rPr>
              <w:t>pembrolizumabem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8F7C21" w:rsidRPr="00603FA9">
              <w:rPr>
                <w:b/>
                <w:sz w:val="20"/>
                <w:szCs w:val="20"/>
              </w:rPr>
              <w:t>lub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5E7C61"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8F7C21" w:rsidRPr="00603FA9">
              <w:rPr>
                <w:b/>
                <w:sz w:val="20"/>
                <w:szCs w:val="20"/>
              </w:rPr>
              <w:t>terapii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8F7C21" w:rsidRPr="00603FA9">
              <w:rPr>
                <w:b/>
                <w:sz w:val="20"/>
                <w:szCs w:val="20"/>
              </w:rPr>
              <w:t>skojarzonej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8F7C21" w:rsidRPr="00603FA9">
              <w:rPr>
                <w:b/>
                <w:sz w:val="20"/>
                <w:szCs w:val="20"/>
              </w:rPr>
              <w:t>niwolumabem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8F7C21"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8F7C21" w:rsidRPr="00603FA9">
              <w:rPr>
                <w:b/>
                <w:sz w:val="20"/>
                <w:szCs w:val="20"/>
              </w:rPr>
              <w:t>ipilimumabem</w:t>
            </w:r>
          </w:p>
          <w:p w14:paraId="2DF3B38D" w14:textId="40B115EA" w:rsidR="002B4DD5" w:rsidRPr="00603FA9" w:rsidRDefault="00DC24D9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P</w:t>
            </w:r>
            <w:r w:rsidR="002B4DD5" w:rsidRPr="00603FA9">
              <w:rPr>
                <w:sz w:val="20"/>
                <w:szCs w:val="20"/>
              </w:rPr>
              <w:t>rogresja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choroby;</w:t>
            </w:r>
          </w:p>
          <w:p w14:paraId="793BE6C9" w14:textId="08EBE04E" w:rsidR="002B4DD5" w:rsidRPr="00603FA9" w:rsidRDefault="00DC24D9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N</w:t>
            </w:r>
            <w:r w:rsidR="002B4DD5" w:rsidRPr="00603FA9">
              <w:rPr>
                <w:sz w:val="20"/>
                <w:szCs w:val="20"/>
              </w:rPr>
              <w:t>adwrażliwość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lek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substancję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pomocniczą;</w:t>
            </w:r>
          </w:p>
          <w:p w14:paraId="0A11A090" w14:textId="0C3C9557" w:rsidR="002B4DD5" w:rsidRPr="00603FA9" w:rsidRDefault="00DC24D9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W</w:t>
            </w:r>
            <w:r w:rsidR="002B4DD5" w:rsidRPr="00603FA9">
              <w:rPr>
                <w:sz w:val="20"/>
                <w:szCs w:val="20"/>
              </w:rPr>
              <w:t>ystąpienie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epizodu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ciężkiej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toksyczność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niezwiązanej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lekiem;</w:t>
            </w:r>
          </w:p>
          <w:p w14:paraId="61496B62" w14:textId="24D9F647" w:rsidR="002B4DD5" w:rsidRPr="00603FA9" w:rsidRDefault="00DC24D9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B</w:t>
            </w:r>
            <w:r w:rsidR="002B4DD5" w:rsidRPr="00603FA9">
              <w:rPr>
                <w:sz w:val="20"/>
                <w:szCs w:val="20"/>
              </w:rPr>
              <w:t>rak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możliwości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zmniejszenia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dawek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kortykosterydów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stosowanych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powodu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leczenia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działań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niepożądanych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603FA9">
              <w:rPr>
                <w:sz w:val="20"/>
                <w:szCs w:val="20"/>
              </w:rPr>
              <w:t>dawki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≤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10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mg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prednizonu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dobę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dawki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równoważnej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ciągu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12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tygodni;</w:t>
            </w:r>
          </w:p>
          <w:p w14:paraId="58A97BD9" w14:textId="1F2E290A" w:rsidR="002B4DD5" w:rsidRPr="00603FA9" w:rsidRDefault="00DC24D9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I</w:t>
            </w:r>
            <w:r w:rsidR="002B4DD5" w:rsidRPr="00603FA9">
              <w:rPr>
                <w:sz w:val="20"/>
                <w:szCs w:val="20"/>
              </w:rPr>
              <w:t>stotne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pogorszenie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jakości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życia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oceny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lekarza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pacjenta;</w:t>
            </w:r>
          </w:p>
          <w:p w14:paraId="79010739" w14:textId="5E2976FC" w:rsidR="002B4DD5" w:rsidRPr="00603FA9" w:rsidRDefault="00DC24D9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O</w:t>
            </w:r>
            <w:r w:rsidR="002B4DD5" w:rsidRPr="00603FA9">
              <w:rPr>
                <w:sz w:val="20"/>
                <w:szCs w:val="20"/>
              </w:rPr>
              <w:t>bjawy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toksyczności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związane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leczeniem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ulegają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poprawie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0-1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ciągu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12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tygodni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od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podania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ostatniej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dawki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pembrolizumabu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niwolumabu;</w:t>
            </w:r>
          </w:p>
          <w:p w14:paraId="377F1C47" w14:textId="3F25826D" w:rsidR="002B4DD5" w:rsidRPr="00603FA9" w:rsidRDefault="00DC24D9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W</w:t>
            </w:r>
            <w:r w:rsidR="002B4DD5" w:rsidRPr="00603FA9">
              <w:rPr>
                <w:sz w:val="20"/>
                <w:szCs w:val="20"/>
              </w:rPr>
              <w:t>ystąpienie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to</w:t>
            </w:r>
            <w:r w:rsidR="00155918" w:rsidRPr="00603FA9">
              <w:rPr>
                <w:sz w:val="20"/>
                <w:szCs w:val="20"/>
              </w:rPr>
              <w:t>ksyczności</w:t>
            </w:r>
            <w:r w:rsidR="00CE3429">
              <w:rPr>
                <w:sz w:val="20"/>
                <w:szCs w:val="20"/>
              </w:rPr>
              <w:t xml:space="preserve"> </w:t>
            </w:r>
            <w:r w:rsidR="00155918" w:rsidRPr="00603FA9">
              <w:rPr>
                <w:sz w:val="20"/>
                <w:szCs w:val="20"/>
              </w:rPr>
              <w:t>zagrażającej</w:t>
            </w:r>
            <w:r w:rsidR="00CE3429">
              <w:rPr>
                <w:sz w:val="20"/>
                <w:szCs w:val="20"/>
              </w:rPr>
              <w:t xml:space="preserve"> </w:t>
            </w:r>
            <w:r w:rsidR="00155918" w:rsidRPr="00603FA9">
              <w:rPr>
                <w:sz w:val="20"/>
                <w:szCs w:val="20"/>
              </w:rPr>
              <w:t>życiu</w:t>
            </w:r>
            <w:r w:rsidR="00CE3429">
              <w:rPr>
                <w:sz w:val="20"/>
                <w:szCs w:val="20"/>
              </w:rPr>
              <w:t xml:space="preserve"> </w:t>
            </w:r>
            <w:r w:rsidR="00155918" w:rsidRPr="00603FA9">
              <w:rPr>
                <w:sz w:val="20"/>
                <w:szCs w:val="20"/>
              </w:rPr>
              <w:t>(</w:t>
            </w:r>
            <w:r w:rsidR="002B4DD5"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stopniu</w:t>
            </w:r>
            <w:r w:rsidR="00CE3429">
              <w:rPr>
                <w:sz w:val="20"/>
                <w:szCs w:val="20"/>
              </w:rPr>
              <w:t xml:space="preserve"> </w:t>
            </w:r>
            <w:r w:rsidR="00EE4BB0" w:rsidRPr="00603FA9">
              <w:rPr>
                <w:sz w:val="20"/>
                <w:szCs w:val="20"/>
              </w:rPr>
              <w:t>4)</w:t>
            </w:r>
            <w:r w:rsidR="00CE3429">
              <w:rPr>
                <w:sz w:val="20"/>
                <w:szCs w:val="20"/>
              </w:rPr>
              <w:t xml:space="preserve"> </w:t>
            </w:r>
            <w:r w:rsidR="00EE4BB0"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EE4BB0" w:rsidRPr="00603FA9">
              <w:rPr>
                <w:sz w:val="20"/>
                <w:szCs w:val="20"/>
              </w:rPr>
              <w:t>wyjątkiem</w:t>
            </w:r>
            <w:r w:rsidR="00CE3429">
              <w:rPr>
                <w:sz w:val="20"/>
                <w:szCs w:val="20"/>
              </w:rPr>
              <w:t xml:space="preserve"> </w:t>
            </w:r>
            <w:r w:rsidR="00EE4BB0" w:rsidRPr="00603FA9">
              <w:rPr>
                <w:sz w:val="20"/>
                <w:szCs w:val="20"/>
              </w:rPr>
              <w:t>endokrynopatii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kontrolowanych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suplementacją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hormonalną;</w:t>
            </w:r>
          </w:p>
          <w:p w14:paraId="226CB253" w14:textId="4F746D2B" w:rsidR="002B4DD5" w:rsidRPr="00603FA9" w:rsidRDefault="00DC24D9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W</w:t>
            </w:r>
            <w:r w:rsidR="002B4DD5" w:rsidRPr="00603FA9">
              <w:rPr>
                <w:sz w:val="20"/>
                <w:szCs w:val="20"/>
              </w:rPr>
              <w:t>ystąpienie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toksyczności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pochodzenia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immunologicznego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takich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jak:</w:t>
            </w:r>
          </w:p>
          <w:p w14:paraId="3F01EE86" w14:textId="75A7011E" w:rsidR="002B4DD5" w:rsidRPr="00603FA9" w:rsidRDefault="002B4DD5" w:rsidP="00E575A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lastRenderedPageBreak/>
              <w:t>zapalenie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płuc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nawracające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2,</w:t>
            </w:r>
          </w:p>
          <w:p w14:paraId="48285263" w14:textId="5DE8BDDF" w:rsidR="002B4DD5" w:rsidRPr="00603FA9" w:rsidRDefault="002B4DD5" w:rsidP="00E575A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zapalenie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jelita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grubego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4,</w:t>
            </w:r>
          </w:p>
          <w:p w14:paraId="4DED7349" w14:textId="07BB4132" w:rsidR="002B4DD5" w:rsidRPr="00603FA9" w:rsidRDefault="002B4DD5" w:rsidP="00E575A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zapalenie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nerek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stężeniami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kreatyniny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powyżej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GGN,</w:t>
            </w:r>
          </w:p>
          <w:p w14:paraId="296C90C3" w14:textId="51A9DCF1" w:rsidR="002B4DD5" w:rsidRPr="00603FA9" w:rsidRDefault="002B4DD5" w:rsidP="00E575A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zapalenie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wątroby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związane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ze:</w:t>
            </w:r>
          </w:p>
          <w:p w14:paraId="44FA4921" w14:textId="361637EB" w:rsidR="002B4DD5" w:rsidRPr="00603FA9" w:rsidRDefault="002B4DD5" w:rsidP="00E575A3">
            <w:pPr>
              <w:pStyle w:val="Akapitzlist"/>
              <w:numPr>
                <w:ilvl w:val="5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wzrostem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ALT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AST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5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powyżej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GGN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stężenia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bilirubiny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całkowitej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powyżej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GGN,</w:t>
            </w:r>
            <w:r w:rsidR="00CE3429">
              <w:rPr>
                <w:sz w:val="20"/>
                <w:szCs w:val="20"/>
              </w:rPr>
              <w:t xml:space="preserve"> </w:t>
            </w:r>
          </w:p>
          <w:p w14:paraId="50D44AFB" w14:textId="437120C3" w:rsidR="002B4DD5" w:rsidRPr="00603FA9" w:rsidRDefault="002B4DD5" w:rsidP="00E575A3">
            <w:pPr>
              <w:pStyle w:val="Akapitzlist"/>
              <w:numPr>
                <w:ilvl w:val="5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pacjentów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przerzutami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wątroby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,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którzy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rozpoczynają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lec</w:t>
            </w:r>
            <w:r w:rsidR="00D07F45" w:rsidRPr="00603FA9">
              <w:rPr>
                <w:sz w:val="20"/>
                <w:szCs w:val="20"/>
              </w:rPr>
              <w:t>zenie</w:t>
            </w:r>
            <w:r w:rsidR="00CE3429">
              <w:rPr>
                <w:sz w:val="20"/>
                <w:szCs w:val="20"/>
              </w:rPr>
              <w:t xml:space="preserve"> </w:t>
            </w:r>
            <w:r w:rsidR="00D07F45"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D07F45" w:rsidRPr="00603FA9">
              <w:rPr>
                <w:sz w:val="20"/>
                <w:szCs w:val="20"/>
              </w:rPr>
              <w:t>umiarkowanym</w:t>
            </w:r>
            <w:r w:rsidR="00CE3429">
              <w:rPr>
                <w:sz w:val="20"/>
                <w:szCs w:val="20"/>
              </w:rPr>
              <w:t xml:space="preserve"> </w:t>
            </w:r>
            <w:r w:rsidR="00D07F45" w:rsidRPr="00603FA9">
              <w:rPr>
                <w:sz w:val="20"/>
                <w:szCs w:val="20"/>
              </w:rPr>
              <w:t>wzrostem</w:t>
            </w:r>
            <w:r w:rsidR="00CE3429">
              <w:rPr>
                <w:sz w:val="20"/>
                <w:szCs w:val="20"/>
              </w:rPr>
              <w:t xml:space="preserve"> </w:t>
            </w:r>
            <w:r w:rsidR="00D07F45" w:rsidRPr="00603FA9">
              <w:rPr>
                <w:sz w:val="20"/>
                <w:szCs w:val="20"/>
              </w:rPr>
              <w:t>(</w:t>
            </w:r>
            <w:r w:rsidRPr="00603FA9">
              <w:rPr>
                <w:sz w:val="20"/>
                <w:szCs w:val="20"/>
              </w:rPr>
              <w:t>stopień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2)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AST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ALT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jeżeli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AST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ALT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rośnie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50%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powyżej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stosunku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wartości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wyjściowych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trwa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1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tydzień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dłużej;</w:t>
            </w:r>
          </w:p>
          <w:p w14:paraId="7B4D70C6" w14:textId="33354857" w:rsidR="002B4DD5" w:rsidRPr="00603FA9" w:rsidRDefault="003B2B3E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W</w:t>
            </w:r>
            <w:r w:rsidR="002B4DD5" w:rsidRPr="00603FA9">
              <w:rPr>
                <w:sz w:val="20"/>
                <w:szCs w:val="20"/>
              </w:rPr>
              <w:t>ystąpienie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raz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drugi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epizodu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toksyczności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4;</w:t>
            </w:r>
          </w:p>
          <w:p w14:paraId="64EC43DA" w14:textId="7B37D250" w:rsidR="002B4DD5" w:rsidRPr="00603FA9" w:rsidRDefault="003B2B3E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K</w:t>
            </w:r>
            <w:r w:rsidR="002B4DD5" w:rsidRPr="00603FA9">
              <w:rPr>
                <w:sz w:val="20"/>
                <w:szCs w:val="20"/>
              </w:rPr>
              <w:t>obiety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wieku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rozrodczym,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które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chcą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są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stanie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stosować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dopuszczalnej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metody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antykoncepcji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celu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uniknięcia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ciąży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cały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okres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leczenia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miesiące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jego</w:t>
            </w:r>
            <w:r w:rsidR="00CE3429">
              <w:rPr>
                <w:sz w:val="20"/>
                <w:szCs w:val="20"/>
              </w:rPr>
              <w:t xml:space="preserve"> </w:t>
            </w:r>
            <w:r w:rsidR="002B4DD5" w:rsidRPr="00603FA9">
              <w:rPr>
                <w:sz w:val="20"/>
                <w:szCs w:val="20"/>
              </w:rPr>
              <w:t>zakończeniu;</w:t>
            </w:r>
          </w:p>
          <w:p w14:paraId="56F40000" w14:textId="01C20620" w:rsidR="00201B3D" w:rsidRDefault="003B2B3E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K</w:t>
            </w:r>
            <w:r w:rsidR="002B4DD5" w:rsidRPr="00603FA9">
              <w:rPr>
                <w:sz w:val="20"/>
                <w:szCs w:val="20"/>
              </w:rPr>
              <w:t>obie</w:t>
            </w:r>
            <w:r w:rsidR="00004D1C" w:rsidRPr="00603FA9">
              <w:rPr>
                <w:sz w:val="20"/>
                <w:szCs w:val="20"/>
              </w:rPr>
              <w:t>ty</w:t>
            </w:r>
            <w:r w:rsidR="00CE3429">
              <w:rPr>
                <w:sz w:val="20"/>
                <w:szCs w:val="20"/>
              </w:rPr>
              <w:t xml:space="preserve"> </w:t>
            </w:r>
            <w:r w:rsidR="00004D1C" w:rsidRPr="00603FA9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004D1C" w:rsidRPr="00603FA9">
              <w:rPr>
                <w:sz w:val="20"/>
                <w:szCs w:val="20"/>
              </w:rPr>
              <w:t>ciąży</w:t>
            </w:r>
            <w:r w:rsidR="00CE3429">
              <w:rPr>
                <w:sz w:val="20"/>
                <w:szCs w:val="20"/>
              </w:rPr>
              <w:t xml:space="preserve"> </w:t>
            </w:r>
            <w:r w:rsidR="00004D1C"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004D1C" w:rsidRPr="00603FA9">
              <w:rPr>
                <w:sz w:val="20"/>
                <w:szCs w:val="20"/>
              </w:rPr>
              <w:t>karmiące</w:t>
            </w:r>
            <w:r w:rsidR="00CE3429">
              <w:rPr>
                <w:sz w:val="20"/>
                <w:szCs w:val="20"/>
              </w:rPr>
              <w:t xml:space="preserve"> </w:t>
            </w:r>
            <w:r w:rsidR="00004D1C" w:rsidRPr="00603FA9">
              <w:rPr>
                <w:sz w:val="20"/>
                <w:szCs w:val="20"/>
              </w:rPr>
              <w:t>piersią</w:t>
            </w:r>
            <w:r w:rsidR="00E575A3">
              <w:rPr>
                <w:sz w:val="20"/>
                <w:szCs w:val="20"/>
              </w:rPr>
              <w:t>.</w:t>
            </w:r>
          </w:p>
          <w:p w14:paraId="25719B4C" w14:textId="77777777" w:rsidR="00E575A3" w:rsidRPr="00603FA9" w:rsidRDefault="00E575A3" w:rsidP="00E575A3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sz w:val="20"/>
                <w:szCs w:val="20"/>
              </w:rPr>
            </w:pPr>
          </w:p>
          <w:p w14:paraId="69B0D8DD" w14:textId="40F1394A" w:rsidR="00997DD6" w:rsidRPr="00603FA9" w:rsidRDefault="00BE32E5" w:rsidP="00E575A3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603FA9">
              <w:rPr>
                <w:b/>
                <w:sz w:val="20"/>
                <w:szCs w:val="20"/>
              </w:rPr>
              <w:t>Kryteria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wyłączenia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terapii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skojarzonej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zastosowaniem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wemurafenibu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oraz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k</w:t>
            </w:r>
            <w:r w:rsidRPr="00603FA9">
              <w:rPr>
                <w:b/>
                <w:sz w:val="20"/>
                <w:szCs w:val="20"/>
              </w:rPr>
              <w:t>obimetynibu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albo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terapii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Pr="00603FA9">
              <w:rPr>
                <w:b/>
                <w:sz w:val="20"/>
                <w:szCs w:val="20"/>
              </w:rPr>
              <w:t>skojarzonej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zastosowaniem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dabrafenibu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oraz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997DD6" w:rsidRPr="00603FA9">
              <w:rPr>
                <w:b/>
                <w:sz w:val="20"/>
                <w:szCs w:val="20"/>
              </w:rPr>
              <w:t>trametynibu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186C37" w:rsidRPr="00603FA9">
              <w:rPr>
                <w:b/>
                <w:bCs/>
                <w:sz w:val="20"/>
                <w:szCs w:val="20"/>
              </w:rPr>
              <w:t>albo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186C37" w:rsidRPr="00603FA9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186C37" w:rsidRPr="00603FA9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186C37" w:rsidRPr="00603FA9">
              <w:rPr>
                <w:b/>
                <w:sz w:val="20"/>
                <w:szCs w:val="20"/>
              </w:rPr>
              <w:t>enkorafenib</w:t>
            </w:r>
            <w:r w:rsidR="00680D15" w:rsidRPr="00603FA9">
              <w:rPr>
                <w:b/>
                <w:sz w:val="20"/>
                <w:szCs w:val="20"/>
              </w:rPr>
              <w:t>em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186C37" w:rsidRPr="00603FA9">
              <w:rPr>
                <w:b/>
                <w:sz w:val="20"/>
                <w:szCs w:val="20"/>
              </w:rPr>
              <w:t>z</w:t>
            </w:r>
            <w:r w:rsidR="00CE3429">
              <w:rPr>
                <w:b/>
                <w:sz w:val="20"/>
                <w:szCs w:val="20"/>
              </w:rPr>
              <w:t xml:space="preserve"> </w:t>
            </w:r>
            <w:r w:rsidR="00186C37" w:rsidRPr="00603FA9">
              <w:rPr>
                <w:b/>
                <w:sz w:val="20"/>
                <w:szCs w:val="20"/>
              </w:rPr>
              <w:t>binimetynibem</w:t>
            </w:r>
          </w:p>
          <w:p w14:paraId="407C8075" w14:textId="675B8DEF" w:rsidR="00997DD6" w:rsidRPr="00603FA9" w:rsidRDefault="00997DD6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Kliniczna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potwierdzona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obrazowo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progresja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choroby;</w:t>
            </w:r>
          </w:p>
          <w:p w14:paraId="0358F11C" w14:textId="7203362A" w:rsidR="00997DD6" w:rsidRPr="00603FA9" w:rsidRDefault="00997DD6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Utrzymująca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się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nawracająca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nieakceptowalna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toksyczność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powyżej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kryteriów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CTC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(Common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Toxicity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Criteria)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wyjątkiem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wtórnych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nowotworów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skóry;</w:t>
            </w:r>
          </w:p>
          <w:p w14:paraId="0626622B" w14:textId="0BF5AA8D" w:rsidR="00997DD6" w:rsidRPr="00603FA9" w:rsidRDefault="00997DD6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Obniżenie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sprawności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stopnia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2-4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kryteriów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Zubroda-WHO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ECOG;</w:t>
            </w:r>
          </w:p>
          <w:p w14:paraId="0990B86F" w14:textId="02E732E8" w:rsidR="00997DD6" w:rsidRPr="00603FA9" w:rsidRDefault="00997DD6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Pogorszenie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jakości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życia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istotnym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znaczeniu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oceny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lekarza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pacjenta;</w:t>
            </w:r>
          </w:p>
          <w:p w14:paraId="10001F44" w14:textId="07DCE0AF" w:rsidR="00997DD6" w:rsidRPr="00603FA9" w:rsidRDefault="00997DD6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N</w:t>
            </w:r>
            <w:r w:rsidR="00682D6F" w:rsidRPr="00603FA9">
              <w:rPr>
                <w:sz w:val="20"/>
                <w:szCs w:val="20"/>
              </w:rPr>
              <w:t>adwrażliwość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603FA9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603FA9">
              <w:rPr>
                <w:sz w:val="20"/>
                <w:szCs w:val="20"/>
              </w:rPr>
              <w:t>leki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substancje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pomocnicze;</w:t>
            </w:r>
          </w:p>
          <w:p w14:paraId="0C13B96E" w14:textId="37A751FC" w:rsidR="00997DD6" w:rsidRDefault="00997DD6" w:rsidP="00E575A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Rezygnacja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pacjenta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603FA9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wycofanie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zgody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leczenie</w:t>
            </w:r>
            <w:r w:rsidR="00E575A3">
              <w:rPr>
                <w:sz w:val="20"/>
                <w:szCs w:val="20"/>
              </w:rPr>
              <w:t>.</w:t>
            </w:r>
          </w:p>
          <w:p w14:paraId="6FBC3C3B" w14:textId="613D69E1" w:rsidR="00E575A3" w:rsidRPr="00603FA9" w:rsidRDefault="00E575A3" w:rsidP="00E575A3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1244" w:type="pct"/>
          </w:tcPr>
          <w:p w14:paraId="235F9D0B" w14:textId="0CA7BED7" w:rsidR="00DC24D9" w:rsidRPr="00603FA9" w:rsidRDefault="00DC24D9" w:rsidP="00E575A3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b/>
                <w:iCs/>
                <w:sz w:val="20"/>
                <w:szCs w:val="20"/>
              </w:rPr>
            </w:pPr>
            <w:r w:rsidRPr="00603FA9">
              <w:rPr>
                <w:b/>
                <w:iCs/>
                <w:sz w:val="20"/>
                <w:szCs w:val="20"/>
              </w:rPr>
              <w:lastRenderedPageBreak/>
              <w:t>Dawkowanie</w:t>
            </w:r>
            <w:r w:rsidR="00CE3429">
              <w:rPr>
                <w:b/>
                <w:iCs/>
                <w:sz w:val="20"/>
                <w:szCs w:val="20"/>
              </w:rPr>
              <w:t xml:space="preserve"> </w:t>
            </w:r>
            <w:r w:rsidRPr="00603FA9">
              <w:rPr>
                <w:b/>
                <w:iCs/>
                <w:sz w:val="20"/>
                <w:szCs w:val="20"/>
              </w:rPr>
              <w:t>ipilimumabu</w:t>
            </w:r>
            <w:r w:rsidR="00CE3429">
              <w:rPr>
                <w:b/>
                <w:iCs/>
                <w:sz w:val="20"/>
                <w:szCs w:val="20"/>
              </w:rPr>
              <w:t xml:space="preserve"> </w:t>
            </w:r>
            <w:r w:rsidR="00C125F2" w:rsidRPr="00603FA9">
              <w:rPr>
                <w:b/>
                <w:iCs/>
                <w:sz w:val="20"/>
                <w:szCs w:val="20"/>
              </w:rPr>
              <w:t>w</w:t>
            </w:r>
            <w:r w:rsidR="00CE3429">
              <w:rPr>
                <w:b/>
                <w:iCs/>
                <w:sz w:val="20"/>
                <w:szCs w:val="20"/>
              </w:rPr>
              <w:t xml:space="preserve"> </w:t>
            </w:r>
            <w:r w:rsidR="00C125F2" w:rsidRPr="00603FA9">
              <w:rPr>
                <w:b/>
                <w:iCs/>
                <w:sz w:val="20"/>
                <w:szCs w:val="20"/>
              </w:rPr>
              <w:t>monoter</w:t>
            </w:r>
            <w:r w:rsidR="00EA3777">
              <w:rPr>
                <w:b/>
                <w:iCs/>
                <w:sz w:val="20"/>
                <w:szCs w:val="20"/>
              </w:rPr>
              <w:t>a</w:t>
            </w:r>
            <w:r w:rsidR="00C125F2" w:rsidRPr="00603FA9">
              <w:rPr>
                <w:b/>
                <w:iCs/>
                <w:sz w:val="20"/>
                <w:szCs w:val="20"/>
              </w:rPr>
              <w:t>pii</w:t>
            </w:r>
            <w:r w:rsidR="00CE3429">
              <w:rPr>
                <w:b/>
                <w:iCs/>
                <w:sz w:val="20"/>
                <w:szCs w:val="20"/>
              </w:rPr>
              <w:t xml:space="preserve"> </w:t>
            </w:r>
            <w:r w:rsidR="00A4073C" w:rsidRPr="00603FA9">
              <w:rPr>
                <w:b/>
                <w:iCs/>
                <w:sz w:val="20"/>
                <w:szCs w:val="20"/>
              </w:rPr>
              <w:t>(w</w:t>
            </w:r>
            <w:r w:rsidR="00CE3429">
              <w:rPr>
                <w:b/>
                <w:iCs/>
                <w:sz w:val="20"/>
                <w:szCs w:val="20"/>
              </w:rPr>
              <w:t xml:space="preserve"> </w:t>
            </w:r>
            <w:r w:rsidR="00A4073C" w:rsidRPr="00603FA9">
              <w:rPr>
                <w:b/>
                <w:iCs/>
                <w:sz w:val="20"/>
                <w:szCs w:val="20"/>
              </w:rPr>
              <w:t>drugiej</w:t>
            </w:r>
            <w:r w:rsidR="00CE3429">
              <w:rPr>
                <w:b/>
                <w:iCs/>
                <w:sz w:val="20"/>
                <w:szCs w:val="20"/>
              </w:rPr>
              <w:t xml:space="preserve"> </w:t>
            </w:r>
            <w:r w:rsidR="00A4073C" w:rsidRPr="00603FA9">
              <w:rPr>
                <w:b/>
                <w:iCs/>
                <w:sz w:val="20"/>
                <w:szCs w:val="20"/>
              </w:rPr>
              <w:t>linii</w:t>
            </w:r>
            <w:r w:rsidR="00CE3429">
              <w:rPr>
                <w:b/>
                <w:iCs/>
                <w:sz w:val="20"/>
                <w:szCs w:val="20"/>
              </w:rPr>
              <w:t xml:space="preserve"> </w:t>
            </w:r>
            <w:r w:rsidR="00A4073C" w:rsidRPr="00603FA9">
              <w:rPr>
                <w:b/>
                <w:iCs/>
                <w:sz w:val="20"/>
                <w:szCs w:val="20"/>
              </w:rPr>
              <w:t>leczenia)</w:t>
            </w:r>
          </w:p>
          <w:p w14:paraId="26188158" w14:textId="6E1C3E7F" w:rsidR="00DC24D9" w:rsidRPr="00E575A3" w:rsidRDefault="00DC24D9" w:rsidP="00E575A3">
            <w:pPr>
              <w:autoSpaceDE w:val="0"/>
              <w:autoSpaceDN w:val="0"/>
              <w:adjustRightInd w:val="0"/>
              <w:spacing w:after="60"/>
              <w:jc w:val="both"/>
              <w:rPr>
                <w:iCs/>
                <w:sz w:val="20"/>
                <w:szCs w:val="20"/>
              </w:rPr>
            </w:pPr>
            <w:r w:rsidRPr="00E575A3">
              <w:rPr>
                <w:iCs/>
                <w:sz w:val="20"/>
                <w:szCs w:val="20"/>
              </w:rPr>
              <w:t>Zalecana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dawka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ipilimumabu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wynosi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3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mg/kg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obejmuje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4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podania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w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odstępach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co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3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tygodnie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(leczenie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w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tygodniach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1,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4,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7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10).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</w:p>
          <w:p w14:paraId="0F099F3B" w14:textId="0EB7C30C" w:rsidR="00DC24D9" w:rsidRPr="00E575A3" w:rsidRDefault="00DC24D9" w:rsidP="00E575A3">
            <w:pPr>
              <w:autoSpaceDE w:val="0"/>
              <w:autoSpaceDN w:val="0"/>
              <w:adjustRightInd w:val="0"/>
              <w:spacing w:after="60"/>
              <w:jc w:val="both"/>
              <w:rPr>
                <w:iCs/>
                <w:sz w:val="20"/>
                <w:szCs w:val="20"/>
              </w:rPr>
            </w:pPr>
            <w:r w:rsidRPr="00E575A3">
              <w:rPr>
                <w:iCs/>
                <w:sz w:val="20"/>
                <w:szCs w:val="20"/>
              </w:rPr>
              <w:t>Ipilimumab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może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być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stosowany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łącznie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E575A3">
              <w:rPr>
                <w:iCs/>
                <w:sz w:val="20"/>
                <w:szCs w:val="20"/>
              </w:rPr>
              <w:t>z:</w:t>
            </w:r>
          </w:p>
          <w:p w14:paraId="7F2E55B3" w14:textId="4F2F6440" w:rsidR="00DC24D9" w:rsidRPr="00603FA9" w:rsidRDefault="00DC24D9" w:rsidP="00A44C6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03FA9">
              <w:rPr>
                <w:iCs/>
                <w:sz w:val="20"/>
                <w:szCs w:val="20"/>
              </w:rPr>
              <w:t>in</w:t>
            </w:r>
            <w:r w:rsidR="00C87CAD" w:rsidRPr="00603FA9">
              <w:rPr>
                <w:iCs/>
                <w:sz w:val="20"/>
                <w:szCs w:val="20"/>
              </w:rPr>
              <w:t>nym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="00C87CAD" w:rsidRPr="00603FA9">
              <w:rPr>
                <w:iCs/>
                <w:sz w:val="20"/>
                <w:szCs w:val="20"/>
              </w:rPr>
              <w:t>przeciwciałem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="00C87CAD" w:rsidRPr="00603FA9">
              <w:rPr>
                <w:iCs/>
                <w:sz w:val="20"/>
                <w:szCs w:val="20"/>
              </w:rPr>
              <w:t>monoklonalnym;</w:t>
            </w:r>
          </w:p>
          <w:p w14:paraId="2F9AA7DE" w14:textId="0DCC9794" w:rsidR="00DC24D9" w:rsidRPr="00603FA9" w:rsidRDefault="00DC24D9" w:rsidP="00A44C6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03FA9">
              <w:rPr>
                <w:iCs/>
                <w:sz w:val="20"/>
                <w:szCs w:val="20"/>
              </w:rPr>
              <w:t>inhibitorem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kinazy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BRAF;</w:t>
            </w:r>
          </w:p>
          <w:p w14:paraId="5B26C298" w14:textId="5CB7143D" w:rsidR="000E5B51" w:rsidRDefault="00DC24D9" w:rsidP="00A44C6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03FA9">
              <w:rPr>
                <w:iCs/>
                <w:sz w:val="20"/>
                <w:szCs w:val="20"/>
              </w:rPr>
              <w:t>inhibitorem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kinazy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603FA9">
              <w:rPr>
                <w:iCs/>
                <w:sz w:val="20"/>
                <w:szCs w:val="20"/>
              </w:rPr>
              <w:t>MEK.</w:t>
            </w:r>
          </w:p>
          <w:p w14:paraId="7CEACFDA" w14:textId="77777777" w:rsidR="00A44C66" w:rsidRPr="00603FA9" w:rsidRDefault="00A44C66" w:rsidP="00A44C6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iCs/>
                <w:sz w:val="20"/>
                <w:szCs w:val="20"/>
              </w:rPr>
            </w:pPr>
          </w:p>
          <w:p w14:paraId="79041DFA" w14:textId="29AA5FC7" w:rsidR="00F12B51" w:rsidRPr="00603FA9" w:rsidRDefault="00B77150" w:rsidP="003905E1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Dawkowanie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niwolumabu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603FA9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DC24D9" w:rsidRPr="00603FA9">
              <w:rPr>
                <w:b/>
                <w:bCs/>
                <w:sz w:val="20"/>
                <w:szCs w:val="20"/>
              </w:rPr>
              <w:t>pembrolizumabu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03FA9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03FA9">
              <w:rPr>
                <w:b/>
                <w:bCs/>
                <w:sz w:val="20"/>
                <w:szCs w:val="20"/>
              </w:rPr>
              <w:t>niwolumabu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03FA9">
              <w:rPr>
                <w:b/>
                <w:bCs/>
                <w:sz w:val="20"/>
                <w:szCs w:val="20"/>
              </w:rPr>
              <w:t>w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03FA9">
              <w:rPr>
                <w:b/>
                <w:bCs/>
                <w:sz w:val="20"/>
                <w:szCs w:val="20"/>
              </w:rPr>
              <w:t>skojarzeniu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03FA9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196182" w:rsidRPr="00603FA9">
              <w:rPr>
                <w:b/>
                <w:bCs/>
                <w:sz w:val="20"/>
                <w:szCs w:val="20"/>
              </w:rPr>
              <w:t>ipilimumabem</w:t>
            </w:r>
          </w:p>
          <w:p w14:paraId="2DFEFB14" w14:textId="7C961AA3" w:rsidR="00F12B51" w:rsidRPr="00A44C66" w:rsidRDefault="00F12B51" w:rsidP="00A44C6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Dawkowanie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kryteria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sposób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modyfikacji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dawkowania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okresowe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wstrzymanie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leczenia)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prowadzone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jest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zgodnie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Charakterystyką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Produktu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Leczniczego.</w:t>
            </w:r>
          </w:p>
          <w:p w14:paraId="29F30077" w14:textId="65ED947F" w:rsidR="00F12B51" w:rsidRPr="00A44C66" w:rsidRDefault="00F12B51" w:rsidP="00A44C6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Niwolumab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pembrolizumab</w:t>
            </w:r>
            <w:r w:rsidR="00C71678" w:rsidRPr="00A44C66">
              <w:rPr>
                <w:sz w:val="20"/>
                <w:szCs w:val="20"/>
              </w:rPr>
              <w:t>,</w:t>
            </w:r>
            <w:r w:rsidR="00CE3429">
              <w:rPr>
                <w:sz w:val="20"/>
                <w:szCs w:val="20"/>
              </w:rPr>
              <w:t xml:space="preserve"> </w:t>
            </w:r>
            <w:r w:rsidR="00C125F2"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C125F2" w:rsidRPr="00A44C66">
              <w:rPr>
                <w:sz w:val="20"/>
                <w:szCs w:val="20"/>
              </w:rPr>
              <w:t>niwolumab</w:t>
            </w:r>
            <w:r w:rsidR="00CE3429">
              <w:rPr>
                <w:sz w:val="20"/>
                <w:szCs w:val="20"/>
              </w:rPr>
              <w:t xml:space="preserve"> </w:t>
            </w:r>
            <w:r w:rsidR="00C125F2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C125F2" w:rsidRPr="00A44C66">
              <w:rPr>
                <w:sz w:val="20"/>
                <w:szCs w:val="20"/>
              </w:rPr>
              <w:t>skojarzeniu</w:t>
            </w:r>
            <w:r w:rsidR="00CE3429">
              <w:rPr>
                <w:sz w:val="20"/>
                <w:szCs w:val="20"/>
              </w:rPr>
              <w:t xml:space="preserve"> </w:t>
            </w:r>
            <w:r w:rsidR="00C125F2"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C71678" w:rsidRPr="00A44C66">
              <w:rPr>
                <w:sz w:val="20"/>
                <w:szCs w:val="20"/>
              </w:rPr>
              <w:t>ipilimumabem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może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być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stosowany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łącznie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z:</w:t>
            </w:r>
          </w:p>
          <w:p w14:paraId="6A6592AB" w14:textId="4B5438D1" w:rsidR="00F12B51" w:rsidRPr="00603FA9" w:rsidRDefault="00F12B51" w:rsidP="00A44C6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lastRenderedPageBreak/>
              <w:t>innym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przeciwciałem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monoklonalnym</w:t>
            </w:r>
            <w:r w:rsidR="00CE3429">
              <w:rPr>
                <w:sz w:val="20"/>
                <w:szCs w:val="20"/>
              </w:rPr>
              <w:t xml:space="preserve"> </w:t>
            </w:r>
            <w:r w:rsidR="00A4073C" w:rsidRPr="00603FA9">
              <w:rPr>
                <w:sz w:val="20"/>
                <w:szCs w:val="20"/>
              </w:rPr>
              <w:t>(wyjątek</w:t>
            </w:r>
            <w:r w:rsidR="00CE3429">
              <w:rPr>
                <w:sz w:val="20"/>
                <w:szCs w:val="20"/>
              </w:rPr>
              <w:t xml:space="preserve"> </w:t>
            </w:r>
            <w:r w:rsidR="00A4073C" w:rsidRPr="00603FA9">
              <w:rPr>
                <w:sz w:val="20"/>
                <w:szCs w:val="20"/>
              </w:rPr>
              <w:t>stanowi</w:t>
            </w:r>
            <w:r w:rsidR="00CE3429">
              <w:rPr>
                <w:sz w:val="20"/>
                <w:szCs w:val="20"/>
              </w:rPr>
              <w:t xml:space="preserve"> </w:t>
            </w:r>
            <w:r w:rsidR="00A4073C" w:rsidRPr="00603FA9">
              <w:rPr>
                <w:sz w:val="20"/>
                <w:szCs w:val="20"/>
              </w:rPr>
              <w:t>skojarzenie</w:t>
            </w:r>
            <w:r w:rsidR="00CE3429">
              <w:rPr>
                <w:sz w:val="20"/>
                <w:szCs w:val="20"/>
              </w:rPr>
              <w:t xml:space="preserve"> </w:t>
            </w:r>
            <w:r w:rsidR="00A4073C" w:rsidRPr="00603FA9">
              <w:rPr>
                <w:sz w:val="20"/>
                <w:szCs w:val="20"/>
              </w:rPr>
              <w:t>niwolumabu</w:t>
            </w:r>
            <w:r w:rsidR="00CE3429">
              <w:rPr>
                <w:sz w:val="20"/>
                <w:szCs w:val="20"/>
              </w:rPr>
              <w:t xml:space="preserve"> </w:t>
            </w:r>
            <w:r w:rsidR="00A4073C" w:rsidRPr="00603FA9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A4073C" w:rsidRPr="00603FA9">
              <w:rPr>
                <w:sz w:val="20"/>
                <w:szCs w:val="20"/>
              </w:rPr>
              <w:t>ipilimumabem);</w:t>
            </w:r>
          </w:p>
          <w:p w14:paraId="55B8A839" w14:textId="4EB50A0B" w:rsidR="00F12B51" w:rsidRPr="00603FA9" w:rsidRDefault="00F12B51" w:rsidP="00A44C6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inhibitorem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kinazy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BRAF;</w:t>
            </w:r>
          </w:p>
          <w:p w14:paraId="281A8772" w14:textId="17490FF4" w:rsidR="00F12B51" w:rsidRDefault="00F12B51" w:rsidP="00A44C6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sz w:val="20"/>
                <w:szCs w:val="20"/>
              </w:rPr>
              <w:t>inhibitorem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kinazy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603FA9">
              <w:rPr>
                <w:sz w:val="20"/>
                <w:szCs w:val="20"/>
              </w:rPr>
              <w:t>MEK.</w:t>
            </w:r>
          </w:p>
          <w:p w14:paraId="3432C5CB" w14:textId="77777777" w:rsidR="00A44C66" w:rsidRPr="00603FA9" w:rsidRDefault="00A44C66" w:rsidP="00A44C6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sz w:val="20"/>
                <w:szCs w:val="20"/>
              </w:rPr>
            </w:pPr>
          </w:p>
          <w:p w14:paraId="1CCAFA1B" w14:textId="125C4BCD" w:rsidR="0070718A" w:rsidRPr="00603FA9" w:rsidRDefault="007A7823" w:rsidP="003905E1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Dawkowanie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03FA9">
              <w:rPr>
                <w:b/>
                <w:bCs/>
                <w:sz w:val="20"/>
                <w:szCs w:val="20"/>
              </w:rPr>
              <w:t>wemurafenibu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03FA9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03FA9">
              <w:rPr>
                <w:b/>
                <w:bCs/>
                <w:sz w:val="20"/>
                <w:szCs w:val="20"/>
              </w:rPr>
              <w:t>kobimetynibu</w:t>
            </w:r>
          </w:p>
          <w:p w14:paraId="31E9A18C" w14:textId="05DD9C51" w:rsidR="00D03115" w:rsidRPr="00A44C66" w:rsidRDefault="0070718A" w:rsidP="00A44C66">
            <w:pPr>
              <w:autoSpaceDE w:val="0"/>
              <w:autoSpaceDN w:val="0"/>
              <w:adjustRightInd w:val="0"/>
              <w:spacing w:after="60"/>
              <w:jc w:val="both"/>
              <w:rPr>
                <w:iCs/>
                <w:sz w:val="20"/>
                <w:szCs w:val="20"/>
              </w:rPr>
            </w:pPr>
            <w:r w:rsidRPr="00A44C66">
              <w:rPr>
                <w:iCs/>
                <w:sz w:val="20"/>
                <w:szCs w:val="20"/>
              </w:rPr>
              <w:t>Dawkowanie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prowadzone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jest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zgodnie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z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Charakterystykami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odpowiednich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Produktów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Leczniczych.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</w:p>
          <w:p w14:paraId="6AE73320" w14:textId="7A2292B6" w:rsidR="0070718A" w:rsidRDefault="0070718A" w:rsidP="00A44C66">
            <w:pPr>
              <w:autoSpaceDE w:val="0"/>
              <w:autoSpaceDN w:val="0"/>
              <w:adjustRightInd w:val="0"/>
              <w:spacing w:after="60"/>
              <w:jc w:val="both"/>
              <w:rPr>
                <w:iCs/>
                <w:sz w:val="20"/>
                <w:szCs w:val="20"/>
              </w:rPr>
            </w:pPr>
            <w:r w:rsidRPr="00A44C66">
              <w:rPr>
                <w:iCs/>
                <w:sz w:val="20"/>
                <w:szCs w:val="20"/>
              </w:rPr>
              <w:t>W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przypadku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konieczności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="00682D6F" w:rsidRPr="00A44C66">
              <w:rPr>
                <w:iCs/>
                <w:sz w:val="20"/>
                <w:szCs w:val="20"/>
              </w:rPr>
              <w:t>zakończenia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="00682D6F" w:rsidRPr="00A44C66">
              <w:rPr>
                <w:iCs/>
                <w:sz w:val="20"/>
                <w:szCs w:val="20"/>
              </w:rPr>
              <w:t>terapii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="00682D6F" w:rsidRPr="00A44C66">
              <w:rPr>
                <w:iCs/>
                <w:sz w:val="20"/>
                <w:szCs w:val="20"/>
              </w:rPr>
              <w:t>jednym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="00682D6F" w:rsidRPr="00A44C66">
              <w:rPr>
                <w:iCs/>
                <w:sz w:val="20"/>
                <w:szCs w:val="20"/>
              </w:rPr>
              <w:t>z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leków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ze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schematu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z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powodu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specyficznych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toksyczności,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można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kontynuować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terapię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pozostałym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lekiem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ze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schematu.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Pacjenci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włączeni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do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programu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przed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dniem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1.03.2017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mogą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kontynuować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monoterapię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wemurafenibem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aż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do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zakończenia</w:t>
            </w:r>
            <w:r w:rsidR="00CE3429">
              <w:rPr>
                <w:iCs/>
                <w:sz w:val="20"/>
                <w:szCs w:val="20"/>
              </w:rPr>
              <w:t xml:space="preserve"> </w:t>
            </w:r>
            <w:r w:rsidRPr="00A44C66">
              <w:rPr>
                <w:iCs/>
                <w:sz w:val="20"/>
                <w:szCs w:val="20"/>
              </w:rPr>
              <w:t>leczenia.</w:t>
            </w:r>
          </w:p>
          <w:p w14:paraId="5E90E03D" w14:textId="77777777" w:rsidR="00A44C66" w:rsidRPr="00A44C66" w:rsidRDefault="00A44C66" w:rsidP="00A44C66">
            <w:pPr>
              <w:autoSpaceDE w:val="0"/>
              <w:autoSpaceDN w:val="0"/>
              <w:adjustRightInd w:val="0"/>
              <w:spacing w:after="60"/>
              <w:jc w:val="both"/>
              <w:rPr>
                <w:iCs/>
                <w:sz w:val="20"/>
                <w:szCs w:val="20"/>
              </w:rPr>
            </w:pPr>
          </w:p>
          <w:p w14:paraId="42A14677" w14:textId="12DE1B50" w:rsidR="0070718A" w:rsidRPr="00603FA9" w:rsidRDefault="007A7823" w:rsidP="003905E1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iCs/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Dawkowanie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03FA9">
              <w:rPr>
                <w:b/>
                <w:bCs/>
                <w:sz w:val="20"/>
                <w:szCs w:val="20"/>
              </w:rPr>
              <w:t>dabrafenibu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03FA9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70718A" w:rsidRPr="00603FA9">
              <w:rPr>
                <w:b/>
                <w:bCs/>
                <w:sz w:val="20"/>
                <w:szCs w:val="20"/>
              </w:rPr>
              <w:t>trametynibu</w:t>
            </w:r>
          </w:p>
          <w:p w14:paraId="4019162D" w14:textId="20E5E858" w:rsidR="002C312C" w:rsidRPr="00A44C66" w:rsidRDefault="0070718A" w:rsidP="00A44C6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Dawkowanie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prowadzone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jest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zgodnie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Charakterystykami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odpowiednich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Produktów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Leczniczych.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Kryteria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sposób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modyfikacji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dawkowania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obu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leków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określon</w:t>
            </w:r>
            <w:r w:rsidR="00682D6F" w:rsidRPr="00A44C66">
              <w:rPr>
                <w:sz w:val="20"/>
                <w:szCs w:val="20"/>
              </w:rPr>
              <w:t>e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Charakterystykach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Produktów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Leczniczych.</w:t>
            </w:r>
          </w:p>
          <w:p w14:paraId="1D74991C" w14:textId="0CF2F662" w:rsidR="00020FF1" w:rsidRDefault="0070718A" w:rsidP="00A44C6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przypadku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konieczno</w:t>
            </w:r>
            <w:r w:rsidR="00682D6F" w:rsidRPr="00A44C66">
              <w:rPr>
                <w:sz w:val="20"/>
                <w:szCs w:val="20"/>
              </w:rPr>
              <w:t>ści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zakończenia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terapii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jednym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leków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schematu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powodu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reakcji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niepożądanych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można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kontynuować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terapię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pozostałym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lekiem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schematu.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Pacjenci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włączeni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programu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przed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dniem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1.03.2017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mogą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kontynuować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lastRenderedPageBreak/>
              <w:t>monoterapię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dabrafenibem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aż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zakończenia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leczenia.</w:t>
            </w:r>
          </w:p>
          <w:p w14:paraId="78AF4775" w14:textId="77777777" w:rsidR="00A44C66" w:rsidRPr="00A44C66" w:rsidRDefault="00A44C66" w:rsidP="00A44C6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3CA285B8" w14:textId="6FA312E7" w:rsidR="00C5273E" w:rsidRPr="00603FA9" w:rsidRDefault="006542F9" w:rsidP="003905E1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03FA9">
              <w:rPr>
                <w:b/>
                <w:bCs/>
                <w:sz w:val="20"/>
                <w:szCs w:val="20"/>
              </w:rPr>
              <w:t>Dawkowanie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C5273E" w:rsidRPr="00603FA9">
              <w:rPr>
                <w:b/>
                <w:bCs/>
                <w:sz w:val="20"/>
                <w:szCs w:val="20"/>
              </w:rPr>
              <w:t>enkorafenibu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C5273E" w:rsidRPr="00603FA9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C5273E" w:rsidRPr="00603FA9">
              <w:rPr>
                <w:b/>
                <w:bCs/>
                <w:sz w:val="20"/>
                <w:szCs w:val="20"/>
              </w:rPr>
              <w:t>binimetynibem</w:t>
            </w:r>
          </w:p>
          <w:p w14:paraId="775DD7EA" w14:textId="5BB2DB2A" w:rsidR="006542F9" w:rsidRPr="00A44C66" w:rsidRDefault="006542F9" w:rsidP="00A44C6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Dawkowanie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prowadzone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jest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zgodnie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Charakterystykami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odpowiednich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Produktów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Leczniczych.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Kryteria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sposób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modyfikacji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dawkowania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obu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leków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określone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Charakterystykach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Produktów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Leczniczych.</w:t>
            </w:r>
          </w:p>
          <w:p w14:paraId="1D229C11" w14:textId="77777777" w:rsidR="007A7823" w:rsidRPr="00603FA9" w:rsidRDefault="007A7823" w:rsidP="00603FA9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53CA0A4C" w14:textId="77777777" w:rsidR="00F12B51" w:rsidRPr="00603FA9" w:rsidRDefault="00F12B51" w:rsidP="00603FA9">
            <w:pPr>
              <w:spacing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1593" w:type="pct"/>
          </w:tcPr>
          <w:p w14:paraId="08F9E273" w14:textId="7272B2E4" w:rsidR="00F17149" w:rsidRPr="00A44C66" w:rsidRDefault="002863CB" w:rsidP="00A44C66">
            <w:pPr>
              <w:pStyle w:val="Akapitzlist"/>
              <w:numPr>
                <w:ilvl w:val="0"/>
                <w:numId w:val="40"/>
              </w:numPr>
              <w:spacing w:before="120"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44C66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przy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kwalifikacji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do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programu</w:t>
            </w:r>
          </w:p>
          <w:p w14:paraId="75710B46" w14:textId="7EA3852F" w:rsidR="00F17149" w:rsidRPr="00A44C66" w:rsidRDefault="002863CB" w:rsidP="00A44C66">
            <w:pPr>
              <w:pStyle w:val="Akapitzlist"/>
              <w:numPr>
                <w:ilvl w:val="1"/>
                <w:numId w:val="40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44C66">
              <w:rPr>
                <w:b/>
                <w:bCs/>
                <w:sz w:val="20"/>
                <w:szCs w:val="20"/>
              </w:rPr>
              <w:t>Badania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przy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kwalifikacji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A44C66">
              <w:rPr>
                <w:b/>
                <w:bCs/>
                <w:sz w:val="20"/>
                <w:szCs w:val="20"/>
              </w:rPr>
              <w:t>do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A44C66">
              <w:rPr>
                <w:b/>
                <w:bCs/>
                <w:sz w:val="20"/>
                <w:szCs w:val="20"/>
              </w:rPr>
              <w:t>leczenia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A44C66">
              <w:rPr>
                <w:b/>
                <w:bCs/>
                <w:sz w:val="20"/>
                <w:szCs w:val="20"/>
              </w:rPr>
              <w:t>ipilimumabem</w:t>
            </w:r>
            <w:r w:rsidR="003604BA" w:rsidRPr="00A44C66">
              <w:rPr>
                <w:b/>
                <w:bCs/>
                <w:sz w:val="20"/>
                <w:szCs w:val="20"/>
              </w:rPr>
              <w:t>,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A44C66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niwolumabem</w:t>
            </w:r>
            <w:r w:rsidR="003604BA" w:rsidRPr="00A44C66">
              <w:rPr>
                <w:b/>
                <w:bCs/>
                <w:sz w:val="20"/>
                <w:szCs w:val="20"/>
              </w:rPr>
              <w:t>,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A44C66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pembrolizumabem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A44C66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A44C66">
              <w:rPr>
                <w:b/>
                <w:bCs/>
                <w:sz w:val="20"/>
                <w:szCs w:val="20"/>
              </w:rPr>
              <w:t>terapią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A44C66">
              <w:rPr>
                <w:b/>
                <w:bCs/>
                <w:sz w:val="20"/>
                <w:szCs w:val="20"/>
              </w:rPr>
              <w:t>skojarzoną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A44C66">
              <w:rPr>
                <w:b/>
                <w:bCs/>
                <w:sz w:val="20"/>
                <w:szCs w:val="20"/>
              </w:rPr>
              <w:t>niwolumab</w:t>
            </w:r>
            <w:r w:rsidR="00514443" w:rsidRPr="00A44C66">
              <w:rPr>
                <w:b/>
                <w:bCs/>
                <w:sz w:val="20"/>
                <w:szCs w:val="20"/>
              </w:rPr>
              <w:t>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A44C66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846981" w:rsidRPr="00A44C66">
              <w:rPr>
                <w:b/>
                <w:bCs/>
                <w:sz w:val="20"/>
                <w:szCs w:val="20"/>
              </w:rPr>
              <w:t>ipilimumabem</w:t>
            </w:r>
          </w:p>
          <w:p w14:paraId="0CCA70CC" w14:textId="3B925B6F" w:rsidR="00F17149" w:rsidRPr="00A44C66" w:rsidRDefault="00345965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H</w:t>
            </w:r>
            <w:r w:rsidR="00F17149" w:rsidRPr="00A44C66">
              <w:rPr>
                <w:sz w:val="20"/>
                <w:szCs w:val="20"/>
              </w:rPr>
              <w:t>istologiczne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potwierdzenie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czerniaka;</w:t>
            </w:r>
            <w:r w:rsidR="00CE3429">
              <w:rPr>
                <w:sz w:val="20"/>
                <w:szCs w:val="20"/>
              </w:rPr>
              <w:t xml:space="preserve"> </w:t>
            </w:r>
          </w:p>
          <w:p w14:paraId="7CEB23B5" w14:textId="7EA441C1" w:rsidR="002B5959" w:rsidRPr="00A44C66" w:rsidRDefault="002B5959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Ocena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ekspresji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PDL-1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metodami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immunohistochemicznymi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materiale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utrwalonym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czerniaka</w:t>
            </w:r>
            <w:r w:rsidR="00CE3429">
              <w:rPr>
                <w:sz w:val="20"/>
                <w:szCs w:val="20"/>
              </w:rPr>
              <w:t xml:space="preserve"> </w:t>
            </w:r>
            <w:r w:rsidR="00B8343B" w:rsidRPr="00A44C66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dotyczy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terapii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skojarzonej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niwolumab</w:t>
            </w:r>
            <w:r w:rsidR="00C30BC3" w:rsidRPr="00A44C66">
              <w:rPr>
                <w:sz w:val="20"/>
                <w:szCs w:val="20"/>
              </w:rPr>
              <w:t>em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ipilimumabem;</w:t>
            </w:r>
          </w:p>
          <w:p w14:paraId="4D55F908" w14:textId="33352877" w:rsidR="00F17149" w:rsidRPr="00A44C66" w:rsidRDefault="00345965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</w:t>
            </w:r>
            <w:r w:rsidR="00F17149" w:rsidRPr="00A44C66">
              <w:rPr>
                <w:sz w:val="20"/>
                <w:szCs w:val="20"/>
              </w:rPr>
              <w:t>iagnostyka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obrazowa: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RTG</w:t>
            </w:r>
            <w:r w:rsidR="00FE77A3" w:rsidRPr="00A44C66">
              <w:rPr>
                <w:sz w:val="20"/>
                <w:szCs w:val="20"/>
              </w:rPr>
              <w:t>,</w:t>
            </w:r>
            <w:r w:rsidR="00CE3429">
              <w:rPr>
                <w:sz w:val="20"/>
                <w:szCs w:val="20"/>
              </w:rPr>
              <w:t xml:space="preserve"> </w:t>
            </w:r>
            <w:r w:rsidR="00806A08" w:rsidRPr="00A44C66">
              <w:rPr>
                <w:sz w:val="20"/>
                <w:szCs w:val="20"/>
              </w:rPr>
              <w:t>PET-TK,</w:t>
            </w:r>
            <w:r w:rsidR="00CE3429">
              <w:rPr>
                <w:sz w:val="20"/>
                <w:szCs w:val="20"/>
              </w:rPr>
              <w:t xml:space="preserve"> </w:t>
            </w:r>
            <w:r w:rsidR="00FE77A3" w:rsidRPr="00A44C66">
              <w:rPr>
                <w:sz w:val="20"/>
                <w:szCs w:val="20"/>
              </w:rPr>
              <w:t>TK</w:t>
            </w:r>
            <w:r w:rsidR="00CE3429">
              <w:rPr>
                <w:sz w:val="20"/>
                <w:szCs w:val="20"/>
              </w:rPr>
              <w:t xml:space="preserve"> </w:t>
            </w:r>
            <w:r w:rsidR="00FE77A3"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FE77A3" w:rsidRPr="00A44C66">
              <w:rPr>
                <w:sz w:val="20"/>
                <w:szCs w:val="20"/>
              </w:rPr>
              <w:t>MRI</w:t>
            </w:r>
            <w:r w:rsidR="00CE3429">
              <w:rPr>
                <w:sz w:val="20"/>
                <w:szCs w:val="20"/>
              </w:rPr>
              <w:t xml:space="preserve"> </w:t>
            </w:r>
            <w:r w:rsidR="00FE77A3" w:rsidRPr="00A44C66">
              <w:rPr>
                <w:sz w:val="20"/>
                <w:szCs w:val="20"/>
              </w:rPr>
              <w:t>(USG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wybranych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przypadka</w:t>
            </w:r>
            <w:r w:rsidR="002863CB" w:rsidRPr="00A44C66">
              <w:rPr>
                <w:sz w:val="20"/>
                <w:szCs w:val="20"/>
              </w:rPr>
              <w:t>ch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A44C66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zmiany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tkance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podskórnej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skórze);</w:t>
            </w:r>
          </w:p>
          <w:p w14:paraId="763F8736" w14:textId="32CF70AF" w:rsidR="00F17149" w:rsidRPr="00A44C66" w:rsidRDefault="00345965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P</w:t>
            </w:r>
            <w:r w:rsidR="00F17149" w:rsidRPr="00A44C66">
              <w:rPr>
                <w:sz w:val="20"/>
                <w:szCs w:val="20"/>
              </w:rPr>
              <w:t>omiar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masy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ciała;</w:t>
            </w:r>
          </w:p>
          <w:p w14:paraId="7E33249D" w14:textId="459F23F8" w:rsidR="00F17149" w:rsidRPr="00A44C66" w:rsidRDefault="00345965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P</w:t>
            </w:r>
            <w:r w:rsidR="00F17149" w:rsidRPr="00A44C66">
              <w:rPr>
                <w:sz w:val="20"/>
                <w:szCs w:val="20"/>
              </w:rPr>
              <w:t>ełne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przedmiotowe;</w:t>
            </w:r>
          </w:p>
          <w:p w14:paraId="0B10A0F0" w14:textId="3EA7BF2B" w:rsidR="00F17149" w:rsidRPr="00A44C66" w:rsidRDefault="00345965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</w:t>
            </w:r>
            <w:r w:rsidR="00F17149" w:rsidRPr="00A44C66">
              <w:rPr>
                <w:sz w:val="20"/>
                <w:szCs w:val="20"/>
              </w:rPr>
              <w:t>cena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sprawności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skali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ECOG;</w:t>
            </w:r>
          </w:p>
          <w:p w14:paraId="17FABB15" w14:textId="0B567403" w:rsidR="002863CB" w:rsidRPr="00A44C66" w:rsidRDefault="00345965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</w:t>
            </w:r>
            <w:r w:rsidR="002863CB" w:rsidRPr="00A44C66">
              <w:rPr>
                <w:sz w:val="20"/>
                <w:szCs w:val="20"/>
              </w:rPr>
              <w:t>cena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obecności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mutacji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BRAF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V600</w:t>
            </w:r>
            <w:r w:rsidR="00197366" w:rsidRPr="00A44C66">
              <w:rPr>
                <w:sz w:val="20"/>
                <w:szCs w:val="20"/>
              </w:rPr>
              <w:t>;</w:t>
            </w:r>
          </w:p>
          <w:p w14:paraId="08E7C855" w14:textId="33C8325C" w:rsidR="002863CB" w:rsidRPr="00A44C66" w:rsidRDefault="00345965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T</w:t>
            </w:r>
            <w:r w:rsidR="002863CB" w:rsidRPr="00A44C66">
              <w:rPr>
                <w:sz w:val="20"/>
                <w:szCs w:val="20"/>
              </w:rPr>
              <w:t>est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ciążowy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u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kobiet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wieku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rozrodczym;</w:t>
            </w:r>
          </w:p>
          <w:p w14:paraId="3EFD2518" w14:textId="2A20BFBF" w:rsidR="002863CB" w:rsidRPr="00A44C66" w:rsidRDefault="00345965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E</w:t>
            </w:r>
            <w:r w:rsidR="00682D6F" w:rsidRPr="00A44C66">
              <w:rPr>
                <w:sz w:val="20"/>
                <w:szCs w:val="20"/>
              </w:rPr>
              <w:t>lektrokardiogram</w:t>
            </w:r>
            <w:r w:rsidR="00CE3429">
              <w:rPr>
                <w:sz w:val="20"/>
                <w:szCs w:val="20"/>
              </w:rPr>
              <w:t xml:space="preserve"> </w:t>
            </w:r>
            <w:r w:rsidR="002863CB" w:rsidRPr="00A44C66">
              <w:rPr>
                <w:sz w:val="20"/>
                <w:szCs w:val="20"/>
              </w:rPr>
              <w:t>(EKG);</w:t>
            </w:r>
          </w:p>
          <w:p w14:paraId="1084D6C0" w14:textId="62489514" w:rsidR="00F17149" w:rsidRPr="00A44C66" w:rsidRDefault="00345965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</w:t>
            </w:r>
            <w:r w:rsidR="00F17149" w:rsidRPr="00A44C66">
              <w:rPr>
                <w:sz w:val="20"/>
                <w:szCs w:val="20"/>
              </w:rPr>
              <w:t>adania</w:t>
            </w:r>
            <w:r w:rsidR="00CE3429">
              <w:rPr>
                <w:sz w:val="20"/>
                <w:szCs w:val="20"/>
              </w:rPr>
              <w:t xml:space="preserve"> </w:t>
            </w:r>
            <w:r w:rsidR="00F17149" w:rsidRPr="00A44C66">
              <w:rPr>
                <w:sz w:val="20"/>
                <w:szCs w:val="20"/>
              </w:rPr>
              <w:t>laboratoryjne:</w:t>
            </w:r>
          </w:p>
          <w:p w14:paraId="532F2CBC" w14:textId="3D75E206" w:rsidR="00F17149" w:rsidRPr="00A44C66" w:rsidRDefault="00F17149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hematologiczne: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hemoglobina,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pełna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morfologia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rozmazem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(włącznie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bezwzględną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liczbą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limfocytów)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liczbą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płytek,</w:t>
            </w:r>
          </w:p>
          <w:p w14:paraId="53D40FD9" w14:textId="1F28D19F" w:rsidR="00F17149" w:rsidRPr="00A44C66" w:rsidRDefault="00F17149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parametry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biochemiczne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surowicy: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amylaza,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aminotransferazy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(ALT/AST),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bilirubina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lastRenderedPageBreak/>
              <w:t>(związana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całkowita),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kreatynina,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glukoza,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mocznik,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dehydrogenaza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mleczanowa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(LDH),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elektrolity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stężenie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sodu,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potasu,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wapnia),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TSH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wolna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T4,</w:t>
            </w:r>
          </w:p>
          <w:p w14:paraId="0970D2B9" w14:textId="5FEAE231" w:rsidR="00ED1ACB" w:rsidRDefault="005008FE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ogólne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moczu</w:t>
            </w:r>
            <w:r w:rsidR="00A44C66">
              <w:rPr>
                <w:sz w:val="20"/>
                <w:szCs w:val="20"/>
              </w:rPr>
              <w:t>.</w:t>
            </w:r>
          </w:p>
          <w:p w14:paraId="46C15017" w14:textId="77777777" w:rsidR="00A44C66" w:rsidRPr="00A44C66" w:rsidRDefault="00A44C66" w:rsidP="00A44C66">
            <w:pPr>
              <w:pStyle w:val="Akapitzlist"/>
              <w:spacing w:after="60"/>
              <w:ind w:left="737"/>
              <w:contextualSpacing w:val="0"/>
              <w:jc w:val="both"/>
              <w:rPr>
                <w:sz w:val="20"/>
                <w:szCs w:val="20"/>
              </w:rPr>
            </w:pPr>
          </w:p>
          <w:p w14:paraId="4850C358" w14:textId="14D28A25" w:rsidR="007D71C5" w:rsidRPr="00A44C66" w:rsidRDefault="00BE32E5" w:rsidP="00A44C66">
            <w:pPr>
              <w:pStyle w:val="Akapitzlist"/>
              <w:numPr>
                <w:ilvl w:val="1"/>
                <w:numId w:val="40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44C66">
              <w:rPr>
                <w:b/>
                <w:bCs/>
                <w:sz w:val="20"/>
                <w:szCs w:val="20"/>
              </w:rPr>
              <w:t>Badania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przy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kwalifikacji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do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zastosowaniem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wemurafenibu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kobimetynibu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albo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46AFB" w:rsidRPr="00A44C66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46AFB" w:rsidRPr="00A44C66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zastosowaniem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dabrafenibu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trametynibu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albo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enkorafenibu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binimetynibem</w:t>
            </w:r>
          </w:p>
          <w:p w14:paraId="5D62F363" w14:textId="11B379B9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Histologiczne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potwierdzenie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czerniaka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zgodnie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kryteriami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włączenia;</w:t>
            </w:r>
          </w:p>
          <w:p w14:paraId="382016CD" w14:textId="4ABAFF4F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Ocena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obecności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mutacji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BRAF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V600;</w:t>
            </w:r>
          </w:p>
          <w:p w14:paraId="42177749" w14:textId="2A64577F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Morfologia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krwi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rozmazem;</w:t>
            </w:r>
          </w:p>
          <w:p w14:paraId="194809EF" w14:textId="13445CFC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Oznaczenia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stężenia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kreatyniny;</w:t>
            </w:r>
          </w:p>
          <w:p w14:paraId="7BB1C434" w14:textId="28AA85B9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Oznaczenie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stężenia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bilirubiny;</w:t>
            </w:r>
          </w:p>
          <w:p w14:paraId="6DC0E970" w14:textId="51672CF3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Oznaczenie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aktywności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aminotransferazy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alaninowej;</w:t>
            </w:r>
          </w:p>
          <w:p w14:paraId="1CC852EB" w14:textId="15ADB706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Oznaczenie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stężenia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dehydrogenazy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mleczanowej;</w:t>
            </w:r>
          </w:p>
          <w:p w14:paraId="4C21C422" w14:textId="133B44BC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Oznaczenie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aktywności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aminotransferazy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asparaginianowej;</w:t>
            </w:r>
            <w:r w:rsidR="00CE3429">
              <w:rPr>
                <w:sz w:val="20"/>
                <w:szCs w:val="20"/>
              </w:rPr>
              <w:t xml:space="preserve"> </w:t>
            </w:r>
          </w:p>
          <w:p w14:paraId="466E201F" w14:textId="6D83210B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Oznaczenie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stężenia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elektrolitów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magnezu);</w:t>
            </w:r>
          </w:p>
          <w:p w14:paraId="09D321F4" w14:textId="023ADCDF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elektrokardiogram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(EKG);</w:t>
            </w:r>
          </w:p>
          <w:p w14:paraId="03CA3535" w14:textId="6A293B2E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Ocena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frakcji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wyrzutowej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komory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serca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(LVEF);</w:t>
            </w:r>
          </w:p>
          <w:p w14:paraId="7F67E221" w14:textId="5F31B836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Test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ciążowy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kobiet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wieku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rozrodczym;</w:t>
            </w:r>
          </w:p>
          <w:p w14:paraId="4F5B0ED0" w14:textId="376551C9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tomografii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komputerowej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rezonans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magnetyczny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mózgu;</w:t>
            </w:r>
          </w:p>
          <w:p w14:paraId="73542118" w14:textId="7FF25F01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tomografii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komputerowej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klatki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piersiowej</w:t>
            </w:r>
            <w:r w:rsidR="00072D21" w:rsidRPr="00A44C66">
              <w:rPr>
                <w:sz w:val="20"/>
                <w:szCs w:val="20"/>
              </w:rPr>
              <w:t>,</w:t>
            </w:r>
            <w:r w:rsidR="00CE3429">
              <w:rPr>
                <w:sz w:val="20"/>
                <w:szCs w:val="20"/>
              </w:rPr>
              <w:t xml:space="preserve"> </w:t>
            </w:r>
            <w:r w:rsidR="00072D21" w:rsidRPr="00A44C66">
              <w:rPr>
                <w:sz w:val="20"/>
                <w:szCs w:val="20"/>
              </w:rPr>
              <w:t>jamy</w:t>
            </w:r>
            <w:r w:rsidR="00CE3429">
              <w:rPr>
                <w:sz w:val="20"/>
                <w:szCs w:val="20"/>
              </w:rPr>
              <w:t xml:space="preserve"> </w:t>
            </w:r>
            <w:r w:rsidR="00072D21" w:rsidRPr="00A44C66">
              <w:rPr>
                <w:sz w:val="20"/>
                <w:szCs w:val="20"/>
              </w:rPr>
              <w:t>brzusznej</w:t>
            </w:r>
            <w:r w:rsidR="00CE3429">
              <w:rPr>
                <w:sz w:val="20"/>
                <w:szCs w:val="20"/>
              </w:rPr>
              <w:t xml:space="preserve"> </w:t>
            </w:r>
            <w:r w:rsidR="00072D21"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="00072D21" w:rsidRPr="00A44C66">
              <w:rPr>
                <w:sz w:val="20"/>
                <w:szCs w:val="20"/>
              </w:rPr>
              <w:t>miednic</w:t>
            </w:r>
            <w:r w:rsidR="00814DFC" w:rsidRPr="00A44C66">
              <w:rPr>
                <w:sz w:val="20"/>
                <w:szCs w:val="20"/>
              </w:rPr>
              <w:t>y</w:t>
            </w:r>
            <w:r w:rsidR="00072D21" w:rsidRPr="00A44C66">
              <w:rPr>
                <w:sz w:val="20"/>
                <w:szCs w:val="20"/>
              </w:rPr>
              <w:t>;</w:t>
            </w:r>
          </w:p>
          <w:p w14:paraId="2CD98B96" w14:textId="0EA0773D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tomografii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komputerowej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innej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lokalizacji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inne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obrazowe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(ultrasonografia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A44C66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USG,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lastRenderedPageBreak/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ewentualną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dokumentacją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fotograficzną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zmian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nowotworowych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skórze,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rezonans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magnetyczny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A44C66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MR,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scyntygrafia)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zależności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sytuacji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klinicznej;</w:t>
            </w:r>
          </w:p>
          <w:p w14:paraId="30CCCBD7" w14:textId="0C0CF155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Ocena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przedmiotowa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całej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skóry;</w:t>
            </w:r>
          </w:p>
          <w:p w14:paraId="3BB4C27C" w14:textId="52748A81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głowy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szyi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obejmujące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przynajmniej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wzrokową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ocenę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błon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śluzowych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jamy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ustnej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palpacyjną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ocenę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węzłów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chłonnych;</w:t>
            </w:r>
          </w:p>
          <w:p w14:paraId="2095DE8C" w14:textId="6772E6F3" w:rsidR="00946AFB" w:rsidRPr="00A44C66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obrazowe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umożliwiające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ocenę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odpowiedzi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kryteriów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RECIST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wcześniej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niż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28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dni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przed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zastosowaniem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pierwszej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dawki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leku);</w:t>
            </w:r>
          </w:p>
          <w:p w14:paraId="30876FFC" w14:textId="7DFCE66E" w:rsidR="007D71C5" w:rsidRDefault="00946AFB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okulistyczne,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ostroś</w:t>
            </w:r>
            <w:r w:rsidR="00B51734" w:rsidRPr="00A44C66">
              <w:rPr>
                <w:sz w:val="20"/>
                <w:szCs w:val="20"/>
              </w:rPr>
              <w:t>ci</w:t>
            </w:r>
            <w:r w:rsidR="00CE3429">
              <w:rPr>
                <w:sz w:val="20"/>
                <w:szCs w:val="20"/>
              </w:rPr>
              <w:t xml:space="preserve"> </w:t>
            </w:r>
            <w:r w:rsidR="00B51734"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="00B51734" w:rsidRPr="00A44C66">
              <w:rPr>
                <w:sz w:val="20"/>
                <w:szCs w:val="20"/>
              </w:rPr>
              <w:t>pola</w:t>
            </w:r>
            <w:r w:rsidR="00CE3429">
              <w:rPr>
                <w:sz w:val="20"/>
                <w:szCs w:val="20"/>
              </w:rPr>
              <w:t xml:space="preserve"> </w:t>
            </w:r>
            <w:r w:rsidR="00B51734" w:rsidRPr="00A44C66">
              <w:rPr>
                <w:sz w:val="20"/>
                <w:szCs w:val="20"/>
              </w:rPr>
              <w:t>widzenia</w:t>
            </w:r>
            <w:r w:rsidR="00CE3429">
              <w:rPr>
                <w:sz w:val="20"/>
                <w:szCs w:val="20"/>
              </w:rPr>
              <w:t xml:space="preserve"> </w:t>
            </w:r>
            <w:r w:rsidR="00B51734" w:rsidRPr="00A44C66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="00B51734" w:rsidRPr="00A44C66">
              <w:rPr>
                <w:sz w:val="20"/>
                <w:szCs w:val="20"/>
              </w:rPr>
              <w:t>dna</w:t>
            </w:r>
            <w:r w:rsidR="00CE3429">
              <w:rPr>
                <w:sz w:val="20"/>
                <w:szCs w:val="20"/>
              </w:rPr>
              <w:t xml:space="preserve"> </w:t>
            </w:r>
            <w:r w:rsidR="00B51734" w:rsidRPr="00A44C66">
              <w:rPr>
                <w:sz w:val="20"/>
                <w:szCs w:val="20"/>
              </w:rPr>
              <w:t>oka</w:t>
            </w:r>
            <w:r w:rsidR="00A44C66">
              <w:rPr>
                <w:sz w:val="20"/>
                <w:szCs w:val="20"/>
              </w:rPr>
              <w:t>.</w:t>
            </w:r>
          </w:p>
          <w:p w14:paraId="52C84A0D" w14:textId="77777777" w:rsidR="00A44C66" w:rsidRPr="00A44C66" w:rsidRDefault="00A44C66" w:rsidP="00A44C66">
            <w:pPr>
              <w:pStyle w:val="Akapitzlist"/>
              <w:spacing w:after="60"/>
              <w:ind w:left="567"/>
              <w:contextualSpacing w:val="0"/>
              <w:jc w:val="both"/>
              <w:rPr>
                <w:sz w:val="20"/>
                <w:szCs w:val="20"/>
              </w:rPr>
            </w:pPr>
          </w:p>
          <w:p w14:paraId="56DFE931" w14:textId="11F70EC4" w:rsidR="00F12B51" w:rsidRPr="00A44C66" w:rsidRDefault="00ED1ACB" w:rsidP="00A44C66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44C66">
              <w:rPr>
                <w:b/>
                <w:bCs/>
                <w:sz w:val="20"/>
                <w:szCs w:val="20"/>
              </w:rPr>
              <w:t>Monitorowanie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leczenia</w:t>
            </w:r>
          </w:p>
          <w:p w14:paraId="6701E40D" w14:textId="1B5BA4D1" w:rsidR="003B4C4D" w:rsidRPr="00A44C66" w:rsidRDefault="00ED1ACB" w:rsidP="00A44C66">
            <w:pPr>
              <w:pStyle w:val="Akapitzlist"/>
              <w:numPr>
                <w:ilvl w:val="1"/>
                <w:numId w:val="40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44C66">
              <w:rPr>
                <w:b/>
                <w:bCs/>
                <w:sz w:val="20"/>
                <w:szCs w:val="20"/>
              </w:rPr>
              <w:t>Moni</w:t>
            </w:r>
            <w:r w:rsidR="00B77150" w:rsidRPr="00A44C66">
              <w:rPr>
                <w:b/>
                <w:bCs/>
                <w:sz w:val="20"/>
                <w:szCs w:val="20"/>
              </w:rPr>
              <w:t>toro</w:t>
            </w:r>
            <w:r w:rsidR="009F4177" w:rsidRPr="00A44C66">
              <w:rPr>
                <w:b/>
                <w:bCs/>
                <w:sz w:val="20"/>
                <w:szCs w:val="20"/>
              </w:rPr>
              <w:t>wanie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A44C66">
              <w:rPr>
                <w:b/>
                <w:bCs/>
                <w:sz w:val="20"/>
                <w:szCs w:val="20"/>
              </w:rPr>
              <w:t>leczenia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A44C66">
              <w:rPr>
                <w:b/>
                <w:bCs/>
                <w:sz w:val="20"/>
                <w:szCs w:val="20"/>
              </w:rPr>
              <w:t>ipilimumabem</w:t>
            </w:r>
            <w:r w:rsidR="003604BA" w:rsidRPr="00A44C66">
              <w:rPr>
                <w:b/>
                <w:bCs/>
                <w:sz w:val="20"/>
                <w:szCs w:val="20"/>
              </w:rPr>
              <w:t>,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A44C66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A44C66">
              <w:rPr>
                <w:b/>
                <w:bCs/>
                <w:sz w:val="20"/>
                <w:szCs w:val="20"/>
              </w:rPr>
              <w:t>niwolumabem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9F4177" w:rsidRPr="00A44C66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77150" w:rsidRPr="00A44C66">
              <w:rPr>
                <w:b/>
                <w:bCs/>
                <w:sz w:val="20"/>
                <w:szCs w:val="20"/>
              </w:rPr>
              <w:t>pembrolizumabem</w:t>
            </w:r>
            <w:r w:rsidR="00CD298F" w:rsidRPr="00A44C66">
              <w:rPr>
                <w:b/>
                <w:bCs/>
                <w:sz w:val="20"/>
                <w:szCs w:val="20"/>
              </w:rPr>
              <w:t>,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A44C66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A44C66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A44C66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A44C66">
              <w:rPr>
                <w:b/>
                <w:bCs/>
                <w:sz w:val="20"/>
                <w:szCs w:val="20"/>
              </w:rPr>
              <w:t>niwolumabem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A44C66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CD298F" w:rsidRPr="00A44C66">
              <w:rPr>
                <w:b/>
                <w:bCs/>
                <w:sz w:val="20"/>
                <w:szCs w:val="20"/>
              </w:rPr>
              <w:t>ipilimumabem</w:t>
            </w:r>
          </w:p>
          <w:p w14:paraId="4E96AC1A" w14:textId="7D30F35E" w:rsidR="000651B7" w:rsidRPr="00A44C66" w:rsidRDefault="004F477A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Diagnostyka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obrazowa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umożliwiające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ocenę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odpowiedzi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wedł</w:t>
            </w:r>
            <w:r w:rsidR="000651B7" w:rsidRPr="00A44C66">
              <w:rPr>
                <w:sz w:val="20"/>
                <w:szCs w:val="20"/>
              </w:rPr>
              <w:t>ug</w:t>
            </w:r>
            <w:r w:rsidR="00CE3429">
              <w:rPr>
                <w:sz w:val="20"/>
                <w:szCs w:val="20"/>
              </w:rPr>
              <w:t xml:space="preserve"> </w:t>
            </w:r>
            <w:r w:rsidR="000651B7" w:rsidRPr="00A44C66">
              <w:rPr>
                <w:sz w:val="20"/>
                <w:szCs w:val="20"/>
              </w:rPr>
              <w:t>aktualnych</w:t>
            </w:r>
            <w:r w:rsidR="00CE3429">
              <w:rPr>
                <w:sz w:val="20"/>
                <w:szCs w:val="20"/>
              </w:rPr>
              <w:t xml:space="preserve"> </w:t>
            </w:r>
            <w:r w:rsidR="000651B7" w:rsidRPr="00A44C66">
              <w:rPr>
                <w:sz w:val="20"/>
                <w:szCs w:val="20"/>
              </w:rPr>
              <w:t>kryteriów</w:t>
            </w:r>
            <w:r w:rsidR="00CE3429">
              <w:rPr>
                <w:sz w:val="20"/>
                <w:szCs w:val="20"/>
              </w:rPr>
              <w:t xml:space="preserve"> </w:t>
            </w:r>
            <w:r w:rsidR="000651B7" w:rsidRPr="00A44C66">
              <w:rPr>
                <w:sz w:val="20"/>
                <w:szCs w:val="20"/>
              </w:rPr>
              <w:t>RECIST: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TK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MRI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(USG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wybranych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przypadkach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A44C66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zmiany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tkance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podskórnej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skórz</w:t>
            </w:r>
            <w:r w:rsidR="000651B7" w:rsidRPr="00A44C66">
              <w:rPr>
                <w:sz w:val="20"/>
                <w:szCs w:val="20"/>
              </w:rPr>
              <w:t>e).</w:t>
            </w:r>
            <w:r w:rsidR="00CE3429">
              <w:rPr>
                <w:sz w:val="20"/>
                <w:szCs w:val="20"/>
              </w:rPr>
              <w:t xml:space="preserve"> </w:t>
            </w:r>
            <w:r w:rsidR="000651B7" w:rsidRPr="00A44C66">
              <w:rPr>
                <w:sz w:val="20"/>
                <w:szCs w:val="20"/>
              </w:rPr>
              <w:t>Diagnostykę</w:t>
            </w:r>
            <w:r w:rsidR="00CE3429">
              <w:rPr>
                <w:sz w:val="20"/>
                <w:szCs w:val="20"/>
              </w:rPr>
              <w:t xml:space="preserve"> </w:t>
            </w:r>
            <w:r w:rsidR="007F3818" w:rsidRPr="00A44C66">
              <w:rPr>
                <w:sz w:val="20"/>
                <w:szCs w:val="20"/>
              </w:rPr>
              <w:t>obrazową</w:t>
            </w:r>
            <w:r w:rsidR="00CE3429">
              <w:rPr>
                <w:sz w:val="20"/>
                <w:szCs w:val="20"/>
              </w:rPr>
              <w:t xml:space="preserve"> </w:t>
            </w:r>
            <w:r w:rsidR="000651B7" w:rsidRPr="00A44C66">
              <w:rPr>
                <w:sz w:val="20"/>
                <w:szCs w:val="20"/>
              </w:rPr>
              <w:t>wykonuje</w:t>
            </w:r>
            <w:r w:rsidR="00CE3429">
              <w:rPr>
                <w:sz w:val="20"/>
                <w:szCs w:val="20"/>
              </w:rPr>
              <w:t xml:space="preserve"> </w:t>
            </w:r>
            <w:r w:rsidR="000651B7" w:rsidRPr="00A44C66">
              <w:rPr>
                <w:sz w:val="20"/>
                <w:szCs w:val="20"/>
              </w:rPr>
              <w:t>się:</w:t>
            </w:r>
          </w:p>
          <w:p w14:paraId="05553212" w14:textId="2A51581C" w:rsidR="00B77150" w:rsidRPr="00A44C66" w:rsidRDefault="00A10E4B" w:rsidP="00A44C66">
            <w:pPr>
              <w:pStyle w:val="Akapitzlist"/>
              <w:numPr>
                <w:ilvl w:val="5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</w:t>
            </w:r>
            <w:r w:rsidR="00112DB6" w:rsidRPr="00A44C66">
              <w:rPr>
                <w:sz w:val="20"/>
                <w:szCs w:val="20"/>
              </w:rPr>
              <w:t>la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monoterapii</w:t>
            </w:r>
            <w:r w:rsidR="00CE3429">
              <w:rPr>
                <w:sz w:val="20"/>
                <w:szCs w:val="20"/>
              </w:rPr>
              <w:t xml:space="preserve"> </w:t>
            </w:r>
            <w:r w:rsidR="00112DB6" w:rsidRPr="00A44C66">
              <w:rPr>
                <w:sz w:val="20"/>
                <w:szCs w:val="20"/>
              </w:rPr>
              <w:t>ipilimumab</w:t>
            </w:r>
            <w:r w:rsidRPr="00A44C66">
              <w:rPr>
                <w:sz w:val="20"/>
                <w:szCs w:val="20"/>
              </w:rPr>
              <w:t>em</w:t>
            </w:r>
            <w:r w:rsidR="00112DB6" w:rsidRPr="00A44C66">
              <w:rPr>
                <w:sz w:val="20"/>
                <w:szCs w:val="20"/>
              </w:rPr>
              <w:t>: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12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tygodniach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leczenia</w:t>
            </w:r>
            <w:r w:rsidR="001F46BC" w:rsidRPr="00A44C66">
              <w:rPr>
                <w:sz w:val="20"/>
                <w:szCs w:val="20"/>
              </w:rPr>
              <w:t>;</w:t>
            </w:r>
          </w:p>
          <w:p w14:paraId="306EA11A" w14:textId="7641EFAF" w:rsidR="00B77150" w:rsidRPr="00A44C66" w:rsidRDefault="00112DB6" w:rsidP="00A44C66">
            <w:pPr>
              <w:pStyle w:val="Akapitzlist"/>
              <w:numPr>
                <w:ilvl w:val="5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dla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niwolumabu</w:t>
            </w:r>
            <w:r w:rsidR="00CE3429">
              <w:rPr>
                <w:sz w:val="20"/>
                <w:szCs w:val="20"/>
              </w:rPr>
              <w:t xml:space="preserve"> </w:t>
            </w:r>
            <w:r w:rsidR="00F04474"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="00F04474" w:rsidRPr="00A44C66">
              <w:rPr>
                <w:sz w:val="20"/>
                <w:szCs w:val="20"/>
              </w:rPr>
              <w:t>pembrolizumabu</w:t>
            </w:r>
            <w:r w:rsidRPr="00A44C66">
              <w:rPr>
                <w:sz w:val="20"/>
                <w:szCs w:val="20"/>
              </w:rPr>
              <w:t>: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12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tygodniach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leczenia,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a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następnie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3</w:t>
            </w:r>
            <w:r w:rsidR="00CA6125" w:rsidRPr="00A44C66">
              <w:rPr>
                <w:sz w:val="20"/>
                <w:szCs w:val="20"/>
              </w:rPr>
              <w:t>-4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miesiące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przy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klinicznym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podejrzeniu</w:t>
            </w:r>
            <w:r w:rsidR="00CE3429">
              <w:rPr>
                <w:sz w:val="20"/>
                <w:szCs w:val="20"/>
              </w:rPr>
              <w:t xml:space="preserve"> </w:t>
            </w:r>
            <w:r w:rsidR="00B77150" w:rsidRPr="00A44C66">
              <w:rPr>
                <w:sz w:val="20"/>
                <w:szCs w:val="20"/>
              </w:rPr>
              <w:t>progresji;</w:t>
            </w:r>
          </w:p>
          <w:p w14:paraId="5FA265BF" w14:textId="258FB3C9" w:rsidR="00A10E4B" w:rsidRPr="00A44C66" w:rsidRDefault="00A10E4B" w:rsidP="00A44C66">
            <w:pPr>
              <w:pStyle w:val="Akapitzlist"/>
              <w:numPr>
                <w:ilvl w:val="5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dla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terapii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skojarzonej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niwolumabu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ipilimumabem: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między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11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13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tygodniem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leczenia,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następnie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3-4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miesiące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klinicznym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podejrzeniu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progresji;</w:t>
            </w:r>
          </w:p>
          <w:p w14:paraId="3AA8E316" w14:textId="04A90FD8" w:rsidR="00112DB6" w:rsidRPr="00A44C66" w:rsidRDefault="0098410E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lastRenderedPageBreak/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laboratoryjne:</w:t>
            </w:r>
            <w:r w:rsidR="00CE3429">
              <w:rPr>
                <w:sz w:val="20"/>
                <w:szCs w:val="20"/>
              </w:rPr>
              <w:t xml:space="preserve"> </w:t>
            </w:r>
            <w:r w:rsidR="00112DB6" w:rsidRPr="00A44C66">
              <w:rPr>
                <w:sz w:val="20"/>
                <w:szCs w:val="20"/>
              </w:rPr>
              <w:t>p</w:t>
            </w:r>
            <w:r w:rsidR="001F46BC" w:rsidRPr="00A44C66">
              <w:rPr>
                <w:sz w:val="20"/>
                <w:szCs w:val="20"/>
              </w:rPr>
              <w:t>ełna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morfologia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krwi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rozmazem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liczbą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płytek,</w:t>
            </w:r>
            <w:r w:rsidR="00CE3429">
              <w:rPr>
                <w:sz w:val="20"/>
                <w:szCs w:val="20"/>
              </w:rPr>
              <w:t xml:space="preserve"> </w:t>
            </w:r>
            <w:r w:rsidR="00112DB6" w:rsidRPr="00A44C66">
              <w:rPr>
                <w:sz w:val="20"/>
                <w:szCs w:val="20"/>
              </w:rPr>
              <w:t>p</w:t>
            </w:r>
            <w:r w:rsidR="001F46BC" w:rsidRPr="00A44C66">
              <w:rPr>
                <w:sz w:val="20"/>
                <w:szCs w:val="20"/>
              </w:rPr>
              <w:t>arametry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biochemiczne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surowicy: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aminotransferazy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(ALT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AST),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bilirubina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całkowita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(bezpośrednia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przypadku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stężenia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bilirubiny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całkowitej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&gt;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1,5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GGN),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kreatynina,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glukoza,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dehydrogenaza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mleczanowa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(LDH),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elektrolity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(w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stężenie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sodu,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potasu,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wapnia),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TSH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wolna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T4</w:t>
            </w:r>
            <w:r w:rsidR="00112DB6" w:rsidRPr="00A44C66">
              <w:rPr>
                <w:sz w:val="20"/>
                <w:szCs w:val="20"/>
              </w:rPr>
              <w:t>.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Zaleca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się,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aby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wszystkie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próbki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badań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laboratoryjnych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były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pobrane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okresie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7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dni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przed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podaniem</w:t>
            </w:r>
            <w:r w:rsidR="00CE3429">
              <w:rPr>
                <w:sz w:val="20"/>
                <w:szCs w:val="20"/>
              </w:rPr>
              <w:t xml:space="preserve"> </w:t>
            </w:r>
            <w:r w:rsidR="00186935" w:rsidRPr="00A44C66">
              <w:rPr>
                <w:sz w:val="20"/>
                <w:szCs w:val="20"/>
              </w:rPr>
              <w:t>dawki</w:t>
            </w:r>
            <w:r w:rsidR="00CE3429">
              <w:rPr>
                <w:sz w:val="20"/>
                <w:szCs w:val="20"/>
              </w:rPr>
              <w:t xml:space="preserve"> </w:t>
            </w:r>
            <w:r w:rsidR="007E78A5" w:rsidRPr="00A44C66">
              <w:rPr>
                <w:sz w:val="20"/>
                <w:szCs w:val="20"/>
              </w:rPr>
              <w:t>leku</w:t>
            </w:r>
            <w:r w:rsidR="00186935" w:rsidRPr="00A44C66">
              <w:rPr>
                <w:sz w:val="20"/>
                <w:szCs w:val="20"/>
              </w:rPr>
              <w:t>.</w:t>
            </w:r>
            <w:r w:rsidR="00CE3429">
              <w:rPr>
                <w:sz w:val="20"/>
                <w:szCs w:val="20"/>
              </w:rPr>
              <w:t xml:space="preserve"> </w:t>
            </w:r>
            <w:r w:rsidR="000651B7" w:rsidRPr="00A44C66">
              <w:rPr>
                <w:sz w:val="20"/>
                <w:szCs w:val="20"/>
              </w:rPr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="007F3818" w:rsidRPr="00A44C66">
              <w:rPr>
                <w:sz w:val="20"/>
                <w:szCs w:val="20"/>
              </w:rPr>
              <w:t>laboratoryjne</w:t>
            </w:r>
            <w:r w:rsidR="00CE3429">
              <w:rPr>
                <w:sz w:val="20"/>
                <w:szCs w:val="20"/>
              </w:rPr>
              <w:t xml:space="preserve"> </w:t>
            </w:r>
            <w:r w:rsidR="000651B7" w:rsidRPr="00A44C66">
              <w:rPr>
                <w:sz w:val="20"/>
                <w:szCs w:val="20"/>
              </w:rPr>
              <w:t>wykonuje</w:t>
            </w:r>
            <w:r w:rsidR="00CE3429">
              <w:rPr>
                <w:sz w:val="20"/>
                <w:szCs w:val="20"/>
              </w:rPr>
              <w:t xml:space="preserve"> </w:t>
            </w:r>
            <w:r w:rsidR="000651B7" w:rsidRPr="00A44C66">
              <w:rPr>
                <w:sz w:val="20"/>
                <w:szCs w:val="20"/>
              </w:rPr>
              <w:t>się</w:t>
            </w:r>
            <w:r w:rsidR="007F3818" w:rsidRPr="00A44C66">
              <w:rPr>
                <w:sz w:val="20"/>
                <w:szCs w:val="20"/>
              </w:rPr>
              <w:t>:</w:t>
            </w:r>
          </w:p>
          <w:p w14:paraId="7C1C99E8" w14:textId="57D455F5" w:rsidR="00112DB6" w:rsidRPr="00A44C66" w:rsidRDefault="00112DB6" w:rsidP="00A44C66">
            <w:pPr>
              <w:pStyle w:val="Akapitzlist"/>
              <w:numPr>
                <w:ilvl w:val="5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dla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monoterapii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ipilimumab</w:t>
            </w:r>
            <w:r w:rsidR="00A10E4B" w:rsidRPr="00A44C66">
              <w:rPr>
                <w:sz w:val="20"/>
                <w:szCs w:val="20"/>
              </w:rPr>
              <w:t>em</w:t>
            </w:r>
            <w:r w:rsidR="00CE3429">
              <w:rPr>
                <w:sz w:val="20"/>
                <w:szCs w:val="20"/>
              </w:rPr>
              <w:t xml:space="preserve"> </w:t>
            </w:r>
            <w:r w:rsidR="0046381C"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="0046381C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46381C" w:rsidRPr="00A44C66">
              <w:rPr>
                <w:sz w:val="20"/>
                <w:szCs w:val="20"/>
              </w:rPr>
              <w:t>trakcie</w:t>
            </w:r>
            <w:r w:rsidR="00CE3429">
              <w:rPr>
                <w:sz w:val="20"/>
                <w:szCs w:val="20"/>
              </w:rPr>
              <w:t xml:space="preserve"> </w:t>
            </w:r>
            <w:r w:rsidR="0046381C" w:rsidRPr="00A44C66">
              <w:rPr>
                <w:sz w:val="20"/>
                <w:szCs w:val="20"/>
              </w:rPr>
              <w:t>leczeni</w:t>
            </w:r>
            <w:r w:rsidR="00814DFC" w:rsidRPr="00A44C66">
              <w:rPr>
                <w:sz w:val="20"/>
                <w:szCs w:val="20"/>
              </w:rPr>
              <w:t>a</w:t>
            </w:r>
            <w:r w:rsidR="00CE3429">
              <w:rPr>
                <w:sz w:val="20"/>
                <w:szCs w:val="20"/>
              </w:rPr>
              <w:t xml:space="preserve"> </w:t>
            </w:r>
            <w:r w:rsidR="0046381C" w:rsidRPr="00A44C66">
              <w:rPr>
                <w:sz w:val="20"/>
                <w:szCs w:val="20"/>
              </w:rPr>
              <w:t>skojarzonego</w:t>
            </w:r>
            <w:r w:rsidR="00CE3429">
              <w:rPr>
                <w:sz w:val="20"/>
                <w:szCs w:val="20"/>
              </w:rPr>
              <w:t xml:space="preserve"> </w:t>
            </w:r>
            <w:r w:rsidR="0046381C" w:rsidRPr="00A44C66">
              <w:rPr>
                <w:sz w:val="20"/>
                <w:szCs w:val="20"/>
              </w:rPr>
              <w:t>ipilimumabem</w:t>
            </w:r>
            <w:r w:rsidR="00CE3429">
              <w:rPr>
                <w:sz w:val="20"/>
                <w:szCs w:val="20"/>
              </w:rPr>
              <w:t xml:space="preserve"> </w:t>
            </w:r>
            <w:r w:rsidR="0046381C"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46381C" w:rsidRPr="00A44C66">
              <w:rPr>
                <w:sz w:val="20"/>
                <w:szCs w:val="20"/>
              </w:rPr>
              <w:t>niwolumab</w:t>
            </w:r>
            <w:r w:rsidR="00B62A99" w:rsidRPr="00A44C66">
              <w:rPr>
                <w:sz w:val="20"/>
                <w:szCs w:val="20"/>
              </w:rPr>
              <w:t>e</w:t>
            </w:r>
            <w:r w:rsidR="0046381C" w:rsidRPr="00A44C66">
              <w:rPr>
                <w:sz w:val="20"/>
                <w:szCs w:val="20"/>
              </w:rPr>
              <w:t>m</w:t>
            </w:r>
            <w:r w:rsidRPr="00A44C66">
              <w:rPr>
                <w:sz w:val="20"/>
                <w:szCs w:val="20"/>
              </w:rPr>
              <w:t>: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przed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każdym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podaniem</w:t>
            </w:r>
            <w:r w:rsidR="00CE3429">
              <w:rPr>
                <w:sz w:val="20"/>
                <w:szCs w:val="20"/>
              </w:rPr>
              <w:t xml:space="preserve"> </w:t>
            </w:r>
            <w:r w:rsidR="001F46BC" w:rsidRPr="00A44C66">
              <w:rPr>
                <w:sz w:val="20"/>
                <w:szCs w:val="20"/>
              </w:rPr>
              <w:t>leku</w:t>
            </w:r>
            <w:r w:rsidR="0046381C" w:rsidRPr="00A44C66">
              <w:rPr>
                <w:sz w:val="20"/>
                <w:szCs w:val="20"/>
              </w:rPr>
              <w:t>;</w:t>
            </w:r>
          </w:p>
          <w:p w14:paraId="70494E18" w14:textId="25230CAA" w:rsidR="00112DB6" w:rsidRPr="00A44C66" w:rsidRDefault="00112DB6" w:rsidP="00A44C66">
            <w:pPr>
              <w:pStyle w:val="Akapitzlist"/>
              <w:numPr>
                <w:ilvl w:val="5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dla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niwolumabu</w:t>
            </w:r>
            <w:r w:rsidR="00CE3429">
              <w:rPr>
                <w:sz w:val="20"/>
                <w:szCs w:val="20"/>
              </w:rPr>
              <w:t xml:space="preserve"> </w:t>
            </w:r>
            <w:r w:rsidR="001D114D"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1D114D" w:rsidRPr="00A44C66">
              <w:rPr>
                <w:sz w:val="20"/>
                <w:szCs w:val="20"/>
              </w:rPr>
              <w:t>pembrolizumabu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terapii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skojarzonej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niwolumabu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ipilimumabem</w:t>
            </w:r>
            <w:r w:rsidRPr="00A44C66">
              <w:rPr>
                <w:sz w:val="20"/>
                <w:szCs w:val="20"/>
              </w:rPr>
              <w:t>:</w:t>
            </w:r>
            <w:r w:rsidR="00CE3429">
              <w:rPr>
                <w:sz w:val="20"/>
                <w:szCs w:val="20"/>
              </w:rPr>
              <w:t xml:space="preserve"> </w:t>
            </w:r>
            <w:r w:rsidR="001D114D"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="001D114D" w:rsidRPr="00A44C66">
              <w:rPr>
                <w:sz w:val="20"/>
                <w:szCs w:val="20"/>
              </w:rPr>
              <w:t>6</w:t>
            </w:r>
            <w:r w:rsidR="00682D6F" w:rsidRPr="00A44C66">
              <w:rPr>
                <w:sz w:val="20"/>
                <w:szCs w:val="20"/>
              </w:rPr>
              <w:t>-12</w:t>
            </w:r>
            <w:r w:rsidR="00CE3429">
              <w:rPr>
                <w:sz w:val="20"/>
                <w:szCs w:val="20"/>
              </w:rPr>
              <w:t xml:space="preserve"> </w:t>
            </w:r>
            <w:r w:rsidR="007F3818" w:rsidRPr="00A44C66">
              <w:rPr>
                <w:sz w:val="20"/>
                <w:szCs w:val="20"/>
              </w:rPr>
              <w:t>tygodni;</w:t>
            </w:r>
          </w:p>
          <w:p w14:paraId="4745CF73" w14:textId="14CCDFA8" w:rsidR="00685178" w:rsidRPr="00A44C66" w:rsidRDefault="00112DB6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P</w:t>
            </w:r>
            <w:r w:rsidR="00685178" w:rsidRPr="00A44C66">
              <w:rPr>
                <w:sz w:val="20"/>
                <w:szCs w:val="20"/>
              </w:rPr>
              <w:t>omiar</w:t>
            </w:r>
            <w:r w:rsidR="00CE3429">
              <w:rPr>
                <w:sz w:val="20"/>
                <w:szCs w:val="20"/>
              </w:rPr>
              <w:t xml:space="preserve"> </w:t>
            </w:r>
            <w:r w:rsidR="00685178" w:rsidRPr="00A44C66">
              <w:rPr>
                <w:sz w:val="20"/>
                <w:szCs w:val="20"/>
              </w:rPr>
              <w:t>masy</w:t>
            </w:r>
            <w:r w:rsidR="00CE3429">
              <w:rPr>
                <w:sz w:val="20"/>
                <w:szCs w:val="20"/>
              </w:rPr>
              <w:t xml:space="preserve"> </w:t>
            </w:r>
            <w:r w:rsidR="00685178" w:rsidRPr="00A44C66">
              <w:rPr>
                <w:sz w:val="20"/>
                <w:szCs w:val="20"/>
              </w:rPr>
              <w:t>ciała;</w:t>
            </w:r>
          </w:p>
          <w:p w14:paraId="5C345BCC" w14:textId="2FF88A19" w:rsidR="00685178" w:rsidRPr="00A44C66" w:rsidRDefault="00112DB6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P</w:t>
            </w:r>
            <w:r w:rsidR="00685178" w:rsidRPr="00A44C66">
              <w:rPr>
                <w:sz w:val="20"/>
                <w:szCs w:val="20"/>
              </w:rPr>
              <w:t>ełne</w:t>
            </w:r>
            <w:r w:rsidR="00CE3429">
              <w:rPr>
                <w:sz w:val="20"/>
                <w:szCs w:val="20"/>
              </w:rPr>
              <w:t xml:space="preserve"> </w:t>
            </w:r>
            <w:r w:rsidR="00685178"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="00685178" w:rsidRPr="00A44C66">
              <w:rPr>
                <w:sz w:val="20"/>
                <w:szCs w:val="20"/>
              </w:rPr>
              <w:t>przedmiotowe;</w:t>
            </w:r>
          </w:p>
          <w:p w14:paraId="5FB285F6" w14:textId="047C4E8D" w:rsidR="00685178" w:rsidRPr="00A44C66" w:rsidRDefault="00112DB6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</w:t>
            </w:r>
            <w:r w:rsidR="00685178" w:rsidRPr="00A44C66">
              <w:rPr>
                <w:sz w:val="20"/>
                <w:szCs w:val="20"/>
              </w:rPr>
              <w:t>cena</w:t>
            </w:r>
            <w:r w:rsidR="00CE3429">
              <w:rPr>
                <w:sz w:val="20"/>
                <w:szCs w:val="20"/>
              </w:rPr>
              <w:t xml:space="preserve"> </w:t>
            </w:r>
            <w:r w:rsidR="00685178" w:rsidRPr="00A44C66">
              <w:rPr>
                <w:sz w:val="20"/>
                <w:szCs w:val="20"/>
              </w:rPr>
              <w:t>sprawności</w:t>
            </w:r>
            <w:r w:rsidR="00CE3429">
              <w:rPr>
                <w:sz w:val="20"/>
                <w:szCs w:val="20"/>
              </w:rPr>
              <w:t xml:space="preserve"> </w:t>
            </w:r>
            <w:r w:rsidR="00685178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685178" w:rsidRPr="00A44C66">
              <w:rPr>
                <w:sz w:val="20"/>
                <w:szCs w:val="20"/>
              </w:rPr>
              <w:t>skali</w:t>
            </w:r>
            <w:r w:rsidR="00CE3429">
              <w:rPr>
                <w:sz w:val="20"/>
                <w:szCs w:val="20"/>
              </w:rPr>
              <w:t xml:space="preserve"> </w:t>
            </w:r>
            <w:r w:rsidR="00685178" w:rsidRPr="00A44C66">
              <w:rPr>
                <w:sz w:val="20"/>
                <w:szCs w:val="20"/>
              </w:rPr>
              <w:t>ECOG;</w:t>
            </w:r>
          </w:p>
          <w:p w14:paraId="5ECA1AF0" w14:textId="4C3937A4" w:rsidR="00685178" w:rsidRPr="00A44C66" w:rsidRDefault="00112DB6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</w:t>
            </w:r>
            <w:r w:rsidR="00BD5AA1" w:rsidRPr="00A44C66">
              <w:rPr>
                <w:sz w:val="20"/>
                <w:szCs w:val="20"/>
              </w:rPr>
              <w:t>cena</w:t>
            </w:r>
            <w:r w:rsidR="00CE3429">
              <w:rPr>
                <w:sz w:val="20"/>
                <w:szCs w:val="20"/>
              </w:rPr>
              <w:t xml:space="preserve"> </w:t>
            </w:r>
            <w:r w:rsidR="00BD5AA1" w:rsidRPr="00A44C66">
              <w:rPr>
                <w:sz w:val="20"/>
                <w:szCs w:val="20"/>
              </w:rPr>
              <w:t>zdarzeń</w:t>
            </w:r>
            <w:r w:rsidR="00CE3429">
              <w:rPr>
                <w:sz w:val="20"/>
                <w:szCs w:val="20"/>
              </w:rPr>
              <w:t xml:space="preserve"> </w:t>
            </w:r>
            <w:r w:rsidR="00BD5AA1" w:rsidRPr="00A44C66">
              <w:rPr>
                <w:sz w:val="20"/>
                <w:szCs w:val="20"/>
              </w:rPr>
              <w:t>niepożądanych;</w:t>
            </w:r>
          </w:p>
          <w:p w14:paraId="0A784A99" w14:textId="499BD88D" w:rsidR="00ED1ACB" w:rsidRDefault="00ED1ACB" w:rsidP="00A44C66">
            <w:pPr>
              <w:spacing w:after="6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Antykoncepcyjne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przeciwdziałanie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kobiet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wieku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rozrodczym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cały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okres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stosowania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miesiące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podaniu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ostatniej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dawki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niwolumabu</w:t>
            </w:r>
            <w:r w:rsidR="00A10E4B" w:rsidRPr="00A44C66">
              <w:rPr>
                <w:sz w:val="20"/>
                <w:szCs w:val="20"/>
              </w:rPr>
              <w:t>,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niwolumabu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skojarzonego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="00A10E4B" w:rsidRPr="00A44C66">
              <w:rPr>
                <w:sz w:val="20"/>
                <w:szCs w:val="20"/>
              </w:rPr>
              <w:t>ipilimumabem,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pembrolizumabu.</w:t>
            </w:r>
          </w:p>
          <w:p w14:paraId="26AD116F" w14:textId="77777777" w:rsidR="00A44C66" w:rsidRPr="00A44C66" w:rsidRDefault="00A44C66" w:rsidP="00A44C66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43D28827" w14:textId="6F6A9510" w:rsidR="00167E37" w:rsidRPr="00A44C66" w:rsidRDefault="00167E37" w:rsidP="00A44C66">
            <w:pPr>
              <w:pStyle w:val="Akapitzlist"/>
              <w:numPr>
                <w:ilvl w:val="1"/>
                <w:numId w:val="40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44C66">
              <w:rPr>
                <w:b/>
                <w:bCs/>
                <w:sz w:val="20"/>
                <w:szCs w:val="20"/>
              </w:rPr>
              <w:t>Monitorowanie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zastosowaniem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wemurafenibu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kobimetynibu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albo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zastosowaniem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dabrafenibu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oraz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trametynibu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albo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terapii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skojarzonej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enkorafenib</w:t>
            </w:r>
            <w:r w:rsidR="00680D15" w:rsidRPr="00A44C66">
              <w:rPr>
                <w:b/>
                <w:bCs/>
                <w:sz w:val="20"/>
                <w:szCs w:val="20"/>
              </w:rPr>
              <w:t>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z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B05195" w:rsidRPr="00A44C66">
              <w:rPr>
                <w:b/>
                <w:bCs/>
                <w:sz w:val="20"/>
                <w:szCs w:val="20"/>
              </w:rPr>
              <w:t>binimetynibem</w:t>
            </w:r>
          </w:p>
          <w:p w14:paraId="7EBE1F53" w14:textId="6BAF9D9F" w:rsidR="00167E37" w:rsidRPr="00A44C66" w:rsidRDefault="001B219E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Ocena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odpowiedzi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kryteriów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RECIST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pomocy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</w:t>
            </w:r>
            <w:r w:rsidR="00167E37" w:rsidRPr="00A44C66">
              <w:rPr>
                <w:sz w:val="20"/>
                <w:szCs w:val="20"/>
              </w:rPr>
              <w:t>adan</w:t>
            </w:r>
            <w:r w:rsidRPr="00A44C66">
              <w:rPr>
                <w:sz w:val="20"/>
                <w:szCs w:val="20"/>
              </w:rPr>
              <w:t>ia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tomografii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komputerowej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klatki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lastRenderedPageBreak/>
              <w:t>piersiowej,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jamy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brzusznej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miednicy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14-18</w:t>
            </w:r>
            <w:r w:rsidR="00CE3429">
              <w:rPr>
                <w:sz w:val="20"/>
                <w:szCs w:val="20"/>
              </w:rPr>
              <w:t xml:space="preserve"> </w:t>
            </w:r>
            <w:r w:rsidR="00167E37" w:rsidRPr="00A44C66">
              <w:rPr>
                <w:sz w:val="20"/>
                <w:szCs w:val="20"/>
              </w:rPr>
              <w:t>tygodni</w:t>
            </w:r>
            <w:r w:rsidRPr="00A44C66">
              <w:rPr>
                <w:sz w:val="20"/>
                <w:szCs w:val="20"/>
              </w:rPr>
              <w:t>;</w:t>
            </w:r>
          </w:p>
          <w:p w14:paraId="5EC4A737" w14:textId="3D74C39D" w:rsidR="00167E37" w:rsidRPr="00A44C66" w:rsidRDefault="00167E37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tomografii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komputerowej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rezonans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magnetyczny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mózgu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chorych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stwierdzonymi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wyjściowo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przerzutami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OUN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8-1</w:t>
            </w:r>
            <w:r w:rsidR="002C294B" w:rsidRPr="00A44C66">
              <w:rPr>
                <w:sz w:val="20"/>
                <w:szCs w:val="20"/>
              </w:rPr>
              <w:t>4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tygodni</w:t>
            </w:r>
            <w:r w:rsidR="00A07495" w:rsidRPr="00A44C66">
              <w:rPr>
                <w:sz w:val="20"/>
                <w:szCs w:val="20"/>
              </w:rPr>
              <w:t>;</w:t>
            </w:r>
            <w:r w:rsidR="00CE3429">
              <w:rPr>
                <w:sz w:val="20"/>
                <w:szCs w:val="20"/>
              </w:rPr>
              <w:t xml:space="preserve"> </w:t>
            </w:r>
          </w:p>
          <w:p w14:paraId="394FD0C2" w14:textId="159C1881" w:rsidR="00167E37" w:rsidRPr="00A44C66" w:rsidRDefault="00167E37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tomografii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komputerowej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innej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lokalizacji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inne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obrazowe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(ultrasonografia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A44C66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USG,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dokumentacja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fotograficzna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zmian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skórze,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rezonans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magnetyczny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A44C66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MR,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scyntygrafia)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zależności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sytuacji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klinicznej;</w:t>
            </w:r>
          </w:p>
          <w:p w14:paraId="46086BE8" w14:textId="14F2D20E" w:rsidR="00167E37" w:rsidRPr="00A44C66" w:rsidRDefault="00167E37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Ocena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skóry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kierunku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występowania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raków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pł</w:t>
            </w:r>
            <w:r w:rsidR="00A07495" w:rsidRPr="00A44C66">
              <w:rPr>
                <w:sz w:val="20"/>
                <w:szCs w:val="20"/>
              </w:rPr>
              <w:t>askonabłonkowych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opisu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aktualnych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Charakterystykach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Produktów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Leczniczych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wykonywana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specjalistę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onkologii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klinicznej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chirurgii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onkologicznej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przypadkach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wątpliwych</w:t>
            </w:r>
            <w:r w:rsidR="00CE3429">
              <w:rPr>
                <w:sz w:val="20"/>
                <w:szCs w:val="20"/>
              </w:rPr>
              <w:t xml:space="preserve"> </w:t>
            </w:r>
            <w:r w:rsidR="00B84D4C" w:rsidRPr="00A44C66">
              <w:rPr>
                <w:sz w:val="20"/>
                <w:szCs w:val="20"/>
              </w:rPr>
              <w:t>-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konsultacja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dermatologiczna);</w:t>
            </w:r>
          </w:p>
          <w:p w14:paraId="4C207D6B" w14:textId="756E512A" w:rsidR="00167E37" w:rsidRPr="00A44C66" w:rsidRDefault="00167E37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E</w:t>
            </w:r>
            <w:r w:rsidR="00A07495" w:rsidRPr="00A44C66">
              <w:rPr>
                <w:sz w:val="20"/>
                <w:szCs w:val="20"/>
              </w:rPr>
              <w:t>lektrokardiogram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(EKG)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oznaczenie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stężen</w:t>
            </w:r>
            <w:r w:rsidR="00A07495" w:rsidRPr="00A44C66">
              <w:rPr>
                <w:sz w:val="20"/>
                <w:szCs w:val="20"/>
              </w:rPr>
              <w:t>ia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elektrolitów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aktualnych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Charakterystyk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Produktów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Leczniczych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miesiącu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leczenia,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następnie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rzadziej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niż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miesiące,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zmianie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dawkowania</w:t>
            </w:r>
            <w:r w:rsidR="00A07495" w:rsidRPr="00A44C66">
              <w:rPr>
                <w:sz w:val="20"/>
                <w:szCs w:val="20"/>
              </w:rPr>
              <w:t>;</w:t>
            </w:r>
          </w:p>
          <w:p w14:paraId="15785F6B" w14:textId="78C3246D" w:rsidR="00167E37" w:rsidRPr="00A44C66" w:rsidRDefault="00167E37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morfologii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biochemii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krwi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aktualnych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Charakterystyk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Produktów</w:t>
            </w:r>
            <w:r w:rsidR="00CE3429">
              <w:rPr>
                <w:sz w:val="20"/>
                <w:szCs w:val="20"/>
              </w:rPr>
              <w:t xml:space="preserve"> </w:t>
            </w:r>
            <w:r w:rsidR="00A07495" w:rsidRPr="00A44C66">
              <w:rPr>
                <w:sz w:val="20"/>
                <w:szCs w:val="20"/>
              </w:rPr>
              <w:t>Leczniczych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rzadziej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niż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8-10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tygodni;</w:t>
            </w:r>
          </w:p>
          <w:p w14:paraId="45F154C7" w14:textId="3F813E39" w:rsidR="00167E37" w:rsidRPr="00A44C66" w:rsidRDefault="00167E37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Pomiar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temperatury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ciała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pacjenta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podczas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każdej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wizyty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wywiad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pacjenta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kierunku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występowania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gorączek;</w:t>
            </w:r>
          </w:p>
          <w:p w14:paraId="564E2604" w14:textId="07EA0372" w:rsidR="00167E37" w:rsidRPr="00A44C66" w:rsidRDefault="00167E37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Ocena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frakcji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wyrzutowej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komory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serca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(LVEF)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razie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wskazań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klinicznych</w:t>
            </w:r>
            <w:r w:rsidR="00A07495" w:rsidRPr="00A44C66">
              <w:rPr>
                <w:sz w:val="20"/>
                <w:szCs w:val="20"/>
              </w:rPr>
              <w:t>;</w:t>
            </w:r>
            <w:r w:rsidR="00CE3429">
              <w:rPr>
                <w:sz w:val="20"/>
                <w:szCs w:val="20"/>
              </w:rPr>
              <w:t xml:space="preserve"> </w:t>
            </w:r>
          </w:p>
          <w:p w14:paraId="0F154B7C" w14:textId="424D3AB9" w:rsidR="00167E37" w:rsidRDefault="00167E37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okulistyczne,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jedynie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przypadku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występowania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klinicznych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wskazań</w:t>
            </w:r>
            <w:r w:rsidR="00A44C66">
              <w:rPr>
                <w:sz w:val="20"/>
                <w:szCs w:val="20"/>
              </w:rPr>
              <w:t>.</w:t>
            </w:r>
          </w:p>
          <w:p w14:paraId="6B87A924" w14:textId="77777777" w:rsidR="00A44C66" w:rsidRPr="00A44C66" w:rsidRDefault="00A44C66" w:rsidP="00A44C66">
            <w:pPr>
              <w:pStyle w:val="Akapitzlist"/>
              <w:spacing w:after="60"/>
              <w:ind w:left="567"/>
              <w:contextualSpacing w:val="0"/>
              <w:jc w:val="both"/>
              <w:rPr>
                <w:sz w:val="20"/>
                <w:szCs w:val="20"/>
              </w:rPr>
            </w:pPr>
          </w:p>
          <w:p w14:paraId="221670E5" w14:textId="7C24D3F0" w:rsidR="0056475C" w:rsidRPr="00A44C66" w:rsidRDefault="0056475C" w:rsidP="00A44C66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44C66">
              <w:rPr>
                <w:b/>
                <w:bCs/>
                <w:sz w:val="20"/>
                <w:szCs w:val="20"/>
              </w:rPr>
              <w:t>Kontrola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„follow-up</w:t>
            </w:r>
            <w:r w:rsidR="00E6707F" w:rsidRPr="00A44C66">
              <w:rPr>
                <w:b/>
                <w:bCs/>
                <w:sz w:val="20"/>
                <w:szCs w:val="20"/>
              </w:rPr>
              <w:t>”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A44C66">
              <w:rPr>
                <w:b/>
                <w:bCs/>
                <w:sz w:val="20"/>
                <w:szCs w:val="20"/>
              </w:rPr>
              <w:t>pacjentów,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A44C66">
              <w:rPr>
                <w:b/>
                <w:bCs/>
                <w:sz w:val="20"/>
                <w:szCs w:val="20"/>
              </w:rPr>
              <w:t>u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A44C66">
              <w:rPr>
                <w:b/>
                <w:bCs/>
                <w:sz w:val="20"/>
                <w:szCs w:val="20"/>
              </w:rPr>
              <w:t>których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A44C66">
              <w:rPr>
                <w:b/>
                <w:bCs/>
                <w:sz w:val="20"/>
                <w:szCs w:val="20"/>
              </w:rPr>
              <w:t>leczenie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niwolumabem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A44C66">
              <w:rPr>
                <w:b/>
                <w:bCs/>
                <w:sz w:val="20"/>
                <w:szCs w:val="20"/>
              </w:rPr>
              <w:t>lub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A44C66">
              <w:rPr>
                <w:b/>
                <w:bCs/>
                <w:sz w:val="20"/>
                <w:szCs w:val="20"/>
              </w:rPr>
              <w:t>pembrolizumabem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="00E6707F" w:rsidRPr="00A44C66">
              <w:rPr>
                <w:b/>
                <w:bCs/>
                <w:sz w:val="20"/>
                <w:szCs w:val="20"/>
              </w:rPr>
              <w:t>zostało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czasowo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zawieszone</w:t>
            </w:r>
          </w:p>
          <w:p w14:paraId="51F5B5A4" w14:textId="254DC796" w:rsidR="0056475C" w:rsidRPr="00A44C66" w:rsidRDefault="0056475C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lastRenderedPageBreak/>
              <w:t>Kontrol</w:t>
            </w:r>
            <w:r w:rsidR="00726B15" w:rsidRPr="00A44C66">
              <w:rPr>
                <w:sz w:val="20"/>
                <w:szCs w:val="20"/>
              </w:rPr>
              <w:t>ę</w:t>
            </w:r>
            <w:r w:rsidR="00CE3429">
              <w:rPr>
                <w:sz w:val="20"/>
                <w:szCs w:val="20"/>
              </w:rPr>
              <w:t xml:space="preserve"> </w:t>
            </w:r>
            <w:r w:rsidR="00726B15" w:rsidRPr="00A44C66">
              <w:rPr>
                <w:sz w:val="20"/>
                <w:szCs w:val="20"/>
              </w:rPr>
              <w:t>pacjenta</w:t>
            </w:r>
            <w:r w:rsidR="00CE3429">
              <w:rPr>
                <w:sz w:val="20"/>
                <w:szCs w:val="20"/>
              </w:rPr>
              <w:t xml:space="preserve"> </w:t>
            </w:r>
            <w:r w:rsidR="00726B15" w:rsidRPr="00A44C66">
              <w:rPr>
                <w:sz w:val="20"/>
                <w:szCs w:val="20"/>
              </w:rPr>
              <w:t>przeprowadza</w:t>
            </w:r>
            <w:r w:rsidR="00CE3429">
              <w:rPr>
                <w:sz w:val="20"/>
                <w:szCs w:val="20"/>
              </w:rPr>
              <w:t xml:space="preserve"> </w:t>
            </w:r>
            <w:r w:rsidR="00726B15" w:rsidRPr="00A44C66">
              <w:rPr>
                <w:sz w:val="20"/>
                <w:szCs w:val="20"/>
              </w:rPr>
              <w:t>się</w:t>
            </w:r>
            <w:r w:rsidR="00CE3429">
              <w:rPr>
                <w:sz w:val="20"/>
                <w:szCs w:val="20"/>
              </w:rPr>
              <w:t xml:space="preserve"> </w:t>
            </w:r>
            <w:r w:rsidR="00726B15"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="00726B15" w:rsidRPr="00A44C66">
              <w:rPr>
                <w:sz w:val="20"/>
                <w:szCs w:val="20"/>
              </w:rPr>
              <w:t>3-4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miesiące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okresie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lat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zawieszenia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wg.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następującego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schematu:</w:t>
            </w:r>
          </w:p>
          <w:p w14:paraId="5A46341C" w14:textId="54C0D044" w:rsidR="0056475C" w:rsidRPr="00A44C66" w:rsidRDefault="00726B15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Ocena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miejscowa</w:t>
            </w:r>
            <w:r w:rsidR="00CE3429">
              <w:rPr>
                <w:sz w:val="20"/>
                <w:szCs w:val="20"/>
              </w:rPr>
              <w:t xml:space="preserve"> </w:t>
            </w:r>
            <w:r w:rsidR="0056475C" w:rsidRPr="00A44C66">
              <w:rPr>
                <w:sz w:val="20"/>
                <w:szCs w:val="20"/>
              </w:rPr>
              <w:t>węzłów</w:t>
            </w:r>
            <w:r w:rsidR="00CE3429">
              <w:rPr>
                <w:sz w:val="20"/>
                <w:szCs w:val="20"/>
              </w:rPr>
              <w:t xml:space="preserve"> </w:t>
            </w:r>
            <w:r w:rsidR="0056475C" w:rsidRPr="00A44C66">
              <w:rPr>
                <w:sz w:val="20"/>
                <w:szCs w:val="20"/>
              </w:rPr>
              <w:t>chłonnych</w:t>
            </w:r>
            <w:r w:rsidR="00CE3429">
              <w:rPr>
                <w:sz w:val="20"/>
                <w:szCs w:val="20"/>
              </w:rPr>
              <w:t xml:space="preserve"> </w:t>
            </w:r>
            <w:r w:rsidR="0056475C" w:rsidRPr="00A44C66">
              <w:rPr>
                <w:sz w:val="20"/>
                <w:szCs w:val="20"/>
              </w:rPr>
              <w:t>regionalnych;</w:t>
            </w:r>
          </w:p>
          <w:p w14:paraId="524A06B7" w14:textId="35076D28" w:rsidR="0056475C" w:rsidRPr="00A44C66" w:rsidRDefault="0056475C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Badania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obrazowe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zależności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pierwotnej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lokaliz</w:t>
            </w:r>
            <w:r w:rsidR="00DF50BC" w:rsidRPr="00A44C66">
              <w:rPr>
                <w:sz w:val="20"/>
                <w:szCs w:val="20"/>
              </w:rPr>
              <w:t>acji</w:t>
            </w:r>
            <w:r w:rsidR="00CE3429">
              <w:rPr>
                <w:sz w:val="20"/>
                <w:szCs w:val="20"/>
              </w:rPr>
              <w:t xml:space="preserve"> </w:t>
            </w:r>
            <w:r w:rsidR="00DF50BC" w:rsidRPr="00A44C66">
              <w:rPr>
                <w:sz w:val="20"/>
                <w:szCs w:val="20"/>
              </w:rPr>
              <w:t>przerzutów</w:t>
            </w:r>
            <w:r w:rsidR="00CE3429">
              <w:rPr>
                <w:sz w:val="20"/>
                <w:szCs w:val="20"/>
              </w:rPr>
              <w:t xml:space="preserve"> </w:t>
            </w:r>
            <w:r w:rsidR="00DF50BC" w:rsidRPr="00A44C66">
              <w:rPr>
                <w:sz w:val="20"/>
                <w:szCs w:val="20"/>
              </w:rPr>
              <w:t>(TK,</w:t>
            </w:r>
            <w:r w:rsidR="00CE3429">
              <w:rPr>
                <w:sz w:val="20"/>
                <w:szCs w:val="20"/>
              </w:rPr>
              <w:t xml:space="preserve"> </w:t>
            </w:r>
            <w:r w:rsidR="00DF50BC" w:rsidRPr="00A44C66">
              <w:rPr>
                <w:sz w:val="20"/>
                <w:szCs w:val="20"/>
              </w:rPr>
              <w:t>MR,</w:t>
            </w:r>
            <w:r w:rsidR="00CE3429">
              <w:rPr>
                <w:sz w:val="20"/>
                <w:szCs w:val="20"/>
              </w:rPr>
              <w:t xml:space="preserve"> </w:t>
            </w:r>
            <w:r w:rsidR="00DF50BC" w:rsidRPr="00A44C66">
              <w:rPr>
                <w:sz w:val="20"/>
                <w:szCs w:val="20"/>
              </w:rPr>
              <w:t>RTG</w:t>
            </w:r>
            <w:r w:rsidR="00CE3429">
              <w:rPr>
                <w:sz w:val="20"/>
                <w:szCs w:val="20"/>
              </w:rPr>
              <w:t xml:space="preserve"> </w:t>
            </w:r>
            <w:r w:rsidR="00DF50BC" w:rsidRPr="00A44C66">
              <w:rPr>
                <w:sz w:val="20"/>
                <w:szCs w:val="20"/>
              </w:rPr>
              <w:t>klatki</w:t>
            </w:r>
            <w:r w:rsidR="00CE3429">
              <w:rPr>
                <w:sz w:val="20"/>
                <w:szCs w:val="20"/>
              </w:rPr>
              <w:t xml:space="preserve"> </w:t>
            </w:r>
            <w:r w:rsidR="00DF50BC" w:rsidRPr="00A44C66">
              <w:rPr>
                <w:sz w:val="20"/>
                <w:szCs w:val="20"/>
              </w:rPr>
              <w:t>piersiowej</w:t>
            </w:r>
            <w:r w:rsidRPr="00A44C66">
              <w:rPr>
                <w:sz w:val="20"/>
                <w:szCs w:val="20"/>
              </w:rPr>
              <w:t>)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według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wskazań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klinicznych;</w:t>
            </w:r>
          </w:p>
          <w:p w14:paraId="7CF06D93" w14:textId="6DCD41C3" w:rsidR="0056475C" w:rsidRPr="00A44C66" w:rsidRDefault="0056475C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Dermatoskopia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nowych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zmian</w:t>
            </w:r>
            <w:r w:rsidR="00CE3429">
              <w:rPr>
                <w:sz w:val="20"/>
                <w:szCs w:val="20"/>
              </w:rPr>
              <w:t xml:space="preserve"> </w:t>
            </w:r>
            <w:r w:rsidR="00726B15" w:rsidRPr="00A44C66">
              <w:rPr>
                <w:sz w:val="20"/>
                <w:szCs w:val="20"/>
              </w:rPr>
              <w:t>skórnych</w:t>
            </w:r>
            <w:r w:rsidRPr="00A44C66">
              <w:rPr>
                <w:sz w:val="20"/>
                <w:szCs w:val="20"/>
              </w:rPr>
              <w:t>;</w:t>
            </w:r>
          </w:p>
          <w:p w14:paraId="2EA88B1A" w14:textId="26783611" w:rsidR="0056475C" w:rsidRPr="00A44C66" w:rsidRDefault="0056475C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Kontrola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parametrów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biochemicznych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surowicy: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aminotransferazy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(ALT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AST),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bilirubina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całkowita,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kreatynina,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glukoza,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dehydrogenaza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mleczanowa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(LDH),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elektrolity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stężenie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sodu,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potasu,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wapnia),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TSH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wolna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T4;</w:t>
            </w:r>
          </w:p>
          <w:p w14:paraId="12ED311A" w14:textId="5FD36AF4" w:rsidR="0056475C" w:rsidRPr="00A44C66" w:rsidRDefault="0056475C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Scyntygrafia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przypadku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bólu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kości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wskazań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klinicznych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(ale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częściej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niż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6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miesięcy);</w:t>
            </w:r>
          </w:p>
          <w:p w14:paraId="30815EF4" w14:textId="71B7C494" w:rsidR="0056475C" w:rsidRPr="00A44C66" w:rsidRDefault="0056475C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Zachęcanie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pacjentów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samokontroli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okolicy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operowanej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regionu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spływu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chłonnego</w:t>
            </w:r>
            <w:r w:rsidR="00BD5AA1" w:rsidRPr="00A44C66">
              <w:rPr>
                <w:sz w:val="20"/>
                <w:szCs w:val="20"/>
              </w:rPr>
              <w:t>;</w:t>
            </w:r>
          </w:p>
          <w:p w14:paraId="6E248C6E" w14:textId="2E3B5E40" w:rsidR="0056475C" w:rsidRPr="00A44C66" w:rsidRDefault="0056475C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Następnie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kontrolę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pacjenta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przeprowadza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się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6</w:t>
            </w:r>
            <w:r w:rsidR="00726B15" w:rsidRPr="00A44C66">
              <w:rPr>
                <w:sz w:val="20"/>
                <w:szCs w:val="20"/>
              </w:rPr>
              <w:t>-8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miesięcy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okresie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kolejnych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3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lat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zawieszenia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terapii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wg.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schematu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wskazanego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pkt.</w:t>
            </w:r>
            <w:r w:rsidR="00CE3429">
              <w:rPr>
                <w:sz w:val="20"/>
                <w:szCs w:val="20"/>
              </w:rPr>
              <w:t xml:space="preserve"> </w:t>
            </w:r>
            <w:r w:rsidR="00BD5AA1" w:rsidRPr="00A44C66">
              <w:rPr>
                <w:sz w:val="20"/>
                <w:szCs w:val="20"/>
              </w:rPr>
              <w:t>i-vii</w:t>
            </w:r>
            <w:r w:rsidR="00CE3429">
              <w:rPr>
                <w:sz w:val="20"/>
                <w:szCs w:val="20"/>
              </w:rPr>
              <w:t xml:space="preserve"> </w:t>
            </w:r>
            <w:r w:rsidR="00BD5AA1" w:rsidRPr="00A44C66">
              <w:rPr>
                <w:sz w:val="20"/>
                <w:szCs w:val="20"/>
              </w:rPr>
              <w:t>powyżej;</w:t>
            </w:r>
          </w:p>
          <w:p w14:paraId="0B2C5758" w14:textId="43A9979A" w:rsidR="0056475C" w:rsidRPr="00A44C66" w:rsidRDefault="0056475C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Następnie,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okresie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6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lat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od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zawieszenia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terapii,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kontrolę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pacjenta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przeprowadza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się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raz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roku,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aż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końca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życia,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wg.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następującego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schematu:</w:t>
            </w:r>
          </w:p>
          <w:p w14:paraId="3F1F765A" w14:textId="1D9C7788" w:rsidR="0056475C" w:rsidRPr="00A44C66" w:rsidRDefault="0056475C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Ocena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miejscowa,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regionalna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badaniu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przedmiotowym;</w:t>
            </w:r>
          </w:p>
          <w:p w14:paraId="350C3B0E" w14:textId="2CE4E408" w:rsidR="0056475C" w:rsidRPr="00A44C66" w:rsidRDefault="0056475C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Dermatoskopia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nowych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zmian;</w:t>
            </w:r>
          </w:p>
          <w:p w14:paraId="31425231" w14:textId="4E976F99" w:rsidR="0056475C" w:rsidRDefault="0056475C" w:rsidP="00A44C66">
            <w:pPr>
              <w:pStyle w:val="Akapitzlist"/>
              <w:numPr>
                <w:ilvl w:val="4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Kontrola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parametrów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biochemicznych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surowicy: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aminotransferazy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(ALT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AST),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bilirubina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całkowita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(bezpośrednia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przypadku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stężenia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bilirubiny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całkowitej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&gt;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1,5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GGN),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kreatynina,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glukoza,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dehydrogenaza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mleczanowa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(LDH),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lastRenderedPageBreak/>
              <w:t>elektrolity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stężenie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sodu,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potasu,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wapnia),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TSH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wolna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T4</w:t>
            </w:r>
            <w:r w:rsidR="00A44C66">
              <w:rPr>
                <w:sz w:val="20"/>
                <w:szCs w:val="20"/>
              </w:rPr>
              <w:t>.</w:t>
            </w:r>
          </w:p>
          <w:p w14:paraId="41B19CDF" w14:textId="77777777" w:rsidR="00A44C66" w:rsidRPr="00A44C66" w:rsidRDefault="00A44C66" w:rsidP="00A44C66">
            <w:pPr>
              <w:pStyle w:val="Akapitzlist"/>
              <w:spacing w:after="60"/>
              <w:ind w:left="737"/>
              <w:contextualSpacing w:val="0"/>
              <w:jc w:val="both"/>
              <w:rPr>
                <w:sz w:val="20"/>
                <w:szCs w:val="20"/>
              </w:rPr>
            </w:pPr>
          </w:p>
          <w:p w14:paraId="5857EDED" w14:textId="19F54D9B" w:rsidR="00A2108A" w:rsidRPr="00A44C66" w:rsidRDefault="00A2108A" w:rsidP="00A44C66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44C66">
              <w:rPr>
                <w:b/>
                <w:bCs/>
                <w:sz w:val="20"/>
                <w:szCs w:val="20"/>
              </w:rPr>
              <w:t>Monitorowanie</w:t>
            </w:r>
            <w:r w:rsidR="00CE3429">
              <w:rPr>
                <w:b/>
                <w:bCs/>
                <w:sz w:val="20"/>
                <w:szCs w:val="20"/>
              </w:rPr>
              <w:t xml:space="preserve"> </w:t>
            </w:r>
            <w:r w:rsidRPr="00A44C66">
              <w:rPr>
                <w:b/>
                <w:bCs/>
                <w:sz w:val="20"/>
                <w:szCs w:val="20"/>
              </w:rPr>
              <w:t>programu</w:t>
            </w:r>
          </w:p>
          <w:p w14:paraId="404F8BEB" w14:textId="237AA7AA" w:rsidR="00A2108A" w:rsidRPr="00A44C66" w:rsidRDefault="00DE5E6C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G</w:t>
            </w:r>
            <w:r w:rsidR="00A2108A" w:rsidRPr="00A44C66">
              <w:rPr>
                <w:sz w:val="20"/>
                <w:szCs w:val="20"/>
              </w:rPr>
              <w:t>romadzenie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dokumentacji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medycznej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pacjenta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danych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dotyczących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monitorowania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leczenia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i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każdorazowe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ich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przedst</w:t>
            </w:r>
            <w:r w:rsidR="00682D6F" w:rsidRPr="00A44C66">
              <w:rPr>
                <w:sz w:val="20"/>
                <w:szCs w:val="20"/>
              </w:rPr>
              <w:t>awianie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żądanie</w:t>
            </w:r>
            <w:r w:rsidR="00CE3429">
              <w:rPr>
                <w:sz w:val="20"/>
                <w:szCs w:val="20"/>
              </w:rPr>
              <w:t xml:space="preserve"> </w:t>
            </w:r>
            <w:r w:rsidR="00682D6F" w:rsidRPr="00A44C66">
              <w:rPr>
                <w:sz w:val="20"/>
                <w:szCs w:val="20"/>
              </w:rPr>
              <w:t>kontrolerów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Narodowego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Funduszu</w:t>
            </w:r>
            <w:r w:rsidR="00CE3429">
              <w:rPr>
                <w:sz w:val="20"/>
                <w:szCs w:val="20"/>
              </w:rPr>
              <w:t xml:space="preserve"> </w:t>
            </w:r>
            <w:r w:rsidR="00A2108A" w:rsidRPr="00A44C66">
              <w:rPr>
                <w:sz w:val="20"/>
                <w:szCs w:val="20"/>
              </w:rPr>
              <w:t>Zdrowia;</w:t>
            </w:r>
          </w:p>
          <w:p w14:paraId="46B782A6" w14:textId="74AB1F80" w:rsidR="00A2108A" w:rsidRPr="00A44C66" w:rsidRDefault="00A2108A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Uzupełnienie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danych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zawartych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rejestrze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(SMPT)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dostępnym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pomocą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aplikacji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internetowej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udostępnionej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NFZ,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częstotliwością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zgodną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opisem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programu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oraz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na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zakończenie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leczenia;</w:t>
            </w:r>
          </w:p>
          <w:p w14:paraId="091BF0B3" w14:textId="56EAD863" w:rsidR="00F12B51" w:rsidRPr="00A44C66" w:rsidRDefault="00A2108A" w:rsidP="00A44C66">
            <w:pPr>
              <w:pStyle w:val="Akapitzlist"/>
              <w:numPr>
                <w:ilvl w:val="3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44C66">
              <w:rPr>
                <w:sz w:val="20"/>
                <w:szCs w:val="20"/>
              </w:rPr>
              <w:t>Przekazywanie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informacji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sprawozdawczo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rozliczeniowych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NFZ: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informacje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przekazuje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się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do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NFZ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formie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papierowej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lub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formie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elektronicznej,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zgodnie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z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wymaganiami</w:t>
            </w:r>
            <w:r w:rsidR="00CE3429">
              <w:rPr>
                <w:sz w:val="20"/>
                <w:szCs w:val="20"/>
              </w:rPr>
              <w:t xml:space="preserve"> </w:t>
            </w:r>
            <w:r w:rsidRPr="00A44C66">
              <w:rPr>
                <w:sz w:val="20"/>
                <w:szCs w:val="20"/>
              </w:rPr>
              <w:t>opublikowanymi</w:t>
            </w:r>
            <w:r w:rsidR="00CE3429">
              <w:rPr>
                <w:sz w:val="20"/>
                <w:szCs w:val="20"/>
              </w:rPr>
              <w:t xml:space="preserve"> </w:t>
            </w:r>
            <w:r w:rsidR="00BD5AA1" w:rsidRPr="00A44C66">
              <w:rPr>
                <w:sz w:val="20"/>
                <w:szCs w:val="20"/>
              </w:rPr>
              <w:t>przez</w:t>
            </w:r>
            <w:r w:rsidR="00CE3429">
              <w:rPr>
                <w:sz w:val="20"/>
                <w:szCs w:val="20"/>
              </w:rPr>
              <w:t xml:space="preserve"> </w:t>
            </w:r>
            <w:r w:rsidR="00BD5AA1" w:rsidRPr="00A44C66">
              <w:rPr>
                <w:sz w:val="20"/>
                <w:szCs w:val="20"/>
              </w:rPr>
              <w:t>Narodowy</w:t>
            </w:r>
            <w:r w:rsidR="00CE3429">
              <w:rPr>
                <w:sz w:val="20"/>
                <w:szCs w:val="20"/>
              </w:rPr>
              <w:t xml:space="preserve"> </w:t>
            </w:r>
            <w:r w:rsidR="00BD5AA1" w:rsidRPr="00A44C66">
              <w:rPr>
                <w:sz w:val="20"/>
                <w:szCs w:val="20"/>
              </w:rPr>
              <w:t>Fundusz</w:t>
            </w:r>
            <w:r w:rsidR="00CE3429">
              <w:rPr>
                <w:sz w:val="20"/>
                <w:szCs w:val="20"/>
              </w:rPr>
              <w:t xml:space="preserve"> </w:t>
            </w:r>
            <w:r w:rsidR="00BD5AA1" w:rsidRPr="00A44C66">
              <w:rPr>
                <w:sz w:val="20"/>
                <w:szCs w:val="20"/>
              </w:rPr>
              <w:t>Zdrowia</w:t>
            </w:r>
            <w:r w:rsidR="00A44C66">
              <w:rPr>
                <w:sz w:val="20"/>
                <w:szCs w:val="20"/>
              </w:rPr>
              <w:t>.</w:t>
            </w:r>
          </w:p>
        </w:tc>
      </w:tr>
    </w:tbl>
    <w:p w14:paraId="2FFA87F5" w14:textId="77777777" w:rsidR="003D492C" w:rsidRDefault="003D492C"/>
    <w:sectPr w:rsidR="003D492C" w:rsidSect="00603FA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44DE5"/>
    <w:multiLevelType w:val="hybridMultilevel"/>
    <w:tmpl w:val="17F2159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32DE3"/>
    <w:multiLevelType w:val="hybridMultilevel"/>
    <w:tmpl w:val="244A92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E6440"/>
    <w:multiLevelType w:val="hybridMultilevel"/>
    <w:tmpl w:val="8340D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A966606C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DAE"/>
    <w:multiLevelType w:val="hybridMultilevel"/>
    <w:tmpl w:val="049AD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35467"/>
    <w:multiLevelType w:val="hybridMultilevel"/>
    <w:tmpl w:val="45B47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937FC"/>
    <w:multiLevelType w:val="hybridMultilevel"/>
    <w:tmpl w:val="990AC4CE"/>
    <w:lvl w:ilvl="0" w:tplc="4C8E7C2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4C8E7C2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2" w:tplc="D0143074">
      <w:start w:val="1"/>
      <w:numFmt w:val="lowerLetter"/>
      <w:lvlText w:val="%3)"/>
      <w:lvlJc w:val="left"/>
      <w:pPr>
        <w:ind w:left="3033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AAD4B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CB2AD5"/>
    <w:multiLevelType w:val="hybridMultilevel"/>
    <w:tmpl w:val="CDD053E0"/>
    <w:lvl w:ilvl="0" w:tplc="4C8E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14B1B"/>
    <w:multiLevelType w:val="hybridMultilevel"/>
    <w:tmpl w:val="76FAE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9754A"/>
    <w:multiLevelType w:val="multilevel"/>
    <w:tmpl w:val="B652D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C0509E"/>
    <w:multiLevelType w:val="hybridMultilevel"/>
    <w:tmpl w:val="70C0FE26"/>
    <w:lvl w:ilvl="0" w:tplc="A78045E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71139"/>
    <w:multiLevelType w:val="hybridMultilevel"/>
    <w:tmpl w:val="5F9A1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A4DAB"/>
    <w:multiLevelType w:val="hybridMultilevel"/>
    <w:tmpl w:val="BF1E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723D7"/>
    <w:multiLevelType w:val="hybridMultilevel"/>
    <w:tmpl w:val="3FAC1EBA"/>
    <w:lvl w:ilvl="0" w:tplc="4C8E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E17C5"/>
    <w:multiLevelType w:val="hybridMultilevel"/>
    <w:tmpl w:val="15FCE7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AA3946"/>
    <w:multiLevelType w:val="hybridMultilevel"/>
    <w:tmpl w:val="F244C9E6"/>
    <w:lvl w:ilvl="0" w:tplc="4C8E7C2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4FD40FB"/>
    <w:multiLevelType w:val="hybridMultilevel"/>
    <w:tmpl w:val="3F5C0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D0460"/>
    <w:multiLevelType w:val="hybridMultilevel"/>
    <w:tmpl w:val="06C62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36259"/>
    <w:multiLevelType w:val="hybridMultilevel"/>
    <w:tmpl w:val="8C3A1DAE"/>
    <w:lvl w:ilvl="0" w:tplc="4C8E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2F4886"/>
    <w:multiLevelType w:val="hybridMultilevel"/>
    <w:tmpl w:val="E0B40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D2A1C"/>
    <w:multiLevelType w:val="multilevel"/>
    <w:tmpl w:val="53D0A8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73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1077" w:hanging="2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9C73A21"/>
    <w:multiLevelType w:val="hybridMultilevel"/>
    <w:tmpl w:val="6776A4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465F9"/>
    <w:multiLevelType w:val="hybridMultilevel"/>
    <w:tmpl w:val="856CE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C8E7C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2C2E5B8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E7A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604D46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51417E41"/>
    <w:multiLevelType w:val="hybridMultilevel"/>
    <w:tmpl w:val="C99E45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9E6145"/>
    <w:multiLevelType w:val="hybridMultilevel"/>
    <w:tmpl w:val="A2CA8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B5D4D"/>
    <w:multiLevelType w:val="multilevel"/>
    <w:tmpl w:val="E432E3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737" w:hanging="227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77" w:hanging="2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35D4EC0"/>
    <w:multiLevelType w:val="hybridMultilevel"/>
    <w:tmpl w:val="9F283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5395A"/>
    <w:multiLevelType w:val="hybridMultilevel"/>
    <w:tmpl w:val="EAC2C7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32FCD"/>
    <w:multiLevelType w:val="hybridMultilevel"/>
    <w:tmpl w:val="39641FA4"/>
    <w:lvl w:ilvl="0" w:tplc="1C88045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EC0BB1"/>
    <w:multiLevelType w:val="hybridMultilevel"/>
    <w:tmpl w:val="856CE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C8E7C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2C2E5B8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81731"/>
    <w:multiLevelType w:val="hybridMultilevel"/>
    <w:tmpl w:val="45B47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650FB6"/>
    <w:multiLevelType w:val="hybridMultilevel"/>
    <w:tmpl w:val="4D508F02"/>
    <w:lvl w:ilvl="0" w:tplc="DD6AC0B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B15B6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5" w15:restartNumberingAfterBreak="0">
    <w:nsid w:val="746506C2"/>
    <w:multiLevelType w:val="hybridMultilevel"/>
    <w:tmpl w:val="04F237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5412D"/>
    <w:multiLevelType w:val="hybridMultilevel"/>
    <w:tmpl w:val="5F9A1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E25A2B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8" w15:restartNumberingAfterBreak="0">
    <w:nsid w:val="799D576B"/>
    <w:multiLevelType w:val="hybridMultilevel"/>
    <w:tmpl w:val="C65C5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924AB"/>
    <w:multiLevelType w:val="multilevel"/>
    <w:tmpl w:val="9B6889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77" w:hanging="2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28"/>
  </w:num>
  <w:num w:numId="4">
    <w:abstractNumId w:val="0"/>
  </w:num>
  <w:num w:numId="5">
    <w:abstractNumId w:val="14"/>
  </w:num>
  <w:num w:numId="6">
    <w:abstractNumId w:val="1"/>
  </w:num>
  <w:num w:numId="7">
    <w:abstractNumId w:val="26"/>
  </w:num>
  <w:num w:numId="8">
    <w:abstractNumId w:val="4"/>
  </w:num>
  <w:num w:numId="9">
    <w:abstractNumId w:val="19"/>
  </w:num>
  <w:num w:numId="10">
    <w:abstractNumId w:val="2"/>
  </w:num>
  <w:num w:numId="11">
    <w:abstractNumId w:val="13"/>
  </w:num>
  <w:num w:numId="12">
    <w:abstractNumId w:val="18"/>
  </w:num>
  <w:num w:numId="13">
    <w:abstractNumId w:val="7"/>
  </w:num>
  <w:num w:numId="14">
    <w:abstractNumId w:val="25"/>
  </w:num>
  <w:num w:numId="15">
    <w:abstractNumId w:val="30"/>
  </w:num>
  <w:num w:numId="16">
    <w:abstractNumId w:val="33"/>
  </w:num>
  <w:num w:numId="17">
    <w:abstractNumId w:val="9"/>
  </w:num>
  <w:num w:numId="18">
    <w:abstractNumId w:val="36"/>
  </w:num>
  <w:num w:numId="19">
    <w:abstractNumId w:val="31"/>
  </w:num>
  <w:num w:numId="20">
    <w:abstractNumId w:val="16"/>
  </w:num>
  <w:num w:numId="21">
    <w:abstractNumId w:val="12"/>
  </w:num>
  <w:num w:numId="22">
    <w:abstractNumId w:val="3"/>
  </w:num>
  <w:num w:numId="23">
    <w:abstractNumId w:val="5"/>
  </w:num>
  <w:num w:numId="24">
    <w:abstractNumId w:val="15"/>
  </w:num>
  <w:num w:numId="25">
    <w:abstractNumId w:val="29"/>
  </w:num>
  <w:num w:numId="26">
    <w:abstractNumId w:val="10"/>
  </w:num>
  <w:num w:numId="27">
    <w:abstractNumId w:val="38"/>
  </w:num>
  <w:num w:numId="28">
    <w:abstractNumId w:val="21"/>
  </w:num>
  <w:num w:numId="29">
    <w:abstractNumId w:val="17"/>
  </w:num>
  <w:num w:numId="30">
    <w:abstractNumId w:val="6"/>
  </w:num>
  <w:num w:numId="31">
    <w:abstractNumId w:val="32"/>
  </w:num>
  <w:num w:numId="32">
    <w:abstractNumId w:val="11"/>
  </w:num>
  <w:num w:numId="33">
    <w:abstractNumId w:val="22"/>
  </w:num>
  <w:num w:numId="34">
    <w:abstractNumId w:val="35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37"/>
  </w:num>
  <w:num w:numId="38">
    <w:abstractNumId w:val="27"/>
  </w:num>
  <w:num w:numId="39">
    <w:abstractNumId w:val="24"/>
  </w:num>
  <w:num w:numId="40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211"/>
    <w:rsid w:val="00004D1C"/>
    <w:rsid w:val="00020FF1"/>
    <w:rsid w:val="00024E8D"/>
    <w:rsid w:val="00051910"/>
    <w:rsid w:val="000651B7"/>
    <w:rsid w:val="00072D21"/>
    <w:rsid w:val="000969D5"/>
    <w:rsid w:val="000A40E5"/>
    <w:rsid w:val="000A53A8"/>
    <w:rsid w:val="000B3CAA"/>
    <w:rsid w:val="000E5B51"/>
    <w:rsid w:val="00112DB6"/>
    <w:rsid w:val="0012535A"/>
    <w:rsid w:val="00155918"/>
    <w:rsid w:val="00167E37"/>
    <w:rsid w:val="00186935"/>
    <w:rsid w:val="00186C37"/>
    <w:rsid w:val="00196182"/>
    <w:rsid w:val="00197366"/>
    <w:rsid w:val="001B219E"/>
    <w:rsid w:val="001D114D"/>
    <w:rsid w:val="001F0A55"/>
    <w:rsid w:val="001F46BC"/>
    <w:rsid w:val="00201B3D"/>
    <w:rsid w:val="0025482B"/>
    <w:rsid w:val="00254B32"/>
    <w:rsid w:val="002863CB"/>
    <w:rsid w:val="0029526B"/>
    <w:rsid w:val="002B4DD5"/>
    <w:rsid w:val="002B5959"/>
    <w:rsid w:val="002C294B"/>
    <w:rsid w:val="002C312C"/>
    <w:rsid w:val="002F70F5"/>
    <w:rsid w:val="00345965"/>
    <w:rsid w:val="00352F28"/>
    <w:rsid w:val="003604BA"/>
    <w:rsid w:val="003905E1"/>
    <w:rsid w:val="003A79A8"/>
    <w:rsid w:val="003B2B3E"/>
    <w:rsid w:val="003B4C4D"/>
    <w:rsid w:val="003D492C"/>
    <w:rsid w:val="00421E53"/>
    <w:rsid w:val="00423E69"/>
    <w:rsid w:val="00424D9A"/>
    <w:rsid w:val="0046381C"/>
    <w:rsid w:val="0048638D"/>
    <w:rsid w:val="00496430"/>
    <w:rsid w:val="004E6FA1"/>
    <w:rsid w:val="004F477A"/>
    <w:rsid w:val="004F7B41"/>
    <w:rsid w:val="005008FE"/>
    <w:rsid w:val="00514443"/>
    <w:rsid w:val="00515A0B"/>
    <w:rsid w:val="0053122F"/>
    <w:rsid w:val="00543068"/>
    <w:rsid w:val="00554432"/>
    <w:rsid w:val="0056475C"/>
    <w:rsid w:val="00577818"/>
    <w:rsid w:val="005864CB"/>
    <w:rsid w:val="005A721C"/>
    <w:rsid w:val="005E7C61"/>
    <w:rsid w:val="005E7E86"/>
    <w:rsid w:val="00603FA9"/>
    <w:rsid w:val="006542F9"/>
    <w:rsid w:val="00680D15"/>
    <w:rsid w:val="0068289A"/>
    <w:rsid w:val="00682D6F"/>
    <w:rsid w:val="00685178"/>
    <w:rsid w:val="00695157"/>
    <w:rsid w:val="006D5742"/>
    <w:rsid w:val="006F13E5"/>
    <w:rsid w:val="0070718A"/>
    <w:rsid w:val="00726B15"/>
    <w:rsid w:val="00787372"/>
    <w:rsid w:val="007A7823"/>
    <w:rsid w:val="007D2744"/>
    <w:rsid w:val="007D71C5"/>
    <w:rsid w:val="007E78A5"/>
    <w:rsid w:val="007F3818"/>
    <w:rsid w:val="00806A08"/>
    <w:rsid w:val="00814DFC"/>
    <w:rsid w:val="00835C4B"/>
    <w:rsid w:val="0084506A"/>
    <w:rsid w:val="0084512A"/>
    <w:rsid w:val="00846981"/>
    <w:rsid w:val="00865F4C"/>
    <w:rsid w:val="00867AA4"/>
    <w:rsid w:val="00872568"/>
    <w:rsid w:val="0089715F"/>
    <w:rsid w:val="008E08A7"/>
    <w:rsid w:val="008E38E9"/>
    <w:rsid w:val="008E79D4"/>
    <w:rsid w:val="008F7C21"/>
    <w:rsid w:val="00902E60"/>
    <w:rsid w:val="00937064"/>
    <w:rsid w:val="00946AFB"/>
    <w:rsid w:val="009647E3"/>
    <w:rsid w:val="0098410E"/>
    <w:rsid w:val="00997DD6"/>
    <w:rsid w:val="009C793B"/>
    <w:rsid w:val="009F4177"/>
    <w:rsid w:val="00A07495"/>
    <w:rsid w:val="00A10E4B"/>
    <w:rsid w:val="00A2108A"/>
    <w:rsid w:val="00A35519"/>
    <w:rsid w:val="00A4073C"/>
    <w:rsid w:val="00A44C66"/>
    <w:rsid w:val="00AB6A62"/>
    <w:rsid w:val="00AC2994"/>
    <w:rsid w:val="00AF600A"/>
    <w:rsid w:val="00B05195"/>
    <w:rsid w:val="00B0624D"/>
    <w:rsid w:val="00B20105"/>
    <w:rsid w:val="00B42DE1"/>
    <w:rsid w:val="00B51734"/>
    <w:rsid w:val="00B540AA"/>
    <w:rsid w:val="00B62A99"/>
    <w:rsid w:val="00B72360"/>
    <w:rsid w:val="00B77150"/>
    <w:rsid w:val="00B8343B"/>
    <w:rsid w:val="00B84D4C"/>
    <w:rsid w:val="00B85055"/>
    <w:rsid w:val="00B934B1"/>
    <w:rsid w:val="00BC74FB"/>
    <w:rsid w:val="00BD5AA1"/>
    <w:rsid w:val="00BE32E5"/>
    <w:rsid w:val="00BF3E56"/>
    <w:rsid w:val="00C125F2"/>
    <w:rsid w:val="00C268BB"/>
    <w:rsid w:val="00C30BC3"/>
    <w:rsid w:val="00C40B59"/>
    <w:rsid w:val="00C5273E"/>
    <w:rsid w:val="00C71678"/>
    <w:rsid w:val="00C82DE2"/>
    <w:rsid w:val="00C87CAD"/>
    <w:rsid w:val="00CA6125"/>
    <w:rsid w:val="00CB56E4"/>
    <w:rsid w:val="00CD298F"/>
    <w:rsid w:val="00CE3429"/>
    <w:rsid w:val="00D03115"/>
    <w:rsid w:val="00D07F45"/>
    <w:rsid w:val="00D37D10"/>
    <w:rsid w:val="00DB0D85"/>
    <w:rsid w:val="00DC24D9"/>
    <w:rsid w:val="00DE5E6C"/>
    <w:rsid w:val="00DF50BC"/>
    <w:rsid w:val="00E575A3"/>
    <w:rsid w:val="00E6707F"/>
    <w:rsid w:val="00EA3777"/>
    <w:rsid w:val="00EC2FBE"/>
    <w:rsid w:val="00ED1ACB"/>
    <w:rsid w:val="00ED7F30"/>
    <w:rsid w:val="00EE4BB0"/>
    <w:rsid w:val="00EF174C"/>
    <w:rsid w:val="00F04474"/>
    <w:rsid w:val="00F1128E"/>
    <w:rsid w:val="00F12B51"/>
    <w:rsid w:val="00F14700"/>
    <w:rsid w:val="00F17149"/>
    <w:rsid w:val="00F33DA6"/>
    <w:rsid w:val="00F60484"/>
    <w:rsid w:val="00FE77A3"/>
    <w:rsid w:val="00FF13F3"/>
    <w:rsid w:val="00FF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D0EF"/>
  <w15:chartTrackingRefBased/>
  <w15:docId w15:val="{48813646-D972-4F3F-AA6A-A93781C7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2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12B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2F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F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D9888-04E2-45AC-B1F0-D0BAF668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3160</Words>
  <Characters>18964</Characters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2020-08-18T19:51:00Z</dcterms:created>
  <dcterms:modified xsi:type="dcterms:W3CDTF">2020-08-20T17:59:00Z</dcterms:modified>
</cp:coreProperties>
</file>