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pPr>
        <w:ind w:left="5670" w:firstLine="0"/>
        <w:rPr>
          <w:rFonts w:ascii="Times New Roman" w:hAnsi="Times New Roman" w:cs="Times New Roman"/>
          <w:sz w:val="24"/>
          <w:szCs w:val="24"/>
        </w:rPr>
      </w:pPr>
      <w:r>
        <w:rPr>
          <w:rFonts w:ascii="Times New Roman" w:hAnsi="Times New Roman" w:cs="Times New Roman"/>
          <w:sz w:val="24"/>
          <w:szCs w:val="24"/>
        </w:rPr>
        <w:t>Załącznik Nr …</w:t>
      </w:r>
    </w:p>
    <w:p>
      <w:pPr>
        <w:ind w:left="5670" w:firstLine="0"/>
        <w:rPr>
          <w:rFonts w:ascii="Times New Roman" w:hAnsi="Times New Roman" w:cs="Times New Roman"/>
          <w:sz w:val="24"/>
          <w:szCs w:val="24"/>
        </w:rPr>
      </w:pPr>
      <w:r>
        <w:rPr>
          <w:rFonts w:ascii="Times New Roman" w:hAnsi="Times New Roman" w:cs="Times New Roman"/>
          <w:sz w:val="24"/>
          <w:szCs w:val="24"/>
        </w:rPr>
        <w:t>do Zarządzenia Nr …../2024</w:t>
      </w:r>
    </w:p>
    <w:p>
      <w:pPr>
        <w:ind w:left="5670" w:firstLine="0"/>
        <w:rPr>
          <w:rFonts w:ascii="Times New Roman" w:hAnsi="Times New Roman" w:cs="Times New Roman"/>
          <w:sz w:val="24"/>
          <w:szCs w:val="24"/>
        </w:rPr>
      </w:pPr>
      <w:r>
        <w:rPr>
          <w:rFonts w:ascii="Times New Roman" w:hAnsi="Times New Roman" w:cs="Times New Roman"/>
          <w:sz w:val="24"/>
          <w:szCs w:val="24"/>
        </w:rPr>
        <w:t>z dnia …………………2024 roku</w:t>
      </w:r>
    </w:p>
    <w:p>
      <w:pPr>
        <w:spacing w:before="720" w:after="160" w:line="360" w:lineRule="auto"/>
        <w:jc w:val="center"/>
        <w:rPr>
          <w:rFonts w:ascii="Times New Roman" w:hAnsi="Times New Roman" w:cs="Times New Roman"/>
          <w:b/>
          <w:sz w:val="24"/>
          <w:szCs w:val="24"/>
        </w:rPr>
      </w:pPr>
    </w:p>
    <w:p>
      <w:pPr>
        <w:spacing w:before="720" w:after="160" w:line="360" w:lineRule="auto"/>
        <w:jc w:val="center"/>
        <w:rPr>
          <w:rFonts w:ascii="Times New Roman" w:hAnsi="Times New Roman" w:cs="Times New Roman"/>
          <w:b/>
          <w:sz w:val="24"/>
          <w:szCs w:val="24"/>
        </w:rPr>
      </w:pPr>
      <w:r>
        <w:rPr>
          <w:rFonts w:ascii="Times New Roman" w:hAnsi="Times New Roman" w:cs="Times New Roman"/>
          <w:b/>
          <w:sz w:val="24"/>
          <w:szCs w:val="24"/>
        </w:rPr>
        <w:t>PROCEDURA PRZYJMOWANIA ZEWNĘTRZNYCH ZGŁOSZEŃ O NARUSZENIACH PRAWA I PODEJMOWANIA DZIAŁAŃ NASTĘPCZYCH W ŁÓDZKIM URZĘDZIE WOJEWÓDZKIM W ŁODZI</w:t>
      </w:r>
    </w:p>
    <w:p>
      <w:pPr>
        <w:spacing w:before="720" w:after="0" w:line="360" w:lineRule="auto"/>
        <w:jc w:val="center"/>
        <w:rPr>
          <w:rFonts w:ascii="Times New Roman" w:hAnsi="Times New Roman" w:cs="Times New Roman"/>
          <w:b/>
          <w:sz w:val="24"/>
          <w:szCs w:val="24"/>
        </w:rPr>
      </w:pPr>
      <w:r>
        <w:rPr>
          <w:rFonts w:ascii="Times New Roman" w:hAnsi="Times New Roman" w:cs="Times New Roman"/>
          <w:b/>
          <w:sz w:val="24"/>
          <w:szCs w:val="24"/>
        </w:rPr>
        <w:t>§ 1</w:t>
      </w:r>
    </w:p>
    <w:p>
      <w:pPr>
        <w:spacing w:before="0" w:after="0" w:line="360" w:lineRule="auto"/>
        <w:jc w:val="center"/>
        <w:rPr>
          <w:rFonts w:ascii="Times New Roman" w:hAnsi="Times New Roman" w:cs="Times New Roman"/>
          <w:b/>
          <w:sz w:val="24"/>
          <w:szCs w:val="24"/>
        </w:rPr>
      </w:pPr>
      <w:r>
        <w:rPr>
          <w:rFonts w:ascii="Times New Roman" w:hAnsi="Times New Roman" w:cs="Times New Roman"/>
          <w:b/>
          <w:sz w:val="24"/>
          <w:szCs w:val="24"/>
        </w:rPr>
        <w:t>CEL PROCEDURY</w:t>
      </w:r>
    </w:p>
    <w:p>
      <w:pPr>
        <w:pStyle w:val="ListParagraph"/>
        <w:numPr>
          <w:ilvl w:val="0"/>
          <w:numId w:val="1"/>
        </w:numPr>
        <w:spacing w:before="240" w:after="0" w:line="360" w:lineRule="auto"/>
        <w:ind w:left="426" w:hanging="426"/>
        <w:contextualSpacing/>
        <w:jc w:val="both"/>
        <w:rPr>
          <w:rFonts w:ascii="Times New Roman" w:hAnsi="Times New Roman" w:cs="Times New Roman"/>
          <w:b/>
          <w:sz w:val="24"/>
          <w:szCs w:val="24"/>
        </w:rPr>
      </w:pPr>
      <w:r>
        <w:rPr>
          <w:rFonts w:ascii="Times New Roman" w:hAnsi="Times New Roman" w:cs="Times New Roman"/>
          <w:sz w:val="24"/>
          <w:szCs w:val="24"/>
        </w:rPr>
        <w:t xml:space="preserve">Niniejsza </w:t>
      </w:r>
      <w:r>
        <w:rPr>
          <w:rFonts w:ascii="Times New Roman" w:hAnsi="Times New Roman" w:cs="Times New Roman"/>
          <w:i/>
          <w:sz w:val="24"/>
          <w:szCs w:val="24"/>
        </w:rPr>
        <w:t>Procedura</w:t>
      </w:r>
      <w:r>
        <w:rPr>
          <w:rFonts w:ascii="Times New Roman" w:hAnsi="Times New Roman" w:cs="Times New Roman"/>
          <w:sz w:val="24"/>
          <w:szCs w:val="24"/>
        </w:rPr>
        <w:t xml:space="preserve"> zgłoszeń zewnętrznych oraz podejmowania działań następczych stanowi wypełnienie obowiązków wynikających z ustawy z dnia 14 czerwca 2024 roku o ochronie sygnalistów.</w:t>
      </w:r>
    </w:p>
    <w:p>
      <w:pPr>
        <w:pStyle w:val="ListParagraph"/>
        <w:numPr>
          <w:ilvl w:val="0"/>
          <w:numId w:val="1"/>
        </w:numPr>
        <w:spacing w:before="240" w:after="0" w:line="360" w:lineRule="auto"/>
        <w:ind w:left="425" w:hanging="425"/>
        <w:contextualSpacing/>
        <w:jc w:val="both"/>
        <w:rPr>
          <w:rFonts w:ascii="Times New Roman" w:hAnsi="Times New Roman" w:cs="Times New Roman"/>
          <w:b/>
          <w:sz w:val="24"/>
          <w:szCs w:val="24"/>
        </w:rPr>
      </w:pPr>
      <w:r>
        <w:rPr>
          <w:rFonts w:ascii="Times New Roman" w:hAnsi="Times New Roman" w:cs="Times New Roman"/>
          <w:sz w:val="24"/>
          <w:szCs w:val="24"/>
        </w:rPr>
        <w:t xml:space="preserve">Przyjmowanie zewnętrznych zgłoszeń naruszeń prawa jest elementem prawidłowego i bezpiecznego zarządzania w Łódzkim Urzędzie Wojewódzkim w Łodzi i służy zwiększeniu efektywności wykrywania nieprawidłowości i podejmowania działań w celu ich eliminowania oraz ograniczenia ryzyka na wszystkich poziomach organizacyjnych w Łódzkim Urzędzie Wojewódzkim w Łodzi. </w:t>
      </w:r>
    </w:p>
    <w:p>
      <w:pPr>
        <w:pStyle w:val="ListParagraph"/>
        <w:numPr>
          <w:ilvl w:val="0"/>
          <w:numId w:val="1"/>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Wdrożony system przyjmowania zgłoszeń umożliwia zgłaszanie nieprawidłowości, zapewnia poufność danych oraz rzetelne i obiektywne rozpoznanie zgłoszenia oraz w sposób zapewniający ochronę przed działaniami o charakterze odwetowym, represyjnym, dyskryminacyjnym lub innym rodzajem niesprawiedliwego traktowania w związku z dokonanym zgłoszeniem Zgłaszającego, osób pomagających w dokonaniu zgłoszenia oraz osób, których zgłoszenie dotyczy w zakresie i obszarze określonym w ustawie z dnia 24 czerwca 2024 r. o ochronie sygnalistów.</w:t>
      </w:r>
    </w:p>
    <w:p>
      <w:pPr>
        <w:pStyle w:val="ListParagraph"/>
        <w:numPr>
          <w:ilvl w:val="0"/>
          <w:numId w:val="1"/>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Każda z osób zatrudnionych w Łódzkim Urzędzie Wojewódzkim w Łodzi zobowiązana jest do zapoznania z treścią procedury zgłoszeń zewnętrznych.</w:t>
      </w:r>
    </w:p>
    <w:p>
      <w:pPr>
        <w:spacing w:before="240" w:after="0" w:line="360" w:lineRule="auto"/>
        <w:jc w:val="both"/>
        <w:rPr>
          <w:rFonts w:ascii="Times New Roman" w:hAnsi="Times New Roman" w:cs="Times New Roman"/>
          <w:sz w:val="24"/>
          <w:szCs w:val="24"/>
        </w:rPr>
      </w:pPr>
    </w:p>
    <w:p>
      <w:pPr>
        <w:spacing w:before="720"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2 </w:t>
      </w:r>
    </w:p>
    <w:p>
      <w:pPr>
        <w:spacing w:before="0" w:after="0" w:line="360" w:lineRule="auto"/>
        <w:jc w:val="center"/>
        <w:rPr>
          <w:rFonts w:ascii="Times New Roman" w:hAnsi="Times New Roman" w:cs="Times New Roman"/>
          <w:b/>
          <w:sz w:val="24"/>
          <w:szCs w:val="24"/>
        </w:rPr>
      </w:pPr>
      <w:r>
        <w:rPr>
          <w:rFonts w:ascii="Times New Roman" w:hAnsi="Times New Roman" w:cs="Times New Roman"/>
          <w:b/>
          <w:sz w:val="24"/>
          <w:szCs w:val="24"/>
        </w:rPr>
        <w:t>DEFINICJE</w:t>
      </w:r>
    </w:p>
    <w:p>
      <w:pPr>
        <w:pStyle w:val="ListParagraph"/>
        <w:spacing w:before="240" w:after="0" w:line="360" w:lineRule="auto"/>
        <w:ind w:left="426" w:firstLine="0"/>
        <w:contextualSpacing/>
        <w:jc w:val="both"/>
        <w:rPr>
          <w:rFonts w:ascii="Times New Roman" w:hAnsi="Times New Roman" w:cs="Times New Roman"/>
          <w:sz w:val="24"/>
          <w:szCs w:val="24"/>
        </w:rPr>
      </w:pPr>
      <w:r>
        <w:rPr>
          <w:rFonts w:ascii="Times New Roman" w:hAnsi="Times New Roman" w:cs="Times New Roman"/>
          <w:sz w:val="24"/>
          <w:szCs w:val="24"/>
        </w:rPr>
        <w:t>Ilekroć w Procedurze jest mowa o:</w:t>
      </w:r>
    </w:p>
    <w:p>
      <w:pPr>
        <w:pStyle w:val="ListParagraph"/>
        <w:numPr>
          <w:ilvl w:val="0"/>
          <w:numId w:val="2"/>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Procedurze – rozumie się przez to procedurę zgłoszeń zewnętrznych i podejmowania działań następczych, obowiązującą w Łódzkim Urzędzie Wojewódzkim w Łodzi;</w:t>
      </w:r>
    </w:p>
    <w:p>
      <w:pPr>
        <w:pStyle w:val="ListParagraph"/>
        <w:numPr>
          <w:ilvl w:val="0"/>
          <w:numId w:val="2"/>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Organie publicznym – rozumie się przez to Łódzki Urząd Wojewódzki w Łodzi;</w:t>
      </w:r>
    </w:p>
    <w:p>
      <w:pPr>
        <w:pStyle w:val="ListParagraph"/>
        <w:numPr>
          <w:ilvl w:val="0"/>
          <w:numId w:val="2"/>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Sygnaliście (zamiennie nazywany Zgłaszającym) – rozumie się przez to osobę, która informuje o nieprawidłowościach w organizacji. Może to być pracownik, współpracownik lub osoba z zewnątrz, która posiada informacje o naruszeniu norm prawnych;</w:t>
      </w:r>
    </w:p>
    <w:p>
      <w:pPr>
        <w:pStyle w:val="ListParagraph"/>
        <w:numPr>
          <w:ilvl w:val="0"/>
          <w:numId w:val="2"/>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Komisji ds. Naruszeń - rozumie się przez to komisję odpowiedzialną za prowadzenie postępowania wyjaśniającego w zakresie zgłoszenia oraz stosowną w tym zakresie dokumentację;</w:t>
      </w:r>
    </w:p>
    <w:p>
      <w:pPr>
        <w:pStyle w:val="ListParagraph"/>
        <w:numPr>
          <w:ilvl w:val="0"/>
          <w:numId w:val="2"/>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zgłoszeniu zewnętrznym – rozumie się przez to ustne lub pisemne przekazanie Rzecznikowi Praw Obywatelskich albo organowi publicznemu informacji o naruszeniu prawa;</w:t>
      </w:r>
    </w:p>
    <w:p>
      <w:pPr>
        <w:pStyle w:val="ListParagraph"/>
        <w:numPr>
          <w:ilvl w:val="0"/>
          <w:numId w:val="2"/>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naruszeniu prawa – rozumie się przez to działanie lub zaniechanie niezgodne z prawem mające na celu obejście prawa, dotyczące korupcji, zamówień publicznych, usług, produktów i rynków finansowych, przeciwdziałania praniu pieniędzy oraz finansowaniu terroryzmu, bezpieczeństwa produktów i ich zgodności z wymogami, bezpieczeństwa transportu, ochrony środowiska, ochrony radiologicznej i bezpieczeństwa jądrowego, bezpieczeństwa żywności i pasz, zdrowia i dobrostanu zwierząt, zdrowia publicznego, ochrony konsumentów, ochrony prywatności i danych osobowych, bezpieczeństwa sieci i systemów teleinformatycznych, interesów finansowych Skarbu Państwa Rzeczypospolitej Polskiej, jednostki samorządu terytorialnego oraz Unii Europejskiej, rynku wewnętrznego Unii Europejskiej, w tym publicznoprawnych zasad konkurencji i pomocy państwa oraz opodatkowania osób prawnych, konstytucyjnych wolności i praw człowieka i obywatela – występujących w stosunkach jednostki z organami władzy publicznej i niezwiązanych z innymi, wymienionymi dziedzinami;</w:t>
      </w:r>
    </w:p>
    <w:p>
      <w:pPr>
        <w:pStyle w:val="ListParagraph"/>
        <w:numPr>
          <w:ilvl w:val="0"/>
          <w:numId w:val="2"/>
        </w:numPr>
        <w:spacing w:before="240" w:after="0" w:line="360" w:lineRule="auto"/>
        <w:ind w:left="425" w:hanging="425"/>
        <w:contextualSpacing/>
        <w:jc w:val="both"/>
      </w:pPr>
      <w:r>
        <w:rPr>
          <w:rFonts w:ascii="Times New Roman" w:hAnsi="Times New Roman" w:cs="Times New Roman"/>
          <w:sz w:val="24"/>
          <w:szCs w:val="24"/>
        </w:rPr>
        <w:t>działaniu następczym – należy przez to rozumieć działanie podjęte przez organ publiczny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zewnętrznej procedury dokonywania zgłoszeń naruszeń prawa i podejmowania działań następczych;</w:t>
      </w:r>
    </w:p>
    <w:p>
      <w:pPr>
        <w:pStyle w:val="ListParagraph"/>
        <w:numPr>
          <w:ilvl w:val="0"/>
          <w:numId w:val="2"/>
        </w:numPr>
        <w:spacing w:before="240" w:after="0" w:line="360" w:lineRule="auto"/>
        <w:ind w:left="425" w:hanging="425"/>
        <w:contextualSpacing/>
        <w:jc w:val="both"/>
      </w:pPr>
      <w:r>
        <w:rPr>
          <w:rFonts w:ascii="Times New Roman" w:hAnsi="Times New Roman" w:cs="Times New Roman"/>
          <w:sz w:val="24"/>
          <w:szCs w:val="24"/>
        </w:rPr>
        <w:t>działaniu odwetowym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pPr>
        <w:pStyle w:val="ListParagraph"/>
        <w:numPr>
          <w:ilvl w:val="0"/>
          <w:numId w:val="2"/>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informacji o naruszeniu prawa – należy przez to rozumieć informację,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sygnalista utrzymuje lub utrzymywał kontakt w kontekście związanym z pracą, lub informację dotyczącą prośby ukrycia takiego naruszenia prawa;</w:t>
      </w:r>
    </w:p>
    <w:p>
      <w:pPr>
        <w:pStyle w:val="ListParagraph"/>
        <w:numPr>
          <w:ilvl w:val="0"/>
          <w:numId w:val="2"/>
        </w:numPr>
        <w:spacing w:before="240" w:after="0" w:line="360" w:lineRule="auto"/>
        <w:ind w:left="425" w:hanging="425"/>
        <w:contextualSpacing/>
        <w:jc w:val="both"/>
      </w:pPr>
      <w:r>
        <w:rPr>
          <w:rFonts w:ascii="Times New Roman" w:hAnsi="Times New Roman" w:cs="Times New Roman"/>
          <w:sz w:val="24"/>
          <w:szCs w:val="24"/>
        </w:rPr>
        <w:t>informacji zwrotnej – należy przez to rozumieć przekazaną sygnaliście informację na temat planowanych lub podjętych działań następczych i powodów takich działań;</w:t>
      </w:r>
    </w:p>
    <w:p>
      <w:pPr>
        <w:pStyle w:val="ListParagraph"/>
        <w:numPr>
          <w:ilvl w:val="0"/>
          <w:numId w:val="2"/>
        </w:numPr>
        <w:spacing w:before="240" w:after="0" w:line="360" w:lineRule="auto"/>
        <w:ind w:left="425" w:hanging="448"/>
        <w:contextualSpacing/>
        <w:jc w:val="both"/>
      </w:pPr>
      <w:r>
        <w:rPr>
          <w:rFonts w:ascii="Times New Roman" w:hAnsi="Times New Roman" w:cs="Times New Roman"/>
          <w:sz w:val="24"/>
          <w:szCs w:val="24"/>
        </w:rPr>
        <w:t>kontekście związanym z pracą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 podmiocie prawnym, w ramach których uzyskano informację o naruszeniu prawa oraz istnieje możliwość doświadczenia działań odwetowych;</w:t>
      </w:r>
    </w:p>
    <w:p>
      <w:pPr>
        <w:pStyle w:val="ListParagraph"/>
        <w:numPr>
          <w:ilvl w:val="0"/>
          <w:numId w:val="2"/>
        </w:numPr>
        <w:spacing w:before="240" w:after="0" w:line="360" w:lineRule="auto"/>
        <w:ind w:left="425" w:hanging="425"/>
        <w:contextualSpacing/>
        <w:jc w:val="both"/>
      </w:pPr>
      <w:r>
        <w:rPr>
          <w:rFonts w:ascii="Times New Roman" w:hAnsi="Times New Roman" w:cs="Times New Roman"/>
          <w:sz w:val="24"/>
          <w:szCs w:val="24"/>
        </w:rPr>
        <w:t>osobie, której dotyczy zgłoszenie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pPr>
        <w:pStyle w:val="ListParagraph"/>
        <w:numPr>
          <w:ilvl w:val="0"/>
          <w:numId w:val="2"/>
        </w:numPr>
        <w:spacing w:before="240" w:after="0" w:line="360" w:lineRule="auto"/>
        <w:ind w:left="426" w:hanging="426"/>
        <w:contextualSpacing/>
        <w:jc w:val="both"/>
      </w:pPr>
      <w:r>
        <w:rPr>
          <w:rFonts w:ascii="Times New Roman" w:hAnsi="Times New Roman" w:cs="Times New Roman"/>
          <w:sz w:val="24"/>
          <w:szCs w:val="24"/>
        </w:rPr>
        <w:t>osobie pomagającej w dokonaniu zgłoszenia – należy przez to rozumieć osobę fizyczną, która pomaga sygnaliście w zgłoszeniu lub ujawnieniu publicznym w kontekście związanym z pracą i której pomoc nie powinna zostać ujawniona;</w:t>
      </w:r>
    </w:p>
    <w:p>
      <w:pPr>
        <w:pStyle w:val="ListParagraph"/>
        <w:numPr>
          <w:ilvl w:val="0"/>
          <w:numId w:val="2"/>
        </w:numPr>
        <w:spacing w:before="240" w:after="0" w:line="360" w:lineRule="auto"/>
        <w:ind w:left="425" w:hanging="425"/>
        <w:contextualSpacing/>
        <w:jc w:val="both"/>
      </w:pPr>
      <w:r>
        <w:rPr>
          <w:rFonts w:ascii="Times New Roman" w:hAnsi="Times New Roman" w:cs="Times New Roman"/>
          <w:sz w:val="24"/>
          <w:szCs w:val="24"/>
        </w:rPr>
        <w:t>osobie powiązanej z Sygnalistą – należy przez to rozumieć osobę fizyczną, która może doświadczyć działań odwetowych, w tym współpracownika lub osobę najbliższą sygnalisty w rozumieniu art. 115 § 11 ustawy z dnia 6 czerwca 1997 r. – Kodeks karny;</w:t>
      </w:r>
    </w:p>
    <w:p>
      <w:pPr>
        <w:pStyle w:val="ListParagraph"/>
        <w:numPr>
          <w:ilvl w:val="0"/>
          <w:numId w:val="2"/>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osobie upoważnionej – należy przez to rozumieć osobę uprawnioną do przyjmowania zgłoszeń zewnętrznych, dokonywania ich wstępnej weryfikacji, podejmowania działań następczych oraz związanego z tym przetwarzaniem danych osobowych, kontaktu z sygnalistą w celu przekazywania informacji zwrotnych i – w razie potrzeby – zwracania się o wyjaśnienia lub dodatkowe informacje w zakresie przekazanych danych, jakie mogą być w jego posiadaniu oraz przekazywania zainteresowanym osobom informacji na temat procedury zgłoszeń zewnętrznych;</w:t>
      </w:r>
    </w:p>
    <w:p>
      <w:pPr>
        <w:pStyle w:val="ListParagraph"/>
        <w:numPr>
          <w:ilvl w:val="0"/>
          <w:numId w:val="2"/>
        </w:numPr>
        <w:spacing w:before="240" w:after="0" w:line="360" w:lineRule="auto"/>
        <w:ind w:left="425" w:hanging="425"/>
        <w:contextualSpacing/>
        <w:jc w:val="both"/>
      </w:pPr>
      <w:r>
        <w:rPr>
          <w:rFonts w:ascii="Times New Roman" w:hAnsi="Times New Roman" w:cs="Times New Roman"/>
          <w:sz w:val="24"/>
          <w:szCs w:val="24"/>
        </w:rPr>
        <w:t>postępowaniu prawnym – należy przez to rozumieć postępowanie toczące się na podstawie przepisów prawa powszechnie obowiązującego, w szczególności postępowanie karne, cywilne, administracyjne, dyscyplinarne lub o naruszenie dyscypliny finansów publicznych, albo postępowanie toczące się na podstawie regulacji wewnętrznych wydanych w celu wykonania przepisów prawa powszechnie obowiązującego, w szczególności antymobbingowych;</w:t>
      </w:r>
    </w:p>
    <w:p>
      <w:pPr>
        <w:pStyle w:val="ListParagraph"/>
        <w:numPr>
          <w:ilvl w:val="0"/>
          <w:numId w:val="2"/>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ujawnieniu publicznym – należy przez to rozumieć podanie informacji o naruszeniu prawa do wiadomości publicznej;</w:t>
      </w:r>
    </w:p>
    <w:p>
      <w:pPr>
        <w:pStyle w:val="ListParagraph"/>
        <w:numPr>
          <w:ilvl w:val="0"/>
          <w:numId w:val="2"/>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postępowaniu wyjaśniającym – rozumie się przez to postępowanie prowadzone w związku ze złożonym zgłoszeniem, mające na celu badanie wiarygodności oraz ocenę prawdziwości zarzutów zawartych w zgłoszeniu;</w:t>
      </w:r>
    </w:p>
    <w:p>
      <w:pPr>
        <w:pStyle w:val="ListParagraph"/>
        <w:numPr>
          <w:ilvl w:val="0"/>
          <w:numId w:val="2"/>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kanale zgłaszania – rozumie się przez to techniczne (w tym teleinformatyczne) i organizacyjne rozwiązania umożliwiające dokonywanie zgłoszenia;</w:t>
      </w:r>
    </w:p>
    <w:p>
      <w:pPr>
        <w:pStyle w:val="ListParagraph"/>
        <w:numPr>
          <w:ilvl w:val="0"/>
          <w:numId w:val="2"/>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Anonimie – rozumie się przez to zgłoszenie dokonane przez osobę, co do której nie jest możliwa identyfikacja tożsamości;</w:t>
      </w:r>
    </w:p>
    <w:p>
      <w:pPr>
        <w:pStyle w:val="ListParagraph"/>
        <w:numPr>
          <w:ilvl w:val="0"/>
          <w:numId w:val="2"/>
        </w:numPr>
        <w:spacing w:before="240" w:after="0" w:line="360" w:lineRule="auto"/>
        <w:ind w:left="425" w:hanging="425"/>
        <w:contextualSpacing/>
        <w:jc w:val="both"/>
      </w:pPr>
      <w:r>
        <w:rPr>
          <w:rFonts w:ascii="Times New Roman" w:hAnsi="Times New Roman" w:cs="Times New Roman"/>
          <w:sz w:val="24"/>
          <w:szCs w:val="24"/>
        </w:rPr>
        <w:t>ustawie – należy przez to rozumieć ustawę z dnia 14  czerwca 2024 roku o ochronie sygnalistów.</w:t>
      </w:r>
    </w:p>
    <w:p>
      <w:pPr>
        <w:spacing w:before="240" w:after="0" w:line="360" w:lineRule="auto"/>
        <w:jc w:val="center"/>
        <w:rPr>
          <w:rFonts w:ascii="Times New Roman" w:hAnsi="Times New Roman" w:cs="Times New Roman"/>
          <w:b/>
          <w:sz w:val="24"/>
          <w:szCs w:val="24"/>
        </w:rPr>
      </w:pPr>
      <w:r>
        <w:rPr>
          <w:rFonts w:ascii="Times New Roman" w:hAnsi="Times New Roman" w:cs="Times New Roman"/>
          <w:b/>
          <w:sz w:val="24"/>
          <w:szCs w:val="24"/>
        </w:rPr>
        <w:t>§ 3</w:t>
      </w:r>
    </w:p>
    <w:p>
      <w:pPr>
        <w:spacing w:before="0"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OCHRONA SYGNALISTY </w:t>
      </w:r>
    </w:p>
    <w:p>
      <w:pPr>
        <w:pStyle w:val="ListParagraph"/>
        <w:numPr>
          <w:ilvl w:val="0"/>
          <w:numId w:val="3"/>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Sygnalista podlega ochronie określonej w ustawie od chwili dokonania zgłoszenia lub ujawnienia publicznego, pod warunkiem że miał uzasadnione podstawy sądzić, że informacja będąca przedmiotem zgłoszenia lub ujawnienia publicznego jest prawdziwa w momencie dokonywania zgłoszenia lub ujawnienia publicznego i że stanowi informację o naruszeniu prawa.</w:t>
      </w:r>
    </w:p>
    <w:p>
      <w:pPr>
        <w:pStyle w:val="ListParagraph"/>
        <w:numPr>
          <w:ilvl w:val="0"/>
          <w:numId w:val="3"/>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Niniejsza procedura zapewnia Sygnaliście ochronę w szczególności poprzez:</w:t>
      </w:r>
    </w:p>
    <w:p>
      <w:pPr>
        <w:pStyle w:val="ListParagraph"/>
        <w:numPr>
          <w:ilvl w:val="0"/>
          <w:numId w:val="4"/>
        </w:numPr>
        <w:spacing w:before="120" w:after="0" w:line="360" w:lineRule="auto"/>
        <w:ind w:left="709" w:hanging="284"/>
        <w:contextualSpacing/>
        <w:jc w:val="both"/>
        <w:rPr>
          <w:rFonts w:ascii="Times New Roman" w:hAnsi="Times New Roman" w:cs="Times New Roman"/>
          <w:sz w:val="24"/>
          <w:szCs w:val="24"/>
        </w:rPr>
      </w:pPr>
      <w:r>
        <w:rPr>
          <w:rFonts w:ascii="Times New Roman" w:hAnsi="Times New Roman" w:cs="Times New Roman"/>
          <w:sz w:val="24"/>
          <w:szCs w:val="24"/>
        </w:rPr>
        <w:t>ochronę tożsamości, z wyjątkiem sytuacji w której Sygnalista wyrazi zgodę na ujawnienie danych,</w:t>
      </w:r>
    </w:p>
    <w:p>
      <w:pPr>
        <w:pStyle w:val="ListParagraph"/>
        <w:numPr>
          <w:ilvl w:val="0"/>
          <w:numId w:val="4"/>
        </w:numPr>
        <w:spacing w:before="120" w:after="0" w:line="360" w:lineRule="auto"/>
        <w:ind w:left="709" w:hanging="284"/>
        <w:contextualSpacing/>
        <w:jc w:val="both"/>
        <w:rPr>
          <w:rFonts w:ascii="Times New Roman" w:hAnsi="Times New Roman" w:cs="Times New Roman"/>
          <w:sz w:val="24"/>
          <w:szCs w:val="24"/>
        </w:rPr>
      </w:pPr>
      <w:r>
        <w:rPr>
          <w:rFonts w:ascii="Times New Roman" w:hAnsi="Times New Roman" w:cs="Times New Roman"/>
          <w:sz w:val="24"/>
          <w:szCs w:val="24"/>
        </w:rPr>
        <w:t>ochronę osób, które pomagały w dokonaniu zgłoszenia,</w:t>
      </w:r>
    </w:p>
    <w:p>
      <w:pPr>
        <w:pStyle w:val="ListParagraph"/>
        <w:numPr>
          <w:ilvl w:val="0"/>
          <w:numId w:val="4"/>
        </w:numPr>
        <w:spacing w:before="120" w:after="0" w:line="360" w:lineRule="auto"/>
        <w:ind w:left="709" w:hanging="284"/>
        <w:contextualSpacing/>
        <w:jc w:val="both"/>
        <w:rPr>
          <w:rFonts w:ascii="Times New Roman" w:hAnsi="Times New Roman" w:cs="Times New Roman"/>
          <w:sz w:val="24"/>
          <w:szCs w:val="24"/>
        </w:rPr>
      </w:pPr>
      <w:r>
        <w:rPr>
          <w:rFonts w:ascii="Times New Roman" w:hAnsi="Times New Roman" w:cs="Times New Roman"/>
          <w:sz w:val="24"/>
          <w:szCs w:val="24"/>
        </w:rPr>
        <w:t>ochronę przed działaniami odwetowymi,</w:t>
      </w:r>
    </w:p>
    <w:p>
      <w:pPr>
        <w:pStyle w:val="ListParagraph"/>
        <w:numPr>
          <w:ilvl w:val="0"/>
          <w:numId w:val="4"/>
        </w:numPr>
        <w:spacing w:before="120" w:after="0" w:line="360" w:lineRule="auto"/>
        <w:ind w:left="709" w:hanging="284"/>
        <w:contextualSpacing/>
        <w:jc w:val="both"/>
        <w:rPr>
          <w:rFonts w:ascii="Times New Roman" w:hAnsi="Times New Roman" w:cs="Times New Roman"/>
          <w:sz w:val="24"/>
          <w:szCs w:val="24"/>
        </w:rPr>
      </w:pPr>
      <w:r>
        <w:rPr>
          <w:rFonts w:ascii="Times New Roman" w:hAnsi="Times New Roman" w:cs="Times New Roman"/>
          <w:sz w:val="24"/>
          <w:szCs w:val="24"/>
        </w:rPr>
        <w:t>powierzenie zadań związanych z przyjęciem i procedowaniem zgłoszeń zewnętrznych osobom bezstronnym, odpowiednio przeszkolonym, posiadającym upoważnienie do wykonywania tych czynności oraz zobowiązanym do zachowania poufności.</w:t>
      </w:r>
    </w:p>
    <w:p>
      <w:pPr>
        <w:pStyle w:val="ListParagraph"/>
        <w:numPr>
          <w:ilvl w:val="0"/>
          <w:numId w:val="3"/>
        </w:numPr>
        <w:spacing w:before="240" w:after="0" w:line="360" w:lineRule="auto"/>
        <w:ind w:left="425" w:hanging="425"/>
        <w:contextualSpacing/>
        <w:jc w:val="both"/>
      </w:pPr>
      <w:r>
        <w:rPr>
          <w:rFonts w:ascii="Times New Roman" w:hAnsi="Times New Roman" w:cs="Times New Roman"/>
          <w:sz w:val="24"/>
          <w:szCs w:val="24"/>
        </w:rPr>
        <w:t>Zapisu ust. 1 i 2 nie stosuje się w przypadku,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Przed dokonaniem ujawnienia, o którym mowa powyżej, Organ publiczny powiadamia o tym Sygnalistę, przesyłając w postaci papierowej lub elektronicznej wyjaśnienie powodów ujawnienia jego danych osobowych, chyba że takie powiadomienie zagrozi postępowaniu wyjaśniającemu lub postępowaniu przygotowawczemu lub sądowemu.</w:t>
      </w:r>
    </w:p>
    <w:p>
      <w:pPr>
        <w:pStyle w:val="ListParagraph"/>
        <w:numPr>
          <w:ilvl w:val="0"/>
          <w:numId w:val="3"/>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Nie korzysta z ochrony wynikającej z niniejszej Procedury osoba, która dokonuje zgłoszenia lub ujawnienia publicznego, wiedząc, że do naruszenia prawa nie doszło. Osoba taka może natomiast na podstawie art. 57 ustawy podlegać grzywnie, kasze ograniczenia wolności lub pozbawienia wolności do lat 2.</w:t>
      </w:r>
    </w:p>
    <w:p>
      <w:pPr>
        <w:pStyle w:val="ListParagraph"/>
        <w:numPr>
          <w:ilvl w:val="0"/>
          <w:numId w:val="3"/>
        </w:numPr>
        <w:spacing w:before="240" w:after="0" w:line="360" w:lineRule="auto"/>
        <w:ind w:left="425" w:hanging="425"/>
        <w:contextualSpacing/>
        <w:jc w:val="both"/>
      </w:pPr>
      <w:r>
        <w:rPr>
          <w:rFonts w:ascii="Times New Roman" w:hAnsi="Times New Roman" w:cs="Times New Roman"/>
          <w:sz w:val="24"/>
          <w:szCs w:val="24"/>
        </w:rPr>
        <w:t>Organ publiczny po otrzymaniu zgłoszenia przetwarza dane osobowe w zakresie niezbędnym do przyjęcia zgłoszenia lub podjęcia ewentualnego działania następczego. Dane osobowe, które nie mają znaczenia dla rozpatrywania zgłoszenia, nie są zbierane, a w razie przypadkowego zebrania są niezwłocznie usuwane.</w:t>
      </w:r>
    </w:p>
    <w:p>
      <w:pPr>
        <w:pStyle w:val="ListParagraph"/>
        <w:numPr>
          <w:ilvl w:val="0"/>
          <w:numId w:val="3"/>
        </w:numPr>
        <w:spacing w:before="240" w:after="0" w:line="360" w:lineRule="auto"/>
        <w:ind w:left="425" w:hanging="425"/>
        <w:contextualSpacing/>
        <w:jc w:val="both"/>
      </w:pPr>
      <w:r>
        <w:rPr>
          <w:rFonts w:ascii="Times New Roman" w:hAnsi="Times New Roman" w:cs="Times New Roman"/>
          <w:sz w:val="24"/>
          <w:szCs w:val="24"/>
        </w:rPr>
        <w:t>Dane osobowe przetwarzane w związku z przyjęciem zgłoszenia lub podjęciem działań następczych oraz dokumenty związane z tym zgłoszeniem są̨ przechowywane przez pracodawcę przez okres 3 lat po zakończeniu roku kalendarzowego, w którym przekazano zgłoszenie zewnętrzne do organu publicznego właściwego do podjęcia działań następczych lub zakończono działania następcze, lub po zakończeniu postępowań zainicjowanych tymi działaniami.</w:t>
      </w:r>
    </w:p>
    <w:p>
      <w:pPr>
        <w:pStyle w:val="ListParagraph"/>
        <w:numPr>
          <w:ilvl w:val="0"/>
          <w:numId w:val="3"/>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Organ publiczny usuwa dane osobowe oraz niszczy dokumenty związane ze zgłoszeniem po upływie okresu przechowywania.</w:t>
      </w:r>
    </w:p>
    <w:p>
      <w:pPr>
        <w:pStyle w:val="ListParagraph"/>
        <w:numPr>
          <w:ilvl w:val="0"/>
          <w:numId w:val="3"/>
        </w:numPr>
        <w:spacing w:before="240" w:after="0" w:line="360" w:lineRule="auto"/>
        <w:ind w:left="425" w:hanging="425"/>
        <w:contextualSpacing/>
        <w:jc w:val="both"/>
      </w:pPr>
      <w:r>
        <w:rPr>
          <w:rFonts w:ascii="Times New Roman" w:hAnsi="Times New Roman" w:cs="Times New Roman"/>
          <w:sz w:val="24"/>
          <w:szCs w:val="24"/>
        </w:rPr>
        <w:t>Przepisu ust. 7 nie stosuje się w przypadku, gdy dokumenty związane ze zgłoszeniem stanowią cześć akt postępowań przygotowawczych lub spraw sądowych lub sądowo-administracyjnych.</w:t>
      </w:r>
    </w:p>
    <w:p>
      <w:pPr>
        <w:pStyle w:val="ListParagraph"/>
        <w:numPr>
          <w:ilvl w:val="0"/>
          <w:numId w:val="3"/>
        </w:numPr>
        <w:spacing w:before="240" w:after="0" w:line="360" w:lineRule="auto"/>
        <w:ind w:left="425" w:hanging="425"/>
        <w:contextualSpacing/>
        <w:jc w:val="both"/>
      </w:pPr>
      <w:r>
        <w:rPr>
          <w:rFonts w:ascii="Times New Roman" w:hAnsi="Times New Roman" w:cs="Times New Roman"/>
          <w:sz w:val="24"/>
          <w:szCs w:val="24"/>
        </w:rPr>
        <w:t>Wszyscy, których dotyczy lub może dotyczyć zgłoszenie zobowiązani są od powstrzymania się od jakichkolwiek działań związanych z zamiarem odkrycia tożsamości Zgłaszającego oraz stosowania działań odwetowych względem Zgłaszającego. Za działania odwetowe z powodu dokonania zgłoszenia lub ujawnienia publicznego uważa się także próbę lub groźbę działań odwetowych. Zakaz działań odwetowych stosuje się odpowiednio do osoby pomagającej w dokonaniu zgłoszenia oraz osoby powiązanej z Sygnalistą, jak również odpowiednio do osoby prawnej lub innej jednostki organizacyjnej pomagającej sygnaliście lub z nim powiązanej, w szczególności stanowiącej własność sygnalisty lub go zatrudniającej.</w:t>
      </w:r>
    </w:p>
    <w:p>
      <w:pPr>
        <w:pStyle w:val="ListParagraph"/>
        <w:numPr>
          <w:ilvl w:val="0"/>
          <w:numId w:val="3"/>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Informacje dotyczące danych (w tym danych pozwalających na identyfikację tożsamości) Zgłaszających nadaje się klauzulę poufności, przy czym nie stanowią one informacji niejawnej, lecz są prawnie, fizycznie i organizacyjnie chronione, przez osoby mające uprawniony dostęp do Zgłoszenia. Informacje w tym zakresie pozostają do wyłącznej wiadomości członków Komisji ds. Naruszeń, wybranych pracowników służbowo zaangażowanych w proces merytorycznego wyjaśnienia zgłoszonych spraw z zakresu naruszeń, o ile przekazanie danych dotyczących Zgłaszającego byłoby konieczne dla wyjaśnienia sprawy – a zgodę na takie działanie uzyskano od Zgłaszającego.</w:t>
      </w:r>
    </w:p>
    <w:p>
      <w:pPr>
        <w:pStyle w:val="ListParagraph"/>
        <w:numPr>
          <w:ilvl w:val="0"/>
          <w:numId w:val="3"/>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Zachowanie poufności ma na celu zagwarantowanie poczucia bezpieczeństwa Zgłaszającemu oraz minimalizację ryzyka wystąpienia działań odwetowych lub represyjnych. Zgłaszający, który dokonał zgłoszenia, a którego dane osobowe zostały w sposób nieuprawniony ujawnione, powinien niezwłocznie o zaistniałej sytuacji powiadomić Komisję ds. Naruszeń i Inspektora Ochrony Danych w Łódzkim Urzędzie Wojewódzkim w Łodzi. Komisja zobowiązana jest podjąć działania mające na celu ochronę Zgłaszającego.</w:t>
      </w:r>
    </w:p>
    <w:p>
      <w:pPr>
        <w:pStyle w:val="ListParagraph"/>
        <w:spacing w:before="720" w:after="0" w:line="360" w:lineRule="auto"/>
        <w:ind w:left="425" w:firstLine="0"/>
        <w:contextualSpacing/>
        <w:jc w:val="center"/>
        <w:rPr>
          <w:rFonts w:ascii="Times New Roman" w:hAnsi="Times New Roman" w:cs="Times New Roman"/>
          <w:b/>
          <w:sz w:val="24"/>
          <w:szCs w:val="24"/>
        </w:rPr>
      </w:pPr>
      <w:r>
        <w:rPr>
          <w:rFonts w:ascii="Times New Roman" w:hAnsi="Times New Roman" w:cs="Times New Roman"/>
          <w:b/>
          <w:sz w:val="24"/>
          <w:szCs w:val="24"/>
        </w:rPr>
        <w:t>§ 4</w:t>
      </w:r>
    </w:p>
    <w:p>
      <w:pPr>
        <w:pStyle w:val="ListParagraph"/>
        <w:spacing w:before="0" w:after="0" w:line="360" w:lineRule="auto"/>
        <w:ind w:left="425" w:firstLine="0"/>
        <w:contextualSpacing/>
        <w:jc w:val="center"/>
        <w:rPr>
          <w:rFonts w:ascii="Times New Roman" w:hAnsi="Times New Roman" w:cs="Times New Roman"/>
          <w:b/>
          <w:sz w:val="24"/>
          <w:szCs w:val="24"/>
        </w:rPr>
      </w:pPr>
      <w:r>
        <w:rPr>
          <w:rFonts w:ascii="Times New Roman" w:hAnsi="Times New Roman" w:cs="Times New Roman"/>
          <w:b/>
          <w:sz w:val="24"/>
          <w:szCs w:val="24"/>
        </w:rPr>
        <w:t>SPOSÓB PRZEKAZYWANIA I PRZYJMOWANIA ZGŁOSZEŃ ZEWNĘTRZNYCH</w:t>
      </w:r>
    </w:p>
    <w:p>
      <w:pPr>
        <w:pStyle w:val="ListParagraph"/>
        <w:numPr>
          <w:ilvl w:val="0"/>
          <w:numId w:val="5"/>
        </w:numPr>
        <w:spacing w:before="240" w:after="0" w:line="360" w:lineRule="auto"/>
        <w:ind w:left="425" w:hanging="425"/>
        <w:contextualSpacing/>
        <w:jc w:val="both"/>
      </w:pPr>
      <w:r>
        <w:rPr>
          <w:rFonts w:ascii="Times New Roman" w:hAnsi="Times New Roman" w:cs="Times New Roman"/>
          <w:sz w:val="24"/>
          <w:szCs w:val="24"/>
        </w:rPr>
        <w:t>Zgłoszenie naruszenia może być przekazane pisemnie za pośrednictwem następującego kanału kontaktu, tj. dedykowanej skrzynki e-mailowej obsługiwanej przez członków Komisji ds. Naruszeń lub ustnie podczas bezpośredniego spotkania. Zgłaszający może dokonać zgłoszenia zewnętrznego bez uprzedniego zgłoszenia wewnętrznego.</w:t>
      </w:r>
    </w:p>
    <w:p>
      <w:pPr>
        <w:pStyle w:val="ListParagraph"/>
        <w:numPr>
          <w:ilvl w:val="0"/>
          <w:numId w:val="5"/>
        </w:numPr>
        <w:tabs>
          <w:tab w:val="left" w:pos="426"/>
          <w:tab w:val="clear" w:pos="708"/>
        </w:tabs>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Zgłoszenie ustne może być dokonane za pośrednictwem środków komunikacji elektronicznej w rozumieniu art. 2 pkt 5 ustawy z dnia 18 lipca 2002 r. o świadczeniu usług drogą elektroniczną.</w:t>
      </w:r>
    </w:p>
    <w:p>
      <w:pPr>
        <w:pStyle w:val="ListParagraph"/>
        <w:numPr>
          <w:ilvl w:val="0"/>
          <w:numId w:val="5"/>
        </w:numPr>
        <w:tabs>
          <w:tab w:val="left" w:pos="426"/>
          <w:tab w:val="clear" w:pos="708"/>
        </w:tabs>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Na wniosek sygnalisty zgłoszenie ustne może być dokonane podczas bezpośredniego spotkania zorganizowanego w terminie 14 dni od dnia otrzymania takiego wniosku. W takim przypadku za zgodą sygnalisty zgłoszenie jest dokumentowane w formie:</w:t>
      </w:r>
    </w:p>
    <w:p>
      <w:pPr>
        <w:pStyle w:val="ListParagraph"/>
        <w:spacing w:before="240" w:after="0" w:line="360" w:lineRule="auto"/>
        <w:ind w:left="426" w:firstLine="0"/>
        <w:contextualSpacing/>
        <w:jc w:val="both"/>
        <w:rPr>
          <w:rFonts w:ascii="Times New Roman" w:hAnsi="Times New Roman" w:cs="Times New Roman"/>
          <w:sz w:val="24"/>
          <w:szCs w:val="24"/>
        </w:rPr>
      </w:pPr>
      <w:r>
        <w:rPr>
          <w:rFonts w:ascii="Times New Roman" w:hAnsi="Times New Roman" w:cs="Times New Roman"/>
          <w:sz w:val="24"/>
          <w:szCs w:val="24"/>
        </w:rPr>
        <w:t>1) nagrania rozmowy, umożliwiającego jej wyszukanie, lub</w:t>
      </w:r>
    </w:p>
    <w:p>
      <w:pPr>
        <w:pStyle w:val="ListParagraph"/>
        <w:spacing w:before="240" w:after="0" w:line="360" w:lineRule="auto"/>
        <w:ind w:left="426" w:firstLine="0"/>
        <w:contextualSpacing/>
        <w:jc w:val="both"/>
        <w:rPr>
          <w:rFonts w:ascii="Times New Roman" w:hAnsi="Times New Roman" w:cs="Times New Roman"/>
          <w:sz w:val="24"/>
          <w:szCs w:val="24"/>
        </w:rPr>
      </w:pPr>
      <w:r>
        <w:rPr>
          <w:rFonts w:ascii="Times New Roman" w:hAnsi="Times New Roman" w:cs="Times New Roman"/>
          <w:sz w:val="24"/>
          <w:szCs w:val="24"/>
        </w:rPr>
        <w:t>2) protokołu spotkania, odtwarzającego jego dokładny przebieg.</w:t>
      </w:r>
    </w:p>
    <w:p>
      <w:pPr>
        <w:pStyle w:val="ListParagraph"/>
        <w:numPr>
          <w:ilvl w:val="0"/>
          <w:numId w:val="5"/>
        </w:numPr>
        <w:tabs>
          <w:tab w:val="left" w:pos="426"/>
          <w:tab w:val="clear" w:pos="708"/>
        </w:tabs>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W przypadku, o którym mowa w ust. 5 pkt  1 i 2 sygnalista może dokonać sprawdzenia, poprawienia i zatwierdzenia protokołu spotkania przez jego podpisanie. Sygnalista może zażądać dokonania powyższych czynności nie później niż 2 dni po zakończeniu składania zgłoszenia na spotkaniu i otrzymaniu protokołu do weryfikacji. O odmowie podpisania protokołu, sporządzający protokół zamieszcza wzmiankę w protokole.</w:t>
      </w:r>
    </w:p>
    <w:p>
      <w:pPr>
        <w:pStyle w:val="ListParagraph"/>
        <w:numPr>
          <w:ilvl w:val="0"/>
          <w:numId w:val="5"/>
        </w:numPr>
        <w:spacing w:before="240" w:after="0" w:line="360" w:lineRule="auto"/>
        <w:ind w:left="425" w:hanging="425"/>
        <w:contextualSpacing/>
        <w:jc w:val="both"/>
      </w:pPr>
      <w:r>
        <w:rPr>
          <w:rFonts w:ascii="Times New Roman" w:hAnsi="Times New Roman" w:cs="Times New Roman"/>
          <w:sz w:val="24"/>
          <w:szCs w:val="24"/>
        </w:rPr>
        <w:t>Do rozpatrzenia spraw z zakresu naruszeń, Dyrektor Generalny Urzędu  powołuje w drodze odrębnego zarządzenia Komisję ds. Naruszeń, na czas nieokreślony. Komisja składa się z czterech członków stałych, z których do rozpatrywania danego naruszenia niezbędna jest obecność co najmniej trzech członków Komisji.</w:t>
      </w:r>
    </w:p>
    <w:p>
      <w:pPr>
        <w:pStyle w:val="ListParagraph"/>
        <w:numPr>
          <w:ilvl w:val="0"/>
          <w:numId w:val="5"/>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Za prawidłowość działania Komisji ds. Naruszeń, przestrzeganie przepisów Procedury, poprawność, integralność, poufność dokumentów wytworzonych na skutek zgłoszenia naruszenia odpowiada przewodniczący tej komisji.</w:t>
      </w:r>
    </w:p>
    <w:p>
      <w:pPr>
        <w:pStyle w:val="ListParagraph"/>
        <w:numPr>
          <w:ilvl w:val="0"/>
          <w:numId w:val="5"/>
        </w:numPr>
        <w:spacing w:before="240" w:after="0" w:line="360" w:lineRule="auto"/>
        <w:ind w:left="425" w:hanging="425"/>
        <w:contextualSpacing/>
        <w:jc w:val="both"/>
      </w:pPr>
      <w:r>
        <w:rPr>
          <w:rFonts w:ascii="Times New Roman" w:hAnsi="Times New Roman" w:cs="Times New Roman"/>
          <w:sz w:val="24"/>
          <w:szCs w:val="24"/>
        </w:rPr>
        <w:t xml:space="preserve">Osobami odpowiedzialnymi za przyjmowanie zgłoszeń o naruszeniu są wskazani przez przewodniczącego Komisji ds. Naruszeń- członkowie Komisji. Osoby te obsługują skrzynkę e-mail: </w:t>
      </w:r>
      <w:r>
        <w:fldChar w:fldCharType="begin"/>
      </w:r>
      <w:r>
        <w:instrText xml:space="preserve"> HYPERLINK "mailto:sygnal@lodz.uw.gov.pl" </w:instrText>
      </w:r>
      <w:r>
        <w:fldChar w:fldCharType="separate"/>
      </w:r>
      <w:r>
        <w:rPr>
          <w:rStyle w:val="czeinternetowe"/>
          <w:rFonts w:ascii="Times New Roman" w:hAnsi="Times New Roman" w:cs="Times New Roman"/>
          <w:b/>
          <w:color w:val="FF0000"/>
          <w:sz w:val="28"/>
          <w:szCs w:val="28"/>
        </w:rPr>
        <w:t>sygnal@lodz.uw.gov.pl</w:t>
      </w:r>
      <w:r>
        <w:fldChar w:fldCharType="end"/>
      </w:r>
      <w:r>
        <w:rPr>
          <w:rFonts w:ascii="Times New Roman" w:hAnsi="Times New Roman" w:cs="Times New Roman"/>
          <w:b/>
          <w:color w:val="FF0000"/>
          <w:sz w:val="28"/>
          <w:szCs w:val="28"/>
        </w:rPr>
        <w:t xml:space="preserve"> </w:t>
      </w:r>
      <w:r>
        <w:rPr>
          <w:rFonts w:ascii="Times New Roman" w:hAnsi="Times New Roman" w:cs="Times New Roman"/>
          <w:color w:val="FF0000"/>
          <w:sz w:val="24"/>
          <w:szCs w:val="24"/>
        </w:rPr>
        <w:t xml:space="preserve"> </w:t>
      </w:r>
      <w:r>
        <w:rPr>
          <w:rFonts w:ascii="Times New Roman" w:hAnsi="Times New Roman" w:cs="Times New Roman"/>
          <w:sz w:val="24"/>
          <w:szCs w:val="24"/>
        </w:rPr>
        <w:t>i przyjmują zgłoszenia zewnętrzne.</w:t>
      </w:r>
    </w:p>
    <w:p>
      <w:pPr>
        <w:pStyle w:val="ListParagraph"/>
        <w:numPr>
          <w:ilvl w:val="0"/>
          <w:numId w:val="5"/>
        </w:numPr>
        <w:spacing w:before="240" w:after="0" w:line="360" w:lineRule="auto"/>
        <w:ind w:left="426" w:hanging="426"/>
        <w:contextualSpacing/>
        <w:jc w:val="both"/>
        <w:rPr>
          <w:rFonts w:ascii="Times New Roman" w:hAnsi="Times New Roman" w:cs="Times New Roman"/>
          <w:b/>
          <w:sz w:val="24"/>
          <w:szCs w:val="24"/>
        </w:rPr>
      </w:pPr>
      <w:r>
        <w:rPr>
          <w:rFonts w:ascii="Times New Roman" w:hAnsi="Times New Roman" w:cs="Times New Roman"/>
          <w:sz w:val="24"/>
          <w:szCs w:val="24"/>
        </w:rPr>
        <w:t xml:space="preserve">Zgłoszeń można również dokonywać bezpośrednio do Rzecznika Praw Obywatelskich pisemnie na adres: </w:t>
      </w:r>
      <w:r>
        <w:rPr>
          <w:rFonts w:ascii="Times New Roman" w:hAnsi="Times New Roman" w:cs="Times New Roman"/>
          <w:b/>
          <w:sz w:val="24"/>
          <w:szCs w:val="24"/>
        </w:rPr>
        <w:t xml:space="preserve">Biuro Rzecznika Praw Obywatelskich al. Solidarności 77, 00-090 Warszawa </w:t>
      </w:r>
      <w:r>
        <w:rPr>
          <w:rFonts w:ascii="Times New Roman" w:hAnsi="Times New Roman" w:cs="Times New Roman"/>
          <w:sz w:val="24"/>
          <w:szCs w:val="24"/>
        </w:rPr>
        <w:t xml:space="preserve">oraz mailowo na skrzynkę e-mail:  </w:t>
      </w:r>
      <w:r>
        <w:rPr>
          <w:rFonts w:ascii="Times New Roman" w:hAnsi="Times New Roman" w:cs="Times New Roman"/>
          <w:b/>
          <w:sz w:val="24"/>
          <w:szCs w:val="24"/>
        </w:rPr>
        <w:t>biurorzecznika@brpo.gov.pl</w:t>
      </w:r>
    </w:p>
    <w:p>
      <w:pPr>
        <w:pStyle w:val="ListParagraph"/>
        <w:numPr>
          <w:ilvl w:val="0"/>
          <w:numId w:val="5"/>
        </w:numPr>
        <w:spacing w:before="240" w:after="0" w:line="360" w:lineRule="auto"/>
        <w:ind w:left="425" w:hanging="425"/>
        <w:contextualSpacing/>
        <w:jc w:val="both"/>
        <w:rPr>
          <w:rFonts w:ascii="Times New Roman" w:hAnsi="Times New Roman" w:cs="Times New Roman"/>
          <w:b/>
          <w:sz w:val="24"/>
          <w:szCs w:val="24"/>
        </w:rPr>
      </w:pPr>
      <w:r>
        <w:rPr>
          <w:rFonts w:ascii="Times New Roman" w:hAnsi="Times New Roman" w:cs="Times New Roman"/>
          <w:sz w:val="24"/>
          <w:szCs w:val="24"/>
        </w:rPr>
        <w:t>Zgłoszenia rozpatrywane są zgodnie z kolejnością wpływu.</w:t>
      </w:r>
    </w:p>
    <w:p>
      <w:pPr>
        <w:pStyle w:val="ListParagraph"/>
        <w:numPr>
          <w:ilvl w:val="0"/>
          <w:numId w:val="5"/>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Komisja ds. Naruszeń podejmuje, weryfikuje i potwierdza zgłoszenia, zaleca wdrożenie działań następczych i je nadzoruje, a także przetwarza dane osobowe Zgłaszających na podstawie pisemnego upoważnienia do przetwarzania danych osobowych.</w:t>
      </w:r>
    </w:p>
    <w:p>
      <w:pPr>
        <w:pStyle w:val="ListParagraph"/>
        <w:numPr>
          <w:ilvl w:val="0"/>
          <w:numId w:val="5"/>
        </w:numPr>
        <w:spacing w:before="240" w:after="0" w:line="360" w:lineRule="auto"/>
        <w:ind w:left="426" w:hanging="426"/>
        <w:contextualSpacing/>
        <w:jc w:val="both"/>
      </w:pPr>
      <w:r>
        <w:rPr>
          <w:rFonts w:ascii="Times New Roman" w:hAnsi="Times New Roman" w:cs="Times New Roman"/>
          <w:sz w:val="24"/>
          <w:szCs w:val="24"/>
        </w:rPr>
        <w:t>W przypadku gdy zgłoszenie dotyczy pracownika wchodzącego w skład Komisji ds. Naruszeń, pracownik taki podlega wyłączeniu z prac tej komisji, do czasu zakończenia postępowania wyjaśniającego w sprawie, a na wniosek przewodniczącego można poszerzyć skład komisji o dodatkową osobę.</w:t>
      </w:r>
    </w:p>
    <w:p>
      <w:pPr>
        <w:spacing w:before="240" w:after="0" w:line="360" w:lineRule="auto"/>
        <w:jc w:val="center"/>
        <w:rPr>
          <w:rFonts w:ascii="Times New Roman" w:hAnsi="Times New Roman" w:cs="Times New Roman"/>
          <w:b/>
          <w:sz w:val="24"/>
          <w:szCs w:val="24"/>
        </w:rPr>
      </w:pPr>
      <w:r>
        <w:rPr>
          <w:rFonts w:ascii="Times New Roman" w:hAnsi="Times New Roman" w:cs="Times New Roman"/>
          <w:b/>
          <w:sz w:val="24"/>
          <w:szCs w:val="24"/>
        </w:rPr>
        <w:t>§ 5</w:t>
      </w:r>
    </w:p>
    <w:p>
      <w:pPr>
        <w:spacing w:before="0" w:after="0" w:line="360" w:lineRule="auto"/>
        <w:jc w:val="center"/>
        <w:rPr>
          <w:rFonts w:ascii="Times New Roman" w:hAnsi="Times New Roman" w:cs="Times New Roman"/>
          <w:b/>
          <w:sz w:val="24"/>
          <w:szCs w:val="24"/>
        </w:rPr>
      </w:pPr>
      <w:r>
        <w:rPr>
          <w:rFonts w:ascii="Times New Roman" w:hAnsi="Times New Roman" w:cs="Times New Roman"/>
          <w:b/>
          <w:sz w:val="24"/>
          <w:szCs w:val="24"/>
        </w:rPr>
        <w:t>TREŚĆ ZGŁOSZENIA</w:t>
      </w:r>
    </w:p>
    <w:p>
      <w:pPr>
        <w:pStyle w:val="ListParagraph"/>
        <w:numPr>
          <w:ilvl w:val="0"/>
          <w:numId w:val="6"/>
        </w:numPr>
        <w:spacing w:before="0" w:after="12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Zgłoszenie zewnętrzne powinno zawierać przejrzyste i pełne wyjaśnienie przedmiotu zgłoszenia oraz powinno zawierać co najmniej następujące dane:</w:t>
      </w:r>
    </w:p>
    <w:p>
      <w:pPr>
        <w:pStyle w:val="ListParagraph"/>
        <w:spacing w:before="120" w:after="0" w:line="360" w:lineRule="auto"/>
        <w:ind w:left="709" w:hanging="284"/>
        <w:contextualSpacing/>
        <w:jc w:val="both"/>
        <w:rPr>
          <w:rFonts w:ascii="Times New Roman" w:hAnsi="Times New Roman" w:cs="Times New Roman"/>
          <w:sz w:val="24"/>
          <w:szCs w:val="24"/>
        </w:rPr>
      </w:pPr>
      <w:r>
        <w:rPr>
          <w:rFonts w:ascii="Times New Roman" w:hAnsi="Times New Roman" w:cs="Times New Roman"/>
          <w:sz w:val="24"/>
          <w:szCs w:val="24"/>
        </w:rPr>
        <w:t>a) datę oraz miejsce zaistnienia naruszenia prawa lub datę i miejsce pozyskania informacji o naruszeniu,</w:t>
      </w:r>
    </w:p>
    <w:p>
      <w:pPr>
        <w:pStyle w:val="ListParagraph"/>
        <w:spacing w:before="0" w:after="240" w:line="360" w:lineRule="auto"/>
        <w:ind w:left="426" w:firstLine="0"/>
        <w:contextualSpacing/>
        <w:jc w:val="both"/>
        <w:rPr>
          <w:rFonts w:ascii="Times New Roman" w:hAnsi="Times New Roman" w:cs="Times New Roman"/>
          <w:sz w:val="24"/>
          <w:szCs w:val="24"/>
        </w:rPr>
      </w:pPr>
      <w:r>
        <w:rPr>
          <w:rFonts w:ascii="Times New Roman" w:hAnsi="Times New Roman" w:cs="Times New Roman"/>
          <w:sz w:val="24"/>
          <w:szCs w:val="24"/>
        </w:rPr>
        <w:t>b) opis sprawy ze wskazaniem istotnych faktów mających znaczenie dla sprawy,</w:t>
      </w:r>
    </w:p>
    <w:p>
      <w:pPr>
        <w:pStyle w:val="ListParagraph"/>
        <w:spacing w:before="0" w:after="240" w:line="360" w:lineRule="auto"/>
        <w:ind w:left="426" w:firstLine="0"/>
        <w:contextualSpacing/>
        <w:jc w:val="both"/>
        <w:rPr>
          <w:rFonts w:ascii="Times New Roman" w:hAnsi="Times New Roman" w:cs="Times New Roman"/>
          <w:sz w:val="24"/>
          <w:szCs w:val="24"/>
        </w:rPr>
      </w:pPr>
      <w:r>
        <w:rPr>
          <w:rFonts w:ascii="Times New Roman" w:hAnsi="Times New Roman" w:cs="Times New Roman"/>
          <w:sz w:val="24"/>
          <w:szCs w:val="24"/>
        </w:rPr>
        <w:t>c) wskazanie osoby lub komórki organizacyjnej, której dotyczy zgłoszenie,</w:t>
      </w:r>
    </w:p>
    <w:p>
      <w:pPr>
        <w:pStyle w:val="ListParagraph"/>
        <w:spacing w:before="0" w:after="240" w:line="360" w:lineRule="auto"/>
        <w:ind w:left="426" w:firstLine="0"/>
        <w:contextualSpacing/>
        <w:jc w:val="both"/>
        <w:rPr>
          <w:rFonts w:ascii="Times New Roman" w:hAnsi="Times New Roman" w:cs="Times New Roman"/>
          <w:sz w:val="24"/>
          <w:szCs w:val="24"/>
        </w:rPr>
      </w:pPr>
      <w:r>
        <w:rPr>
          <w:rFonts w:ascii="Times New Roman" w:hAnsi="Times New Roman" w:cs="Times New Roman"/>
          <w:sz w:val="24"/>
          <w:szCs w:val="24"/>
        </w:rPr>
        <w:t>d) wskazanie ewentualnych świadków naruszenia prawa,</w:t>
      </w:r>
    </w:p>
    <w:p>
      <w:pPr>
        <w:pStyle w:val="ListParagraph"/>
        <w:spacing w:before="0" w:after="240" w:line="36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e) wskazanie wszystkich dowodów i informacji jakimi dysponuje Zgłaszający, które mogą być pomocne w procesie rozpatrywania zgłoszenia,</w:t>
      </w:r>
    </w:p>
    <w:p>
      <w:pPr>
        <w:pStyle w:val="ListParagraph"/>
        <w:spacing w:before="0" w:after="240" w:line="360" w:lineRule="auto"/>
        <w:ind w:left="425" w:firstLine="0"/>
        <w:contextualSpacing/>
        <w:jc w:val="both"/>
        <w:rPr>
          <w:rFonts w:ascii="Times New Roman" w:hAnsi="Times New Roman" w:cs="Times New Roman"/>
          <w:sz w:val="24"/>
          <w:szCs w:val="24"/>
        </w:rPr>
      </w:pPr>
      <w:r>
        <w:rPr>
          <w:rFonts w:ascii="Times New Roman" w:hAnsi="Times New Roman" w:cs="Times New Roman"/>
          <w:sz w:val="24"/>
          <w:szCs w:val="24"/>
        </w:rPr>
        <w:t>f) wskazanie preferowanego sposobu kontaktu ze Zgłaszającym tj. adres korespondencyjny lub adres poczty elektronicznej.</w:t>
      </w:r>
    </w:p>
    <w:p>
      <w:pPr>
        <w:pStyle w:val="ListParagraph"/>
        <w:numPr>
          <w:ilvl w:val="0"/>
          <w:numId w:val="6"/>
        </w:numPr>
        <w:spacing w:before="240"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Jeżeli w zgłoszeniu zewnętrznym nie podano adresu do kontaktu ani nie jest możliwe ustalenie tego adresu na podstawie posiadanych danych Organ publiczny nie realizuje obowiązku:</w:t>
      </w:r>
    </w:p>
    <w:p>
      <w:pPr>
        <w:spacing w:before="120" w:after="0" w:line="360" w:lineRule="auto"/>
        <w:ind w:left="425" w:firstLine="0"/>
        <w:jc w:val="both"/>
        <w:rPr>
          <w:rFonts w:ascii="Times New Roman" w:hAnsi="Times New Roman" w:cs="Times New Roman"/>
          <w:sz w:val="24"/>
          <w:szCs w:val="24"/>
        </w:rPr>
      </w:pPr>
      <w:r>
        <w:rPr>
          <w:rFonts w:ascii="Times New Roman" w:hAnsi="Times New Roman" w:cs="Times New Roman"/>
          <w:sz w:val="24"/>
          <w:szCs w:val="24"/>
        </w:rPr>
        <w:t>a) poinformowania Zgłaszającego o odstąpieniu przekazania zgłoszenia zewnętrznego,</w:t>
      </w:r>
    </w:p>
    <w:p>
      <w:pPr>
        <w:spacing w:before="0" w:after="0" w:line="360" w:lineRule="auto"/>
        <w:ind w:left="425" w:firstLine="0"/>
        <w:jc w:val="both"/>
        <w:rPr>
          <w:rFonts w:ascii="Times New Roman" w:hAnsi="Times New Roman" w:cs="Times New Roman"/>
          <w:sz w:val="24"/>
          <w:szCs w:val="24"/>
        </w:rPr>
      </w:pPr>
      <w:r>
        <w:rPr>
          <w:rFonts w:ascii="Times New Roman" w:hAnsi="Times New Roman" w:cs="Times New Roman"/>
          <w:sz w:val="24"/>
          <w:szCs w:val="24"/>
        </w:rPr>
        <w:t>b) przesłania Zgłaszającemu potwierdzenia przyjęcia zgłoszenia zewnętrznego,</w:t>
      </w:r>
    </w:p>
    <w:p>
      <w:pPr>
        <w:spacing w:before="0" w:after="0" w:line="360" w:lineRule="auto"/>
        <w:ind w:left="425" w:firstLine="0"/>
        <w:jc w:val="both"/>
        <w:rPr>
          <w:rFonts w:ascii="Times New Roman" w:hAnsi="Times New Roman" w:cs="Times New Roman"/>
          <w:sz w:val="24"/>
          <w:szCs w:val="24"/>
        </w:rPr>
      </w:pPr>
      <w:r>
        <w:rPr>
          <w:rFonts w:ascii="Times New Roman" w:hAnsi="Times New Roman" w:cs="Times New Roman"/>
          <w:sz w:val="24"/>
          <w:szCs w:val="24"/>
        </w:rPr>
        <w:t>c) wydania zaświadczenia potwierdzającego ochronę przysługującą Zgłaszającemu,</w:t>
      </w:r>
    </w:p>
    <w:p>
      <w:pPr>
        <w:spacing w:before="0" w:after="0"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d) poinformowania Zgłaszającego o niepodjęciu działań następczych, gdy w zgłoszeniu zewnętrznym dotyczącym sprawy będącej już przedmiotem wcześniejszego zgłoszenia przez tego samego lub innego Zgłaszającego nie zawarto istotnych nowych informacji na temat naruszeń prawa w porównaniu z wcześniejszym zgłoszeniem,</w:t>
      </w:r>
    </w:p>
    <w:p>
      <w:pPr>
        <w:spacing w:before="0" w:after="0" w:line="360" w:lineRule="auto"/>
        <w:ind w:left="425" w:firstLine="0"/>
        <w:jc w:val="both"/>
        <w:rPr>
          <w:rFonts w:ascii="Times New Roman" w:hAnsi="Times New Roman" w:cs="Times New Roman"/>
          <w:sz w:val="24"/>
          <w:szCs w:val="24"/>
        </w:rPr>
      </w:pPr>
      <w:r>
        <w:rPr>
          <w:rFonts w:ascii="Times New Roman" w:hAnsi="Times New Roman" w:cs="Times New Roman"/>
          <w:sz w:val="24"/>
          <w:szCs w:val="24"/>
        </w:rPr>
        <w:t>e) przes</w:t>
      </w:r>
      <w:r>
        <w:rPr>
          <w:rFonts w:ascii="Times New Roman" w:hAnsi="Times New Roman" w:cs="Times New Roman"/>
          <w:sz w:val="24"/>
          <w:szCs w:val="24"/>
        </w:rPr>
        <w:t>ł</w:t>
      </w:r>
      <w:r>
        <w:rPr>
          <w:rFonts w:ascii="Times New Roman" w:hAnsi="Times New Roman" w:cs="Times New Roman"/>
          <w:sz w:val="24"/>
          <w:szCs w:val="24"/>
        </w:rPr>
        <w:t>anie informacji zwrotnej Zgłaszającemu.</w:t>
      </w:r>
    </w:p>
    <w:p>
      <w:pPr>
        <w:spacing w:before="720" w:after="0" w:line="360" w:lineRule="auto"/>
        <w:ind w:left="425" w:firstLine="0"/>
        <w:jc w:val="center"/>
        <w:rPr>
          <w:rFonts w:ascii="Times New Roman" w:hAnsi="Times New Roman" w:cs="Times New Roman"/>
          <w:b/>
          <w:sz w:val="24"/>
          <w:szCs w:val="24"/>
        </w:rPr>
      </w:pPr>
    </w:p>
    <w:p>
      <w:pPr>
        <w:spacing w:before="720" w:after="0" w:line="360" w:lineRule="auto"/>
        <w:ind w:left="425" w:firstLine="0"/>
        <w:jc w:val="center"/>
        <w:rPr>
          <w:rFonts w:ascii="Times New Roman" w:hAnsi="Times New Roman" w:cs="Times New Roman"/>
          <w:b/>
          <w:sz w:val="24"/>
          <w:szCs w:val="24"/>
        </w:rPr>
      </w:pPr>
    </w:p>
    <w:p>
      <w:pPr>
        <w:spacing w:before="720" w:after="0" w:line="360" w:lineRule="auto"/>
        <w:ind w:left="425" w:firstLine="0"/>
        <w:jc w:val="center"/>
        <w:rPr>
          <w:rFonts w:ascii="Times New Roman" w:hAnsi="Times New Roman" w:cs="Times New Roman"/>
          <w:b/>
          <w:sz w:val="24"/>
          <w:szCs w:val="24"/>
        </w:rPr>
      </w:pPr>
      <w:r>
        <w:rPr>
          <w:rFonts w:ascii="Times New Roman" w:hAnsi="Times New Roman" w:cs="Times New Roman"/>
          <w:b/>
          <w:sz w:val="24"/>
          <w:szCs w:val="24"/>
        </w:rPr>
        <w:t>§ 6</w:t>
      </w:r>
    </w:p>
    <w:p>
      <w:pPr>
        <w:spacing w:before="0" w:after="0" w:line="360" w:lineRule="auto"/>
        <w:ind w:left="425" w:firstLine="0"/>
        <w:jc w:val="center"/>
        <w:rPr>
          <w:rFonts w:ascii="Times New Roman" w:hAnsi="Times New Roman" w:cs="Times New Roman"/>
          <w:b/>
          <w:sz w:val="24"/>
          <w:szCs w:val="24"/>
        </w:rPr>
      </w:pPr>
      <w:r>
        <w:rPr>
          <w:rFonts w:ascii="Times New Roman" w:hAnsi="Times New Roman" w:cs="Times New Roman"/>
          <w:b/>
          <w:sz w:val="24"/>
          <w:szCs w:val="24"/>
        </w:rPr>
        <w:t>PRZECHOWYWANIE , ŚRODKI BEZPIECZEŃSTWA FIZYCZNEGO W CELU</w:t>
      </w:r>
    </w:p>
    <w:p>
      <w:pPr>
        <w:spacing w:before="0" w:after="0" w:line="360" w:lineRule="auto"/>
        <w:ind w:left="425" w:firstLine="0"/>
        <w:jc w:val="center"/>
        <w:rPr>
          <w:rFonts w:ascii="Times New Roman" w:hAnsi="Times New Roman" w:cs="Times New Roman"/>
          <w:b/>
          <w:sz w:val="24"/>
          <w:szCs w:val="24"/>
        </w:rPr>
      </w:pPr>
      <w:r>
        <w:rPr>
          <w:rFonts w:ascii="Times New Roman" w:hAnsi="Times New Roman" w:cs="Times New Roman"/>
          <w:b/>
          <w:sz w:val="24"/>
          <w:szCs w:val="24"/>
        </w:rPr>
        <w:t>OCHRONY MATERIAŁÓW KOMISJI DS. NARUSZEŃ</w:t>
      </w:r>
    </w:p>
    <w:p>
      <w:pPr>
        <w:pStyle w:val="ListParagraph"/>
        <w:numPr>
          <w:ilvl w:val="0"/>
          <w:numId w:val="7"/>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Osobami odpowiedzialnymi za przechowywanie i zabezpieczenie fizyczne dokumentów </w:t>
      </w:r>
      <w:r>
        <w:rPr>
          <w:rFonts w:ascii="Times New Roman" w:hAnsi="Times New Roman" w:cs="Times New Roman"/>
          <w:b/>
          <w:sz w:val="24"/>
          <w:szCs w:val="24"/>
        </w:rPr>
        <w:t>Komisji ds. Naruszeń są poszczególni członkowie tej komisji</w:t>
      </w:r>
      <w:r>
        <w:rPr>
          <w:rFonts w:ascii="Times New Roman" w:hAnsi="Times New Roman" w:cs="Times New Roman"/>
          <w:sz w:val="24"/>
          <w:szCs w:val="24"/>
        </w:rPr>
        <w:t>.</w:t>
      </w:r>
    </w:p>
    <w:p>
      <w:pPr>
        <w:pStyle w:val="ListParagraph"/>
        <w:numPr>
          <w:ilvl w:val="0"/>
          <w:numId w:val="7"/>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Zezwala się na przechowywanie dokumentów </w:t>
      </w:r>
      <w:r>
        <w:rPr>
          <w:rFonts w:ascii="Times New Roman" w:hAnsi="Times New Roman" w:cs="Times New Roman"/>
          <w:b/>
          <w:sz w:val="24"/>
          <w:szCs w:val="24"/>
        </w:rPr>
        <w:t>Komisji ds. Naruszeń</w:t>
      </w:r>
      <w:r>
        <w:rPr>
          <w:rFonts w:ascii="Times New Roman" w:hAnsi="Times New Roman" w:cs="Times New Roman"/>
          <w:sz w:val="24"/>
          <w:szCs w:val="24"/>
        </w:rPr>
        <w:t xml:space="preserve"> razem z innymi dokumentami w przypadku, gdy ich treść łączy się bezpośrednio z określoną sprawą.</w:t>
      </w:r>
    </w:p>
    <w:p>
      <w:pPr>
        <w:pStyle w:val="ListParagraph"/>
        <w:numPr>
          <w:ilvl w:val="0"/>
          <w:numId w:val="7"/>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Dokumenty </w:t>
      </w:r>
      <w:r>
        <w:rPr>
          <w:rFonts w:ascii="Times New Roman" w:hAnsi="Times New Roman" w:cs="Times New Roman"/>
          <w:b/>
          <w:sz w:val="24"/>
          <w:szCs w:val="24"/>
        </w:rPr>
        <w:t xml:space="preserve">Komisji ds. Naruszeń w szczególnych przypadkach mogą być </w:t>
      </w:r>
      <w:r>
        <w:rPr>
          <w:rFonts w:ascii="Times New Roman" w:hAnsi="Times New Roman" w:cs="Times New Roman"/>
          <w:sz w:val="24"/>
          <w:szCs w:val="24"/>
        </w:rPr>
        <w:t>przechowane w pomieszczeniach służbowych członków Komisji, w sposób uniemożliwiający do nich dostępu lub ich zabór przez osoby postronne, poprzez umieszczenie ich w zamykanych meblach biurowych lub szafie metalowej, zwanych dalej Szafą.</w:t>
      </w:r>
    </w:p>
    <w:p>
      <w:pPr>
        <w:pStyle w:val="ListParagraph"/>
        <w:numPr>
          <w:ilvl w:val="0"/>
          <w:numId w:val="7"/>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Członek </w:t>
      </w:r>
      <w:r>
        <w:rPr>
          <w:rFonts w:ascii="Times New Roman" w:hAnsi="Times New Roman" w:cs="Times New Roman"/>
          <w:b/>
          <w:sz w:val="24"/>
          <w:szCs w:val="24"/>
        </w:rPr>
        <w:t>Komisji ds. Naruszeń</w:t>
      </w:r>
      <w:r>
        <w:rPr>
          <w:rFonts w:ascii="Times New Roman" w:hAnsi="Times New Roman" w:cs="Times New Roman"/>
          <w:sz w:val="24"/>
          <w:szCs w:val="24"/>
        </w:rPr>
        <w:t xml:space="preserve"> odpowiada za właściwe zabezpieczenie posiadanych u siebie dokumentów. Każdego dnia, po zakończeniu pracy, członek Komisji ds. Naruszeń ma obowiązek zabezpieczenia posiadanych dokumentów (w tym innych niż dokument – materiałów).</w:t>
      </w:r>
    </w:p>
    <w:p>
      <w:pPr>
        <w:pStyle w:val="ListParagraph"/>
        <w:numPr>
          <w:ilvl w:val="0"/>
          <w:numId w:val="7"/>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Zabrania się pozostawiania na biurkach, po zakończeniu pracy, jakichkolwiek dokumentów Komisji ds. Naruszeń. Obowiązuje zasada tzw. „czystego biurka”. Po zakończeniu pracy pomieszczenie służbowe, w których są przechowywane dokumenty </w:t>
      </w:r>
      <w:r>
        <w:rPr>
          <w:rFonts w:ascii="Times New Roman" w:hAnsi="Times New Roman" w:cs="Times New Roman"/>
          <w:b/>
          <w:sz w:val="24"/>
          <w:szCs w:val="24"/>
        </w:rPr>
        <w:t>Komisji ds. Naruszeń musi pozostać zabezpieczone /zamknięte</w:t>
      </w:r>
      <w:r>
        <w:rPr>
          <w:rFonts w:ascii="Times New Roman" w:hAnsi="Times New Roman" w:cs="Times New Roman"/>
          <w:sz w:val="24"/>
          <w:szCs w:val="24"/>
        </w:rPr>
        <w:t>, chyba, że stanowi ono miejsce pracy członka ww. komisji.</w:t>
      </w:r>
    </w:p>
    <w:p>
      <w:pPr>
        <w:pStyle w:val="ListParagraph"/>
        <w:numPr>
          <w:ilvl w:val="0"/>
          <w:numId w:val="7"/>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Zabrania się:</w:t>
      </w:r>
    </w:p>
    <w:p>
      <w:pPr>
        <w:pStyle w:val="ListParagraph"/>
        <w:spacing w:before="240" w:after="0" w:line="360" w:lineRule="auto"/>
        <w:ind w:left="426" w:hanging="11"/>
        <w:contextualSpacing/>
        <w:jc w:val="both"/>
        <w:rPr>
          <w:rFonts w:ascii="Times New Roman" w:hAnsi="Times New Roman" w:cs="Times New Roman"/>
          <w:sz w:val="24"/>
          <w:szCs w:val="24"/>
        </w:rPr>
      </w:pPr>
      <w:r>
        <w:rPr>
          <w:rFonts w:ascii="Times New Roman" w:hAnsi="Times New Roman" w:cs="Times New Roman"/>
          <w:sz w:val="24"/>
          <w:szCs w:val="24"/>
        </w:rPr>
        <w:t xml:space="preserve">a) pozostawiać dokumenty </w:t>
      </w:r>
      <w:r>
        <w:rPr>
          <w:rFonts w:ascii="Times New Roman" w:hAnsi="Times New Roman" w:cs="Times New Roman"/>
          <w:b/>
          <w:sz w:val="24"/>
          <w:szCs w:val="24"/>
        </w:rPr>
        <w:t>Komisji ds. Naruszeń</w:t>
      </w:r>
      <w:r>
        <w:rPr>
          <w:rFonts w:ascii="Times New Roman" w:hAnsi="Times New Roman" w:cs="Times New Roman"/>
          <w:sz w:val="24"/>
          <w:szCs w:val="24"/>
        </w:rPr>
        <w:t xml:space="preserve"> bez nadzoru,</w:t>
      </w:r>
    </w:p>
    <w:p>
      <w:pPr>
        <w:pStyle w:val="ListParagraph"/>
        <w:spacing w:before="240" w:after="0" w:line="360" w:lineRule="auto"/>
        <w:ind w:left="709" w:hanging="283"/>
        <w:contextualSpacing/>
        <w:rPr>
          <w:rFonts w:ascii="Times New Roman" w:hAnsi="Times New Roman" w:cs="Times New Roman"/>
          <w:sz w:val="24"/>
          <w:szCs w:val="24"/>
        </w:rPr>
      </w:pPr>
      <w:r>
        <w:rPr>
          <w:rFonts w:ascii="Times New Roman" w:hAnsi="Times New Roman" w:cs="Times New Roman"/>
          <w:sz w:val="24"/>
          <w:szCs w:val="24"/>
        </w:rPr>
        <w:t xml:space="preserve">b) przekazywać dokumenty </w:t>
      </w:r>
      <w:r>
        <w:rPr>
          <w:rFonts w:ascii="Times New Roman" w:hAnsi="Times New Roman" w:cs="Times New Roman"/>
          <w:b/>
          <w:sz w:val="24"/>
          <w:szCs w:val="24"/>
        </w:rPr>
        <w:t>Komisji ds. Naruszeń</w:t>
      </w:r>
      <w:r>
        <w:rPr>
          <w:rFonts w:ascii="Times New Roman" w:hAnsi="Times New Roman" w:cs="Times New Roman"/>
          <w:sz w:val="24"/>
          <w:szCs w:val="24"/>
        </w:rPr>
        <w:t xml:space="preserve"> osobom postronnym i nieuprawnionym,</w:t>
      </w:r>
    </w:p>
    <w:p>
      <w:pPr>
        <w:pStyle w:val="ListParagraph"/>
        <w:spacing w:before="240" w:after="0" w:line="36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c) wynosić dokumenty </w:t>
      </w:r>
      <w:r>
        <w:rPr>
          <w:rFonts w:ascii="Times New Roman" w:hAnsi="Times New Roman" w:cs="Times New Roman"/>
          <w:b/>
          <w:sz w:val="24"/>
          <w:szCs w:val="24"/>
        </w:rPr>
        <w:t>Komisji ds. Naruszeń</w:t>
      </w:r>
      <w:r>
        <w:rPr>
          <w:rFonts w:ascii="Times New Roman" w:hAnsi="Times New Roman" w:cs="Times New Roman"/>
          <w:sz w:val="24"/>
          <w:szCs w:val="24"/>
        </w:rPr>
        <w:t xml:space="preserve"> poza siedzibę Łódzkiego Urzędu Wojewódzkiego w Łodzi – chyba, że jest to niezbędne z perspektywy prowadzenia postępowania wyjaśniającego lub wynika z wdrożonych działań następczych (wówczas dokumenty powinny być odpowiednio zabezpieczone i chronione).</w:t>
      </w:r>
    </w:p>
    <w:p>
      <w:pPr>
        <w:pStyle w:val="ListParagraph"/>
        <w:numPr>
          <w:ilvl w:val="0"/>
          <w:numId w:val="7"/>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Szafę, w której przechowywane są dokumenty </w:t>
      </w:r>
      <w:r>
        <w:rPr>
          <w:rFonts w:ascii="Times New Roman" w:hAnsi="Times New Roman" w:cs="Times New Roman"/>
          <w:b/>
          <w:sz w:val="24"/>
          <w:szCs w:val="24"/>
        </w:rPr>
        <w:t>Komisji ds. Naruszeń</w:t>
      </w:r>
      <w:r>
        <w:rPr>
          <w:rFonts w:ascii="Times New Roman" w:hAnsi="Times New Roman" w:cs="Times New Roman"/>
          <w:sz w:val="24"/>
          <w:szCs w:val="24"/>
        </w:rPr>
        <w:t xml:space="preserve"> mogą otworzyć wyłącznie członkowie komisji – co najmniej dwie osoby będące jednocześnie w pomieszczeniu.</w:t>
      </w:r>
    </w:p>
    <w:p>
      <w:pPr>
        <w:spacing w:before="0" w:after="0" w:line="240" w:lineRule="auto"/>
        <w:rPr>
          <w:rFonts w:ascii="Times New Roman" w:hAnsi="Times New Roman" w:cs="Times New Roman"/>
          <w:b/>
          <w:sz w:val="24"/>
          <w:szCs w:val="24"/>
        </w:rPr>
      </w:pPr>
      <w:r>
        <w:br w:type="page"/>
      </w:r>
    </w:p>
    <w:p>
      <w:pPr>
        <w:pStyle w:val="ListParagraph"/>
        <w:spacing w:before="720"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7</w:t>
      </w:r>
    </w:p>
    <w:p>
      <w:pPr>
        <w:pStyle w:val="ListParagraph"/>
        <w:spacing w:before="0"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DZIAŁANIA NASTĘPCZE</w:t>
      </w:r>
    </w:p>
    <w:p>
      <w:pPr>
        <w:pStyle w:val="ListParagraph"/>
        <w:numPr>
          <w:ilvl w:val="0"/>
          <w:numId w:val="8"/>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Organ publiczny w pierwszej kolejności:</w:t>
      </w:r>
    </w:p>
    <w:p>
      <w:pPr>
        <w:pStyle w:val="ListParagraph"/>
        <w:numPr>
          <w:ilvl w:val="1"/>
          <w:numId w:val="8"/>
        </w:numPr>
        <w:spacing w:before="0" w:after="0" w:line="36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przyjmuje zgłoszenie zewnętrzne;</w:t>
      </w:r>
    </w:p>
    <w:p>
      <w:pPr>
        <w:pStyle w:val="ListParagraph"/>
        <w:numPr>
          <w:ilvl w:val="1"/>
          <w:numId w:val="8"/>
        </w:numPr>
        <w:spacing w:before="0" w:after="0" w:line="36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przesyła Sygnaliście niezwłocznie, nie później jednak niż w terminie 7 dni od dnia przyjęcia zgłoszenia, potwierdzenie jego przyjęcia, chyba że Sygnalista wystąpił wyraźnie z odmiennym wnioskiem w tym zakresie lub organ publiczny ma uzasadnione podstawy sądzić, że potwierdzenie przyjęcia zgłoszenia zagroziłoby ochronie poufności tożsamości Sygnalisty;</w:t>
      </w:r>
    </w:p>
    <w:p>
      <w:pPr>
        <w:pStyle w:val="ListParagraph"/>
        <w:numPr>
          <w:ilvl w:val="1"/>
          <w:numId w:val="8"/>
        </w:numPr>
        <w:spacing w:before="0" w:after="0" w:line="36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dokonuje wstępnej weryfikacji zgłoszenia zewnętrznego, polegającej na ustaleniu, czy zgłoszenie dotyczy naruszeń prawa w dziedzinie należącej do zakresu działania tego organu, a jeżeli nie należy – na ustaleniu organu publicznego właściwego do podjęcia działań następczych;</w:t>
      </w:r>
    </w:p>
    <w:p>
      <w:pPr>
        <w:pStyle w:val="ListParagraph"/>
        <w:numPr>
          <w:ilvl w:val="1"/>
          <w:numId w:val="8"/>
        </w:numPr>
        <w:spacing w:before="0" w:after="0" w:line="36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przekazuje zgłoszenie zewnętrzne niezwłocznie, nie później jednak niż w terminie 14 dni od dnia dokonania zgłoszenia, a w uzasadnionych przypadkach – nie później w terminie 30 dni, do organu publicznego właściwego do podjęcia działań następczych – w przypadku gdy zgłoszenie dotyczy naruszeń prawa nienależącej do zakresu działania tego organu – oraz informuje o tym sygnalistę.</w:t>
      </w:r>
    </w:p>
    <w:p>
      <w:pPr>
        <w:pStyle w:val="ListParagraph"/>
        <w:numPr>
          <w:ilvl w:val="0"/>
          <w:numId w:val="8"/>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Organ publiczny w</w:t>
      </w:r>
      <w:bookmarkStart w:id="0" w:name="_GoBack"/>
      <w:bookmarkEnd w:id="0"/>
      <w:r>
        <w:rPr>
          <w:rFonts w:ascii="Times New Roman" w:hAnsi="Times New Roman" w:cs="Times New Roman"/>
          <w:sz w:val="24"/>
          <w:szCs w:val="24"/>
        </w:rPr>
        <w:t xml:space="preserve"> przypadku gdy zgłoszenie dotyczy naruszeń prawa w dziedzinie należącej do zakresu działania tego organu:</w:t>
      </w:r>
    </w:p>
    <w:p>
      <w:pPr>
        <w:pStyle w:val="ListParagraph"/>
        <w:numPr>
          <w:ilvl w:val="0"/>
          <w:numId w:val="9"/>
        </w:numPr>
        <w:spacing w:before="0" w:after="0" w:line="36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rozpatruje zgłoszenie zewnętrzne i przeprowadza postępowanie wyjaśniające. Postępowanie wyjaśniające trwa nie dłużej niż 30 dni od dnia otrzymania zgłoszenia zewnętrznego, a w sprawach szczególnie skomplikowanych, termin ten może ulec przedłużeniu o kolejne 30 dni. W trakcie postępowania osoby upoważnione podejmują działania z zachowaniem należytej staranności;</w:t>
      </w:r>
    </w:p>
    <w:p>
      <w:pPr>
        <w:pStyle w:val="ListParagraph"/>
        <w:numPr>
          <w:ilvl w:val="0"/>
          <w:numId w:val="9"/>
        </w:numPr>
        <w:spacing w:before="0" w:after="0" w:line="36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występuje do Sygnalisty o wyjaśnienia lub dodatkowe informacje dotyczące zgłoszenia (jeżeli jest organem właściwym, a wystąpiła taka potrzeba);</w:t>
      </w:r>
    </w:p>
    <w:p>
      <w:pPr>
        <w:pStyle w:val="ListParagraph"/>
        <w:numPr>
          <w:ilvl w:val="0"/>
          <w:numId w:val="9"/>
        </w:numPr>
        <w:spacing w:before="0" w:after="0" w:line="36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przekazuje Sygnaliście informację zwrotną;</w:t>
      </w:r>
    </w:p>
    <w:p>
      <w:pPr>
        <w:pStyle w:val="ListParagraph"/>
        <w:numPr>
          <w:ilvl w:val="0"/>
          <w:numId w:val="9"/>
        </w:numPr>
        <w:spacing w:before="0" w:after="0" w:line="360" w:lineRule="auto"/>
        <w:ind w:left="851" w:hanging="425"/>
        <w:contextualSpacing/>
        <w:jc w:val="both"/>
      </w:pPr>
      <w:r>
        <w:rPr>
          <w:rFonts w:ascii="Times New Roman" w:hAnsi="Times New Roman" w:cs="Times New Roman"/>
          <w:sz w:val="24"/>
          <w:szCs w:val="24"/>
        </w:rPr>
        <w:t>na żądanie Sygnalisty przekazuje mu zaświadczenie potwierdzające przysługującą mu ochronę nie później niż w terminie miesiąca od dnia otrzymania żądania ;</w:t>
      </w:r>
    </w:p>
    <w:p>
      <w:pPr>
        <w:pStyle w:val="ListParagraph"/>
        <w:numPr>
          <w:ilvl w:val="0"/>
          <w:numId w:val="9"/>
        </w:numPr>
        <w:spacing w:before="0" w:after="0" w:line="36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informuje Sygnalistę o ostatecznym wyniku postępowania wyjaśniającego, wszczętego na skutek zgłoszenia zewnętrznego.</w:t>
      </w:r>
    </w:p>
    <w:p>
      <w:pPr>
        <w:pStyle w:val="ListParagraph"/>
        <w:numPr>
          <w:ilvl w:val="0"/>
          <w:numId w:val="8"/>
        </w:numPr>
        <w:spacing w:before="240" w:after="0" w:line="360" w:lineRule="auto"/>
        <w:ind w:left="426" w:hanging="426"/>
        <w:contextualSpacing/>
        <w:jc w:val="both"/>
      </w:pPr>
      <w:r>
        <w:rPr>
          <w:rFonts w:ascii="Times New Roman" w:hAnsi="Times New Roman" w:cs="Times New Roman"/>
          <w:sz w:val="24"/>
          <w:szCs w:val="24"/>
        </w:rPr>
        <w:t>Prośbę do Sygnalisty o wyjaśnienia lub dodatkowe informacje dotyczące zgłoszenia, o którym mowa w ust. 2 pkt 2) organ publiczny wystosuje na piśmie. Sygnalista winien udzielić informacji w terminie 7 dni licząc od daty otrzymania pisma. Jeżeli Sygnalista sprzeciwia się przesłaniu żądanych wyjaśnień lub dodatkowych informacji lub ich przesłanie może zagrozić ochronie poufności jego tożsamości, Organ publiczny odstępuje od żądania wyjaśnień lub dodatkowych informacji.</w:t>
      </w:r>
    </w:p>
    <w:p>
      <w:pPr>
        <w:pStyle w:val="ListParagraph"/>
        <w:numPr>
          <w:ilvl w:val="0"/>
          <w:numId w:val="8"/>
        </w:numPr>
        <w:spacing w:before="240" w:after="0" w:line="360" w:lineRule="auto"/>
        <w:ind w:left="426" w:hanging="426"/>
        <w:contextualSpacing/>
        <w:jc w:val="both"/>
      </w:pPr>
      <w:r>
        <w:rPr>
          <w:rFonts w:ascii="Times New Roman" w:hAnsi="Times New Roman" w:cs="Times New Roman"/>
          <w:sz w:val="24"/>
          <w:szCs w:val="24"/>
        </w:rPr>
        <w:t>Informacja zwrotna, o której mowa w ust. 2 pkt 3) zawierać będzie informację na temat planowanych lub podjętych działań. Organ przekaże informację zwrotną na piśmie w terminie nieprzekraczającym 3 miesięcy od dnia przyjęcia zgłoszenia zewnętrznego, a w uzasadnionych przypadkach, po wcześniejszym poinformowaniu Sygnalisty w terminie nieprzekraczalnym 6 miesięcy od dnia przyjęcia zgłoszenia zewnętrznego.</w:t>
      </w:r>
    </w:p>
    <w:p>
      <w:pPr>
        <w:pStyle w:val="ListParagraph"/>
        <w:numPr>
          <w:ilvl w:val="0"/>
          <w:numId w:val="8"/>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Zgłoszenie zewnętrzne naruszeń prawa są weryfikowane przez upoważnione osoby w zakresie wiarygodności zgłoszenia oraz odpowiedzialności za jego rozpatrzenie zgodnie z niniejszą procedurą i przepisami prawa.</w:t>
      </w:r>
    </w:p>
    <w:p>
      <w:pPr>
        <w:pStyle w:val="ListParagraph"/>
        <w:numPr>
          <w:ilvl w:val="0"/>
          <w:numId w:val="8"/>
        </w:numPr>
        <w:spacing w:before="240" w:after="0" w:line="360" w:lineRule="auto"/>
        <w:ind w:left="426" w:hanging="426"/>
        <w:contextualSpacing/>
        <w:jc w:val="both"/>
      </w:pPr>
      <w:r>
        <w:rPr>
          <w:rFonts w:ascii="Times New Roman" w:hAnsi="Times New Roman" w:cs="Times New Roman"/>
          <w:sz w:val="24"/>
          <w:szCs w:val="24"/>
        </w:rPr>
        <w:t xml:space="preserve">Jeżeli po przeprowadzeniu przez Organ publiczny postępowania wyjaśniającego zgłoszenie zostanie uznane za uzasadnione i dotyczy naruszenia prawa ( w dziedzinie należącej do zakresu działania Organu publicznego), podejmie on dalsze czynności mające na celu naprawienie naruszenia prawa, w szczególności wszczyna postępowanie administracyjne, wnosi oskarżenia, podejmuje działania w celu odzyskania środków finansowych lub zamyka procedurę przyjmowania zgłoszeń zewnętrznych i podejmowania działań następczych. </w:t>
      </w:r>
    </w:p>
    <w:p>
      <w:pPr>
        <w:pStyle w:val="ListParagraph"/>
        <w:numPr>
          <w:ilvl w:val="0"/>
          <w:numId w:val="8"/>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Organ publiczny może nie podjąć działań następczych w przypadku, gdy Sygnalista w zgłoszeniu, dotyczącym sprawy będącej już przedmiotem wcześniejszego zgłoszenia lub zgłoszenia od innego Sygnalisty, nie zawarto istotnych nowych informacji na temat naruszenia prawa w porównaniu z wcześniejszym zgłoszeniem tego naruszenia. Organ publiczny poinformuje Sygnalistę o odstąpieniu, a w razie kolejnego zgłoszenia pozostawi je bez rozpoznania oraz informacji zwrotnej.</w:t>
      </w:r>
    </w:p>
    <w:p>
      <w:pPr>
        <w:pStyle w:val="ListParagraph"/>
        <w:spacing w:before="720" w:after="0" w:line="360" w:lineRule="auto"/>
        <w:ind w:left="714" w:firstLine="0"/>
        <w:contextualSpacing/>
        <w:jc w:val="center"/>
        <w:rPr>
          <w:rFonts w:ascii="Times New Roman" w:hAnsi="Times New Roman" w:cs="Times New Roman"/>
          <w:b/>
          <w:sz w:val="24"/>
          <w:szCs w:val="24"/>
        </w:rPr>
      </w:pPr>
    </w:p>
    <w:p>
      <w:pPr>
        <w:pStyle w:val="ListParagraph"/>
        <w:spacing w:before="720" w:after="0" w:line="360" w:lineRule="auto"/>
        <w:ind w:left="714" w:firstLine="0"/>
        <w:contextualSpacing/>
        <w:jc w:val="center"/>
        <w:rPr>
          <w:rFonts w:ascii="Times New Roman" w:hAnsi="Times New Roman" w:cs="Times New Roman"/>
          <w:b/>
          <w:sz w:val="24"/>
          <w:szCs w:val="24"/>
        </w:rPr>
      </w:pPr>
      <w:r>
        <w:rPr>
          <w:rFonts w:ascii="Times New Roman" w:hAnsi="Times New Roman" w:cs="Times New Roman"/>
          <w:b/>
          <w:sz w:val="24"/>
          <w:szCs w:val="24"/>
        </w:rPr>
        <w:t>§ 8</w:t>
      </w:r>
    </w:p>
    <w:p>
      <w:pPr>
        <w:pStyle w:val="ListParagraph"/>
        <w:spacing w:before="0" w:after="0" w:line="360" w:lineRule="auto"/>
        <w:ind w:left="714" w:firstLine="0"/>
        <w:contextualSpacing/>
        <w:jc w:val="center"/>
      </w:pPr>
      <w:r>
        <w:rPr>
          <w:rFonts w:ascii="Times New Roman" w:hAnsi="Times New Roman" w:cs="Times New Roman"/>
          <w:b/>
          <w:sz w:val="24"/>
          <w:szCs w:val="24"/>
        </w:rPr>
        <w:t>REJESTR ZGŁOSZEŃ ZEWNĘTRZNYCH</w:t>
      </w:r>
    </w:p>
    <w:p>
      <w:pPr>
        <w:pStyle w:val="ListParagraph"/>
        <w:numPr>
          <w:ilvl w:val="0"/>
          <w:numId w:val="10"/>
        </w:numPr>
        <w:spacing w:before="240"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Zgłoszenia zewnętrzne są odnotowywane w tzw. „Rejestrze Zgłoszeń Zewnętrznych”. </w:t>
      </w:r>
    </w:p>
    <w:p>
      <w:pPr>
        <w:pStyle w:val="ListParagraph"/>
        <w:numPr>
          <w:ilvl w:val="0"/>
          <w:numId w:val="10"/>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Za prowadzenie „Rejestru Zgłoszeń Zewnętrznych” odpowiada wyznaczony przez przewodniczącego Komisji ds. Naruszeń w formie papierowej – członek tej komisji.</w:t>
      </w:r>
    </w:p>
    <w:p>
      <w:pPr>
        <w:pStyle w:val="ListParagraph"/>
        <w:numPr>
          <w:ilvl w:val="0"/>
          <w:numId w:val="10"/>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Rejestr Zgłoszeń Zewnętrznych” prowadzony jest z zachowaniem zasady poufności, a dokumenty i informacje zebrane w toku analizy oraz informacji dotyczących rozpatrzenia zgłoszenia przechowywane są przez okres co najmniej 5 lat od czasu zakończenia postępowania wyjaśniającego.</w:t>
      </w:r>
    </w:p>
    <w:p>
      <w:pPr>
        <w:pStyle w:val="ListParagraph"/>
        <w:numPr>
          <w:ilvl w:val="0"/>
          <w:numId w:val="10"/>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Rejestr Zgłoszeń Zewnętrznych” zawiera:</w:t>
      </w:r>
    </w:p>
    <w:p>
      <w:pPr>
        <w:pStyle w:val="ListParagraph"/>
        <w:spacing w:before="240" w:after="0" w:line="36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1)</w:t>
        <w:tab/>
        <w:t>numer zgłoszenia;</w:t>
      </w:r>
    </w:p>
    <w:p>
      <w:pPr>
        <w:pStyle w:val="ListParagraph"/>
        <w:spacing w:before="240" w:after="0" w:line="36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2)</w:t>
        <w:tab/>
        <w:t>przedmiot naruszenia prawa;</w:t>
      </w:r>
    </w:p>
    <w:p>
      <w:pPr>
        <w:pStyle w:val="ListParagraph"/>
        <w:spacing w:before="240" w:after="0" w:line="36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3)</w:t>
        <w:tab/>
        <w:t>dane osobowe sygnalisty oraz osoby, której dotyczy zgłoszenie, niezbędne do identyfikacji tych osób;</w:t>
      </w:r>
    </w:p>
    <w:p>
      <w:pPr>
        <w:pStyle w:val="ListParagraph"/>
        <w:spacing w:before="240" w:after="0" w:line="36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4)</w:t>
        <w:tab/>
        <w:t>datę dokonania zgłoszenia;</w:t>
      </w:r>
    </w:p>
    <w:p>
      <w:pPr>
        <w:pStyle w:val="ListParagraph"/>
        <w:spacing w:before="240" w:after="0" w:line="36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5)</w:t>
        <w:tab/>
        <w:t>informację o podjętych działaniach następczych;</w:t>
      </w:r>
    </w:p>
    <w:p>
      <w:pPr>
        <w:pStyle w:val="ListParagraph"/>
        <w:spacing w:before="240" w:after="0" w:line="36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6)</w:t>
        <w:tab/>
        <w:t>informację o wydaniu zaświadczenia, o którym mowa w art. 38;</w:t>
      </w:r>
    </w:p>
    <w:p>
      <w:pPr>
        <w:pStyle w:val="ListParagraph"/>
        <w:spacing w:before="240" w:after="0" w:line="36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7)</w:t>
        <w:tab/>
        <w:t>datę zakończenia sprawy;</w:t>
      </w:r>
    </w:p>
    <w:p>
      <w:pPr>
        <w:pStyle w:val="ListParagraph"/>
        <w:spacing w:before="240" w:after="0" w:line="36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8)</w:t>
        <w:tab/>
        <w:t xml:space="preserve">informacje o niepodejmowaniu dalszych działań w przypadku, gdy sprawa jest już przedmiotem wcześniejszego zgłoszenia zewnętrznego albo przez tego samego lub innego sygnalistę nie zawarto istotnych nowych informacji na temat naruszeń prawa w porównaniu z wcześniejszym zgłoszeniem zewnętrznym. Organ publiczny informuje sygnalistę o niepodjęciu działań następczych, podając uzasadnienie, a w razie kolejnego zgłoszenia - pozostawia je bez rozpoznania i nie informuje o tym sygnalisty. </w:t>
      </w:r>
    </w:p>
    <w:p>
      <w:pPr>
        <w:pStyle w:val="ListParagraph"/>
        <w:spacing w:before="240" w:after="0" w:line="36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9)</w:t>
        <w:tab/>
        <w:t>szacunkową szkodę majątkową, jeżeli została stwierdzona, oraz kwoty odzyskane w wyniku postępowań dotyczących naruszeń prawa będących przedmiotem zgłoszenia - o ile organ publiczny posiada te dane.</w:t>
      </w:r>
    </w:p>
    <w:p>
      <w:pPr>
        <w:pStyle w:val="ListParagraph"/>
        <w:numPr>
          <w:ilvl w:val="0"/>
          <w:numId w:val="10"/>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Dostęp do „Rejestru Zgłoszeń Wewnętrznych” przysługuje wyłącznie:</w:t>
      </w:r>
    </w:p>
    <w:p>
      <w:pPr>
        <w:pStyle w:val="ListParagraph"/>
        <w:spacing w:before="240" w:after="0" w:line="360" w:lineRule="auto"/>
        <w:ind w:left="426" w:firstLine="0"/>
        <w:contextualSpacing/>
        <w:jc w:val="both"/>
        <w:rPr>
          <w:rFonts w:ascii="Times New Roman" w:hAnsi="Times New Roman" w:cs="Times New Roman"/>
          <w:sz w:val="24"/>
          <w:szCs w:val="24"/>
        </w:rPr>
      </w:pPr>
      <w:r>
        <w:rPr>
          <w:rFonts w:ascii="Times New Roman" w:hAnsi="Times New Roman" w:cs="Times New Roman"/>
          <w:sz w:val="24"/>
          <w:szCs w:val="24"/>
        </w:rPr>
        <w:t>a) członkom Komisji ds. Naruszeń,</w:t>
      </w:r>
    </w:p>
    <w:p>
      <w:pPr>
        <w:pStyle w:val="ListParagraph"/>
        <w:spacing w:before="240" w:after="0" w:line="36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b) innym zobowiązanym do zachowania poufności pracownikom służbowo zaangażowanym w proces merytorycznego wyjaśniania spraw z zakresu naruszeń – ale wyłącznie w zakresie spraw, w których brali udział,</w:t>
      </w:r>
    </w:p>
    <w:p>
      <w:pPr>
        <w:pStyle w:val="ListParagraph"/>
        <w:spacing w:before="240" w:after="0" w:line="360" w:lineRule="auto"/>
        <w:ind w:left="709" w:hanging="283"/>
        <w:contextualSpacing/>
        <w:jc w:val="both"/>
      </w:pPr>
      <w:r>
        <w:rPr>
          <w:rFonts w:ascii="Times New Roman" w:hAnsi="Times New Roman" w:cs="Times New Roman"/>
          <w:sz w:val="24"/>
          <w:szCs w:val="24"/>
        </w:rPr>
        <w:t>c) organom ścigania, w związku z przeprowadzanymi czynnościami wynikającymi z przepisów prawa powszechnie obowiązującego.</w:t>
      </w:r>
    </w:p>
    <w:p>
      <w:pPr>
        <w:pStyle w:val="ListParagraph"/>
        <w:numPr>
          <w:ilvl w:val="0"/>
          <w:numId w:val="10"/>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Dane osobowe oraz pozostałe informacje zawarte w rejestrze zgłoszeń zewnętrznych są przechowywane przez okres 3 lat po zakończeniu roku kalendarzowego, w którym zakończono działania następcze lub po zakończeniu postępowań zainicjowanych tymi działaniami. </w:t>
      </w:r>
    </w:p>
    <w:p>
      <w:pPr>
        <w:pStyle w:val="ListParagraph"/>
        <w:numPr>
          <w:ilvl w:val="0"/>
          <w:numId w:val="10"/>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Łódzki Urząd Wojewódzki w Łodzi za każdy rok kalendarzowy sporządza sprawozdanie zawierające dane statystyczne dotyczące zgłoszeń zewnętrznych, obejmujące:</w:t>
      </w:r>
    </w:p>
    <w:p>
      <w:pPr>
        <w:pStyle w:val="ListParagraph"/>
        <w:spacing w:before="240" w:after="0" w:line="36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1)</w:t>
        <w:tab/>
        <w:t>liczbę przyjętych zgłoszeń zewnętrznych;</w:t>
      </w:r>
    </w:p>
    <w:p>
      <w:pPr>
        <w:pStyle w:val="ListParagraph"/>
        <w:spacing w:before="240" w:after="0" w:line="36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2)</w:t>
        <w:tab/>
        <w:t>liczbę postępowań wyjaśniających i postępowań wszczętych w wyniku przyjętych zgłoszeń zewnętrznych oraz informacje na temat wyniku tych postępowań;</w:t>
      </w:r>
    </w:p>
    <w:p>
      <w:pPr>
        <w:pStyle w:val="ListParagraph"/>
        <w:spacing w:before="240" w:after="0" w:line="36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3)</w:t>
        <w:tab/>
        <w:t>szacunkową szkodę majątkową, jeżeli została stwierdzona, oraz kwoty odzyskane w wyniku postępowań dotyczących naruszeń prawa będących przedmiotem zgłoszenia zewnętrznego - o ile organ publiczny posiada te dane.</w:t>
      </w:r>
    </w:p>
    <w:p>
      <w:pPr>
        <w:pStyle w:val="ListParagraph"/>
        <w:numPr>
          <w:ilvl w:val="0"/>
          <w:numId w:val="10"/>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Dane statystyczne, o których mowa w ust. 1, nie obejmują danych osobowych ani informacji stanowiących tajemnicę przedsiębiorstwa.</w:t>
      </w:r>
    </w:p>
    <w:p>
      <w:pPr>
        <w:pStyle w:val="ListParagraph"/>
        <w:numPr>
          <w:ilvl w:val="0"/>
          <w:numId w:val="10"/>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Sprawozdanie, o którym mowa w ust. 7, organ publiczny przekazuje Rzecznikowi Praw Obywatelskich w terminie do dnia 31 marca roku następującego po roku, za jaki sprawozdanie jest sporządzane.</w:t>
      </w:r>
    </w:p>
    <w:p>
      <w:pPr>
        <w:pStyle w:val="ListParagraph"/>
        <w:spacing w:before="720" w:after="0" w:line="360" w:lineRule="auto"/>
        <w:ind w:left="992" w:hanging="272"/>
        <w:contextualSpacing/>
        <w:jc w:val="center"/>
        <w:rPr>
          <w:rFonts w:ascii="Times New Roman" w:hAnsi="Times New Roman" w:cs="Times New Roman"/>
          <w:b/>
          <w:sz w:val="24"/>
          <w:szCs w:val="24"/>
        </w:rPr>
      </w:pPr>
      <w:r>
        <w:rPr>
          <w:rFonts w:ascii="Times New Roman" w:hAnsi="Times New Roman" w:cs="Times New Roman"/>
          <w:b/>
          <w:sz w:val="24"/>
          <w:szCs w:val="24"/>
        </w:rPr>
        <w:t>§ 9</w:t>
      </w:r>
    </w:p>
    <w:p>
      <w:pPr>
        <w:pStyle w:val="ListParagraph"/>
        <w:spacing w:before="0" w:after="0" w:line="360" w:lineRule="auto"/>
        <w:ind w:left="992" w:hanging="272"/>
        <w:contextualSpacing/>
        <w:jc w:val="center"/>
        <w:rPr>
          <w:rFonts w:ascii="Times New Roman" w:hAnsi="Times New Roman" w:cs="Times New Roman"/>
          <w:b/>
          <w:sz w:val="24"/>
          <w:szCs w:val="24"/>
        </w:rPr>
      </w:pPr>
      <w:r>
        <w:rPr>
          <w:rFonts w:ascii="Times New Roman" w:hAnsi="Times New Roman" w:cs="Times New Roman"/>
          <w:b/>
          <w:sz w:val="24"/>
          <w:szCs w:val="24"/>
        </w:rPr>
        <w:t>ZGŁOSZENIA ANONIMOWE</w:t>
      </w:r>
    </w:p>
    <w:p>
      <w:pPr>
        <w:pStyle w:val="ListParagraph"/>
        <w:numPr>
          <w:ilvl w:val="3"/>
          <w:numId w:val="10"/>
        </w:numPr>
        <w:spacing w:before="0" w:after="0" w:line="360" w:lineRule="auto"/>
        <w:ind w:left="426" w:hanging="360"/>
        <w:contextualSpacing/>
        <w:jc w:val="both"/>
      </w:pPr>
      <w:r>
        <w:rPr>
          <w:rFonts w:ascii="Times New Roman" w:hAnsi="Times New Roman" w:cs="Times New Roman"/>
          <w:sz w:val="24"/>
          <w:szCs w:val="24"/>
        </w:rPr>
        <w:t>Organ publiczny nie przewiduje możliwości przyjmowania anonimowych zgłoszeń zewnętrznych.</w:t>
      </w:r>
    </w:p>
    <w:p>
      <w:pPr>
        <w:pStyle w:val="ListParagraph"/>
        <w:spacing w:before="720" w:after="0" w:line="360" w:lineRule="auto"/>
        <w:ind w:left="0"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 10 </w:t>
      </w:r>
    </w:p>
    <w:p>
      <w:pPr>
        <w:pStyle w:val="ListParagraph"/>
        <w:spacing w:before="0" w:after="0" w:line="360" w:lineRule="auto"/>
        <w:ind w:left="0" w:firstLine="0"/>
        <w:contextualSpacing/>
        <w:jc w:val="center"/>
        <w:rPr>
          <w:rFonts w:ascii="Times New Roman" w:hAnsi="Times New Roman" w:cs="Times New Roman"/>
          <w:b/>
          <w:sz w:val="24"/>
          <w:szCs w:val="24"/>
        </w:rPr>
      </w:pPr>
      <w:r>
        <w:rPr>
          <w:rFonts w:ascii="Times New Roman" w:hAnsi="Times New Roman" w:cs="Times New Roman"/>
          <w:b/>
          <w:sz w:val="24"/>
          <w:szCs w:val="24"/>
        </w:rPr>
        <w:t>KANAŁY KOMUNIKACJI</w:t>
      </w:r>
    </w:p>
    <w:p>
      <w:pPr>
        <w:pStyle w:val="ListParagraph"/>
        <w:numPr>
          <w:ilvl w:val="0"/>
          <w:numId w:val="11"/>
        </w:numPr>
        <w:spacing w:before="240" w:after="0" w:line="360" w:lineRule="auto"/>
        <w:ind w:left="426" w:hanging="426"/>
        <w:contextualSpacing/>
        <w:jc w:val="both"/>
        <w:rPr>
          <w:rFonts w:ascii="Times New Roman" w:hAnsi="Times New Roman" w:cs="Times New Roman"/>
          <w:b/>
          <w:sz w:val="24"/>
          <w:szCs w:val="24"/>
        </w:rPr>
      </w:pPr>
      <w:r>
        <w:rPr>
          <w:rFonts w:ascii="Times New Roman" w:hAnsi="Times New Roman" w:cs="Times New Roman"/>
          <w:sz w:val="24"/>
          <w:szCs w:val="24"/>
        </w:rPr>
        <w:t xml:space="preserve">Kanały komunikacji przyjęte przez organ publiczny na potrzeby przyjmowania zgłoszeń zewnętrznych: </w:t>
      </w:r>
    </w:p>
    <w:p>
      <w:pPr>
        <w:pStyle w:val="ListParagraph"/>
        <w:numPr>
          <w:ilvl w:val="0"/>
          <w:numId w:val="12"/>
        </w:numPr>
        <w:spacing w:before="0" w:after="0" w:line="36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rPr>
        <w:t>są niezależne od kanałów komunikacji wykorzystywanych w ramach zwykłej działalności tych organów,</w:t>
      </w:r>
    </w:p>
    <w:p>
      <w:pPr>
        <w:pStyle w:val="ListParagraph"/>
        <w:numPr>
          <w:ilvl w:val="0"/>
          <w:numId w:val="12"/>
        </w:numPr>
        <w:spacing w:before="0" w:after="0" w:line="36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rPr>
        <w:t>zapewniają kompletność, poufność i integralność danych, w tym ich zabezpieczenie przed dostępem osób upoważnionych,</w:t>
      </w:r>
    </w:p>
    <w:p>
      <w:pPr>
        <w:pStyle w:val="ListParagraph"/>
        <w:numPr>
          <w:ilvl w:val="0"/>
          <w:numId w:val="12"/>
        </w:numPr>
        <w:spacing w:before="0" w:after="0" w:line="36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rPr>
        <w:t>pozwalając na przechowywanie informacji w sposób trwały w celu umożliwienia prowadzenia dalszego postępowania wyjaśniającego.</w:t>
      </w:r>
    </w:p>
    <w:p>
      <w:pPr>
        <w:pStyle w:val="ListParagraph"/>
        <w:numPr>
          <w:ilvl w:val="0"/>
          <w:numId w:val="11"/>
        </w:numPr>
        <w:spacing w:before="240" w:after="0" w:line="360" w:lineRule="auto"/>
        <w:ind w:left="426" w:hanging="426"/>
        <w:contextualSpacing/>
        <w:jc w:val="both"/>
        <w:rPr>
          <w:rFonts w:ascii="Times New Roman" w:hAnsi="Times New Roman" w:cs="Times New Roman"/>
          <w:b/>
          <w:sz w:val="24"/>
          <w:szCs w:val="24"/>
        </w:rPr>
      </w:pPr>
      <w:r>
        <w:rPr>
          <w:rFonts w:ascii="Times New Roman" w:hAnsi="Times New Roman" w:cs="Times New Roman"/>
          <w:sz w:val="24"/>
          <w:szCs w:val="24"/>
        </w:rPr>
        <w:t xml:space="preserve">Kanały komunikacji wykorzystywane przez organ publiczny do innych celów niż przyjmowanie zgłoszeń zewnętrznych mogą zostać wykorzystane także na potrzeby przyjmowania takich zgłoszeń, o ile spełniają warunki określone w ust. 1. </w:t>
      </w:r>
    </w:p>
    <w:p>
      <w:pPr>
        <w:pStyle w:val="ListParagraph"/>
        <w:spacing w:before="240" w:after="0" w:line="360" w:lineRule="auto"/>
        <w:ind w:left="425" w:firstLine="0"/>
        <w:jc w:val="center"/>
        <w:rPr>
          <w:rFonts w:ascii="Times New Roman" w:hAnsi="Times New Roman" w:cs="Times New Roman"/>
          <w:b/>
          <w:sz w:val="24"/>
          <w:szCs w:val="24"/>
        </w:rPr>
      </w:pPr>
      <w:r>
        <w:rPr>
          <w:rFonts w:ascii="Times New Roman" w:hAnsi="Times New Roman" w:cs="Times New Roman"/>
          <w:b/>
          <w:sz w:val="24"/>
          <w:szCs w:val="24"/>
        </w:rPr>
        <w:t>§ 11</w:t>
      </w:r>
    </w:p>
    <w:p>
      <w:pPr>
        <w:pStyle w:val="ListParagraph"/>
        <w:spacing w:before="0" w:after="0" w:line="360" w:lineRule="auto"/>
        <w:ind w:left="425" w:firstLine="0"/>
        <w:contextualSpacing/>
        <w:jc w:val="center"/>
        <w:rPr>
          <w:rFonts w:ascii="Times New Roman" w:hAnsi="Times New Roman" w:cs="Times New Roman"/>
          <w:b/>
          <w:sz w:val="24"/>
          <w:szCs w:val="24"/>
        </w:rPr>
      </w:pPr>
      <w:r>
        <w:rPr>
          <w:rFonts w:ascii="Times New Roman" w:hAnsi="Times New Roman" w:cs="Times New Roman"/>
          <w:b/>
          <w:sz w:val="24"/>
          <w:szCs w:val="24"/>
        </w:rPr>
        <w:t>DANE OSOBOWE</w:t>
      </w:r>
    </w:p>
    <w:p>
      <w:pPr>
        <w:pStyle w:val="ListParagraph"/>
        <w:numPr>
          <w:ilvl w:val="0"/>
          <w:numId w:val="13"/>
        </w:numPr>
        <w:spacing w:before="240" w:after="0" w:line="360" w:lineRule="auto"/>
        <w:ind w:left="426" w:hanging="437"/>
        <w:contextualSpacing/>
        <w:jc w:val="both"/>
        <w:rPr>
          <w:rFonts w:ascii="Times New Roman" w:hAnsi="Times New Roman" w:cs="Times New Roman"/>
          <w:b/>
          <w:sz w:val="24"/>
          <w:szCs w:val="24"/>
        </w:rPr>
      </w:pPr>
      <w:r>
        <w:rPr>
          <w:rFonts w:ascii="Times New Roman" w:hAnsi="Times New Roman" w:cs="Times New Roman"/>
          <w:sz w:val="24"/>
          <w:szCs w:val="24"/>
        </w:rPr>
        <w:t>Organ publiczny jest administratorem danych osobowych przetwarzanych w związku z przyjęciem zgłoszenia, a także w związku z prowadzeniem działań następczych oraz prowadzeniem „Rejestru Zgłoszeń Zewnętrznych”.</w:t>
      </w:r>
    </w:p>
    <w:p>
      <w:pPr>
        <w:pStyle w:val="ListParagraph"/>
        <w:numPr>
          <w:ilvl w:val="0"/>
          <w:numId w:val="13"/>
        </w:numPr>
        <w:spacing w:before="240" w:after="0" w:line="360" w:lineRule="auto"/>
        <w:ind w:left="426" w:hanging="437"/>
        <w:contextualSpacing/>
        <w:jc w:val="both"/>
        <w:rPr>
          <w:rFonts w:ascii="Times New Roman" w:hAnsi="Times New Roman" w:cs="Times New Roman"/>
          <w:b/>
          <w:sz w:val="24"/>
          <w:szCs w:val="24"/>
        </w:rPr>
      </w:pPr>
      <w:r>
        <w:rPr>
          <w:rFonts w:ascii="Times New Roman" w:hAnsi="Times New Roman" w:cs="Times New Roman"/>
          <w:sz w:val="24"/>
          <w:szCs w:val="24"/>
        </w:rPr>
        <w:t xml:space="preserve">Do przetwarzania danych osobowych uprawnieni są członkowie </w:t>
      </w:r>
      <w:r>
        <w:rPr>
          <w:rFonts w:ascii="Times New Roman" w:hAnsi="Times New Roman" w:cs="Times New Roman"/>
          <w:b/>
          <w:sz w:val="24"/>
          <w:szCs w:val="24"/>
        </w:rPr>
        <w:t>Komisji ds. Nadzoru.</w:t>
      </w:r>
    </w:p>
    <w:p>
      <w:pPr>
        <w:pStyle w:val="ListParagraph"/>
        <w:numPr>
          <w:ilvl w:val="0"/>
          <w:numId w:val="13"/>
        </w:numPr>
        <w:spacing w:before="240" w:after="0" w:line="360" w:lineRule="auto"/>
        <w:ind w:left="426" w:hanging="437"/>
        <w:contextualSpacing/>
        <w:jc w:val="both"/>
        <w:rPr>
          <w:rFonts w:ascii="Times New Roman" w:hAnsi="Times New Roman" w:cs="Times New Roman"/>
          <w:b/>
          <w:sz w:val="24"/>
          <w:szCs w:val="24"/>
        </w:rPr>
      </w:pPr>
      <w:r>
        <w:rPr>
          <w:rFonts w:ascii="Times New Roman" w:hAnsi="Times New Roman" w:cs="Times New Roman"/>
          <w:sz w:val="24"/>
          <w:szCs w:val="24"/>
        </w:rPr>
        <w:t>Organ publiczny przetwarza dane osobowe w zakresie niezbędnym do przyjęcia zgłoszenia oraz podjęcia działań następczych. Dane osobowe, które nie mają znaczenia dla rozpoznania zgłoszenia są zbierane, a w przypadku zebrania usuwane. Usunięcie tych danych osobowych następuje w terminie 14 dni od chwili ustalenia, że nie mają one znaczenia dla sprawy.</w:t>
      </w:r>
    </w:p>
    <w:p>
      <w:pPr>
        <w:pStyle w:val="ListParagraph"/>
        <w:numPr>
          <w:ilvl w:val="0"/>
          <w:numId w:val="13"/>
        </w:numPr>
        <w:spacing w:before="240" w:after="0" w:line="360" w:lineRule="auto"/>
        <w:ind w:left="426" w:hanging="437"/>
        <w:contextualSpacing/>
        <w:jc w:val="both"/>
        <w:rPr>
          <w:rFonts w:ascii="Times New Roman" w:hAnsi="Times New Roman" w:cs="Times New Roman"/>
          <w:b/>
          <w:sz w:val="24"/>
          <w:szCs w:val="24"/>
        </w:rPr>
      </w:pPr>
      <w:r>
        <w:rPr>
          <w:rFonts w:ascii="Times New Roman" w:hAnsi="Times New Roman" w:cs="Times New Roman"/>
          <w:sz w:val="24"/>
          <w:szCs w:val="24"/>
        </w:rPr>
        <w:t>Dane osobowe Zgłaszającego, pozwalające na ustalenie jego tożsamości, nie podlegają ujawnieniu nieupoważnionym osobom, chyba ze za wyraźną zgodą Zgłaszającego.</w:t>
      </w:r>
    </w:p>
    <w:p>
      <w:pPr>
        <w:pStyle w:val="ListParagraph"/>
        <w:numPr>
          <w:ilvl w:val="0"/>
          <w:numId w:val="13"/>
        </w:numPr>
        <w:spacing w:before="240" w:after="0" w:line="360" w:lineRule="auto"/>
        <w:ind w:left="426" w:hanging="437"/>
        <w:contextualSpacing/>
        <w:jc w:val="both"/>
        <w:rPr>
          <w:rFonts w:ascii="Times New Roman" w:hAnsi="Times New Roman" w:cs="Times New Roman"/>
          <w:b/>
          <w:sz w:val="24"/>
          <w:szCs w:val="24"/>
        </w:rPr>
      </w:pPr>
      <w:r>
        <w:rPr>
          <w:rFonts w:ascii="Times New Roman" w:hAnsi="Times New Roman" w:cs="Times New Roman"/>
          <w:sz w:val="24"/>
          <w:szCs w:val="24"/>
        </w:rPr>
        <w:t>Na zasadach przewidzianych w ustawie może dojść do konieczności ujawnienia danych osobowych Sygnalisty przez organ publiczny, o czy, Sygnalista zostanie poinformowany.</w:t>
      </w:r>
    </w:p>
    <w:p>
      <w:pPr>
        <w:spacing w:before="240" w:after="0" w:line="360" w:lineRule="auto"/>
        <w:jc w:val="center"/>
        <w:rPr>
          <w:rFonts w:ascii="Times New Roman" w:hAnsi="Times New Roman" w:cs="Times New Roman"/>
          <w:b/>
          <w:sz w:val="24"/>
          <w:szCs w:val="24"/>
        </w:rPr>
      </w:pPr>
      <w:r>
        <w:rPr>
          <w:rFonts w:ascii="Times New Roman" w:hAnsi="Times New Roman" w:cs="Times New Roman"/>
          <w:b/>
          <w:sz w:val="24"/>
          <w:szCs w:val="24"/>
        </w:rPr>
        <w:t>§ 12</w:t>
      </w:r>
    </w:p>
    <w:p>
      <w:pPr>
        <w:spacing w:before="0" w:after="0" w:line="360" w:lineRule="auto"/>
        <w:jc w:val="center"/>
        <w:rPr>
          <w:rFonts w:ascii="Times New Roman" w:hAnsi="Times New Roman" w:cs="Times New Roman"/>
          <w:b/>
          <w:sz w:val="24"/>
          <w:szCs w:val="24"/>
        </w:rPr>
      </w:pPr>
      <w:r>
        <w:rPr>
          <w:rFonts w:ascii="Times New Roman" w:hAnsi="Times New Roman" w:cs="Times New Roman"/>
          <w:b/>
          <w:sz w:val="24"/>
          <w:szCs w:val="24"/>
        </w:rPr>
        <w:t>POSTANOWIENIA KOŃCOWE</w:t>
      </w:r>
    </w:p>
    <w:p>
      <w:pPr>
        <w:pStyle w:val="ListParagraph"/>
        <w:numPr>
          <w:ilvl w:val="0"/>
          <w:numId w:val="14"/>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Przepisy niniejszej Procedury podlegają przeglądowi nie rzadziej niż raz na trzy lata.</w:t>
      </w:r>
    </w:p>
    <w:p>
      <w:pPr>
        <w:pStyle w:val="ListParagraph"/>
        <w:numPr>
          <w:ilvl w:val="0"/>
          <w:numId w:val="14"/>
        </w:numPr>
        <w:spacing w:before="240"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Procedura wchodzi w życie z dniem </w:t>
      </w:r>
      <w:r>
        <w:rPr>
          <w:rFonts w:ascii="Times New Roman" w:hAnsi="Times New Roman" w:cs="Times New Roman"/>
          <w:b/>
          <w:sz w:val="24"/>
          <w:szCs w:val="24"/>
        </w:rPr>
        <w:t>25 grudnia 2024 r.</w:t>
      </w:r>
    </w:p>
    <w:p>
      <w:pPr>
        <w:pStyle w:val="ListParagraph"/>
        <w:numPr>
          <w:ilvl w:val="0"/>
          <w:numId w:val="14"/>
        </w:numPr>
        <w:spacing w:before="240" w:after="0" w:line="360" w:lineRule="auto"/>
        <w:ind w:left="425" w:hanging="425"/>
        <w:contextualSpacing/>
        <w:jc w:val="both"/>
      </w:pPr>
      <w:r>
        <w:rPr>
          <w:rFonts w:ascii="Times New Roman" w:hAnsi="Times New Roman" w:cs="Times New Roman"/>
          <w:sz w:val="24"/>
          <w:szCs w:val="24"/>
        </w:rPr>
        <w:t>W sprawach nieuregulowanych niniejszą procedurą zastosowanie mają odpowiednie przepisy ustawy z dnia 24 czerwca 2024 r. o ochronie sygnalistów,  działów VII i VIII  Kodeks postępowania administracyjnego, Kodeksu pracy</w:t>
      </w:r>
      <w:r>
        <w:rPr>
          <w:rStyle w:val="Zakotwiczenieprzypisudolnego"/>
          <w:rFonts w:ascii="Times New Roman" w:hAnsi="Times New Roman" w:cs="Times New Roman"/>
          <w:sz w:val="24"/>
          <w:szCs w:val="24"/>
        </w:rPr>
        <w:footnoteReference w:id="2"/>
      </w:r>
      <w:r>
        <w:rPr>
          <w:rFonts w:ascii="Times New Roman" w:hAnsi="Times New Roman" w:cs="Times New Roman"/>
          <w:sz w:val="24"/>
          <w:szCs w:val="24"/>
        </w:rPr>
        <w:t>, Kodeksu postępowania karnego</w:t>
      </w:r>
      <w:r>
        <w:rPr>
          <w:rStyle w:val="Zakotwiczenieprzypisudolnego"/>
          <w:rFonts w:ascii="Times New Roman" w:hAnsi="Times New Roman" w:cs="Times New Roman"/>
          <w:sz w:val="24"/>
          <w:szCs w:val="24"/>
        </w:rPr>
        <w:footnoteReference w:id="3"/>
      </w:r>
      <w:r>
        <w:rPr>
          <w:rFonts w:ascii="Times New Roman" w:hAnsi="Times New Roman" w:cs="Times New Roman"/>
          <w:sz w:val="24"/>
          <w:szCs w:val="24"/>
        </w:rPr>
        <w:t xml:space="preserve"> i Kodeksu karnego</w:t>
      </w:r>
      <w:r>
        <w:rPr>
          <w:rStyle w:val="Zakotwiczenieprzypisudolnego"/>
          <w:rFonts w:ascii="Times New Roman" w:hAnsi="Times New Roman" w:cs="Times New Roman"/>
          <w:sz w:val="24"/>
          <w:szCs w:val="24"/>
        </w:rPr>
        <w:footnoteReference w:id="4"/>
      </w:r>
    </w:p>
    <w:p>
      <w:pPr>
        <w:spacing w:before="240" w:after="0" w:line="360" w:lineRule="auto"/>
        <w:jc w:val="both"/>
        <w:rPr>
          <w:rFonts w:ascii="Times New Roman" w:hAnsi="Times New Roman" w:cs="Times New Roman"/>
          <w:sz w:val="24"/>
          <w:szCs w:val="24"/>
        </w:rPr>
      </w:pPr>
    </w:p>
    <w:p>
      <w:pPr>
        <w:spacing w:before="240" w:after="0" w:line="360" w:lineRule="auto"/>
        <w:ind w:left="4678" w:firstLine="0"/>
        <w:jc w:val="center"/>
        <w:rPr>
          <w:rFonts w:ascii="Times New Roman" w:hAnsi="Times New Roman" w:cs="Times New Roman"/>
          <w:b/>
          <w:sz w:val="24"/>
          <w:szCs w:val="24"/>
        </w:rPr>
      </w:pPr>
      <w:r>
        <w:rPr>
          <w:rFonts w:ascii="Times New Roman" w:hAnsi="Times New Roman" w:cs="Times New Roman"/>
          <w:b/>
          <w:sz w:val="24"/>
          <w:szCs w:val="24"/>
        </w:rPr>
        <w:t>DYREKTOR GENERALNY URZĘDU</w:t>
      </w:r>
    </w:p>
    <w:p>
      <w:pPr>
        <w:spacing w:before="240" w:after="0" w:line="360" w:lineRule="auto"/>
        <w:ind w:left="4820" w:firstLine="0"/>
        <w:jc w:val="center"/>
        <w:rPr>
          <w:rFonts w:ascii="Times New Roman" w:hAnsi="Times New Roman" w:cs="Times New Roman"/>
          <w:b/>
          <w:i/>
          <w:sz w:val="24"/>
          <w:szCs w:val="24"/>
        </w:rPr>
      </w:pPr>
      <w:r>
        <w:rPr>
          <w:rFonts w:ascii="Times New Roman" w:hAnsi="Times New Roman" w:cs="Times New Roman"/>
          <w:b/>
          <w:i/>
          <w:sz w:val="24"/>
          <w:szCs w:val="24"/>
        </w:rPr>
        <w:t>Aleksandra Sowińska-Banaszkiewicz</w:t>
      </w:r>
    </w:p>
    <w:p>
      <w:pPr>
        <w:spacing w:before="60" w:after="0" w:line="360" w:lineRule="auto"/>
        <w:ind w:left="4820" w:firstLine="0"/>
        <w:jc w:val="center"/>
        <w:rPr>
          <w:rFonts w:ascii="Times New Roman" w:hAnsi="Times New Roman" w:cs="Times New Roman"/>
          <w:sz w:val="20"/>
          <w:szCs w:val="20"/>
        </w:rPr>
      </w:pPr>
      <w:r>
        <w:rPr>
          <w:rFonts w:ascii="Times New Roman" w:hAnsi="Times New Roman" w:cs="Times New Roman"/>
          <w:sz w:val="20"/>
          <w:szCs w:val="20"/>
        </w:rPr>
        <w:t>(podpisano elektronicznie)</w:t>
      </w:r>
    </w:p>
    <w:p>
      <w:pPr>
        <w:tabs>
          <w:tab w:val="clear" w:pos="708"/>
          <w:tab w:val="center" w:pos="1418"/>
        </w:tabs>
        <w:snapToGrid w:val="0"/>
        <w:ind w:right="15" w:firstLine="0"/>
        <w:rPr>
          <w:rFonts w:ascii="Times New Roman" w:hAnsi="Times New Roman" w:cs="Times New Roman"/>
          <w:sz w:val="24"/>
          <w:szCs w:val="24"/>
        </w:rPr>
      </w:pPr>
    </w:p>
    <w:p>
      <w:pPr>
        <w:tabs>
          <w:tab w:val="clear" w:pos="708"/>
          <w:tab w:val="center" w:pos="1418"/>
        </w:tabs>
        <w:snapToGrid w:val="0"/>
        <w:ind w:right="15" w:firstLine="0"/>
        <w:rPr>
          <w:rFonts w:ascii="Times New Roman" w:hAnsi="Times New Roman" w:cs="Times New Roman"/>
          <w:sz w:val="24"/>
          <w:szCs w:val="24"/>
        </w:rPr>
      </w:pPr>
      <w:r>
        <w:rPr>
          <w:rFonts w:ascii="Times New Roman" w:hAnsi="Times New Roman" w:cs="Times New Roman"/>
          <w:sz w:val="24"/>
          <w:szCs w:val="24"/>
        </w:rPr>
        <w:t xml:space="preserve">Łódź, </w:t>
      </w:r>
      <w:bookmarkStart w:id="1" w:name="ezdDataPodpisu"/>
      <w:r>
        <w:rPr>
          <w:rFonts w:ascii="Times New Roman" w:hAnsi="Times New Roman" w:cs="Times New Roman"/>
          <w:sz w:val="24"/>
          <w:szCs w:val="24"/>
        </w:rPr>
        <w:t>19 grudnia 2024</w:t>
      </w:r>
      <w:bookmarkEnd w:id="1"/>
      <w:r>
        <w:rPr>
          <w:rFonts w:ascii="Times New Roman" w:hAnsi="Times New Roman" w:cs="Times New Roman"/>
          <w:sz w:val="24"/>
          <w:szCs w:val="24"/>
        </w:rPr>
        <w:t xml:space="preserve"> r.</w:t>
      </w:r>
    </w:p>
    <w:p>
      <w:pPr>
        <w:spacing w:before="60" w:after="0" w:line="360" w:lineRule="auto"/>
      </w:pPr>
    </w:p>
    <w:sectPr>
      <w:footnotePr>
        <w:numFmt w:val="decimal"/>
      </w:footnotePr>
      <w:type w:val="nextPage"/>
      <w:pgSz w:w="11906" w:h="16838"/>
      <w:pgMar w:top="1417" w:right="1417" w:bottom="1417" w:left="1417" w:header="0" w:footer="0" w:gutter="0"/>
      <w:pgNumType w:fmt="decimal"/>
      <w:cols w:space="708"/>
      <w:formProt w:val="0"/>
      <w:textDirection w:val="lrTb"/>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EE"/>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rPr>
          <w:sz w:val="12"/>
        </w:rPr>
      </w:pPr>
      <w:r>
        <w:separator/>
      </w:r>
    </w:p>
  </w:footnote>
  <w:footnote w:type="continuationSeparator" w:id="1">
    <w:p>
      <w:pPr>
        <w:rPr>
          <w:sz w:val="12"/>
        </w:rPr>
      </w:pPr>
      <w:r>
        <w:continuationSeparator/>
      </w:r>
    </w:p>
  </w:footnote>
  <w:footnote w:id="2">
    <w:p>
      <w:pPr>
        <w:pStyle w:val="FootnoteText"/>
        <w:jc w:val="both"/>
      </w:pPr>
      <w:r>
        <w:rPr>
          <w:rStyle w:val="Znakiprzypiswdolnych"/>
        </w:rPr>
        <w:footnoteRef/>
      </w:r>
      <w:r>
        <w:rPr>
          <w:rFonts w:ascii="Times New Roman" w:hAnsi="Times New Roman" w:cs="Times New Roman"/>
        </w:rPr>
        <w:t xml:space="preserve"> </w:t>
      </w:r>
      <w:r>
        <w:rPr>
          <w:rFonts w:ascii="Times New Roman" w:hAnsi="Times New Roman" w:cs="Times New Roman"/>
        </w:rPr>
        <w:t>Ustawa z dnia 26 czerwca 1974 r. Kodeks pracy (Dz. U. z 2023 r. poz. 1465, 878, 122)</w:t>
      </w:r>
    </w:p>
  </w:footnote>
  <w:footnote w:id="3">
    <w:p>
      <w:pPr>
        <w:pStyle w:val="FootnoteText"/>
        <w:jc w:val="both"/>
      </w:pPr>
      <w:r>
        <w:rPr>
          <w:rStyle w:val="Znakiprzypiswdolnych"/>
        </w:rPr>
        <w:footnoteRef/>
      </w:r>
      <w:r>
        <w:rPr>
          <w:rFonts w:ascii="Times New Roman" w:hAnsi="Times New Roman" w:cs="Times New Roman"/>
        </w:rPr>
        <w:t xml:space="preserve"> </w:t>
      </w:r>
      <w:r>
        <w:rPr>
          <w:rFonts w:ascii="Times New Roman" w:hAnsi="Times New Roman" w:cs="Times New Roman"/>
        </w:rPr>
        <w:t>Ustawa z dnia 6 czerwca 1997 r. Kodeks postępowania karnego (Dz. U. z 2024 r. poz. 37 z późn.zm.)</w:t>
      </w:r>
    </w:p>
  </w:footnote>
  <w:footnote w:id="4">
    <w:p>
      <w:pPr>
        <w:pStyle w:val="FootnoteText"/>
        <w:jc w:val="both"/>
      </w:pPr>
      <w:r>
        <w:rPr>
          <w:rStyle w:val="Znakiprzypiswdolnych"/>
        </w:rPr>
        <w:footnoteRef/>
      </w:r>
      <w:r>
        <w:rPr>
          <w:rFonts w:ascii="Times New Roman" w:hAnsi="Times New Roman" w:cs="Times New Roman"/>
        </w:rPr>
        <w:t xml:space="preserve"> </w:t>
      </w:r>
      <w:r>
        <w:rPr>
          <w:rFonts w:ascii="Times New Roman" w:hAnsi="Times New Roman" w:cs="Times New Roman"/>
        </w:rPr>
        <w:t>Ustawa z dnia 6 czerwca 1997 r. Kodeks karny (Dz. U. z 2024 r. poz. 17, 2600, 1963)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F6C3CD"/>
    <w:multiLevelType w:val="hybridMultilevel"/>
    <w:tmpl w:val="00000000"/>
    <w:lvl w:ilvl="0">
      <w:start w:val="1"/>
      <w:numFmt w:val="decimal"/>
      <w:lvlText w:val="%1."/>
      <w:lvlJc w:val="left"/>
      <w:pPr>
        <w:tabs>
          <w:tab w:val="num" w:pos="0"/>
        </w:tabs>
        <w:ind w:left="720" w:hanging="360"/>
      </w:pPr>
      <w:rPr>
        <w:rFonts w:ascii="Times New Roman" w:hAnsi="Times New Roman"/>
        <w:b/>
        <w:sz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5B23C4B"/>
    <w:multiLevelType w:val="hybridMultilevel"/>
    <w:tmpl w:val="00000000"/>
    <w:lvl w:ilvl="0">
      <w:start w:val="1"/>
      <w:numFmt w:val="decimal"/>
      <w:lvlText w:val="%1."/>
      <w:lvlJc w:val="left"/>
      <w:pPr>
        <w:tabs>
          <w:tab w:val="num" w:pos="0"/>
        </w:tabs>
        <w:ind w:left="1440" w:hanging="360"/>
      </w:pPr>
      <w:rPr>
        <w:rFonts w:ascii="Times New Roman" w:hAnsi="Times New Roman"/>
        <w:b/>
        <w:sz w:val="24"/>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nsid w:val="1880D3A1"/>
    <w:multiLevelType w:val="hybridMultilevel"/>
    <w:tmpl w:val="00000000"/>
    <w:lvl w:ilvl="0">
      <w:start w:val="1"/>
      <w:numFmt w:val="decimal"/>
      <w:lvlText w:val="%1."/>
      <w:lvlJc w:val="left"/>
      <w:pPr>
        <w:tabs>
          <w:tab w:val="num" w:pos="0"/>
        </w:tabs>
        <w:ind w:left="1145" w:hanging="360"/>
      </w:pPr>
      <w:rPr>
        <w:rFonts w:ascii="Times New Roman" w:hAnsi="Times New Roman"/>
        <w:b/>
        <w:sz w:val="24"/>
      </w:r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
    <w:nsid w:val="1F56D281"/>
    <w:multiLevelType w:val="hybridMultilevel"/>
    <w:tmpl w:val="00000000"/>
    <w:lvl w:ilvl="0">
      <w:start w:val="1"/>
      <w:numFmt w:val="decimal"/>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5218935"/>
    <w:multiLevelType w:val="hybridMultilevel"/>
    <w:tmpl w:val="00000000"/>
    <w:lvl w:ilvl="0">
      <w:start w:val="1"/>
      <w:numFmt w:val="decimal"/>
      <w:lvlText w:val="%1."/>
      <w:lvlJc w:val="left"/>
      <w:pPr>
        <w:tabs>
          <w:tab w:val="num" w:pos="0"/>
        </w:tabs>
        <w:ind w:left="144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91C13D7"/>
    <w:multiLevelType w:val="hybridMultilevel"/>
    <w:tmpl w:val="00000000"/>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6">
    <w:nsid w:val="2BF40990"/>
    <w:multiLevelType w:val="hybridMultilevel"/>
    <w:tmpl w:val="0000000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7">
    <w:nsid w:val="2E7D8EC0"/>
    <w:multiLevelType w:val="hybridMultilevel"/>
    <w:tmpl w:val="00000000"/>
    <w:lvl w:ilvl="0">
      <w:start w:val="1"/>
      <w:numFmt w:val="lowerLetter"/>
      <w:lvlText w:val="%1)"/>
      <w:lvlJc w:val="left"/>
      <w:pPr>
        <w:tabs>
          <w:tab w:val="num" w:pos="0"/>
        </w:tabs>
        <w:ind w:left="1146" w:hanging="360"/>
      </w:pPr>
      <w:rPr>
        <w:rFonts w:ascii="Times New Roman" w:hAnsi="Times New Roman"/>
        <w:b w:val="0"/>
        <w:sz w:val="24"/>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nsid w:val="32EDA827"/>
    <w:multiLevelType w:val="hybridMultilevel"/>
    <w:tmpl w:val="00000000"/>
    <w:lvl w:ilvl="0">
      <w:start w:val="1"/>
      <w:numFmt w:val="decimal"/>
      <w:lvlText w:val="%1)"/>
      <w:lvlJc w:val="left"/>
      <w:pPr>
        <w:tabs>
          <w:tab w:val="num" w:pos="0"/>
        </w:tabs>
        <w:ind w:left="1434" w:hanging="360"/>
      </w:pPr>
    </w:lvl>
    <w:lvl w:ilvl="1">
      <w:start w:val="1"/>
      <w:numFmt w:val="lowerLetter"/>
      <w:lvlText w:val="%2."/>
      <w:lvlJc w:val="left"/>
      <w:pPr>
        <w:tabs>
          <w:tab w:val="num" w:pos="0"/>
        </w:tabs>
        <w:ind w:left="2154" w:hanging="360"/>
      </w:pPr>
    </w:lvl>
    <w:lvl w:ilvl="2">
      <w:start w:val="1"/>
      <w:numFmt w:val="lowerRoman"/>
      <w:lvlText w:val="%3."/>
      <w:lvlJc w:val="right"/>
      <w:pPr>
        <w:tabs>
          <w:tab w:val="num" w:pos="0"/>
        </w:tabs>
        <w:ind w:left="2874" w:hanging="18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9">
    <w:nsid w:val="6AD2661E"/>
    <w:multiLevelType w:val="hybridMultilevel"/>
    <w:tmpl w:val="00000000"/>
    <w:lvl w:ilvl="0">
      <w:start w:val="1"/>
      <w:numFmt w:val="decimal"/>
      <w:lvlText w:val="%1."/>
      <w:lvlJc w:val="left"/>
      <w:pPr>
        <w:tabs>
          <w:tab w:val="num" w:pos="0"/>
        </w:tabs>
        <w:ind w:left="1145" w:hanging="360"/>
      </w:pPr>
      <w:rPr>
        <w:rFonts w:ascii="Times New Roman" w:hAnsi="Times New Roman"/>
        <w:b/>
        <w:sz w:val="24"/>
      </w:r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0">
    <w:nsid w:val="6D4BFDDE"/>
    <w:multiLevelType w:val="hybridMultilevel"/>
    <w:tmpl w:val="00000000"/>
    <w:lvl w:ilvl="0">
      <w:start w:val="1"/>
      <w:numFmt w:val="decimal"/>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6E448958"/>
    <w:multiLevelType w:val="hybridMultilevel"/>
    <w:tmpl w:val="00000000"/>
    <w:lvl w:ilvl="0">
      <w:start w:val="1"/>
      <w:numFmt w:val="decimal"/>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74C8F2ED"/>
    <w:multiLevelType w:val="hybridMultilevel"/>
    <w:tmpl w:val="000000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7E201AC2"/>
    <w:multiLevelType w:val="hybridMultilevel"/>
    <w:tmpl w:val="00000000"/>
    <w:lvl w:ilvl="0">
      <w:start w:val="1"/>
      <w:numFmt w:val="decimal"/>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7E40FE61"/>
    <w:multiLevelType w:val="hybridMultilevel"/>
    <w:tmpl w:val="00000000"/>
    <w:lvl w:ilvl="0">
      <w:start w:val="1"/>
      <w:numFmt w:val="decimal"/>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b/>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1"/>
  </w:num>
  <w:num w:numId="3">
    <w:abstractNumId w:val="4"/>
  </w:num>
  <w:num w:numId="4">
    <w:abstractNumId w:val="6"/>
  </w:num>
  <w:num w:numId="5">
    <w:abstractNumId w:val="9"/>
  </w:num>
  <w:num w:numId="6">
    <w:abstractNumId w:val="2"/>
  </w:num>
  <w:num w:numId="7">
    <w:abstractNumId w:val="13"/>
  </w:num>
  <w:num w:numId="8">
    <w:abstractNumId w:val="0"/>
  </w:num>
  <w:num w:numId="9">
    <w:abstractNumId w:val="8"/>
  </w:num>
  <w:num w:numId="10">
    <w:abstractNumId w:val="14"/>
  </w:num>
  <w:num w:numId="11">
    <w:abstractNumId w:val="11"/>
  </w:num>
  <w:num w:numId="12">
    <w:abstractNumId w:val="7"/>
  </w:num>
  <w:num w:numId="13">
    <w:abstractNumId w:val="12"/>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bidi w:val="0"/>
      <w:spacing w:before="0" w:after="160" w:line="259" w:lineRule="auto"/>
      <w:jc w:val="left"/>
    </w:pPr>
    <w:rPr>
      <w:rFonts w:asciiTheme="minorHAnsi" w:eastAsiaTheme="minorHAnsi" w:hAnsiTheme="minorHAnsi" w:cstheme="minorBidi"/>
      <w:color w:val="auto"/>
      <w:kern w:val="0"/>
      <w:sz w:val="22"/>
      <w:szCs w:val="22"/>
      <w:lang w:val="pl-PL"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TekstprzypisukocowegoZnak">
    <w:name w:val="Tekst przypisu końcowego Znak"/>
    <w:basedOn w:val="DefaultParagraphFont"/>
    <w:uiPriority w:val="99"/>
    <w:semiHidden/>
    <w:qFormat/>
    <w:rsid w:val="00C56C8D"/>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efaultParagraphFont"/>
    <w:uiPriority w:val="99"/>
    <w:semiHidden/>
    <w:unhideWhenUsed/>
    <w:qFormat/>
    <w:rsid w:val="00C56C8D"/>
    <w:rPr>
      <w:vertAlign w:val="superscript"/>
    </w:rPr>
  </w:style>
  <w:style w:type="character" w:customStyle="1" w:styleId="TekstprzypisudolnegoZnak">
    <w:name w:val="Tekst przypisu dolnego Znak"/>
    <w:basedOn w:val="DefaultParagraphFont"/>
    <w:uiPriority w:val="99"/>
    <w:semiHidden/>
    <w:qFormat/>
    <w:rsid w:val="00720F0F"/>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efaultParagraphFont"/>
    <w:uiPriority w:val="99"/>
    <w:semiHidden/>
    <w:unhideWhenUsed/>
    <w:qFormat/>
    <w:rsid w:val="00720F0F"/>
    <w:rPr>
      <w:vertAlign w:val="superscript"/>
    </w:rPr>
  </w:style>
  <w:style w:type="character" w:styleId="CommentReference">
    <w:name w:val="annotation reference"/>
    <w:basedOn w:val="DefaultParagraphFont"/>
    <w:uiPriority w:val="99"/>
    <w:semiHidden/>
    <w:unhideWhenUsed/>
    <w:qFormat/>
    <w:rsid w:val="005E4E47"/>
    <w:rPr>
      <w:sz w:val="16"/>
      <w:szCs w:val="16"/>
    </w:rPr>
  </w:style>
  <w:style w:type="character" w:customStyle="1" w:styleId="TekstkomentarzaZnak">
    <w:name w:val="Tekst komentarza Znak"/>
    <w:basedOn w:val="DefaultParagraphFont"/>
    <w:uiPriority w:val="99"/>
    <w:semiHidden/>
    <w:qFormat/>
    <w:rsid w:val="005E4E47"/>
    <w:rPr>
      <w:sz w:val="20"/>
      <w:szCs w:val="20"/>
    </w:rPr>
  </w:style>
  <w:style w:type="character" w:customStyle="1" w:styleId="TematkomentarzaZnak">
    <w:name w:val="Temat komentarza Znak"/>
    <w:basedOn w:val="TekstkomentarzaZnak"/>
    <w:uiPriority w:val="99"/>
    <w:semiHidden/>
    <w:qFormat/>
    <w:rsid w:val="005E4E47"/>
    <w:rPr>
      <w:b/>
      <w:bCs/>
      <w:sz w:val="20"/>
      <w:szCs w:val="20"/>
    </w:rPr>
  </w:style>
  <w:style w:type="character" w:customStyle="1" w:styleId="TekstdymkaZnak">
    <w:name w:val="Tekst dymka Znak"/>
    <w:basedOn w:val="DefaultParagraphFont"/>
    <w:uiPriority w:val="99"/>
    <w:semiHidden/>
    <w:qFormat/>
    <w:rsid w:val="005E4E47"/>
    <w:rPr>
      <w:rFonts w:ascii="Segoe UI" w:hAnsi="Segoe UI" w:cs="Segoe UI"/>
      <w:sz w:val="18"/>
      <w:szCs w:val="18"/>
    </w:rPr>
  </w:style>
  <w:style w:type="character" w:customStyle="1" w:styleId="ppogrubienie">
    <w:name w:val="ppogrubienie"/>
    <w:basedOn w:val="DefaultParagraphFont"/>
    <w:qFormat/>
    <w:rsid w:val="005E4E47"/>
  </w:style>
  <w:style w:type="character" w:customStyle="1" w:styleId="Znakiprzypiswdolnych">
    <w:name w:val="Znaki przypisów dolnych"/>
    <w:qFormat/>
  </w:style>
  <w:style w:type="character" w:customStyle="1" w:styleId="czeinternetowe">
    <w:name w:val="Łącze internetowe"/>
    <w:rPr>
      <w:color w:val="000080"/>
      <w:u w:val="single"/>
    </w:rPr>
  </w:style>
  <w:style w:type="character" w:customStyle="1" w:styleId="Znakinumeracji">
    <w:name w:val="Znaki numeracji"/>
    <w:qFormat/>
  </w:style>
  <w:style w:type="character" w:customStyle="1" w:styleId="Znakiprzypiswkocowych">
    <w:name w:val="Znaki przypisów końcowych"/>
    <w:qFormat/>
  </w:style>
  <w:style w:type="paragraph" w:customStyle="1" w:styleId="Nagwek">
    <w:name w:val="Nagłówek"/>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Lucida Sans"/>
    </w:rPr>
  </w:style>
  <w:style w:type="paragraph" w:customStyle="1" w:styleId="Gwkaistopka">
    <w:name w:val="Główka i stopka"/>
    <w:basedOn w:val="Normal"/>
    <w:qFormat/>
  </w:style>
  <w:style w:type="paragraph" w:customStyle="1" w:styleId="Header">
    <w:name w:val="Header"/>
    <w:basedOn w:val="Normal"/>
    <w:next w:val="BodyText"/>
    <w:qFormat/>
    <w:pPr>
      <w:keepNext/>
      <w:spacing w:before="240" w:after="120"/>
    </w:pPr>
    <w:rPr>
      <w:rFonts w:ascii="Liberation Sans" w:eastAsia="Microsoft YaHei" w:hAnsi="Liberation Sans" w:cs="Lucida Sans"/>
      <w:sz w:val="28"/>
      <w:szCs w:val="28"/>
    </w:rPr>
  </w:style>
  <w:style w:type="paragraph" w:styleId="Caption0">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1B35C1"/>
    <w:pPr>
      <w:spacing w:before="0" w:after="160"/>
      <w:ind w:left="720" w:firstLine="0"/>
      <w:contextualSpacing/>
    </w:pPr>
  </w:style>
  <w:style w:type="paragraph" w:customStyle="1" w:styleId="EndnoteText">
    <w:name w:val="Endnote Text"/>
    <w:basedOn w:val="Normal"/>
    <w:link w:val="TekstprzypisukocowegoZnak"/>
    <w:uiPriority w:val="99"/>
    <w:semiHidden/>
    <w:unhideWhenUsed/>
    <w:rsid w:val="00C56C8D"/>
    <w:pPr>
      <w:spacing w:before="0" w:after="0" w:line="240" w:lineRule="auto"/>
    </w:pPr>
    <w:rPr>
      <w:sz w:val="20"/>
      <w:szCs w:val="20"/>
    </w:rPr>
  </w:style>
  <w:style w:type="paragraph" w:customStyle="1" w:styleId="FootnoteText">
    <w:name w:val="Footnote Text"/>
    <w:basedOn w:val="Normal"/>
    <w:link w:val="TekstprzypisudolnegoZnak"/>
    <w:uiPriority w:val="99"/>
    <w:semiHidden/>
    <w:unhideWhenUsed/>
    <w:rsid w:val="00720F0F"/>
    <w:pPr>
      <w:spacing w:before="0" w:after="0" w:line="240" w:lineRule="auto"/>
    </w:pPr>
    <w:rPr>
      <w:sz w:val="20"/>
      <w:szCs w:val="20"/>
    </w:rPr>
  </w:style>
  <w:style w:type="paragraph" w:styleId="CommentText">
    <w:name w:val="annotation text"/>
    <w:basedOn w:val="Normal"/>
    <w:link w:val="TekstkomentarzaZnak"/>
    <w:uiPriority w:val="99"/>
    <w:semiHidden/>
    <w:unhideWhenUsed/>
    <w:qFormat/>
    <w:rsid w:val="005E4E47"/>
    <w:pPr>
      <w:spacing w:line="240" w:lineRule="auto"/>
    </w:pPr>
    <w:rPr>
      <w:sz w:val="20"/>
      <w:szCs w:val="20"/>
    </w:rPr>
  </w:style>
  <w:style w:type="paragraph" w:styleId="CommentSubject">
    <w:name w:val="annotation subject"/>
    <w:basedOn w:val="CommentText"/>
    <w:next w:val="CommentText"/>
    <w:link w:val="TematkomentarzaZnak"/>
    <w:uiPriority w:val="99"/>
    <w:semiHidden/>
    <w:unhideWhenUsed/>
    <w:qFormat/>
    <w:rsid w:val="005E4E47"/>
    <w:rPr>
      <w:b/>
      <w:bCs/>
    </w:rPr>
  </w:style>
  <w:style w:type="paragraph" w:styleId="Revision">
    <w:name w:val="Revision"/>
    <w:uiPriority w:val="99"/>
    <w:semiHidden/>
    <w:qFormat/>
    <w:rsid w:val="005E4E47"/>
    <w:pPr>
      <w:widowControl/>
      <w:bidi w:val="0"/>
      <w:spacing w:before="0" w:after="0"/>
      <w:jc w:val="left"/>
    </w:pPr>
    <w:rPr>
      <w:rFonts w:asciiTheme="minorHAnsi" w:eastAsiaTheme="minorHAnsi" w:hAnsiTheme="minorHAnsi" w:cstheme="minorBidi"/>
      <w:color w:val="auto"/>
      <w:kern w:val="0"/>
      <w:sz w:val="22"/>
      <w:szCs w:val="22"/>
      <w:lang w:val="pl-PL" w:eastAsia="en-US" w:bidi="ar-SA"/>
    </w:rPr>
  </w:style>
  <w:style w:type="paragraph" w:styleId="BalloonText">
    <w:name w:val="Balloon Text"/>
    <w:basedOn w:val="Normal"/>
    <w:link w:val="TekstdymkaZnak"/>
    <w:uiPriority w:val="99"/>
    <w:semiHidden/>
    <w:unhideWhenUsed/>
    <w:qFormat/>
    <w:rsid w:val="005E4E47"/>
    <w:pPr>
      <w:spacing w:before="0" w:after="0" w:line="240" w:lineRule="auto"/>
    </w:pPr>
    <w:rPr>
      <w:rFonts w:ascii="Segoe UI" w:hAnsi="Segoe UI" w:cs="Segoe UI"/>
      <w:sz w:val="18"/>
      <w:szCs w:val="18"/>
    </w:rPr>
  </w:style>
  <w:style w:type="paragraph" w:customStyle="1" w:styleId="artartustawynprozporzdzenia">
    <w:name w:val="artartustawynprozporzdzenia"/>
    <w:basedOn w:val="Normal"/>
    <w:qFormat/>
    <w:rsid w:val="005E4E47"/>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
    <w:qFormat/>
    <w:rsid w:val="005E4E47"/>
    <w:pPr>
      <w:spacing w:beforeAutospacing="1"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817A-1BDC-4A3E-8F48-CA306649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3754</Words>
  <Characters>25326</Characters>
  <Application>Microsoft Office Word</Application>
  <DocSecurity>0</DocSecurity>
  <Lines>0</Lines>
  <Paragraphs>167</Paragraphs>
  <ScaleCrop>false</ScaleCrop>
  <Company>Łóddzki Urząd Wojewódzki</Company>
  <LinksUpToDate>false</LinksUpToDate>
  <CharactersWithSpaces>28868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Pajor (PPajor)</dc:creator>
  <cp:revision>9</cp:revision>
  <dcterms:created xsi:type="dcterms:W3CDTF">2024-12-05T14:37:00Z</dcterms:created>
  <dcterms:modified xsi:type="dcterms:W3CDTF">2024-12-18T10:43:49Z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