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F783" w14:textId="182615F8" w:rsidR="0013786D" w:rsidRPr="000F7A1E" w:rsidRDefault="007D6BDE" w:rsidP="00315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786D" w:rsidRPr="000F7A1E">
        <w:rPr>
          <w:b/>
          <w:sz w:val="28"/>
          <w:szCs w:val="28"/>
        </w:rPr>
        <w:t>OGŁOSZENIE</w:t>
      </w:r>
      <w:r w:rsidR="004235CB">
        <w:rPr>
          <w:b/>
          <w:sz w:val="28"/>
          <w:szCs w:val="28"/>
        </w:rPr>
        <w:t xml:space="preserve"> </w:t>
      </w:r>
      <w:r w:rsidR="0013786D" w:rsidRPr="000F7A1E">
        <w:rPr>
          <w:b/>
          <w:sz w:val="28"/>
          <w:szCs w:val="28"/>
        </w:rPr>
        <w:t>O NABORZE WNIOSKÓW</w:t>
      </w:r>
      <w:r w:rsidR="00BD2C9F">
        <w:rPr>
          <w:b/>
          <w:sz w:val="28"/>
          <w:szCs w:val="28"/>
        </w:rPr>
        <w:t xml:space="preserve"> </w:t>
      </w:r>
    </w:p>
    <w:p w14:paraId="0D5B5FA7" w14:textId="77777777" w:rsidR="00446B2A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2A6CAF2C" w14:textId="3575AF7B" w:rsidR="00446B2A" w:rsidRPr="00741EC4" w:rsidRDefault="00446B2A" w:rsidP="00D562A2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Minister </w:t>
      </w:r>
      <w:r w:rsidR="00D2277A">
        <w:rPr>
          <w:b/>
          <w:sz w:val="28"/>
        </w:rPr>
        <w:t>Klimatu</w:t>
      </w:r>
      <w:r w:rsidRPr="00741EC4">
        <w:rPr>
          <w:b/>
          <w:sz w:val="28"/>
        </w:rPr>
        <w:t>, jako Operator Programu</w:t>
      </w:r>
    </w:p>
    <w:p w14:paraId="2688EB20" w14:textId="5F9EA3F3" w:rsidR="00446B2A" w:rsidRPr="00741EC4" w:rsidRDefault="00446B2A" w:rsidP="00D562A2">
      <w:pPr>
        <w:jc w:val="center"/>
        <w:rPr>
          <w:b/>
          <w:sz w:val="28"/>
        </w:rPr>
      </w:pPr>
      <w:r w:rsidRPr="00741EC4">
        <w:rPr>
          <w:b/>
          <w:sz w:val="28"/>
        </w:rPr>
        <w:t>„Środowisko, Energia i Zmiany Klimatu”</w:t>
      </w:r>
    </w:p>
    <w:p w14:paraId="5AE41157" w14:textId="724F8A05" w:rsidR="00446B2A" w:rsidRPr="00315C5C" w:rsidRDefault="00446B2A" w:rsidP="001A509C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ogłasza </w:t>
      </w:r>
      <w:bookmarkStart w:id="1" w:name="_Hlk22120767"/>
      <w:r w:rsidRPr="00741EC4">
        <w:rPr>
          <w:b/>
          <w:sz w:val="28"/>
        </w:rPr>
        <w:t xml:space="preserve">nabór </w:t>
      </w:r>
      <w:bookmarkStart w:id="2" w:name="_Hlk22122924"/>
      <w:bookmarkStart w:id="3" w:name="_Hlk22118180"/>
      <w:r w:rsidRPr="00741EC4">
        <w:rPr>
          <w:b/>
          <w:sz w:val="28"/>
        </w:rPr>
        <w:t xml:space="preserve">wniosków </w:t>
      </w:r>
      <w:bookmarkStart w:id="4" w:name="_Hlk22125436"/>
      <w:r w:rsidR="003846B1" w:rsidRPr="00741EC4">
        <w:rPr>
          <w:b/>
          <w:sz w:val="28"/>
        </w:rPr>
        <w:t>o</w:t>
      </w:r>
      <w:r w:rsidRPr="00741EC4">
        <w:rPr>
          <w:b/>
          <w:sz w:val="28"/>
        </w:rPr>
        <w:t xml:space="preserve"> dofinansowanie </w:t>
      </w:r>
      <w:bookmarkStart w:id="5" w:name="_Hlk22124600"/>
      <w:r w:rsidR="007D65FB">
        <w:rPr>
          <w:b/>
          <w:sz w:val="28"/>
        </w:rPr>
        <w:t>p</w:t>
      </w:r>
      <w:r w:rsidR="000C7977">
        <w:rPr>
          <w:b/>
          <w:sz w:val="28"/>
        </w:rPr>
        <w:t>rojektów</w:t>
      </w:r>
      <w:bookmarkEnd w:id="1"/>
      <w:bookmarkEnd w:id="2"/>
      <w:bookmarkEnd w:id="4"/>
      <w:r w:rsidR="007D65FB">
        <w:rPr>
          <w:b/>
          <w:sz w:val="28"/>
        </w:rPr>
        <w:t xml:space="preserve"> na </w:t>
      </w:r>
      <w:r w:rsidR="002B0990">
        <w:rPr>
          <w:b/>
          <w:sz w:val="28"/>
        </w:rPr>
        <w:br/>
      </w:r>
      <w:r w:rsidR="007D65FB">
        <w:rPr>
          <w:b/>
          <w:sz w:val="28"/>
        </w:rPr>
        <w:t>„</w:t>
      </w:r>
      <w:r w:rsidR="007D65FB" w:rsidRPr="007D65FB">
        <w:rPr>
          <w:b/>
          <w:sz w:val="28"/>
        </w:rPr>
        <w:t>Realizację</w:t>
      </w:r>
      <w:r w:rsidR="007D65FB" w:rsidRPr="00D562A2">
        <w:rPr>
          <w:b/>
          <w:sz w:val="28"/>
        </w:rPr>
        <w:t xml:space="preserve"> inwestycji w zakresie zielono-niebieskiej infrastruktury </w:t>
      </w:r>
      <w:r w:rsidR="002B0990">
        <w:rPr>
          <w:b/>
          <w:sz w:val="28"/>
        </w:rPr>
        <w:br/>
      </w:r>
      <w:r w:rsidR="007D65FB" w:rsidRPr="00D562A2">
        <w:rPr>
          <w:b/>
          <w:sz w:val="28"/>
        </w:rPr>
        <w:t>w miastach</w:t>
      </w:r>
      <w:r w:rsidR="007D65FB">
        <w:rPr>
          <w:b/>
          <w:sz w:val="28"/>
        </w:rPr>
        <w:t xml:space="preserve">” </w:t>
      </w:r>
      <w:bookmarkStart w:id="6" w:name="_Hlk22121870"/>
      <w:r w:rsidRPr="00741EC4">
        <w:rPr>
          <w:b/>
          <w:sz w:val="28"/>
        </w:rPr>
        <w:t>finansowanych ze środków</w:t>
      </w:r>
      <w:bookmarkEnd w:id="6"/>
      <w:bookmarkEnd w:id="5"/>
      <w:r w:rsidR="001A509C">
        <w:rPr>
          <w:b/>
          <w:sz w:val="28"/>
        </w:rPr>
        <w:t xml:space="preserve"> </w:t>
      </w:r>
      <w:r w:rsidRPr="00315C5C">
        <w:rPr>
          <w:b/>
          <w:sz w:val="28"/>
        </w:rPr>
        <w:t>Mechanizmu Finansowego Europejskiego Obszaru Gospodarczego 2014-2021</w:t>
      </w:r>
    </w:p>
    <w:bookmarkEnd w:id="3"/>
    <w:p w14:paraId="3431A386" w14:textId="556AE3C6" w:rsidR="0013786D" w:rsidRPr="00741EC4" w:rsidRDefault="00446B2A" w:rsidP="00D562A2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na kwotę </w:t>
      </w:r>
      <w:r w:rsidR="001236A1" w:rsidRPr="001F7A90">
        <w:rPr>
          <w:b/>
          <w:sz w:val="28"/>
        </w:rPr>
        <w:t>23 029 413</w:t>
      </w:r>
      <w:r w:rsidR="001244C8" w:rsidRPr="00315C5C">
        <w:rPr>
          <w:b/>
          <w:sz w:val="28"/>
        </w:rPr>
        <w:t> </w:t>
      </w:r>
      <w:r w:rsidR="005816F6" w:rsidRPr="00315C5C">
        <w:rPr>
          <w:b/>
          <w:sz w:val="28"/>
        </w:rPr>
        <w:t>euro,</w:t>
      </w:r>
      <w:r w:rsidR="00007C10" w:rsidRPr="00315C5C">
        <w:rPr>
          <w:b/>
          <w:sz w:val="28"/>
        </w:rPr>
        <w:t xml:space="preserve"> </w:t>
      </w:r>
      <w:r w:rsidR="005816F6" w:rsidRPr="00741EC4">
        <w:rPr>
          <w:b/>
          <w:sz w:val="28"/>
        </w:rPr>
        <w:t>tj.</w:t>
      </w:r>
      <w:r w:rsidR="004435D3">
        <w:rPr>
          <w:b/>
          <w:sz w:val="28"/>
        </w:rPr>
        <w:t xml:space="preserve"> 99 392 643,57</w:t>
      </w:r>
      <w:r w:rsidR="00277537">
        <w:rPr>
          <w:b/>
          <w:sz w:val="28"/>
        </w:rPr>
        <w:t xml:space="preserve"> </w:t>
      </w:r>
      <w:r w:rsidR="005816F6" w:rsidRPr="00741EC4">
        <w:rPr>
          <w:b/>
          <w:sz w:val="28"/>
        </w:rPr>
        <w:t>zł</w:t>
      </w:r>
      <w:r w:rsidR="005816F6" w:rsidRPr="008066EB">
        <w:rPr>
          <w:vertAlign w:val="superscript"/>
        </w:rPr>
        <w:footnoteReference w:id="1"/>
      </w:r>
      <w:r w:rsidR="005816F6" w:rsidRPr="00741EC4">
        <w:rPr>
          <w:b/>
          <w:sz w:val="28"/>
        </w:rPr>
        <w:t>.</w:t>
      </w:r>
    </w:p>
    <w:p w14:paraId="18AA7F6C" w14:textId="0808D68A" w:rsidR="00674761" w:rsidRDefault="00674761" w:rsidP="001A509C">
      <w:pPr>
        <w:spacing w:before="120"/>
        <w:rPr>
          <w:b/>
          <w:sz w:val="28"/>
        </w:rPr>
      </w:pPr>
      <w:bookmarkStart w:id="7" w:name="_Hlk22722840"/>
      <w:bookmarkEnd w:id="0"/>
    </w:p>
    <w:p w14:paraId="561B2AB2" w14:textId="5E3E5D54" w:rsidR="00674761" w:rsidRDefault="00674761" w:rsidP="000063BC">
      <w:pPr>
        <w:spacing w:before="120"/>
        <w:jc w:val="center"/>
        <w:rPr>
          <w:b/>
          <w:sz w:val="28"/>
        </w:rPr>
      </w:pPr>
    </w:p>
    <w:p w14:paraId="198F4D83" w14:textId="77777777" w:rsidR="001A509C" w:rsidRPr="00D562A2" w:rsidRDefault="001A509C" w:rsidP="000063BC">
      <w:pPr>
        <w:spacing w:before="120"/>
        <w:jc w:val="center"/>
        <w:rPr>
          <w:b/>
          <w:sz w:val="28"/>
        </w:rPr>
      </w:pPr>
    </w:p>
    <w:p w14:paraId="0AF80BC4" w14:textId="028290DB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Cel </w:t>
      </w:r>
      <w:r w:rsidR="0054645B" w:rsidRPr="000F7A1E">
        <w:rPr>
          <w:b/>
        </w:rPr>
        <w:t>naboru</w:t>
      </w:r>
      <w:r w:rsidRPr="000F7A1E">
        <w:rPr>
          <w:b/>
        </w:rPr>
        <w:t xml:space="preserve"> </w:t>
      </w:r>
    </w:p>
    <w:p w14:paraId="11DEEB4C" w14:textId="6826D40B" w:rsidR="00596AE7" w:rsidRPr="00090A03" w:rsidRDefault="00CE1067" w:rsidP="00FD2EC8">
      <w:pPr>
        <w:pStyle w:val="HTML-wstpniesformatowany"/>
        <w:spacing w:before="120" w:line="240" w:lineRule="atLeast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</w:t>
      </w:r>
      <w:r w:rsidR="009E09A4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głównym </w:t>
      </w:r>
      <w:r w:rsidRPr="005B2910">
        <w:rPr>
          <w:rFonts w:ascii="Times New Roman" w:hAnsi="Times New Roman" w:cs="Times New Roman"/>
          <w:sz w:val="24"/>
          <w:szCs w:val="24"/>
          <w:lang w:val="pl-PL" w:eastAsia="pl-PL"/>
        </w:rPr>
        <w:t>naboru</w:t>
      </w:r>
      <w:r w:rsidR="009168D8" w:rsidRPr="005B2910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2"/>
      </w:r>
      <w:r w:rsidR="007B53AE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, którego dotyczy</w:t>
      </w:r>
      <w:r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3846B1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dofinansowanie </w:t>
      </w:r>
      <w:r w:rsidR="003B1590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p</w:t>
      </w:r>
      <w:r w:rsidR="000C7977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rojektów</w:t>
      </w:r>
      <w:r w:rsidR="003846B1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674761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w ramach obszaru programowego</w:t>
      </w:r>
      <w:r w:rsidR="00674761" w:rsidRPr="005B2910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 </w:t>
      </w:r>
      <w:r w:rsidR="00090A03" w:rsidRPr="00090A03">
        <w:rPr>
          <w:rFonts w:ascii="Times New Roman" w:hAnsi="Times New Roman"/>
          <w:i/>
          <w:sz w:val="24"/>
          <w:szCs w:val="24"/>
          <w:lang w:val="pl-PL" w:eastAsia="pl-PL"/>
        </w:rPr>
        <w:t>Łagodzenie zmian klimatu i adaptacja do ich skutków</w:t>
      </w:r>
      <w:r w:rsidR="00674761" w:rsidRPr="005B2910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, </w:t>
      </w:r>
      <w:r w:rsidR="007B53AE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jest</w:t>
      </w:r>
      <w:r w:rsidR="003846B1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1B1F6A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zwiększeni</w:t>
      </w:r>
      <w:r w:rsidR="007F3AA8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e</w:t>
      </w:r>
      <w:r w:rsidR="001B1F6A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odporności miast na negatywne zjawiska wynikające ze zmian klimatu oraz </w:t>
      </w:r>
      <w:r w:rsidR="001236A1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adaptacj</w:t>
      </w:r>
      <w:r w:rsidR="001A509C">
        <w:rPr>
          <w:rFonts w:ascii="Times New Roman" w:hAnsi="Times New Roman" w:cs="Times New Roman"/>
          <w:sz w:val="24"/>
          <w:szCs w:val="24"/>
          <w:lang w:val="pl-PL" w:eastAsia="pl-PL"/>
        </w:rPr>
        <w:t>a</w:t>
      </w:r>
      <w:r w:rsidR="003B1590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do </w:t>
      </w:r>
      <w:r w:rsidR="007F3AA8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tych </w:t>
      </w:r>
      <w:r w:rsidR="001236A1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zmian</w:t>
      </w:r>
      <w:r w:rsidR="003B1590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poprzez realizację inwestycji w zakresie zielono-niebieskiej infrastruktury</w:t>
      </w:r>
      <w:r w:rsidR="00D562A2" w:rsidRPr="00090A03">
        <w:rPr>
          <w:rFonts w:ascii="Times New Roman" w:hAnsi="Times New Roman" w:cs="Times New Roman"/>
          <w:sz w:val="24"/>
          <w:szCs w:val="24"/>
          <w:vertAlign w:val="superscript"/>
          <w:lang w:val="pl-PL" w:eastAsia="pl-PL"/>
        </w:rPr>
        <w:footnoteReference w:id="3"/>
      </w:r>
      <w:r w:rsidR="003B1590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miastach</w:t>
      </w:r>
      <w:r w:rsidR="008A1E47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poniżej 90 tys. mieszkańców</w:t>
      </w:r>
      <w:r w:rsidR="00653E06" w:rsidRPr="00090A03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  <w:r w:rsidR="00DC37B7" w:rsidRPr="00090A03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252359F7" w14:textId="78B0DC99" w:rsidR="00596AE7" w:rsidRPr="008066EB" w:rsidRDefault="00596AE7" w:rsidP="001B1F6A">
      <w:pPr>
        <w:pStyle w:val="HTML-wstpniesformatowany"/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Realizacja </w:t>
      </w:r>
      <w:r w:rsidR="001B1F6A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projektów</w:t>
      </w:r>
      <w:r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przyczyni </w:t>
      </w:r>
      <w:r w:rsidR="008066EB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się </w:t>
      </w:r>
      <w:r w:rsidR="00074621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do wzmocnienia odporności miast na negatywne skutki zmian klimatu, podniesienia świadomości społecznej w zakresie zmian klimatu</w:t>
      </w:r>
      <w:r w:rsidR="008E6F94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a także </w:t>
      </w:r>
      <w:r w:rsidR="001B1F6A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 </w:t>
      </w:r>
      <w:r w:rsidR="00221C57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ograniczenia emisji gazów ciep</w:t>
      </w:r>
      <w:r w:rsidR="001B1F6A" w:rsidRPr="005B29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larnianych na </w:t>
      </w:r>
      <w:r w:rsidR="00074621" w:rsidRPr="005B2910">
        <w:rPr>
          <w:rFonts w:ascii="Times New Roman" w:hAnsi="Times New Roman" w:cs="Times New Roman"/>
          <w:sz w:val="24"/>
          <w:szCs w:val="24"/>
          <w:lang w:val="pl-PL" w:eastAsia="pl-PL"/>
        </w:rPr>
        <w:t>poziomie lokalnych społeczności.</w:t>
      </w:r>
    </w:p>
    <w:p w14:paraId="799070F1" w14:textId="1A58E747" w:rsidR="00674761" w:rsidRPr="004C24F2" w:rsidRDefault="00674761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6628C3B7" w14:textId="20092CD0" w:rsidR="00667AC3" w:rsidRPr="001A509C" w:rsidRDefault="0013786D" w:rsidP="001A509C">
      <w:pPr>
        <w:numPr>
          <w:ilvl w:val="0"/>
          <w:numId w:val="1"/>
        </w:numPr>
        <w:spacing w:before="120" w:after="120"/>
        <w:rPr>
          <w:b/>
        </w:rPr>
      </w:pPr>
      <w:r w:rsidRPr="000F7A1E">
        <w:rPr>
          <w:b/>
        </w:rPr>
        <w:t xml:space="preserve">Rodzaj </w:t>
      </w:r>
      <w:r w:rsidR="00D562A2">
        <w:rPr>
          <w:b/>
        </w:rPr>
        <w:t>p</w:t>
      </w:r>
      <w:r w:rsidR="000C7977">
        <w:rPr>
          <w:b/>
        </w:rPr>
        <w:t>rojektów</w:t>
      </w:r>
    </w:p>
    <w:p w14:paraId="6076165D" w14:textId="1B08D8A5" w:rsidR="009D51AE" w:rsidRDefault="009D51AE" w:rsidP="001A509C">
      <w:pPr>
        <w:spacing w:before="120" w:after="120"/>
        <w:jc w:val="both"/>
      </w:pPr>
      <w:r w:rsidRPr="005B2910">
        <w:t xml:space="preserve">Nabór ma na celu wsparcie wdrażania przez </w:t>
      </w:r>
      <w:r w:rsidR="00315C2F" w:rsidRPr="005B2910">
        <w:t xml:space="preserve">miasta i </w:t>
      </w:r>
      <w:r w:rsidRPr="005B2910">
        <w:t xml:space="preserve">gminy </w:t>
      </w:r>
      <w:r w:rsidR="00315C2F" w:rsidRPr="005B2910">
        <w:t xml:space="preserve">przedsięwzięć </w:t>
      </w:r>
      <w:r w:rsidRPr="005B2910">
        <w:t xml:space="preserve">związanych </w:t>
      </w:r>
      <w:r w:rsidR="00922C1D" w:rsidRPr="005B2910">
        <w:br/>
      </w:r>
      <w:r w:rsidRPr="005B2910">
        <w:t xml:space="preserve">z przystosowywaniem do zmian klimatu </w:t>
      </w:r>
      <w:r w:rsidR="00817EAC" w:rsidRPr="005B2910">
        <w:t>oraz</w:t>
      </w:r>
      <w:r w:rsidRPr="005B2910">
        <w:t xml:space="preserve"> łagodzeni</w:t>
      </w:r>
      <w:r w:rsidR="00817EAC" w:rsidRPr="005B2910">
        <w:t>em</w:t>
      </w:r>
      <w:r w:rsidRPr="005B2910">
        <w:t xml:space="preserve"> zmian klimatu (działania adaptacyjne i </w:t>
      </w:r>
      <w:proofErr w:type="spellStart"/>
      <w:r w:rsidRPr="005B2910">
        <w:t>mitygacyjne</w:t>
      </w:r>
      <w:proofErr w:type="spellEnd"/>
      <w:r w:rsidR="00C25695" w:rsidRPr="005B2910">
        <w:t>),</w:t>
      </w:r>
      <w:r w:rsidRPr="005B2910">
        <w:t xml:space="preserve"> wynikających z planów adaptacji do zmian klimatu. Wnioskodawcy mogą ubiegać się o </w:t>
      </w:r>
      <w:r w:rsidR="00817EAC" w:rsidRPr="005B2910">
        <w:t>środki finansowe na</w:t>
      </w:r>
      <w:r w:rsidRPr="005B2910">
        <w:t xml:space="preserve"> </w:t>
      </w:r>
      <w:r w:rsidR="00315C2F" w:rsidRPr="005B2910">
        <w:t>działania</w:t>
      </w:r>
      <w:r w:rsidR="00817EAC" w:rsidRPr="005B2910">
        <w:t xml:space="preserve"> związane ze</w:t>
      </w:r>
      <w:r w:rsidRPr="005B2910">
        <w:t xml:space="preserve"> zwiększeni</w:t>
      </w:r>
      <w:r w:rsidR="00817EAC" w:rsidRPr="005B2910">
        <w:t>em</w:t>
      </w:r>
      <w:r w:rsidRPr="005B2910">
        <w:t xml:space="preserve"> odporności na zmiany klimatu oraz zmniejszeni</w:t>
      </w:r>
      <w:r w:rsidR="00817EAC" w:rsidRPr="005B2910">
        <w:t>em</w:t>
      </w:r>
      <w:r w:rsidRPr="005B2910">
        <w:t xml:space="preserve"> emisji m.in. z transportu i innych sektorów, w tym rewitalizacj</w:t>
      </w:r>
      <w:r w:rsidR="001A509C">
        <w:t>ę</w:t>
      </w:r>
      <w:r w:rsidRPr="005B2910">
        <w:t xml:space="preserve"> i </w:t>
      </w:r>
      <w:r w:rsidR="00461996" w:rsidRPr="005B2910">
        <w:t>rozw</w:t>
      </w:r>
      <w:r w:rsidR="00B36D35" w:rsidRPr="005B2910">
        <w:t>ój</w:t>
      </w:r>
      <w:r w:rsidR="00461996" w:rsidRPr="005B2910">
        <w:t xml:space="preserve"> </w:t>
      </w:r>
      <w:r w:rsidRPr="005B2910">
        <w:t xml:space="preserve">terenów </w:t>
      </w:r>
      <w:r w:rsidRPr="00277537">
        <w:t>ziel</w:t>
      </w:r>
      <w:r w:rsidR="005F12B1" w:rsidRPr="00277537">
        <w:t>eni</w:t>
      </w:r>
      <w:r w:rsidR="00315C2F" w:rsidRPr="005B2910">
        <w:t xml:space="preserve"> oraz lepsze zarządzani</w:t>
      </w:r>
      <w:r w:rsidR="00B36D35" w:rsidRPr="005B2910">
        <w:t>e</w:t>
      </w:r>
      <w:r w:rsidR="00315C2F" w:rsidRPr="005B2910">
        <w:t xml:space="preserve"> zasobami wodnymi, </w:t>
      </w:r>
      <w:r w:rsidR="00B36D35" w:rsidRPr="005B2910">
        <w:t xml:space="preserve">np. poprzez </w:t>
      </w:r>
      <w:r w:rsidR="00315C2F" w:rsidRPr="005B2910">
        <w:t>ret</w:t>
      </w:r>
      <w:r w:rsidR="00B36D35" w:rsidRPr="005B2910">
        <w:t>encję</w:t>
      </w:r>
      <w:r w:rsidR="00315C2F" w:rsidRPr="005B2910">
        <w:t xml:space="preserve"> wody. </w:t>
      </w:r>
      <w:r w:rsidR="009B3CE0">
        <w:rPr>
          <w:rStyle w:val="tlid-translation"/>
        </w:rPr>
        <w:t xml:space="preserve">Wniosek aplikacyjny powinien zawierać działania edukacyjne </w:t>
      </w:r>
      <w:r w:rsidR="009B3CE0">
        <w:rPr>
          <w:rStyle w:val="tlid-translation"/>
        </w:rPr>
        <w:br/>
        <w:t>i uświadamiające jako zintegrowane części wniosku.</w:t>
      </w:r>
    </w:p>
    <w:p w14:paraId="6DE01AF6" w14:textId="13122923" w:rsidR="00823863" w:rsidRDefault="00823863" w:rsidP="005E46C9">
      <w:pPr>
        <w:autoSpaceDE w:val="0"/>
        <w:autoSpaceDN w:val="0"/>
        <w:adjustRightInd w:val="0"/>
        <w:spacing w:line="276" w:lineRule="auto"/>
        <w:jc w:val="both"/>
      </w:pPr>
    </w:p>
    <w:p w14:paraId="19C0F24B" w14:textId="145ED0D0" w:rsidR="00EB639D" w:rsidRDefault="006B3B65" w:rsidP="00BB4BBC">
      <w:pPr>
        <w:spacing w:line="276" w:lineRule="auto"/>
        <w:jc w:val="both"/>
      </w:pPr>
      <w:r w:rsidRPr="00BB4BBC">
        <w:lastRenderedPageBreak/>
        <w:t xml:space="preserve">Projekty wybrane w ramach </w:t>
      </w:r>
      <w:r>
        <w:t xml:space="preserve">naboru </w:t>
      </w:r>
      <w:r w:rsidRPr="00BB4BBC">
        <w:t xml:space="preserve">przyczynią się do osiągnięcia </w:t>
      </w:r>
      <w:r w:rsidR="00207D8C">
        <w:t xml:space="preserve">1 </w:t>
      </w:r>
      <w:r w:rsidR="00BB4BBC">
        <w:t>R</w:t>
      </w:r>
      <w:r w:rsidRPr="00BB4BBC">
        <w:t xml:space="preserve">ezultatu </w:t>
      </w:r>
      <w:r w:rsidR="00E63857">
        <w:t>P</w:t>
      </w:r>
      <w:r w:rsidRPr="00BB4BBC">
        <w:t>rogramu: „</w:t>
      </w:r>
      <w:r w:rsidR="00383788" w:rsidRPr="00DE03C5">
        <w:t xml:space="preserve">Zwiększona zdolność lokalnych społeczności do ograniczania emisji i </w:t>
      </w:r>
      <w:r w:rsidR="00F33612" w:rsidRPr="00DE03C5">
        <w:t xml:space="preserve">adaptacji </w:t>
      </w:r>
      <w:r w:rsidR="00383788" w:rsidRPr="00DE03C5">
        <w:t>do zmian klimatu</w:t>
      </w:r>
      <w:r w:rsidRPr="00DE03C5">
        <w:t>”</w:t>
      </w:r>
      <w:r w:rsidR="00BB4BBC" w:rsidRPr="00DE03C5">
        <w:t xml:space="preserve"> </w:t>
      </w:r>
      <w:r w:rsidRPr="00DE03C5">
        <w:t xml:space="preserve">oraz </w:t>
      </w:r>
      <w:r w:rsidR="00682224" w:rsidRPr="00DE03C5">
        <w:t>W</w:t>
      </w:r>
      <w:r w:rsidR="00BB4BBC" w:rsidRPr="00DE03C5">
        <w:t xml:space="preserve">yniku </w:t>
      </w:r>
      <w:r w:rsidRPr="00DE03C5">
        <w:t>1.1</w:t>
      </w:r>
      <w:r w:rsidRPr="00BB4BBC">
        <w:t xml:space="preserve"> „</w:t>
      </w:r>
      <w:r w:rsidR="00BB4BBC" w:rsidRPr="00CB543F">
        <w:t xml:space="preserve">Wdrażanie działań z </w:t>
      </w:r>
      <w:r w:rsidR="00057F9A" w:rsidRPr="00CB543F">
        <w:t>zakresu łagodzenia zmian klimatu i adaptacji</w:t>
      </w:r>
      <w:r w:rsidR="00BB4BBC" w:rsidRPr="00CB543F">
        <w:t xml:space="preserve"> ich skutków na poziomie miejskim</w:t>
      </w:r>
      <w:r w:rsidRPr="00BB4BBC">
        <w:t>”</w:t>
      </w:r>
      <w:r w:rsidR="00BB4BBC">
        <w:t xml:space="preserve">, dla </w:t>
      </w:r>
      <w:r w:rsidRPr="00BB4BBC">
        <w:t>któr</w:t>
      </w:r>
      <w:r w:rsidR="00BB4BBC">
        <w:t>ych</w:t>
      </w:r>
      <w:r w:rsidRPr="00BB4BBC">
        <w:t xml:space="preserve"> wskaźniki i </w:t>
      </w:r>
      <w:r w:rsidR="00682224">
        <w:t>wartości docelowe</w:t>
      </w:r>
      <w:r w:rsidRPr="00BB4BBC">
        <w:t xml:space="preserve"> wymieniono w poniższej tabeli, zgodnie z załącznikiem I do </w:t>
      </w:r>
      <w:r w:rsidR="00CB731C">
        <w:t>U</w:t>
      </w:r>
      <w:r w:rsidRPr="00BB4BBC">
        <w:t xml:space="preserve">mowy </w:t>
      </w:r>
      <w:r w:rsidR="00CB731C">
        <w:t>w sprawie P</w:t>
      </w:r>
      <w:r w:rsidRPr="00BB4BBC">
        <w:t>rogram</w:t>
      </w:r>
      <w:r w:rsidR="00CB731C">
        <w:t>u</w:t>
      </w:r>
      <w:r w:rsidRPr="00BB4BBC">
        <w:t>, podpisan</w:t>
      </w:r>
      <w:r w:rsidR="00BB4BBC">
        <w:t>ej</w:t>
      </w:r>
      <w:r w:rsidRPr="00BB4BBC">
        <w:t xml:space="preserve"> </w:t>
      </w:r>
      <w:r w:rsidR="00CF6557">
        <w:br/>
      </w:r>
      <w:r w:rsidRPr="00BB4BBC">
        <w:t xml:space="preserve">w </w:t>
      </w:r>
      <w:r w:rsidR="00EB639D">
        <w:t xml:space="preserve">Warszawie w </w:t>
      </w:r>
      <w:r w:rsidRPr="00BB4BBC">
        <w:t>dniu</w:t>
      </w:r>
      <w:r w:rsidR="00EB639D">
        <w:t xml:space="preserve"> 7.02.2020 r.</w:t>
      </w:r>
    </w:p>
    <w:p w14:paraId="65026448" w14:textId="3DEE46BF" w:rsidR="006B3B65" w:rsidRPr="00BB4BBC" w:rsidRDefault="006B3B65" w:rsidP="00BB4BBC">
      <w:pPr>
        <w:spacing w:line="276" w:lineRule="auto"/>
        <w:jc w:val="both"/>
      </w:pPr>
    </w:p>
    <w:p w14:paraId="3AC0DCF6" w14:textId="6D653078" w:rsidR="006B3B65" w:rsidRPr="003469B6" w:rsidRDefault="00E97636" w:rsidP="00E97636">
      <w:pPr>
        <w:pStyle w:val="tddiv"/>
        <w:pBdr>
          <w:left w:val="none" w:sz="0" w:space="5" w:color="auto"/>
          <w:right w:val="none" w:sz="0" w:space="5" w:color="auto"/>
        </w:pBdr>
        <w:jc w:val="both"/>
        <w:rPr>
          <w:rFonts w:eastAsia="Times New Roman"/>
          <w:lang w:val="pl-PL"/>
        </w:rPr>
      </w:pPr>
      <w:r w:rsidRPr="003469B6">
        <w:rPr>
          <w:rFonts w:eastAsia="Times New Roman"/>
          <w:lang w:val="pl-PL"/>
        </w:rPr>
        <w:t xml:space="preserve">Tabela </w:t>
      </w:r>
      <w:r w:rsidR="00EB639D" w:rsidRPr="003469B6">
        <w:rPr>
          <w:rFonts w:eastAsia="Times New Roman"/>
          <w:lang w:val="pl-PL"/>
        </w:rPr>
        <w:t>1</w:t>
      </w:r>
      <w:r w:rsidRPr="003469B6">
        <w:rPr>
          <w:rFonts w:eastAsia="Times New Roman"/>
          <w:lang w:val="pl-PL"/>
        </w:rPr>
        <w:t>.</w:t>
      </w:r>
      <w:r w:rsidR="00EB639D" w:rsidRPr="003469B6">
        <w:rPr>
          <w:rFonts w:eastAsia="Times New Roman"/>
          <w:lang w:val="pl-PL"/>
        </w:rPr>
        <w:t xml:space="preserve"> Docelowe wskaźniki dla obszaru programowego </w:t>
      </w:r>
      <w:r w:rsidR="00F13E2E" w:rsidRPr="003469B6">
        <w:rPr>
          <w:i/>
          <w:lang w:val="pl-PL" w:eastAsia="pl-PL"/>
        </w:rPr>
        <w:t xml:space="preserve">Łagodzenie zmian klimatu </w:t>
      </w:r>
      <w:r w:rsidR="00FF56BE" w:rsidRPr="003469B6">
        <w:rPr>
          <w:i/>
          <w:lang w:val="pl-PL" w:eastAsia="pl-PL"/>
        </w:rPr>
        <w:br/>
      </w:r>
      <w:r w:rsidR="00F13E2E" w:rsidRPr="003469B6">
        <w:rPr>
          <w:i/>
          <w:lang w:val="pl-PL" w:eastAsia="pl-PL"/>
        </w:rPr>
        <w:t>i adaptacja do ich skutków</w:t>
      </w:r>
    </w:p>
    <w:tbl>
      <w:tblPr>
        <w:tblStyle w:val="con-table-width"/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5"/>
        <w:gridCol w:w="993"/>
        <w:gridCol w:w="1698"/>
        <w:gridCol w:w="2126"/>
        <w:gridCol w:w="1134"/>
        <w:gridCol w:w="992"/>
        <w:gridCol w:w="1134"/>
      </w:tblGrid>
      <w:tr w:rsidR="003469B6" w:rsidRPr="00922C1D" w14:paraId="5B8C3B34" w14:textId="77777777" w:rsidTr="00DD17B6">
        <w:trPr>
          <w:tblHeader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04820D" w14:textId="1C3FBBC1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Obszar Programowy (PA)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FDF7E0" w14:textId="546F5C61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Rezultat/</w:t>
            </w:r>
          </w:p>
          <w:p w14:paraId="6B1B2D54" w14:textId="20AD1823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Wynik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A6F15F" w14:textId="48082809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 xml:space="preserve">Oczekiwanie rezultaty </w:t>
            </w:r>
            <w:r w:rsidR="00E63857">
              <w:rPr>
                <w:rFonts w:eastAsia="Times New Roman"/>
                <w:sz w:val="20"/>
                <w:szCs w:val="20"/>
                <w:lang w:val="pl-PL"/>
              </w:rPr>
              <w:t>P</w:t>
            </w:r>
            <w:r w:rsidRPr="00922C1D">
              <w:rPr>
                <w:rFonts w:eastAsia="Times New Roman"/>
                <w:sz w:val="20"/>
                <w:szCs w:val="20"/>
                <w:lang w:val="pl-PL"/>
              </w:rPr>
              <w:t xml:space="preserve">rogramu  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8674BE" w14:textId="3AE77B95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Wskaźnik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3995CE" w14:textId="1EFA613E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Jednostka miary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70799C" w14:textId="0AAEBD32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Wartość bazowa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9BF60F" w14:textId="1C056336" w:rsidR="00936C21" w:rsidRPr="00922C1D" w:rsidRDefault="00936C21" w:rsidP="00062D0B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Wartość docelowa</w:t>
            </w:r>
          </w:p>
        </w:tc>
      </w:tr>
      <w:tr w:rsidR="00DD17B6" w:rsidRPr="00922C1D" w14:paraId="10F0375F" w14:textId="77777777" w:rsidTr="00DD17B6"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2913ED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PA13</w:t>
            </w:r>
          </w:p>
        </w:tc>
        <w:tc>
          <w:tcPr>
            <w:tcW w:w="5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9676CE" w14:textId="77777777" w:rsidR="00936C21" w:rsidRPr="00922C1D" w:rsidRDefault="00936C21" w:rsidP="006822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2C1D">
              <w:rPr>
                <w:sz w:val="20"/>
                <w:szCs w:val="20"/>
              </w:rPr>
              <w:t>Rezultat 1</w:t>
            </w:r>
          </w:p>
          <w:p w14:paraId="13EE24DF" w14:textId="64BCD499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093436" w14:textId="4C4BB525" w:rsidR="00936C21" w:rsidRPr="00922C1D" w:rsidRDefault="00936C21" w:rsidP="00DD17B6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33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</w:rPr>
              <w:t xml:space="preserve">Zwiększona zdolność lokalnych społeczności do ograniczania emisji i </w:t>
            </w:r>
            <w:r w:rsidRPr="00922C1D">
              <w:rPr>
                <w:sz w:val="20"/>
                <w:szCs w:val="20"/>
                <w:lang w:val="pl-PL"/>
              </w:rPr>
              <w:t xml:space="preserve">adaptacji </w:t>
            </w:r>
            <w:r w:rsidRPr="00922C1D">
              <w:rPr>
                <w:sz w:val="20"/>
                <w:szCs w:val="20"/>
              </w:rPr>
              <w:t>do zmian klimatu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24D41C" w14:textId="7CC1C165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  <w:lang w:val="pl-PL"/>
              </w:rPr>
              <w:t xml:space="preserve">Liczba mieszkańców, którzy korzystają z działań adaptacyjnych i </w:t>
            </w:r>
            <w:proofErr w:type="spellStart"/>
            <w:r w:rsidRPr="00922C1D">
              <w:rPr>
                <w:sz w:val="20"/>
                <w:szCs w:val="20"/>
                <w:lang w:val="pl-PL"/>
              </w:rPr>
              <w:t>mitygacyjnych</w:t>
            </w:r>
            <w:proofErr w:type="spellEnd"/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E9FD80" w14:textId="0958D515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1C6173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7ABE18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250000</w:t>
            </w:r>
          </w:p>
        </w:tc>
      </w:tr>
      <w:tr w:rsidR="00DD17B6" w:rsidRPr="00922C1D" w14:paraId="48DF6AED" w14:textId="77777777" w:rsidTr="00DD17B6">
        <w:trPr>
          <w:trHeight w:val="1036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BCB8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ED169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478A4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152112" w14:textId="30253328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  <w:lang w:val="pl-PL"/>
              </w:rPr>
              <w:t>Liczba wspieranych miejskich planów działań na rzecz adaptacji i łagodzenia zmian klimatu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A25BD3" w14:textId="75D4B513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23736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C778B1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D17B6" w:rsidRPr="00922C1D" w14:paraId="13DA5BAA" w14:textId="77777777" w:rsidTr="00DD17B6"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CA38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E0A25E" w14:textId="77777777" w:rsidR="00936C21" w:rsidRPr="00922C1D" w:rsidRDefault="00936C21" w:rsidP="006822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2C1D">
              <w:rPr>
                <w:sz w:val="20"/>
                <w:szCs w:val="20"/>
              </w:rPr>
              <w:t>Wynik 1.1</w:t>
            </w:r>
          </w:p>
          <w:p w14:paraId="7067B5C2" w14:textId="60140E1B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B4D780" w14:textId="054AC5DC" w:rsidR="00936C21" w:rsidRPr="00922C1D" w:rsidRDefault="00936C21" w:rsidP="005F12B1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33" w:right="108"/>
              <w:rPr>
                <w:rFonts w:eastAsia="Times New Roman"/>
                <w:sz w:val="20"/>
                <w:szCs w:val="20"/>
              </w:rPr>
            </w:pPr>
            <w:r w:rsidRPr="00277537">
              <w:rPr>
                <w:sz w:val="20"/>
                <w:szCs w:val="20"/>
                <w:lang w:val="pl-PL"/>
              </w:rPr>
              <w:t xml:space="preserve">Wdrażanie działań z zakresu </w:t>
            </w:r>
            <w:r w:rsidR="005F12B1" w:rsidRPr="00277537">
              <w:rPr>
                <w:sz w:val="20"/>
                <w:szCs w:val="20"/>
                <w:lang w:val="pl-PL"/>
              </w:rPr>
              <w:t xml:space="preserve">łagodzenia </w:t>
            </w:r>
            <w:r w:rsidRPr="00277537">
              <w:rPr>
                <w:sz w:val="20"/>
                <w:szCs w:val="20"/>
                <w:lang w:val="pl-PL"/>
              </w:rPr>
              <w:t xml:space="preserve">zmian klimatu i </w:t>
            </w:r>
            <w:r w:rsidR="005F12B1" w:rsidRPr="00277537">
              <w:rPr>
                <w:sz w:val="20"/>
                <w:szCs w:val="20"/>
                <w:lang w:val="pl-PL"/>
              </w:rPr>
              <w:t xml:space="preserve">adaptacji do </w:t>
            </w:r>
            <w:r w:rsidRPr="00277537">
              <w:rPr>
                <w:sz w:val="20"/>
                <w:szCs w:val="20"/>
                <w:lang w:val="pl-PL"/>
              </w:rPr>
              <w:t>ich skutków na poziomie miejskim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BC2571" w14:textId="199C5C48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  <w:lang w:val="pl-PL"/>
              </w:rPr>
              <w:t>Liczba zrealizowanych inwestycji z zakresu zielonej i niebieskiej infrastruktury</w:t>
            </w:r>
            <w:r w:rsidRPr="00922C1D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F50EA7" w14:textId="4BC4DB59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1F9802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F3EA29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DD17B6" w:rsidRPr="00922C1D" w14:paraId="0AC77D48" w14:textId="77777777" w:rsidTr="00DD17B6"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A2C2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9E88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87C6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3C6B88" w14:textId="0DE4E14B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</w:rPr>
              <w:t>Liczba przeszkolonych ekspertów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F60783" w14:textId="7346C13C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E3A423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72EE76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DD17B6" w:rsidRPr="00922C1D" w14:paraId="290458B8" w14:textId="77777777" w:rsidTr="00DD17B6"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8734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B353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6466" w14:textId="77777777" w:rsidR="00936C21" w:rsidRPr="00922C1D" w:rsidRDefault="00936C21" w:rsidP="00062D0B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EA709A" w14:textId="55A39BF1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922C1D">
              <w:rPr>
                <w:sz w:val="20"/>
                <w:szCs w:val="20"/>
                <w:lang w:val="pl-PL"/>
              </w:rPr>
              <w:t>Liczba osób objętych kampaniami podnoszącymi świadomość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EE8BBA" w14:textId="3D6E77E4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EED7A8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7CA7C9" w14:textId="77777777" w:rsidR="00936C21" w:rsidRPr="00922C1D" w:rsidRDefault="00936C21" w:rsidP="00062D0B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922C1D">
              <w:rPr>
                <w:rFonts w:eastAsia="Times New Roman"/>
                <w:sz w:val="20"/>
                <w:szCs w:val="20"/>
              </w:rPr>
              <w:t>200000</w:t>
            </w:r>
          </w:p>
        </w:tc>
      </w:tr>
    </w:tbl>
    <w:p w14:paraId="5077A375" w14:textId="77777777" w:rsidR="00682224" w:rsidRDefault="00682224" w:rsidP="005E46C9">
      <w:pPr>
        <w:autoSpaceDE w:val="0"/>
        <w:autoSpaceDN w:val="0"/>
        <w:adjustRightInd w:val="0"/>
        <w:spacing w:line="276" w:lineRule="auto"/>
        <w:jc w:val="both"/>
      </w:pPr>
    </w:p>
    <w:p w14:paraId="2376BD07" w14:textId="3C2E6A70" w:rsidR="00CF5901" w:rsidRDefault="005E46C9" w:rsidP="005E46C9">
      <w:pPr>
        <w:autoSpaceDE w:val="0"/>
        <w:autoSpaceDN w:val="0"/>
        <w:adjustRightInd w:val="0"/>
        <w:spacing w:line="276" w:lineRule="auto"/>
        <w:jc w:val="both"/>
        <w:rPr>
          <w:rFonts w:cs="Arial"/>
          <w:iCs/>
        </w:rPr>
      </w:pPr>
      <w:r>
        <w:t xml:space="preserve">Warunkiem realizacji projektu będzie </w:t>
      </w:r>
      <w:r>
        <w:rPr>
          <w:rStyle w:val="tlid-translation"/>
        </w:rPr>
        <w:t xml:space="preserve">zgodność planu </w:t>
      </w:r>
      <w:r w:rsidR="005F12B1" w:rsidRPr="00D04D9D">
        <w:rPr>
          <w:rStyle w:val="tlid-translation"/>
        </w:rPr>
        <w:t xml:space="preserve">adaptacji </w:t>
      </w:r>
      <w:r w:rsidRPr="00D04D9D">
        <w:rPr>
          <w:rStyle w:val="tlid-translation"/>
        </w:rPr>
        <w:t>z</w:t>
      </w:r>
      <w:r>
        <w:rPr>
          <w:rStyle w:val="tlid-translation"/>
        </w:rPr>
        <w:t xml:space="preserve"> </w:t>
      </w:r>
      <w:r>
        <w:rPr>
          <w:rFonts w:cs="Arial"/>
          <w:iCs/>
        </w:rPr>
        <w:t>„Podręcznikiem adaptacji dla miast – wytycznymi do przygotowania Miejskiego Planu Adaptacji do zmian klimatu”</w:t>
      </w:r>
      <w:r>
        <w:rPr>
          <w:rStyle w:val="Odwoanieprzypisudolnego"/>
          <w:rFonts w:eastAsia="Calibri" w:cs="Arial"/>
          <w:iCs/>
        </w:rPr>
        <w:footnoteReference w:id="5"/>
      </w:r>
      <w:r>
        <w:rPr>
          <w:rFonts w:cs="Arial"/>
          <w:iCs/>
        </w:rPr>
        <w:t xml:space="preserve">. </w:t>
      </w:r>
    </w:p>
    <w:p w14:paraId="23A94625" w14:textId="5C505563" w:rsidR="00CF5901" w:rsidRDefault="00CF5901" w:rsidP="005E46C9">
      <w:pPr>
        <w:autoSpaceDE w:val="0"/>
        <w:autoSpaceDN w:val="0"/>
        <w:adjustRightInd w:val="0"/>
        <w:spacing w:line="276" w:lineRule="auto"/>
        <w:jc w:val="both"/>
      </w:pPr>
    </w:p>
    <w:p w14:paraId="69C61B19" w14:textId="2C67F633" w:rsidR="005E46C9" w:rsidRPr="0078519E" w:rsidRDefault="008E6F94" w:rsidP="005E46C9">
      <w:pPr>
        <w:autoSpaceDE w:val="0"/>
        <w:autoSpaceDN w:val="0"/>
        <w:adjustRightInd w:val="0"/>
        <w:spacing w:line="276" w:lineRule="auto"/>
        <w:jc w:val="both"/>
      </w:pPr>
      <w:r>
        <w:t>D</w:t>
      </w:r>
      <w:r w:rsidR="005E46C9" w:rsidRPr="0078519E">
        <w:t xml:space="preserve">opuszcza się możliwość kwalifikowania działań wynikających z innych </w:t>
      </w:r>
      <w:r w:rsidR="00605AFC">
        <w:t xml:space="preserve">niż miejski plan adaptacji do zmian klimatu </w:t>
      </w:r>
      <w:r w:rsidR="005E46C9" w:rsidRPr="0078519E">
        <w:t>dokumentów strategicznych</w:t>
      </w:r>
      <w:r w:rsidR="005E46C9" w:rsidRPr="0078519E">
        <w:rPr>
          <w:rStyle w:val="Odwoanieprzypisudolnego"/>
        </w:rPr>
        <w:footnoteReference w:id="6"/>
      </w:r>
      <w:r w:rsidR="005E46C9">
        <w:t xml:space="preserve">, zgodnych z celem ogłoszenia </w:t>
      </w:r>
      <w:r w:rsidR="00F34530">
        <w:br/>
      </w:r>
      <w:r w:rsidR="005E46C9">
        <w:t>o naborze</w:t>
      </w:r>
      <w:r w:rsidR="005E46C9" w:rsidRPr="005E46C9">
        <w:rPr>
          <w:color w:val="FF0000"/>
        </w:rPr>
        <w:t>.</w:t>
      </w:r>
      <w:r w:rsidR="005E46C9">
        <w:t xml:space="preserve"> </w:t>
      </w:r>
    </w:p>
    <w:p w14:paraId="69AAFF6A" w14:textId="2A83063E" w:rsidR="002F4E19" w:rsidRDefault="002F4E19" w:rsidP="00FD2EC8">
      <w:pPr>
        <w:spacing w:line="276" w:lineRule="auto"/>
        <w:jc w:val="both"/>
      </w:pPr>
    </w:p>
    <w:p w14:paraId="5DDDE775" w14:textId="54BAD2C8" w:rsidR="00394866" w:rsidRDefault="0025158F" w:rsidP="00FD2EC8">
      <w:pPr>
        <w:spacing w:line="276" w:lineRule="auto"/>
        <w:jc w:val="both"/>
        <w:rPr>
          <w:rStyle w:val="tlid-translation"/>
        </w:rPr>
      </w:pPr>
      <w:r>
        <w:lastRenderedPageBreak/>
        <w:t>Projekty</w:t>
      </w:r>
      <w:r w:rsidRPr="000F7A1E">
        <w:t xml:space="preserve"> kwalifikujące się do dofinansowania </w:t>
      </w:r>
      <w:r w:rsidR="009B7783">
        <w:t>muszą</w:t>
      </w:r>
      <w:r w:rsidR="009B7783" w:rsidRPr="000F7A1E">
        <w:t xml:space="preserve"> </w:t>
      </w:r>
      <w:r w:rsidRPr="000F7A1E">
        <w:t xml:space="preserve">mieć </w:t>
      </w:r>
      <w:r>
        <w:t xml:space="preserve">kompleksowy </w:t>
      </w:r>
      <w:r w:rsidRPr="000F7A1E">
        <w:t>charakter</w:t>
      </w:r>
      <w:r w:rsidR="00394866">
        <w:t xml:space="preserve"> </w:t>
      </w:r>
      <w:r w:rsidR="00A35E86">
        <w:br/>
      </w:r>
      <w:r w:rsidR="00394866">
        <w:t xml:space="preserve">tzn. </w:t>
      </w:r>
      <w:r w:rsidR="00394866" w:rsidRPr="0035462E">
        <w:t xml:space="preserve">uwzględniać działania adaptacyjne, </w:t>
      </w:r>
      <w:proofErr w:type="spellStart"/>
      <w:r w:rsidR="00394866" w:rsidRPr="0035462E">
        <w:t>mitygacyjne</w:t>
      </w:r>
      <w:proofErr w:type="spellEnd"/>
      <w:r w:rsidR="00394866" w:rsidRPr="0035462E">
        <w:t xml:space="preserve"> i działania </w:t>
      </w:r>
      <w:proofErr w:type="spellStart"/>
      <w:r w:rsidR="00394866" w:rsidRPr="0035462E">
        <w:t>edukacyjno</w:t>
      </w:r>
      <w:proofErr w:type="spellEnd"/>
      <w:r w:rsidR="00394866" w:rsidRPr="0035462E">
        <w:t xml:space="preserve"> – informacyjne</w:t>
      </w:r>
      <w:r w:rsidR="00394866" w:rsidRPr="00823863">
        <w:rPr>
          <w:vertAlign w:val="superscript"/>
        </w:rPr>
        <w:footnoteReference w:id="7"/>
      </w:r>
      <w:r w:rsidR="00394866" w:rsidRPr="0035462E">
        <w:t xml:space="preserve"> oraz wskazywać ich wzajemne powiązanie</w:t>
      </w:r>
      <w:r w:rsidR="00394866">
        <w:t>.</w:t>
      </w:r>
      <w:r w:rsidR="00394866" w:rsidRPr="0035462E">
        <w:t xml:space="preserve"> </w:t>
      </w:r>
      <w:r w:rsidR="009B7783">
        <w:t xml:space="preserve">Kompleksowość projektu zostanie zweryfikowana w procesie jego oceny. </w:t>
      </w:r>
    </w:p>
    <w:p w14:paraId="71755097" w14:textId="698FE043" w:rsidR="00FD2EC8" w:rsidRDefault="00FD2EC8" w:rsidP="00FD2EC8">
      <w:pPr>
        <w:spacing w:line="276" w:lineRule="auto"/>
        <w:jc w:val="both"/>
      </w:pPr>
    </w:p>
    <w:p w14:paraId="6FF8F67B" w14:textId="7B53808D" w:rsidR="00751D05" w:rsidRDefault="00CE1067" w:rsidP="00FD2EC8">
      <w:pPr>
        <w:spacing w:line="276" w:lineRule="auto"/>
        <w:jc w:val="both"/>
        <w:rPr>
          <w:rStyle w:val="tlid-translation"/>
        </w:rPr>
      </w:pPr>
      <w:r w:rsidRPr="00B37092">
        <w:rPr>
          <w:b/>
        </w:rPr>
        <w:t xml:space="preserve">Zakres przedmiotowy </w:t>
      </w:r>
      <w:r w:rsidR="00055814">
        <w:rPr>
          <w:b/>
        </w:rPr>
        <w:t>p</w:t>
      </w:r>
      <w:r w:rsidR="000C7977">
        <w:rPr>
          <w:b/>
        </w:rPr>
        <w:t>rojektów</w:t>
      </w:r>
      <w:r>
        <w:t xml:space="preserve"> </w:t>
      </w:r>
      <w:r w:rsidRPr="000F7A1E">
        <w:t>polega</w:t>
      </w:r>
      <w:r>
        <w:t>ć może</w:t>
      </w:r>
      <w:r w:rsidRPr="000F7A1E">
        <w:t xml:space="preserve"> </w:t>
      </w:r>
      <w:r w:rsidR="00751D05">
        <w:t xml:space="preserve">na </w:t>
      </w:r>
      <w:r w:rsidR="00751D05">
        <w:rPr>
          <w:rStyle w:val="tlid-translation"/>
        </w:rPr>
        <w:t>realizacji działań związanych</w:t>
      </w:r>
      <w:r w:rsidR="00F71F36">
        <w:rPr>
          <w:rStyle w:val="tlid-translation"/>
        </w:rPr>
        <w:t xml:space="preserve"> </w:t>
      </w:r>
      <w:r w:rsidR="00751D05">
        <w:rPr>
          <w:rStyle w:val="tlid-translation"/>
        </w:rPr>
        <w:t>z:</w:t>
      </w:r>
    </w:p>
    <w:p w14:paraId="44DE6007" w14:textId="0F77F9F2" w:rsidR="00751D05" w:rsidRPr="00D7559E" w:rsidRDefault="00C81517" w:rsidP="009D0862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Style w:val="tlid-translation"/>
        </w:rPr>
      </w:pPr>
      <w:r w:rsidRPr="00F34530">
        <w:rPr>
          <w:rStyle w:val="tlid-translation"/>
        </w:rPr>
        <w:t>z</w:t>
      </w:r>
      <w:r w:rsidR="005E6E03" w:rsidRPr="00F34530">
        <w:rPr>
          <w:rStyle w:val="tlid-translation"/>
        </w:rPr>
        <w:t>większeniem powierzchni</w:t>
      </w:r>
      <w:r w:rsidR="00751D05" w:rsidRPr="00F34530">
        <w:rPr>
          <w:rStyle w:val="tlid-translation"/>
        </w:rPr>
        <w:t xml:space="preserve"> terenów ziel</w:t>
      </w:r>
      <w:r w:rsidR="00D22255">
        <w:rPr>
          <w:rStyle w:val="tlid-translation"/>
        </w:rPr>
        <w:t>eni</w:t>
      </w:r>
      <w:r w:rsidR="00F71F36" w:rsidRPr="00F34530">
        <w:rPr>
          <w:rStyle w:val="tlid-translation"/>
        </w:rPr>
        <w:t xml:space="preserve"> w miastach</w:t>
      </w:r>
      <w:r w:rsidR="003A3BF7" w:rsidRPr="00F34530">
        <w:rPr>
          <w:rStyle w:val="tlid-translation"/>
        </w:rPr>
        <w:t xml:space="preserve"> (</w:t>
      </w:r>
      <w:r w:rsidR="003A3BF7" w:rsidRPr="00F34530">
        <w:rPr>
          <w:rFonts w:cs="Arial"/>
        </w:rPr>
        <w:t>w tym również tzw. zielonej infrastruktury) wspomagających</w:t>
      </w:r>
      <w:r w:rsidR="00515504" w:rsidRPr="00F34530">
        <w:rPr>
          <w:rFonts w:cs="Arial"/>
        </w:rPr>
        <w:t xml:space="preserve"> procesy napowietrzania miast oraz </w:t>
      </w:r>
      <w:r w:rsidR="00515504" w:rsidRPr="00F34530">
        <w:rPr>
          <w:rStyle w:val="tlid-translation"/>
        </w:rPr>
        <w:t xml:space="preserve">promujących </w:t>
      </w:r>
      <w:r w:rsidR="00751D05" w:rsidRPr="00F34530">
        <w:rPr>
          <w:rStyle w:val="tlid-translation"/>
        </w:rPr>
        <w:t>zielone ko</w:t>
      </w:r>
      <w:r w:rsidR="00013ADA" w:rsidRPr="00F34530">
        <w:rPr>
          <w:rStyle w:val="tlid-translation"/>
        </w:rPr>
        <w:t>rytarze</w:t>
      </w:r>
      <w:r w:rsidR="00515504" w:rsidRPr="00F34530">
        <w:rPr>
          <w:rStyle w:val="tlid-translation"/>
        </w:rPr>
        <w:t xml:space="preserve"> i zapobiegających fragmentacji miast, a także</w:t>
      </w:r>
      <w:r w:rsidR="00013ADA" w:rsidRPr="00F34530">
        <w:rPr>
          <w:rStyle w:val="tlid-translation"/>
        </w:rPr>
        <w:t xml:space="preserve"> </w:t>
      </w:r>
      <w:r w:rsidR="00515504" w:rsidRPr="00F34530">
        <w:rPr>
          <w:rStyle w:val="tlid-translation"/>
        </w:rPr>
        <w:t>poprawiających funkcje</w:t>
      </w:r>
      <w:r w:rsidR="00751D05" w:rsidRPr="00F34530">
        <w:rPr>
          <w:rStyle w:val="tlid-translation"/>
        </w:rPr>
        <w:t xml:space="preserve"> ekosystemów i ich usług</w:t>
      </w:r>
      <w:r w:rsidR="00515504" w:rsidRPr="00F34530">
        <w:rPr>
          <w:rStyle w:val="tlid-translation"/>
        </w:rPr>
        <w:t xml:space="preserve"> oraz </w:t>
      </w:r>
      <w:r w:rsidR="00515504" w:rsidRPr="00D7559E">
        <w:rPr>
          <w:rStyle w:val="tlid-translation"/>
        </w:rPr>
        <w:t>zwiększających</w:t>
      </w:r>
      <w:r w:rsidR="00543C0F" w:rsidRPr="00D7559E">
        <w:rPr>
          <w:rStyle w:val="tlid-translation"/>
        </w:rPr>
        <w:t xml:space="preserve"> powierzchni</w:t>
      </w:r>
      <w:r w:rsidR="00CF5901" w:rsidRPr="00D7559E">
        <w:rPr>
          <w:rStyle w:val="tlid-translation"/>
        </w:rPr>
        <w:t>e</w:t>
      </w:r>
      <w:r w:rsidR="00543C0F" w:rsidRPr="00D7559E">
        <w:rPr>
          <w:rStyle w:val="tlid-translation"/>
        </w:rPr>
        <w:t xml:space="preserve"> biologicznie czynn</w:t>
      </w:r>
      <w:r w:rsidR="00F34530" w:rsidRPr="00D7559E">
        <w:rPr>
          <w:rStyle w:val="tlid-translation"/>
        </w:rPr>
        <w:t>e</w:t>
      </w:r>
      <w:r w:rsidR="00543C0F" w:rsidRPr="00D7559E">
        <w:rPr>
          <w:rStyle w:val="tlid-translation"/>
        </w:rPr>
        <w:t xml:space="preserve"> </w:t>
      </w:r>
      <w:r w:rsidR="00A35E86" w:rsidRPr="00D7559E">
        <w:rPr>
          <w:rStyle w:val="tlid-translation"/>
        </w:rPr>
        <w:br/>
      </w:r>
      <w:r w:rsidR="00543C0F" w:rsidRPr="00D7559E">
        <w:rPr>
          <w:rStyle w:val="tlid-translation"/>
        </w:rPr>
        <w:t xml:space="preserve">w </w:t>
      </w:r>
      <w:r w:rsidR="003A3BF7" w:rsidRPr="00D7559E">
        <w:rPr>
          <w:rStyle w:val="tlid-translation"/>
        </w:rPr>
        <w:t>miastach</w:t>
      </w:r>
      <w:r w:rsidR="00CF5901" w:rsidRPr="00D7559E">
        <w:rPr>
          <w:rStyle w:val="tlid-translation"/>
        </w:rPr>
        <w:t>;</w:t>
      </w:r>
    </w:p>
    <w:p w14:paraId="4433C41C" w14:textId="121F24C6" w:rsidR="00EA5F1D" w:rsidRPr="00D7559E" w:rsidRDefault="0046269A" w:rsidP="00BD3F49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Style w:val="tlid-translation"/>
        </w:rPr>
      </w:pPr>
      <w:r>
        <w:rPr>
          <w:rFonts w:cs="Arial"/>
        </w:rPr>
        <w:t>przechwytywanie</w:t>
      </w:r>
      <w:r w:rsidR="00CF5901">
        <w:rPr>
          <w:rFonts w:cs="Arial"/>
        </w:rPr>
        <w:t>m</w:t>
      </w:r>
      <w:r>
        <w:rPr>
          <w:rFonts w:cs="Arial"/>
        </w:rPr>
        <w:t xml:space="preserve"> i </w:t>
      </w:r>
      <w:r w:rsidR="00104DF0">
        <w:rPr>
          <w:rFonts w:cs="Arial"/>
        </w:rPr>
        <w:t xml:space="preserve">zagospodarowaniem wód opadowych </w:t>
      </w:r>
      <w:r w:rsidR="00CF5901">
        <w:rPr>
          <w:rFonts w:cs="Arial"/>
        </w:rPr>
        <w:t>w miejscu ich powstania lub</w:t>
      </w:r>
      <w:r w:rsidR="00104DF0">
        <w:rPr>
          <w:rFonts w:cs="Arial"/>
        </w:rPr>
        <w:t xml:space="preserve"> bliskiej okolicy tzw. zielono-</w:t>
      </w:r>
      <w:r w:rsidR="00CF5901">
        <w:rPr>
          <w:rFonts w:cs="Arial"/>
        </w:rPr>
        <w:t>niebieska</w:t>
      </w:r>
      <w:r w:rsidR="00104DF0">
        <w:rPr>
          <w:rFonts w:cs="Arial"/>
        </w:rPr>
        <w:t xml:space="preserve"> infrastruktura</w:t>
      </w:r>
      <w:r w:rsidR="00BF49A4">
        <w:rPr>
          <w:rStyle w:val="tlid-translation"/>
        </w:rPr>
        <w:t xml:space="preserve">, </w:t>
      </w:r>
      <w:r w:rsidR="00BF49A4" w:rsidRPr="00D7559E">
        <w:rPr>
          <w:rStyle w:val="tlid-translation"/>
        </w:rPr>
        <w:t>promując</w:t>
      </w:r>
      <w:r w:rsidR="00671DF0">
        <w:rPr>
          <w:rStyle w:val="tlid-translation"/>
        </w:rPr>
        <w:t>a</w:t>
      </w:r>
      <w:r w:rsidR="00BF49A4">
        <w:rPr>
          <w:rStyle w:val="tlid-translation"/>
        </w:rPr>
        <w:t xml:space="preserve"> sieć naturalnych </w:t>
      </w:r>
      <w:r w:rsidR="00A35E86">
        <w:rPr>
          <w:rStyle w:val="tlid-translation"/>
        </w:rPr>
        <w:br/>
      </w:r>
      <w:r w:rsidR="00BF49A4">
        <w:rPr>
          <w:rStyle w:val="tlid-translation"/>
        </w:rPr>
        <w:t xml:space="preserve">i </w:t>
      </w:r>
      <w:r w:rsidR="00BF49A4" w:rsidRPr="00D7559E">
        <w:rPr>
          <w:rStyle w:val="tlid-translation"/>
        </w:rPr>
        <w:t>półnaturalnych roz</w:t>
      </w:r>
      <w:r w:rsidR="001D7868" w:rsidRPr="00D7559E">
        <w:rPr>
          <w:rStyle w:val="tlid-translation"/>
        </w:rPr>
        <w:t>wiązań z</w:t>
      </w:r>
      <w:r w:rsidR="00CE6D0D" w:rsidRPr="00D7559E">
        <w:rPr>
          <w:rStyle w:val="tlid-translation"/>
        </w:rPr>
        <w:t xml:space="preserve">większających </w:t>
      </w:r>
      <w:r w:rsidR="00BF49A4" w:rsidRPr="00D7559E">
        <w:rPr>
          <w:rStyle w:val="tlid-translation"/>
        </w:rPr>
        <w:t>retencję</w:t>
      </w:r>
      <w:r w:rsidR="00CF5901" w:rsidRPr="00D7559E">
        <w:rPr>
          <w:rStyle w:val="tlid-translation"/>
        </w:rPr>
        <w:t xml:space="preserve">, </w:t>
      </w:r>
      <w:r w:rsidR="00B019AB">
        <w:rPr>
          <w:rStyle w:val="tlid-translation"/>
        </w:rPr>
        <w:t xml:space="preserve">w tym </w:t>
      </w:r>
      <w:r w:rsidR="00104DF0" w:rsidRPr="00D7559E">
        <w:rPr>
          <w:rStyle w:val="tlid-translation"/>
        </w:rPr>
        <w:t>małą retencję wodną</w:t>
      </w:r>
      <w:r w:rsidR="001D7868" w:rsidRPr="00D7559E">
        <w:rPr>
          <w:rStyle w:val="tlid-translation"/>
        </w:rPr>
        <w:t xml:space="preserve"> oraz</w:t>
      </w:r>
      <w:r w:rsidR="001D7868" w:rsidRPr="00D7559E">
        <w:rPr>
          <w:rFonts w:cs="Arial"/>
        </w:rPr>
        <w:t xml:space="preserve"> </w:t>
      </w:r>
      <w:r w:rsidR="00CE6D0D" w:rsidRPr="00D7559E">
        <w:rPr>
          <w:rStyle w:val="tlid-translation"/>
        </w:rPr>
        <w:t>ograniczających lokalne podtopienia i zmniejszających ryzyko powodzi;</w:t>
      </w:r>
    </w:p>
    <w:p w14:paraId="36ACC37A" w14:textId="366C6DF2" w:rsidR="00804605" w:rsidRPr="00D7559E" w:rsidRDefault="00804605" w:rsidP="001B1F6A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Style w:val="tlid-translation"/>
        </w:rPr>
      </w:pPr>
      <w:r w:rsidRPr="00D7559E">
        <w:rPr>
          <w:rStyle w:val="tlid-translation"/>
        </w:rPr>
        <w:t>zmniejszeniem efektu miejskiej „wyspy ciepła”</w:t>
      </w:r>
      <w:r w:rsidRPr="00D7559E">
        <w:rPr>
          <w:rStyle w:val="Odwoanieprzypisudolnego"/>
        </w:rPr>
        <w:footnoteReference w:id="8"/>
      </w:r>
      <w:r w:rsidRPr="00D7559E">
        <w:rPr>
          <w:rStyle w:val="tlid-translation"/>
        </w:rPr>
        <w:t xml:space="preserve"> oraz </w:t>
      </w:r>
      <w:r w:rsidR="00EA20C2" w:rsidRPr="00D7559E">
        <w:rPr>
          <w:rStyle w:val="tlid-translation"/>
        </w:rPr>
        <w:t xml:space="preserve">poprawą </w:t>
      </w:r>
      <w:r w:rsidRPr="00D7559E">
        <w:rPr>
          <w:rStyle w:val="tlid-translation"/>
        </w:rPr>
        <w:t xml:space="preserve">mikroklimatu w mieście poprzez zwiększenie </w:t>
      </w:r>
      <w:r w:rsidR="002E564B">
        <w:rPr>
          <w:rStyle w:val="tlid-translation"/>
        </w:rPr>
        <w:t>terenów</w:t>
      </w:r>
      <w:r w:rsidR="002E564B" w:rsidRPr="00D7559E">
        <w:rPr>
          <w:rStyle w:val="tlid-translation"/>
        </w:rPr>
        <w:t xml:space="preserve"> </w:t>
      </w:r>
      <w:r w:rsidRPr="00D7559E">
        <w:rPr>
          <w:rStyle w:val="tlid-translation"/>
        </w:rPr>
        <w:t>zieleni wpływających na obniżenie temperatury oraz zmniejszenie zużycia energii w budynkach</w:t>
      </w:r>
      <w:r w:rsidR="006F2E92">
        <w:rPr>
          <w:rStyle w:val="tlid-translation"/>
        </w:rPr>
        <w:t>, np. poprzez wykorzystanie zebranej wody deszczowej do nawadniania zielonych dachów i ścian</w:t>
      </w:r>
      <w:r w:rsidRPr="00D7559E">
        <w:rPr>
          <w:rStyle w:val="tlid-translation"/>
        </w:rPr>
        <w:t>;</w:t>
      </w:r>
    </w:p>
    <w:p w14:paraId="331D0787" w14:textId="4704940D" w:rsidR="00804605" w:rsidRPr="00D7559E" w:rsidRDefault="00804605" w:rsidP="00804605">
      <w:pPr>
        <w:pStyle w:val="Akapitzlist"/>
        <w:numPr>
          <w:ilvl w:val="0"/>
          <w:numId w:val="17"/>
        </w:numPr>
        <w:spacing w:before="120" w:line="276" w:lineRule="auto"/>
        <w:jc w:val="both"/>
      </w:pPr>
      <w:r w:rsidRPr="00D7559E">
        <w:rPr>
          <w:color w:val="000000"/>
        </w:rPr>
        <w:t>likwidacją</w:t>
      </w:r>
      <w:r w:rsidR="00422C68">
        <w:rPr>
          <w:color w:val="000000"/>
        </w:rPr>
        <w:t xml:space="preserve"> </w:t>
      </w:r>
      <w:r w:rsidRPr="00D7559E">
        <w:rPr>
          <w:color w:val="000000"/>
        </w:rPr>
        <w:t>zasklepień lub uszczelnień gruntu poprzez stosowanie powierzchni przepuszczalnych dla wody;</w:t>
      </w:r>
    </w:p>
    <w:p w14:paraId="39C05BC1" w14:textId="3C23F229" w:rsidR="002C7033" w:rsidRPr="00D7559E" w:rsidRDefault="00804605" w:rsidP="00804605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Style w:val="tlid-translation"/>
        </w:rPr>
      </w:pPr>
      <w:r w:rsidRPr="00D7559E">
        <w:rPr>
          <w:rStyle w:val="tlid-translation"/>
        </w:rPr>
        <w:t>przeciwdziałaniem</w:t>
      </w:r>
      <w:r w:rsidR="00103EA6" w:rsidRPr="00D7559E">
        <w:rPr>
          <w:rStyle w:val="tlid-translation"/>
        </w:rPr>
        <w:t xml:space="preserve"> </w:t>
      </w:r>
      <w:r w:rsidR="000177E8" w:rsidRPr="00D7559E">
        <w:rPr>
          <w:rStyle w:val="tlid-translation"/>
        </w:rPr>
        <w:t>zagrożeniom wynikaj</w:t>
      </w:r>
      <w:r w:rsidRPr="00D7559E">
        <w:rPr>
          <w:rStyle w:val="tlid-translation"/>
        </w:rPr>
        <w:t>ącym z powodzi, suszy, łagodzeniem skutków</w:t>
      </w:r>
      <w:r w:rsidR="000177E8" w:rsidRPr="00D7559E">
        <w:rPr>
          <w:rStyle w:val="tlid-translation"/>
        </w:rPr>
        <w:t xml:space="preserve"> fal upałów i </w:t>
      </w:r>
      <w:r w:rsidR="00EA5F1D" w:rsidRPr="00D7559E">
        <w:rPr>
          <w:rStyle w:val="tlid-translation"/>
        </w:rPr>
        <w:t>efektu miejskiej „wyspy ciepła”</w:t>
      </w:r>
      <w:r w:rsidR="00103EA6" w:rsidRPr="00D7559E">
        <w:rPr>
          <w:rStyle w:val="tlid-translation"/>
        </w:rPr>
        <w:t xml:space="preserve"> w miastach</w:t>
      </w:r>
      <w:r w:rsidR="00671DF0">
        <w:rPr>
          <w:rStyle w:val="tlid-translation"/>
        </w:rPr>
        <w:t xml:space="preserve"> i</w:t>
      </w:r>
      <w:r w:rsidR="00137412" w:rsidRPr="00D7559E">
        <w:rPr>
          <w:rStyle w:val="tlid-translation"/>
        </w:rPr>
        <w:t>/</w:t>
      </w:r>
      <w:r w:rsidR="00671DF0">
        <w:rPr>
          <w:rStyle w:val="tlid-translation"/>
        </w:rPr>
        <w:t>lub</w:t>
      </w:r>
      <w:r w:rsidR="00137412" w:rsidRPr="00D7559E">
        <w:rPr>
          <w:rStyle w:val="tlid-translation"/>
        </w:rPr>
        <w:t xml:space="preserve"> </w:t>
      </w:r>
      <w:r w:rsidR="00EA20C2" w:rsidRPr="00D7559E">
        <w:rPr>
          <w:rStyle w:val="tlid-translation"/>
        </w:rPr>
        <w:t xml:space="preserve">realizacją </w:t>
      </w:r>
      <w:r w:rsidR="00137412" w:rsidRPr="00D7559E">
        <w:rPr>
          <w:rStyle w:val="tlid-translation"/>
        </w:rPr>
        <w:t xml:space="preserve">działań ograniczających zagrożenia w obszarach miejskich powstałych wskutek </w:t>
      </w:r>
      <w:r w:rsidR="008C0FB1" w:rsidRPr="00D7559E">
        <w:rPr>
          <w:rStyle w:val="tlid-translation"/>
        </w:rPr>
        <w:t xml:space="preserve">ekstremalnych </w:t>
      </w:r>
      <w:r w:rsidR="00137412" w:rsidRPr="00D7559E">
        <w:rPr>
          <w:rStyle w:val="tlid-translation"/>
        </w:rPr>
        <w:t>zjawisk</w:t>
      </w:r>
      <w:r w:rsidR="008C0FB1" w:rsidRPr="00D7559E">
        <w:rPr>
          <w:rStyle w:val="tlid-translation"/>
        </w:rPr>
        <w:t xml:space="preserve"> pogodowych</w:t>
      </w:r>
      <w:r w:rsidR="001B1F6A" w:rsidRPr="00D7559E">
        <w:rPr>
          <w:rStyle w:val="tlid-translation"/>
        </w:rPr>
        <w:t>;</w:t>
      </w:r>
    </w:p>
    <w:p w14:paraId="25097C8C" w14:textId="17D797E1" w:rsidR="00671DF0" w:rsidRDefault="00DD3E39" w:rsidP="00671DF0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Style w:val="tlid-translation"/>
        </w:rPr>
      </w:pPr>
      <w:bookmarkStart w:id="8" w:name="_Hlk30778068"/>
      <w:r>
        <w:rPr>
          <w:rStyle w:val="tlid-translation"/>
        </w:rPr>
        <w:t>zmniejszenie</w:t>
      </w:r>
      <w:r w:rsidR="00671DF0">
        <w:rPr>
          <w:rStyle w:val="tlid-translation"/>
        </w:rPr>
        <w:t>m</w:t>
      </w:r>
      <w:r>
        <w:rPr>
          <w:rStyle w:val="tlid-translation"/>
        </w:rPr>
        <w:t xml:space="preserve"> emisji gazów cieplarnianych poprzez </w:t>
      </w:r>
      <w:r w:rsidR="002C7033" w:rsidRPr="00D7559E">
        <w:rPr>
          <w:rStyle w:val="tlid-translation"/>
        </w:rPr>
        <w:t>t</w:t>
      </w:r>
      <w:r w:rsidR="00804605" w:rsidRPr="00D7559E">
        <w:rPr>
          <w:rStyle w:val="tlid-translation"/>
        </w:rPr>
        <w:t>ransformacj</w:t>
      </w:r>
      <w:r w:rsidR="00622FD8">
        <w:rPr>
          <w:rStyle w:val="tlid-translation"/>
        </w:rPr>
        <w:t>ę</w:t>
      </w:r>
      <w:r w:rsidR="00804605" w:rsidRPr="00D7559E">
        <w:rPr>
          <w:rStyle w:val="tlid-translation"/>
        </w:rPr>
        <w:t xml:space="preserve"> w kierunku np. </w:t>
      </w:r>
      <w:proofErr w:type="spellStart"/>
      <w:r w:rsidR="00804605" w:rsidRPr="00D7559E">
        <w:rPr>
          <w:rStyle w:val="tlid-translation"/>
        </w:rPr>
        <w:t>elektromobilności</w:t>
      </w:r>
      <w:proofErr w:type="spellEnd"/>
      <w:r w:rsidR="008C0FB1" w:rsidRPr="00D7559E">
        <w:rPr>
          <w:rStyle w:val="tlid-translation"/>
        </w:rPr>
        <w:t>,</w:t>
      </w:r>
      <w:r w:rsidR="002C7033" w:rsidRPr="00D7559E">
        <w:rPr>
          <w:rStyle w:val="tlid-translation"/>
        </w:rPr>
        <w:t xml:space="preserve"> rozw</w:t>
      </w:r>
      <w:r w:rsidR="004F7ED9">
        <w:rPr>
          <w:rStyle w:val="tlid-translation"/>
        </w:rPr>
        <w:t>oju</w:t>
      </w:r>
      <w:r w:rsidR="002C7033" w:rsidRPr="00D7559E">
        <w:rPr>
          <w:rStyle w:val="tlid-translation"/>
        </w:rPr>
        <w:t xml:space="preserve"> zrównoważonych środków transportu, zwiększeni</w:t>
      </w:r>
      <w:r w:rsidR="004F7ED9">
        <w:rPr>
          <w:rStyle w:val="tlid-translation"/>
        </w:rPr>
        <w:t>a</w:t>
      </w:r>
      <w:r w:rsidR="002C7033" w:rsidRPr="00D7559E">
        <w:rPr>
          <w:rStyle w:val="tlid-translation"/>
        </w:rPr>
        <w:t xml:space="preserve"> roli miast w ograni</w:t>
      </w:r>
      <w:r w:rsidR="00C473F6" w:rsidRPr="00D7559E">
        <w:rPr>
          <w:rStyle w:val="tlid-translation"/>
        </w:rPr>
        <w:t>czaniu marnotrawienia żywności.</w:t>
      </w:r>
      <w:r w:rsidR="00F41D49" w:rsidRPr="00F41D49">
        <w:rPr>
          <w:rStyle w:val="tlid-translation"/>
          <w:highlight w:val="yellow"/>
        </w:rPr>
        <w:t xml:space="preserve"> </w:t>
      </w:r>
    </w:p>
    <w:p w14:paraId="58872C72" w14:textId="1072DF52" w:rsidR="00DD3E39" w:rsidRPr="00DE03C5" w:rsidRDefault="004B224A" w:rsidP="00671DF0">
      <w:pPr>
        <w:pStyle w:val="Akapitzlist"/>
        <w:spacing w:before="120" w:line="276" w:lineRule="auto"/>
        <w:ind w:left="720"/>
        <w:jc w:val="both"/>
      </w:pPr>
      <w:r w:rsidRPr="00922C1D">
        <w:rPr>
          <w:rStyle w:val="tlid-translation"/>
        </w:rPr>
        <w:lastRenderedPageBreak/>
        <w:t xml:space="preserve">Aktywnościom wskazanym powyżej </w:t>
      </w:r>
      <w:r w:rsidR="002816E7">
        <w:rPr>
          <w:rStyle w:val="tlid-translation"/>
        </w:rPr>
        <w:t>muszą</w:t>
      </w:r>
      <w:r w:rsidRPr="00922C1D">
        <w:rPr>
          <w:rStyle w:val="tlid-translation"/>
        </w:rPr>
        <w:t xml:space="preserve"> towarzyszyć działania edukacyjne </w:t>
      </w:r>
      <w:r w:rsidR="001C3091" w:rsidRPr="00922C1D">
        <w:rPr>
          <w:rStyle w:val="tlid-translation"/>
        </w:rPr>
        <w:br/>
        <w:t>i</w:t>
      </w:r>
      <w:r w:rsidRPr="00922C1D">
        <w:rPr>
          <w:rStyle w:val="tlid-translation"/>
        </w:rPr>
        <w:t xml:space="preserve"> zwiększające świadomość</w:t>
      </w:r>
      <w:r w:rsidR="001C3091" w:rsidRPr="00922C1D">
        <w:rPr>
          <w:rStyle w:val="tlid-translation"/>
        </w:rPr>
        <w:t>,</w:t>
      </w:r>
      <w:r w:rsidRPr="00922C1D">
        <w:rPr>
          <w:rStyle w:val="tlid-translation"/>
        </w:rPr>
        <w:t xml:space="preserve"> mające na celu zmian</w:t>
      </w:r>
      <w:r w:rsidR="001C3091" w:rsidRPr="00922C1D">
        <w:rPr>
          <w:rStyle w:val="tlid-translation"/>
        </w:rPr>
        <w:t>ę</w:t>
      </w:r>
      <w:r w:rsidRPr="00922C1D">
        <w:rPr>
          <w:rStyle w:val="tlid-translation"/>
        </w:rPr>
        <w:t xml:space="preserve"> </w:t>
      </w:r>
      <w:proofErr w:type="spellStart"/>
      <w:r w:rsidRPr="00922C1D">
        <w:rPr>
          <w:rStyle w:val="tlid-translation"/>
        </w:rPr>
        <w:t>zachowań</w:t>
      </w:r>
      <w:proofErr w:type="spellEnd"/>
      <w:r w:rsidRPr="00922C1D">
        <w:rPr>
          <w:rStyle w:val="tlid-translation"/>
        </w:rPr>
        <w:t xml:space="preserve"> na bardziej przyjazne </w:t>
      </w:r>
      <w:r w:rsidR="001C3091" w:rsidRPr="00922C1D">
        <w:rPr>
          <w:rStyle w:val="tlid-translation"/>
        </w:rPr>
        <w:t xml:space="preserve">dla </w:t>
      </w:r>
      <w:r w:rsidRPr="00922C1D">
        <w:rPr>
          <w:rStyle w:val="tlid-translation"/>
        </w:rPr>
        <w:t>klimat</w:t>
      </w:r>
      <w:r w:rsidR="001C3091" w:rsidRPr="00922C1D">
        <w:rPr>
          <w:rStyle w:val="tlid-translation"/>
        </w:rPr>
        <w:t>u</w:t>
      </w:r>
      <w:bookmarkEnd w:id="8"/>
      <w:r w:rsidR="001C3091" w:rsidRPr="00922C1D">
        <w:rPr>
          <w:rStyle w:val="tlid-translation"/>
        </w:rPr>
        <w:t>.</w:t>
      </w:r>
    </w:p>
    <w:p w14:paraId="59AF0A50" w14:textId="42639A94" w:rsidR="00922C1D" w:rsidRDefault="002B0990" w:rsidP="002B0990">
      <w:pPr>
        <w:spacing w:before="120" w:line="276" w:lineRule="auto"/>
        <w:jc w:val="both"/>
      </w:pPr>
      <w:r>
        <w:t>Przykładowe opisy działań z ww. zakresu znajdują się w Podręczniku</w:t>
      </w:r>
      <w:r w:rsidR="005A623F">
        <w:t xml:space="preserve"> Wnioskodawcy</w:t>
      </w:r>
      <w:r>
        <w:t>.</w:t>
      </w:r>
    </w:p>
    <w:p w14:paraId="51020B63" w14:textId="77777777" w:rsidR="002B0990" w:rsidRDefault="002B0990" w:rsidP="002B0990">
      <w:pPr>
        <w:spacing w:before="120" w:line="276" w:lineRule="auto"/>
        <w:jc w:val="both"/>
        <w:rPr>
          <w:b/>
        </w:rPr>
      </w:pPr>
    </w:p>
    <w:p w14:paraId="488A78C0" w14:textId="3D69C3CD" w:rsidR="0021306E" w:rsidRPr="00265527" w:rsidRDefault="0021306E" w:rsidP="00265527">
      <w:pPr>
        <w:pStyle w:val="Akapitzlist"/>
        <w:numPr>
          <w:ilvl w:val="0"/>
          <w:numId w:val="1"/>
        </w:numPr>
        <w:rPr>
          <w:b/>
        </w:rPr>
      </w:pPr>
      <w:r w:rsidRPr="00265527">
        <w:rPr>
          <w:b/>
        </w:rPr>
        <w:t xml:space="preserve">Podmioty </w:t>
      </w:r>
      <w:r w:rsidR="00622FD8">
        <w:rPr>
          <w:b/>
        </w:rPr>
        <w:t>kwalifikowalne</w:t>
      </w:r>
      <w:r w:rsidR="00265527" w:rsidRPr="00265527">
        <w:rPr>
          <w:b/>
        </w:rPr>
        <w:t xml:space="preserve"> </w:t>
      </w:r>
    </w:p>
    <w:p w14:paraId="20838A35" w14:textId="7159CA2C" w:rsidR="00C71D4C" w:rsidRPr="008A1E47" w:rsidRDefault="0021306E" w:rsidP="00DC709A">
      <w:pPr>
        <w:spacing w:before="120" w:line="276" w:lineRule="auto"/>
        <w:jc w:val="both"/>
      </w:pPr>
      <w:r w:rsidRPr="008A1E47">
        <w:t xml:space="preserve">O dofinansowanie </w:t>
      </w:r>
      <w:r w:rsidR="003B1962" w:rsidRPr="008A1E47">
        <w:t>w ramach</w:t>
      </w:r>
      <w:r w:rsidRPr="008A1E47">
        <w:t xml:space="preserve"> </w:t>
      </w:r>
      <w:r w:rsidR="00BB478D" w:rsidRPr="008A1E47">
        <w:t xml:space="preserve">naboru </w:t>
      </w:r>
      <w:r w:rsidR="00954EE9" w:rsidRPr="008A1E47">
        <w:t xml:space="preserve">wniosków </w:t>
      </w:r>
      <w:r w:rsidRPr="008A1E47">
        <w:t>mogą ubiegać się</w:t>
      </w:r>
      <w:r w:rsidR="00823EDE" w:rsidRPr="008A1E47">
        <w:t xml:space="preserve"> następujące podmioty:</w:t>
      </w:r>
    </w:p>
    <w:p w14:paraId="24C91F2D" w14:textId="6D3FD383" w:rsidR="00C71D4C" w:rsidRPr="008A1E47" w:rsidRDefault="00C71D4C" w:rsidP="00DC709A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8A1E47">
        <w:t xml:space="preserve">jednostki samorządu terytorialnego </w:t>
      </w:r>
      <w:r w:rsidR="00620C12">
        <w:t>o liczbie mieszkańców poniżej 90 tys.</w:t>
      </w:r>
      <w:r w:rsidR="00611374">
        <w:t xml:space="preserve"> (oraz</w:t>
      </w:r>
      <w:r w:rsidRPr="008A1E47">
        <w:t xml:space="preserve"> ich związki, działające w ich imieniu jednostki organizacyjne oraz podmioty świadczące usługi publiczne w ramach realizacji obowiązków własnych </w:t>
      </w:r>
      <w:r w:rsidR="004B224A">
        <w:t xml:space="preserve">takich </w:t>
      </w:r>
      <w:r w:rsidRPr="008A1E47">
        <w:t>jednostek samorządu terytorialnego</w:t>
      </w:r>
      <w:r w:rsidR="007D68C0">
        <w:t>)</w:t>
      </w:r>
      <w:r w:rsidR="00F34530">
        <w:t>;</w:t>
      </w:r>
      <w:r w:rsidR="00F34530" w:rsidRPr="008A1E47" w:rsidDel="00F34530">
        <w:t xml:space="preserve"> </w:t>
      </w:r>
    </w:p>
    <w:p w14:paraId="64E4636B" w14:textId="01E7306C" w:rsidR="00F34530" w:rsidRDefault="00A76471" w:rsidP="00867C21">
      <w:pPr>
        <w:pStyle w:val="Akapitzlist"/>
        <w:numPr>
          <w:ilvl w:val="0"/>
          <w:numId w:val="7"/>
        </w:numPr>
        <w:spacing w:before="120" w:line="276" w:lineRule="auto"/>
        <w:ind w:left="786"/>
        <w:jc w:val="both"/>
        <w:rPr>
          <w:color w:val="000000"/>
        </w:rPr>
      </w:pPr>
      <w:r>
        <w:rPr>
          <w:color w:val="000000"/>
        </w:rPr>
        <w:t>organizacje pozarządowe zgodnie z definicją</w:t>
      </w:r>
      <w:r w:rsidR="000063BC" w:rsidRPr="008A1E47">
        <w:rPr>
          <w:color w:val="000000"/>
        </w:rPr>
        <w:t xml:space="preserve"> </w:t>
      </w:r>
      <w:r>
        <w:rPr>
          <w:color w:val="000000"/>
        </w:rPr>
        <w:t xml:space="preserve">zawartą </w:t>
      </w:r>
      <w:r w:rsidR="000063BC" w:rsidRPr="008A1E47">
        <w:rPr>
          <w:color w:val="000000"/>
        </w:rPr>
        <w:t xml:space="preserve">w </w:t>
      </w:r>
      <w:r w:rsidR="0021306E" w:rsidRPr="008A1E47">
        <w:rPr>
          <w:color w:val="000000"/>
        </w:rPr>
        <w:t xml:space="preserve">art. </w:t>
      </w:r>
      <w:r w:rsidR="00DE7D76" w:rsidRPr="008A1E47">
        <w:rPr>
          <w:color w:val="000000"/>
        </w:rPr>
        <w:t xml:space="preserve">1.6 n </w:t>
      </w:r>
      <w:r w:rsidR="0021306E" w:rsidRPr="008A1E47">
        <w:rPr>
          <w:color w:val="000000"/>
        </w:rPr>
        <w:t>Regulacji</w:t>
      </w:r>
      <w:r w:rsidR="009B6710">
        <w:rPr>
          <w:rStyle w:val="Odwoanieprzypisudolnego"/>
          <w:color w:val="000000"/>
        </w:rPr>
        <w:footnoteReference w:id="9"/>
      </w:r>
      <w:r w:rsidR="003B1962" w:rsidRPr="008A1E47">
        <w:rPr>
          <w:color w:val="000000"/>
        </w:rPr>
        <w:t xml:space="preserve"> w</w:t>
      </w:r>
      <w:r w:rsidR="00020E8B">
        <w:rPr>
          <w:color w:val="000000"/>
        </w:rPr>
        <w:t xml:space="preserve"> </w:t>
      </w:r>
      <w:r w:rsidR="003B1962" w:rsidRPr="008A1E47">
        <w:rPr>
          <w:color w:val="000000"/>
        </w:rPr>
        <w:t>s</w:t>
      </w:r>
      <w:r w:rsidR="00020E8B">
        <w:rPr>
          <w:color w:val="000000"/>
        </w:rPr>
        <w:t xml:space="preserve">prawie </w:t>
      </w:r>
      <w:r w:rsidR="003B1962" w:rsidRPr="008A1E47">
        <w:rPr>
          <w:color w:val="000000"/>
        </w:rPr>
        <w:t xml:space="preserve"> wdrażania Mechanizmu Finansowego </w:t>
      </w:r>
      <w:r w:rsidR="00867C21">
        <w:rPr>
          <w:color w:val="000000"/>
        </w:rPr>
        <w:t xml:space="preserve">Europejskiego Obszaru Gospodarczego (MF </w:t>
      </w:r>
      <w:r w:rsidR="003B1962" w:rsidRPr="008A1E47">
        <w:rPr>
          <w:color w:val="000000"/>
        </w:rPr>
        <w:t>EOG</w:t>
      </w:r>
      <w:r w:rsidR="00867C21">
        <w:rPr>
          <w:color w:val="000000"/>
        </w:rPr>
        <w:t>)</w:t>
      </w:r>
      <w:r w:rsidR="003B1962" w:rsidRPr="008A1E47">
        <w:rPr>
          <w:color w:val="000000"/>
        </w:rPr>
        <w:t xml:space="preserve"> na lata 2014-2021</w:t>
      </w:r>
      <w:r w:rsidR="00F34530">
        <w:rPr>
          <w:color w:val="000000"/>
        </w:rPr>
        <w:t>.</w:t>
      </w:r>
    </w:p>
    <w:p w14:paraId="40976C60" w14:textId="2DEA8349" w:rsidR="0021306E" w:rsidRDefault="0021306E" w:rsidP="00F34530"/>
    <w:p w14:paraId="7FC5AFA6" w14:textId="5032D8CF" w:rsidR="00BD2611" w:rsidRPr="00BD2611" w:rsidRDefault="00BD2611" w:rsidP="00BD261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  <w:rPr>
          <w:b/>
        </w:rPr>
      </w:pPr>
      <w:r w:rsidRPr="00BD2611">
        <w:rPr>
          <w:b/>
        </w:rPr>
        <w:t>Projekty partnerskie</w:t>
      </w:r>
    </w:p>
    <w:p w14:paraId="215842CA" w14:textId="77777777" w:rsidR="00BD2611" w:rsidRDefault="00BD2611" w:rsidP="00BD2611">
      <w:pPr>
        <w:spacing w:line="276" w:lineRule="auto"/>
        <w:jc w:val="both"/>
      </w:pPr>
    </w:p>
    <w:p w14:paraId="2182D291" w14:textId="147D6A8C" w:rsidR="00A76471" w:rsidRDefault="00A76471" w:rsidP="00BD2611">
      <w:pPr>
        <w:spacing w:line="276" w:lineRule="auto"/>
        <w:jc w:val="both"/>
      </w:pPr>
      <w:r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 w:rsidR="002816E7">
        <w:rPr>
          <w:rStyle w:val="Odwoanieprzypisudolnego"/>
        </w:rPr>
        <w:footnoteReference w:id="10"/>
      </w:r>
      <w:r>
        <w:t xml:space="preserve"> lub w państwie spoza E</w:t>
      </w:r>
      <w:r w:rsidR="00CB543F">
        <w:t xml:space="preserve">uropejskiego </w:t>
      </w:r>
      <w:r>
        <w:t>O</w:t>
      </w:r>
      <w:r w:rsidR="00CB543F">
        <w:t xml:space="preserve">bszaru </w:t>
      </w:r>
      <w:r>
        <w:t>G</w:t>
      </w:r>
      <w:r w:rsidR="00CB543F">
        <w:t>ospodarczego (EOG)</w:t>
      </w:r>
      <w:r>
        <w:t xml:space="preserve">, które ma wspólną granicę z Polską, lub każda organizacja międzynarodowa, jej organ lub agencje, aktywnie zaangażowane </w:t>
      </w:r>
      <w:r w:rsidR="00CF6557">
        <w:br/>
      </w:r>
      <w:r>
        <w:t xml:space="preserve">i przyczyniające się do wdrażania </w:t>
      </w:r>
      <w:r w:rsidR="00E63857">
        <w:t>P</w:t>
      </w:r>
      <w:r>
        <w:t>rogramu.</w:t>
      </w:r>
    </w:p>
    <w:p w14:paraId="27448F59" w14:textId="77777777" w:rsidR="00A76471" w:rsidRDefault="00A76471" w:rsidP="00F037EC">
      <w:pPr>
        <w:spacing w:line="276" w:lineRule="auto"/>
        <w:jc w:val="both"/>
      </w:pPr>
    </w:p>
    <w:p w14:paraId="1EBC3629" w14:textId="47A30160" w:rsidR="00BD2611" w:rsidRDefault="0070122C" w:rsidP="00671DF0">
      <w:pPr>
        <w:autoSpaceDE w:val="0"/>
        <w:autoSpaceDN w:val="0"/>
        <w:spacing w:line="276" w:lineRule="auto"/>
        <w:jc w:val="both"/>
      </w:pPr>
      <w:r>
        <w:t>Projekty złożone w partnerstwie z podmiotem z Państw-Darczyńców</w:t>
      </w:r>
      <w:r>
        <w:rPr>
          <w:sz w:val="16"/>
          <w:szCs w:val="16"/>
        </w:rPr>
        <w:t> </w:t>
      </w:r>
      <w:r>
        <w:t> (Norwegia, Islandia, Li</w:t>
      </w:r>
      <w:r w:rsidR="00DD17B6">
        <w:t>e</w:t>
      </w:r>
      <w:r>
        <w:t>chtenstein) otrzymają dodatkowe punkty, zgodnie z kryteriami</w:t>
      </w:r>
      <w:r w:rsidR="003035FA">
        <w:t xml:space="preserve"> </w:t>
      </w:r>
      <w:r w:rsidR="003035FA" w:rsidRPr="003D0E5D">
        <w:t>merytoryczn</w:t>
      </w:r>
      <w:r w:rsidR="00AA646A" w:rsidRPr="003D0E5D">
        <w:t>ymi.</w:t>
      </w:r>
    </w:p>
    <w:p w14:paraId="37F96303" w14:textId="77777777" w:rsidR="00BD2611" w:rsidRDefault="00BD2611" w:rsidP="00BD2611">
      <w:pPr>
        <w:spacing w:line="276" w:lineRule="auto"/>
        <w:jc w:val="both"/>
      </w:pPr>
    </w:p>
    <w:p w14:paraId="5DF061E6" w14:textId="6B4660A5" w:rsidR="00BD2611" w:rsidRDefault="00BD2611" w:rsidP="00BD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  <w:r>
        <w:t>W przypadku projektu</w:t>
      </w:r>
      <w:r w:rsidRPr="00D562A2">
        <w:t xml:space="preserve"> złożone</w:t>
      </w:r>
      <w:r>
        <w:t>go</w:t>
      </w:r>
      <w:r w:rsidRPr="00D562A2">
        <w:t xml:space="preserve"> w partnerstwie z podmiotem z Państw-Darczyńców</w:t>
      </w:r>
      <w:r>
        <w:t xml:space="preserve"> wymagane jest n</w:t>
      </w:r>
      <w:r w:rsidRPr="000F7A1E">
        <w:t>a etapie składania wniosku o dofinansowanie</w:t>
      </w:r>
      <w:r>
        <w:t xml:space="preserve"> złożenie listu intencyjnego, umowy partnerskiej</w:t>
      </w:r>
      <w:r w:rsidRPr="000F7A1E">
        <w:t xml:space="preserve"> </w:t>
      </w:r>
      <w:r>
        <w:t xml:space="preserve">lub innego potwierdzenia współpracy z Partnerem Projektu z Państw Darczyńców. </w:t>
      </w:r>
      <w:r w:rsidRPr="001460DB">
        <w:t xml:space="preserve">Przed zawarciem </w:t>
      </w:r>
      <w:r w:rsidR="00CB731C">
        <w:t>U</w:t>
      </w:r>
      <w:r w:rsidRPr="001460DB">
        <w:t xml:space="preserve">mowy w sprawie realizacji </w:t>
      </w:r>
      <w:r w:rsidR="00CB731C">
        <w:t>P</w:t>
      </w:r>
      <w:r>
        <w:t>rojektu</w:t>
      </w:r>
      <w:r w:rsidRPr="001460DB">
        <w:t xml:space="preserve"> </w:t>
      </w:r>
      <w:r w:rsidRPr="00D562A2">
        <w:t>złożone</w:t>
      </w:r>
      <w:r>
        <w:t>go</w:t>
      </w:r>
      <w:r w:rsidRPr="00D562A2">
        <w:t xml:space="preserve"> w partnerstwie z podmiotem z Państw-Darczyńców</w:t>
      </w:r>
      <w:r>
        <w:t xml:space="preserve"> </w:t>
      </w:r>
      <w:r w:rsidRPr="001460DB">
        <w:t xml:space="preserve">wymagane będzie przedstawienie podpisanej umowy partnerskiej w </w:t>
      </w:r>
      <w:r>
        <w:t>języku angielskim i jej tłumaczenia na język polski.</w:t>
      </w:r>
    </w:p>
    <w:p w14:paraId="69E8A95E" w14:textId="1ACD84EA" w:rsidR="00BD2611" w:rsidRPr="006A2F0E" w:rsidRDefault="00BD2611" w:rsidP="00BD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  <w:r>
        <w:t xml:space="preserve">W </w:t>
      </w:r>
      <w:r w:rsidRPr="00FA602E">
        <w:t xml:space="preserve">celu wsparcia procesu nawiązywania partnerstw z partnerami pochodzącymi z Państw </w:t>
      </w:r>
      <w:r w:rsidRPr="0079365F">
        <w:t xml:space="preserve">Darczyńców, Operator Programu zachęca do zapoznania się z informacjami zamieszczonymi </w:t>
      </w:r>
      <w:hyperlink r:id="rId8" w:history="1">
        <w:r w:rsidR="003D0E5D" w:rsidRPr="00CB543F">
          <w:rPr>
            <w:rStyle w:val="Hipercze"/>
          </w:rPr>
          <w:t>stronie internetowej Funduszy EOG</w:t>
        </w:r>
      </w:hyperlink>
      <w:r w:rsidR="003D0E5D">
        <w:t xml:space="preserve"> </w:t>
      </w:r>
      <w:r w:rsidR="0079365F" w:rsidRPr="0079365F">
        <w:t xml:space="preserve">oraz w Podręczniku dot. zawierania partnerstw, który jest załącznikiem do niniejszego </w:t>
      </w:r>
      <w:r w:rsidR="00B6250B">
        <w:t>ogłoszenia</w:t>
      </w:r>
      <w:r w:rsidR="0079365F" w:rsidRPr="0079365F">
        <w:t xml:space="preserve">. </w:t>
      </w:r>
    </w:p>
    <w:p w14:paraId="5E23958C" w14:textId="77777777" w:rsidR="008E6F94" w:rsidRPr="000F7A1E" w:rsidRDefault="008E6F94" w:rsidP="008A1E47"/>
    <w:p w14:paraId="50A4B244" w14:textId="4D3B97E3" w:rsidR="0013786D" w:rsidRPr="000F7A1E" w:rsidRDefault="0013786D" w:rsidP="001031DF">
      <w:pPr>
        <w:numPr>
          <w:ilvl w:val="0"/>
          <w:numId w:val="1"/>
        </w:numPr>
        <w:spacing w:before="120"/>
        <w:jc w:val="both"/>
        <w:rPr>
          <w:b/>
        </w:rPr>
      </w:pPr>
      <w:r w:rsidRPr="000F7A1E">
        <w:rPr>
          <w:b/>
        </w:rPr>
        <w:t xml:space="preserve">Kwota środków przeznaczona na </w:t>
      </w:r>
      <w:r w:rsidR="00A2413D" w:rsidRPr="00A2413D">
        <w:rPr>
          <w:b/>
        </w:rPr>
        <w:t>nab</w:t>
      </w:r>
      <w:r w:rsidR="00A2413D">
        <w:rPr>
          <w:b/>
        </w:rPr>
        <w:t>ór</w:t>
      </w:r>
      <w:r w:rsidR="00A2413D" w:rsidRPr="00A2413D">
        <w:rPr>
          <w:b/>
        </w:rPr>
        <w:t xml:space="preserve"> </w:t>
      </w:r>
    </w:p>
    <w:p w14:paraId="5957A9E7" w14:textId="58FCC9B2" w:rsidR="0013786D" w:rsidRPr="000F7A1E" w:rsidRDefault="00B15E62" w:rsidP="000063BC">
      <w:pPr>
        <w:spacing w:before="120"/>
        <w:jc w:val="both"/>
      </w:pPr>
      <w:r w:rsidRPr="00B15E62">
        <w:t>23 029 413 euro</w:t>
      </w:r>
      <w:r w:rsidR="0013786D" w:rsidRPr="000F7A1E">
        <w:t>, tj.</w:t>
      </w:r>
      <w:r w:rsidR="007A6744" w:rsidRPr="000F7A1E">
        <w:t xml:space="preserve"> </w:t>
      </w:r>
      <w:r w:rsidR="004435D3">
        <w:t>99 392 643,57 zł</w:t>
      </w:r>
      <w:r w:rsidR="00B2692F">
        <w:rPr>
          <w:rStyle w:val="Odwoanieprzypisudolnego"/>
        </w:rPr>
        <w:footnoteReference w:id="11"/>
      </w:r>
      <w:r w:rsidR="0013786D" w:rsidRPr="000F7A1E">
        <w:t xml:space="preserve"> </w:t>
      </w:r>
    </w:p>
    <w:p w14:paraId="2B2B7A07" w14:textId="77777777" w:rsidR="00922C1D" w:rsidRPr="00BB17CA" w:rsidRDefault="00922C1D" w:rsidP="00BB17CA">
      <w:pPr>
        <w:spacing w:before="120"/>
        <w:jc w:val="both"/>
      </w:pPr>
    </w:p>
    <w:p w14:paraId="182CDD86" w14:textId="1B92D0C9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Poziom dofinansowania </w:t>
      </w:r>
    </w:p>
    <w:p w14:paraId="7581BB7A" w14:textId="20686ED2" w:rsidR="002E10A0" w:rsidRDefault="000C7977" w:rsidP="000063BC">
      <w:pPr>
        <w:tabs>
          <w:tab w:val="left" w:pos="0"/>
        </w:tabs>
        <w:spacing w:before="120"/>
        <w:jc w:val="both"/>
      </w:pPr>
      <w:r>
        <w:t>P</w:t>
      </w:r>
      <w:r w:rsidR="0013786D" w:rsidRPr="000F7A1E">
        <w:t xml:space="preserve">oziom </w:t>
      </w:r>
      <w:r w:rsidR="00537F65" w:rsidRPr="000F7A1E">
        <w:t xml:space="preserve">dopuszczalnego </w:t>
      </w:r>
      <w:r w:rsidR="0013786D" w:rsidRPr="000F7A1E">
        <w:t xml:space="preserve">wnioskowanego dofinansowania </w:t>
      </w:r>
      <w:r w:rsidR="00BB17CA">
        <w:t xml:space="preserve">projektu </w:t>
      </w:r>
      <w:r w:rsidR="0013786D" w:rsidRPr="000F7A1E">
        <w:t xml:space="preserve">wynosi </w:t>
      </w:r>
      <w:r w:rsidR="002816E7">
        <w:t xml:space="preserve">do </w:t>
      </w:r>
      <w:r w:rsidR="00B15E62">
        <w:t>85</w:t>
      </w:r>
      <w:r w:rsidR="0013786D" w:rsidRPr="000F7A1E">
        <w:t xml:space="preserve">% </w:t>
      </w:r>
      <w:r w:rsidR="005952C4">
        <w:t xml:space="preserve">kosztów </w:t>
      </w:r>
      <w:r w:rsidR="0013786D" w:rsidRPr="001031DF">
        <w:t>kwalifikowa</w:t>
      </w:r>
      <w:r w:rsidR="004C7F0F">
        <w:t>l</w:t>
      </w:r>
      <w:r w:rsidR="0013786D" w:rsidRPr="001031DF">
        <w:t>nych</w:t>
      </w:r>
      <w:r w:rsidR="00BB17CA">
        <w:t>.</w:t>
      </w:r>
      <w:r w:rsidR="009D2336">
        <w:t xml:space="preserve"> </w:t>
      </w:r>
    </w:p>
    <w:p w14:paraId="4CDE07D6" w14:textId="77777777" w:rsidR="00CB5EA2" w:rsidRPr="000F7A1E" w:rsidRDefault="00CB5EA2" w:rsidP="000063BC">
      <w:pPr>
        <w:tabs>
          <w:tab w:val="left" w:pos="0"/>
        </w:tabs>
        <w:spacing w:before="120"/>
        <w:jc w:val="both"/>
      </w:pPr>
    </w:p>
    <w:p w14:paraId="6084DC62" w14:textId="7BD77B85" w:rsidR="007F3AA8" w:rsidRPr="004435D3" w:rsidRDefault="007F3AA8" w:rsidP="000063BC">
      <w:pPr>
        <w:numPr>
          <w:ilvl w:val="0"/>
          <w:numId w:val="1"/>
        </w:numPr>
        <w:spacing w:before="120"/>
        <w:rPr>
          <w:b/>
        </w:rPr>
      </w:pPr>
      <w:r w:rsidRPr="004435D3">
        <w:rPr>
          <w:b/>
        </w:rPr>
        <w:t>Minimalna kwota dofinansowania</w:t>
      </w:r>
    </w:p>
    <w:p w14:paraId="33991469" w14:textId="24767862" w:rsidR="007F3AA8" w:rsidRPr="004435D3" w:rsidRDefault="007F3AA8" w:rsidP="00F34530">
      <w:pPr>
        <w:spacing w:before="120"/>
        <w:ind w:left="426"/>
      </w:pPr>
      <w:r w:rsidRPr="004435D3">
        <w:t xml:space="preserve">500 000 euro tj. </w:t>
      </w:r>
      <w:r w:rsidR="004435D3" w:rsidRPr="003D0E5D">
        <w:t>2 157</w:t>
      </w:r>
      <w:r w:rsidR="00357FC7">
        <w:t> </w:t>
      </w:r>
      <w:r w:rsidR="004435D3" w:rsidRPr="003D0E5D">
        <w:t>950</w:t>
      </w:r>
      <w:r w:rsidR="00357FC7">
        <w:t>,00</w:t>
      </w:r>
      <w:r w:rsidR="004435D3" w:rsidRPr="003D0E5D">
        <w:t xml:space="preserve"> zł</w:t>
      </w:r>
      <w:r w:rsidR="00B2692F" w:rsidRPr="003D0E5D">
        <w:rPr>
          <w:rStyle w:val="Odwoanieprzypisudolnego"/>
        </w:rPr>
        <w:footnoteReference w:id="12"/>
      </w:r>
    </w:p>
    <w:p w14:paraId="0046BE71" w14:textId="77777777" w:rsidR="007F3AA8" w:rsidRPr="004435D3" w:rsidRDefault="007F3AA8" w:rsidP="00F34530">
      <w:pPr>
        <w:spacing w:before="120"/>
        <w:ind w:left="426"/>
      </w:pPr>
    </w:p>
    <w:p w14:paraId="4F55D7AB" w14:textId="716F5D5E" w:rsidR="0013786D" w:rsidRPr="004435D3" w:rsidRDefault="007F3AA8" w:rsidP="000063BC">
      <w:pPr>
        <w:numPr>
          <w:ilvl w:val="0"/>
          <w:numId w:val="1"/>
        </w:numPr>
        <w:spacing w:before="120"/>
        <w:rPr>
          <w:b/>
        </w:rPr>
      </w:pPr>
      <w:r w:rsidRPr="004435D3">
        <w:rPr>
          <w:b/>
        </w:rPr>
        <w:t>Maksymalna</w:t>
      </w:r>
      <w:r w:rsidR="0013786D" w:rsidRPr="004435D3">
        <w:rPr>
          <w:b/>
        </w:rPr>
        <w:t xml:space="preserve"> kwota dofinansowania </w:t>
      </w:r>
      <w:r w:rsidR="006F74BB" w:rsidRPr="004435D3">
        <w:rPr>
          <w:b/>
        </w:rPr>
        <w:t xml:space="preserve"> </w:t>
      </w:r>
    </w:p>
    <w:p w14:paraId="2B3E1EDA" w14:textId="71068396" w:rsidR="0013786D" w:rsidRPr="007F3AA8" w:rsidRDefault="00BB17CA" w:rsidP="00F34530">
      <w:pPr>
        <w:spacing w:before="120"/>
        <w:ind w:firstLine="426"/>
        <w:jc w:val="both"/>
      </w:pPr>
      <w:r w:rsidRPr="004435D3">
        <w:t>2 300</w:t>
      </w:r>
      <w:r w:rsidR="002F785A" w:rsidRPr="004435D3">
        <w:t xml:space="preserve"> </w:t>
      </w:r>
      <w:r w:rsidR="003A1B5C" w:rsidRPr="004435D3">
        <w:t>000</w:t>
      </w:r>
      <w:r w:rsidR="0013786D" w:rsidRPr="004435D3">
        <w:t xml:space="preserve"> </w:t>
      </w:r>
      <w:r w:rsidR="005816F6" w:rsidRPr="004435D3">
        <w:t>euro</w:t>
      </w:r>
      <w:r w:rsidR="003A1B5C" w:rsidRPr="004435D3">
        <w:t xml:space="preserve"> </w:t>
      </w:r>
      <w:r w:rsidR="005816F6" w:rsidRPr="004435D3">
        <w:t>tj</w:t>
      </w:r>
      <w:r w:rsidR="0013786D" w:rsidRPr="003D0E5D">
        <w:t>.</w:t>
      </w:r>
      <w:r w:rsidR="00BE290A" w:rsidRPr="003D0E5D">
        <w:t xml:space="preserve"> </w:t>
      </w:r>
      <w:r w:rsidR="004435D3" w:rsidRPr="003D0E5D">
        <w:t>9 926</w:t>
      </w:r>
      <w:r w:rsidR="00357FC7">
        <w:t> </w:t>
      </w:r>
      <w:r w:rsidR="004435D3" w:rsidRPr="003D0E5D">
        <w:t>570</w:t>
      </w:r>
      <w:r w:rsidR="00357FC7">
        <w:t>,00</w:t>
      </w:r>
      <w:r w:rsidR="004435D3" w:rsidRPr="003D0E5D">
        <w:t xml:space="preserve"> zł</w:t>
      </w:r>
      <w:r w:rsidR="00B2692F" w:rsidRPr="003D0E5D">
        <w:rPr>
          <w:rStyle w:val="Odwoanieprzypisudolnego"/>
        </w:rPr>
        <w:footnoteReference w:id="13"/>
      </w:r>
    </w:p>
    <w:p w14:paraId="28D1E2A5" w14:textId="77777777" w:rsidR="007F3AA8" w:rsidRPr="000F7A1E" w:rsidRDefault="007F3AA8" w:rsidP="000063BC">
      <w:pPr>
        <w:spacing w:before="120"/>
        <w:jc w:val="both"/>
      </w:pPr>
    </w:p>
    <w:p w14:paraId="09326A4A" w14:textId="7189A767" w:rsidR="0013786D" w:rsidRPr="00265527" w:rsidRDefault="0013786D" w:rsidP="00265527">
      <w:pPr>
        <w:pStyle w:val="Akapitzlist"/>
        <w:numPr>
          <w:ilvl w:val="0"/>
          <w:numId w:val="1"/>
        </w:numPr>
        <w:rPr>
          <w:b/>
        </w:rPr>
      </w:pPr>
      <w:r w:rsidRPr="00265527">
        <w:rPr>
          <w:b/>
        </w:rPr>
        <w:t xml:space="preserve">Okres kwalifikowalności </w:t>
      </w:r>
      <w:r w:rsidR="002C56AA">
        <w:rPr>
          <w:b/>
        </w:rPr>
        <w:t>kosztów</w:t>
      </w:r>
    </w:p>
    <w:p w14:paraId="1930668E" w14:textId="6F236DE4" w:rsidR="00537F65" w:rsidRPr="000F7A1E" w:rsidRDefault="0013786D" w:rsidP="00537F65">
      <w:pPr>
        <w:spacing w:before="120"/>
        <w:jc w:val="both"/>
      </w:pPr>
      <w:r w:rsidRPr="000F7A1E">
        <w:t xml:space="preserve">Początek okresu kwalifikowalności </w:t>
      </w:r>
      <w:r w:rsidR="002C56AA">
        <w:t>kosztów</w:t>
      </w:r>
      <w:r w:rsidR="00F741A2">
        <w:t xml:space="preserve"> </w:t>
      </w:r>
      <w:r w:rsidR="00585C1B">
        <w:t xml:space="preserve">w ramach </w:t>
      </w:r>
      <w:r w:rsidR="00BB17CA">
        <w:t>p</w:t>
      </w:r>
      <w:r w:rsidR="000C7977">
        <w:t>rojektów</w:t>
      </w:r>
      <w:r w:rsidR="00537F65" w:rsidRPr="000F7A1E">
        <w:t xml:space="preserve"> rozpoczyna się z</w:t>
      </w:r>
      <w:r w:rsidRPr="000F7A1E">
        <w:t xml:space="preserve"> </w:t>
      </w:r>
      <w:r w:rsidR="00537F65" w:rsidRPr="000F7A1E">
        <w:t xml:space="preserve">dniem podjęcia </w:t>
      </w:r>
      <w:r w:rsidR="00962AD3" w:rsidRPr="000F7A1E">
        <w:t xml:space="preserve">decyzji </w:t>
      </w:r>
      <w:r w:rsidR="00537F65" w:rsidRPr="000F7A1E">
        <w:t xml:space="preserve">o przyznaniu dofinansowania dla </w:t>
      </w:r>
      <w:r w:rsidR="00C23401">
        <w:t>projekt</w:t>
      </w:r>
      <w:r w:rsidR="009F5AED">
        <w:t>u</w:t>
      </w:r>
      <w:r w:rsidR="00C23401" w:rsidRPr="000F7A1E">
        <w:t xml:space="preserve"> </w:t>
      </w:r>
      <w:r w:rsidR="00537F65" w:rsidRPr="000F7A1E">
        <w:t xml:space="preserve">przez </w:t>
      </w:r>
      <w:r w:rsidR="00962AD3" w:rsidRPr="000F7A1E">
        <w:t>Operatora Programu</w:t>
      </w:r>
      <w:r w:rsidR="000C7977">
        <w:t xml:space="preserve"> (Ministerstwo Klimatu)</w:t>
      </w:r>
      <w:r w:rsidRPr="000F7A1E">
        <w:t>.</w:t>
      </w:r>
    </w:p>
    <w:p w14:paraId="6B3838D2" w14:textId="21BE8468" w:rsidR="0013786D" w:rsidRPr="00DE2D21" w:rsidRDefault="00537F65" w:rsidP="00537F65">
      <w:pPr>
        <w:spacing w:before="120"/>
        <w:jc w:val="both"/>
      </w:pPr>
      <w:r w:rsidRPr="000F7A1E">
        <w:t>O</w:t>
      </w:r>
      <w:r w:rsidR="0013786D" w:rsidRPr="000F7A1E">
        <w:t>kres</w:t>
      </w:r>
      <w:r w:rsidRPr="000F7A1E">
        <w:t xml:space="preserve"> </w:t>
      </w:r>
      <w:r w:rsidR="0013786D" w:rsidRPr="000F7A1E">
        <w:t xml:space="preserve">kwalifikowalności </w:t>
      </w:r>
      <w:r w:rsidR="00DD5F03">
        <w:t>kosztów</w:t>
      </w:r>
      <w:r w:rsidR="00585C1B">
        <w:t xml:space="preserve"> </w:t>
      </w:r>
      <w:r w:rsidRPr="000F7A1E">
        <w:t xml:space="preserve">kończy się </w:t>
      </w:r>
      <w:r w:rsidR="00581109" w:rsidRPr="00EE5268">
        <w:t>3</w:t>
      </w:r>
      <w:r w:rsidR="003A1B5C" w:rsidRPr="00EE5268">
        <w:t>0</w:t>
      </w:r>
      <w:r w:rsidR="00581109" w:rsidRPr="00EE5268">
        <w:t xml:space="preserve"> </w:t>
      </w:r>
      <w:r w:rsidR="00A94B4B" w:rsidRPr="00EE5268">
        <w:t>kwietnia</w:t>
      </w:r>
      <w:r w:rsidR="0032485A" w:rsidRPr="00EE5268">
        <w:t xml:space="preserve"> </w:t>
      </w:r>
      <w:r w:rsidR="0013786D" w:rsidRPr="00EE5268">
        <w:t>20</w:t>
      </w:r>
      <w:r w:rsidR="0032485A" w:rsidRPr="00EE5268">
        <w:t>2</w:t>
      </w:r>
      <w:r w:rsidR="00A94B4B" w:rsidRPr="00EE5268">
        <w:t>4</w:t>
      </w:r>
      <w:r w:rsidR="00365D83" w:rsidRPr="00EE5268">
        <w:t xml:space="preserve"> </w:t>
      </w:r>
      <w:r w:rsidR="0013786D" w:rsidRPr="00EE5268">
        <w:t>r.</w:t>
      </w:r>
    </w:p>
    <w:p w14:paraId="66E8C63A" w14:textId="77777777" w:rsidR="0013786D" w:rsidRPr="000F7A1E" w:rsidRDefault="0013786D" w:rsidP="000063BC">
      <w:pPr>
        <w:spacing w:before="120"/>
        <w:ind w:left="360" w:hanging="360"/>
        <w:jc w:val="both"/>
      </w:pPr>
    </w:p>
    <w:p w14:paraId="2499707D" w14:textId="4E4DD248" w:rsidR="00487128" w:rsidRPr="001031DF" w:rsidRDefault="00487128" w:rsidP="001031DF">
      <w:pPr>
        <w:numPr>
          <w:ilvl w:val="0"/>
          <w:numId w:val="1"/>
        </w:numPr>
        <w:spacing w:before="120"/>
        <w:rPr>
          <w:b/>
        </w:rPr>
      </w:pPr>
      <w:r w:rsidRPr="001031DF">
        <w:rPr>
          <w:b/>
        </w:rPr>
        <w:t>Proces oceny i wybor</w:t>
      </w:r>
      <w:r w:rsidR="00733847" w:rsidRPr="001031DF">
        <w:rPr>
          <w:b/>
        </w:rPr>
        <w:t>u</w:t>
      </w:r>
      <w:r w:rsidRPr="001031DF">
        <w:rPr>
          <w:b/>
        </w:rPr>
        <w:t xml:space="preserve"> </w:t>
      </w:r>
    </w:p>
    <w:p w14:paraId="5EDE353D" w14:textId="13208B0C" w:rsidR="0013786D" w:rsidRDefault="007E4144" w:rsidP="000063BC">
      <w:pPr>
        <w:spacing w:before="120"/>
        <w:jc w:val="both"/>
      </w:pPr>
      <w:r>
        <w:t>Wnioskodawca wypełnia wniosek</w:t>
      </w:r>
      <w:r w:rsidR="0013786D" w:rsidRPr="000F7A1E">
        <w:t xml:space="preserve"> o dofinansowanie</w:t>
      </w:r>
      <w:r w:rsidR="0031465D">
        <w:t xml:space="preserve"> </w:t>
      </w:r>
      <w:r w:rsidR="0010353F">
        <w:t>p</w:t>
      </w:r>
      <w:r>
        <w:t>rojektu,</w:t>
      </w:r>
      <w:r w:rsidR="00485C83" w:rsidRPr="000F7A1E">
        <w:t xml:space="preserve"> a następnie</w:t>
      </w:r>
      <w:r w:rsidR="0013786D" w:rsidRPr="000F7A1E">
        <w:t xml:space="preserve"> </w:t>
      </w:r>
      <w:r>
        <w:t>składa do</w:t>
      </w:r>
      <w:r w:rsidR="000A09FA" w:rsidRPr="000F7A1E">
        <w:t xml:space="preserve"> </w:t>
      </w:r>
      <w:r w:rsidR="0031112B">
        <w:t>Narodowego Funduszu Ochrony Środowiska i Gospodarki Wodnej (</w:t>
      </w:r>
      <w:r w:rsidR="000A09FA" w:rsidRPr="000F7A1E">
        <w:t>NFOŚiGW</w:t>
      </w:r>
      <w:r w:rsidR="0031112B">
        <w:t>)</w:t>
      </w:r>
      <w:r>
        <w:t xml:space="preserve"> w sposób opisany w punkcie 1</w:t>
      </w:r>
      <w:r w:rsidR="001A0B3C">
        <w:t>3</w:t>
      </w:r>
      <w:r>
        <w:t xml:space="preserve"> ogłoszenia o naborze</w:t>
      </w:r>
      <w:r w:rsidR="00B01FD4" w:rsidRPr="000B0B08">
        <w:t>.</w:t>
      </w:r>
      <w:r w:rsidR="000B0B08">
        <w:t xml:space="preserve"> </w:t>
      </w:r>
    </w:p>
    <w:p w14:paraId="577CAF0C" w14:textId="74B4F658" w:rsidR="007E4144" w:rsidRDefault="007E4144" w:rsidP="007E4144">
      <w:pPr>
        <w:spacing w:before="120"/>
        <w:jc w:val="both"/>
      </w:pPr>
      <w:r>
        <w:t xml:space="preserve">Ocena projektów składa </w:t>
      </w:r>
      <w:r w:rsidRPr="000946C9">
        <w:t xml:space="preserve">się z oceny </w:t>
      </w:r>
      <w:r w:rsidR="00DA7589">
        <w:t>formalnej</w:t>
      </w:r>
      <w:r>
        <w:t xml:space="preserve"> </w:t>
      </w:r>
      <w:r w:rsidR="00E44317">
        <w:t>(</w:t>
      </w:r>
      <w:r w:rsidR="007F6D0C">
        <w:t xml:space="preserve">warunki </w:t>
      </w:r>
      <w:r w:rsidR="00E44317">
        <w:t xml:space="preserve">formalne) </w:t>
      </w:r>
      <w:r>
        <w:t xml:space="preserve">oraz oceny </w:t>
      </w:r>
      <w:r w:rsidRPr="000946C9">
        <w:t>merytoryczn</w:t>
      </w:r>
      <w:r w:rsidR="00DA7589">
        <w:t xml:space="preserve">ej </w:t>
      </w:r>
      <w:r w:rsidR="00922C1D">
        <w:br/>
      </w:r>
      <w:r w:rsidR="00DA7589">
        <w:t xml:space="preserve">I </w:t>
      </w:r>
      <w:proofErr w:type="spellStart"/>
      <w:r w:rsidR="00DA7589">
        <w:t>i</w:t>
      </w:r>
      <w:proofErr w:type="spellEnd"/>
      <w:r w:rsidR="00DA7589">
        <w:t xml:space="preserve"> II stopnia</w:t>
      </w:r>
      <w:r w:rsidR="00E44317">
        <w:t xml:space="preserve"> (kryteria merytoryczne). </w:t>
      </w:r>
      <w:r w:rsidRPr="000946C9">
        <w:t xml:space="preserve"> </w:t>
      </w:r>
    </w:p>
    <w:p w14:paraId="1B3ED604" w14:textId="38551EA8" w:rsidR="00AF28AC" w:rsidRDefault="00AF28AC">
      <w:pPr>
        <w:spacing w:before="120"/>
        <w:jc w:val="both"/>
        <w:rPr>
          <w:rStyle w:val="tlid-translation"/>
          <w:highlight w:val="yellow"/>
        </w:rPr>
      </w:pPr>
      <w:r w:rsidRPr="004D6481">
        <w:rPr>
          <w:rStyle w:val="tlid-translation"/>
          <w:u w:val="single"/>
        </w:rPr>
        <w:t>O</w:t>
      </w:r>
      <w:r w:rsidR="00895228" w:rsidRPr="004D6481">
        <w:rPr>
          <w:rStyle w:val="tlid-translation"/>
          <w:u w:val="single"/>
        </w:rPr>
        <w:t>cen</w:t>
      </w:r>
      <w:r w:rsidRPr="004D6481">
        <w:rPr>
          <w:rStyle w:val="tlid-translation"/>
          <w:u w:val="single"/>
        </w:rPr>
        <w:t xml:space="preserve">a </w:t>
      </w:r>
      <w:r w:rsidR="007755F2" w:rsidRPr="004D6481">
        <w:rPr>
          <w:rStyle w:val="tlid-translation"/>
          <w:u w:val="single"/>
        </w:rPr>
        <w:t>formalna</w:t>
      </w:r>
      <w:r w:rsidR="007755F2">
        <w:rPr>
          <w:rStyle w:val="tlid-translation"/>
        </w:rPr>
        <w:t xml:space="preserve"> </w:t>
      </w:r>
      <w:r w:rsidRPr="004A2695">
        <w:rPr>
          <w:rStyle w:val="tlid-translation"/>
        </w:rPr>
        <w:t>projektów</w:t>
      </w:r>
      <w:r w:rsidR="00895228" w:rsidRPr="004A2695">
        <w:rPr>
          <w:rStyle w:val="tlid-translation"/>
        </w:rPr>
        <w:t xml:space="preserve"> </w:t>
      </w:r>
      <w:r>
        <w:rPr>
          <w:rStyle w:val="tlid-translation"/>
        </w:rPr>
        <w:t xml:space="preserve">polega na weryfikacji projektu pod kątem spełnienia </w:t>
      </w:r>
      <w:r w:rsidRPr="00A03050">
        <w:rPr>
          <w:rStyle w:val="tlid-translation"/>
        </w:rPr>
        <w:t>bądź</w:t>
      </w:r>
      <w:r w:rsidRPr="00535660">
        <w:rPr>
          <w:rFonts w:ascii="Arial" w:eastAsia="TimesNewRoman" w:hAnsi="Arial" w:cs="Arial"/>
          <w:sz w:val="20"/>
          <w:szCs w:val="20"/>
        </w:rPr>
        <w:t xml:space="preserve"> </w:t>
      </w:r>
      <w:r w:rsidRPr="00AF28AC">
        <w:rPr>
          <w:rStyle w:val="tlid-translation"/>
        </w:rPr>
        <w:t xml:space="preserve">niespełnienia </w:t>
      </w:r>
      <w:r w:rsidR="007F6D0C">
        <w:rPr>
          <w:rStyle w:val="tlid-translation"/>
        </w:rPr>
        <w:t xml:space="preserve">warunków </w:t>
      </w:r>
      <w:r>
        <w:rPr>
          <w:rStyle w:val="tlid-translation"/>
        </w:rPr>
        <w:t>formalnych</w:t>
      </w:r>
      <w:r w:rsidRPr="00AF28AC">
        <w:rPr>
          <w:rStyle w:val="tlid-translation"/>
        </w:rPr>
        <w:t xml:space="preserve"> (tzw. ocena zero-jedynkowa)</w:t>
      </w:r>
      <w:r>
        <w:rPr>
          <w:rStyle w:val="tlid-translation"/>
        </w:rPr>
        <w:t>.</w:t>
      </w:r>
      <w:r w:rsidRPr="00895228">
        <w:rPr>
          <w:rStyle w:val="tlid-translation"/>
          <w:highlight w:val="yellow"/>
        </w:rPr>
        <w:t xml:space="preserve"> </w:t>
      </w:r>
    </w:p>
    <w:p w14:paraId="12E09856" w14:textId="24E2E2EF" w:rsidR="002816E7" w:rsidRPr="00CB543F" w:rsidRDefault="002816E7">
      <w:pPr>
        <w:spacing w:before="120"/>
        <w:jc w:val="both"/>
        <w:rPr>
          <w:rStyle w:val="tlid-translation"/>
        </w:rPr>
      </w:pPr>
      <w:r w:rsidRPr="00CB543F">
        <w:rPr>
          <w:rStyle w:val="tlid-translation"/>
        </w:rPr>
        <w:t xml:space="preserve">Ocena formalna trwa </w:t>
      </w:r>
      <w:r w:rsidR="00CB543F">
        <w:rPr>
          <w:rStyle w:val="tlid-translation"/>
        </w:rPr>
        <w:t xml:space="preserve">maksymalnie </w:t>
      </w:r>
      <w:r w:rsidRPr="00CB543F">
        <w:rPr>
          <w:rStyle w:val="tlid-translation"/>
        </w:rPr>
        <w:t>4 tygodnie, licząc od daty złożenia wniosku</w:t>
      </w:r>
      <w:r w:rsidR="0031112B" w:rsidRPr="00CB543F">
        <w:t>, bez uwzględniania czasu niezbędnego na przeprowadzenie procedury odwoławczej.</w:t>
      </w:r>
    </w:p>
    <w:p w14:paraId="5CFA4378" w14:textId="36F45350" w:rsidR="00C74411" w:rsidRDefault="00AF28AC">
      <w:pPr>
        <w:spacing w:before="120"/>
        <w:jc w:val="both"/>
        <w:rPr>
          <w:rStyle w:val="tlid-translation"/>
        </w:rPr>
      </w:pPr>
      <w:r w:rsidRPr="00A02D80">
        <w:rPr>
          <w:rStyle w:val="tlid-translation"/>
        </w:rPr>
        <w:lastRenderedPageBreak/>
        <w:t xml:space="preserve">Jeżeli chociaż </w:t>
      </w:r>
      <w:r w:rsidR="007F6D0C" w:rsidRPr="00A02D80">
        <w:rPr>
          <w:rStyle w:val="tlid-translation"/>
        </w:rPr>
        <w:t>jed</w:t>
      </w:r>
      <w:r w:rsidR="007F6D0C">
        <w:rPr>
          <w:rStyle w:val="tlid-translation"/>
        </w:rPr>
        <w:t>en</w:t>
      </w:r>
      <w:r w:rsidR="007F6D0C" w:rsidRPr="00A02D80">
        <w:rPr>
          <w:rStyle w:val="tlid-translation"/>
        </w:rPr>
        <w:t xml:space="preserve"> </w:t>
      </w:r>
      <w:r w:rsidR="007F6D0C">
        <w:rPr>
          <w:rStyle w:val="tlid-translation"/>
        </w:rPr>
        <w:t>warunek</w:t>
      </w:r>
      <w:r w:rsidR="007F6D0C" w:rsidRPr="00A02D80">
        <w:rPr>
          <w:rStyle w:val="tlid-translation"/>
        </w:rPr>
        <w:t xml:space="preserve"> formaln</w:t>
      </w:r>
      <w:r w:rsidR="007F6D0C">
        <w:rPr>
          <w:rStyle w:val="tlid-translation"/>
        </w:rPr>
        <w:t>y</w:t>
      </w:r>
      <w:r w:rsidR="007F6D0C" w:rsidRPr="00A02D80">
        <w:rPr>
          <w:rStyle w:val="tlid-translation"/>
        </w:rPr>
        <w:t xml:space="preserve"> </w:t>
      </w:r>
      <w:r w:rsidRPr="00A02D80">
        <w:rPr>
          <w:rStyle w:val="tlid-translation"/>
        </w:rPr>
        <w:t xml:space="preserve">nie jest </w:t>
      </w:r>
      <w:r w:rsidR="007F6D0C" w:rsidRPr="00A02D80">
        <w:rPr>
          <w:rStyle w:val="tlid-translation"/>
        </w:rPr>
        <w:t>spełnion</w:t>
      </w:r>
      <w:r w:rsidR="007F6D0C">
        <w:rPr>
          <w:rStyle w:val="tlid-translation"/>
        </w:rPr>
        <w:t>y</w:t>
      </w:r>
      <w:r w:rsidRPr="00A02D80">
        <w:rPr>
          <w:rStyle w:val="tlid-translation"/>
        </w:rPr>
        <w:t xml:space="preserve">, </w:t>
      </w:r>
      <w:r w:rsidR="00A02D80">
        <w:rPr>
          <w:rStyle w:val="tlid-translation"/>
        </w:rPr>
        <w:t>wnioskodawca zostaje wezwany</w:t>
      </w:r>
      <w:r w:rsidRPr="00A02D80">
        <w:rPr>
          <w:rStyle w:val="tlid-translation"/>
        </w:rPr>
        <w:t xml:space="preserve"> </w:t>
      </w:r>
      <w:r w:rsidR="00380991">
        <w:rPr>
          <w:rStyle w:val="tlid-translation"/>
        </w:rPr>
        <w:br/>
      </w:r>
      <w:r w:rsidRPr="00A02D80">
        <w:rPr>
          <w:rStyle w:val="tlid-translation"/>
        </w:rPr>
        <w:t>do poprawy, uzupełnienia lub do przedstawienia wyjaśnień</w:t>
      </w:r>
      <w:r w:rsidR="00D33EB5">
        <w:rPr>
          <w:rStyle w:val="tlid-translation"/>
        </w:rPr>
        <w:t xml:space="preserve">. </w:t>
      </w:r>
      <w:r w:rsidR="005B30F0">
        <w:rPr>
          <w:rStyle w:val="tlid-translation"/>
        </w:rPr>
        <w:t xml:space="preserve">Warunek dot. wpływu wniosku </w:t>
      </w:r>
      <w:r w:rsidR="005B30F0">
        <w:rPr>
          <w:rStyle w:val="tlid-translation"/>
        </w:rPr>
        <w:br/>
        <w:t>w terminie wskazanym w ogłoszeniu nie podlega poprawie</w:t>
      </w:r>
      <w:r w:rsidR="006F389B">
        <w:rPr>
          <w:rStyle w:val="tlid-translation"/>
        </w:rPr>
        <w:t>/</w:t>
      </w:r>
      <w:r w:rsidR="005B30F0">
        <w:rPr>
          <w:rStyle w:val="tlid-translation"/>
        </w:rPr>
        <w:t>uzupełnieniu</w:t>
      </w:r>
      <w:r w:rsidR="00EC5D2C">
        <w:rPr>
          <w:rStyle w:val="tlid-translation"/>
        </w:rPr>
        <w:t>,</w:t>
      </w:r>
      <w:r w:rsidR="00EC5D2C" w:rsidRPr="00EC5D2C">
        <w:rPr>
          <w:rStyle w:val="tlid-translation"/>
        </w:rPr>
        <w:t xml:space="preserve"> </w:t>
      </w:r>
      <w:r w:rsidR="00EC5D2C">
        <w:rPr>
          <w:rStyle w:val="tlid-translation"/>
        </w:rPr>
        <w:t>a jego niespełnienie powoduje pozostawienie wniosku bez rozpatrzenia</w:t>
      </w:r>
      <w:r w:rsidR="005B30F0">
        <w:rPr>
          <w:rStyle w:val="tlid-translation"/>
        </w:rPr>
        <w:t xml:space="preserve">. </w:t>
      </w:r>
    </w:p>
    <w:p w14:paraId="0872B3CB" w14:textId="2008CAD2" w:rsidR="00AF28AC" w:rsidRDefault="00AF28AC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</w:t>
      </w:r>
      <w:r w:rsidR="002539AF">
        <w:rPr>
          <w:rStyle w:val="tlid-translation"/>
        </w:rPr>
        <w:t xml:space="preserve">ocenione negatywnie </w:t>
      </w:r>
      <w:r w:rsidR="00921844">
        <w:rPr>
          <w:rStyle w:val="tlid-translation"/>
        </w:rPr>
        <w:t xml:space="preserve">lub pozostawione bez rozpatrzenia </w:t>
      </w:r>
      <w:r>
        <w:rPr>
          <w:rStyle w:val="tlid-translation"/>
        </w:rPr>
        <w:t xml:space="preserve">na tym etapie, zostaną poinformowani na piśmie o przyczynach </w:t>
      </w:r>
      <w:r w:rsidR="002539AF">
        <w:rPr>
          <w:rStyle w:val="tlid-translation"/>
        </w:rPr>
        <w:t>negatywnej oceny</w:t>
      </w:r>
      <w:r w:rsidR="00A4604C">
        <w:rPr>
          <w:rStyle w:val="tlid-translation"/>
        </w:rPr>
        <w:t xml:space="preserve"> lub pozostawienia bez rozpatrzenia</w:t>
      </w:r>
      <w:r w:rsidR="002539AF">
        <w:rPr>
          <w:rStyle w:val="tlid-translation"/>
        </w:rPr>
        <w:t xml:space="preserve"> </w:t>
      </w:r>
      <w:r>
        <w:rPr>
          <w:rStyle w:val="tlid-translation"/>
        </w:rPr>
        <w:t xml:space="preserve">i otrzymają możliwość odwołania się od decyzji do </w:t>
      </w:r>
      <w:r w:rsidR="00CE7AF9">
        <w:rPr>
          <w:rStyle w:val="tlid-translation"/>
        </w:rPr>
        <w:t>K</w:t>
      </w:r>
      <w:r w:rsidR="0031112B">
        <w:rPr>
          <w:rStyle w:val="tlid-translation"/>
        </w:rPr>
        <w:t xml:space="preserve">rajowego </w:t>
      </w:r>
      <w:r w:rsidR="00CE7AF9">
        <w:rPr>
          <w:rStyle w:val="tlid-translation"/>
        </w:rPr>
        <w:t>P</w:t>
      </w:r>
      <w:r w:rsidR="0031112B">
        <w:rPr>
          <w:rStyle w:val="tlid-translation"/>
        </w:rPr>
        <w:t xml:space="preserve">unktu </w:t>
      </w:r>
      <w:r w:rsidR="00CE7AF9">
        <w:rPr>
          <w:rStyle w:val="tlid-translation"/>
        </w:rPr>
        <w:t>K</w:t>
      </w:r>
      <w:r w:rsidR="0031112B">
        <w:rPr>
          <w:rStyle w:val="tlid-translation"/>
        </w:rPr>
        <w:t>ontaktowego (KPK)</w:t>
      </w:r>
      <w:r w:rsidR="00CE7AF9">
        <w:rPr>
          <w:rStyle w:val="tlid-translation"/>
        </w:rPr>
        <w:t xml:space="preserve"> za pośrednictwem </w:t>
      </w:r>
      <w:r>
        <w:rPr>
          <w:rStyle w:val="tlid-translation"/>
        </w:rPr>
        <w:t>Operatora Programu.</w:t>
      </w:r>
    </w:p>
    <w:p w14:paraId="41694F64" w14:textId="7713520B" w:rsidR="00895228" w:rsidRDefault="00876F63">
      <w:pPr>
        <w:spacing w:before="120"/>
        <w:jc w:val="both"/>
        <w:rPr>
          <w:rStyle w:val="tlid-translation"/>
        </w:rPr>
      </w:pPr>
      <w:r w:rsidRPr="004D6481">
        <w:rPr>
          <w:rStyle w:val="tlid-translation"/>
          <w:u w:val="single"/>
        </w:rPr>
        <w:t>Ocena merytoryczna</w:t>
      </w:r>
      <w:r w:rsidRPr="00876F63">
        <w:rPr>
          <w:rStyle w:val="tlid-translation"/>
        </w:rPr>
        <w:t xml:space="preserve"> jest dwustopniowa</w:t>
      </w:r>
      <w:r w:rsidR="00895228">
        <w:rPr>
          <w:rStyle w:val="tlid-translation"/>
        </w:rPr>
        <w:t>:</w:t>
      </w:r>
    </w:p>
    <w:p w14:paraId="223A57C1" w14:textId="0C839D7C" w:rsidR="00895228" w:rsidRDefault="00876F63" w:rsidP="00895228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ocena </w:t>
      </w:r>
      <w:r w:rsidR="009F4FEE">
        <w:rPr>
          <w:rStyle w:val="tlid-translation"/>
        </w:rPr>
        <w:t xml:space="preserve">I </w:t>
      </w:r>
      <w:r>
        <w:rPr>
          <w:rStyle w:val="tlid-translation"/>
        </w:rPr>
        <w:t xml:space="preserve">stopnia: </w:t>
      </w:r>
      <w:r w:rsidR="009F4FEE">
        <w:rPr>
          <w:rStyle w:val="tlid-translation"/>
        </w:rPr>
        <w:t xml:space="preserve">obejmuje zgodność z obowiązującymi </w:t>
      </w:r>
      <w:r w:rsidR="00895228">
        <w:rPr>
          <w:rStyle w:val="tlid-translation"/>
        </w:rPr>
        <w:t xml:space="preserve">zasadami przyznawania </w:t>
      </w:r>
      <w:r w:rsidR="009F4FEE">
        <w:rPr>
          <w:rStyle w:val="tlid-translation"/>
        </w:rPr>
        <w:t xml:space="preserve">pomocy </w:t>
      </w:r>
      <w:r w:rsidR="00895228">
        <w:rPr>
          <w:rStyle w:val="tlid-translation"/>
        </w:rPr>
        <w:t>publicznej</w:t>
      </w:r>
      <w:r w:rsidR="009F4FEE">
        <w:rPr>
          <w:rStyle w:val="tlid-translation"/>
        </w:rPr>
        <w:t xml:space="preserve">, </w:t>
      </w:r>
      <w:r>
        <w:rPr>
          <w:rStyle w:val="tlid-translation"/>
        </w:rPr>
        <w:t xml:space="preserve">zasadą równych szans i niedyskryminacji, </w:t>
      </w:r>
      <w:r w:rsidR="009F4FEE">
        <w:rPr>
          <w:rStyle w:val="tlid-translation"/>
        </w:rPr>
        <w:t>ocenę s</w:t>
      </w:r>
      <w:r w:rsidR="00895228">
        <w:rPr>
          <w:rStyle w:val="tlid-translation"/>
        </w:rPr>
        <w:t>ytuacji finansowej wnioskodawcy</w:t>
      </w:r>
      <w:r>
        <w:rPr>
          <w:rStyle w:val="tlid-translation"/>
        </w:rPr>
        <w:t>, ocenę kwalifikowalności projektu</w:t>
      </w:r>
      <w:r w:rsidR="00895228">
        <w:rPr>
          <w:rStyle w:val="tlid-translation"/>
        </w:rPr>
        <w:t>.</w:t>
      </w:r>
      <w:r w:rsidR="009F4FEE">
        <w:rPr>
          <w:rStyle w:val="tlid-translation"/>
        </w:rPr>
        <w:t xml:space="preserve"> </w:t>
      </w:r>
      <w:r w:rsidR="006D4DB8">
        <w:rPr>
          <w:rStyle w:val="tlid-translation"/>
        </w:rPr>
        <w:t xml:space="preserve">Jest to ocena zero-jedynkowa. </w:t>
      </w:r>
    </w:p>
    <w:p w14:paraId="6B104F95" w14:textId="3328F2A1" w:rsidR="00A02D80" w:rsidRDefault="009F4FEE" w:rsidP="00A02D80">
      <w:pPr>
        <w:pStyle w:val="Akapitzlist"/>
        <w:spacing w:before="120"/>
        <w:ind w:left="720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odrzucone na tym etapie, zostaną poinformowani na piśmie o przyczynach odrzucenia. </w:t>
      </w:r>
      <w:r w:rsidR="00971C86">
        <w:rPr>
          <w:rStyle w:val="tlid-translation"/>
        </w:rPr>
        <w:t xml:space="preserve">Od wyników oceny merytorycznej I stopnia wnioskodawcy nie przysługuje odwołanie. </w:t>
      </w:r>
    </w:p>
    <w:p w14:paraId="28B4DD6F" w14:textId="228D2212" w:rsidR="00895228" w:rsidRDefault="00971C86" w:rsidP="00A02D80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ocena </w:t>
      </w:r>
      <w:r w:rsidR="00895228">
        <w:rPr>
          <w:rStyle w:val="tlid-translation"/>
        </w:rPr>
        <w:t xml:space="preserve">II </w:t>
      </w:r>
      <w:r>
        <w:rPr>
          <w:rStyle w:val="tlid-translation"/>
        </w:rPr>
        <w:t xml:space="preserve">stopnia: </w:t>
      </w:r>
      <w:r w:rsidR="00895228">
        <w:rPr>
          <w:rStyle w:val="tlid-translation"/>
        </w:rPr>
        <w:t>obejmuje ocenę punktową projektu przez co najmniej dwóch zewnętrznych i bezstronnych ekspertów wyznaczonych przez NFOŚiGW, którzy z</w:t>
      </w:r>
      <w:r w:rsidR="009F4FEE">
        <w:rPr>
          <w:rStyle w:val="tlid-translation"/>
        </w:rPr>
        <w:t>ostaną wybrani w drodze procedury konkursowej.</w:t>
      </w:r>
      <w:r w:rsidR="00895228">
        <w:t xml:space="preserve"> </w:t>
      </w:r>
      <w:r w:rsidR="009F4FEE">
        <w:rPr>
          <w:rStyle w:val="tlid-translation"/>
        </w:rPr>
        <w:t xml:space="preserve">Eksperci oddzielnie oceniają projekt zgodnie z kryteriami </w:t>
      </w:r>
      <w:r w:rsidR="001C47C4">
        <w:rPr>
          <w:rStyle w:val="tlid-translation"/>
        </w:rPr>
        <w:t>merytorycznymi</w:t>
      </w:r>
      <w:r w:rsidR="00C94743">
        <w:rPr>
          <w:rStyle w:val="tlid-translation"/>
        </w:rPr>
        <w:t xml:space="preserve"> II stopnia</w:t>
      </w:r>
      <w:r w:rsidR="009F4FEE">
        <w:rPr>
          <w:rStyle w:val="tlid-translation"/>
        </w:rPr>
        <w:t xml:space="preserve"> opublikowanymi w </w:t>
      </w:r>
      <w:r w:rsidR="00895228">
        <w:rPr>
          <w:rStyle w:val="tlid-translation"/>
        </w:rPr>
        <w:t xml:space="preserve">ogłoszeniu </w:t>
      </w:r>
      <w:r w:rsidR="00C94743">
        <w:rPr>
          <w:rStyle w:val="tlid-translation"/>
        </w:rPr>
        <w:br/>
      </w:r>
      <w:r w:rsidR="00895228">
        <w:rPr>
          <w:rStyle w:val="tlid-translation"/>
        </w:rPr>
        <w:t>o naborze</w:t>
      </w:r>
      <w:r w:rsidR="009F4FEE">
        <w:rPr>
          <w:rStyle w:val="tlid-translation"/>
        </w:rPr>
        <w:t>.</w:t>
      </w:r>
      <w:r w:rsidR="00A02D80">
        <w:rPr>
          <w:rStyle w:val="tlid-translation"/>
        </w:rPr>
        <w:t xml:space="preserve"> Wnioskodawcy, którzy nie zgadzają się z przyznaną punktacją mają możliwość odwołania</w:t>
      </w:r>
      <w:r w:rsidR="006A071F">
        <w:rPr>
          <w:rStyle w:val="tlid-translation"/>
        </w:rPr>
        <w:t xml:space="preserve"> do Operatora Programu.</w:t>
      </w:r>
    </w:p>
    <w:p w14:paraId="385C372E" w14:textId="34DA5B22" w:rsidR="00C74411" w:rsidRDefault="00C74411" w:rsidP="004D6481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Ocena merytoryczna (etap I </w:t>
      </w:r>
      <w:proofErr w:type="spellStart"/>
      <w:r>
        <w:rPr>
          <w:rStyle w:val="tlid-translation"/>
        </w:rPr>
        <w:t>i</w:t>
      </w:r>
      <w:proofErr w:type="spellEnd"/>
      <w:r>
        <w:rPr>
          <w:rStyle w:val="tlid-translation"/>
        </w:rPr>
        <w:t xml:space="preserve"> etap II) trwa </w:t>
      </w:r>
      <w:r w:rsidR="00CB543F">
        <w:rPr>
          <w:rStyle w:val="tlid-translation"/>
        </w:rPr>
        <w:t xml:space="preserve">maksymalnie </w:t>
      </w:r>
      <w:r w:rsidR="00160290">
        <w:rPr>
          <w:rStyle w:val="tlid-translation"/>
        </w:rPr>
        <w:t>9</w:t>
      </w:r>
      <w:r>
        <w:rPr>
          <w:rStyle w:val="tlid-translation"/>
        </w:rPr>
        <w:t xml:space="preserve"> tygodni liczonych od dnia powiadomienia o pozytywnych wynikach oceny formalnej do momentu zatwierdzenia listy rankingowej przez Operatora Programu.</w:t>
      </w:r>
    </w:p>
    <w:p w14:paraId="581D4F9F" w14:textId="76B775A4" w:rsidR="00CA5765" w:rsidRDefault="00CA5765" w:rsidP="004D6481">
      <w:pPr>
        <w:spacing w:before="120"/>
        <w:jc w:val="both"/>
        <w:rPr>
          <w:rStyle w:val="tlid-translation"/>
        </w:rPr>
      </w:pPr>
      <w:r w:rsidRPr="00CA5765">
        <w:rPr>
          <w:rStyle w:val="tlid-translation"/>
        </w:rPr>
        <w:t>Podczas oceny merytorycznej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na każdym stopniu prowadzonej oceny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wnioskodawca może zostać jednorazowo i na piśmie poproszony o wyjaśnienia do złożonego wniosku.</w:t>
      </w:r>
    </w:p>
    <w:p w14:paraId="49F7539F" w14:textId="7675665E" w:rsidR="008C482F" w:rsidRDefault="009F4ED6" w:rsidP="008C482F">
      <w:pPr>
        <w:spacing w:before="120"/>
        <w:jc w:val="both"/>
      </w:pPr>
      <w:r w:rsidRPr="009F4ED6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</w:t>
      </w:r>
      <w:r w:rsidR="004D6481">
        <w:rPr>
          <w:rStyle w:val="tlid-translation"/>
        </w:rPr>
        <w:t xml:space="preserve">Do celów uszeregowania projektów wykorzystuje się średnią ocen przyznanych przez ekspertów. </w:t>
      </w:r>
      <w:r w:rsidR="000C22DB">
        <w:rPr>
          <w:rStyle w:val="tlid-translation"/>
        </w:rPr>
        <w:br/>
      </w:r>
      <w:r w:rsidR="004C705B" w:rsidRPr="004C705B">
        <w:rPr>
          <w:rStyle w:val="tlid-translation"/>
        </w:rPr>
        <w:t xml:space="preserve">W przypadku rozbieżności w ocenie ekspertów zewnętrznych wynoszących więcej niż 30% wyższego wyniku, NFOŚiGW zleca niezależną ocenę wniosku trzeciemu ekspertowi zewnętrznemu. </w:t>
      </w:r>
      <w:r w:rsidR="00A55A50" w:rsidRPr="00A55A50">
        <w:rPr>
          <w:rStyle w:val="tlid-translation"/>
        </w:rPr>
        <w:t xml:space="preserve">W takich przypadkach na potrzeby sporządzenia listy rankingowej projektów stosuje się średnią liczbę punktów z dwóch najbardziej zbliżonych wyników. </w:t>
      </w:r>
    </w:p>
    <w:p w14:paraId="294F4123" w14:textId="7E25D40B" w:rsidR="00895228" w:rsidRDefault="00614769" w:rsidP="00895228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odrzucone </w:t>
      </w:r>
      <w:r w:rsidR="00FF688D">
        <w:rPr>
          <w:rStyle w:val="tlid-translation"/>
        </w:rPr>
        <w:t>po ocenie merytorycznej II stopnia</w:t>
      </w:r>
      <w:r>
        <w:rPr>
          <w:rStyle w:val="tlid-translation"/>
        </w:rPr>
        <w:t xml:space="preserve">, zostaną poinformowani na piśmie o przyczynach odrzucenia i </w:t>
      </w:r>
      <w:r w:rsidR="008C482F">
        <w:rPr>
          <w:rStyle w:val="tlid-translation"/>
        </w:rPr>
        <w:t>możliwoś</w:t>
      </w:r>
      <w:r w:rsidR="001B63E5">
        <w:rPr>
          <w:rStyle w:val="tlid-translation"/>
        </w:rPr>
        <w:t xml:space="preserve">ci </w:t>
      </w:r>
      <w:r w:rsidR="008C482F">
        <w:rPr>
          <w:rStyle w:val="tlid-translation"/>
        </w:rPr>
        <w:t>odwołania się</w:t>
      </w:r>
      <w:r>
        <w:rPr>
          <w:rStyle w:val="tlid-translation"/>
        </w:rPr>
        <w:t xml:space="preserve"> od decyzji do Operatora Programu.</w:t>
      </w:r>
    </w:p>
    <w:p w14:paraId="7FFB2D5F" w14:textId="103FFAD4" w:rsidR="006B3C9D" w:rsidRDefault="006B3C9D" w:rsidP="006B3C9D">
      <w:pPr>
        <w:spacing w:before="120"/>
        <w:jc w:val="both"/>
        <w:rPr>
          <w:rStyle w:val="tlid-translation"/>
        </w:rPr>
      </w:pPr>
      <w:r w:rsidRPr="006B3C9D">
        <w:rPr>
          <w:rStyle w:val="tlid-translation"/>
        </w:rPr>
        <w:t>Projekt listy rankingowej jest przekazywany pod obrady Komitetu ds. Wyboru Projektów</w:t>
      </w:r>
      <w:r w:rsidR="00653015">
        <w:rPr>
          <w:rStyle w:val="tlid-translation"/>
        </w:rPr>
        <w:t>, który dokonuje jej przeglądu</w:t>
      </w:r>
      <w:r w:rsidRPr="006B3C9D">
        <w:rPr>
          <w:rStyle w:val="tlid-translation"/>
        </w:rPr>
        <w:t xml:space="preserve">. </w:t>
      </w:r>
      <w:r w:rsidR="00653015">
        <w:rPr>
          <w:rStyle w:val="tlid-translation"/>
        </w:rPr>
        <w:t xml:space="preserve">W uzasadnionych przypadkach </w:t>
      </w:r>
      <w:r w:rsidR="00A35E86">
        <w:rPr>
          <w:rStyle w:val="tlid-translation"/>
        </w:rPr>
        <w:t>Komitet ds. Wyboru Projektów</w:t>
      </w:r>
      <w:r w:rsidR="009F4FEE">
        <w:rPr>
          <w:rStyle w:val="tlid-translation"/>
        </w:rPr>
        <w:t xml:space="preserve"> może modyfikować </w:t>
      </w:r>
      <w:r w:rsidR="009360C8">
        <w:rPr>
          <w:rStyle w:val="tlid-translation"/>
        </w:rPr>
        <w:t>listę rankingową</w:t>
      </w:r>
      <w:r w:rsidR="00653015">
        <w:rPr>
          <w:rStyle w:val="tlid-translation"/>
        </w:rPr>
        <w:t>.</w:t>
      </w:r>
      <w:r w:rsidR="009360C8">
        <w:rPr>
          <w:rStyle w:val="tlid-translation"/>
        </w:rPr>
        <w:t xml:space="preserve"> </w:t>
      </w:r>
      <w:r w:rsidR="009F4FEE">
        <w:rPr>
          <w:rStyle w:val="tlid-translation"/>
        </w:rPr>
        <w:t xml:space="preserve">Przewodniczący </w:t>
      </w:r>
      <w:r w:rsidR="00E9541E">
        <w:rPr>
          <w:rStyle w:val="tlid-translation"/>
        </w:rPr>
        <w:t xml:space="preserve">Komitetu ds. Wyboru Projektów </w:t>
      </w:r>
      <w:r w:rsidR="00A35E86">
        <w:rPr>
          <w:rStyle w:val="tlid-translation"/>
        </w:rPr>
        <w:t>przedkłada Operatorowi P</w:t>
      </w:r>
      <w:r w:rsidR="009F4FEE">
        <w:rPr>
          <w:rStyle w:val="tlid-translation"/>
        </w:rPr>
        <w:t>rogramu listę rekomendowanych projektów, wraz z listą rezerwową i listą odrzuconych wniosków</w:t>
      </w:r>
      <w:r>
        <w:rPr>
          <w:rStyle w:val="tlid-translation"/>
        </w:rPr>
        <w:t xml:space="preserve"> oraz przyczyną ich odrzucenia</w:t>
      </w:r>
      <w:r w:rsidR="00EB51A4" w:rsidRPr="00EB51A4">
        <w:t xml:space="preserve"> oraz uzasadnieniem ewentualnych modyfikacji listy</w:t>
      </w:r>
      <w:r>
        <w:rPr>
          <w:rStyle w:val="tlid-translation"/>
        </w:rPr>
        <w:t>.</w:t>
      </w:r>
    </w:p>
    <w:p w14:paraId="5AC60C2D" w14:textId="2C26E76A" w:rsidR="00605AFC" w:rsidRDefault="009F4FEE">
      <w:pPr>
        <w:spacing w:before="120"/>
        <w:jc w:val="both"/>
        <w:rPr>
          <w:rStyle w:val="tlid-translation"/>
        </w:rPr>
      </w:pPr>
      <w:r>
        <w:lastRenderedPageBreak/>
        <w:br/>
      </w:r>
      <w:r w:rsidR="00605AFC">
        <w:rPr>
          <w:rStyle w:val="tlid-translation"/>
        </w:rPr>
        <w:t>Ostateczną decyzję w sprawie dofinansowania podejmuje Operator Programu.</w:t>
      </w:r>
    </w:p>
    <w:p w14:paraId="77C36AA0" w14:textId="77777777" w:rsidR="00E01668" w:rsidRPr="000F7A1E" w:rsidRDefault="00E01668">
      <w:pPr>
        <w:spacing w:before="120"/>
        <w:jc w:val="both"/>
      </w:pPr>
    </w:p>
    <w:p w14:paraId="415AD46C" w14:textId="18C1847F" w:rsidR="00CB5EA2" w:rsidRPr="004D6481" w:rsidRDefault="0013786D" w:rsidP="00CB5EA2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4D6481">
        <w:rPr>
          <w:b/>
        </w:rPr>
        <w:t>System płatności</w:t>
      </w:r>
    </w:p>
    <w:p w14:paraId="49094017" w14:textId="77777777" w:rsidR="003751B3" w:rsidRDefault="003751B3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>Każdy beneficjent może otrzymać płatności na rzecz projektu w formie:</w:t>
      </w:r>
    </w:p>
    <w:p w14:paraId="02EC9437" w14:textId="706FA235" w:rsidR="003751B3" w:rsidRDefault="005B0C6F" w:rsidP="009D7CED">
      <w:pPr>
        <w:pStyle w:val="Akapitzlist"/>
        <w:numPr>
          <w:ilvl w:val="0"/>
          <w:numId w:val="16"/>
        </w:num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>z</w:t>
      </w:r>
      <w:r w:rsidR="003751B3">
        <w:rPr>
          <w:rStyle w:val="tlid-translation"/>
        </w:rPr>
        <w:t>aliczek</w:t>
      </w:r>
    </w:p>
    <w:p w14:paraId="48FEBDFF" w14:textId="4310B7EE" w:rsidR="003751B3" w:rsidRDefault="00FA6B63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 xml:space="preserve">Wysokość </w:t>
      </w:r>
      <w:r w:rsidR="005B0C6F">
        <w:rPr>
          <w:rStyle w:val="tlid-translation"/>
        </w:rPr>
        <w:t xml:space="preserve">pojedynczej </w:t>
      </w:r>
      <w:r w:rsidR="003751B3">
        <w:rPr>
          <w:rStyle w:val="tlid-translation"/>
        </w:rPr>
        <w:t>zalicz</w:t>
      </w:r>
      <w:r w:rsidR="005B0C6F">
        <w:rPr>
          <w:rStyle w:val="tlid-translation"/>
        </w:rPr>
        <w:t>ki</w:t>
      </w:r>
      <w:r w:rsidR="003751B3">
        <w:rPr>
          <w:rStyle w:val="tlid-translation"/>
        </w:rPr>
        <w:t xml:space="preserve"> </w:t>
      </w:r>
      <w:r w:rsidR="005B0C6F">
        <w:rPr>
          <w:rStyle w:val="tlid-translation"/>
        </w:rPr>
        <w:t>nie może przekroczyć</w:t>
      </w:r>
      <w:r w:rsidR="003751B3">
        <w:rPr>
          <w:rStyle w:val="tlid-translation"/>
        </w:rPr>
        <w:t xml:space="preserve"> 40% całkowitej kwoty dofinansowania projektu. Pierwsza zaliczka zostanie przekazana beneficjentowi w ciągu 30 dni od daty </w:t>
      </w:r>
      <w:r w:rsidR="005B0C6F">
        <w:rPr>
          <w:rStyle w:val="tlid-translation"/>
        </w:rPr>
        <w:t>złożenia wniosku</w:t>
      </w:r>
      <w:r w:rsidR="007C7196">
        <w:rPr>
          <w:rStyle w:val="tlid-translation"/>
        </w:rPr>
        <w:t xml:space="preserve"> o zaliczkę</w:t>
      </w:r>
      <w:r w:rsidR="000B1F12">
        <w:rPr>
          <w:rStyle w:val="Odwoanieprzypisudolnego"/>
        </w:rPr>
        <w:footnoteReference w:id="14"/>
      </w:r>
      <w:r w:rsidR="003751B3">
        <w:rPr>
          <w:rStyle w:val="tlid-translation"/>
        </w:rPr>
        <w:t>.</w:t>
      </w:r>
    </w:p>
    <w:p w14:paraId="6FCBCC6F" w14:textId="299814D2" w:rsidR="003751B3" w:rsidRDefault="003751B3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 xml:space="preserve">Kolejne zaliczki będą wypłacane pod warunkiem, że 70% wszystkich wcześniej wypłaconych zaliczek zostało </w:t>
      </w:r>
      <w:r w:rsidR="005B0C6F">
        <w:rPr>
          <w:rStyle w:val="tlid-translation"/>
        </w:rPr>
        <w:t>rozliczone</w:t>
      </w:r>
      <w:r>
        <w:rPr>
          <w:rStyle w:val="tlid-translation"/>
        </w:rPr>
        <w:t xml:space="preserve"> we wnioskach o płatność lub zwrócone jako niewykorzystana zaliczka.</w:t>
      </w:r>
    </w:p>
    <w:p w14:paraId="0D8F2F27" w14:textId="634539BC" w:rsidR="00605AFC" w:rsidRDefault="00605AFC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 xml:space="preserve">Szczegółowe obowiązki i ograniczenia związane z wykorzystywaniem i rozliczaniem zaliczek są wskazane w Podręczniku </w:t>
      </w:r>
      <w:r w:rsidR="005A623F">
        <w:rPr>
          <w:rStyle w:val="tlid-translation"/>
        </w:rPr>
        <w:t>W</w:t>
      </w:r>
      <w:r>
        <w:rPr>
          <w:rStyle w:val="tlid-translation"/>
        </w:rPr>
        <w:t xml:space="preserve">nioskodawcy. </w:t>
      </w:r>
    </w:p>
    <w:p w14:paraId="786EA546" w14:textId="6891CC85" w:rsidR="003751B3" w:rsidRDefault="005B0C6F" w:rsidP="009D7CED">
      <w:pPr>
        <w:pStyle w:val="Akapitzlist"/>
        <w:numPr>
          <w:ilvl w:val="0"/>
          <w:numId w:val="16"/>
        </w:num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>refundacji</w:t>
      </w:r>
    </w:p>
    <w:p w14:paraId="47C75E73" w14:textId="3C600AF8" w:rsidR="003751B3" w:rsidRDefault="003751B3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 xml:space="preserve">Płatności na rzecz beneficjenta będą dokonywane na podstawie zaakceptowanych wniosków </w:t>
      </w:r>
      <w:r w:rsidR="004D6C7E">
        <w:rPr>
          <w:rStyle w:val="tlid-translation"/>
        </w:rPr>
        <w:br/>
      </w:r>
      <w:r>
        <w:rPr>
          <w:rStyle w:val="tlid-translation"/>
        </w:rPr>
        <w:t>o płatność.</w:t>
      </w:r>
    </w:p>
    <w:p w14:paraId="00DA540C" w14:textId="449175B6" w:rsidR="00605AFC" w:rsidRDefault="00605AFC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>Łączna kwota zaliczek i refundacji nie może przekroczyć 90% całkowitej kwoty dofinansowania.</w:t>
      </w:r>
    </w:p>
    <w:p w14:paraId="467F2A88" w14:textId="77777777" w:rsidR="003751B3" w:rsidRDefault="003751B3" w:rsidP="009D7CED">
      <w:pPr>
        <w:pStyle w:val="Akapitzlist"/>
        <w:numPr>
          <w:ilvl w:val="0"/>
          <w:numId w:val="16"/>
        </w:num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>płatności końcowej.</w:t>
      </w:r>
    </w:p>
    <w:p w14:paraId="47BE1E77" w14:textId="736CF4BB" w:rsidR="00251D1D" w:rsidRDefault="003751B3" w:rsidP="009D7CED">
      <w:pPr>
        <w:spacing w:before="120" w:after="120"/>
        <w:jc w:val="both"/>
        <w:rPr>
          <w:rStyle w:val="tlid-translation"/>
        </w:rPr>
      </w:pPr>
      <w:r>
        <w:rPr>
          <w:rStyle w:val="tlid-translation"/>
        </w:rPr>
        <w:t xml:space="preserve">Płatność końcowa w wysokości 10% całkowitej kwoty dofinansowania projektu zostanie wypłacona po zaakceptowaniu raportu końcowego z projektu. </w:t>
      </w:r>
    </w:p>
    <w:p w14:paraId="071C146E" w14:textId="6EF21C34" w:rsidR="0013786D" w:rsidRPr="000F7A1E" w:rsidRDefault="0013786D" w:rsidP="00FE6465">
      <w:pPr>
        <w:spacing w:before="120"/>
        <w:jc w:val="both"/>
        <w:rPr>
          <w:b/>
        </w:rPr>
      </w:pPr>
    </w:p>
    <w:p w14:paraId="78F973B1" w14:textId="15FA00DE" w:rsidR="00380991" w:rsidRPr="00380991" w:rsidRDefault="00AB35AB" w:rsidP="00FE6465">
      <w:pPr>
        <w:numPr>
          <w:ilvl w:val="0"/>
          <w:numId w:val="1"/>
        </w:numPr>
        <w:spacing w:before="120"/>
        <w:jc w:val="both"/>
        <w:rPr>
          <w:b/>
        </w:rPr>
      </w:pPr>
      <w:r>
        <w:rPr>
          <w:b/>
        </w:rPr>
        <w:t>Koszty</w:t>
      </w:r>
      <w:r w:rsidR="0087536F">
        <w:rPr>
          <w:b/>
        </w:rPr>
        <w:t xml:space="preserve"> </w:t>
      </w:r>
      <w:r w:rsidR="0013786D" w:rsidRPr="000F7A1E">
        <w:rPr>
          <w:b/>
        </w:rPr>
        <w:t>kwalifikowa</w:t>
      </w:r>
      <w:r w:rsidR="00C42EE2">
        <w:rPr>
          <w:b/>
        </w:rPr>
        <w:t>l</w:t>
      </w:r>
      <w:r w:rsidR="0013786D" w:rsidRPr="000F7A1E">
        <w:rPr>
          <w:b/>
        </w:rPr>
        <w:t xml:space="preserve">ne i </w:t>
      </w:r>
      <w:r w:rsidR="0051765B">
        <w:rPr>
          <w:b/>
        </w:rPr>
        <w:t xml:space="preserve">koszty </w:t>
      </w:r>
      <w:r w:rsidR="0013786D" w:rsidRPr="000F7A1E">
        <w:rPr>
          <w:b/>
        </w:rPr>
        <w:t>niekwalifikowa</w:t>
      </w:r>
      <w:r w:rsidR="0051765B">
        <w:rPr>
          <w:b/>
        </w:rPr>
        <w:t>l</w:t>
      </w:r>
      <w:r w:rsidR="0013786D" w:rsidRPr="000F7A1E">
        <w:rPr>
          <w:b/>
        </w:rPr>
        <w:t>ne, wkład rzeczowy</w:t>
      </w:r>
      <w:r w:rsidR="00251D1D">
        <w:rPr>
          <w:b/>
        </w:rPr>
        <w:t>, udokumentowanie kosztów</w:t>
      </w:r>
    </w:p>
    <w:p w14:paraId="2A705486" w14:textId="77777777" w:rsidR="00345AC4" w:rsidRDefault="00345AC4" w:rsidP="00A16C86">
      <w:pPr>
        <w:spacing w:before="120"/>
        <w:jc w:val="both"/>
        <w:rPr>
          <w:b/>
        </w:rPr>
      </w:pPr>
      <w:bookmarkStart w:id="9" w:name="OLE_LINK11"/>
    </w:p>
    <w:p w14:paraId="0C18E386" w14:textId="6B79604D" w:rsidR="00E27E06" w:rsidRDefault="00DE1EC6" w:rsidP="00A16C86">
      <w:pPr>
        <w:spacing w:before="120"/>
        <w:jc w:val="both"/>
      </w:pPr>
      <w:r w:rsidRPr="00A16C86">
        <w:rPr>
          <w:b/>
        </w:rPr>
        <w:t xml:space="preserve">12.1 </w:t>
      </w:r>
      <w:r w:rsidR="00E73F6C">
        <w:rPr>
          <w:b/>
        </w:rPr>
        <w:t>Koszty</w:t>
      </w:r>
      <w:r w:rsidR="0051765B" w:rsidRPr="00A16C86">
        <w:rPr>
          <w:b/>
        </w:rPr>
        <w:t xml:space="preserve"> </w:t>
      </w:r>
      <w:r w:rsidR="00E27E06" w:rsidRPr="00A16C86">
        <w:rPr>
          <w:b/>
        </w:rPr>
        <w:t>są kwalifikowalne</w:t>
      </w:r>
      <w:r w:rsidR="00E27E06" w:rsidRPr="008A549E">
        <w:t xml:space="preserve"> na zasadach </w:t>
      </w:r>
      <w:r w:rsidR="00E27E06">
        <w:t>ogólnych, zgodnie z Rozdziałem 8</w:t>
      </w:r>
      <w:r w:rsidR="001103D6">
        <w:t xml:space="preserve"> </w:t>
      </w:r>
      <w:r w:rsidR="00E27E06" w:rsidRPr="008A549E">
        <w:t xml:space="preserve">Regulacji </w:t>
      </w:r>
      <w:r w:rsidR="005A5A0F">
        <w:br/>
      </w:r>
      <w:r w:rsidR="00E27E06" w:rsidRPr="00A16C86">
        <w:rPr>
          <w:color w:val="000000"/>
        </w:rPr>
        <w:t>w sprawie wdrażania Mechanizmu Finansowego Europejskiego Obszaru Gospodarczego 2014-2021 z następującymi wyjątkami</w:t>
      </w:r>
      <w:r w:rsidR="00E27E06" w:rsidRPr="008A549E">
        <w:t>:</w:t>
      </w:r>
    </w:p>
    <w:p w14:paraId="31DD386A" w14:textId="791BE3F1" w:rsidR="00E27E06" w:rsidRPr="0066352B" w:rsidRDefault="00E73F6C" w:rsidP="00E27E06">
      <w:pPr>
        <w:spacing w:before="120"/>
        <w:jc w:val="both"/>
        <w:rPr>
          <w:b/>
          <w:color w:val="000000"/>
        </w:rPr>
      </w:pPr>
      <w:r>
        <w:rPr>
          <w:b/>
        </w:rPr>
        <w:t>Koszty</w:t>
      </w:r>
      <w:r w:rsidR="005A5A0F" w:rsidRPr="0066352B">
        <w:rPr>
          <w:b/>
        </w:rPr>
        <w:t xml:space="preserve"> </w:t>
      </w:r>
      <w:r w:rsidR="00E27E06" w:rsidRPr="0066352B">
        <w:rPr>
          <w:b/>
        </w:rPr>
        <w:t>bezpośrednie:</w:t>
      </w:r>
    </w:p>
    <w:p w14:paraId="0EC9FED9" w14:textId="77777777" w:rsidR="00E27E06" w:rsidRDefault="00E27E06" w:rsidP="009D0862">
      <w:pPr>
        <w:pStyle w:val="Default"/>
        <w:numPr>
          <w:ilvl w:val="0"/>
          <w:numId w:val="15"/>
        </w:numPr>
        <w:spacing w:before="120"/>
        <w:jc w:val="both"/>
      </w:pPr>
      <w:r>
        <w:t>Sprzęt:</w:t>
      </w:r>
    </w:p>
    <w:p w14:paraId="7642711E" w14:textId="44BBFD01" w:rsidR="00E27E06" w:rsidRDefault="00CE7AF9" w:rsidP="00E27E06">
      <w:pPr>
        <w:pStyle w:val="Default"/>
        <w:spacing w:before="120"/>
        <w:jc w:val="both"/>
      </w:pPr>
      <w:r>
        <w:t>Z</w:t>
      </w:r>
      <w:r w:rsidR="00E27E06">
        <w:t>akup używanego sprzętu jest niekwalifikowalny.</w:t>
      </w:r>
    </w:p>
    <w:p w14:paraId="6DFA8521" w14:textId="77777777" w:rsidR="00E27E06" w:rsidRPr="0051783A" w:rsidRDefault="00E27E06" w:rsidP="009D0862">
      <w:pPr>
        <w:pStyle w:val="Default"/>
        <w:numPr>
          <w:ilvl w:val="0"/>
          <w:numId w:val="15"/>
        </w:numPr>
        <w:spacing w:before="120"/>
        <w:jc w:val="both"/>
      </w:pPr>
      <w:r>
        <w:t>Działania edukacyjne:</w:t>
      </w:r>
    </w:p>
    <w:p w14:paraId="3ED23F4B" w14:textId="3C1D683A" w:rsidR="00E27E06" w:rsidRDefault="00E27E06" w:rsidP="00E27E06">
      <w:pPr>
        <w:autoSpaceDE w:val="0"/>
        <w:autoSpaceDN w:val="0"/>
        <w:adjustRightInd w:val="0"/>
        <w:spacing w:before="120"/>
        <w:jc w:val="both"/>
      </w:pPr>
      <w:r>
        <w:t>Zgodnie z art. 8.4 Regulacji</w:t>
      </w:r>
      <w:r w:rsidR="00C74411">
        <w:t xml:space="preserve"> </w:t>
      </w:r>
      <w:r w:rsidR="00C74411">
        <w:rPr>
          <w:rStyle w:val="tlid-translation"/>
        </w:rPr>
        <w:t xml:space="preserve">oraz postanowieniami Umowy </w:t>
      </w:r>
      <w:proofErr w:type="spellStart"/>
      <w:r w:rsidR="00C74411">
        <w:rPr>
          <w:rStyle w:val="tlid-translation"/>
        </w:rPr>
        <w:t>ws</w:t>
      </w:r>
      <w:proofErr w:type="spellEnd"/>
      <w:r w:rsidR="00C74411">
        <w:rPr>
          <w:rStyle w:val="tlid-translation"/>
        </w:rPr>
        <w:t>. Programu</w:t>
      </w:r>
      <w:r>
        <w:t>, koszty</w:t>
      </w:r>
      <w:r w:rsidRPr="0051783A">
        <w:rPr>
          <w:color w:val="000000"/>
        </w:rPr>
        <w:t xml:space="preserve"> dz</w:t>
      </w:r>
      <w:r>
        <w:t>iałań</w:t>
      </w:r>
      <w:r w:rsidRPr="0051783A">
        <w:rPr>
          <w:color w:val="000000"/>
        </w:rPr>
        <w:t xml:space="preserve"> </w:t>
      </w:r>
      <w:r>
        <w:t xml:space="preserve">edukacyjnych w projektach </w:t>
      </w:r>
      <w:proofErr w:type="spellStart"/>
      <w:r w:rsidR="00FE6465">
        <w:t>nieinwestycyjnych</w:t>
      </w:r>
      <w:proofErr w:type="spellEnd"/>
      <w:r w:rsidR="00C74411">
        <w:t xml:space="preserve"> </w:t>
      </w:r>
      <w:r>
        <w:t xml:space="preserve">zostaną opracowane na podstawie </w:t>
      </w:r>
      <w:r w:rsidRPr="0051783A">
        <w:rPr>
          <w:color w:val="000000"/>
        </w:rPr>
        <w:t>standardowych kosztów jednostkowych opartych na katalogu kosztów</w:t>
      </w:r>
      <w:r>
        <w:t xml:space="preserve">, który jest dostępny </w:t>
      </w:r>
      <w:r w:rsidRPr="00843971">
        <w:t xml:space="preserve">do pobrania </w:t>
      </w:r>
      <w:r w:rsidRPr="007A157F">
        <w:t>poniżej.</w:t>
      </w:r>
      <w:r w:rsidRPr="00484DAC">
        <w:t xml:space="preserve"> </w:t>
      </w:r>
    </w:p>
    <w:p w14:paraId="22D30746" w14:textId="10D89D30" w:rsidR="00E27E06" w:rsidRPr="0051783A" w:rsidRDefault="00CE7AF9" w:rsidP="004D6481">
      <w:pPr>
        <w:autoSpaceDE w:val="0"/>
        <w:autoSpaceDN w:val="0"/>
        <w:adjustRightInd w:val="0"/>
        <w:spacing w:before="120"/>
        <w:jc w:val="both"/>
      </w:pPr>
      <w:r>
        <w:lastRenderedPageBreak/>
        <w:t>Zasady</w:t>
      </w:r>
      <w:r w:rsidR="00E27E06">
        <w:t xml:space="preserve"> dotyczące rozliczania kosztów określone zostaną przez Operatora Programu w </w:t>
      </w:r>
      <w:r w:rsidR="001C1776">
        <w:t>U</w:t>
      </w:r>
      <w:r w:rsidR="00E27E06">
        <w:t xml:space="preserve">mowie w sprawie </w:t>
      </w:r>
      <w:r w:rsidR="001C1776">
        <w:t>P</w:t>
      </w:r>
      <w:r w:rsidR="00E27E06">
        <w:t>rojektu.</w:t>
      </w:r>
    </w:p>
    <w:p w14:paraId="0AE40FA2" w14:textId="77777777" w:rsidR="00345AC4" w:rsidRDefault="00345AC4" w:rsidP="00E27E06">
      <w:pPr>
        <w:spacing w:before="120"/>
        <w:jc w:val="both"/>
        <w:rPr>
          <w:b/>
          <w:color w:val="000000"/>
        </w:rPr>
      </w:pPr>
    </w:p>
    <w:p w14:paraId="14CAD8E8" w14:textId="4AD28FD1" w:rsidR="00E27E06" w:rsidRPr="0066352B" w:rsidRDefault="00E27E06" w:rsidP="00E27E06">
      <w:pPr>
        <w:spacing w:before="120"/>
        <w:jc w:val="both"/>
        <w:rPr>
          <w:b/>
          <w:color w:val="000000"/>
        </w:rPr>
      </w:pPr>
      <w:r w:rsidRPr="0066352B">
        <w:rPr>
          <w:b/>
          <w:color w:val="000000"/>
        </w:rPr>
        <w:t xml:space="preserve">Koszty pośrednie: </w:t>
      </w:r>
    </w:p>
    <w:p w14:paraId="44EFF2E7" w14:textId="77777777" w:rsidR="00E27E06" w:rsidRPr="0065437D" w:rsidRDefault="00E27E06" w:rsidP="00E27E06">
      <w:pPr>
        <w:spacing w:before="120"/>
        <w:jc w:val="both"/>
      </w:pPr>
      <w:r w:rsidRPr="00F37B97">
        <w:rPr>
          <w:color w:val="000000"/>
        </w:rPr>
        <w:t>Koszty pośrednie to wszystkie kwalifikowalne koszty, które nie mogą być precyzyjnie wskazane przez beneficjenta i/lub partnera projektu, jako be</w:t>
      </w:r>
      <w:r>
        <w:rPr>
          <w:color w:val="000000"/>
        </w:rPr>
        <w:t>zpośrednio związane z projektem.</w:t>
      </w:r>
      <w:r w:rsidRPr="00F37B97">
        <w:rPr>
          <w:rFonts w:ascii="Arial" w:hAnsi="Arial" w:cs="Arial"/>
          <w:sz w:val="28"/>
          <w:szCs w:val="28"/>
        </w:rPr>
        <w:t xml:space="preserve"> </w:t>
      </w:r>
    </w:p>
    <w:p w14:paraId="444671B7" w14:textId="217397F0" w:rsidR="00E27E06" w:rsidRDefault="00E27E06" w:rsidP="00E27E06">
      <w:pPr>
        <w:spacing w:before="120"/>
        <w:jc w:val="both"/>
        <w:rPr>
          <w:color w:val="000000"/>
        </w:rPr>
      </w:pPr>
      <w:r>
        <w:rPr>
          <w:color w:val="000000"/>
        </w:rPr>
        <w:t>Jedyną dopuszczalną metodą</w:t>
      </w:r>
      <w:r w:rsidRPr="00874B67">
        <w:rPr>
          <w:color w:val="000000"/>
        </w:rPr>
        <w:t xml:space="preserve"> identyfikacji kosztów pośrednich</w:t>
      </w:r>
      <w:r>
        <w:rPr>
          <w:color w:val="000000"/>
        </w:rPr>
        <w:t xml:space="preserve"> jest r</w:t>
      </w:r>
      <w:r w:rsidRPr="00F37B97">
        <w:rPr>
          <w:color w:val="000000"/>
        </w:rPr>
        <w:t xml:space="preserve">yczałt w wysokości </w:t>
      </w:r>
      <w:r w:rsidR="00380991">
        <w:rPr>
          <w:color w:val="000000"/>
        </w:rPr>
        <w:br/>
      </w:r>
      <w:r w:rsidRPr="00F37B97">
        <w:rPr>
          <w:color w:val="000000"/>
        </w:rPr>
        <w:t xml:space="preserve">do 25% całkowitych bezpośrednich </w:t>
      </w:r>
      <w:r w:rsidR="006264D7">
        <w:rPr>
          <w:color w:val="000000"/>
        </w:rPr>
        <w:t>kosztów</w:t>
      </w:r>
      <w:r w:rsidR="0043300F" w:rsidRPr="00F37B97">
        <w:rPr>
          <w:color w:val="000000"/>
        </w:rPr>
        <w:t xml:space="preserve"> </w:t>
      </w:r>
      <w:r w:rsidRPr="00F37B97">
        <w:rPr>
          <w:color w:val="000000"/>
        </w:rPr>
        <w:t xml:space="preserve">kwalifikowalnych z wyłączeniem bezpośrednich </w:t>
      </w:r>
      <w:r w:rsidR="006264D7">
        <w:rPr>
          <w:color w:val="000000"/>
        </w:rPr>
        <w:t>kosztów</w:t>
      </w:r>
      <w:r w:rsidR="007267B1" w:rsidRPr="00F37B97">
        <w:rPr>
          <w:color w:val="000000"/>
        </w:rPr>
        <w:t xml:space="preserve"> </w:t>
      </w:r>
      <w:r w:rsidRPr="00F37B97">
        <w:rPr>
          <w:color w:val="000000"/>
        </w:rPr>
        <w:t>kwalifikowa</w:t>
      </w:r>
      <w:r w:rsidR="00307136">
        <w:rPr>
          <w:color w:val="000000"/>
        </w:rPr>
        <w:t>l</w:t>
      </w:r>
      <w:r w:rsidRPr="00F37B97">
        <w:rPr>
          <w:color w:val="000000"/>
        </w:rPr>
        <w:t>nych przeznaczonych na podwykonawstwo i kosztów zasobów udostępnionych przez strony trzecie, których nie wykorzystuje się na terenie beneficjenta lub partnera projektu</w:t>
      </w:r>
      <w:r>
        <w:rPr>
          <w:color w:val="000000"/>
        </w:rPr>
        <w:t xml:space="preserve">, zgodnie z </w:t>
      </w:r>
      <w:r w:rsidRPr="00874B67">
        <w:rPr>
          <w:color w:val="000000"/>
        </w:rPr>
        <w:t>art. 8.5.1 lit. b)</w:t>
      </w:r>
      <w:r w:rsidR="00605AFC">
        <w:rPr>
          <w:color w:val="000000"/>
        </w:rPr>
        <w:t xml:space="preserve"> Regulacji</w:t>
      </w:r>
      <w:r>
        <w:rPr>
          <w:color w:val="000000"/>
        </w:rPr>
        <w:t>.</w:t>
      </w:r>
    </w:p>
    <w:p w14:paraId="5D85659A" w14:textId="7F83B052" w:rsidR="00E27E06" w:rsidRDefault="00E27E06" w:rsidP="00E27E06">
      <w:pPr>
        <w:spacing w:before="120"/>
        <w:jc w:val="both"/>
        <w:rPr>
          <w:color w:val="000000"/>
        </w:rPr>
      </w:pPr>
      <w:r>
        <w:t>Szczegółowa m</w:t>
      </w:r>
      <w:r w:rsidRPr="008133F4">
        <w:t>eto</w:t>
      </w:r>
      <w:r>
        <w:t>dyka</w:t>
      </w:r>
      <w:r w:rsidRPr="008133F4">
        <w:t xml:space="preserve"> wyliczania kosztów pośrednich została opracowana przez Operatora Programu </w:t>
      </w:r>
      <w:r>
        <w:t>i</w:t>
      </w:r>
      <w:r w:rsidRPr="008133F4">
        <w:t xml:space="preserve"> jest dostępna </w:t>
      </w:r>
      <w:r w:rsidRPr="00843971">
        <w:t>do pobrania poniżej.</w:t>
      </w:r>
      <w:r w:rsidRPr="0066352B">
        <w:rPr>
          <w:color w:val="000000"/>
        </w:rPr>
        <w:t xml:space="preserve"> </w:t>
      </w:r>
    </w:p>
    <w:p w14:paraId="6EF202A0" w14:textId="320F4FB6" w:rsidR="00251D1D" w:rsidRDefault="00E27E06" w:rsidP="00E27E06">
      <w:pPr>
        <w:spacing w:before="120"/>
        <w:jc w:val="both"/>
        <w:rPr>
          <w:color w:val="000000"/>
        </w:rPr>
      </w:pPr>
      <w:r w:rsidRPr="00874B67">
        <w:rPr>
          <w:color w:val="000000"/>
        </w:rPr>
        <w:t xml:space="preserve">Metodę obliczania kosztów pośrednich i ich maksymalną kwotę ustala się w </w:t>
      </w:r>
      <w:r w:rsidR="001C1776">
        <w:rPr>
          <w:color w:val="000000"/>
        </w:rPr>
        <w:t>U</w:t>
      </w:r>
      <w:r w:rsidRPr="00874B67">
        <w:rPr>
          <w:color w:val="000000"/>
        </w:rPr>
        <w:t xml:space="preserve">mowie </w:t>
      </w:r>
      <w:r w:rsidR="00CE7AF9">
        <w:rPr>
          <w:color w:val="000000"/>
        </w:rPr>
        <w:t>w sprawie</w:t>
      </w:r>
      <w:r w:rsidR="00CE7AF9" w:rsidRPr="00874B67">
        <w:rPr>
          <w:color w:val="000000"/>
        </w:rPr>
        <w:t xml:space="preserve"> </w:t>
      </w:r>
      <w:r w:rsidR="001C1776">
        <w:rPr>
          <w:color w:val="000000"/>
        </w:rPr>
        <w:t>P</w:t>
      </w:r>
      <w:r w:rsidRPr="00874B67">
        <w:rPr>
          <w:color w:val="000000"/>
        </w:rPr>
        <w:t xml:space="preserve">rojektu. Metodę obliczania kosztów pośrednich partnera projektu określa umowa partnerska między </w:t>
      </w:r>
      <w:r w:rsidR="00CE7AF9">
        <w:rPr>
          <w:color w:val="000000"/>
        </w:rPr>
        <w:t>beneficjentem</w:t>
      </w:r>
      <w:r w:rsidR="00CE7AF9" w:rsidRPr="00874B67">
        <w:rPr>
          <w:color w:val="000000"/>
        </w:rPr>
        <w:t xml:space="preserve"> </w:t>
      </w:r>
      <w:r w:rsidRPr="00874B67">
        <w:rPr>
          <w:color w:val="000000"/>
        </w:rPr>
        <w:t>projektu a partnerem projektu.</w:t>
      </w:r>
    </w:p>
    <w:p w14:paraId="65C545A9" w14:textId="77777777" w:rsidR="0031112B" w:rsidRDefault="0031112B" w:rsidP="007320A6">
      <w:pPr>
        <w:spacing w:before="120"/>
        <w:jc w:val="both"/>
        <w:rPr>
          <w:b/>
        </w:rPr>
      </w:pPr>
    </w:p>
    <w:p w14:paraId="1B76E6BA" w14:textId="5C0E6126" w:rsidR="005552EE" w:rsidRDefault="007320A6" w:rsidP="007320A6">
      <w:pPr>
        <w:spacing w:before="120"/>
        <w:jc w:val="both"/>
        <w:rPr>
          <w:rStyle w:val="tlid-translation"/>
        </w:rPr>
      </w:pPr>
      <w:r w:rsidRPr="004D6481">
        <w:rPr>
          <w:b/>
        </w:rPr>
        <w:t xml:space="preserve">12.2 </w:t>
      </w:r>
      <w:r w:rsidR="00E27E06" w:rsidRPr="007320A6">
        <w:rPr>
          <w:b/>
          <w:color w:val="000000"/>
        </w:rPr>
        <w:t>Koszty niekwalifikowalne</w:t>
      </w:r>
      <w:r w:rsidR="00E27E06" w:rsidRPr="007320A6">
        <w:rPr>
          <w:color w:val="000000"/>
        </w:rPr>
        <w:t xml:space="preserve"> </w:t>
      </w:r>
      <w:r w:rsidR="009E6742" w:rsidRPr="007320A6">
        <w:rPr>
          <w:color w:val="000000"/>
        </w:rPr>
        <w:t xml:space="preserve">zostały </w:t>
      </w:r>
      <w:r w:rsidR="005552EE">
        <w:t>wskazane w</w:t>
      </w:r>
      <w:r w:rsidR="009E6742" w:rsidRPr="000F7A1E">
        <w:t xml:space="preserve"> art. 8.7 </w:t>
      </w:r>
      <w:r w:rsidR="009E6742">
        <w:t>Regulacji</w:t>
      </w:r>
      <w:r w:rsidR="009E6742">
        <w:rPr>
          <w:rStyle w:val="tlid-translation"/>
        </w:rPr>
        <w:t>.</w:t>
      </w:r>
    </w:p>
    <w:p w14:paraId="44D64FDB" w14:textId="6CC2569A" w:rsidR="007320A6" w:rsidRDefault="007320A6" w:rsidP="007320A6">
      <w:pPr>
        <w:spacing w:before="120"/>
        <w:jc w:val="both"/>
        <w:rPr>
          <w:rStyle w:val="tlid-translation"/>
        </w:rPr>
      </w:pPr>
    </w:p>
    <w:p w14:paraId="7C325DAC" w14:textId="41C612F0" w:rsidR="00E27E06" w:rsidRPr="005952C4" w:rsidRDefault="007320A6" w:rsidP="004D6481">
      <w:pPr>
        <w:spacing w:before="120"/>
        <w:jc w:val="both"/>
        <w:rPr>
          <w:b/>
          <w:highlight w:val="yellow"/>
        </w:rPr>
      </w:pPr>
      <w:r w:rsidRPr="005952C4">
        <w:rPr>
          <w:rStyle w:val="tlid-translation"/>
          <w:b/>
        </w:rPr>
        <w:t xml:space="preserve">12.3 </w:t>
      </w:r>
      <w:r w:rsidR="00E27E06" w:rsidRPr="005952C4">
        <w:rPr>
          <w:b/>
        </w:rPr>
        <w:t xml:space="preserve">Wkład </w:t>
      </w:r>
      <w:r w:rsidR="00CE7AF9" w:rsidRPr="005952C4">
        <w:rPr>
          <w:b/>
        </w:rPr>
        <w:t>własny</w:t>
      </w:r>
      <w:r w:rsidR="00E27E06" w:rsidRPr="005952C4">
        <w:rPr>
          <w:b/>
        </w:rPr>
        <w:t>:</w:t>
      </w:r>
    </w:p>
    <w:p w14:paraId="771C332A" w14:textId="58869C06" w:rsidR="00010D65" w:rsidRDefault="00010D65" w:rsidP="00E27E06">
      <w:pPr>
        <w:spacing w:before="120"/>
        <w:jc w:val="both"/>
        <w:rPr>
          <w:color w:val="000000"/>
        </w:rPr>
      </w:pPr>
      <w:r>
        <w:t>Co do zasady wkład własny jest wnoszony w postaci pieniężnej.</w:t>
      </w:r>
    </w:p>
    <w:p w14:paraId="674248D8" w14:textId="49601C46" w:rsidR="00025387" w:rsidRPr="006C6258" w:rsidRDefault="00010D65" w:rsidP="00E27E06">
      <w:pPr>
        <w:spacing w:before="120"/>
        <w:jc w:val="both"/>
        <w:rPr>
          <w:color w:val="000000"/>
        </w:rPr>
      </w:pPr>
      <w:r>
        <w:rPr>
          <w:color w:val="000000"/>
        </w:rPr>
        <w:t>Wyłącznie w</w:t>
      </w:r>
      <w:r w:rsidRPr="006C6258">
        <w:rPr>
          <w:color w:val="000000"/>
        </w:rPr>
        <w:t xml:space="preserve"> </w:t>
      </w:r>
      <w:r w:rsidR="00E27E06" w:rsidRPr="006C6258">
        <w:rPr>
          <w:color w:val="000000"/>
        </w:rPr>
        <w:t xml:space="preserve">przypadku projektów, w których beneficjentem jest organizacja pozarządowa, wkład rzeczowy w postaci wolontariatu może stanowić do 50% </w:t>
      </w:r>
      <w:r w:rsidR="00CE7AF9">
        <w:rPr>
          <w:color w:val="000000"/>
        </w:rPr>
        <w:t>wkładu własnego</w:t>
      </w:r>
      <w:r w:rsidR="00CE7AF9" w:rsidRPr="006C6258">
        <w:rPr>
          <w:color w:val="000000"/>
        </w:rPr>
        <w:t xml:space="preserve"> </w:t>
      </w:r>
      <w:r w:rsidR="00E27E06" w:rsidRPr="006C6258">
        <w:rPr>
          <w:color w:val="000000"/>
        </w:rPr>
        <w:t xml:space="preserve">wymaganego dla projektu w ramach </w:t>
      </w:r>
      <w:r w:rsidR="00E63857">
        <w:rPr>
          <w:color w:val="000000"/>
        </w:rPr>
        <w:t>P</w:t>
      </w:r>
      <w:r w:rsidR="00E27E06" w:rsidRPr="006C6258">
        <w:rPr>
          <w:color w:val="000000"/>
        </w:rPr>
        <w:t xml:space="preserve">rogramu. </w:t>
      </w:r>
    </w:p>
    <w:p w14:paraId="12EED0D1" w14:textId="40DF1C5A" w:rsidR="00E27E06" w:rsidRDefault="00010D65" w:rsidP="00E27E06">
      <w:pPr>
        <w:spacing w:before="120"/>
        <w:jc w:val="both"/>
      </w:pPr>
      <w:r>
        <w:t xml:space="preserve">W takim przypadku wartość </w:t>
      </w:r>
      <w:r w:rsidR="00E27E06">
        <w:t xml:space="preserve">wkładu rzeczowego </w:t>
      </w:r>
      <w:r w:rsidR="00E27E06" w:rsidRPr="00B61303">
        <w:t xml:space="preserve">jest </w:t>
      </w:r>
      <w:r w:rsidR="00E27E06">
        <w:t xml:space="preserve">wyliczana przez wnioskodawcę </w:t>
      </w:r>
      <w:r w:rsidR="00EC46F1">
        <w:br/>
      </w:r>
      <w:r w:rsidR="00E27E06" w:rsidRPr="00B61303">
        <w:t>z uwzględnieniem</w:t>
      </w:r>
      <w:r w:rsidR="00E27E06">
        <w:t>:</w:t>
      </w:r>
      <w:r w:rsidR="00E27E06" w:rsidRPr="00B61303">
        <w:t xml:space="preserve"> </w:t>
      </w:r>
    </w:p>
    <w:p w14:paraId="26D5C7CD" w14:textId="053A0962" w:rsidR="00416ECE" w:rsidRDefault="00416ECE" w:rsidP="00E27E06">
      <w:pPr>
        <w:spacing w:before="120"/>
        <w:jc w:val="both"/>
      </w:pPr>
      <w:r>
        <w:t xml:space="preserve">- </w:t>
      </w:r>
      <w:r w:rsidRPr="00416ECE">
        <w:t xml:space="preserve">ilości czasu przepracowanego dobrowolnie i nieodpłatnie na rzecz projektu, wyrażonego </w:t>
      </w:r>
      <w:r>
        <w:br/>
      </w:r>
      <w:r w:rsidRPr="00416ECE">
        <w:t>w liczbie godzin oraz</w:t>
      </w:r>
    </w:p>
    <w:p w14:paraId="1E86980C" w14:textId="4F345083" w:rsidR="00416ECE" w:rsidRDefault="00416ECE" w:rsidP="00E27E06">
      <w:pPr>
        <w:spacing w:before="120"/>
        <w:jc w:val="both"/>
      </w:pPr>
      <w:r>
        <w:t xml:space="preserve">- </w:t>
      </w:r>
      <w:r w:rsidR="00B002A0">
        <w:t xml:space="preserve">standardowej </w:t>
      </w:r>
      <w:r w:rsidRPr="00416ECE">
        <w:t>stawki godzinowej i dziennej za dany rodzaj wykonywanej pracy</w:t>
      </w:r>
      <w:r w:rsidR="00297318">
        <w:t xml:space="preserve"> zgodn</w:t>
      </w:r>
      <w:r w:rsidR="005B2910">
        <w:t>i</w:t>
      </w:r>
      <w:r w:rsidR="00297318">
        <w:t xml:space="preserve">e ze stawkami zwyczajowo wypłaconymi za taką pracę. </w:t>
      </w:r>
    </w:p>
    <w:p w14:paraId="1F239EC0" w14:textId="77777777" w:rsidR="00297318" w:rsidRDefault="00297318" w:rsidP="00297318">
      <w:pPr>
        <w:rPr>
          <w:rFonts w:ascii="Arial" w:hAnsi="Arial" w:cs="Arial"/>
          <w:sz w:val="28"/>
          <w:szCs w:val="28"/>
        </w:rPr>
      </w:pPr>
    </w:p>
    <w:p w14:paraId="45BAA716" w14:textId="2CA24E87" w:rsidR="00297318" w:rsidRPr="00297318" w:rsidRDefault="00297318" w:rsidP="00297318">
      <w:pPr>
        <w:jc w:val="both"/>
        <w:rPr>
          <w:color w:val="1F497D"/>
        </w:rPr>
      </w:pPr>
      <w:r w:rsidRPr="00297318">
        <w:t xml:space="preserve">W związku z dużym zróżnicowaniem rodzajów prac możliwych do wykonywania przez wolontariusza w projekcie, wielkość zaproponowanych przez wnioskodawcę stawek za poszczególne prace zostanie zweryfikowana przez eksperta na etapie </w:t>
      </w:r>
      <w:r w:rsidRPr="00C73DCC">
        <w:rPr>
          <w:u w:val="single"/>
        </w:rPr>
        <w:t>oceny merytorycznej</w:t>
      </w:r>
      <w:r w:rsidRPr="00297318">
        <w:t xml:space="preserve"> wniosku o dofinansowanie. Zaakceptowana wysokość ww. stawek zostanie zapisana w umowie w sprawie projektu</w:t>
      </w:r>
      <w:r w:rsidR="003A31B9">
        <w:t>.</w:t>
      </w:r>
    </w:p>
    <w:p w14:paraId="6FBEBD7D" w14:textId="77777777" w:rsidR="00BD2C9F" w:rsidRDefault="00BD2C9F" w:rsidP="00251D1D">
      <w:pPr>
        <w:spacing w:before="120"/>
        <w:jc w:val="both"/>
      </w:pPr>
    </w:p>
    <w:p w14:paraId="24CA74E4" w14:textId="77777777" w:rsidR="00251D1D" w:rsidRDefault="00251D1D" w:rsidP="00251D1D">
      <w:pPr>
        <w:spacing w:before="120"/>
        <w:jc w:val="both"/>
        <w:rPr>
          <w:b/>
        </w:rPr>
      </w:pPr>
      <w:r w:rsidRPr="000402A1">
        <w:rPr>
          <w:b/>
        </w:rPr>
        <w:t xml:space="preserve">12.4 </w:t>
      </w:r>
      <w:r>
        <w:rPr>
          <w:b/>
        </w:rPr>
        <w:t>Ud</w:t>
      </w:r>
      <w:r w:rsidRPr="000402A1">
        <w:rPr>
          <w:b/>
        </w:rPr>
        <w:t xml:space="preserve">okumentowanie kosztów: </w:t>
      </w:r>
    </w:p>
    <w:p w14:paraId="1C4E601A" w14:textId="1071BE6E" w:rsidR="00251D1D" w:rsidRPr="000402A1" w:rsidRDefault="00251D1D" w:rsidP="00251D1D">
      <w:pPr>
        <w:spacing w:before="120"/>
        <w:jc w:val="both"/>
      </w:pPr>
      <w:r w:rsidRPr="000402A1">
        <w:lastRenderedPageBreak/>
        <w:t xml:space="preserve">Koszty </w:t>
      </w:r>
      <w:r w:rsidR="000E25C9" w:rsidRPr="000402A1">
        <w:t xml:space="preserve">poniesione w ramach projektu należy udokumentować przy pomocy otrzymanych faktur lub dokumentów księgowych o równoważnej wartości dowodowej. Szczegółowe obowiązki beneficjenta w tym zakresie określa </w:t>
      </w:r>
      <w:r w:rsidR="00FE6236">
        <w:t>U</w:t>
      </w:r>
      <w:r w:rsidR="000E25C9" w:rsidRPr="000402A1">
        <w:t>mowa w</w:t>
      </w:r>
      <w:r w:rsidR="00987EE8">
        <w:t xml:space="preserve"> </w:t>
      </w:r>
      <w:r w:rsidR="000E25C9" w:rsidRPr="000402A1">
        <w:t>s</w:t>
      </w:r>
      <w:r w:rsidR="00987EE8">
        <w:t>prawie</w:t>
      </w:r>
      <w:r w:rsidR="000E25C9" w:rsidRPr="000402A1">
        <w:t xml:space="preserve"> </w:t>
      </w:r>
      <w:r w:rsidR="00A03050">
        <w:t>P</w:t>
      </w:r>
      <w:r w:rsidR="000E25C9" w:rsidRPr="000402A1">
        <w:t xml:space="preserve">rojektu. </w:t>
      </w:r>
    </w:p>
    <w:p w14:paraId="2E499DB7" w14:textId="412267BD" w:rsidR="000E25C9" w:rsidRPr="000E25C9" w:rsidRDefault="000E25C9" w:rsidP="000E25C9">
      <w:pPr>
        <w:spacing w:before="120"/>
        <w:jc w:val="both"/>
      </w:pPr>
      <w:r w:rsidRPr="000402A1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deklarowane koszty zostały poniesione zgodnie z Regulacjami, obowiązującym prawem </w:t>
      </w:r>
      <w:r>
        <w:br/>
      </w:r>
      <w:r w:rsidRPr="000402A1">
        <w:t>i krajowymi praktykami w zakresie rachunkowości.</w:t>
      </w:r>
    </w:p>
    <w:p w14:paraId="4FCCDEB0" w14:textId="77777777" w:rsidR="00251D1D" w:rsidRPr="000E25C9" w:rsidRDefault="00251D1D" w:rsidP="000402A1">
      <w:pPr>
        <w:spacing w:before="120"/>
        <w:jc w:val="both"/>
      </w:pPr>
    </w:p>
    <w:bookmarkEnd w:id="9"/>
    <w:p w14:paraId="0ED6CD99" w14:textId="615E5D73" w:rsidR="0013786D" w:rsidRPr="000F7A1E" w:rsidRDefault="0013786D" w:rsidP="004D6481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Termin</w:t>
      </w:r>
      <w:r w:rsidR="008E3F28">
        <w:rPr>
          <w:b/>
        </w:rPr>
        <w:t xml:space="preserve"> i</w:t>
      </w:r>
      <w:r w:rsidRPr="000F7A1E">
        <w:rPr>
          <w:b/>
        </w:rPr>
        <w:t xml:space="preserve"> </w:t>
      </w:r>
      <w:r w:rsidR="008E3F28" w:rsidRPr="000F7A1E">
        <w:rPr>
          <w:b/>
        </w:rPr>
        <w:t>sposób składania wniosków</w:t>
      </w:r>
      <w:r w:rsidRPr="000F7A1E">
        <w:rPr>
          <w:b/>
        </w:rPr>
        <w:t xml:space="preserve"> </w:t>
      </w:r>
      <w:r w:rsidR="00E4484C" w:rsidRPr="00E4484C">
        <w:t xml:space="preserve"> </w:t>
      </w:r>
      <w:r w:rsidR="00E4484C" w:rsidRPr="00E4484C">
        <w:rPr>
          <w:b/>
        </w:rPr>
        <w:t xml:space="preserve">o dofinansowanie </w:t>
      </w:r>
    </w:p>
    <w:p w14:paraId="753F474B" w14:textId="4123C162" w:rsidR="00A87B8D" w:rsidRPr="00EB51A4" w:rsidRDefault="00A87B8D" w:rsidP="005952DE">
      <w:pPr>
        <w:spacing w:before="120"/>
        <w:rPr>
          <w:b/>
        </w:rPr>
      </w:pPr>
      <w:r w:rsidRPr="00EB51A4">
        <w:t xml:space="preserve">Termin ogłoszenia naboru wniosków – </w:t>
      </w:r>
      <w:r w:rsidR="00790FA0" w:rsidRPr="00EB51A4">
        <w:t>13</w:t>
      </w:r>
      <w:r w:rsidR="001E773B" w:rsidRPr="00EB51A4">
        <w:t>.03.2020 r.</w:t>
      </w:r>
    </w:p>
    <w:p w14:paraId="179EF4F8" w14:textId="3576EB5C" w:rsidR="00A87B8D" w:rsidRPr="00EB51A4" w:rsidRDefault="00A87B8D" w:rsidP="00A87B8D">
      <w:pPr>
        <w:spacing w:before="120"/>
      </w:pPr>
      <w:r w:rsidRPr="00EB51A4">
        <w:t xml:space="preserve">Termin rozpoczęcia przyjmowania wniosków od Wnioskodawców – </w:t>
      </w:r>
      <w:r w:rsidR="001E773B" w:rsidRPr="00EB51A4">
        <w:t>03.04.2020 r.</w:t>
      </w:r>
    </w:p>
    <w:p w14:paraId="48289726" w14:textId="12FB332F" w:rsidR="00A87B8D" w:rsidRPr="00EB51A4" w:rsidRDefault="00A87B8D" w:rsidP="00A87B8D">
      <w:pPr>
        <w:spacing w:before="120"/>
      </w:pPr>
      <w:r w:rsidRPr="00EB51A4">
        <w:t>Termin zakończenia przyjmowania wniosków od Wnioskodawców –</w:t>
      </w:r>
      <w:r w:rsidR="001E773B" w:rsidRPr="00EB51A4">
        <w:t xml:space="preserve"> 15.06.2020 r. </w:t>
      </w:r>
      <w:r w:rsidRPr="00EB51A4">
        <w:rPr>
          <w:b/>
        </w:rPr>
        <w:t>godz. 15:00.</w:t>
      </w:r>
    </w:p>
    <w:p w14:paraId="69A83520" w14:textId="3FD8A503" w:rsidR="000B0B08" w:rsidRPr="00EB51A4" w:rsidRDefault="000B0B08" w:rsidP="000063BC">
      <w:pPr>
        <w:spacing w:before="120"/>
      </w:pPr>
    </w:p>
    <w:p w14:paraId="0074C48E" w14:textId="37EFF10B" w:rsidR="008E3F28" w:rsidRPr="00EB51A4" w:rsidRDefault="008E3F28" w:rsidP="009B2F51">
      <w:pPr>
        <w:spacing w:before="120"/>
        <w:jc w:val="both"/>
        <w:rPr>
          <w:b/>
        </w:rPr>
      </w:pPr>
      <w:r w:rsidRPr="00EB51A4">
        <w:rPr>
          <w:b/>
        </w:rPr>
        <w:t>Sposób złożenia wniosków</w:t>
      </w:r>
    </w:p>
    <w:p w14:paraId="3DB2FBF2" w14:textId="11BD935E" w:rsidR="00A87B8D" w:rsidRPr="00EB51A4" w:rsidRDefault="00A87B8D" w:rsidP="00A87B8D">
      <w:pPr>
        <w:spacing w:before="120"/>
        <w:jc w:val="both"/>
      </w:pPr>
      <w:r w:rsidRPr="00EB51A4">
        <w:t xml:space="preserve">Wniosek o dofinansowanie sporządza się wyłącznie przy użyciu Generatora Wniosków </w:t>
      </w:r>
      <w:r w:rsidR="00A35E86" w:rsidRPr="00EB51A4">
        <w:br/>
      </w:r>
      <w:r w:rsidRPr="00EB51A4">
        <w:t>o Dofinansowanie (GWD). Szczegółowe zasady składania wniosku o dofinansowanie Projektów za pośrednictwem GWD określa Regulamin</w:t>
      </w:r>
      <w:r w:rsidR="003035FA" w:rsidRPr="00EB51A4">
        <w:t xml:space="preserve"> konkursu</w:t>
      </w:r>
      <w:r w:rsidRPr="00EB51A4">
        <w:t>.</w:t>
      </w:r>
    </w:p>
    <w:p w14:paraId="167844D0" w14:textId="42020783" w:rsidR="00A87B8D" w:rsidRPr="00EB51A4" w:rsidRDefault="00A87B8D" w:rsidP="00A87B8D">
      <w:pPr>
        <w:spacing w:before="120"/>
        <w:jc w:val="both"/>
        <w:rPr>
          <w:b/>
          <w:bCs/>
        </w:rPr>
      </w:pPr>
      <w:r w:rsidRPr="00EB51A4">
        <w:rPr>
          <w:b/>
          <w:bCs/>
        </w:rPr>
        <w:t xml:space="preserve">Wnioski o dofinansowanie wraz z załącznikami należy składać do NFOŚiGW w formie elektronicznej za pośrednictwem </w:t>
      </w:r>
      <w:r w:rsidR="00B95420" w:rsidRPr="00EB51A4">
        <w:rPr>
          <w:b/>
          <w:bCs/>
        </w:rPr>
        <w:t>GWD</w:t>
      </w:r>
      <w:r w:rsidRPr="00EB51A4">
        <w:rPr>
          <w:b/>
          <w:bCs/>
        </w:rPr>
        <w:t xml:space="preserve"> </w:t>
      </w:r>
      <w:hyperlink r:id="rId9" w:history="1">
        <w:r w:rsidR="0031112B" w:rsidRPr="00EB51A4">
          <w:rPr>
            <w:rStyle w:val="Hipercze"/>
            <w:b/>
            <w:bCs/>
          </w:rPr>
          <w:t>dostępnego na stronie internetowej NFOŚiGW.</w:t>
        </w:r>
      </w:hyperlink>
      <w:r w:rsidR="00167B98" w:rsidRPr="00EB51A4">
        <w:rPr>
          <w:rStyle w:val="Odwoanieprzypisudolnego"/>
          <w:b/>
          <w:bCs/>
        </w:rPr>
        <w:footnoteReference w:id="15"/>
      </w:r>
      <w:r w:rsidRPr="00EB51A4">
        <w:rPr>
          <w:b/>
          <w:bCs/>
        </w:rPr>
        <w:t xml:space="preserve"> </w:t>
      </w:r>
    </w:p>
    <w:p w14:paraId="2C0488EC" w14:textId="751EE799" w:rsidR="009B5E68" w:rsidRPr="009B5E68" w:rsidRDefault="009B5E68" w:rsidP="00CA3ACF">
      <w:pPr>
        <w:spacing w:before="120"/>
        <w:jc w:val="both"/>
      </w:pPr>
      <w:r w:rsidRPr="00EB51A4">
        <w:t xml:space="preserve">Formularz wniosku o dofinansowanie wraz pomocą kontekstową dostępny jest pod adresem: </w:t>
      </w:r>
      <w:hyperlink r:id="rId10" w:tgtFrame="_blank" w:history="1">
        <w:r w:rsidRPr="00EB51A4">
          <w:rPr>
            <w:rStyle w:val="Hipercze"/>
            <w:b/>
            <w:bCs/>
          </w:rPr>
          <w:t>https://gwd.nfosigw.gov.pl</w:t>
        </w:r>
      </w:hyperlink>
    </w:p>
    <w:p w14:paraId="206E19A6" w14:textId="77777777" w:rsidR="009B5E68" w:rsidRPr="00EC10BD" w:rsidRDefault="009B5E68" w:rsidP="0050036C">
      <w:pPr>
        <w:spacing w:before="120"/>
        <w:jc w:val="both"/>
        <w:rPr>
          <w:color w:val="000000"/>
        </w:rPr>
      </w:pPr>
    </w:p>
    <w:p w14:paraId="519CC6B8" w14:textId="1782D9D8" w:rsidR="00A87B8D" w:rsidRDefault="00A87B8D" w:rsidP="00CA3ACF">
      <w:pPr>
        <w:spacing w:before="120"/>
        <w:jc w:val="both"/>
      </w:pPr>
      <w:r>
        <w:t>Dopuszcza się dwie możliwości podpisania wniosku elektronicznego:</w:t>
      </w:r>
    </w:p>
    <w:p w14:paraId="06806E65" w14:textId="5CECC6EC" w:rsidR="00A87B8D" w:rsidRDefault="00A87B8D" w:rsidP="00CA3ACF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>
        <w:t xml:space="preserve">przy </w:t>
      </w:r>
      <w:r>
        <w:t>użyciu elektronicznego</w:t>
      </w:r>
      <w:r w:rsidR="00FB1860">
        <w:t xml:space="preserve"> podpisu kwalifikowanego</w:t>
      </w:r>
      <w:r>
        <w:t xml:space="preserve">, który wywołuje skutki prawne równoważne podpisowi </w:t>
      </w:r>
      <w:r w:rsidR="00B95420">
        <w:t>własnoręcznemu</w:t>
      </w:r>
      <w:r>
        <w:t>;</w:t>
      </w:r>
    </w:p>
    <w:p w14:paraId="0817BB3D" w14:textId="77777777" w:rsidR="00A87B8D" w:rsidRDefault="00A87B8D" w:rsidP="00CA3ACF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>
        <w:t xml:space="preserve"> przy użyciu profilu zaufanego w ramach elektronicznej Platformy Usług Administracji Publicznej (</w:t>
      </w:r>
      <w:proofErr w:type="spellStart"/>
      <w:r>
        <w:t>ePUAP</w:t>
      </w:r>
      <w:proofErr w:type="spellEnd"/>
      <w:r>
        <w:t xml:space="preserve">). </w:t>
      </w:r>
    </w:p>
    <w:p w14:paraId="61A2990C" w14:textId="77777777" w:rsidR="00B95420" w:rsidRPr="00B95420" w:rsidRDefault="00B95420" w:rsidP="00B95420">
      <w:pPr>
        <w:jc w:val="both"/>
        <w:rPr>
          <w:color w:val="000000" w:themeColor="text1"/>
        </w:rPr>
      </w:pPr>
    </w:p>
    <w:p w14:paraId="73028CD8" w14:textId="18435F09" w:rsidR="004A0383" w:rsidRPr="00501897" w:rsidRDefault="004A0383" w:rsidP="004A0383">
      <w:pPr>
        <w:spacing w:before="120"/>
        <w:jc w:val="both"/>
        <w:rPr>
          <w:b/>
        </w:rPr>
      </w:pPr>
      <w:r w:rsidRPr="008E3F28">
        <w:rPr>
          <w:b/>
        </w:rPr>
        <w:t>Data złożenia wniosku</w:t>
      </w:r>
    </w:p>
    <w:p w14:paraId="18300247" w14:textId="77777777" w:rsidR="00501897" w:rsidRDefault="00501897" w:rsidP="00501897">
      <w:pPr>
        <w:jc w:val="both"/>
        <w:rPr>
          <w:color w:val="000000" w:themeColor="text1"/>
        </w:rPr>
      </w:pPr>
      <w:bookmarkStart w:id="10" w:name="_GoBack"/>
      <w:bookmarkEnd w:id="10"/>
    </w:p>
    <w:p w14:paraId="74B07376" w14:textId="77777777" w:rsidR="00A47556" w:rsidRDefault="00501897" w:rsidP="00A47556">
      <w:pPr>
        <w:jc w:val="both"/>
        <w:rPr>
          <w:color w:val="000000" w:themeColor="text1"/>
        </w:rPr>
      </w:pPr>
      <w:r w:rsidRPr="001A4383">
        <w:rPr>
          <w:color w:val="000000" w:themeColor="text1"/>
        </w:rPr>
        <w:t xml:space="preserve">Przygotowane wnioski należy składać w wersji elektronicznej przez </w:t>
      </w:r>
      <w:r w:rsidR="00B95420">
        <w:rPr>
          <w:color w:val="000000" w:themeColor="text1"/>
        </w:rPr>
        <w:t>GWD</w:t>
      </w:r>
      <w:r w:rsidR="00A47556">
        <w:rPr>
          <w:color w:val="000000" w:themeColor="text1"/>
        </w:rPr>
        <w:t>.</w:t>
      </w:r>
    </w:p>
    <w:p w14:paraId="36D50348" w14:textId="77777777" w:rsidR="00670D25" w:rsidRDefault="00670D25" w:rsidP="00A47556">
      <w:pPr>
        <w:jc w:val="both"/>
        <w:rPr>
          <w:color w:val="000000" w:themeColor="text1"/>
        </w:rPr>
      </w:pPr>
    </w:p>
    <w:p w14:paraId="60FF260D" w14:textId="342A60FE" w:rsidR="00501897" w:rsidRPr="001A4383" w:rsidRDefault="00A47556" w:rsidP="00A47556">
      <w:pPr>
        <w:jc w:val="both"/>
        <w:rPr>
          <w:color w:val="000000" w:themeColor="text1"/>
        </w:rPr>
      </w:pPr>
      <w:r>
        <w:t xml:space="preserve">Datą złożenia wniosku jest data i godzina wpływu wniosku na skrzynkę podawczą NFOŚiGW znajdującą się na </w:t>
      </w:r>
      <w:proofErr w:type="spellStart"/>
      <w:r>
        <w:t>ePUAP</w:t>
      </w:r>
      <w:proofErr w:type="spellEnd"/>
      <w:r w:rsidR="008F6ABD">
        <w:t xml:space="preserve"> potwierdzeniem czego jest</w:t>
      </w:r>
      <w:r>
        <w:t xml:space="preserve">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3763BE27" w14:textId="77777777" w:rsidR="00501897" w:rsidRPr="001A4383" w:rsidRDefault="00501897" w:rsidP="00501897">
      <w:pPr>
        <w:jc w:val="both"/>
        <w:rPr>
          <w:color w:val="000000" w:themeColor="text1"/>
        </w:rPr>
      </w:pPr>
    </w:p>
    <w:p w14:paraId="0882BA8F" w14:textId="10F24B84" w:rsidR="00501897" w:rsidRPr="001A4383" w:rsidRDefault="00501897" w:rsidP="00501897">
      <w:pPr>
        <w:jc w:val="both"/>
        <w:rPr>
          <w:color w:val="000000" w:themeColor="text1"/>
        </w:rPr>
      </w:pPr>
      <w:r w:rsidRPr="001A4383">
        <w:rPr>
          <w:color w:val="000000" w:themeColor="text1"/>
        </w:rPr>
        <w:lastRenderedPageBreak/>
        <w:t>Wnioski</w:t>
      </w:r>
      <w:r w:rsidR="00EB51A4">
        <w:rPr>
          <w:color w:val="000000" w:themeColor="text1"/>
        </w:rPr>
        <w:t xml:space="preserve">, które wpłyną </w:t>
      </w:r>
      <w:r w:rsidRPr="001A4383">
        <w:rPr>
          <w:color w:val="000000" w:themeColor="text1"/>
        </w:rPr>
        <w:t xml:space="preserve">po terminie zostaną </w:t>
      </w:r>
      <w:r w:rsidR="00CE7AF9">
        <w:rPr>
          <w:color w:val="000000" w:themeColor="text1"/>
        </w:rPr>
        <w:t>pozostawione bez rozpatrzenia.</w:t>
      </w:r>
    </w:p>
    <w:p w14:paraId="1A3BB201" w14:textId="77777777" w:rsidR="00501897" w:rsidRPr="001A4383" w:rsidRDefault="00501897" w:rsidP="00501897">
      <w:pPr>
        <w:jc w:val="both"/>
        <w:rPr>
          <w:color w:val="000000" w:themeColor="text1"/>
        </w:rPr>
      </w:pPr>
    </w:p>
    <w:p w14:paraId="7F2890B9" w14:textId="136ECEFD" w:rsidR="00501897" w:rsidRDefault="00501897" w:rsidP="00501897">
      <w:pPr>
        <w:jc w:val="both"/>
        <w:rPr>
          <w:color w:val="000000" w:themeColor="text1"/>
        </w:rPr>
      </w:pPr>
      <w:r w:rsidRPr="001A4383">
        <w:rPr>
          <w:color w:val="000000" w:themeColor="text1"/>
        </w:rPr>
        <w:t>Operator Programu dopuszcza złożenie więcej niż jednego wniosku przez jednego Wnioskodawcę na różne zakresy rzeczowe</w:t>
      </w:r>
      <w:r>
        <w:rPr>
          <w:color w:val="000000" w:themeColor="text1"/>
        </w:rPr>
        <w:t>.</w:t>
      </w:r>
      <w:r w:rsidR="00BC777D">
        <w:rPr>
          <w:color w:val="000000" w:themeColor="text1"/>
        </w:rPr>
        <w:t xml:space="preserve"> </w:t>
      </w:r>
      <w:r w:rsidR="00CA0DD6">
        <w:rPr>
          <w:color w:val="000000" w:themeColor="text1"/>
        </w:rPr>
        <w:t xml:space="preserve">W przypadku złożenia </w:t>
      </w:r>
      <w:r w:rsidR="00BC777D">
        <w:rPr>
          <w:color w:val="000000" w:themeColor="text1"/>
        </w:rPr>
        <w:t>dwóch wniosków na ten sam zakres rzeczowy ocenie będzie podlegać wniosek złożony wcześniej. Operator Programu nie dopuszcza możliwości autokorekty wniosku.</w:t>
      </w:r>
    </w:p>
    <w:p w14:paraId="2E540F9A" w14:textId="77777777" w:rsidR="00CF629D" w:rsidRPr="004A0383" w:rsidRDefault="00CF629D" w:rsidP="000B290B">
      <w:pPr>
        <w:spacing w:before="120"/>
        <w:rPr>
          <w:b/>
          <w:strike/>
        </w:rPr>
      </w:pPr>
    </w:p>
    <w:p w14:paraId="50ACB8B1" w14:textId="3100936C" w:rsidR="00501897" w:rsidRDefault="0013786D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Ramy Prawne i Dokumenty Programowe</w:t>
      </w:r>
    </w:p>
    <w:p w14:paraId="7E245313" w14:textId="77777777" w:rsidR="00357410" w:rsidRPr="001103D6" w:rsidRDefault="00357410" w:rsidP="00357410">
      <w:pPr>
        <w:spacing w:before="120"/>
        <w:rPr>
          <w:b/>
        </w:rPr>
      </w:pPr>
    </w:p>
    <w:p w14:paraId="50E486FF" w14:textId="3F39F7A2" w:rsidR="000A0FA6" w:rsidRPr="00EB51A4" w:rsidRDefault="00357FC7" w:rsidP="0050036C">
      <w:pPr>
        <w:numPr>
          <w:ilvl w:val="0"/>
          <w:numId w:val="2"/>
        </w:numPr>
        <w:spacing w:line="276" w:lineRule="auto"/>
        <w:ind w:left="714" w:hanging="357"/>
      </w:pPr>
      <w:hyperlink r:id="rId11" w:history="1">
        <w:r w:rsidR="0050036C" w:rsidRPr="00EB51A4">
          <w:rPr>
            <w:rStyle w:val="Hipercze"/>
          </w:rPr>
          <w:t>Umowa w sprawie realizacji Programu „Środowisko, Energia i Zmiany klimatu” w ramach MF EOG 2014-2021</w:t>
        </w:r>
      </w:hyperlink>
      <w:r w:rsidR="008E05FA" w:rsidRPr="00EB51A4">
        <w:t>;</w:t>
      </w:r>
    </w:p>
    <w:p w14:paraId="72D58F35" w14:textId="77777777" w:rsidR="0038117A" w:rsidRPr="00EB51A4" w:rsidRDefault="00357FC7" w:rsidP="0038117A">
      <w:pPr>
        <w:pStyle w:val="Akapitzlist"/>
        <w:numPr>
          <w:ilvl w:val="0"/>
          <w:numId w:val="2"/>
        </w:numPr>
      </w:pPr>
      <w:hyperlink r:id="rId12" w:history="1">
        <w:r w:rsidR="0038117A" w:rsidRPr="00EB51A4">
          <w:rPr>
            <w:rStyle w:val="Hipercze"/>
          </w:rPr>
          <w:t xml:space="preserve">Memorandum of </w:t>
        </w:r>
        <w:proofErr w:type="spellStart"/>
        <w:r w:rsidR="0038117A" w:rsidRPr="00EB51A4">
          <w:rPr>
            <w:rStyle w:val="Hipercze"/>
          </w:rPr>
          <w:t>Understanding</w:t>
        </w:r>
        <w:proofErr w:type="spellEnd"/>
        <w:r w:rsidR="0038117A" w:rsidRPr="00EB51A4">
          <w:rPr>
            <w:rStyle w:val="Hipercze"/>
          </w:rPr>
          <w:t xml:space="preserve"> w sprawie wdrażania Mechanizmu Finansowego EOG na lata 2014-2021 zawarte pomiędzy Republiką Islandii, Księstwem Liechtensteinu, Królestwem Norwegii a Rzeczpospolitą Polską w dniu 20.12.2017 r.;</w:t>
        </w:r>
      </w:hyperlink>
    </w:p>
    <w:p w14:paraId="05E3D0E7" w14:textId="77777777" w:rsidR="0038117A" w:rsidRPr="00EB51A4" w:rsidRDefault="00357FC7" w:rsidP="0038117A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u w:val="none"/>
        </w:rPr>
      </w:pPr>
      <w:hyperlink r:id="rId13" w:history="1">
        <w:r w:rsidR="0038117A" w:rsidRPr="00EB51A4">
          <w:rPr>
            <w:rStyle w:val="Hipercze"/>
          </w:rPr>
          <w:t xml:space="preserve">Regulacje </w:t>
        </w:r>
        <w:proofErr w:type="spellStart"/>
        <w:r w:rsidR="0038117A" w:rsidRPr="00EB51A4">
          <w:rPr>
            <w:rStyle w:val="Hipercze"/>
          </w:rPr>
          <w:t>ws</w:t>
        </w:r>
        <w:proofErr w:type="spellEnd"/>
        <w:r w:rsidR="0038117A" w:rsidRPr="00EB51A4">
          <w:rPr>
            <w:rStyle w:val="Hipercze"/>
          </w:rPr>
          <w:t>. wdrażania Mechanizmu Finansowego EOG na lata 2014-2021</w:t>
        </w:r>
      </w:hyperlink>
      <w:r w:rsidR="0038117A" w:rsidRPr="00EB51A4">
        <w:rPr>
          <w:rStyle w:val="file-details"/>
        </w:rPr>
        <w:t>;</w:t>
      </w:r>
    </w:p>
    <w:p w14:paraId="0FD1F015" w14:textId="77777777" w:rsidR="0038117A" w:rsidRPr="00EB51A4" w:rsidRDefault="00357FC7" w:rsidP="0038117A">
      <w:pPr>
        <w:pStyle w:val="Akapitzlist"/>
        <w:numPr>
          <w:ilvl w:val="0"/>
          <w:numId w:val="2"/>
        </w:numPr>
        <w:jc w:val="both"/>
      </w:pPr>
      <w:hyperlink r:id="rId14" w:history="1">
        <w:r w:rsidR="0038117A" w:rsidRPr="00EB51A4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38117A" w:rsidRPr="00EB51A4">
        <w:t>;</w:t>
      </w:r>
    </w:p>
    <w:p w14:paraId="03F41805" w14:textId="77777777" w:rsidR="0038117A" w:rsidRPr="00EB51A4" w:rsidRDefault="00357FC7" w:rsidP="0038117A">
      <w:pPr>
        <w:pStyle w:val="Akapitzlist"/>
        <w:numPr>
          <w:ilvl w:val="0"/>
          <w:numId w:val="2"/>
        </w:numPr>
        <w:jc w:val="both"/>
      </w:pPr>
      <w:hyperlink r:id="rId15" w:history="1">
        <w:r w:rsidR="0038117A" w:rsidRPr="00EB51A4">
          <w:rPr>
            <w:rStyle w:val="Hipercze"/>
          </w:rPr>
          <w:t>Wytyczne „Komunikacja i identyfikacja wizualna Fundusze EOG i fundusze norweskie 2014–2021”</w:t>
        </w:r>
      </w:hyperlink>
    </w:p>
    <w:p w14:paraId="28BBD761" w14:textId="796960AF" w:rsidR="008951CF" w:rsidRPr="00EB51A4" w:rsidRDefault="00357FC7" w:rsidP="008951CF">
      <w:pPr>
        <w:pStyle w:val="Akapitzlist"/>
        <w:numPr>
          <w:ilvl w:val="0"/>
          <w:numId w:val="2"/>
        </w:numPr>
        <w:spacing w:line="276" w:lineRule="auto"/>
        <w:ind w:left="714" w:hanging="357"/>
      </w:pPr>
      <w:hyperlink r:id="rId16" w:history="1">
        <w:r w:rsidR="0038117A" w:rsidRPr="00EB51A4">
          <w:rPr>
            <w:rStyle w:val="Hipercze"/>
          </w:rPr>
          <w:t xml:space="preserve">Wytyczne dotyczące </w:t>
        </w:r>
        <w:proofErr w:type="spellStart"/>
        <w:r w:rsidR="0038117A" w:rsidRPr="00EB51A4">
          <w:rPr>
            <w:rStyle w:val="Hipercze"/>
          </w:rPr>
          <w:t>odwołań</w:t>
        </w:r>
        <w:proofErr w:type="spellEnd"/>
      </w:hyperlink>
      <w:r w:rsidR="0038117A" w:rsidRPr="00EB51A4">
        <w:rPr>
          <w:rStyle w:val="Hipercze"/>
        </w:rPr>
        <w:t xml:space="preserve"> </w:t>
      </w:r>
      <w:r w:rsidR="008951CF" w:rsidRPr="00EB51A4">
        <w:t>i inne wytyczne regulujące wykonywanie zadań związanych z wdrażaniem Mechanizmu Finansowego EOG na lata 2014-2021, wydane przez K</w:t>
      </w:r>
      <w:r w:rsidR="0050036C" w:rsidRPr="00EB51A4">
        <w:t xml:space="preserve">omitet </w:t>
      </w:r>
      <w:r w:rsidR="008951CF" w:rsidRPr="00EB51A4">
        <w:t>M</w:t>
      </w:r>
      <w:r w:rsidR="0050036C" w:rsidRPr="00EB51A4">
        <w:t xml:space="preserve">echanizmów </w:t>
      </w:r>
      <w:r w:rsidR="008951CF" w:rsidRPr="00EB51A4">
        <w:t>F</w:t>
      </w:r>
      <w:r w:rsidR="0050036C" w:rsidRPr="00EB51A4">
        <w:t>inansowych (KMF)</w:t>
      </w:r>
      <w:r w:rsidR="008951CF" w:rsidRPr="00EB51A4">
        <w:t xml:space="preserve"> lub KPK opublikowane </w:t>
      </w:r>
      <w:hyperlink r:id="rId17" w:history="1">
        <w:r w:rsidR="0050036C" w:rsidRPr="00EB51A4">
          <w:rPr>
            <w:rStyle w:val="Hipercze"/>
          </w:rPr>
          <w:t>stronie internetowej Funduszy EOG</w:t>
        </w:r>
      </w:hyperlink>
    </w:p>
    <w:p w14:paraId="5864DB71" w14:textId="77777777" w:rsidR="008951CF" w:rsidRDefault="008951CF" w:rsidP="00A7352E">
      <w:pPr>
        <w:pStyle w:val="Akapitzlist"/>
        <w:spacing w:line="276" w:lineRule="auto"/>
        <w:ind w:left="714"/>
        <w:jc w:val="both"/>
      </w:pPr>
    </w:p>
    <w:p w14:paraId="236CDECF" w14:textId="131AB8E7" w:rsidR="00A7352E" w:rsidRPr="003E234F" w:rsidRDefault="00A7352E" w:rsidP="00A7352E">
      <w:pPr>
        <w:pStyle w:val="Akapitzlist"/>
        <w:numPr>
          <w:ilvl w:val="0"/>
          <w:numId w:val="1"/>
        </w:numPr>
        <w:tabs>
          <w:tab w:val="clear" w:pos="1131"/>
          <w:tab w:val="num" w:pos="847"/>
        </w:tabs>
        <w:ind w:left="847" w:hanging="421"/>
        <w:jc w:val="both"/>
        <w:rPr>
          <w:b/>
          <w:bCs/>
        </w:rPr>
      </w:pPr>
      <w:r w:rsidRPr="003E234F">
        <w:rPr>
          <w:b/>
          <w:bCs/>
        </w:rPr>
        <w:t>Lista załączników do ogłoszenia</w:t>
      </w:r>
      <w:r w:rsidR="005C38CA" w:rsidRPr="003E234F">
        <w:rPr>
          <w:b/>
          <w:bCs/>
        </w:rPr>
        <w:t xml:space="preserve"> o naborze wniosków</w:t>
      </w:r>
    </w:p>
    <w:p w14:paraId="22AC7EBF" w14:textId="77777777" w:rsidR="00A7352E" w:rsidRPr="003E234F" w:rsidRDefault="00A7352E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r w:rsidRPr="003E234F">
        <w:t>Regulamin konkursu;</w:t>
      </w:r>
    </w:p>
    <w:p w14:paraId="0E717701" w14:textId="77777777" w:rsidR="003E234F" w:rsidRPr="003E234F" w:rsidRDefault="00A241A4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r w:rsidRPr="003E234F">
        <w:t>Warunki</w:t>
      </w:r>
      <w:r w:rsidR="00A7352E" w:rsidRPr="003E234F">
        <w:t xml:space="preserve"> formalne i </w:t>
      </w:r>
      <w:r w:rsidR="003E234F" w:rsidRPr="00090A03">
        <w:t xml:space="preserve">kryteria </w:t>
      </w:r>
      <w:r w:rsidR="00A7352E" w:rsidRPr="003E234F">
        <w:t>merytoryczne;</w:t>
      </w:r>
    </w:p>
    <w:p w14:paraId="55EE4671" w14:textId="25946E79" w:rsidR="003E234F" w:rsidRPr="00090A03" w:rsidRDefault="003E234F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r w:rsidRPr="003E234F">
        <w:t>Wzór kart oceny formalnej i merytorycznej wniosku</w:t>
      </w:r>
      <w:r w:rsidR="00670D25">
        <w:t>;</w:t>
      </w:r>
    </w:p>
    <w:p w14:paraId="55AF53C3" w14:textId="3900B006" w:rsidR="00A7352E" w:rsidRPr="003E234F" w:rsidRDefault="00A7352E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r w:rsidRPr="003E234F">
        <w:t>Podręcznik dotyczący zawierania partnerstw;</w:t>
      </w:r>
    </w:p>
    <w:p w14:paraId="422D46DE" w14:textId="4A5EE775" w:rsidR="00A7352E" w:rsidRDefault="00A7352E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r w:rsidRPr="003E234F">
        <w:t>Metodyka kalkulacji kosztów pośrednich</w:t>
      </w:r>
      <w:r w:rsidR="00670D25">
        <w:t>;</w:t>
      </w:r>
    </w:p>
    <w:p w14:paraId="7D50D85B" w14:textId="1E149046" w:rsidR="00670D25" w:rsidRDefault="00670D25" w:rsidP="00C73DCC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  <w:rPr>
          <w:rStyle w:val="tlid-translation"/>
        </w:rPr>
      </w:pPr>
      <w:r>
        <w:rPr>
          <w:rStyle w:val="tlid-translation"/>
        </w:rPr>
        <w:t>Katalog standardowych kosztów jednostkowych dla działań edukacyjnych</w:t>
      </w:r>
      <w:r w:rsidR="005A623F">
        <w:rPr>
          <w:rStyle w:val="tlid-translation"/>
        </w:rPr>
        <w:t>;</w:t>
      </w:r>
    </w:p>
    <w:p w14:paraId="2FE18EBF" w14:textId="77777777" w:rsidR="00D84E86" w:rsidRDefault="005A623F" w:rsidP="00D84E86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  <w:rPr>
          <w:rStyle w:val="tlid-translation"/>
        </w:rPr>
      </w:pPr>
      <w:r>
        <w:rPr>
          <w:rStyle w:val="tlid-translation"/>
        </w:rPr>
        <w:t>Podręcznik Wnioskodawcy</w:t>
      </w:r>
      <w:r w:rsidR="002976F3">
        <w:rPr>
          <w:rStyle w:val="tlid-translation"/>
        </w:rPr>
        <w:t>;</w:t>
      </w:r>
    </w:p>
    <w:p w14:paraId="4B71E0B8" w14:textId="313A97E2" w:rsidR="002976F3" w:rsidRPr="003E234F" w:rsidRDefault="00D84E86" w:rsidP="00D84E86">
      <w:pPr>
        <w:pStyle w:val="Akapitzlist"/>
        <w:numPr>
          <w:ilvl w:val="0"/>
          <w:numId w:val="15"/>
        </w:numPr>
        <w:spacing w:before="120" w:after="120"/>
        <w:ind w:left="1276" w:hanging="357"/>
        <w:jc w:val="both"/>
      </w:pPr>
      <w:bookmarkStart w:id="11" w:name="_Hlk33446810"/>
      <w:r w:rsidRPr="00D84E86">
        <w:rPr>
          <w:rStyle w:val="tlid-translation"/>
        </w:rPr>
        <w:t>Wzór Umowy w sprawie Projektu</w:t>
      </w:r>
      <w:r>
        <w:rPr>
          <w:rStyle w:val="tlid-translation"/>
        </w:rPr>
        <w:t>.</w:t>
      </w:r>
    </w:p>
    <w:bookmarkEnd w:id="11"/>
    <w:p w14:paraId="76702BBD" w14:textId="5AAF0FE2" w:rsidR="00FA006B" w:rsidRPr="002E10A4" w:rsidRDefault="00EB51A4" w:rsidP="00FA006B">
      <w:r>
        <w:br/>
      </w:r>
    </w:p>
    <w:p w14:paraId="50D2E967" w14:textId="0BDB7962" w:rsidR="0013786D" w:rsidRPr="00512972" w:rsidRDefault="0013786D">
      <w:pPr>
        <w:numPr>
          <w:ilvl w:val="0"/>
          <w:numId w:val="1"/>
        </w:numPr>
        <w:spacing w:before="120"/>
        <w:jc w:val="both"/>
        <w:rPr>
          <w:b/>
        </w:rPr>
      </w:pPr>
      <w:r w:rsidRPr="00512972">
        <w:rPr>
          <w:b/>
        </w:rPr>
        <w:t xml:space="preserve">Lista </w:t>
      </w:r>
      <w:r w:rsidR="005816F6" w:rsidRPr="00512972">
        <w:rPr>
          <w:b/>
        </w:rPr>
        <w:t>załączników</w:t>
      </w:r>
      <w:r w:rsidR="008310BA" w:rsidRPr="00512972">
        <w:rPr>
          <w:b/>
        </w:rPr>
        <w:t xml:space="preserve"> </w:t>
      </w:r>
      <w:r w:rsidR="005816F6" w:rsidRPr="00512972">
        <w:rPr>
          <w:b/>
        </w:rPr>
        <w:t>wymaganych</w:t>
      </w:r>
      <w:r w:rsidRPr="00512972">
        <w:rPr>
          <w:b/>
        </w:rPr>
        <w:t xml:space="preserve"> do wniosku</w:t>
      </w:r>
      <w:r w:rsidR="00543754" w:rsidRPr="00512972">
        <w:rPr>
          <w:b/>
        </w:rPr>
        <w:t xml:space="preserve"> o dofinansowanie</w:t>
      </w:r>
    </w:p>
    <w:p w14:paraId="4650E2DE" w14:textId="2632DD6C" w:rsidR="0013786D" w:rsidRPr="007815E6" w:rsidRDefault="0013786D" w:rsidP="00B95420">
      <w:pPr>
        <w:spacing w:before="120" w:line="276" w:lineRule="auto"/>
        <w:jc w:val="both"/>
      </w:pPr>
      <w:bookmarkStart w:id="12" w:name="_Hlk22734882"/>
      <w:r w:rsidRPr="007815E6">
        <w:t xml:space="preserve">Do wniosku </w:t>
      </w:r>
      <w:r w:rsidR="00F14083" w:rsidRPr="007815E6">
        <w:t xml:space="preserve">o dofinansowanie </w:t>
      </w:r>
      <w:r w:rsidRPr="007815E6">
        <w:t>należy dołączyć następujące załączniki:</w:t>
      </w:r>
    </w:p>
    <w:p w14:paraId="6899ABD9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64BC2">
        <w:t>Dokumenty określające status prawny Wnioskodawcy</w:t>
      </w:r>
      <w:r>
        <w:t>;</w:t>
      </w:r>
    </w:p>
    <w:p w14:paraId="6A628D07" w14:textId="7E9CEBDD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64BC2">
        <w:lastRenderedPageBreak/>
        <w:t>Dokumenty potwierdzające umocowanie osób uprawnionych do reprezentowania Wnioskodawcy</w:t>
      </w:r>
      <w:r w:rsidR="00C73DCC">
        <w:t xml:space="preserve"> – jeżeli dotyczy;</w:t>
      </w:r>
    </w:p>
    <w:p w14:paraId="61C946A5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64BC2">
        <w:t>Pozwolenia i decyzje administracyjne, warunkujące możliwość zrealizowania projektu lub harmonogram ich uzyskania</w:t>
      </w:r>
      <w:r>
        <w:t>;</w:t>
      </w:r>
    </w:p>
    <w:p w14:paraId="01A80083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64BC2">
        <w:t>Zgoda właściciela, zarządcy lub użytkownika wieczystego terenu, na którym realizowany ma być Projekt, w przypadku gdy wnioskodawca nie jest właścicielem, zarządcą lub użytkownikiem wieczystym ww. terenu - jeżeli dotyczy</w:t>
      </w:r>
      <w:r>
        <w:t>;</w:t>
      </w:r>
    </w:p>
    <w:p w14:paraId="25284987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64BC2">
        <w:t xml:space="preserve">Plan Komunikacji przygotowany zgodnie z załącznikiem nr 3 do Regulacji </w:t>
      </w:r>
      <w:proofErr w:type="spellStart"/>
      <w:r w:rsidRPr="00764BC2">
        <w:t>ws</w:t>
      </w:r>
      <w:proofErr w:type="spellEnd"/>
      <w:r w:rsidRPr="00764BC2">
        <w:t>.</w:t>
      </w:r>
      <w:r>
        <w:t> </w:t>
      </w:r>
      <w:r w:rsidRPr="00764BC2">
        <w:t>wdrażania MF EOG oraz NMF na lata 2014-2021</w:t>
      </w:r>
      <w:r>
        <w:t>;</w:t>
      </w:r>
    </w:p>
    <w:p w14:paraId="159992C5" w14:textId="5D64C30B" w:rsidR="00865769" w:rsidRPr="007815E6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4979D5">
        <w:t xml:space="preserve">Kalkulacja kosztów pośrednich wykonana na podstawie </w:t>
      </w:r>
      <w:r w:rsidRPr="00AB7611">
        <w:rPr>
          <w:i/>
        </w:rPr>
        <w:t>Metodyki wyliczania kosztów pośrednich</w:t>
      </w:r>
      <w:r w:rsidRPr="004979D5">
        <w:t xml:space="preserve"> będącej załącznikiem do ogłoszenia o naborze</w:t>
      </w:r>
      <w:r w:rsidR="00C73DCC">
        <w:t xml:space="preserve"> – jeżeli dotyczy</w:t>
      </w:r>
      <w:r>
        <w:t>;</w:t>
      </w:r>
    </w:p>
    <w:p w14:paraId="3FA03C90" w14:textId="77777777" w:rsidR="00865769" w:rsidRPr="00AB7611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7815E6">
        <w:rPr>
          <w:color w:val="000000" w:themeColor="text1"/>
        </w:rPr>
        <w:t>Dokument</w:t>
      </w:r>
      <w:r>
        <w:rPr>
          <w:color w:val="000000" w:themeColor="text1"/>
        </w:rPr>
        <w:t>y potwierdzające partnerstwo w p</w:t>
      </w:r>
      <w:r w:rsidRPr="007815E6">
        <w:rPr>
          <w:color w:val="000000" w:themeColor="text1"/>
        </w:rPr>
        <w:t xml:space="preserve">rojekcie - list intencyjny z podmiotem z Państw-Darczyńców, umowa partnerska z podmiotem z Państw-Darczyńców lub </w:t>
      </w:r>
      <w:r>
        <w:rPr>
          <w:color w:val="000000" w:themeColor="text1"/>
        </w:rPr>
        <w:t> </w:t>
      </w:r>
      <w:r w:rsidRPr="007815E6">
        <w:rPr>
          <w:color w:val="000000" w:themeColor="text1"/>
        </w:rPr>
        <w:t>inne potwierdzenie współpracy partnerów;</w:t>
      </w:r>
    </w:p>
    <w:p w14:paraId="014029DC" w14:textId="27934CE8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96906">
        <w:t>Opinia i /lub zgoda właściwego organu ochrony przyrody na realizację projektu lub potwierdzenie wystąpienia o ww. opinię/zgodę (dotyczy podmiotów spoza organów ochrony przyrody)</w:t>
      </w:r>
      <w:r>
        <w:t xml:space="preserve"> </w:t>
      </w:r>
      <w:r w:rsidRPr="00764BC2">
        <w:t>- jeżeli dotyczy</w:t>
      </w:r>
      <w:r>
        <w:t>;</w:t>
      </w:r>
    </w:p>
    <w:p w14:paraId="159287EF" w14:textId="27399F69" w:rsidR="00865769" w:rsidRPr="007815E6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796906">
        <w:t>Oświadczenie o zgodności zadań projektu z planami zarządzania ekosystemami</w:t>
      </w:r>
      <w:r>
        <w:t xml:space="preserve"> </w:t>
      </w:r>
      <w:r w:rsidRPr="00864CC2">
        <w:t>- jeżeli dotyczy</w:t>
      </w:r>
      <w:r>
        <w:t xml:space="preserve"> </w:t>
      </w:r>
      <w:r w:rsidRPr="00764BC2">
        <w:t>- jeżeli dotyczy</w:t>
      </w:r>
      <w:r>
        <w:t>;</w:t>
      </w:r>
    </w:p>
    <w:p w14:paraId="31759958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AB7611">
        <w:t>Strona internetowa/portal/wortal- założenia graficzne ze schematem nawigacji</w:t>
      </w:r>
      <w:r>
        <w:t>;</w:t>
      </w:r>
    </w:p>
    <w:p w14:paraId="078888D2" w14:textId="13A662ED" w:rsidR="00865769" w:rsidRPr="007815E6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AB7611">
        <w:t>Programy szkoleń, warsztatów, seminariów, konferencji, imprez, festiwali wraz z</w:t>
      </w:r>
      <w:r>
        <w:t> </w:t>
      </w:r>
      <w:r w:rsidRPr="00AB7611">
        <w:t>określeniem czasu ich trwania oraz zakresem tematycznym itp.</w:t>
      </w:r>
      <w:r>
        <w:t>;</w:t>
      </w:r>
    </w:p>
    <w:p w14:paraId="1BF592D5" w14:textId="77777777" w:rsidR="00865769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0A3747">
        <w:t>Konspekty planowanych kampanii, wydawnictw, broszur</w:t>
      </w:r>
      <w:r>
        <w:t xml:space="preserve"> </w:t>
      </w:r>
      <w:r w:rsidRPr="000A3747">
        <w:t>(w tym parametry techniczne)</w:t>
      </w:r>
      <w:r>
        <w:t>;</w:t>
      </w:r>
    </w:p>
    <w:p w14:paraId="370EA97E" w14:textId="77777777" w:rsidR="00865769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9F2E18">
        <w:t>Założenia scenariusza programu telewizyjnego/radiowego/fil</w:t>
      </w:r>
      <w:r>
        <w:t>m</w:t>
      </w:r>
      <w:r w:rsidRPr="009F2E18">
        <w:t>u/spotu (w tym parametry techniczne oraz kosztorys jednego odcinka) itp. - jeżeli dotyczy</w:t>
      </w:r>
      <w:r>
        <w:t>;</w:t>
      </w:r>
    </w:p>
    <w:p w14:paraId="48891A22" w14:textId="2A27DC23" w:rsidR="00865769" w:rsidRPr="000A3747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0A3747">
        <w:t>Regulaminy konkursów</w:t>
      </w:r>
      <w:r w:rsidR="00512972">
        <w:t xml:space="preserve"> edukacyjnych</w:t>
      </w:r>
      <w:r w:rsidRPr="000A3747">
        <w:t xml:space="preserve">, </w:t>
      </w:r>
    </w:p>
    <w:p w14:paraId="4EBC53EE" w14:textId="77777777" w:rsidR="00865769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>
        <w:t>Zał</w:t>
      </w:r>
      <w:r w:rsidRPr="000A3747">
        <w:t>ożenia projektu interaktywnych pomocy dydaktycznych;</w:t>
      </w:r>
    </w:p>
    <w:p w14:paraId="29ECB98A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864CC2">
        <w:t>Szkic obiektu, usytuowanie obiektu (mapka), w przypadku gdy projekt dotyczy doposażenia infrastruktury terenowej  - jeż</w:t>
      </w:r>
      <w:r>
        <w:t>e</w:t>
      </w:r>
      <w:r w:rsidRPr="00864CC2">
        <w:t>li dotyczy</w:t>
      </w:r>
      <w:r>
        <w:t>;</w:t>
      </w:r>
    </w:p>
    <w:p w14:paraId="51760786" w14:textId="7E221C59" w:rsidR="00F75216" w:rsidRDefault="00F75216" w:rsidP="00F75216">
      <w:pPr>
        <w:numPr>
          <w:ilvl w:val="0"/>
          <w:numId w:val="5"/>
        </w:numPr>
        <w:spacing w:line="276" w:lineRule="auto"/>
        <w:jc w:val="both"/>
      </w:pPr>
      <w:r w:rsidRPr="00F75216">
        <w:t xml:space="preserve">Plan adaptacji do zmian klimatu dla miasta o liczbie poniżej 90 000 mieszkańców </w:t>
      </w:r>
      <w:r w:rsidR="001E773B">
        <w:t xml:space="preserve">lub inny dokument strategiczny np. </w:t>
      </w:r>
      <w:r w:rsidR="001E773B" w:rsidRPr="003B3A37">
        <w:rPr>
          <w:rFonts w:cs="Arial"/>
          <w:iCs/>
          <w:lang w:val="pl"/>
        </w:rPr>
        <w:t>Program Ograniczenia Niskiej Emisji (PONE), Plan Gospodarki Niskoemisyjnej (PGN), Plan Zaopatrzenia w Ciepło, Energię Elektryczną i Paliwa Gazowe, Program Ochrony Powietrza (POP)</w:t>
      </w:r>
      <w:r w:rsidR="001E773B">
        <w:rPr>
          <w:rFonts w:cs="Arial"/>
          <w:iCs/>
          <w:lang w:val="pl"/>
        </w:rPr>
        <w:t>.</w:t>
      </w:r>
    </w:p>
    <w:p w14:paraId="7996A212" w14:textId="77777777" w:rsidR="00865769" w:rsidRDefault="00865769" w:rsidP="00865769">
      <w:pPr>
        <w:numPr>
          <w:ilvl w:val="0"/>
          <w:numId w:val="5"/>
        </w:numPr>
        <w:spacing w:line="276" w:lineRule="auto"/>
        <w:jc w:val="both"/>
      </w:pPr>
      <w:r w:rsidRPr="00864CC2">
        <w:t>Mapa/schemat przedstawiający lokalizację zadania i najważniejsze jego elementy/ obiekty w skali umożliwiającej analizę przedsi</w:t>
      </w:r>
      <w:r>
        <w:t>ę</w:t>
      </w:r>
      <w:r w:rsidRPr="00864CC2">
        <w:t>wzięcia (zalecana skala od 1:50 000 do 1:25 000) - jeżeli dotyczy</w:t>
      </w:r>
      <w:r>
        <w:t>;</w:t>
      </w:r>
    </w:p>
    <w:p w14:paraId="2E0531BB" w14:textId="26F68E5E" w:rsidR="00F75216" w:rsidRPr="000A3747" w:rsidRDefault="00F75216" w:rsidP="00F75216">
      <w:pPr>
        <w:numPr>
          <w:ilvl w:val="0"/>
          <w:numId w:val="5"/>
        </w:numPr>
        <w:spacing w:line="276" w:lineRule="auto"/>
        <w:jc w:val="both"/>
      </w:pPr>
      <w:r w:rsidRPr="00F75216">
        <w:t>Oświadczenie, że przedsięwzięcie ma odzwierciedlenie w dokumentach programowo- planistycznych lub strategicznych poziomu krajowego, lokalnego lub innych dokumentach strategicznych (np. miejskich planach adaptacji do zmian klimatu przyjętych uchwałą rady miasta lub gminy) - jeżeli dotyczy</w:t>
      </w:r>
    </w:p>
    <w:p w14:paraId="22D47C8F" w14:textId="77777777" w:rsidR="00865769" w:rsidRPr="00343BCD" w:rsidRDefault="00865769" w:rsidP="00865769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343BCD">
        <w:t xml:space="preserve">Inne dokumenty, uznane </w:t>
      </w:r>
      <w:r>
        <w:t>za konieczne do złożenia przez w</w:t>
      </w:r>
      <w:r w:rsidRPr="00343BCD">
        <w:t>nioskodawcę.</w:t>
      </w:r>
    </w:p>
    <w:bookmarkEnd w:id="12"/>
    <w:p w14:paraId="751894C2" w14:textId="01BB897A" w:rsidR="003666D9" w:rsidRDefault="006F2E92" w:rsidP="00CA3ACF">
      <w:pPr>
        <w:spacing w:before="120"/>
        <w:jc w:val="both"/>
        <w:rPr>
          <w:rStyle w:val="tlid-translation"/>
          <w:b/>
        </w:rPr>
      </w:pPr>
      <w:r>
        <w:rPr>
          <w:rStyle w:val="tlid-translation"/>
          <w:b/>
        </w:rPr>
        <w:lastRenderedPageBreak/>
        <w:t>Zgodnie z art. 7.3 Regulacji</w:t>
      </w:r>
      <w:r w:rsidRPr="006F2E92">
        <w:rPr>
          <w:rStyle w:val="tlid-translation"/>
          <w:b/>
        </w:rPr>
        <w:t xml:space="preserve"> </w:t>
      </w:r>
      <w:r w:rsidR="00205CD3" w:rsidRPr="00205CD3">
        <w:rPr>
          <w:rStyle w:val="tlid-translation"/>
          <w:b/>
        </w:rPr>
        <w:t>w sprawie wdrażania Mechanizmu Finansowego EOG na lata 2014-2021</w:t>
      </w:r>
      <w:r w:rsidR="00205CD3">
        <w:rPr>
          <w:rStyle w:val="tlid-translation"/>
          <w:b/>
        </w:rPr>
        <w:t xml:space="preserve"> </w:t>
      </w:r>
      <w:r w:rsidRPr="005A3290">
        <w:rPr>
          <w:rStyle w:val="tlid-translation"/>
          <w:b/>
        </w:rPr>
        <w:t>wniosek o do</w:t>
      </w:r>
      <w:r w:rsidR="00AA646A" w:rsidRPr="005A3290">
        <w:rPr>
          <w:rStyle w:val="tlid-translation"/>
          <w:b/>
        </w:rPr>
        <w:t>finansowanie</w:t>
      </w:r>
      <w:r w:rsidRPr="005A3290">
        <w:rPr>
          <w:rStyle w:val="tlid-translation"/>
          <w:b/>
        </w:rPr>
        <w:t xml:space="preserve"> powinien</w:t>
      </w:r>
      <w:r w:rsidRPr="006F2E92">
        <w:rPr>
          <w:rStyle w:val="tlid-translation"/>
          <w:b/>
        </w:rPr>
        <w:t xml:space="preserve"> zawierać informacje dotyczące wszystkich konsultantów zaangażowanych w przygotowanie wniosku.</w:t>
      </w:r>
    </w:p>
    <w:p w14:paraId="0B9A0C48" w14:textId="77777777" w:rsidR="00205CD3" w:rsidRPr="00205CD3" w:rsidRDefault="00205CD3" w:rsidP="00CA3ACF">
      <w:pPr>
        <w:spacing w:before="120"/>
        <w:jc w:val="both"/>
        <w:rPr>
          <w:rStyle w:val="tlid-translation"/>
        </w:rPr>
      </w:pPr>
    </w:p>
    <w:p w14:paraId="4F0E2ADD" w14:textId="6EF7FFD4" w:rsidR="0013786D" w:rsidRPr="001103D6" w:rsidRDefault="0013786D">
      <w:pPr>
        <w:numPr>
          <w:ilvl w:val="0"/>
          <w:numId w:val="1"/>
        </w:numPr>
        <w:spacing w:before="120"/>
        <w:jc w:val="both"/>
        <w:rPr>
          <w:b/>
        </w:rPr>
      </w:pPr>
      <w:r w:rsidRPr="001103D6">
        <w:rPr>
          <w:b/>
        </w:rPr>
        <w:t xml:space="preserve">Język wniosku </w:t>
      </w:r>
      <w:r w:rsidR="00BC1529" w:rsidRPr="001103D6">
        <w:rPr>
          <w:b/>
        </w:rPr>
        <w:t>o dofinansowanie</w:t>
      </w:r>
      <w:r w:rsidR="003B1590" w:rsidRPr="001103D6" w:rsidDel="003B1590">
        <w:rPr>
          <w:b/>
        </w:rPr>
        <w:t xml:space="preserve"> </w:t>
      </w:r>
    </w:p>
    <w:p w14:paraId="66A57FA3" w14:textId="19053349" w:rsidR="00501897" w:rsidRPr="001103D6" w:rsidRDefault="00501897" w:rsidP="001103D6">
      <w:pPr>
        <w:spacing w:before="120"/>
        <w:jc w:val="both"/>
        <w:rPr>
          <w:b/>
        </w:rPr>
      </w:pPr>
      <w:r w:rsidRPr="001103D6">
        <w:rPr>
          <w:b/>
        </w:rPr>
        <w:t>Wnioski o dofinansowanie</w:t>
      </w:r>
      <w:r w:rsidRPr="001103D6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761E73F1" w14:textId="1F8BCF7B" w:rsidR="00501897" w:rsidRPr="00F90391" w:rsidRDefault="00501897" w:rsidP="00F90391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F90391">
        <w:rPr>
          <w:color w:val="000000" w:themeColor="text1"/>
        </w:rPr>
        <w:t>list intencyjny, umowę partnerską lub inne potwierdzenie współpracy partnerów</w:t>
      </w:r>
      <w:r w:rsidR="00010D65">
        <w:rPr>
          <w:color w:val="000000" w:themeColor="text1"/>
        </w:rPr>
        <w:t xml:space="preserve"> (dotyczy projektów partnerskich z podmiotami spoza Polski, w szczególności z Państw-Darczyńców)</w:t>
      </w:r>
      <w:r w:rsidRPr="00F90391">
        <w:rPr>
          <w:color w:val="000000" w:themeColor="text1"/>
        </w:rPr>
        <w:t>;</w:t>
      </w:r>
    </w:p>
    <w:p w14:paraId="2D1713E2" w14:textId="62127C54" w:rsidR="0013786D" w:rsidRPr="00F90391" w:rsidRDefault="00501897" w:rsidP="00A35E86">
      <w:pPr>
        <w:pStyle w:val="Akapitzlist"/>
        <w:numPr>
          <w:ilvl w:val="0"/>
          <w:numId w:val="19"/>
        </w:numPr>
        <w:spacing w:before="120"/>
        <w:jc w:val="both"/>
        <w:rPr>
          <w:color w:val="000000" w:themeColor="text1"/>
        </w:rPr>
      </w:pPr>
      <w:r w:rsidRPr="00F90391">
        <w:rPr>
          <w:color w:val="000000" w:themeColor="text1"/>
        </w:rPr>
        <w:t xml:space="preserve">krótkie </w:t>
      </w:r>
      <w:r w:rsidRPr="00771D20">
        <w:t>podsumowanie opisu projektu</w:t>
      </w:r>
      <w:r w:rsidRPr="00F90391">
        <w:rPr>
          <w:color w:val="000000" w:themeColor="text1"/>
        </w:rPr>
        <w:t xml:space="preserve"> wraz z uzasadnieniem potrzeby realizacji Projektu oraz roli Partnerów (</w:t>
      </w:r>
      <w:r w:rsidR="009E28BF" w:rsidRPr="00F90391">
        <w:rPr>
          <w:color w:val="000000" w:themeColor="text1"/>
        </w:rPr>
        <w:t>zawart</w:t>
      </w:r>
      <w:r w:rsidR="009E28BF">
        <w:rPr>
          <w:color w:val="000000" w:themeColor="text1"/>
        </w:rPr>
        <w:t>e</w:t>
      </w:r>
      <w:r w:rsidR="009E28BF" w:rsidRPr="00F90391">
        <w:rPr>
          <w:color w:val="000000" w:themeColor="text1"/>
        </w:rPr>
        <w:t xml:space="preserve"> </w:t>
      </w:r>
      <w:r w:rsidRPr="00F90391">
        <w:rPr>
          <w:color w:val="000000" w:themeColor="text1"/>
        </w:rPr>
        <w:t>we wniosku o dofinansowanie</w:t>
      </w:r>
      <w:r w:rsidR="009E28BF">
        <w:rPr>
          <w:color w:val="000000" w:themeColor="text1"/>
        </w:rPr>
        <w:t xml:space="preserve"> -</w:t>
      </w:r>
      <w:r w:rsidRPr="00F90391">
        <w:rPr>
          <w:color w:val="000000" w:themeColor="text1"/>
        </w:rPr>
        <w:t xml:space="preserve"> zakładka </w:t>
      </w:r>
      <w:proofErr w:type="spellStart"/>
      <w:r w:rsidRPr="00F90391">
        <w:rPr>
          <w:color w:val="000000" w:themeColor="text1"/>
        </w:rPr>
        <w:t>Summary</w:t>
      </w:r>
      <w:proofErr w:type="spellEnd"/>
      <w:r w:rsidRPr="00F90391">
        <w:rPr>
          <w:color w:val="000000" w:themeColor="text1"/>
        </w:rPr>
        <w:t>).</w:t>
      </w:r>
    </w:p>
    <w:p w14:paraId="774DD123" w14:textId="77777777" w:rsidR="00BC1529" w:rsidRPr="000F7A1E" w:rsidRDefault="00BC1529" w:rsidP="000063BC">
      <w:pPr>
        <w:spacing w:before="120"/>
      </w:pPr>
    </w:p>
    <w:p w14:paraId="67E42977" w14:textId="35878C74" w:rsidR="00EE59F5" w:rsidRPr="001103D6" w:rsidRDefault="0013786D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Kontakt do Operatora Programu</w:t>
      </w:r>
    </w:p>
    <w:p w14:paraId="12EEA8DF" w14:textId="0C8F134D" w:rsidR="00EE59F5" w:rsidRPr="000F7A1E" w:rsidRDefault="00EE59F5" w:rsidP="0050036C">
      <w:pPr>
        <w:spacing w:before="120"/>
        <w:jc w:val="both"/>
      </w:pPr>
      <w:r w:rsidRPr="000F7A1E">
        <w:t>Wszelkie zapytania dotyczące naboru wniosków należy kierować</w:t>
      </w:r>
      <w:r>
        <w:t xml:space="preserve"> na </w:t>
      </w:r>
      <w:r w:rsidRPr="000F7A1E">
        <w:t>adres</w:t>
      </w:r>
      <w:r>
        <w:t xml:space="preserve"> e-mailowy</w:t>
      </w:r>
      <w:r w:rsidRPr="000F7A1E">
        <w:t>:</w:t>
      </w:r>
    </w:p>
    <w:p w14:paraId="68D134DF" w14:textId="3ABAC120" w:rsidR="00EE59F5" w:rsidRPr="00EE59F5" w:rsidRDefault="00EE59F5" w:rsidP="0050036C">
      <w:pPr>
        <w:spacing w:before="120"/>
        <w:jc w:val="both"/>
        <w:rPr>
          <w:b/>
        </w:rPr>
      </w:pPr>
      <w:r w:rsidRPr="00EE59F5">
        <w:rPr>
          <w:b/>
        </w:rPr>
        <w:t>Narodowy Fundusz Ochrony Środowiska i Gospodarki Wodnej</w:t>
      </w:r>
    </w:p>
    <w:p w14:paraId="7A9C13E3" w14:textId="681876FE" w:rsidR="00EE59F5" w:rsidRPr="000402A1" w:rsidRDefault="00EE59F5" w:rsidP="0050036C">
      <w:pPr>
        <w:autoSpaceDE w:val="0"/>
        <w:autoSpaceDN w:val="0"/>
        <w:adjustRightInd w:val="0"/>
        <w:spacing w:before="120"/>
        <w:jc w:val="both"/>
        <w:rPr>
          <w:strike/>
          <w:lang w:val="de-DE"/>
        </w:rPr>
      </w:pPr>
      <w:proofErr w:type="spellStart"/>
      <w:r w:rsidRPr="000402A1">
        <w:rPr>
          <w:lang w:val="de-DE"/>
        </w:rPr>
        <w:t>e-mail</w:t>
      </w:r>
      <w:proofErr w:type="spellEnd"/>
      <w:r w:rsidRPr="000402A1">
        <w:rPr>
          <w:lang w:val="de-DE"/>
        </w:rPr>
        <w:t xml:space="preserve">: </w:t>
      </w:r>
      <w:r w:rsidRPr="00231C9F">
        <w:rPr>
          <w:lang w:val="de-DE"/>
        </w:rPr>
        <w:t>mfeog</w:t>
      </w:r>
      <w:r w:rsidR="00E65082" w:rsidRPr="00231C9F">
        <w:rPr>
          <w:lang w:val="de-DE"/>
        </w:rPr>
        <w:t>_klimat</w:t>
      </w:r>
      <w:r w:rsidRPr="00231C9F">
        <w:rPr>
          <w:lang w:val="de-DE"/>
        </w:rPr>
        <w:t>@nfosigw.gov.pl</w:t>
      </w:r>
    </w:p>
    <w:p w14:paraId="68887906" w14:textId="5030C901" w:rsidR="00EE59F5" w:rsidRPr="000402A1" w:rsidRDefault="00EE59F5" w:rsidP="0050036C">
      <w:pPr>
        <w:spacing w:before="120"/>
        <w:jc w:val="both"/>
        <w:rPr>
          <w:b/>
          <w:lang w:val="de-DE"/>
        </w:rPr>
      </w:pPr>
      <w:proofErr w:type="spellStart"/>
      <w:r w:rsidRPr="000402A1">
        <w:rPr>
          <w:b/>
          <w:lang w:val="de-DE"/>
        </w:rPr>
        <w:t>Ministerstwo</w:t>
      </w:r>
      <w:proofErr w:type="spellEnd"/>
      <w:r w:rsidRPr="000402A1">
        <w:rPr>
          <w:b/>
          <w:lang w:val="de-DE"/>
        </w:rPr>
        <w:t xml:space="preserve"> </w:t>
      </w:r>
      <w:proofErr w:type="spellStart"/>
      <w:r w:rsidRPr="000402A1">
        <w:rPr>
          <w:b/>
          <w:lang w:val="de-DE"/>
        </w:rPr>
        <w:t>Klimatu</w:t>
      </w:r>
      <w:proofErr w:type="spellEnd"/>
    </w:p>
    <w:p w14:paraId="5697CAF9" w14:textId="3FB0BD4A" w:rsidR="00EE59F5" w:rsidRPr="00EE59F5" w:rsidRDefault="00EE59F5" w:rsidP="0050036C">
      <w:pPr>
        <w:spacing w:before="120"/>
        <w:jc w:val="both"/>
        <w:rPr>
          <w:lang w:val="fr-FR"/>
        </w:rPr>
      </w:pPr>
      <w:r w:rsidRPr="00EE59F5">
        <w:rPr>
          <w:lang w:val="fr-FR"/>
        </w:rPr>
        <w:t xml:space="preserve">e-mail: </w:t>
      </w:r>
      <w:hyperlink r:id="rId18" w:history="1">
        <w:r w:rsidR="004559C0" w:rsidRPr="00231C9F">
          <w:rPr>
            <w:rStyle w:val="Hipercze"/>
            <w:lang w:val="fr-FR"/>
          </w:rPr>
          <w:t>mfeog@klimat.gov.pl</w:t>
        </w:r>
      </w:hyperlink>
    </w:p>
    <w:p w14:paraId="385F30E1" w14:textId="6F59866B" w:rsidR="00C95D7A" w:rsidRDefault="00EE59F5" w:rsidP="0050036C">
      <w:pPr>
        <w:spacing w:before="120"/>
        <w:jc w:val="both"/>
        <w:rPr>
          <w:lang w:val="fr-FR"/>
        </w:rPr>
      </w:pPr>
      <w:r w:rsidRPr="00EE59F5">
        <w:rPr>
          <w:lang w:val="fr-FR"/>
        </w:rPr>
        <w:t>Odpowiedzi na pytania będą udzielane w możliwe najk</w:t>
      </w:r>
      <w:r w:rsidR="00962917">
        <w:rPr>
          <w:lang w:val="fr-FR"/>
        </w:rPr>
        <w:t>r</w:t>
      </w:r>
      <w:r w:rsidRPr="00EE59F5">
        <w:rPr>
          <w:lang w:val="fr-FR"/>
        </w:rPr>
        <w:t>ótszym terminie nie dłużej jednak niż 7 dni roboczych.</w:t>
      </w:r>
    </w:p>
    <w:p w14:paraId="27DBBA17" w14:textId="73761CA4" w:rsidR="00C95D7A" w:rsidRDefault="00C95D7A" w:rsidP="0050036C">
      <w:pPr>
        <w:pStyle w:val="NormalnyWeb"/>
        <w:spacing w:before="120" w:after="120"/>
        <w:jc w:val="both"/>
        <w:rPr>
          <w:b/>
        </w:rPr>
      </w:pPr>
      <w:r w:rsidRPr="00075B9A">
        <w:rPr>
          <w:b/>
        </w:rPr>
        <w:t xml:space="preserve">Zgłaszanie nieprawidłowości: </w:t>
      </w:r>
    </w:p>
    <w:p w14:paraId="55C376EC" w14:textId="0D98DFE5" w:rsidR="00C95D7A" w:rsidRPr="00194084" w:rsidRDefault="002B6132" w:rsidP="0050036C">
      <w:pPr>
        <w:spacing w:before="120"/>
        <w:jc w:val="both"/>
      </w:pPr>
      <w:r w:rsidRPr="000402A1">
        <w:t>Obywatele, którzy powzięli podejrzenia o wystąpieniu przypadków niewłaściwego</w:t>
      </w:r>
      <w:r>
        <w:t xml:space="preserve"> </w:t>
      </w:r>
      <w:r w:rsidRPr="000402A1">
        <w:t xml:space="preserve">zarządzania oraz korupcji w odniesieniu do Mechanizmów Finansowych, mogą je zgłaszać zarówno do Biura Mechanizmów Finansowych, Krajowego Punktu Kontaktowego jak i innych, właściwych instytucji, podanych </w:t>
      </w:r>
      <w:r w:rsidR="0050036C" w:rsidRPr="00EB51A4">
        <w:t xml:space="preserve">na </w:t>
      </w:r>
      <w:hyperlink r:id="rId19" w:history="1">
        <w:r w:rsidR="0050036C" w:rsidRPr="00EB51A4">
          <w:rPr>
            <w:rStyle w:val="Hipercze"/>
          </w:rPr>
          <w:t>stronie internetowej Funduszy EOG.</w:t>
        </w:r>
      </w:hyperlink>
    </w:p>
    <w:bookmarkEnd w:id="7"/>
    <w:p w14:paraId="22C851B9" w14:textId="5422965D" w:rsidR="0013786D" w:rsidRPr="00794FCB" w:rsidRDefault="0013786D" w:rsidP="0050036C">
      <w:pPr>
        <w:spacing w:before="120"/>
        <w:jc w:val="both"/>
        <w:rPr>
          <w:lang w:val="fr-FR"/>
        </w:rPr>
      </w:pPr>
    </w:p>
    <w:sectPr w:rsidR="0013786D" w:rsidRPr="00794FCB" w:rsidSect="009B4EB8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A98BE" w14:textId="77777777" w:rsidR="00C00147" w:rsidRDefault="00C00147" w:rsidP="004018C3">
      <w:r>
        <w:separator/>
      </w:r>
    </w:p>
  </w:endnote>
  <w:endnote w:type="continuationSeparator" w:id="0">
    <w:p w14:paraId="47F30253" w14:textId="77777777" w:rsidR="00C00147" w:rsidRDefault="00C00147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78FA" w14:textId="630F84CF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46A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6887FCAA" w14:textId="5E2A562A" w:rsidR="00E17782" w:rsidRDefault="004B7A73" w:rsidP="00D1737B">
    <w:pPr>
      <w:pStyle w:val="Stopka"/>
      <w:ind w:right="360"/>
    </w:pPr>
    <w:r>
      <w:rPr>
        <w:noProof/>
      </w:rPr>
      <w:drawing>
        <wp:inline distT="0" distB="0" distL="0" distR="0" wp14:anchorId="43433756" wp14:editId="04AEC93E">
          <wp:extent cx="1114425" cy="866775"/>
          <wp:effectExtent l="0" t="0" r="9525" b="9525"/>
          <wp:docPr id="15" name="Obraz 15" descr="C:\Users\Sylwia.Makulec\Downloads\EEA_grants@4x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Sylwia.Makulec\Downloads\EEA_grants@4x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D3E2" w14:textId="77777777" w:rsidR="00C00147" w:rsidRDefault="00C00147" w:rsidP="004018C3">
      <w:r>
        <w:separator/>
      </w:r>
    </w:p>
  </w:footnote>
  <w:footnote w:type="continuationSeparator" w:id="0">
    <w:p w14:paraId="0A1E3FC9" w14:textId="77777777" w:rsidR="00C00147" w:rsidRDefault="00C00147" w:rsidP="004018C3">
      <w:r>
        <w:continuationSeparator/>
      </w:r>
    </w:p>
  </w:footnote>
  <w:footnote w:id="1">
    <w:p w14:paraId="0B0848D3" w14:textId="6E49C54F" w:rsidR="005816F6" w:rsidRPr="004435D3" w:rsidRDefault="005816F6" w:rsidP="005B29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gdzie </w:t>
      </w:r>
      <w:r w:rsidR="001A509C">
        <w:br/>
      </w:r>
      <w:r>
        <w:t xml:space="preserve">1 EUR </w:t>
      </w:r>
      <w:r w:rsidRPr="004435D3">
        <w:t xml:space="preserve">=  </w:t>
      </w:r>
      <w:r w:rsidR="00DF6C9A" w:rsidRPr="00277537">
        <w:t>4,</w:t>
      </w:r>
      <w:r w:rsidR="004435D3" w:rsidRPr="00277537">
        <w:t>3159</w:t>
      </w:r>
      <w:r w:rsidR="005F12B1">
        <w:t xml:space="preserve"> </w:t>
      </w:r>
      <w:r w:rsidRPr="00277537">
        <w:t>PLN</w:t>
      </w:r>
      <w:r w:rsidRPr="004435D3">
        <w:t>)</w:t>
      </w:r>
      <w:r w:rsidR="00277537">
        <w:t>.</w:t>
      </w:r>
      <w:r w:rsidR="00A84124" w:rsidRPr="004435D3">
        <w:t xml:space="preserve"> </w:t>
      </w:r>
      <w:r w:rsidR="00A84124" w:rsidRPr="004435D3"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2">
    <w:p w14:paraId="40917E78" w14:textId="6F941A49" w:rsidR="009168D8" w:rsidRPr="004435D3" w:rsidRDefault="009168D8" w:rsidP="005B2910">
      <w:pPr>
        <w:pStyle w:val="HTML-wstpniesformatowany"/>
        <w:jc w:val="both"/>
        <w:rPr>
          <w:rFonts w:ascii="Times New Roman" w:hAnsi="Times New Roman" w:cs="Times New Roman"/>
          <w:lang w:val="pl-PL" w:eastAsia="pl-PL"/>
        </w:rPr>
      </w:pPr>
      <w:r w:rsidRPr="00277537">
        <w:rPr>
          <w:rStyle w:val="Odwoanieprzypisudolnego"/>
          <w:rFonts w:ascii="Times New Roman" w:hAnsi="Times New Roman"/>
        </w:rPr>
        <w:footnoteRef/>
      </w:r>
      <w:r w:rsidRPr="00277537">
        <w:rPr>
          <w:rFonts w:ascii="Times New Roman" w:hAnsi="Times New Roman" w:cs="Times New Roman"/>
          <w:lang w:val="pl-PL"/>
        </w:rPr>
        <w:t xml:space="preserve"> </w:t>
      </w:r>
      <w:r w:rsidRPr="00277537">
        <w:rPr>
          <w:rFonts w:ascii="Times New Roman" w:hAnsi="Times New Roman" w:cs="Times New Roman"/>
          <w:lang w:val="pl-PL" w:eastAsia="pl-PL"/>
        </w:rPr>
        <w:t xml:space="preserve">Zgodnie z </w:t>
      </w:r>
      <w:hyperlink r:id="rId1" w:history="1">
        <w:r w:rsidR="00867C21" w:rsidRPr="00CB543F">
          <w:rPr>
            <w:rStyle w:val="Hipercze"/>
            <w:rFonts w:ascii="Times New Roman" w:hAnsi="Times New Roman"/>
            <w:lang w:val="pl-PL" w:eastAsia="pl-PL"/>
          </w:rPr>
          <w:t>Umową w sprawie Programu</w:t>
        </w:r>
      </w:hyperlink>
      <w:r w:rsidRPr="00277537">
        <w:rPr>
          <w:rFonts w:ascii="Times New Roman" w:hAnsi="Times New Roman" w:cs="Times New Roman"/>
          <w:lang w:val="pl-PL" w:eastAsia="pl-PL"/>
        </w:rPr>
        <w:t xml:space="preserve"> </w:t>
      </w:r>
      <w:r w:rsidR="00FA0593" w:rsidRPr="00277537">
        <w:rPr>
          <w:rFonts w:ascii="Times New Roman" w:hAnsi="Times New Roman" w:cs="Times New Roman"/>
          <w:lang w:val="pl-PL" w:eastAsia="pl-PL"/>
        </w:rPr>
        <w:t xml:space="preserve">„Środowisko, </w:t>
      </w:r>
      <w:r w:rsidR="00277537">
        <w:rPr>
          <w:rFonts w:ascii="Times New Roman" w:hAnsi="Times New Roman" w:cs="Times New Roman"/>
          <w:lang w:val="pl-PL" w:eastAsia="pl-PL"/>
        </w:rPr>
        <w:t>E</w:t>
      </w:r>
      <w:r w:rsidR="00FA0593" w:rsidRPr="00277537">
        <w:rPr>
          <w:rFonts w:ascii="Times New Roman" w:hAnsi="Times New Roman" w:cs="Times New Roman"/>
          <w:lang w:val="pl-PL" w:eastAsia="pl-PL"/>
        </w:rPr>
        <w:t xml:space="preserve">nergia i </w:t>
      </w:r>
      <w:r w:rsidR="00277537">
        <w:rPr>
          <w:rFonts w:ascii="Times New Roman" w:hAnsi="Times New Roman" w:cs="Times New Roman"/>
          <w:lang w:val="pl-PL" w:eastAsia="pl-PL"/>
        </w:rPr>
        <w:t>Z</w:t>
      </w:r>
      <w:r w:rsidR="00FA0593" w:rsidRPr="00277537">
        <w:rPr>
          <w:rFonts w:ascii="Times New Roman" w:hAnsi="Times New Roman" w:cs="Times New Roman"/>
          <w:lang w:val="pl-PL" w:eastAsia="pl-PL"/>
        </w:rPr>
        <w:t xml:space="preserve">miany klimatu” </w:t>
      </w:r>
      <w:r w:rsidR="00C02B3F" w:rsidRPr="00277537">
        <w:rPr>
          <w:rFonts w:ascii="Times New Roman" w:hAnsi="Times New Roman" w:cs="Times New Roman"/>
          <w:lang w:val="pl-PL" w:eastAsia="pl-PL"/>
        </w:rPr>
        <w:t xml:space="preserve">realizowanej </w:t>
      </w:r>
      <w:r w:rsidR="00FA0593" w:rsidRPr="00277537">
        <w:rPr>
          <w:rFonts w:ascii="Times New Roman" w:hAnsi="Times New Roman" w:cs="Times New Roman"/>
          <w:lang w:val="pl-PL" w:eastAsia="pl-PL"/>
        </w:rPr>
        <w:t>w ramach MF EOG 2014-2021</w:t>
      </w:r>
      <w:r w:rsidR="00867C21">
        <w:rPr>
          <w:rFonts w:ascii="Times New Roman" w:hAnsi="Times New Roman" w:cs="Times New Roman"/>
          <w:lang w:val="pl-PL" w:eastAsia="pl-PL"/>
        </w:rPr>
        <w:t>.</w:t>
      </w:r>
      <w:r w:rsidR="00FA0593" w:rsidRPr="00277537">
        <w:rPr>
          <w:rFonts w:ascii="Times New Roman" w:hAnsi="Times New Roman" w:cs="Times New Roman"/>
          <w:lang w:val="pl-PL" w:eastAsia="pl-PL"/>
        </w:rPr>
        <w:t xml:space="preserve"> </w:t>
      </w:r>
    </w:p>
  </w:footnote>
  <w:footnote w:id="3">
    <w:p w14:paraId="678FA43D" w14:textId="6BD01E64" w:rsidR="00D562A2" w:rsidRDefault="00D562A2" w:rsidP="005B2910">
      <w:pPr>
        <w:pStyle w:val="Tekstprzypisudolnego"/>
        <w:jc w:val="both"/>
      </w:pPr>
      <w:r w:rsidRPr="004435D3">
        <w:rPr>
          <w:vertAlign w:val="superscript"/>
        </w:rPr>
        <w:footnoteRef/>
      </w:r>
      <w:r w:rsidRPr="004435D3">
        <w:t xml:space="preserve"> </w:t>
      </w:r>
      <w:r w:rsidR="00312BA4" w:rsidRPr="004435D3">
        <w:t>D</w:t>
      </w:r>
      <w:r w:rsidR="00E72892" w:rsidRPr="004435D3">
        <w:t>efinicj</w:t>
      </w:r>
      <w:r w:rsidR="00D7559E" w:rsidRPr="004435D3">
        <w:t>e</w:t>
      </w:r>
      <w:r w:rsidR="00E72892" w:rsidRPr="004435D3">
        <w:t xml:space="preserve"> zielon</w:t>
      </w:r>
      <w:r w:rsidR="00312BA4" w:rsidRPr="004435D3">
        <w:t xml:space="preserve">ej </w:t>
      </w:r>
      <w:r w:rsidR="00E21F04" w:rsidRPr="004435D3">
        <w:t>i</w:t>
      </w:r>
      <w:r w:rsidR="00312BA4" w:rsidRPr="004435D3">
        <w:t xml:space="preserve"> </w:t>
      </w:r>
      <w:r w:rsidR="00E21F04" w:rsidRPr="004435D3">
        <w:t>niebieskiej</w:t>
      </w:r>
      <w:r w:rsidR="00E72892" w:rsidRPr="004435D3">
        <w:t xml:space="preserve"> infrastruktur</w:t>
      </w:r>
      <w:r w:rsidR="00312BA4" w:rsidRPr="004435D3">
        <w:t>y</w:t>
      </w:r>
      <w:r w:rsidR="00E72892" w:rsidRPr="004435D3">
        <w:t xml:space="preserve"> </w:t>
      </w:r>
      <w:r w:rsidR="00312BA4" w:rsidRPr="004435D3">
        <w:t>znajduj</w:t>
      </w:r>
      <w:r w:rsidR="00D7559E" w:rsidRPr="004435D3">
        <w:t>ą</w:t>
      </w:r>
      <w:r w:rsidR="00312BA4" w:rsidRPr="004435D3">
        <w:t xml:space="preserve"> się w Podręczniku</w:t>
      </w:r>
      <w:r w:rsidR="005A623F" w:rsidRPr="004435D3">
        <w:t xml:space="preserve"> Wnioskodawcy</w:t>
      </w:r>
      <w:r w:rsidR="003469B6" w:rsidRPr="004435D3">
        <w:t>.</w:t>
      </w:r>
    </w:p>
  </w:footnote>
  <w:footnote w:id="4">
    <w:p w14:paraId="5CC9EB56" w14:textId="48758280" w:rsidR="00936C21" w:rsidRPr="00DD17B6" w:rsidRDefault="00936C21" w:rsidP="00B32AAB">
      <w:pPr>
        <w:pStyle w:val="Tekstprzypisudolnego"/>
        <w:jc w:val="both"/>
      </w:pPr>
      <w:r w:rsidRPr="00DD17B6">
        <w:rPr>
          <w:rStyle w:val="Odwoanieprzypisudolnego"/>
        </w:rPr>
        <w:footnoteRef/>
      </w:r>
      <w:r w:rsidRPr="00DD17B6">
        <w:t xml:space="preserve"> Inwestycje mogą dotyczyć takich obszarów jak (między innymi): zielone dachy,</w:t>
      </w:r>
      <w:r w:rsidR="006F2E92" w:rsidRPr="00DD17B6">
        <w:t xml:space="preserve"> zielone ściany,</w:t>
      </w:r>
      <w:r w:rsidRPr="00DD17B6">
        <w:t xml:space="preserve"> gromadzenie wody deszczowej, gospodarowanie wodą, inwestycje związane z zarządzaniem powodzią lub suszą. </w:t>
      </w:r>
    </w:p>
  </w:footnote>
  <w:footnote w:id="5">
    <w:p w14:paraId="1DF75A9D" w14:textId="27C5AE24" w:rsidR="005E46C9" w:rsidRPr="00DD17B6" w:rsidRDefault="005E46C9" w:rsidP="00B32AAB">
      <w:pPr>
        <w:pStyle w:val="Tekstprzypisudolnego"/>
        <w:jc w:val="both"/>
      </w:pPr>
      <w:r w:rsidRPr="00DD17B6">
        <w:rPr>
          <w:rStyle w:val="Odwoanieprzypisudolnego"/>
          <w:rFonts w:eastAsia="Calibri"/>
        </w:rPr>
        <w:footnoteRef/>
      </w:r>
      <w:r w:rsidRPr="00DD17B6">
        <w:t xml:space="preserve"> </w:t>
      </w:r>
      <w:r w:rsidRPr="00DD17B6">
        <w:rPr>
          <w:rFonts w:cs="Arial"/>
        </w:rPr>
        <w:t xml:space="preserve">Dokument przygotowany w ramach projektu pn. "Wytyczne do przygotowania miejskiej strategii adaptacyjnej", realizowanego na zlecenie Ministerstwa Środowiska w 2014 r., zaopiniowanego przez JASPERS (Joint Assistance to </w:t>
      </w:r>
      <w:proofErr w:type="spellStart"/>
      <w:r w:rsidRPr="00DD17B6">
        <w:rPr>
          <w:rFonts w:cs="Arial"/>
        </w:rPr>
        <w:t>Support</w:t>
      </w:r>
      <w:proofErr w:type="spellEnd"/>
      <w:r w:rsidRPr="00DD17B6">
        <w:rPr>
          <w:rFonts w:cs="Arial"/>
        </w:rPr>
        <w:t xml:space="preserve"> </w:t>
      </w:r>
      <w:proofErr w:type="spellStart"/>
      <w:r w:rsidRPr="00DD17B6">
        <w:rPr>
          <w:rFonts w:cs="Arial"/>
        </w:rPr>
        <w:t>Projects</w:t>
      </w:r>
      <w:proofErr w:type="spellEnd"/>
      <w:r w:rsidRPr="00DD17B6">
        <w:rPr>
          <w:rFonts w:cs="Arial"/>
        </w:rPr>
        <w:t xml:space="preserve"> in </w:t>
      </w:r>
      <w:proofErr w:type="spellStart"/>
      <w:r w:rsidRPr="00DD17B6">
        <w:rPr>
          <w:rFonts w:cs="Arial"/>
        </w:rPr>
        <w:t>European</w:t>
      </w:r>
      <w:proofErr w:type="spellEnd"/>
      <w:r w:rsidRPr="00DD17B6">
        <w:rPr>
          <w:rFonts w:cs="Arial"/>
        </w:rPr>
        <w:t xml:space="preserve"> Regions)</w:t>
      </w:r>
      <w:r w:rsidR="00D04D9D">
        <w:rPr>
          <w:rFonts w:cs="Arial"/>
        </w:rPr>
        <w:t xml:space="preserve"> (</w:t>
      </w:r>
      <w:r w:rsidR="002816E7" w:rsidRPr="00DD17B6">
        <w:rPr>
          <w:rFonts w:cs="Arial"/>
        </w:rPr>
        <w:t>http://44mpa.pl/adaptation-manual/?lang=en</w:t>
      </w:r>
      <w:r w:rsidR="00D04D9D">
        <w:rPr>
          <w:rFonts w:cs="Arial"/>
        </w:rPr>
        <w:t>).</w:t>
      </w:r>
    </w:p>
  </w:footnote>
  <w:footnote w:id="6">
    <w:p w14:paraId="700A6AD7" w14:textId="39D5D2FD" w:rsidR="005E46C9" w:rsidRPr="00085288" w:rsidRDefault="005E46C9" w:rsidP="00B32AAB">
      <w:pPr>
        <w:pStyle w:val="Tekstprzypisudolnego"/>
        <w:jc w:val="both"/>
      </w:pPr>
      <w:r w:rsidRPr="00DD17B6">
        <w:rPr>
          <w:rStyle w:val="Odwoanieprzypisudolnego"/>
        </w:rPr>
        <w:footnoteRef/>
      </w:r>
      <w:r w:rsidRPr="00DD17B6">
        <w:t xml:space="preserve"> </w:t>
      </w:r>
      <w:r w:rsidR="00DD17B6">
        <w:t>n</w:t>
      </w:r>
      <w:r w:rsidRPr="00DD17B6">
        <w:t xml:space="preserve">p. </w:t>
      </w:r>
      <w:r w:rsidRPr="00DD17B6">
        <w:rPr>
          <w:rFonts w:cs="Arial"/>
          <w:iCs/>
          <w:lang w:val="pl"/>
        </w:rPr>
        <w:t>Program Ograniczenia Niskiej Emisji (PONE), Plan Gospodarki Niskoemisyjnej (PGN), Plan Zaopatrzenia w Ciepło, Energię Elektryczną i Paliwa Gazowe, Program Ochrony Powietrza (POP).</w:t>
      </w:r>
    </w:p>
  </w:footnote>
  <w:footnote w:id="7">
    <w:p w14:paraId="4A316A44" w14:textId="27375186" w:rsidR="00394866" w:rsidRPr="0074591E" w:rsidRDefault="00394866" w:rsidP="00394866">
      <w:pPr>
        <w:pStyle w:val="Tekstprzypisudolnego"/>
        <w:jc w:val="both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B05475">
        <w:t xml:space="preserve">Jako działania </w:t>
      </w:r>
      <w:proofErr w:type="spellStart"/>
      <w:r w:rsidRPr="00B05475">
        <w:t>edukacyjno</w:t>
      </w:r>
      <w:proofErr w:type="spellEnd"/>
      <w:r w:rsidR="00FC691B">
        <w:t xml:space="preserve"> </w:t>
      </w:r>
      <w:r w:rsidRPr="00B05475">
        <w:t xml:space="preserve">- informacyjne należy rozumieć </w:t>
      </w:r>
      <w:r w:rsidRPr="00B05475">
        <w:rPr>
          <w:iCs/>
        </w:rPr>
        <w:t xml:space="preserve">działania mające na celu poszerzenie wiedzy społeczeństwa </w:t>
      </w:r>
      <w:r w:rsidR="009F306C">
        <w:rPr>
          <w:iCs/>
        </w:rPr>
        <w:t>na temat zmian klimatu m.in.</w:t>
      </w:r>
      <w:r w:rsidRPr="00B05475">
        <w:rPr>
          <w:iCs/>
        </w:rPr>
        <w:t xml:space="preserve"> za pośrednictwem kampanii w mediach tradycyjnych i Internecie</w:t>
      </w:r>
      <w:r w:rsidR="00FC691B">
        <w:rPr>
          <w:iCs/>
        </w:rPr>
        <w:t>,</w:t>
      </w:r>
      <w:r w:rsidRPr="00B05475">
        <w:rPr>
          <w:iCs/>
        </w:rPr>
        <w:t xml:space="preserve"> działań aktywizujących społeczność</w:t>
      </w:r>
      <w:r w:rsidR="006F2ADD">
        <w:rPr>
          <w:iCs/>
        </w:rPr>
        <w:t>,</w:t>
      </w:r>
      <w:r w:rsidRPr="00B05475">
        <w:rPr>
          <w:iCs/>
        </w:rPr>
        <w:t xml:space="preserve"> np. imprez edukacyjnych, konkursów, oraz poprzez kształcenie i przekaz wiedzy w formie edukacji profilowanej np. konferencje, szkolenia i warsztaty, opracowanie i wydanie interaktywnych pomocy dydaktycznych</w:t>
      </w:r>
      <w:r>
        <w:rPr>
          <w:iCs/>
        </w:rPr>
        <w:t>.</w:t>
      </w:r>
    </w:p>
  </w:footnote>
  <w:footnote w:id="8">
    <w:p w14:paraId="73055253" w14:textId="77777777" w:rsidR="00804605" w:rsidRDefault="00804605" w:rsidP="00501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05A78">
        <w:rPr>
          <w:rStyle w:val="tlid-translation"/>
        </w:rPr>
        <w:t xml:space="preserve">Miejska wyspa ciepła jest wynikiem zaburzeń spowodowanych przez sztuczne powierzchnie (asfalt, beton, pokrycia dachowe itp.) w procesach </w:t>
      </w:r>
      <w:r w:rsidRPr="00A457A0">
        <w:t>wymiany energii między ziemią a atmosferą. Ponadto wzmacnia ją rosnąca temperatura, która sprzyja stresowi cieplnemu, stagnacji powietrza nad miastem, wzrostowi stężenia zanieczyszczeń powietrza, w tym zawieszonych cząstek stałych i smogu. W przypadku wyższych temperatur można oczekiwać, że doprowadzi to do wzrostu zużycia energii do chłodzenia budynków, co było przedmiotem badań w innych krajach.</w:t>
      </w:r>
    </w:p>
  </w:footnote>
  <w:footnote w:id="9">
    <w:p w14:paraId="1AA8F6D0" w14:textId="61A8FB42" w:rsidR="009B6710" w:rsidRDefault="009B6710" w:rsidP="00BE2F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37921">
        <w:t>O</w:t>
      </w:r>
      <w:r>
        <w:t xml:space="preserve">rganizacje pozarządowe rozumiane jako </w:t>
      </w:r>
      <w:proofErr w:type="spellStart"/>
      <w:r>
        <w:t>wolontariackie</w:t>
      </w:r>
      <w:proofErr w:type="spellEnd"/>
      <w:r>
        <w:t xml:space="preserve"> organizacje non - profit ustanowione jako podmioty </w:t>
      </w:r>
      <w:r w:rsidR="00D37921">
        <w:t>prawa o celach niekomercyjnych, niezależne od władz lokalnych, regionalnych i centralnych, podmiotów publicznych, partii politycznych i podmiotów gospodarczych. Instytucje religijne i partie polityczne nie są uznawane za organizacje pozarządowe</w:t>
      </w:r>
      <w:r w:rsidR="006F2ADD">
        <w:t>.</w:t>
      </w:r>
    </w:p>
  </w:footnote>
  <w:footnote w:id="10">
    <w:p w14:paraId="6E287048" w14:textId="77777777" w:rsidR="002816E7" w:rsidRDefault="002816E7" w:rsidP="002816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Państwa-Beneficjenci: Polska, Litwa, Łotwa, Estonia, Czechy, Słowacja, Węgry, Rumunia, Bułgaria, Grecja, Malta, Cypr, Chorwacja, Słowenia, Portugalia.</w:t>
      </w:r>
    </w:p>
  </w:footnote>
  <w:footnote w:id="11">
    <w:p w14:paraId="632C9F46" w14:textId="66077451" w:rsidR="00B2692F" w:rsidRDefault="00B2692F" w:rsidP="00DC7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12">
    <w:p w14:paraId="5B7728C3" w14:textId="470646E1" w:rsidR="00B2692F" w:rsidRDefault="00B2692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13">
    <w:p w14:paraId="04038462" w14:textId="7735E3FD" w:rsidR="00B2692F" w:rsidRDefault="00B2692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14">
    <w:p w14:paraId="3E84B741" w14:textId="3C3EDEC0" w:rsidR="000B1F12" w:rsidRDefault="000B1F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531E" w:rsidRPr="00B9531E">
        <w:t>W przypadku tego naboru zaliczka może być wypłacana w transzach.</w:t>
      </w:r>
    </w:p>
  </w:footnote>
  <w:footnote w:id="15">
    <w:p w14:paraId="6B297041" w14:textId="3B86F37D" w:rsidR="00167B98" w:rsidRDefault="00167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</w:t>
      </w:r>
      <w:r w:rsidR="0050036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38B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468B1548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F11D6"/>
    <w:multiLevelType w:val="hybridMultilevel"/>
    <w:tmpl w:val="97A4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9"/>
  </w:num>
  <w:num w:numId="5">
    <w:abstractNumId w:val="12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23"/>
  </w:num>
  <w:num w:numId="13">
    <w:abstractNumId w:val="21"/>
  </w:num>
  <w:num w:numId="14">
    <w:abstractNumId w:val="3"/>
  </w:num>
  <w:num w:numId="15">
    <w:abstractNumId w:val="15"/>
  </w:num>
  <w:num w:numId="16">
    <w:abstractNumId w:val="14"/>
  </w:num>
  <w:num w:numId="17">
    <w:abstractNumId w:val="2"/>
  </w:num>
  <w:num w:numId="18">
    <w:abstractNumId w:val="4"/>
  </w:num>
  <w:num w:numId="19">
    <w:abstractNumId w:val="19"/>
  </w:num>
  <w:num w:numId="20">
    <w:abstractNumId w:val="1"/>
  </w:num>
  <w:num w:numId="21">
    <w:abstractNumId w:val="8"/>
  </w:num>
  <w:num w:numId="22">
    <w:abstractNumId w:val="22"/>
  </w:num>
  <w:num w:numId="23">
    <w:abstractNumId w:val="11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3"/>
    <w:rsid w:val="00000CB8"/>
    <w:rsid w:val="00003786"/>
    <w:rsid w:val="000050BD"/>
    <w:rsid w:val="000063BC"/>
    <w:rsid w:val="00007C10"/>
    <w:rsid w:val="0001049F"/>
    <w:rsid w:val="00010D65"/>
    <w:rsid w:val="00012ABC"/>
    <w:rsid w:val="00013ADA"/>
    <w:rsid w:val="000144A7"/>
    <w:rsid w:val="000176CE"/>
    <w:rsid w:val="000177E8"/>
    <w:rsid w:val="000201C0"/>
    <w:rsid w:val="00020E8B"/>
    <w:rsid w:val="000236D4"/>
    <w:rsid w:val="00024E74"/>
    <w:rsid w:val="00025387"/>
    <w:rsid w:val="0002789B"/>
    <w:rsid w:val="0003190C"/>
    <w:rsid w:val="000402A1"/>
    <w:rsid w:val="00041C81"/>
    <w:rsid w:val="00045F8C"/>
    <w:rsid w:val="00047B04"/>
    <w:rsid w:val="00047DEA"/>
    <w:rsid w:val="000533F1"/>
    <w:rsid w:val="00054968"/>
    <w:rsid w:val="00055551"/>
    <w:rsid w:val="00055814"/>
    <w:rsid w:val="00057F9A"/>
    <w:rsid w:val="000607E8"/>
    <w:rsid w:val="000625B4"/>
    <w:rsid w:val="00063067"/>
    <w:rsid w:val="00063DBF"/>
    <w:rsid w:val="00070A7C"/>
    <w:rsid w:val="000713AA"/>
    <w:rsid w:val="00072537"/>
    <w:rsid w:val="00074621"/>
    <w:rsid w:val="000807B5"/>
    <w:rsid w:val="00081464"/>
    <w:rsid w:val="00085288"/>
    <w:rsid w:val="00085C8E"/>
    <w:rsid w:val="00090A03"/>
    <w:rsid w:val="00096933"/>
    <w:rsid w:val="000A09FA"/>
    <w:rsid w:val="000A0FA6"/>
    <w:rsid w:val="000A2CD4"/>
    <w:rsid w:val="000A3747"/>
    <w:rsid w:val="000A66F5"/>
    <w:rsid w:val="000A7C1C"/>
    <w:rsid w:val="000B0616"/>
    <w:rsid w:val="000B0B08"/>
    <w:rsid w:val="000B1F12"/>
    <w:rsid w:val="000B290B"/>
    <w:rsid w:val="000C043A"/>
    <w:rsid w:val="000C22DB"/>
    <w:rsid w:val="000C7977"/>
    <w:rsid w:val="000D0474"/>
    <w:rsid w:val="000D2F1C"/>
    <w:rsid w:val="000D54A3"/>
    <w:rsid w:val="000D577D"/>
    <w:rsid w:val="000E17CB"/>
    <w:rsid w:val="000E25C9"/>
    <w:rsid w:val="000E5A7C"/>
    <w:rsid w:val="000E5D41"/>
    <w:rsid w:val="000E6014"/>
    <w:rsid w:val="000E626B"/>
    <w:rsid w:val="000E6AB8"/>
    <w:rsid w:val="000F7A1E"/>
    <w:rsid w:val="001031DF"/>
    <w:rsid w:val="0010353F"/>
    <w:rsid w:val="00103EA6"/>
    <w:rsid w:val="00104DF0"/>
    <w:rsid w:val="001101AF"/>
    <w:rsid w:val="001103D6"/>
    <w:rsid w:val="0011067C"/>
    <w:rsid w:val="001236A1"/>
    <w:rsid w:val="001244C8"/>
    <w:rsid w:val="00126E2D"/>
    <w:rsid w:val="00130F8F"/>
    <w:rsid w:val="00137412"/>
    <w:rsid w:val="0013786D"/>
    <w:rsid w:val="001430D3"/>
    <w:rsid w:val="00144A3C"/>
    <w:rsid w:val="001454D2"/>
    <w:rsid w:val="001460DB"/>
    <w:rsid w:val="001526DC"/>
    <w:rsid w:val="00155383"/>
    <w:rsid w:val="00160290"/>
    <w:rsid w:val="00166D1E"/>
    <w:rsid w:val="00167B98"/>
    <w:rsid w:val="00170477"/>
    <w:rsid w:val="00171A7B"/>
    <w:rsid w:val="00174AFA"/>
    <w:rsid w:val="00176308"/>
    <w:rsid w:val="00176A76"/>
    <w:rsid w:val="001809A0"/>
    <w:rsid w:val="00186805"/>
    <w:rsid w:val="0018710E"/>
    <w:rsid w:val="00187E50"/>
    <w:rsid w:val="001927A2"/>
    <w:rsid w:val="00194084"/>
    <w:rsid w:val="00194A59"/>
    <w:rsid w:val="0019538A"/>
    <w:rsid w:val="001979A6"/>
    <w:rsid w:val="001A0B3C"/>
    <w:rsid w:val="001A509C"/>
    <w:rsid w:val="001A6E4A"/>
    <w:rsid w:val="001B13BE"/>
    <w:rsid w:val="001B1F6A"/>
    <w:rsid w:val="001B512C"/>
    <w:rsid w:val="001B63E5"/>
    <w:rsid w:val="001B73F9"/>
    <w:rsid w:val="001C1776"/>
    <w:rsid w:val="001C1B44"/>
    <w:rsid w:val="001C3091"/>
    <w:rsid w:val="001C47C4"/>
    <w:rsid w:val="001D1414"/>
    <w:rsid w:val="001D23B8"/>
    <w:rsid w:val="001D3239"/>
    <w:rsid w:val="001D7868"/>
    <w:rsid w:val="001E1225"/>
    <w:rsid w:val="001E15E5"/>
    <w:rsid w:val="001E2AD6"/>
    <w:rsid w:val="001E773B"/>
    <w:rsid w:val="001F7499"/>
    <w:rsid w:val="001F7A90"/>
    <w:rsid w:val="002001CA"/>
    <w:rsid w:val="00203873"/>
    <w:rsid w:val="00203B13"/>
    <w:rsid w:val="002055CE"/>
    <w:rsid w:val="00205CD3"/>
    <w:rsid w:val="00207D2B"/>
    <w:rsid w:val="00207D8C"/>
    <w:rsid w:val="00212504"/>
    <w:rsid w:val="00212839"/>
    <w:rsid w:val="0021306E"/>
    <w:rsid w:val="00213438"/>
    <w:rsid w:val="0022066E"/>
    <w:rsid w:val="0022190C"/>
    <w:rsid w:val="00221C57"/>
    <w:rsid w:val="00223D2C"/>
    <w:rsid w:val="00224540"/>
    <w:rsid w:val="0022596F"/>
    <w:rsid w:val="002264C1"/>
    <w:rsid w:val="002268CB"/>
    <w:rsid w:val="0023162F"/>
    <w:rsid w:val="00231679"/>
    <w:rsid w:val="00231C9F"/>
    <w:rsid w:val="0024439F"/>
    <w:rsid w:val="0025158F"/>
    <w:rsid w:val="00251D1D"/>
    <w:rsid w:val="00252CD1"/>
    <w:rsid w:val="002539AF"/>
    <w:rsid w:val="002574D3"/>
    <w:rsid w:val="00260813"/>
    <w:rsid w:val="0026434C"/>
    <w:rsid w:val="00265527"/>
    <w:rsid w:val="00272E39"/>
    <w:rsid w:val="002741AB"/>
    <w:rsid w:val="00277537"/>
    <w:rsid w:val="002816E7"/>
    <w:rsid w:val="002909DD"/>
    <w:rsid w:val="00291C66"/>
    <w:rsid w:val="0029220D"/>
    <w:rsid w:val="00295719"/>
    <w:rsid w:val="00297318"/>
    <w:rsid w:val="002976F3"/>
    <w:rsid w:val="00297D56"/>
    <w:rsid w:val="002A7498"/>
    <w:rsid w:val="002B0990"/>
    <w:rsid w:val="002B42A9"/>
    <w:rsid w:val="002B4519"/>
    <w:rsid w:val="002B6132"/>
    <w:rsid w:val="002B6186"/>
    <w:rsid w:val="002C4549"/>
    <w:rsid w:val="002C49AF"/>
    <w:rsid w:val="002C4A1C"/>
    <w:rsid w:val="002C4D50"/>
    <w:rsid w:val="002C56AA"/>
    <w:rsid w:val="002C6595"/>
    <w:rsid w:val="002C7033"/>
    <w:rsid w:val="002D4207"/>
    <w:rsid w:val="002D517F"/>
    <w:rsid w:val="002D5B4B"/>
    <w:rsid w:val="002D5CE2"/>
    <w:rsid w:val="002D67F4"/>
    <w:rsid w:val="002E01A6"/>
    <w:rsid w:val="002E0968"/>
    <w:rsid w:val="002E10A0"/>
    <w:rsid w:val="002E10A4"/>
    <w:rsid w:val="002E2C8E"/>
    <w:rsid w:val="002E564B"/>
    <w:rsid w:val="002E6B00"/>
    <w:rsid w:val="002F0377"/>
    <w:rsid w:val="002F4E19"/>
    <w:rsid w:val="002F6C6C"/>
    <w:rsid w:val="002F785A"/>
    <w:rsid w:val="00301EA1"/>
    <w:rsid w:val="00302588"/>
    <w:rsid w:val="003035FA"/>
    <w:rsid w:val="00303DE1"/>
    <w:rsid w:val="003049C3"/>
    <w:rsid w:val="00305CC6"/>
    <w:rsid w:val="00307136"/>
    <w:rsid w:val="0031112B"/>
    <w:rsid w:val="003113D4"/>
    <w:rsid w:val="00311B87"/>
    <w:rsid w:val="00312BA4"/>
    <w:rsid w:val="0031465D"/>
    <w:rsid w:val="00315AE2"/>
    <w:rsid w:val="00315C2F"/>
    <w:rsid w:val="00315C5C"/>
    <w:rsid w:val="003175A3"/>
    <w:rsid w:val="003204A1"/>
    <w:rsid w:val="0032485A"/>
    <w:rsid w:val="00324C92"/>
    <w:rsid w:val="00333222"/>
    <w:rsid w:val="0033645D"/>
    <w:rsid w:val="00340FBE"/>
    <w:rsid w:val="00342155"/>
    <w:rsid w:val="00343BCD"/>
    <w:rsid w:val="00345AC4"/>
    <w:rsid w:val="003469B6"/>
    <w:rsid w:val="003476DB"/>
    <w:rsid w:val="0035462E"/>
    <w:rsid w:val="00354AD4"/>
    <w:rsid w:val="0035516B"/>
    <w:rsid w:val="00357410"/>
    <w:rsid w:val="00357FC7"/>
    <w:rsid w:val="00361E5D"/>
    <w:rsid w:val="00364CF6"/>
    <w:rsid w:val="00365D83"/>
    <w:rsid w:val="00365F81"/>
    <w:rsid w:val="003666D9"/>
    <w:rsid w:val="00366762"/>
    <w:rsid w:val="00371EDE"/>
    <w:rsid w:val="003751B3"/>
    <w:rsid w:val="003753CC"/>
    <w:rsid w:val="00380991"/>
    <w:rsid w:val="0038117A"/>
    <w:rsid w:val="00383788"/>
    <w:rsid w:val="003846B1"/>
    <w:rsid w:val="00386E46"/>
    <w:rsid w:val="0038794A"/>
    <w:rsid w:val="00394866"/>
    <w:rsid w:val="003972C5"/>
    <w:rsid w:val="003A1336"/>
    <w:rsid w:val="003A1B5C"/>
    <w:rsid w:val="003A31B9"/>
    <w:rsid w:val="003A3B92"/>
    <w:rsid w:val="003A3BF7"/>
    <w:rsid w:val="003B1590"/>
    <w:rsid w:val="003B1962"/>
    <w:rsid w:val="003B1F80"/>
    <w:rsid w:val="003B3A37"/>
    <w:rsid w:val="003C1CA1"/>
    <w:rsid w:val="003D0E5D"/>
    <w:rsid w:val="003D3D7E"/>
    <w:rsid w:val="003D6063"/>
    <w:rsid w:val="003D7161"/>
    <w:rsid w:val="003E0BAE"/>
    <w:rsid w:val="003E11F7"/>
    <w:rsid w:val="003E1657"/>
    <w:rsid w:val="003E1E1C"/>
    <w:rsid w:val="003E234F"/>
    <w:rsid w:val="003E28CB"/>
    <w:rsid w:val="003E3972"/>
    <w:rsid w:val="003E58D2"/>
    <w:rsid w:val="003E6E3D"/>
    <w:rsid w:val="003F10C5"/>
    <w:rsid w:val="003F275E"/>
    <w:rsid w:val="003F5D7F"/>
    <w:rsid w:val="004018C3"/>
    <w:rsid w:val="004029A1"/>
    <w:rsid w:val="00407A62"/>
    <w:rsid w:val="00407B01"/>
    <w:rsid w:val="00412454"/>
    <w:rsid w:val="00412B1E"/>
    <w:rsid w:val="00416ECE"/>
    <w:rsid w:val="0042192B"/>
    <w:rsid w:val="00422337"/>
    <w:rsid w:val="00422C68"/>
    <w:rsid w:val="004235CB"/>
    <w:rsid w:val="004241E8"/>
    <w:rsid w:val="004251C0"/>
    <w:rsid w:val="0043300F"/>
    <w:rsid w:val="004330ED"/>
    <w:rsid w:val="00436C18"/>
    <w:rsid w:val="004378E4"/>
    <w:rsid w:val="00440A7A"/>
    <w:rsid w:val="00443062"/>
    <w:rsid w:val="004435D3"/>
    <w:rsid w:val="00446B2A"/>
    <w:rsid w:val="00446E69"/>
    <w:rsid w:val="00447828"/>
    <w:rsid w:val="00450EAC"/>
    <w:rsid w:val="00452870"/>
    <w:rsid w:val="00455914"/>
    <w:rsid w:val="004559C0"/>
    <w:rsid w:val="00456AE1"/>
    <w:rsid w:val="00460D5F"/>
    <w:rsid w:val="004616F2"/>
    <w:rsid w:val="00461996"/>
    <w:rsid w:val="0046269A"/>
    <w:rsid w:val="0047104C"/>
    <w:rsid w:val="004712C2"/>
    <w:rsid w:val="00473002"/>
    <w:rsid w:val="00476256"/>
    <w:rsid w:val="0048222C"/>
    <w:rsid w:val="004844AC"/>
    <w:rsid w:val="00485C83"/>
    <w:rsid w:val="00487128"/>
    <w:rsid w:val="00493D02"/>
    <w:rsid w:val="004978B6"/>
    <w:rsid w:val="004A0383"/>
    <w:rsid w:val="004A1B60"/>
    <w:rsid w:val="004A2695"/>
    <w:rsid w:val="004A5259"/>
    <w:rsid w:val="004A6ADE"/>
    <w:rsid w:val="004B224A"/>
    <w:rsid w:val="004B3642"/>
    <w:rsid w:val="004B686E"/>
    <w:rsid w:val="004B7A73"/>
    <w:rsid w:val="004B7D09"/>
    <w:rsid w:val="004C24F2"/>
    <w:rsid w:val="004C705B"/>
    <w:rsid w:val="004C7F0F"/>
    <w:rsid w:val="004D6481"/>
    <w:rsid w:val="004D6C7E"/>
    <w:rsid w:val="004E04E3"/>
    <w:rsid w:val="004E2F77"/>
    <w:rsid w:val="004E412B"/>
    <w:rsid w:val="004E4848"/>
    <w:rsid w:val="004F2DEF"/>
    <w:rsid w:val="004F455B"/>
    <w:rsid w:val="004F4B14"/>
    <w:rsid w:val="004F7ED9"/>
    <w:rsid w:val="0050036C"/>
    <w:rsid w:val="00501668"/>
    <w:rsid w:val="00501897"/>
    <w:rsid w:val="00501DD6"/>
    <w:rsid w:val="00501E07"/>
    <w:rsid w:val="00501F24"/>
    <w:rsid w:val="00504638"/>
    <w:rsid w:val="00506083"/>
    <w:rsid w:val="00506E31"/>
    <w:rsid w:val="00506E40"/>
    <w:rsid w:val="00512972"/>
    <w:rsid w:val="00515458"/>
    <w:rsid w:val="00515504"/>
    <w:rsid w:val="005158FE"/>
    <w:rsid w:val="00515D44"/>
    <w:rsid w:val="0051765B"/>
    <w:rsid w:val="00517FF9"/>
    <w:rsid w:val="005207BB"/>
    <w:rsid w:val="00520DB9"/>
    <w:rsid w:val="00522023"/>
    <w:rsid w:val="005242B3"/>
    <w:rsid w:val="00533E3A"/>
    <w:rsid w:val="00536D1B"/>
    <w:rsid w:val="00537F65"/>
    <w:rsid w:val="00541CDE"/>
    <w:rsid w:val="00543700"/>
    <w:rsid w:val="00543754"/>
    <w:rsid w:val="00543C0F"/>
    <w:rsid w:val="0054645B"/>
    <w:rsid w:val="0055157F"/>
    <w:rsid w:val="005552EE"/>
    <w:rsid w:val="00564098"/>
    <w:rsid w:val="00565BC9"/>
    <w:rsid w:val="00567BF0"/>
    <w:rsid w:val="0057089B"/>
    <w:rsid w:val="0057110D"/>
    <w:rsid w:val="005741AC"/>
    <w:rsid w:val="0057628C"/>
    <w:rsid w:val="00576560"/>
    <w:rsid w:val="00581109"/>
    <w:rsid w:val="005811D9"/>
    <w:rsid w:val="005816F6"/>
    <w:rsid w:val="005852FF"/>
    <w:rsid w:val="00585C1B"/>
    <w:rsid w:val="00587842"/>
    <w:rsid w:val="00592CA9"/>
    <w:rsid w:val="00593EAD"/>
    <w:rsid w:val="0059478E"/>
    <w:rsid w:val="005952C4"/>
    <w:rsid w:val="005952DE"/>
    <w:rsid w:val="00596AE7"/>
    <w:rsid w:val="0059734D"/>
    <w:rsid w:val="005A038A"/>
    <w:rsid w:val="005A1418"/>
    <w:rsid w:val="005A3290"/>
    <w:rsid w:val="005A5A0F"/>
    <w:rsid w:val="005A623F"/>
    <w:rsid w:val="005B0C6F"/>
    <w:rsid w:val="005B2910"/>
    <w:rsid w:val="005B30F0"/>
    <w:rsid w:val="005B36D5"/>
    <w:rsid w:val="005B37F6"/>
    <w:rsid w:val="005C3605"/>
    <w:rsid w:val="005C38CA"/>
    <w:rsid w:val="005D13F4"/>
    <w:rsid w:val="005D3ADF"/>
    <w:rsid w:val="005E3E5D"/>
    <w:rsid w:val="005E46C9"/>
    <w:rsid w:val="005E6E03"/>
    <w:rsid w:val="005F12B1"/>
    <w:rsid w:val="005F2183"/>
    <w:rsid w:val="005F7916"/>
    <w:rsid w:val="005F7EA5"/>
    <w:rsid w:val="00602C5F"/>
    <w:rsid w:val="00604032"/>
    <w:rsid w:val="00605AFC"/>
    <w:rsid w:val="00611374"/>
    <w:rsid w:val="00611E36"/>
    <w:rsid w:val="006142F8"/>
    <w:rsid w:val="00614769"/>
    <w:rsid w:val="006173CA"/>
    <w:rsid w:val="00617410"/>
    <w:rsid w:val="00620C12"/>
    <w:rsid w:val="00620F7A"/>
    <w:rsid w:val="00621626"/>
    <w:rsid w:val="0062294C"/>
    <w:rsid w:val="00622FD8"/>
    <w:rsid w:val="00625C2A"/>
    <w:rsid w:val="006264D7"/>
    <w:rsid w:val="0062739A"/>
    <w:rsid w:val="00632BDC"/>
    <w:rsid w:val="0063685F"/>
    <w:rsid w:val="00643AD6"/>
    <w:rsid w:val="006466F6"/>
    <w:rsid w:val="00646E62"/>
    <w:rsid w:val="00647DD9"/>
    <w:rsid w:val="00652090"/>
    <w:rsid w:val="00653015"/>
    <w:rsid w:val="00653E06"/>
    <w:rsid w:val="00660626"/>
    <w:rsid w:val="00667AC3"/>
    <w:rsid w:val="00670D25"/>
    <w:rsid w:val="00671DF0"/>
    <w:rsid w:val="00673D5F"/>
    <w:rsid w:val="00674761"/>
    <w:rsid w:val="0067655A"/>
    <w:rsid w:val="0067666D"/>
    <w:rsid w:val="00682201"/>
    <w:rsid w:val="00682224"/>
    <w:rsid w:val="00684749"/>
    <w:rsid w:val="00690990"/>
    <w:rsid w:val="006916CE"/>
    <w:rsid w:val="00692431"/>
    <w:rsid w:val="00694350"/>
    <w:rsid w:val="00697B0C"/>
    <w:rsid w:val="006A071F"/>
    <w:rsid w:val="006A2F0E"/>
    <w:rsid w:val="006B39E7"/>
    <w:rsid w:val="006B3B65"/>
    <w:rsid w:val="006B3C9D"/>
    <w:rsid w:val="006C0677"/>
    <w:rsid w:val="006D1DFF"/>
    <w:rsid w:val="006D3D72"/>
    <w:rsid w:val="006D4286"/>
    <w:rsid w:val="006D4DB8"/>
    <w:rsid w:val="006D750A"/>
    <w:rsid w:val="006D7B11"/>
    <w:rsid w:val="006E2C51"/>
    <w:rsid w:val="006E47C2"/>
    <w:rsid w:val="006F1E74"/>
    <w:rsid w:val="006F2ADD"/>
    <w:rsid w:val="006F2E92"/>
    <w:rsid w:val="006F389B"/>
    <w:rsid w:val="006F46FC"/>
    <w:rsid w:val="006F6DBF"/>
    <w:rsid w:val="006F74BB"/>
    <w:rsid w:val="00700F26"/>
    <w:rsid w:val="0070122C"/>
    <w:rsid w:val="007042D4"/>
    <w:rsid w:val="007122B8"/>
    <w:rsid w:val="00721DC1"/>
    <w:rsid w:val="007267B1"/>
    <w:rsid w:val="007320A6"/>
    <w:rsid w:val="007333D9"/>
    <w:rsid w:val="00733847"/>
    <w:rsid w:val="00735977"/>
    <w:rsid w:val="00741EC4"/>
    <w:rsid w:val="0074591E"/>
    <w:rsid w:val="007472B8"/>
    <w:rsid w:val="00747815"/>
    <w:rsid w:val="00751D05"/>
    <w:rsid w:val="00752696"/>
    <w:rsid w:val="00752840"/>
    <w:rsid w:val="007576AA"/>
    <w:rsid w:val="00757D06"/>
    <w:rsid w:val="007613FE"/>
    <w:rsid w:val="007640EA"/>
    <w:rsid w:val="007642DB"/>
    <w:rsid w:val="00765418"/>
    <w:rsid w:val="007668C1"/>
    <w:rsid w:val="007755F2"/>
    <w:rsid w:val="007815E6"/>
    <w:rsid w:val="0078519E"/>
    <w:rsid w:val="007851E1"/>
    <w:rsid w:val="00790FA0"/>
    <w:rsid w:val="0079365F"/>
    <w:rsid w:val="00794E12"/>
    <w:rsid w:val="00794FCB"/>
    <w:rsid w:val="007A157F"/>
    <w:rsid w:val="007A6482"/>
    <w:rsid w:val="007A6744"/>
    <w:rsid w:val="007B53AE"/>
    <w:rsid w:val="007C0838"/>
    <w:rsid w:val="007C6408"/>
    <w:rsid w:val="007C7196"/>
    <w:rsid w:val="007D2423"/>
    <w:rsid w:val="007D5719"/>
    <w:rsid w:val="007D65FB"/>
    <w:rsid w:val="007D68C0"/>
    <w:rsid w:val="007D6BDE"/>
    <w:rsid w:val="007E178C"/>
    <w:rsid w:val="007E4144"/>
    <w:rsid w:val="007F2D64"/>
    <w:rsid w:val="007F3AA8"/>
    <w:rsid w:val="007F6D0C"/>
    <w:rsid w:val="00804605"/>
    <w:rsid w:val="00804FE7"/>
    <w:rsid w:val="00805B0A"/>
    <w:rsid w:val="008066EB"/>
    <w:rsid w:val="00817EAC"/>
    <w:rsid w:val="0082092F"/>
    <w:rsid w:val="00823863"/>
    <w:rsid w:val="00823EDE"/>
    <w:rsid w:val="0082493B"/>
    <w:rsid w:val="00827928"/>
    <w:rsid w:val="008310BA"/>
    <w:rsid w:val="00831B88"/>
    <w:rsid w:val="008365FF"/>
    <w:rsid w:val="0084009F"/>
    <w:rsid w:val="00842E06"/>
    <w:rsid w:val="00842FF3"/>
    <w:rsid w:val="00843971"/>
    <w:rsid w:val="00845A75"/>
    <w:rsid w:val="008467E3"/>
    <w:rsid w:val="00846BE8"/>
    <w:rsid w:val="00851851"/>
    <w:rsid w:val="008519E8"/>
    <w:rsid w:val="008525A8"/>
    <w:rsid w:val="00852900"/>
    <w:rsid w:val="008561D0"/>
    <w:rsid w:val="00860C5C"/>
    <w:rsid w:val="00862D53"/>
    <w:rsid w:val="00865769"/>
    <w:rsid w:val="00867C21"/>
    <w:rsid w:val="00874B2F"/>
    <w:rsid w:val="00874E4F"/>
    <w:rsid w:val="0087536F"/>
    <w:rsid w:val="00876F63"/>
    <w:rsid w:val="00880998"/>
    <w:rsid w:val="008877B3"/>
    <w:rsid w:val="008909CF"/>
    <w:rsid w:val="00890B07"/>
    <w:rsid w:val="00894362"/>
    <w:rsid w:val="008947F7"/>
    <w:rsid w:val="008951CF"/>
    <w:rsid w:val="00895228"/>
    <w:rsid w:val="008A1E47"/>
    <w:rsid w:val="008A204C"/>
    <w:rsid w:val="008B2DCD"/>
    <w:rsid w:val="008B3708"/>
    <w:rsid w:val="008B7075"/>
    <w:rsid w:val="008B7434"/>
    <w:rsid w:val="008C085F"/>
    <w:rsid w:val="008C0FB1"/>
    <w:rsid w:val="008C482F"/>
    <w:rsid w:val="008C5465"/>
    <w:rsid w:val="008C7483"/>
    <w:rsid w:val="008D25B9"/>
    <w:rsid w:val="008D6A74"/>
    <w:rsid w:val="008E05FA"/>
    <w:rsid w:val="008E1CCA"/>
    <w:rsid w:val="008E3F28"/>
    <w:rsid w:val="008E6041"/>
    <w:rsid w:val="008E6F94"/>
    <w:rsid w:val="008F5F84"/>
    <w:rsid w:val="008F6ABD"/>
    <w:rsid w:val="00901965"/>
    <w:rsid w:val="00901DF6"/>
    <w:rsid w:val="00904BFF"/>
    <w:rsid w:val="00907DD8"/>
    <w:rsid w:val="009123FF"/>
    <w:rsid w:val="00915A82"/>
    <w:rsid w:val="009168D8"/>
    <w:rsid w:val="009173DC"/>
    <w:rsid w:val="00920FCD"/>
    <w:rsid w:val="009213E3"/>
    <w:rsid w:val="00921844"/>
    <w:rsid w:val="009223E9"/>
    <w:rsid w:val="00922C1D"/>
    <w:rsid w:val="00935858"/>
    <w:rsid w:val="009360C8"/>
    <w:rsid w:val="009363C7"/>
    <w:rsid w:val="00936C21"/>
    <w:rsid w:val="00937288"/>
    <w:rsid w:val="00942C1C"/>
    <w:rsid w:val="00947395"/>
    <w:rsid w:val="00947D06"/>
    <w:rsid w:val="0095144B"/>
    <w:rsid w:val="00953A20"/>
    <w:rsid w:val="00954EE9"/>
    <w:rsid w:val="00961AB9"/>
    <w:rsid w:val="00962917"/>
    <w:rsid w:val="00962AD3"/>
    <w:rsid w:val="00962D14"/>
    <w:rsid w:val="009671BC"/>
    <w:rsid w:val="00967B48"/>
    <w:rsid w:val="00971C86"/>
    <w:rsid w:val="009745F0"/>
    <w:rsid w:val="00974933"/>
    <w:rsid w:val="009756DB"/>
    <w:rsid w:val="009757C2"/>
    <w:rsid w:val="00977472"/>
    <w:rsid w:val="00977637"/>
    <w:rsid w:val="00987DAC"/>
    <w:rsid w:val="00987EE8"/>
    <w:rsid w:val="0099235C"/>
    <w:rsid w:val="00995655"/>
    <w:rsid w:val="00997CAD"/>
    <w:rsid w:val="009A2FB7"/>
    <w:rsid w:val="009B2F51"/>
    <w:rsid w:val="009B3CE0"/>
    <w:rsid w:val="009B4EB8"/>
    <w:rsid w:val="009B5455"/>
    <w:rsid w:val="009B5BCF"/>
    <w:rsid w:val="009B5E68"/>
    <w:rsid w:val="009B6710"/>
    <w:rsid w:val="009B7783"/>
    <w:rsid w:val="009C672A"/>
    <w:rsid w:val="009D0862"/>
    <w:rsid w:val="009D2336"/>
    <w:rsid w:val="009D369D"/>
    <w:rsid w:val="009D3EA6"/>
    <w:rsid w:val="009D4D4C"/>
    <w:rsid w:val="009D51AE"/>
    <w:rsid w:val="009D7CED"/>
    <w:rsid w:val="009E01D7"/>
    <w:rsid w:val="009E09A4"/>
    <w:rsid w:val="009E2316"/>
    <w:rsid w:val="009E28BF"/>
    <w:rsid w:val="009E4770"/>
    <w:rsid w:val="009E5287"/>
    <w:rsid w:val="009E6742"/>
    <w:rsid w:val="009F0763"/>
    <w:rsid w:val="009F306C"/>
    <w:rsid w:val="009F472A"/>
    <w:rsid w:val="009F4A98"/>
    <w:rsid w:val="009F4ED6"/>
    <w:rsid w:val="009F4FEE"/>
    <w:rsid w:val="009F5AED"/>
    <w:rsid w:val="00A02D80"/>
    <w:rsid w:val="00A03050"/>
    <w:rsid w:val="00A06A1C"/>
    <w:rsid w:val="00A137AB"/>
    <w:rsid w:val="00A1456B"/>
    <w:rsid w:val="00A16767"/>
    <w:rsid w:val="00A16C86"/>
    <w:rsid w:val="00A17F8B"/>
    <w:rsid w:val="00A216C7"/>
    <w:rsid w:val="00A2413D"/>
    <w:rsid w:val="00A241A4"/>
    <w:rsid w:val="00A3106D"/>
    <w:rsid w:val="00A33969"/>
    <w:rsid w:val="00A34236"/>
    <w:rsid w:val="00A35E86"/>
    <w:rsid w:val="00A36E3D"/>
    <w:rsid w:val="00A4026A"/>
    <w:rsid w:val="00A4251B"/>
    <w:rsid w:val="00A42974"/>
    <w:rsid w:val="00A43249"/>
    <w:rsid w:val="00A457A0"/>
    <w:rsid w:val="00A4604C"/>
    <w:rsid w:val="00A47556"/>
    <w:rsid w:val="00A50BB5"/>
    <w:rsid w:val="00A55A50"/>
    <w:rsid w:val="00A625A5"/>
    <w:rsid w:val="00A6451A"/>
    <w:rsid w:val="00A66395"/>
    <w:rsid w:val="00A7304B"/>
    <w:rsid w:val="00A7352E"/>
    <w:rsid w:val="00A751E3"/>
    <w:rsid w:val="00A76471"/>
    <w:rsid w:val="00A7667C"/>
    <w:rsid w:val="00A84124"/>
    <w:rsid w:val="00A853FD"/>
    <w:rsid w:val="00A85710"/>
    <w:rsid w:val="00A86F9D"/>
    <w:rsid w:val="00A87B8D"/>
    <w:rsid w:val="00A9086A"/>
    <w:rsid w:val="00A90FE1"/>
    <w:rsid w:val="00A9142A"/>
    <w:rsid w:val="00A94B4B"/>
    <w:rsid w:val="00A952A9"/>
    <w:rsid w:val="00AA3E6A"/>
    <w:rsid w:val="00AA4642"/>
    <w:rsid w:val="00AA646A"/>
    <w:rsid w:val="00AB0F1F"/>
    <w:rsid w:val="00AB20D6"/>
    <w:rsid w:val="00AB35AB"/>
    <w:rsid w:val="00AC34C7"/>
    <w:rsid w:val="00AD5209"/>
    <w:rsid w:val="00AD61AE"/>
    <w:rsid w:val="00AD7D7C"/>
    <w:rsid w:val="00AE010C"/>
    <w:rsid w:val="00AF084E"/>
    <w:rsid w:val="00AF28AC"/>
    <w:rsid w:val="00AF6C7F"/>
    <w:rsid w:val="00AF724D"/>
    <w:rsid w:val="00AF72B1"/>
    <w:rsid w:val="00AF7416"/>
    <w:rsid w:val="00AF7503"/>
    <w:rsid w:val="00B002A0"/>
    <w:rsid w:val="00B019AB"/>
    <w:rsid w:val="00B01FD4"/>
    <w:rsid w:val="00B05475"/>
    <w:rsid w:val="00B05931"/>
    <w:rsid w:val="00B072B8"/>
    <w:rsid w:val="00B120FE"/>
    <w:rsid w:val="00B15342"/>
    <w:rsid w:val="00B15E62"/>
    <w:rsid w:val="00B226A2"/>
    <w:rsid w:val="00B24552"/>
    <w:rsid w:val="00B26646"/>
    <w:rsid w:val="00B2692F"/>
    <w:rsid w:val="00B27BA6"/>
    <w:rsid w:val="00B305DC"/>
    <w:rsid w:val="00B32AAB"/>
    <w:rsid w:val="00B33B1A"/>
    <w:rsid w:val="00B3540C"/>
    <w:rsid w:val="00B36D35"/>
    <w:rsid w:val="00B37092"/>
    <w:rsid w:val="00B40624"/>
    <w:rsid w:val="00B43FFB"/>
    <w:rsid w:val="00B44C3D"/>
    <w:rsid w:val="00B54A73"/>
    <w:rsid w:val="00B56437"/>
    <w:rsid w:val="00B57C3F"/>
    <w:rsid w:val="00B6165D"/>
    <w:rsid w:val="00B61995"/>
    <w:rsid w:val="00B6250B"/>
    <w:rsid w:val="00B644AC"/>
    <w:rsid w:val="00B667E1"/>
    <w:rsid w:val="00B67115"/>
    <w:rsid w:val="00B72B58"/>
    <w:rsid w:val="00B759FD"/>
    <w:rsid w:val="00B8313D"/>
    <w:rsid w:val="00B87653"/>
    <w:rsid w:val="00B92261"/>
    <w:rsid w:val="00B9531E"/>
    <w:rsid w:val="00B95420"/>
    <w:rsid w:val="00B968B9"/>
    <w:rsid w:val="00B971AF"/>
    <w:rsid w:val="00B97995"/>
    <w:rsid w:val="00BA03A3"/>
    <w:rsid w:val="00BA18A8"/>
    <w:rsid w:val="00BA3377"/>
    <w:rsid w:val="00BA65D1"/>
    <w:rsid w:val="00BB16B3"/>
    <w:rsid w:val="00BB17CA"/>
    <w:rsid w:val="00BB303D"/>
    <w:rsid w:val="00BB478D"/>
    <w:rsid w:val="00BB4BBC"/>
    <w:rsid w:val="00BB7D5D"/>
    <w:rsid w:val="00BC1529"/>
    <w:rsid w:val="00BC17B9"/>
    <w:rsid w:val="00BC4FD2"/>
    <w:rsid w:val="00BC777D"/>
    <w:rsid w:val="00BD2611"/>
    <w:rsid w:val="00BD2C9F"/>
    <w:rsid w:val="00BD3F49"/>
    <w:rsid w:val="00BD604F"/>
    <w:rsid w:val="00BD67B6"/>
    <w:rsid w:val="00BE290A"/>
    <w:rsid w:val="00BE2F51"/>
    <w:rsid w:val="00BE6983"/>
    <w:rsid w:val="00BE705F"/>
    <w:rsid w:val="00BF029F"/>
    <w:rsid w:val="00BF23FB"/>
    <w:rsid w:val="00BF49A4"/>
    <w:rsid w:val="00C00147"/>
    <w:rsid w:val="00C02B3F"/>
    <w:rsid w:val="00C02C00"/>
    <w:rsid w:val="00C03C7E"/>
    <w:rsid w:val="00C05974"/>
    <w:rsid w:val="00C060FD"/>
    <w:rsid w:val="00C147D7"/>
    <w:rsid w:val="00C173E4"/>
    <w:rsid w:val="00C17A4B"/>
    <w:rsid w:val="00C22CF8"/>
    <w:rsid w:val="00C23401"/>
    <w:rsid w:val="00C25695"/>
    <w:rsid w:val="00C30DAD"/>
    <w:rsid w:val="00C34699"/>
    <w:rsid w:val="00C35997"/>
    <w:rsid w:val="00C35B72"/>
    <w:rsid w:val="00C42EE2"/>
    <w:rsid w:val="00C4473B"/>
    <w:rsid w:val="00C470A3"/>
    <w:rsid w:val="00C473F6"/>
    <w:rsid w:val="00C50BA4"/>
    <w:rsid w:val="00C533EB"/>
    <w:rsid w:val="00C555B8"/>
    <w:rsid w:val="00C57BB1"/>
    <w:rsid w:val="00C603CB"/>
    <w:rsid w:val="00C66790"/>
    <w:rsid w:val="00C67D73"/>
    <w:rsid w:val="00C70066"/>
    <w:rsid w:val="00C71D4C"/>
    <w:rsid w:val="00C7236C"/>
    <w:rsid w:val="00C72550"/>
    <w:rsid w:val="00C73A67"/>
    <w:rsid w:val="00C73DCC"/>
    <w:rsid w:val="00C74411"/>
    <w:rsid w:val="00C77AE5"/>
    <w:rsid w:val="00C81517"/>
    <w:rsid w:val="00C825FD"/>
    <w:rsid w:val="00C8335F"/>
    <w:rsid w:val="00C84AF3"/>
    <w:rsid w:val="00C87EF1"/>
    <w:rsid w:val="00C90BE8"/>
    <w:rsid w:val="00C92310"/>
    <w:rsid w:val="00C94743"/>
    <w:rsid w:val="00C95D7A"/>
    <w:rsid w:val="00CA0DD6"/>
    <w:rsid w:val="00CA352E"/>
    <w:rsid w:val="00CA3ACF"/>
    <w:rsid w:val="00CA4F43"/>
    <w:rsid w:val="00CA5765"/>
    <w:rsid w:val="00CA665A"/>
    <w:rsid w:val="00CB471C"/>
    <w:rsid w:val="00CB4DA6"/>
    <w:rsid w:val="00CB543F"/>
    <w:rsid w:val="00CB5EA2"/>
    <w:rsid w:val="00CB731C"/>
    <w:rsid w:val="00CC2EDB"/>
    <w:rsid w:val="00CC2F30"/>
    <w:rsid w:val="00CC60B0"/>
    <w:rsid w:val="00CD06B0"/>
    <w:rsid w:val="00CD3B2F"/>
    <w:rsid w:val="00CE013B"/>
    <w:rsid w:val="00CE0B55"/>
    <w:rsid w:val="00CE1067"/>
    <w:rsid w:val="00CE48E7"/>
    <w:rsid w:val="00CE6D0D"/>
    <w:rsid w:val="00CE7334"/>
    <w:rsid w:val="00CE7AF9"/>
    <w:rsid w:val="00CF0B96"/>
    <w:rsid w:val="00CF2FC0"/>
    <w:rsid w:val="00CF5901"/>
    <w:rsid w:val="00CF629D"/>
    <w:rsid w:val="00CF6557"/>
    <w:rsid w:val="00CF7C57"/>
    <w:rsid w:val="00D034C9"/>
    <w:rsid w:val="00D04D9D"/>
    <w:rsid w:val="00D105EB"/>
    <w:rsid w:val="00D10CA4"/>
    <w:rsid w:val="00D133B2"/>
    <w:rsid w:val="00D14484"/>
    <w:rsid w:val="00D147F6"/>
    <w:rsid w:val="00D15E43"/>
    <w:rsid w:val="00D15E69"/>
    <w:rsid w:val="00D16555"/>
    <w:rsid w:val="00D1737B"/>
    <w:rsid w:val="00D20FB8"/>
    <w:rsid w:val="00D22255"/>
    <w:rsid w:val="00D2277A"/>
    <w:rsid w:val="00D24A95"/>
    <w:rsid w:val="00D25FFE"/>
    <w:rsid w:val="00D30632"/>
    <w:rsid w:val="00D31DE2"/>
    <w:rsid w:val="00D32A52"/>
    <w:rsid w:val="00D33EB5"/>
    <w:rsid w:val="00D34E48"/>
    <w:rsid w:val="00D37921"/>
    <w:rsid w:val="00D42FCB"/>
    <w:rsid w:val="00D562A2"/>
    <w:rsid w:val="00D56D2F"/>
    <w:rsid w:val="00D57C0F"/>
    <w:rsid w:val="00D57E03"/>
    <w:rsid w:val="00D6020D"/>
    <w:rsid w:val="00D60374"/>
    <w:rsid w:val="00D63101"/>
    <w:rsid w:val="00D7559E"/>
    <w:rsid w:val="00D75912"/>
    <w:rsid w:val="00D7665B"/>
    <w:rsid w:val="00D80B06"/>
    <w:rsid w:val="00D82D8A"/>
    <w:rsid w:val="00D84E86"/>
    <w:rsid w:val="00D85DA6"/>
    <w:rsid w:val="00D911C1"/>
    <w:rsid w:val="00D929CC"/>
    <w:rsid w:val="00D94A39"/>
    <w:rsid w:val="00D96554"/>
    <w:rsid w:val="00D96ED8"/>
    <w:rsid w:val="00DA169B"/>
    <w:rsid w:val="00DA329F"/>
    <w:rsid w:val="00DA470D"/>
    <w:rsid w:val="00DA73D9"/>
    <w:rsid w:val="00DA7589"/>
    <w:rsid w:val="00DB0ADC"/>
    <w:rsid w:val="00DB20E8"/>
    <w:rsid w:val="00DB4772"/>
    <w:rsid w:val="00DB5ED9"/>
    <w:rsid w:val="00DB7C94"/>
    <w:rsid w:val="00DC0ED4"/>
    <w:rsid w:val="00DC319C"/>
    <w:rsid w:val="00DC37B7"/>
    <w:rsid w:val="00DC3E88"/>
    <w:rsid w:val="00DC5205"/>
    <w:rsid w:val="00DC6DF5"/>
    <w:rsid w:val="00DC709A"/>
    <w:rsid w:val="00DD0B6F"/>
    <w:rsid w:val="00DD17B6"/>
    <w:rsid w:val="00DD31AD"/>
    <w:rsid w:val="00DD34DA"/>
    <w:rsid w:val="00DD3E39"/>
    <w:rsid w:val="00DD5F03"/>
    <w:rsid w:val="00DD7990"/>
    <w:rsid w:val="00DE03C5"/>
    <w:rsid w:val="00DE1EC6"/>
    <w:rsid w:val="00DE2D21"/>
    <w:rsid w:val="00DE3EC8"/>
    <w:rsid w:val="00DE61A2"/>
    <w:rsid w:val="00DE7D76"/>
    <w:rsid w:val="00DF1A13"/>
    <w:rsid w:val="00DF2447"/>
    <w:rsid w:val="00DF682F"/>
    <w:rsid w:val="00DF686A"/>
    <w:rsid w:val="00DF6C9A"/>
    <w:rsid w:val="00E01668"/>
    <w:rsid w:val="00E02EC1"/>
    <w:rsid w:val="00E05A78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23F0"/>
    <w:rsid w:val="00E32B46"/>
    <w:rsid w:val="00E36673"/>
    <w:rsid w:val="00E43C2A"/>
    <w:rsid w:val="00E44317"/>
    <w:rsid w:val="00E4484C"/>
    <w:rsid w:val="00E506C5"/>
    <w:rsid w:val="00E509F4"/>
    <w:rsid w:val="00E5714D"/>
    <w:rsid w:val="00E6035B"/>
    <w:rsid w:val="00E61D00"/>
    <w:rsid w:val="00E62FD2"/>
    <w:rsid w:val="00E63857"/>
    <w:rsid w:val="00E64BEC"/>
    <w:rsid w:val="00E65082"/>
    <w:rsid w:val="00E66EC1"/>
    <w:rsid w:val="00E67840"/>
    <w:rsid w:val="00E71A39"/>
    <w:rsid w:val="00E72892"/>
    <w:rsid w:val="00E73E1E"/>
    <w:rsid w:val="00E73F6C"/>
    <w:rsid w:val="00E74052"/>
    <w:rsid w:val="00E766A9"/>
    <w:rsid w:val="00E90561"/>
    <w:rsid w:val="00E9250B"/>
    <w:rsid w:val="00E9541E"/>
    <w:rsid w:val="00E96036"/>
    <w:rsid w:val="00E97636"/>
    <w:rsid w:val="00EA20C2"/>
    <w:rsid w:val="00EA3B44"/>
    <w:rsid w:val="00EA483E"/>
    <w:rsid w:val="00EA5F1D"/>
    <w:rsid w:val="00EB1739"/>
    <w:rsid w:val="00EB51A4"/>
    <w:rsid w:val="00EB639D"/>
    <w:rsid w:val="00EB6707"/>
    <w:rsid w:val="00EC46F1"/>
    <w:rsid w:val="00EC4709"/>
    <w:rsid w:val="00EC5D2C"/>
    <w:rsid w:val="00ED0C09"/>
    <w:rsid w:val="00ED5931"/>
    <w:rsid w:val="00ED69BD"/>
    <w:rsid w:val="00EE0FD7"/>
    <w:rsid w:val="00EE5268"/>
    <w:rsid w:val="00EE59F5"/>
    <w:rsid w:val="00EF0EF7"/>
    <w:rsid w:val="00EF30DF"/>
    <w:rsid w:val="00EF3DC2"/>
    <w:rsid w:val="00F037EC"/>
    <w:rsid w:val="00F13E2E"/>
    <w:rsid w:val="00F14083"/>
    <w:rsid w:val="00F14421"/>
    <w:rsid w:val="00F15CD0"/>
    <w:rsid w:val="00F17691"/>
    <w:rsid w:val="00F235BB"/>
    <w:rsid w:val="00F26E4E"/>
    <w:rsid w:val="00F27D84"/>
    <w:rsid w:val="00F33612"/>
    <w:rsid w:val="00F34530"/>
    <w:rsid w:val="00F40535"/>
    <w:rsid w:val="00F41D49"/>
    <w:rsid w:val="00F445D1"/>
    <w:rsid w:val="00F46600"/>
    <w:rsid w:val="00F4778B"/>
    <w:rsid w:val="00F53154"/>
    <w:rsid w:val="00F54706"/>
    <w:rsid w:val="00F61A7A"/>
    <w:rsid w:val="00F65EF0"/>
    <w:rsid w:val="00F66383"/>
    <w:rsid w:val="00F672D4"/>
    <w:rsid w:val="00F677DB"/>
    <w:rsid w:val="00F71F36"/>
    <w:rsid w:val="00F73CE0"/>
    <w:rsid w:val="00F741A2"/>
    <w:rsid w:val="00F75216"/>
    <w:rsid w:val="00F77C85"/>
    <w:rsid w:val="00F81FA1"/>
    <w:rsid w:val="00F86458"/>
    <w:rsid w:val="00F8789D"/>
    <w:rsid w:val="00F878D8"/>
    <w:rsid w:val="00F87BAA"/>
    <w:rsid w:val="00F90391"/>
    <w:rsid w:val="00F90B9B"/>
    <w:rsid w:val="00F94431"/>
    <w:rsid w:val="00F96606"/>
    <w:rsid w:val="00FA006B"/>
    <w:rsid w:val="00FA0593"/>
    <w:rsid w:val="00FA0B2E"/>
    <w:rsid w:val="00FA1297"/>
    <w:rsid w:val="00FA602E"/>
    <w:rsid w:val="00FA6A1F"/>
    <w:rsid w:val="00FA6B63"/>
    <w:rsid w:val="00FA6CD9"/>
    <w:rsid w:val="00FB1860"/>
    <w:rsid w:val="00FB3C9E"/>
    <w:rsid w:val="00FB55DA"/>
    <w:rsid w:val="00FC691B"/>
    <w:rsid w:val="00FD2494"/>
    <w:rsid w:val="00FD2EC8"/>
    <w:rsid w:val="00FD386A"/>
    <w:rsid w:val="00FD3E0A"/>
    <w:rsid w:val="00FD62AC"/>
    <w:rsid w:val="00FD7F35"/>
    <w:rsid w:val="00FE2BC9"/>
    <w:rsid w:val="00FE6236"/>
    <w:rsid w:val="00FE6465"/>
    <w:rsid w:val="00FF0EC7"/>
    <w:rsid w:val="00FF53DC"/>
    <w:rsid w:val="00FF56BE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D7767A0"/>
  <w15:docId w15:val="{BD0D772B-F68B-49A2-8976-3F4592F1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B1860"/>
    <w:rPr>
      <w:color w:val="605E5C"/>
      <w:shd w:val="clear" w:color="auto" w:fill="E1DFDD"/>
    </w:rPr>
  </w:style>
  <w:style w:type="paragraph" w:customStyle="1" w:styleId="tddiv">
    <w:name w:val="td_div"/>
    <w:basedOn w:val="Normalny"/>
    <w:rsid w:val="00682224"/>
    <w:rPr>
      <w:rFonts w:eastAsia="Calibri"/>
      <w:color w:val="000000"/>
      <w:sz w:val="22"/>
      <w:szCs w:val="22"/>
      <w:lang w:val="bg-BG" w:eastAsia="bg-BG"/>
    </w:rPr>
  </w:style>
  <w:style w:type="paragraph" w:customStyle="1" w:styleId="thdiv">
    <w:name w:val="th_div"/>
    <w:basedOn w:val="Normalny"/>
    <w:rsid w:val="00682224"/>
    <w:pPr>
      <w:pBdr>
        <w:left w:val="none" w:sz="0" w:space="5" w:color="auto"/>
        <w:right w:val="none" w:sz="0" w:space="5" w:color="auto"/>
      </w:pBdr>
      <w:jc w:val="center"/>
    </w:pPr>
    <w:rPr>
      <w:rFonts w:eastAsia="Calibri"/>
      <w:b/>
      <w:bCs/>
      <w:color w:val="000000"/>
      <w:sz w:val="22"/>
      <w:szCs w:val="22"/>
      <w:lang w:val="bg-BG" w:eastAsia="bg-BG"/>
    </w:rPr>
  </w:style>
  <w:style w:type="table" w:customStyle="1" w:styleId="con-table-width">
    <w:name w:val="con-table-width"/>
    <w:basedOn w:val="Standardowy"/>
    <w:rsid w:val="00682224"/>
    <w:rPr>
      <w:rFonts w:ascii="Times New Roman" w:hAnsi="Times New Roman"/>
      <w:color w:val="000000"/>
      <w:lang w:val="bg-BG" w:eastAsia="bg-BG"/>
    </w:rPr>
    <w:tblPr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469B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mailto:mfeog@klimat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://www.eog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og.gov.pl/media/71161/Wytyczne_KPK_w_zakresie_procedury_wyboru_projektow_konkursowych_2019_03_0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wd.nfosigw.gov.pl" TargetMode="External"/><Relationship Id="rId19" Type="http://schemas.openxmlformats.org/officeDocument/2006/relationships/hyperlink" Target="https://www.eog.gov.pl/strony/zapoznaj-sie-z-funduszami/zasady-zglaszania-nieprawidlowo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71162/Wytyczne_KPK_w_zakresie_zamowien_publicznych_podpisane_2019_03_06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A4F1-0B11-447E-83D0-830A1E10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3033</Words>
  <Characters>22147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KAMIŃSKA Angelika</cp:lastModifiedBy>
  <cp:revision>12</cp:revision>
  <cp:lastPrinted>2020-03-09T10:11:00Z</cp:lastPrinted>
  <dcterms:created xsi:type="dcterms:W3CDTF">2020-03-09T08:29:00Z</dcterms:created>
  <dcterms:modified xsi:type="dcterms:W3CDTF">2020-03-12T10:29:00Z</dcterms:modified>
</cp:coreProperties>
</file>