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CB4625">
        <w:rPr>
          <w:rFonts w:ascii="Arial" w:hAnsi="Arial" w:cs="Arial"/>
          <w:b/>
          <w:bCs/>
        </w:rPr>
        <w:t>20</w:t>
      </w:r>
      <w:r w:rsidR="00D42943">
        <w:rPr>
          <w:rFonts w:ascii="Arial" w:hAnsi="Arial" w:cs="Arial"/>
          <w:b/>
          <w:bCs/>
        </w:rPr>
        <w:t>.2023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D42943" w:rsidRDefault="00584E1B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943">
        <w:rPr>
          <w:rFonts w:ascii="Arial" w:hAnsi="Arial" w:cs="Arial"/>
          <w:sz w:val="18"/>
          <w:szCs w:val="18"/>
        </w:rPr>
        <w:t xml:space="preserve">          </w:t>
      </w:r>
      <w:r w:rsidR="00D42943">
        <w:rPr>
          <w:rFonts w:ascii="Arial" w:hAnsi="Arial" w:cs="Arial"/>
          <w:sz w:val="18"/>
          <w:szCs w:val="18"/>
        </w:rPr>
        <w:t>N</w:t>
      </w:r>
      <w:r w:rsidR="00256A64" w:rsidRPr="00D42943">
        <w:rPr>
          <w:rFonts w:ascii="Arial" w:hAnsi="Arial" w:cs="Arial"/>
          <w:sz w:val="18"/>
          <w:szCs w:val="18"/>
        </w:rPr>
        <w:t>azwa</w:t>
      </w:r>
      <w:r w:rsidRPr="00D42943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391085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391085" w:rsidRPr="00391085">
        <w:rPr>
          <w:rFonts w:ascii="Arial" w:hAnsi="Arial" w:cs="Arial"/>
          <w:b/>
        </w:rPr>
        <w:t>„</w:t>
      </w:r>
      <w:r w:rsidR="00CB4625">
        <w:rPr>
          <w:rFonts w:ascii="Arial" w:hAnsi="Arial" w:cs="Arial"/>
          <w:b/>
        </w:rPr>
        <w:t>S</w:t>
      </w:r>
      <w:r w:rsidR="00CB4625" w:rsidRPr="00CB4625">
        <w:rPr>
          <w:rFonts w:ascii="Arial" w:hAnsi="Arial" w:cs="Arial"/>
          <w:b/>
        </w:rPr>
        <w:t>ukcesywn</w:t>
      </w:r>
      <w:r w:rsidR="00CB4625">
        <w:rPr>
          <w:rFonts w:ascii="Arial" w:hAnsi="Arial" w:cs="Arial"/>
          <w:b/>
        </w:rPr>
        <w:t>a</w:t>
      </w:r>
      <w:r w:rsidR="00CB4625" w:rsidRPr="00CB4625">
        <w:rPr>
          <w:rFonts w:ascii="Arial" w:hAnsi="Arial" w:cs="Arial"/>
          <w:b/>
        </w:rPr>
        <w:t xml:space="preserve"> dostaw</w:t>
      </w:r>
      <w:r w:rsidR="00CB4625">
        <w:rPr>
          <w:rFonts w:ascii="Arial" w:hAnsi="Arial" w:cs="Arial"/>
          <w:b/>
        </w:rPr>
        <w:t>a</w:t>
      </w:r>
      <w:r w:rsidR="00CB4625" w:rsidRPr="00CB4625">
        <w:rPr>
          <w:rFonts w:ascii="Arial" w:hAnsi="Arial" w:cs="Arial"/>
          <w:b/>
        </w:rPr>
        <w:t xml:space="preserve"> artykułów biurowych na potrzeby Państwowej Inspekcji Pracy Okręgowego Inspektoratu Pracy w Łodzi oraz oddziałów</w:t>
      </w:r>
      <w:r w:rsidR="00391085" w:rsidRPr="00391085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D42943" w:rsidRDefault="00982D11" w:rsidP="00D42943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odpis(y) osoby(osób) upoważnionej(</w:t>
      </w:r>
      <w:proofErr w:type="spellStart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</w:t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982D11" w:rsidRDefault="00D42943" w:rsidP="00D42943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podpisana kwalifikowanym podpisem elektronicznym lub podpisem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P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>zaufanym lub podpisem osobistym.</w:t>
      </w:r>
    </w:p>
    <w:sectPr w:rsidR="00D42943" w:rsidRPr="00D42943" w:rsidSect="00D42943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0643CC"/>
    <w:rsid w:val="000D4EA6"/>
    <w:rsid w:val="00256A64"/>
    <w:rsid w:val="003503A5"/>
    <w:rsid w:val="00391085"/>
    <w:rsid w:val="003C3AA8"/>
    <w:rsid w:val="004558FD"/>
    <w:rsid w:val="00584E1B"/>
    <w:rsid w:val="00643BF6"/>
    <w:rsid w:val="007B5B37"/>
    <w:rsid w:val="00982D11"/>
    <w:rsid w:val="009B0D9F"/>
    <w:rsid w:val="00B06170"/>
    <w:rsid w:val="00C03646"/>
    <w:rsid w:val="00C04A27"/>
    <w:rsid w:val="00C54B1B"/>
    <w:rsid w:val="00C76170"/>
    <w:rsid w:val="00CB4625"/>
    <w:rsid w:val="00D42943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570</Words>
  <Characters>3424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2023-02-23T13:22:00Z</dcterms:created>
  <dcterms:modified xsi:type="dcterms:W3CDTF">2023-02-23T13:22:00Z</dcterms:modified>
</cp:coreProperties>
</file>