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D2" w:rsidRDefault="006A4AFC">
      <w:pPr>
        <w:tabs>
          <w:tab w:val="center" w:pos="1418"/>
        </w:tabs>
        <w:snapToGrid w:val="0"/>
        <w:spacing w:line="360" w:lineRule="auto"/>
        <w:ind w:right="15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Łódź, </w:t>
      </w:r>
      <w:bookmarkStart w:id="1" w:name="EZDDataPodpisu"/>
      <w:r>
        <w:rPr>
          <w:rFonts w:ascii="Calibri" w:hAnsi="Calibri"/>
          <w:sz w:val="24"/>
          <w:szCs w:val="24"/>
        </w:rPr>
        <w:t>2</w:t>
      </w:r>
      <w:bookmarkEnd w:id="1"/>
      <w:r>
        <w:rPr>
          <w:rFonts w:ascii="Calibri" w:hAnsi="Calibri"/>
          <w:sz w:val="24"/>
          <w:szCs w:val="24"/>
        </w:rPr>
        <w:t>8 lipca 2023</w:t>
      </w:r>
      <w:r>
        <w:rPr>
          <w:rFonts w:ascii="Calibri" w:hAnsi="Calibri"/>
          <w:sz w:val="24"/>
          <w:szCs w:val="24"/>
          <w:lang w:val="en-US"/>
        </w:rPr>
        <w:t xml:space="preserve"> r.</w:t>
      </w:r>
    </w:p>
    <w:p w:rsidR="007123D2" w:rsidRDefault="006A4AFC">
      <w:pPr>
        <w:tabs>
          <w:tab w:val="center" w:pos="1418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ab/>
      </w:r>
      <w:bookmarkStart w:id="2" w:name="ezdSprawaZnak"/>
      <w:r>
        <w:rPr>
          <w:rFonts w:ascii="Calibri" w:hAnsi="Calibri"/>
          <w:sz w:val="24"/>
          <w:szCs w:val="24"/>
          <w:lang w:val="en-US"/>
        </w:rPr>
        <w:t>GPB-II.7840.97.2023</w:t>
      </w:r>
      <w:bookmarkEnd w:id="2"/>
      <w:r>
        <w:rPr>
          <w:rFonts w:ascii="Calibri" w:hAnsi="Calibri"/>
          <w:sz w:val="24"/>
          <w:szCs w:val="24"/>
          <w:lang w:val="en-US"/>
        </w:rPr>
        <w:t xml:space="preserve">.AS/WM </w:t>
      </w:r>
    </w:p>
    <w:p w:rsidR="007123D2" w:rsidRDefault="006A4AFC">
      <w:pPr>
        <w:tabs>
          <w:tab w:val="center" w:pos="1418"/>
        </w:tabs>
        <w:spacing w:before="360" w:line="360" w:lineRule="auto"/>
        <w:jc w:val="center"/>
        <w:rPr>
          <w:rFonts w:eastAsia="NSimSun"/>
        </w:rPr>
      </w:pPr>
      <w:r>
        <w:rPr>
          <w:rFonts w:ascii="Calibri" w:eastAsia="NSimSun" w:hAnsi="Calibri"/>
          <w:b/>
          <w:sz w:val="24"/>
          <w:szCs w:val="24"/>
        </w:rPr>
        <w:t>DECYZJA  Nr  169 / 23</w:t>
      </w:r>
    </w:p>
    <w:p w:rsidR="007123D2" w:rsidRDefault="006A4AFC">
      <w:pPr>
        <w:spacing w:before="180" w:line="360" w:lineRule="auto"/>
        <w:rPr>
          <w:rFonts w:eastAsia="NSimSun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  <w:t>Na podstawie art. 15, art. 16, art. 34 oraz art. 38 pkt 4 lit. h) i art. 39 ust. 1 ustawy z dnia 24 kwietnia 2009 r. o inwestycjach w zakresie terminalu regazyfikacyjnego skrop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lonego gazu ziemnego w Świnoujściu (t.j. Dz. U. z 2023 r. poz. 924), zwanej dalej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specustawą</w:t>
      </w:r>
      <w:r>
        <w:rPr>
          <w:rFonts w:ascii="Calibri" w:eastAsia="NSimSun" w:hAnsi="Calibri"/>
          <w:color w:val="000000" w:themeColor="text1"/>
          <w:sz w:val="24"/>
          <w:szCs w:val="24"/>
        </w:rPr>
        <w:t>, oraz art. 28, 33 ust. 1, art. 34 ust. 4 i art. 36 ustawy z dnia 7 lipca 1994 r. – Prawo budowlane (</w:t>
      </w:r>
      <w:r>
        <w:rPr>
          <w:rFonts w:ascii="Calibri" w:eastAsia="NSimSun" w:hAnsi="Calibri"/>
          <w:color w:val="000000" w:themeColor="text1"/>
          <w:spacing w:val="6"/>
          <w:sz w:val="24"/>
          <w:szCs w:val="24"/>
        </w:rPr>
        <w:t>t.j. Dz. U. z 2023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r. poz. 682, ze zm.), oraz art. 84, art. 85 </w:t>
      </w:r>
      <w:r>
        <w:rPr>
          <w:rFonts w:ascii="Calibri" w:eastAsia="NSimSun" w:hAnsi="Calibri"/>
          <w:sz w:val="24"/>
          <w:szCs w:val="24"/>
        </w:rPr>
        <w:t>ust. 1-4 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z dnia 16 kwietnia 2004 r. o ochronie przyrody (t.j. Dz. U. z 2023 r. poz. 1336), zwanej dalej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ustawą</w:t>
      </w:r>
      <w:r>
        <w:rPr>
          <w:rFonts w:ascii="Calibri" w:eastAsia="NSimSun" w:hAnsi="Calibri"/>
          <w:color w:val="000000" w:themeColor="text1"/>
          <w:spacing w:val="-2"/>
          <w:sz w:val="24"/>
          <w:szCs w:val="24"/>
        </w:rPr>
        <w:t xml:space="preserve">, i art. 104 ustawy z dnia 14 czerwca </w:t>
      </w:r>
      <w:r>
        <w:rPr>
          <w:rFonts w:ascii="Calibri" w:eastAsia="NSimSun" w:hAnsi="Calibri"/>
          <w:spacing w:val="-2"/>
          <w:sz w:val="24"/>
          <w:szCs w:val="24"/>
        </w:rPr>
        <w:t>1960 r. –</w:t>
      </w:r>
      <w:r>
        <w:rPr>
          <w:rFonts w:ascii="Calibri" w:eastAsia="NSimSun" w:hAnsi="Calibri"/>
          <w:sz w:val="24"/>
          <w:szCs w:val="24"/>
        </w:rPr>
        <w:t xml:space="preserve"> Kodeks postępowania administracyjnego (t.j. Dz. U. z 2023 r. poz. 775, ze zm.), zwanej dale</w:t>
      </w:r>
      <w:r>
        <w:rPr>
          <w:rFonts w:ascii="Calibri" w:eastAsia="NSimSun" w:hAnsi="Calibri"/>
          <w:sz w:val="24"/>
          <w:szCs w:val="24"/>
        </w:rPr>
        <w:t xml:space="preserve">j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>, po rozpatrzeniu wniosku o pozwolenie na budowę złożonego 29.05.2023 r. i ostatecznie skorygowanego 29.06.</w:t>
      </w:r>
      <w:r>
        <w:rPr>
          <w:rFonts w:ascii="Calibri" w:hAnsi="Calibri"/>
          <w:sz w:val="24"/>
          <w:szCs w:val="24"/>
        </w:rPr>
        <w:t xml:space="preserve">2023 r. </w:t>
      </w:r>
    </w:p>
    <w:p w:rsidR="007123D2" w:rsidRDefault="006A4AFC">
      <w:pPr>
        <w:numPr>
          <w:ilvl w:val="0"/>
          <w:numId w:val="14"/>
        </w:numPr>
        <w:spacing w:before="200" w:line="360" w:lineRule="auto"/>
        <w:ind w:left="1077"/>
        <w:jc w:val="center"/>
        <w:rPr>
          <w:rFonts w:eastAsia="NSimSun"/>
          <w:b/>
          <w:color w:val="000000" w:themeColor="text1"/>
          <w:sz w:val="24"/>
        </w:rPr>
      </w:pPr>
      <w:r>
        <w:rPr>
          <w:rFonts w:ascii="Calibri" w:eastAsia="NSimSun" w:hAnsi="Calibri"/>
          <w:b/>
          <w:sz w:val="24"/>
          <w:szCs w:val="24"/>
        </w:rPr>
        <w:t>Zatwierdzam projekt zagospodarowania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 terenu </w:t>
      </w:r>
    </w:p>
    <w:p w:rsidR="007123D2" w:rsidRDefault="006A4AFC">
      <w:pPr>
        <w:spacing w:after="120" w:line="360" w:lineRule="auto"/>
        <w:jc w:val="center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oraz projekt architektoniczno-budowlany i udzielam pozwolenia na budowę </w:t>
      </w:r>
    </w:p>
    <w:p w:rsidR="007123D2" w:rsidRDefault="006A4AFC">
      <w:pPr>
        <w:spacing w:line="360" w:lineRule="auto"/>
        <w:jc w:val="center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dla: </w:t>
      </w:r>
    </w:p>
    <w:p w:rsidR="007123D2" w:rsidRDefault="006A4AFC">
      <w:pPr>
        <w:spacing w:before="160" w:line="360" w:lineRule="auto"/>
        <w:jc w:val="center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Polskiej Spółki Gazownictwa sp. z o.o. z siedzibą w Tarnowie </w:t>
      </w:r>
    </w:p>
    <w:p w:rsidR="007123D2" w:rsidRDefault="006A4AFC">
      <w:pPr>
        <w:spacing w:line="360" w:lineRule="auto"/>
        <w:jc w:val="center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ul. Wojciecha Bandrowskiego 16, 33-100 Tarnów</w:t>
      </w:r>
    </w:p>
    <w:p w:rsidR="007123D2" w:rsidRDefault="006A4AFC">
      <w:pPr>
        <w:spacing w:before="120" w:after="120" w:line="360" w:lineRule="auto"/>
        <w:jc w:val="center"/>
        <w:rPr>
          <w:rFonts w:ascii="Arial" w:eastAsia="NSimSun" w:hAnsi="Arial" w:cs="Arial"/>
          <w:b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>obejmujące:</w:t>
      </w:r>
    </w:p>
    <w:p w:rsidR="007123D2" w:rsidRDefault="006A4AFC">
      <w:pPr>
        <w:suppressAutoHyphens w:val="0"/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zamierzenie budowlane </w:t>
      </w:r>
      <w:r>
        <w:rPr>
          <w:rFonts w:ascii="Calibri" w:hAnsi="Calibri"/>
          <w:color w:val="000000" w:themeColor="text1"/>
          <w:sz w:val="24"/>
          <w:szCs w:val="24"/>
        </w:rPr>
        <w:t xml:space="preserve">pn. </w:t>
      </w:r>
      <w:r>
        <w:rPr>
          <w:rFonts w:ascii="Calibri" w:hAnsi="Calibri"/>
          <w:sz w:val="24"/>
          <w:szCs w:val="24"/>
        </w:rPr>
        <w:t>„Budowa gazociągu Kalisz – Sieradz - Meszcze wraz z infrastrukturą niezbędną do jego obsługi na terenie wojewó</w:t>
      </w:r>
      <w:r>
        <w:rPr>
          <w:rFonts w:ascii="Calibri" w:hAnsi="Calibri"/>
          <w:sz w:val="24"/>
          <w:szCs w:val="24"/>
        </w:rPr>
        <w:t>dztw łódzkiego i wielkopolskiego” dla zadania inwestycyjnego pn.</w:t>
      </w:r>
      <w:r>
        <w:rPr>
          <w:rFonts w:ascii="Calibri" w:hAnsi="Calibri"/>
          <w:b/>
          <w:sz w:val="24"/>
          <w:szCs w:val="24"/>
        </w:rPr>
        <w:t xml:space="preserve"> „Budowa gazociągu wysokiego ciśnienia MOP 6,3 DN 500 relacji Sieradz – Piotrków Trybunalski – dla odcinka gazociągu o symbolu nr 1 o długości ok. 11,2 km od pkt. Y1 do pkt. Z wraz z infrastru</w:t>
      </w:r>
      <w:r>
        <w:rPr>
          <w:rFonts w:ascii="Calibri" w:hAnsi="Calibri"/>
          <w:b/>
          <w:sz w:val="24"/>
          <w:szCs w:val="24"/>
        </w:rPr>
        <w:t xml:space="preserve">kturą niezbędną do jego obsługi”, </w:t>
      </w:r>
      <w:r>
        <w:rPr>
          <w:rFonts w:ascii="Calibri" w:eastAsia="NSimSun" w:hAnsi="Calibri"/>
          <w:kern w:val="0"/>
          <w:sz w:val="24"/>
          <w:szCs w:val="24"/>
        </w:rPr>
        <w:t xml:space="preserve">zlokalizowane na </w:t>
      </w:r>
      <w:r>
        <w:rPr>
          <w:rFonts w:ascii="Calibri" w:hAnsi="Calibri"/>
          <w:color w:val="000000" w:themeColor="text1"/>
          <w:sz w:val="24"/>
          <w:szCs w:val="24"/>
        </w:rPr>
        <w:t xml:space="preserve">nieruchomościach lub ich częściach, położonych w województwie łódzkim, oznaczonych numerami ewidencyjnymi działek, zgodnie z poniższym wykazem: </w:t>
      </w:r>
    </w:p>
    <w:p w:rsidR="007123D2" w:rsidRDefault="006A4AFC">
      <w:pPr>
        <w:spacing w:before="200" w:line="360" w:lineRule="auto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POWIAT PIOTRKÓW TRYBUNALSKI </w:t>
      </w:r>
    </w:p>
    <w:p w:rsidR="007123D2" w:rsidRDefault="006A4AFC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lastRenderedPageBreak/>
        <w:t>Gmina Miasto Piotrków Trybunals</w:t>
      </w:r>
      <w:r>
        <w:rPr>
          <w:rFonts w:ascii="Calibri" w:hAnsi="Calibri"/>
          <w:b/>
          <w:color w:val="000000" w:themeColor="text1"/>
          <w:sz w:val="24"/>
          <w:szCs w:val="24"/>
        </w:rPr>
        <w:t xml:space="preserve">ki: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  <w:highlight w:val="yellow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0039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>80/1 (z podziału działki 80), 81/1 (z podziału działki 81), 81/2 (z podziału działki 81), 82, 84, 83, 85, 86, 88/1, 88/2, 89, 90, 91, 92, 77, 33, 34, 36, 37, 39, 40, 41, 43, 46, 45, 47, 49, 50, 53, 54, 55, 56, 57, 58, 59, 175, 135, 148, 149, 180, 181, 150,</w:t>
      </w:r>
      <w:r>
        <w:rPr>
          <w:rFonts w:ascii="Calibri" w:eastAsia="NSimSun" w:hAnsi="Calibri"/>
          <w:sz w:val="24"/>
          <w:szCs w:val="24"/>
        </w:rPr>
        <w:t xml:space="preserve"> 182, 151/3, 151/4, 152, 153, 154, 155, 156, 157, 158, 161/1, 162, 183, 163, 165, 166, 167, 170, 171, 172/1, 173/1, 174/1;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0038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 xml:space="preserve">1/2, 2, 3/1, 3/2, 4/2, 4/3, 6, 7, 8/1, 9/7, 10/5, 10/6, 11/22, 184, 55/1, 56/1, 73, 74, 81/2, 85, 86, 127/1, 143, 142, </w:t>
      </w:r>
      <w:r>
        <w:rPr>
          <w:rFonts w:ascii="Calibri" w:eastAsia="NSimSun" w:hAnsi="Calibri"/>
          <w:sz w:val="24"/>
          <w:szCs w:val="24"/>
        </w:rPr>
        <w:t>141, 140, 139, 138, 137, 136, 135, 183, 134, 133, 132, 131, 130, 129, 128;</w:t>
      </w:r>
      <w:r>
        <w:rPr>
          <w:rFonts w:ascii="Calibri" w:eastAsia="NSimSun" w:hAnsi="Calibri"/>
          <w:b/>
          <w:sz w:val="24"/>
          <w:szCs w:val="24"/>
        </w:rPr>
        <w:t xml:space="preserve">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0035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>305/3, 197, 199, 200/5, 201/5, 232, 248/2, 233, 234, 235, 236, 238, 239, 308, 240, 309, 310, 311, 312, 313, 314, 315, 316;</w:t>
      </w:r>
      <w:r>
        <w:rPr>
          <w:rFonts w:ascii="Calibri" w:eastAsia="NSimSun" w:hAnsi="Calibri"/>
          <w:b/>
          <w:sz w:val="24"/>
          <w:szCs w:val="24"/>
        </w:rPr>
        <w:t xml:space="preserve">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0037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>511, 512, 513, 514, 515, 519, 521, 532, 19/4, 522, 523, 27, 541, 539, 537, 535, 533, 530, 528/1, 26, 25, 545, 507/3, 11, 508, 506, 491, 490, 479, 544/2, 466/2, 455, 444, 443, 432, 425, 415, 406, 397, 391, 385, 379, 10, 384, 378, 5/14, 383, 377, 376, 365, 3</w:t>
      </w:r>
      <w:r>
        <w:rPr>
          <w:rFonts w:ascii="Calibri" w:eastAsia="NSimSun" w:hAnsi="Calibri"/>
          <w:sz w:val="24"/>
          <w:szCs w:val="24"/>
        </w:rPr>
        <w:t xml:space="preserve">58, 350, 12, 334, 330, 326, 322, 318, 314, 310, 306, 302, 298, 294, 290, 286, 282, 278, 274, 270, 266, 262, 258, 254, 250, 246, 242, 198/2, 195/2, 192/2, 189/2, 186/2, 183/2, 180/2, 177/2, 174, 171, 168/2, 164/2, 160/2, 158/2, 157/4, 157/1, 149, 147, 145, </w:t>
      </w:r>
      <w:r>
        <w:rPr>
          <w:rFonts w:ascii="Calibri" w:eastAsia="NSimSun" w:hAnsi="Calibri"/>
          <w:sz w:val="24"/>
          <w:szCs w:val="24"/>
        </w:rPr>
        <w:t xml:space="preserve">143, 141, 139, 137, 135, 133, 131, 129, 127, 125, 123, 121, 119, 117, 115, 113, 111, 109, 107, 3, 110, 108, 106, 104, 4/6, 69/1, 5/15, 70/8, 70/9, 6/1, 71/1;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0045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>88/4, 21/4, 72/2, 24;</w:t>
      </w:r>
      <w:r>
        <w:rPr>
          <w:rFonts w:ascii="Calibri" w:eastAsia="NSimSun" w:hAnsi="Calibri"/>
          <w:b/>
          <w:sz w:val="24"/>
          <w:szCs w:val="24"/>
        </w:rPr>
        <w:t xml:space="preserve">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0046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 xml:space="preserve">80/2, 41/6, 41/5, 41/7, 43, 42, 38;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0017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>15;</w:t>
      </w:r>
      <w:r>
        <w:rPr>
          <w:rFonts w:ascii="Calibri" w:eastAsia="NSimSun" w:hAnsi="Calibri"/>
          <w:b/>
          <w:sz w:val="24"/>
          <w:szCs w:val="24"/>
        </w:rPr>
        <w:t xml:space="preserve"> </w:t>
      </w:r>
    </w:p>
    <w:p w:rsidR="007123D2" w:rsidRDefault="006A4AFC">
      <w:pPr>
        <w:spacing w:line="360" w:lineRule="auto"/>
        <w:rPr>
          <w:rFonts w:eastAsia="NSimSun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0008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 xml:space="preserve">5/10 (z podziału działki 5/3), 5/11 (z podziału działki 5/3), 5/9, 8, </w:t>
      </w:r>
    </w:p>
    <w:p w:rsidR="007123D2" w:rsidRDefault="006A4AFC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POWIAT PIOTRKOWSKI </w:t>
      </w:r>
    </w:p>
    <w:p w:rsidR="007123D2" w:rsidRDefault="006A4AFC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Gmina Sulejów, obręb 0017 Poniatów </w:t>
      </w:r>
      <w:r>
        <w:rPr>
          <w:rFonts w:ascii="Calibri" w:hAnsi="Calibri"/>
          <w:color w:val="000000" w:themeColor="text1"/>
          <w:sz w:val="24"/>
          <w:szCs w:val="24"/>
        </w:rPr>
        <w:t xml:space="preserve">- </w:t>
      </w:r>
      <w:r>
        <w:rPr>
          <w:rFonts w:ascii="Calibri" w:eastAsia="NSimSun" w:hAnsi="Calibri"/>
          <w:sz w:val="24"/>
          <w:szCs w:val="24"/>
        </w:rPr>
        <w:t xml:space="preserve">110/3, 183/5, 184, 218, 219, 198, 197. </w:t>
      </w:r>
    </w:p>
    <w:p w:rsidR="007123D2" w:rsidRDefault="006A4AFC">
      <w:pPr>
        <w:spacing w:before="12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>według projektu zagospodarowania terenu i projektu architektoniczno-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budowlanego, które opracowali niżej wymienieni projektanci: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arch. Władysław Piotr Sikora, posiadający uprawnienia budowlane do projektowania w zakresie rozwiązań architektonicznych wszelkich obiektów budowlanych, numer ewidencyjny RP-Upr/140/91, wpisany na listę członków Małopolskiej Okręgowej Izby Archite</w:t>
      </w:r>
      <w:r>
        <w:rPr>
          <w:rFonts w:ascii="Calibri" w:eastAsia="NSimSun" w:hAnsi="Calibri"/>
          <w:sz w:val="24"/>
          <w:szCs w:val="24"/>
        </w:rPr>
        <w:t xml:space="preserve">któw RP pod numerem ewidencyjnym MP-0803;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lastRenderedPageBreak/>
        <w:t>mgr inż. Paweł Antoni Stąsiek, posiadający uprawnienia budowlane do projektowania bez ograniczeń w specjalności instalacyjnej w zakresie sieci, instalacji i urządzeń cieplnych, wentylacyjnych, gazowych, wodociągow</w:t>
      </w:r>
      <w:r>
        <w:rPr>
          <w:rFonts w:ascii="Calibri" w:eastAsia="NSimSun" w:hAnsi="Calibri"/>
          <w:sz w:val="24"/>
          <w:szCs w:val="24"/>
        </w:rPr>
        <w:t xml:space="preserve">ych i kanalizacyjnych, numer ewidencyjny DOŚ/0141/PBS/17, wpisany na listę członków Dolnośląskiej Okręgowej Izby Inżynierów Budownictwa pod numerem ewidencyjnym DOŚ/IS/0385/17;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Piotr Paweł Boruta, posiadający uprawnienia budowlane do projektowani</w:t>
      </w:r>
      <w:r>
        <w:rPr>
          <w:rFonts w:ascii="Calibri" w:eastAsia="NSimSun" w:hAnsi="Calibri"/>
          <w:sz w:val="24"/>
          <w:szCs w:val="24"/>
        </w:rPr>
        <w:t>a bez ograniczeń w specjalności instalacyjnej w zakresie sieci, instalacji i urządzeń cieplnych, wentylacyjnych, gazowych, wodociągowych i kanalizacyjnych, numer ewidencyjny MAP/0606/PWBS/15, wpisany na listę członków Małopolskiej Okręgowej Izby Inżynierów</w:t>
      </w:r>
      <w:r>
        <w:rPr>
          <w:rFonts w:ascii="Calibri" w:eastAsia="NSimSun" w:hAnsi="Calibri"/>
          <w:sz w:val="24"/>
          <w:szCs w:val="24"/>
        </w:rPr>
        <w:t xml:space="preserve"> Budownictwa pod numerem ewidencyjnym MAP/IS/0233/16;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inż. Elżbieta Marzec-Gurbiel, posiadająca uprawnienia budowlane upoważniające do wykonywania samodzielnej funkcji projektanta w specjalności konstrukcyjno-budowlanej, numer ewidencyjny RP-Upr.747/94, w</w:t>
      </w:r>
      <w:r>
        <w:rPr>
          <w:rFonts w:ascii="Calibri" w:eastAsia="NSimSun" w:hAnsi="Calibri"/>
          <w:sz w:val="24"/>
          <w:szCs w:val="24"/>
        </w:rPr>
        <w:t xml:space="preserve">pisana na listę członków Małopolskiej Okręgowej Izby Inżynierów Budownictwa pod numerem ewidencyjnym MAP/BO/2592/01;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Michał Karol Chrzanowski, posiadający uprawnienia budowlane do projektowania bez ograniczeń w specjalności drogowej, numer ewiden</w:t>
      </w:r>
      <w:r>
        <w:rPr>
          <w:rFonts w:ascii="Calibri" w:eastAsia="NSimSun" w:hAnsi="Calibri"/>
          <w:sz w:val="24"/>
          <w:szCs w:val="24"/>
        </w:rPr>
        <w:t xml:space="preserve">cyjny MAP/0004/POOD/12, wpisany na listę członków Małopolskiej Okręgowej Izby Inżynierów Budownictwa pod numerem ewidencyjnym MAP/BD/0295/12;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Krzysztof Drogoś, posiadający uprawnienia budowlane do projektowania bez ograniczeń w specjalności insta</w:t>
      </w:r>
      <w:r>
        <w:rPr>
          <w:rFonts w:ascii="Calibri" w:eastAsia="NSimSun" w:hAnsi="Calibri"/>
          <w:sz w:val="24"/>
          <w:szCs w:val="24"/>
        </w:rPr>
        <w:t xml:space="preserve">lacyjnej w zakresie sieci, instalacji i urządzeń elektrycznych i elektroenergetycznych, numer ewidencyjny 95/2002, wpisany na listę członków Małopolskiej Okręgowej Izby Inżynierów Budownictwa pod numerem ewidencyjnym MAP/IE/0150/03;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Piotr Antoniu</w:t>
      </w:r>
      <w:r>
        <w:rPr>
          <w:rFonts w:ascii="Calibri" w:eastAsia="NSimSun" w:hAnsi="Calibri"/>
          <w:sz w:val="24"/>
          <w:szCs w:val="24"/>
        </w:rPr>
        <w:t>k, posiadający uprawnienia budowlane do projektowania bez ograniczeń w specjalności instalacyjnej w zakresie sieci, instalacji i urządzeń elektrycznych i elektroenergetycznych, numer ewidencyjny PDL/0179/PBE/15, wpisany na listę członków Podlaskiej Okręgow</w:t>
      </w:r>
      <w:r>
        <w:rPr>
          <w:rFonts w:ascii="Calibri" w:eastAsia="NSimSun" w:hAnsi="Calibri"/>
          <w:sz w:val="24"/>
          <w:szCs w:val="24"/>
        </w:rPr>
        <w:t xml:space="preserve">ej Izby Inżynierów Budownictwa pod numerem ewidencyjnym PDL/IE/0003/16;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Łukasz Grzelak, posiadający uprawnienia budowlane do projektowania bez ograniczeń w specjalności instalacyjnej w zakresie sieci, instalacji i urządzeń elektrycznych i elektro</w:t>
      </w:r>
      <w:r>
        <w:rPr>
          <w:rFonts w:ascii="Calibri" w:eastAsia="NSimSun" w:hAnsi="Calibri"/>
          <w:sz w:val="24"/>
          <w:szCs w:val="24"/>
        </w:rPr>
        <w:t xml:space="preserve">energetycznych, numer ewidencyjny PDL/0084/PWOE/13, </w:t>
      </w:r>
      <w:r>
        <w:rPr>
          <w:rFonts w:ascii="Calibri" w:eastAsia="NSimSun" w:hAnsi="Calibri"/>
          <w:sz w:val="24"/>
          <w:szCs w:val="24"/>
        </w:rPr>
        <w:lastRenderedPageBreak/>
        <w:t xml:space="preserve">wpisany na listę członków Podlaskiej Okręgowej Izby Inżynierów Budownictwa pod numerem ewidencyjnym PDL/IE/0073/13;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Hanna Matus, posiadająca uprawnienia budowlane do pełnienia samodzielnej funkc</w:t>
      </w:r>
      <w:r>
        <w:rPr>
          <w:rFonts w:ascii="Calibri" w:eastAsia="NSimSun" w:hAnsi="Calibri"/>
          <w:sz w:val="24"/>
          <w:szCs w:val="24"/>
        </w:rPr>
        <w:t>ji technicznej projektanta w specjalności instalacyjno-inżynieryjnej w zakresie sieci i instalacji elektrycznych, numer ewidencyjny St-707/89, wpisana na listę członków Mazowieckiej Okręgowej Izby Inżynierów Budownictwa pod numerem ewidencyjnym MAZ/IE/6337</w:t>
      </w:r>
      <w:r>
        <w:rPr>
          <w:rFonts w:ascii="Calibri" w:eastAsia="NSimSun" w:hAnsi="Calibri"/>
          <w:sz w:val="24"/>
          <w:szCs w:val="24"/>
        </w:rPr>
        <w:t xml:space="preserve">/01;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tech. Eugeniusz Chuderski, posiadający uprawnienia budowlane w telekomunikacji do projektowania w specjalnościach instalacyjnych w telekomunikacji przewodowej wraz z infrastrukturą towarzyszącą w zakresie linii, instalacji i urządzeń liniowych, numer</w:t>
      </w:r>
      <w:r>
        <w:rPr>
          <w:rFonts w:ascii="Calibri" w:eastAsia="NSimSun" w:hAnsi="Calibri"/>
          <w:sz w:val="24"/>
          <w:szCs w:val="24"/>
        </w:rPr>
        <w:t xml:space="preserve"> ewidencyjny 1628/99/U, wpisany na listę członków Małopolskiej Okręgowej Izby Inżynierów Budownictwa pod numerem ewidencyjnym MAP/IE/5727/02; </w:t>
      </w:r>
    </w:p>
    <w:p w:rsidR="007123D2" w:rsidRDefault="006A4AFC">
      <w:pPr>
        <w:numPr>
          <w:ilvl w:val="0"/>
          <w:numId w:val="2"/>
        </w:numPr>
        <w:spacing w:line="360" w:lineRule="auto"/>
        <w:ind w:left="714" w:hanging="357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mgr inż. Tadeusz Frączysty, posiadający uprawnienia budowlane do projektowania bez ograniczeń w specjalności inst</w:t>
      </w:r>
      <w:r>
        <w:rPr>
          <w:rFonts w:ascii="Calibri" w:eastAsia="NSimSun" w:hAnsi="Calibri"/>
          <w:sz w:val="24"/>
          <w:szCs w:val="24"/>
        </w:rPr>
        <w:t>alacyjnej w zakresie sieci, instalacji i urządzeń cieplnych, wentylacyjnych, gazowych, wodociągowych i kanalizacyjnych, numer ewidencyjny MAP/0309/PWBS/15, wpisany na listę członków Małopolskiej Okręgowej Izby Inżynierów Budownictwa pod numerem ewidencyjny</w:t>
      </w:r>
      <w:r>
        <w:rPr>
          <w:rFonts w:ascii="Calibri" w:eastAsia="NSimSun" w:hAnsi="Calibri"/>
          <w:sz w:val="24"/>
          <w:szCs w:val="24"/>
        </w:rPr>
        <w:t xml:space="preserve">m MAP/IS/0305/15, </w:t>
      </w:r>
    </w:p>
    <w:p w:rsidR="007123D2" w:rsidRDefault="006A4AFC">
      <w:pPr>
        <w:spacing w:before="60" w:after="6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z zachowaniem następujących warunków: </w:t>
      </w:r>
    </w:p>
    <w:p w:rsidR="007123D2" w:rsidRDefault="006A4AFC">
      <w:pPr>
        <w:numPr>
          <w:ilvl w:val="0"/>
          <w:numId w:val="3"/>
        </w:numPr>
        <w:spacing w:line="360" w:lineRule="auto"/>
        <w:ind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Szczególne warunki zabezpieczenia terenu budowy i prowadzenia robót budowlanych: </w:t>
      </w:r>
    </w:p>
    <w:p w:rsidR="007123D2" w:rsidRDefault="006A4AFC">
      <w:pPr>
        <w:numPr>
          <w:ilvl w:val="0"/>
          <w:numId w:val="4"/>
        </w:numPr>
        <w:spacing w:line="360" w:lineRule="auto"/>
        <w:ind w:left="1083"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budowę (roboty budowlane) można rozpocząć jedynie na podstawie decyzji o pozwoleniu na budowę (zgodnie z art. 28 ustawy - Prawo budowlane); </w:t>
      </w:r>
    </w:p>
    <w:p w:rsidR="007123D2" w:rsidRDefault="006A4AFC">
      <w:pPr>
        <w:numPr>
          <w:ilvl w:val="0"/>
          <w:numId w:val="4"/>
        </w:numPr>
        <w:suppressAutoHyphens w:val="0"/>
        <w:spacing w:line="360" w:lineRule="auto"/>
        <w:ind w:left="1083"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>budowę należy prowadzić zgodnie z zatwierdzonym projektem zagospodarowania terenu i projektem architektoniczno-budo</w:t>
      </w: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wlanym, obowiązującymi przepisami oraz sztuką budowlaną; </w:t>
      </w:r>
    </w:p>
    <w:p w:rsidR="007123D2" w:rsidRDefault="006A4AFC">
      <w:pPr>
        <w:numPr>
          <w:ilvl w:val="0"/>
          <w:numId w:val="4"/>
        </w:numPr>
        <w:suppressAutoHyphens w:val="0"/>
        <w:spacing w:line="360" w:lineRule="auto"/>
        <w:ind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należy spełnić wymagania określone w uzgodnieniach, opiniach branżowych, postanowieniach i decyzjach wynikających z przepisów szczególnych; </w:t>
      </w:r>
    </w:p>
    <w:p w:rsidR="007123D2" w:rsidRDefault="006A4AFC">
      <w:pPr>
        <w:numPr>
          <w:ilvl w:val="0"/>
          <w:numId w:val="4"/>
        </w:numPr>
        <w:suppressAutoHyphens w:val="0"/>
        <w:spacing w:line="360" w:lineRule="auto"/>
        <w:ind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>budowę należy prowadzić przestrzegając obowiązujących prz</w:t>
      </w: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episów dotyczących bezpieczeństwa i higieny pracy; </w:t>
      </w:r>
    </w:p>
    <w:p w:rsidR="007123D2" w:rsidRDefault="006A4AFC">
      <w:pPr>
        <w:numPr>
          <w:ilvl w:val="0"/>
          <w:numId w:val="4"/>
        </w:numPr>
        <w:suppressAutoHyphens w:val="0"/>
        <w:spacing w:line="360" w:lineRule="auto"/>
        <w:ind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pacing w:val="-4"/>
          <w:kern w:val="0"/>
          <w:sz w:val="24"/>
          <w:szCs w:val="24"/>
          <w:lang w:eastAsia="pl-PL"/>
        </w:rPr>
        <w:t>w czasie wykonywania robót budowlanych należy przestrzegać praw osób trzecich</w:t>
      </w: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; </w:t>
      </w:r>
    </w:p>
    <w:p w:rsidR="007123D2" w:rsidRDefault="006A4AFC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roboty 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>w pasie drogowym prowadzić zgodnie z projektem organizacji ruchu na czas budowy, zatwierdzonym przez organ zarządzają</w:t>
      </w: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t xml:space="preserve">cy ruchem; </w:t>
      </w:r>
    </w:p>
    <w:p w:rsidR="007123D2" w:rsidRDefault="006A4AFC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Calibri" w:hAnsi="Calibri"/>
          <w:color w:val="000000"/>
          <w:kern w:val="0"/>
          <w:sz w:val="24"/>
          <w:szCs w:val="24"/>
          <w:lang w:eastAsia="pl-PL"/>
        </w:rPr>
        <w:lastRenderedPageBreak/>
        <w:t xml:space="preserve">należy uzyskać zgodę zarządcy drogi na zajęcie pasa drogowego; </w:t>
      </w:r>
    </w:p>
    <w:p w:rsidR="007123D2" w:rsidRDefault="006A4AFC">
      <w:pPr>
        <w:numPr>
          <w:ilvl w:val="0"/>
          <w:numId w:val="4"/>
        </w:numPr>
        <w:spacing w:line="360" w:lineRule="auto"/>
        <w:ind w:left="1083" w:hanging="357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kern w:val="0"/>
          <w:sz w:val="24"/>
          <w:szCs w:val="24"/>
          <w:lang w:eastAsia="pl-PL"/>
        </w:rPr>
        <w:t xml:space="preserve">kierownik budowy (robót) jest obowiązany prowadzić dziennik budowy zgodnie z rozporządzeniem Ministra Rozwoju i Technologii z dnia 22 grudnia 2022 r. w sprawie dziennika budowy oraz systemu Elektroniczny Dziennik Budowy (t.j. Dz. U. z 2023 r. poz. 45). </w:t>
      </w:r>
    </w:p>
    <w:p w:rsidR="007123D2" w:rsidRDefault="006A4AFC">
      <w:pPr>
        <w:numPr>
          <w:ilvl w:val="0"/>
          <w:numId w:val="3"/>
        </w:numPr>
        <w:spacing w:line="360" w:lineRule="auto"/>
        <w:rPr>
          <w:rFonts w:eastAsia="NSimSun"/>
          <w:color w:val="000000" w:themeColor="text1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>Sz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czegółowe wymagania dotyczące nadzoru na budowie: </w:t>
      </w:r>
    </w:p>
    <w:p w:rsidR="007123D2" w:rsidRDefault="006A4AFC">
      <w:p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>- n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a podstawie § 2 ust. 1 pkt 13 lit. a oraz § 4 rozporządzenia Ministra Infrastruktury z dnia 19 listopada 2001 r. </w:t>
      </w:r>
      <w:bookmarkStart w:id="3" w:name="__DdeLink__2870_915772697"/>
      <w:r>
        <w:rPr>
          <w:rFonts w:ascii="Calibri" w:eastAsia="NSimSun" w:hAnsi="Calibri"/>
          <w:color w:val="000000" w:themeColor="text1"/>
          <w:sz w:val="24"/>
          <w:szCs w:val="24"/>
        </w:rPr>
        <w:t>w sprawie rodzajów obiektów budowlanych, przy których realizacji jest wymagane ustanowien</w:t>
      </w:r>
      <w:r>
        <w:rPr>
          <w:rFonts w:ascii="Calibri" w:eastAsia="NSimSun" w:hAnsi="Calibri"/>
          <w:color w:val="000000" w:themeColor="text1"/>
          <w:sz w:val="24"/>
          <w:szCs w:val="24"/>
        </w:rPr>
        <w:t>ie inspektora nadzoru inwestorskiego</w:t>
      </w:r>
      <w:bookmarkEnd w:id="3"/>
      <w:r>
        <w:rPr>
          <w:rFonts w:ascii="Calibri" w:eastAsia="NSimSun" w:hAnsi="Calibri"/>
          <w:color w:val="000000" w:themeColor="text1"/>
          <w:sz w:val="24"/>
          <w:szCs w:val="24"/>
        </w:rPr>
        <w:t xml:space="preserve"> (Dz. U. z 2001 r. Nr 138, poz. 1554) – nakładam obowiązek ustanowienia inspektora nadzoru inwestorskiego w specjalności instalacyjnej w zakresie sieci, instalacji i urządzeń gazowych.</w:t>
      </w:r>
    </w:p>
    <w:p w:rsidR="007123D2" w:rsidRDefault="006A4AFC">
      <w:pPr>
        <w:numPr>
          <w:ilvl w:val="0"/>
          <w:numId w:val="3"/>
        </w:numPr>
        <w:spacing w:line="360" w:lineRule="auto"/>
        <w:rPr>
          <w:rFonts w:eastAsia="NSimSun"/>
          <w:color w:val="000000" w:themeColor="text1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>Szczegółowe warunki w zakresie ochr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ony środowiska: </w:t>
      </w:r>
    </w:p>
    <w:p w:rsidR="007123D2" w:rsidRDefault="006A4AFC">
      <w:pPr>
        <w:tabs>
          <w:tab w:val="left" w:pos="1276"/>
        </w:tabs>
        <w:spacing w:line="360" w:lineRule="auto"/>
        <w:ind w:left="720"/>
        <w:rPr>
          <w:rFonts w:eastAsia="NSimSun"/>
          <w:sz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- w trakcie prac </w:t>
      </w:r>
      <w:r>
        <w:rPr>
          <w:rFonts w:ascii="Calibri" w:eastAsia="NSimSun" w:hAnsi="Calibri"/>
          <w:color w:val="000000" w:themeColor="text1"/>
          <w:sz w:val="24"/>
          <w:szCs w:val="24"/>
        </w:rPr>
        <w:t>budowlanych Inwestor jest obowiązany uwzględnić ochronę środowiska na obszarze prowadzenia prac, a w szczególności ochronę gleby, zieleni, naturalnego ukształtowania terenu i stosunków wodnych poprzez wykorzystywanie i prz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ekształcanie wymienionych elementów przyrodniczych wyłącznie w takim zakresie, w jakim jest to konieczne w związku z realizacją inwestycji oraz objęte zatwierdzonym projektem budowlanym, </w:t>
      </w:r>
      <w:r>
        <w:rPr>
          <w:rFonts w:ascii="Calibri" w:eastAsia="NSimSun" w:hAnsi="Calibri"/>
          <w:sz w:val="24"/>
          <w:szCs w:val="24"/>
        </w:rPr>
        <w:t xml:space="preserve">wymogami uzgodnień i decyzji organów i instytucji </w:t>
      </w:r>
      <w:r>
        <w:rPr>
          <w:rFonts w:ascii="Calibri" w:eastAsia="NSimSun" w:hAnsi="Calibri"/>
          <w:spacing w:val="-2"/>
          <w:sz w:val="24"/>
          <w:szCs w:val="24"/>
        </w:rPr>
        <w:t>opiniujących i uzga</w:t>
      </w:r>
      <w:r>
        <w:rPr>
          <w:rFonts w:ascii="Calibri" w:eastAsia="NSimSun" w:hAnsi="Calibri"/>
          <w:spacing w:val="-2"/>
          <w:sz w:val="24"/>
          <w:szCs w:val="24"/>
        </w:rPr>
        <w:t>dniających projekt budowlany a w szczególności decyzji Regionalnego Dyrektora Ochrony Środowiska w Łodzi Nr 19/2021 z dnia 17.11.2021 r., znak: WOOŚ.420.27.2020.MOl.24, o środowiskowych uwarunkowaniach</w:t>
      </w:r>
      <w:r>
        <w:rPr>
          <w:rFonts w:ascii="Calibri" w:eastAsia="NSimSun" w:hAnsi="Calibri"/>
          <w:sz w:val="24"/>
          <w:szCs w:val="24"/>
        </w:rPr>
        <w:t>, którą Generalny Dyrektor Ochrony Środowiska decyzją z</w:t>
      </w:r>
      <w:r>
        <w:rPr>
          <w:rFonts w:ascii="Calibri" w:eastAsia="NSimSun" w:hAnsi="Calibri"/>
          <w:sz w:val="24"/>
          <w:szCs w:val="24"/>
        </w:rPr>
        <w:t xml:space="preserve"> dnia 18.08.2022 r., znak: DOOŚ-WDŚZOO.420.71.2021.SP.27, uchylił w części i w tym zakresie orzekł bądź umorzył postępowanie pierwszej instancji, zaś w pozostałej części utrzymał zaskarżoną decyzję w mocy, </w:t>
      </w:r>
    </w:p>
    <w:p w:rsidR="007123D2" w:rsidRDefault="006A4AFC">
      <w:pPr>
        <w:spacing w:before="120" w:line="360" w:lineRule="auto"/>
        <w:rPr>
          <w:rFonts w:eastAsia="NSimSun"/>
          <w:color w:val="000000" w:themeColor="text1"/>
          <w:sz w:val="24"/>
          <w:szCs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- wynikających z art. 36 ust. 1 pkt 1-4 </w:t>
      </w:r>
      <w:r>
        <w:rPr>
          <w:rFonts w:ascii="Calibri" w:eastAsia="NSimSun" w:hAnsi="Calibri"/>
          <w:b/>
          <w:sz w:val="24"/>
          <w:szCs w:val="24"/>
        </w:rPr>
        <w:t>oraz art.</w:t>
      </w:r>
      <w:r>
        <w:rPr>
          <w:rFonts w:ascii="Calibri" w:eastAsia="NSimSun" w:hAnsi="Calibri"/>
          <w:b/>
          <w:sz w:val="24"/>
          <w:szCs w:val="24"/>
        </w:rPr>
        <w:t xml:space="preserve"> 42 ust. 3</w:t>
      </w:r>
      <w:r>
        <w:rPr>
          <w:rFonts w:ascii="Calibri" w:eastAsia="NSimSun" w:hAnsi="Calibri"/>
          <w:sz w:val="24"/>
          <w:szCs w:val="24"/>
        </w:rPr>
        <w:t xml:space="preserve"> ustawy z dnia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7 lipca 1994 r. – Prawo budowlane oraz 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>art. 75 ust. 4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ustawy z dnia 27 kwietnia 2001 r. – Prawo ochrony środowiska (t.j. Dz. U. z 2022 r. poz. 2556, ze zm.). </w:t>
      </w:r>
    </w:p>
    <w:p w:rsidR="007123D2" w:rsidRDefault="006A4AFC">
      <w:pPr>
        <w:spacing w:before="200" w:after="20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II. Zezwalam na usunięcie drzew i krzewów </w:t>
      </w:r>
    </w:p>
    <w:p w:rsidR="007123D2" w:rsidRDefault="006A4AFC">
      <w:pPr>
        <w:numPr>
          <w:ilvl w:val="0"/>
          <w:numId w:val="11"/>
        </w:numPr>
        <w:spacing w:line="360" w:lineRule="auto"/>
        <w:ind w:left="425" w:hanging="425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lastRenderedPageBreak/>
        <w:t>Zezwalam na usunięcie drzew i</w:t>
      </w: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 krzewów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kolidujących z przedmiotową inwestycją, znajdujących się na nieruchomościach, </w:t>
      </w:r>
      <w:r>
        <w:rPr>
          <w:rFonts w:ascii="Calibri" w:eastAsia="NSimSun" w:hAnsi="Calibri"/>
          <w:sz w:val="24"/>
          <w:szCs w:val="24"/>
        </w:rPr>
        <w:t xml:space="preserve">objętych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decyzją </w:t>
      </w:r>
      <w:r>
        <w:rPr>
          <w:rFonts w:ascii="Calibri" w:eastAsia="NSimSun" w:hAnsi="Calibri"/>
          <w:sz w:val="24"/>
          <w:szCs w:val="24"/>
        </w:rPr>
        <w:t xml:space="preserve">Wojewody Łódzkiego Nr 24/2022 </w:t>
      </w:r>
      <w:r>
        <w:rPr>
          <w:rFonts w:ascii="Calibri" w:eastAsia="NSimSun" w:hAnsi="Calibri"/>
          <w:spacing w:val="4"/>
          <w:sz w:val="24"/>
          <w:szCs w:val="24"/>
        </w:rPr>
        <w:t>z 30.11.2022 r., znak: GPB</w:t>
      </w:r>
      <w:r>
        <w:rPr>
          <w:rFonts w:ascii="Calibri" w:eastAsia="NSimSun" w:hAnsi="Calibri"/>
          <w:spacing w:val="4"/>
          <w:sz w:val="24"/>
          <w:szCs w:val="24"/>
        </w:rPr>
        <w:noBreakHyphen/>
        <w:t>I.747.24.2022 MP/SG/MK, o</w:t>
      </w:r>
      <w:r>
        <w:rPr>
          <w:rFonts w:ascii="Calibri" w:eastAsia="NSimSun" w:hAnsi="Calibri"/>
          <w:spacing w:val="-4"/>
          <w:sz w:val="24"/>
          <w:szCs w:val="24"/>
        </w:rPr>
        <w:t xml:space="preserve"> ustaleniu</w:t>
      </w:r>
      <w:r>
        <w:rPr>
          <w:rFonts w:ascii="Calibri" w:eastAsia="NSimSun" w:hAnsi="Calibri"/>
          <w:sz w:val="24"/>
          <w:szCs w:val="24"/>
        </w:rPr>
        <w:t xml:space="preserve"> lokalizacji inwestycji towarzyszącej inwestycjom w zakresie</w:t>
      </w:r>
      <w:r>
        <w:rPr>
          <w:rFonts w:ascii="Calibri" w:eastAsia="NSimSun" w:hAnsi="Calibri"/>
          <w:sz w:val="24"/>
          <w:szCs w:val="24"/>
        </w:rPr>
        <w:t xml:space="preserve"> terminalu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podlegającą natychmiastowemu wykonaniu z mocy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którą Wojewoda Łódzki sprostował z urzędu postanowieniem Nr 4/2023 z 23.06.2023 r., położonych w województwie łódzkim, </w:t>
      </w:r>
      <w:r>
        <w:rPr>
          <w:rFonts w:ascii="Calibri" w:hAnsi="Calibri"/>
          <w:color w:val="000000" w:themeColor="text1"/>
          <w:sz w:val="24"/>
          <w:szCs w:val="24"/>
        </w:rPr>
        <w:t>oznaczonych numerami ewidencyjnymi działek, zgodnie z poniższym wyk</w:t>
      </w:r>
      <w:r>
        <w:rPr>
          <w:rFonts w:ascii="Calibri" w:hAnsi="Calibri"/>
          <w:color w:val="000000" w:themeColor="text1"/>
          <w:sz w:val="24"/>
          <w:szCs w:val="24"/>
        </w:rPr>
        <w:t xml:space="preserve">azem: </w:t>
      </w:r>
    </w:p>
    <w:p w:rsidR="007123D2" w:rsidRDefault="006A4AFC">
      <w:pPr>
        <w:spacing w:line="360" w:lineRule="auto"/>
        <w:ind w:left="425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POWIAT PIOTRKÓW TRYBUNALSKI </w:t>
      </w:r>
    </w:p>
    <w:p w:rsidR="007123D2" w:rsidRDefault="006A4AFC">
      <w:pPr>
        <w:spacing w:line="360" w:lineRule="auto"/>
        <w:ind w:left="425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Gmina Miasto Piotrków Trybunalski: </w:t>
      </w:r>
    </w:p>
    <w:p w:rsidR="007123D2" w:rsidRDefault="006A4AFC">
      <w:pPr>
        <w:spacing w:line="360" w:lineRule="auto"/>
        <w:ind w:left="425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0038 </w:t>
      </w:r>
      <w:r>
        <w:rPr>
          <w:rFonts w:ascii="Calibri" w:hAnsi="Calibri"/>
          <w:color w:val="000000" w:themeColor="text1"/>
          <w:sz w:val="24"/>
          <w:szCs w:val="24"/>
        </w:rPr>
        <w:t xml:space="preserve">– 73, 74, 141; </w:t>
      </w:r>
    </w:p>
    <w:p w:rsidR="007123D2" w:rsidRDefault="006A4AFC">
      <w:pPr>
        <w:spacing w:line="360" w:lineRule="auto"/>
        <w:ind w:left="425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0037 </w:t>
      </w:r>
      <w:r>
        <w:rPr>
          <w:rFonts w:ascii="Calibri" w:hAnsi="Calibri"/>
          <w:color w:val="000000" w:themeColor="text1"/>
          <w:sz w:val="24"/>
          <w:szCs w:val="24"/>
        </w:rPr>
        <w:t xml:space="preserve">– 514, 25, 545, 507/3, 358, 314, 294, 108, 106, 69/1, 6/1, 71/1; </w:t>
      </w:r>
    </w:p>
    <w:p w:rsidR="007123D2" w:rsidRDefault="006A4AFC">
      <w:pPr>
        <w:spacing w:line="360" w:lineRule="auto"/>
        <w:ind w:left="425"/>
        <w:rPr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0046 </w:t>
      </w:r>
      <w:r>
        <w:rPr>
          <w:rFonts w:ascii="Calibri" w:hAnsi="Calibri"/>
          <w:color w:val="000000" w:themeColor="text1"/>
          <w:sz w:val="24"/>
          <w:szCs w:val="24"/>
        </w:rPr>
        <w:t xml:space="preserve">– 80/2, 41/6, 41/5, 41/7, 43; </w:t>
      </w:r>
    </w:p>
    <w:p w:rsidR="007123D2" w:rsidRDefault="006A4AFC">
      <w:pPr>
        <w:spacing w:line="360" w:lineRule="auto"/>
        <w:ind w:left="425"/>
        <w:rPr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obręb 0008 </w:t>
      </w:r>
      <w:r>
        <w:rPr>
          <w:rFonts w:ascii="Calibri" w:hAnsi="Calibri"/>
          <w:color w:val="000000" w:themeColor="text1"/>
          <w:sz w:val="24"/>
          <w:szCs w:val="24"/>
        </w:rPr>
        <w:t xml:space="preserve">– 5/3, </w:t>
      </w:r>
    </w:p>
    <w:p w:rsidR="007123D2" w:rsidRDefault="006A4AFC">
      <w:pPr>
        <w:spacing w:line="360" w:lineRule="auto"/>
        <w:ind w:left="425"/>
        <w:rPr>
          <w:rFonts w:eastAsia="NSimSun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które </w:t>
      </w:r>
      <w:r>
        <w:rPr>
          <w:rFonts w:ascii="Calibri" w:eastAsia="NSimSun" w:hAnsi="Calibri"/>
          <w:sz w:val="24"/>
          <w:szCs w:val="24"/>
        </w:rPr>
        <w:t xml:space="preserve">zostały szczegółowo wskazane w „Inwentaryzacji i waloryzacji zieleni”, stanowiącej załącznik do wniosku o pozwolenie na budowę (art. 16 ust. 2 pkt 1 </w:t>
      </w:r>
      <w:r>
        <w:rPr>
          <w:rFonts w:ascii="Calibri" w:eastAsia="NSimSun" w:hAnsi="Calibri"/>
          <w:i/>
          <w:sz w:val="24"/>
          <w:szCs w:val="24"/>
        </w:rPr>
        <w:t>specustawy</w:t>
      </w:r>
      <w:r>
        <w:rPr>
          <w:rFonts w:ascii="Calibri" w:eastAsia="NSimSun" w:hAnsi="Calibri"/>
          <w:sz w:val="24"/>
          <w:szCs w:val="24"/>
        </w:rPr>
        <w:t xml:space="preserve">). </w:t>
      </w:r>
    </w:p>
    <w:p w:rsidR="007123D2" w:rsidRDefault="006A4AFC">
      <w:pPr>
        <w:numPr>
          <w:ilvl w:val="0"/>
          <w:numId w:val="5"/>
        </w:numPr>
        <w:spacing w:before="80" w:line="360" w:lineRule="auto"/>
        <w:ind w:left="426" w:hanging="426"/>
        <w:rPr>
          <w:rFonts w:eastAsia="NSimSun"/>
        </w:rPr>
      </w:pPr>
      <w:r>
        <w:rPr>
          <w:rFonts w:ascii="Calibri" w:eastAsia="NSimSun" w:hAnsi="Calibri"/>
          <w:sz w:val="24"/>
          <w:szCs w:val="24"/>
          <w:u w:val="single"/>
        </w:rPr>
        <w:t>Ustalam opłatę za usunięcie 336 sztuk drzew i 4 grup krzewów o łącznej powierzchni 1171 m</w:t>
      </w:r>
      <w:r>
        <w:rPr>
          <w:rFonts w:ascii="Calibri" w:eastAsia="NSimSun" w:hAnsi="Calibri"/>
          <w:sz w:val="24"/>
          <w:szCs w:val="24"/>
          <w:u w:val="single"/>
          <w:vertAlign w:val="superscript"/>
        </w:rPr>
        <w:t>2</w:t>
      </w:r>
      <w:r>
        <w:rPr>
          <w:rFonts w:ascii="Calibri" w:eastAsia="NSimSun" w:hAnsi="Calibri"/>
          <w:sz w:val="24"/>
          <w:szCs w:val="24"/>
          <w:u w:val="single"/>
        </w:rPr>
        <w:t xml:space="preserve"> na</w:t>
      </w:r>
      <w:r>
        <w:rPr>
          <w:rFonts w:ascii="Calibri" w:eastAsia="NSimSun" w:hAnsi="Calibri"/>
          <w:sz w:val="24"/>
          <w:szCs w:val="24"/>
          <w:u w:val="single"/>
        </w:rPr>
        <w:t xml:space="preserve"> kwotę 583 254,50 zł</w:t>
      </w:r>
      <w:r>
        <w:rPr>
          <w:rFonts w:ascii="Calibri" w:eastAsia="NSimSun" w:hAnsi="Calibri"/>
          <w:sz w:val="24"/>
          <w:szCs w:val="24"/>
        </w:rPr>
        <w:t xml:space="preserve"> (słownie: pięćset osiemdziesiąt trzy tysiące dwieście pięćdziesiąt cztery złote pięćdziesiąt groszy). Zbiorcze zestawienie naliczenia ww. opłaty według załącznika Nr 1 do niniejszej decyzji. </w:t>
      </w:r>
    </w:p>
    <w:p w:rsidR="007123D2" w:rsidRDefault="006A4AFC">
      <w:pPr>
        <w:spacing w:line="360" w:lineRule="auto"/>
        <w:ind w:left="425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Ustaloną kwotę należy wpłacić na konto NBP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O/Ł 88 1010 1371 0097 0022 3100 0000 Łódzkiego Urzędu Wojewódzkiego w Łodzi, 90-926 Łódź, ul. Piotrkowska 104. </w:t>
      </w:r>
    </w:p>
    <w:p w:rsidR="007123D2" w:rsidRDefault="006A4AFC">
      <w:pPr>
        <w:numPr>
          <w:ilvl w:val="0"/>
          <w:numId w:val="5"/>
        </w:numPr>
        <w:spacing w:before="80" w:line="360" w:lineRule="auto"/>
        <w:ind w:left="425" w:hanging="425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>Ustalam termin wycinki drzew i krzewów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 okresie ważności niniejszej decyzji - wycinkę </w:t>
      </w:r>
      <w:r>
        <w:rPr>
          <w:rFonts w:ascii="Calibri" w:eastAsia="NSimSun" w:hAnsi="Calibri"/>
          <w:color w:val="000000" w:themeColor="text1"/>
          <w:spacing w:val="-2"/>
          <w:sz w:val="24"/>
          <w:szCs w:val="24"/>
        </w:rPr>
        <w:t xml:space="preserve">prowadzić zgodnie z warunkami wskazanymi w </w:t>
      </w:r>
      <w:r>
        <w:rPr>
          <w:rFonts w:ascii="Calibri" w:eastAsia="NSimSun" w:hAnsi="Calibri"/>
          <w:spacing w:val="-2"/>
          <w:sz w:val="24"/>
          <w:szCs w:val="24"/>
        </w:rPr>
        <w:t>decyzji Region</w:t>
      </w:r>
      <w:r>
        <w:rPr>
          <w:rFonts w:ascii="Calibri" w:eastAsia="NSimSun" w:hAnsi="Calibri"/>
          <w:spacing w:val="-2"/>
          <w:sz w:val="24"/>
          <w:szCs w:val="24"/>
        </w:rPr>
        <w:t>alnego Dyrektora Ochrony Środowiska w Łodzi Nr 19/2021 z dnia 17.11.2021 r., znak: WOOŚ.420.27.2020.MOl.24, o środowiskowych uwarunkowaniach</w:t>
      </w:r>
      <w:r>
        <w:rPr>
          <w:rFonts w:ascii="Calibri" w:eastAsia="NSimSun" w:hAnsi="Calibri"/>
          <w:sz w:val="24"/>
          <w:szCs w:val="24"/>
        </w:rPr>
        <w:t>, którą Generalny Dyrektor Ochrony Środowiska decyzją z dnia 18.08.2022 r., znak: DOOŚ-WDŚZOO.420.71.2021.SP.27, uch</w:t>
      </w:r>
      <w:r>
        <w:rPr>
          <w:rFonts w:ascii="Calibri" w:eastAsia="NSimSun" w:hAnsi="Calibri"/>
          <w:sz w:val="24"/>
          <w:szCs w:val="24"/>
        </w:rPr>
        <w:t xml:space="preserve">ylił w części i w tym zakresie orzekł bądź umorzył postępowanie pierwszej instancji, zaś w pozostałej części utrzymał zaskarżoną decyzję w mocy. </w:t>
      </w:r>
    </w:p>
    <w:p w:rsidR="007123D2" w:rsidRDefault="006A4AFC">
      <w:pPr>
        <w:numPr>
          <w:ilvl w:val="0"/>
          <w:numId w:val="5"/>
        </w:numPr>
        <w:spacing w:before="80" w:line="360" w:lineRule="auto"/>
        <w:ind w:left="425" w:hanging="425"/>
        <w:rPr>
          <w:rFonts w:eastAsia="NSimSun"/>
          <w:color w:val="000000" w:themeColor="text1"/>
        </w:rPr>
      </w:pPr>
      <w:r>
        <w:rPr>
          <w:rFonts w:ascii="Calibri" w:eastAsia="NSimSun" w:hAnsi="Calibri"/>
          <w:sz w:val="24"/>
          <w:szCs w:val="24"/>
          <w:u w:val="single"/>
        </w:rPr>
        <w:t>Zobowiązuję Inwestora do wykonania nasadzeń zastępczych</w:t>
      </w:r>
      <w:r>
        <w:rPr>
          <w:rFonts w:ascii="Calibri" w:eastAsia="NSimSun" w:hAnsi="Calibri"/>
          <w:sz w:val="24"/>
          <w:szCs w:val="24"/>
        </w:rPr>
        <w:t xml:space="preserve"> w ramach kompensacji przyrodniczej za wycinkę drzew i </w:t>
      </w:r>
      <w:r>
        <w:rPr>
          <w:rFonts w:ascii="Calibri" w:eastAsia="NSimSun" w:hAnsi="Calibri"/>
          <w:sz w:val="24"/>
          <w:szCs w:val="24"/>
        </w:rPr>
        <w:t xml:space="preserve">krzewów, w terminie do 3 lat od dnia, w którym decyzja o pozwoleniu na użytkowanie inwestycji stanie się ostateczna, na terenach wskazanych w </w:t>
      </w:r>
      <w:r>
        <w:rPr>
          <w:rFonts w:ascii="Calibri" w:eastAsia="NSimSun" w:hAnsi="Calibri"/>
          <w:sz w:val="24"/>
          <w:szCs w:val="24"/>
        </w:rPr>
        <w:lastRenderedPageBreak/>
        <w:t>„Planie gospodarki zielenią”, stanowiącym część zatwierdzonego niniejszą decyzją projektu zagospodarowania terenu.</w:t>
      </w:r>
      <w:r>
        <w:rPr>
          <w:rFonts w:ascii="Calibri" w:eastAsia="NSimSun" w:hAnsi="Calibri"/>
          <w:sz w:val="24"/>
          <w:szCs w:val="24"/>
        </w:rPr>
        <w:t xml:space="preserve"> Zgodnie z decyzją </w:t>
      </w:r>
      <w:r>
        <w:rPr>
          <w:rFonts w:ascii="Calibri" w:eastAsia="NSimSun" w:hAnsi="Calibri"/>
          <w:spacing w:val="-2"/>
          <w:sz w:val="24"/>
          <w:szCs w:val="24"/>
        </w:rPr>
        <w:t>Regionalnego Dyrektora Ochrony Środowiska w Łodzi Nr 19/2021 z dnia 17.11.2021 r., znak: WOOŚ.420.27.2020.MOl.24, o środowiskowych uwarunkowaniach</w:t>
      </w:r>
      <w:r>
        <w:rPr>
          <w:rFonts w:ascii="Calibri" w:eastAsia="NSimSun" w:hAnsi="Calibri"/>
          <w:sz w:val="24"/>
          <w:szCs w:val="24"/>
        </w:rPr>
        <w:t>, którą Generalny Dyrektor Ochrony Środowiska decyzją z dnia 18.08.2022 r., znak: DOOŚ-WDŚZ</w:t>
      </w:r>
      <w:r>
        <w:rPr>
          <w:rFonts w:ascii="Calibri" w:eastAsia="NSimSun" w:hAnsi="Calibri"/>
          <w:sz w:val="24"/>
          <w:szCs w:val="24"/>
        </w:rPr>
        <w:t xml:space="preserve">OO.420.71.2021.SP.27, uchylił w części i w tym zakresie orzekł bądź umorzył postępowanie pierwszej instancji, zaś w pozostałej części utrzymał zaskarżoną decyzję w mocy, należy wykonać nasadzenia zastępcze w pasie montażowym pozostawiając przy tym pas bez </w:t>
      </w:r>
      <w:r>
        <w:rPr>
          <w:rFonts w:ascii="Calibri" w:eastAsia="NSimSun" w:hAnsi="Calibri"/>
          <w:sz w:val="24"/>
          <w:szCs w:val="24"/>
        </w:rPr>
        <w:t>zadrzewień o szerokości 6 m (po 3 m od osi gazociągu). Do nasadzeń zastępczych należy wykorzystać gatunki drzew i krzewów, które uległy wycince oraz gatunki, które stwierdzono w sąsiedztwie przedsięwzięcia z wyłączeniem gatunków obcych, inwazyjnych oraz ni</w:t>
      </w:r>
      <w:r>
        <w:rPr>
          <w:rFonts w:ascii="Calibri" w:eastAsia="NSimSun" w:hAnsi="Calibri"/>
          <w:sz w:val="24"/>
          <w:szCs w:val="24"/>
        </w:rPr>
        <w:t>epożądanych w środowisku przyrodniczym. Ostatecznego doboru sadzonek powinien dokonać nadzór przyrodniczy na etapie realizacji inwestycji. W przypadku braku zgody właścicieli nieruchomości, nasadzenia zastępcze wykonać na terenach Skarbu Państwa i/lub na t</w:t>
      </w:r>
      <w:r>
        <w:rPr>
          <w:rFonts w:ascii="Calibri" w:eastAsia="NSimSun" w:hAnsi="Calibri"/>
          <w:sz w:val="24"/>
          <w:szCs w:val="24"/>
        </w:rPr>
        <w:t xml:space="preserve">erenie gmin, przez które przebiega przedsięwzięcie. </w:t>
      </w:r>
    </w:p>
    <w:p w:rsidR="007123D2" w:rsidRDefault="006A4AFC">
      <w:pPr>
        <w:spacing w:before="80" w:line="360" w:lineRule="auto"/>
        <w:ind w:left="426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 xml:space="preserve">Zgodnie z pismem Urzędu Miejskiego w Sulejowie z dnia 7.11.2022 r., znak: OŚ.6131.2.62.2022.MN, nasadzenia zastępcze będą możliwe do wykonania na działce o nr ewid. 49/1 w obrębie 8 w Sulejowie. Ponadto </w:t>
      </w:r>
      <w:r>
        <w:rPr>
          <w:rFonts w:ascii="Calibri" w:eastAsia="NSimSun" w:hAnsi="Calibri"/>
          <w:sz w:val="24"/>
          <w:szCs w:val="24"/>
        </w:rPr>
        <w:t xml:space="preserve">Urząd Miasta Bełchatowa pismem z dnia 30.01.2023 r., znak: WIŚ.7021.7.132.2022, poinformował o możliwości wykonania nasadzeń zastępczych w południowej części miasta Bełchatowa w okolicy budowanej obecnie wschodniej obwodnicy miasta. </w:t>
      </w:r>
    </w:p>
    <w:p w:rsidR="007123D2" w:rsidRDefault="006A4AFC">
      <w:pPr>
        <w:numPr>
          <w:ilvl w:val="0"/>
          <w:numId w:val="5"/>
        </w:numPr>
        <w:spacing w:before="80" w:line="360" w:lineRule="auto"/>
        <w:ind w:left="425" w:hanging="425"/>
        <w:rPr>
          <w:rFonts w:eastAsia="NSimSun"/>
        </w:rPr>
      </w:pPr>
      <w:r>
        <w:rPr>
          <w:rFonts w:ascii="Calibri" w:eastAsia="NSimSun" w:hAnsi="Calibri"/>
          <w:sz w:val="24"/>
          <w:szCs w:val="24"/>
          <w:u w:val="single"/>
        </w:rPr>
        <w:t xml:space="preserve">Odraczam termin </w:t>
      </w:r>
      <w:r>
        <w:rPr>
          <w:rFonts w:ascii="Calibri" w:eastAsia="NSimSun" w:hAnsi="Calibri"/>
          <w:sz w:val="24"/>
          <w:szCs w:val="24"/>
          <w:u w:val="single"/>
        </w:rPr>
        <w:t>uiszczenia opłaty za usunięcie drzew i krzewów</w:t>
      </w:r>
      <w:r>
        <w:rPr>
          <w:rFonts w:ascii="Calibri" w:eastAsia="NSimSun" w:hAnsi="Calibri"/>
          <w:sz w:val="24"/>
          <w:szCs w:val="24"/>
        </w:rPr>
        <w:t xml:space="preserve"> w kwocie wskazanej w pkt. 2 niniejszej decyzji, na okres 3 lat od dnia upływu terminu wskazanego w pkt 4 niniejszej decyzji, w związku z nałożeniem niniejszą decyzją obowiązku wykonania nasadzeń zastępczych (a</w:t>
      </w:r>
      <w:r>
        <w:rPr>
          <w:rFonts w:ascii="Calibri" w:eastAsia="NSimSun" w:hAnsi="Calibri"/>
          <w:sz w:val="24"/>
          <w:szCs w:val="24"/>
        </w:rPr>
        <w:t xml:space="preserve">rt. 84 ust. 3 </w:t>
      </w:r>
      <w:r>
        <w:rPr>
          <w:rFonts w:ascii="Calibri" w:eastAsia="NSimSun" w:hAnsi="Calibri"/>
          <w:i/>
          <w:sz w:val="24"/>
          <w:szCs w:val="24"/>
        </w:rPr>
        <w:t>ustawy</w:t>
      </w:r>
      <w:r>
        <w:rPr>
          <w:rFonts w:ascii="Calibri" w:eastAsia="NSimSun" w:hAnsi="Calibri"/>
          <w:sz w:val="24"/>
          <w:szCs w:val="24"/>
        </w:rPr>
        <w:t xml:space="preserve">). </w:t>
      </w:r>
    </w:p>
    <w:p w:rsidR="007123D2" w:rsidRDefault="006A4AFC">
      <w:pPr>
        <w:spacing w:line="360" w:lineRule="auto"/>
        <w:ind w:left="425"/>
        <w:contextualSpacing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Jeżeli przesadzone albo posadzone drzewa lub krzewy zachowały żywotność po upływie 3 lat, lub nie zachowały żywotności z przyczyn niezależnych od inwestora, należność z tytułu ustalonej opłaty za usunięcie drzew lub krzewów podlega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umorzeniu (art. 84 ust. 4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ustawy)</w:t>
      </w:r>
      <w:r>
        <w:rPr>
          <w:rFonts w:ascii="Calibri" w:eastAsia="NSimSun" w:hAnsi="Calibri"/>
          <w:color w:val="000000" w:themeColor="text1"/>
          <w:sz w:val="24"/>
          <w:szCs w:val="24"/>
        </w:rPr>
        <w:t>.</w:t>
      </w:r>
    </w:p>
    <w:p w:rsidR="007123D2" w:rsidRDefault="006A4AFC">
      <w:pPr>
        <w:spacing w:line="360" w:lineRule="auto"/>
        <w:ind w:left="425"/>
        <w:contextualSpacing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Jeżeli przesadzone albo posadzone drzewa lub krzewy, albo część z nich, nie zachowały żywotności po upływie 3 lat, z przyczyn zależnych od inwestora, naliczona opłata jest </w:t>
      </w:r>
      <w:r>
        <w:rPr>
          <w:rFonts w:ascii="Calibri" w:eastAsia="NSimSun" w:hAnsi="Calibri"/>
          <w:color w:val="000000" w:themeColor="text1"/>
          <w:sz w:val="24"/>
          <w:szCs w:val="24"/>
        </w:rPr>
        <w:lastRenderedPageBreak/>
        <w:t>przeliczana w sposób proporcjonalny do liczby drz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ew lub powierzchni krzewów, które nie zachowały żywotności (art. 84 ust. 5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>).</w:t>
      </w:r>
    </w:p>
    <w:p w:rsidR="007123D2" w:rsidRDefault="006A4AFC">
      <w:pPr>
        <w:spacing w:line="360" w:lineRule="auto"/>
        <w:ind w:left="426"/>
        <w:contextualSpacing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W przypadku niewykonania nasadzeń zastępczych, lub części z nich, zgodnie z zezwoleniem na usunięcie drzewa lub krzewu, udzielonym niniejszą decyzją, naliczona opłata jest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przeliczana w sposób proporcjonalny do liczby drzew lub powierzchni krzewów, które nie zostały wykonane zgodnie z zezwoleniem (art. 84 ust. 7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>).</w:t>
      </w:r>
    </w:p>
    <w:p w:rsidR="007123D2" w:rsidRDefault="006A4AFC">
      <w:pPr>
        <w:spacing w:line="360" w:lineRule="auto"/>
        <w:ind w:left="425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W razie nieterminowego uiszczenia opłaty pobiera się odsetki za zwłokę w wysokości odsetek pobieranych za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nieterminowe regulowanie zobowiązań podatkowych (art. 87 ust. 4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). </w:t>
      </w:r>
    </w:p>
    <w:p w:rsidR="007123D2" w:rsidRDefault="006A4AFC">
      <w:pPr>
        <w:numPr>
          <w:ilvl w:val="0"/>
          <w:numId w:val="5"/>
        </w:numPr>
        <w:spacing w:before="80" w:line="360" w:lineRule="auto"/>
        <w:ind w:left="425" w:hanging="425"/>
        <w:rPr>
          <w:rFonts w:eastAsia="NSimSun"/>
          <w:color w:val="000000" w:themeColor="text1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>Zobowiązuję Inwestora do złożenia: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</w:t>
      </w:r>
    </w:p>
    <w:p w:rsidR="007123D2" w:rsidRDefault="006A4AFC">
      <w:pPr>
        <w:pStyle w:val="Akapitzlist"/>
        <w:numPr>
          <w:ilvl w:val="0"/>
          <w:numId w:val="15"/>
        </w:numPr>
        <w:spacing w:before="80" w:line="360" w:lineRule="auto"/>
        <w:ind w:left="782" w:hanging="357"/>
        <w:rPr>
          <w:color w:val="000000" w:themeColor="text1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pisemnej informacji wraz z inwentaryzacją - niezwłocznie po dokonaniu nasadzeń zastępczych; </w:t>
      </w:r>
    </w:p>
    <w:p w:rsidR="007123D2" w:rsidRDefault="006A4AFC">
      <w:pPr>
        <w:pStyle w:val="Akapitzlist"/>
        <w:numPr>
          <w:ilvl w:val="0"/>
          <w:numId w:val="15"/>
        </w:numPr>
        <w:spacing w:before="80" w:line="360" w:lineRule="auto"/>
        <w:ind w:left="782" w:hanging="357"/>
        <w:rPr>
          <w:color w:val="000000" w:themeColor="text1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inwentaryzacji wraz z opisem stanu żywotności nasadzeń po upływie 3 lat od dokonania nasadzeń zastępczych, w celu dokonania przez organ odbioru. </w:t>
      </w:r>
    </w:p>
    <w:p w:rsidR="007123D2" w:rsidRDefault="006A4AFC">
      <w:pPr>
        <w:spacing w:before="12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Niniejsza decyzja podlega natychmiastowemu wykonaniu zgodnie z art. 34 ust. 1 </w:t>
      </w:r>
      <w:r>
        <w:rPr>
          <w:rFonts w:ascii="Calibri" w:eastAsia="NSimSun" w:hAnsi="Calibri"/>
          <w:b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. </w:t>
      </w:r>
    </w:p>
    <w:p w:rsidR="007123D2" w:rsidRDefault="007123D2">
      <w:pPr>
        <w:spacing w:before="120" w:line="360" w:lineRule="auto"/>
        <w:jc w:val="center"/>
        <w:rPr>
          <w:rFonts w:eastAsia="NSimSun"/>
          <w:b/>
          <w:color w:val="000000" w:themeColor="text1"/>
        </w:rPr>
      </w:pPr>
    </w:p>
    <w:p w:rsidR="007123D2" w:rsidRDefault="006A4AFC">
      <w:pPr>
        <w:spacing w:before="12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UZASADNIENIE </w:t>
      </w:r>
    </w:p>
    <w:p w:rsidR="007123D2" w:rsidRDefault="006A4AFC">
      <w:pPr>
        <w:spacing w:line="360" w:lineRule="auto"/>
        <w:rPr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  <w:t xml:space="preserve">W </w:t>
      </w:r>
      <w:r>
        <w:rPr>
          <w:rFonts w:ascii="Calibri" w:eastAsia="NSimSun" w:hAnsi="Calibri"/>
          <w:color w:val="000000" w:themeColor="text1"/>
          <w:sz w:val="24"/>
          <w:szCs w:val="24"/>
        </w:rPr>
        <w:t>dniu 29.05.2023 r. do Wojewody Łódzkiego wpłynął wniosek Inwestora – Polskiej Spółki Gazownictwa sp. z o.o. z siedzibą w Tarnowie, reprezentowanego przez pełnomocnika, dotyczący wydania pozwolenia na budowę przedmiotowego przedsięwzięcia. Ponieważ ww. wnio</w:t>
      </w:r>
      <w:r>
        <w:rPr>
          <w:rFonts w:ascii="Calibri" w:eastAsia="NSimSun" w:hAnsi="Calibri"/>
          <w:color w:val="000000" w:themeColor="text1"/>
          <w:sz w:val="24"/>
          <w:szCs w:val="24"/>
        </w:rPr>
        <w:t>sek był niekompletny pod względem formalnym, pismem z 7.06.2023 r. wezwano Inwestora do jego uzupełnienia w terminie 30 dni od dnia otrzymania wezwania. Wniosek został uzupełniony 16.06.2023 r. i ostatecznie skorygowany 29.06</w:t>
      </w:r>
      <w:r>
        <w:rPr>
          <w:rFonts w:ascii="Calibri" w:hAnsi="Calibri"/>
          <w:sz w:val="24"/>
          <w:szCs w:val="24"/>
        </w:rPr>
        <w:t xml:space="preserve">.2023 r., to jest w terminie. </w:t>
      </w:r>
    </w:p>
    <w:p w:rsidR="007123D2" w:rsidRDefault="006A4AFC">
      <w:pPr>
        <w:spacing w:before="12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Do wniosku dołączono m.in.: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trzy egzemplarze projektu budowlanego zawierającego projekt zagospodarowania terenu oraz projekt architektoniczno-budowlany, wraz z opiniami, uzgodnieniami, pozwoleniami i innymi dokumentami, których obowiązek dołączenia wynika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z przepisów odrębnej ustawy, lub kopiami tych opinii, uzgodnień, pozwoleń i innych dokumentów;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lastRenderedPageBreak/>
        <w:t>inwentaryzację znajdujących się na terenie objętym wnioskiem drzew i krzewów, na usunięcie których wymagane jest zezwolenie z wyszczególnieniem gatunku, obwodu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pnia drzewa mierzonego na wysokości 130 cm oraz przeznaczenia i dotychczasowego sposobu wykorzystania terenu, na którym rosną drzewa i krzewy;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</w:pPr>
      <w:r>
        <w:rPr>
          <w:rFonts w:ascii="Calibri" w:eastAsia="NSimSun" w:hAnsi="Calibri"/>
          <w:color w:val="000000" w:themeColor="text1"/>
          <w:sz w:val="24"/>
          <w:szCs w:val="24"/>
        </w:rPr>
        <w:t>plan gospodarki zielenią, jako część projektu zagospodarowania terenu, w którym określono przyczynę i termin za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mierzonego usunięcia poszczególnych drzew lub krzewów, wielkość powierzchni, z której zostaną usunięte krzewy, oraz planowane nasadzenia zastępcze w rozumieniu </w:t>
      </w:r>
      <w:hyperlink r:id="rId8">
        <w:r>
          <w:rPr>
            <w:rStyle w:val="ListLabel110"/>
            <w:rFonts w:ascii="Calibri" w:hAnsi="Calibri"/>
            <w:szCs w:val="24"/>
          </w:rPr>
          <w:t xml:space="preserve">art. 83b ust. 1 pkt 9 lit. </w:t>
        </w:r>
      </w:hyperlink>
      <w:r>
        <w:rPr>
          <w:rFonts w:ascii="Calibri" w:eastAsia="NSimSun" w:hAnsi="Calibri"/>
          <w:color w:val="000000" w:themeColor="text1"/>
          <w:sz w:val="24"/>
          <w:szCs w:val="24"/>
        </w:rPr>
        <w:t xml:space="preserve">a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oświadczenie o posiadanym prawie do dysponowania nieruchomością na cele budowlane;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decyzję Wojewody Łódzkiego Nr 24/2022 z dnia 30.11.2022 r., znak: GPB</w:t>
      </w:r>
      <w:r>
        <w:rPr>
          <w:rFonts w:ascii="Calibri" w:eastAsia="NSimSun" w:hAnsi="Calibri"/>
          <w:color w:val="000000" w:themeColor="text1"/>
          <w:sz w:val="24"/>
          <w:szCs w:val="24"/>
        </w:rPr>
        <w:noBreakHyphen/>
        <w:t>I.747.24.2022 MP/SG/MK, o ustaleniu lokalizac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ji inwestycji towarzyszącej inwestycjom w zakresie terminalu, podlegającą natychmiastowemu wykonaniu z mocy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którą Wojewoda Łódzki sprostował z urzędu postanowieniem Nr 4/2023 z 23.06.2023 r.;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decyzję </w:t>
      </w:r>
      <w:r>
        <w:rPr>
          <w:rFonts w:ascii="Calibri" w:eastAsia="NSimSun" w:hAnsi="Calibri"/>
          <w:spacing w:val="-2"/>
          <w:sz w:val="24"/>
          <w:szCs w:val="24"/>
        </w:rPr>
        <w:t>Regionalnego Dyrektora Ochrony Środowiska w</w:t>
      </w:r>
      <w:r>
        <w:rPr>
          <w:rFonts w:ascii="Calibri" w:eastAsia="NSimSun" w:hAnsi="Calibri"/>
          <w:spacing w:val="-2"/>
          <w:sz w:val="24"/>
          <w:szCs w:val="24"/>
        </w:rPr>
        <w:t xml:space="preserve"> Łodzi Nr 19/2021 z dnia 17.11.2021 r., znak: WOOŚ.420.27.2020.MOl.24, o środowiskowych uwarunkowaniach</w:t>
      </w:r>
      <w:r>
        <w:rPr>
          <w:rFonts w:ascii="Calibri" w:eastAsia="NSimSun" w:hAnsi="Calibri"/>
          <w:sz w:val="24"/>
          <w:szCs w:val="24"/>
        </w:rPr>
        <w:t>, którą Generalny Dyrektor Ochrony Środowiska decyzją z dnia 18.08.2022 r., znak: DOOŚ-WDŚZOO.420.71.2021.SP.27, uchylił w części i w tym zakresie orzekł</w:t>
      </w:r>
      <w:r>
        <w:rPr>
          <w:rFonts w:ascii="Calibri" w:eastAsia="NSimSun" w:hAnsi="Calibri"/>
          <w:sz w:val="24"/>
          <w:szCs w:val="24"/>
        </w:rPr>
        <w:t xml:space="preserve">, uchylił w części i w tym zakresie umorzył postępowanie pierwszej instancji, zaś w pozostałej części utrzymał zaskarżoną decyzję w mocy;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eastAsia="NSimSun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ostateczną decyzję Dyrektora Zarządu Zlewni w Piotrkowie Trybunalskim  Państwowego </w:t>
      </w:r>
      <w:r>
        <w:rPr>
          <w:rFonts w:ascii="Calibri" w:eastAsia="NSimSun" w:hAnsi="Calibri"/>
          <w:color w:val="000000" w:themeColor="text1"/>
          <w:spacing w:val="-4"/>
          <w:sz w:val="24"/>
          <w:szCs w:val="24"/>
        </w:rPr>
        <w:t xml:space="preserve">Gospodarstwa Wodnego Wody Polskie </w:t>
      </w:r>
      <w:r>
        <w:rPr>
          <w:rFonts w:ascii="Calibri" w:eastAsia="NSimSun" w:hAnsi="Calibri"/>
          <w:color w:val="000000" w:themeColor="text1"/>
          <w:spacing w:val="-4"/>
          <w:sz w:val="24"/>
          <w:szCs w:val="24"/>
        </w:rPr>
        <w:t>z dnia 13.03.2023 r., znak: WA.ZUZ.3.4210.3062.2022.DM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udzielającą pozwolenia wodnoprawnego na prowadzenie przez wody powierzchniowe płynące, w granicach linii brzegu, projektowanego gazociągu wysokiego ciśnienia o średnicy DN 500 MOP 6,3 MPa wraz ze światłowodem;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eastAsia="NSimSun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ostateczną decyzję Dyrektora Zarządu Zlewni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 Piotrkowie Trybunalskim Państwowego </w:t>
      </w:r>
      <w:r>
        <w:rPr>
          <w:rFonts w:ascii="Calibri" w:eastAsia="NSimSun" w:hAnsi="Calibri"/>
          <w:color w:val="000000" w:themeColor="text1"/>
          <w:spacing w:val="-4"/>
          <w:sz w:val="24"/>
          <w:szCs w:val="24"/>
        </w:rPr>
        <w:t>Gospodarstwa Wodnego Wody Polskie z dnia 21.03.2023 r., znak: WA.ZUZ.3.4210.37.2023.DM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udzielającą pozwolenia wodnoprawnego na usługę wodną polegającą na jednorazowym poborze wód powierzchniowych do prób </w:t>
      </w:r>
      <w:r>
        <w:rPr>
          <w:rFonts w:ascii="Calibri" w:eastAsia="NSimSun" w:hAnsi="Calibri"/>
          <w:color w:val="000000" w:themeColor="text1"/>
          <w:sz w:val="24"/>
          <w:szCs w:val="24"/>
        </w:rPr>
        <w:lastRenderedPageBreak/>
        <w:t>ciśnieniowyc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h, na usługę wodną polegającą na jednorazowym odprowadzeniu ścieków do wód powierzchniowych oraz na wykonanie urządzeń wodnych; </w:t>
      </w:r>
    </w:p>
    <w:p w:rsidR="007123D2" w:rsidRDefault="006A4AFC">
      <w:pPr>
        <w:numPr>
          <w:ilvl w:val="0"/>
          <w:numId w:val="6"/>
        </w:numPr>
        <w:spacing w:line="360" w:lineRule="auto"/>
        <w:ind w:left="709" w:hanging="425"/>
        <w:rPr>
          <w:rFonts w:eastAsia="NSimSun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decyzję Dyrektora Zarządu Zlewni w Piotrkowie Trybunalskim  Państwowego </w:t>
      </w:r>
      <w:r>
        <w:rPr>
          <w:rFonts w:ascii="Calibri" w:eastAsia="NSimSun" w:hAnsi="Calibri"/>
          <w:color w:val="000000" w:themeColor="text1"/>
          <w:spacing w:val="-4"/>
          <w:sz w:val="24"/>
          <w:szCs w:val="24"/>
        </w:rPr>
        <w:t>Gospodarstwa Wodnego Wody Polskie z dnia 23.05.2023 r.,</w:t>
      </w:r>
      <w:r>
        <w:rPr>
          <w:rFonts w:ascii="Calibri" w:eastAsia="NSimSun" w:hAnsi="Calibri"/>
          <w:color w:val="000000" w:themeColor="text1"/>
          <w:spacing w:val="-4"/>
          <w:sz w:val="24"/>
          <w:szCs w:val="24"/>
        </w:rPr>
        <w:t xml:space="preserve"> znak: WA.ZUZ.3.4210.114.2023.DM</w:t>
      </w:r>
      <w:r>
        <w:rPr>
          <w:rFonts w:ascii="Calibri" w:eastAsia="NSimSun" w:hAnsi="Calibri"/>
          <w:color w:val="000000" w:themeColor="text1"/>
          <w:sz w:val="24"/>
          <w:szCs w:val="24"/>
        </w:rPr>
        <w:t>, udzielającą pozwolenia wodnoprawnego na wykonanie urządzeń wodnych, usługę wodną polegającą na odwadnianiu wykopów budowlanych na pomocą igłofiltrów oraz szczególne korzystanie z wód w zakresie odprowadzania wód pochodzący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ch z odwodnienia wykopów budowlanych, wraz z zaświadczeniem o jej ostateczności. </w:t>
      </w:r>
      <w:bookmarkStart w:id="4" w:name="__DdeLink__737_4259205521"/>
      <w:bookmarkEnd w:id="4"/>
    </w:p>
    <w:p w:rsidR="007123D2" w:rsidRDefault="006A4AFC">
      <w:pPr>
        <w:spacing w:before="12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  <w:t xml:space="preserve">Działając na podstawie art. 8 ust. 1 pkt 1, 2, 4 w związku z art. 15 ust. 4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color w:val="000000" w:themeColor="text1"/>
          <w:sz w:val="24"/>
          <w:szCs w:val="24"/>
        </w:rPr>
        <w:t>, Wojewoda Łódzki, pismem z 3.07.2023 r., zawiadomił o wszczęciu postępowania w sprawie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wydania decyzji o pozwoleniu na budowę inwestycji towarzyszącej inwestycjom w zakresie terminalu: wnioskodawcę, właścicieli i użytkowników wieczystych nieruchomości objętych wnioskiem, Prezydenta Miasta Piotrkowa Trybunalskiego </w:t>
      </w:r>
      <w:r>
        <w:rPr>
          <w:rFonts w:ascii="Calibri" w:eastAsia="NSimSun" w:hAnsi="Calibri"/>
          <w:sz w:val="24"/>
          <w:szCs w:val="24"/>
        </w:rPr>
        <w:t>oraz Starostę Piotrkowskieg</w:t>
      </w:r>
      <w:r>
        <w:rPr>
          <w:rFonts w:ascii="Calibri" w:eastAsia="NSimSun" w:hAnsi="Calibri"/>
          <w:sz w:val="24"/>
          <w:szCs w:val="24"/>
        </w:rPr>
        <w:t xml:space="preserve">o. </w:t>
      </w:r>
    </w:p>
    <w:p w:rsidR="007123D2" w:rsidRDefault="006A4AFC">
      <w:pPr>
        <w:spacing w:line="360" w:lineRule="auto"/>
        <w:rPr>
          <w:rFonts w:eastAsia="NSimSun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  <w:t xml:space="preserve">Na wniosek tutejszego organu dane osobowe właścicieli </w:t>
      </w:r>
      <w:r>
        <w:rPr>
          <w:rFonts w:ascii="Calibri" w:eastAsia="NSimSun" w:hAnsi="Calibri"/>
          <w:sz w:val="24"/>
          <w:szCs w:val="24"/>
        </w:rPr>
        <w:t>nieruchomości objętych wnioskiem – stron postępowania, w tym adresy i numery ksiąg wieczystych, zostały udostępnione przez Urząd Miasta Piotrkowa Trybunalskiego oraz Starostwo Powiatowe w Piotrkowi</w:t>
      </w:r>
      <w:r>
        <w:rPr>
          <w:rFonts w:ascii="Calibri" w:eastAsia="NSimSun" w:hAnsi="Calibri"/>
          <w:sz w:val="24"/>
          <w:szCs w:val="24"/>
        </w:rPr>
        <w:t xml:space="preserve">e Trybunalskim w formie danych z rejestru gruntów. </w:t>
      </w:r>
    </w:p>
    <w:p w:rsidR="007123D2" w:rsidRDefault="006A4AFC">
      <w:pPr>
        <w:spacing w:line="360" w:lineRule="auto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O wszczęciu przedmiotowego postępowania organ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zawiadomił także pozostałe strony, stosownie do art. 8 ust. 1 pkt 3 i ust. 1a w związku z art. 15 ust. 4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poprzez </w:t>
      </w:r>
      <w:r>
        <w:rPr>
          <w:rFonts w:ascii="Calibri" w:eastAsia="NSimSun" w:hAnsi="Calibri"/>
          <w:sz w:val="24"/>
          <w:szCs w:val="24"/>
        </w:rPr>
        <w:t xml:space="preserve">obwieszczenie zamieszczone: </w:t>
      </w:r>
    </w:p>
    <w:p w:rsidR="007123D2" w:rsidRDefault="006A4AFC">
      <w:pPr>
        <w:numPr>
          <w:ilvl w:val="0"/>
          <w:numId w:val="7"/>
        </w:numPr>
        <w:spacing w:line="360" w:lineRule="auto"/>
        <w:rPr>
          <w:rFonts w:eastAsia="NSimSun"/>
          <w:sz w:val="24"/>
        </w:rPr>
      </w:pPr>
      <w:r>
        <w:rPr>
          <w:rFonts w:ascii="Calibri" w:eastAsia="NSimSun" w:hAnsi="Calibri"/>
          <w:sz w:val="24"/>
          <w:szCs w:val="24"/>
        </w:rPr>
        <w:t>w p</w:t>
      </w:r>
      <w:r>
        <w:rPr>
          <w:rFonts w:ascii="Calibri" w:eastAsia="NSimSun" w:hAnsi="Calibri"/>
          <w:sz w:val="24"/>
          <w:szCs w:val="24"/>
        </w:rPr>
        <w:t xml:space="preserve">rasie ogólnopolskiej (Puls Biznesu) - w dniu 6.07.2023 r.; </w:t>
      </w:r>
    </w:p>
    <w:p w:rsidR="007123D2" w:rsidRDefault="006A4AFC">
      <w:pPr>
        <w:numPr>
          <w:ilvl w:val="0"/>
          <w:numId w:val="7"/>
        </w:numPr>
        <w:spacing w:line="360" w:lineRule="auto"/>
        <w:rPr>
          <w:rFonts w:eastAsia="NSimSun"/>
          <w:spacing w:val="-2"/>
          <w:sz w:val="24"/>
        </w:rPr>
      </w:pPr>
      <w:r>
        <w:rPr>
          <w:rFonts w:ascii="Calibri" w:eastAsia="NSimSun" w:hAnsi="Calibri"/>
          <w:spacing w:val="-2"/>
          <w:sz w:val="24"/>
          <w:szCs w:val="24"/>
        </w:rPr>
        <w:t xml:space="preserve">na stronie podmiotowej – w Biuletynie Informacji Publicznej Łódzkiego Urzędu Wojewódzkiego w Łodzi w dniu 6.07.2023 r. – na okres 14 dni od dnia zamieszczenia; </w:t>
      </w:r>
    </w:p>
    <w:p w:rsidR="007123D2" w:rsidRDefault="006A4AFC">
      <w:pPr>
        <w:numPr>
          <w:ilvl w:val="0"/>
          <w:numId w:val="7"/>
        </w:numPr>
        <w:spacing w:line="360" w:lineRule="auto"/>
        <w:rPr>
          <w:rFonts w:eastAsia="NSimSun"/>
          <w:spacing w:val="-2"/>
          <w:sz w:val="24"/>
        </w:rPr>
      </w:pPr>
      <w:r>
        <w:rPr>
          <w:rFonts w:ascii="Calibri" w:eastAsia="NSimSun" w:hAnsi="Calibri"/>
          <w:sz w:val="24"/>
          <w:szCs w:val="24"/>
        </w:rPr>
        <w:t>na tablicy ogłoszeń Ł</w:t>
      </w:r>
      <w:r>
        <w:rPr>
          <w:rFonts w:ascii="Calibri" w:eastAsia="NSimSun" w:hAnsi="Calibri"/>
          <w:spacing w:val="-2"/>
          <w:sz w:val="24"/>
          <w:szCs w:val="24"/>
        </w:rPr>
        <w:t>ódzkiego Urzęd</w:t>
      </w:r>
      <w:r>
        <w:rPr>
          <w:rFonts w:ascii="Calibri" w:eastAsia="NSimSun" w:hAnsi="Calibri"/>
          <w:spacing w:val="-2"/>
          <w:sz w:val="24"/>
          <w:szCs w:val="24"/>
        </w:rPr>
        <w:t xml:space="preserve">u Wojewódzkiego w Łodzi – w terminie od 6.07.2023 r. na okres 14 dni od dnia zamieszczenia; </w:t>
      </w:r>
    </w:p>
    <w:p w:rsidR="007123D2" w:rsidRDefault="006A4AFC">
      <w:pPr>
        <w:numPr>
          <w:ilvl w:val="0"/>
          <w:numId w:val="7"/>
        </w:numPr>
        <w:spacing w:line="360" w:lineRule="auto"/>
        <w:rPr>
          <w:rFonts w:eastAsia="NSimSun"/>
          <w:spacing w:val="-2"/>
          <w:sz w:val="24"/>
        </w:rPr>
      </w:pPr>
      <w:r>
        <w:rPr>
          <w:rFonts w:ascii="Calibri" w:eastAsia="NSimSun" w:hAnsi="Calibri"/>
          <w:sz w:val="24"/>
          <w:szCs w:val="24"/>
        </w:rPr>
        <w:t xml:space="preserve">na tablicach ogłoszeń oraz na stronach podmiotowych – w </w:t>
      </w:r>
      <w:r>
        <w:rPr>
          <w:rFonts w:ascii="Calibri" w:eastAsia="NSimSun" w:hAnsi="Calibri"/>
          <w:spacing w:val="-2"/>
          <w:sz w:val="24"/>
          <w:szCs w:val="24"/>
        </w:rPr>
        <w:t xml:space="preserve">Biuletynie Informacji Publicznej </w:t>
      </w:r>
      <w:r>
        <w:rPr>
          <w:rFonts w:ascii="Calibri" w:eastAsia="NSimSun" w:hAnsi="Calibri"/>
          <w:sz w:val="24"/>
          <w:szCs w:val="24"/>
        </w:rPr>
        <w:t xml:space="preserve">Urzędu Miasta Piotrkowa Trybunalskiego oraz Urzędu Miejskiego w Sulejowie – w terminie od 6.07.2023 r. na okres 14 dni od dnia zamieszczenia. </w:t>
      </w:r>
    </w:p>
    <w:p w:rsidR="007123D2" w:rsidRDefault="006A4AFC">
      <w:pPr>
        <w:snapToGrid w:val="0"/>
        <w:spacing w:before="120" w:line="360" w:lineRule="auto"/>
        <w:ind w:firstLine="709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>Obwieszczenie zawierało m.in.: oznaczenie nieruchomości objętych wnioskiem o wydanie decyzji o pozwoleniu na budo</w:t>
      </w:r>
      <w:r>
        <w:rPr>
          <w:rFonts w:ascii="Calibri" w:eastAsia="NSimSun" w:hAnsi="Calibri"/>
          <w:sz w:val="24"/>
          <w:szCs w:val="24"/>
        </w:rPr>
        <w:t xml:space="preserve">wę przedmiotowej inwestycji według katastru </w:t>
      </w:r>
      <w:r>
        <w:rPr>
          <w:rFonts w:ascii="Calibri" w:eastAsia="NSimSun" w:hAnsi="Calibri"/>
          <w:sz w:val="24"/>
          <w:szCs w:val="24"/>
        </w:rPr>
        <w:lastRenderedPageBreak/>
        <w:t xml:space="preserve">nieruchomości oraz numery ksiąg wieczystych, które zgodnie z danymi zawartymi w ich dziale pierwszym są prowadzone dla tych nieruchomości, a także informację o miejscu, w którym strony mogą zapoznać się z aktami </w:t>
      </w:r>
      <w:r>
        <w:rPr>
          <w:rFonts w:ascii="Calibri" w:eastAsia="NSimSun" w:hAnsi="Calibri"/>
          <w:sz w:val="24"/>
          <w:szCs w:val="24"/>
        </w:rPr>
        <w:t xml:space="preserve">sprawy i złożyć ewentualne uwagi oraz pouczenie o obowiązkach nabywcy lub zbywcy, o których mowa w specustawie, oraz skutkach niedopełnienia tych obowiązków. </w:t>
      </w:r>
    </w:p>
    <w:p w:rsidR="007123D2" w:rsidRDefault="006A4AFC">
      <w:pPr>
        <w:spacing w:before="120"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</w:r>
      <w:r>
        <w:rPr>
          <w:rFonts w:ascii="Calibri" w:eastAsia="NSimSun" w:hAnsi="Calibri"/>
          <w:sz w:val="24"/>
          <w:szCs w:val="24"/>
        </w:rPr>
        <w:t>W trakcie trwania postępowania, do tutejszego organu nie wpłynęły żadne wnioski ani zastrzeżenia</w:t>
      </w:r>
      <w:r>
        <w:rPr>
          <w:rFonts w:ascii="Calibri" w:eastAsia="NSimSun" w:hAnsi="Calibri"/>
          <w:sz w:val="24"/>
          <w:szCs w:val="24"/>
        </w:rPr>
        <w:t xml:space="preserve"> stron postępowania. W dniu 14.07.2023 r., w siedzibie urzędu właściciel działki ewid. nr 515, obręb 0037, </w:t>
      </w:r>
      <w:r>
        <w:rPr>
          <w:rFonts w:ascii="Calibri" w:hAnsi="Calibri"/>
          <w:color w:val="000000" w:themeColor="text1"/>
          <w:sz w:val="24"/>
          <w:szCs w:val="24"/>
        </w:rPr>
        <w:t>gm. M. Piotrków Trybunalski, zapoznał się z przebiegiem gazociągu na swojej nieruchomości. Ponadto właścicielka działki ewid. nr 479, obręb 0037, gm.</w:t>
      </w:r>
      <w:r>
        <w:rPr>
          <w:rFonts w:ascii="Calibri" w:hAnsi="Calibri"/>
          <w:color w:val="000000" w:themeColor="text1"/>
          <w:sz w:val="24"/>
          <w:szCs w:val="24"/>
        </w:rPr>
        <w:t xml:space="preserve"> M. Piotrków Trybunalski przekazała do tut. organu za pomocą poczty elektronicznej w dniu 28.07.2023 r. informację o adresie do kierowania korespondencji. </w:t>
      </w:r>
    </w:p>
    <w:p w:rsidR="007123D2" w:rsidRDefault="006A4AFC">
      <w:pPr>
        <w:spacing w:before="120"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>Zgodnie z art. 16 ust. 1-3 specustawy w pozwoleniu na budowę inwestycji towarzyszącej inwestycjom w</w:t>
      </w:r>
      <w:r>
        <w:rPr>
          <w:rFonts w:ascii="Calibri" w:eastAsia="NSimSun" w:hAnsi="Calibri"/>
          <w:sz w:val="24"/>
          <w:szCs w:val="24"/>
        </w:rPr>
        <w:t xml:space="preserve"> zakresie terminalu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wojewoda zezwala, w zakresie niezbędnym do realizacji inwestycji, na usunięcie drzew lub krzewów znajdujących się na nieruchomościach objętych decyzją o ustaleniu lokalizacji inwestycji w zakresie terminalu. Zezwolenie nie jest wymagane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na usunięcie drzew lub krzewów, o których mowa w art. 83f ust. 1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. Do inwestycji w zakresie terminalu nie stosuje się przepisów rozdziału 4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>, z wyjątkiem art. 84-89. Wniosek o wydanie pozwolenia na budowę inwestycji w zakresie terminalu dodatkowo zawiera inwentaryzację znajdujących się na terenie objętym wnioskiem drzew i krzewów, na usunięcie których wymagane jest zezwolenie, z wyszczególnien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iem gatunku, obwodu pnia drzewa mierzonego na wysokości 130 cm oraz przeznaczenia i dotychczasowego sposobu wykorzystania terenu, na którym rosną drzewa i krzewy, oraz plan gospodarki zielenią, jako część projektu zagospodarowania terenu, w którym określa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się przyczynę i termin zamierzonego usunięcia poszczególnych drzew lub krzewów, wielkość powierzchni, z której zostaną usunięte drzewa i krzewy, oraz planowane nasadzenie zastępcze w rozumieniu art. 83b ust. 1 pkt 9 lit. a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ustawy</w:t>
      </w:r>
      <w:r>
        <w:rPr>
          <w:rFonts w:ascii="Calibri" w:eastAsia="NSimSun" w:hAnsi="Calibri"/>
          <w:color w:val="000000" w:themeColor="text1"/>
          <w:sz w:val="24"/>
          <w:szCs w:val="24"/>
        </w:rPr>
        <w:t>. Wojewoda może w pozwoleni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u na budowę inwestycji w zakresie terminalu nałożyć obowiązek przesadzenia we wskazane miejsce drzew lub krzewów objętych zezwoleniem na usunięcie lub </w:t>
      </w:r>
      <w:r>
        <w:rPr>
          <w:rFonts w:ascii="Calibri" w:eastAsia="NSimSun" w:hAnsi="Calibri"/>
          <w:sz w:val="24"/>
          <w:szCs w:val="24"/>
        </w:rPr>
        <w:t xml:space="preserve">wykonania nasadzeń zastępczych w liczbie nie mniejszej niż liczba usuwanych drzew lub krzewów. </w:t>
      </w:r>
    </w:p>
    <w:p w:rsidR="007123D2" w:rsidRDefault="006A4AFC">
      <w:pPr>
        <w:snapToGrid w:val="0"/>
        <w:spacing w:line="360" w:lineRule="auto"/>
        <w:rPr>
          <w:rFonts w:eastAsia="NSimSun"/>
          <w:color w:val="000000" w:themeColor="text1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lastRenderedPageBreak/>
        <w:tab/>
        <w:t xml:space="preserve">Zgodnie </w:t>
      </w:r>
      <w:r>
        <w:rPr>
          <w:rFonts w:ascii="Calibri" w:eastAsia="NSimSun" w:hAnsi="Calibri"/>
          <w:sz w:val="24"/>
          <w:szCs w:val="24"/>
        </w:rPr>
        <w:t xml:space="preserve">z art. 84 ust. 2 </w:t>
      </w:r>
      <w:r>
        <w:rPr>
          <w:rFonts w:ascii="Calibri" w:eastAsia="NSimSun" w:hAnsi="Calibri"/>
          <w:i/>
          <w:sz w:val="24"/>
          <w:szCs w:val="24"/>
        </w:rPr>
        <w:t>ustawy</w:t>
      </w:r>
      <w:r>
        <w:rPr>
          <w:rFonts w:ascii="Calibri" w:eastAsia="NSimSun" w:hAnsi="Calibri"/>
          <w:sz w:val="24"/>
          <w:szCs w:val="24"/>
        </w:rPr>
        <w:t xml:space="preserve"> w związku z art. 16 ust. 1 </w:t>
      </w:r>
      <w:r>
        <w:rPr>
          <w:rFonts w:ascii="Calibri" w:eastAsia="NSimSun" w:hAnsi="Calibri"/>
          <w:i/>
          <w:sz w:val="24"/>
          <w:szCs w:val="24"/>
        </w:rPr>
        <w:t>specustawy</w:t>
      </w:r>
      <w:r>
        <w:rPr>
          <w:rFonts w:ascii="Calibri" w:eastAsia="NSimSun" w:hAnsi="Calibri"/>
          <w:sz w:val="24"/>
          <w:szCs w:val="24"/>
        </w:rPr>
        <w:t>, wojewoda nalicza i pobiera opłatę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za usunięcie drzew i krzewów w zezwoleniu na wycinkę. Wysokość opłaty ustalono na podstawie rozporządzenia Ministra Środowiska z dnia 3 lipca 2017 r. w sprawie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wysokości stawek opłat za usunięcie drzew i krzewów (Dz. U. z 2017 r. poz. 1330). </w:t>
      </w:r>
      <w:r>
        <w:rPr>
          <w:rFonts w:ascii="Calibri" w:eastAsia="NSimSun" w:hAnsi="Calibri"/>
          <w:color w:val="000000" w:themeColor="text1"/>
          <w:sz w:val="24"/>
          <w:szCs w:val="24"/>
        </w:rPr>
        <w:tab/>
        <w:t>Ze względu na planowane przez Inwestora nasadzenia zastępcze, do wykonania których Inwestor zobowiązany został niniejszą decyzją, zgodnie z „Planem gospodarki zielenią”, st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anowiącym część projektu zagospodarowania terenu, opłata za wycinkę drzew i krzewów została odroczona na zasadach określonych w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ustawie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. </w:t>
      </w:r>
    </w:p>
    <w:p w:rsidR="007123D2" w:rsidRDefault="006A4AFC">
      <w:pPr>
        <w:snapToGrid w:val="0"/>
        <w:spacing w:line="360" w:lineRule="auto"/>
        <w:rPr>
          <w:rFonts w:eastAsia="NSimSun" w:cs="Mangal;Liberation Mono"/>
          <w:bCs/>
          <w:color w:val="000000"/>
          <w:sz w:val="24"/>
          <w:szCs w:val="24"/>
          <w:lang w:eastAsia="ar-SA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</w: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>W toku przedmiotowego postępowania, w świetle przepisów ustawy z dnia 3 października 2008 r. o udostępnianiu informac</w:t>
      </w: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>ji o środowisku i jego ochronie, udziale społeczeństwa w ochronie środowiska oraz o ocenach oddziaływania na środowisko (t.j. Dz. U. z 2023 r. poz. 1094, ze zm.) ponowna ocena oddziaływania przedsięwzięcia na środowisko nie została przeprowadzona z uwagi n</w:t>
      </w: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 xml:space="preserve">a to, iż obowiązek ten nie został nałożony </w:t>
      </w:r>
      <w:r>
        <w:rPr>
          <w:rFonts w:ascii="Calibri" w:eastAsia="NSimSun" w:hAnsi="Calibri"/>
          <w:spacing w:val="-2"/>
          <w:sz w:val="24"/>
          <w:szCs w:val="24"/>
        </w:rPr>
        <w:t>decyzją Regionalnego Dyrektora Ochrony Środowiska w Łodzi Nr 19/2021 z dnia 17.11.2021r., znak: WOOŚ.420.27.2020.MOl.24, o środowiskowych uwarunkowaniach</w:t>
      </w:r>
      <w:r>
        <w:rPr>
          <w:rFonts w:ascii="Calibri" w:eastAsia="NSimSun" w:hAnsi="Calibri"/>
          <w:sz w:val="24"/>
          <w:szCs w:val="24"/>
        </w:rPr>
        <w:t>, którą Generalny Dyrektor Ochrony Środowiska decyzją z dnia</w:t>
      </w:r>
      <w:r>
        <w:rPr>
          <w:rFonts w:ascii="Calibri" w:eastAsia="NSimSun" w:hAnsi="Calibri"/>
          <w:sz w:val="24"/>
          <w:szCs w:val="24"/>
        </w:rPr>
        <w:t xml:space="preserve"> 18.08.2022 r., znak: DOOŚ-WDŚZOO.420.71.2021.SP.27, uchylił w części i w tym zakresie orzekł bądź umorzył postępowanie pierwszej instancji, zaś w pozostałej części utrzymał zaskarżoną decyzję w mocy, I</w:t>
      </w: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>nwestor nie wystąpił z wnioskiem o przeprowadzenie tak</w:t>
      </w: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 xml:space="preserve">iej oceny, a organ, po weryfikacji przedłożonej dokumentacji stwierdził, że w przedmiotowym wniosku nie zostały dokonane zmiany w stosunku do wymagań określonych w ww. decyzji o środowiskowych uwarunkowaniach. </w:t>
      </w:r>
    </w:p>
    <w:p w:rsidR="007123D2" w:rsidRDefault="006A4AFC">
      <w:pPr>
        <w:snapToGrid w:val="0"/>
        <w:spacing w:line="360" w:lineRule="auto"/>
        <w:rPr>
          <w:rFonts w:eastAsia="NSimSun"/>
          <w:color w:val="000000" w:themeColor="text1"/>
          <w:sz w:val="24"/>
          <w:szCs w:val="24"/>
        </w:rPr>
      </w:pPr>
      <w:r>
        <w:rPr>
          <w:rFonts w:ascii="Calibri" w:eastAsia="NSimSun" w:hAnsi="Calibri" w:cs="Mangal;Liberation Mono"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Po analizie akt sprawy organ stwierdził </w:t>
      </w:r>
      <w:r>
        <w:rPr>
          <w:rFonts w:ascii="Calibri" w:eastAsia="NSimSun" w:hAnsi="Calibri"/>
          <w:sz w:val="24"/>
          <w:szCs w:val="24"/>
        </w:rPr>
        <w:t>zgod</w:t>
      </w:r>
      <w:r>
        <w:rPr>
          <w:rFonts w:ascii="Calibri" w:eastAsia="NSimSun" w:hAnsi="Calibri"/>
          <w:sz w:val="24"/>
          <w:szCs w:val="24"/>
        </w:rPr>
        <w:t xml:space="preserve">ność projektu zagospodarowania terenu oraz projektu architektoniczno-budowlanego z ustaleniami zawartymi w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decyzji Wojewody Łódzkiego </w:t>
      </w:r>
      <w:r>
        <w:rPr>
          <w:rFonts w:ascii="Calibri" w:eastAsia="NSimSun" w:hAnsi="Calibri"/>
          <w:sz w:val="24"/>
          <w:szCs w:val="24"/>
        </w:rPr>
        <w:t xml:space="preserve">Nr 24/2022 </w:t>
      </w:r>
      <w:r>
        <w:rPr>
          <w:rFonts w:ascii="Calibri" w:eastAsia="NSimSun" w:hAnsi="Calibri"/>
          <w:spacing w:val="4"/>
          <w:sz w:val="24"/>
          <w:szCs w:val="24"/>
        </w:rPr>
        <w:t>z 30.11.2022 r., znak: GPB</w:t>
      </w:r>
      <w:r>
        <w:rPr>
          <w:rFonts w:ascii="Calibri" w:eastAsia="NSimSun" w:hAnsi="Calibri"/>
          <w:spacing w:val="4"/>
          <w:sz w:val="24"/>
          <w:szCs w:val="24"/>
        </w:rPr>
        <w:noBreakHyphen/>
        <w:t>I.747.24.2022 MP/SG/MK, o</w:t>
      </w:r>
      <w:r>
        <w:rPr>
          <w:rFonts w:ascii="Calibri" w:eastAsia="NSimSun" w:hAnsi="Calibri"/>
          <w:spacing w:val="-4"/>
          <w:sz w:val="24"/>
          <w:szCs w:val="24"/>
        </w:rPr>
        <w:t xml:space="preserve"> ustaleniu</w:t>
      </w:r>
      <w:r>
        <w:rPr>
          <w:rFonts w:ascii="Calibri" w:eastAsia="NSimSun" w:hAnsi="Calibri"/>
          <w:sz w:val="24"/>
          <w:szCs w:val="24"/>
        </w:rPr>
        <w:t xml:space="preserve"> lokalizacji inwestycji towarzyszącej inwestycjom</w:t>
      </w:r>
      <w:r>
        <w:rPr>
          <w:rFonts w:ascii="Calibri" w:eastAsia="NSimSun" w:hAnsi="Calibri"/>
          <w:sz w:val="24"/>
          <w:szCs w:val="24"/>
        </w:rPr>
        <w:t xml:space="preserve"> w zakresie terminalu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podlegającą natychmiastowemu wykonaniu z mocy </w:t>
      </w:r>
      <w:r>
        <w:rPr>
          <w:rFonts w:ascii="Calibri" w:eastAsia="NSimSun" w:hAnsi="Calibri"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którą Wojewoda Łódzki sprostował z urzędu postanowieniem Nr 4/2023 z 23.06.2023 r., </w:t>
      </w:r>
      <w:r>
        <w:rPr>
          <w:rFonts w:ascii="Calibri" w:eastAsia="NSimSun" w:hAnsi="Calibri"/>
          <w:sz w:val="24"/>
          <w:szCs w:val="24"/>
        </w:rPr>
        <w:t xml:space="preserve">zgodność </w:t>
      </w:r>
      <w:r>
        <w:rPr>
          <w:rFonts w:ascii="Calibri" w:eastAsia="NSimSun" w:hAnsi="Calibri"/>
          <w:color w:val="000000" w:themeColor="text1"/>
          <w:sz w:val="24"/>
          <w:szCs w:val="24"/>
        </w:rPr>
        <w:t>projektu zagospodarowania terenu z obowiązującymi przepisami, w tym techniczno-bud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owlanymi, kompletność projektu zagospodarowania terenu oraz projektu architektoniczno-budowlanego i posiadanie przez projektantów i projektantów sprawdzających uprawnień budowlanych w odpowiedniej specjalności. </w:t>
      </w:r>
    </w:p>
    <w:p w:rsidR="007123D2" w:rsidRDefault="006A4AFC">
      <w:pPr>
        <w:snapToGrid w:val="0"/>
        <w:spacing w:line="360" w:lineRule="auto"/>
        <w:rPr>
          <w:rFonts w:eastAsia="NSimSun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lastRenderedPageBreak/>
        <w:tab/>
        <w:t>Ponadto projekt budowlany został uzgodniony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pod względem ochrony przeciwpożarowej (§ 3 ust. 1 pkt 5 rozporządzenia Ministra Sprawa Wewnętrznych i Administracji z dnia 17 września 2021 r. w sprawie uzgadniania projektu zagospodarowania działki lub terenu, projektu architektoniczno-budowlanego, proje</w:t>
      </w:r>
      <w:r>
        <w:rPr>
          <w:rFonts w:ascii="Calibri" w:eastAsia="NSimSun" w:hAnsi="Calibri"/>
          <w:color w:val="000000" w:themeColor="text1"/>
          <w:sz w:val="24"/>
          <w:szCs w:val="24"/>
        </w:rPr>
        <w:t>ktu technicznego oraz projektu urządzenia przeciwpożarowego pod względem zgodności z wymaganiami ochrony przeciwpożarowej - t.j. Dz. U. z 2021 r. poz. 1722).</w:t>
      </w:r>
    </w:p>
    <w:p w:rsidR="007123D2" w:rsidRDefault="006A4AFC">
      <w:pPr>
        <w:snapToGrid w:val="0"/>
        <w:spacing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ab/>
        <w:t xml:space="preserve">Biorąc powyższe pod uwagę, należało orzec jak w sentencji. </w:t>
      </w:r>
    </w:p>
    <w:p w:rsidR="007123D2" w:rsidRDefault="006A4AFC">
      <w:pPr>
        <w:snapToGrid w:val="0"/>
        <w:spacing w:before="120" w:after="120"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/>
          <w:color w:val="000000" w:themeColor="text1"/>
          <w:sz w:val="24"/>
          <w:szCs w:val="24"/>
        </w:rPr>
        <w:tab/>
        <w:t xml:space="preserve">Zgodnie z art. 34 ust. 1 </w:t>
      </w:r>
      <w:r>
        <w:rPr>
          <w:rFonts w:ascii="Calibri" w:eastAsia="NSimSun" w:hAnsi="Calibri"/>
          <w:b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eastAsia="NSimSun" w:hAnsi="Calibri"/>
          <w:b/>
          <w:color w:val="000000" w:themeColor="text1"/>
          <w:sz w:val="24"/>
          <w:szCs w:val="24"/>
        </w:rPr>
        <w:t xml:space="preserve">niniejsza decyzja podlega natychmiastowemu wykonaniu. </w:t>
      </w:r>
    </w:p>
    <w:p w:rsidR="007123D2" w:rsidRDefault="006A4AFC">
      <w:pPr>
        <w:snapToGrid w:val="0"/>
        <w:spacing w:line="360" w:lineRule="auto"/>
        <w:rPr>
          <w:rFonts w:eastAsia="NSimSun"/>
          <w:bCs/>
          <w:color w:val="000000" w:themeColor="text1"/>
          <w:sz w:val="24"/>
          <w:szCs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ab/>
        <w:t>Od niniejszej decyzji przysługuje stronom odwołanie do Głównego Inspektora Nadzoru Budowlanego w Warszawie, ul. Krucza 38/42, za pośrednictwem Wojewody Łódzkiego: Wnioskodawcy - w terminie 7 dni od dn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ia doręczenia decyzji, pozostałym stronom w terminie 14 dni od dnia, w którym zawiadomienie o jej wydaniu w drodze obwieszczenia uważa się za dokonane. </w:t>
      </w:r>
    </w:p>
    <w:p w:rsidR="007123D2" w:rsidRDefault="006A4AFC">
      <w:pPr>
        <w:snapToGrid w:val="0"/>
        <w:spacing w:line="360" w:lineRule="auto"/>
        <w:rPr>
          <w:rFonts w:eastAsia="NSimSun"/>
          <w:bCs/>
          <w:color w:val="000000" w:themeColor="text1"/>
          <w:sz w:val="24"/>
          <w:szCs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ab/>
        <w:t xml:space="preserve">Zgodnie z art. 12 ust. 2a </w:t>
      </w:r>
      <w:r>
        <w:rPr>
          <w:rFonts w:ascii="Calibri" w:eastAsia="NSimSun" w:hAnsi="Calibri"/>
          <w:bCs/>
          <w:i/>
          <w:color w:val="000000" w:themeColor="text1"/>
          <w:sz w:val="24"/>
          <w:szCs w:val="24"/>
        </w:rPr>
        <w:t>specustawy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 w związku z art. 49 </w:t>
      </w:r>
      <w:r>
        <w:rPr>
          <w:rFonts w:ascii="Calibri" w:eastAsia="NSimSun" w:hAnsi="Calibri"/>
          <w:bCs/>
          <w:i/>
          <w:color w:val="000000" w:themeColor="text1"/>
          <w:sz w:val="24"/>
          <w:szCs w:val="24"/>
        </w:rPr>
        <w:t>Kpa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>, zawiadomienie stron postępowania w drodz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e obwieszczenia uważa się za dokonane po upływie 14 dni od dnia, w którym nastąpiło obwieszczenie o wydaniu decyzji w Łódzkim Urzędzie Wojewódzkim w Łodzi. </w:t>
      </w:r>
    </w:p>
    <w:p w:rsidR="007123D2" w:rsidRDefault="006A4AFC">
      <w:pPr>
        <w:snapToGrid w:val="0"/>
        <w:spacing w:line="360" w:lineRule="auto"/>
        <w:rPr>
          <w:rFonts w:eastAsia="NSimSun"/>
          <w:bCs/>
          <w:color w:val="000000" w:themeColor="text1"/>
          <w:sz w:val="24"/>
          <w:szCs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ab/>
      </w:r>
      <w:r>
        <w:rPr>
          <w:rFonts w:ascii="Calibri" w:eastAsia="NSimSun" w:hAnsi="Calibri"/>
          <w:color w:val="000000" w:themeColor="text1"/>
          <w:sz w:val="24"/>
          <w:szCs w:val="24"/>
        </w:rPr>
        <w:t>W trakcie biegu terminu do wniesienia odwołania stronom przysługuje prawo do zrzeczenia się odwoła</w:t>
      </w:r>
      <w:r>
        <w:rPr>
          <w:rFonts w:ascii="Calibri" w:eastAsia="NSimSun" w:hAnsi="Calibri"/>
          <w:color w:val="000000" w:themeColor="text1"/>
          <w:sz w:val="24"/>
          <w:szCs w:val="24"/>
        </w:rPr>
        <w:t>nia. Z dniem doręczenia Wojewodzie Łódzkiemu oświadczenia o zrzeczeniu się prawa do wniesienia odwołania przez ostatnią ze stron postępowania, niniejsza decyzja staje się ostateczna i prawomocna. Zrzeczenie się prawa do wniesienia odwołania skutkuje brakie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m możliwości odwołania od decyzji oraz jej zaskarżenia do wojewódzkiego sądu administracyjnego. </w:t>
      </w:r>
    </w:p>
    <w:p w:rsidR="007123D2" w:rsidRDefault="006A4AFC">
      <w:pPr>
        <w:snapToGrid w:val="0"/>
        <w:spacing w:line="360" w:lineRule="auto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ab/>
        <w:t>Odwołanie od niniejszej decyzji powinno zawierać zarzuty odnoszące się do decyzji, określać istotę i zakres żądania będącego przedmiotem odwołania oraz wskazy</w:t>
      </w: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wać dowody uzasadniające to żądanie. </w:t>
      </w:r>
    </w:p>
    <w:p w:rsidR="007123D2" w:rsidRDefault="006A4AFC">
      <w:pPr>
        <w:spacing w:line="360" w:lineRule="auto"/>
        <w:jc w:val="center"/>
        <w:rPr>
          <w:rFonts w:ascii="Arial" w:eastAsia="NSimSun" w:hAnsi="Arial" w:cs="Arial"/>
          <w:color w:val="000000" w:themeColor="text1"/>
          <w:sz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ADNOTACJA DOTYCZĄCA OPŁATY SKARBOWEJ </w:t>
      </w:r>
    </w:p>
    <w:p w:rsidR="007123D2" w:rsidRDefault="006A4AFC">
      <w:pPr>
        <w:snapToGri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Uiszczono opłatę skarbową za pozwolenie na </w:t>
      </w:r>
      <w:r>
        <w:rPr>
          <w:rFonts w:ascii="Calibri" w:eastAsia="NSimSun" w:hAnsi="Calibri"/>
          <w:sz w:val="24"/>
          <w:szCs w:val="24"/>
        </w:rPr>
        <w:t>budowę w kwocie 5133 zł, zgodnie z ustawą z dnia 16 listopada 2006 r. o opłacie skarbowej (t.j. Dz. U. z 2022 r. poz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. 2142, ze zm.). </w:t>
      </w:r>
    </w:p>
    <w:p w:rsidR="007123D2" w:rsidRDefault="006A4AFC">
      <w:pPr>
        <w:tabs>
          <w:tab w:val="center" w:pos="6345"/>
        </w:tabs>
        <w:snapToGrid w:val="0"/>
        <w:spacing w:before="120" w:line="360" w:lineRule="auto"/>
        <w:ind w:left="496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lastRenderedPageBreak/>
        <w:t>Z u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t>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 xml:space="preserve">Agata Urban </w:t>
      </w:r>
    </w:p>
    <w:p w:rsidR="007123D2" w:rsidRDefault="006A4AFC">
      <w:pPr>
        <w:tabs>
          <w:tab w:val="center" w:pos="6345"/>
        </w:tabs>
        <w:snapToGrid w:val="0"/>
        <w:spacing w:line="360" w:lineRule="auto"/>
        <w:ind w:left="4965"/>
        <w:jc w:val="center"/>
        <w:rPr>
          <w:b/>
          <w:bCs/>
          <w:iCs/>
          <w:color w:val="000000"/>
          <w:sz w:val="21"/>
          <w:szCs w:val="21"/>
          <w:lang w:eastAsia="pl-PL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Dyrektor Wydziału Gospodarki </w:t>
      </w:r>
    </w:p>
    <w:p w:rsidR="007123D2" w:rsidRDefault="006A4AFC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1"/>
          <w:szCs w:val="21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Przestrzennej i Budownictwa </w:t>
      </w:r>
    </w:p>
    <w:p w:rsidR="007123D2" w:rsidRDefault="006A4AFC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eastAsia="NSimSun"/>
          <w:bCs/>
          <w:i/>
          <w:iCs/>
          <w:color w:val="000000" w:themeColor="text1"/>
        </w:rPr>
      </w:pPr>
      <w:r>
        <w:rPr>
          <w:rFonts w:ascii="Calibri" w:eastAsia="NSimSun" w:hAnsi="Calibri"/>
          <w:bCs/>
          <w:i/>
          <w:iCs/>
          <w:color w:val="000000" w:themeColor="text1"/>
          <w:sz w:val="24"/>
          <w:szCs w:val="24"/>
        </w:rPr>
        <w:t xml:space="preserve">/dokument podpisano </w:t>
      </w:r>
    </w:p>
    <w:p w:rsidR="007123D2" w:rsidRDefault="006A4AFC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bCs/>
          <w:i/>
          <w:iCs/>
          <w:color w:val="000000" w:themeColor="text1"/>
          <w:sz w:val="24"/>
          <w:szCs w:val="24"/>
        </w:rPr>
        <w:t xml:space="preserve">kwalifikowanym podpisem elektronicznym/ </w:t>
      </w:r>
    </w:p>
    <w:p w:rsidR="007123D2" w:rsidRDefault="006A4AFC">
      <w:pPr>
        <w:snapToGrid w:val="0"/>
        <w:spacing w:before="240" w:line="360" w:lineRule="auto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Załączniki: </w:t>
      </w:r>
    </w:p>
    <w:p w:rsidR="007123D2" w:rsidRDefault="006A4AFC">
      <w:pPr>
        <w:snapToGrid w:val="0"/>
        <w:spacing w:before="120" w:line="360" w:lineRule="auto"/>
        <w:ind w:firstLine="284"/>
        <w:rPr>
          <w:rFonts w:ascii="Arial" w:eastAsia="NSimSun" w:hAnsi="Arial" w:cs="Arial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Nr 1 – Zbiorcze zestawienie naliczenia opłaty za usunięcie drzew i krzewów </w:t>
      </w:r>
    </w:p>
    <w:p w:rsidR="007123D2" w:rsidRDefault="006A4AFC">
      <w:pPr>
        <w:snapToGrid w:val="0"/>
        <w:spacing w:line="360" w:lineRule="auto"/>
        <w:ind w:firstLine="284"/>
        <w:rPr>
          <w:rFonts w:eastAsia="NSimSun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Nr 2 – Projekt zagospodarowania terenu oraz projekt architektoniczno-budowlany </w:t>
      </w:r>
    </w:p>
    <w:p w:rsidR="007123D2" w:rsidRDefault="006A4AFC">
      <w:pPr>
        <w:spacing w:before="120" w:line="360" w:lineRule="auto"/>
        <w:rPr>
          <w:rFonts w:eastAsia="NSimSun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Informacja o niniejszej decyzji i o możliwościach zapoznania się z jej treścią oraz z dokumentacją sprawy, ze wskazaniem dnia udostępnienia treści decyzji w Biuletynie Informac</w:t>
      </w:r>
      <w:r>
        <w:rPr>
          <w:rFonts w:ascii="Calibri" w:eastAsia="NSimSun" w:hAnsi="Calibri"/>
          <w:color w:val="000000" w:themeColor="text1"/>
          <w:sz w:val="24"/>
          <w:szCs w:val="24"/>
        </w:rPr>
        <w:t>ji Publicznej na stronie podmiotowej Łódzkiego Urzędu Wojewódzkiego w Łodzi, podlega podaniu do publicznej wiadomości zgodnie z art. 72 ust. 6 ustawy z dnia 3 października 2008 r. o udostępnianiu informacji o środowisku i jego ochronie, udziale społeczeńst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wa w ochronie środowiska oraz o ocenach oddziaływania na środowisko. </w:t>
      </w:r>
    </w:p>
    <w:p w:rsidR="007123D2" w:rsidRDefault="006A4AFC">
      <w:pPr>
        <w:spacing w:before="60" w:after="60" w:line="360" w:lineRule="auto"/>
        <w:rPr>
          <w:rFonts w:ascii="Arial" w:eastAsia="NSimSun" w:hAnsi="Arial" w:cs="Arial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Otrzymują z załącznikami: </w:t>
      </w:r>
    </w:p>
    <w:p w:rsidR="007123D2" w:rsidRDefault="006A4AFC">
      <w:pPr>
        <w:numPr>
          <w:ilvl w:val="0"/>
          <w:numId w:val="8"/>
        </w:numPr>
        <w:snapToGrid w:val="0"/>
        <w:spacing w:before="120" w:line="360" w:lineRule="auto"/>
        <w:ind w:left="714" w:hanging="357"/>
        <w:rPr>
          <w:rFonts w:ascii="Arial" w:eastAsia="NSimSun" w:hAnsi="Arial" w:cs="Arial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Inwestor - Polska Spółka Gazownictwa sp. z o.o. z siedzibą w Tarnowie </w:t>
      </w:r>
    </w:p>
    <w:p w:rsidR="007123D2" w:rsidRDefault="006A4AFC">
      <w:pPr>
        <w:snapToGrid w:val="0"/>
        <w:spacing w:line="360" w:lineRule="auto"/>
        <w:ind w:left="720"/>
        <w:rPr>
          <w:rFonts w:ascii="Arial" w:eastAsia="NSimSun" w:hAnsi="Arial" w:cs="Arial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reprezentowany przez pełnomocnika </w:t>
      </w:r>
    </w:p>
    <w:p w:rsidR="007123D2" w:rsidRDefault="006A4AFC">
      <w:pPr>
        <w:numPr>
          <w:ilvl w:val="0"/>
          <w:numId w:val="8"/>
        </w:numPr>
        <w:snapToGrid w:val="0"/>
        <w:spacing w:line="360" w:lineRule="auto"/>
        <w:rPr>
          <w:rFonts w:ascii="Arial" w:eastAsia="NSimSun" w:hAnsi="Arial" w:cs="Arial"/>
          <w:color w:val="000000" w:themeColor="text1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aa </w:t>
      </w:r>
    </w:p>
    <w:p w:rsidR="007123D2" w:rsidRDefault="006A4AFC">
      <w:pPr>
        <w:snapToGrid w:val="0"/>
        <w:spacing w:before="60" w:after="60" w:line="360" w:lineRule="auto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Do wiadomości: </w:t>
      </w:r>
    </w:p>
    <w:p w:rsidR="007123D2" w:rsidRDefault="006A4AFC">
      <w:pPr>
        <w:numPr>
          <w:ilvl w:val="0"/>
          <w:numId w:val="9"/>
        </w:numPr>
        <w:snapToGrid w:val="0"/>
        <w:spacing w:line="360" w:lineRule="auto"/>
        <w:ind w:left="714" w:hanging="357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Łódzki Wojewódzki Inspektor Nadzoru Budowlanego </w:t>
      </w:r>
    </w:p>
    <w:p w:rsidR="007123D2" w:rsidRDefault="006A4AFC">
      <w:pPr>
        <w:snapToGrid w:val="0"/>
        <w:spacing w:line="360" w:lineRule="auto"/>
        <w:ind w:left="720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90-113 Łódź, ul. Traugutta 25 </w:t>
      </w:r>
      <w:r>
        <w:rPr>
          <w:rFonts w:ascii="Calibri" w:eastAsia="NSimSun" w:hAnsi="Calibri"/>
          <w:i/>
          <w:sz w:val="24"/>
          <w:szCs w:val="24"/>
        </w:rPr>
        <w:t xml:space="preserve">(z załącznikiem Nr 2) </w:t>
      </w:r>
    </w:p>
    <w:p w:rsidR="007123D2" w:rsidRDefault="006A4AFC">
      <w:pPr>
        <w:numPr>
          <w:ilvl w:val="0"/>
          <w:numId w:val="9"/>
        </w:numPr>
        <w:snapToGrid w:val="0"/>
        <w:spacing w:line="360" w:lineRule="auto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Regionalny Dyrektor Ochrony Środowiska w Łodzi </w:t>
      </w:r>
      <w:r>
        <w:rPr>
          <w:rFonts w:ascii="Calibri" w:eastAsia="NSimSun" w:hAnsi="Calibri"/>
          <w:i/>
          <w:sz w:val="24"/>
          <w:szCs w:val="24"/>
        </w:rPr>
        <w:t xml:space="preserve">(ePUAP) </w:t>
      </w:r>
    </w:p>
    <w:p w:rsidR="007123D2" w:rsidRDefault="006A4AFC">
      <w:pPr>
        <w:snapToGrid w:val="0"/>
        <w:spacing w:line="360" w:lineRule="auto"/>
        <w:ind w:left="720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i/>
          <w:sz w:val="24"/>
          <w:szCs w:val="24"/>
        </w:rPr>
        <w:t xml:space="preserve">/dotyczy sprawy znak: </w:t>
      </w:r>
      <w:r>
        <w:rPr>
          <w:rFonts w:ascii="Calibri" w:eastAsia="NSimSun" w:hAnsi="Calibri"/>
          <w:i/>
          <w:spacing w:val="-2"/>
          <w:sz w:val="24"/>
          <w:szCs w:val="24"/>
        </w:rPr>
        <w:t>WOOŚ.420.27.2020.MOl.24</w:t>
      </w:r>
      <w:r>
        <w:rPr>
          <w:rFonts w:ascii="Calibri" w:eastAsia="NSimSun" w:hAnsi="Calibri"/>
          <w:i/>
          <w:sz w:val="24"/>
          <w:szCs w:val="24"/>
        </w:rPr>
        <w:t xml:space="preserve">/ </w:t>
      </w:r>
    </w:p>
    <w:p w:rsidR="007123D2" w:rsidRDefault="006A4AFC">
      <w:pPr>
        <w:numPr>
          <w:ilvl w:val="0"/>
          <w:numId w:val="9"/>
        </w:numPr>
        <w:snapToGrid w:val="0"/>
        <w:spacing w:line="360" w:lineRule="auto"/>
        <w:rPr>
          <w:rFonts w:ascii="Arial" w:eastAsia="NSimSun" w:hAnsi="Arial" w:cs="Arial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Biuro Kadr, Płac i Budżetu ŁUW w Łodzi </w:t>
      </w:r>
      <w:r>
        <w:rPr>
          <w:rFonts w:ascii="Calibri" w:eastAsia="NSimSun" w:hAnsi="Calibri"/>
          <w:i/>
          <w:sz w:val="24"/>
          <w:szCs w:val="24"/>
        </w:rPr>
        <w:t>(EZD)</w:t>
      </w:r>
      <w:r>
        <w:rPr>
          <w:rFonts w:ascii="Calibri" w:eastAsia="NSimSun" w:hAnsi="Calibri"/>
          <w:sz w:val="24"/>
          <w:szCs w:val="24"/>
        </w:rPr>
        <w:t xml:space="preserve"> </w:t>
      </w:r>
    </w:p>
    <w:p w:rsidR="007123D2" w:rsidRDefault="006A4AFC">
      <w:pPr>
        <w:snapToGrid w:val="0"/>
        <w:spacing w:before="60" w:after="60" w:line="360" w:lineRule="auto"/>
        <w:rPr>
          <w:rFonts w:eastAsia="NSimSun"/>
          <w:sz w:val="22"/>
          <w:szCs w:val="22"/>
          <w:u w:val="single"/>
        </w:rPr>
      </w:pPr>
      <w:r>
        <w:rPr>
          <w:rFonts w:ascii="Calibri" w:eastAsia="NSimSun" w:hAnsi="Calibri"/>
          <w:sz w:val="24"/>
          <w:szCs w:val="24"/>
          <w:u w:val="single"/>
        </w:rPr>
        <w:t xml:space="preserve">Otrzymują w drodze zawiadomienia: </w:t>
      </w:r>
    </w:p>
    <w:p w:rsidR="007123D2" w:rsidRDefault="006A4AFC">
      <w:pPr>
        <w:numPr>
          <w:ilvl w:val="0"/>
          <w:numId w:val="12"/>
        </w:numPr>
        <w:snapToGrid w:val="0"/>
        <w:spacing w:line="360" w:lineRule="auto"/>
        <w:ind w:left="714" w:hanging="35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Właściciele i użytkownicy wieczyści nieruchomości - wg odrębnego rozdzielnika </w:t>
      </w:r>
    </w:p>
    <w:p w:rsidR="007123D2" w:rsidRDefault="006A4AFC">
      <w:pPr>
        <w:numPr>
          <w:ilvl w:val="0"/>
          <w:numId w:val="12"/>
        </w:numPr>
        <w:snapToGrid w:val="0"/>
        <w:spacing w:line="360" w:lineRule="auto"/>
        <w:ind w:left="714" w:hanging="35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Prezydent Miasta Piotrkowa Trybunalskiego </w:t>
      </w:r>
      <w:r>
        <w:rPr>
          <w:rFonts w:ascii="Calibri" w:eastAsia="NSimSun" w:hAnsi="Calibri"/>
          <w:i/>
          <w:sz w:val="24"/>
          <w:szCs w:val="24"/>
        </w:rPr>
        <w:t xml:space="preserve">(ePUAP) </w:t>
      </w:r>
    </w:p>
    <w:p w:rsidR="007123D2" w:rsidRDefault="006A4AFC">
      <w:pPr>
        <w:numPr>
          <w:ilvl w:val="0"/>
          <w:numId w:val="12"/>
        </w:numPr>
        <w:snapToGrid w:val="0"/>
        <w:spacing w:line="360" w:lineRule="auto"/>
        <w:ind w:left="714" w:hanging="35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 xml:space="preserve">Starosta Piotrkowski </w:t>
      </w:r>
      <w:r>
        <w:rPr>
          <w:rFonts w:ascii="Calibri" w:eastAsia="NSimSun" w:hAnsi="Calibri"/>
          <w:i/>
          <w:sz w:val="24"/>
          <w:szCs w:val="24"/>
        </w:rPr>
        <w:t xml:space="preserve">(ePUAP) </w:t>
      </w:r>
    </w:p>
    <w:p w:rsidR="007123D2" w:rsidRDefault="006A4AFC">
      <w:pPr>
        <w:snapToGrid w:val="0"/>
        <w:spacing w:before="60" w:after="60" w:line="360" w:lineRule="auto"/>
        <w:rPr>
          <w:rFonts w:eastAsia="NSimSun"/>
          <w:sz w:val="22"/>
          <w:szCs w:val="22"/>
          <w:u w:val="single"/>
        </w:rPr>
      </w:pPr>
      <w:r>
        <w:rPr>
          <w:rFonts w:ascii="Calibri" w:eastAsia="NSimSun" w:hAnsi="Calibri"/>
          <w:sz w:val="24"/>
          <w:szCs w:val="24"/>
          <w:u w:val="single"/>
        </w:rPr>
        <w:lastRenderedPageBreak/>
        <w:t xml:space="preserve">Otrzymują w drodze obwieszczenia Wojewody Łódzkiego: </w:t>
      </w:r>
    </w:p>
    <w:p w:rsidR="007123D2" w:rsidRDefault="006A4AFC">
      <w:pPr>
        <w:numPr>
          <w:ilvl w:val="0"/>
          <w:numId w:val="13"/>
        </w:numPr>
        <w:snapToGrid w:val="0"/>
        <w:spacing w:line="360" w:lineRule="auto"/>
        <w:ind w:left="714" w:hanging="35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4"/>
          <w:szCs w:val="24"/>
        </w:rPr>
        <w:t>Pozosta</w:t>
      </w:r>
      <w:r>
        <w:rPr>
          <w:rFonts w:ascii="Calibri" w:eastAsia="NSimSun" w:hAnsi="Calibri"/>
          <w:sz w:val="24"/>
          <w:szCs w:val="24"/>
        </w:rPr>
        <w:t xml:space="preserve">łe strony </w:t>
      </w:r>
    </w:p>
    <w:p w:rsidR="007123D2" w:rsidRDefault="006A4AFC">
      <w:pPr>
        <w:numPr>
          <w:ilvl w:val="0"/>
          <w:numId w:val="13"/>
        </w:numPr>
        <w:spacing w:line="360" w:lineRule="auto"/>
        <w:contextualSpacing/>
        <w:rPr>
          <w:rFonts w:eastAsia="NSimSun"/>
          <w:color w:val="000000" w:themeColor="text1"/>
          <w:sz w:val="22"/>
          <w:szCs w:val="22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Łódzki Urząd Wojewódzki w Łodzi </w:t>
      </w:r>
      <w:r>
        <w:rPr>
          <w:rFonts w:ascii="Calibri" w:eastAsia="NSimSun" w:hAnsi="Calibri"/>
          <w:bCs/>
          <w:i/>
          <w:color w:val="000000" w:themeColor="text1"/>
          <w:sz w:val="24"/>
          <w:szCs w:val="24"/>
        </w:rPr>
        <w:t xml:space="preserve">(ePUAP) </w:t>
      </w:r>
    </w:p>
    <w:p w:rsidR="007123D2" w:rsidRDefault="006A4AFC">
      <w:pPr>
        <w:numPr>
          <w:ilvl w:val="0"/>
          <w:numId w:val="13"/>
        </w:numPr>
        <w:spacing w:line="360" w:lineRule="auto"/>
        <w:contextualSpacing/>
        <w:rPr>
          <w:rFonts w:eastAsia="NSimSun"/>
          <w:color w:val="000000" w:themeColor="text1"/>
          <w:sz w:val="22"/>
          <w:szCs w:val="22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Urząd Miasta Piotrkowa Trybunalskiego </w:t>
      </w:r>
      <w:r>
        <w:rPr>
          <w:rFonts w:ascii="Calibri" w:eastAsia="NSimSun" w:hAnsi="Calibri"/>
          <w:bCs/>
          <w:i/>
          <w:color w:val="000000" w:themeColor="text1"/>
          <w:sz w:val="24"/>
          <w:szCs w:val="24"/>
        </w:rPr>
        <w:t xml:space="preserve">(ePUAP) </w:t>
      </w:r>
    </w:p>
    <w:p w:rsidR="007123D2" w:rsidRDefault="006A4AFC">
      <w:pPr>
        <w:numPr>
          <w:ilvl w:val="0"/>
          <w:numId w:val="13"/>
        </w:numPr>
        <w:spacing w:line="360" w:lineRule="auto"/>
        <w:contextualSpacing/>
        <w:rPr>
          <w:rFonts w:eastAsia="NSimSun"/>
          <w:color w:val="000000" w:themeColor="text1"/>
          <w:sz w:val="22"/>
          <w:szCs w:val="22"/>
        </w:rPr>
      </w:pPr>
      <w:r>
        <w:rPr>
          <w:rFonts w:ascii="Calibri" w:eastAsia="NSimSun" w:hAnsi="Calibri"/>
          <w:bCs/>
          <w:color w:val="000000" w:themeColor="text1"/>
          <w:sz w:val="24"/>
          <w:szCs w:val="24"/>
        </w:rPr>
        <w:t xml:space="preserve">Urząd Miejski w Sulejowie </w:t>
      </w:r>
      <w:r>
        <w:rPr>
          <w:rFonts w:ascii="Calibri" w:eastAsia="NSimSun" w:hAnsi="Calibri"/>
          <w:bCs/>
          <w:i/>
          <w:color w:val="000000" w:themeColor="text1"/>
          <w:sz w:val="24"/>
          <w:szCs w:val="24"/>
        </w:rPr>
        <w:t xml:space="preserve">(ePUAP) </w:t>
      </w:r>
    </w:p>
    <w:p w:rsidR="007123D2" w:rsidRDefault="006A4AFC">
      <w:pPr>
        <w:snapToGrid w:val="0"/>
        <w:spacing w:before="120" w:line="360" w:lineRule="auto"/>
        <w:rPr>
          <w:rFonts w:ascii="Arial" w:eastAsia="NSimSun" w:hAnsi="Arial" w:cs="Arial"/>
          <w:color w:val="000000" w:themeColor="text1"/>
          <w:sz w:val="21"/>
          <w:szCs w:val="21"/>
        </w:rPr>
      </w:pPr>
      <w:r>
        <w:rPr>
          <w:rFonts w:ascii="Calibri" w:eastAsia="NSimSun" w:hAnsi="Calibri"/>
          <w:color w:val="000000" w:themeColor="text1"/>
          <w:sz w:val="24"/>
          <w:szCs w:val="24"/>
          <w:u w:val="single"/>
        </w:rPr>
        <w:t xml:space="preserve">Pouczenie: </w:t>
      </w:r>
    </w:p>
    <w:p w:rsidR="007123D2" w:rsidRDefault="006A4AFC">
      <w:pPr>
        <w:numPr>
          <w:ilvl w:val="0"/>
          <w:numId w:val="10"/>
        </w:numPr>
        <w:tabs>
          <w:tab w:val="center" w:pos="0"/>
        </w:tabs>
        <w:snapToGrid w:val="0"/>
        <w:spacing w:line="360" w:lineRule="auto"/>
        <w:ind w:left="714" w:hanging="357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>Inwestor jest obowiązany zawiadomić właściwy organ nadzoru budowlanego oraz projektanta sprawującego nadzór nad zgodnością realizacji budowy z projektem o zamierzonym terminie rozpoczęcia robót budowlanych, dla których wymagane jest uzyskanie decyzji o poz</w:t>
      </w:r>
      <w:r>
        <w:rPr>
          <w:rFonts w:ascii="Calibri" w:eastAsia="NSimSun" w:hAnsi="Calibri"/>
          <w:sz w:val="24"/>
          <w:szCs w:val="24"/>
        </w:rPr>
        <w:t xml:space="preserve">woleniu na budowę, dokonanie zgłoszenia budowy, o której mowa w art. 29 ust. 1 pkt 1-4, lub dokonanie zgłoszenia instalowania, o którym mowa w art. 29 ust. 3 pkt 3 li. d (zob. art. 41 ust. 4 ustawy z dnia 7 lipca 1994 r. – Prawo budowlane). </w:t>
      </w:r>
    </w:p>
    <w:p w:rsidR="007123D2" w:rsidRDefault="006A4AFC">
      <w:pPr>
        <w:numPr>
          <w:ilvl w:val="0"/>
          <w:numId w:val="10"/>
        </w:numPr>
        <w:spacing w:line="360" w:lineRule="auto"/>
        <w:ind w:left="714" w:hanging="357"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>Do zawiadomien</w:t>
      </w:r>
      <w:r>
        <w:rPr>
          <w:rFonts w:ascii="Calibri" w:eastAsia="NSimSun" w:hAnsi="Calibri"/>
          <w:sz w:val="24"/>
          <w:szCs w:val="24"/>
        </w:rPr>
        <w:t xml:space="preserve">ia właściwego organu nadzoru budowlanego o zamierzonym terminie rozpoczęcia robót budowlanych inwestor dołącza: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993" w:hanging="284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 xml:space="preserve">1) informację wskazującą imiona i nazwiska osób, które będą sprawować funkcję: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1418" w:hanging="142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 xml:space="preserve">a) kierownika budowy - w przypadku robót budowlanych wymagających ustanowienia kierownika budowy,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1418" w:hanging="142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 xml:space="preserve">b) inspektora nadzoru inwestorskiego - jeżeli został on ustanowiony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1418" w:hanging="142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ab/>
        <w:t>– oraz w odniesieniu do tych osób dołącza kopie zaświadczeń, o których mowa w art. 12 u</w:t>
      </w:r>
      <w:r>
        <w:rPr>
          <w:rFonts w:ascii="Calibri" w:eastAsia="NSimSun" w:hAnsi="Calibri"/>
          <w:sz w:val="24"/>
          <w:szCs w:val="24"/>
        </w:rPr>
        <w:t xml:space="preserve">st. 7, wraz z kopiami decyzji o nadaniu uprawnień budowlanych w odpowiedniej specjalności;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993" w:hanging="284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 xml:space="preserve">2) oświadczenie lub kopię oświadczenia projektanta i projektanta sprawdzającego o sporządzeniu projektu technicznego, dotyczącego zamierzenia budowlanego zgodnie z </w:t>
      </w:r>
      <w:r>
        <w:rPr>
          <w:rFonts w:ascii="Calibri" w:eastAsia="NSimSun" w:hAnsi="Calibri"/>
          <w:sz w:val="24"/>
          <w:szCs w:val="24"/>
        </w:rPr>
        <w:t xml:space="preserve">obowiązującymi przepisami, zasadami wiedzy technicznej, projektem zagospodarowania działki lub terenu oraz projektem architektoniczno-budowlanym oraz rozstrzygnięciami dotyczącymi zamierzenia budowlanego.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993" w:hanging="284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ab/>
        <w:t xml:space="preserve">Wymogu dołączenia kopii: zaświadczeń i uprawnień </w:t>
      </w:r>
      <w:r>
        <w:rPr>
          <w:rFonts w:ascii="Calibri" w:eastAsia="NSimSun" w:hAnsi="Calibri"/>
          <w:sz w:val="24"/>
          <w:szCs w:val="24"/>
        </w:rPr>
        <w:t xml:space="preserve">budowlanych w odpowiedniej specjalności - nie stosuje się do osób wpisanych do centralnego rejestru osób posiadających uprawnienia budowlane;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993" w:hanging="284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lastRenderedPageBreak/>
        <w:tab/>
        <w:t>Zawiadomienia organu nadzoru budowlanego o zamierzonym terminie rozpoczęcia robót budowlanych dokonuje się w pos</w:t>
      </w:r>
      <w:r>
        <w:rPr>
          <w:rFonts w:ascii="Calibri" w:eastAsia="NSimSun" w:hAnsi="Calibri"/>
          <w:sz w:val="24"/>
          <w:szCs w:val="24"/>
        </w:rPr>
        <w:t xml:space="preserve">taci papierowej albo w formie dokumentu elektronicznego za pośrednictwem portalu e-Budownictwo. </w:t>
      </w:r>
    </w:p>
    <w:p w:rsidR="007123D2" w:rsidRDefault="006A4AFC">
      <w:pPr>
        <w:tabs>
          <w:tab w:val="center" w:pos="0"/>
        </w:tabs>
        <w:snapToGrid w:val="0"/>
        <w:spacing w:line="360" w:lineRule="auto"/>
        <w:ind w:left="993" w:hanging="284"/>
        <w:contextualSpacing/>
        <w:rPr>
          <w:rFonts w:eastAsia="NSimSun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ab/>
        <w:t>(zob. art. 41 ust. 4a ustawy z dnia 7 lipca 1994 r. – Prawo budowlane).</w:t>
      </w:r>
    </w:p>
    <w:p w:rsidR="007123D2" w:rsidRDefault="006A4AFC">
      <w:pPr>
        <w:numPr>
          <w:ilvl w:val="0"/>
          <w:numId w:val="10"/>
        </w:numPr>
        <w:spacing w:line="360" w:lineRule="auto"/>
        <w:ind w:left="714" w:hanging="357"/>
        <w:rPr>
          <w:rFonts w:eastAsia="NSimSun"/>
          <w:color w:val="000000" w:themeColor="text1"/>
          <w:sz w:val="21"/>
          <w:szCs w:val="21"/>
        </w:rPr>
      </w:pPr>
      <w:r>
        <w:rPr>
          <w:rFonts w:ascii="Calibri" w:eastAsia="NSimSun" w:hAnsi="Calibri"/>
          <w:sz w:val="24"/>
          <w:szCs w:val="24"/>
        </w:rPr>
        <w:t>Do użytkowania obiektu budowlanego, na którego budowę wymagane jest pozwolenie na budo</w:t>
      </w:r>
      <w:r>
        <w:rPr>
          <w:rFonts w:ascii="Calibri" w:eastAsia="NSimSun" w:hAnsi="Calibri"/>
          <w:sz w:val="24"/>
          <w:szCs w:val="24"/>
        </w:rPr>
        <w:t>wę, można przystąpić po zawiadomieniu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właściwego organu nadzoru budowlanego o zakończeniu budowy, jeżeli organ ten, w terminie 14 dni od dnia doręczenia zawiadomienia, nie zgłosi sprzeciwu w drodze decyzji (zob. art. 54 ustawy z dnia 7 lipca 1994 r. – Praw</w:t>
      </w:r>
      <w:r>
        <w:rPr>
          <w:rFonts w:ascii="Calibri" w:eastAsia="NSimSun" w:hAnsi="Calibri"/>
          <w:color w:val="000000" w:themeColor="text1"/>
          <w:sz w:val="24"/>
          <w:szCs w:val="24"/>
        </w:rPr>
        <w:t>o budowlane). Przed przystąpieniem do użytkowania obiektu budowlanego inwestor jest obowiązany uzyskać decyzję o pozwoleniu na użytkowanie, jeżeli na budowę obiektu budowlanego jest wymagane pozwolenie na budowę i jest on zaliczony do kategorii: V, IX-XVI,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 XVII (z wyjątkiem warsztatów rzemieślniczych, stacji obsługi pojazdów, myjni samochodowych i garaży do pięciu stanowisk włącznie), XVIII (z wyjątkiem obiektów magazynowych: budynki składowe, chłodnie, hangary i wiaty, a także budynków kolejowych: nastawni</w:t>
      </w:r>
      <w:r>
        <w:rPr>
          <w:rFonts w:ascii="Calibri" w:eastAsia="NSimSun" w:hAnsi="Calibri"/>
          <w:color w:val="000000" w:themeColor="text1"/>
          <w:sz w:val="24"/>
          <w:szCs w:val="24"/>
        </w:rPr>
        <w:t>e, podstacje trakcyjne, lokomotywownie, wagonownie, strażnice przejazdowe i myjnie taboru kolejowego), XX, XXII (z wyjątkiem placów składowych, postojowych i parkingów), XXIV (z wyjątkiem stawów rybnych), XXVII (z wyjątkiem jazów, wałów przeciwpowodziowych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, opasek i ostróg brzegowych oraz rowów melioracyjnych), XXVIII-XXX (zob. art. 55 ust. 1 pkt 1 ustawy z dnia 7 lipca 1994 r. – Prawo budowlane). </w:t>
      </w:r>
    </w:p>
    <w:p w:rsidR="007123D2" w:rsidRDefault="006A4AFC">
      <w:pPr>
        <w:numPr>
          <w:ilvl w:val="0"/>
          <w:numId w:val="10"/>
        </w:numPr>
        <w:spacing w:line="360" w:lineRule="auto"/>
        <w:rPr>
          <w:rFonts w:eastAsia="NSimSun"/>
          <w:color w:val="000000" w:themeColor="text1"/>
          <w:sz w:val="21"/>
          <w:szCs w:val="2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Inwestor może przystąpić do użytkowania obiektu budowlanego przed wykonaniem wszystkich robót budowlanych pod 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warunkiem uzyskania decyzji o pozwoleniu na użytkowanie wydanej przez właściwy organ nadzoru budowlanego (zob. art. 55 ust. 1 pkt 3 ustawy z dnia 7 lipca 1994 r. – Prawo budowlane). </w:t>
      </w:r>
    </w:p>
    <w:p w:rsidR="007123D2" w:rsidRDefault="006A4AFC">
      <w:pPr>
        <w:numPr>
          <w:ilvl w:val="0"/>
          <w:numId w:val="10"/>
        </w:numPr>
        <w:spacing w:line="360" w:lineRule="auto"/>
        <w:rPr>
          <w:rFonts w:eastAsia="NSimSun"/>
          <w:color w:val="000000" w:themeColor="text1"/>
          <w:sz w:val="21"/>
          <w:szCs w:val="21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Inwestor zamiast dokonania zawiadomienia o zakończeniu budowy może wystąp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ić z wnioskiem o wydanie decyzji o pozwoleniu na użytkowanie (zob. art. 55 ust. 2 ustawy z dnia 7 lipca 1994 r. – Prawo budowlane). </w:t>
      </w:r>
    </w:p>
    <w:p w:rsidR="007123D2" w:rsidRDefault="006A4AFC">
      <w:pPr>
        <w:numPr>
          <w:ilvl w:val="0"/>
          <w:numId w:val="10"/>
        </w:numPr>
        <w:shd w:val="clear" w:color="auto" w:fill="FFFFFF"/>
        <w:spacing w:line="360" w:lineRule="auto"/>
        <w:textAlignment w:val="baseline"/>
        <w:rPr>
          <w:rFonts w:eastAsia="NSimSun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>Przed wydaniem decyzji w sprawie pozwolenia na użytkowanie obiektu budowlanego właściwy organ nadzoru budowlanego przeprowa</w:t>
      </w:r>
      <w:r>
        <w:rPr>
          <w:rFonts w:ascii="Calibri" w:eastAsia="NSimSun" w:hAnsi="Calibri"/>
          <w:color w:val="000000" w:themeColor="text1"/>
          <w:sz w:val="24"/>
          <w:szCs w:val="24"/>
        </w:rPr>
        <w:t>dzi obowiązkową kontrolę budowy zgodnie z art. 59a ustawy z dnia 7 lipca 1994 r. – Prawo budowlane (zob. art. 59 ust. 1 ustawy z dnia 7 lipca 1994 r. – Prawo budowlane). Wniosek o udzielenie pozwolenia na użytkowanie stanowi wezwanie właściwego organu do p</w:t>
      </w:r>
      <w:r>
        <w:rPr>
          <w:rFonts w:ascii="Calibri" w:eastAsia="NSimSun" w:hAnsi="Calibri"/>
          <w:color w:val="000000" w:themeColor="text1"/>
          <w:sz w:val="24"/>
          <w:szCs w:val="24"/>
        </w:rPr>
        <w:t xml:space="preserve">rzeprowadzenia </w:t>
      </w:r>
      <w:r>
        <w:rPr>
          <w:rFonts w:ascii="Calibri" w:eastAsia="NSimSun" w:hAnsi="Calibri"/>
          <w:color w:val="000000" w:themeColor="text1"/>
          <w:sz w:val="24"/>
          <w:szCs w:val="24"/>
        </w:rPr>
        <w:lastRenderedPageBreak/>
        <w:t xml:space="preserve">obowiązkowej kontroli budowy (zob. art. 57 ust. 6 ustawy z dnia 7 lipca 1994 r. – Prawo budowlane).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br w:type="column"/>
      </w: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lastRenderedPageBreak/>
        <w:t>Klauzula informacyjna o przetwarzaniu danych osobowych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25 maja 2018 r. na terytorium wszystkich krajów Unii Europejskiej zaczęło obowiązywa</w:t>
      </w: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ć rozporządzenie Parlamentu Europejskiego i Rady (UE) 2016/679 z dnia 27 kwietnia 2016 r. w sprawie ochrony osób fizycznych w związku z przetwarzaniem danych osobowych i w sprawie swobodnego przepływu takich danych oraz uchylenia dyrektywy 95/46/WE (ogólne</w:t>
      </w: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 xml:space="preserve"> rozporządzenie o ochronie danych - RODO). RODO określa zasady, na jakich można przetwarzać dane osobowe. Z przepisów rozporządzenia o ochronie danych wynika też obowiązek ochrony danych osobowych.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 xml:space="preserve">Kto jest administratorem Państwa danych? Jak skontaktować </w:t>
      </w: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się z administratorem danych?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Administratorem Państwa danych osobowych jest Wojewoda Łódzki.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adres: Łódzki Urząd Wojewódzki w Łodzi, ul. Piotrkowska 104, 90-926 Łódź</w:t>
      </w:r>
    </w:p>
    <w:p w:rsidR="007123D2" w:rsidRDefault="006A4AFC">
      <w:pPr>
        <w:shd w:val="clear" w:color="auto" w:fill="FFFFFF"/>
        <w:spacing w:line="360" w:lineRule="auto"/>
        <w:textAlignment w:val="baseline"/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e-mail: </w:t>
      </w:r>
      <w:hyperlink r:id="rId9">
        <w:r>
          <w:rPr>
            <w:rStyle w:val="ListLabel111"/>
            <w:rFonts w:ascii="Calibri" w:hAnsi="Calibri"/>
            <w:sz w:val="24"/>
            <w:szCs w:val="24"/>
          </w:rPr>
          <w:t>kancelaria@lodz.uw.gov.pl</w:t>
        </w:r>
      </w:hyperlink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Jak skontaktować się z inspektorem ochrony danych?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adres: Łódzki Urząd Wojewódzki w Łodzi, ul. Piotrkowska 104, 90-926 Łódź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e-mail: </w:t>
      </w:r>
      <w:hyperlink r:id="rId10">
        <w:r>
          <w:rPr>
            <w:rStyle w:val="ListLabel113"/>
            <w:rFonts w:ascii="Calibri" w:hAnsi="Calibri"/>
            <w:b/>
            <w:bCs/>
            <w:sz w:val="24"/>
            <w:szCs w:val="24"/>
          </w:rPr>
          <w:t>iod</w:t>
        </w:r>
        <w:r>
          <w:rPr>
            <w:rStyle w:val="ListLabel113"/>
            <w:rFonts w:ascii="Calibri" w:hAnsi="Calibri"/>
            <w:sz w:val="24"/>
            <w:szCs w:val="24"/>
          </w:rPr>
          <w:t>@lodz.uw.gov.pl</w:t>
        </w:r>
      </w:hyperlink>
      <w:r>
        <w:rPr>
          <w:rFonts w:ascii="Calibri" w:eastAsia="NSimSun" w:hAnsi="Calibri"/>
          <w:color w:val="000000" w:themeColor="text1"/>
          <w:sz w:val="24"/>
          <w:szCs w:val="24"/>
          <w:shd w:val="clear" w:color="auto" w:fill="FFFFFF"/>
        </w:rPr>
        <w:t>.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 xml:space="preserve">W jakim celu administrator będzie przetwarzać Państwa </w:t>
      </w: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dane?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Administrator przetwarza Państwa dane, aby Wojewoda Łódzki mógł wykonywać swoje ustawowe zadania, w szczególności: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rozpatrywać sprawy – prowadzić postępowania administracyjne, należące do właściwości wojewody jako organu administracji architektonic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zno-budowlanej I instancji;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</w:rPr>
        <w:t xml:space="preserve">- prowadzić rejestr wniosków o pozwolenie na budowę i rejestru decyzji o pozwoleniu na budowę wydawanych przez wojewodę; 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rozpatrywać sprawy należące do właściwości wojewody jako organu administracji rządowej (skargi, wnioski,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 zapytania itp.);</w:t>
      </w:r>
    </w:p>
    <w:p w:rsidR="007123D2" w:rsidRDefault="006A4AFC">
      <w:pPr>
        <w:tabs>
          <w:tab w:val="left" w:pos="426"/>
        </w:tabs>
        <w:spacing w:line="360" w:lineRule="auto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Na jakiej podstawie administrator przetwarza Państwa dane osobowe?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Podstawą prawną przetwarzania danych osobowych jest obowiązek prawny, który ciąży na administratorze. Przetwarzanie danych jest niezbędne do wypełnienia obowiązku prawnego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 ciążącego na administratorze.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Źródła danych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lastRenderedPageBreak/>
        <w:t>Administrator może pozyskiwać dane osobowe od osoby, której te dane dotyczą, ze źródeł publicznie dostępnych, od organów administracji państwowej, od innych podmiotów, od osób fizycznych zobowiązanych do przeka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zania danych osobowych.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Kto będzie mieć dostęp do Państwa danych osobowych?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Administrator może przekazywać (udostępniać) – w celu wskazanym wyżej - Państwa dane osobowe innym kategoriom odbiorców danych osobowych. Odbiorcami tych danych osobowych są strony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 postępowania, prowadzonego przez wojewodę i ich pełnomocnicy, podmioty działające na prawach strony,  i ich pełnomocnicy, a także uczestnicy postępowań (np. biegli itp.), organy publiczne i urzędy państwowe lub inne podmioty upoważnione na podstawie przep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isów prawa lub wykonujący zadania realizowane w interesie publicznym lub w ramach sprawowania władzy publicznej.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Jak długo administrator będzie przetwarzać Państwa dane?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Administrator będzie przetwarzać Państwa dane do czasu, aż wykona określone zadanie.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Czas ten obejmuje też archiwizację dokumentów, które administrator zgromadzi w związku z realizacją tego zadania.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Jakie przysługują Państwu prawa?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Mają Państwo prawo żądać od administratora danych, aby: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umożliwił Państwu dostęp do swoich danych osobowyc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h,</w:t>
      </w:r>
    </w:p>
    <w:p w:rsidR="007123D2" w:rsidRDefault="006A4AFC">
      <w:pPr>
        <w:shd w:val="clear" w:color="auto" w:fill="FFFFFF"/>
        <w:suppressAutoHyphens w:val="0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- sprostował przetwarzane dane,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Żądanie realizacji wymienionych praw proszę przesłać w formie pisemnej do administratora danych (dane kontaktowe jak wyżej, z dopiskiem „Ochrona danych osobowych”).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Przysługuje też Państwu prawo, aby wnieść skargę do Prez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esa Urzędu Ochrony Danych Osobowych w przypadku, gdy uznają Państwo, że przetwarzanie danych osobowych narusza przepisy. 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eastAsia="NSimSun"/>
          <w:color w:val="000000" w:themeColor="text1"/>
          <w:sz w:val="18"/>
          <w:szCs w:val="18"/>
        </w:rPr>
      </w:pPr>
      <w:r>
        <w:rPr>
          <w:rFonts w:ascii="Calibri" w:eastAsia="NSimSun" w:hAnsi="Calibri"/>
          <w:b/>
          <w:bCs/>
          <w:color w:val="000000" w:themeColor="text1"/>
          <w:sz w:val="24"/>
          <w:szCs w:val="24"/>
          <w:lang w:eastAsia="pl-PL"/>
        </w:rPr>
        <w:t>Czy Państwa dane są bezpieczne?</w:t>
      </w:r>
    </w:p>
    <w:p w:rsidR="007123D2" w:rsidRDefault="006A4AFC">
      <w:pPr>
        <w:shd w:val="clear" w:color="auto" w:fill="FFFFFF"/>
        <w:spacing w:line="360" w:lineRule="auto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 xml:space="preserve">Tak. Administrator nie wykorzystuje ich po to, aby w sposób zautomatyzowany podejmować decyzje </w:t>
      </w:r>
      <w:r>
        <w:rPr>
          <w:rFonts w:ascii="Calibri" w:eastAsia="NSimSun" w:hAnsi="Calibri"/>
          <w:color w:val="000000" w:themeColor="text1"/>
          <w:sz w:val="24"/>
          <w:szCs w:val="24"/>
          <w:lang w:eastAsia="pl-PL"/>
        </w:rPr>
        <w:t>lub profilować dane.</w:t>
      </w:r>
    </w:p>
    <w:sectPr w:rsidR="007123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50" w:right="1398" w:bottom="1135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FC" w:rsidRDefault="006A4AFC">
      <w:r>
        <w:separator/>
      </w:r>
    </w:p>
  </w:endnote>
  <w:endnote w:type="continuationSeparator" w:id="0">
    <w:p w:rsidR="006A4AFC" w:rsidRDefault="006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869236"/>
      <w:docPartObj>
        <w:docPartGallery w:val="Page Numbers (Bottom of Page)"/>
        <w:docPartUnique/>
      </w:docPartObj>
    </w:sdtPr>
    <w:sdtEndPr/>
    <w:sdtContent>
      <w:p w:rsidR="007123D2" w:rsidRDefault="006A4AF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6FB2">
          <w:rPr>
            <w:noProof/>
          </w:rPr>
          <w:t>2</w:t>
        </w:r>
        <w:r>
          <w:fldChar w:fldCharType="end"/>
        </w:r>
      </w:p>
    </w:sdtContent>
  </w:sdt>
  <w:p w:rsidR="007123D2" w:rsidRDefault="007123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D2" w:rsidRDefault="006A4AFC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7123D2" w:rsidRDefault="006A4AFC">
    <w:pPr>
      <w:pStyle w:val="Stopka"/>
      <w:jc w:val="center"/>
    </w:pPr>
    <w:r>
      <w:rPr>
        <w:sz w:val="14"/>
      </w:rPr>
      <w:t>90-926 Łódź, ul. Piotrkowska 104, tel.: (+48) 42 664 10 00, fax: (+48) 42 664 10 40 Elektroniczna Skr</w:t>
    </w:r>
    <w:r>
      <w:rPr>
        <w:sz w:val="14"/>
      </w:rPr>
      <w:t>zynka Podawcza ePUAP: /lodzuw/SkrytkaESP</w:t>
    </w:r>
  </w:p>
  <w:p w:rsidR="007123D2" w:rsidRDefault="006A4AFC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7123D2" w:rsidRDefault="006A4AFC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FC" w:rsidRDefault="006A4AFC">
      <w:r>
        <w:separator/>
      </w:r>
    </w:p>
  </w:footnote>
  <w:footnote w:type="continuationSeparator" w:id="0">
    <w:p w:rsidR="006A4AFC" w:rsidRDefault="006A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D2" w:rsidRDefault="007123D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D2" w:rsidRDefault="006A4AF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46C"/>
    <w:multiLevelType w:val="multilevel"/>
    <w:tmpl w:val="EE086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65318"/>
    <w:multiLevelType w:val="multilevel"/>
    <w:tmpl w:val="315AA5E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D23CA"/>
    <w:multiLevelType w:val="multilevel"/>
    <w:tmpl w:val="5322B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33D8D"/>
    <w:multiLevelType w:val="multilevel"/>
    <w:tmpl w:val="F938A3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057CE6"/>
    <w:multiLevelType w:val="multilevel"/>
    <w:tmpl w:val="BF0E0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D60A3B"/>
    <w:multiLevelType w:val="multilevel"/>
    <w:tmpl w:val="43FC78AC"/>
    <w:lvl w:ilvl="0">
      <w:start w:val="2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A30E72"/>
    <w:multiLevelType w:val="multilevel"/>
    <w:tmpl w:val="BC7EE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174D8"/>
    <w:multiLevelType w:val="multilevel"/>
    <w:tmpl w:val="8C1A63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383D"/>
    <w:multiLevelType w:val="multilevel"/>
    <w:tmpl w:val="66506658"/>
    <w:lvl w:ilvl="0">
      <w:start w:val="1"/>
      <w:numFmt w:val="decimal"/>
      <w:lvlText w:val="%1)"/>
      <w:lvlJc w:val="left"/>
      <w:pPr>
        <w:ind w:left="78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E4A7AF3"/>
    <w:multiLevelType w:val="multilevel"/>
    <w:tmpl w:val="346ED20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B2F2D41"/>
    <w:multiLevelType w:val="multilevel"/>
    <w:tmpl w:val="8FAE86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B25765"/>
    <w:multiLevelType w:val="multilevel"/>
    <w:tmpl w:val="066EF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40290"/>
    <w:multiLevelType w:val="multilevel"/>
    <w:tmpl w:val="14D6D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1C0979"/>
    <w:multiLevelType w:val="multilevel"/>
    <w:tmpl w:val="0BF2AB4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573FF4"/>
    <w:multiLevelType w:val="multilevel"/>
    <w:tmpl w:val="90300D10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D2"/>
    <w:rsid w:val="006A4AFC"/>
    <w:rsid w:val="007123D2"/>
    <w:rsid w:val="007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4BE3-8893-49B1-BF94-EFAD56F3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4A36"/>
    <w:rPr>
      <w:rFonts w:ascii="Segoe UI" w:eastAsia="Times New Roman" w:hAnsi="Segoe UI" w:cs="Segoe UI"/>
      <w:kern w:val="2"/>
      <w:sz w:val="18"/>
      <w:szCs w:val="18"/>
      <w:lang w:bidi="ar-SA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auto"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color w:val="auto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Arial" w:hAnsi="Arial"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Arial" w:hAnsi="Arial" w:cs="Times New Roman"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sz w:val="21"/>
      <w:szCs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color w:val="auto"/>
      <w:sz w:val="24"/>
      <w:szCs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rFonts w:eastAsia="NSimSun"/>
      <w:color w:val="000000" w:themeColor="text1"/>
      <w:sz w:val="24"/>
    </w:rPr>
  </w:style>
  <w:style w:type="character" w:customStyle="1" w:styleId="ListLabel111">
    <w:name w:val="ListLabel 111"/>
    <w:qFormat/>
    <w:rPr>
      <w:rFonts w:eastAsia="NSimSun"/>
      <w:color w:val="000000" w:themeColor="text1"/>
      <w:sz w:val="18"/>
      <w:szCs w:val="18"/>
      <w:highlight w:val="white"/>
      <w:u w:val="single"/>
    </w:rPr>
  </w:style>
  <w:style w:type="character" w:customStyle="1" w:styleId="ListLabel112">
    <w:name w:val="ListLabel 112"/>
    <w:qFormat/>
    <w:rPr>
      <w:rFonts w:eastAsia="NSimSun"/>
      <w:b/>
      <w:bCs/>
      <w:color w:val="000000" w:themeColor="text1"/>
      <w:sz w:val="18"/>
      <w:szCs w:val="18"/>
      <w:u w:val="single"/>
      <w:shd w:val="clear" w:color="auto" w:fill="FFFFFF"/>
    </w:rPr>
  </w:style>
  <w:style w:type="character" w:customStyle="1" w:styleId="ListLabel113">
    <w:name w:val="ListLabel 113"/>
    <w:qFormat/>
    <w:rPr>
      <w:rFonts w:eastAsia="NSimSun"/>
      <w:color w:val="000000" w:themeColor="text1"/>
      <w:sz w:val="18"/>
      <w:szCs w:val="18"/>
      <w:u w:val="single"/>
      <w:shd w:val="clear" w:color="auto" w:fill="FFFFFF"/>
    </w:rPr>
  </w:style>
  <w:style w:type="character" w:customStyle="1" w:styleId="ListLabel114">
    <w:name w:val="ListLabel 114"/>
    <w:qFormat/>
    <w:rPr>
      <w:sz w:val="16"/>
      <w:szCs w:val="16"/>
    </w:rPr>
  </w:style>
  <w:style w:type="character" w:customStyle="1" w:styleId="ListLabel115">
    <w:name w:val="ListLabel 115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297885"/>
    <w:pPr>
      <w:ind w:left="720"/>
      <w:contextualSpacing/>
    </w:pPr>
    <w:rPr>
      <w:rFonts w:eastAsia="NSimSu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4A36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sge3dgltqmfyc4nbugazdmmrwg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lod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lodz.uw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BEC5-ABFF-4A61-8393-69B48AAD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5427</Words>
  <Characters>32563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Łóddzki Urząd Wojewódzki</Company>
  <LinksUpToDate>false</LinksUpToDate>
  <CharactersWithSpaces>37915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2023-07-24T12:21:00Z</cp:lastPrinted>
  <dcterms:created xsi:type="dcterms:W3CDTF">2023-08-01T11:14:00Z</dcterms:created>
  <dcterms:modified xsi:type="dcterms:W3CDTF">2023-08-01T11:14:00Z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