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02" w:rsidRPr="00C66D2A" w:rsidRDefault="001C2702" w:rsidP="00C66D2A">
      <w:pPr>
        <w:rPr>
          <w:rFonts w:ascii="Arial" w:hAnsi="Arial" w:cs="Arial"/>
        </w:rPr>
      </w:pPr>
      <w:bookmarkStart w:id="0" w:name="_GoBack"/>
      <w:bookmarkEnd w:id="0"/>
    </w:p>
    <w:p w:rsidR="0015295C" w:rsidRDefault="0015295C" w:rsidP="00C66D2A">
      <w:pPr>
        <w:rPr>
          <w:rFonts w:ascii="Arial" w:hAnsi="Arial" w:cs="Arial"/>
        </w:rPr>
      </w:pPr>
    </w:p>
    <w:p w:rsidR="004047C7" w:rsidRPr="00C66D2A" w:rsidRDefault="004047C7" w:rsidP="00C66D2A">
      <w:pPr>
        <w:rPr>
          <w:rFonts w:ascii="Arial" w:hAnsi="Arial" w:cs="Arial"/>
        </w:rPr>
      </w:pPr>
    </w:p>
    <w:p w:rsidR="00D073CB" w:rsidRPr="00052018" w:rsidRDefault="001A4D91" w:rsidP="00973D15">
      <w:pPr>
        <w:rPr>
          <w:rFonts w:ascii="Arial" w:hAnsi="Arial" w:cs="Arial"/>
          <w:b/>
          <w:color w:val="E31837"/>
          <w:sz w:val="40"/>
          <w:szCs w:val="40"/>
        </w:rPr>
      </w:pPr>
      <w:r w:rsidRPr="00052018">
        <w:rPr>
          <w:rFonts w:ascii="Arial" w:hAnsi="Arial" w:cs="Arial"/>
          <w:b/>
          <w:color w:val="E31837"/>
          <w:sz w:val="40"/>
          <w:szCs w:val="40"/>
        </w:rPr>
        <w:t>INFORMACJA KWARTALNA O</w:t>
      </w:r>
      <w:r w:rsidR="00E86C32" w:rsidRPr="00052018">
        <w:rPr>
          <w:rFonts w:ascii="Arial" w:hAnsi="Arial" w:cs="Arial"/>
          <w:b/>
          <w:color w:val="E31837"/>
          <w:sz w:val="40"/>
          <w:szCs w:val="40"/>
        </w:rPr>
        <w:t> </w:t>
      </w:r>
      <w:r w:rsidRPr="00052018">
        <w:rPr>
          <w:rFonts w:ascii="Arial" w:hAnsi="Arial" w:cs="Arial"/>
          <w:b/>
          <w:color w:val="E31837"/>
          <w:sz w:val="40"/>
          <w:szCs w:val="40"/>
        </w:rPr>
        <w:t xml:space="preserve">STANIE FINANSÓW PUBLICZNYCH </w:t>
      </w:r>
      <w:r w:rsidR="00D073CB" w:rsidRPr="00052018">
        <w:rPr>
          <w:rFonts w:ascii="Arial" w:hAnsi="Arial" w:cs="Arial"/>
          <w:b/>
          <w:color w:val="E31837"/>
          <w:sz w:val="40"/>
          <w:szCs w:val="40"/>
        </w:rPr>
        <w:t>W I</w:t>
      </w:r>
      <w:r w:rsidR="00BC5828" w:rsidRPr="00052018">
        <w:rPr>
          <w:rFonts w:ascii="Arial" w:hAnsi="Arial" w:cs="Arial"/>
          <w:b/>
          <w:color w:val="E31837"/>
          <w:sz w:val="40"/>
          <w:szCs w:val="40"/>
        </w:rPr>
        <w:t>V</w:t>
      </w:r>
      <w:r w:rsidR="00D073CB" w:rsidRPr="00052018">
        <w:rPr>
          <w:rFonts w:ascii="Arial" w:hAnsi="Arial" w:cs="Arial"/>
          <w:b/>
          <w:color w:val="E31837"/>
          <w:sz w:val="40"/>
          <w:szCs w:val="40"/>
        </w:rPr>
        <w:t xml:space="preserve"> KWARTALE 201</w:t>
      </w:r>
      <w:r w:rsidR="00052018" w:rsidRPr="00052018">
        <w:rPr>
          <w:rFonts w:ascii="Arial" w:hAnsi="Arial" w:cs="Arial"/>
          <w:b/>
          <w:color w:val="E31837"/>
          <w:sz w:val="40"/>
          <w:szCs w:val="40"/>
        </w:rPr>
        <w:t>8</w:t>
      </w:r>
      <w:r w:rsidR="00D073CB" w:rsidRPr="00052018">
        <w:rPr>
          <w:rFonts w:ascii="Arial" w:hAnsi="Arial" w:cs="Arial"/>
          <w:b/>
          <w:color w:val="E31837"/>
          <w:sz w:val="40"/>
          <w:szCs w:val="40"/>
        </w:rPr>
        <w:t xml:space="preserve"> r.</w:t>
      </w:r>
      <w:r w:rsidR="0026261D" w:rsidRPr="00052018">
        <w:rPr>
          <w:rFonts w:ascii="Arial" w:hAnsi="Arial" w:cs="Arial"/>
          <w:b/>
          <w:color w:val="E31837"/>
          <w:sz w:val="40"/>
          <w:szCs w:val="40"/>
        </w:rPr>
        <w:t xml:space="preserve"> </w:t>
      </w:r>
      <w:r w:rsidR="005B557A" w:rsidRPr="00052018">
        <w:rPr>
          <w:rFonts w:ascii="Arial" w:hAnsi="Arial" w:cs="Arial"/>
          <w:b/>
          <w:color w:val="E31837"/>
          <w:sz w:val="40"/>
          <w:szCs w:val="40"/>
        </w:rPr>
        <w:t>I W CAŁYM</w:t>
      </w:r>
      <w:r w:rsidR="007E1B4D" w:rsidRPr="00052018">
        <w:rPr>
          <w:rFonts w:ascii="Arial" w:hAnsi="Arial" w:cs="Arial"/>
          <w:b/>
          <w:color w:val="E31837"/>
          <w:sz w:val="40"/>
          <w:szCs w:val="40"/>
        </w:rPr>
        <w:t xml:space="preserve"> 201</w:t>
      </w:r>
      <w:r w:rsidR="00052018" w:rsidRPr="00052018">
        <w:rPr>
          <w:rFonts w:ascii="Arial" w:hAnsi="Arial" w:cs="Arial"/>
          <w:b/>
          <w:color w:val="E31837"/>
          <w:sz w:val="40"/>
          <w:szCs w:val="40"/>
        </w:rPr>
        <w:t>8</w:t>
      </w:r>
      <w:r w:rsidR="0026261D" w:rsidRPr="00052018">
        <w:rPr>
          <w:rFonts w:ascii="Arial" w:hAnsi="Arial" w:cs="Arial"/>
          <w:b/>
          <w:color w:val="E31837"/>
          <w:sz w:val="40"/>
          <w:szCs w:val="40"/>
        </w:rPr>
        <w:t xml:space="preserve"> r.</w:t>
      </w:r>
    </w:p>
    <w:p w:rsidR="00973D15" w:rsidRPr="00052018" w:rsidRDefault="00973D15" w:rsidP="00973D15">
      <w:pPr>
        <w:rPr>
          <w:rFonts w:ascii="Arial" w:hAnsi="Arial" w:cs="Arial"/>
          <w:b/>
          <w:color w:val="A6A6A6"/>
          <w:sz w:val="28"/>
          <w:szCs w:val="28"/>
        </w:rPr>
      </w:pPr>
      <w:r w:rsidRPr="00052018">
        <w:rPr>
          <w:rFonts w:ascii="Arial" w:hAnsi="Arial" w:cs="Arial"/>
          <w:b/>
          <w:color w:val="A6A6A6"/>
          <w:sz w:val="28"/>
          <w:szCs w:val="28"/>
        </w:rPr>
        <w:t xml:space="preserve">Nr </w:t>
      </w:r>
      <w:r w:rsidR="007B0F5C" w:rsidRPr="00052018">
        <w:rPr>
          <w:rFonts w:ascii="Arial" w:hAnsi="Arial" w:cs="Arial"/>
          <w:b/>
          <w:color w:val="A6A6A6"/>
          <w:sz w:val="28"/>
          <w:szCs w:val="28"/>
        </w:rPr>
        <w:t>2</w:t>
      </w:r>
      <w:r w:rsidRPr="00052018">
        <w:rPr>
          <w:rFonts w:ascii="Arial" w:hAnsi="Arial" w:cs="Arial"/>
          <w:b/>
          <w:color w:val="A6A6A6"/>
          <w:sz w:val="28"/>
          <w:szCs w:val="28"/>
        </w:rPr>
        <w:t xml:space="preserve"> </w:t>
      </w:r>
      <w:r w:rsidR="001A4D91" w:rsidRPr="00052018">
        <w:rPr>
          <w:rFonts w:ascii="Arial" w:hAnsi="Arial" w:cs="Arial"/>
          <w:b/>
          <w:color w:val="A6A6A6"/>
          <w:sz w:val="28"/>
          <w:szCs w:val="28"/>
        </w:rPr>
        <w:t>/</w:t>
      </w:r>
      <w:r w:rsidRPr="00052018">
        <w:rPr>
          <w:rFonts w:ascii="Arial" w:hAnsi="Arial" w:cs="Arial"/>
          <w:b/>
          <w:color w:val="A6A6A6"/>
          <w:sz w:val="28"/>
          <w:szCs w:val="28"/>
        </w:rPr>
        <w:t xml:space="preserve"> 20</w:t>
      </w:r>
      <w:r w:rsidR="001A4D91" w:rsidRPr="00052018">
        <w:rPr>
          <w:rFonts w:ascii="Arial" w:hAnsi="Arial" w:cs="Arial"/>
          <w:b/>
          <w:color w:val="A6A6A6"/>
          <w:sz w:val="28"/>
          <w:szCs w:val="28"/>
        </w:rPr>
        <w:t>1</w:t>
      </w:r>
      <w:r w:rsidR="00052018" w:rsidRPr="00052018">
        <w:rPr>
          <w:rFonts w:ascii="Arial" w:hAnsi="Arial" w:cs="Arial"/>
          <w:b/>
          <w:color w:val="A6A6A6"/>
          <w:sz w:val="28"/>
          <w:szCs w:val="28"/>
        </w:rPr>
        <w:t>9</w:t>
      </w:r>
    </w:p>
    <w:p w:rsidR="00E64CDB" w:rsidRPr="00052018" w:rsidRDefault="00C66D2A" w:rsidP="00E64CDB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ADAFB2"/>
          <w:sz w:val="24"/>
          <w:szCs w:val="24"/>
          <w:highlight w:val="yellow"/>
        </w:rPr>
      </w:pPr>
      <w:r w:rsidRPr="00052018">
        <w:rPr>
          <w:rFonts w:ascii="Arial" w:hAnsi="Arial" w:cs="Arial"/>
          <w:color w:val="ADAFB2"/>
          <w:sz w:val="40"/>
          <w:szCs w:val="40"/>
          <w:highlight w:val="yellow"/>
        </w:rPr>
        <w:br/>
      </w:r>
    </w:p>
    <w:p w:rsidR="00E64CDB" w:rsidRPr="005923C7" w:rsidRDefault="00E64CDB" w:rsidP="00C341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5923C7">
        <w:rPr>
          <w:rFonts w:ascii="Arial" w:hAnsi="Arial" w:cs="Arial"/>
          <w:b/>
          <w:color w:val="ADAFB2"/>
          <w:sz w:val="24"/>
          <w:szCs w:val="24"/>
        </w:rPr>
        <w:t xml:space="preserve">Podstawowym celem niniejszej </w:t>
      </w:r>
      <w:r w:rsidRPr="005923C7">
        <w:rPr>
          <w:rFonts w:ascii="Arial" w:hAnsi="Arial" w:cs="Arial"/>
          <w:b/>
          <w:i/>
          <w:color w:val="ADAFB2"/>
          <w:sz w:val="24"/>
          <w:szCs w:val="24"/>
        </w:rPr>
        <w:t xml:space="preserve">Informacji </w:t>
      </w:r>
      <w:r w:rsidR="00594840" w:rsidRPr="005923C7">
        <w:rPr>
          <w:rFonts w:ascii="Arial" w:hAnsi="Arial" w:cs="Arial"/>
          <w:b/>
          <w:i/>
          <w:color w:val="ADAFB2"/>
          <w:sz w:val="24"/>
          <w:szCs w:val="24"/>
        </w:rPr>
        <w:t>kwartalnej</w:t>
      </w:r>
      <w:r w:rsidR="00594840" w:rsidRPr="005923C7">
        <w:rPr>
          <w:rFonts w:ascii="Arial" w:hAnsi="Arial" w:cs="Arial"/>
          <w:b/>
          <w:color w:val="ADAFB2"/>
          <w:sz w:val="24"/>
          <w:szCs w:val="24"/>
        </w:rPr>
        <w:t xml:space="preserve"> </w:t>
      </w:r>
      <w:r w:rsidRPr="005923C7">
        <w:rPr>
          <w:rFonts w:ascii="Arial" w:hAnsi="Arial" w:cs="Arial"/>
          <w:b/>
          <w:color w:val="ADAFB2"/>
          <w:sz w:val="24"/>
          <w:szCs w:val="24"/>
        </w:rPr>
        <w:t>jest zaprezentowanie dostępnych informacji na temat sektora finansów publicznych:</w:t>
      </w:r>
    </w:p>
    <w:p w:rsidR="00E64CDB" w:rsidRPr="005923C7" w:rsidRDefault="00E64CDB" w:rsidP="001F225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5923C7">
        <w:rPr>
          <w:rFonts w:ascii="Arial" w:hAnsi="Arial" w:cs="Arial"/>
          <w:b/>
          <w:color w:val="ADAFB2"/>
          <w:sz w:val="24"/>
          <w:szCs w:val="24"/>
        </w:rPr>
        <w:t>•</w:t>
      </w:r>
      <w:r w:rsidRPr="005923C7">
        <w:rPr>
          <w:rFonts w:ascii="Arial" w:hAnsi="Arial" w:cs="Arial"/>
          <w:b/>
          <w:color w:val="ADAFB2"/>
          <w:sz w:val="24"/>
          <w:szCs w:val="24"/>
        </w:rPr>
        <w:tab/>
        <w:t>według obowiązującego w Un</w:t>
      </w:r>
      <w:r w:rsidR="002A17A6" w:rsidRPr="005923C7">
        <w:rPr>
          <w:rFonts w:ascii="Arial" w:hAnsi="Arial" w:cs="Arial"/>
          <w:b/>
          <w:color w:val="ADAFB2"/>
          <w:sz w:val="24"/>
          <w:szCs w:val="24"/>
        </w:rPr>
        <w:t>ii Europejskiej standardu ESA2010</w:t>
      </w:r>
      <w:r w:rsidRPr="005923C7">
        <w:rPr>
          <w:rFonts w:ascii="Arial" w:hAnsi="Arial" w:cs="Arial"/>
          <w:b/>
          <w:color w:val="ADAFB2"/>
          <w:sz w:val="24"/>
          <w:szCs w:val="24"/>
        </w:rPr>
        <w:t xml:space="preserve"> (dane kwartalne obejmujące cały sektor instytucji rządowych i samorządowych),</w:t>
      </w:r>
    </w:p>
    <w:p w:rsidR="00E64CDB" w:rsidRPr="005923C7" w:rsidRDefault="00E64CDB" w:rsidP="001F225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5923C7">
        <w:rPr>
          <w:rFonts w:ascii="Arial" w:hAnsi="Arial" w:cs="Arial"/>
          <w:b/>
          <w:color w:val="ADAFB2"/>
          <w:sz w:val="24"/>
          <w:szCs w:val="24"/>
        </w:rPr>
        <w:t>•</w:t>
      </w:r>
      <w:r w:rsidRPr="005923C7">
        <w:rPr>
          <w:rFonts w:ascii="Arial" w:hAnsi="Arial" w:cs="Arial"/>
          <w:b/>
          <w:color w:val="ADAFB2"/>
          <w:sz w:val="24"/>
          <w:szCs w:val="24"/>
        </w:rPr>
        <w:tab/>
        <w:t xml:space="preserve">według standardu Międzynarodowego Funduszu Walutowego GFSM2001 (dane miesięczne obejmujące szczebel centralny, </w:t>
      </w:r>
      <w:r w:rsidR="00D023C3" w:rsidRPr="005923C7">
        <w:rPr>
          <w:rFonts w:ascii="Arial" w:hAnsi="Arial" w:cs="Arial"/>
          <w:b/>
          <w:color w:val="ADAFB2"/>
          <w:sz w:val="24"/>
          <w:szCs w:val="24"/>
        </w:rPr>
        <w:t xml:space="preserve">natomiast </w:t>
      </w:r>
      <w:r w:rsidRPr="005923C7">
        <w:rPr>
          <w:rFonts w:ascii="Arial" w:hAnsi="Arial" w:cs="Arial"/>
          <w:b/>
          <w:color w:val="ADAFB2"/>
          <w:sz w:val="24"/>
          <w:szCs w:val="24"/>
        </w:rPr>
        <w:t>dane roczne obejmujące cały sektor instytucji rządowych i samorządowych),</w:t>
      </w:r>
    </w:p>
    <w:p w:rsidR="00C66D2A" w:rsidRPr="005923C7" w:rsidRDefault="00E64CDB" w:rsidP="001F2255">
      <w:pPr>
        <w:widowControl w:val="0"/>
        <w:tabs>
          <w:tab w:val="left" w:pos="426"/>
        </w:tabs>
        <w:autoSpaceDE w:val="0"/>
        <w:autoSpaceDN w:val="0"/>
        <w:adjustRightInd w:val="0"/>
        <w:spacing w:after="28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5923C7">
        <w:rPr>
          <w:rFonts w:ascii="Arial" w:hAnsi="Arial" w:cs="Arial"/>
          <w:b/>
          <w:color w:val="ADAFB2"/>
          <w:sz w:val="24"/>
          <w:szCs w:val="24"/>
        </w:rPr>
        <w:t>•</w:t>
      </w:r>
      <w:r w:rsidRPr="005923C7">
        <w:rPr>
          <w:rFonts w:ascii="Arial" w:hAnsi="Arial" w:cs="Arial"/>
          <w:b/>
          <w:color w:val="ADAFB2"/>
          <w:sz w:val="24"/>
          <w:szCs w:val="24"/>
        </w:rPr>
        <w:tab/>
        <w:t>według przepisów krajowych (dane miesięczne o</w:t>
      </w:r>
      <w:r w:rsidR="00CA1B2C" w:rsidRPr="005923C7">
        <w:rPr>
          <w:rFonts w:ascii="Arial" w:hAnsi="Arial" w:cs="Arial"/>
          <w:b/>
          <w:color w:val="ADAFB2"/>
          <w:sz w:val="24"/>
          <w:szCs w:val="24"/>
        </w:rPr>
        <w:t> </w:t>
      </w:r>
      <w:r w:rsidRPr="005923C7">
        <w:rPr>
          <w:rFonts w:ascii="Arial" w:hAnsi="Arial" w:cs="Arial"/>
          <w:b/>
          <w:color w:val="ADAFB2"/>
          <w:sz w:val="24"/>
          <w:szCs w:val="24"/>
        </w:rPr>
        <w:t>budżecie państwa</w:t>
      </w:r>
      <w:r w:rsidR="001F2255" w:rsidRPr="005923C7">
        <w:rPr>
          <w:rFonts w:ascii="Arial" w:hAnsi="Arial" w:cs="Arial"/>
          <w:b/>
          <w:color w:val="ADAFB2"/>
          <w:sz w:val="24"/>
          <w:szCs w:val="24"/>
        </w:rPr>
        <w:t xml:space="preserve">, Funduszu Ubezpieczeń Społecznych, Funduszu Emerytalno-Rentowym, Funduszu Pracy, Narodowym Funduszu </w:t>
      </w:r>
      <w:r w:rsidR="00562706" w:rsidRPr="005923C7">
        <w:rPr>
          <w:rFonts w:ascii="Arial" w:hAnsi="Arial" w:cs="Arial"/>
          <w:b/>
          <w:color w:val="ADAFB2"/>
          <w:sz w:val="24"/>
          <w:szCs w:val="24"/>
        </w:rPr>
        <w:t>Zdrowia</w:t>
      </w:r>
      <w:r w:rsidR="001F2255" w:rsidRPr="005923C7">
        <w:rPr>
          <w:rFonts w:ascii="Arial" w:hAnsi="Arial" w:cs="Arial"/>
          <w:b/>
          <w:color w:val="ADAFB2"/>
          <w:sz w:val="24"/>
          <w:szCs w:val="24"/>
        </w:rPr>
        <w:t>)</w:t>
      </w:r>
      <w:r w:rsidRPr="005923C7">
        <w:rPr>
          <w:rFonts w:ascii="Arial" w:hAnsi="Arial" w:cs="Arial"/>
          <w:b/>
          <w:color w:val="ADAFB2"/>
          <w:sz w:val="24"/>
          <w:szCs w:val="24"/>
        </w:rPr>
        <w:t>.</w:t>
      </w:r>
    </w:p>
    <w:p w:rsidR="00973D15" w:rsidRPr="005923C7" w:rsidRDefault="00973D15" w:rsidP="003E667E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</w:rPr>
      </w:pPr>
    </w:p>
    <w:p w:rsidR="00E64CDB" w:rsidRPr="005923C7" w:rsidRDefault="00E64CDB" w:rsidP="00DD73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ADAFB2"/>
          <w:sz w:val="24"/>
          <w:szCs w:val="24"/>
        </w:rPr>
      </w:pPr>
      <w:r w:rsidRPr="005923C7">
        <w:rPr>
          <w:rFonts w:ascii="Arial" w:hAnsi="Arial" w:cs="Arial"/>
          <w:b/>
          <w:color w:val="ADAFB2"/>
          <w:sz w:val="24"/>
          <w:szCs w:val="24"/>
        </w:rPr>
        <w:t xml:space="preserve">Departament Polityki </w:t>
      </w:r>
      <w:r w:rsidR="00C23366" w:rsidRPr="005923C7">
        <w:rPr>
          <w:rFonts w:ascii="Arial" w:hAnsi="Arial" w:cs="Arial"/>
          <w:b/>
          <w:color w:val="ADAFB2"/>
          <w:sz w:val="24"/>
          <w:szCs w:val="24"/>
        </w:rPr>
        <w:t>Makroekonomicznej</w:t>
      </w:r>
    </w:p>
    <w:p w:rsidR="00E210E5" w:rsidRPr="005923C7" w:rsidRDefault="00E64CDB" w:rsidP="00E210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ADAFB2"/>
          <w:sz w:val="24"/>
          <w:szCs w:val="24"/>
        </w:rPr>
      </w:pPr>
      <w:r w:rsidRPr="005923C7">
        <w:rPr>
          <w:rFonts w:ascii="Arial" w:hAnsi="Arial" w:cs="Arial"/>
          <w:b/>
          <w:color w:val="ADAFB2"/>
          <w:sz w:val="24"/>
          <w:szCs w:val="24"/>
        </w:rPr>
        <w:t>Departament Długu Publicznego</w:t>
      </w:r>
      <w:r w:rsidR="00E210E5" w:rsidRPr="005923C7">
        <w:rPr>
          <w:rFonts w:ascii="Arial" w:hAnsi="Arial" w:cs="Arial"/>
          <w:b/>
          <w:color w:val="ADAFB2"/>
          <w:sz w:val="24"/>
          <w:szCs w:val="24"/>
        </w:rPr>
        <w:t xml:space="preserve"> </w:t>
      </w:r>
    </w:p>
    <w:p w:rsidR="005774A8" w:rsidRPr="00052018" w:rsidRDefault="005774A8" w:rsidP="00D023C3">
      <w:pPr>
        <w:widowControl w:val="0"/>
        <w:autoSpaceDE w:val="0"/>
        <w:autoSpaceDN w:val="0"/>
        <w:adjustRightInd w:val="0"/>
        <w:spacing w:after="280" w:line="360" w:lineRule="auto"/>
        <w:jc w:val="center"/>
        <w:rPr>
          <w:rFonts w:ascii="Arial" w:hAnsi="Arial" w:cs="Arial"/>
          <w:b/>
          <w:color w:val="ADAFB2"/>
          <w:sz w:val="24"/>
          <w:szCs w:val="24"/>
          <w:highlight w:val="yellow"/>
        </w:rPr>
        <w:sectPr w:rsidR="005774A8" w:rsidRPr="00052018" w:rsidSect="00EC439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418" w:right="992" w:bottom="1134" w:left="3686" w:header="709" w:footer="975" w:gutter="0"/>
          <w:cols w:space="708"/>
          <w:titlePg/>
          <w:docGrid w:linePitch="360"/>
        </w:sectPr>
      </w:pPr>
    </w:p>
    <w:p w:rsidR="00594840" w:rsidRPr="005923C7" w:rsidRDefault="00594840" w:rsidP="00214199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5923C7">
        <w:rPr>
          <w:rFonts w:ascii="Arial" w:hAnsi="Arial" w:cs="Arial"/>
          <w:b/>
          <w:color w:val="ADAFB2"/>
          <w:sz w:val="24"/>
          <w:szCs w:val="24"/>
        </w:rPr>
        <w:lastRenderedPageBreak/>
        <w:t xml:space="preserve">Mając na uwadze zasadę jawności i przejrzystości finansów publicznych publikujemy Informację kwartalną o stanie finansów publicznych. Niniejszy numer zawiera informacje dotyczące </w:t>
      </w:r>
      <w:r w:rsidRPr="005923C7">
        <w:rPr>
          <w:rFonts w:ascii="Arial" w:hAnsi="Arial" w:cs="Arial"/>
          <w:b/>
          <w:color w:val="333333"/>
          <w:sz w:val="24"/>
          <w:szCs w:val="24"/>
        </w:rPr>
        <w:t>I</w:t>
      </w:r>
      <w:r w:rsidR="00BC5828" w:rsidRPr="005923C7">
        <w:rPr>
          <w:rFonts w:ascii="Arial" w:hAnsi="Arial" w:cs="Arial"/>
          <w:b/>
          <w:color w:val="333333"/>
          <w:sz w:val="24"/>
          <w:szCs w:val="24"/>
        </w:rPr>
        <w:t>V</w:t>
      </w:r>
      <w:r w:rsidR="0009641C" w:rsidRPr="005923C7">
        <w:rPr>
          <w:rFonts w:ascii="Arial" w:hAnsi="Arial" w:cs="Arial"/>
          <w:b/>
          <w:color w:val="333333"/>
          <w:sz w:val="24"/>
          <w:szCs w:val="24"/>
        </w:rPr>
        <w:t xml:space="preserve"> </w:t>
      </w:r>
      <w:r w:rsidRPr="005923C7">
        <w:rPr>
          <w:rFonts w:ascii="Arial" w:hAnsi="Arial" w:cs="Arial"/>
          <w:b/>
          <w:color w:val="333333"/>
          <w:sz w:val="24"/>
          <w:szCs w:val="24"/>
        </w:rPr>
        <w:t xml:space="preserve">kwartału </w:t>
      </w:r>
      <w:r w:rsidR="00BC5828" w:rsidRPr="005923C7">
        <w:rPr>
          <w:rFonts w:ascii="Arial" w:hAnsi="Arial" w:cs="Arial"/>
          <w:b/>
          <w:color w:val="333333"/>
          <w:sz w:val="24"/>
          <w:szCs w:val="24"/>
        </w:rPr>
        <w:t xml:space="preserve">oraz całego </w:t>
      </w:r>
      <w:r w:rsidRPr="005923C7">
        <w:rPr>
          <w:rFonts w:ascii="Arial" w:hAnsi="Arial" w:cs="Arial"/>
          <w:b/>
          <w:color w:val="333333"/>
          <w:sz w:val="24"/>
          <w:szCs w:val="24"/>
        </w:rPr>
        <w:t>201</w:t>
      </w:r>
      <w:r w:rsidR="005923C7" w:rsidRPr="005923C7">
        <w:rPr>
          <w:rFonts w:ascii="Arial" w:hAnsi="Arial" w:cs="Arial"/>
          <w:b/>
          <w:color w:val="333333"/>
          <w:sz w:val="24"/>
          <w:szCs w:val="24"/>
        </w:rPr>
        <w:t>8</w:t>
      </w:r>
      <w:r w:rsidR="00C23366" w:rsidRPr="005923C7">
        <w:rPr>
          <w:rFonts w:ascii="Arial" w:hAnsi="Arial" w:cs="Arial"/>
          <w:b/>
          <w:color w:val="333333"/>
          <w:sz w:val="24"/>
          <w:szCs w:val="24"/>
        </w:rPr>
        <w:t> r</w:t>
      </w:r>
      <w:r w:rsidR="0009641C" w:rsidRPr="005923C7">
        <w:rPr>
          <w:rFonts w:ascii="Arial" w:hAnsi="Arial" w:cs="Arial"/>
          <w:b/>
          <w:color w:val="333333"/>
          <w:sz w:val="24"/>
          <w:szCs w:val="24"/>
        </w:rPr>
        <w:t>.</w:t>
      </w:r>
      <w:r w:rsidRPr="005923C7">
        <w:rPr>
          <w:rFonts w:ascii="Arial" w:hAnsi="Arial" w:cs="Arial"/>
          <w:b/>
          <w:color w:val="ADAFB2"/>
          <w:sz w:val="24"/>
          <w:szCs w:val="24"/>
        </w:rPr>
        <w:t xml:space="preserve"> </w:t>
      </w:r>
    </w:p>
    <w:p w:rsidR="008101FD" w:rsidRPr="00052018" w:rsidRDefault="008101FD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sz w:val="20"/>
          <w:szCs w:val="20"/>
          <w:highlight w:val="yellow"/>
        </w:rPr>
      </w:pPr>
    </w:p>
    <w:p w:rsidR="00E210E5" w:rsidRPr="00052018" w:rsidRDefault="00E210E5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sz w:val="20"/>
          <w:szCs w:val="20"/>
          <w:highlight w:val="yellow"/>
        </w:rPr>
      </w:pPr>
    </w:p>
    <w:p w:rsidR="00E210E5" w:rsidRPr="00052018" w:rsidRDefault="00E210E5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sz w:val="20"/>
          <w:szCs w:val="20"/>
          <w:highlight w:val="yellow"/>
        </w:rPr>
      </w:pPr>
    </w:p>
    <w:p w:rsidR="00E210E5" w:rsidRPr="00052018" w:rsidRDefault="00E210E5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sz w:val="20"/>
          <w:szCs w:val="20"/>
          <w:highlight w:val="yellow"/>
        </w:rPr>
      </w:pPr>
    </w:p>
    <w:p w:rsidR="00690F9E" w:rsidRPr="00052018" w:rsidRDefault="00690F9E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highlight w:val="yellow"/>
        </w:rPr>
      </w:pPr>
    </w:p>
    <w:p w:rsidR="00E210E5" w:rsidRPr="005923C7" w:rsidRDefault="00E210E5" w:rsidP="00594840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E31837"/>
          <w:sz w:val="28"/>
          <w:szCs w:val="28"/>
        </w:rPr>
      </w:pPr>
      <w:r w:rsidRPr="005923C7">
        <w:rPr>
          <w:rFonts w:ascii="Arial" w:hAnsi="Arial" w:cs="Arial"/>
          <w:b/>
          <w:color w:val="E31837"/>
          <w:sz w:val="28"/>
          <w:szCs w:val="28"/>
        </w:rPr>
        <w:t>Podstawowe wskaźniki stanu sektora instytucji rządowych i samorządo</w:t>
      </w:r>
      <w:r w:rsidR="00BC5828" w:rsidRPr="005923C7">
        <w:rPr>
          <w:rFonts w:ascii="Arial" w:hAnsi="Arial" w:cs="Arial"/>
          <w:b/>
          <w:color w:val="E31837"/>
          <w:sz w:val="28"/>
          <w:szCs w:val="28"/>
        </w:rPr>
        <w:t xml:space="preserve">wych wg ESA2010 w </w:t>
      </w:r>
      <w:r w:rsidRPr="005923C7">
        <w:rPr>
          <w:rFonts w:ascii="Arial" w:hAnsi="Arial" w:cs="Arial"/>
          <w:b/>
          <w:color w:val="E31837"/>
          <w:sz w:val="28"/>
          <w:szCs w:val="28"/>
        </w:rPr>
        <w:t>I</w:t>
      </w:r>
      <w:r w:rsidR="00BC5828" w:rsidRPr="005923C7">
        <w:rPr>
          <w:rFonts w:ascii="Arial" w:hAnsi="Arial" w:cs="Arial"/>
          <w:b/>
          <w:color w:val="E31837"/>
          <w:sz w:val="28"/>
          <w:szCs w:val="28"/>
        </w:rPr>
        <w:t>V</w:t>
      </w:r>
      <w:r w:rsidRPr="005923C7">
        <w:rPr>
          <w:rFonts w:ascii="Arial" w:hAnsi="Arial" w:cs="Arial"/>
          <w:b/>
          <w:color w:val="E31837"/>
          <w:sz w:val="28"/>
          <w:szCs w:val="28"/>
        </w:rPr>
        <w:t xml:space="preserve"> kw. </w:t>
      </w:r>
      <w:r w:rsidR="00BC5828" w:rsidRPr="005923C7">
        <w:rPr>
          <w:rFonts w:ascii="Arial" w:hAnsi="Arial" w:cs="Arial"/>
          <w:b/>
          <w:color w:val="E31837"/>
          <w:sz w:val="28"/>
          <w:szCs w:val="28"/>
        </w:rPr>
        <w:t xml:space="preserve">i </w:t>
      </w:r>
      <w:r w:rsidR="00DD0F06" w:rsidRPr="005923C7">
        <w:rPr>
          <w:rFonts w:ascii="Arial" w:hAnsi="Arial" w:cs="Arial"/>
          <w:b/>
          <w:color w:val="E31837"/>
          <w:sz w:val="28"/>
          <w:szCs w:val="28"/>
        </w:rPr>
        <w:t xml:space="preserve">w </w:t>
      </w:r>
      <w:r w:rsidR="00BC5828" w:rsidRPr="005923C7">
        <w:rPr>
          <w:rFonts w:ascii="Arial" w:hAnsi="Arial" w:cs="Arial"/>
          <w:b/>
          <w:color w:val="E31837"/>
          <w:sz w:val="28"/>
          <w:szCs w:val="28"/>
        </w:rPr>
        <w:t xml:space="preserve">całym </w:t>
      </w:r>
      <w:r w:rsidR="007E1B4D" w:rsidRPr="005923C7">
        <w:rPr>
          <w:rFonts w:ascii="Arial" w:hAnsi="Arial" w:cs="Arial"/>
          <w:b/>
          <w:color w:val="E31837"/>
          <w:sz w:val="28"/>
          <w:szCs w:val="28"/>
        </w:rPr>
        <w:t>201</w:t>
      </w:r>
      <w:r w:rsidR="005923C7" w:rsidRPr="005923C7">
        <w:rPr>
          <w:rFonts w:ascii="Arial" w:hAnsi="Arial" w:cs="Arial"/>
          <w:b/>
          <w:color w:val="E31837"/>
          <w:sz w:val="28"/>
          <w:szCs w:val="28"/>
        </w:rPr>
        <w:t>8</w:t>
      </w:r>
      <w:r w:rsidRPr="005923C7">
        <w:rPr>
          <w:rFonts w:ascii="Arial" w:hAnsi="Arial" w:cs="Arial"/>
          <w:b/>
          <w:color w:val="E31837"/>
          <w:sz w:val="28"/>
          <w:szCs w:val="28"/>
        </w:rPr>
        <w:t> r.</w:t>
      </w:r>
    </w:p>
    <w:p w:rsidR="00E210E5" w:rsidRPr="005923C7" w:rsidRDefault="00E210E5" w:rsidP="00026C8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5923C7">
        <w:rPr>
          <w:rFonts w:ascii="Arial" w:hAnsi="Arial" w:cs="Arial"/>
          <w:b/>
          <w:color w:val="ADAFB2"/>
          <w:sz w:val="24"/>
          <w:szCs w:val="24"/>
        </w:rPr>
        <w:t xml:space="preserve">Wynik </w:t>
      </w:r>
      <w:r w:rsidR="00BC5828" w:rsidRPr="005923C7">
        <w:rPr>
          <w:rFonts w:ascii="Arial" w:hAnsi="Arial" w:cs="Arial"/>
          <w:b/>
          <w:color w:val="ADAFB2"/>
          <w:sz w:val="24"/>
          <w:szCs w:val="24"/>
        </w:rPr>
        <w:t xml:space="preserve">w IV kw. </w:t>
      </w:r>
      <w:r w:rsidRPr="005923C7">
        <w:rPr>
          <w:rFonts w:ascii="Arial" w:hAnsi="Arial" w:cs="Arial"/>
          <w:b/>
          <w:color w:val="ADAFB2"/>
          <w:sz w:val="24"/>
          <w:szCs w:val="24"/>
        </w:rPr>
        <w:t xml:space="preserve">wyniósł </w:t>
      </w:r>
      <w:r w:rsidR="007E1B4D" w:rsidRPr="005923C7">
        <w:rPr>
          <w:rFonts w:ascii="Arial" w:hAnsi="Arial" w:cs="Arial"/>
          <w:b/>
          <w:color w:val="E31837"/>
          <w:sz w:val="24"/>
          <w:szCs w:val="24"/>
        </w:rPr>
        <w:t>-</w:t>
      </w:r>
      <w:r w:rsidR="005923C7" w:rsidRPr="005923C7">
        <w:rPr>
          <w:rFonts w:ascii="Arial" w:hAnsi="Arial" w:cs="Arial"/>
          <w:b/>
          <w:color w:val="E31837"/>
          <w:sz w:val="24"/>
          <w:szCs w:val="24"/>
        </w:rPr>
        <w:t>13,1</w:t>
      </w:r>
      <w:r w:rsidR="000061C6" w:rsidRPr="005923C7">
        <w:rPr>
          <w:rFonts w:ascii="Arial" w:hAnsi="Arial" w:cs="Arial"/>
          <w:b/>
          <w:color w:val="E31837"/>
          <w:sz w:val="24"/>
          <w:szCs w:val="24"/>
        </w:rPr>
        <w:t xml:space="preserve"> </w:t>
      </w:r>
      <w:r w:rsidR="007E1B4D" w:rsidRPr="005923C7">
        <w:rPr>
          <w:rFonts w:ascii="Arial" w:hAnsi="Arial" w:cs="Arial"/>
          <w:b/>
          <w:color w:val="E31837"/>
          <w:sz w:val="24"/>
          <w:szCs w:val="24"/>
        </w:rPr>
        <w:t xml:space="preserve">mld zł </w:t>
      </w:r>
      <w:r w:rsidR="005923C7" w:rsidRPr="005923C7">
        <w:rPr>
          <w:rFonts w:ascii="Arial" w:hAnsi="Arial" w:cs="Arial"/>
          <w:b/>
          <w:color w:val="E31837"/>
          <w:sz w:val="24"/>
          <w:szCs w:val="24"/>
        </w:rPr>
        <w:t>(-2,2</w:t>
      </w:r>
      <w:r w:rsidR="000061C6" w:rsidRPr="005923C7">
        <w:rPr>
          <w:rFonts w:ascii="Arial" w:hAnsi="Arial" w:cs="Arial"/>
          <w:b/>
          <w:color w:val="E31837"/>
          <w:sz w:val="24"/>
          <w:szCs w:val="24"/>
        </w:rPr>
        <w:t xml:space="preserve"> </w:t>
      </w:r>
      <w:r w:rsidR="002E22EC" w:rsidRPr="005923C7">
        <w:rPr>
          <w:rFonts w:ascii="Arial" w:hAnsi="Arial" w:cs="Arial"/>
          <w:b/>
          <w:color w:val="E31837"/>
          <w:sz w:val="24"/>
          <w:szCs w:val="24"/>
        </w:rPr>
        <w:t>%PKB)</w:t>
      </w:r>
    </w:p>
    <w:p w:rsidR="00BC5828" w:rsidRPr="002444E6" w:rsidRDefault="00BC5828" w:rsidP="00026C8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2444E6">
        <w:rPr>
          <w:rFonts w:ascii="Arial" w:hAnsi="Arial" w:cs="Arial"/>
          <w:b/>
          <w:color w:val="ADAFB2"/>
          <w:sz w:val="24"/>
          <w:szCs w:val="24"/>
        </w:rPr>
        <w:t xml:space="preserve">Wynik </w:t>
      </w:r>
      <w:r w:rsidR="001A41AF" w:rsidRPr="002444E6">
        <w:rPr>
          <w:rFonts w:ascii="Arial" w:hAnsi="Arial" w:cs="Arial"/>
          <w:b/>
          <w:color w:val="ADAFB2"/>
          <w:sz w:val="24"/>
          <w:szCs w:val="24"/>
        </w:rPr>
        <w:t>w 2018</w:t>
      </w:r>
      <w:r w:rsidRPr="002444E6">
        <w:rPr>
          <w:rFonts w:ascii="Arial" w:hAnsi="Arial" w:cs="Arial"/>
          <w:b/>
          <w:color w:val="ADAFB2"/>
          <w:sz w:val="24"/>
          <w:szCs w:val="24"/>
        </w:rPr>
        <w:t xml:space="preserve"> r</w:t>
      </w:r>
      <w:r w:rsidR="007E52CD" w:rsidRPr="002444E6">
        <w:rPr>
          <w:rFonts w:ascii="Arial" w:hAnsi="Arial" w:cs="Arial"/>
          <w:b/>
          <w:color w:val="ADAFB2"/>
          <w:sz w:val="24"/>
          <w:szCs w:val="24"/>
        </w:rPr>
        <w:t>.</w:t>
      </w:r>
      <w:r w:rsidRPr="002444E6">
        <w:rPr>
          <w:rFonts w:ascii="Arial" w:hAnsi="Arial" w:cs="Arial"/>
          <w:b/>
          <w:color w:val="ADAFB2"/>
          <w:sz w:val="24"/>
          <w:szCs w:val="24"/>
        </w:rPr>
        <w:t xml:space="preserve"> wyniósł </w:t>
      </w:r>
      <w:r w:rsidR="002E22EC" w:rsidRPr="002444E6">
        <w:rPr>
          <w:rFonts w:ascii="Arial" w:hAnsi="Arial" w:cs="Arial"/>
          <w:b/>
          <w:color w:val="E31837"/>
          <w:sz w:val="24"/>
          <w:szCs w:val="24"/>
        </w:rPr>
        <w:t>-</w:t>
      </w:r>
      <w:r w:rsidR="00FB64BA" w:rsidRPr="002444E6">
        <w:rPr>
          <w:rFonts w:ascii="Arial" w:hAnsi="Arial" w:cs="Arial"/>
          <w:b/>
          <w:color w:val="E31837"/>
          <w:sz w:val="24"/>
          <w:szCs w:val="24"/>
        </w:rPr>
        <w:t>8,0</w:t>
      </w:r>
      <w:r w:rsidR="000061C6" w:rsidRPr="002444E6">
        <w:rPr>
          <w:rFonts w:ascii="Arial" w:hAnsi="Arial" w:cs="Arial"/>
          <w:b/>
          <w:color w:val="E31837"/>
          <w:sz w:val="24"/>
          <w:szCs w:val="24"/>
        </w:rPr>
        <w:t xml:space="preserve"> </w:t>
      </w:r>
      <w:r w:rsidR="002E22EC" w:rsidRPr="002444E6">
        <w:rPr>
          <w:rFonts w:ascii="Arial" w:hAnsi="Arial" w:cs="Arial"/>
          <w:b/>
          <w:color w:val="E31837"/>
          <w:sz w:val="24"/>
          <w:szCs w:val="24"/>
        </w:rPr>
        <w:t>mld zł (</w:t>
      </w:r>
      <w:r w:rsidR="007E52CD" w:rsidRPr="002444E6">
        <w:rPr>
          <w:rFonts w:ascii="Arial" w:hAnsi="Arial" w:cs="Arial"/>
          <w:b/>
          <w:color w:val="E31837"/>
          <w:sz w:val="24"/>
          <w:szCs w:val="24"/>
        </w:rPr>
        <w:t>-</w:t>
      </w:r>
      <w:r w:rsidR="005923C7" w:rsidRPr="002444E6">
        <w:rPr>
          <w:rFonts w:ascii="Arial" w:hAnsi="Arial" w:cs="Arial"/>
          <w:b/>
          <w:color w:val="E31837"/>
          <w:sz w:val="24"/>
          <w:szCs w:val="24"/>
        </w:rPr>
        <w:t>0,4</w:t>
      </w:r>
      <w:r w:rsidR="000061C6" w:rsidRPr="002444E6">
        <w:rPr>
          <w:rFonts w:ascii="Arial" w:hAnsi="Arial" w:cs="Arial"/>
          <w:b/>
          <w:color w:val="E31837"/>
          <w:sz w:val="24"/>
          <w:szCs w:val="24"/>
        </w:rPr>
        <w:t xml:space="preserve"> %</w:t>
      </w:r>
      <w:r w:rsidR="002E22EC" w:rsidRPr="002444E6">
        <w:rPr>
          <w:rFonts w:ascii="Arial" w:hAnsi="Arial" w:cs="Arial"/>
          <w:b/>
          <w:color w:val="E31837"/>
          <w:sz w:val="24"/>
          <w:szCs w:val="24"/>
        </w:rPr>
        <w:t>PKB)</w:t>
      </w:r>
    </w:p>
    <w:p w:rsidR="00E210E5" w:rsidRPr="00B74F34" w:rsidRDefault="003F725B" w:rsidP="00B74F3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B74F34">
        <w:rPr>
          <w:rFonts w:ascii="Arial" w:hAnsi="Arial" w:cs="Arial"/>
          <w:b/>
          <w:color w:val="ADAFB2"/>
          <w:sz w:val="24"/>
          <w:szCs w:val="24"/>
        </w:rPr>
        <w:t>Dł</w:t>
      </w:r>
      <w:r w:rsidR="00E210E5" w:rsidRPr="00B74F34">
        <w:rPr>
          <w:rFonts w:ascii="Arial" w:hAnsi="Arial" w:cs="Arial"/>
          <w:b/>
          <w:color w:val="ADAFB2"/>
          <w:sz w:val="24"/>
          <w:szCs w:val="24"/>
        </w:rPr>
        <w:t xml:space="preserve">ug EDP </w:t>
      </w:r>
      <w:r w:rsidR="00A700BC" w:rsidRPr="00B74F34">
        <w:rPr>
          <w:rFonts w:ascii="Arial" w:hAnsi="Arial" w:cs="Arial"/>
          <w:b/>
          <w:color w:val="ADAFB2"/>
          <w:sz w:val="24"/>
          <w:szCs w:val="24"/>
        </w:rPr>
        <w:t>na koniec 201</w:t>
      </w:r>
      <w:r w:rsidR="00B74F34" w:rsidRPr="00B74F34">
        <w:rPr>
          <w:rFonts w:ascii="Arial" w:hAnsi="Arial" w:cs="Arial"/>
          <w:b/>
          <w:color w:val="ADAFB2"/>
          <w:sz w:val="24"/>
          <w:szCs w:val="24"/>
        </w:rPr>
        <w:t>8</w:t>
      </w:r>
      <w:r w:rsidR="00A700BC" w:rsidRPr="00B74F34">
        <w:rPr>
          <w:rFonts w:ascii="Arial" w:hAnsi="Arial" w:cs="Arial"/>
          <w:b/>
          <w:color w:val="ADAFB2"/>
          <w:sz w:val="24"/>
          <w:szCs w:val="24"/>
        </w:rPr>
        <w:t xml:space="preserve"> r. </w:t>
      </w:r>
      <w:r w:rsidR="00E210E5" w:rsidRPr="00B74F34">
        <w:rPr>
          <w:rFonts w:ascii="Arial" w:hAnsi="Arial" w:cs="Arial"/>
          <w:b/>
          <w:color w:val="ADAFB2"/>
          <w:sz w:val="24"/>
          <w:szCs w:val="24"/>
        </w:rPr>
        <w:t xml:space="preserve">wyniósł </w:t>
      </w:r>
      <w:r w:rsidR="00B74F34" w:rsidRPr="00B74F34">
        <w:rPr>
          <w:rFonts w:ascii="Arial" w:hAnsi="Arial" w:cs="Arial"/>
          <w:b/>
          <w:color w:val="E31837"/>
          <w:sz w:val="24"/>
          <w:szCs w:val="24"/>
        </w:rPr>
        <w:t xml:space="preserve">1.034,4 </w:t>
      </w:r>
      <w:r w:rsidR="00D55FD4" w:rsidRPr="00B74F34">
        <w:rPr>
          <w:rFonts w:ascii="Arial" w:hAnsi="Arial" w:cs="Arial"/>
          <w:b/>
          <w:color w:val="E31837"/>
          <w:sz w:val="24"/>
          <w:szCs w:val="24"/>
        </w:rPr>
        <w:t>mld zł (</w:t>
      </w:r>
      <w:r w:rsidR="00B74F34" w:rsidRPr="00B74F34">
        <w:rPr>
          <w:rFonts w:ascii="Arial" w:hAnsi="Arial" w:cs="Arial"/>
          <w:b/>
          <w:color w:val="E31837"/>
          <w:sz w:val="24"/>
          <w:szCs w:val="24"/>
        </w:rPr>
        <w:t>48,9</w:t>
      </w:r>
      <w:r w:rsidR="00BF7964" w:rsidRPr="00B74F34">
        <w:rPr>
          <w:rFonts w:ascii="Arial" w:hAnsi="Arial" w:cs="Arial"/>
          <w:b/>
          <w:color w:val="E31837"/>
          <w:sz w:val="24"/>
          <w:szCs w:val="24"/>
        </w:rPr>
        <w:t> </w:t>
      </w:r>
      <w:r w:rsidR="00C102A9" w:rsidRPr="00B74F34">
        <w:rPr>
          <w:rFonts w:ascii="Arial" w:hAnsi="Arial" w:cs="Arial"/>
          <w:b/>
          <w:color w:val="E31837"/>
          <w:sz w:val="24"/>
          <w:szCs w:val="24"/>
        </w:rPr>
        <w:t>% PKB)</w:t>
      </w:r>
    </w:p>
    <w:p w:rsidR="003E0424" w:rsidRPr="00052018" w:rsidRDefault="003E0424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highlight w:val="yellow"/>
        </w:rPr>
      </w:pPr>
    </w:p>
    <w:p w:rsidR="00E210E5" w:rsidRPr="005923C7" w:rsidRDefault="00E210E5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</w:rPr>
      </w:pPr>
    </w:p>
    <w:p w:rsidR="003E0424" w:rsidRPr="005923C7" w:rsidRDefault="00594840" w:rsidP="00D80F1C">
      <w:pPr>
        <w:widowControl w:val="0"/>
        <w:autoSpaceDE w:val="0"/>
        <w:autoSpaceDN w:val="0"/>
        <w:adjustRightInd w:val="0"/>
        <w:spacing w:after="280" w:line="360" w:lineRule="auto"/>
        <w:jc w:val="both"/>
        <w:rPr>
          <w:rFonts w:ascii="Arial" w:hAnsi="Arial" w:cs="Arial"/>
          <w:b/>
          <w:color w:val="ADAFB2"/>
        </w:rPr>
      </w:pPr>
      <w:r w:rsidRPr="005923C7">
        <w:rPr>
          <w:rFonts w:ascii="Arial" w:hAnsi="Arial" w:cs="Arial"/>
          <w:b/>
          <w:color w:val="ADAFB2"/>
          <w:sz w:val="20"/>
          <w:szCs w:val="20"/>
        </w:rPr>
        <w:t>Niniejszy materiał został opracowany wyłącznie w celach informacyjnych i</w:t>
      </w:r>
      <w:r w:rsidR="00CA1B2C" w:rsidRPr="005923C7">
        <w:rPr>
          <w:rFonts w:ascii="Arial" w:hAnsi="Arial" w:cs="Arial"/>
          <w:b/>
          <w:color w:val="ADAFB2"/>
          <w:sz w:val="20"/>
          <w:szCs w:val="20"/>
        </w:rPr>
        <w:t> </w:t>
      </w:r>
      <w:r w:rsidRPr="005923C7">
        <w:rPr>
          <w:rFonts w:ascii="Arial" w:hAnsi="Arial" w:cs="Arial"/>
          <w:b/>
          <w:color w:val="ADAFB2"/>
          <w:sz w:val="20"/>
          <w:szCs w:val="20"/>
        </w:rPr>
        <w:t>nie może być traktowany jako oferta lub rekomendacja do zawierania jakichkolwiek transakcji. Informacje zawarte w materiale pochodzą z</w:t>
      </w:r>
      <w:r w:rsidR="00CA1B2C" w:rsidRPr="005923C7">
        <w:rPr>
          <w:rFonts w:ascii="Arial" w:hAnsi="Arial" w:cs="Arial"/>
          <w:b/>
          <w:color w:val="ADAFB2"/>
          <w:sz w:val="20"/>
          <w:szCs w:val="20"/>
        </w:rPr>
        <w:t> </w:t>
      </w:r>
      <w:r w:rsidRPr="005923C7">
        <w:rPr>
          <w:rFonts w:ascii="Arial" w:hAnsi="Arial" w:cs="Arial"/>
          <w:b/>
          <w:color w:val="ADAFB2"/>
          <w:sz w:val="20"/>
          <w:szCs w:val="20"/>
        </w:rPr>
        <w:t>dostępnych, wiarygodnych źródeł, jednak  Ministerstwo Finansów nie może zagwarantować ich dokładności i pełności. Ministerstwo Finansów nie ponosi odpowiedzialności za skutki decyzji podjętych na podstawie informacji zawartych w niniejszym materiale. Niniejszy materiał może być wykorzystywany do opracowań własnych pod warunkiem powołania się na źródło.</w:t>
      </w:r>
      <w:r w:rsidR="00D80F1C" w:rsidRPr="005923C7">
        <w:rPr>
          <w:rFonts w:ascii="Arial" w:hAnsi="Arial" w:cs="Arial"/>
          <w:b/>
          <w:color w:val="ADAFB2"/>
          <w:sz w:val="20"/>
          <w:szCs w:val="20"/>
        </w:rPr>
        <w:t xml:space="preserve"> </w:t>
      </w:r>
    </w:p>
    <w:p w:rsidR="005725A7" w:rsidRPr="00052018" w:rsidRDefault="005725A7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highlight w:val="yellow"/>
        </w:rPr>
        <w:sectPr w:rsidR="005725A7" w:rsidRPr="00052018" w:rsidSect="00EC4394">
          <w:footerReference w:type="first" r:id="rId15"/>
          <w:pgSz w:w="11907" w:h="16839" w:code="9"/>
          <w:pgMar w:top="1418" w:right="992" w:bottom="1135" w:left="3686" w:header="709" w:footer="976" w:gutter="0"/>
          <w:cols w:space="708"/>
          <w:titlePg/>
          <w:docGrid w:linePitch="360"/>
        </w:sectPr>
      </w:pPr>
    </w:p>
    <w:p w:rsidR="003E0424" w:rsidRPr="00052018" w:rsidRDefault="003E0424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highlight w:val="yellow"/>
        </w:rPr>
      </w:pPr>
    </w:p>
    <w:p w:rsidR="00BF757A" w:rsidRPr="00052018" w:rsidRDefault="00BF757A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highlight w:val="yellow"/>
        </w:rPr>
      </w:pPr>
    </w:p>
    <w:p w:rsidR="00DE5957" w:rsidRPr="00580E73" w:rsidRDefault="00DE5957" w:rsidP="00DE5957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E31837"/>
          <w:sz w:val="28"/>
          <w:szCs w:val="28"/>
        </w:rPr>
      </w:pPr>
      <w:r w:rsidRPr="00580E73">
        <w:rPr>
          <w:rFonts w:ascii="Arial" w:hAnsi="Arial" w:cs="Arial"/>
          <w:b/>
          <w:color w:val="E31837"/>
          <w:sz w:val="28"/>
          <w:szCs w:val="28"/>
        </w:rPr>
        <w:t>SPIS TREŚCI</w:t>
      </w:r>
    </w:p>
    <w:p w:rsidR="00844B6E" w:rsidRPr="00844B6E" w:rsidRDefault="00A3676D" w:rsidP="00844B6E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r w:rsidRPr="00580E73">
        <w:rPr>
          <w:rStyle w:val="Hipercze"/>
          <w:rFonts w:ascii="Arial" w:hAnsi="Arial" w:cs="Arial"/>
          <w:b/>
          <w:noProof/>
          <w:color w:val="ADAFB2"/>
        </w:rPr>
        <w:fldChar w:fldCharType="begin"/>
      </w:r>
      <w:r w:rsidRPr="00580E73">
        <w:rPr>
          <w:rStyle w:val="Hipercze"/>
          <w:rFonts w:ascii="Arial" w:hAnsi="Arial" w:cs="Arial"/>
          <w:b/>
          <w:noProof/>
          <w:color w:val="ADAFB2"/>
        </w:rPr>
        <w:instrText xml:space="preserve"> TOC \o "1-3" \h \z \u </w:instrText>
      </w:r>
      <w:r w:rsidRPr="00580E73">
        <w:rPr>
          <w:rStyle w:val="Hipercze"/>
          <w:rFonts w:ascii="Arial" w:hAnsi="Arial" w:cs="Arial"/>
          <w:b/>
          <w:noProof/>
          <w:color w:val="ADAFB2"/>
        </w:rPr>
        <w:fldChar w:fldCharType="separate"/>
      </w:r>
      <w:hyperlink w:anchor="_Toc9504508" w:history="1">
        <w:r w:rsidR="00844B6E" w:rsidRPr="00844B6E">
          <w:rPr>
            <w:rStyle w:val="Hipercze"/>
            <w:rFonts w:ascii="Arial" w:hAnsi="Arial" w:cs="Arial"/>
            <w:b/>
            <w:noProof/>
            <w:color w:val="ADAFB2"/>
          </w:rPr>
          <w:t>1. Wynik, dochody oraz wydatki w IV kw. 2018 r.</w:t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_Toc9504508 \h </w:instrText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DC784E">
          <w:rPr>
            <w:rStyle w:val="Hipercze"/>
            <w:rFonts w:ascii="Arial" w:hAnsi="Arial" w:cs="Arial"/>
            <w:b/>
            <w:noProof/>
            <w:webHidden/>
            <w:color w:val="ADAFB2"/>
          </w:rPr>
          <w:t>4</w:t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:rsidR="00844B6E" w:rsidRPr="00844B6E" w:rsidRDefault="00F22D1C" w:rsidP="00844B6E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9504509" w:history="1">
        <w:r w:rsidR="00844B6E" w:rsidRPr="00844B6E">
          <w:rPr>
            <w:rStyle w:val="Hipercze"/>
            <w:rFonts w:ascii="Arial" w:hAnsi="Arial" w:cs="Arial"/>
            <w:b/>
            <w:noProof/>
            <w:color w:val="ADAFB2"/>
          </w:rPr>
          <w:t>1.1. Wynik</w:t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_Toc9504509 \h </w:instrText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DC784E">
          <w:rPr>
            <w:rStyle w:val="Hipercze"/>
            <w:rFonts w:ascii="Arial" w:hAnsi="Arial" w:cs="Arial"/>
            <w:b/>
            <w:noProof/>
            <w:webHidden/>
            <w:color w:val="ADAFB2"/>
          </w:rPr>
          <w:t>4</w:t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:rsidR="00844B6E" w:rsidRPr="00844B6E" w:rsidRDefault="00F22D1C" w:rsidP="00844B6E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9504510" w:history="1">
        <w:r w:rsidR="00844B6E" w:rsidRPr="00844B6E">
          <w:rPr>
            <w:rStyle w:val="Hipercze"/>
            <w:rFonts w:ascii="Arial" w:hAnsi="Arial" w:cs="Arial"/>
            <w:b/>
            <w:noProof/>
            <w:color w:val="ADAFB2"/>
          </w:rPr>
          <w:t>1.2. Dochody</w:t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_Toc9504510 \h </w:instrText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DC784E">
          <w:rPr>
            <w:rStyle w:val="Hipercze"/>
            <w:rFonts w:ascii="Arial" w:hAnsi="Arial" w:cs="Arial"/>
            <w:b/>
            <w:noProof/>
            <w:webHidden/>
            <w:color w:val="ADAFB2"/>
          </w:rPr>
          <w:t>4</w:t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:rsidR="00844B6E" w:rsidRPr="00844B6E" w:rsidRDefault="00F22D1C" w:rsidP="00844B6E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9504511" w:history="1">
        <w:r w:rsidR="00844B6E" w:rsidRPr="00844B6E">
          <w:rPr>
            <w:rStyle w:val="Hipercze"/>
            <w:rFonts w:ascii="Arial" w:hAnsi="Arial" w:cs="Arial"/>
            <w:b/>
            <w:noProof/>
            <w:color w:val="ADAFB2"/>
          </w:rPr>
          <w:t>1.3. Wydatki</w:t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_Toc9504511 \h </w:instrText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DC784E">
          <w:rPr>
            <w:rStyle w:val="Hipercze"/>
            <w:rFonts w:ascii="Arial" w:hAnsi="Arial" w:cs="Arial"/>
            <w:b/>
            <w:noProof/>
            <w:webHidden/>
            <w:color w:val="ADAFB2"/>
          </w:rPr>
          <w:t>5</w:t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:rsidR="00844B6E" w:rsidRPr="00844B6E" w:rsidRDefault="00F22D1C" w:rsidP="00844B6E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9504512" w:history="1">
        <w:r w:rsidR="00844B6E" w:rsidRPr="00844B6E">
          <w:rPr>
            <w:rStyle w:val="Hipercze"/>
            <w:rFonts w:ascii="Arial" w:hAnsi="Arial" w:cs="Arial"/>
            <w:b/>
            <w:noProof/>
            <w:color w:val="ADAFB2"/>
          </w:rPr>
          <w:t>2. Wynik, dochody oraz wydatki w 2018 r.</w:t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_Toc9504512 \h </w:instrText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DC784E">
          <w:rPr>
            <w:rStyle w:val="Hipercze"/>
            <w:rFonts w:ascii="Arial" w:hAnsi="Arial" w:cs="Arial"/>
            <w:b/>
            <w:noProof/>
            <w:webHidden/>
            <w:color w:val="ADAFB2"/>
          </w:rPr>
          <w:t>6</w:t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:rsidR="00844B6E" w:rsidRPr="00844B6E" w:rsidRDefault="00F22D1C" w:rsidP="00844B6E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9504513" w:history="1">
        <w:r w:rsidR="00844B6E" w:rsidRPr="00844B6E">
          <w:rPr>
            <w:rStyle w:val="Hipercze"/>
            <w:rFonts w:ascii="Arial" w:hAnsi="Arial" w:cs="Arial"/>
            <w:b/>
            <w:noProof/>
            <w:color w:val="ADAFB2"/>
          </w:rPr>
          <w:t>2.1. Wynik</w:t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_Toc9504513 \h </w:instrText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DC784E">
          <w:rPr>
            <w:rStyle w:val="Hipercze"/>
            <w:rFonts w:ascii="Arial" w:hAnsi="Arial" w:cs="Arial"/>
            <w:b/>
            <w:noProof/>
            <w:webHidden/>
            <w:color w:val="ADAFB2"/>
          </w:rPr>
          <w:t>6</w:t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:rsidR="00844B6E" w:rsidRPr="00844B6E" w:rsidRDefault="00F22D1C" w:rsidP="00844B6E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9504514" w:history="1">
        <w:r w:rsidR="00844B6E" w:rsidRPr="00844B6E">
          <w:rPr>
            <w:rStyle w:val="Hipercze"/>
            <w:rFonts w:ascii="Arial" w:hAnsi="Arial" w:cs="Arial"/>
            <w:b/>
            <w:noProof/>
            <w:color w:val="ADAFB2"/>
          </w:rPr>
          <w:t>2.2. Dochody</w:t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_Toc9504514 \h </w:instrText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DC784E">
          <w:rPr>
            <w:rStyle w:val="Hipercze"/>
            <w:rFonts w:ascii="Arial" w:hAnsi="Arial" w:cs="Arial"/>
            <w:b/>
            <w:noProof/>
            <w:webHidden/>
            <w:color w:val="ADAFB2"/>
          </w:rPr>
          <w:t>6</w:t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:rsidR="00844B6E" w:rsidRPr="00844B6E" w:rsidRDefault="00F22D1C" w:rsidP="00844B6E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9504515" w:history="1">
        <w:r w:rsidR="00844B6E" w:rsidRPr="00844B6E">
          <w:rPr>
            <w:rStyle w:val="Hipercze"/>
            <w:rFonts w:ascii="Arial" w:hAnsi="Arial" w:cs="Arial"/>
            <w:b/>
            <w:noProof/>
            <w:color w:val="ADAFB2"/>
          </w:rPr>
          <w:t>2.3. Wydatki</w:t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_Toc9504515 \h </w:instrText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DC784E">
          <w:rPr>
            <w:rStyle w:val="Hipercze"/>
            <w:rFonts w:ascii="Arial" w:hAnsi="Arial" w:cs="Arial"/>
            <w:b/>
            <w:noProof/>
            <w:webHidden/>
            <w:color w:val="ADAFB2"/>
          </w:rPr>
          <w:t>8</w:t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:rsidR="00844B6E" w:rsidRPr="00844B6E" w:rsidRDefault="00F22D1C" w:rsidP="00844B6E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9504516" w:history="1">
        <w:r w:rsidR="00844B6E" w:rsidRPr="00844B6E">
          <w:rPr>
            <w:rStyle w:val="Hipercze"/>
            <w:rFonts w:ascii="Arial" w:hAnsi="Arial" w:cs="Arial"/>
            <w:b/>
            <w:noProof/>
            <w:color w:val="ADAFB2"/>
          </w:rPr>
          <w:t>3.1. Dług sektora instytucji rządowych i samorządowych (wg definicji UE)</w:t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_Toc9504516 \h </w:instrText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DC784E">
          <w:rPr>
            <w:rStyle w:val="Hipercze"/>
            <w:rFonts w:ascii="Arial" w:hAnsi="Arial" w:cs="Arial"/>
            <w:b/>
            <w:noProof/>
            <w:webHidden/>
            <w:color w:val="ADAFB2"/>
          </w:rPr>
          <w:t>9</w:t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:rsidR="00844B6E" w:rsidRPr="00844B6E" w:rsidRDefault="00F22D1C" w:rsidP="00844B6E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9504517" w:history="1">
        <w:r w:rsidR="00844B6E" w:rsidRPr="00844B6E">
          <w:rPr>
            <w:rStyle w:val="Hipercze"/>
            <w:rFonts w:ascii="Arial" w:hAnsi="Arial" w:cs="Arial"/>
            <w:b/>
            <w:noProof/>
            <w:color w:val="ADAFB2"/>
          </w:rPr>
          <w:t>3.2. Potrzeby pożyczkowe budżetu państwa  i ich finansowanie w IV kwartale 2018 r.</w:t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_Toc9504517 \h </w:instrText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DC784E">
          <w:rPr>
            <w:rStyle w:val="Hipercze"/>
            <w:rFonts w:ascii="Arial" w:hAnsi="Arial" w:cs="Arial"/>
            <w:b/>
            <w:noProof/>
            <w:webHidden/>
            <w:color w:val="ADAFB2"/>
          </w:rPr>
          <w:t>9</w:t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:rsidR="00844B6E" w:rsidRPr="00844B6E" w:rsidRDefault="00F22D1C" w:rsidP="00844B6E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9504518" w:history="1">
        <w:r w:rsidR="00844B6E" w:rsidRPr="00844B6E">
          <w:rPr>
            <w:rStyle w:val="Hipercze"/>
            <w:rFonts w:ascii="Arial" w:hAnsi="Arial" w:cs="Arial"/>
            <w:b/>
            <w:noProof/>
            <w:color w:val="ADAFB2"/>
          </w:rPr>
          <w:t>NOTA METODYCZNA</w:t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_Toc9504518 \h </w:instrText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DC784E">
          <w:rPr>
            <w:rStyle w:val="Hipercze"/>
            <w:rFonts w:ascii="Arial" w:hAnsi="Arial" w:cs="Arial"/>
            <w:b/>
            <w:noProof/>
            <w:webHidden/>
            <w:color w:val="ADAFB2"/>
          </w:rPr>
          <w:t>11</w:t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:rsidR="00844B6E" w:rsidRPr="00844B6E" w:rsidRDefault="00F22D1C" w:rsidP="00844B6E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9504519" w:history="1">
        <w:r w:rsidR="00844B6E" w:rsidRPr="00844B6E">
          <w:rPr>
            <w:rStyle w:val="Hipercze"/>
            <w:rFonts w:ascii="Arial" w:hAnsi="Arial" w:cs="Arial"/>
            <w:b/>
            <w:noProof/>
            <w:color w:val="ADAFB2"/>
          </w:rPr>
          <w:t>ANEKS  STATYSTYCZNY</w:t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_Toc9504519 \h </w:instrText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DC784E">
          <w:rPr>
            <w:rStyle w:val="Hipercze"/>
            <w:rFonts w:ascii="Arial" w:hAnsi="Arial" w:cs="Arial"/>
            <w:b/>
            <w:noProof/>
            <w:webHidden/>
            <w:color w:val="ADAFB2"/>
          </w:rPr>
          <w:t>12</w:t>
        </w:r>
        <w:r w:rsidR="00844B6E" w:rsidRPr="00844B6E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:rsidR="00A3676D" w:rsidRPr="00052018" w:rsidRDefault="00A3676D" w:rsidP="00D0426F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noProof/>
          <w:color w:val="ADAFB2"/>
          <w:highlight w:val="yellow"/>
        </w:rPr>
      </w:pPr>
      <w:r w:rsidRPr="00580E73">
        <w:rPr>
          <w:rStyle w:val="Hipercze"/>
          <w:rFonts w:ascii="Arial" w:hAnsi="Arial" w:cs="Arial"/>
          <w:b/>
          <w:noProof/>
          <w:color w:val="ADAFB2"/>
        </w:rPr>
        <w:fldChar w:fldCharType="end"/>
      </w:r>
    </w:p>
    <w:p w:rsidR="003A6FCB" w:rsidRPr="00052018" w:rsidRDefault="003A6FCB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color w:val="BFBFBF"/>
          <w:sz w:val="18"/>
          <w:szCs w:val="18"/>
          <w:highlight w:val="yellow"/>
        </w:rPr>
      </w:pPr>
    </w:p>
    <w:p w:rsidR="003A6FCB" w:rsidRPr="00052018" w:rsidRDefault="003A6FCB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color w:val="BFBFBF"/>
          <w:sz w:val="18"/>
          <w:szCs w:val="18"/>
          <w:highlight w:val="yellow"/>
        </w:rPr>
      </w:pPr>
    </w:p>
    <w:p w:rsidR="003A6FCB" w:rsidRPr="00052018" w:rsidRDefault="003A6FCB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color w:val="BFBFBF"/>
          <w:sz w:val="18"/>
          <w:szCs w:val="18"/>
          <w:highlight w:val="yellow"/>
        </w:rPr>
      </w:pPr>
    </w:p>
    <w:p w:rsidR="00157279" w:rsidRPr="00052018" w:rsidRDefault="00157279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  <w:highlight w:val="yellow"/>
        </w:rPr>
      </w:pPr>
    </w:p>
    <w:p w:rsidR="00157279" w:rsidRPr="00052018" w:rsidRDefault="00157279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  <w:highlight w:val="yellow"/>
        </w:rPr>
        <w:sectPr w:rsidR="00157279" w:rsidRPr="00052018" w:rsidSect="00EC4394">
          <w:pgSz w:w="11907" w:h="16839" w:code="9"/>
          <w:pgMar w:top="1418" w:right="992" w:bottom="1135" w:left="3686" w:header="709" w:footer="976" w:gutter="0"/>
          <w:cols w:space="708"/>
          <w:titlePg/>
          <w:docGrid w:linePitch="360"/>
        </w:sectPr>
      </w:pPr>
    </w:p>
    <w:p w:rsidR="0031062E" w:rsidRPr="00323461" w:rsidRDefault="0031062E" w:rsidP="006B7502">
      <w:pPr>
        <w:pStyle w:val="Nagwek1"/>
        <w:spacing w:before="120" w:line="288" w:lineRule="auto"/>
        <w:rPr>
          <w:rFonts w:ascii="Arial" w:hAnsi="Arial" w:cs="Arial"/>
          <w:color w:val="ADAFB2"/>
          <w:sz w:val="28"/>
          <w:szCs w:val="28"/>
        </w:rPr>
      </w:pPr>
      <w:bookmarkStart w:id="1" w:name="_Toc9504508"/>
      <w:r w:rsidRPr="00323461">
        <w:rPr>
          <w:rFonts w:ascii="Arial" w:hAnsi="Arial" w:cs="Arial"/>
          <w:color w:val="ADAFB2"/>
          <w:sz w:val="28"/>
          <w:szCs w:val="28"/>
        </w:rPr>
        <w:lastRenderedPageBreak/>
        <w:t>1.</w:t>
      </w:r>
      <w:r w:rsidR="00EC0826" w:rsidRPr="00323461">
        <w:rPr>
          <w:rFonts w:ascii="Arial" w:hAnsi="Arial" w:cs="Arial"/>
          <w:color w:val="ADAFB2"/>
          <w:sz w:val="28"/>
          <w:szCs w:val="28"/>
        </w:rPr>
        <w:t xml:space="preserve"> </w:t>
      </w:r>
      <w:r w:rsidR="00730D3C" w:rsidRPr="00323461">
        <w:rPr>
          <w:rFonts w:ascii="Arial" w:hAnsi="Arial" w:cs="Arial"/>
          <w:color w:val="ADAFB2"/>
          <w:sz w:val="28"/>
          <w:szCs w:val="28"/>
        </w:rPr>
        <w:t>Wynik, d</w:t>
      </w:r>
      <w:r w:rsidR="000A6CA0" w:rsidRPr="00323461">
        <w:rPr>
          <w:rFonts w:ascii="Arial" w:hAnsi="Arial" w:cs="Arial"/>
          <w:color w:val="ADAFB2"/>
          <w:sz w:val="28"/>
          <w:szCs w:val="28"/>
        </w:rPr>
        <w:t>ochody</w:t>
      </w:r>
      <w:r w:rsidR="00730D3C" w:rsidRPr="00323461">
        <w:rPr>
          <w:rFonts w:ascii="Arial" w:hAnsi="Arial" w:cs="Arial"/>
          <w:color w:val="ADAFB2"/>
          <w:sz w:val="28"/>
          <w:szCs w:val="28"/>
        </w:rPr>
        <w:t xml:space="preserve"> oraz</w:t>
      </w:r>
      <w:r w:rsidR="00E65258" w:rsidRPr="00323461">
        <w:rPr>
          <w:rFonts w:ascii="Arial" w:hAnsi="Arial" w:cs="Arial"/>
          <w:color w:val="ADAFB2"/>
          <w:sz w:val="28"/>
          <w:szCs w:val="28"/>
        </w:rPr>
        <w:t xml:space="preserve"> wydatki </w:t>
      </w:r>
      <w:r w:rsidR="00101324" w:rsidRPr="00323461">
        <w:rPr>
          <w:rFonts w:ascii="Arial" w:hAnsi="Arial" w:cs="Arial"/>
          <w:color w:val="ADAFB2"/>
          <w:sz w:val="28"/>
          <w:szCs w:val="28"/>
        </w:rPr>
        <w:t>w IV kw.</w:t>
      </w:r>
      <w:r w:rsidR="000A6CA0" w:rsidRPr="00323461">
        <w:rPr>
          <w:rFonts w:ascii="Arial" w:hAnsi="Arial" w:cs="Arial"/>
          <w:color w:val="ADAFB2"/>
          <w:sz w:val="28"/>
          <w:szCs w:val="28"/>
        </w:rPr>
        <w:t xml:space="preserve"> </w:t>
      </w:r>
      <w:r w:rsidR="0085795C" w:rsidRPr="00323461">
        <w:rPr>
          <w:rFonts w:ascii="Arial" w:hAnsi="Arial" w:cs="Arial"/>
          <w:color w:val="ADAFB2"/>
          <w:sz w:val="28"/>
          <w:szCs w:val="28"/>
        </w:rPr>
        <w:t>201</w:t>
      </w:r>
      <w:r w:rsidR="00323461" w:rsidRPr="00323461">
        <w:rPr>
          <w:rFonts w:ascii="Arial" w:hAnsi="Arial" w:cs="Arial"/>
          <w:color w:val="ADAFB2"/>
          <w:sz w:val="28"/>
          <w:szCs w:val="28"/>
        </w:rPr>
        <w:t>8</w:t>
      </w:r>
      <w:r w:rsidR="00730D3C" w:rsidRPr="00323461">
        <w:rPr>
          <w:rFonts w:ascii="Arial" w:hAnsi="Arial" w:cs="Arial"/>
          <w:color w:val="ADAFB2"/>
          <w:sz w:val="28"/>
          <w:szCs w:val="28"/>
        </w:rPr>
        <w:t xml:space="preserve"> r.</w:t>
      </w:r>
      <w:bookmarkEnd w:id="1"/>
    </w:p>
    <w:p w:rsidR="006A5483" w:rsidRPr="00323461" w:rsidRDefault="006A5483" w:rsidP="006B7502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323461">
        <w:rPr>
          <w:rFonts w:ascii="Times New Roman" w:hAnsi="Times New Roman"/>
          <w:bCs/>
          <w:sz w:val="20"/>
          <w:szCs w:val="20"/>
        </w:rPr>
        <w:t xml:space="preserve">Poniżej przedstawione zostały </w:t>
      </w:r>
      <w:r w:rsidR="009D4E91" w:rsidRPr="00323461">
        <w:rPr>
          <w:rFonts w:ascii="Times New Roman" w:hAnsi="Times New Roman"/>
          <w:bCs/>
          <w:sz w:val="20"/>
          <w:szCs w:val="20"/>
        </w:rPr>
        <w:t>podstawow</w:t>
      </w:r>
      <w:r w:rsidRPr="00323461">
        <w:rPr>
          <w:rFonts w:ascii="Times New Roman" w:hAnsi="Times New Roman"/>
          <w:bCs/>
          <w:sz w:val="20"/>
          <w:szCs w:val="20"/>
        </w:rPr>
        <w:t>e informacje na temat sytua</w:t>
      </w:r>
      <w:r w:rsidR="00BC5828" w:rsidRPr="00323461">
        <w:rPr>
          <w:rFonts w:ascii="Times New Roman" w:hAnsi="Times New Roman"/>
          <w:bCs/>
          <w:sz w:val="20"/>
          <w:szCs w:val="20"/>
        </w:rPr>
        <w:t>cji w finansach publicznych w IV</w:t>
      </w:r>
      <w:r w:rsidR="00323461" w:rsidRPr="00323461">
        <w:rPr>
          <w:rFonts w:ascii="Times New Roman" w:hAnsi="Times New Roman"/>
          <w:bCs/>
          <w:sz w:val="20"/>
          <w:szCs w:val="20"/>
        </w:rPr>
        <w:t xml:space="preserve"> kw. 2018</w:t>
      </w:r>
      <w:r w:rsidRPr="00323461">
        <w:rPr>
          <w:rFonts w:ascii="Times New Roman" w:hAnsi="Times New Roman"/>
          <w:bCs/>
          <w:sz w:val="20"/>
          <w:szCs w:val="20"/>
        </w:rPr>
        <w:t xml:space="preserve"> roku</w:t>
      </w:r>
      <w:r w:rsidR="0072464B" w:rsidRPr="00323461">
        <w:rPr>
          <w:rFonts w:ascii="Times New Roman" w:hAnsi="Times New Roman"/>
          <w:bCs/>
          <w:sz w:val="20"/>
          <w:szCs w:val="20"/>
        </w:rPr>
        <w:t>.</w:t>
      </w:r>
    </w:p>
    <w:p w:rsidR="00D55ED6" w:rsidRPr="00641571" w:rsidRDefault="00D55ED6" w:rsidP="00D55ED6">
      <w:pPr>
        <w:pStyle w:val="Nagwek2"/>
        <w:spacing w:before="120" w:line="288" w:lineRule="auto"/>
        <w:rPr>
          <w:rFonts w:ascii="Arial" w:hAnsi="Arial" w:cs="Arial"/>
          <w:i w:val="0"/>
          <w:color w:val="E31837"/>
          <w:sz w:val="20"/>
          <w:szCs w:val="20"/>
        </w:rPr>
      </w:pPr>
      <w:bookmarkStart w:id="2" w:name="_Toc9504509"/>
      <w:r w:rsidRPr="00641571">
        <w:rPr>
          <w:rFonts w:ascii="Arial" w:hAnsi="Arial" w:cs="Arial"/>
          <w:i w:val="0"/>
          <w:color w:val="E31837"/>
          <w:sz w:val="20"/>
          <w:szCs w:val="20"/>
        </w:rPr>
        <w:t>1.1. Wynik</w:t>
      </w:r>
      <w:bookmarkEnd w:id="2"/>
      <w:r w:rsidRPr="00641571">
        <w:rPr>
          <w:rFonts w:ascii="Arial" w:hAnsi="Arial" w:cs="Arial"/>
          <w:i w:val="0"/>
          <w:color w:val="E31837"/>
          <w:sz w:val="20"/>
          <w:szCs w:val="20"/>
        </w:rPr>
        <w:t xml:space="preserve"> </w:t>
      </w:r>
    </w:p>
    <w:p w:rsidR="00D55ED6" w:rsidRPr="00641571" w:rsidRDefault="00796336" w:rsidP="00D55ED6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Według danych GUS w</w:t>
      </w:r>
      <w:r w:rsidR="00D55ED6" w:rsidRPr="00641571">
        <w:rPr>
          <w:rFonts w:ascii="Times New Roman" w:hAnsi="Times New Roman" w:cs="Arial"/>
          <w:sz w:val="20"/>
          <w:szCs w:val="20"/>
        </w:rPr>
        <w:t>ynik sektora instytucji rządowych i samorządowych w IV kw. 20</w:t>
      </w:r>
      <w:r w:rsidR="00147391" w:rsidRPr="00641571">
        <w:rPr>
          <w:rFonts w:ascii="Times New Roman" w:hAnsi="Times New Roman" w:cs="Arial"/>
          <w:sz w:val="20"/>
          <w:szCs w:val="20"/>
        </w:rPr>
        <w:t>18</w:t>
      </w:r>
      <w:r w:rsidR="00D55ED6" w:rsidRPr="00641571">
        <w:rPr>
          <w:rFonts w:ascii="Times New Roman" w:hAnsi="Times New Roman" w:cs="Arial"/>
          <w:sz w:val="20"/>
          <w:szCs w:val="20"/>
        </w:rPr>
        <w:t xml:space="preserve"> r. wyniósł </w:t>
      </w:r>
      <w:r w:rsidR="00147391" w:rsidRPr="00641571">
        <w:rPr>
          <w:rFonts w:ascii="Times New Roman" w:hAnsi="Times New Roman" w:cs="Arial"/>
          <w:sz w:val="20"/>
          <w:szCs w:val="20"/>
        </w:rPr>
        <w:t>-13,1</w:t>
      </w:r>
      <w:r w:rsidR="00D55ED6" w:rsidRPr="00641571">
        <w:rPr>
          <w:rFonts w:ascii="Times New Roman" w:hAnsi="Times New Roman" w:cs="Arial"/>
          <w:sz w:val="20"/>
          <w:szCs w:val="20"/>
        </w:rPr>
        <w:t xml:space="preserve"> mld zł</w:t>
      </w:r>
      <w:r w:rsidR="00147391" w:rsidRPr="00641571">
        <w:rPr>
          <w:rFonts w:ascii="Times New Roman" w:hAnsi="Times New Roman" w:cs="Arial"/>
          <w:sz w:val="20"/>
          <w:szCs w:val="20"/>
        </w:rPr>
        <w:t xml:space="preserve"> (-2,2</w:t>
      </w:r>
      <w:r w:rsidR="00641571">
        <w:rPr>
          <w:rFonts w:ascii="Times New Roman" w:hAnsi="Times New Roman" w:cs="Arial"/>
          <w:sz w:val="20"/>
          <w:szCs w:val="20"/>
        </w:rPr>
        <w:t xml:space="preserve"> %PKB), </w:t>
      </w:r>
      <w:r w:rsidR="00147391" w:rsidRPr="00641571">
        <w:rPr>
          <w:rFonts w:ascii="Times New Roman" w:hAnsi="Times New Roman" w:cs="Arial"/>
          <w:sz w:val="20"/>
          <w:szCs w:val="20"/>
        </w:rPr>
        <w:t>a wynik pierwotny -5,9 mld zł (-1,0</w:t>
      </w:r>
      <w:r w:rsidR="00D55ED6" w:rsidRPr="00641571">
        <w:rPr>
          <w:rFonts w:ascii="Times New Roman" w:hAnsi="Times New Roman" w:cs="Arial"/>
          <w:sz w:val="20"/>
          <w:szCs w:val="20"/>
        </w:rPr>
        <w:t xml:space="preserve"> %PKB). 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80"/>
      </w:tblGrid>
      <w:tr w:rsidR="00D55ED6" w:rsidRPr="00052018" w:rsidTr="00415A43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:rsidR="00D55ED6" w:rsidRPr="00E25091" w:rsidRDefault="00D55ED6" w:rsidP="00415A43">
            <w:pPr>
              <w:pStyle w:val="A1"/>
              <w:keepNext/>
              <w:spacing w:after="0" w:line="288" w:lineRule="auto"/>
              <w:ind w:firstLine="0"/>
              <w:jc w:val="left"/>
              <w:rPr>
                <w:color w:val="E31837"/>
                <w:sz w:val="20"/>
                <w:szCs w:val="20"/>
              </w:rPr>
            </w:pPr>
            <w:r w:rsidRPr="00E25091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 xml:space="preserve">Wyk. </w:t>
            </w:r>
            <w:r w:rsidR="009E157D" w:rsidRPr="00E25091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1</w:t>
            </w:r>
            <w:r w:rsidRPr="00E25091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. Wynik sektora instytucji rządowych i samorządowych ( w % PKB).</w:t>
            </w:r>
          </w:p>
        </w:tc>
      </w:tr>
      <w:tr w:rsidR="00D55ED6" w:rsidRPr="00052018" w:rsidTr="002A20F0">
        <w:tblPrEx>
          <w:tblCellMar>
            <w:left w:w="70" w:type="dxa"/>
            <w:right w:w="70" w:type="dxa"/>
          </w:tblCellMar>
        </w:tblPrEx>
        <w:tc>
          <w:tcPr>
            <w:tcW w:w="4680" w:type="dxa"/>
            <w:tcBorders>
              <w:top w:val="single" w:sz="8" w:space="0" w:color="ADAFB2"/>
            </w:tcBorders>
          </w:tcPr>
          <w:p w:rsidR="00D55ED6" w:rsidRPr="00052018" w:rsidRDefault="00E25091" w:rsidP="00415A43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highlight w:val="yellow"/>
                <w:lang w:eastAsia="pl-PL"/>
              </w:rPr>
            </w:pPr>
            <w:r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>
                  <wp:extent cx="2838450" cy="2051685"/>
                  <wp:effectExtent l="0" t="0" r="0" b="571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05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ED6" w:rsidRPr="00052018" w:rsidTr="00415A43">
        <w:tc>
          <w:tcPr>
            <w:tcW w:w="4680" w:type="dxa"/>
          </w:tcPr>
          <w:p w:rsidR="00D55ED6" w:rsidRPr="00052018" w:rsidRDefault="00D55ED6" w:rsidP="00415A43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highlight w:val="yellow"/>
                <w:lang w:eastAsia="pl-PL"/>
              </w:rPr>
            </w:pPr>
            <w:r w:rsidRPr="00E25091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 xml:space="preserve">Źródło: </w:t>
            </w:r>
            <w:r w:rsidRPr="00E25091">
              <w:rPr>
                <w:rFonts w:ascii="Times New Roman" w:hAnsi="Times New Roman" w:cs="Arial"/>
                <w:bCs/>
                <w:color w:val="ADAFB2"/>
                <w:sz w:val="20"/>
                <w:szCs w:val="20"/>
              </w:rPr>
              <w:t>Dane Eurostat, GUS, obliczenia własne</w:t>
            </w:r>
          </w:p>
        </w:tc>
      </w:tr>
    </w:tbl>
    <w:p w:rsidR="002460E7" w:rsidRPr="00057F6B" w:rsidRDefault="002460E7" w:rsidP="006B7502">
      <w:pPr>
        <w:pStyle w:val="Nagwek2"/>
        <w:spacing w:before="120" w:line="288" w:lineRule="auto"/>
        <w:rPr>
          <w:rFonts w:ascii="Arial" w:hAnsi="Arial" w:cs="Arial"/>
          <w:i w:val="0"/>
          <w:color w:val="E31837"/>
          <w:sz w:val="20"/>
          <w:szCs w:val="20"/>
        </w:rPr>
      </w:pPr>
      <w:bookmarkStart w:id="3" w:name="_Toc9504510"/>
      <w:r w:rsidRPr="00057F6B">
        <w:rPr>
          <w:rFonts w:ascii="Arial" w:hAnsi="Arial" w:cs="Arial"/>
          <w:i w:val="0"/>
          <w:color w:val="E31837"/>
          <w:sz w:val="20"/>
          <w:szCs w:val="20"/>
        </w:rPr>
        <w:t>1.</w:t>
      </w:r>
      <w:r w:rsidR="00D55ED6" w:rsidRPr="00057F6B">
        <w:rPr>
          <w:rFonts w:ascii="Arial" w:hAnsi="Arial" w:cs="Arial"/>
          <w:i w:val="0"/>
          <w:color w:val="E31837"/>
          <w:sz w:val="20"/>
          <w:szCs w:val="20"/>
        </w:rPr>
        <w:t>2</w:t>
      </w:r>
      <w:r w:rsidRPr="00057F6B">
        <w:rPr>
          <w:rFonts w:ascii="Arial" w:hAnsi="Arial" w:cs="Arial"/>
          <w:i w:val="0"/>
          <w:color w:val="E31837"/>
          <w:sz w:val="20"/>
          <w:szCs w:val="20"/>
        </w:rPr>
        <w:t>. Dochody</w:t>
      </w:r>
      <w:bookmarkEnd w:id="3"/>
    </w:p>
    <w:p w:rsidR="00562706" w:rsidRPr="0004545E" w:rsidRDefault="0020557E" w:rsidP="006B7502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057F6B">
        <w:rPr>
          <w:rFonts w:ascii="Times New Roman" w:hAnsi="Times New Roman"/>
          <w:bCs/>
          <w:sz w:val="20"/>
          <w:szCs w:val="20"/>
        </w:rPr>
        <w:t>W IV</w:t>
      </w:r>
      <w:r w:rsidR="0072464B" w:rsidRPr="00057F6B">
        <w:rPr>
          <w:rFonts w:ascii="Times New Roman" w:hAnsi="Times New Roman"/>
          <w:bCs/>
          <w:sz w:val="20"/>
          <w:szCs w:val="20"/>
        </w:rPr>
        <w:t xml:space="preserve"> kw.</w:t>
      </w:r>
      <w:r w:rsidR="00F07090" w:rsidRPr="00057F6B">
        <w:rPr>
          <w:rFonts w:ascii="Times New Roman" w:hAnsi="Times New Roman"/>
          <w:bCs/>
          <w:sz w:val="20"/>
          <w:szCs w:val="20"/>
        </w:rPr>
        <w:t xml:space="preserve"> 2018</w:t>
      </w:r>
      <w:r w:rsidR="002826C7" w:rsidRPr="00057F6B">
        <w:rPr>
          <w:rFonts w:ascii="Times New Roman" w:hAnsi="Times New Roman"/>
          <w:bCs/>
          <w:sz w:val="20"/>
          <w:szCs w:val="20"/>
        </w:rPr>
        <w:t xml:space="preserve"> r. dochody sektora</w:t>
      </w:r>
      <w:r w:rsidR="0072464B" w:rsidRPr="00057F6B">
        <w:rPr>
          <w:rFonts w:ascii="Times New Roman" w:hAnsi="Times New Roman"/>
          <w:bCs/>
          <w:sz w:val="20"/>
          <w:szCs w:val="20"/>
        </w:rPr>
        <w:t xml:space="preserve"> instytucji rządowych i </w:t>
      </w:r>
      <w:r w:rsidR="002826C7" w:rsidRPr="00057F6B">
        <w:rPr>
          <w:rFonts w:ascii="Times New Roman" w:hAnsi="Times New Roman"/>
          <w:bCs/>
          <w:sz w:val="20"/>
          <w:szCs w:val="20"/>
        </w:rPr>
        <w:t>samorządowych</w:t>
      </w:r>
      <w:r w:rsidRPr="00057F6B">
        <w:rPr>
          <w:rFonts w:ascii="Times New Roman" w:hAnsi="Times New Roman"/>
          <w:bCs/>
          <w:sz w:val="20"/>
          <w:szCs w:val="20"/>
        </w:rPr>
        <w:t xml:space="preserve"> (</w:t>
      </w:r>
      <w:r w:rsidR="00092DA3" w:rsidRPr="00057F6B">
        <w:rPr>
          <w:rFonts w:ascii="Times New Roman" w:hAnsi="Times New Roman"/>
          <w:bCs/>
          <w:sz w:val="20"/>
          <w:szCs w:val="20"/>
        </w:rPr>
        <w:t xml:space="preserve">wg zasad ESA2010) wyniosły </w:t>
      </w:r>
      <w:r w:rsidR="00F07090" w:rsidRPr="00057F6B">
        <w:rPr>
          <w:rFonts w:ascii="Times New Roman" w:hAnsi="Times New Roman"/>
          <w:bCs/>
          <w:sz w:val="20"/>
          <w:szCs w:val="20"/>
        </w:rPr>
        <w:t>245</w:t>
      </w:r>
      <w:r w:rsidR="00F0195E" w:rsidRPr="00057F6B">
        <w:rPr>
          <w:rFonts w:ascii="Times New Roman" w:hAnsi="Times New Roman"/>
          <w:bCs/>
          <w:sz w:val="20"/>
          <w:szCs w:val="20"/>
        </w:rPr>
        <w:t>,9</w:t>
      </w:r>
      <w:r w:rsidR="0072464B" w:rsidRPr="00057F6B">
        <w:rPr>
          <w:rFonts w:ascii="Times New Roman" w:hAnsi="Times New Roman"/>
          <w:bCs/>
          <w:sz w:val="20"/>
          <w:szCs w:val="20"/>
        </w:rPr>
        <w:t> </w:t>
      </w:r>
      <w:r w:rsidR="002826C7" w:rsidRPr="00057F6B">
        <w:rPr>
          <w:rFonts w:ascii="Times New Roman" w:hAnsi="Times New Roman"/>
          <w:bCs/>
          <w:sz w:val="20"/>
          <w:szCs w:val="20"/>
        </w:rPr>
        <w:t>ml</w:t>
      </w:r>
      <w:r w:rsidR="00A43C11" w:rsidRPr="00057F6B">
        <w:rPr>
          <w:rFonts w:ascii="Times New Roman" w:hAnsi="Times New Roman"/>
          <w:bCs/>
          <w:sz w:val="20"/>
          <w:szCs w:val="20"/>
        </w:rPr>
        <w:t>d</w:t>
      </w:r>
      <w:r w:rsidR="002826C7" w:rsidRPr="00057F6B">
        <w:rPr>
          <w:rFonts w:ascii="Times New Roman" w:hAnsi="Times New Roman"/>
          <w:bCs/>
          <w:sz w:val="20"/>
          <w:szCs w:val="20"/>
        </w:rPr>
        <w:t xml:space="preserve"> zł i były </w:t>
      </w:r>
      <w:r w:rsidR="00F0195E" w:rsidRPr="00057F6B">
        <w:rPr>
          <w:rFonts w:ascii="Times New Roman" w:hAnsi="Times New Roman"/>
          <w:bCs/>
          <w:sz w:val="20"/>
          <w:szCs w:val="20"/>
        </w:rPr>
        <w:t>wyższe</w:t>
      </w:r>
      <w:r w:rsidR="002826C7" w:rsidRPr="00057F6B">
        <w:rPr>
          <w:rFonts w:ascii="Times New Roman" w:hAnsi="Times New Roman"/>
          <w:bCs/>
          <w:sz w:val="20"/>
          <w:szCs w:val="20"/>
        </w:rPr>
        <w:t xml:space="preserve"> od wykonania dochodów w</w:t>
      </w:r>
      <w:r w:rsidR="00A700BC" w:rsidRPr="00057F6B">
        <w:rPr>
          <w:rFonts w:ascii="Times New Roman" w:hAnsi="Times New Roman"/>
          <w:bCs/>
          <w:sz w:val="20"/>
          <w:szCs w:val="20"/>
        </w:rPr>
        <w:t> </w:t>
      </w:r>
      <w:r w:rsidR="002826C7" w:rsidRPr="00057F6B">
        <w:rPr>
          <w:rFonts w:ascii="Times New Roman" w:hAnsi="Times New Roman"/>
          <w:bCs/>
          <w:sz w:val="20"/>
          <w:szCs w:val="20"/>
        </w:rPr>
        <w:t>analogicznym</w:t>
      </w:r>
      <w:r w:rsidR="0052514A" w:rsidRPr="00057F6B">
        <w:rPr>
          <w:rFonts w:ascii="Times New Roman" w:hAnsi="Times New Roman"/>
          <w:bCs/>
          <w:sz w:val="20"/>
          <w:szCs w:val="20"/>
        </w:rPr>
        <w:t xml:space="preserve"> okresie roku poprzedniego o </w:t>
      </w:r>
      <w:r w:rsidR="00F07090" w:rsidRPr="00057F6B">
        <w:rPr>
          <w:rFonts w:ascii="Times New Roman" w:hAnsi="Times New Roman"/>
          <w:bCs/>
          <w:sz w:val="20"/>
          <w:szCs w:val="20"/>
        </w:rPr>
        <w:t>12,2</w:t>
      </w:r>
      <w:r w:rsidR="002826C7" w:rsidRPr="00057F6B">
        <w:rPr>
          <w:rFonts w:ascii="Times New Roman" w:hAnsi="Times New Roman"/>
          <w:bCs/>
          <w:sz w:val="20"/>
          <w:szCs w:val="20"/>
        </w:rPr>
        <w:t>%</w:t>
      </w:r>
      <w:r w:rsidR="0095058D" w:rsidRPr="00057F6B">
        <w:rPr>
          <w:rFonts w:ascii="Times New Roman" w:hAnsi="Times New Roman"/>
          <w:bCs/>
          <w:sz w:val="20"/>
          <w:szCs w:val="20"/>
        </w:rPr>
        <w:t> </w:t>
      </w:r>
      <w:r w:rsidR="0072464B" w:rsidRPr="00057F6B">
        <w:rPr>
          <w:rFonts w:ascii="Times New Roman" w:hAnsi="Times New Roman"/>
          <w:bCs/>
          <w:sz w:val="20"/>
          <w:szCs w:val="20"/>
        </w:rPr>
        <w:t>(r/r)</w:t>
      </w:r>
      <w:r w:rsidR="00F07090" w:rsidRPr="00057F6B">
        <w:rPr>
          <w:rFonts w:ascii="Times New Roman" w:hAnsi="Times New Roman"/>
          <w:bCs/>
          <w:sz w:val="20"/>
          <w:szCs w:val="20"/>
        </w:rPr>
        <w:t xml:space="preserve"> (wzrost relacji o 2,2</w:t>
      </w:r>
      <w:r w:rsidR="00F0195E" w:rsidRPr="00057F6B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F0195E" w:rsidRPr="00057F6B">
        <w:rPr>
          <w:rFonts w:ascii="Times New Roman" w:hAnsi="Times New Roman"/>
          <w:bCs/>
          <w:sz w:val="20"/>
          <w:szCs w:val="20"/>
        </w:rPr>
        <w:t>pp</w:t>
      </w:r>
      <w:proofErr w:type="spellEnd"/>
      <w:r w:rsidR="00F0195E" w:rsidRPr="00057F6B">
        <w:rPr>
          <w:rFonts w:ascii="Times New Roman" w:hAnsi="Times New Roman"/>
          <w:bCs/>
          <w:sz w:val="20"/>
          <w:szCs w:val="20"/>
        </w:rPr>
        <w:t xml:space="preserve"> PKB</w:t>
      </w:r>
      <w:r w:rsidR="003E77B8" w:rsidRPr="00057F6B">
        <w:rPr>
          <w:rFonts w:ascii="Times New Roman" w:hAnsi="Times New Roman"/>
          <w:bCs/>
          <w:sz w:val="20"/>
          <w:szCs w:val="20"/>
        </w:rPr>
        <w:t>). Wzrost wpływów z podatków</w:t>
      </w:r>
      <w:r w:rsidR="0095058D" w:rsidRPr="00057F6B">
        <w:rPr>
          <w:rFonts w:ascii="Times New Roman" w:hAnsi="Times New Roman"/>
          <w:bCs/>
          <w:sz w:val="20"/>
          <w:szCs w:val="20"/>
        </w:rPr>
        <w:t>, które mają największy udzia</w:t>
      </w:r>
      <w:r w:rsidR="00424B41" w:rsidRPr="00057F6B">
        <w:rPr>
          <w:rFonts w:ascii="Times New Roman" w:hAnsi="Times New Roman"/>
          <w:bCs/>
          <w:sz w:val="20"/>
          <w:szCs w:val="20"/>
        </w:rPr>
        <w:t xml:space="preserve">ł </w:t>
      </w:r>
      <w:r w:rsidR="00424B41" w:rsidRPr="0004545E">
        <w:rPr>
          <w:rFonts w:ascii="Times New Roman" w:hAnsi="Times New Roman"/>
          <w:bCs/>
          <w:sz w:val="20"/>
          <w:szCs w:val="20"/>
        </w:rPr>
        <w:t>w </w:t>
      </w:r>
      <w:r w:rsidR="0095058D" w:rsidRPr="0004545E">
        <w:rPr>
          <w:rFonts w:ascii="Times New Roman" w:hAnsi="Times New Roman"/>
          <w:bCs/>
          <w:sz w:val="20"/>
          <w:szCs w:val="20"/>
        </w:rPr>
        <w:t>dochodach</w:t>
      </w:r>
      <w:r w:rsidR="003E77B8" w:rsidRPr="0004545E">
        <w:rPr>
          <w:rFonts w:ascii="Times New Roman" w:hAnsi="Times New Roman"/>
          <w:bCs/>
          <w:sz w:val="20"/>
          <w:szCs w:val="20"/>
        </w:rPr>
        <w:t xml:space="preserve"> wyniósł</w:t>
      </w:r>
      <w:r w:rsidR="0095058D" w:rsidRPr="0004545E">
        <w:rPr>
          <w:rFonts w:ascii="Times New Roman" w:hAnsi="Times New Roman"/>
          <w:bCs/>
          <w:sz w:val="20"/>
          <w:szCs w:val="20"/>
        </w:rPr>
        <w:t xml:space="preserve"> </w:t>
      </w:r>
      <w:r w:rsidR="00F07090" w:rsidRPr="0004545E">
        <w:rPr>
          <w:rFonts w:ascii="Times New Roman" w:hAnsi="Times New Roman"/>
          <w:bCs/>
          <w:sz w:val="20"/>
          <w:szCs w:val="20"/>
        </w:rPr>
        <w:t>11,9</w:t>
      </w:r>
      <w:r w:rsidR="003E77B8" w:rsidRPr="0004545E">
        <w:rPr>
          <w:rFonts w:ascii="Times New Roman" w:hAnsi="Times New Roman"/>
          <w:bCs/>
          <w:sz w:val="20"/>
          <w:szCs w:val="20"/>
        </w:rPr>
        <w:t>% (r/r).</w:t>
      </w:r>
    </w:p>
    <w:p w:rsidR="00424B41" w:rsidRPr="0004545E" w:rsidRDefault="00424B41" w:rsidP="00424B41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04545E">
        <w:rPr>
          <w:rFonts w:ascii="Times New Roman" w:hAnsi="Times New Roman"/>
          <w:bCs/>
          <w:sz w:val="20"/>
          <w:szCs w:val="20"/>
        </w:rPr>
        <w:t xml:space="preserve">Dochody z tytułu składek na ubezpieczenie społeczne </w:t>
      </w:r>
      <w:r w:rsidR="0095332B" w:rsidRPr="0004545E">
        <w:rPr>
          <w:rFonts w:ascii="Times New Roman" w:hAnsi="Times New Roman"/>
          <w:bCs/>
          <w:sz w:val="20"/>
          <w:szCs w:val="20"/>
        </w:rPr>
        <w:t>w </w:t>
      </w:r>
      <w:r w:rsidR="00D95ADB" w:rsidRPr="0004545E">
        <w:rPr>
          <w:rFonts w:ascii="Times New Roman" w:hAnsi="Times New Roman"/>
          <w:bCs/>
          <w:sz w:val="20"/>
          <w:szCs w:val="20"/>
        </w:rPr>
        <w:t xml:space="preserve">podsektorze ubezpieczeń społecznych </w:t>
      </w:r>
      <w:r w:rsidRPr="0004545E">
        <w:rPr>
          <w:rFonts w:ascii="Times New Roman" w:hAnsi="Times New Roman"/>
          <w:bCs/>
          <w:sz w:val="20"/>
          <w:szCs w:val="20"/>
        </w:rPr>
        <w:t xml:space="preserve">wg zasad ESA2010 </w:t>
      </w:r>
      <w:r w:rsidR="00E64DB9" w:rsidRPr="0004545E">
        <w:rPr>
          <w:rFonts w:ascii="Times New Roman" w:hAnsi="Times New Roman"/>
          <w:bCs/>
          <w:sz w:val="20"/>
          <w:szCs w:val="20"/>
        </w:rPr>
        <w:t>w IV kw. 2018 r. były wyższe o 8,2</w:t>
      </w:r>
      <w:r w:rsidR="00BE2444" w:rsidRPr="0004545E">
        <w:rPr>
          <w:rFonts w:ascii="Times New Roman" w:hAnsi="Times New Roman"/>
          <w:bCs/>
          <w:sz w:val="20"/>
          <w:szCs w:val="20"/>
        </w:rPr>
        <w:t>% r/r</w:t>
      </w:r>
      <w:r w:rsidRPr="0004545E">
        <w:rPr>
          <w:rFonts w:ascii="Times New Roman" w:hAnsi="Times New Roman"/>
          <w:bCs/>
          <w:sz w:val="20"/>
          <w:szCs w:val="20"/>
        </w:rPr>
        <w:t>.</w:t>
      </w:r>
    </w:p>
    <w:p w:rsidR="00424B41" w:rsidRPr="00052018" w:rsidRDefault="00424B41" w:rsidP="006B7502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hAnsi="Times New Roman"/>
          <w:bCs/>
          <w:sz w:val="20"/>
          <w:szCs w:val="20"/>
          <w:highlight w:val="yellow"/>
        </w:rPr>
      </w:pP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80"/>
      </w:tblGrid>
      <w:tr w:rsidR="00CE4AD9" w:rsidRPr="00052018" w:rsidTr="00415A43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:rsidR="00CE4AD9" w:rsidRPr="00E25091" w:rsidRDefault="00CE4AD9" w:rsidP="009E157D">
            <w:pPr>
              <w:keepNext/>
              <w:spacing w:before="120" w:after="0" w:line="288" w:lineRule="auto"/>
              <w:rPr>
                <w:rFonts w:ascii="Times New Roman" w:hAnsi="Times New Roman"/>
                <w:color w:val="E31837"/>
                <w:sz w:val="20"/>
                <w:szCs w:val="20"/>
                <w:lang w:eastAsia="pl-PL"/>
              </w:rPr>
            </w:pPr>
            <w:r w:rsidRPr="00E25091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lastRenderedPageBreak/>
              <w:t xml:space="preserve">Wyk. </w:t>
            </w:r>
            <w:r w:rsidR="009E157D" w:rsidRPr="00E25091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2</w:t>
            </w:r>
            <w:r w:rsidRPr="00E25091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. Struktura dochodów sektora instytucji rządowy</w:t>
            </w:r>
            <w:r w:rsidR="00844B6E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ch i samorządowych w IV kw. 2018</w:t>
            </w:r>
            <w:r w:rsidRPr="00E25091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 xml:space="preserve"> r.</w:t>
            </w:r>
          </w:p>
        </w:tc>
      </w:tr>
      <w:tr w:rsidR="00CE4AD9" w:rsidRPr="00052018" w:rsidTr="00D77324">
        <w:tblPrEx>
          <w:tblCellMar>
            <w:left w:w="70" w:type="dxa"/>
            <w:right w:w="70" w:type="dxa"/>
          </w:tblCellMar>
        </w:tblPrEx>
        <w:tc>
          <w:tcPr>
            <w:tcW w:w="4680" w:type="dxa"/>
            <w:tcBorders>
              <w:top w:val="single" w:sz="8" w:space="0" w:color="ADAFB2"/>
            </w:tcBorders>
          </w:tcPr>
          <w:p w:rsidR="00CE4AD9" w:rsidRPr="00E25091" w:rsidRDefault="00844B6E" w:rsidP="00CE4AD9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>
                  <wp:extent cx="2878455" cy="1797050"/>
                  <wp:effectExtent l="0" t="0" r="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455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AD9" w:rsidRPr="00052018" w:rsidTr="00415A43">
        <w:tc>
          <w:tcPr>
            <w:tcW w:w="4680" w:type="dxa"/>
          </w:tcPr>
          <w:p w:rsidR="00CE4AD9" w:rsidRPr="00E25091" w:rsidRDefault="00CE4AD9" w:rsidP="00CE4AD9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E25091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 xml:space="preserve">Źródło: Dane Eurostat, GUS, obliczenia własne </w:t>
            </w:r>
          </w:p>
        </w:tc>
      </w:tr>
    </w:tbl>
    <w:p w:rsidR="00801B07" w:rsidRPr="0099510C" w:rsidRDefault="00801B07" w:rsidP="00801B07">
      <w:pPr>
        <w:widowControl w:val="0"/>
        <w:spacing w:before="120" w:after="12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99510C">
        <w:rPr>
          <w:rFonts w:ascii="Times New Roman" w:hAnsi="Times New Roman"/>
          <w:bCs/>
          <w:sz w:val="20"/>
          <w:szCs w:val="20"/>
        </w:rPr>
        <w:t>Dochody sektora instytucji rządowych i samorządowych z PIT, wg zasad ESA2010, wyniosły w IV kw. 2018 r. 33,9 mld zł i były wyższe o 12,7% r/r. Prognozuje się, że nominalne tempo wzrostu przeciętnego funduszu wynagrodzeń w gospodarce narodowej oraz emerytur i rent w IV kw. 2018 r. wyniosło 7,8% r/r. Wysokie tempo wzrostu dochodów z PIT wynikało z wysokiej dynamiki wpływów podatkowych od osób prowadzących działalność gospodarczą. W przypadku podatników rozliczających się według liniowej 19% stawki podatku tempo wyniosło 21,9% r/r, a dla opodatkowanych ryczałtem od przychodów ewidencjonowanych tempo wyniosło 23,2% r/r.</w:t>
      </w:r>
    </w:p>
    <w:p w:rsidR="00801B07" w:rsidRPr="00D770F6" w:rsidRDefault="00801B07" w:rsidP="00801B07">
      <w:pPr>
        <w:widowControl w:val="0"/>
        <w:spacing w:before="120" w:after="120" w:line="288" w:lineRule="auto"/>
        <w:jc w:val="both"/>
        <w:rPr>
          <w:rFonts w:ascii="Times New Roman" w:hAnsi="Times New Roman"/>
          <w:bCs/>
          <w:sz w:val="20"/>
          <w:szCs w:val="20"/>
          <w:highlight w:val="lightGray"/>
        </w:rPr>
      </w:pPr>
      <w:r w:rsidRPr="0099510C">
        <w:rPr>
          <w:rFonts w:ascii="Times New Roman" w:hAnsi="Times New Roman"/>
          <w:bCs/>
          <w:sz w:val="20"/>
          <w:szCs w:val="20"/>
        </w:rPr>
        <w:t>Dochody sektora instytucji rządowych i samorządowych z CIT, wg zasad ESA2010, wyniosły w IV kw. 2018 r. 11,5 mld zł i były wyższe o 11,1% r/r</w:t>
      </w:r>
      <w:r w:rsidRPr="00107942">
        <w:rPr>
          <w:rFonts w:ascii="Times New Roman" w:hAnsi="Times New Roman"/>
          <w:bCs/>
          <w:sz w:val="20"/>
          <w:szCs w:val="20"/>
        </w:rPr>
        <w:t xml:space="preserve">. Wpływy od banków i pozostałych instytucji finansowych </w:t>
      </w:r>
      <w:r w:rsidRPr="006B7B70">
        <w:rPr>
          <w:rFonts w:ascii="Times New Roman" w:hAnsi="Times New Roman"/>
          <w:bCs/>
          <w:sz w:val="20"/>
          <w:szCs w:val="20"/>
        </w:rPr>
        <w:t>wzrosły o 58,3% r/r,</w:t>
      </w:r>
      <w:r w:rsidRPr="00107942">
        <w:rPr>
          <w:rFonts w:ascii="Times New Roman" w:hAnsi="Times New Roman"/>
          <w:bCs/>
          <w:sz w:val="20"/>
          <w:szCs w:val="20"/>
        </w:rPr>
        <w:t xml:space="preserve"> a wpływy od pozostałych przedsiębiorstw wzrosły o 3,9% r/r. </w:t>
      </w:r>
      <w:r w:rsidRPr="002C63EC">
        <w:rPr>
          <w:rFonts w:ascii="Times New Roman" w:hAnsi="Times New Roman"/>
          <w:bCs/>
          <w:sz w:val="20"/>
          <w:szCs w:val="20"/>
        </w:rPr>
        <w:t xml:space="preserve">W IV kw. 2018 r. pogorszyła się sytuacja przedsiębiorców. Według GUS wynik finansowy brutto przedsiębiorstw niefinansowych zmniejszył się o 33,4% r/r, a zysk brutto tych podmiotów spadł o 16,3% r/r. </w:t>
      </w:r>
      <w:r>
        <w:rPr>
          <w:rFonts w:ascii="Times New Roman" w:hAnsi="Times New Roman"/>
          <w:bCs/>
          <w:sz w:val="20"/>
          <w:szCs w:val="20"/>
        </w:rPr>
        <w:t>Wynik finansowy brutto banków w </w:t>
      </w:r>
      <w:r w:rsidRPr="002C63EC">
        <w:rPr>
          <w:rFonts w:ascii="Times New Roman" w:hAnsi="Times New Roman"/>
          <w:bCs/>
          <w:sz w:val="20"/>
          <w:szCs w:val="20"/>
        </w:rPr>
        <w:t>ostatnim kwartale 2018 r. spadł o 2,6%.</w:t>
      </w:r>
    </w:p>
    <w:p w:rsidR="00801B07" w:rsidRPr="00D770F6" w:rsidRDefault="00801B07" w:rsidP="00801B07">
      <w:pPr>
        <w:widowControl w:val="0"/>
        <w:spacing w:before="120" w:after="120" w:line="288" w:lineRule="auto"/>
        <w:jc w:val="both"/>
        <w:rPr>
          <w:rFonts w:ascii="Times New Roman" w:hAnsi="Times New Roman"/>
          <w:bCs/>
          <w:sz w:val="20"/>
          <w:szCs w:val="20"/>
          <w:highlight w:val="lightGray"/>
        </w:rPr>
      </w:pP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80"/>
      </w:tblGrid>
      <w:tr w:rsidR="00801B07" w:rsidRPr="00D770F6" w:rsidTr="008A67CE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:rsidR="00801B07" w:rsidRPr="00C23EA7" w:rsidRDefault="00801B07" w:rsidP="00796336">
            <w:pPr>
              <w:pStyle w:val="A1"/>
              <w:keepNext/>
              <w:spacing w:after="0" w:line="288" w:lineRule="auto"/>
              <w:ind w:firstLine="0"/>
              <w:jc w:val="left"/>
              <w:rPr>
                <w:color w:val="E31837"/>
                <w:sz w:val="20"/>
                <w:szCs w:val="20"/>
              </w:rPr>
            </w:pPr>
            <w:r w:rsidRPr="00C23EA7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lastRenderedPageBreak/>
              <w:t>Wyk. 3. Dyna</w:t>
            </w:r>
            <w:r w:rsidR="00796336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mika wpływów z podatku VAT (w %</w:t>
            </w:r>
            <w:r w:rsidRPr="00C23EA7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).</w:t>
            </w:r>
          </w:p>
        </w:tc>
      </w:tr>
      <w:tr w:rsidR="00801B07" w:rsidRPr="00D770F6" w:rsidTr="008A67CE">
        <w:tblPrEx>
          <w:tblCellMar>
            <w:left w:w="70" w:type="dxa"/>
            <w:right w:w="70" w:type="dxa"/>
          </w:tblCellMar>
        </w:tblPrEx>
        <w:tc>
          <w:tcPr>
            <w:tcW w:w="4680" w:type="dxa"/>
            <w:tcBorders>
              <w:top w:val="single" w:sz="8" w:space="0" w:color="ADAFB2"/>
            </w:tcBorders>
          </w:tcPr>
          <w:p w:rsidR="00801B07" w:rsidRPr="00C23EA7" w:rsidRDefault="00801B07" w:rsidP="008A67CE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C23EA7"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 wp14:anchorId="13750E5B" wp14:editId="0CB46B91">
                  <wp:extent cx="2838450" cy="203581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03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B07" w:rsidRPr="00D770F6" w:rsidTr="008A67CE">
        <w:tc>
          <w:tcPr>
            <w:tcW w:w="4680" w:type="dxa"/>
          </w:tcPr>
          <w:p w:rsidR="00801B07" w:rsidRPr="00C23EA7" w:rsidRDefault="00801B07" w:rsidP="008A67CE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C23EA7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 xml:space="preserve">Źródło: </w:t>
            </w:r>
            <w:r w:rsidRPr="00C23EA7">
              <w:rPr>
                <w:rFonts w:ascii="Times New Roman" w:hAnsi="Times New Roman" w:cs="Arial"/>
                <w:bCs/>
                <w:color w:val="ADAFB2"/>
                <w:sz w:val="20"/>
                <w:szCs w:val="20"/>
              </w:rPr>
              <w:t>MF</w:t>
            </w:r>
          </w:p>
        </w:tc>
      </w:tr>
    </w:tbl>
    <w:p w:rsidR="00801B07" w:rsidRPr="00774EAE" w:rsidRDefault="00801B07" w:rsidP="00801B07">
      <w:pPr>
        <w:widowControl w:val="0"/>
        <w:spacing w:before="120" w:after="12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774EAE">
        <w:rPr>
          <w:rFonts w:ascii="Times New Roman" w:hAnsi="Times New Roman"/>
          <w:bCs/>
          <w:sz w:val="20"/>
          <w:szCs w:val="20"/>
        </w:rPr>
        <w:t>Dochody z tytułu podatku VAT, wg zasad ESA2010, w IV kw. 2018 r. były o 17,7% wyższe niż w analogicznym okresie 2017 r.</w:t>
      </w:r>
      <w:r>
        <w:rPr>
          <w:rFonts w:ascii="Times New Roman" w:hAnsi="Times New Roman"/>
          <w:bCs/>
          <w:sz w:val="20"/>
          <w:szCs w:val="20"/>
        </w:rPr>
        <w:t xml:space="preserve"> Produkcja sprzedana w IV kw. 2018 r. wzrosła nominalnie o 7,5% r/r, a sprzedaż detaliczna o 7,6% r/r.</w:t>
      </w:r>
    </w:p>
    <w:p w:rsidR="00801B07" w:rsidRPr="00D770F6" w:rsidRDefault="00801B07" w:rsidP="00801B07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  <w:highlight w:val="lightGray"/>
        </w:rPr>
      </w:pPr>
      <w:r w:rsidRPr="001117DA">
        <w:rPr>
          <w:rFonts w:ascii="Times New Roman" w:hAnsi="Times New Roman"/>
          <w:bCs/>
          <w:sz w:val="20"/>
          <w:szCs w:val="20"/>
        </w:rPr>
        <w:t>Dochody z akcyzy, wg zasad ESA2010, wyniosły w IV kw. 2018 r. 17,7 mld zł i były wyższe o 2,3% r/r. Szczególnie wysokie w tym okresie było tempo zmian dochodów z akcyzy od energii elektrycznej i samochodów osobowych, które wyniosło odpowiednio 22,7% r/r i 9,6% r/r</w:t>
      </w:r>
      <w:r>
        <w:rPr>
          <w:rFonts w:ascii="Times New Roman" w:hAnsi="Times New Roman"/>
          <w:bCs/>
          <w:sz w:val="20"/>
          <w:szCs w:val="20"/>
        </w:rPr>
        <w:t>, niskie dochody uzyskano z akcyzy od piwa (-4,7% r/r) i alkoholu etylowego (-4,0% r/r).</w:t>
      </w:r>
    </w:p>
    <w:p w:rsidR="001E45F8" w:rsidRPr="0004545E" w:rsidRDefault="00FE2837" w:rsidP="006B7502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04545E">
        <w:rPr>
          <w:rFonts w:ascii="Times New Roman" w:hAnsi="Times New Roman"/>
          <w:bCs/>
          <w:sz w:val="20"/>
          <w:szCs w:val="20"/>
        </w:rPr>
        <w:t xml:space="preserve">Z pozostałych dochodów, największą dynamikę zanotowały </w:t>
      </w:r>
      <w:r w:rsidR="005F459E" w:rsidRPr="0004545E">
        <w:rPr>
          <w:rFonts w:ascii="Times New Roman" w:hAnsi="Times New Roman"/>
          <w:bCs/>
          <w:sz w:val="20"/>
          <w:szCs w:val="20"/>
        </w:rPr>
        <w:t xml:space="preserve">dochody z tytułu transferów </w:t>
      </w:r>
      <w:r w:rsidR="000B2EB1" w:rsidRPr="0004545E">
        <w:rPr>
          <w:rFonts w:ascii="Times New Roman" w:hAnsi="Times New Roman"/>
          <w:bCs/>
          <w:sz w:val="20"/>
          <w:szCs w:val="20"/>
        </w:rPr>
        <w:t>kapitałowych</w:t>
      </w:r>
      <w:r w:rsidR="0052514A" w:rsidRPr="0004545E">
        <w:rPr>
          <w:rFonts w:ascii="Times New Roman" w:hAnsi="Times New Roman"/>
          <w:bCs/>
          <w:sz w:val="20"/>
          <w:szCs w:val="20"/>
        </w:rPr>
        <w:t xml:space="preserve"> (</w:t>
      </w:r>
      <w:r w:rsidRPr="0004545E">
        <w:rPr>
          <w:rFonts w:ascii="Times New Roman" w:hAnsi="Times New Roman"/>
          <w:bCs/>
          <w:sz w:val="20"/>
          <w:szCs w:val="20"/>
        </w:rPr>
        <w:t>wzrost</w:t>
      </w:r>
      <w:r w:rsidR="0052514A" w:rsidRPr="0004545E">
        <w:rPr>
          <w:rFonts w:ascii="Times New Roman" w:hAnsi="Times New Roman"/>
          <w:bCs/>
          <w:sz w:val="20"/>
          <w:szCs w:val="20"/>
        </w:rPr>
        <w:t xml:space="preserve"> aż o </w:t>
      </w:r>
      <w:r w:rsidR="0004545E" w:rsidRPr="0004545E">
        <w:rPr>
          <w:rFonts w:ascii="Times New Roman" w:hAnsi="Times New Roman"/>
          <w:bCs/>
          <w:sz w:val="20"/>
          <w:szCs w:val="20"/>
        </w:rPr>
        <w:t>188,8</w:t>
      </w:r>
      <w:r w:rsidR="001D1B9F" w:rsidRPr="0004545E">
        <w:rPr>
          <w:rFonts w:ascii="Times New Roman" w:hAnsi="Times New Roman"/>
          <w:bCs/>
          <w:sz w:val="20"/>
          <w:szCs w:val="20"/>
        </w:rPr>
        <w:t>%</w:t>
      </w:r>
      <w:r w:rsidR="003F6C6C" w:rsidRPr="0004545E">
        <w:rPr>
          <w:rFonts w:ascii="Times New Roman" w:hAnsi="Times New Roman"/>
          <w:bCs/>
          <w:sz w:val="20"/>
          <w:szCs w:val="20"/>
        </w:rPr>
        <w:t> </w:t>
      </w:r>
      <w:r w:rsidR="00C1170E" w:rsidRPr="0004545E">
        <w:rPr>
          <w:rFonts w:ascii="Times New Roman" w:hAnsi="Times New Roman"/>
          <w:bCs/>
          <w:sz w:val="20"/>
          <w:szCs w:val="20"/>
        </w:rPr>
        <w:t xml:space="preserve"> r/r), </w:t>
      </w:r>
      <w:r w:rsidR="0012290E">
        <w:rPr>
          <w:rFonts w:ascii="Times New Roman" w:hAnsi="Times New Roman"/>
          <w:bCs/>
          <w:sz w:val="20"/>
          <w:szCs w:val="20"/>
        </w:rPr>
        <w:t>n</w:t>
      </w:r>
      <w:r w:rsidR="000B2EB1" w:rsidRPr="0004545E">
        <w:rPr>
          <w:rFonts w:ascii="Times New Roman" w:hAnsi="Times New Roman"/>
          <w:bCs/>
          <w:sz w:val="20"/>
          <w:szCs w:val="20"/>
        </w:rPr>
        <w:t xml:space="preserve">a co </w:t>
      </w:r>
      <w:r w:rsidR="0012290E">
        <w:rPr>
          <w:rFonts w:ascii="Times New Roman" w:hAnsi="Times New Roman"/>
          <w:bCs/>
          <w:sz w:val="20"/>
          <w:szCs w:val="20"/>
        </w:rPr>
        <w:t xml:space="preserve">wpływ miała </w:t>
      </w:r>
      <w:r w:rsidR="000B2EB1" w:rsidRPr="0004545E">
        <w:rPr>
          <w:rFonts w:ascii="Times New Roman" w:hAnsi="Times New Roman"/>
          <w:bCs/>
          <w:sz w:val="20"/>
          <w:szCs w:val="20"/>
        </w:rPr>
        <w:t xml:space="preserve">bardzo </w:t>
      </w:r>
      <w:r w:rsidR="000701CD" w:rsidRPr="0004545E">
        <w:rPr>
          <w:rFonts w:ascii="Times New Roman" w:hAnsi="Times New Roman"/>
          <w:bCs/>
          <w:sz w:val="20"/>
          <w:szCs w:val="20"/>
        </w:rPr>
        <w:t>wysok</w:t>
      </w:r>
      <w:r w:rsidR="0012290E">
        <w:rPr>
          <w:rFonts w:ascii="Times New Roman" w:hAnsi="Times New Roman"/>
          <w:bCs/>
          <w:sz w:val="20"/>
          <w:szCs w:val="20"/>
        </w:rPr>
        <w:t>a absorbcja</w:t>
      </w:r>
      <w:r w:rsidR="000B2EB1" w:rsidRPr="0004545E">
        <w:rPr>
          <w:rFonts w:ascii="Times New Roman" w:hAnsi="Times New Roman"/>
          <w:bCs/>
          <w:sz w:val="20"/>
          <w:szCs w:val="20"/>
        </w:rPr>
        <w:t xml:space="preserve"> środków unijnych</w:t>
      </w:r>
      <w:r w:rsidR="0012290E">
        <w:rPr>
          <w:rFonts w:ascii="Times New Roman" w:hAnsi="Times New Roman"/>
          <w:bCs/>
          <w:sz w:val="20"/>
          <w:szCs w:val="20"/>
        </w:rPr>
        <w:t xml:space="preserve"> z tytułu projektów inwestycyjnych</w:t>
      </w:r>
      <w:r w:rsidR="003F6C6C" w:rsidRPr="0004545E">
        <w:rPr>
          <w:rFonts w:ascii="Times New Roman" w:hAnsi="Times New Roman"/>
          <w:bCs/>
          <w:sz w:val="20"/>
          <w:szCs w:val="20"/>
        </w:rPr>
        <w:t>.</w:t>
      </w:r>
    </w:p>
    <w:p w:rsidR="00EF223A" w:rsidRPr="00AF066D" w:rsidRDefault="00903C82" w:rsidP="006B7502">
      <w:pPr>
        <w:pStyle w:val="Nagwek2"/>
        <w:spacing w:before="120" w:line="288" w:lineRule="auto"/>
        <w:rPr>
          <w:rFonts w:ascii="Arial" w:hAnsi="Arial" w:cs="Arial"/>
          <w:i w:val="0"/>
          <w:color w:val="E31837"/>
          <w:sz w:val="20"/>
          <w:szCs w:val="20"/>
        </w:rPr>
      </w:pPr>
      <w:bookmarkStart w:id="4" w:name="_Toc9504511"/>
      <w:r w:rsidRPr="00AF066D">
        <w:rPr>
          <w:rFonts w:ascii="Arial" w:hAnsi="Arial" w:cs="Arial"/>
          <w:i w:val="0"/>
          <w:color w:val="E31837"/>
          <w:sz w:val="20"/>
          <w:szCs w:val="20"/>
        </w:rPr>
        <w:t>1.</w:t>
      </w:r>
      <w:r w:rsidR="00D55ED6" w:rsidRPr="00AF066D">
        <w:rPr>
          <w:rFonts w:ascii="Arial" w:hAnsi="Arial" w:cs="Arial"/>
          <w:i w:val="0"/>
          <w:color w:val="E31837"/>
          <w:sz w:val="20"/>
          <w:szCs w:val="20"/>
        </w:rPr>
        <w:t>3</w:t>
      </w:r>
      <w:r w:rsidRPr="00AF066D">
        <w:rPr>
          <w:rFonts w:ascii="Arial" w:hAnsi="Arial" w:cs="Arial"/>
          <w:i w:val="0"/>
          <w:color w:val="E31837"/>
          <w:sz w:val="20"/>
          <w:szCs w:val="20"/>
        </w:rPr>
        <w:t>. Wydatki</w:t>
      </w:r>
      <w:bookmarkEnd w:id="4"/>
    </w:p>
    <w:p w:rsidR="00EF223A" w:rsidRPr="00AF066D" w:rsidRDefault="0020557E" w:rsidP="006B7502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AF066D">
        <w:rPr>
          <w:rFonts w:ascii="Times New Roman" w:hAnsi="Times New Roman"/>
          <w:bCs/>
          <w:sz w:val="20"/>
          <w:szCs w:val="20"/>
        </w:rPr>
        <w:t>W IV</w:t>
      </w:r>
      <w:r w:rsidR="00F15FF6" w:rsidRPr="00AF066D">
        <w:rPr>
          <w:rFonts w:ascii="Times New Roman" w:hAnsi="Times New Roman"/>
          <w:bCs/>
          <w:sz w:val="20"/>
          <w:szCs w:val="20"/>
        </w:rPr>
        <w:t xml:space="preserve"> kw</w:t>
      </w:r>
      <w:r w:rsidR="003B2E14" w:rsidRPr="00AF066D">
        <w:rPr>
          <w:rFonts w:ascii="Times New Roman" w:hAnsi="Times New Roman"/>
          <w:bCs/>
          <w:sz w:val="20"/>
          <w:szCs w:val="20"/>
        </w:rPr>
        <w:t>.</w:t>
      </w:r>
      <w:r w:rsidR="00AF066D" w:rsidRPr="00AF066D">
        <w:rPr>
          <w:rFonts w:ascii="Times New Roman" w:hAnsi="Times New Roman"/>
          <w:bCs/>
          <w:sz w:val="20"/>
          <w:szCs w:val="20"/>
        </w:rPr>
        <w:t xml:space="preserve"> 2018</w:t>
      </w:r>
      <w:r w:rsidR="00F15FF6" w:rsidRPr="00AF066D">
        <w:rPr>
          <w:rFonts w:ascii="Times New Roman" w:hAnsi="Times New Roman"/>
          <w:bCs/>
          <w:sz w:val="20"/>
          <w:szCs w:val="20"/>
        </w:rPr>
        <w:t xml:space="preserve"> r. wydatki sektora instytucji rządowych i</w:t>
      </w:r>
      <w:r w:rsidR="00F142BF" w:rsidRPr="00AF066D">
        <w:rPr>
          <w:rFonts w:ascii="Times New Roman" w:hAnsi="Times New Roman"/>
          <w:bCs/>
          <w:sz w:val="20"/>
          <w:szCs w:val="20"/>
        </w:rPr>
        <w:t> </w:t>
      </w:r>
      <w:r w:rsidR="00F15FF6" w:rsidRPr="00AF066D">
        <w:rPr>
          <w:rFonts w:ascii="Times New Roman" w:hAnsi="Times New Roman"/>
          <w:bCs/>
          <w:sz w:val="20"/>
          <w:szCs w:val="20"/>
        </w:rPr>
        <w:t>samorządowych (wg zasad ES</w:t>
      </w:r>
      <w:r w:rsidR="00AF066D" w:rsidRPr="00AF066D">
        <w:rPr>
          <w:rFonts w:ascii="Times New Roman" w:hAnsi="Times New Roman"/>
          <w:bCs/>
          <w:sz w:val="20"/>
          <w:szCs w:val="20"/>
        </w:rPr>
        <w:t>A2010) wyniosły 259,0</w:t>
      </w:r>
      <w:r w:rsidR="003B2E14" w:rsidRPr="00AF066D">
        <w:rPr>
          <w:rFonts w:ascii="Times New Roman" w:hAnsi="Times New Roman"/>
          <w:bCs/>
          <w:sz w:val="20"/>
          <w:szCs w:val="20"/>
        </w:rPr>
        <w:t> </w:t>
      </w:r>
      <w:r w:rsidRPr="00AF066D">
        <w:rPr>
          <w:rFonts w:ascii="Times New Roman" w:hAnsi="Times New Roman"/>
          <w:bCs/>
          <w:sz w:val="20"/>
          <w:szCs w:val="20"/>
        </w:rPr>
        <w:t xml:space="preserve">mld zł i były </w:t>
      </w:r>
      <w:r w:rsidR="00AF066D" w:rsidRPr="00AF066D">
        <w:rPr>
          <w:rFonts w:ascii="Times New Roman" w:hAnsi="Times New Roman"/>
          <w:bCs/>
          <w:sz w:val="20"/>
          <w:szCs w:val="20"/>
        </w:rPr>
        <w:t>wyższe o 8,7</w:t>
      </w:r>
      <w:r w:rsidR="00F15FF6" w:rsidRPr="00AF066D">
        <w:rPr>
          <w:rFonts w:ascii="Times New Roman" w:hAnsi="Times New Roman"/>
          <w:bCs/>
          <w:sz w:val="20"/>
          <w:szCs w:val="20"/>
        </w:rPr>
        <w:t>%</w:t>
      </w:r>
      <w:r w:rsidR="003B2E14" w:rsidRPr="00AF066D">
        <w:rPr>
          <w:rFonts w:ascii="Times New Roman" w:hAnsi="Times New Roman"/>
          <w:bCs/>
          <w:sz w:val="20"/>
          <w:szCs w:val="20"/>
        </w:rPr>
        <w:t xml:space="preserve"> r/r</w:t>
      </w:r>
      <w:r w:rsidR="00F15FF6" w:rsidRPr="00AF066D">
        <w:rPr>
          <w:rFonts w:ascii="Times New Roman" w:hAnsi="Times New Roman"/>
          <w:bCs/>
          <w:sz w:val="20"/>
          <w:szCs w:val="20"/>
        </w:rPr>
        <w:t>. Największy udział w wydatkach sektora instytucji rządowych i</w:t>
      </w:r>
      <w:r w:rsidR="00F142BF" w:rsidRPr="00AF066D">
        <w:rPr>
          <w:rFonts w:ascii="Times New Roman" w:hAnsi="Times New Roman"/>
          <w:bCs/>
          <w:sz w:val="20"/>
          <w:szCs w:val="20"/>
        </w:rPr>
        <w:t> </w:t>
      </w:r>
      <w:r w:rsidR="00F15FF6" w:rsidRPr="00AF066D">
        <w:rPr>
          <w:rFonts w:ascii="Times New Roman" w:hAnsi="Times New Roman"/>
          <w:bCs/>
          <w:sz w:val="20"/>
          <w:szCs w:val="20"/>
        </w:rPr>
        <w:t xml:space="preserve">samorządowych mają świadczenia społeczne, wydatki na wynagrodzenia (łącznie ze składkami) oraz wydatki na </w:t>
      </w:r>
      <w:r w:rsidR="000106DF" w:rsidRPr="00AF066D">
        <w:rPr>
          <w:rFonts w:ascii="Times New Roman" w:hAnsi="Times New Roman"/>
          <w:bCs/>
          <w:sz w:val="20"/>
          <w:szCs w:val="20"/>
        </w:rPr>
        <w:t>zakup towarów i usług (zużycie pośrednie)</w:t>
      </w:r>
      <w:r w:rsidR="00F15FF6" w:rsidRPr="00AF066D">
        <w:rPr>
          <w:rFonts w:ascii="Times New Roman" w:hAnsi="Times New Roman"/>
          <w:bCs/>
          <w:sz w:val="20"/>
          <w:szCs w:val="20"/>
        </w:rPr>
        <w:t>.</w:t>
      </w:r>
    </w:p>
    <w:p w:rsidR="00266236" w:rsidRPr="00052018" w:rsidRDefault="009E157D" w:rsidP="009E157D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  <w:highlight w:val="yellow"/>
        </w:rPr>
      </w:pPr>
      <w:r w:rsidRPr="00AF066D">
        <w:rPr>
          <w:rFonts w:ascii="Times New Roman" w:hAnsi="Times New Roman"/>
          <w:bCs/>
          <w:sz w:val="20"/>
          <w:szCs w:val="20"/>
        </w:rPr>
        <w:t>W IV</w:t>
      </w:r>
      <w:r w:rsidR="004F2B88" w:rsidRPr="00AF066D">
        <w:rPr>
          <w:rFonts w:ascii="Times New Roman" w:hAnsi="Times New Roman"/>
          <w:bCs/>
          <w:sz w:val="20"/>
          <w:szCs w:val="20"/>
        </w:rPr>
        <w:t xml:space="preserve"> kw. 201</w:t>
      </w:r>
      <w:r w:rsidR="00AF066D" w:rsidRPr="00AF066D">
        <w:rPr>
          <w:rFonts w:ascii="Times New Roman" w:hAnsi="Times New Roman"/>
          <w:bCs/>
          <w:sz w:val="20"/>
          <w:szCs w:val="20"/>
        </w:rPr>
        <w:t>8</w:t>
      </w:r>
      <w:r w:rsidRPr="00AF066D">
        <w:rPr>
          <w:rFonts w:ascii="Times New Roman" w:hAnsi="Times New Roman"/>
          <w:bCs/>
          <w:sz w:val="20"/>
          <w:szCs w:val="20"/>
        </w:rPr>
        <w:t xml:space="preserve"> r. świadczenia socjalne wzrosły nominalnie o </w:t>
      </w:r>
      <w:r w:rsidR="00AF066D" w:rsidRPr="00AF066D">
        <w:rPr>
          <w:rFonts w:ascii="Times New Roman" w:hAnsi="Times New Roman"/>
          <w:bCs/>
          <w:sz w:val="20"/>
          <w:szCs w:val="20"/>
        </w:rPr>
        <w:t>2,3</w:t>
      </w:r>
      <w:r w:rsidRPr="00AF066D">
        <w:rPr>
          <w:rFonts w:ascii="Times New Roman" w:hAnsi="Times New Roman"/>
          <w:bCs/>
          <w:sz w:val="20"/>
          <w:szCs w:val="20"/>
        </w:rPr>
        <w:t>% r/r,</w:t>
      </w:r>
      <w:r w:rsidRPr="00AF066D">
        <w:t xml:space="preserve"> </w:t>
      </w:r>
      <w:r w:rsidRPr="00AF066D">
        <w:rPr>
          <w:rFonts w:ascii="Times New Roman" w:hAnsi="Times New Roman"/>
          <w:bCs/>
          <w:sz w:val="20"/>
          <w:szCs w:val="20"/>
        </w:rPr>
        <w:t xml:space="preserve">tj. </w:t>
      </w:r>
      <w:r w:rsidR="00AF066D" w:rsidRPr="00AF066D">
        <w:rPr>
          <w:rFonts w:ascii="Times New Roman" w:hAnsi="Times New Roman"/>
          <w:bCs/>
          <w:sz w:val="20"/>
          <w:szCs w:val="20"/>
        </w:rPr>
        <w:t>poniżej</w:t>
      </w:r>
      <w:r w:rsidRPr="00AF066D">
        <w:rPr>
          <w:rFonts w:ascii="Times New Roman" w:hAnsi="Times New Roman"/>
          <w:bCs/>
          <w:sz w:val="20"/>
          <w:szCs w:val="20"/>
        </w:rPr>
        <w:t xml:space="preserve"> tempa wzrostu przeciętnego kwartalnego funduszu</w:t>
      </w:r>
      <w:r w:rsidR="00000BC6" w:rsidRPr="00AF066D">
        <w:rPr>
          <w:rFonts w:ascii="Times New Roman" w:hAnsi="Times New Roman"/>
          <w:bCs/>
          <w:sz w:val="20"/>
          <w:szCs w:val="20"/>
        </w:rPr>
        <w:t xml:space="preserve"> emerytur i </w:t>
      </w:r>
      <w:r w:rsidRPr="00AF066D">
        <w:rPr>
          <w:rFonts w:ascii="Times New Roman" w:hAnsi="Times New Roman"/>
          <w:bCs/>
          <w:sz w:val="20"/>
          <w:szCs w:val="20"/>
        </w:rPr>
        <w:t xml:space="preserve">rent (ok. </w:t>
      </w:r>
      <w:r w:rsidR="00AF066D" w:rsidRPr="00AF066D">
        <w:rPr>
          <w:rFonts w:ascii="Times New Roman" w:hAnsi="Times New Roman"/>
          <w:bCs/>
          <w:sz w:val="20"/>
          <w:szCs w:val="20"/>
        </w:rPr>
        <w:t>5</w:t>
      </w:r>
      <w:r w:rsidR="004F2B88" w:rsidRPr="00AF066D">
        <w:rPr>
          <w:rFonts w:ascii="Times New Roman" w:hAnsi="Times New Roman"/>
          <w:bCs/>
          <w:sz w:val="20"/>
          <w:szCs w:val="20"/>
        </w:rPr>
        <w:t>,9</w:t>
      </w:r>
      <w:r w:rsidRPr="00AF066D">
        <w:rPr>
          <w:rFonts w:ascii="Times New Roman" w:hAnsi="Times New Roman"/>
          <w:bCs/>
          <w:sz w:val="20"/>
          <w:szCs w:val="20"/>
        </w:rPr>
        <w:t>% r/r), który ma największy udział w tej kategorii.</w:t>
      </w:r>
      <w:r w:rsidR="00776A04" w:rsidRPr="00AF066D">
        <w:rPr>
          <w:rFonts w:ascii="Times New Roman" w:hAnsi="Times New Roman"/>
          <w:bCs/>
          <w:sz w:val="20"/>
          <w:szCs w:val="20"/>
        </w:rPr>
        <w:t xml:space="preserve"> 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80"/>
      </w:tblGrid>
      <w:tr w:rsidR="00CE4AD9" w:rsidRPr="00052018" w:rsidTr="00415A43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:rsidR="00CE4AD9" w:rsidRPr="00E25091" w:rsidRDefault="00CE4AD9" w:rsidP="009D076A">
            <w:pPr>
              <w:pStyle w:val="A1"/>
              <w:keepNext/>
              <w:spacing w:after="0" w:line="288" w:lineRule="auto"/>
              <w:ind w:firstLine="0"/>
              <w:jc w:val="left"/>
              <w:rPr>
                <w:color w:val="E31837"/>
                <w:sz w:val="20"/>
                <w:szCs w:val="20"/>
              </w:rPr>
            </w:pPr>
            <w:r w:rsidRPr="00E25091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lastRenderedPageBreak/>
              <w:t xml:space="preserve">Wyk. </w:t>
            </w:r>
            <w:r w:rsidR="009E157D" w:rsidRPr="00E25091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4</w:t>
            </w:r>
            <w:r w:rsidRPr="00E25091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. Struktura wydatków sektora instytucji rządowych i samorządowych w IV kw. 201</w:t>
            </w:r>
            <w:r w:rsidR="00844B6E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8</w:t>
            </w:r>
            <w:r w:rsidRPr="00E25091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CE4AD9" w:rsidRPr="00052018" w:rsidTr="00D55ED6">
        <w:tblPrEx>
          <w:tblCellMar>
            <w:left w:w="70" w:type="dxa"/>
            <w:right w:w="70" w:type="dxa"/>
          </w:tblCellMar>
        </w:tblPrEx>
        <w:tc>
          <w:tcPr>
            <w:tcW w:w="4680" w:type="dxa"/>
            <w:tcBorders>
              <w:top w:val="single" w:sz="8" w:space="0" w:color="ADAFB2"/>
            </w:tcBorders>
          </w:tcPr>
          <w:p w:rsidR="00CE4AD9" w:rsidRPr="00E25091" w:rsidRDefault="00844B6E" w:rsidP="00CE4AD9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>
                  <wp:extent cx="2878455" cy="1781175"/>
                  <wp:effectExtent l="0" t="0" r="0" b="9525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45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AD9" w:rsidRPr="00052018" w:rsidTr="00415A43">
        <w:tc>
          <w:tcPr>
            <w:tcW w:w="4680" w:type="dxa"/>
          </w:tcPr>
          <w:p w:rsidR="00CE4AD9" w:rsidRPr="00E25091" w:rsidRDefault="00CE4AD9" w:rsidP="00CE4AD9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E25091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 xml:space="preserve">Źródło: Dane Eurostat, GUS, obliczenia własne </w:t>
            </w:r>
          </w:p>
        </w:tc>
      </w:tr>
    </w:tbl>
    <w:p w:rsidR="00F76424" w:rsidRPr="0050706F" w:rsidRDefault="0094645D" w:rsidP="00D55ED6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50706F">
        <w:rPr>
          <w:rFonts w:ascii="Times New Roman" w:hAnsi="Times New Roman"/>
          <w:bCs/>
          <w:sz w:val="20"/>
          <w:szCs w:val="20"/>
        </w:rPr>
        <w:t>Wzrost wy</w:t>
      </w:r>
      <w:r w:rsidR="00F76424" w:rsidRPr="0050706F">
        <w:rPr>
          <w:rFonts w:ascii="Times New Roman" w:hAnsi="Times New Roman"/>
          <w:bCs/>
          <w:sz w:val="20"/>
          <w:szCs w:val="20"/>
        </w:rPr>
        <w:t>datków na zużycie pośrednie (</w:t>
      </w:r>
      <w:r w:rsidR="002D2C1E" w:rsidRPr="0050706F">
        <w:rPr>
          <w:rFonts w:ascii="Times New Roman" w:hAnsi="Times New Roman"/>
          <w:bCs/>
          <w:sz w:val="20"/>
          <w:szCs w:val="20"/>
        </w:rPr>
        <w:t>3,5</w:t>
      </w:r>
      <w:r w:rsidR="00F76424" w:rsidRPr="0050706F">
        <w:rPr>
          <w:rFonts w:ascii="Times New Roman" w:hAnsi="Times New Roman"/>
          <w:bCs/>
          <w:sz w:val="20"/>
          <w:szCs w:val="20"/>
        </w:rPr>
        <w:t>% r/r) oraz koszty pracy (</w:t>
      </w:r>
      <w:r w:rsidR="002D2C1E" w:rsidRPr="0050706F">
        <w:rPr>
          <w:rFonts w:ascii="Times New Roman" w:hAnsi="Times New Roman"/>
          <w:bCs/>
          <w:sz w:val="20"/>
          <w:szCs w:val="20"/>
        </w:rPr>
        <w:t>6,4</w:t>
      </w:r>
      <w:r w:rsidRPr="0050706F">
        <w:rPr>
          <w:rFonts w:ascii="Times New Roman" w:hAnsi="Times New Roman"/>
          <w:bCs/>
          <w:sz w:val="20"/>
          <w:szCs w:val="20"/>
        </w:rPr>
        <w:t>% r/r) przekroczył poziom i</w:t>
      </w:r>
      <w:r w:rsidR="00F76424" w:rsidRPr="0050706F">
        <w:rPr>
          <w:rFonts w:ascii="Times New Roman" w:hAnsi="Times New Roman"/>
          <w:bCs/>
          <w:sz w:val="20"/>
          <w:szCs w:val="20"/>
        </w:rPr>
        <w:t xml:space="preserve">nflacji </w:t>
      </w:r>
      <w:r w:rsidR="002D2C1E" w:rsidRPr="0050706F">
        <w:rPr>
          <w:rFonts w:ascii="Times New Roman" w:hAnsi="Times New Roman"/>
          <w:bCs/>
          <w:sz w:val="20"/>
          <w:szCs w:val="20"/>
        </w:rPr>
        <w:t>w omawianym okresie (1,4</w:t>
      </w:r>
      <w:r w:rsidRPr="0050706F">
        <w:rPr>
          <w:rFonts w:ascii="Times New Roman" w:hAnsi="Times New Roman"/>
          <w:bCs/>
          <w:sz w:val="20"/>
          <w:szCs w:val="20"/>
        </w:rPr>
        <w:t xml:space="preserve">% r/r). </w:t>
      </w:r>
    </w:p>
    <w:p w:rsidR="00682D29" w:rsidRPr="005C6992" w:rsidRDefault="00F76424" w:rsidP="00D55ED6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5C6992">
        <w:rPr>
          <w:rFonts w:ascii="Times New Roman" w:hAnsi="Times New Roman"/>
          <w:bCs/>
          <w:sz w:val="20"/>
          <w:szCs w:val="20"/>
        </w:rPr>
        <w:t>Największą dynamikę po stronie wydatków</w:t>
      </w:r>
      <w:r w:rsidR="008C59F4" w:rsidRPr="005C6992">
        <w:rPr>
          <w:rFonts w:ascii="Times New Roman" w:hAnsi="Times New Roman"/>
          <w:bCs/>
          <w:sz w:val="20"/>
          <w:szCs w:val="20"/>
        </w:rPr>
        <w:t xml:space="preserve"> zanotowano w inwestycjach</w:t>
      </w:r>
      <w:r w:rsidR="0050706F" w:rsidRPr="005C6992">
        <w:rPr>
          <w:rFonts w:ascii="Times New Roman" w:hAnsi="Times New Roman"/>
          <w:bCs/>
          <w:sz w:val="20"/>
          <w:szCs w:val="20"/>
        </w:rPr>
        <w:t xml:space="preserve"> (wzrost nominalnie o 34,4</w:t>
      </w:r>
      <w:r w:rsidRPr="005C6992">
        <w:rPr>
          <w:rFonts w:ascii="Times New Roman" w:hAnsi="Times New Roman"/>
          <w:bCs/>
          <w:sz w:val="20"/>
          <w:szCs w:val="20"/>
        </w:rPr>
        <w:t>% r/r).</w:t>
      </w:r>
      <w:r w:rsidR="00781699" w:rsidRPr="005C6992">
        <w:rPr>
          <w:rFonts w:ascii="Times New Roman" w:hAnsi="Times New Roman"/>
          <w:bCs/>
          <w:sz w:val="20"/>
          <w:szCs w:val="20"/>
        </w:rPr>
        <w:t xml:space="preserve"> </w:t>
      </w:r>
      <w:r w:rsidRPr="005C6992">
        <w:rPr>
          <w:rFonts w:ascii="Times New Roman" w:hAnsi="Times New Roman"/>
          <w:bCs/>
          <w:sz w:val="20"/>
          <w:szCs w:val="20"/>
        </w:rPr>
        <w:t xml:space="preserve">Podobnie jak w poprzednim kwartale, wzrost inwestycji wynikał głównie ze wzrostu wydatków w jednostkach samorządu terytorialnego, które w ujęciu kasowym zwiększyły się </w:t>
      </w:r>
      <w:r w:rsidR="005C6992" w:rsidRPr="005C6992">
        <w:rPr>
          <w:rFonts w:ascii="Times New Roman" w:hAnsi="Times New Roman"/>
          <w:bCs/>
          <w:sz w:val="20"/>
          <w:szCs w:val="20"/>
        </w:rPr>
        <w:t>o 33,5</w:t>
      </w:r>
      <w:r w:rsidRPr="005C6992">
        <w:rPr>
          <w:rFonts w:ascii="Times New Roman" w:hAnsi="Times New Roman"/>
          <w:bCs/>
          <w:sz w:val="20"/>
          <w:szCs w:val="20"/>
        </w:rPr>
        <w:t xml:space="preserve">% r/r., co związane było </w:t>
      </w:r>
      <w:r w:rsidR="008C59F4" w:rsidRPr="005C6992">
        <w:rPr>
          <w:rFonts w:ascii="Times New Roman" w:hAnsi="Times New Roman"/>
          <w:bCs/>
          <w:sz w:val="20"/>
          <w:szCs w:val="20"/>
        </w:rPr>
        <w:t>głównie</w:t>
      </w:r>
      <w:r w:rsidR="00424B41" w:rsidRPr="005C6992">
        <w:rPr>
          <w:rFonts w:ascii="Times New Roman" w:hAnsi="Times New Roman"/>
          <w:bCs/>
          <w:sz w:val="20"/>
          <w:szCs w:val="20"/>
        </w:rPr>
        <w:t xml:space="preserve"> z </w:t>
      </w:r>
      <w:r w:rsidRPr="005C6992">
        <w:rPr>
          <w:rFonts w:ascii="Times New Roman" w:hAnsi="Times New Roman"/>
          <w:bCs/>
          <w:sz w:val="20"/>
          <w:szCs w:val="20"/>
        </w:rPr>
        <w:t>wyższą r</w:t>
      </w:r>
      <w:r w:rsidR="008C59F4" w:rsidRPr="005C6992">
        <w:rPr>
          <w:rFonts w:ascii="Times New Roman" w:hAnsi="Times New Roman"/>
          <w:bCs/>
          <w:sz w:val="20"/>
          <w:szCs w:val="20"/>
        </w:rPr>
        <w:t xml:space="preserve">/r absorbcją środków unijnych. </w:t>
      </w:r>
      <w:r w:rsidR="005C6992" w:rsidRPr="005C6992">
        <w:rPr>
          <w:rFonts w:ascii="Times New Roman" w:hAnsi="Times New Roman"/>
          <w:bCs/>
          <w:sz w:val="20"/>
          <w:szCs w:val="20"/>
        </w:rPr>
        <w:t>Jednocześnie istotny wzrost nakładów inwestycyjnych odnotowano w zakresie infrastruktury kolejowej.</w:t>
      </w:r>
    </w:p>
    <w:p w:rsidR="00424B41" w:rsidRPr="00052018" w:rsidRDefault="00424B41">
      <w:pPr>
        <w:spacing w:after="0" w:line="240" w:lineRule="auto"/>
        <w:rPr>
          <w:rFonts w:ascii="Times New Roman" w:hAnsi="Times New Roman"/>
          <w:bCs/>
          <w:sz w:val="20"/>
          <w:szCs w:val="20"/>
          <w:highlight w:val="yellow"/>
        </w:rPr>
      </w:pPr>
      <w:r w:rsidRPr="00052018">
        <w:rPr>
          <w:rFonts w:ascii="Times New Roman" w:hAnsi="Times New Roman"/>
          <w:bCs/>
          <w:sz w:val="20"/>
          <w:szCs w:val="20"/>
          <w:highlight w:val="yellow"/>
        </w:rPr>
        <w:br w:type="page"/>
      </w:r>
    </w:p>
    <w:p w:rsidR="00101324" w:rsidRPr="0044556D" w:rsidRDefault="00101324" w:rsidP="006B7502">
      <w:pPr>
        <w:pStyle w:val="Nagwek1"/>
        <w:spacing w:before="120" w:line="288" w:lineRule="auto"/>
        <w:rPr>
          <w:rFonts w:ascii="Arial" w:hAnsi="Arial" w:cs="Arial"/>
          <w:color w:val="ADAFB2"/>
          <w:sz w:val="28"/>
          <w:szCs w:val="28"/>
        </w:rPr>
      </w:pPr>
      <w:bookmarkStart w:id="5" w:name="_Toc9504512"/>
      <w:r w:rsidRPr="0044556D">
        <w:rPr>
          <w:rFonts w:ascii="Arial" w:hAnsi="Arial" w:cs="Arial"/>
          <w:color w:val="ADAFB2"/>
          <w:sz w:val="28"/>
          <w:szCs w:val="28"/>
        </w:rPr>
        <w:lastRenderedPageBreak/>
        <w:t xml:space="preserve">2. </w:t>
      </w:r>
      <w:r w:rsidR="002E28B5" w:rsidRPr="0044556D">
        <w:rPr>
          <w:rFonts w:ascii="Arial" w:hAnsi="Arial" w:cs="Arial"/>
          <w:color w:val="ADAFB2"/>
          <w:sz w:val="28"/>
          <w:szCs w:val="28"/>
        </w:rPr>
        <w:t>Wynik, d</w:t>
      </w:r>
      <w:r w:rsidRPr="0044556D">
        <w:rPr>
          <w:rFonts w:ascii="Arial" w:hAnsi="Arial" w:cs="Arial"/>
          <w:color w:val="ADAFB2"/>
          <w:sz w:val="28"/>
          <w:szCs w:val="28"/>
        </w:rPr>
        <w:t>ochody</w:t>
      </w:r>
      <w:r w:rsidR="002E28B5" w:rsidRPr="0044556D">
        <w:rPr>
          <w:rFonts w:ascii="Arial" w:hAnsi="Arial" w:cs="Arial"/>
          <w:color w:val="ADAFB2"/>
          <w:sz w:val="28"/>
          <w:szCs w:val="28"/>
        </w:rPr>
        <w:t xml:space="preserve"> oraz</w:t>
      </w:r>
      <w:r w:rsidRPr="0044556D">
        <w:rPr>
          <w:rFonts w:ascii="Arial" w:hAnsi="Arial" w:cs="Arial"/>
          <w:color w:val="ADAFB2"/>
          <w:sz w:val="28"/>
          <w:szCs w:val="28"/>
        </w:rPr>
        <w:t xml:space="preserve"> wydatki </w:t>
      </w:r>
      <w:r w:rsidR="008534B5" w:rsidRPr="0044556D">
        <w:rPr>
          <w:rFonts w:ascii="Arial" w:hAnsi="Arial" w:cs="Arial"/>
          <w:color w:val="ADAFB2"/>
          <w:sz w:val="28"/>
          <w:szCs w:val="28"/>
        </w:rPr>
        <w:t>w 201</w:t>
      </w:r>
      <w:r w:rsidR="0044556D">
        <w:rPr>
          <w:rFonts w:ascii="Arial" w:hAnsi="Arial" w:cs="Arial"/>
          <w:color w:val="ADAFB2"/>
          <w:sz w:val="28"/>
          <w:szCs w:val="28"/>
        </w:rPr>
        <w:t>8</w:t>
      </w:r>
      <w:r w:rsidRPr="0044556D">
        <w:rPr>
          <w:rFonts w:ascii="Arial" w:hAnsi="Arial" w:cs="Arial"/>
          <w:color w:val="ADAFB2"/>
          <w:sz w:val="28"/>
          <w:szCs w:val="28"/>
        </w:rPr>
        <w:t xml:space="preserve"> r.</w:t>
      </w:r>
      <w:bookmarkEnd w:id="5"/>
      <w:r w:rsidRPr="0044556D">
        <w:rPr>
          <w:rFonts w:ascii="Arial" w:hAnsi="Arial" w:cs="Arial"/>
          <w:color w:val="ADAFB2"/>
          <w:sz w:val="28"/>
          <w:szCs w:val="28"/>
        </w:rPr>
        <w:t xml:space="preserve"> </w:t>
      </w:r>
    </w:p>
    <w:p w:rsidR="00D55ED6" w:rsidRPr="0044556D" w:rsidRDefault="00D55ED6" w:rsidP="00D55ED6">
      <w:pPr>
        <w:pStyle w:val="Nagwek2"/>
        <w:spacing w:before="120" w:line="288" w:lineRule="auto"/>
        <w:rPr>
          <w:rFonts w:ascii="Arial" w:hAnsi="Arial" w:cs="Arial"/>
          <w:i w:val="0"/>
          <w:color w:val="E31837"/>
          <w:sz w:val="20"/>
          <w:szCs w:val="20"/>
        </w:rPr>
      </w:pPr>
      <w:bookmarkStart w:id="6" w:name="_Toc9504513"/>
      <w:r w:rsidRPr="0044556D">
        <w:rPr>
          <w:rFonts w:ascii="Arial" w:hAnsi="Arial" w:cs="Arial"/>
          <w:i w:val="0"/>
          <w:color w:val="E31837"/>
          <w:sz w:val="20"/>
          <w:szCs w:val="20"/>
        </w:rPr>
        <w:t>2.1. Wynik</w:t>
      </w:r>
      <w:bookmarkEnd w:id="6"/>
      <w:r w:rsidRPr="0044556D">
        <w:rPr>
          <w:rFonts w:ascii="Arial" w:hAnsi="Arial" w:cs="Arial"/>
          <w:i w:val="0"/>
          <w:color w:val="E31837"/>
          <w:sz w:val="20"/>
          <w:szCs w:val="20"/>
        </w:rPr>
        <w:t xml:space="preserve"> </w:t>
      </w:r>
    </w:p>
    <w:p w:rsidR="00D55ED6" w:rsidRPr="0044556D" w:rsidRDefault="00D55ED6" w:rsidP="00D55ED6">
      <w:pPr>
        <w:spacing w:before="120" w:line="288" w:lineRule="auto"/>
        <w:jc w:val="both"/>
        <w:rPr>
          <w:rFonts w:ascii="Times New Roman" w:eastAsia="Calibri" w:hAnsi="Times New Roman"/>
          <w:sz w:val="20"/>
          <w:szCs w:val="20"/>
        </w:rPr>
      </w:pPr>
      <w:r w:rsidRPr="0044556D">
        <w:rPr>
          <w:rFonts w:ascii="Times New Roman" w:eastAsia="Calibri" w:hAnsi="Times New Roman"/>
          <w:sz w:val="20"/>
          <w:szCs w:val="20"/>
        </w:rPr>
        <w:t>W</w:t>
      </w:r>
      <w:r w:rsidR="00051473" w:rsidRPr="0044556D">
        <w:rPr>
          <w:rFonts w:ascii="Times New Roman" w:eastAsia="Calibri" w:hAnsi="Times New Roman"/>
          <w:sz w:val="20"/>
          <w:szCs w:val="20"/>
        </w:rPr>
        <w:t xml:space="preserve"> 2018</w:t>
      </w:r>
      <w:r w:rsidR="00424B41" w:rsidRPr="0044556D">
        <w:rPr>
          <w:rFonts w:ascii="Times New Roman" w:eastAsia="Calibri" w:hAnsi="Times New Roman"/>
          <w:sz w:val="20"/>
          <w:szCs w:val="20"/>
        </w:rPr>
        <w:t> </w:t>
      </w:r>
      <w:r w:rsidRPr="0044556D">
        <w:rPr>
          <w:rFonts w:ascii="Times New Roman" w:eastAsia="Calibri" w:hAnsi="Times New Roman"/>
          <w:sz w:val="20"/>
          <w:szCs w:val="20"/>
        </w:rPr>
        <w:t>r. deficyt sektora instyt</w:t>
      </w:r>
      <w:r w:rsidR="00000BC6" w:rsidRPr="0044556D">
        <w:rPr>
          <w:rFonts w:ascii="Times New Roman" w:eastAsia="Calibri" w:hAnsi="Times New Roman"/>
          <w:sz w:val="20"/>
          <w:szCs w:val="20"/>
        </w:rPr>
        <w:t>ucji rządowych i </w:t>
      </w:r>
      <w:r w:rsidRPr="0044556D">
        <w:rPr>
          <w:rFonts w:ascii="Times New Roman" w:eastAsia="Calibri" w:hAnsi="Times New Roman"/>
          <w:sz w:val="20"/>
          <w:szCs w:val="20"/>
        </w:rPr>
        <w:t xml:space="preserve">samorządowych </w:t>
      </w:r>
      <w:r w:rsidR="003278BA" w:rsidRPr="0044556D">
        <w:rPr>
          <w:rFonts w:ascii="Times New Roman" w:eastAsia="Calibri" w:hAnsi="Times New Roman"/>
          <w:sz w:val="20"/>
          <w:szCs w:val="20"/>
        </w:rPr>
        <w:t xml:space="preserve">(wg. zasad ESA2010) </w:t>
      </w:r>
      <w:r w:rsidR="009921A2">
        <w:rPr>
          <w:rFonts w:ascii="Times New Roman" w:eastAsia="Calibri" w:hAnsi="Times New Roman"/>
          <w:sz w:val="20"/>
          <w:szCs w:val="20"/>
        </w:rPr>
        <w:t>spadł aż o </w:t>
      </w:r>
      <w:r w:rsidR="00051473" w:rsidRPr="0044556D">
        <w:rPr>
          <w:rFonts w:ascii="Times New Roman" w:eastAsia="Calibri" w:hAnsi="Times New Roman"/>
          <w:sz w:val="20"/>
          <w:szCs w:val="20"/>
        </w:rPr>
        <w:t>1,</w:t>
      </w:r>
      <w:r w:rsidR="009921A2">
        <w:rPr>
          <w:rFonts w:ascii="Times New Roman" w:eastAsia="Calibri" w:hAnsi="Times New Roman"/>
          <w:sz w:val="20"/>
          <w:szCs w:val="20"/>
        </w:rPr>
        <w:t>1</w:t>
      </w:r>
      <w:r w:rsidR="00051473" w:rsidRPr="0044556D">
        <w:rPr>
          <w:rFonts w:ascii="Times New Roman" w:eastAsia="Calibri" w:hAnsi="Times New Roman"/>
          <w:sz w:val="20"/>
          <w:szCs w:val="20"/>
        </w:rPr>
        <w:t xml:space="preserve"> pkt proc. do 0,4% PKB, tj. </w:t>
      </w:r>
      <w:r w:rsidR="009921A2">
        <w:rPr>
          <w:rFonts w:ascii="Times New Roman" w:eastAsia="Calibri" w:hAnsi="Times New Roman"/>
          <w:sz w:val="20"/>
          <w:szCs w:val="20"/>
        </w:rPr>
        <w:t>8,0</w:t>
      </w:r>
      <w:r w:rsidRPr="0044556D">
        <w:rPr>
          <w:rFonts w:ascii="Times New Roman" w:eastAsia="Calibri" w:hAnsi="Times New Roman"/>
          <w:sz w:val="20"/>
          <w:szCs w:val="20"/>
        </w:rPr>
        <w:t xml:space="preserve"> mld zł</w:t>
      </w:r>
      <w:r w:rsidRPr="0044556D">
        <w:rPr>
          <w:rStyle w:val="Odwoanieprzypisudolnego"/>
          <w:rFonts w:ascii="Times New Roman" w:eastAsia="Calibri" w:hAnsi="Times New Roman"/>
          <w:sz w:val="20"/>
          <w:szCs w:val="20"/>
        </w:rPr>
        <w:footnoteReference w:id="1"/>
      </w:r>
      <w:r w:rsidRPr="0044556D">
        <w:rPr>
          <w:rFonts w:ascii="Times New Roman" w:eastAsia="Calibri" w:hAnsi="Times New Roman"/>
          <w:sz w:val="20"/>
          <w:szCs w:val="20"/>
        </w:rPr>
        <w:t xml:space="preserve">. </w:t>
      </w:r>
    </w:p>
    <w:p w:rsidR="00F811E7" w:rsidRPr="0044556D" w:rsidRDefault="00F811E7" w:rsidP="00F811E7">
      <w:pPr>
        <w:spacing w:before="120" w:after="0" w:line="288" w:lineRule="auto"/>
        <w:jc w:val="both"/>
        <w:rPr>
          <w:rFonts w:ascii="Times New Roman" w:eastAsia="Calibri" w:hAnsi="Times New Roman"/>
          <w:sz w:val="20"/>
          <w:szCs w:val="20"/>
        </w:rPr>
      </w:pPr>
      <w:r w:rsidRPr="0044556D">
        <w:rPr>
          <w:rFonts w:ascii="Times New Roman" w:eastAsia="Calibri" w:hAnsi="Times New Roman"/>
          <w:sz w:val="20"/>
          <w:szCs w:val="20"/>
        </w:rPr>
        <w:t>Na wielkość deficytu złożyły się:</w:t>
      </w:r>
    </w:p>
    <w:p w:rsidR="00BE2444" w:rsidRPr="0044556D" w:rsidRDefault="00F811E7" w:rsidP="00026C88">
      <w:pPr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44556D">
        <w:rPr>
          <w:rFonts w:ascii="Times New Roman" w:hAnsi="Times New Roman"/>
          <w:sz w:val="20"/>
          <w:szCs w:val="20"/>
        </w:rPr>
        <w:t>wy</w:t>
      </w:r>
      <w:r w:rsidR="00517045" w:rsidRPr="0044556D">
        <w:rPr>
          <w:rFonts w:ascii="Times New Roman" w:hAnsi="Times New Roman"/>
          <w:sz w:val="20"/>
          <w:szCs w:val="20"/>
        </w:rPr>
        <w:t>nik podsektora centralnego: -0,6</w:t>
      </w:r>
      <w:r w:rsidRPr="0044556D">
        <w:rPr>
          <w:rFonts w:ascii="Times New Roman" w:hAnsi="Times New Roman"/>
          <w:sz w:val="20"/>
          <w:szCs w:val="20"/>
        </w:rPr>
        <w:t xml:space="preserve">% PKB </w:t>
      </w:r>
    </w:p>
    <w:p w:rsidR="00F811E7" w:rsidRPr="0044556D" w:rsidRDefault="00517045" w:rsidP="00BE2444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44556D">
        <w:rPr>
          <w:rFonts w:ascii="Times New Roman" w:hAnsi="Times New Roman"/>
          <w:sz w:val="20"/>
          <w:szCs w:val="20"/>
        </w:rPr>
        <w:t>( </w:t>
      </w:r>
      <w:r w:rsidRPr="0044556D">
        <w:rPr>
          <w:rFonts w:ascii="Times New Roman" w:hAnsi="Times New Roman"/>
          <w:sz w:val="20"/>
          <w:szCs w:val="20"/>
        </w:rPr>
        <w:noBreakHyphen/>
        <w:t>13,</w:t>
      </w:r>
      <w:r w:rsidR="009921A2">
        <w:rPr>
          <w:rFonts w:ascii="Times New Roman" w:hAnsi="Times New Roman"/>
          <w:sz w:val="20"/>
          <w:szCs w:val="20"/>
        </w:rPr>
        <w:t>4</w:t>
      </w:r>
      <w:r w:rsidR="00F811E7" w:rsidRPr="0044556D">
        <w:rPr>
          <w:rFonts w:ascii="Times New Roman" w:hAnsi="Times New Roman"/>
          <w:sz w:val="20"/>
          <w:szCs w:val="20"/>
        </w:rPr>
        <w:t xml:space="preserve"> mld zł),</w:t>
      </w:r>
    </w:p>
    <w:p w:rsidR="00BE2444" w:rsidRPr="0044556D" w:rsidRDefault="00F811E7" w:rsidP="00026C88">
      <w:pPr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44556D">
        <w:rPr>
          <w:rFonts w:ascii="Times New Roman" w:hAnsi="Times New Roman"/>
          <w:sz w:val="20"/>
          <w:szCs w:val="20"/>
        </w:rPr>
        <w:t>wyn</w:t>
      </w:r>
      <w:r w:rsidR="00517045" w:rsidRPr="0044556D">
        <w:rPr>
          <w:rFonts w:ascii="Times New Roman" w:hAnsi="Times New Roman"/>
          <w:sz w:val="20"/>
          <w:szCs w:val="20"/>
        </w:rPr>
        <w:t xml:space="preserve">ik podsektora samorządowego: </w:t>
      </w:r>
      <w:r w:rsidR="00B15560" w:rsidRPr="0044556D">
        <w:rPr>
          <w:rFonts w:ascii="Times New Roman" w:hAnsi="Times New Roman"/>
          <w:sz w:val="20"/>
          <w:szCs w:val="20"/>
        </w:rPr>
        <w:t>-</w:t>
      </w:r>
      <w:r w:rsidR="00517045" w:rsidRPr="0044556D">
        <w:rPr>
          <w:rFonts w:ascii="Times New Roman" w:hAnsi="Times New Roman"/>
          <w:sz w:val="20"/>
          <w:szCs w:val="20"/>
        </w:rPr>
        <w:t>0,3</w:t>
      </w:r>
      <w:r w:rsidRPr="0044556D">
        <w:rPr>
          <w:rFonts w:ascii="Times New Roman" w:hAnsi="Times New Roman"/>
          <w:sz w:val="20"/>
          <w:szCs w:val="20"/>
        </w:rPr>
        <w:t xml:space="preserve">% PKB </w:t>
      </w:r>
    </w:p>
    <w:p w:rsidR="00F811E7" w:rsidRPr="0044556D" w:rsidRDefault="00517045" w:rsidP="00BE2444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44556D">
        <w:rPr>
          <w:rFonts w:ascii="Times New Roman" w:hAnsi="Times New Roman"/>
          <w:sz w:val="20"/>
          <w:szCs w:val="20"/>
        </w:rPr>
        <w:t>(</w:t>
      </w:r>
      <w:r w:rsidR="00B15560" w:rsidRPr="0044556D">
        <w:rPr>
          <w:rFonts w:ascii="Times New Roman" w:hAnsi="Times New Roman"/>
          <w:sz w:val="20"/>
          <w:szCs w:val="20"/>
        </w:rPr>
        <w:t>-</w:t>
      </w:r>
      <w:r w:rsidRPr="0044556D">
        <w:rPr>
          <w:rFonts w:ascii="Times New Roman" w:hAnsi="Times New Roman"/>
          <w:sz w:val="20"/>
          <w:szCs w:val="20"/>
        </w:rPr>
        <w:t xml:space="preserve">7,4 </w:t>
      </w:r>
      <w:r w:rsidR="00F811E7" w:rsidRPr="0044556D">
        <w:rPr>
          <w:rFonts w:ascii="Times New Roman" w:hAnsi="Times New Roman"/>
          <w:sz w:val="20"/>
          <w:szCs w:val="20"/>
        </w:rPr>
        <w:t>mld zł),</w:t>
      </w:r>
    </w:p>
    <w:p w:rsidR="00BE2444" w:rsidRPr="0044556D" w:rsidRDefault="00F811E7" w:rsidP="00026C88">
      <w:pPr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44556D">
        <w:rPr>
          <w:rFonts w:ascii="Times New Roman" w:hAnsi="Times New Roman"/>
          <w:sz w:val="20"/>
          <w:szCs w:val="20"/>
        </w:rPr>
        <w:t>w</w:t>
      </w:r>
      <w:r w:rsidR="00517045" w:rsidRPr="0044556D">
        <w:rPr>
          <w:rFonts w:ascii="Times New Roman" w:hAnsi="Times New Roman"/>
          <w:sz w:val="20"/>
          <w:szCs w:val="20"/>
        </w:rPr>
        <w:t>ynik podsektora ubezpieczeń: 0,6</w:t>
      </w:r>
      <w:r w:rsidRPr="0044556D">
        <w:rPr>
          <w:rFonts w:ascii="Times New Roman" w:hAnsi="Times New Roman"/>
          <w:sz w:val="20"/>
          <w:szCs w:val="20"/>
        </w:rPr>
        <w:t xml:space="preserve">% PKB </w:t>
      </w:r>
    </w:p>
    <w:p w:rsidR="00C13F17" w:rsidRPr="00052018" w:rsidRDefault="00517045" w:rsidP="00BE2444">
      <w:pPr>
        <w:spacing w:after="0" w:line="288" w:lineRule="auto"/>
        <w:jc w:val="both"/>
        <w:rPr>
          <w:rFonts w:ascii="Times New Roman" w:hAnsi="Times New Roman"/>
          <w:sz w:val="20"/>
          <w:szCs w:val="20"/>
          <w:highlight w:val="yellow"/>
        </w:rPr>
      </w:pPr>
      <w:r w:rsidRPr="0044556D">
        <w:rPr>
          <w:rFonts w:ascii="Times New Roman" w:hAnsi="Times New Roman"/>
          <w:sz w:val="20"/>
          <w:szCs w:val="20"/>
        </w:rPr>
        <w:t>(12,8</w:t>
      </w:r>
      <w:r w:rsidR="00F811E7" w:rsidRPr="0044556D">
        <w:rPr>
          <w:rFonts w:ascii="Times New Roman" w:hAnsi="Times New Roman"/>
          <w:sz w:val="20"/>
          <w:szCs w:val="20"/>
        </w:rPr>
        <w:t xml:space="preserve"> mld zł).</w:t>
      </w:r>
      <w:r w:rsidR="00D55ED6" w:rsidRPr="0044556D">
        <w:rPr>
          <w:rFonts w:ascii="Times New Roman" w:hAnsi="Times New Roman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132"/>
        <w:tblW w:w="4680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80"/>
      </w:tblGrid>
      <w:tr w:rsidR="0094645D" w:rsidRPr="00574105" w:rsidTr="0094645D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:rsidR="0094645D" w:rsidRPr="00574105" w:rsidRDefault="0094645D" w:rsidP="0094645D">
            <w:pPr>
              <w:pStyle w:val="A1"/>
              <w:keepNext/>
              <w:spacing w:after="0" w:line="288" w:lineRule="auto"/>
              <w:ind w:firstLine="0"/>
              <w:jc w:val="left"/>
              <w:rPr>
                <w:color w:val="E31837"/>
                <w:sz w:val="20"/>
                <w:szCs w:val="20"/>
              </w:rPr>
            </w:pPr>
            <w:r w:rsidRPr="00574105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Wyk. 5. Wynik sektora instytucji rządowych i samorządowych ( w % PKB).</w:t>
            </w:r>
          </w:p>
        </w:tc>
      </w:tr>
      <w:tr w:rsidR="0094645D" w:rsidRPr="00574105" w:rsidTr="0094645D">
        <w:tblPrEx>
          <w:tblCellMar>
            <w:left w:w="70" w:type="dxa"/>
            <w:right w:w="70" w:type="dxa"/>
          </w:tblCellMar>
        </w:tblPrEx>
        <w:tc>
          <w:tcPr>
            <w:tcW w:w="4680" w:type="dxa"/>
            <w:tcBorders>
              <w:top w:val="single" w:sz="8" w:space="0" w:color="ADAFB2"/>
            </w:tcBorders>
          </w:tcPr>
          <w:p w:rsidR="0094645D" w:rsidRPr="00574105" w:rsidRDefault="00574105" w:rsidP="0094645D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574105"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 wp14:anchorId="6FEECBB6" wp14:editId="370A0060">
                  <wp:extent cx="2854325" cy="2051685"/>
                  <wp:effectExtent l="0" t="0" r="3175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325" cy="205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645D" w:rsidRPr="00574105" w:rsidTr="0094645D">
        <w:tc>
          <w:tcPr>
            <w:tcW w:w="4680" w:type="dxa"/>
          </w:tcPr>
          <w:p w:rsidR="00C13F17" w:rsidRPr="00574105" w:rsidRDefault="0094645D" w:rsidP="0094645D">
            <w:pPr>
              <w:keepNext/>
              <w:spacing w:before="120" w:after="60" w:line="288" w:lineRule="auto"/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</w:pPr>
            <w:r w:rsidRPr="00574105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>Źródło: Dane Eurostat, GUS, obliczenia własne</w:t>
            </w:r>
          </w:p>
        </w:tc>
      </w:tr>
    </w:tbl>
    <w:p w:rsidR="00C13F17" w:rsidRPr="00574105" w:rsidRDefault="00C13F17" w:rsidP="00574105">
      <w:pPr>
        <w:jc w:val="both"/>
        <w:rPr>
          <w:rFonts w:ascii="Times New Roman" w:hAnsi="Times New Roman"/>
          <w:bCs/>
          <w:sz w:val="20"/>
          <w:szCs w:val="20"/>
        </w:rPr>
      </w:pPr>
      <w:r w:rsidRPr="00574105">
        <w:rPr>
          <w:rFonts w:ascii="Times New Roman" w:eastAsia="Calibri" w:hAnsi="Times New Roman"/>
          <w:sz w:val="20"/>
          <w:szCs w:val="20"/>
        </w:rPr>
        <w:t>Dane uwzględniają jednorazową transakcję z tytułu umorzenia pożyczek z budżetu państwa udzielonych Funduszowi Ubezpieczeń Społecznych (FUS) Umorzenie w wysokości ok. 7,2 mld zł (tj. ok. 0,3% PKB) zo</w:t>
      </w:r>
      <w:r w:rsidR="0044556D" w:rsidRPr="00574105">
        <w:rPr>
          <w:rFonts w:ascii="Times New Roman" w:eastAsia="Calibri" w:hAnsi="Times New Roman"/>
          <w:sz w:val="20"/>
          <w:szCs w:val="20"/>
        </w:rPr>
        <w:t>stało uwzględnione w wyniku 2018</w:t>
      </w:r>
      <w:r w:rsidRPr="00574105">
        <w:rPr>
          <w:rFonts w:ascii="Times New Roman" w:eastAsia="Calibri" w:hAnsi="Times New Roman"/>
          <w:sz w:val="20"/>
          <w:szCs w:val="20"/>
        </w:rPr>
        <w:t xml:space="preserve"> r., po stronie dochodów FUS jako transfer kapitałowy (D.9) oraz w tej samej wysokości po stronie wydatków budżetu państwa również w kategorii transfer kapitałowy (D.9). Z uwagi na konsolidację powyższe umorzenie pozostaje </w:t>
      </w:r>
      <w:r w:rsidRPr="00574105">
        <w:rPr>
          <w:rFonts w:ascii="Times New Roman" w:hAnsi="Times New Roman"/>
          <w:bCs/>
          <w:sz w:val="20"/>
          <w:szCs w:val="20"/>
        </w:rPr>
        <w:t>bez wpływu na wynik sektora instytucji rządowych i samorządowych według metodyki unijnej (ESA2010).</w:t>
      </w:r>
    </w:p>
    <w:p w:rsidR="0044556D" w:rsidRPr="00574105" w:rsidRDefault="0044556D" w:rsidP="0044556D">
      <w:pPr>
        <w:jc w:val="both"/>
        <w:rPr>
          <w:rFonts w:ascii="Times New Roman" w:eastAsia="Calibri" w:hAnsi="Times New Roman"/>
          <w:sz w:val="20"/>
          <w:szCs w:val="20"/>
        </w:rPr>
      </w:pPr>
      <w:r w:rsidRPr="00574105">
        <w:rPr>
          <w:rFonts w:ascii="Times New Roman" w:eastAsia="Calibri" w:hAnsi="Times New Roman"/>
          <w:sz w:val="20"/>
          <w:szCs w:val="20"/>
        </w:rPr>
        <w:lastRenderedPageBreak/>
        <w:t xml:space="preserve">Deficyt sektora instytucji rządowych i samorządowych zmniejszył się w 2018 r. do 0,4% PKB, co jest najlepszym wynikiem od przystąpienia Polski do Unii Europejskiej. Redukcji deficytu sprzyjały działania uszczelniające system podatkowy oraz </w:t>
      </w:r>
      <w:r w:rsidR="009921A2">
        <w:rPr>
          <w:rFonts w:ascii="Times New Roman" w:eastAsia="Calibri" w:hAnsi="Times New Roman"/>
          <w:sz w:val="20"/>
          <w:szCs w:val="20"/>
        </w:rPr>
        <w:t xml:space="preserve">bardzo </w:t>
      </w:r>
      <w:r w:rsidRPr="00574105">
        <w:rPr>
          <w:rFonts w:ascii="Times New Roman" w:eastAsia="Calibri" w:hAnsi="Times New Roman"/>
          <w:sz w:val="20"/>
          <w:szCs w:val="20"/>
        </w:rPr>
        <w:t>dobra sytuacja makroekonomiczna</w:t>
      </w:r>
      <w:r w:rsidR="009921A2">
        <w:rPr>
          <w:rFonts w:ascii="Times New Roman" w:eastAsia="Calibri" w:hAnsi="Times New Roman"/>
          <w:sz w:val="20"/>
          <w:szCs w:val="20"/>
        </w:rPr>
        <w:t>, w szczególności na rynku pracy.</w:t>
      </w:r>
      <w:r w:rsidRPr="00574105">
        <w:rPr>
          <w:rFonts w:ascii="Times New Roman" w:eastAsia="Calibri" w:hAnsi="Times New Roman"/>
          <w:sz w:val="20"/>
          <w:szCs w:val="20"/>
        </w:rPr>
        <w:t xml:space="preserve"> Szacuje się, że deficyt strukturalny w 2018 r. ukształtował się na poziomie 1,2% PKB, tj. o 0,6 pkt. proc. niższym niż w roku poprzednim. Wg szacunków MF oznacza to osiągnięcie średniookresowego celu budżetowego (MTO) przy odchyleniu akceptowalnym dla Komisji Europejskiej.</w:t>
      </w:r>
    </w:p>
    <w:p w:rsidR="00F77622" w:rsidRPr="00574105" w:rsidRDefault="00F77622" w:rsidP="006B7502">
      <w:pPr>
        <w:pStyle w:val="Nagwek2"/>
        <w:spacing w:before="120" w:line="288" w:lineRule="auto"/>
        <w:rPr>
          <w:rFonts w:ascii="Arial" w:hAnsi="Arial" w:cs="Arial"/>
          <w:i w:val="0"/>
          <w:color w:val="E31837"/>
          <w:sz w:val="20"/>
          <w:szCs w:val="20"/>
        </w:rPr>
      </w:pPr>
      <w:bookmarkStart w:id="7" w:name="_Toc9504514"/>
      <w:r w:rsidRPr="00574105">
        <w:rPr>
          <w:rFonts w:ascii="Arial" w:hAnsi="Arial" w:cs="Arial"/>
          <w:i w:val="0"/>
          <w:color w:val="E31837"/>
          <w:sz w:val="20"/>
          <w:szCs w:val="20"/>
        </w:rPr>
        <w:t>2.</w:t>
      </w:r>
      <w:r w:rsidR="00D55ED6" w:rsidRPr="00574105">
        <w:rPr>
          <w:rFonts w:ascii="Arial" w:hAnsi="Arial" w:cs="Arial"/>
          <w:i w:val="0"/>
          <w:color w:val="E31837"/>
          <w:sz w:val="20"/>
          <w:szCs w:val="20"/>
        </w:rPr>
        <w:t>2</w:t>
      </w:r>
      <w:r w:rsidRPr="00574105">
        <w:rPr>
          <w:rFonts w:ascii="Arial" w:hAnsi="Arial" w:cs="Arial"/>
          <w:i w:val="0"/>
          <w:color w:val="E31837"/>
          <w:sz w:val="20"/>
          <w:szCs w:val="20"/>
        </w:rPr>
        <w:t>. Dochody</w:t>
      </w:r>
      <w:bookmarkEnd w:id="7"/>
    </w:p>
    <w:p w:rsidR="00F77622" w:rsidRPr="00574105" w:rsidRDefault="00E9290A" w:rsidP="000210F5">
      <w:pPr>
        <w:spacing w:before="120" w:after="0" w:line="288" w:lineRule="auto"/>
        <w:jc w:val="both"/>
        <w:rPr>
          <w:rFonts w:ascii="Times New Roman" w:eastAsia="Calibri" w:hAnsi="Times New Roman"/>
          <w:sz w:val="20"/>
          <w:szCs w:val="20"/>
        </w:rPr>
      </w:pPr>
      <w:r w:rsidRPr="00574105">
        <w:rPr>
          <w:rFonts w:ascii="Times New Roman" w:eastAsia="Calibri" w:hAnsi="Times New Roman"/>
          <w:sz w:val="20"/>
          <w:szCs w:val="20"/>
        </w:rPr>
        <w:t>W 2018</w:t>
      </w:r>
      <w:r w:rsidR="001D71D6" w:rsidRPr="00574105">
        <w:rPr>
          <w:rFonts w:ascii="Times New Roman" w:eastAsia="Calibri" w:hAnsi="Times New Roman"/>
          <w:sz w:val="20"/>
          <w:szCs w:val="20"/>
        </w:rPr>
        <w:t xml:space="preserve"> r. dochody</w:t>
      </w:r>
      <w:r w:rsidR="00DF31AE" w:rsidRPr="00574105">
        <w:rPr>
          <w:rFonts w:ascii="Times New Roman" w:eastAsia="Calibri" w:hAnsi="Times New Roman"/>
          <w:sz w:val="20"/>
          <w:szCs w:val="20"/>
        </w:rPr>
        <w:t xml:space="preserve"> sektora instytucji rządowych i </w:t>
      </w:r>
      <w:r w:rsidR="001D71D6" w:rsidRPr="00574105">
        <w:rPr>
          <w:rFonts w:ascii="Times New Roman" w:eastAsia="Calibri" w:hAnsi="Times New Roman"/>
          <w:sz w:val="20"/>
          <w:szCs w:val="20"/>
        </w:rPr>
        <w:t xml:space="preserve">samorządowych (wg zasad ESA2010) wyniosły </w:t>
      </w:r>
      <w:r w:rsidR="00051473" w:rsidRPr="00574105">
        <w:rPr>
          <w:rFonts w:ascii="Times New Roman" w:eastAsia="Calibri" w:hAnsi="Times New Roman"/>
          <w:sz w:val="20"/>
          <w:szCs w:val="20"/>
        </w:rPr>
        <w:t>871</w:t>
      </w:r>
      <w:r w:rsidR="00EE2D24" w:rsidRPr="00574105">
        <w:rPr>
          <w:rFonts w:ascii="Times New Roman" w:eastAsia="Calibri" w:hAnsi="Times New Roman"/>
          <w:sz w:val="20"/>
          <w:szCs w:val="20"/>
        </w:rPr>
        <w:t>,0</w:t>
      </w:r>
      <w:r w:rsidR="005155AA" w:rsidRPr="00574105">
        <w:rPr>
          <w:rFonts w:ascii="Times New Roman" w:eastAsia="Calibri" w:hAnsi="Times New Roman"/>
          <w:sz w:val="20"/>
          <w:szCs w:val="20"/>
        </w:rPr>
        <w:t> </w:t>
      </w:r>
      <w:r w:rsidR="001D71D6" w:rsidRPr="00574105">
        <w:rPr>
          <w:rFonts w:ascii="Times New Roman" w:eastAsia="Calibri" w:hAnsi="Times New Roman"/>
          <w:sz w:val="20"/>
          <w:szCs w:val="20"/>
        </w:rPr>
        <w:t>mld zł</w:t>
      </w:r>
      <w:r w:rsidR="00051473" w:rsidRPr="00574105">
        <w:rPr>
          <w:rFonts w:ascii="Times New Roman" w:eastAsia="Calibri" w:hAnsi="Times New Roman"/>
          <w:sz w:val="20"/>
          <w:szCs w:val="20"/>
        </w:rPr>
        <w:t xml:space="preserve"> (41,2</w:t>
      </w:r>
      <w:r w:rsidR="001D71D6" w:rsidRPr="00574105">
        <w:rPr>
          <w:rFonts w:ascii="Times New Roman" w:eastAsia="Calibri" w:hAnsi="Times New Roman"/>
          <w:sz w:val="20"/>
          <w:szCs w:val="20"/>
        </w:rPr>
        <w:t xml:space="preserve"> %</w:t>
      </w:r>
      <w:r w:rsidR="00BE2444" w:rsidRPr="00574105">
        <w:rPr>
          <w:rFonts w:ascii="Times New Roman" w:eastAsia="Calibri" w:hAnsi="Times New Roman"/>
          <w:sz w:val="20"/>
          <w:szCs w:val="20"/>
        </w:rPr>
        <w:t xml:space="preserve"> </w:t>
      </w:r>
      <w:r w:rsidR="001D71D6" w:rsidRPr="00574105">
        <w:rPr>
          <w:rFonts w:ascii="Times New Roman" w:eastAsia="Calibri" w:hAnsi="Times New Roman"/>
          <w:sz w:val="20"/>
          <w:szCs w:val="20"/>
        </w:rPr>
        <w:t>PKB) i były wyższe od wykonania dochodów w analogicz</w:t>
      </w:r>
      <w:r w:rsidR="00000BC6" w:rsidRPr="00574105">
        <w:rPr>
          <w:rFonts w:ascii="Times New Roman" w:eastAsia="Calibri" w:hAnsi="Times New Roman"/>
          <w:sz w:val="20"/>
          <w:szCs w:val="20"/>
        </w:rPr>
        <w:t>nym okresie roku poprzedniego o </w:t>
      </w:r>
      <w:r w:rsidR="00051473" w:rsidRPr="00574105">
        <w:rPr>
          <w:rFonts w:ascii="Times New Roman" w:eastAsia="Calibri" w:hAnsi="Times New Roman"/>
          <w:sz w:val="20"/>
          <w:szCs w:val="20"/>
        </w:rPr>
        <w:t>10,3</w:t>
      </w:r>
      <w:r w:rsidR="001D71D6" w:rsidRPr="00574105">
        <w:rPr>
          <w:rFonts w:ascii="Times New Roman" w:eastAsia="Calibri" w:hAnsi="Times New Roman"/>
          <w:sz w:val="20"/>
          <w:szCs w:val="20"/>
        </w:rPr>
        <w:t>% (r/r).</w:t>
      </w:r>
    </w:p>
    <w:p w:rsidR="003E5C16" w:rsidRPr="003E5C16" w:rsidRDefault="003E5C16" w:rsidP="003E5C16">
      <w:pPr>
        <w:spacing w:before="120" w:after="0" w:line="288" w:lineRule="auto"/>
        <w:jc w:val="both"/>
        <w:rPr>
          <w:rFonts w:ascii="Times New Roman" w:eastAsia="Calibri" w:hAnsi="Times New Roman"/>
          <w:sz w:val="20"/>
          <w:szCs w:val="20"/>
        </w:rPr>
      </w:pPr>
      <w:r w:rsidRPr="00574105">
        <w:rPr>
          <w:rFonts w:ascii="Times New Roman" w:eastAsia="Calibri" w:hAnsi="Times New Roman"/>
          <w:sz w:val="20"/>
          <w:szCs w:val="20"/>
        </w:rPr>
        <w:t>W 2018 r. dochody podatkowe wyniosły 21,9% PKB, co oznacza wzrost o ok. 0,8 pkt. proc. w porówna</w:t>
      </w:r>
      <w:r w:rsidR="009921A2">
        <w:rPr>
          <w:rFonts w:ascii="Times New Roman" w:eastAsia="Calibri" w:hAnsi="Times New Roman"/>
          <w:sz w:val="20"/>
          <w:szCs w:val="20"/>
        </w:rPr>
        <w:t>niu z </w:t>
      </w:r>
      <w:r w:rsidRPr="00574105">
        <w:rPr>
          <w:rFonts w:ascii="Times New Roman" w:eastAsia="Calibri" w:hAnsi="Times New Roman"/>
          <w:sz w:val="20"/>
          <w:szCs w:val="20"/>
        </w:rPr>
        <w:t>2017 r., z tego dochody z podatków związanych z</w:t>
      </w:r>
      <w:r w:rsidR="009921A2">
        <w:rPr>
          <w:rFonts w:ascii="Times New Roman" w:eastAsia="Calibri" w:hAnsi="Times New Roman"/>
          <w:sz w:val="20"/>
          <w:szCs w:val="20"/>
        </w:rPr>
        <w:t> </w:t>
      </w:r>
      <w:r w:rsidRPr="003E5C16">
        <w:rPr>
          <w:rFonts w:ascii="Times New Roman" w:eastAsia="Calibri" w:hAnsi="Times New Roman"/>
          <w:sz w:val="20"/>
          <w:szCs w:val="20"/>
        </w:rPr>
        <w:t>produkcją i impor</w:t>
      </w:r>
      <w:r w:rsidR="009921A2">
        <w:rPr>
          <w:rFonts w:ascii="Times New Roman" w:eastAsia="Calibri" w:hAnsi="Times New Roman"/>
          <w:sz w:val="20"/>
          <w:szCs w:val="20"/>
        </w:rPr>
        <w:t>tem wzrosły o 0,3 pkt. proc., a </w:t>
      </w:r>
      <w:r w:rsidRPr="003E5C16">
        <w:rPr>
          <w:rFonts w:ascii="Times New Roman" w:eastAsia="Calibri" w:hAnsi="Times New Roman"/>
          <w:sz w:val="20"/>
          <w:szCs w:val="20"/>
        </w:rPr>
        <w:t xml:space="preserve">wpływy z podatków od dochodu o 0,5 pkt. proc. Silny wzrost dochodów podatkowych jest obserwowany od 2016 r., kiedy wprowadzono szereg reform systemu podatkowego. </w:t>
      </w:r>
    </w:p>
    <w:p w:rsidR="00432B4F" w:rsidRPr="00E13A03" w:rsidRDefault="00432B4F" w:rsidP="00432B4F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E13A03">
        <w:rPr>
          <w:rFonts w:ascii="Times New Roman" w:hAnsi="Times New Roman"/>
          <w:bCs/>
          <w:sz w:val="20"/>
          <w:szCs w:val="20"/>
        </w:rPr>
        <w:t xml:space="preserve">Wysokość dochodów była determinowana </w:t>
      </w:r>
      <w:r w:rsidR="00796336">
        <w:rPr>
          <w:rFonts w:ascii="Times New Roman" w:hAnsi="Times New Roman"/>
          <w:bCs/>
          <w:sz w:val="20"/>
          <w:szCs w:val="20"/>
        </w:rPr>
        <w:t xml:space="preserve">również </w:t>
      </w:r>
      <w:r w:rsidRPr="00E13A03">
        <w:rPr>
          <w:rFonts w:ascii="Times New Roman" w:hAnsi="Times New Roman"/>
          <w:bCs/>
          <w:sz w:val="20"/>
          <w:szCs w:val="20"/>
        </w:rPr>
        <w:t>przez warunki makroekonomiczne, które w ubiegłym roku były bardziej korzystne niż przyjęto do ustawy budżetowej. W szczególności odnotowano wyraźnie wyższe tempo wzrostu realnego PKB, tj. 5,1% oraz wyższą dynamikę nominalnego PKB, która wyniosła 6,4%. Wyższe niż przyjęto w ustawie budżetowej okazało się również realne tempo wzrostu konsumpcji gospodarstw domowych wynoszące 4,5%. Wyższy wzrost konsumpcji to w głównej mierze efekt korzystnej sytuacji na rynku pracy (m.in. wysokiej dynamiki nominalnych wynagrodzeń i niskiego bezrobocia) oraz bardzo dobrych nastrojów konsumentów.</w:t>
      </w:r>
    </w:p>
    <w:p w:rsidR="00432B4F" w:rsidRPr="00EE0411" w:rsidRDefault="00432B4F" w:rsidP="00432B4F">
      <w:pPr>
        <w:widowControl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EE0411">
        <w:rPr>
          <w:rFonts w:ascii="Times New Roman" w:hAnsi="Times New Roman"/>
          <w:bCs/>
          <w:sz w:val="20"/>
          <w:szCs w:val="20"/>
        </w:rPr>
        <w:t xml:space="preserve">Dochody z tytułu VAT w 2018 r., wg zasad ESA2010, były o 11,4% wyższe niż w 2017 r., w porównaniu do odnotowanego nominalnego wzrostu spożycia (największej części bazy VAT) na poziomie 6,2% r/r. 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80"/>
      </w:tblGrid>
      <w:tr w:rsidR="00432B4F" w:rsidRPr="00D770F6" w:rsidTr="008A67CE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:rsidR="00432B4F" w:rsidRPr="00F53480" w:rsidRDefault="00432B4F" w:rsidP="009D076A">
            <w:pPr>
              <w:pStyle w:val="A1"/>
              <w:keepNext/>
              <w:spacing w:after="0" w:line="288" w:lineRule="auto"/>
              <w:ind w:firstLine="0"/>
              <w:jc w:val="left"/>
              <w:rPr>
                <w:color w:val="E31837"/>
                <w:sz w:val="20"/>
                <w:szCs w:val="20"/>
              </w:rPr>
            </w:pPr>
            <w:r w:rsidRPr="00F53480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lastRenderedPageBreak/>
              <w:t xml:space="preserve">Wyk. </w:t>
            </w:r>
            <w:r w:rsidR="00844B6E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6</w:t>
            </w:r>
            <w:r w:rsidRPr="00F53480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. Dynamika wpływów z podatku VAT (r/r).</w:t>
            </w:r>
          </w:p>
        </w:tc>
      </w:tr>
      <w:tr w:rsidR="00432B4F" w:rsidRPr="00D770F6" w:rsidTr="008A67CE">
        <w:tblPrEx>
          <w:tblCellMar>
            <w:left w:w="70" w:type="dxa"/>
            <w:right w:w="70" w:type="dxa"/>
          </w:tblCellMar>
        </w:tblPrEx>
        <w:tc>
          <w:tcPr>
            <w:tcW w:w="4680" w:type="dxa"/>
            <w:tcBorders>
              <w:top w:val="single" w:sz="8" w:space="0" w:color="ADAFB2"/>
            </w:tcBorders>
          </w:tcPr>
          <w:p w:rsidR="00432B4F" w:rsidRPr="00F53480" w:rsidRDefault="00432B4F" w:rsidP="008A67CE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F53480"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 wp14:anchorId="7C300557" wp14:editId="5949CBF9">
                  <wp:extent cx="2838450" cy="203581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03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2B4F" w:rsidRPr="00D770F6" w:rsidTr="008A67CE">
        <w:tc>
          <w:tcPr>
            <w:tcW w:w="4680" w:type="dxa"/>
          </w:tcPr>
          <w:p w:rsidR="00432B4F" w:rsidRPr="00F53480" w:rsidRDefault="00432B4F" w:rsidP="009D076A">
            <w:pPr>
              <w:pStyle w:val="A1"/>
              <w:keepNext/>
              <w:spacing w:after="0" w:line="288" w:lineRule="auto"/>
              <w:ind w:firstLine="0"/>
              <w:jc w:val="left"/>
              <w:rPr>
                <w:i/>
                <w:color w:val="E31837"/>
                <w:sz w:val="16"/>
                <w:szCs w:val="16"/>
              </w:rPr>
            </w:pPr>
            <w:r w:rsidRPr="009D076A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Źródło: MF</w:t>
            </w:r>
          </w:p>
        </w:tc>
      </w:tr>
    </w:tbl>
    <w:p w:rsidR="00432B4F" w:rsidRPr="00C2688A" w:rsidRDefault="00432B4F" w:rsidP="00432B4F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C2688A">
        <w:rPr>
          <w:rFonts w:ascii="Times New Roman" w:hAnsi="Times New Roman"/>
          <w:bCs/>
          <w:sz w:val="20"/>
          <w:szCs w:val="20"/>
        </w:rPr>
        <w:t>W 2018 r. nastąpił istotny spadek luki VAT co oznacza zwiększenie stopnia wywiązywania się z zobowiązań podatkowych. Efekt taki przyniosły liczne działania mające na celu uszczelnienie systemu podatkowego, wdrożone w 2018 r.</w:t>
      </w:r>
    </w:p>
    <w:p w:rsidR="00432B4F" w:rsidRPr="00C2688A" w:rsidRDefault="00432B4F" w:rsidP="00432B4F">
      <w:pPr>
        <w:widowControl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C2688A">
        <w:rPr>
          <w:rFonts w:ascii="Times New Roman" w:hAnsi="Times New Roman"/>
          <w:bCs/>
          <w:sz w:val="20"/>
          <w:szCs w:val="20"/>
        </w:rPr>
        <w:t>Najistotniejszymi zmianami były:</w:t>
      </w:r>
    </w:p>
    <w:p w:rsidR="00432B4F" w:rsidRPr="00C2688A" w:rsidRDefault="00432B4F" w:rsidP="009921A2">
      <w:pPr>
        <w:widowControl w:val="0"/>
        <w:numPr>
          <w:ilvl w:val="0"/>
          <w:numId w:val="10"/>
        </w:numPr>
        <w:spacing w:after="0" w:line="288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C2688A">
        <w:rPr>
          <w:rFonts w:ascii="Times New Roman" w:hAnsi="Times New Roman"/>
          <w:bCs/>
          <w:sz w:val="20"/>
          <w:szCs w:val="20"/>
        </w:rPr>
        <w:t>od 1 stycznia 2018 r. wszyscy przedsiębiorcy są objęci obowiązkiem comiesięcznego przesyłania informacji o ewidencji zakupów i sprzedaży w formie JPK_VAT. Dzięki zastosowaniu informatycznego narzędzia analizator JPK wykorzystanie tzw. pustych faktur do odliczenia podatku naliczonego z takich dokumentów staje się w zasadzie niemożliwe,</w:t>
      </w:r>
    </w:p>
    <w:p w:rsidR="00432B4F" w:rsidRDefault="00432B4F" w:rsidP="009921A2">
      <w:pPr>
        <w:widowControl w:val="0"/>
        <w:numPr>
          <w:ilvl w:val="0"/>
          <w:numId w:val="10"/>
        </w:numPr>
        <w:spacing w:after="0" w:line="288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C2688A">
        <w:rPr>
          <w:rFonts w:ascii="Times New Roman" w:hAnsi="Times New Roman"/>
          <w:bCs/>
          <w:sz w:val="20"/>
          <w:szCs w:val="20"/>
        </w:rPr>
        <w:t>wprowadzenie od 1 lipca 2018 r. mechanizmu podzielonej płatności (</w:t>
      </w:r>
      <w:proofErr w:type="spellStart"/>
      <w:r w:rsidRPr="00C2688A">
        <w:rPr>
          <w:rFonts w:ascii="Times New Roman" w:hAnsi="Times New Roman"/>
          <w:bCs/>
          <w:sz w:val="20"/>
          <w:szCs w:val="20"/>
        </w:rPr>
        <w:t>split</w:t>
      </w:r>
      <w:proofErr w:type="spellEnd"/>
      <w:r w:rsidRPr="00C2688A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C2688A">
        <w:rPr>
          <w:rFonts w:ascii="Times New Roman" w:hAnsi="Times New Roman"/>
          <w:bCs/>
          <w:sz w:val="20"/>
          <w:szCs w:val="20"/>
        </w:rPr>
        <w:t>payment</w:t>
      </w:r>
      <w:proofErr w:type="spellEnd"/>
      <w:r w:rsidRPr="00C2688A">
        <w:rPr>
          <w:rFonts w:ascii="Times New Roman" w:hAnsi="Times New Roman"/>
          <w:bCs/>
          <w:sz w:val="20"/>
          <w:szCs w:val="20"/>
        </w:rPr>
        <w:t>),</w:t>
      </w:r>
    </w:p>
    <w:p w:rsidR="00432B4F" w:rsidRPr="00C2688A" w:rsidRDefault="00432B4F" w:rsidP="009921A2">
      <w:pPr>
        <w:widowControl w:val="0"/>
        <w:numPr>
          <w:ilvl w:val="0"/>
          <w:numId w:val="10"/>
        </w:numPr>
        <w:spacing w:after="0" w:line="288" w:lineRule="auto"/>
        <w:ind w:left="284" w:hanging="284"/>
        <w:jc w:val="both"/>
        <w:rPr>
          <w:rFonts w:ascii="Times New Roman" w:hAnsi="Times New Roman"/>
          <w:sz w:val="20"/>
        </w:rPr>
      </w:pPr>
      <w:r w:rsidRPr="00C2688A">
        <w:rPr>
          <w:rFonts w:ascii="Times New Roman" w:hAnsi="Times New Roman"/>
          <w:sz w:val="20"/>
        </w:rPr>
        <w:t>wprowadzony w 2017 r. systemu monitorow</w:t>
      </w:r>
      <w:r>
        <w:rPr>
          <w:rFonts w:ascii="Times New Roman" w:hAnsi="Times New Roman"/>
          <w:sz w:val="20"/>
        </w:rPr>
        <w:t>ania drogowego przewozu towarów.</w:t>
      </w:r>
    </w:p>
    <w:p w:rsidR="00432B4F" w:rsidRPr="00F908AD" w:rsidRDefault="00432B4F" w:rsidP="00432B4F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F908AD">
        <w:rPr>
          <w:rFonts w:ascii="Times New Roman" w:hAnsi="Times New Roman"/>
          <w:bCs/>
          <w:sz w:val="20"/>
          <w:szCs w:val="20"/>
        </w:rPr>
        <w:t>Dochody sektora instytucji rządowych i samorządowych z PIT, wg zasad ESA2010, wyniosły w 2018 r. 112,4 mld zł i były wyższe o 13,7%.</w:t>
      </w:r>
    </w:p>
    <w:p w:rsidR="00432B4F" w:rsidRPr="00912D4C" w:rsidRDefault="00432B4F" w:rsidP="00432B4F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912D4C">
        <w:rPr>
          <w:rFonts w:ascii="Times New Roman" w:hAnsi="Times New Roman"/>
          <w:bCs/>
          <w:sz w:val="20"/>
          <w:szCs w:val="20"/>
        </w:rPr>
        <w:t xml:space="preserve">Szacuje się, że nominalne tempo wzrostu przeciętnego funduszu wynagrodzeń w gospodarce narodowej oraz emerytur i rent w 2018 r. wyniosło 9,0% r/r. Dobra sytuacja na rynku pracy przełożyła się na wysokie dochody ze skali podatkowej (wzrost o 10,8% r/r). Wysokie były również wpływy od osób prowadzących działalność gospodarczą. W przypadku podatników rozliczających się według liniowej 19% stawki podatku tempo wyniosło 20,5% r/r, a dla opodatkowanych ryczałtem od przychodów ewidencjonowanych tempo </w:t>
      </w:r>
      <w:r w:rsidRPr="00912D4C">
        <w:rPr>
          <w:rFonts w:ascii="Times New Roman" w:hAnsi="Times New Roman"/>
          <w:bCs/>
          <w:sz w:val="20"/>
          <w:szCs w:val="20"/>
        </w:rPr>
        <w:lastRenderedPageBreak/>
        <w:t>wyniosło 22,9% r/r.</w:t>
      </w:r>
    </w:p>
    <w:p w:rsidR="00432B4F" w:rsidRPr="00912D4C" w:rsidRDefault="00432B4F" w:rsidP="00432B4F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912D4C">
        <w:rPr>
          <w:rFonts w:ascii="Times New Roman" w:hAnsi="Times New Roman"/>
          <w:bCs/>
          <w:sz w:val="20"/>
          <w:szCs w:val="20"/>
        </w:rPr>
        <w:t xml:space="preserve">Wyższe niż ubiegłoroczne okazały się wpływy z podatku od odsetek (o 8,1% r/r) oraz z podatku z odpłatnego zbycia papierów wartościowych lub pochodnych instrumentów finansowych (o 58,1%). </w:t>
      </w:r>
    </w:p>
    <w:p w:rsidR="00432B4F" w:rsidRPr="00E42B7A" w:rsidRDefault="00432B4F" w:rsidP="00432B4F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E42B7A">
        <w:rPr>
          <w:rFonts w:ascii="Times New Roman" w:hAnsi="Times New Roman"/>
          <w:bCs/>
          <w:sz w:val="20"/>
          <w:szCs w:val="20"/>
        </w:rPr>
        <w:t xml:space="preserve">Dochody sektora instytucji rządowych i samorządowych z CIT, wg zasad ESA2010, wyniosły w 2018 r. 44,5 mld zł i były wyższe o 15,5%. Według GUS wynik finansowy brutto przedsiębiorstw niefinansowych zmniejszył się o 8,2%, a zysk brutto tych podmiotów spadł o 3,5%. Natomiast zgodnie z danymi gromadzonymi przez KNF wynik finansowy brutto banków w 2018 r. wzrósł o 5,9%. </w:t>
      </w:r>
    </w:p>
    <w:p w:rsidR="00432B4F" w:rsidRPr="009921A2" w:rsidRDefault="00432B4F" w:rsidP="00432B4F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E42B7A">
        <w:rPr>
          <w:rFonts w:ascii="Times New Roman" w:hAnsi="Times New Roman"/>
          <w:bCs/>
          <w:sz w:val="20"/>
          <w:szCs w:val="20"/>
        </w:rPr>
        <w:t xml:space="preserve">Na wysoki wzrost dochodów podatkowych z CIT wpływ miały również działania uszczelniające system podatkowy. </w:t>
      </w:r>
      <w:r w:rsidRPr="00E42B7A">
        <w:rPr>
          <w:rFonts w:ascii="Times New Roman" w:hAnsi="Times New Roman"/>
          <w:sz w:val="20"/>
        </w:rPr>
        <w:t>W przepisach o podatkach dochodowych</w:t>
      </w:r>
      <w:r w:rsidRPr="00C2688A">
        <w:rPr>
          <w:rFonts w:ascii="Times New Roman" w:hAnsi="Times New Roman"/>
          <w:sz w:val="20"/>
        </w:rPr>
        <w:t xml:space="preserve"> (CIT i PIT)</w:t>
      </w:r>
      <w:r>
        <w:rPr>
          <w:rFonts w:ascii="Times New Roman" w:hAnsi="Times New Roman"/>
          <w:sz w:val="20"/>
        </w:rPr>
        <w:t xml:space="preserve"> wprowadzono</w:t>
      </w:r>
      <w:r w:rsidRPr="00C2688A">
        <w:rPr>
          <w:rFonts w:hAnsi="Arial" w:cs="Arial"/>
        </w:rPr>
        <w:t xml:space="preserve"> </w:t>
      </w:r>
      <w:r w:rsidRPr="00C2688A">
        <w:rPr>
          <w:rFonts w:ascii="Times New Roman" w:hAnsi="Times New Roman"/>
          <w:sz w:val="20"/>
        </w:rPr>
        <w:t>rozwiąza</w:t>
      </w:r>
      <w:r>
        <w:rPr>
          <w:rFonts w:ascii="Times New Roman" w:hAnsi="Times New Roman"/>
          <w:sz w:val="20"/>
        </w:rPr>
        <w:t>nia</w:t>
      </w:r>
      <w:r w:rsidRPr="00C2688A">
        <w:rPr>
          <w:rFonts w:ascii="Times New Roman" w:hAnsi="Times New Roman"/>
          <w:sz w:val="20"/>
        </w:rPr>
        <w:t xml:space="preserve"> mając</w:t>
      </w:r>
      <w:r>
        <w:rPr>
          <w:rFonts w:ascii="Times New Roman" w:hAnsi="Times New Roman"/>
          <w:sz w:val="20"/>
        </w:rPr>
        <w:t>e</w:t>
      </w:r>
      <w:r w:rsidRPr="00C2688A">
        <w:rPr>
          <w:rFonts w:ascii="Times New Roman" w:hAnsi="Times New Roman"/>
          <w:sz w:val="20"/>
        </w:rPr>
        <w:t xml:space="preserve"> na celu wyeliminowanie przypadków stosowania tzw. agresywnej optymalizacji podatkowej, a z drugiej strony modyfikację preferencji podatkowych związanych ze wspieraniem innowacyjności (tzw. ulgi B+R) w celu zwiększenia inwestycji dokonywanych przez przedsiębiorców</w:t>
      </w:r>
      <w:r w:rsidRPr="009921A2">
        <w:rPr>
          <w:rFonts w:ascii="Times New Roman" w:hAnsi="Times New Roman"/>
          <w:bCs/>
          <w:sz w:val="20"/>
          <w:szCs w:val="20"/>
        </w:rPr>
        <w:t>.</w:t>
      </w:r>
    </w:p>
    <w:p w:rsidR="00432B4F" w:rsidRPr="00E140DF" w:rsidRDefault="00432B4F" w:rsidP="00432B4F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E140DF">
        <w:rPr>
          <w:rFonts w:ascii="Times New Roman" w:hAnsi="Times New Roman"/>
          <w:bCs/>
          <w:sz w:val="20"/>
          <w:szCs w:val="20"/>
        </w:rPr>
        <w:t xml:space="preserve">Dochody z akcyzy, wg zasad ESA2010, wyniosły w 2018 r. 71,5 mld zł i były wyższe o 3,8% w stosunku do poprzedniego roku. Wpływy z podatku od paliw wzrosły o 5,0%, od wyrobów tytoniowych o 4,3%, a od samochodów osobowych o 10,7%. Spadły natomiast dochody z akcyzy od oleju opałowego o 12,8% i od alkoholu etylowego o 3,6%. </w:t>
      </w:r>
    </w:p>
    <w:p w:rsidR="003E5C16" w:rsidRPr="003E5C16" w:rsidRDefault="003E5C16" w:rsidP="003E5C16">
      <w:pPr>
        <w:spacing w:before="120" w:after="0" w:line="288" w:lineRule="auto"/>
        <w:jc w:val="both"/>
        <w:rPr>
          <w:rFonts w:ascii="Times New Roman" w:eastAsia="Calibri" w:hAnsi="Times New Roman"/>
          <w:sz w:val="20"/>
          <w:szCs w:val="20"/>
        </w:rPr>
      </w:pPr>
      <w:r w:rsidRPr="003E5C16">
        <w:rPr>
          <w:rFonts w:ascii="Times New Roman" w:eastAsia="Calibri" w:hAnsi="Times New Roman"/>
          <w:sz w:val="20"/>
          <w:szCs w:val="20"/>
        </w:rPr>
        <w:t>Poza wzrostem dochodów podatkowych do poprawy wyniku sektora instytucji rządowych i samorządowych w 2018 r. przyczynił się wzrost o 0,3 pkt. proc. PKB (nominalnie o 8,8% r/r) dochodów sektora z tytułu składek na ubezpieczenia społeczne, rejestrowanych w podsektorze ubezpieczeń społecznych. Wzrost ten był głównie rezultatem dobrej sytuacji na rynku pracy (silny wzrost zatrudnienia połączony ze wzrostem wynagrodzeń), w wyniku czego tempo wzrostu funduszu wynagrodzeń w gospodarce narodowej w 2018 r. wyniosło 9,8% r/r i było najwyższe od 2008 r.</w:t>
      </w:r>
    </w:p>
    <w:p w:rsidR="00EE2D24" w:rsidRPr="00052018" w:rsidRDefault="003E5C16" w:rsidP="00574105">
      <w:pPr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  <w:highlight w:val="yellow"/>
        </w:rPr>
      </w:pPr>
      <w:r w:rsidRPr="003E5C16">
        <w:rPr>
          <w:rFonts w:ascii="Times New Roman" w:eastAsia="Calibri" w:hAnsi="Times New Roman"/>
          <w:sz w:val="20"/>
          <w:szCs w:val="20"/>
        </w:rPr>
        <w:t>Pozytywnie na poziom dochodów ze składek wpłynęły także podjęte przez ZUS działania dla uszczelnienia systemu składek, takie jak wprowadzenie tzw. e-Składki, elektronicznych zwolnień lekarskich i wzrost efektywności w egzekwowaniu.</w:t>
      </w:r>
    </w:p>
    <w:p w:rsidR="000974B5" w:rsidRPr="00F20D8E" w:rsidRDefault="00D55ED6" w:rsidP="006B7502">
      <w:pPr>
        <w:pStyle w:val="Nagwek2"/>
        <w:spacing w:before="120" w:line="288" w:lineRule="auto"/>
        <w:rPr>
          <w:rFonts w:ascii="Arial" w:hAnsi="Arial" w:cs="Arial"/>
          <w:i w:val="0"/>
          <w:color w:val="E31837"/>
          <w:sz w:val="20"/>
          <w:szCs w:val="20"/>
        </w:rPr>
      </w:pPr>
      <w:bookmarkStart w:id="8" w:name="_Toc9504515"/>
      <w:r w:rsidRPr="00F20D8E">
        <w:rPr>
          <w:rFonts w:ascii="Arial" w:hAnsi="Arial" w:cs="Arial"/>
          <w:i w:val="0"/>
          <w:color w:val="E31837"/>
          <w:sz w:val="20"/>
          <w:szCs w:val="20"/>
        </w:rPr>
        <w:lastRenderedPageBreak/>
        <w:t>2.3</w:t>
      </w:r>
      <w:r w:rsidR="000974B5" w:rsidRPr="00F20D8E">
        <w:rPr>
          <w:rFonts w:ascii="Arial" w:hAnsi="Arial" w:cs="Arial"/>
          <w:i w:val="0"/>
          <w:color w:val="E31837"/>
          <w:sz w:val="20"/>
          <w:szCs w:val="20"/>
        </w:rPr>
        <w:t>. Wydatki</w:t>
      </w:r>
      <w:bookmarkEnd w:id="8"/>
    </w:p>
    <w:p w:rsidR="003E5C16" w:rsidRDefault="003E5C16" w:rsidP="003E5C16">
      <w:pPr>
        <w:spacing w:before="120" w:line="288" w:lineRule="auto"/>
        <w:jc w:val="both"/>
        <w:rPr>
          <w:rFonts w:ascii="Times New Roman" w:eastAsia="Calibri" w:hAnsi="Times New Roman"/>
          <w:sz w:val="20"/>
          <w:szCs w:val="20"/>
        </w:rPr>
      </w:pPr>
      <w:r w:rsidRPr="003E5C16">
        <w:rPr>
          <w:rFonts w:ascii="Times New Roman" w:eastAsia="Calibri" w:hAnsi="Times New Roman"/>
          <w:sz w:val="20"/>
          <w:szCs w:val="20"/>
        </w:rPr>
        <w:t>Relacja wydatków</w:t>
      </w:r>
      <w:r w:rsidR="009921A2">
        <w:rPr>
          <w:rFonts w:ascii="Times New Roman" w:eastAsia="Calibri" w:hAnsi="Times New Roman"/>
          <w:sz w:val="20"/>
          <w:szCs w:val="20"/>
        </w:rPr>
        <w:t xml:space="preserve"> sektora instytucji rządowych i </w:t>
      </w:r>
      <w:r w:rsidRPr="003E5C16">
        <w:rPr>
          <w:rFonts w:ascii="Times New Roman" w:eastAsia="Calibri" w:hAnsi="Times New Roman"/>
          <w:sz w:val="20"/>
          <w:szCs w:val="20"/>
        </w:rPr>
        <w:t>samorządowych do PKB w 2018 r. wzrosła do 41,5% (o 0,3 pkt. proc.), głównie w wyniku przyspieszenia wykorzystania środków z UE z perspektywy finansowej na lata 2014-20 (element neutralny dla wyniku sektora instytucji rządowych i samorządowych).</w:t>
      </w:r>
    </w:p>
    <w:p w:rsidR="003E5C16" w:rsidRDefault="003E5C16" w:rsidP="003E5C16">
      <w:pPr>
        <w:spacing w:before="120" w:line="288" w:lineRule="auto"/>
        <w:jc w:val="both"/>
        <w:rPr>
          <w:rFonts w:ascii="Times New Roman" w:eastAsia="Calibri" w:hAnsi="Times New Roman"/>
          <w:sz w:val="20"/>
          <w:szCs w:val="20"/>
        </w:rPr>
      </w:pPr>
      <w:r w:rsidRPr="003E5C16">
        <w:rPr>
          <w:rFonts w:ascii="Times New Roman" w:eastAsia="Calibri" w:hAnsi="Times New Roman"/>
          <w:sz w:val="20"/>
          <w:szCs w:val="20"/>
        </w:rPr>
        <w:t>Głównym czynnikiem determinującym wzrost wydatków w 2018 r. było istotne przyspieszenie inwestycji publicznych i związany z tym wzrost wykorzystania środków z UE. Nominalny wzrost inwestycji</w:t>
      </w:r>
      <w:r w:rsidR="009921A2">
        <w:rPr>
          <w:rFonts w:ascii="Times New Roman" w:eastAsia="Calibri" w:hAnsi="Times New Roman"/>
          <w:sz w:val="20"/>
          <w:szCs w:val="20"/>
        </w:rPr>
        <w:t xml:space="preserve"> sektora instytucji rządowych i </w:t>
      </w:r>
      <w:r w:rsidRPr="003E5C16">
        <w:rPr>
          <w:rFonts w:ascii="Times New Roman" w:eastAsia="Calibri" w:hAnsi="Times New Roman"/>
          <w:sz w:val="20"/>
          <w:szCs w:val="20"/>
        </w:rPr>
        <w:t>samorządowych utrzymał się na dwucyfrowym poziomie (31,5% r/r) i był istotnie wyższy niż w 2017 r. (23% r/r). W relacji do PKB inwestycje publiczne wzrosły o 0,9 pkt. proc. do 4,7%. Szczególnie silną dynamikę nakładów inwestycyjnych zanotował podsektor samorządowy (wzrost o 54,2% r/r), co było wynikiem wysoki</w:t>
      </w:r>
      <w:r w:rsidR="009921A2">
        <w:rPr>
          <w:rFonts w:ascii="Times New Roman" w:eastAsia="Calibri" w:hAnsi="Times New Roman"/>
          <w:sz w:val="20"/>
          <w:szCs w:val="20"/>
        </w:rPr>
        <w:t>ej absorpcji środków unijnych z </w:t>
      </w:r>
      <w:r w:rsidRPr="003E5C16">
        <w:rPr>
          <w:rFonts w:ascii="Times New Roman" w:eastAsia="Calibri" w:hAnsi="Times New Roman"/>
          <w:sz w:val="20"/>
          <w:szCs w:val="20"/>
        </w:rPr>
        <w:t>perspektywy finansowej na lata 2014-20 oraz konsekwencją inwestycji uruchomionych przed wyborami do władz samorządowych (jesień 2018 r.). Również dwucyfrowy nominalny wzrost wydatków inwestycyjnych odnotowano w podsektorze rządowym, który wyniósł 12,9%</w:t>
      </w:r>
      <w:r w:rsidR="009921A2">
        <w:rPr>
          <w:rFonts w:ascii="Times New Roman" w:eastAsia="Calibri" w:hAnsi="Times New Roman"/>
          <w:sz w:val="20"/>
          <w:szCs w:val="20"/>
        </w:rPr>
        <w:t xml:space="preserve"> r/r (po wzroście o 14,3% r/r w </w:t>
      </w:r>
      <w:r w:rsidRPr="003E5C16">
        <w:rPr>
          <w:rFonts w:ascii="Times New Roman" w:eastAsia="Calibri" w:hAnsi="Times New Roman"/>
          <w:sz w:val="20"/>
          <w:szCs w:val="20"/>
        </w:rPr>
        <w:t>2017 r.), a główn</w:t>
      </w:r>
      <w:r w:rsidR="009921A2">
        <w:rPr>
          <w:rFonts w:ascii="Times New Roman" w:eastAsia="Calibri" w:hAnsi="Times New Roman"/>
          <w:sz w:val="20"/>
          <w:szCs w:val="20"/>
        </w:rPr>
        <w:t>ym czynnikiem były inwestycje w </w:t>
      </w:r>
      <w:r w:rsidRPr="003E5C16">
        <w:rPr>
          <w:rFonts w:ascii="Times New Roman" w:eastAsia="Calibri" w:hAnsi="Times New Roman"/>
          <w:sz w:val="20"/>
          <w:szCs w:val="20"/>
        </w:rPr>
        <w:t>infrastrukturę kolejową realizowane przez spółkę PKP Polskie Linie Kolejowe S.A.</w:t>
      </w:r>
    </w:p>
    <w:p w:rsidR="003E5C16" w:rsidRDefault="003E5C16" w:rsidP="003E5C16">
      <w:pPr>
        <w:spacing w:before="120" w:line="288" w:lineRule="auto"/>
        <w:jc w:val="both"/>
        <w:rPr>
          <w:rFonts w:ascii="Times New Roman" w:eastAsia="Calibri" w:hAnsi="Times New Roman"/>
          <w:sz w:val="20"/>
          <w:szCs w:val="20"/>
        </w:rPr>
      </w:pPr>
      <w:r w:rsidRPr="003E5C16">
        <w:rPr>
          <w:rFonts w:ascii="Times New Roman" w:eastAsia="Calibri" w:hAnsi="Times New Roman"/>
          <w:sz w:val="20"/>
          <w:szCs w:val="20"/>
        </w:rPr>
        <w:t>Wydatki na świadczenia społeczne w 2018 r. stanowiły kontynuację programów wdrożonych w latach poprzednich. Do głównych wydatków w tej grupie należy zaliczyć wydatki na renty i emerytury, wydatki związane z programem Rodzina 500 plus, świadczenia rodzinne, renty socjalne oraz świadczenia finansowane z budżetu państwa, a</w:t>
      </w:r>
      <w:r w:rsidR="009921A2">
        <w:rPr>
          <w:rFonts w:ascii="Times New Roman" w:eastAsia="Calibri" w:hAnsi="Times New Roman"/>
          <w:sz w:val="20"/>
          <w:szCs w:val="20"/>
        </w:rPr>
        <w:t xml:space="preserve"> zlecone do wypłaty przez ZUS i </w:t>
      </w:r>
      <w:r w:rsidRPr="003E5C16">
        <w:rPr>
          <w:rFonts w:ascii="Times New Roman" w:eastAsia="Calibri" w:hAnsi="Times New Roman"/>
          <w:sz w:val="20"/>
          <w:szCs w:val="20"/>
        </w:rPr>
        <w:t>KRUS</w:t>
      </w:r>
      <w:r w:rsidR="00932B10">
        <w:rPr>
          <w:rFonts w:ascii="Times New Roman" w:eastAsia="Calibri" w:hAnsi="Times New Roman"/>
          <w:sz w:val="20"/>
          <w:szCs w:val="20"/>
        </w:rPr>
        <w:t xml:space="preserve"> oraz nowowprowadzony w 2018 r. tj. program Dobry start</w:t>
      </w:r>
      <w:r w:rsidRPr="003E5C16">
        <w:rPr>
          <w:rFonts w:ascii="Times New Roman" w:eastAsia="Calibri" w:hAnsi="Times New Roman"/>
          <w:sz w:val="20"/>
          <w:szCs w:val="20"/>
        </w:rPr>
        <w:t xml:space="preserve"> Łącznie świadczenia społeczne </w:t>
      </w:r>
      <w:r w:rsidR="009921A2">
        <w:rPr>
          <w:rFonts w:ascii="Times New Roman" w:eastAsia="Calibri" w:hAnsi="Times New Roman"/>
          <w:sz w:val="20"/>
          <w:szCs w:val="20"/>
        </w:rPr>
        <w:t>wzrosły nominalnie o 5,6% r/r i </w:t>
      </w:r>
      <w:r w:rsidRPr="003E5C16">
        <w:rPr>
          <w:rFonts w:ascii="Times New Roman" w:eastAsia="Calibri" w:hAnsi="Times New Roman"/>
          <w:sz w:val="20"/>
          <w:szCs w:val="20"/>
        </w:rPr>
        <w:t>wyniosły w relacji do PKB 16,8%.</w:t>
      </w:r>
    </w:p>
    <w:p w:rsidR="009921A2" w:rsidRDefault="003E5C16" w:rsidP="009921A2">
      <w:pPr>
        <w:spacing w:before="120" w:line="288" w:lineRule="auto"/>
        <w:jc w:val="both"/>
        <w:rPr>
          <w:rFonts w:ascii="Times New Roman" w:eastAsia="Calibri" w:hAnsi="Times New Roman"/>
          <w:sz w:val="20"/>
          <w:szCs w:val="20"/>
        </w:rPr>
      </w:pPr>
      <w:r w:rsidRPr="003E5C16">
        <w:rPr>
          <w:rFonts w:ascii="Times New Roman" w:eastAsia="Calibri" w:hAnsi="Times New Roman"/>
          <w:sz w:val="20"/>
          <w:szCs w:val="20"/>
        </w:rPr>
        <w:t xml:space="preserve">W 2018 r. nastąpił nominalny wzrost spożycia publicznego o 6,5% r/r, co oznacza, że w relacji do PKB utrzymał się on na poziomie 17,7%. Na stabilizację spożycia publicznego w relacji do PKB wpłynął spadek kosztów pracy o 0,1 pkt. proc. oraz wzrost o 0,1 pkt. proc. zużycia pośredniego, tj. zakupów towarów i usług. </w:t>
      </w:r>
    </w:p>
    <w:p w:rsidR="00574105" w:rsidRDefault="00574105" w:rsidP="003E5C16">
      <w:pPr>
        <w:spacing w:before="120" w:line="288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D55FD4" w:rsidRPr="00B74F34" w:rsidRDefault="000E4111" w:rsidP="009D076A">
      <w:pPr>
        <w:pStyle w:val="Nagwek1"/>
        <w:spacing w:before="120" w:line="288" w:lineRule="auto"/>
        <w:rPr>
          <w:rFonts w:ascii="Times New Roman" w:hAnsi="Times New Roman"/>
          <w:bCs w:val="0"/>
          <w:sz w:val="20"/>
          <w:szCs w:val="20"/>
        </w:rPr>
      </w:pPr>
      <w:r w:rsidRPr="00052018">
        <w:rPr>
          <w:rFonts w:ascii="Times New Roman" w:eastAsia="Calibri" w:hAnsi="Times New Roman"/>
          <w:sz w:val="20"/>
          <w:szCs w:val="20"/>
          <w:highlight w:val="yellow"/>
        </w:rPr>
        <w:br w:type="page"/>
      </w:r>
      <w:bookmarkStart w:id="9" w:name="_Toc378241155"/>
      <w:bookmarkStart w:id="10" w:name="_Toc472594681"/>
      <w:r w:rsidR="00D55FD4" w:rsidRPr="00B74F34">
        <w:rPr>
          <w:rFonts w:ascii="Arial" w:hAnsi="Arial" w:cs="Arial"/>
          <w:color w:val="ADAFB2"/>
          <w:sz w:val="28"/>
          <w:szCs w:val="28"/>
        </w:rPr>
        <w:lastRenderedPageBreak/>
        <w:t xml:space="preserve">3. </w:t>
      </w:r>
      <w:bookmarkEnd w:id="9"/>
      <w:r w:rsidR="00D55FD4" w:rsidRPr="00B74F34">
        <w:rPr>
          <w:rFonts w:ascii="Arial" w:hAnsi="Arial" w:cs="Arial"/>
          <w:color w:val="ADAFB2"/>
          <w:sz w:val="28"/>
          <w:szCs w:val="28"/>
        </w:rPr>
        <w:t>Dług publiczny oraz potrzeby pożyczkowe</w:t>
      </w:r>
      <w:bookmarkEnd w:id="10"/>
    </w:p>
    <w:p w:rsidR="00D55FD4" w:rsidRPr="00B74F34" w:rsidRDefault="00D55FD4" w:rsidP="00D55FD4">
      <w:pPr>
        <w:pStyle w:val="Nagwek2"/>
        <w:spacing w:before="120" w:line="288" w:lineRule="auto"/>
        <w:rPr>
          <w:rFonts w:ascii="Arial" w:hAnsi="Arial" w:cs="Arial"/>
          <w:i w:val="0"/>
          <w:color w:val="E31837"/>
          <w:sz w:val="20"/>
          <w:szCs w:val="20"/>
        </w:rPr>
      </w:pPr>
      <w:bookmarkStart w:id="11" w:name="_Toc472594682"/>
      <w:bookmarkStart w:id="12" w:name="_Toc9504516"/>
      <w:r w:rsidRPr="00B74F34">
        <w:rPr>
          <w:rFonts w:ascii="Arial" w:hAnsi="Arial" w:cs="Arial"/>
          <w:i w:val="0"/>
          <w:color w:val="E31837"/>
          <w:sz w:val="20"/>
          <w:szCs w:val="20"/>
        </w:rPr>
        <w:t>3.1. Dług sektora instytucji rządowych i samorządowych (wg definicji UE)</w:t>
      </w:r>
      <w:bookmarkEnd w:id="11"/>
      <w:bookmarkEnd w:id="12"/>
    </w:p>
    <w:p w:rsidR="00B74F34" w:rsidRPr="00205096" w:rsidRDefault="00B74F34" w:rsidP="00B74F34">
      <w:pPr>
        <w:widowControl w:val="0"/>
        <w:autoSpaceDE w:val="0"/>
        <w:autoSpaceDN w:val="0"/>
        <w:adjustRightInd w:val="0"/>
        <w:spacing w:before="120" w:after="60" w:line="288" w:lineRule="auto"/>
        <w:jc w:val="both"/>
        <w:rPr>
          <w:rFonts w:ascii="Times New Roman" w:hAnsi="Times New Roman"/>
          <w:sz w:val="20"/>
          <w:szCs w:val="20"/>
        </w:rPr>
      </w:pPr>
      <w:r w:rsidRPr="00BD7445">
        <w:rPr>
          <w:rFonts w:ascii="Times New Roman" w:hAnsi="Times New Roman" w:cs="Arial"/>
          <w:sz w:val="20"/>
          <w:szCs w:val="20"/>
        </w:rPr>
        <w:t>Na koniec IV kwartału 201</w:t>
      </w:r>
      <w:r>
        <w:rPr>
          <w:rFonts w:ascii="Times New Roman" w:hAnsi="Times New Roman" w:cs="Arial"/>
          <w:sz w:val="20"/>
          <w:szCs w:val="20"/>
        </w:rPr>
        <w:t>8</w:t>
      </w:r>
      <w:r w:rsidRPr="00BD7445">
        <w:rPr>
          <w:rFonts w:ascii="Times New Roman" w:hAnsi="Times New Roman" w:cs="Arial"/>
          <w:sz w:val="20"/>
          <w:szCs w:val="20"/>
        </w:rPr>
        <w:t xml:space="preserve"> r. dług sektora instytucji rządowych i samorządowych (dług EDP) stanowiący jeden z elementów kryterium fiskalnego z </w:t>
      </w:r>
      <w:proofErr w:type="spellStart"/>
      <w:r w:rsidRPr="00BD7445">
        <w:rPr>
          <w:rFonts w:ascii="Times New Roman" w:hAnsi="Times New Roman" w:cs="Arial"/>
          <w:sz w:val="20"/>
          <w:szCs w:val="20"/>
        </w:rPr>
        <w:t>Maastricht</w:t>
      </w:r>
      <w:proofErr w:type="spellEnd"/>
      <w:r w:rsidRPr="00BD7445">
        <w:rPr>
          <w:rFonts w:ascii="Times New Roman" w:hAnsi="Times New Roman" w:cs="Arial"/>
          <w:sz w:val="20"/>
          <w:szCs w:val="20"/>
        </w:rPr>
        <w:t xml:space="preserve"> wyniósł 1.0</w:t>
      </w:r>
      <w:r>
        <w:rPr>
          <w:rFonts w:ascii="Times New Roman" w:hAnsi="Times New Roman" w:cs="Arial"/>
          <w:sz w:val="20"/>
          <w:szCs w:val="20"/>
        </w:rPr>
        <w:t>34</w:t>
      </w:r>
      <w:r w:rsidRPr="00BD7445">
        <w:rPr>
          <w:rFonts w:ascii="Times New Roman" w:hAnsi="Times New Roman" w:cs="Arial"/>
          <w:sz w:val="20"/>
          <w:szCs w:val="20"/>
        </w:rPr>
        <w:t>,4 mld zł. W porów</w:t>
      </w:r>
      <w:r>
        <w:rPr>
          <w:rFonts w:ascii="Times New Roman" w:hAnsi="Times New Roman" w:cs="Arial"/>
          <w:sz w:val="20"/>
          <w:szCs w:val="20"/>
        </w:rPr>
        <w:t>naniu z końcem III kwartału 2018</w:t>
      </w:r>
      <w:r w:rsidRPr="00BD7445">
        <w:rPr>
          <w:rFonts w:ascii="Times New Roman" w:hAnsi="Times New Roman" w:cs="Arial"/>
          <w:sz w:val="20"/>
          <w:szCs w:val="20"/>
        </w:rPr>
        <w:t xml:space="preserve"> r. </w:t>
      </w:r>
      <w:r>
        <w:rPr>
          <w:rFonts w:ascii="Times New Roman" w:hAnsi="Times New Roman" w:cs="Arial"/>
          <w:sz w:val="20"/>
          <w:szCs w:val="20"/>
        </w:rPr>
        <w:t>wzrósł</w:t>
      </w:r>
      <w:r w:rsidRPr="00BD7445">
        <w:rPr>
          <w:rFonts w:ascii="Times New Roman" w:hAnsi="Times New Roman" w:cs="Arial"/>
          <w:sz w:val="20"/>
          <w:szCs w:val="20"/>
        </w:rPr>
        <w:t xml:space="preserve"> o </w:t>
      </w:r>
      <w:r>
        <w:rPr>
          <w:rFonts w:ascii="Times New Roman" w:hAnsi="Times New Roman" w:cs="Arial"/>
          <w:sz w:val="20"/>
          <w:szCs w:val="20"/>
        </w:rPr>
        <w:t>5,9</w:t>
      </w:r>
      <w:r w:rsidRPr="00BD7445">
        <w:rPr>
          <w:rFonts w:ascii="Times New Roman" w:hAnsi="Times New Roman" w:cs="Arial"/>
          <w:sz w:val="20"/>
          <w:szCs w:val="20"/>
        </w:rPr>
        <w:t xml:space="preserve"> mld zł (0,</w:t>
      </w:r>
      <w:r>
        <w:rPr>
          <w:rFonts w:ascii="Times New Roman" w:hAnsi="Times New Roman" w:cs="Arial"/>
          <w:sz w:val="20"/>
          <w:szCs w:val="20"/>
        </w:rPr>
        <w:t>6</w:t>
      </w:r>
      <w:r w:rsidRPr="00BD7445">
        <w:rPr>
          <w:rFonts w:ascii="Times New Roman" w:hAnsi="Times New Roman" w:cs="Arial"/>
          <w:sz w:val="20"/>
          <w:szCs w:val="20"/>
        </w:rPr>
        <w:t xml:space="preserve">%), a od początku roku </w:t>
      </w:r>
      <w:r>
        <w:rPr>
          <w:rFonts w:ascii="Times New Roman" w:hAnsi="Times New Roman" w:cs="Arial"/>
          <w:sz w:val="20"/>
          <w:szCs w:val="20"/>
        </w:rPr>
        <w:t>wzrósł</w:t>
      </w:r>
      <w:r w:rsidRPr="00BD7445">
        <w:rPr>
          <w:rFonts w:ascii="Times New Roman" w:hAnsi="Times New Roman" w:cs="Arial"/>
          <w:sz w:val="20"/>
          <w:szCs w:val="20"/>
        </w:rPr>
        <w:t xml:space="preserve"> o </w:t>
      </w:r>
      <w:r>
        <w:rPr>
          <w:rFonts w:ascii="Times New Roman" w:hAnsi="Times New Roman" w:cs="Arial"/>
          <w:sz w:val="20"/>
          <w:szCs w:val="20"/>
        </w:rPr>
        <w:t>28</w:t>
      </w:r>
      <w:r w:rsidRPr="00BD7445">
        <w:rPr>
          <w:rFonts w:ascii="Times New Roman" w:hAnsi="Times New Roman" w:cs="Arial"/>
          <w:sz w:val="20"/>
          <w:szCs w:val="20"/>
        </w:rPr>
        <w:t>,</w:t>
      </w:r>
      <w:r>
        <w:rPr>
          <w:rFonts w:ascii="Times New Roman" w:hAnsi="Times New Roman" w:cs="Arial"/>
          <w:sz w:val="20"/>
          <w:szCs w:val="20"/>
        </w:rPr>
        <w:t>6</w:t>
      </w:r>
      <w:r w:rsidRPr="00BD7445">
        <w:rPr>
          <w:rFonts w:ascii="Times New Roman" w:hAnsi="Times New Roman" w:cs="Arial"/>
          <w:sz w:val="20"/>
          <w:szCs w:val="20"/>
        </w:rPr>
        <w:t xml:space="preserve"> mld zł (</w:t>
      </w:r>
      <w:r>
        <w:rPr>
          <w:rFonts w:ascii="Times New Roman" w:hAnsi="Times New Roman" w:cs="Arial"/>
          <w:sz w:val="20"/>
          <w:szCs w:val="20"/>
        </w:rPr>
        <w:t>2,8</w:t>
      </w:r>
      <w:r w:rsidRPr="00BD7445">
        <w:rPr>
          <w:rFonts w:ascii="Times New Roman" w:hAnsi="Times New Roman" w:cs="Arial"/>
          <w:sz w:val="20"/>
          <w:szCs w:val="20"/>
        </w:rPr>
        <w:t>%).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80"/>
      </w:tblGrid>
      <w:tr w:rsidR="00B74F34" w:rsidRPr="00205096" w:rsidTr="008A67CE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:rsidR="00B74F34" w:rsidRPr="00205096" w:rsidRDefault="00B74F34" w:rsidP="00844B6E">
            <w:pPr>
              <w:pStyle w:val="A1"/>
              <w:keepNext/>
              <w:spacing w:after="0" w:line="288" w:lineRule="auto"/>
              <w:ind w:firstLine="0"/>
              <w:jc w:val="left"/>
              <w:rPr>
                <w:color w:val="E31837"/>
                <w:sz w:val="20"/>
                <w:szCs w:val="20"/>
              </w:rPr>
            </w:pPr>
            <w:r w:rsidRPr="00B07BA5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 xml:space="preserve">Wyk. </w:t>
            </w:r>
            <w:r w:rsidR="00844B6E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7</w:t>
            </w:r>
            <w:r w:rsidRPr="00B07BA5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. Dług EDP</w:t>
            </w:r>
          </w:p>
        </w:tc>
      </w:tr>
      <w:tr w:rsidR="00B74F34" w:rsidRPr="00205096" w:rsidTr="008A67CE">
        <w:tblPrEx>
          <w:tblCellMar>
            <w:left w:w="70" w:type="dxa"/>
            <w:right w:w="70" w:type="dxa"/>
          </w:tblCellMar>
        </w:tblPrEx>
        <w:trPr>
          <w:trHeight w:val="3307"/>
        </w:trPr>
        <w:tc>
          <w:tcPr>
            <w:tcW w:w="4680" w:type="dxa"/>
            <w:tcBorders>
              <w:top w:val="single" w:sz="8" w:space="0" w:color="ADAFB2"/>
            </w:tcBorders>
          </w:tcPr>
          <w:p w:rsidR="00B74F34" w:rsidRPr="00205096" w:rsidRDefault="00B74F34" w:rsidP="008A67CE">
            <w:pPr>
              <w:keepNext/>
              <w:spacing w:before="120" w:after="120" w:line="288" w:lineRule="auto"/>
              <w:ind w:left="-108"/>
              <w:jc w:val="both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 wp14:anchorId="7F22E28D" wp14:editId="785A25EB">
                  <wp:extent cx="2986722" cy="2099144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053" cy="210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F34" w:rsidRPr="00205096" w:rsidTr="008A67CE">
        <w:tc>
          <w:tcPr>
            <w:tcW w:w="4680" w:type="dxa"/>
          </w:tcPr>
          <w:p w:rsidR="00B74F34" w:rsidRPr="00205096" w:rsidRDefault="00B74F34" w:rsidP="008A67CE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205096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>Źródło: MF</w:t>
            </w:r>
          </w:p>
        </w:tc>
      </w:tr>
    </w:tbl>
    <w:p w:rsidR="00B74F34" w:rsidRPr="002209A3" w:rsidRDefault="00B74F34" w:rsidP="00B74F34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2209A3">
        <w:rPr>
          <w:rFonts w:ascii="Times New Roman" w:hAnsi="Times New Roman"/>
          <w:sz w:val="20"/>
          <w:szCs w:val="20"/>
        </w:rPr>
        <w:t>Na dług EDP złożyło się zadłużenie podsektorów:</w:t>
      </w:r>
    </w:p>
    <w:p w:rsidR="00B74F34" w:rsidRPr="002209A3" w:rsidRDefault="00B74F34" w:rsidP="00B74F3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2209A3">
        <w:rPr>
          <w:rFonts w:ascii="Times New Roman" w:hAnsi="Times New Roman"/>
          <w:sz w:val="20"/>
          <w:szCs w:val="20"/>
        </w:rPr>
        <w:t>rządowego 9</w:t>
      </w:r>
      <w:r>
        <w:rPr>
          <w:rFonts w:ascii="Times New Roman" w:hAnsi="Times New Roman"/>
          <w:sz w:val="20"/>
          <w:szCs w:val="20"/>
        </w:rPr>
        <w:t>53</w:t>
      </w:r>
      <w:r w:rsidRPr="002209A3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1</w:t>
      </w:r>
      <w:r w:rsidRPr="002209A3">
        <w:rPr>
          <w:rFonts w:ascii="Times New Roman" w:hAnsi="Times New Roman"/>
          <w:sz w:val="20"/>
          <w:szCs w:val="20"/>
        </w:rPr>
        <w:t xml:space="preserve"> mld zł  (</w:t>
      </w:r>
      <w:r>
        <w:rPr>
          <w:rFonts w:ascii="Times New Roman" w:hAnsi="Times New Roman"/>
          <w:sz w:val="20"/>
          <w:szCs w:val="20"/>
        </w:rPr>
        <w:t>spadek</w:t>
      </w:r>
      <w:r w:rsidRPr="002209A3">
        <w:rPr>
          <w:rFonts w:ascii="Times New Roman" w:hAnsi="Times New Roman"/>
          <w:sz w:val="20"/>
          <w:szCs w:val="20"/>
        </w:rPr>
        <w:t xml:space="preserve"> o </w:t>
      </w:r>
      <w:r>
        <w:rPr>
          <w:rFonts w:ascii="Times New Roman" w:hAnsi="Times New Roman"/>
          <w:sz w:val="20"/>
          <w:szCs w:val="20"/>
        </w:rPr>
        <w:t>2,0</w:t>
      </w:r>
      <w:r w:rsidRPr="002209A3">
        <w:rPr>
          <w:rFonts w:ascii="Times New Roman" w:hAnsi="Times New Roman"/>
          <w:sz w:val="20"/>
          <w:szCs w:val="20"/>
        </w:rPr>
        <w:t xml:space="preserve"> mld zł w IV kwartale i </w:t>
      </w:r>
      <w:r>
        <w:rPr>
          <w:rFonts w:ascii="Times New Roman" w:hAnsi="Times New Roman"/>
          <w:sz w:val="20"/>
          <w:szCs w:val="20"/>
        </w:rPr>
        <w:t xml:space="preserve">wzrost </w:t>
      </w:r>
      <w:r w:rsidRPr="002209A3">
        <w:rPr>
          <w:rFonts w:ascii="Times New Roman" w:hAnsi="Times New Roman"/>
          <w:sz w:val="20"/>
          <w:szCs w:val="20"/>
        </w:rPr>
        <w:t xml:space="preserve">o  </w:t>
      </w:r>
      <w:r>
        <w:rPr>
          <w:rFonts w:ascii="Times New Roman" w:hAnsi="Times New Roman"/>
          <w:sz w:val="20"/>
          <w:szCs w:val="20"/>
        </w:rPr>
        <w:t xml:space="preserve">21,4 </w:t>
      </w:r>
      <w:r w:rsidRPr="002209A3">
        <w:rPr>
          <w:rFonts w:ascii="Times New Roman" w:hAnsi="Times New Roman"/>
          <w:sz w:val="20"/>
          <w:szCs w:val="20"/>
        </w:rPr>
        <w:t>mld zł w całym 201</w:t>
      </w:r>
      <w:r>
        <w:rPr>
          <w:rFonts w:ascii="Times New Roman" w:hAnsi="Times New Roman"/>
          <w:sz w:val="20"/>
          <w:szCs w:val="20"/>
        </w:rPr>
        <w:t>8</w:t>
      </w:r>
      <w:r w:rsidRPr="002209A3">
        <w:rPr>
          <w:rFonts w:ascii="Times New Roman" w:hAnsi="Times New Roman"/>
          <w:sz w:val="20"/>
          <w:szCs w:val="20"/>
        </w:rPr>
        <w:t xml:space="preserve"> r.),</w:t>
      </w:r>
    </w:p>
    <w:p w:rsidR="00B74F34" w:rsidRPr="002209A3" w:rsidRDefault="00B74F34" w:rsidP="00B74F3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2209A3">
        <w:rPr>
          <w:rFonts w:ascii="Times New Roman" w:hAnsi="Times New Roman"/>
          <w:sz w:val="20"/>
          <w:szCs w:val="20"/>
        </w:rPr>
        <w:t xml:space="preserve">samorządowego </w:t>
      </w:r>
      <w:r>
        <w:rPr>
          <w:rFonts w:ascii="Times New Roman" w:hAnsi="Times New Roman"/>
          <w:sz w:val="20"/>
          <w:szCs w:val="20"/>
        </w:rPr>
        <w:t>81,2</w:t>
      </w:r>
      <w:r w:rsidRPr="002209A3">
        <w:rPr>
          <w:rFonts w:ascii="Times New Roman" w:hAnsi="Times New Roman"/>
          <w:sz w:val="20"/>
          <w:szCs w:val="20"/>
        </w:rPr>
        <w:t xml:space="preserve"> mld zł, (wzrost o </w:t>
      </w:r>
      <w:r>
        <w:rPr>
          <w:rFonts w:ascii="Times New Roman" w:hAnsi="Times New Roman"/>
          <w:sz w:val="20"/>
          <w:szCs w:val="20"/>
        </w:rPr>
        <w:t>7,9</w:t>
      </w:r>
      <w:r w:rsidRPr="002209A3">
        <w:rPr>
          <w:rFonts w:ascii="Times New Roman" w:hAnsi="Times New Roman"/>
          <w:sz w:val="20"/>
          <w:szCs w:val="20"/>
        </w:rPr>
        <w:t xml:space="preserve"> mld zł w IV kwartale i o </w:t>
      </w:r>
      <w:r>
        <w:rPr>
          <w:rFonts w:ascii="Times New Roman" w:hAnsi="Times New Roman"/>
          <w:sz w:val="20"/>
          <w:szCs w:val="20"/>
        </w:rPr>
        <w:t>7,2</w:t>
      </w:r>
      <w:r w:rsidRPr="002209A3">
        <w:rPr>
          <w:rFonts w:ascii="Times New Roman" w:hAnsi="Times New Roman"/>
          <w:sz w:val="20"/>
          <w:szCs w:val="20"/>
        </w:rPr>
        <w:t xml:space="preserve"> mld zł w całym 201</w:t>
      </w:r>
      <w:r>
        <w:rPr>
          <w:rFonts w:ascii="Times New Roman" w:hAnsi="Times New Roman"/>
          <w:sz w:val="20"/>
          <w:szCs w:val="20"/>
        </w:rPr>
        <w:t>8</w:t>
      </w:r>
      <w:r w:rsidRPr="002209A3">
        <w:rPr>
          <w:rFonts w:ascii="Times New Roman" w:hAnsi="Times New Roman"/>
          <w:sz w:val="20"/>
          <w:szCs w:val="20"/>
        </w:rPr>
        <w:t xml:space="preserve"> r.).</w:t>
      </w:r>
    </w:p>
    <w:p w:rsidR="00B74F34" w:rsidRPr="002209A3" w:rsidRDefault="00B74F34" w:rsidP="00B74F3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2209A3">
        <w:rPr>
          <w:rFonts w:ascii="Times New Roman" w:hAnsi="Times New Roman"/>
          <w:sz w:val="20"/>
          <w:szCs w:val="20"/>
        </w:rPr>
        <w:t>podsektor funduszy ubezpieczeń nie posiadał zadłużenia.</w:t>
      </w:r>
    </w:p>
    <w:p w:rsidR="00B74F34" w:rsidRPr="002209A3" w:rsidRDefault="00B74F34" w:rsidP="00B74F34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2209A3">
        <w:rPr>
          <w:rFonts w:ascii="Times New Roman" w:hAnsi="Times New Roman"/>
          <w:sz w:val="20"/>
          <w:szCs w:val="20"/>
        </w:rPr>
        <w:t>Zmiana długu EDP w IV kwartale 2017 r. wynikała głównie ze zmian zadłużenia SP</w:t>
      </w:r>
      <w:r>
        <w:rPr>
          <w:rFonts w:ascii="Times New Roman" w:hAnsi="Times New Roman"/>
          <w:sz w:val="20"/>
          <w:szCs w:val="20"/>
        </w:rPr>
        <w:t xml:space="preserve"> i JST</w:t>
      </w:r>
      <w:r w:rsidRPr="002209A3">
        <w:rPr>
          <w:rFonts w:ascii="Times New Roman" w:hAnsi="Times New Roman"/>
          <w:sz w:val="20"/>
          <w:szCs w:val="20"/>
        </w:rPr>
        <w:t>. Ponadto innymi znaczącymi czynnikami były:</w:t>
      </w:r>
    </w:p>
    <w:p w:rsidR="00B74F34" w:rsidRPr="002209A3" w:rsidRDefault="00B74F34" w:rsidP="00B74F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spadek</w:t>
      </w:r>
      <w:r w:rsidRPr="002209A3">
        <w:rPr>
          <w:rFonts w:ascii="Times New Roman" w:hAnsi="Times New Roman"/>
          <w:sz w:val="20"/>
          <w:szCs w:val="20"/>
        </w:rPr>
        <w:t xml:space="preserve"> zadłużenia Krajowego Funduszu Drogowego (</w:t>
      </w:r>
      <w:r>
        <w:rPr>
          <w:rFonts w:ascii="Times New Roman" w:hAnsi="Times New Roman"/>
          <w:sz w:val="20"/>
          <w:szCs w:val="20"/>
        </w:rPr>
        <w:t>1,6</w:t>
      </w:r>
      <w:r w:rsidRPr="002209A3">
        <w:rPr>
          <w:rFonts w:ascii="Times New Roman" w:hAnsi="Times New Roman"/>
          <w:sz w:val="20"/>
          <w:szCs w:val="20"/>
        </w:rPr>
        <w:t xml:space="preserve"> mld zł),</w:t>
      </w:r>
    </w:p>
    <w:p w:rsidR="00B74F34" w:rsidRPr="002209A3" w:rsidRDefault="00B74F34" w:rsidP="00B74F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209A3">
        <w:rPr>
          <w:rFonts w:ascii="Times New Roman" w:hAnsi="Times New Roman"/>
          <w:sz w:val="20"/>
          <w:szCs w:val="20"/>
        </w:rPr>
        <w:t>spadek wartości portfela skarbowych papierów wartościowych (SPW) posiadanych przez Bankowy Fundusz Gwarancyjny (wraz z fundusz</w:t>
      </w:r>
      <w:r>
        <w:rPr>
          <w:rFonts w:ascii="Times New Roman" w:hAnsi="Times New Roman"/>
          <w:sz w:val="20"/>
          <w:szCs w:val="20"/>
        </w:rPr>
        <w:t xml:space="preserve">ami </w:t>
      </w:r>
      <w:r w:rsidRPr="002209A3">
        <w:rPr>
          <w:rFonts w:ascii="Times New Roman" w:hAnsi="Times New Roman"/>
          <w:sz w:val="20"/>
          <w:szCs w:val="20"/>
        </w:rPr>
        <w:t>ochrony środków gwarantowanych) ora</w:t>
      </w:r>
      <w:r>
        <w:rPr>
          <w:rFonts w:ascii="Times New Roman" w:hAnsi="Times New Roman"/>
          <w:sz w:val="20"/>
          <w:szCs w:val="20"/>
        </w:rPr>
        <w:t>z fundusze</w:t>
      </w:r>
      <w:r w:rsidRPr="002209A3">
        <w:rPr>
          <w:rFonts w:ascii="Times New Roman" w:hAnsi="Times New Roman"/>
          <w:sz w:val="20"/>
          <w:szCs w:val="20"/>
        </w:rPr>
        <w:t xml:space="preserve"> umiejscowion</w:t>
      </w:r>
      <w:r>
        <w:rPr>
          <w:rFonts w:ascii="Times New Roman" w:hAnsi="Times New Roman"/>
          <w:sz w:val="20"/>
          <w:szCs w:val="20"/>
        </w:rPr>
        <w:t>e w BGK (w tym KFD) łącznie o </w:t>
      </w:r>
      <w:r w:rsidRPr="002209A3">
        <w:rPr>
          <w:rFonts w:ascii="Times New Roman" w:hAnsi="Times New Roman"/>
          <w:sz w:val="20"/>
          <w:szCs w:val="20"/>
        </w:rPr>
        <w:t>0,</w:t>
      </w:r>
      <w:r>
        <w:rPr>
          <w:rFonts w:ascii="Times New Roman" w:hAnsi="Times New Roman"/>
          <w:sz w:val="20"/>
          <w:szCs w:val="20"/>
        </w:rPr>
        <w:t>4</w:t>
      </w:r>
      <w:r w:rsidRPr="002209A3">
        <w:rPr>
          <w:rFonts w:ascii="Times New Roman" w:hAnsi="Times New Roman"/>
          <w:sz w:val="20"/>
          <w:szCs w:val="20"/>
        </w:rPr>
        <w:t xml:space="preserve"> mld zł, co </w:t>
      </w:r>
      <w:r w:rsidRPr="00917D23">
        <w:rPr>
          <w:rFonts w:ascii="Times New Roman" w:hAnsi="Times New Roman"/>
          <w:sz w:val="20"/>
          <w:szCs w:val="20"/>
        </w:rPr>
        <w:t>spowodowało wzrost długu EDP w wyniku spadku konsolidacji wzajemnych zobowiązań sektora</w:t>
      </w:r>
      <w:r w:rsidRPr="002209A3">
        <w:rPr>
          <w:rFonts w:ascii="Times New Roman" w:hAnsi="Times New Roman"/>
          <w:sz w:val="20"/>
          <w:szCs w:val="20"/>
        </w:rPr>
        <w:t>.</w:t>
      </w:r>
    </w:p>
    <w:p w:rsidR="00B74F34" w:rsidRPr="002209A3" w:rsidRDefault="00B74F34" w:rsidP="00B74F34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2209A3">
        <w:rPr>
          <w:rFonts w:ascii="Times New Roman" w:hAnsi="Times New Roman"/>
          <w:sz w:val="20"/>
          <w:szCs w:val="20"/>
        </w:rPr>
        <w:lastRenderedPageBreak/>
        <w:t>Zmiana długu EDP w z całym 201</w:t>
      </w:r>
      <w:r>
        <w:rPr>
          <w:rFonts w:ascii="Times New Roman" w:hAnsi="Times New Roman"/>
          <w:sz w:val="20"/>
          <w:szCs w:val="20"/>
        </w:rPr>
        <w:t>8</w:t>
      </w:r>
      <w:r w:rsidRPr="002209A3">
        <w:rPr>
          <w:rFonts w:ascii="Times New Roman" w:hAnsi="Times New Roman"/>
          <w:sz w:val="20"/>
          <w:szCs w:val="20"/>
        </w:rPr>
        <w:t xml:space="preserve"> r., poza zmianami długu SP</w:t>
      </w:r>
      <w:r>
        <w:rPr>
          <w:rFonts w:ascii="Times New Roman" w:hAnsi="Times New Roman"/>
          <w:sz w:val="20"/>
          <w:szCs w:val="20"/>
        </w:rPr>
        <w:t xml:space="preserve"> i JST</w:t>
      </w:r>
      <w:r w:rsidRPr="002209A3">
        <w:rPr>
          <w:rFonts w:ascii="Times New Roman" w:hAnsi="Times New Roman"/>
          <w:sz w:val="20"/>
          <w:szCs w:val="20"/>
        </w:rPr>
        <w:t>, wynikała głównie z</w:t>
      </w:r>
      <w:r>
        <w:rPr>
          <w:rFonts w:ascii="Times New Roman" w:hAnsi="Times New Roman"/>
          <w:sz w:val="20"/>
          <w:szCs w:val="20"/>
        </w:rPr>
        <w:t>e</w:t>
      </w:r>
      <w:r w:rsidRPr="002209A3">
        <w:rPr>
          <w:rFonts w:ascii="Times New Roman" w:hAnsi="Times New Roman"/>
          <w:sz w:val="20"/>
          <w:szCs w:val="20"/>
        </w:rPr>
        <w:t>:</w:t>
      </w:r>
    </w:p>
    <w:p w:rsidR="00B74F34" w:rsidRPr="002209A3" w:rsidRDefault="00B74F34" w:rsidP="00B74F34">
      <w:pPr>
        <w:widowControl w:val="0"/>
        <w:autoSpaceDE w:val="0"/>
        <w:autoSpaceDN w:val="0"/>
        <w:adjustRightInd w:val="0"/>
        <w:spacing w:before="120" w:after="0" w:line="288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209A3">
        <w:rPr>
          <w:rFonts w:ascii="Times New Roman" w:hAnsi="Times New Roman"/>
          <w:sz w:val="20"/>
          <w:szCs w:val="20"/>
        </w:rPr>
        <w:t>• wzrostu zadłużenia Krajowego Funduszu Drogowego (6</w:t>
      </w:r>
      <w:r>
        <w:rPr>
          <w:rFonts w:ascii="Times New Roman" w:hAnsi="Times New Roman"/>
          <w:sz w:val="20"/>
          <w:szCs w:val="20"/>
        </w:rPr>
        <w:t>,9</w:t>
      </w:r>
      <w:r w:rsidRPr="002209A3">
        <w:rPr>
          <w:rFonts w:ascii="Times New Roman" w:hAnsi="Times New Roman"/>
          <w:sz w:val="20"/>
          <w:szCs w:val="20"/>
        </w:rPr>
        <w:t xml:space="preserve"> mld zł),</w:t>
      </w:r>
    </w:p>
    <w:p w:rsidR="00B74F34" w:rsidRDefault="00B74F34" w:rsidP="00B74F34">
      <w:pPr>
        <w:widowControl w:val="0"/>
        <w:autoSpaceDE w:val="0"/>
        <w:autoSpaceDN w:val="0"/>
        <w:adjustRightInd w:val="0"/>
        <w:spacing w:before="120" w:after="0" w:line="288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209A3">
        <w:rPr>
          <w:rFonts w:ascii="Times New Roman" w:hAnsi="Times New Roman"/>
          <w:sz w:val="20"/>
          <w:szCs w:val="20"/>
        </w:rPr>
        <w:t xml:space="preserve">• </w:t>
      </w:r>
      <w:r>
        <w:rPr>
          <w:rFonts w:ascii="Times New Roman" w:hAnsi="Times New Roman"/>
          <w:sz w:val="20"/>
          <w:szCs w:val="20"/>
        </w:rPr>
        <w:t>wzrostu</w:t>
      </w:r>
      <w:r w:rsidRPr="00917D23">
        <w:rPr>
          <w:rFonts w:ascii="Times New Roman" w:hAnsi="Times New Roman"/>
          <w:sz w:val="20"/>
          <w:szCs w:val="20"/>
        </w:rPr>
        <w:t xml:space="preserve"> stanu portfela SPW posiadanych przez BFG (wraz z funduszami ochrony środków gwarantowanych) oraz fundusze umiejscowione w BGK łącznie pomniejszające dług o 1</w:t>
      </w:r>
      <w:r>
        <w:rPr>
          <w:rFonts w:ascii="Times New Roman" w:hAnsi="Times New Roman"/>
          <w:sz w:val="20"/>
          <w:szCs w:val="20"/>
        </w:rPr>
        <w:t>,5</w:t>
      </w:r>
      <w:r w:rsidRPr="00917D23">
        <w:rPr>
          <w:rFonts w:ascii="Times New Roman" w:hAnsi="Times New Roman"/>
          <w:sz w:val="20"/>
          <w:szCs w:val="20"/>
        </w:rPr>
        <w:t xml:space="preserve"> ml</w:t>
      </w:r>
      <w:r>
        <w:rPr>
          <w:rFonts w:ascii="Times New Roman" w:hAnsi="Times New Roman"/>
          <w:sz w:val="20"/>
          <w:szCs w:val="20"/>
        </w:rPr>
        <w:t>d</w:t>
      </w:r>
      <w:r w:rsidRPr="00917D23">
        <w:rPr>
          <w:rFonts w:ascii="Times New Roman" w:hAnsi="Times New Roman"/>
          <w:sz w:val="20"/>
          <w:szCs w:val="20"/>
        </w:rPr>
        <w:t xml:space="preserve"> zł,</w:t>
      </w:r>
    </w:p>
    <w:p w:rsidR="00B74F34" w:rsidRPr="002209A3" w:rsidRDefault="00B74F34" w:rsidP="00B74F34">
      <w:pPr>
        <w:widowControl w:val="0"/>
        <w:autoSpaceDE w:val="0"/>
        <w:autoSpaceDN w:val="0"/>
        <w:adjustRightInd w:val="0"/>
        <w:spacing w:before="120" w:after="0" w:line="288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209A3">
        <w:rPr>
          <w:rFonts w:ascii="Times New Roman" w:hAnsi="Times New Roman"/>
          <w:sz w:val="20"/>
          <w:szCs w:val="20"/>
        </w:rPr>
        <w:t xml:space="preserve">• </w:t>
      </w:r>
      <w:r w:rsidRPr="00070B52">
        <w:rPr>
          <w:rFonts w:ascii="Times New Roman" w:hAnsi="Times New Roman"/>
          <w:sz w:val="20"/>
          <w:szCs w:val="20"/>
        </w:rPr>
        <w:t xml:space="preserve">powiększająco na dług EDP, w stosunku do PDP, wpłynęło zmniejszenie wartości zobowiązań wymagalnych o </w:t>
      </w:r>
      <w:r>
        <w:rPr>
          <w:rFonts w:ascii="Times New Roman" w:hAnsi="Times New Roman"/>
          <w:sz w:val="20"/>
          <w:szCs w:val="20"/>
        </w:rPr>
        <w:t>0,4</w:t>
      </w:r>
      <w:r w:rsidRPr="00070B52">
        <w:rPr>
          <w:rFonts w:ascii="Times New Roman" w:hAnsi="Times New Roman"/>
          <w:sz w:val="20"/>
          <w:szCs w:val="20"/>
        </w:rPr>
        <w:t xml:space="preserve"> ml</w:t>
      </w:r>
      <w:r>
        <w:rPr>
          <w:rFonts w:ascii="Times New Roman" w:hAnsi="Times New Roman"/>
          <w:sz w:val="20"/>
          <w:szCs w:val="20"/>
        </w:rPr>
        <w:t>d</w:t>
      </w:r>
      <w:r w:rsidRPr="00070B52">
        <w:rPr>
          <w:rFonts w:ascii="Times New Roman" w:hAnsi="Times New Roman"/>
          <w:sz w:val="20"/>
          <w:szCs w:val="20"/>
        </w:rPr>
        <w:t xml:space="preserve"> zł</w:t>
      </w:r>
      <w:r>
        <w:rPr>
          <w:rFonts w:ascii="Times New Roman" w:hAnsi="Times New Roman"/>
          <w:sz w:val="20"/>
          <w:szCs w:val="20"/>
        </w:rPr>
        <w:t>.</w:t>
      </w:r>
    </w:p>
    <w:p w:rsidR="00B74F34" w:rsidRPr="002209A3" w:rsidRDefault="00B74F34" w:rsidP="00B74F34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2209A3">
        <w:rPr>
          <w:rFonts w:ascii="Times New Roman" w:hAnsi="Times New Roman"/>
          <w:sz w:val="20"/>
          <w:szCs w:val="20"/>
        </w:rPr>
        <w:t xml:space="preserve">Największy udział w </w:t>
      </w:r>
      <w:r w:rsidRPr="002209A3">
        <w:rPr>
          <w:rFonts w:ascii="Times New Roman" w:hAnsi="Times New Roman" w:cs="Arial"/>
          <w:sz w:val="20"/>
          <w:szCs w:val="20"/>
        </w:rPr>
        <w:t xml:space="preserve">długu sektora instytucji rządowych i samorządowych miał </w:t>
      </w:r>
      <w:r w:rsidRPr="002209A3">
        <w:rPr>
          <w:rFonts w:ascii="Times New Roman" w:hAnsi="Times New Roman"/>
          <w:sz w:val="20"/>
          <w:szCs w:val="20"/>
        </w:rPr>
        <w:t>dług Skarbu Państwa (SP).</w:t>
      </w:r>
    </w:p>
    <w:p w:rsidR="00B74F34" w:rsidRPr="002209A3" w:rsidRDefault="00B74F34" w:rsidP="00B74F34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2209A3">
        <w:rPr>
          <w:rFonts w:ascii="Times New Roman" w:hAnsi="Times New Roman"/>
          <w:sz w:val="20"/>
          <w:szCs w:val="20"/>
        </w:rPr>
        <w:t>Na koniec IV kw. 201</w:t>
      </w:r>
      <w:r>
        <w:rPr>
          <w:rFonts w:ascii="Times New Roman" w:hAnsi="Times New Roman"/>
          <w:sz w:val="20"/>
          <w:szCs w:val="20"/>
        </w:rPr>
        <w:t>8</w:t>
      </w:r>
      <w:r w:rsidRPr="002209A3">
        <w:rPr>
          <w:rFonts w:ascii="Times New Roman" w:hAnsi="Times New Roman"/>
          <w:sz w:val="20"/>
          <w:szCs w:val="20"/>
        </w:rPr>
        <w:t xml:space="preserve"> r. dług SP wyniósł 9</w:t>
      </w:r>
      <w:r>
        <w:rPr>
          <w:rFonts w:ascii="Times New Roman" w:hAnsi="Times New Roman"/>
          <w:sz w:val="20"/>
          <w:szCs w:val="20"/>
        </w:rPr>
        <w:t>54</w:t>
      </w:r>
      <w:r w:rsidRPr="002209A3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3</w:t>
      </w:r>
      <w:r w:rsidRPr="002209A3">
        <w:rPr>
          <w:rFonts w:ascii="Times New Roman" w:hAnsi="Times New Roman"/>
          <w:sz w:val="20"/>
          <w:szCs w:val="20"/>
        </w:rPr>
        <w:t xml:space="preserve"> mld zł, co oznaczało </w:t>
      </w:r>
      <w:r>
        <w:rPr>
          <w:rFonts w:ascii="Times New Roman" w:hAnsi="Times New Roman"/>
          <w:sz w:val="20"/>
          <w:szCs w:val="20"/>
        </w:rPr>
        <w:t>wzrost</w:t>
      </w:r>
      <w:r w:rsidRPr="002209A3">
        <w:rPr>
          <w:rFonts w:ascii="Times New Roman" w:hAnsi="Times New Roman"/>
          <w:sz w:val="20"/>
          <w:szCs w:val="20"/>
        </w:rPr>
        <w:t xml:space="preserve"> o </w:t>
      </w:r>
      <w:r>
        <w:rPr>
          <w:rFonts w:ascii="Times New Roman" w:hAnsi="Times New Roman"/>
          <w:sz w:val="20"/>
          <w:szCs w:val="20"/>
        </w:rPr>
        <w:t>5</w:t>
      </w:r>
      <w:r w:rsidRPr="002209A3">
        <w:rPr>
          <w:rFonts w:ascii="Times New Roman" w:hAnsi="Times New Roman"/>
          <w:sz w:val="20"/>
          <w:szCs w:val="20"/>
        </w:rPr>
        <w:t>,3 mld zł (</w:t>
      </w:r>
      <w:r>
        <w:rPr>
          <w:rFonts w:ascii="Times New Roman" w:hAnsi="Times New Roman"/>
          <w:sz w:val="20"/>
          <w:szCs w:val="20"/>
        </w:rPr>
        <w:t>0,6</w:t>
      </w:r>
      <w:r w:rsidRPr="002209A3">
        <w:rPr>
          <w:rFonts w:ascii="Times New Roman" w:hAnsi="Times New Roman"/>
          <w:sz w:val="20"/>
          <w:szCs w:val="20"/>
        </w:rPr>
        <w:t>%) względem poprzedniego kwartału i o 2</w:t>
      </w:r>
      <w:r>
        <w:rPr>
          <w:rFonts w:ascii="Times New Roman" w:hAnsi="Times New Roman"/>
          <w:sz w:val="20"/>
          <w:szCs w:val="20"/>
        </w:rPr>
        <w:t>5,8</w:t>
      </w:r>
      <w:r w:rsidRPr="002209A3">
        <w:rPr>
          <w:rFonts w:ascii="Times New Roman" w:hAnsi="Times New Roman"/>
          <w:sz w:val="20"/>
          <w:szCs w:val="20"/>
        </w:rPr>
        <w:t xml:space="preserve"> mld zł (2</w:t>
      </w:r>
      <w:r>
        <w:rPr>
          <w:rFonts w:ascii="Times New Roman" w:hAnsi="Times New Roman"/>
          <w:sz w:val="20"/>
          <w:szCs w:val="20"/>
        </w:rPr>
        <w:t>,8</w:t>
      </w:r>
      <w:r w:rsidRPr="002209A3">
        <w:rPr>
          <w:rFonts w:ascii="Times New Roman" w:hAnsi="Times New Roman"/>
          <w:sz w:val="20"/>
          <w:szCs w:val="20"/>
        </w:rPr>
        <w:t>%) wobec końca 201</w:t>
      </w:r>
      <w:r>
        <w:rPr>
          <w:rFonts w:ascii="Times New Roman" w:hAnsi="Times New Roman"/>
          <w:sz w:val="20"/>
          <w:szCs w:val="20"/>
        </w:rPr>
        <w:t>7 roku.</w:t>
      </w:r>
    </w:p>
    <w:p w:rsidR="00B74F34" w:rsidRPr="002209A3" w:rsidRDefault="00B74F34" w:rsidP="00B74F34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Wzrost długu SP w IV kw. 2018</w:t>
      </w:r>
      <w:r w:rsidRPr="002209A3">
        <w:rPr>
          <w:rFonts w:ascii="Times New Roman" w:hAnsi="Times New Roman"/>
          <w:sz w:val="20"/>
          <w:szCs w:val="20"/>
        </w:rPr>
        <w:t xml:space="preserve"> r. był przede wszystkim wypadkową:</w:t>
      </w:r>
    </w:p>
    <w:p w:rsidR="00B74F34" w:rsidRPr="002209A3" w:rsidRDefault="00B74F34" w:rsidP="00B74F3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209A3">
        <w:rPr>
          <w:rFonts w:ascii="Times New Roman" w:hAnsi="Times New Roman"/>
          <w:sz w:val="20"/>
          <w:szCs w:val="20"/>
        </w:rPr>
        <w:t>finansowania potrzeb pożyczkowych netto  budżetu państwa (+</w:t>
      </w:r>
      <w:r>
        <w:rPr>
          <w:rFonts w:ascii="Times New Roman" w:hAnsi="Times New Roman"/>
          <w:sz w:val="20"/>
          <w:szCs w:val="20"/>
        </w:rPr>
        <w:t>16,4</w:t>
      </w:r>
      <w:r w:rsidRPr="002209A3">
        <w:rPr>
          <w:rFonts w:ascii="Times New Roman" w:hAnsi="Times New Roman"/>
          <w:sz w:val="20"/>
          <w:szCs w:val="20"/>
        </w:rPr>
        <w:t xml:space="preserve"> mld zł);</w:t>
      </w:r>
    </w:p>
    <w:p w:rsidR="00B74F34" w:rsidRPr="002209A3" w:rsidRDefault="00B74F34" w:rsidP="00B74F3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209A3">
        <w:rPr>
          <w:rFonts w:ascii="Times New Roman" w:hAnsi="Times New Roman"/>
          <w:sz w:val="20"/>
          <w:szCs w:val="20"/>
        </w:rPr>
        <w:t>zmniejszenia stanu środków na rachunkach budżetowych (-</w:t>
      </w:r>
      <w:r>
        <w:rPr>
          <w:rFonts w:ascii="Times New Roman" w:hAnsi="Times New Roman"/>
          <w:sz w:val="20"/>
          <w:szCs w:val="20"/>
        </w:rPr>
        <w:t>15,3</w:t>
      </w:r>
      <w:r w:rsidRPr="002209A3">
        <w:rPr>
          <w:rFonts w:ascii="Times New Roman" w:hAnsi="Times New Roman"/>
          <w:sz w:val="20"/>
          <w:szCs w:val="20"/>
        </w:rPr>
        <w:t xml:space="preserve"> mld zł);</w:t>
      </w:r>
    </w:p>
    <w:p w:rsidR="00B74F34" w:rsidRPr="002209A3" w:rsidRDefault="00B74F34" w:rsidP="00B74F3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88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209A3">
        <w:rPr>
          <w:rFonts w:ascii="Times New Roman" w:hAnsi="Times New Roman"/>
          <w:sz w:val="20"/>
          <w:szCs w:val="20"/>
        </w:rPr>
        <w:t>różnic kursowych (</w:t>
      </w:r>
      <w:r>
        <w:rPr>
          <w:rFonts w:ascii="Times New Roman" w:hAnsi="Times New Roman"/>
          <w:sz w:val="20"/>
          <w:szCs w:val="20"/>
        </w:rPr>
        <w:t>+3,2</w:t>
      </w:r>
      <w:r w:rsidRPr="002209A3">
        <w:rPr>
          <w:rFonts w:ascii="Times New Roman" w:hAnsi="Times New Roman"/>
          <w:sz w:val="20"/>
          <w:szCs w:val="20"/>
        </w:rPr>
        <w:t xml:space="preserve"> mld zł).</w:t>
      </w:r>
    </w:p>
    <w:p w:rsidR="00B74F34" w:rsidRPr="002209A3" w:rsidRDefault="00B74F34" w:rsidP="00B74F34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Wzrost</w:t>
      </w:r>
      <w:r w:rsidRPr="002209A3">
        <w:rPr>
          <w:rFonts w:ascii="Times New Roman" w:hAnsi="Times New Roman"/>
          <w:sz w:val="20"/>
          <w:szCs w:val="20"/>
        </w:rPr>
        <w:t xml:space="preserve"> zadłużenia od początku 201</w:t>
      </w:r>
      <w:r>
        <w:rPr>
          <w:rFonts w:ascii="Times New Roman" w:hAnsi="Times New Roman"/>
          <w:sz w:val="20"/>
          <w:szCs w:val="20"/>
        </w:rPr>
        <w:t>8</w:t>
      </w:r>
      <w:r w:rsidRPr="002209A3">
        <w:rPr>
          <w:rFonts w:ascii="Times New Roman" w:hAnsi="Times New Roman"/>
          <w:sz w:val="20"/>
          <w:szCs w:val="20"/>
        </w:rPr>
        <w:t xml:space="preserve"> r. był głównie wypadkową:</w:t>
      </w:r>
    </w:p>
    <w:p w:rsidR="00B74F34" w:rsidRPr="002209A3" w:rsidRDefault="00B74F34" w:rsidP="00B74F34">
      <w:pPr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2209A3">
        <w:rPr>
          <w:rFonts w:ascii="Times New Roman" w:hAnsi="Times New Roman"/>
          <w:sz w:val="20"/>
          <w:szCs w:val="20"/>
        </w:rPr>
        <w:t>finansowania potrzeb pożyczkowych budżetu państwa (+</w:t>
      </w:r>
      <w:r>
        <w:rPr>
          <w:rFonts w:ascii="Times New Roman" w:hAnsi="Times New Roman"/>
          <w:sz w:val="20"/>
          <w:szCs w:val="20"/>
        </w:rPr>
        <w:t>1,5</w:t>
      </w:r>
      <w:r w:rsidRPr="002209A3">
        <w:rPr>
          <w:rFonts w:ascii="Times New Roman" w:hAnsi="Times New Roman"/>
          <w:sz w:val="20"/>
          <w:szCs w:val="20"/>
        </w:rPr>
        <w:t xml:space="preserve"> mld zł);</w:t>
      </w:r>
    </w:p>
    <w:p w:rsidR="00B74F34" w:rsidRPr="002209A3" w:rsidRDefault="00B74F34" w:rsidP="00B74F34">
      <w:pPr>
        <w:numPr>
          <w:ilvl w:val="0"/>
          <w:numId w:val="9"/>
        </w:numPr>
        <w:spacing w:after="0" w:line="288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osłabienia</w:t>
      </w:r>
      <w:r w:rsidRPr="002209A3">
        <w:rPr>
          <w:rFonts w:ascii="Times New Roman" w:hAnsi="Times New Roman"/>
          <w:sz w:val="20"/>
          <w:szCs w:val="20"/>
        </w:rPr>
        <w:t xml:space="preserve"> złotego (</w:t>
      </w:r>
      <w:r>
        <w:rPr>
          <w:rFonts w:ascii="Times New Roman" w:hAnsi="Times New Roman"/>
          <w:sz w:val="20"/>
          <w:szCs w:val="20"/>
        </w:rPr>
        <w:t>+12,1</w:t>
      </w:r>
      <w:r w:rsidRPr="002209A3">
        <w:rPr>
          <w:rFonts w:ascii="Times New Roman" w:hAnsi="Times New Roman"/>
          <w:sz w:val="20"/>
          <w:szCs w:val="20"/>
        </w:rPr>
        <w:t xml:space="preserve"> mld zł); </w:t>
      </w:r>
    </w:p>
    <w:p w:rsidR="00B74F34" w:rsidRPr="00054859" w:rsidRDefault="00B74F34" w:rsidP="00B74F34">
      <w:pPr>
        <w:numPr>
          <w:ilvl w:val="0"/>
          <w:numId w:val="9"/>
        </w:numPr>
        <w:spacing w:after="0" w:line="288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209A3"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większenia</w:t>
      </w:r>
      <w:r w:rsidRPr="002209A3">
        <w:rPr>
          <w:rFonts w:ascii="Times New Roman" w:hAnsi="Times New Roman"/>
          <w:sz w:val="20"/>
          <w:szCs w:val="20"/>
        </w:rPr>
        <w:t xml:space="preserve"> stanu środków na rachunkach budżetowych (</w:t>
      </w:r>
      <w:r>
        <w:rPr>
          <w:rFonts w:ascii="Times New Roman" w:hAnsi="Times New Roman"/>
          <w:sz w:val="20"/>
          <w:szCs w:val="20"/>
        </w:rPr>
        <w:t>+8,0 mld zł)</w:t>
      </w:r>
      <w:r w:rsidRPr="00054859">
        <w:rPr>
          <w:rFonts w:ascii="Times New Roman" w:hAnsi="Times New Roman"/>
          <w:sz w:val="20"/>
          <w:szCs w:val="20"/>
        </w:rPr>
        <w:t>.</w:t>
      </w:r>
    </w:p>
    <w:p w:rsidR="00B74F34" w:rsidRPr="002209A3" w:rsidRDefault="00B74F34" w:rsidP="00B74F34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2209A3">
        <w:rPr>
          <w:rFonts w:ascii="Times New Roman" w:hAnsi="Times New Roman"/>
          <w:sz w:val="20"/>
          <w:szCs w:val="20"/>
        </w:rPr>
        <w:t>Na koniec IV kw. 201</w:t>
      </w:r>
      <w:r>
        <w:rPr>
          <w:rFonts w:ascii="Times New Roman" w:hAnsi="Times New Roman"/>
          <w:sz w:val="20"/>
          <w:szCs w:val="20"/>
        </w:rPr>
        <w:t>8</w:t>
      </w:r>
      <w:r w:rsidRPr="002209A3">
        <w:rPr>
          <w:rFonts w:ascii="Times New Roman" w:hAnsi="Times New Roman"/>
          <w:sz w:val="20"/>
          <w:szCs w:val="20"/>
        </w:rPr>
        <w:t xml:space="preserve"> r. udział długu w walutach obcych w całym długu SP wyniósł </w:t>
      </w:r>
      <w:r>
        <w:rPr>
          <w:rFonts w:ascii="Times New Roman" w:hAnsi="Times New Roman"/>
          <w:sz w:val="20"/>
          <w:szCs w:val="20"/>
        </w:rPr>
        <w:t>29,3</w:t>
      </w:r>
      <w:r w:rsidRPr="002209A3">
        <w:rPr>
          <w:rFonts w:ascii="Times New Roman" w:hAnsi="Times New Roman"/>
          <w:sz w:val="20"/>
          <w:szCs w:val="20"/>
        </w:rPr>
        <w:t>% wo</w:t>
      </w:r>
      <w:r>
        <w:rPr>
          <w:rFonts w:ascii="Times New Roman" w:hAnsi="Times New Roman"/>
          <w:sz w:val="20"/>
          <w:szCs w:val="20"/>
        </w:rPr>
        <w:t>bec 29,8% na koniec III kw. 2018</w:t>
      </w:r>
      <w:r w:rsidRPr="002209A3">
        <w:rPr>
          <w:rFonts w:ascii="Times New Roman" w:hAnsi="Times New Roman"/>
          <w:sz w:val="20"/>
          <w:szCs w:val="20"/>
        </w:rPr>
        <w:t xml:space="preserve"> r. oraz 3</w:t>
      </w:r>
      <w:r>
        <w:rPr>
          <w:rFonts w:ascii="Times New Roman" w:hAnsi="Times New Roman"/>
          <w:sz w:val="20"/>
          <w:szCs w:val="20"/>
        </w:rPr>
        <w:t>0,6</w:t>
      </w:r>
      <w:r w:rsidRPr="002209A3">
        <w:rPr>
          <w:rFonts w:ascii="Times New Roman" w:hAnsi="Times New Roman"/>
          <w:sz w:val="20"/>
          <w:szCs w:val="20"/>
        </w:rPr>
        <w:t>% na koniec 201</w:t>
      </w:r>
      <w:r>
        <w:rPr>
          <w:rFonts w:ascii="Times New Roman" w:hAnsi="Times New Roman"/>
          <w:sz w:val="20"/>
          <w:szCs w:val="20"/>
        </w:rPr>
        <w:t>7</w:t>
      </w:r>
      <w:r w:rsidRPr="002209A3">
        <w:rPr>
          <w:rFonts w:ascii="Times New Roman" w:hAnsi="Times New Roman"/>
          <w:sz w:val="20"/>
          <w:szCs w:val="20"/>
        </w:rPr>
        <w:t xml:space="preserve"> r.</w:t>
      </w:r>
    </w:p>
    <w:p w:rsidR="00B74F34" w:rsidRDefault="00B74F34" w:rsidP="00B74F34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2209A3">
        <w:rPr>
          <w:rFonts w:ascii="Times New Roman" w:hAnsi="Times New Roman"/>
          <w:sz w:val="20"/>
          <w:szCs w:val="20"/>
        </w:rPr>
        <w:t>Udział długu wobec nierezydentów w długu ogółem na koniec IV kw. 201</w:t>
      </w:r>
      <w:r>
        <w:rPr>
          <w:rFonts w:ascii="Times New Roman" w:hAnsi="Times New Roman"/>
          <w:sz w:val="20"/>
          <w:szCs w:val="20"/>
        </w:rPr>
        <w:t>8</w:t>
      </w:r>
      <w:r w:rsidRPr="002209A3">
        <w:rPr>
          <w:rFonts w:ascii="Times New Roman" w:hAnsi="Times New Roman"/>
          <w:sz w:val="20"/>
          <w:szCs w:val="20"/>
        </w:rPr>
        <w:t xml:space="preserve"> r. wyniósł </w:t>
      </w:r>
      <w:r>
        <w:rPr>
          <w:rFonts w:ascii="Times New Roman" w:hAnsi="Times New Roman"/>
          <w:sz w:val="20"/>
          <w:szCs w:val="20"/>
        </w:rPr>
        <w:t>47,3</w:t>
      </w:r>
      <w:r w:rsidRPr="002209A3">
        <w:rPr>
          <w:rFonts w:ascii="Times New Roman" w:hAnsi="Times New Roman"/>
          <w:sz w:val="20"/>
          <w:szCs w:val="20"/>
        </w:rPr>
        <w:t xml:space="preserve">% wobec </w:t>
      </w:r>
      <w:r>
        <w:rPr>
          <w:rFonts w:ascii="Times New Roman" w:hAnsi="Times New Roman"/>
          <w:sz w:val="20"/>
          <w:szCs w:val="20"/>
        </w:rPr>
        <w:t>47,9</w:t>
      </w:r>
      <w:r w:rsidRPr="002209A3">
        <w:rPr>
          <w:rFonts w:ascii="Times New Roman" w:hAnsi="Times New Roman"/>
          <w:sz w:val="20"/>
          <w:szCs w:val="20"/>
        </w:rPr>
        <w:t>% na koniec III kw. 201</w:t>
      </w:r>
      <w:r>
        <w:rPr>
          <w:rFonts w:ascii="Times New Roman" w:hAnsi="Times New Roman"/>
          <w:sz w:val="20"/>
          <w:szCs w:val="20"/>
        </w:rPr>
        <w:t>8</w:t>
      </w:r>
      <w:r w:rsidRPr="002209A3">
        <w:rPr>
          <w:rFonts w:ascii="Times New Roman" w:hAnsi="Times New Roman"/>
          <w:sz w:val="20"/>
          <w:szCs w:val="20"/>
        </w:rPr>
        <w:t xml:space="preserve"> r. oraz 5</w:t>
      </w:r>
      <w:r>
        <w:rPr>
          <w:rFonts w:ascii="Times New Roman" w:hAnsi="Times New Roman"/>
          <w:sz w:val="20"/>
          <w:szCs w:val="20"/>
        </w:rPr>
        <w:t>0,9</w:t>
      </w:r>
      <w:r w:rsidRPr="002209A3">
        <w:rPr>
          <w:rFonts w:ascii="Times New Roman" w:hAnsi="Times New Roman"/>
          <w:sz w:val="20"/>
          <w:szCs w:val="20"/>
        </w:rPr>
        <w:t>% na koniec 201</w:t>
      </w:r>
      <w:r>
        <w:rPr>
          <w:rFonts w:ascii="Times New Roman" w:hAnsi="Times New Roman"/>
          <w:sz w:val="20"/>
          <w:szCs w:val="20"/>
        </w:rPr>
        <w:t>7</w:t>
      </w:r>
      <w:r w:rsidRPr="002209A3">
        <w:rPr>
          <w:rFonts w:ascii="Times New Roman" w:hAnsi="Times New Roman"/>
          <w:sz w:val="20"/>
          <w:szCs w:val="20"/>
        </w:rPr>
        <w:t xml:space="preserve"> r.</w:t>
      </w:r>
    </w:p>
    <w:p w:rsidR="002209A3" w:rsidRPr="00052018" w:rsidRDefault="002209A3" w:rsidP="002209A3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55FD4" w:rsidRPr="00B74F34" w:rsidRDefault="00D55FD4" w:rsidP="00D55FD4">
      <w:pPr>
        <w:pStyle w:val="Nagwek2"/>
        <w:spacing w:before="120" w:line="288" w:lineRule="auto"/>
        <w:rPr>
          <w:rFonts w:ascii="Arial" w:hAnsi="Arial" w:cs="Arial"/>
          <w:i w:val="0"/>
          <w:color w:val="E31837"/>
          <w:sz w:val="20"/>
          <w:szCs w:val="20"/>
        </w:rPr>
      </w:pPr>
      <w:bookmarkStart w:id="13" w:name="_Toc9504517"/>
      <w:r w:rsidRPr="00B74F34">
        <w:rPr>
          <w:rFonts w:ascii="Arial" w:hAnsi="Arial" w:cs="Arial"/>
          <w:i w:val="0"/>
          <w:color w:val="E31837"/>
          <w:sz w:val="20"/>
          <w:szCs w:val="20"/>
        </w:rPr>
        <w:t xml:space="preserve">3.2. Potrzeby pożyczkowe budżetu państwa </w:t>
      </w:r>
      <w:r w:rsidRPr="00B74F34">
        <w:rPr>
          <w:rFonts w:ascii="Arial" w:hAnsi="Arial" w:cs="Arial"/>
          <w:i w:val="0"/>
          <w:color w:val="E31837"/>
          <w:sz w:val="20"/>
          <w:szCs w:val="20"/>
        </w:rPr>
        <w:br/>
        <w:t>i ich finansowanie w IV kwartale 201</w:t>
      </w:r>
      <w:r w:rsidR="001B3346" w:rsidRPr="00B74F34">
        <w:rPr>
          <w:rFonts w:ascii="Arial" w:hAnsi="Arial" w:cs="Arial"/>
          <w:i w:val="0"/>
          <w:color w:val="E31837"/>
          <w:sz w:val="20"/>
          <w:szCs w:val="20"/>
        </w:rPr>
        <w:t>8</w:t>
      </w:r>
      <w:r w:rsidRPr="00B74F34">
        <w:rPr>
          <w:rFonts w:ascii="Arial" w:hAnsi="Arial" w:cs="Arial"/>
          <w:i w:val="0"/>
          <w:color w:val="E31837"/>
          <w:sz w:val="20"/>
          <w:szCs w:val="20"/>
        </w:rPr>
        <w:t xml:space="preserve"> r.</w:t>
      </w:r>
      <w:bookmarkEnd w:id="13"/>
      <w:r w:rsidR="002209A3" w:rsidRPr="00B74F34">
        <w:rPr>
          <w:rFonts w:ascii="Arial" w:hAnsi="Arial" w:cs="Arial"/>
          <w:i w:val="0"/>
          <w:color w:val="E31837"/>
          <w:sz w:val="20"/>
          <w:szCs w:val="20"/>
        </w:rPr>
        <w:t xml:space="preserve"> </w:t>
      </w:r>
    </w:p>
    <w:p w:rsidR="001B3346" w:rsidRPr="001F682F" w:rsidRDefault="001B3346" w:rsidP="00844B6E">
      <w:pPr>
        <w:widowControl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30446">
        <w:rPr>
          <w:rFonts w:ascii="Times New Roman" w:hAnsi="Times New Roman"/>
          <w:sz w:val="20"/>
          <w:szCs w:val="20"/>
        </w:rPr>
        <w:t xml:space="preserve">Potrzeby pożyczkowe netto budżetu państwa ukształtowały się na poziomie </w:t>
      </w:r>
      <w:r>
        <w:rPr>
          <w:rFonts w:ascii="Times New Roman" w:hAnsi="Times New Roman"/>
          <w:sz w:val="20"/>
          <w:szCs w:val="20"/>
        </w:rPr>
        <w:t>16</w:t>
      </w:r>
      <w:r w:rsidRPr="001F682F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3</w:t>
      </w:r>
      <w:r w:rsidRPr="001F682F">
        <w:rPr>
          <w:rFonts w:ascii="Times New Roman" w:hAnsi="Times New Roman"/>
          <w:sz w:val="20"/>
          <w:szCs w:val="20"/>
        </w:rPr>
        <w:t> mld zł, w tym:</w:t>
      </w:r>
    </w:p>
    <w:p w:rsidR="001B3346" w:rsidRPr="001F682F" w:rsidRDefault="001B3346" w:rsidP="00844B6E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1F682F">
        <w:rPr>
          <w:rFonts w:ascii="Times New Roman" w:hAnsi="Times New Roman"/>
          <w:sz w:val="20"/>
          <w:szCs w:val="20"/>
        </w:rPr>
        <w:t xml:space="preserve">deficyt budżetu państwa: </w:t>
      </w:r>
      <w:r>
        <w:rPr>
          <w:rFonts w:ascii="Times New Roman" w:hAnsi="Times New Roman"/>
          <w:sz w:val="20"/>
          <w:szCs w:val="20"/>
        </w:rPr>
        <w:t>13</w:t>
      </w:r>
      <w:r w:rsidRPr="001F682F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6</w:t>
      </w:r>
      <w:r w:rsidRPr="001F682F">
        <w:rPr>
          <w:rFonts w:ascii="Times New Roman" w:hAnsi="Times New Roman"/>
          <w:sz w:val="20"/>
          <w:szCs w:val="20"/>
        </w:rPr>
        <w:t xml:space="preserve"> mld zł,</w:t>
      </w:r>
    </w:p>
    <w:p w:rsidR="001B3346" w:rsidRPr="00B30446" w:rsidRDefault="001B3346" w:rsidP="00844B6E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1F682F">
        <w:rPr>
          <w:rFonts w:ascii="Times New Roman" w:hAnsi="Times New Roman"/>
          <w:sz w:val="20"/>
          <w:szCs w:val="20"/>
        </w:rPr>
        <w:t xml:space="preserve">deficyt budżetu środków europejskich </w:t>
      </w:r>
      <w:r>
        <w:rPr>
          <w:rFonts w:ascii="Times New Roman" w:hAnsi="Times New Roman"/>
          <w:sz w:val="20"/>
          <w:szCs w:val="20"/>
        </w:rPr>
        <w:t>1</w:t>
      </w:r>
      <w:r w:rsidRPr="001F682F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9</w:t>
      </w:r>
      <w:r w:rsidRPr="00B30446">
        <w:rPr>
          <w:rFonts w:ascii="Times New Roman" w:hAnsi="Times New Roman"/>
          <w:sz w:val="20"/>
          <w:szCs w:val="20"/>
        </w:rPr>
        <w:t xml:space="preserve"> mld zł,</w:t>
      </w:r>
    </w:p>
    <w:p w:rsidR="001B3346" w:rsidRPr="00B30446" w:rsidRDefault="001B3346" w:rsidP="00844B6E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30446">
        <w:rPr>
          <w:rFonts w:ascii="Times New Roman" w:hAnsi="Times New Roman"/>
          <w:sz w:val="20"/>
          <w:szCs w:val="20"/>
        </w:rPr>
        <w:t>transfery do OFE: 0,</w:t>
      </w:r>
      <w:r>
        <w:rPr>
          <w:rFonts w:ascii="Times New Roman" w:hAnsi="Times New Roman"/>
          <w:sz w:val="20"/>
          <w:szCs w:val="20"/>
        </w:rPr>
        <w:t>8</w:t>
      </w:r>
      <w:r w:rsidRPr="00B30446">
        <w:rPr>
          <w:rFonts w:ascii="Times New Roman" w:hAnsi="Times New Roman"/>
          <w:sz w:val="20"/>
          <w:szCs w:val="20"/>
        </w:rPr>
        <w:t> mld zł,</w:t>
      </w:r>
    </w:p>
    <w:p w:rsidR="001B3346" w:rsidRDefault="001B3346" w:rsidP="00844B6E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30446">
        <w:rPr>
          <w:rFonts w:ascii="Times New Roman" w:hAnsi="Times New Roman"/>
          <w:sz w:val="20"/>
          <w:szCs w:val="20"/>
        </w:rPr>
        <w:lastRenderedPageBreak/>
        <w:t xml:space="preserve">zarządzanie środkami europejskimi </w:t>
      </w:r>
      <w:r>
        <w:rPr>
          <w:rFonts w:ascii="Times New Roman" w:hAnsi="Times New Roman"/>
          <w:sz w:val="20"/>
          <w:szCs w:val="20"/>
        </w:rPr>
        <w:t>4,7</w:t>
      </w:r>
      <w:r w:rsidRPr="00B30446">
        <w:rPr>
          <w:rFonts w:ascii="Times New Roman" w:hAnsi="Times New Roman"/>
          <w:sz w:val="20"/>
          <w:szCs w:val="20"/>
        </w:rPr>
        <w:t xml:space="preserve"> mld zł,</w:t>
      </w:r>
    </w:p>
    <w:p w:rsidR="001B3346" w:rsidRDefault="001B3346" w:rsidP="00844B6E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pozostałe pozycje wpływały na pomniejszenie potrzeb w wysokości 4,7 mld zł, z czego 4,6 mld zł z tytułu zarządzania płynnością sektora finansów publicznych. </w:t>
      </w:r>
    </w:p>
    <w:p w:rsidR="001B3346" w:rsidRPr="00B30446" w:rsidRDefault="001B3346" w:rsidP="00844B6E">
      <w:pPr>
        <w:widowControl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30446">
        <w:rPr>
          <w:rFonts w:ascii="Times New Roman" w:hAnsi="Times New Roman"/>
          <w:sz w:val="20"/>
          <w:szCs w:val="20"/>
        </w:rPr>
        <w:t xml:space="preserve">Wartość długu przypadającego do wykupu w omawianym okresie wyniosła wg kapitału </w:t>
      </w:r>
      <w:r>
        <w:rPr>
          <w:rFonts w:ascii="Times New Roman" w:hAnsi="Times New Roman"/>
          <w:sz w:val="20"/>
          <w:szCs w:val="20"/>
        </w:rPr>
        <w:t>34,3</w:t>
      </w:r>
      <w:r w:rsidRPr="00B30446">
        <w:rPr>
          <w:rFonts w:ascii="Times New Roman" w:hAnsi="Times New Roman"/>
          <w:sz w:val="20"/>
          <w:szCs w:val="20"/>
        </w:rPr>
        <w:t xml:space="preserve"> mld zł, w tym krajowego </w:t>
      </w:r>
      <w:r>
        <w:rPr>
          <w:rFonts w:ascii="Times New Roman" w:hAnsi="Times New Roman"/>
          <w:sz w:val="20"/>
          <w:szCs w:val="20"/>
        </w:rPr>
        <w:t>28,5</w:t>
      </w:r>
      <w:r w:rsidRPr="00B30446">
        <w:rPr>
          <w:rFonts w:ascii="Times New Roman" w:hAnsi="Times New Roman"/>
          <w:sz w:val="20"/>
          <w:szCs w:val="20"/>
        </w:rPr>
        <w:t> mld zł, a</w:t>
      </w:r>
      <w:r>
        <w:rPr>
          <w:rFonts w:ascii="Times New Roman" w:hAnsi="Times New Roman"/>
          <w:sz w:val="20"/>
          <w:szCs w:val="20"/>
        </w:rPr>
        <w:t xml:space="preserve"> </w:t>
      </w:r>
      <w:r w:rsidRPr="00B30446">
        <w:rPr>
          <w:rFonts w:ascii="Times New Roman" w:hAnsi="Times New Roman"/>
          <w:sz w:val="20"/>
          <w:szCs w:val="20"/>
        </w:rPr>
        <w:t xml:space="preserve">zagranicznego </w:t>
      </w:r>
      <w:r>
        <w:rPr>
          <w:rFonts w:ascii="Times New Roman" w:hAnsi="Times New Roman"/>
          <w:sz w:val="20"/>
          <w:szCs w:val="20"/>
        </w:rPr>
        <w:t>5,7</w:t>
      </w:r>
      <w:r w:rsidRPr="00B30446">
        <w:rPr>
          <w:rFonts w:ascii="Times New Roman" w:hAnsi="Times New Roman"/>
          <w:sz w:val="20"/>
          <w:szCs w:val="20"/>
        </w:rPr>
        <w:t xml:space="preserve"> mld zł. </w:t>
      </w:r>
      <w:r w:rsidRPr="00B30446">
        <w:rPr>
          <w:rFonts w:ascii="Times New Roman" w:hAnsi="Times New Roman"/>
          <w:b/>
          <w:sz w:val="20"/>
          <w:szCs w:val="20"/>
        </w:rPr>
        <w:t>Potrzeby pożyczkowe brutto</w:t>
      </w:r>
      <w:r w:rsidRPr="00B30446">
        <w:rPr>
          <w:rFonts w:ascii="Times New Roman" w:hAnsi="Times New Roman"/>
          <w:sz w:val="20"/>
          <w:szCs w:val="20"/>
        </w:rPr>
        <w:t>, tj. suma potrzeb netto i</w:t>
      </w:r>
      <w:r>
        <w:rPr>
          <w:rFonts w:ascii="Times New Roman" w:hAnsi="Times New Roman"/>
          <w:sz w:val="20"/>
          <w:szCs w:val="20"/>
        </w:rPr>
        <w:t> </w:t>
      </w:r>
      <w:r w:rsidRPr="00B30446">
        <w:rPr>
          <w:rFonts w:ascii="Times New Roman" w:hAnsi="Times New Roman"/>
          <w:sz w:val="20"/>
          <w:szCs w:val="20"/>
        </w:rPr>
        <w:t xml:space="preserve">długu przypadającego do wykupu, wyniosły </w:t>
      </w:r>
      <w:r>
        <w:rPr>
          <w:rFonts w:ascii="Times New Roman" w:hAnsi="Times New Roman"/>
          <w:sz w:val="20"/>
          <w:szCs w:val="20"/>
        </w:rPr>
        <w:t>50</w:t>
      </w:r>
      <w:r w:rsidRPr="001F682F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5</w:t>
      </w:r>
      <w:r w:rsidRPr="00B30446">
        <w:rPr>
          <w:rFonts w:ascii="Times New Roman" w:hAnsi="Times New Roman"/>
          <w:sz w:val="20"/>
          <w:szCs w:val="20"/>
        </w:rPr>
        <w:t xml:space="preserve"> mld zł. </w:t>
      </w:r>
      <w:r w:rsidRPr="00075FA0">
        <w:rPr>
          <w:rFonts w:ascii="Times New Roman" w:hAnsi="Times New Roman"/>
          <w:sz w:val="20"/>
          <w:szCs w:val="20"/>
        </w:rPr>
        <w:t xml:space="preserve">Po uwzględnieniu przedterminowych odkupów, wykup długu wyniósł </w:t>
      </w:r>
      <w:r>
        <w:rPr>
          <w:rFonts w:ascii="Times New Roman" w:hAnsi="Times New Roman"/>
          <w:sz w:val="20"/>
          <w:szCs w:val="20"/>
        </w:rPr>
        <w:t>38</w:t>
      </w:r>
      <w:r w:rsidRPr="00075FA0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2</w:t>
      </w:r>
      <w:r w:rsidRPr="00075FA0">
        <w:rPr>
          <w:rFonts w:ascii="Times New Roman" w:hAnsi="Times New Roman"/>
          <w:sz w:val="20"/>
          <w:szCs w:val="20"/>
        </w:rPr>
        <w:t xml:space="preserve"> mld zł (w tym krajowego </w:t>
      </w:r>
      <w:r>
        <w:rPr>
          <w:rFonts w:ascii="Times New Roman" w:hAnsi="Times New Roman"/>
          <w:sz w:val="20"/>
          <w:szCs w:val="20"/>
        </w:rPr>
        <w:t>31</w:t>
      </w:r>
      <w:r w:rsidRPr="00075FA0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6</w:t>
      </w:r>
      <w:r w:rsidRPr="00075FA0">
        <w:rPr>
          <w:rFonts w:ascii="Times New Roman" w:hAnsi="Times New Roman"/>
          <w:sz w:val="20"/>
          <w:szCs w:val="20"/>
        </w:rPr>
        <w:t xml:space="preserve"> mld zł  i zagranicznego </w:t>
      </w:r>
      <w:r>
        <w:rPr>
          <w:rFonts w:ascii="Times New Roman" w:hAnsi="Times New Roman"/>
          <w:sz w:val="20"/>
          <w:szCs w:val="20"/>
        </w:rPr>
        <w:t>6</w:t>
      </w:r>
      <w:r w:rsidRPr="00075FA0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6</w:t>
      </w:r>
      <w:r w:rsidRPr="00075FA0">
        <w:rPr>
          <w:rFonts w:ascii="Times New Roman" w:hAnsi="Times New Roman"/>
          <w:sz w:val="20"/>
          <w:szCs w:val="20"/>
        </w:rPr>
        <w:t xml:space="preserve"> mld zł).</w:t>
      </w:r>
    </w:p>
    <w:p w:rsidR="001B3346" w:rsidRDefault="001B3346" w:rsidP="00844B6E">
      <w:pPr>
        <w:widowControl w:val="0"/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30446">
        <w:rPr>
          <w:rFonts w:ascii="Times New Roman" w:hAnsi="Times New Roman"/>
          <w:sz w:val="20"/>
          <w:szCs w:val="20"/>
        </w:rPr>
        <w:t>W całym 201</w:t>
      </w:r>
      <w:r>
        <w:rPr>
          <w:rFonts w:ascii="Times New Roman" w:hAnsi="Times New Roman"/>
          <w:sz w:val="20"/>
          <w:szCs w:val="20"/>
        </w:rPr>
        <w:t>8</w:t>
      </w:r>
      <w:r w:rsidRPr="00B30446">
        <w:rPr>
          <w:rFonts w:ascii="Times New Roman" w:hAnsi="Times New Roman"/>
          <w:sz w:val="20"/>
          <w:szCs w:val="20"/>
        </w:rPr>
        <w:t xml:space="preserve"> r. potrzeby pożyczkowe netto wyniosły </w:t>
      </w:r>
      <w:r>
        <w:rPr>
          <w:rFonts w:ascii="Times New Roman" w:hAnsi="Times New Roman"/>
          <w:sz w:val="20"/>
          <w:szCs w:val="20"/>
        </w:rPr>
        <w:t>1</w:t>
      </w:r>
      <w:r w:rsidRPr="001F682F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3</w:t>
      </w:r>
      <w:r w:rsidRPr="00B30446">
        <w:rPr>
          <w:rFonts w:ascii="Times New Roman" w:hAnsi="Times New Roman"/>
          <w:sz w:val="20"/>
          <w:szCs w:val="20"/>
        </w:rPr>
        <w:t xml:space="preserve"> mld zł, wartość długu do wykupu </w:t>
      </w:r>
      <w:r>
        <w:rPr>
          <w:rFonts w:ascii="Times New Roman" w:hAnsi="Times New Roman"/>
          <w:sz w:val="20"/>
          <w:szCs w:val="20"/>
        </w:rPr>
        <w:t>121,8</w:t>
      </w:r>
      <w:r w:rsidRPr="00B30446">
        <w:rPr>
          <w:rFonts w:ascii="Times New Roman" w:hAnsi="Times New Roman"/>
          <w:sz w:val="20"/>
          <w:szCs w:val="20"/>
        </w:rPr>
        <w:t xml:space="preserve"> mld zł, zaś potrzeby pożyczkowe brutto ukształtowały się na poziomie </w:t>
      </w:r>
      <w:r w:rsidRPr="001F682F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23</w:t>
      </w:r>
      <w:r w:rsidRPr="001F682F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1</w:t>
      </w:r>
      <w:r w:rsidRPr="00B30446">
        <w:rPr>
          <w:rFonts w:ascii="Times New Roman" w:hAnsi="Times New Roman"/>
          <w:sz w:val="20"/>
          <w:szCs w:val="20"/>
        </w:rPr>
        <w:t xml:space="preserve"> mld zł.</w:t>
      </w:r>
    </w:p>
    <w:p w:rsidR="001B3346" w:rsidRPr="00F10253" w:rsidRDefault="001B3346" w:rsidP="00844B6E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hAnsi="Times New Roman"/>
          <w:sz w:val="20"/>
          <w:szCs w:val="20"/>
        </w:rPr>
      </w:pPr>
      <w:r w:rsidRPr="00F10253">
        <w:rPr>
          <w:rFonts w:ascii="Times New Roman" w:hAnsi="Times New Roman"/>
          <w:sz w:val="20"/>
          <w:szCs w:val="20"/>
        </w:rPr>
        <w:t xml:space="preserve">Finansowanie potrzeb pożyczkowych </w:t>
      </w:r>
      <w:r>
        <w:rPr>
          <w:rFonts w:ascii="Times New Roman" w:hAnsi="Times New Roman"/>
          <w:sz w:val="20"/>
          <w:szCs w:val="20"/>
        </w:rPr>
        <w:t xml:space="preserve">było następujące: </w:t>
      </w:r>
    </w:p>
    <w:p w:rsidR="001B3346" w:rsidRPr="00043E63" w:rsidRDefault="001B3346" w:rsidP="00844B6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</w:t>
      </w:r>
      <w:r w:rsidRPr="00043E63">
        <w:rPr>
          <w:rFonts w:ascii="Times New Roman" w:hAnsi="Times New Roman"/>
          <w:sz w:val="20"/>
          <w:szCs w:val="20"/>
        </w:rPr>
        <w:t>a rynku krajowym środki pozyskano z emisji:</w:t>
      </w:r>
    </w:p>
    <w:p w:rsidR="001B3346" w:rsidRPr="00F10253" w:rsidRDefault="001B3346" w:rsidP="00844B6E">
      <w:pPr>
        <w:widowControl w:val="0"/>
        <w:numPr>
          <w:ilvl w:val="0"/>
          <w:numId w:val="1"/>
        </w:numPr>
        <w:tabs>
          <w:tab w:val="clear" w:pos="360"/>
        </w:tabs>
        <w:spacing w:after="0" w:line="288" w:lineRule="auto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F10253">
        <w:rPr>
          <w:rFonts w:ascii="Times New Roman" w:hAnsi="Times New Roman"/>
          <w:sz w:val="20"/>
          <w:szCs w:val="20"/>
        </w:rPr>
        <w:t xml:space="preserve">obligacji hurtowych: </w:t>
      </w:r>
      <w:r>
        <w:rPr>
          <w:rFonts w:ascii="Times New Roman" w:hAnsi="Times New Roman"/>
          <w:sz w:val="20"/>
          <w:szCs w:val="20"/>
        </w:rPr>
        <w:t>36,8</w:t>
      </w:r>
      <w:r w:rsidRPr="00F10253">
        <w:rPr>
          <w:rFonts w:ascii="Times New Roman" w:hAnsi="Times New Roman"/>
          <w:sz w:val="20"/>
          <w:szCs w:val="20"/>
        </w:rPr>
        <w:t> mld zł</w:t>
      </w:r>
      <w:r>
        <w:rPr>
          <w:rFonts w:ascii="Times New Roman" w:hAnsi="Times New Roman"/>
          <w:sz w:val="20"/>
          <w:szCs w:val="20"/>
        </w:rPr>
        <w:t>, a w całym 2018 r. 109,7 mld zł</w:t>
      </w:r>
      <w:r w:rsidRPr="00F10253">
        <w:rPr>
          <w:rFonts w:ascii="Times New Roman" w:hAnsi="Times New Roman"/>
          <w:sz w:val="20"/>
          <w:szCs w:val="20"/>
        </w:rPr>
        <w:t>,</w:t>
      </w:r>
    </w:p>
    <w:p w:rsidR="001B3346" w:rsidRPr="00F10253" w:rsidRDefault="001B3346" w:rsidP="00844B6E">
      <w:pPr>
        <w:widowControl w:val="0"/>
        <w:numPr>
          <w:ilvl w:val="0"/>
          <w:numId w:val="1"/>
        </w:numPr>
        <w:tabs>
          <w:tab w:val="clear" w:pos="360"/>
        </w:tabs>
        <w:spacing w:after="0" w:line="288" w:lineRule="auto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F10253">
        <w:rPr>
          <w:rFonts w:ascii="Times New Roman" w:hAnsi="Times New Roman"/>
          <w:sz w:val="20"/>
          <w:szCs w:val="20"/>
        </w:rPr>
        <w:t xml:space="preserve">obligacji detalicznych: </w:t>
      </w:r>
      <w:r>
        <w:rPr>
          <w:rFonts w:ascii="Times New Roman" w:hAnsi="Times New Roman"/>
          <w:sz w:val="20"/>
          <w:szCs w:val="20"/>
        </w:rPr>
        <w:t>3,8</w:t>
      </w:r>
      <w:r w:rsidRPr="00F10253">
        <w:rPr>
          <w:rFonts w:ascii="Times New Roman" w:hAnsi="Times New Roman"/>
          <w:sz w:val="20"/>
          <w:szCs w:val="20"/>
        </w:rPr>
        <w:t> mld zł</w:t>
      </w:r>
      <w:r>
        <w:rPr>
          <w:rFonts w:ascii="Times New Roman" w:hAnsi="Times New Roman"/>
          <w:sz w:val="20"/>
          <w:szCs w:val="20"/>
        </w:rPr>
        <w:t>, a w całym 2018 r. 9,4 mld zł,</w:t>
      </w:r>
    </w:p>
    <w:p w:rsidR="001B3346" w:rsidRPr="00043E63" w:rsidRDefault="001B3346" w:rsidP="00844B6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88" w:lineRule="auto"/>
        <w:ind w:left="284" w:hanging="284"/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</w:t>
      </w:r>
      <w:r w:rsidRPr="00043E63">
        <w:rPr>
          <w:rFonts w:ascii="Times New Roman" w:hAnsi="Times New Roman" w:cs="Arial"/>
          <w:sz w:val="20"/>
          <w:szCs w:val="20"/>
        </w:rPr>
        <w:t xml:space="preserve">a rynkach </w:t>
      </w:r>
      <w:r w:rsidRPr="00043E63">
        <w:rPr>
          <w:rFonts w:ascii="Times New Roman" w:hAnsi="Times New Roman"/>
          <w:sz w:val="20"/>
          <w:szCs w:val="20"/>
        </w:rPr>
        <w:t>zagranicznych</w:t>
      </w:r>
      <w:r w:rsidRPr="00043E63">
        <w:rPr>
          <w:rFonts w:ascii="Times New Roman" w:hAnsi="Times New Roman" w:cs="Arial"/>
          <w:sz w:val="20"/>
          <w:szCs w:val="20"/>
        </w:rPr>
        <w:t xml:space="preserve"> środki pozyskano z:</w:t>
      </w:r>
    </w:p>
    <w:p w:rsidR="001B3346" w:rsidRPr="00606594" w:rsidRDefault="001B3346" w:rsidP="00844B6E">
      <w:pPr>
        <w:widowControl w:val="0"/>
        <w:numPr>
          <w:ilvl w:val="0"/>
          <w:numId w:val="1"/>
        </w:numPr>
        <w:tabs>
          <w:tab w:val="clear" w:pos="360"/>
        </w:tabs>
        <w:spacing w:after="0" w:line="288" w:lineRule="auto"/>
        <w:ind w:left="567" w:hanging="284"/>
        <w:rPr>
          <w:rFonts w:ascii="Times New Roman" w:hAnsi="Times New Roman"/>
          <w:sz w:val="20"/>
          <w:szCs w:val="20"/>
        </w:rPr>
      </w:pPr>
      <w:r w:rsidRPr="00887A59">
        <w:rPr>
          <w:rFonts w:ascii="Times New Roman" w:hAnsi="Times New Roman"/>
          <w:sz w:val="20"/>
          <w:szCs w:val="20"/>
        </w:rPr>
        <w:t xml:space="preserve">emisji </w:t>
      </w:r>
      <w:r w:rsidRPr="00606594">
        <w:rPr>
          <w:rFonts w:ascii="Times New Roman" w:hAnsi="Times New Roman"/>
          <w:sz w:val="20"/>
          <w:szCs w:val="20"/>
        </w:rPr>
        <w:t xml:space="preserve">obligacji: </w:t>
      </w:r>
      <w:r>
        <w:rPr>
          <w:rFonts w:ascii="Times New Roman" w:hAnsi="Times New Roman"/>
          <w:sz w:val="20"/>
          <w:szCs w:val="20"/>
        </w:rPr>
        <w:t>brak</w:t>
      </w:r>
      <w:r w:rsidRPr="00606594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a w całym 2018 r. 4,1 mld zł (1,0 mld EUR),</w:t>
      </w:r>
    </w:p>
    <w:p w:rsidR="001B3346" w:rsidRPr="00896FB1" w:rsidRDefault="001B3346" w:rsidP="00844B6E">
      <w:pPr>
        <w:widowControl w:val="0"/>
        <w:numPr>
          <w:ilvl w:val="0"/>
          <w:numId w:val="1"/>
        </w:numPr>
        <w:tabs>
          <w:tab w:val="clear" w:pos="360"/>
        </w:tabs>
        <w:spacing w:after="0" w:line="288" w:lineRule="auto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887A59">
        <w:rPr>
          <w:rFonts w:ascii="Times New Roman" w:hAnsi="Times New Roman"/>
          <w:sz w:val="20"/>
          <w:szCs w:val="20"/>
        </w:rPr>
        <w:t xml:space="preserve">kredytów w </w:t>
      </w:r>
      <w:r w:rsidRPr="00043E63">
        <w:rPr>
          <w:rFonts w:ascii="Times New Roman" w:hAnsi="Times New Roman"/>
          <w:sz w:val="20"/>
          <w:szCs w:val="20"/>
        </w:rPr>
        <w:t>międzynarodowych instytucjach finansowych</w:t>
      </w:r>
      <w:r w:rsidRPr="00896FB1">
        <w:rPr>
          <w:rFonts w:ascii="Times New Roman" w:hAnsi="Times New Roman" w:cs="Arial"/>
          <w:sz w:val="20"/>
          <w:szCs w:val="20"/>
        </w:rPr>
        <w:t xml:space="preserve">: </w:t>
      </w:r>
      <w:r>
        <w:rPr>
          <w:rFonts w:ascii="Times New Roman" w:hAnsi="Times New Roman" w:cs="Arial"/>
          <w:sz w:val="20"/>
          <w:szCs w:val="20"/>
        </w:rPr>
        <w:t>0,04</w:t>
      </w:r>
      <w:r w:rsidRPr="00896FB1">
        <w:rPr>
          <w:rFonts w:ascii="Times New Roman" w:hAnsi="Times New Roman" w:cs="Arial"/>
          <w:sz w:val="20"/>
          <w:szCs w:val="20"/>
        </w:rPr>
        <w:t> ml</w:t>
      </w:r>
      <w:r>
        <w:rPr>
          <w:rFonts w:ascii="Times New Roman" w:hAnsi="Times New Roman" w:cs="Arial"/>
          <w:sz w:val="20"/>
          <w:szCs w:val="20"/>
        </w:rPr>
        <w:t>d</w:t>
      </w:r>
      <w:r w:rsidRPr="00896FB1">
        <w:rPr>
          <w:rFonts w:ascii="Times New Roman" w:hAnsi="Times New Roman" w:cs="Arial"/>
          <w:sz w:val="20"/>
          <w:szCs w:val="20"/>
        </w:rPr>
        <w:t> zł</w:t>
      </w:r>
      <w:r>
        <w:rPr>
          <w:rFonts w:ascii="Times New Roman" w:hAnsi="Times New Roman" w:cs="Arial"/>
          <w:sz w:val="20"/>
          <w:szCs w:val="20"/>
        </w:rPr>
        <w:t xml:space="preserve"> </w:t>
      </w:r>
      <w:r w:rsidRPr="00896FB1">
        <w:rPr>
          <w:rFonts w:ascii="Times New Roman" w:hAnsi="Times New Roman" w:cs="Arial"/>
          <w:sz w:val="20"/>
          <w:szCs w:val="20"/>
        </w:rPr>
        <w:t>(</w:t>
      </w:r>
      <w:r>
        <w:rPr>
          <w:rFonts w:ascii="Times New Roman" w:hAnsi="Times New Roman" w:cs="Arial"/>
          <w:sz w:val="20"/>
          <w:szCs w:val="20"/>
        </w:rPr>
        <w:t>0,01</w:t>
      </w:r>
      <w:r w:rsidRPr="00896FB1">
        <w:rPr>
          <w:rFonts w:ascii="Times New Roman" w:hAnsi="Times New Roman" w:cs="Arial"/>
          <w:sz w:val="20"/>
          <w:szCs w:val="20"/>
        </w:rPr>
        <w:t> ml</w:t>
      </w:r>
      <w:r>
        <w:rPr>
          <w:rFonts w:ascii="Times New Roman" w:hAnsi="Times New Roman" w:cs="Arial"/>
          <w:sz w:val="20"/>
          <w:szCs w:val="20"/>
        </w:rPr>
        <w:t>d</w:t>
      </w:r>
      <w:r w:rsidRPr="00896FB1">
        <w:rPr>
          <w:rFonts w:ascii="Times New Roman" w:hAnsi="Times New Roman" w:cs="Arial"/>
          <w:sz w:val="20"/>
          <w:szCs w:val="20"/>
        </w:rPr>
        <w:t> EUR)</w:t>
      </w:r>
      <w:r>
        <w:rPr>
          <w:rFonts w:ascii="Times New Roman" w:hAnsi="Times New Roman"/>
          <w:sz w:val="20"/>
          <w:szCs w:val="20"/>
        </w:rPr>
        <w:t>, a w całym 2018 r. 5,0 mld zł (1,2 mld EUR).</w:t>
      </w:r>
    </w:p>
    <w:p w:rsidR="001B3346" w:rsidRDefault="001B3346" w:rsidP="00844B6E">
      <w:pPr>
        <w:tabs>
          <w:tab w:val="num" w:pos="284"/>
        </w:tabs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602F67">
        <w:rPr>
          <w:rFonts w:ascii="Times New Roman" w:hAnsi="Times New Roman"/>
          <w:sz w:val="20"/>
          <w:szCs w:val="20"/>
        </w:rPr>
        <w:t xml:space="preserve">W </w:t>
      </w:r>
      <w:r>
        <w:rPr>
          <w:rFonts w:ascii="Times New Roman" w:hAnsi="Times New Roman"/>
          <w:sz w:val="20"/>
          <w:szCs w:val="20"/>
        </w:rPr>
        <w:t>IV kw. 2018 r. nastąpił:</w:t>
      </w:r>
    </w:p>
    <w:p w:rsidR="001B3346" w:rsidRPr="00300F54" w:rsidRDefault="001B3346" w:rsidP="00844B6E">
      <w:pPr>
        <w:pStyle w:val="Akapitzlist"/>
        <w:numPr>
          <w:ilvl w:val="0"/>
          <w:numId w:val="7"/>
        </w:numPr>
        <w:spacing w:before="120" w:after="0" w:line="288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E6012">
        <w:rPr>
          <w:rFonts w:ascii="Times New Roman" w:hAnsi="Times New Roman"/>
          <w:sz w:val="20"/>
          <w:szCs w:val="20"/>
        </w:rPr>
        <w:t>w zakresie sytuacji płynnościowej budżetu państwa:</w:t>
      </w:r>
    </w:p>
    <w:p w:rsidR="001B3346" w:rsidRDefault="001B3346" w:rsidP="00844B6E">
      <w:pPr>
        <w:pStyle w:val="Akapitzlist"/>
        <w:spacing w:before="60" w:after="120" w:line="288" w:lineRule="auto"/>
        <w:ind w:left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91D9B">
        <w:rPr>
          <w:rFonts w:ascii="Times New Roman" w:hAnsi="Times New Roman"/>
          <w:sz w:val="20"/>
          <w:szCs w:val="20"/>
        </w:rPr>
        <w:t>spadek środków na ra</w:t>
      </w:r>
      <w:r w:rsidRPr="001F682F">
        <w:rPr>
          <w:rFonts w:ascii="Times New Roman" w:hAnsi="Times New Roman"/>
          <w:sz w:val="20"/>
          <w:szCs w:val="20"/>
        </w:rPr>
        <w:t>chunkach budżetowych o </w:t>
      </w:r>
      <w:r>
        <w:rPr>
          <w:rFonts w:ascii="Times New Roman" w:hAnsi="Times New Roman"/>
          <w:sz w:val="20"/>
          <w:szCs w:val="20"/>
        </w:rPr>
        <w:t>15</w:t>
      </w:r>
      <w:r w:rsidRPr="001F682F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0</w:t>
      </w:r>
      <w:r w:rsidRPr="001F682F">
        <w:rPr>
          <w:rFonts w:ascii="Times New Roman" w:hAnsi="Times New Roman"/>
          <w:sz w:val="20"/>
          <w:szCs w:val="20"/>
        </w:rPr>
        <w:t xml:space="preserve"> mld zł do </w:t>
      </w:r>
      <w:r>
        <w:rPr>
          <w:rFonts w:ascii="Times New Roman" w:hAnsi="Times New Roman"/>
          <w:sz w:val="20"/>
          <w:szCs w:val="20"/>
        </w:rPr>
        <w:t>36</w:t>
      </w:r>
      <w:r w:rsidRPr="001F682F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0</w:t>
      </w:r>
      <w:r w:rsidRPr="001F682F">
        <w:rPr>
          <w:rFonts w:ascii="Times New Roman" w:hAnsi="Times New Roman"/>
          <w:sz w:val="20"/>
          <w:szCs w:val="20"/>
        </w:rPr>
        <w:t xml:space="preserve"> mld zł,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1B3346" w:rsidRDefault="001B3346" w:rsidP="00844B6E">
      <w:pPr>
        <w:pStyle w:val="Akapitzlist"/>
        <w:numPr>
          <w:ilvl w:val="0"/>
          <w:numId w:val="7"/>
        </w:numPr>
        <w:spacing w:before="120" w:after="0" w:line="288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zakresie struktury podmiotowej zadłużenia na rynku krajowym:</w:t>
      </w:r>
    </w:p>
    <w:p w:rsidR="001B3346" w:rsidRDefault="001B3346" w:rsidP="00844B6E">
      <w:pPr>
        <w:pStyle w:val="Akapitzlist"/>
        <w:spacing w:before="60" w:after="120" w:line="288" w:lineRule="auto"/>
        <w:ind w:left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wzrost zadłużenia </w:t>
      </w:r>
      <w:r w:rsidRPr="00D121F6">
        <w:rPr>
          <w:rFonts w:ascii="Times New Roman" w:hAnsi="Times New Roman"/>
          <w:sz w:val="20"/>
          <w:szCs w:val="20"/>
        </w:rPr>
        <w:t>wobec banków o </w:t>
      </w:r>
      <w:r>
        <w:rPr>
          <w:rFonts w:ascii="Times New Roman" w:hAnsi="Times New Roman"/>
          <w:sz w:val="20"/>
          <w:szCs w:val="20"/>
        </w:rPr>
        <w:t>2,0</w:t>
      </w:r>
      <w:r w:rsidRPr="00D121F6">
        <w:rPr>
          <w:rFonts w:ascii="Times New Roman" w:hAnsi="Times New Roman"/>
          <w:sz w:val="20"/>
          <w:szCs w:val="20"/>
        </w:rPr>
        <w:t xml:space="preserve"> mld zł</w:t>
      </w:r>
      <w:r>
        <w:rPr>
          <w:rFonts w:ascii="Times New Roman" w:hAnsi="Times New Roman"/>
          <w:sz w:val="20"/>
          <w:szCs w:val="20"/>
        </w:rPr>
        <w:t xml:space="preserve">, </w:t>
      </w:r>
      <w:r w:rsidRPr="00D121F6">
        <w:rPr>
          <w:rFonts w:ascii="Times New Roman" w:hAnsi="Times New Roman"/>
          <w:sz w:val="20"/>
          <w:szCs w:val="20"/>
        </w:rPr>
        <w:t>nierezydentów o</w:t>
      </w:r>
      <w:r>
        <w:rPr>
          <w:rFonts w:ascii="Times New Roman" w:hAnsi="Times New Roman"/>
          <w:sz w:val="20"/>
          <w:szCs w:val="20"/>
        </w:rPr>
        <w:t> 1,5</w:t>
      </w:r>
      <w:r w:rsidRPr="00D121F6">
        <w:rPr>
          <w:rFonts w:ascii="Times New Roman" w:hAnsi="Times New Roman"/>
          <w:sz w:val="20"/>
          <w:szCs w:val="20"/>
        </w:rPr>
        <w:t xml:space="preserve"> mld zł</w:t>
      </w:r>
      <w:r>
        <w:rPr>
          <w:rFonts w:ascii="Times New Roman" w:hAnsi="Times New Roman"/>
          <w:sz w:val="20"/>
          <w:szCs w:val="20"/>
        </w:rPr>
        <w:t xml:space="preserve"> oraz</w:t>
      </w:r>
      <w:r w:rsidRPr="00D121F6">
        <w:rPr>
          <w:rFonts w:ascii="Times New Roman" w:hAnsi="Times New Roman"/>
          <w:sz w:val="20"/>
          <w:szCs w:val="20"/>
        </w:rPr>
        <w:t xml:space="preserve"> krajowego sektora </w:t>
      </w:r>
      <w:proofErr w:type="spellStart"/>
      <w:r w:rsidRPr="00D121F6">
        <w:rPr>
          <w:rFonts w:ascii="Times New Roman" w:hAnsi="Times New Roman"/>
          <w:sz w:val="20"/>
          <w:szCs w:val="20"/>
        </w:rPr>
        <w:t>pozabankowego</w:t>
      </w:r>
      <w:proofErr w:type="spellEnd"/>
      <w:r w:rsidRPr="00D121F6">
        <w:rPr>
          <w:rFonts w:ascii="Times New Roman" w:hAnsi="Times New Roman"/>
          <w:sz w:val="20"/>
          <w:szCs w:val="20"/>
        </w:rPr>
        <w:t xml:space="preserve"> </w:t>
      </w:r>
      <w:r w:rsidRPr="00596A61">
        <w:rPr>
          <w:rFonts w:ascii="Times New Roman" w:hAnsi="Times New Roman"/>
          <w:sz w:val="20"/>
          <w:szCs w:val="20"/>
        </w:rPr>
        <w:t>o </w:t>
      </w:r>
      <w:r>
        <w:rPr>
          <w:rFonts w:ascii="Times New Roman" w:hAnsi="Times New Roman"/>
          <w:sz w:val="20"/>
          <w:szCs w:val="20"/>
        </w:rPr>
        <w:t>4</w:t>
      </w:r>
      <w:r w:rsidRPr="00596A61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0 </w:t>
      </w:r>
      <w:r w:rsidRPr="00596A61">
        <w:rPr>
          <w:rFonts w:ascii="Times New Roman" w:hAnsi="Times New Roman"/>
          <w:sz w:val="20"/>
          <w:szCs w:val="20"/>
        </w:rPr>
        <w:t>mld</w:t>
      </w:r>
      <w:r w:rsidRPr="00D121F6">
        <w:rPr>
          <w:rFonts w:ascii="Times New Roman" w:hAnsi="Times New Roman"/>
          <w:sz w:val="20"/>
          <w:szCs w:val="20"/>
        </w:rPr>
        <w:t xml:space="preserve"> zł</w:t>
      </w:r>
      <w:r>
        <w:rPr>
          <w:rFonts w:ascii="Times New Roman" w:hAnsi="Times New Roman"/>
          <w:sz w:val="20"/>
          <w:szCs w:val="20"/>
        </w:rPr>
        <w:t>,</w:t>
      </w:r>
    </w:p>
    <w:p w:rsidR="001B3346" w:rsidRDefault="001B3346" w:rsidP="00844B6E">
      <w:pPr>
        <w:pStyle w:val="Akapitzlist"/>
        <w:numPr>
          <w:ilvl w:val="0"/>
          <w:numId w:val="7"/>
        </w:numPr>
        <w:spacing w:before="120" w:after="0" w:line="288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 rynku polskich obligacji:</w:t>
      </w:r>
    </w:p>
    <w:p w:rsidR="001B3346" w:rsidRDefault="001B3346" w:rsidP="00844B6E">
      <w:pPr>
        <w:widowControl w:val="0"/>
        <w:numPr>
          <w:ilvl w:val="0"/>
          <w:numId w:val="1"/>
        </w:numPr>
        <w:tabs>
          <w:tab w:val="clear" w:pos="360"/>
        </w:tabs>
        <w:spacing w:before="60" w:after="120" w:line="288" w:lineRule="auto"/>
        <w:ind w:left="568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 rynku krajowym: spadek rentowności wzdłuż całej krzywej dochodowości - </w:t>
      </w:r>
      <w:r w:rsidRPr="00C468CB">
        <w:rPr>
          <w:rFonts w:ascii="Times New Roman" w:hAnsi="Times New Roman"/>
          <w:sz w:val="20"/>
          <w:szCs w:val="20"/>
        </w:rPr>
        <w:t xml:space="preserve">na koniec kwartału </w:t>
      </w:r>
      <w:r>
        <w:rPr>
          <w:rFonts w:ascii="Times New Roman" w:hAnsi="Times New Roman"/>
          <w:sz w:val="20"/>
          <w:szCs w:val="20"/>
        </w:rPr>
        <w:t>rentowności</w:t>
      </w:r>
      <w:r w:rsidDel="0064738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obligacji </w:t>
      </w:r>
      <w:r w:rsidRPr="00C468CB">
        <w:rPr>
          <w:rFonts w:ascii="Times New Roman" w:hAnsi="Times New Roman"/>
          <w:sz w:val="20"/>
          <w:szCs w:val="20"/>
        </w:rPr>
        <w:t>2-, 5- i 10-letnich</w:t>
      </w:r>
      <w:r>
        <w:rPr>
          <w:rFonts w:ascii="Times New Roman" w:hAnsi="Times New Roman"/>
          <w:sz w:val="20"/>
          <w:szCs w:val="20"/>
        </w:rPr>
        <w:t xml:space="preserve"> </w:t>
      </w:r>
      <w:r w:rsidRPr="00C468CB">
        <w:rPr>
          <w:rFonts w:ascii="Times New Roman" w:hAnsi="Times New Roman"/>
          <w:sz w:val="20"/>
          <w:szCs w:val="20"/>
        </w:rPr>
        <w:t xml:space="preserve">wyniosły odpowiednio </w:t>
      </w:r>
      <w:r>
        <w:rPr>
          <w:rFonts w:ascii="Times New Roman" w:hAnsi="Times New Roman"/>
          <w:sz w:val="20"/>
          <w:szCs w:val="20"/>
        </w:rPr>
        <w:t>1,3</w:t>
      </w:r>
      <w:r w:rsidRPr="00C468CB">
        <w:rPr>
          <w:rFonts w:ascii="Times New Roman" w:hAnsi="Times New Roman"/>
          <w:sz w:val="20"/>
          <w:szCs w:val="20"/>
        </w:rPr>
        <w:t>%</w:t>
      </w:r>
      <w:r>
        <w:rPr>
          <w:rFonts w:ascii="Times New Roman" w:hAnsi="Times New Roman"/>
          <w:sz w:val="20"/>
          <w:szCs w:val="20"/>
        </w:rPr>
        <w:t xml:space="preserve"> (-0,2 </w:t>
      </w:r>
      <w:proofErr w:type="spellStart"/>
      <w:r>
        <w:rPr>
          <w:rFonts w:ascii="Times New Roman" w:hAnsi="Times New Roman"/>
          <w:sz w:val="20"/>
          <w:szCs w:val="20"/>
        </w:rPr>
        <w:t>p.p</w:t>
      </w:r>
      <w:proofErr w:type="spellEnd"/>
      <w:r>
        <w:rPr>
          <w:rFonts w:ascii="Times New Roman" w:hAnsi="Times New Roman"/>
          <w:sz w:val="20"/>
          <w:szCs w:val="20"/>
        </w:rPr>
        <w:t>.)</w:t>
      </w:r>
      <w:r w:rsidRPr="00C468CB">
        <w:rPr>
          <w:rFonts w:ascii="Times New Roman" w:hAnsi="Times New Roman"/>
          <w:sz w:val="20"/>
          <w:szCs w:val="20"/>
        </w:rPr>
        <w:t>, 2,</w:t>
      </w:r>
      <w:r>
        <w:rPr>
          <w:rFonts w:ascii="Times New Roman" w:hAnsi="Times New Roman"/>
          <w:sz w:val="20"/>
          <w:szCs w:val="20"/>
        </w:rPr>
        <w:t>3</w:t>
      </w:r>
      <w:r w:rsidRPr="00C468CB">
        <w:rPr>
          <w:rFonts w:ascii="Times New Roman" w:hAnsi="Times New Roman"/>
          <w:sz w:val="20"/>
          <w:szCs w:val="20"/>
        </w:rPr>
        <w:t xml:space="preserve">% </w:t>
      </w:r>
      <w:r>
        <w:rPr>
          <w:rFonts w:ascii="Times New Roman" w:hAnsi="Times New Roman"/>
          <w:sz w:val="20"/>
          <w:szCs w:val="20"/>
        </w:rPr>
        <w:t xml:space="preserve">(-0,3 </w:t>
      </w:r>
      <w:proofErr w:type="spellStart"/>
      <w:r>
        <w:rPr>
          <w:rFonts w:ascii="Times New Roman" w:hAnsi="Times New Roman"/>
          <w:sz w:val="20"/>
          <w:szCs w:val="20"/>
        </w:rPr>
        <w:t>p.p</w:t>
      </w:r>
      <w:proofErr w:type="spellEnd"/>
      <w:r>
        <w:rPr>
          <w:rFonts w:ascii="Times New Roman" w:hAnsi="Times New Roman"/>
          <w:sz w:val="20"/>
          <w:szCs w:val="20"/>
        </w:rPr>
        <w:t>.) oraz</w:t>
      </w:r>
      <w:r w:rsidRPr="00C468C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</w:t>
      </w:r>
      <w:r w:rsidRPr="00C468CB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8</w:t>
      </w:r>
      <w:r w:rsidRPr="00C468CB">
        <w:rPr>
          <w:rFonts w:ascii="Times New Roman" w:hAnsi="Times New Roman"/>
          <w:sz w:val="20"/>
          <w:szCs w:val="20"/>
        </w:rPr>
        <w:t xml:space="preserve">% </w:t>
      </w:r>
      <w:r>
        <w:rPr>
          <w:rFonts w:ascii="Times New Roman" w:hAnsi="Times New Roman"/>
          <w:sz w:val="20"/>
          <w:szCs w:val="20"/>
        </w:rPr>
        <w:t xml:space="preserve">(-0,5 </w:t>
      </w:r>
      <w:proofErr w:type="spellStart"/>
      <w:r>
        <w:rPr>
          <w:rFonts w:ascii="Times New Roman" w:hAnsi="Times New Roman"/>
          <w:sz w:val="20"/>
          <w:szCs w:val="20"/>
        </w:rPr>
        <w:t>p.p</w:t>
      </w:r>
      <w:proofErr w:type="spellEnd"/>
      <w:r>
        <w:rPr>
          <w:rFonts w:ascii="Times New Roman" w:hAnsi="Times New Roman"/>
          <w:sz w:val="20"/>
          <w:szCs w:val="20"/>
        </w:rPr>
        <w:t>.),</w:t>
      </w:r>
    </w:p>
    <w:p w:rsidR="00844B6E" w:rsidRPr="00844B6E" w:rsidRDefault="001B3346" w:rsidP="00844B6E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spacing w:before="120" w:after="0" w:line="288" w:lineRule="auto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844B6E">
        <w:rPr>
          <w:rFonts w:ascii="Times New Roman" w:hAnsi="Times New Roman"/>
          <w:sz w:val="20"/>
          <w:szCs w:val="20"/>
        </w:rPr>
        <w:lastRenderedPageBreak/>
        <w:t>na rynku obligacji w euro: spadek rentowności wzdłuż całej krzywej dochodowości: na koniec kwartału rentowności obligacji 2-, 5- i 10-letnich wyniosły odpowie</w:t>
      </w:r>
      <w:r w:rsidRPr="00844B6E">
        <w:rPr>
          <w:rFonts w:ascii="Times New Roman" w:hAnsi="Times New Roman"/>
          <w:sz w:val="20"/>
          <w:szCs w:val="20"/>
        </w:rPr>
        <w:softHyphen/>
        <w:t xml:space="preserve">dnio -0,1% (-0,1 </w:t>
      </w:r>
      <w:proofErr w:type="spellStart"/>
      <w:r w:rsidRPr="00844B6E">
        <w:rPr>
          <w:rFonts w:ascii="Times New Roman" w:hAnsi="Times New Roman"/>
          <w:sz w:val="20"/>
          <w:szCs w:val="20"/>
        </w:rPr>
        <w:t>p.p</w:t>
      </w:r>
      <w:proofErr w:type="spellEnd"/>
      <w:r w:rsidRPr="00844B6E">
        <w:rPr>
          <w:rFonts w:ascii="Times New Roman" w:hAnsi="Times New Roman"/>
          <w:sz w:val="20"/>
          <w:szCs w:val="20"/>
        </w:rPr>
        <w:t xml:space="preserve">.), 0,4% </w:t>
      </w:r>
      <w:r w:rsidRPr="00844B6E">
        <w:rPr>
          <w:rFonts w:ascii="Times New Roman" w:hAnsi="Times New Roman"/>
          <w:sz w:val="20"/>
          <w:szCs w:val="20"/>
        </w:rPr>
        <w:br/>
        <w:t xml:space="preserve">(-0,1 </w:t>
      </w:r>
      <w:proofErr w:type="spellStart"/>
      <w:r w:rsidRPr="00844B6E">
        <w:rPr>
          <w:rFonts w:ascii="Times New Roman" w:hAnsi="Times New Roman"/>
          <w:sz w:val="20"/>
          <w:szCs w:val="20"/>
        </w:rPr>
        <w:t>p.p</w:t>
      </w:r>
      <w:proofErr w:type="spellEnd"/>
      <w:r w:rsidRPr="00844B6E">
        <w:rPr>
          <w:rFonts w:ascii="Times New Roman" w:hAnsi="Times New Roman"/>
          <w:sz w:val="20"/>
          <w:szCs w:val="20"/>
        </w:rPr>
        <w:t xml:space="preserve">.) oraz 1,2% (-0,1 </w:t>
      </w:r>
      <w:proofErr w:type="spellStart"/>
      <w:r w:rsidRPr="00844B6E">
        <w:rPr>
          <w:rFonts w:ascii="Times New Roman" w:hAnsi="Times New Roman"/>
          <w:sz w:val="20"/>
          <w:szCs w:val="20"/>
        </w:rPr>
        <w:t>p.p</w:t>
      </w:r>
      <w:proofErr w:type="spellEnd"/>
      <w:r w:rsidRPr="00844B6E">
        <w:rPr>
          <w:rFonts w:ascii="Times New Roman" w:hAnsi="Times New Roman"/>
          <w:sz w:val="20"/>
          <w:szCs w:val="20"/>
        </w:rPr>
        <w:t xml:space="preserve">.). </w:t>
      </w:r>
    </w:p>
    <w:tbl>
      <w:tblPr>
        <w:tblpPr w:leftFromText="141" w:rightFromText="141" w:vertAnchor="text" w:horzAnchor="margin" w:tblpXSpec="right" w:tblpY="51"/>
        <w:tblW w:w="4553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38"/>
      </w:tblGrid>
      <w:tr w:rsidR="00844B6E" w:rsidRPr="00984676" w:rsidTr="00844B6E">
        <w:trPr>
          <w:gridAfter w:val="1"/>
          <w:wAfter w:w="38" w:type="dxa"/>
          <w:trHeight w:val="611"/>
        </w:trPr>
        <w:tc>
          <w:tcPr>
            <w:tcW w:w="4515" w:type="dxa"/>
          </w:tcPr>
          <w:p w:rsidR="00844B6E" w:rsidRPr="00D121F6" w:rsidRDefault="00844B6E" w:rsidP="00844B6E">
            <w:pPr>
              <w:pStyle w:val="A1"/>
              <w:keepNext/>
              <w:spacing w:after="0" w:line="288" w:lineRule="auto"/>
              <w:ind w:firstLine="0"/>
              <w:jc w:val="left"/>
              <w:rPr>
                <w:bCs/>
                <w:sz w:val="18"/>
                <w:szCs w:val="18"/>
              </w:rPr>
            </w:pPr>
            <w:r w:rsidRPr="00844B6E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Wyk.8. Rentowności SPW – rynek wtórny</w:t>
            </w:r>
          </w:p>
        </w:tc>
      </w:tr>
      <w:tr w:rsidR="00844B6E" w:rsidRPr="00984676" w:rsidTr="00844B6E">
        <w:tblPrEx>
          <w:tblCellMar>
            <w:left w:w="70" w:type="dxa"/>
            <w:right w:w="70" w:type="dxa"/>
          </w:tblCellMar>
        </w:tblPrEx>
        <w:trPr>
          <w:trHeight w:val="1736"/>
        </w:trPr>
        <w:tc>
          <w:tcPr>
            <w:tcW w:w="4553" w:type="dxa"/>
            <w:gridSpan w:val="2"/>
          </w:tcPr>
          <w:p w:rsidR="00844B6E" w:rsidRPr="00984676" w:rsidRDefault="00844B6E" w:rsidP="00844B6E">
            <w:pPr>
              <w:pStyle w:val="A1"/>
              <w:keepNext/>
              <w:spacing w:before="60" w:after="60" w:line="288" w:lineRule="auto"/>
              <w:ind w:left="-108" w:firstLine="0"/>
              <w:jc w:val="center"/>
              <w:rPr>
                <w:b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0301AFAE" wp14:editId="72BD64B3">
                  <wp:extent cx="2753995" cy="1945005"/>
                  <wp:effectExtent l="0" t="0" r="8255" b="0"/>
                  <wp:docPr id="11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995" cy="194500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B6E" w:rsidRPr="00984676" w:rsidTr="00844B6E">
        <w:trPr>
          <w:gridAfter w:val="1"/>
          <w:wAfter w:w="38" w:type="dxa"/>
          <w:trHeight w:val="144"/>
        </w:trPr>
        <w:tc>
          <w:tcPr>
            <w:tcW w:w="4515" w:type="dxa"/>
          </w:tcPr>
          <w:p w:rsidR="00844B6E" w:rsidRPr="00984676" w:rsidRDefault="00844B6E" w:rsidP="009D076A">
            <w:pPr>
              <w:keepNext/>
              <w:spacing w:before="120" w:after="60" w:line="288" w:lineRule="auto"/>
              <w:rPr>
                <w:i/>
                <w:color w:val="E31837"/>
                <w:sz w:val="20"/>
                <w:szCs w:val="20"/>
                <w:highlight w:val="yellow"/>
              </w:rPr>
            </w:pPr>
            <w:r w:rsidRPr="009D076A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>Źródło: MF</w:t>
            </w:r>
          </w:p>
        </w:tc>
      </w:tr>
    </w:tbl>
    <w:p w:rsidR="001B3346" w:rsidRDefault="001B3346" w:rsidP="00844B6E">
      <w:pPr>
        <w:tabs>
          <w:tab w:val="num" w:pos="284"/>
        </w:tabs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F13F9">
        <w:rPr>
          <w:rFonts w:ascii="Times New Roman" w:hAnsi="Times New Roman"/>
          <w:sz w:val="20"/>
          <w:szCs w:val="20"/>
        </w:rPr>
        <w:t>W całym 201</w:t>
      </w:r>
      <w:r>
        <w:rPr>
          <w:rFonts w:ascii="Times New Roman" w:hAnsi="Times New Roman"/>
          <w:sz w:val="20"/>
          <w:szCs w:val="20"/>
        </w:rPr>
        <w:t>8</w:t>
      </w:r>
      <w:r w:rsidRPr="00BF13F9">
        <w:rPr>
          <w:rFonts w:ascii="Times New Roman" w:hAnsi="Times New Roman"/>
          <w:sz w:val="20"/>
          <w:szCs w:val="20"/>
        </w:rPr>
        <w:t xml:space="preserve"> r. nastąpił:</w:t>
      </w:r>
    </w:p>
    <w:p w:rsidR="001B3346" w:rsidRPr="00B30446" w:rsidRDefault="001B3346" w:rsidP="00844B6E">
      <w:pPr>
        <w:pStyle w:val="Akapitzlist"/>
        <w:numPr>
          <w:ilvl w:val="0"/>
          <w:numId w:val="8"/>
        </w:numPr>
        <w:spacing w:before="120" w:after="0" w:line="288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B30446">
        <w:rPr>
          <w:rFonts w:ascii="Times New Roman" w:hAnsi="Times New Roman"/>
          <w:sz w:val="20"/>
          <w:szCs w:val="20"/>
        </w:rPr>
        <w:t>w zakresie sytuacji płynnościowej budżetu państwa:</w:t>
      </w:r>
    </w:p>
    <w:p w:rsidR="001B3346" w:rsidRDefault="001B3346" w:rsidP="00844B6E">
      <w:pPr>
        <w:pStyle w:val="Akapitzlist"/>
        <w:spacing w:before="60" w:after="120" w:line="288" w:lineRule="auto"/>
        <w:ind w:left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wzrost</w:t>
      </w:r>
      <w:r w:rsidRPr="00300F54">
        <w:rPr>
          <w:rFonts w:ascii="Times New Roman" w:hAnsi="Times New Roman"/>
          <w:sz w:val="20"/>
          <w:szCs w:val="20"/>
        </w:rPr>
        <w:t xml:space="preserve"> środków na rachunkach budżetowych </w:t>
      </w:r>
      <w:r>
        <w:rPr>
          <w:rFonts w:ascii="Times New Roman" w:hAnsi="Times New Roman"/>
          <w:sz w:val="20"/>
          <w:szCs w:val="20"/>
        </w:rPr>
        <w:br/>
      </w:r>
      <w:r w:rsidRPr="00596A61">
        <w:rPr>
          <w:rFonts w:ascii="Times New Roman" w:hAnsi="Times New Roman"/>
          <w:sz w:val="20"/>
          <w:szCs w:val="20"/>
        </w:rPr>
        <w:t xml:space="preserve">o </w:t>
      </w:r>
      <w:r>
        <w:rPr>
          <w:rFonts w:ascii="Times New Roman" w:hAnsi="Times New Roman"/>
          <w:sz w:val="20"/>
          <w:szCs w:val="20"/>
        </w:rPr>
        <w:t>8</w:t>
      </w:r>
      <w:r w:rsidRPr="001F682F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9</w:t>
      </w:r>
      <w:r w:rsidRPr="001F682F">
        <w:rPr>
          <w:rFonts w:ascii="Times New Roman" w:hAnsi="Times New Roman"/>
          <w:sz w:val="20"/>
          <w:szCs w:val="20"/>
        </w:rPr>
        <w:t xml:space="preserve"> mld zł do </w:t>
      </w:r>
      <w:r>
        <w:rPr>
          <w:rFonts w:ascii="Times New Roman" w:hAnsi="Times New Roman"/>
          <w:sz w:val="20"/>
          <w:szCs w:val="20"/>
        </w:rPr>
        <w:t>36</w:t>
      </w:r>
      <w:r w:rsidRPr="001F682F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0 mld zł</w:t>
      </w:r>
      <w:r w:rsidRPr="00D91D9B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1B3346" w:rsidRDefault="001B3346" w:rsidP="00844B6E">
      <w:pPr>
        <w:pStyle w:val="Akapitzlist"/>
        <w:numPr>
          <w:ilvl w:val="0"/>
          <w:numId w:val="8"/>
        </w:numPr>
        <w:spacing w:before="120" w:after="0" w:line="288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zakresie struktury podmiotowej zadłużenia na rynku krajowym:</w:t>
      </w:r>
    </w:p>
    <w:p w:rsidR="001B3346" w:rsidRDefault="001B3346" w:rsidP="00844B6E">
      <w:pPr>
        <w:pStyle w:val="Akapitzlist"/>
        <w:spacing w:before="60" w:after="120" w:line="288" w:lineRule="auto"/>
        <w:ind w:left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wzrost zadłużenia wobec banków o 20,2 mld zł,  spadek wobec nierezydentów o 11,3 mld zł, przy wzroście wobec krajowego sektora </w:t>
      </w:r>
      <w:proofErr w:type="spellStart"/>
      <w:r>
        <w:rPr>
          <w:rFonts w:ascii="Times New Roman" w:hAnsi="Times New Roman"/>
          <w:sz w:val="20"/>
          <w:szCs w:val="20"/>
        </w:rPr>
        <w:t>pozabankowego</w:t>
      </w:r>
      <w:proofErr w:type="spellEnd"/>
      <w:r>
        <w:rPr>
          <w:rFonts w:ascii="Times New Roman" w:hAnsi="Times New Roman"/>
          <w:sz w:val="20"/>
          <w:szCs w:val="20"/>
        </w:rPr>
        <w:t xml:space="preserve"> o 16,9 mld zł,</w:t>
      </w:r>
    </w:p>
    <w:p w:rsidR="001B3346" w:rsidRDefault="001B3346" w:rsidP="00844B6E">
      <w:pPr>
        <w:pStyle w:val="Akapitzlist"/>
        <w:numPr>
          <w:ilvl w:val="0"/>
          <w:numId w:val="8"/>
        </w:numPr>
        <w:spacing w:before="120" w:after="0" w:line="288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 rynku polskich obligacji:</w:t>
      </w:r>
    </w:p>
    <w:p w:rsidR="001B3346" w:rsidRDefault="001B3346" w:rsidP="00844B6E">
      <w:pPr>
        <w:widowControl w:val="0"/>
        <w:numPr>
          <w:ilvl w:val="0"/>
          <w:numId w:val="1"/>
        </w:numPr>
        <w:tabs>
          <w:tab w:val="clear" w:pos="360"/>
        </w:tabs>
        <w:spacing w:before="60" w:after="120" w:line="288" w:lineRule="auto"/>
        <w:ind w:left="568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 rynku krajowym: spadek rentowności wzdłuż całej krzywej dochodowości - na koniec roku</w:t>
      </w:r>
      <w:r w:rsidRPr="00C468C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rentowności</w:t>
      </w:r>
      <w:r w:rsidRPr="00C468C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obligacji </w:t>
      </w:r>
      <w:r w:rsidRPr="00C468CB">
        <w:rPr>
          <w:rFonts w:ascii="Times New Roman" w:hAnsi="Times New Roman"/>
          <w:sz w:val="20"/>
          <w:szCs w:val="20"/>
        </w:rPr>
        <w:t>2-, 5- i 10-letnich</w:t>
      </w:r>
      <w:r>
        <w:rPr>
          <w:rFonts w:ascii="Times New Roman" w:hAnsi="Times New Roman"/>
          <w:sz w:val="20"/>
          <w:szCs w:val="20"/>
        </w:rPr>
        <w:t xml:space="preserve"> </w:t>
      </w:r>
      <w:r w:rsidRPr="00C468CB">
        <w:rPr>
          <w:rFonts w:ascii="Times New Roman" w:hAnsi="Times New Roman"/>
          <w:sz w:val="20"/>
          <w:szCs w:val="20"/>
        </w:rPr>
        <w:t xml:space="preserve">wyniosły odpowiednio </w:t>
      </w:r>
      <w:r>
        <w:rPr>
          <w:rFonts w:ascii="Times New Roman" w:hAnsi="Times New Roman"/>
          <w:sz w:val="20"/>
          <w:szCs w:val="20"/>
        </w:rPr>
        <w:t>1</w:t>
      </w:r>
      <w:r w:rsidRPr="00C468CB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3</w:t>
      </w:r>
      <w:r w:rsidRPr="00C468CB">
        <w:rPr>
          <w:rFonts w:ascii="Times New Roman" w:hAnsi="Times New Roman"/>
          <w:sz w:val="20"/>
          <w:szCs w:val="20"/>
        </w:rPr>
        <w:t>%</w:t>
      </w:r>
      <w:r>
        <w:rPr>
          <w:rFonts w:ascii="Times New Roman" w:hAnsi="Times New Roman"/>
          <w:sz w:val="20"/>
          <w:szCs w:val="20"/>
        </w:rPr>
        <w:t xml:space="preserve"> (-0,4 </w:t>
      </w:r>
      <w:proofErr w:type="spellStart"/>
      <w:r>
        <w:rPr>
          <w:rFonts w:ascii="Times New Roman" w:hAnsi="Times New Roman"/>
          <w:sz w:val="20"/>
          <w:szCs w:val="20"/>
        </w:rPr>
        <w:t>p.p</w:t>
      </w:r>
      <w:proofErr w:type="spellEnd"/>
      <w:r>
        <w:rPr>
          <w:rFonts w:ascii="Times New Roman" w:hAnsi="Times New Roman"/>
          <w:sz w:val="20"/>
          <w:szCs w:val="20"/>
        </w:rPr>
        <w:t>.)</w:t>
      </w:r>
      <w:r w:rsidRPr="00C468CB">
        <w:rPr>
          <w:rFonts w:ascii="Times New Roman" w:hAnsi="Times New Roman"/>
          <w:sz w:val="20"/>
          <w:szCs w:val="20"/>
        </w:rPr>
        <w:t>, 2,</w:t>
      </w:r>
      <w:r>
        <w:rPr>
          <w:rFonts w:ascii="Times New Roman" w:hAnsi="Times New Roman"/>
          <w:sz w:val="20"/>
          <w:szCs w:val="20"/>
        </w:rPr>
        <w:t>3</w:t>
      </w:r>
      <w:r w:rsidRPr="00C468CB">
        <w:rPr>
          <w:rFonts w:ascii="Times New Roman" w:hAnsi="Times New Roman"/>
          <w:sz w:val="20"/>
          <w:szCs w:val="20"/>
        </w:rPr>
        <w:t xml:space="preserve">% </w:t>
      </w:r>
      <w:r>
        <w:rPr>
          <w:rFonts w:ascii="Times New Roman" w:hAnsi="Times New Roman"/>
          <w:sz w:val="20"/>
          <w:szCs w:val="20"/>
        </w:rPr>
        <w:t xml:space="preserve">(-0,4 </w:t>
      </w:r>
      <w:proofErr w:type="spellStart"/>
      <w:r>
        <w:rPr>
          <w:rFonts w:ascii="Times New Roman" w:hAnsi="Times New Roman"/>
          <w:sz w:val="20"/>
          <w:szCs w:val="20"/>
        </w:rPr>
        <w:t>p.p</w:t>
      </w:r>
      <w:proofErr w:type="spellEnd"/>
      <w:r>
        <w:rPr>
          <w:rFonts w:ascii="Times New Roman" w:hAnsi="Times New Roman"/>
          <w:sz w:val="20"/>
          <w:szCs w:val="20"/>
        </w:rPr>
        <w:t>.) oraz</w:t>
      </w:r>
      <w:r w:rsidRPr="00C468C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</w:t>
      </w:r>
      <w:r w:rsidRPr="00C468CB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8</w:t>
      </w:r>
      <w:r w:rsidRPr="00C468CB">
        <w:rPr>
          <w:rFonts w:ascii="Times New Roman" w:hAnsi="Times New Roman"/>
          <w:sz w:val="20"/>
          <w:szCs w:val="20"/>
        </w:rPr>
        <w:t xml:space="preserve">% </w:t>
      </w:r>
      <w:r>
        <w:rPr>
          <w:rFonts w:ascii="Times New Roman" w:hAnsi="Times New Roman"/>
          <w:sz w:val="20"/>
          <w:szCs w:val="20"/>
        </w:rPr>
        <w:t xml:space="preserve">(-0,5 </w:t>
      </w:r>
      <w:proofErr w:type="spellStart"/>
      <w:r>
        <w:rPr>
          <w:rFonts w:ascii="Times New Roman" w:hAnsi="Times New Roman"/>
          <w:sz w:val="20"/>
          <w:szCs w:val="20"/>
        </w:rPr>
        <w:t>p.p</w:t>
      </w:r>
      <w:proofErr w:type="spellEnd"/>
      <w:r>
        <w:rPr>
          <w:rFonts w:ascii="Times New Roman" w:hAnsi="Times New Roman"/>
          <w:sz w:val="20"/>
          <w:szCs w:val="20"/>
        </w:rPr>
        <w:t>.),</w:t>
      </w:r>
    </w:p>
    <w:p w:rsidR="001B3346" w:rsidRPr="009D3308" w:rsidRDefault="001B3346" w:rsidP="00844B6E">
      <w:pPr>
        <w:widowControl w:val="0"/>
        <w:numPr>
          <w:ilvl w:val="0"/>
          <w:numId w:val="1"/>
        </w:numPr>
        <w:tabs>
          <w:tab w:val="clear" w:pos="360"/>
        </w:tabs>
        <w:spacing w:after="0" w:line="288" w:lineRule="auto"/>
        <w:ind w:left="567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 rynku obligacji </w:t>
      </w:r>
      <w:r w:rsidRPr="00C468CB">
        <w:rPr>
          <w:rFonts w:ascii="Times New Roman" w:hAnsi="Times New Roman"/>
          <w:sz w:val="20"/>
          <w:szCs w:val="20"/>
        </w:rPr>
        <w:t>w euro</w:t>
      </w:r>
      <w:r>
        <w:rPr>
          <w:rFonts w:ascii="Times New Roman" w:hAnsi="Times New Roman"/>
          <w:sz w:val="20"/>
          <w:szCs w:val="20"/>
        </w:rPr>
        <w:t>: wzrost rentowności wzdłuż całej krzywej dochodowości</w:t>
      </w:r>
      <w:r w:rsidDel="00ED6AB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- na koniec roku rentowności </w:t>
      </w:r>
      <w:r w:rsidRPr="00C468CB">
        <w:rPr>
          <w:rFonts w:ascii="Times New Roman" w:hAnsi="Times New Roman"/>
          <w:sz w:val="20"/>
          <w:szCs w:val="20"/>
        </w:rPr>
        <w:t>obligacji</w:t>
      </w:r>
      <w:r>
        <w:rPr>
          <w:rFonts w:ascii="Times New Roman" w:hAnsi="Times New Roman"/>
          <w:sz w:val="20"/>
          <w:szCs w:val="20"/>
        </w:rPr>
        <w:t xml:space="preserve"> </w:t>
      </w:r>
      <w:r w:rsidRPr="00C468CB">
        <w:rPr>
          <w:rFonts w:ascii="Times New Roman" w:hAnsi="Times New Roman"/>
          <w:sz w:val="20"/>
          <w:szCs w:val="20"/>
        </w:rPr>
        <w:t>2-,</w:t>
      </w:r>
      <w:r>
        <w:rPr>
          <w:rFonts w:ascii="Times New Roman" w:hAnsi="Times New Roman"/>
          <w:sz w:val="20"/>
          <w:szCs w:val="20"/>
        </w:rPr>
        <w:t> </w:t>
      </w:r>
      <w:r w:rsidRPr="00C468CB">
        <w:rPr>
          <w:rFonts w:ascii="Times New Roman" w:hAnsi="Times New Roman"/>
          <w:sz w:val="20"/>
          <w:szCs w:val="20"/>
        </w:rPr>
        <w:t>5-</w:t>
      </w:r>
      <w:r>
        <w:rPr>
          <w:rFonts w:ascii="Times New Roman" w:hAnsi="Times New Roman"/>
          <w:sz w:val="20"/>
          <w:szCs w:val="20"/>
        </w:rPr>
        <w:t> </w:t>
      </w:r>
      <w:r w:rsidRPr="00C468CB">
        <w:rPr>
          <w:rFonts w:ascii="Times New Roman" w:hAnsi="Times New Roman"/>
          <w:sz w:val="20"/>
          <w:szCs w:val="20"/>
        </w:rPr>
        <w:t>i 10-letnich wyniosły odpo</w:t>
      </w:r>
      <w:r>
        <w:rPr>
          <w:rFonts w:ascii="Times New Roman" w:hAnsi="Times New Roman"/>
          <w:sz w:val="20"/>
          <w:szCs w:val="20"/>
        </w:rPr>
        <w:softHyphen/>
      </w:r>
      <w:r w:rsidRPr="00C468CB">
        <w:rPr>
          <w:rFonts w:ascii="Times New Roman" w:hAnsi="Times New Roman"/>
          <w:sz w:val="20"/>
          <w:szCs w:val="20"/>
        </w:rPr>
        <w:t>wie</w:t>
      </w:r>
      <w:r>
        <w:rPr>
          <w:rFonts w:ascii="Times New Roman" w:hAnsi="Times New Roman"/>
          <w:sz w:val="20"/>
          <w:szCs w:val="20"/>
        </w:rPr>
        <w:softHyphen/>
      </w:r>
      <w:r w:rsidRPr="00C468CB">
        <w:rPr>
          <w:rFonts w:ascii="Times New Roman" w:hAnsi="Times New Roman"/>
          <w:sz w:val="20"/>
          <w:szCs w:val="20"/>
        </w:rPr>
        <w:t xml:space="preserve">dnio </w:t>
      </w:r>
      <w:r>
        <w:rPr>
          <w:rFonts w:ascii="Times New Roman" w:hAnsi="Times New Roman"/>
          <w:sz w:val="20"/>
          <w:szCs w:val="20"/>
        </w:rPr>
        <w:t>-</w:t>
      </w:r>
      <w:r w:rsidRPr="00C468CB">
        <w:rPr>
          <w:rFonts w:ascii="Times New Roman" w:hAnsi="Times New Roman"/>
          <w:sz w:val="20"/>
          <w:szCs w:val="20"/>
        </w:rPr>
        <w:t>0,</w:t>
      </w:r>
      <w:r>
        <w:rPr>
          <w:rFonts w:ascii="Times New Roman" w:hAnsi="Times New Roman"/>
          <w:sz w:val="20"/>
          <w:szCs w:val="20"/>
        </w:rPr>
        <w:t>1</w:t>
      </w:r>
      <w:r w:rsidRPr="00C468CB">
        <w:rPr>
          <w:rFonts w:ascii="Times New Roman" w:hAnsi="Times New Roman"/>
          <w:sz w:val="20"/>
          <w:szCs w:val="20"/>
        </w:rPr>
        <w:t>%</w:t>
      </w:r>
      <w:r>
        <w:rPr>
          <w:rFonts w:ascii="Times New Roman" w:hAnsi="Times New Roman"/>
          <w:sz w:val="20"/>
          <w:szCs w:val="20"/>
        </w:rPr>
        <w:t xml:space="preserve"> (+0,2 </w:t>
      </w:r>
      <w:proofErr w:type="spellStart"/>
      <w:r>
        <w:rPr>
          <w:rFonts w:ascii="Times New Roman" w:hAnsi="Times New Roman"/>
          <w:sz w:val="20"/>
          <w:szCs w:val="20"/>
        </w:rPr>
        <w:t>p</w:t>
      </w:r>
      <w:r w:rsidRPr="009D3308">
        <w:rPr>
          <w:rFonts w:ascii="Times New Roman" w:hAnsi="Times New Roman"/>
          <w:sz w:val="20"/>
          <w:szCs w:val="20"/>
        </w:rPr>
        <w:t>.p</w:t>
      </w:r>
      <w:proofErr w:type="spellEnd"/>
      <w:r w:rsidRPr="009D3308">
        <w:rPr>
          <w:rFonts w:ascii="Times New Roman" w:hAnsi="Times New Roman"/>
          <w:sz w:val="20"/>
          <w:szCs w:val="20"/>
        </w:rPr>
        <w:t>.), 0,4% (+0,2 </w:t>
      </w:r>
      <w:proofErr w:type="spellStart"/>
      <w:r w:rsidRPr="009D3308">
        <w:rPr>
          <w:rFonts w:ascii="Times New Roman" w:hAnsi="Times New Roman"/>
          <w:sz w:val="20"/>
          <w:szCs w:val="20"/>
        </w:rPr>
        <w:t>p.p</w:t>
      </w:r>
      <w:proofErr w:type="spellEnd"/>
      <w:r w:rsidRPr="009D3308">
        <w:rPr>
          <w:rFonts w:ascii="Times New Roman" w:hAnsi="Times New Roman"/>
          <w:sz w:val="20"/>
          <w:szCs w:val="20"/>
        </w:rPr>
        <w:t xml:space="preserve">.) oraz 1,2% (+0,1 </w:t>
      </w:r>
      <w:proofErr w:type="spellStart"/>
      <w:r w:rsidRPr="009D3308">
        <w:rPr>
          <w:rFonts w:ascii="Times New Roman" w:hAnsi="Times New Roman"/>
          <w:sz w:val="20"/>
          <w:szCs w:val="20"/>
        </w:rPr>
        <w:t>p.p</w:t>
      </w:r>
      <w:proofErr w:type="spellEnd"/>
      <w:r w:rsidRPr="009D3308">
        <w:rPr>
          <w:rFonts w:ascii="Times New Roman" w:hAnsi="Times New Roman"/>
          <w:sz w:val="20"/>
          <w:szCs w:val="20"/>
        </w:rPr>
        <w:t>.).</w:t>
      </w:r>
    </w:p>
    <w:p w:rsidR="001B3346" w:rsidRDefault="001B3346" w:rsidP="00844B6E">
      <w:pPr>
        <w:widowControl w:val="0"/>
        <w:spacing w:after="0" w:line="288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:rsidR="001B3346" w:rsidRDefault="001B3346" w:rsidP="00844B6E">
      <w:pPr>
        <w:widowControl w:val="0"/>
        <w:spacing w:after="0" w:line="288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:rsidR="001B3346" w:rsidRDefault="001B3346" w:rsidP="001B3346">
      <w:pPr>
        <w:widowControl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:rsidR="00BD7445" w:rsidRPr="00D55FD4" w:rsidRDefault="00BD7445" w:rsidP="00BD7445">
      <w:pPr>
        <w:widowControl w:val="0"/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</w:p>
    <w:p w:rsidR="00D84F5D" w:rsidRDefault="00D84F5D" w:rsidP="00EC0826">
      <w:pPr>
        <w:widowControl w:val="0"/>
        <w:spacing w:after="120"/>
        <w:jc w:val="both"/>
        <w:rPr>
          <w:rFonts w:ascii="Arial" w:hAnsi="Arial" w:cs="Arial"/>
          <w:sz w:val="18"/>
          <w:szCs w:val="18"/>
        </w:rPr>
        <w:sectPr w:rsidR="00D84F5D" w:rsidSect="005725A7">
          <w:headerReference w:type="first" r:id="rId24"/>
          <w:pgSz w:w="11907" w:h="16839" w:code="9"/>
          <w:pgMar w:top="1701" w:right="992" w:bottom="1418" w:left="1134" w:header="709" w:footer="975" w:gutter="0"/>
          <w:cols w:num="2" w:space="709"/>
          <w:titlePg/>
          <w:docGrid w:linePitch="360"/>
        </w:sectPr>
      </w:pPr>
    </w:p>
    <w:p w:rsidR="003262D7" w:rsidRPr="003262D7" w:rsidRDefault="003262D7" w:rsidP="003262D7">
      <w:pPr>
        <w:pStyle w:val="Nagwek1"/>
        <w:spacing w:after="240"/>
        <w:rPr>
          <w:rFonts w:ascii="Arial" w:hAnsi="Arial" w:cs="Arial"/>
          <w:bCs w:val="0"/>
          <w:color w:val="E31837"/>
          <w:kern w:val="0"/>
          <w:sz w:val="28"/>
          <w:szCs w:val="28"/>
        </w:rPr>
      </w:pPr>
      <w:bookmarkStart w:id="14" w:name="_Toc9504518"/>
      <w:r w:rsidRPr="003262D7">
        <w:rPr>
          <w:rFonts w:ascii="Arial" w:hAnsi="Arial" w:cs="Arial"/>
          <w:bCs w:val="0"/>
          <w:color w:val="E31837"/>
          <w:kern w:val="0"/>
          <w:sz w:val="28"/>
          <w:szCs w:val="28"/>
        </w:rPr>
        <w:lastRenderedPageBreak/>
        <w:t>NO</w:t>
      </w:r>
      <w:r w:rsidRPr="00D1237C">
        <w:rPr>
          <w:rFonts w:ascii="Arial" w:hAnsi="Arial" w:cs="Arial"/>
          <w:bCs w:val="0"/>
          <w:color w:val="E31837"/>
          <w:kern w:val="0"/>
          <w:sz w:val="28"/>
          <w:szCs w:val="28"/>
        </w:rPr>
        <w:t xml:space="preserve">TA </w:t>
      </w:r>
      <w:r w:rsidRPr="003262D7">
        <w:rPr>
          <w:rFonts w:ascii="Arial" w:hAnsi="Arial" w:cs="Arial"/>
          <w:bCs w:val="0"/>
          <w:color w:val="E31837"/>
          <w:kern w:val="0"/>
          <w:sz w:val="28"/>
          <w:szCs w:val="28"/>
        </w:rPr>
        <w:t>METODYCZNA</w:t>
      </w:r>
      <w:bookmarkEnd w:id="14"/>
    </w:p>
    <w:p w:rsidR="003262D7" w:rsidRPr="00D1237C" w:rsidRDefault="003262D7" w:rsidP="00975613">
      <w:pPr>
        <w:widowControl w:val="0"/>
        <w:autoSpaceDE w:val="0"/>
        <w:autoSpaceDN w:val="0"/>
        <w:adjustRightInd w:val="0"/>
        <w:spacing w:before="360" w:after="120" w:line="360" w:lineRule="auto"/>
        <w:jc w:val="both"/>
        <w:rPr>
          <w:rFonts w:ascii="Arial" w:hAnsi="Arial" w:cs="Arial"/>
          <w:b/>
          <w:color w:val="E31837"/>
          <w:sz w:val="24"/>
          <w:szCs w:val="24"/>
        </w:rPr>
      </w:pPr>
      <w:r w:rsidRPr="00D1237C">
        <w:rPr>
          <w:rFonts w:ascii="Arial" w:hAnsi="Arial" w:cs="Arial"/>
          <w:b/>
          <w:color w:val="E31837"/>
          <w:sz w:val="24"/>
          <w:szCs w:val="24"/>
        </w:rPr>
        <w:t>Budżet państwa</w:t>
      </w:r>
    </w:p>
    <w:p w:rsidR="003262D7" w:rsidRPr="007837F6" w:rsidRDefault="003262D7" w:rsidP="009756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 w:rsidRPr="007837F6">
        <w:rPr>
          <w:rFonts w:ascii="Arial" w:hAnsi="Arial" w:cs="Arial"/>
          <w:b/>
          <w:color w:val="ADAFB2"/>
          <w:sz w:val="20"/>
          <w:szCs w:val="20"/>
        </w:rPr>
        <w:t>Dane o budżecie państwa prezentowane są zgodnie z krajową metodol</w:t>
      </w:r>
      <w:r>
        <w:rPr>
          <w:rFonts w:ascii="Arial" w:hAnsi="Arial" w:cs="Arial"/>
          <w:b/>
          <w:color w:val="ADAFB2"/>
          <w:sz w:val="20"/>
          <w:szCs w:val="20"/>
        </w:rPr>
        <w:t>ogią, tj. w układzie kasowym (z </w:t>
      </w:r>
      <w:r w:rsidRPr="007837F6">
        <w:rPr>
          <w:rFonts w:ascii="Arial" w:hAnsi="Arial" w:cs="Arial"/>
          <w:b/>
          <w:color w:val="ADAFB2"/>
          <w:sz w:val="20"/>
          <w:szCs w:val="20"/>
        </w:rPr>
        <w:t>pewnymi wyjątkami) i  zgodnie z definicjami przejętymi w Ustaw</w:t>
      </w:r>
      <w:r>
        <w:rPr>
          <w:rFonts w:ascii="Arial" w:hAnsi="Arial" w:cs="Arial"/>
          <w:b/>
          <w:color w:val="ADAFB2"/>
          <w:sz w:val="20"/>
          <w:szCs w:val="20"/>
        </w:rPr>
        <w:t>ie z dnia 27 sierpnia 2009 r. o </w:t>
      </w:r>
      <w:r w:rsidRPr="007837F6">
        <w:rPr>
          <w:rFonts w:ascii="Arial" w:hAnsi="Arial" w:cs="Arial"/>
          <w:b/>
          <w:color w:val="ADAFB2"/>
          <w:sz w:val="20"/>
          <w:szCs w:val="20"/>
        </w:rPr>
        <w:t xml:space="preserve">finansach publicznych (tekst jednolity Dz.U. z 2013 poz. 885 z </w:t>
      </w:r>
      <w:proofErr w:type="spellStart"/>
      <w:r w:rsidRPr="007837F6">
        <w:rPr>
          <w:rFonts w:ascii="Arial" w:hAnsi="Arial" w:cs="Arial"/>
          <w:b/>
          <w:color w:val="ADAFB2"/>
          <w:sz w:val="20"/>
          <w:szCs w:val="20"/>
        </w:rPr>
        <w:t>późn</w:t>
      </w:r>
      <w:proofErr w:type="spellEnd"/>
      <w:r w:rsidRPr="007837F6">
        <w:rPr>
          <w:rFonts w:ascii="Arial" w:hAnsi="Arial" w:cs="Arial"/>
          <w:b/>
          <w:color w:val="ADAFB2"/>
          <w:sz w:val="20"/>
          <w:szCs w:val="20"/>
        </w:rPr>
        <w:t>. zm.):</w:t>
      </w:r>
    </w:p>
    <w:p w:rsidR="003262D7" w:rsidRPr="007837F6" w:rsidRDefault="00F22D1C" w:rsidP="00975613">
      <w:pPr>
        <w:widowControl w:val="0"/>
        <w:autoSpaceDE w:val="0"/>
        <w:autoSpaceDN w:val="0"/>
        <w:adjustRightInd w:val="0"/>
        <w:spacing w:after="36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hyperlink r:id="rId25" w:history="1">
        <w:r w:rsidR="003262D7" w:rsidRPr="00C94AA6">
          <w:rPr>
            <w:rStyle w:val="Hipercze"/>
            <w:rFonts w:ascii="Arial" w:hAnsi="Arial" w:cs="Arial"/>
            <w:b/>
            <w:sz w:val="20"/>
            <w:szCs w:val="20"/>
          </w:rPr>
          <w:t>http://isap.sejm.gov.pl/DetailsServlet?id=WDU20091571240</w:t>
        </w:r>
      </w:hyperlink>
    </w:p>
    <w:p w:rsidR="003262D7" w:rsidRPr="00D1237C" w:rsidRDefault="003262D7" w:rsidP="00975613">
      <w:pPr>
        <w:widowControl w:val="0"/>
        <w:autoSpaceDE w:val="0"/>
        <w:autoSpaceDN w:val="0"/>
        <w:adjustRightInd w:val="0"/>
        <w:spacing w:before="360" w:after="0" w:line="360" w:lineRule="auto"/>
        <w:jc w:val="both"/>
        <w:rPr>
          <w:rFonts w:ascii="Arial" w:hAnsi="Arial" w:cs="Arial"/>
          <w:b/>
          <w:color w:val="E31837"/>
          <w:sz w:val="24"/>
          <w:szCs w:val="24"/>
        </w:rPr>
      </w:pPr>
      <w:r w:rsidRPr="00D1237C">
        <w:rPr>
          <w:rFonts w:ascii="Arial" w:hAnsi="Arial" w:cs="Arial"/>
          <w:b/>
          <w:color w:val="E31837"/>
          <w:sz w:val="24"/>
          <w:szCs w:val="24"/>
        </w:rPr>
        <w:t xml:space="preserve">Szczebel centralny według metodologii GFSM2001 </w:t>
      </w:r>
    </w:p>
    <w:p w:rsidR="003262D7" w:rsidRDefault="003262D7" w:rsidP="00975613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 w:rsidRPr="007837F6">
        <w:rPr>
          <w:rFonts w:ascii="Arial" w:hAnsi="Arial" w:cs="Arial"/>
          <w:b/>
          <w:color w:val="ADAFB2"/>
          <w:sz w:val="20"/>
          <w:szCs w:val="20"/>
        </w:rPr>
        <w:t>Metodologia GFSM2001 została opracowana przez Międzynarodowy Fundusz Walutowy. Szczebel centralny stanowi jeden z dwóch szczebli sektora instytucji rządowych i samorządowych (drugim jest szczebel lokalny). Szczebel centralny obejmuje budżet państwa, jednostki działające poza budżetem państwa oraz fundusze ubezpieczeń społecznych. Dane w</w:t>
      </w:r>
      <w:r>
        <w:rPr>
          <w:rFonts w:ascii="Arial" w:hAnsi="Arial" w:cs="Arial"/>
          <w:b/>
          <w:color w:val="ADAFB2"/>
          <w:sz w:val="20"/>
          <w:szCs w:val="20"/>
        </w:rPr>
        <w:t> </w:t>
      </w:r>
      <w:r w:rsidRPr="007837F6">
        <w:rPr>
          <w:rFonts w:ascii="Arial" w:hAnsi="Arial" w:cs="Arial"/>
          <w:b/>
          <w:color w:val="ADAFB2"/>
          <w:sz w:val="20"/>
          <w:szCs w:val="20"/>
        </w:rPr>
        <w:t>niniejszej informacji obejmują niepełny zakres szczebla centralnego (są jednak wystarczające do oceny jego sytuacji finansowej, stanowią ok. 80% jego skonsolidowanych wydatków), tj. budżet państwa, Fundusz Ubezpieczeń Społecznych (FUS), Fundusz Emerytalno-Rentowy (FER), Fundusz Pracy (FP) oraz Narodowy Fundusz Zdrowia (NFZ). Dane o</w:t>
      </w:r>
      <w:r>
        <w:rPr>
          <w:rFonts w:ascii="Arial" w:hAnsi="Arial" w:cs="Arial"/>
          <w:b/>
          <w:color w:val="ADAFB2"/>
          <w:sz w:val="20"/>
          <w:szCs w:val="20"/>
        </w:rPr>
        <w:t> </w:t>
      </w:r>
      <w:r w:rsidRPr="007837F6">
        <w:rPr>
          <w:rFonts w:ascii="Arial" w:hAnsi="Arial" w:cs="Arial"/>
          <w:b/>
          <w:color w:val="ADAFB2"/>
          <w:sz w:val="20"/>
          <w:szCs w:val="20"/>
        </w:rPr>
        <w:t xml:space="preserve">szczeblu centralnym prezentowane są w ujęciu kasowym oraz po eliminacji wewnętrznych przepływów. </w:t>
      </w:r>
      <w:r>
        <w:rPr>
          <w:rFonts w:ascii="Arial" w:hAnsi="Arial" w:cs="Arial"/>
          <w:b/>
          <w:color w:val="ADAFB2"/>
          <w:sz w:val="20"/>
          <w:szCs w:val="20"/>
        </w:rPr>
        <w:t xml:space="preserve"> </w:t>
      </w:r>
    </w:p>
    <w:p w:rsidR="003262D7" w:rsidRPr="007837F6" w:rsidRDefault="003262D7" w:rsidP="00975613">
      <w:pPr>
        <w:widowControl w:val="0"/>
        <w:autoSpaceDE w:val="0"/>
        <w:autoSpaceDN w:val="0"/>
        <w:adjustRightInd w:val="0"/>
        <w:spacing w:after="36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>
        <w:rPr>
          <w:rFonts w:ascii="Arial" w:hAnsi="Arial" w:cs="Arial"/>
          <w:b/>
          <w:color w:val="ADAFB2"/>
          <w:sz w:val="20"/>
          <w:szCs w:val="20"/>
        </w:rPr>
        <w:t xml:space="preserve">Więcej </w:t>
      </w:r>
      <w:r w:rsidRPr="007837F6">
        <w:rPr>
          <w:rFonts w:ascii="Arial" w:hAnsi="Arial" w:cs="Arial"/>
          <w:b/>
          <w:color w:val="ADAFB2"/>
          <w:sz w:val="20"/>
          <w:szCs w:val="20"/>
        </w:rPr>
        <w:t>na:</w:t>
      </w:r>
      <w:r>
        <w:rPr>
          <w:rFonts w:ascii="Arial" w:hAnsi="Arial" w:cs="Arial"/>
          <w:b/>
          <w:color w:val="ADAFB2"/>
          <w:sz w:val="20"/>
          <w:szCs w:val="20"/>
        </w:rPr>
        <w:t xml:space="preserve"> </w:t>
      </w:r>
      <w:hyperlink r:id="rId26" w:history="1">
        <w:r w:rsidRPr="00C94AA6">
          <w:rPr>
            <w:rStyle w:val="Hipercze"/>
            <w:rFonts w:ascii="Arial" w:hAnsi="Arial" w:cs="Arial"/>
            <w:b/>
            <w:sz w:val="20"/>
            <w:szCs w:val="20"/>
          </w:rPr>
          <w:t>http://www.mf.gov.pl/documents/764034/1002148/metodologia+wersja+polska2001.pdf</w:t>
        </w:r>
      </w:hyperlink>
    </w:p>
    <w:p w:rsidR="003262D7" w:rsidRPr="00D1237C" w:rsidRDefault="003262D7" w:rsidP="006652E2">
      <w:pPr>
        <w:widowControl w:val="0"/>
        <w:autoSpaceDE w:val="0"/>
        <w:autoSpaceDN w:val="0"/>
        <w:adjustRightInd w:val="0"/>
        <w:spacing w:before="360" w:after="120" w:line="360" w:lineRule="auto"/>
        <w:jc w:val="both"/>
        <w:rPr>
          <w:rFonts w:ascii="Arial" w:hAnsi="Arial" w:cs="Arial"/>
          <w:b/>
          <w:color w:val="E31837"/>
          <w:sz w:val="24"/>
          <w:szCs w:val="24"/>
        </w:rPr>
      </w:pPr>
      <w:r w:rsidRPr="00D1237C">
        <w:rPr>
          <w:rFonts w:ascii="Arial" w:hAnsi="Arial" w:cs="Arial"/>
          <w:b/>
          <w:color w:val="E31837"/>
          <w:sz w:val="24"/>
          <w:szCs w:val="24"/>
        </w:rPr>
        <w:t xml:space="preserve">Sektor instytucji rządowych i samorządowych wg ESA2010 </w:t>
      </w:r>
    </w:p>
    <w:p w:rsidR="003262D7" w:rsidRPr="007837F6" w:rsidRDefault="003262D7" w:rsidP="009756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 w:rsidRPr="007837F6">
        <w:rPr>
          <w:rFonts w:ascii="Arial" w:hAnsi="Arial" w:cs="Arial"/>
          <w:b/>
          <w:color w:val="ADAFB2"/>
          <w:sz w:val="20"/>
          <w:szCs w:val="20"/>
        </w:rPr>
        <w:t>Od września 2014 r. obowiązuje nowy europejski system rachunków narodowych i regionalnych ESA2010,</w:t>
      </w:r>
      <w:r>
        <w:rPr>
          <w:rFonts w:ascii="Arial" w:hAnsi="Arial" w:cs="Arial"/>
          <w:b/>
          <w:color w:val="ADAFB2"/>
          <w:sz w:val="20"/>
          <w:szCs w:val="20"/>
        </w:rPr>
        <w:t xml:space="preserve"> zgodnie z Rozporządzeniem PE i </w:t>
      </w:r>
      <w:r w:rsidRPr="007837F6">
        <w:rPr>
          <w:rFonts w:ascii="Arial" w:hAnsi="Arial" w:cs="Arial"/>
          <w:b/>
          <w:color w:val="ADAFB2"/>
          <w:sz w:val="20"/>
          <w:szCs w:val="20"/>
        </w:rPr>
        <w:t xml:space="preserve">Rady UE nr 549/2013 z dnia 21 maja 2013 r. Zakres sektora instytucji rządowych i samorządowych wg ESA2010 jest tożsamy z zakresem tego sektora wg GFSM2001. Obejmuje on trzy podsektory: dwa z nich: podsektor instytucji rządowych na szczeblu centralnym oraz podsektor funduszy ubezpieczeń społecznych odpowiadają zakresowi szczebla centralnego wg GFSM2001, a pozostałym jest podsektor instytucji samorządowych na szczeblu lokalnym. Dane ESA2010 </w:t>
      </w:r>
      <w:r>
        <w:rPr>
          <w:rFonts w:ascii="Arial" w:hAnsi="Arial" w:cs="Arial"/>
          <w:b/>
          <w:color w:val="ADAFB2"/>
          <w:sz w:val="20"/>
          <w:szCs w:val="20"/>
        </w:rPr>
        <w:t>są prezentowane, podobnie jak w </w:t>
      </w:r>
      <w:r w:rsidRPr="007837F6">
        <w:rPr>
          <w:rFonts w:ascii="Arial" w:hAnsi="Arial" w:cs="Arial"/>
          <w:b/>
          <w:color w:val="ADAFB2"/>
          <w:sz w:val="20"/>
          <w:szCs w:val="20"/>
        </w:rPr>
        <w:t>GFSM2001, po eliminacji wewnętrznych przepływów, jednak różnią się od danych GFSM2001 odmienną koncepcją rachunkową (są to dane memoriałowe, z pewnymi dostosowaniami) oraz odmienną klasyfikacją niektórych transakcji. Deficyt</w:t>
      </w:r>
      <w:r>
        <w:rPr>
          <w:rFonts w:ascii="Arial" w:hAnsi="Arial" w:cs="Arial"/>
          <w:b/>
          <w:color w:val="ADAFB2"/>
          <w:sz w:val="20"/>
          <w:szCs w:val="20"/>
        </w:rPr>
        <w:t xml:space="preserve"> sektora instytucji rządowych i </w:t>
      </w:r>
      <w:r w:rsidRPr="007837F6">
        <w:rPr>
          <w:rFonts w:ascii="Arial" w:hAnsi="Arial" w:cs="Arial"/>
          <w:b/>
          <w:color w:val="ADAFB2"/>
          <w:sz w:val="20"/>
          <w:szCs w:val="20"/>
        </w:rPr>
        <w:t>samorządowych obliczony wedłu</w:t>
      </w:r>
      <w:r>
        <w:rPr>
          <w:rFonts w:ascii="Arial" w:hAnsi="Arial" w:cs="Arial"/>
          <w:b/>
          <w:color w:val="ADAFB2"/>
          <w:sz w:val="20"/>
          <w:szCs w:val="20"/>
        </w:rPr>
        <w:t>g zasad ESA2010 stanowi jeden z </w:t>
      </w:r>
      <w:r w:rsidRPr="007837F6">
        <w:rPr>
          <w:rFonts w:ascii="Arial" w:hAnsi="Arial" w:cs="Arial"/>
          <w:b/>
          <w:color w:val="ADAFB2"/>
          <w:sz w:val="20"/>
          <w:szCs w:val="20"/>
        </w:rPr>
        <w:t>elementów kryterium fiskaln</w:t>
      </w:r>
      <w:r w:rsidR="00A82C2A">
        <w:rPr>
          <w:rFonts w:ascii="Arial" w:hAnsi="Arial" w:cs="Arial"/>
          <w:b/>
          <w:color w:val="ADAFB2"/>
          <w:sz w:val="20"/>
          <w:szCs w:val="20"/>
        </w:rPr>
        <w:t xml:space="preserve">ego z </w:t>
      </w:r>
      <w:proofErr w:type="spellStart"/>
      <w:r w:rsidR="00A82C2A">
        <w:rPr>
          <w:rFonts w:ascii="Arial" w:hAnsi="Arial" w:cs="Arial"/>
          <w:b/>
          <w:color w:val="ADAFB2"/>
          <w:sz w:val="20"/>
          <w:szCs w:val="20"/>
        </w:rPr>
        <w:t>Maastricht</w:t>
      </w:r>
      <w:proofErr w:type="spellEnd"/>
      <w:r w:rsidR="00A82C2A">
        <w:rPr>
          <w:rFonts w:ascii="Arial" w:hAnsi="Arial" w:cs="Arial"/>
          <w:b/>
          <w:color w:val="ADAFB2"/>
          <w:sz w:val="20"/>
          <w:szCs w:val="20"/>
        </w:rPr>
        <w:t xml:space="preserve"> (drugim jest dł</w:t>
      </w:r>
      <w:r w:rsidRPr="007837F6">
        <w:rPr>
          <w:rFonts w:ascii="Arial" w:hAnsi="Arial" w:cs="Arial"/>
          <w:b/>
          <w:color w:val="ADAFB2"/>
          <w:sz w:val="20"/>
          <w:szCs w:val="20"/>
        </w:rPr>
        <w:t>ug tego sektora).</w:t>
      </w:r>
    </w:p>
    <w:p w:rsidR="003262D7" w:rsidRPr="007837F6" w:rsidRDefault="003262D7" w:rsidP="009756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 w:rsidRPr="007837F6">
        <w:rPr>
          <w:rFonts w:ascii="Arial" w:hAnsi="Arial" w:cs="Arial"/>
          <w:b/>
          <w:color w:val="ADAFB2"/>
          <w:sz w:val="20"/>
          <w:szCs w:val="20"/>
        </w:rPr>
        <w:t>Rozporządzenie dostępne</w:t>
      </w:r>
      <w:r w:rsidRPr="007837F6">
        <w:rPr>
          <w:rFonts w:ascii="Arial" w:hAnsi="Arial" w:cs="Arial"/>
          <w:b/>
          <w:color w:val="ADAFB2"/>
          <w:sz w:val="24"/>
          <w:szCs w:val="24"/>
        </w:rPr>
        <w:t>:</w:t>
      </w:r>
      <w:r>
        <w:rPr>
          <w:rFonts w:ascii="Arial" w:hAnsi="Arial" w:cs="Arial"/>
          <w:b/>
          <w:color w:val="ADAFB2"/>
          <w:sz w:val="24"/>
          <w:szCs w:val="24"/>
        </w:rPr>
        <w:t xml:space="preserve"> </w:t>
      </w:r>
      <w:hyperlink r:id="rId27" w:history="1">
        <w:r w:rsidRPr="00442CC9">
          <w:rPr>
            <w:rStyle w:val="Hipercze"/>
            <w:rFonts w:ascii="Arial" w:hAnsi="Arial" w:cs="Arial"/>
            <w:b/>
            <w:sz w:val="20"/>
            <w:szCs w:val="20"/>
          </w:rPr>
          <w:t>http://stat.gov.pl/obszary-tematyczne/rachunki-narodowe/europejski-system-rachunkow-narodowych-i-regionalnych-esa-2010/rozporzadzenie-parlamentu-europejskiego-i-rady-ue-nr-5492013-z-dnia-21-maja-2013-r-,1,1.html</w:t>
        </w:r>
      </w:hyperlink>
      <w:r w:rsidRPr="007837F6">
        <w:rPr>
          <w:rFonts w:ascii="Arial" w:hAnsi="Arial" w:cs="Arial"/>
          <w:b/>
          <w:color w:val="ADAFB2"/>
          <w:sz w:val="20"/>
          <w:szCs w:val="20"/>
        </w:rPr>
        <w:t>.</w:t>
      </w:r>
      <w:r>
        <w:rPr>
          <w:rFonts w:ascii="Arial" w:hAnsi="Arial" w:cs="Arial"/>
          <w:b/>
          <w:color w:val="ADAFB2"/>
          <w:sz w:val="20"/>
          <w:szCs w:val="20"/>
        </w:rPr>
        <w:t xml:space="preserve"> </w:t>
      </w:r>
    </w:p>
    <w:p w:rsidR="003262D7" w:rsidRDefault="003262D7" w:rsidP="003262D7">
      <w:pPr>
        <w:widowControl w:val="0"/>
        <w:autoSpaceDE w:val="0"/>
        <w:autoSpaceDN w:val="0"/>
        <w:adjustRightInd w:val="0"/>
        <w:spacing w:before="240" w:after="280" w:line="360" w:lineRule="auto"/>
        <w:jc w:val="both"/>
        <w:rPr>
          <w:rFonts w:ascii="Arial" w:hAnsi="Arial" w:cs="Arial"/>
          <w:sz w:val="18"/>
          <w:szCs w:val="18"/>
        </w:rPr>
      </w:pPr>
    </w:p>
    <w:p w:rsidR="005B7F4B" w:rsidRDefault="005B7F4B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</w:rPr>
      </w:pPr>
    </w:p>
    <w:p w:rsidR="00804DD1" w:rsidRDefault="00804DD1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</w:rPr>
      </w:pPr>
    </w:p>
    <w:p w:rsidR="00C2261E" w:rsidRDefault="000404D4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pl-PL"/>
        </w:rPr>
        <w:drawing>
          <wp:anchor distT="0" distB="0" distL="114300" distR="114300" simplePos="0" relativeHeight="251656704" behindDoc="1" locked="0" layoutInCell="1" allowOverlap="1" wp14:anchorId="12A98269" wp14:editId="0BFCA4AE">
            <wp:simplePos x="0" y="0"/>
            <wp:positionH relativeFrom="column">
              <wp:posOffset>2724150</wp:posOffset>
            </wp:positionH>
            <wp:positionV relativeFrom="paragraph">
              <wp:posOffset>-457200</wp:posOffset>
            </wp:positionV>
            <wp:extent cx="802640" cy="767715"/>
            <wp:effectExtent l="0" t="0" r="0" b="0"/>
            <wp:wrapNone/>
            <wp:docPr id="9" name="Picture 0" descr="m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f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61E" w:rsidRDefault="00C2261E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</w:rPr>
      </w:pPr>
    </w:p>
    <w:p w:rsidR="005B7F4B" w:rsidRDefault="005B7F4B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</w:rPr>
      </w:pPr>
    </w:p>
    <w:p w:rsidR="00EB6D6D" w:rsidRDefault="00EB6D6D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</w:rPr>
      </w:pPr>
    </w:p>
    <w:p w:rsidR="005B7F4B" w:rsidRDefault="005B7F4B" w:rsidP="00A3676D">
      <w:pPr>
        <w:pStyle w:val="Nagwek1"/>
        <w:jc w:val="center"/>
        <w:rPr>
          <w:rFonts w:ascii="Arial" w:hAnsi="Arial" w:cs="Arial"/>
          <w:color w:val="E31837"/>
          <w:sz w:val="40"/>
          <w:szCs w:val="40"/>
        </w:rPr>
      </w:pPr>
      <w:bookmarkStart w:id="15" w:name="_Toc9504519"/>
      <w:r w:rsidRPr="00A3676D">
        <w:rPr>
          <w:rFonts w:ascii="Arial" w:hAnsi="Arial" w:cs="Arial"/>
          <w:color w:val="E31837"/>
          <w:sz w:val="40"/>
          <w:szCs w:val="40"/>
        </w:rPr>
        <w:t xml:space="preserve">ANEKS </w:t>
      </w:r>
      <w:r w:rsidR="00A3676D" w:rsidRPr="00A3676D">
        <w:rPr>
          <w:rFonts w:ascii="Arial" w:hAnsi="Arial" w:cs="Arial"/>
          <w:color w:val="E31837"/>
          <w:sz w:val="40"/>
          <w:szCs w:val="40"/>
        </w:rPr>
        <w:t xml:space="preserve"> </w:t>
      </w:r>
      <w:r w:rsidRPr="00A3676D">
        <w:rPr>
          <w:rFonts w:ascii="Arial" w:hAnsi="Arial" w:cs="Arial"/>
          <w:color w:val="E31837"/>
          <w:sz w:val="40"/>
          <w:szCs w:val="40"/>
        </w:rPr>
        <w:t>STATYSTYCZNY</w:t>
      </w:r>
      <w:bookmarkEnd w:id="15"/>
      <w:r w:rsidR="009F1CD8">
        <w:rPr>
          <w:rFonts w:ascii="Arial" w:hAnsi="Arial" w:cs="Arial"/>
          <w:color w:val="E31837"/>
          <w:sz w:val="40"/>
          <w:szCs w:val="40"/>
        </w:rPr>
        <w:t xml:space="preserve"> </w:t>
      </w:r>
      <w:r w:rsidR="00A10DA3">
        <w:rPr>
          <w:rFonts w:ascii="Arial" w:hAnsi="Arial" w:cs="Arial"/>
          <w:color w:val="E31837"/>
          <w:sz w:val="40"/>
          <w:szCs w:val="40"/>
        </w:rPr>
        <w:br/>
      </w:r>
    </w:p>
    <w:p w:rsidR="00E120D2" w:rsidRDefault="00E120D2" w:rsidP="00E120D2"/>
    <w:p w:rsidR="00E120D2" w:rsidRPr="00E120D2" w:rsidRDefault="00E120D2" w:rsidP="00E120D2"/>
    <w:p w:rsidR="00E120D2" w:rsidRPr="009567F0" w:rsidRDefault="00E120D2" w:rsidP="009567F0"/>
    <w:p w:rsidR="009567F0" w:rsidRDefault="009567F0" w:rsidP="009567F0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E31837"/>
          <w:sz w:val="28"/>
          <w:szCs w:val="28"/>
        </w:rPr>
      </w:pPr>
      <w:r w:rsidRPr="00D80F1C">
        <w:rPr>
          <w:rFonts w:ascii="Arial" w:hAnsi="Arial" w:cs="Arial"/>
          <w:b/>
          <w:color w:val="E31837"/>
          <w:sz w:val="28"/>
          <w:szCs w:val="28"/>
        </w:rPr>
        <w:t>SPIS T</w:t>
      </w:r>
      <w:r w:rsidR="009F1CD8">
        <w:rPr>
          <w:rFonts w:ascii="Arial" w:hAnsi="Arial" w:cs="Arial"/>
          <w:b/>
          <w:color w:val="E31837"/>
          <w:sz w:val="28"/>
          <w:szCs w:val="28"/>
        </w:rPr>
        <w:t>ABLIC</w:t>
      </w:r>
    </w:p>
    <w:p w:rsidR="009567F0" w:rsidRPr="007910F9" w:rsidRDefault="009F1CD8" w:rsidP="009F1CD8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910F9">
        <w:rPr>
          <w:rFonts w:ascii="Arial" w:hAnsi="Arial" w:cs="Arial"/>
          <w:b/>
          <w:color w:val="ADAFB2"/>
          <w:sz w:val="20"/>
          <w:szCs w:val="20"/>
        </w:rPr>
        <w:t>Tablica 1</w:t>
      </w:r>
      <w:r w:rsidRPr="007910F9">
        <w:rPr>
          <w:rFonts w:ascii="Arial" w:hAnsi="Arial" w:cs="Arial"/>
          <w:b/>
          <w:color w:val="ADAFB2"/>
          <w:sz w:val="20"/>
          <w:szCs w:val="20"/>
        </w:rPr>
        <w:tab/>
      </w:r>
      <w:r w:rsidR="009567F0" w:rsidRPr="007910F9">
        <w:rPr>
          <w:rFonts w:ascii="Arial" w:hAnsi="Arial" w:cs="Arial"/>
          <w:b/>
          <w:color w:val="ADAFB2"/>
          <w:sz w:val="20"/>
          <w:szCs w:val="20"/>
        </w:rPr>
        <w:t>Podstawowe wskaźniki makroekonomiczne</w:t>
      </w:r>
    </w:p>
    <w:p w:rsidR="009567F0" w:rsidRPr="007910F9" w:rsidRDefault="009F1CD8" w:rsidP="009F1CD8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910F9">
        <w:rPr>
          <w:rFonts w:ascii="Arial" w:hAnsi="Arial" w:cs="Arial"/>
          <w:b/>
          <w:color w:val="ADAFB2"/>
          <w:sz w:val="20"/>
          <w:szCs w:val="20"/>
        </w:rPr>
        <w:t>Tablice 2</w:t>
      </w:r>
      <w:r w:rsidR="007910F9">
        <w:rPr>
          <w:rFonts w:ascii="Arial" w:hAnsi="Arial" w:cs="Arial"/>
          <w:b/>
          <w:color w:val="ADAFB2"/>
          <w:sz w:val="20"/>
          <w:szCs w:val="20"/>
        </w:rPr>
        <w:t xml:space="preserve">- </w:t>
      </w:r>
      <w:r w:rsidRPr="007910F9">
        <w:rPr>
          <w:rFonts w:ascii="Arial" w:hAnsi="Arial" w:cs="Arial"/>
          <w:b/>
          <w:color w:val="ADAFB2"/>
          <w:sz w:val="20"/>
          <w:szCs w:val="20"/>
        </w:rPr>
        <w:t>5</w:t>
      </w:r>
      <w:r w:rsidRPr="007910F9">
        <w:rPr>
          <w:rFonts w:ascii="Arial" w:hAnsi="Arial" w:cs="Arial"/>
          <w:b/>
          <w:color w:val="ADAFB2"/>
          <w:sz w:val="20"/>
          <w:szCs w:val="20"/>
        </w:rPr>
        <w:tab/>
      </w:r>
      <w:r w:rsidR="009567F0" w:rsidRPr="007910F9">
        <w:rPr>
          <w:rFonts w:ascii="Arial" w:hAnsi="Arial" w:cs="Arial"/>
          <w:b/>
          <w:color w:val="ADAFB2"/>
          <w:sz w:val="20"/>
          <w:szCs w:val="20"/>
        </w:rPr>
        <w:t>Podstawowe dane z zakresu finansów publicznych (wg. ESA</w:t>
      </w:r>
      <w:r w:rsidRPr="007910F9">
        <w:rPr>
          <w:rFonts w:ascii="Arial" w:hAnsi="Arial" w:cs="Arial"/>
          <w:b/>
          <w:color w:val="ADAFB2"/>
          <w:sz w:val="20"/>
          <w:szCs w:val="20"/>
        </w:rPr>
        <w:t xml:space="preserve"> </w:t>
      </w:r>
      <w:r w:rsidR="009567F0" w:rsidRPr="007910F9">
        <w:rPr>
          <w:rFonts w:ascii="Arial" w:hAnsi="Arial" w:cs="Arial"/>
          <w:b/>
          <w:color w:val="ADAFB2"/>
          <w:sz w:val="20"/>
          <w:szCs w:val="20"/>
        </w:rPr>
        <w:t>2010) sektor instytucji rządowych i samorządowych</w:t>
      </w:r>
    </w:p>
    <w:p w:rsidR="009567F0" w:rsidRPr="007910F9" w:rsidRDefault="009F1CD8" w:rsidP="009F1CD8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910F9">
        <w:rPr>
          <w:rFonts w:ascii="Arial" w:hAnsi="Arial" w:cs="Arial"/>
          <w:b/>
          <w:color w:val="ADAFB2"/>
          <w:sz w:val="20"/>
          <w:szCs w:val="20"/>
        </w:rPr>
        <w:t>Tablice 6</w:t>
      </w:r>
      <w:r w:rsidR="007910F9">
        <w:rPr>
          <w:rFonts w:ascii="Arial" w:hAnsi="Arial" w:cs="Arial"/>
          <w:b/>
          <w:color w:val="ADAFB2"/>
          <w:sz w:val="20"/>
          <w:szCs w:val="20"/>
        </w:rPr>
        <w:t xml:space="preserve">- </w:t>
      </w:r>
      <w:r w:rsidRPr="007910F9">
        <w:rPr>
          <w:rFonts w:ascii="Arial" w:hAnsi="Arial" w:cs="Arial"/>
          <w:b/>
          <w:color w:val="ADAFB2"/>
          <w:sz w:val="20"/>
          <w:szCs w:val="20"/>
        </w:rPr>
        <w:t>9</w:t>
      </w:r>
      <w:r w:rsidRPr="007910F9">
        <w:rPr>
          <w:rFonts w:ascii="Arial" w:hAnsi="Arial" w:cs="Arial"/>
          <w:b/>
          <w:color w:val="ADAFB2"/>
          <w:sz w:val="20"/>
          <w:szCs w:val="20"/>
        </w:rPr>
        <w:tab/>
      </w:r>
      <w:r w:rsidR="009567F0" w:rsidRPr="007910F9">
        <w:rPr>
          <w:rFonts w:ascii="Arial" w:hAnsi="Arial" w:cs="Arial"/>
          <w:b/>
          <w:color w:val="ADAFB2"/>
          <w:sz w:val="20"/>
          <w:szCs w:val="20"/>
        </w:rPr>
        <w:t>Podstawowe dane z zakresu finansów publicznych (wg. sprawozdawczości krajowej) budżet państwa</w:t>
      </w:r>
    </w:p>
    <w:p w:rsidR="00D074C7" w:rsidRPr="007910F9" w:rsidRDefault="00D074C7" w:rsidP="00D074C7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910F9">
        <w:rPr>
          <w:rFonts w:ascii="Arial" w:hAnsi="Arial" w:cs="Arial"/>
          <w:b/>
          <w:color w:val="ADAFB2"/>
          <w:sz w:val="20"/>
          <w:szCs w:val="20"/>
        </w:rPr>
        <w:t>Tablice 10</w:t>
      </w:r>
      <w:r>
        <w:rPr>
          <w:rFonts w:ascii="Arial" w:hAnsi="Arial" w:cs="Arial"/>
          <w:b/>
          <w:color w:val="ADAFB2"/>
          <w:sz w:val="20"/>
          <w:szCs w:val="20"/>
        </w:rPr>
        <w:t>- 1</w:t>
      </w:r>
      <w:r w:rsidR="00D77A4A">
        <w:rPr>
          <w:rFonts w:ascii="Arial" w:hAnsi="Arial" w:cs="Arial"/>
          <w:b/>
          <w:color w:val="ADAFB2"/>
          <w:sz w:val="20"/>
          <w:szCs w:val="20"/>
        </w:rPr>
        <w:t>2</w:t>
      </w:r>
      <w:r w:rsidRPr="007910F9">
        <w:rPr>
          <w:rFonts w:ascii="Arial" w:hAnsi="Arial" w:cs="Arial"/>
          <w:b/>
          <w:color w:val="ADAFB2"/>
          <w:sz w:val="20"/>
          <w:szCs w:val="20"/>
        </w:rPr>
        <w:tab/>
        <w:t xml:space="preserve">Podstawowe dane z zakresu finansów publicznych </w:t>
      </w:r>
      <w:r>
        <w:rPr>
          <w:rFonts w:ascii="Arial" w:hAnsi="Arial" w:cs="Arial"/>
          <w:b/>
          <w:color w:val="ADAFB2"/>
          <w:sz w:val="20"/>
          <w:szCs w:val="20"/>
        </w:rPr>
        <w:t>–</w:t>
      </w:r>
      <w:r w:rsidRPr="007910F9">
        <w:rPr>
          <w:rFonts w:ascii="Arial" w:hAnsi="Arial" w:cs="Arial"/>
          <w:b/>
          <w:color w:val="ADAFB2"/>
          <w:sz w:val="20"/>
          <w:szCs w:val="20"/>
        </w:rPr>
        <w:t xml:space="preserve"> </w:t>
      </w:r>
      <w:r>
        <w:rPr>
          <w:rFonts w:ascii="Arial" w:hAnsi="Arial" w:cs="Arial"/>
          <w:b/>
          <w:color w:val="ADAFB2"/>
          <w:sz w:val="20"/>
          <w:szCs w:val="20"/>
        </w:rPr>
        <w:t>jednostki samorządu terytorialnego</w:t>
      </w:r>
      <w:r w:rsidRPr="007910F9">
        <w:rPr>
          <w:rFonts w:ascii="Arial" w:hAnsi="Arial" w:cs="Arial"/>
          <w:b/>
          <w:color w:val="ADAFB2"/>
          <w:sz w:val="20"/>
          <w:szCs w:val="20"/>
        </w:rPr>
        <w:t xml:space="preserve"> </w:t>
      </w:r>
    </w:p>
    <w:p w:rsidR="009567F0" w:rsidRPr="007910F9" w:rsidRDefault="009F1CD8" w:rsidP="009F1CD8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910F9">
        <w:rPr>
          <w:rFonts w:ascii="Arial" w:hAnsi="Arial" w:cs="Arial"/>
          <w:b/>
          <w:color w:val="ADAFB2"/>
          <w:sz w:val="20"/>
          <w:szCs w:val="20"/>
        </w:rPr>
        <w:t>Tablice 1</w:t>
      </w:r>
      <w:r w:rsidR="00D77A4A">
        <w:rPr>
          <w:rFonts w:ascii="Arial" w:hAnsi="Arial" w:cs="Arial"/>
          <w:b/>
          <w:color w:val="ADAFB2"/>
          <w:sz w:val="20"/>
          <w:szCs w:val="20"/>
        </w:rPr>
        <w:t>3</w:t>
      </w:r>
      <w:r w:rsidR="007910F9">
        <w:rPr>
          <w:rFonts w:ascii="Arial" w:hAnsi="Arial" w:cs="Arial"/>
          <w:b/>
          <w:color w:val="ADAFB2"/>
          <w:sz w:val="20"/>
          <w:szCs w:val="20"/>
        </w:rPr>
        <w:t>- 1</w:t>
      </w:r>
      <w:r w:rsidR="00D77A4A">
        <w:rPr>
          <w:rFonts w:ascii="Arial" w:hAnsi="Arial" w:cs="Arial"/>
          <w:b/>
          <w:color w:val="ADAFB2"/>
          <w:sz w:val="20"/>
          <w:szCs w:val="20"/>
        </w:rPr>
        <w:t>9</w:t>
      </w:r>
      <w:r w:rsidRPr="007910F9">
        <w:rPr>
          <w:rFonts w:ascii="Arial" w:hAnsi="Arial" w:cs="Arial"/>
          <w:b/>
          <w:color w:val="ADAFB2"/>
          <w:sz w:val="20"/>
          <w:szCs w:val="20"/>
        </w:rPr>
        <w:tab/>
      </w:r>
      <w:r w:rsidR="009567F0" w:rsidRPr="007910F9">
        <w:rPr>
          <w:rFonts w:ascii="Arial" w:hAnsi="Arial" w:cs="Arial"/>
          <w:b/>
          <w:color w:val="ADAFB2"/>
          <w:sz w:val="20"/>
          <w:szCs w:val="20"/>
        </w:rPr>
        <w:t xml:space="preserve">Podstawowe dane z zakresu finansów publicznych - Państwowe fundusze celowe </w:t>
      </w:r>
    </w:p>
    <w:p w:rsidR="009567F0" w:rsidRPr="007910F9" w:rsidRDefault="009F1CD8" w:rsidP="009F1CD8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910F9">
        <w:rPr>
          <w:rFonts w:ascii="Arial" w:hAnsi="Arial" w:cs="Arial"/>
          <w:b/>
          <w:color w:val="ADAFB2"/>
          <w:sz w:val="20"/>
          <w:szCs w:val="20"/>
        </w:rPr>
        <w:t xml:space="preserve">Tablice </w:t>
      </w:r>
      <w:r w:rsidR="00D77A4A">
        <w:rPr>
          <w:rFonts w:ascii="Arial" w:hAnsi="Arial" w:cs="Arial"/>
          <w:b/>
          <w:color w:val="ADAFB2"/>
          <w:sz w:val="20"/>
          <w:szCs w:val="20"/>
        </w:rPr>
        <w:t>20</w:t>
      </w:r>
      <w:r w:rsidR="007910F9">
        <w:rPr>
          <w:rFonts w:ascii="Arial" w:hAnsi="Arial" w:cs="Arial"/>
          <w:b/>
          <w:color w:val="ADAFB2"/>
          <w:sz w:val="20"/>
          <w:szCs w:val="20"/>
        </w:rPr>
        <w:t xml:space="preserve">- </w:t>
      </w:r>
      <w:r w:rsidR="00D77A4A">
        <w:rPr>
          <w:rFonts w:ascii="Arial" w:hAnsi="Arial" w:cs="Arial"/>
          <w:b/>
          <w:color w:val="ADAFB2"/>
          <w:sz w:val="20"/>
          <w:szCs w:val="20"/>
        </w:rPr>
        <w:t>22</w:t>
      </w:r>
      <w:r w:rsidRPr="007910F9">
        <w:rPr>
          <w:rFonts w:ascii="Arial" w:hAnsi="Arial" w:cs="Arial"/>
          <w:b/>
          <w:color w:val="ADAFB2"/>
          <w:sz w:val="20"/>
          <w:szCs w:val="20"/>
        </w:rPr>
        <w:tab/>
      </w:r>
      <w:r w:rsidR="009567F0" w:rsidRPr="007910F9">
        <w:rPr>
          <w:rFonts w:ascii="Arial" w:hAnsi="Arial" w:cs="Arial"/>
          <w:b/>
          <w:color w:val="ADAFB2"/>
          <w:sz w:val="20"/>
          <w:szCs w:val="20"/>
        </w:rPr>
        <w:t xml:space="preserve">Podstawowe dane z zakresu finansów publicznych (wg. metodologii GFSM2001) </w:t>
      </w:r>
    </w:p>
    <w:p w:rsidR="009567F0" w:rsidRPr="007910F9" w:rsidRDefault="009F1CD8" w:rsidP="009F1CD8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910F9">
        <w:rPr>
          <w:rFonts w:ascii="Arial" w:hAnsi="Arial" w:cs="Arial"/>
          <w:b/>
          <w:color w:val="ADAFB2"/>
          <w:sz w:val="20"/>
          <w:szCs w:val="20"/>
        </w:rPr>
        <w:t>Tablice 2</w:t>
      </w:r>
      <w:r w:rsidR="00D77A4A">
        <w:rPr>
          <w:rFonts w:ascii="Arial" w:hAnsi="Arial" w:cs="Arial"/>
          <w:b/>
          <w:color w:val="ADAFB2"/>
          <w:sz w:val="20"/>
          <w:szCs w:val="20"/>
        </w:rPr>
        <w:t>3</w:t>
      </w:r>
      <w:r w:rsidRPr="007910F9">
        <w:rPr>
          <w:rFonts w:ascii="Arial" w:hAnsi="Arial" w:cs="Arial"/>
          <w:b/>
          <w:color w:val="ADAFB2"/>
          <w:sz w:val="20"/>
          <w:szCs w:val="20"/>
        </w:rPr>
        <w:t>-</w:t>
      </w:r>
      <w:r w:rsidR="007910F9">
        <w:rPr>
          <w:rFonts w:ascii="Arial" w:hAnsi="Arial" w:cs="Arial"/>
          <w:b/>
          <w:color w:val="ADAFB2"/>
          <w:sz w:val="20"/>
          <w:szCs w:val="20"/>
        </w:rPr>
        <w:t xml:space="preserve"> </w:t>
      </w:r>
      <w:r w:rsidRPr="007910F9">
        <w:rPr>
          <w:rFonts w:ascii="Arial" w:hAnsi="Arial" w:cs="Arial"/>
          <w:b/>
          <w:color w:val="ADAFB2"/>
          <w:sz w:val="20"/>
          <w:szCs w:val="20"/>
        </w:rPr>
        <w:t>2</w:t>
      </w:r>
      <w:r w:rsidR="00D77A4A">
        <w:rPr>
          <w:rFonts w:ascii="Arial" w:hAnsi="Arial" w:cs="Arial"/>
          <w:b/>
          <w:color w:val="ADAFB2"/>
          <w:sz w:val="20"/>
          <w:szCs w:val="20"/>
        </w:rPr>
        <w:t>4</w:t>
      </w:r>
      <w:r w:rsidRPr="007910F9">
        <w:rPr>
          <w:rFonts w:ascii="Arial" w:hAnsi="Arial" w:cs="Arial"/>
          <w:b/>
          <w:color w:val="ADAFB2"/>
          <w:sz w:val="20"/>
          <w:szCs w:val="20"/>
        </w:rPr>
        <w:tab/>
      </w:r>
      <w:r w:rsidR="009567F0" w:rsidRPr="007910F9">
        <w:rPr>
          <w:rFonts w:ascii="Arial" w:hAnsi="Arial" w:cs="Arial"/>
          <w:b/>
          <w:color w:val="ADAFB2"/>
          <w:sz w:val="20"/>
          <w:szCs w:val="20"/>
        </w:rPr>
        <w:t>Zadłużenie sektora instytucji rządowych i samorządowych</w:t>
      </w:r>
      <w:r w:rsidRPr="007910F9">
        <w:rPr>
          <w:rFonts w:ascii="Arial" w:hAnsi="Arial" w:cs="Arial"/>
          <w:b/>
          <w:color w:val="ADAFB2"/>
          <w:sz w:val="20"/>
          <w:szCs w:val="20"/>
        </w:rPr>
        <w:t xml:space="preserve"> (wg. ESA 2010)</w:t>
      </w:r>
    </w:p>
    <w:p w:rsidR="009567F0" w:rsidRPr="007910F9" w:rsidRDefault="009F1CD8" w:rsidP="009F1CD8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910F9">
        <w:rPr>
          <w:rFonts w:ascii="Arial" w:hAnsi="Arial" w:cs="Arial"/>
          <w:b/>
          <w:color w:val="ADAFB2"/>
          <w:sz w:val="20"/>
          <w:szCs w:val="20"/>
        </w:rPr>
        <w:t>Tablice 2</w:t>
      </w:r>
      <w:r w:rsidR="00D77A4A">
        <w:rPr>
          <w:rFonts w:ascii="Arial" w:hAnsi="Arial" w:cs="Arial"/>
          <w:b/>
          <w:color w:val="ADAFB2"/>
          <w:sz w:val="20"/>
          <w:szCs w:val="20"/>
        </w:rPr>
        <w:t>5</w:t>
      </w:r>
      <w:r w:rsidRPr="007910F9">
        <w:rPr>
          <w:rFonts w:ascii="Arial" w:hAnsi="Arial" w:cs="Arial"/>
          <w:b/>
          <w:color w:val="ADAFB2"/>
          <w:sz w:val="20"/>
          <w:szCs w:val="20"/>
        </w:rPr>
        <w:t>-</w:t>
      </w:r>
      <w:r w:rsidR="007910F9">
        <w:rPr>
          <w:rFonts w:ascii="Arial" w:hAnsi="Arial" w:cs="Arial"/>
          <w:b/>
          <w:color w:val="ADAFB2"/>
          <w:sz w:val="20"/>
          <w:szCs w:val="20"/>
        </w:rPr>
        <w:t xml:space="preserve"> </w:t>
      </w:r>
      <w:r w:rsidRPr="007910F9">
        <w:rPr>
          <w:rFonts w:ascii="Arial" w:hAnsi="Arial" w:cs="Arial"/>
          <w:b/>
          <w:color w:val="ADAFB2"/>
          <w:sz w:val="20"/>
          <w:szCs w:val="20"/>
        </w:rPr>
        <w:t>2</w:t>
      </w:r>
      <w:r w:rsidR="00D77A4A">
        <w:rPr>
          <w:rFonts w:ascii="Arial" w:hAnsi="Arial" w:cs="Arial"/>
          <w:b/>
          <w:color w:val="ADAFB2"/>
          <w:sz w:val="20"/>
          <w:szCs w:val="20"/>
        </w:rPr>
        <w:t>6</w:t>
      </w:r>
      <w:r w:rsidRPr="007910F9">
        <w:rPr>
          <w:rFonts w:ascii="Arial" w:hAnsi="Arial" w:cs="Arial"/>
          <w:b/>
          <w:color w:val="ADAFB2"/>
          <w:sz w:val="20"/>
          <w:szCs w:val="20"/>
        </w:rPr>
        <w:tab/>
        <w:t xml:space="preserve">Zadłużenie sektora finansów publicznych – Państwowy </w:t>
      </w:r>
      <w:r w:rsidR="00740A4E">
        <w:rPr>
          <w:rFonts w:ascii="Arial" w:hAnsi="Arial" w:cs="Arial"/>
          <w:b/>
          <w:color w:val="ADAFB2"/>
          <w:sz w:val="20"/>
          <w:szCs w:val="20"/>
        </w:rPr>
        <w:t>D</w:t>
      </w:r>
      <w:r w:rsidRPr="007910F9">
        <w:rPr>
          <w:rFonts w:ascii="Arial" w:hAnsi="Arial" w:cs="Arial"/>
          <w:b/>
          <w:color w:val="ADAFB2"/>
          <w:sz w:val="20"/>
          <w:szCs w:val="20"/>
        </w:rPr>
        <w:t xml:space="preserve">ług </w:t>
      </w:r>
      <w:r w:rsidR="00740A4E">
        <w:rPr>
          <w:rFonts w:ascii="Arial" w:hAnsi="Arial" w:cs="Arial"/>
          <w:b/>
          <w:color w:val="ADAFB2"/>
          <w:sz w:val="20"/>
          <w:szCs w:val="20"/>
        </w:rPr>
        <w:t>P</w:t>
      </w:r>
      <w:r w:rsidRPr="007910F9">
        <w:rPr>
          <w:rFonts w:ascii="Arial" w:hAnsi="Arial" w:cs="Arial"/>
          <w:b/>
          <w:color w:val="ADAFB2"/>
          <w:sz w:val="20"/>
          <w:szCs w:val="20"/>
        </w:rPr>
        <w:t>ubliczny</w:t>
      </w:r>
    </w:p>
    <w:p w:rsidR="009F1CD8" w:rsidRPr="007910F9" w:rsidRDefault="009F1CD8" w:rsidP="009F1CD8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910F9">
        <w:rPr>
          <w:rFonts w:ascii="Arial" w:hAnsi="Arial" w:cs="Arial"/>
          <w:b/>
          <w:color w:val="ADAFB2"/>
          <w:sz w:val="20"/>
          <w:szCs w:val="20"/>
        </w:rPr>
        <w:t>Tablice 2</w:t>
      </w:r>
      <w:r w:rsidR="00D77A4A">
        <w:rPr>
          <w:rFonts w:ascii="Arial" w:hAnsi="Arial" w:cs="Arial"/>
          <w:b/>
          <w:color w:val="ADAFB2"/>
          <w:sz w:val="20"/>
          <w:szCs w:val="20"/>
        </w:rPr>
        <w:t>7</w:t>
      </w:r>
      <w:r w:rsidRPr="007910F9">
        <w:rPr>
          <w:rFonts w:ascii="Arial" w:hAnsi="Arial" w:cs="Arial"/>
          <w:b/>
          <w:color w:val="ADAFB2"/>
          <w:sz w:val="20"/>
          <w:szCs w:val="20"/>
        </w:rPr>
        <w:t>-</w:t>
      </w:r>
      <w:r w:rsidR="007910F9">
        <w:rPr>
          <w:rFonts w:ascii="Arial" w:hAnsi="Arial" w:cs="Arial"/>
          <w:b/>
          <w:color w:val="ADAFB2"/>
          <w:sz w:val="20"/>
          <w:szCs w:val="20"/>
        </w:rPr>
        <w:t xml:space="preserve"> </w:t>
      </w:r>
      <w:r w:rsidRPr="007910F9">
        <w:rPr>
          <w:rFonts w:ascii="Arial" w:hAnsi="Arial" w:cs="Arial"/>
          <w:b/>
          <w:color w:val="ADAFB2"/>
          <w:sz w:val="20"/>
          <w:szCs w:val="20"/>
        </w:rPr>
        <w:t>2</w:t>
      </w:r>
      <w:r w:rsidR="00D77A4A">
        <w:rPr>
          <w:rFonts w:ascii="Arial" w:hAnsi="Arial" w:cs="Arial"/>
          <w:b/>
          <w:color w:val="ADAFB2"/>
          <w:sz w:val="20"/>
          <w:szCs w:val="20"/>
        </w:rPr>
        <w:t>8</w:t>
      </w:r>
      <w:r w:rsidRPr="007910F9">
        <w:rPr>
          <w:rFonts w:ascii="Arial" w:hAnsi="Arial" w:cs="Arial"/>
          <w:b/>
          <w:color w:val="ADAFB2"/>
          <w:sz w:val="20"/>
          <w:szCs w:val="20"/>
        </w:rPr>
        <w:tab/>
        <w:t xml:space="preserve">Zadłużenie sektora finansów publicznych – </w:t>
      </w:r>
      <w:r w:rsidR="00740A4E">
        <w:rPr>
          <w:rFonts w:ascii="Arial" w:hAnsi="Arial" w:cs="Arial"/>
          <w:b/>
          <w:color w:val="ADAFB2"/>
          <w:sz w:val="20"/>
          <w:szCs w:val="20"/>
        </w:rPr>
        <w:t>Z</w:t>
      </w:r>
      <w:r w:rsidRPr="007910F9">
        <w:rPr>
          <w:rFonts w:ascii="Arial" w:hAnsi="Arial" w:cs="Arial"/>
          <w:b/>
          <w:color w:val="ADAFB2"/>
          <w:sz w:val="20"/>
          <w:szCs w:val="20"/>
        </w:rPr>
        <w:t>adłużenie Skarbu Państwa</w:t>
      </w:r>
    </w:p>
    <w:sectPr w:rsidR="009F1CD8" w:rsidRPr="007910F9" w:rsidSect="006B7502">
      <w:pgSz w:w="11907" w:h="16839" w:code="9"/>
      <w:pgMar w:top="1701" w:right="992" w:bottom="1418" w:left="1134" w:header="709" w:footer="975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74C" w:rsidRDefault="006D274C" w:rsidP="0015295C">
      <w:pPr>
        <w:spacing w:after="0" w:line="240" w:lineRule="auto"/>
      </w:pPr>
      <w:r>
        <w:separator/>
      </w:r>
    </w:p>
  </w:endnote>
  <w:endnote w:type="continuationSeparator" w:id="0">
    <w:p w:rsidR="006D274C" w:rsidRDefault="006D274C" w:rsidP="0015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P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54F" w:rsidRDefault="009B354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9F3" w:rsidRPr="005221F8" w:rsidRDefault="0044114E" w:rsidP="002529F3">
    <w:pPr>
      <w:pStyle w:val="Stopka"/>
      <w:rPr>
        <w:color w:val="ADAFB2"/>
      </w:rPr>
    </w:pPr>
    <w:r>
      <w:rPr>
        <w:color w:val="ADAFB2"/>
      </w:rPr>
      <w:t xml:space="preserve">Informacja kwartalna </w:t>
    </w:r>
    <w:r w:rsidR="002529F3" w:rsidRPr="005221F8">
      <w:rPr>
        <w:color w:val="ADAFB2"/>
      </w:rPr>
      <w:tab/>
    </w:r>
    <w:r w:rsidR="002529F3" w:rsidRPr="005221F8">
      <w:rPr>
        <w:color w:val="ADAFB2"/>
      </w:rPr>
      <w:tab/>
    </w:r>
    <w:r w:rsidR="002529F3" w:rsidRPr="005221F8">
      <w:rPr>
        <w:rStyle w:val="Numerstrony"/>
        <w:color w:val="ADAFB2"/>
      </w:rPr>
      <w:fldChar w:fldCharType="begin"/>
    </w:r>
    <w:r w:rsidR="002529F3" w:rsidRPr="005221F8">
      <w:rPr>
        <w:rStyle w:val="Numerstrony"/>
        <w:color w:val="ADAFB2"/>
      </w:rPr>
      <w:instrText xml:space="preserve"> PAGE </w:instrText>
    </w:r>
    <w:r w:rsidR="002529F3" w:rsidRPr="005221F8">
      <w:rPr>
        <w:rStyle w:val="Numerstrony"/>
        <w:color w:val="ADAFB2"/>
      </w:rPr>
      <w:fldChar w:fldCharType="separate"/>
    </w:r>
    <w:r w:rsidR="00DC784E">
      <w:rPr>
        <w:rStyle w:val="Numerstrony"/>
        <w:noProof/>
        <w:color w:val="ADAFB2"/>
      </w:rPr>
      <w:t>12</w:t>
    </w:r>
    <w:r w:rsidR="002529F3" w:rsidRPr="005221F8">
      <w:rPr>
        <w:rStyle w:val="Numerstrony"/>
        <w:color w:val="ADAFB2"/>
      </w:rPr>
      <w:fldChar w:fldCharType="end"/>
    </w:r>
  </w:p>
  <w:p w:rsidR="002529F3" w:rsidRPr="005221F8" w:rsidRDefault="002529F3" w:rsidP="002529F3">
    <w:pPr>
      <w:pStyle w:val="Stopka"/>
      <w:rPr>
        <w:color w:val="ADAFB2"/>
      </w:rPr>
    </w:pPr>
    <w:r w:rsidRPr="005221F8">
      <w:rPr>
        <w:color w:val="ADAFB2"/>
      </w:rPr>
      <w:t xml:space="preserve">Nr </w:t>
    </w:r>
    <w:r w:rsidR="007B0F5C">
      <w:rPr>
        <w:color w:val="ADAFB2"/>
      </w:rPr>
      <w:t>2</w:t>
    </w:r>
    <w:r w:rsidRPr="005221F8">
      <w:rPr>
        <w:color w:val="ADAFB2"/>
      </w:rPr>
      <w:t xml:space="preserve"> / 201</w:t>
    </w:r>
    <w:r w:rsidR="00C02862">
      <w:rPr>
        <w:color w:val="ADAFB2"/>
      </w:rPr>
      <w:t>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54F" w:rsidRDefault="009B354F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960" w:rsidRDefault="00432960" w:rsidP="00D44B43">
    <w:pPr>
      <w:pStyle w:val="Stopka"/>
      <w:rPr>
        <w:color w:val="ADAFB2"/>
      </w:rPr>
    </w:pPr>
  </w:p>
  <w:p w:rsidR="0081680F" w:rsidRPr="005221F8" w:rsidRDefault="00607B5E" w:rsidP="00D44B43">
    <w:pPr>
      <w:pStyle w:val="Stopka"/>
      <w:rPr>
        <w:color w:val="ADAFB2"/>
      </w:rPr>
    </w:pPr>
    <w:r>
      <w:rPr>
        <w:color w:val="ADAFB2"/>
      </w:rPr>
      <w:t>Informacja kwartalna</w:t>
    </w:r>
    <w:r w:rsidR="0081680F" w:rsidRPr="005221F8">
      <w:rPr>
        <w:color w:val="ADAFB2"/>
      </w:rPr>
      <w:tab/>
    </w:r>
    <w:r w:rsidR="0081680F" w:rsidRPr="005221F8">
      <w:rPr>
        <w:color w:val="ADAFB2"/>
      </w:rPr>
      <w:tab/>
    </w:r>
    <w:r w:rsidR="0081680F" w:rsidRPr="005221F8">
      <w:rPr>
        <w:rStyle w:val="Numerstrony"/>
        <w:color w:val="ADAFB2"/>
      </w:rPr>
      <w:fldChar w:fldCharType="begin"/>
    </w:r>
    <w:r w:rsidR="0081680F" w:rsidRPr="005221F8">
      <w:rPr>
        <w:rStyle w:val="Numerstrony"/>
        <w:color w:val="ADAFB2"/>
      </w:rPr>
      <w:instrText xml:space="preserve"> PAGE </w:instrText>
    </w:r>
    <w:r w:rsidR="0081680F" w:rsidRPr="005221F8">
      <w:rPr>
        <w:rStyle w:val="Numerstrony"/>
        <w:color w:val="ADAFB2"/>
      </w:rPr>
      <w:fldChar w:fldCharType="separate"/>
    </w:r>
    <w:r w:rsidR="00DC784E">
      <w:rPr>
        <w:rStyle w:val="Numerstrony"/>
        <w:noProof/>
        <w:color w:val="ADAFB2"/>
      </w:rPr>
      <w:t>11</w:t>
    </w:r>
    <w:r w:rsidR="0081680F" w:rsidRPr="005221F8">
      <w:rPr>
        <w:rStyle w:val="Numerstrony"/>
        <w:color w:val="ADAFB2"/>
      </w:rPr>
      <w:fldChar w:fldCharType="end"/>
    </w:r>
  </w:p>
  <w:p w:rsidR="0081680F" w:rsidRPr="005221F8" w:rsidRDefault="0081680F" w:rsidP="00D44B43">
    <w:pPr>
      <w:pStyle w:val="Stopka"/>
      <w:rPr>
        <w:color w:val="ADAFB2"/>
      </w:rPr>
    </w:pPr>
    <w:r w:rsidRPr="005221F8">
      <w:rPr>
        <w:color w:val="ADAFB2"/>
      </w:rPr>
      <w:t xml:space="preserve">Nr </w:t>
    </w:r>
    <w:r w:rsidR="007B0F5C">
      <w:rPr>
        <w:color w:val="ADAFB2"/>
      </w:rPr>
      <w:t>2</w:t>
    </w:r>
    <w:r w:rsidRPr="005221F8">
      <w:rPr>
        <w:color w:val="ADAFB2"/>
      </w:rPr>
      <w:t xml:space="preserve"> / 201</w:t>
    </w:r>
    <w:r w:rsidR="00C02862">
      <w:rPr>
        <w:color w:val="ADAFB2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74C" w:rsidRDefault="006D274C" w:rsidP="0015295C">
      <w:pPr>
        <w:spacing w:after="0" w:line="240" w:lineRule="auto"/>
      </w:pPr>
      <w:r>
        <w:separator/>
      </w:r>
    </w:p>
  </w:footnote>
  <w:footnote w:type="continuationSeparator" w:id="0">
    <w:p w:rsidR="006D274C" w:rsidRDefault="006D274C" w:rsidP="0015295C">
      <w:pPr>
        <w:spacing w:after="0" w:line="240" w:lineRule="auto"/>
      </w:pPr>
      <w:r>
        <w:continuationSeparator/>
      </w:r>
    </w:p>
  </w:footnote>
  <w:footnote w:id="1">
    <w:p w:rsidR="00D55ED6" w:rsidRDefault="00D55ED6" w:rsidP="00D55E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262FB">
        <w:rPr>
          <w:rFonts w:ascii="Times New Roman" w:hAnsi="Times New Roman"/>
          <w:sz w:val="18"/>
          <w:szCs w:val="18"/>
        </w:rPr>
        <w:t>Not</w:t>
      </w:r>
      <w:r w:rsidR="00F811E7">
        <w:rPr>
          <w:rFonts w:ascii="Times New Roman" w:hAnsi="Times New Roman"/>
          <w:sz w:val="18"/>
          <w:szCs w:val="18"/>
        </w:rPr>
        <w:t>yfikacja fiskalna, kwiecień 2018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54F" w:rsidRDefault="009B354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54F" w:rsidRDefault="009B354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0F" w:rsidRDefault="000404D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DEE412B" wp14:editId="184701A4">
              <wp:simplePos x="0" y="0"/>
              <wp:positionH relativeFrom="column">
                <wp:posOffset>-349885</wp:posOffset>
              </wp:positionH>
              <wp:positionV relativeFrom="paragraph">
                <wp:posOffset>46355</wp:posOffset>
              </wp:positionV>
              <wp:extent cx="635" cy="9342755"/>
              <wp:effectExtent l="12065" t="8255" r="6350" b="120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5" cy="934275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6471A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.55pt;margin-top:3.65pt;width:.05pt;height:735.6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" strokecolor="#7f7f7f" strokeweight=".5pt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77169D15" wp14:editId="39952AC9">
          <wp:simplePos x="0" y="0"/>
          <wp:positionH relativeFrom="column">
            <wp:posOffset>-1564005</wp:posOffset>
          </wp:positionH>
          <wp:positionV relativeFrom="paragraph">
            <wp:posOffset>66040</wp:posOffset>
          </wp:positionV>
          <wp:extent cx="802640" cy="767715"/>
          <wp:effectExtent l="0" t="0" r="0" b="0"/>
          <wp:wrapNone/>
          <wp:docPr id="3" name="Picture 0" descr="m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m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973A1C" wp14:editId="069D1CE4">
              <wp:simplePos x="0" y="0"/>
              <wp:positionH relativeFrom="column">
                <wp:posOffset>-1885950</wp:posOffset>
              </wp:positionH>
              <wp:positionV relativeFrom="paragraph">
                <wp:posOffset>8481060</wp:posOffset>
              </wp:positionV>
              <wp:extent cx="1363980" cy="899160"/>
              <wp:effectExtent l="0" t="3810" r="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3980" cy="899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80F" w:rsidRPr="0029567C" w:rsidRDefault="0081680F" w:rsidP="005F187D">
                          <w:pPr>
                            <w:ind w:left="550"/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</w:pP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 xml:space="preserve">ul. </w:t>
                          </w:r>
                          <w:r w:rsidRPr="00D06614">
                            <w:rPr>
                              <w:rFonts w:ascii="Arial" w:eastAsia="+mn-ea" w:hAnsi="Arial" w:cs="Arial"/>
                              <w:color w:val="ADAFB2"/>
                              <w:kern w:val="24"/>
                              <w:sz w:val="14"/>
                              <w:szCs w:val="14"/>
                            </w:rPr>
                            <w:t>Ś</w:t>
                          </w:r>
                          <w:r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więtokrzyska 12</w:t>
                          </w:r>
                          <w:r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br/>
                          </w: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00-</w:t>
                          </w:r>
                          <w:r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916 Warszawa</w:t>
                          </w:r>
                        </w:p>
                        <w:p w:rsidR="0081680F" w:rsidRDefault="0081680F" w:rsidP="005F187D">
                          <w:pPr>
                            <w:ind w:left="550"/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</w:pP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tel.: +48 22 </w:t>
                          </w:r>
                          <w:r w:rsidR="00A95EAA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694</w:t>
                          </w: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 xml:space="preserve"> </w:t>
                          </w:r>
                          <w:r w:rsidR="00A95EAA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5</w:t>
                          </w: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 xml:space="preserve">5 </w:t>
                          </w:r>
                          <w:r w:rsidR="00A95EAA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55</w:t>
                          </w: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br/>
                            <w:t>fax: +48 22 </w:t>
                          </w:r>
                          <w:r w:rsidR="00A95EAA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694</w:t>
                          </w: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 xml:space="preserve"> </w:t>
                          </w:r>
                          <w:r w:rsidR="00A95EAA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36</w:t>
                          </w: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 xml:space="preserve"> </w:t>
                          </w:r>
                          <w:r w:rsidR="00A95EAA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30</w:t>
                          </w:r>
                        </w:p>
                        <w:p w:rsidR="0081680F" w:rsidRPr="00D06614" w:rsidRDefault="0081680F" w:rsidP="005F187D">
                          <w:pPr>
                            <w:ind w:left="550"/>
                            <w:rPr>
                              <w:rFonts w:ascii="Arial" w:hAnsi="Arial" w:cs="Arial"/>
                              <w:color w:val="E31837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E31837"/>
                              <w:sz w:val="15"/>
                              <w:szCs w:val="15"/>
                            </w:rPr>
                            <w:t>www.mf.gov.pl</w:t>
                          </w:r>
                        </w:p>
                        <w:p w:rsidR="0081680F" w:rsidRPr="001F7BFC" w:rsidRDefault="0081680F" w:rsidP="005F187D">
                          <w:pPr>
                            <w:ind w:left="550"/>
                            <w:rPr>
                              <w:rFonts w:ascii="Arial" w:hAnsi="Arial" w:cs="Arial"/>
                              <w:color w:val="7F7F7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48.5pt;margin-top:667.8pt;width:107.4pt;height:70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ngJrQ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" filled="f" stroked="f">
              <v:textbox inset="0,0,0,0">
                <w:txbxContent>
                  <w:p w:rsidR="0081680F" w:rsidRPr="0029567C" w:rsidRDefault="0081680F" w:rsidP="005F187D">
                    <w:pPr>
                      <w:ind w:left="550"/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</w:pP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 xml:space="preserve">ul. </w:t>
                    </w:r>
                    <w:r w:rsidRPr="00D06614">
                      <w:rPr>
                        <w:rFonts w:ascii="Arial" w:eastAsia="+mn-ea" w:hAnsi="Arial" w:cs="Arial"/>
                        <w:color w:val="ADAFB2"/>
                        <w:kern w:val="24"/>
                        <w:sz w:val="14"/>
                        <w:szCs w:val="14"/>
                      </w:rPr>
                      <w:t>Ś</w:t>
                    </w:r>
                    <w:r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więtokrzyska 12</w:t>
                    </w:r>
                    <w:r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br/>
                    </w: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00-</w:t>
                    </w:r>
                    <w:r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916 Warszawa</w:t>
                    </w:r>
                  </w:p>
                  <w:p w:rsidR="0081680F" w:rsidRDefault="0081680F" w:rsidP="005F187D">
                    <w:pPr>
                      <w:ind w:left="550"/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</w:pP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tel.: +48 22 </w:t>
                    </w:r>
                    <w:r w:rsidR="00A95EAA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694</w:t>
                    </w: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 xml:space="preserve"> </w:t>
                    </w:r>
                    <w:r w:rsidR="00A95EAA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5</w:t>
                    </w: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 xml:space="preserve">5 </w:t>
                    </w:r>
                    <w:r w:rsidR="00A95EAA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55</w:t>
                    </w: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br/>
                      <w:t>fax: +48 22 </w:t>
                    </w:r>
                    <w:r w:rsidR="00A95EAA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694</w:t>
                    </w: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 xml:space="preserve"> </w:t>
                    </w:r>
                    <w:r w:rsidR="00A95EAA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36</w:t>
                    </w: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 xml:space="preserve"> </w:t>
                    </w:r>
                    <w:r w:rsidR="00A95EAA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30</w:t>
                    </w:r>
                  </w:p>
                  <w:p w:rsidR="0081680F" w:rsidRPr="00D06614" w:rsidRDefault="0081680F" w:rsidP="005F187D">
                    <w:pPr>
                      <w:ind w:left="550"/>
                      <w:rPr>
                        <w:rFonts w:ascii="Arial" w:hAnsi="Arial" w:cs="Arial"/>
                        <w:color w:val="E31837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E31837"/>
                        <w:sz w:val="15"/>
                        <w:szCs w:val="15"/>
                      </w:rPr>
                      <w:t>www.mf.gov.pl</w:t>
                    </w:r>
                  </w:p>
                  <w:p w:rsidR="0081680F" w:rsidRPr="001F7BFC" w:rsidRDefault="0081680F" w:rsidP="005F187D">
                    <w:pPr>
                      <w:ind w:left="550"/>
                      <w:rPr>
                        <w:rFonts w:ascii="Arial" w:hAnsi="Arial" w:cs="Arial"/>
                        <w:color w:val="7F7F7F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E92" w:rsidRDefault="009F5E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7ED"/>
    <w:multiLevelType w:val="hybridMultilevel"/>
    <w:tmpl w:val="25382642"/>
    <w:lvl w:ilvl="0" w:tplc="0415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AC0F44"/>
    <w:multiLevelType w:val="hybridMultilevel"/>
    <w:tmpl w:val="4320B6A8"/>
    <w:lvl w:ilvl="0" w:tplc="0E9499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721D0A"/>
    <w:multiLevelType w:val="hybridMultilevel"/>
    <w:tmpl w:val="6B528800"/>
    <w:lvl w:ilvl="0" w:tplc="4468B5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57893"/>
    <w:multiLevelType w:val="hybridMultilevel"/>
    <w:tmpl w:val="B27EFE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27449"/>
    <w:multiLevelType w:val="hybridMultilevel"/>
    <w:tmpl w:val="BC1C243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D7E79C1"/>
    <w:multiLevelType w:val="hybridMultilevel"/>
    <w:tmpl w:val="7EF2705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3A981DF8"/>
    <w:multiLevelType w:val="hybridMultilevel"/>
    <w:tmpl w:val="4320B6A8"/>
    <w:lvl w:ilvl="0" w:tplc="0E9499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F9E2836"/>
    <w:multiLevelType w:val="hybridMultilevel"/>
    <w:tmpl w:val="B45CA4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5118B1"/>
    <w:multiLevelType w:val="hybridMultilevel"/>
    <w:tmpl w:val="BB0A2620"/>
    <w:lvl w:ilvl="0" w:tplc="C21C55B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68D503EB"/>
    <w:multiLevelType w:val="hybridMultilevel"/>
    <w:tmpl w:val="08003060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9"/>
  </w:num>
  <w:num w:numId="6">
    <w:abstractNumId w:val="3"/>
  </w:num>
  <w:num w:numId="7">
    <w:abstractNumId w:val="1"/>
  </w:num>
  <w:num w:numId="8">
    <w:abstractNumId w:val="6"/>
  </w:num>
  <w:num w:numId="9">
    <w:abstractNumId w:val="8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91"/>
    <w:rsid w:val="00000507"/>
    <w:rsid w:val="00000BC6"/>
    <w:rsid w:val="000061C6"/>
    <w:rsid w:val="00006E3B"/>
    <w:rsid w:val="00007008"/>
    <w:rsid w:val="000070F3"/>
    <w:rsid w:val="00007AB8"/>
    <w:rsid w:val="000102B5"/>
    <w:rsid w:val="000106DF"/>
    <w:rsid w:val="00010A00"/>
    <w:rsid w:val="00010D4B"/>
    <w:rsid w:val="00013E62"/>
    <w:rsid w:val="00015D57"/>
    <w:rsid w:val="0002058B"/>
    <w:rsid w:val="000210F5"/>
    <w:rsid w:val="00021843"/>
    <w:rsid w:val="00022B96"/>
    <w:rsid w:val="00024596"/>
    <w:rsid w:val="00026C88"/>
    <w:rsid w:val="00027561"/>
    <w:rsid w:val="00030A43"/>
    <w:rsid w:val="000404D4"/>
    <w:rsid w:val="000406B8"/>
    <w:rsid w:val="00041977"/>
    <w:rsid w:val="00042F8F"/>
    <w:rsid w:val="0004308B"/>
    <w:rsid w:val="00044E4A"/>
    <w:rsid w:val="0004545E"/>
    <w:rsid w:val="00045CA7"/>
    <w:rsid w:val="00050E88"/>
    <w:rsid w:val="00051473"/>
    <w:rsid w:val="00051F46"/>
    <w:rsid w:val="00052018"/>
    <w:rsid w:val="00054C08"/>
    <w:rsid w:val="00057D54"/>
    <w:rsid w:val="00057F6B"/>
    <w:rsid w:val="0006107D"/>
    <w:rsid w:val="000642F2"/>
    <w:rsid w:val="00065052"/>
    <w:rsid w:val="00065FD9"/>
    <w:rsid w:val="00066997"/>
    <w:rsid w:val="00066C79"/>
    <w:rsid w:val="00067514"/>
    <w:rsid w:val="000701CD"/>
    <w:rsid w:val="000715CD"/>
    <w:rsid w:val="00072C84"/>
    <w:rsid w:val="00073A5B"/>
    <w:rsid w:val="00073D49"/>
    <w:rsid w:val="00080862"/>
    <w:rsid w:val="000808CE"/>
    <w:rsid w:val="00080F1F"/>
    <w:rsid w:val="000818AF"/>
    <w:rsid w:val="00082590"/>
    <w:rsid w:val="000836F4"/>
    <w:rsid w:val="00083E9F"/>
    <w:rsid w:val="000867E8"/>
    <w:rsid w:val="00092DA3"/>
    <w:rsid w:val="00093E74"/>
    <w:rsid w:val="00094144"/>
    <w:rsid w:val="00094E6A"/>
    <w:rsid w:val="00096169"/>
    <w:rsid w:val="0009641C"/>
    <w:rsid w:val="00096547"/>
    <w:rsid w:val="000974B5"/>
    <w:rsid w:val="00097C76"/>
    <w:rsid w:val="000A18D1"/>
    <w:rsid w:val="000A2615"/>
    <w:rsid w:val="000A27CE"/>
    <w:rsid w:val="000A2FF9"/>
    <w:rsid w:val="000A3996"/>
    <w:rsid w:val="000A57D3"/>
    <w:rsid w:val="000A643B"/>
    <w:rsid w:val="000A6B27"/>
    <w:rsid w:val="000A6CA0"/>
    <w:rsid w:val="000B05F5"/>
    <w:rsid w:val="000B242B"/>
    <w:rsid w:val="000B25E3"/>
    <w:rsid w:val="000B2EB1"/>
    <w:rsid w:val="000B4812"/>
    <w:rsid w:val="000B534A"/>
    <w:rsid w:val="000B570F"/>
    <w:rsid w:val="000C08CF"/>
    <w:rsid w:val="000C6ADA"/>
    <w:rsid w:val="000C7804"/>
    <w:rsid w:val="000C79AA"/>
    <w:rsid w:val="000D0CB3"/>
    <w:rsid w:val="000D1F2D"/>
    <w:rsid w:val="000D3BDA"/>
    <w:rsid w:val="000D41EB"/>
    <w:rsid w:val="000D4A40"/>
    <w:rsid w:val="000D62FC"/>
    <w:rsid w:val="000D6B6F"/>
    <w:rsid w:val="000E16EF"/>
    <w:rsid w:val="000E4111"/>
    <w:rsid w:val="000E691C"/>
    <w:rsid w:val="000E6C86"/>
    <w:rsid w:val="000F07EE"/>
    <w:rsid w:val="000F1858"/>
    <w:rsid w:val="000F194D"/>
    <w:rsid w:val="000F1AC9"/>
    <w:rsid w:val="000F1B21"/>
    <w:rsid w:val="00100151"/>
    <w:rsid w:val="001003EA"/>
    <w:rsid w:val="00101287"/>
    <w:rsid w:val="00101324"/>
    <w:rsid w:val="00102911"/>
    <w:rsid w:val="00107FC2"/>
    <w:rsid w:val="001125E4"/>
    <w:rsid w:val="00112A5D"/>
    <w:rsid w:val="001170B6"/>
    <w:rsid w:val="001200B9"/>
    <w:rsid w:val="00120B80"/>
    <w:rsid w:val="001219F3"/>
    <w:rsid w:val="001226C8"/>
    <w:rsid w:val="00122865"/>
    <w:rsid w:val="0012290E"/>
    <w:rsid w:val="00125A96"/>
    <w:rsid w:val="00127D06"/>
    <w:rsid w:val="00130371"/>
    <w:rsid w:val="00130D8A"/>
    <w:rsid w:val="00131D09"/>
    <w:rsid w:val="0013243B"/>
    <w:rsid w:val="00132CD4"/>
    <w:rsid w:val="00135D04"/>
    <w:rsid w:val="00136E7A"/>
    <w:rsid w:val="001379B8"/>
    <w:rsid w:val="00140651"/>
    <w:rsid w:val="00140996"/>
    <w:rsid w:val="0014184F"/>
    <w:rsid w:val="00142BDE"/>
    <w:rsid w:val="00144B16"/>
    <w:rsid w:val="00147391"/>
    <w:rsid w:val="00147DCE"/>
    <w:rsid w:val="0015152D"/>
    <w:rsid w:val="0015295C"/>
    <w:rsid w:val="0015452B"/>
    <w:rsid w:val="00155BEC"/>
    <w:rsid w:val="00157279"/>
    <w:rsid w:val="00161044"/>
    <w:rsid w:val="00162265"/>
    <w:rsid w:val="00162356"/>
    <w:rsid w:val="00162480"/>
    <w:rsid w:val="001642FC"/>
    <w:rsid w:val="00165075"/>
    <w:rsid w:val="001676EF"/>
    <w:rsid w:val="00176E8C"/>
    <w:rsid w:val="00184FD0"/>
    <w:rsid w:val="0018746D"/>
    <w:rsid w:val="00190CD4"/>
    <w:rsid w:val="00191353"/>
    <w:rsid w:val="00191422"/>
    <w:rsid w:val="00192028"/>
    <w:rsid w:val="00193793"/>
    <w:rsid w:val="00193C91"/>
    <w:rsid w:val="00194A51"/>
    <w:rsid w:val="001A0B08"/>
    <w:rsid w:val="001A112E"/>
    <w:rsid w:val="001A38F9"/>
    <w:rsid w:val="001A41AF"/>
    <w:rsid w:val="001A4D91"/>
    <w:rsid w:val="001A4F79"/>
    <w:rsid w:val="001A55F7"/>
    <w:rsid w:val="001B1928"/>
    <w:rsid w:val="001B31A2"/>
    <w:rsid w:val="001B3346"/>
    <w:rsid w:val="001C13AB"/>
    <w:rsid w:val="001C2702"/>
    <w:rsid w:val="001C3A80"/>
    <w:rsid w:val="001C5091"/>
    <w:rsid w:val="001C6544"/>
    <w:rsid w:val="001C67F4"/>
    <w:rsid w:val="001C7B4E"/>
    <w:rsid w:val="001D146E"/>
    <w:rsid w:val="001D1B9F"/>
    <w:rsid w:val="001D21C2"/>
    <w:rsid w:val="001D285A"/>
    <w:rsid w:val="001D2A3F"/>
    <w:rsid w:val="001D4DA9"/>
    <w:rsid w:val="001D71D6"/>
    <w:rsid w:val="001E29EE"/>
    <w:rsid w:val="001E2E27"/>
    <w:rsid w:val="001E45F8"/>
    <w:rsid w:val="001E6DAF"/>
    <w:rsid w:val="001F2255"/>
    <w:rsid w:val="001F22AC"/>
    <w:rsid w:val="001F397B"/>
    <w:rsid w:val="001F3A76"/>
    <w:rsid w:val="001F40D6"/>
    <w:rsid w:val="001F7717"/>
    <w:rsid w:val="001F7BFC"/>
    <w:rsid w:val="001F7D49"/>
    <w:rsid w:val="00200E19"/>
    <w:rsid w:val="00201DBD"/>
    <w:rsid w:val="00201F15"/>
    <w:rsid w:val="002048EE"/>
    <w:rsid w:val="0020557E"/>
    <w:rsid w:val="00205A94"/>
    <w:rsid w:val="00206E03"/>
    <w:rsid w:val="00206F11"/>
    <w:rsid w:val="00212874"/>
    <w:rsid w:val="00214199"/>
    <w:rsid w:val="00214A42"/>
    <w:rsid w:val="00216C9E"/>
    <w:rsid w:val="002170A8"/>
    <w:rsid w:val="00217D67"/>
    <w:rsid w:val="00217DDE"/>
    <w:rsid w:val="002209A3"/>
    <w:rsid w:val="00224B34"/>
    <w:rsid w:val="00224FBD"/>
    <w:rsid w:val="0022526B"/>
    <w:rsid w:val="00225E4E"/>
    <w:rsid w:val="00230793"/>
    <w:rsid w:val="002312B6"/>
    <w:rsid w:val="00235554"/>
    <w:rsid w:val="00236D89"/>
    <w:rsid w:val="00241B7D"/>
    <w:rsid w:val="00241D40"/>
    <w:rsid w:val="00242355"/>
    <w:rsid w:val="002444E6"/>
    <w:rsid w:val="00244B6B"/>
    <w:rsid w:val="0024526D"/>
    <w:rsid w:val="002460E7"/>
    <w:rsid w:val="00250B4B"/>
    <w:rsid w:val="00250EEB"/>
    <w:rsid w:val="002526AA"/>
    <w:rsid w:val="002529F3"/>
    <w:rsid w:val="00252AE6"/>
    <w:rsid w:val="00254F5B"/>
    <w:rsid w:val="0025554A"/>
    <w:rsid w:val="00261442"/>
    <w:rsid w:val="0026261D"/>
    <w:rsid w:val="00266236"/>
    <w:rsid w:val="00266998"/>
    <w:rsid w:val="00270342"/>
    <w:rsid w:val="00270388"/>
    <w:rsid w:val="00272CC6"/>
    <w:rsid w:val="00276799"/>
    <w:rsid w:val="00280EF7"/>
    <w:rsid w:val="0028194A"/>
    <w:rsid w:val="002826C7"/>
    <w:rsid w:val="002863AE"/>
    <w:rsid w:val="002874B7"/>
    <w:rsid w:val="002903F3"/>
    <w:rsid w:val="00292DA1"/>
    <w:rsid w:val="00293690"/>
    <w:rsid w:val="00294612"/>
    <w:rsid w:val="002A17A6"/>
    <w:rsid w:val="002A1BD0"/>
    <w:rsid w:val="002A1FE9"/>
    <w:rsid w:val="002A20F0"/>
    <w:rsid w:val="002A5765"/>
    <w:rsid w:val="002B0128"/>
    <w:rsid w:val="002B447C"/>
    <w:rsid w:val="002C5142"/>
    <w:rsid w:val="002D2C1E"/>
    <w:rsid w:val="002D42B8"/>
    <w:rsid w:val="002D5495"/>
    <w:rsid w:val="002D591E"/>
    <w:rsid w:val="002D6C49"/>
    <w:rsid w:val="002E066A"/>
    <w:rsid w:val="002E22EC"/>
    <w:rsid w:val="002E28B5"/>
    <w:rsid w:val="002E4402"/>
    <w:rsid w:val="002E5227"/>
    <w:rsid w:val="002E559D"/>
    <w:rsid w:val="002F0668"/>
    <w:rsid w:val="002F06D1"/>
    <w:rsid w:val="002F2D38"/>
    <w:rsid w:val="002F5252"/>
    <w:rsid w:val="002F699C"/>
    <w:rsid w:val="002F7C5D"/>
    <w:rsid w:val="00300147"/>
    <w:rsid w:val="0030155A"/>
    <w:rsid w:val="00304AEF"/>
    <w:rsid w:val="00305BC7"/>
    <w:rsid w:val="00306D0A"/>
    <w:rsid w:val="0031062E"/>
    <w:rsid w:val="00310ED7"/>
    <w:rsid w:val="00311967"/>
    <w:rsid w:val="00311BD1"/>
    <w:rsid w:val="00313D06"/>
    <w:rsid w:val="00314CB3"/>
    <w:rsid w:val="00314F49"/>
    <w:rsid w:val="003154A4"/>
    <w:rsid w:val="00317E50"/>
    <w:rsid w:val="00320C1F"/>
    <w:rsid w:val="003217BB"/>
    <w:rsid w:val="00321E3C"/>
    <w:rsid w:val="00323461"/>
    <w:rsid w:val="003255C0"/>
    <w:rsid w:val="00325BC4"/>
    <w:rsid w:val="003262D7"/>
    <w:rsid w:val="00326306"/>
    <w:rsid w:val="003278BA"/>
    <w:rsid w:val="00327D95"/>
    <w:rsid w:val="003344E6"/>
    <w:rsid w:val="00334B4F"/>
    <w:rsid w:val="00335D57"/>
    <w:rsid w:val="00336117"/>
    <w:rsid w:val="00345BEA"/>
    <w:rsid w:val="003474DF"/>
    <w:rsid w:val="00353CE8"/>
    <w:rsid w:val="00353D26"/>
    <w:rsid w:val="003552AD"/>
    <w:rsid w:val="00356744"/>
    <w:rsid w:val="00357076"/>
    <w:rsid w:val="00357DD9"/>
    <w:rsid w:val="00362413"/>
    <w:rsid w:val="00363FC9"/>
    <w:rsid w:val="0036475D"/>
    <w:rsid w:val="00365AB5"/>
    <w:rsid w:val="0036667F"/>
    <w:rsid w:val="00371021"/>
    <w:rsid w:val="00371B73"/>
    <w:rsid w:val="00372D38"/>
    <w:rsid w:val="00375108"/>
    <w:rsid w:val="0037555B"/>
    <w:rsid w:val="00376301"/>
    <w:rsid w:val="00381ECF"/>
    <w:rsid w:val="003846B1"/>
    <w:rsid w:val="00384F40"/>
    <w:rsid w:val="00386304"/>
    <w:rsid w:val="00390CE0"/>
    <w:rsid w:val="0039302F"/>
    <w:rsid w:val="00393A9E"/>
    <w:rsid w:val="00394091"/>
    <w:rsid w:val="00396DDA"/>
    <w:rsid w:val="003A416F"/>
    <w:rsid w:val="003A4E3C"/>
    <w:rsid w:val="003A5602"/>
    <w:rsid w:val="003A6FCB"/>
    <w:rsid w:val="003B07BD"/>
    <w:rsid w:val="003B09B7"/>
    <w:rsid w:val="003B10AA"/>
    <w:rsid w:val="003B22AD"/>
    <w:rsid w:val="003B2E14"/>
    <w:rsid w:val="003B40C9"/>
    <w:rsid w:val="003B51B2"/>
    <w:rsid w:val="003B5764"/>
    <w:rsid w:val="003B6576"/>
    <w:rsid w:val="003B71F9"/>
    <w:rsid w:val="003C31F6"/>
    <w:rsid w:val="003C4503"/>
    <w:rsid w:val="003C488E"/>
    <w:rsid w:val="003D5AAE"/>
    <w:rsid w:val="003E0424"/>
    <w:rsid w:val="003E06E4"/>
    <w:rsid w:val="003E2F7D"/>
    <w:rsid w:val="003E4579"/>
    <w:rsid w:val="003E49CA"/>
    <w:rsid w:val="003E5C16"/>
    <w:rsid w:val="003E667E"/>
    <w:rsid w:val="003E77B8"/>
    <w:rsid w:val="003E7907"/>
    <w:rsid w:val="003F0628"/>
    <w:rsid w:val="003F2A06"/>
    <w:rsid w:val="003F5300"/>
    <w:rsid w:val="003F653D"/>
    <w:rsid w:val="003F67E7"/>
    <w:rsid w:val="003F6C6C"/>
    <w:rsid w:val="003F70BA"/>
    <w:rsid w:val="003F725B"/>
    <w:rsid w:val="004014E6"/>
    <w:rsid w:val="00402A9D"/>
    <w:rsid w:val="004047C7"/>
    <w:rsid w:val="004102FE"/>
    <w:rsid w:val="00410A00"/>
    <w:rsid w:val="004123BE"/>
    <w:rsid w:val="004133A0"/>
    <w:rsid w:val="004140D1"/>
    <w:rsid w:val="00415A43"/>
    <w:rsid w:val="00416147"/>
    <w:rsid w:val="00417276"/>
    <w:rsid w:val="00421EA8"/>
    <w:rsid w:val="00424B41"/>
    <w:rsid w:val="00424BBE"/>
    <w:rsid w:val="00424C36"/>
    <w:rsid w:val="00424EBB"/>
    <w:rsid w:val="00425741"/>
    <w:rsid w:val="00425D5D"/>
    <w:rsid w:val="004270E2"/>
    <w:rsid w:val="00427386"/>
    <w:rsid w:val="004300E2"/>
    <w:rsid w:val="00432960"/>
    <w:rsid w:val="00432B4F"/>
    <w:rsid w:val="00433755"/>
    <w:rsid w:val="0043411D"/>
    <w:rsid w:val="0043694A"/>
    <w:rsid w:val="00437D9D"/>
    <w:rsid w:val="0044114E"/>
    <w:rsid w:val="00442FB0"/>
    <w:rsid w:val="00443694"/>
    <w:rsid w:val="004440B1"/>
    <w:rsid w:val="00444EA8"/>
    <w:rsid w:val="0044556D"/>
    <w:rsid w:val="00445E65"/>
    <w:rsid w:val="00447068"/>
    <w:rsid w:val="00450B02"/>
    <w:rsid w:val="0045260F"/>
    <w:rsid w:val="00452ED5"/>
    <w:rsid w:val="00460910"/>
    <w:rsid w:val="00461B8F"/>
    <w:rsid w:val="004623E2"/>
    <w:rsid w:val="00464EB7"/>
    <w:rsid w:val="00466597"/>
    <w:rsid w:val="00466BAD"/>
    <w:rsid w:val="00471E62"/>
    <w:rsid w:val="00471F51"/>
    <w:rsid w:val="004723E5"/>
    <w:rsid w:val="00474D76"/>
    <w:rsid w:val="00475568"/>
    <w:rsid w:val="0047632E"/>
    <w:rsid w:val="00476985"/>
    <w:rsid w:val="00476B67"/>
    <w:rsid w:val="0048073D"/>
    <w:rsid w:val="004876AC"/>
    <w:rsid w:val="00492D38"/>
    <w:rsid w:val="00494650"/>
    <w:rsid w:val="004948E9"/>
    <w:rsid w:val="00494DAC"/>
    <w:rsid w:val="00495B22"/>
    <w:rsid w:val="004A2492"/>
    <w:rsid w:val="004A2D95"/>
    <w:rsid w:val="004A62DC"/>
    <w:rsid w:val="004B0528"/>
    <w:rsid w:val="004B1EE6"/>
    <w:rsid w:val="004B6E66"/>
    <w:rsid w:val="004C0C17"/>
    <w:rsid w:val="004C2C8A"/>
    <w:rsid w:val="004C512A"/>
    <w:rsid w:val="004C629D"/>
    <w:rsid w:val="004C66BB"/>
    <w:rsid w:val="004D1C88"/>
    <w:rsid w:val="004D21FA"/>
    <w:rsid w:val="004D2522"/>
    <w:rsid w:val="004D32B7"/>
    <w:rsid w:val="004D7F46"/>
    <w:rsid w:val="004E295E"/>
    <w:rsid w:val="004E489A"/>
    <w:rsid w:val="004E5617"/>
    <w:rsid w:val="004E73FD"/>
    <w:rsid w:val="004F0998"/>
    <w:rsid w:val="004F2624"/>
    <w:rsid w:val="004F2B88"/>
    <w:rsid w:val="004F39F6"/>
    <w:rsid w:val="004F479F"/>
    <w:rsid w:val="004F731B"/>
    <w:rsid w:val="005004B1"/>
    <w:rsid w:val="005004E9"/>
    <w:rsid w:val="00500EB3"/>
    <w:rsid w:val="00500EF4"/>
    <w:rsid w:val="005010AD"/>
    <w:rsid w:val="0050312A"/>
    <w:rsid w:val="00506046"/>
    <w:rsid w:val="0050706F"/>
    <w:rsid w:val="0050739B"/>
    <w:rsid w:val="00507ADE"/>
    <w:rsid w:val="00510B6B"/>
    <w:rsid w:val="0051284B"/>
    <w:rsid w:val="00513A65"/>
    <w:rsid w:val="005155AA"/>
    <w:rsid w:val="00515DB5"/>
    <w:rsid w:val="00517045"/>
    <w:rsid w:val="005173F5"/>
    <w:rsid w:val="005221F8"/>
    <w:rsid w:val="00522FC7"/>
    <w:rsid w:val="00524797"/>
    <w:rsid w:val="005248D7"/>
    <w:rsid w:val="0052514A"/>
    <w:rsid w:val="00527AD2"/>
    <w:rsid w:val="00527C21"/>
    <w:rsid w:val="00530517"/>
    <w:rsid w:val="005309EE"/>
    <w:rsid w:val="005319BC"/>
    <w:rsid w:val="0053320A"/>
    <w:rsid w:val="00534A8B"/>
    <w:rsid w:val="00540BCC"/>
    <w:rsid w:val="00540CC5"/>
    <w:rsid w:val="00543181"/>
    <w:rsid w:val="005445FF"/>
    <w:rsid w:val="00544F53"/>
    <w:rsid w:val="005454F1"/>
    <w:rsid w:val="00545866"/>
    <w:rsid w:val="005475B8"/>
    <w:rsid w:val="005524C0"/>
    <w:rsid w:val="00553638"/>
    <w:rsid w:val="00557D81"/>
    <w:rsid w:val="00560286"/>
    <w:rsid w:val="00562706"/>
    <w:rsid w:val="00565AAB"/>
    <w:rsid w:val="005725A7"/>
    <w:rsid w:val="00572C60"/>
    <w:rsid w:val="0057379B"/>
    <w:rsid w:val="00574105"/>
    <w:rsid w:val="005744A2"/>
    <w:rsid w:val="005769ED"/>
    <w:rsid w:val="005774A8"/>
    <w:rsid w:val="0058060A"/>
    <w:rsid w:val="00580E73"/>
    <w:rsid w:val="005838A1"/>
    <w:rsid w:val="00584641"/>
    <w:rsid w:val="00584C19"/>
    <w:rsid w:val="005873F6"/>
    <w:rsid w:val="00590384"/>
    <w:rsid w:val="00591DFE"/>
    <w:rsid w:val="005923C7"/>
    <w:rsid w:val="00594840"/>
    <w:rsid w:val="005970AA"/>
    <w:rsid w:val="005A14C4"/>
    <w:rsid w:val="005A1C2A"/>
    <w:rsid w:val="005A2021"/>
    <w:rsid w:val="005A3534"/>
    <w:rsid w:val="005A4007"/>
    <w:rsid w:val="005A4800"/>
    <w:rsid w:val="005A4DC9"/>
    <w:rsid w:val="005B1AED"/>
    <w:rsid w:val="005B37ED"/>
    <w:rsid w:val="005B43A4"/>
    <w:rsid w:val="005B557A"/>
    <w:rsid w:val="005B7F4B"/>
    <w:rsid w:val="005C2E14"/>
    <w:rsid w:val="005C3F4C"/>
    <w:rsid w:val="005C5661"/>
    <w:rsid w:val="005C68EB"/>
    <w:rsid w:val="005C6992"/>
    <w:rsid w:val="005C6B6D"/>
    <w:rsid w:val="005D1A4A"/>
    <w:rsid w:val="005D5990"/>
    <w:rsid w:val="005D67E2"/>
    <w:rsid w:val="005D6EB3"/>
    <w:rsid w:val="005D76FE"/>
    <w:rsid w:val="005D7BD5"/>
    <w:rsid w:val="005E052A"/>
    <w:rsid w:val="005E25FB"/>
    <w:rsid w:val="005E3769"/>
    <w:rsid w:val="005E4EA5"/>
    <w:rsid w:val="005E50F3"/>
    <w:rsid w:val="005F0D8D"/>
    <w:rsid w:val="005F187D"/>
    <w:rsid w:val="005F1D29"/>
    <w:rsid w:val="005F216F"/>
    <w:rsid w:val="005F268B"/>
    <w:rsid w:val="005F3047"/>
    <w:rsid w:val="005F459E"/>
    <w:rsid w:val="005F703C"/>
    <w:rsid w:val="005F7237"/>
    <w:rsid w:val="005F72EE"/>
    <w:rsid w:val="006005ED"/>
    <w:rsid w:val="006069CE"/>
    <w:rsid w:val="00607B5E"/>
    <w:rsid w:val="00610ECB"/>
    <w:rsid w:val="00612DF6"/>
    <w:rsid w:val="00614E93"/>
    <w:rsid w:val="0061552C"/>
    <w:rsid w:val="00620756"/>
    <w:rsid w:val="0062777B"/>
    <w:rsid w:val="00631CD6"/>
    <w:rsid w:val="00631D74"/>
    <w:rsid w:val="00633D6F"/>
    <w:rsid w:val="006361DB"/>
    <w:rsid w:val="00641436"/>
    <w:rsid w:val="00641571"/>
    <w:rsid w:val="00643AF9"/>
    <w:rsid w:val="00644A61"/>
    <w:rsid w:val="00651167"/>
    <w:rsid w:val="00651D03"/>
    <w:rsid w:val="00653269"/>
    <w:rsid w:val="00654326"/>
    <w:rsid w:val="0065494E"/>
    <w:rsid w:val="00654E61"/>
    <w:rsid w:val="00656A63"/>
    <w:rsid w:val="006611F2"/>
    <w:rsid w:val="00662E32"/>
    <w:rsid w:val="006642F6"/>
    <w:rsid w:val="006652E2"/>
    <w:rsid w:val="00665B00"/>
    <w:rsid w:val="006670F5"/>
    <w:rsid w:val="00673265"/>
    <w:rsid w:val="006759B5"/>
    <w:rsid w:val="00675FFE"/>
    <w:rsid w:val="00677B76"/>
    <w:rsid w:val="00680242"/>
    <w:rsid w:val="00682D29"/>
    <w:rsid w:val="0068356D"/>
    <w:rsid w:val="00683E79"/>
    <w:rsid w:val="00690F9E"/>
    <w:rsid w:val="006931E6"/>
    <w:rsid w:val="00693E86"/>
    <w:rsid w:val="006948E4"/>
    <w:rsid w:val="00695119"/>
    <w:rsid w:val="0069570D"/>
    <w:rsid w:val="006A0964"/>
    <w:rsid w:val="006A1509"/>
    <w:rsid w:val="006A1B95"/>
    <w:rsid w:val="006A1DDA"/>
    <w:rsid w:val="006A5483"/>
    <w:rsid w:val="006A6AF0"/>
    <w:rsid w:val="006A71E5"/>
    <w:rsid w:val="006B35CC"/>
    <w:rsid w:val="006B5E18"/>
    <w:rsid w:val="006B7091"/>
    <w:rsid w:val="006B7502"/>
    <w:rsid w:val="006B7B70"/>
    <w:rsid w:val="006C3F06"/>
    <w:rsid w:val="006C434D"/>
    <w:rsid w:val="006C49AC"/>
    <w:rsid w:val="006C5AB3"/>
    <w:rsid w:val="006C6176"/>
    <w:rsid w:val="006C6E18"/>
    <w:rsid w:val="006C7700"/>
    <w:rsid w:val="006C79F7"/>
    <w:rsid w:val="006C7A30"/>
    <w:rsid w:val="006D07C9"/>
    <w:rsid w:val="006D274C"/>
    <w:rsid w:val="006D51BD"/>
    <w:rsid w:val="006D6CAE"/>
    <w:rsid w:val="006D7D89"/>
    <w:rsid w:val="006D7FF1"/>
    <w:rsid w:val="006E2E0C"/>
    <w:rsid w:val="006E543B"/>
    <w:rsid w:val="006F06DD"/>
    <w:rsid w:val="006F2B8A"/>
    <w:rsid w:val="006F3898"/>
    <w:rsid w:val="006F4355"/>
    <w:rsid w:val="006F5E5A"/>
    <w:rsid w:val="006F6095"/>
    <w:rsid w:val="006F76DC"/>
    <w:rsid w:val="006F7E12"/>
    <w:rsid w:val="00701739"/>
    <w:rsid w:val="007029B9"/>
    <w:rsid w:val="007030EB"/>
    <w:rsid w:val="00703676"/>
    <w:rsid w:val="007051DE"/>
    <w:rsid w:val="00711160"/>
    <w:rsid w:val="00711F88"/>
    <w:rsid w:val="007121EB"/>
    <w:rsid w:val="007142E6"/>
    <w:rsid w:val="00714640"/>
    <w:rsid w:val="00715294"/>
    <w:rsid w:val="007159A6"/>
    <w:rsid w:val="00716A5D"/>
    <w:rsid w:val="00722913"/>
    <w:rsid w:val="0072464B"/>
    <w:rsid w:val="007260DD"/>
    <w:rsid w:val="00726233"/>
    <w:rsid w:val="007262FB"/>
    <w:rsid w:val="00730D3C"/>
    <w:rsid w:val="00732846"/>
    <w:rsid w:val="007332A3"/>
    <w:rsid w:val="00734133"/>
    <w:rsid w:val="00734EC9"/>
    <w:rsid w:val="00736726"/>
    <w:rsid w:val="00737ED4"/>
    <w:rsid w:val="00740A4E"/>
    <w:rsid w:val="0074640B"/>
    <w:rsid w:val="00747E6D"/>
    <w:rsid w:val="00750FC7"/>
    <w:rsid w:val="0075115D"/>
    <w:rsid w:val="0075285E"/>
    <w:rsid w:val="00753A40"/>
    <w:rsid w:val="007541BF"/>
    <w:rsid w:val="00755FDE"/>
    <w:rsid w:val="007560A0"/>
    <w:rsid w:val="00756139"/>
    <w:rsid w:val="00757169"/>
    <w:rsid w:val="007611F3"/>
    <w:rsid w:val="007629A8"/>
    <w:rsid w:val="00764406"/>
    <w:rsid w:val="00764CCF"/>
    <w:rsid w:val="007663DE"/>
    <w:rsid w:val="00767277"/>
    <w:rsid w:val="007705EA"/>
    <w:rsid w:val="00771493"/>
    <w:rsid w:val="007732CA"/>
    <w:rsid w:val="007732CE"/>
    <w:rsid w:val="00775296"/>
    <w:rsid w:val="00775A72"/>
    <w:rsid w:val="007767BA"/>
    <w:rsid w:val="00776A04"/>
    <w:rsid w:val="00781699"/>
    <w:rsid w:val="00782638"/>
    <w:rsid w:val="00782658"/>
    <w:rsid w:val="0078375B"/>
    <w:rsid w:val="007837F6"/>
    <w:rsid w:val="00785584"/>
    <w:rsid w:val="0078558B"/>
    <w:rsid w:val="0078593E"/>
    <w:rsid w:val="00785B37"/>
    <w:rsid w:val="00786DE7"/>
    <w:rsid w:val="007910F9"/>
    <w:rsid w:val="007941D0"/>
    <w:rsid w:val="00794873"/>
    <w:rsid w:val="007959AC"/>
    <w:rsid w:val="00796336"/>
    <w:rsid w:val="007A1D9D"/>
    <w:rsid w:val="007A2F53"/>
    <w:rsid w:val="007A66FB"/>
    <w:rsid w:val="007A70EC"/>
    <w:rsid w:val="007A713A"/>
    <w:rsid w:val="007A740D"/>
    <w:rsid w:val="007B0E3C"/>
    <w:rsid w:val="007B0F5C"/>
    <w:rsid w:val="007B5713"/>
    <w:rsid w:val="007C023A"/>
    <w:rsid w:val="007C0C6F"/>
    <w:rsid w:val="007C451E"/>
    <w:rsid w:val="007C7FF5"/>
    <w:rsid w:val="007D049D"/>
    <w:rsid w:val="007D2ADA"/>
    <w:rsid w:val="007D39CE"/>
    <w:rsid w:val="007D6761"/>
    <w:rsid w:val="007E02D0"/>
    <w:rsid w:val="007E1B4D"/>
    <w:rsid w:val="007E294A"/>
    <w:rsid w:val="007E324D"/>
    <w:rsid w:val="007E34C5"/>
    <w:rsid w:val="007E51DF"/>
    <w:rsid w:val="007E52CD"/>
    <w:rsid w:val="007E5D0E"/>
    <w:rsid w:val="007E6779"/>
    <w:rsid w:val="007E7420"/>
    <w:rsid w:val="007F0F58"/>
    <w:rsid w:val="007F1CE6"/>
    <w:rsid w:val="007F321D"/>
    <w:rsid w:val="007F4A88"/>
    <w:rsid w:val="007F50A4"/>
    <w:rsid w:val="007F6EB0"/>
    <w:rsid w:val="007F78EA"/>
    <w:rsid w:val="00801B07"/>
    <w:rsid w:val="008047C8"/>
    <w:rsid w:val="00804B52"/>
    <w:rsid w:val="00804DD1"/>
    <w:rsid w:val="00805778"/>
    <w:rsid w:val="008067D3"/>
    <w:rsid w:val="00807122"/>
    <w:rsid w:val="008101FD"/>
    <w:rsid w:val="00811495"/>
    <w:rsid w:val="0081215C"/>
    <w:rsid w:val="00813C75"/>
    <w:rsid w:val="008153A3"/>
    <w:rsid w:val="0081572C"/>
    <w:rsid w:val="008158AE"/>
    <w:rsid w:val="00816311"/>
    <w:rsid w:val="0081680F"/>
    <w:rsid w:val="00822E89"/>
    <w:rsid w:val="00824E66"/>
    <w:rsid w:val="00825E9B"/>
    <w:rsid w:val="00826072"/>
    <w:rsid w:val="008302D8"/>
    <w:rsid w:val="008312FC"/>
    <w:rsid w:val="008314C5"/>
    <w:rsid w:val="00831CFA"/>
    <w:rsid w:val="008358C3"/>
    <w:rsid w:val="00836370"/>
    <w:rsid w:val="00843949"/>
    <w:rsid w:val="00844B6E"/>
    <w:rsid w:val="008458A2"/>
    <w:rsid w:val="00845F88"/>
    <w:rsid w:val="00850195"/>
    <w:rsid w:val="0085121C"/>
    <w:rsid w:val="008534B5"/>
    <w:rsid w:val="00853AF1"/>
    <w:rsid w:val="008549D1"/>
    <w:rsid w:val="00854F51"/>
    <w:rsid w:val="00854FE4"/>
    <w:rsid w:val="00855988"/>
    <w:rsid w:val="00855BA9"/>
    <w:rsid w:val="00855D53"/>
    <w:rsid w:val="00855F2C"/>
    <w:rsid w:val="0085795C"/>
    <w:rsid w:val="00860700"/>
    <w:rsid w:val="008617C4"/>
    <w:rsid w:val="00863181"/>
    <w:rsid w:val="0086438F"/>
    <w:rsid w:val="008652A0"/>
    <w:rsid w:val="008723B7"/>
    <w:rsid w:val="0087484E"/>
    <w:rsid w:val="00874AD3"/>
    <w:rsid w:val="00875B76"/>
    <w:rsid w:val="00875E12"/>
    <w:rsid w:val="0087602A"/>
    <w:rsid w:val="00876557"/>
    <w:rsid w:val="00876FF3"/>
    <w:rsid w:val="00877306"/>
    <w:rsid w:val="00881FDC"/>
    <w:rsid w:val="00885265"/>
    <w:rsid w:val="008869D0"/>
    <w:rsid w:val="00887427"/>
    <w:rsid w:val="00887A20"/>
    <w:rsid w:val="00890205"/>
    <w:rsid w:val="0089065F"/>
    <w:rsid w:val="00892A6C"/>
    <w:rsid w:val="0089478B"/>
    <w:rsid w:val="00896847"/>
    <w:rsid w:val="008A0C1C"/>
    <w:rsid w:val="008A0FB4"/>
    <w:rsid w:val="008A29E8"/>
    <w:rsid w:val="008A58E9"/>
    <w:rsid w:val="008B2226"/>
    <w:rsid w:val="008B32C9"/>
    <w:rsid w:val="008B3B46"/>
    <w:rsid w:val="008B591C"/>
    <w:rsid w:val="008C4018"/>
    <w:rsid w:val="008C5034"/>
    <w:rsid w:val="008C59F4"/>
    <w:rsid w:val="008C63BB"/>
    <w:rsid w:val="008C68B0"/>
    <w:rsid w:val="008C6D2E"/>
    <w:rsid w:val="008D3305"/>
    <w:rsid w:val="008D3C3A"/>
    <w:rsid w:val="008E5C90"/>
    <w:rsid w:val="008E5DCB"/>
    <w:rsid w:val="008E6E95"/>
    <w:rsid w:val="008E70EE"/>
    <w:rsid w:val="008E7773"/>
    <w:rsid w:val="008F0FE4"/>
    <w:rsid w:val="008F13C4"/>
    <w:rsid w:val="008F1799"/>
    <w:rsid w:val="008F1C47"/>
    <w:rsid w:val="008F4A09"/>
    <w:rsid w:val="008F62F1"/>
    <w:rsid w:val="0090128C"/>
    <w:rsid w:val="0090213F"/>
    <w:rsid w:val="00902FBA"/>
    <w:rsid w:val="00903C82"/>
    <w:rsid w:val="00904F36"/>
    <w:rsid w:val="00907504"/>
    <w:rsid w:val="00911000"/>
    <w:rsid w:val="00912D67"/>
    <w:rsid w:val="009133B7"/>
    <w:rsid w:val="009166CE"/>
    <w:rsid w:val="00921E5F"/>
    <w:rsid w:val="00932B10"/>
    <w:rsid w:val="00937FFB"/>
    <w:rsid w:val="00944C34"/>
    <w:rsid w:val="0094645D"/>
    <w:rsid w:val="0095058D"/>
    <w:rsid w:val="00952DDD"/>
    <w:rsid w:val="0095332B"/>
    <w:rsid w:val="00955E55"/>
    <w:rsid w:val="00956285"/>
    <w:rsid w:val="009567F0"/>
    <w:rsid w:val="00956B31"/>
    <w:rsid w:val="0095724C"/>
    <w:rsid w:val="00957926"/>
    <w:rsid w:val="00957A18"/>
    <w:rsid w:val="009600B6"/>
    <w:rsid w:val="00961DF4"/>
    <w:rsid w:val="00963822"/>
    <w:rsid w:val="00966290"/>
    <w:rsid w:val="0096667F"/>
    <w:rsid w:val="009703BB"/>
    <w:rsid w:val="00972047"/>
    <w:rsid w:val="00972EAF"/>
    <w:rsid w:val="00973D15"/>
    <w:rsid w:val="00974A86"/>
    <w:rsid w:val="00975613"/>
    <w:rsid w:val="00981401"/>
    <w:rsid w:val="009846E2"/>
    <w:rsid w:val="00985984"/>
    <w:rsid w:val="00991E4A"/>
    <w:rsid w:val="009921A2"/>
    <w:rsid w:val="00992378"/>
    <w:rsid w:val="00993608"/>
    <w:rsid w:val="00994606"/>
    <w:rsid w:val="009963D1"/>
    <w:rsid w:val="009969E2"/>
    <w:rsid w:val="00996FFA"/>
    <w:rsid w:val="0099783D"/>
    <w:rsid w:val="009A2407"/>
    <w:rsid w:val="009A4B72"/>
    <w:rsid w:val="009A53CF"/>
    <w:rsid w:val="009A5F05"/>
    <w:rsid w:val="009B1ACF"/>
    <w:rsid w:val="009B354F"/>
    <w:rsid w:val="009B5309"/>
    <w:rsid w:val="009C1604"/>
    <w:rsid w:val="009C3AFB"/>
    <w:rsid w:val="009C7706"/>
    <w:rsid w:val="009C7A74"/>
    <w:rsid w:val="009D0144"/>
    <w:rsid w:val="009D070C"/>
    <w:rsid w:val="009D076A"/>
    <w:rsid w:val="009D0BFE"/>
    <w:rsid w:val="009D282C"/>
    <w:rsid w:val="009D2F37"/>
    <w:rsid w:val="009D3D43"/>
    <w:rsid w:val="009D4E91"/>
    <w:rsid w:val="009D57DB"/>
    <w:rsid w:val="009D6445"/>
    <w:rsid w:val="009D6FCC"/>
    <w:rsid w:val="009D7690"/>
    <w:rsid w:val="009D7E4F"/>
    <w:rsid w:val="009E157D"/>
    <w:rsid w:val="009E3B2E"/>
    <w:rsid w:val="009E637B"/>
    <w:rsid w:val="009E64EF"/>
    <w:rsid w:val="009E7B9A"/>
    <w:rsid w:val="009F13F5"/>
    <w:rsid w:val="009F1CD8"/>
    <w:rsid w:val="009F2D7B"/>
    <w:rsid w:val="009F4165"/>
    <w:rsid w:val="009F5C2E"/>
    <w:rsid w:val="009F5E92"/>
    <w:rsid w:val="00A02458"/>
    <w:rsid w:val="00A03531"/>
    <w:rsid w:val="00A049EB"/>
    <w:rsid w:val="00A05F62"/>
    <w:rsid w:val="00A062FE"/>
    <w:rsid w:val="00A10DA3"/>
    <w:rsid w:val="00A10E9D"/>
    <w:rsid w:val="00A1108C"/>
    <w:rsid w:val="00A12491"/>
    <w:rsid w:val="00A15CEC"/>
    <w:rsid w:val="00A16152"/>
    <w:rsid w:val="00A166C1"/>
    <w:rsid w:val="00A179B0"/>
    <w:rsid w:val="00A17E6B"/>
    <w:rsid w:val="00A20405"/>
    <w:rsid w:val="00A20953"/>
    <w:rsid w:val="00A217A2"/>
    <w:rsid w:val="00A240EA"/>
    <w:rsid w:val="00A2480F"/>
    <w:rsid w:val="00A25459"/>
    <w:rsid w:val="00A25CC8"/>
    <w:rsid w:val="00A3142C"/>
    <w:rsid w:val="00A35169"/>
    <w:rsid w:val="00A3593D"/>
    <w:rsid w:val="00A3676D"/>
    <w:rsid w:val="00A371AB"/>
    <w:rsid w:val="00A37669"/>
    <w:rsid w:val="00A40153"/>
    <w:rsid w:val="00A43C11"/>
    <w:rsid w:val="00A45DCC"/>
    <w:rsid w:val="00A46899"/>
    <w:rsid w:val="00A5223F"/>
    <w:rsid w:val="00A52E00"/>
    <w:rsid w:val="00A65128"/>
    <w:rsid w:val="00A670FA"/>
    <w:rsid w:val="00A67D59"/>
    <w:rsid w:val="00A70075"/>
    <w:rsid w:val="00A700BC"/>
    <w:rsid w:val="00A707CD"/>
    <w:rsid w:val="00A70EE2"/>
    <w:rsid w:val="00A73257"/>
    <w:rsid w:val="00A74A01"/>
    <w:rsid w:val="00A75E13"/>
    <w:rsid w:val="00A76649"/>
    <w:rsid w:val="00A77051"/>
    <w:rsid w:val="00A824B9"/>
    <w:rsid w:val="00A82C2A"/>
    <w:rsid w:val="00A83592"/>
    <w:rsid w:val="00A84924"/>
    <w:rsid w:val="00A8587F"/>
    <w:rsid w:val="00A90534"/>
    <w:rsid w:val="00A90E62"/>
    <w:rsid w:val="00A93CA9"/>
    <w:rsid w:val="00A94AEA"/>
    <w:rsid w:val="00A95B0A"/>
    <w:rsid w:val="00A95EAA"/>
    <w:rsid w:val="00A96468"/>
    <w:rsid w:val="00A966B8"/>
    <w:rsid w:val="00A96E02"/>
    <w:rsid w:val="00A97063"/>
    <w:rsid w:val="00AA0E69"/>
    <w:rsid w:val="00AA1929"/>
    <w:rsid w:val="00AA1F08"/>
    <w:rsid w:val="00AA35B7"/>
    <w:rsid w:val="00AA5530"/>
    <w:rsid w:val="00AA7E76"/>
    <w:rsid w:val="00AB2A1C"/>
    <w:rsid w:val="00AB3077"/>
    <w:rsid w:val="00AB33E4"/>
    <w:rsid w:val="00AB4A35"/>
    <w:rsid w:val="00AB55D9"/>
    <w:rsid w:val="00AB5D84"/>
    <w:rsid w:val="00AB63E9"/>
    <w:rsid w:val="00AC016A"/>
    <w:rsid w:val="00AC374E"/>
    <w:rsid w:val="00AC3C65"/>
    <w:rsid w:val="00AC6BC5"/>
    <w:rsid w:val="00AC6BFF"/>
    <w:rsid w:val="00AC70AF"/>
    <w:rsid w:val="00AD1EC0"/>
    <w:rsid w:val="00AD1FD7"/>
    <w:rsid w:val="00AD3640"/>
    <w:rsid w:val="00AD4143"/>
    <w:rsid w:val="00AD5305"/>
    <w:rsid w:val="00AD6455"/>
    <w:rsid w:val="00AD740C"/>
    <w:rsid w:val="00AE031C"/>
    <w:rsid w:val="00AE24F3"/>
    <w:rsid w:val="00AE30A8"/>
    <w:rsid w:val="00AE3A0E"/>
    <w:rsid w:val="00AE457B"/>
    <w:rsid w:val="00AE56DD"/>
    <w:rsid w:val="00AE6020"/>
    <w:rsid w:val="00AE637C"/>
    <w:rsid w:val="00AF066D"/>
    <w:rsid w:val="00AF4E30"/>
    <w:rsid w:val="00AF5A1C"/>
    <w:rsid w:val="00AF6608"/>
    <w:rsid w:val="00AF78B3"/>
    <w:rsid w:val="00B01B95"/>
    <w:rsid w:val="00B0297B"/>
    <w:rsid w:val="00B0329E"/>
    <w:rsid w:val="00B03A5A"/>
    <w:rsid w:val="00B03B2E"/>
    <w:rsid w:val="00B0737B"/>
    <w:rsid w:val="00B07BA5"/>
    <w:rsid w:val="00B11EF6"/>
    <w:rsid w:val="00B124AF"/>
    <w:rsid w:val="00B13207"/>
    <w:rsid w:val="00B13264"/>
    <w:rsid w:val="00B15516"/>
    <w:rsid w:val="00B15560"/>
    <w:rsid w:val="00B15E48"/>
    <w:rsid w:val="00B237A1"/>
    <w:rsid w:val="00B2606E"/>
    <w:rsid w:val="00B26F9F"/>
    <w:rsid w:val="00B32381"/>
    <w:rsid w:val="00B346FD"/>
    <w:rsid w:val="00B3471B"/>
    <w:rsid w:val="00B355FA"/>
    <w:rsid w:val="00B3757A"/>
    <w:rsid w:val="00B426D0"/>
    <w:rsid w:val="00B43A47"/>
    <w:rsid w:val="00B46E4D"/>
    <w:rsid w:val="00B52806"/>
    <w:rsid w:val="00B53616"/>
    <w:rsid w:val="00B53FB7"/>
    <w:rsid w:val="00B56D8F"/>
    <w:rsid w:val="00B61E9E"/>
    <w:rsid w:val="00B63E77"/>
    <w:rsid w:val="00B646BD"/>
    <w:rsid w:val="00B652B6"/>
    <w:rsid w:val="00B6680F"/>
    <w:rsid w:val="00B67867"/>
    <w:rsid w:val="00B70CC9"/>
    <w:rsid w:val="00B74F34"/>
    <w:rsid w:val="00B7510E"/>
    <w:rsid w:val="00B80E07"/>
    <w:rsid w:val="00B81609"/>
    <w:rsid w:val="00B83D13"/>
    <w:rsid w:val="00B84874"/>
    <w:rsid w:val="00B84B57"/>
    <w:rsid w:val="00B84FA1"/>
    <w:rsid w:val="00B877E6"/>
    <w:rsid w:val="00B87801"/>
    <w:rsid w:val="00B87F47"/>
    <w:rsid w:val="00B91BF1"/>
    <w:rsid w:val="00B9273E"/>
    <w:rsid w:val="00B970AD"/>
    <w:rsid w:val="00BA19D4"/>
    <w:rsid w:val="00BA55EE"/>
    <w:rsid w:val="00BA5B2E"/>
    <w:rsid w:val="00BA66D7"/>
    <w:rsid w:val="00BA6FBD"/>
    <w:rsid w:val="00BB029E"/>
    <w:rsid w:val="00BB1ACD"/>
    <w:rsid w:val="00BB268C"/>
    <w:rsid w:val="00BB5B1E"/>
    <w:rsid w:val="00BB71B8"/>
    <w:rsid w:val="00BC27D4"/>
    <w:rsid w:val="00BC2882"/>
    <w:rsid w:val="00BC4CB2"/>
    <w:rsid w:val="00BC5828"/>
    <w:rsid w:val="00BC6594"/>
    <w:rsid w:val="00BD0D82"/>
    <w:rsid w:val="00BD0FEE"/>
    <w:rsid w:val="00BD1ABC"/>
    <w:rsid w:val="00BD3CB9"/>
    <w:rsid w:val="00BD4B23"/>
    <w:rsid w:val="00BD567B"/>
    <w:rsid w:val="00BD7445"/>
    <w:rsid w:val="00BE1DBD"/>
    <w:rsid w:val="00BE2444"/>
    <w:rsid w:val="00BE7486"/>
    <w:rsid w:val="00BE77B2"/>
    <w:rsid w:val="00BF2A24"/>
    <w:rsid w:val="00BF2C0F"/>
    <w:rsid w:val="00BF2C94"/>
    <w:rsid w:val="00BF3921"/>
    <w:rsid w:val="00BF5EC6"/>
    <w:rsid w:val="00BF6B4A"/>
    <w:rsid w:val="00BF757A"/>
    <w:rsid w:val="00BF763B"/>
    <w:rsid w:val="00BF7773"/>
    <w:rsid w:val="00BF7964"/>
    <w:rsid w:val="00C0186B"/>
    <w:rsid w:val="00C02371"/>
    <w:rsid w:val="00C027FF"/>
    <w:rsid w:val="00C02862"/>
    <w:rsid w:val="00C04952"/>
    <w:rsid w:val="00C04D29"/>
    <w:rsid w:val="00C04D6E"/>
    <w:rsid w:val="00C04FFA"/>
    <w:rsid w:val="00C057D7"/>
    <w:rsid w:val="00C0696A"/>
    <w:rsid w:val="00C102A9"/>
    <w:rsid w:val="00C11498"/>
    <w:rsid w:val="00C1170E"/>
    <w:rsid w:val="00C13281"/>
    <w:rsid w:val="00C13459"/>
    <w:rsid w:val="00C135CF"/>
    <w:rsid w:val="00C13F17"/>
    <w:rsid w:val="00C14905"/>
    <w:rsid w:val="00C1541D"/>
    <w:rsid w:val="00C1617A"/>
    <w:rsid w:val="00C169CF"/>
    <w:rsid w:val="00C17DC6"/>
    <w:rsid w:val="00C20AB2"/>
    <w:rsid w:val="00C2261E"/>
    <w:rsid w:val="00C23366"/>
    <w:rsid w:val="00C23751"/>
    <w:rsid w:val="00C2516C"/>
    <w:rsid w:val="00C2517F"/>
    <w:rsid w:val="00C254EE"/>
    <w:rsid w:val="00C32080"/>
    <w:rsid w:val="00C3419F"/>
    <w:rsid w:val="00C36052"/>
    <w:rsid w:val="00C36B9D"/>
    <w:rsid w:val="00C3704D"/>
    <w:rsid w:val="00C400D6"/>
    <w:rsid w:val="00C40135"/>
    <w:rsid w:val="00C41924"/>
    <w:rsid w:val="00C43A87"/>
    <w:rsid w:val="00C44D15"/>
    <w:rsid w:val="00C44D44"/>
    <w:rsid w:val="00C462DF"/>
    <w:rsid w:val="00C47439"/>
    <w:rsid w:val="00C50DB3"/>
    <w:rsid w:val="00C53F72"/>
    <w:rsid w:val="00C56083"/>
    <w:rsid w:val="00C56BD7"/>
    <w:rsid w:val="00C56DD6"/>
    <w:rsid w:val="00C61B95"/>
    <w:rsid w:val="00C61FAD"/>
    <w:rsid w:val="00C62B0C"/>
    <w:rsid w:val="00C6613C"/>
    <w:rsid w:val="00C66D2A"/>
    <w:rsid w:val="00C67484"/>
    <w:rsid w:val="00C675B8"/>
    <w:rsid w:val="00C67E78"/>
    <w:rsid w:val="00C67F94"/>
    <w:rsid w:val="00C70179"/>
    <w:rsid w:val="00C707E0"/>
    <w:rsid w:val="00C71E04"/>
    <w:rsid w:val="00C7287F"/>
    <w:rsid w:val="00C729F3"/>
    <w:rsid w:val="00C73890"/>
    <w:rsid w:val="00C77036"/>
    <w:rsid w:val="00C8256B"/>
    <w:rsid w:val="00C83D04"/>
    <w:rsid w:val="00C83F98"/>
    <w:rsid w:val="00C842B8"/>
    <w:rsid w:val="00C87D16"/>
    <w:rsid w:val="00C91F52"/>
    <w:rsid w:val="00C9308B"/>
    <w:rsid w:val="00C94AA6"/>
    <w:rsid w:val="00C94F32"/>
    <w:rsid w:val="00C9591D"/>
    <w:rsid w:val="00C97FCF"/>
    <w:rsid w:val="00CA0AEE"/>
    <w:rsid w:val="00CA0DF4"/>
    <w:rsid w:val="00CA1397"/>
    <w:rsid w:val="00CA145E"/>
    <w:rsid w:val="00CA1B2C"/>
    <w:rsid w:val="00CA33F5"/>
    <w:rsid w:val="00CA4029"/>
    <w:rsid w:val="00CA659E"/>
    <w:rsid w:val="00CA71EE"/>
    <w:rsid w:val="00CA781A"/>
    <w:rsid w:val="00CB00FD"/>
    <w:rsid w:val="00CB46DF"/>
    <w:rsid w:val="00CB6175"/>
    <w:rsid w:val="00CB70EE"/>
    <w:rsid w:val="00CB78F0"/>
    <w:rsid w:val="00CC11D9"/>
    <w:rsid w:val="00CC190C"/>
    <w:rsid w:val="00CC227E"/>
    <w:rsid w:val="00CC355D"/>
    <w:rsid w:val="00CC405C"/>
    <w:rsid w:val="00CC7282"/>
    <w:rsid w:val="00CC7A51"/>
    <w:rsid w:val="00CD0CF4"/>
    <w:rsid w:val="00CD1347"/>
    <w:rsid w:val="00CD357E"/>
    <w:rsid w:val="00CD35F9"/>
    <w:rsid w:val="00CD3B50"/>
    <w:rsid w:val="00CD47A9"/>
    <w:rsid w:val="00CD4F02"/>
    <w:rsid w:val="00CD61FE"/>
    <w:rsid w:val="00CE0C4C"/>
    <w:rsid w:val="00CE2A87"/>
    <w:rsid w:val="00CE2FE0"/>
    <w:rsid w:val="00CE3E3D"/>
    <w:rsid w:val="00CE4AD9"/>
    <w:rsid w:val="00CE5844"/>
    <w:rsid w:val="00CE5F85"/>
    <w:rsid w:val="00CE6DBA"/>
    <w:rsid w:val="00CF090C"/>
    <w:rsid w:val="00CF0ACB"/>
    <w:rsid w:val="00CF108A"/>
    <w:rsid w:val="00CF4054"/>
    <w:rsid w:val="00CF42C9"/>
    <w:rsid w:val="00CF457B"/>
    <w:rsid w:val="00CF4D23"/>
    <w:rsid w:val="00CF4F13"/>
    <w:rsid w:val="00CF59FE"/>
    <w:rsid w:val="00CF6389"/>
    <w:rsid w:val="00D00E85"/>
    <w:rsid w:val="00D021C4"/>
    <w:rsid w:val="00D023C3"/>
    <w:rsid w:val="00D0426F"/>
    <w:rsid w:val="00D06614"/>
    <w:rsid w:val="00D06F15"/>
    <w:rsid w:val="00D073CB"/>
    <w:rsid w:val="00D07413"/>
    <w:rsid w:val="00D07491"/>
    <w:rsid w:val="00D074C7"/>
    <w:rsid w:val="00D1237C"/>
    <w:rsid w:val="00D12950"/>
    <w:rsid w:val="00D12F0B"/>
    <w:rsid w:val="00D130B1"/>
    <w:rsid w:val="00D145DB"/>
    <w:rsid w:val="00D159EE"/>
    <w:rsid w:val="00D20DC4"/>
    <w:rsid w:val="00D21DB7"/>
    <w:rsid w:val="00D24079"/>
    <w:rsid w:val="00D27499"/>
    <w:rsid w:val="00D277C0"/>
    <w:rsid w:val="00D27E95"/>
    <w:rsid w:val="00D31A84"/>
    <w:rsid w:val="00D33E09"/>
    <w:rsid w:val="00D37B5A"/>
    <w:rsid w:val="00D400CC"/>
    <w:rsid w:val="00D42C00"/>
    <w:rsid w:val="00D4337F"/>
    <w:rsid w:val="00D43CC5"/>
    <w:rsid w:val="00D44B43"/>
    <w:rsid w:val="00D46960"/>
    <w:rsid w:val="00D474DD"/>
    <w:rsid w:val="00D52942"/>
    <w:rsid w:val="00D5306A"/>
    <w:rsid w:val="00D55ED6"/>
    <w:rsid w:val="00D55FD4"/>
    <w:rsid w:val="00D571A2"/>
    <w:rsid w:val="00D6353D"/>
    <w:rsid w:val="00D6725B"/>
    <w:rsid w:val="00D677F9"/>
    <w:rsid w:val="00D70C31"/>
    <w:rsid w:val="00D719B1"/>
    <w:rsid w:val="00D71F6E"/>
    <w:rsid w:val="00D72BE2"/>
    <w:rsid w:val="00D72DBA"/>
    <w:rsid w:val="00D740F5"/>
    <w:rsid w:val="00D74AD8"/>
    <w:rsid w:val="00D75DF5"/>
    <w:rsid w:val="00D76657"/>
    <w:rsid w:val="00D77324"/>
    <w:rsid w:val="00D77A4A"/>
    <w:rsid w:val="00D80F1C"/>
    <w:rsid w:val="00D8162F"/>
    <w:rsid w:val="00D81996"/>
    <w:rsid w:val="00D8216D"/>
    <w:rsid w:val="00D833B2"/>
    <w:rsid w:val="00D84F5D"/>
    <w:rsid w:val="00D86E1F"/>
    <w:rsid w:val="00D903E7"/>
    <w:rsid w:val="00D90AA3"/>
    <w:rsid w:val="00D91A53"/>
    <w:rsid w:val="00D95ADB"/>
    <w:rsid w:val="00D95E7C"/>
    <w:rsid w:val="00DA07F9"/>
    <w:rsid w:val="00DA28B2"/>
    <w:rsid w:val="00DA52B8"/>
    <w:rsid w:val="00DA6577"/>
    <w:rsid w:val="00DA6BB2"/>
    <w:rsid w:val="00DB1992"/>
    <w:rsid w:val="00DB2008"/>
    <w:rsid w:val="00DB7B31"/>
    <w:rsid w:val="00DC22C5"/>
    <w:rsid w:val="00DC247F"/>
    <w:rsid w:val="00DC346E"/>
    <w:rsid w:val="00DC4030"/>
    <w:rsid w:val="00DC53D0"/>
    <w:rsid w:val="00DC5F86"/>
    <w:rsid w:val="00DC784E"/>
    <w:rsid w:val="00DD0702"/>
    <w:rsid w:val="00DD0F06"/>
    <w:rsid w:val="00DD3215"/>
    <w:rsid w:val="00DD3527"/>
    <w:rsid w:val="00DD4693"/>
    <w:rsid w:val="00DD5191"/>
    <w:rsid w:val="00DD6DDE"/>
    <w:rsid w:val="00DD7309"/>
    <w:rsid w:val="00DE1745"/>
    <w:rsid w:val="00DE5957"/>
    <w:rsid w:val="00DE638C"/>
    <w:rsid w:val="00DE715B"/>
    <w:rsid w:val="00DF0CD2"/>
    <w:rsid w:val="00DF31AE"/>
    <w:rsid w:val="00DF3655"/>
    <w:rsid w:val="00E02682"/>
    <w:rsid w:val="00E0439F"/>
    <w:rsid w:val="00E05345"/>
    <w:rsid w:val="00E0691F"/>
    <w:rsid w:val="00E0710D"/>
    <w:rsid w:val="00E1196E"/>
    <w:rsid w:val="00E120D2"/>
    <w:rsid w:val="00E144C3"/>
    <w:rsid w:val="00E154D7"/>
    <w:rsid w:val="00E16007"/>
    <w:rsid w:val="00E16073"/>
    <w:rsid w:val="00E16C5E"/>
    <w:rsid w:val="00E210E5"/>
    <w:rsid w:val="00E22B5B"/>
    <w:rsid w:val="00E25091"/>
    <w:rsid w:val="00E2609F"/>
    <w:rsid w:val="00E30E0B"/>
    <w:rsid w:val="00E31053"/>
    <w:rsid w:val="00E361C1"/>
    <w:rsid w:val="00E3721F"/>
    <w:rsid w:val="00E4081B"/>
    <w:rsid w:val="00E41826"/>
    <w:rsid w:val="00E42F73"/>
    <w:rsid w:val="00E4455D"/>
    <w:rsid w:val="00E449F8"/>
    <w:rsid w:val="00E451E9"/>
    <w:rsid w:val="00E452DB"/>
    <w:rsid w:val="00E45DA5"/>
    <w:rsid w:val="00E54688"/>
    <w:rsid w:val="00E64CDB"/>
    <w:rsid w:val="00E64DB9"/>
    <w:rsid w:val="00E65258"/>
    <w:rsid w:val="00E65289"/>
    <w:rsid w:val="00E665C8"/>
    <w:rsid w:val="00E666F8"/>
    <w:rsid w:val="00E66E2D"/>
    <w:rsid w:val="00E66EA7"/>
    <w:rsid w:val="00E70183"/>
    <w:rsid w:val="00E70F8F"/>
    <w:rsid w:val="00E76286"/>
    <w:rsid w:val="00E769C3"/>
    <w:rsid w:val="00E775B6"/>
    <w:rsid w:val="00E81997"/>
    <w:rsid w:val="00E81E8E"/>
    <w:rsid w:val="00E8424E"/>
    <w:rsid w:val="00E846A5"/>
    <w:rsid w:val="00E84D42"/>
    <w:rsid w:val="00E86C32"/>
    <w:rsid w:val="00E873CB"/>
    <w:rsid w:val="00E877D1"/>
    <w:rsid w:val="00E92219"/>
    <w:rsid w:val="00E9290A"/>
    <w:rsid w:val="00E92BA8"/>
    <w:rsid w:val="00E943AC"/>
    <w:rsid w:val="00E963D0"/>
    <w:rsid w:val="00E97C94"/>
    <w:rsid w:val="00EA1D0C"/>
    <w:rsid w:val="00EA2403"/>
    <w:rsid w:val="00EA3843"/>
    <w:rsid w:val="00EA410C"/>
    <w:rsid w:val="00EA4129"/>
    <w:rsid w:val="00EA41A0"/>
    <w:rsid w:val="00EA4D74"/>
    <w:rsid w:val="00EA5381"/>
    <w:rsid w:val="00EA6BCB"/>
    <w:rsid w:val="00EB0033"/>
    <w:rsid w:val="00EB04AF"/>
    <w:rsid w:val="00EB05AB"/>
    <w:rsid w:val="00EB0751"/>
    <w:rsid w:val="00EB485D"/>
    <w:rsid w:val="00EB6D6D"/>
    <w:rsid w:val="00EC0826"/>
    <w:rsid w:val="00EC1BF4"/>
    <w:rsid w:val="00EC3BAA"/>
    <w:rsid w:val="00EC4394"/>
    <w:rsid w:val="00EC4A71"/>
    <w:rsid w:val="00EC7E27"/>
    <w:rsid w:val="00ED0B82"/>
    <w:rsid w:val="00ED152E"/>
    <w:rsid w:val="00EE0F3D"/>
    <w:rsid w:val="00EE2D24"/>
    <w:rsid w:val="00EE2E25"/>
    <w:rsid w:val="00EF223A"/>
    <w:rsid w:val="00EF3946"/>
    <w:rsid w:val="00EF4CFA"/>
    <w:rsid w:val="00EF6620"/>
    <w:rsid w:val="00F0001C"/>
    <w:rsid w:val="00F0195E"/>
    <w:rsid w:val="00F064B4"/>
    <w:rsid w:val="00F06B6B"/>
    <w:rsid w:val="00F07090"/>
    <w:rsid w:val="00F12B1F"/>
    <w:rsid w:val="00F142BF"/>
    <w:rsid w:val="00F14CFE"/>
    <w:rsid w:val="00F152CB"/>
    <w:rsid w:val="00F1531E"/>
    <w:rsid w:val="00F15FF6"/>
    <w:rsid w:val="00F16C3C"/>
    <w:rsid w:val="00F16E00"/>
    <w:rsid w:val="00F16E50"/>
    <w:rsid w:val="00F16E90"/>
    <w:rsid w:val="00F2016D"/>
    <w:rsid w:val="00F204EC"/>
    <w:rsid w:val="00F20D8E"/>
    <w:rsid w:val="00F20F64"/>
    <w:rsid w:val="00F22D1C"/>
    <w:rsid w:val="00F23F20"/>
    <w:rsid w:val="00F2547F"/>
    <w:rsid w:val="00F277BE"/>
    <w:rsid w:val="00F278FC"/>
    <w:rsid w:val="00F30E4D"/>
    <w:rsid w:val="00F31AC4"/>
    <w:rsid w:val="00F32849"/>
    <w:rsid w:val="00F337B3"/>
    <w:rsid w:val="00F35EA0"/>
    <w:rsid w:val="00F400FA"/>
    <w:rsid w:val="00F413DD"/>
    <w:rsid w:val="00F43FB5"/>
    <w:rsid w:val="00F4547B"/>
    <w:rsid w:val="00F47859"/>
    <w:rsid w:val="00F51545"/>
    <w:rsid w:val="00F522D2"/>
    <w:rsid w:val="00F54E40"/>
    <w:rsid w:val="00F60497"/>
    <w:rsid w:val="00F60B82"/>
    <w:rsid w:val="00F60D96"/>
    <w:rsid w:val="00F62A4E"/>
    <w:rsid w:val="00F652CD"/>
    <w:rsid w:val="00F669BF"/>
    <w:rsid w:val="00F71641"/>
    <w:rsid w:val="00F71803"/>
    <w:rsid w:val="00F719A4"/>
    <w:rsid w:val="00F728FB"/>
    <w:rsid w:val="00F72B93"/>
    <w:rsid w:val="00F7333C"/>
    <w:rsid w:val="00F733B0"/>
    <w:rsid w:val="00F73780"/>
    <w:rsid w:val="00F74E2F"/>
    <w:rsid w:val="00F74FD4"/>
    <w:rsid w:val="00F76424"/>
    <w:rsid w:val="00F772D5"/>
    <w:rsid w:val="00F77622"/>
    <w:rsid w:val="00F811E7"/>
    <w:rsid w:val="00F830B1"/>
    <w:rsid w:val="00F84B6D"/>
    <w:rsid w:val="00F86A5E"/>
    <w:rsid w:val="00F875B7"/>
    <w:rsid w:val="00F930FF"/>
    <w:rsid w:val="00F956D6"/>
    <w:rsid w:val="00F95D71"/>
    <w:rsid w:val="00F97FF8"/>
    <w:rsid w:val="00FA071F"/>
    <w:rsid w:val="00FA202B"/>
    <w:rsid w:val="00FA2435"/>
    <w:rsid w:val="00FA3283"/>
    <w:rsid w:val="00FA516F"/>
    <w:rsid w:val="00FB12E6"/>
    <w:rsid w:val="00FB1768"/>
    <w:rsid w:val="00FB1E1A"/>
    <w:rsid w:val="00FB393F"/>
    <w:rsid w:val="00FB64BA"/>
    <w:rsid w:val="00FB74A2"/>
    <w:rsid w:val="00FC32AF"/>
    <w:rsid w:val="00FC3B1E"/>
    <w:rsid w:val="00FC661E"/>
    <w:rsid w:val="00FC7A92"/>
    <w:rsid w:val="00FD21F5"/>
    <w:rsid w:val="00FD2BB0"/>
    <w:rsid w:val="00FD38D7"/>
    <w:rsid w:val="00FD5526"/>
    <w:rsid w:val="00FD5FE0"/>
    <w:rsid w:val="00FE2512"/>
    <w:rsid w:val="00FE2837"/>
    <w:rsid w:val="00FE3620"/>
    <w:rsid w:val="00FE435B"/>
    <w:rsid w:val="00FE5161"/>
    <w:rsid w:val="00FE55F2"/>
    <w:rsid w:val="00FF103C"/>
    <w:rsid w:val="00FF133B"/>
    <w:rsid w:val="00FF1D27"/>
    <w:rsid w:val="00FF50DE"/>
    <w:rsid w:val="00FF559D"/>
    <w:rsid w:val="00FF6EF4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AD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20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67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15295C"/>
  </w:style>
  <w:style w:type="paragraph" w:styleId="Stopka">
    <w:name w:val="footer"/>
    <w:basedOn w:val="Normalny"/>
    <w:link w:val="StopkaZnak"/>
    <w:uiPriority w:val="99"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15295C"/>
  </w:style>
  <w:style w:type="paragraph" w:styleId="Tekstdymka">
    <w:name w:val="Balloon Text"/>
    <w:basedOn w:val="Normalny"/>
    <w:link w:val="TekstdymkaZnak"/>
    <w:uiPriority w:val="99"/>
    <w:semiHidden/>
    <w:unhideWhenUsed/>
    <w:rsid w:val="0015295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295C"/>
    <w:rPr>
      <w:rFonts w:ascii="Tahoma" w:hAnsi="Tahoma" w:cs="Tahoma"/>
      <w:sz w:val="16"/>
      <w:szCs w:val="16"/>
    </w:rPr>
  </w:style>
  <w:style w:type="paragraph" w:customStyle="1" w:styleId="A1">
    <w:name w:val="A1"/>
    <w:basedOn w:val="Normalny"/>
    <w:rsid w:val="005774A8"/>
    <w:pPr>
      <w:spacing w:before="120" w:after="120" w:line="240" w:lineRule="auto"/>
      <w:ind w:firstLine="284"/>
      <w:jc w:val="both"/>
    </w:pPr>
    <w:rPr>
      <w:rFonts w:ascii="Times New Roman" w:hAnsi="Times New Roman"/>
      <w:lang w:eastAsia="pl-PL"/>
    </w:rPr>
  </w:style>
  <w:style w:type="character" w:styleId="Numerstrony">
    <w:name w:val="page number"/>
    <w:basedOn w:val="Domylnaczcionkaakapitu"/>
    <w:rsid w:val="00BF7773"/>
  </w:style>
  <w:style w:type="table" w:styleId="Tabela-Siatka">
    <w:name w:val="Table Grid"/>
    <w:basedOn w:val="Standardowy"/>
    <w:rsid w:val="00753A4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semiHidden/>
    <w:rsid w:val="00887A20"/>
    <w:rPr>
      <w:sz w:val="20"/>
      <w:szCs w:val="20"/>
    </w:rPr>
  </w:style>
  <w:style w:type="character" w:styleId="Odwoanieprzypisudolnego">
    <w:name w:val="footnote reference"/>
    <w:aliases w:val="Footnote Reference Superscript,BVI fnr,Footnote symbol,16 Point,Superscript 6 Point,Footnote Reference Number,Footnote Reference_LVL6,Footnote Reference_LVL61,Footnote Reference_LVL62,Footnote Reference_LVL63"/>
    <w:uiPriority w:val="99"/>
    <w:rsid w:val="00887A20"/>
    <w:rPr>
      <w:vertAlign w:val="superscript"/>
    </w:rPr>
  </w:style>
  <w:style w:type="character" w:styleId="Pogrubienie">
    <w:name w:val="Strong"/>
    <w:uiPriority w:val="22"/>
    <w:qFormat/>
    <w:rsid w:val="005873F6"/>
    <w:rPr>
      <w:b/>
      <w:bCs/>
    </w:rPr>
  </w:style>
  <w:style w:type="character" w:customStyle="1" w:styleId="TekstprzypisudolnegoZnak">
    <w:name w:val="Tekst przypisu dolnego Znak"/>
    <w:aliases w:val="Podrozdział Znak"/>
    <w:link w:val="Tekstprzypisudolnego"/>
    <w:semiHidden/>
    <w:locked/>
    <w:rsid w:val="00FB12E6"/>
    <w:rPr>
      <w:rFonts w:ascii="Calibri" w:hAnsi="Calibri"/>
      <w:lang w:val="pl-PL" w:eastAsia="en-US" w:bidi="ar-SA"/>
    </w:rPr>
  </w:style>
  <w:style w:type="paragraph" w:styleId="Tekstpodstawowy">
    <w:name w:val="Body Text"/>
    <w:aliases w:val="b,bt,szaro,b1,Tekst podstawowy Znak Znak Znak Znak Znak Znak Znak Znak"/>
    <w:basedOn w:val="Normalny"/>
    <w:link w:val="TekstpodstawowyZnak"/>
    <w:rsid w:val="00FE3620"/>
    <w:pPr>
      <w:spacing w:after="12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b Znak,bt Znak,szaro Znak,b1 Znak,Tekst podstawowy Znak Znak Znak Znak Znak Znak Znak Znak Znak"/>
    <w:link w:val="Tekstpodstawowy"/>
    <w:rsid w:val="00FE3620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FD2BB0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rsid w:val="000D1F2D"/>
    <w:pPr>
      <w:spacing w:after="120" w:line="480" w:lineRule="auto"/>
    </w:pPr>
  </w:style>
  <w:style w:type="paragraph" w:customStyle="1" w:styleId="akapit">
    <w:name w:val="akapit"/>
    <w:basedOn w:val="Normalny"/>
    <w:rsid w:val="000D1F2D"/>
    <w:pPr>
      <w:spacing w:after="240" w:line="360" w:lineRule="atLeast"/>
      <w:ind w:firstLine="426"/>
      <w:jc w:val="both"/>
    </w:pPr>
    <w:rPr>
      <w:rFonts w:ascii="Arial PL" w:hAnsi="Arial PL"/>
      <w:sz w:val="26"/>
      <w:szCs w:val="20"/>
      <w:lang w:val="en-US" w:eastAsia="pl-PL"/>
    </w:rPr>
  </w:style>
  <w:style w:type="character" w:customStyle="1" w:styleId="Nagwek1Znak">
    <w:name w:val="Nagłówek 1 Znak"/>
    <w:link w:val="Nagwek1"/>
    <w:uiPriority w:val="9"/>
    <w:rsid w:val="00C3208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A3676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3676D"/>
    <w:pPr>
      <w:keepLines/>
      <w:spacing w:before="480" w:after="0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3676D"/>
  </w:style>
  <w:style w:type="paragraph" w:styleId="Spistreci2">
    <w:name w:val="toc 2"/>
    <w:basedOn w:val="Normalny"/>
    <w:next w:val="Normalny"/>
    <w:autoRedefine/>
    <w:uiPriority w:val="39"/>
    <w:unhideWhenUsed/>
    <w:rsid w:val="00A3676D"/>
    <w:pPr>
      <w:ind w:left="220"/>
    </w:pPr>
  </w:style>
  <w:style w:type="character" w:styleId="Hipercze">
    <w:name w:val="Hyperlink"/>
    <w:uiPriority w:val="99"/>
    <w:unhideWhenUsed/>
    <w:rsid w:val="00A3676D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94AA6"/>
    <w:rPr>
      <w:color w:val="800080"/>
      <w:u w:val="single"/>
    </w:rPr>
  </w:style>
  <w:style w:type="character" w:customStyle="1" w:styleId="apple-converted-space">
    <w:name w:val="apple-converted-space"/>
    <w:rsid w:val="009C770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0E9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10E9D"/>
    <w:rPr>
      <w:rFonts w:eastAsia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A10E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CD4F02"/>
    <w:pPr>
      <w:ind w:left="720"/>
      <w:contextualSpacing/>
    </w:pPr>
  </w:style>
  <w:style w:type="paragraph" w:customStyle="1" w:styleId="CM11">
    <w:name w:val="CM1+1"/>
    <w:basedOn w:val="Normalny"/>
    <w:next w:val="Normalny"/>
    <w:uiPriority w:val="99"/>
    <w:rsid w:val="009A53CF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sz w:val="24"/>
      <w:szCs w:val="24"/>
      <w:lang w:eastAsia="pl-PL"/>
    </w:rPr>
  </w:style>
  <w:style w:type="paragraph" w:customStyle="1" w:styleId="CM31">
    <w:name w:val="CM3+1"/>
    <w:basedOn w:val="Normalny"/>
    <w:next w:val="Normalny"/>
    <w:uiPriority w:val="99"/>
    <w:rsid w:val="009A53CF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652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52B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652B6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52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652B6"/>
    <w:rPr>
      <w:rFonts w:eastAsia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AD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20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67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15295C"/>
  </w:style>
  <w:style w:type="paragraph" w:styleId="Stopka">
    <w:name w:val="footer"/>
    <w:basedOn w:val="Normalny"/>
    <w:link w:val="StopkaZnak"/>
    <w:uiPriority w:val="99"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15295C"/>
  </w:style>
  <w:style w:type="paragraph" w:styleId="Tekstdymka">
    <w:name w:val="Balloon Text"/>
    <w:basedOn w:val="Normalny"/>
    <w:link w:val="TekstdymkaZnak"/>
    <w:uiPriority w:val="99"/>
    <w:semiHidden/>
    <w:unhideWhenUsed/>
    <w:rsid w:val="0015295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295C"/>
    <w:rPr>
      <w:rFonts w:ascii="Tahoma" w:hAnsi="Tahoma" w:cs="Tahoma"/>
      <w:sz w:val="16"/>
      <w:szCs w:val="16"/>
    </w:rPr>
  </w:style>
  <w:style w:type="paragraph" w:customStyle="1" w:styleId="A1">
    <w:name w:val="A1"/>
    <w:basedOn w:val="Normalny"/>
    <w:rsid w:val="005774A8"/>
    <w:pPr>
      <w:spacing w:before="120" w:after="120" w:line="240" w:lineRule="auto"/>
      <w:ind w:firstLine="284"/>
      <w:jc w:val="both"/>
    </w:pPr>
    <w:rPr>
      <w:rFonts w:ascii="Times New Roman" w:hAnsi="Times New Roman"/>
      <w:lang w:eastAsia="pl-PL"/>
    </w:rPr>
  </w:style>
  <w:style w:type="character" w:styleId="Numerstrony">
    <w:name w:val="page number"/>
    <w:basedOn w:val="Domylnaczcionkaakapitu"/>
    <w:rsid w:val="00BF7773"/>
  </w:style>
  <w:style w:type="table" w:styleId="Tabela-Siatka">
    <w:name w:val="Table Grid"/>
    <w:basedOn w:val="Standardowy"/>
    <w:rsid w:val="00753A4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semiHidden/>
    <w:rsid w:val="00887A20"/>
    <w:rPr>
      <w:sz w:val="20"/>
      <w:szCs w:val="20"/>
    </w:rPr>
  </w:style>
  <w:style w:type="character" w:styleId="Odwoanieprzypisudolnego">
    <w:name w:val="footnote reference"/>
    <w:aliases w:val="Footnote Reference Superscript,BVI fnr,Footnote symbol,16 Point,Superscript 6 Point,Footnote Reference Number,Footnote Reference_LVL6,Footnote Reference_LVL61,Footnote Reference_LVL62,Footnote Reference_LVL63"/>
    <w:uiPriority w:val="99"/>
    <w:rsid w:val="00887A20"/>
    <w:rPr>
      <w:vertAlign w:val="superscript"/>
    </w:rPr>
  </w:style>
  <w:style w:type="character" w:styleId="Pogrubienie">
    <w:name w:val="Strong"/>
    <w:uiPriority w:val="22"/>
    <w:qFormat/>
    <w:rsid w:val="005873F6"/>
    <w:rPr>
      <w:b/>
      <w:bCs/>
    </w:rPr>
  </w:style>
  <w:style w:type="character" w:customStyle="1" w:styleId="TekstprzypisudolnegoZnak">
    <w:name w:val="Tekst przypisu dolnego Znak"/>
    <w:aliases w:val="Podrozdział Znak"/>
    <w:link w:val="Tekstprzypisudolnego"/>
    <w:semiHidden/>
    <w:locked/>
    <w:rsid w:val="00FB12E6"/>
    <w:rPr>
      <w:rFonts w:ascii="Calibri" w:hAnsi="Calibri"/>
      <w:lang w:val="pl-PL" w:eastAsia="en-US" w:bidi="ar-SA"/>
    </w:rPr>
  </w:style>
  <w:style w:type="paragraph" w:styleId="Tekstpodstawowy">
    <w:name w:val="Body Text"/>
    <w:aliases w:val="b,bt,szaro,b1,Tekst podstawowy Znak Znak Znak Znak Znak Znak Znak Znak"/>
    <w:basedOn w:val="Normalny"/>
    <w:link w:val="TekstpodstawowyZnak"/>
    <w:rsid w:val="00FE3620"/>
    <w:pPr>
      <w:spacing w:after="12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b Znak,bt Znak,szaro Znak,b1 Znak,Tekst podstawowy Znak Znak Znak Znak Znak Znak Znak Znak Znak"/>
    <w:link w:val="Tekstpodstawowy"/>
    <w:rsid w:val="00FE3620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FD2BB0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rsid w:val="000D1F2D"/>
    <w:pPr>
      <w:spacing w:after="120" w:line="480" w:lineRule="auto"/>
    </w:pPr>
  </w:style>
  <w:style w:type="paragraph" w:customStyle="1" w:styleId="akapit">
    <w:name w:val="akapit"/>
    <w:basedOn w:val="Normalny"/>
    <w:rsid w:val="000D1F2D"/>
    <w:pPr>
      <w:spacing w:after="240" w:line="360" w:lineRule="atLeast"/>
      <w:ind w:firstLine="426"/>
      <w:jc w:val="both"/>
    </w:pPr>
    <w:rPr>
      <w:rFonts w:ascii="Arial PL" w:hAnsi="Arial PL"/>
      <w:sz w:val="26"/>
      <w:szCs w:val="20"/>
      <w:lang w:val="en-US" w:eastAsia="pl-PL"/>
    </w:rPr>
  </w:style>
  <w:style w:type="character" w:customStyle="1" w:styleId="Nagwek1Znak">
    <w:name w:val="Nagłówek 1 Znak"/>
    <w:link w:val="Nagwek1"/>
    <w:uiPriority w:val="9"/>
    <w:rsid w:val="00C3208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A3676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3676D"/>
    <w:pPr>
      <w:keepLines/>
      <w:spacing w:before="480" w:after="0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3676D"/>
  </w:style>
  <w:style w:type="paragraph" w:styleId="Spistreci2">
    <w:name w:val="toc 2"/>
    <w:basedOn w:val="Normalny"/>
    <w:next w:val="Normalny"/>
    <w:autoRedefine/>
    <w:uiPriority w:val="39"/>
    <w:unhideWhenUsed/>
    <w:rsid w:val="00A3676D"/>
    <w:pPr>
      <w:ind w:left="220"/>
    </w:pPr>
  </w:style>
  <w:style w:type="character" w:styleId="Hipercze">
    <w:name w:val="Hyperlink"/>
    <w:uiPriority w:val="99"/>
    <w:unhideWhenUsed/>
    <w:rsid w:val="00A3676D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94AA6"/>
    <w:rPr>
      <w:color w:val="800080"/>
      <w:u w:val="single"/>
    </w:rPr>
  </w:style>
  <w:style w:type="character" w:customStyle="1" w:styleId="apple-converted-space">
    <w:name w:val="apple-converted-space"/>
    <w:rsid w:val="009C770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0E9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10E9D"/>
    <w:rPr>
      <w:rFonts w:eastAsia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A10E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CD4F02"/>
    <w:pPr>
      <w:ind w:left="720"/>
      <w:contextualSpacing/>
    </w:pPr>
  </w:style>
  <w:style w:type="paragraph" w:customStyle="1" w:styleId="CM11">
    <w:name w:val="CM1+1"/>
    <w:basedOn w:val="Normalny"/>
    <w:next w:val="Normalny"/>
    <w:uiPriority w:val="99"/>
    <w:rsid w:val="009A53CF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sz w:val="24"/>
      <w:szCs w:val="24"/>
      <w:lang w:eastAsia="pl-PL"/>
    </w:rPr>
  </w:style>
  <w:style w:type="paragraph" w:customStyle="1" w:styleId="CM31">
    <w:name w:val="CM3+1"/>
    <w:basedOn w:val="Normalny"/>
    <w:next w:val="Normalny"/>
    <w:uiPriority w:val="99"/>
    <w:rsid w:val="009A53CF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652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52B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652B6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52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652B6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4.emf"/><Relationship Id="rId26" Type="http://schemas.openxmlformats.org/officeDocument/2006/relationships/hyperlink" Target="http://www.mf.gov.pl/documents/764034/1002148/metodologia+wersja+polska2001.pdf" TargetMode="Externa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emf"/><Relationship Id="rId25" Type="http://schemas.openxmlformats.org/officeDocument/2006/relationships/hyperlink" Target="http://isap.sejm.gov.pl/DetailsServlet?id=WDU2009157124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6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image" Target="media/image9.emf"/><Relationship Id="rId28" Type="http://schemas.openxmlformats.org/officeDocument/2006/relationships/image" Target="media/image10.jpeg"/><Relationship Id="rId10" Type="http://schemas.openxmlformats.org/officeDocument/2006/relationships/header" Target="header2.xml"/><Relationship Id="rId19" Type="http://schemas.openxmlformats.org/officeDocument/2006/relationships/image" Target="media/image5.e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8.emf"/><Relationship Id="rId27" Type="http://schemas.openxmlformats.org/officeDocument/2006/relationships/hyperlink" Target="http://stat.gov.pl/obszary-tematyczne/rachunki-narodowe/europejski-system-rachunkow-narodowych-i-regionalnych-esa-2010/rozporzadzenie-parlamentu-europejskiego-i-rady-ue-nr-5492013-z-dnia-21-maja-2013-r-,1,1.html" TargetMode="External"/><Relationship Id="rId30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D5EEA-27E9-4338-B7E2-918E65750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3708</Words>
  <Characters>22250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25907</CharactersWithSpaces>
  <SharedDoc>false</SharedDoc>
  <HLinks>
    <vt:vector size="96" baseType="variant">
      <vt:variant>
        <vt:i4>3211323</vt:i4>
      </vt:variant>
      <vt:variant>
        <vt:i4>93</vt:i4>
      </vt:variant>
      <vt:variant>
        <vt:i4>0</vt:i4>
      </vt:variant>
      <vt:variant>
        <vt:i4>5</vt:i4>
      </vt:variant>
      <vt:variant>
        <vt:lpwstr>http://stat.gov.pl/obszary-tematyczne/rachunki-narodowe/europejski-system-rachunkow-narodowych-i-regionalnych-esa-2010/rozporzadzenie-parlamentu-europejskiego-i-rady-ue-nr-5492013-z-dnia-21-maja-2013-r-,1,1.html</vt:lpwstr>
      </vt:variant>
      <vt:variant>
        <vt:lpwstr/>
      </vt:variant>
      <vt:variant>
        <vt:i4>3407929</vt:i4>
      </vt:variant>
      <vt:variant>
        <vt:i4>90</vt:i4>
      </vt:variant>
      <vt:variant>
        <vt:i4>0</vt:i4>
      </vt:variant>
      <vt:variant>
        <vt:i4>5</vt:i4>
      </vt:variant>
      <vt:variant>
        <vt:lpwstr>http://www.mf.gov.pl/documents/764034/1002148/metodologia+wersja+polska2001.pdf</vt:lpwstr>
      </vt:variant>
      <vt:variant>
        <vt:lpwstr/>
      </vt:variant>
      <vt:variant>
        <vt:i4>786444</vt:i4>
      </vt:variant>
      <vt:variant>
        <vt:i4>87</vt:i4>
      </vt:variant>
      <vt:variant>
        <vt:i4>0</vt:i4>
      </vt:variant>
      <vt:variant>
        <vt:i4>5</vt:i4>
      </vt:variant>
      <vt:variant>
        <vt:lpwstr>http://isap.sejm.gov.pl/DetailsServlet?id=WDU20091571240</vt:lpwstr>
      </vt:variant>
      <vt:variant>
        <vt:lpwstr/>
      </vt:variant>
      <vt:variant>
        <vt:i4>1900600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_Toc484006841</vt:lpwstr>
      </vt:variant>
      <vt:variant>
        <vt:i4>1900600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_Toc484006840</vt:lpwstr>
      </vt:variant>
      <vt:variant>
        <vt:i4>1703992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_Toc484006839</vt:lpwstr>
      </vt:variant>
      <vt:variant>
        <vt:i4>1703992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_Toc484006838</vt:lpwstr>
      </vt:variant>
      <vt:variant>
        <vt:i4>1703992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_Toc484006837</vt:lpwstr>
      </vt:variant>
      <vt:variant>
        <vt:i4>1703992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_Toc484006836</vt:lpwstr>
      </vt:variant>
      <vt:variant>
        <vt:i4>1703992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_Toc484006835</vt:lpwstr>
      </vt:variant>
      <vt:variant>
        <vt:i4>1703992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_Toc484006834</vt:lpwstr>
      </vt:variant>
      <vt:variant>
        <vt:i4>1703992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_Toc484006833</vt:lpwstr>
      </vt:variant>
      <vt:variant>
        <vt:i4>1703992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_Toc484006832</vt:lpwstr>
      </vt:variant>
      <vt:variant>
        <vt:i4>1703992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_Toc484006831</vt:lpwstr>
      </vt:variant>
      <vt:variant>
        <vt:i4>1703992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_Toc484006830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_Toc484006829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2019-06-04T11:34:00Z</dcterms:created>
  <dcterms:modified xsi:type="dcterms:W3CDTF">2019-06-04T11:52:00Z</dcterms:modified>
</cp:coreProperties>
</file>