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2E52E574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91965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F506837" w14:textId="77777777" w:rsidR="00AA2F5A" w:rsidRPr="00AB4DCE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ABAF2EE" w:rsidR="008C6721" w:rsidRPr="002B50C0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II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AB4DCE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A2F5A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14F0F6B" w:rsidR="00AA2F5A" w:rsidRPr="002B50C0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34641">
              <w:rPr>
                <w:rFonts w:ascii="Arial" w:hAnsi="Arial" w:cs="Arial"/>
                <w:b/>
                <w:sz w:val="20"/>
                <w:szCs w:val="20"/>
              </w:rPr>
              <w:t>Digitalizacja Regionalnego Dziedzictwa Telewizyjnego i Filmowego z Archiwum TVP S.A.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(DIGI TVP)</w:t>
            </w:r>
          </w:p>
        </w:tc>
      </w:tr>
      <w:tr w:rsidR="00AA2F5A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F6171F3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C6F2D">
              <w:rPr>
                <w:rFonts w:ascii="Arial" w:hAnsi="Arial" w:cs="Arial"/>
                <w:sz w:val="20"/>
                <w:szCs w:val="20"/>
              </w:rPr>
              <w:t>Minister</w:t>
            </w:r>
            <w:r w:rsidRPr="00704DF2">
              <w:rPr>
                <w:rFonts w:ascii="Arial" w:hAnsi="Arial" w:cs="Arial"/>
                <w:sz w:val="20"/>
                <w:szCs w:val="20"/>
              </w:rPr>
              <w:t xml:space="preserve"> Kultury i Dziedzictwa Narodowego</w:t>
            </w:r>
          </w:p>
        </w:tc>
      </w:tr>
      <w:tr w:rsidR="00AA2F5A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AA2F5A" w:rsidRPr="00725708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1AF9E88" w:rsidR="00AA2F5A" w:rsidRPr="006822BC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AA2F5A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961A92F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AA2F5A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362B1" w14:textId="77777777" w:rsidR="00AA2F5A" w:rsidRDefault="00AA2F5A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Programu Operacyjnego Polska Cyfrowa, Działanie 2.3. Cyfrowa dostępność i użyteczność informacji sektora publicznego, Poddziałanie 2.3.2 „Cyfrowe udostępnienie zasobów kultury”</w:t>
            </w:r>
          </w:p>
          <w:p w14:paraId="55582688" w14:textId="21DE1916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Wkład własny finansowany z przychodów komercyjnych TVP SA.</w:t>
            </w:r>
          </w:p>
        </w:tc>
      </w:tr>
      <w:tr w:rsidR="00AA2F5A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AA2F5A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3F5BFD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34641">
              <w:rPr>
                <w:rFonts w:ascii="Arial" w:hAnsi="Arial" w:cs="Arial"/>
                <w:sz w:val="20"/>
                <w:szCs w:val="20"/>
              </w:rPr>
              <w:t>53 420 766,00</w:t>
            </w:r>
            <w:r>
              <w:rPr>
                <w:rFonts w:ascii="Arial" w:hAnsi="Arial" w:cs="Arial"/>
                <w:sz w:val="20"/>
                <w:szCs w:val="20"/>
              </w:rPr>
              <w:t xml:space="preserve"> PLN</w:t>
            </w:r>
          </w:p>
        </w:tc>
      </w:tr>
      <w:tr w:rsidR="00AA2F5A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AA2F5A" w:rsidRPr="008A332F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E2D757B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6D3C">
              <w:rPr>
                <w:rFonts w:ascii="Arial" w:hAnsi="Arial" w:cs="Arial"/>
                <w:sz w:val="20"/>
                <w:szCs w:val="20"/>
              </w:rPr>
              <w:t>49 920 080,00 PLN</w:t>
            </w:r>
          </w:p>
        </w:tc>
        <w:bookmarkStart w:id="0" w:name="_GoBack"/>
        <w:bookmarkEnd w:id="0"/>
      </w:tr>
      <w:tr w:rsidR="005F1586" w:rsidRPr="002B50C0" w14:paraId="061FC2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11AD06" w14:textId="77777777" w:rsidR="005F1586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D7CBBF6" w14:textId="18279EB7" w:rsidR="005F1586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3D3C3" w14:textId="4E2A4E10" w:rsidR="005F1586" w:rsidRPr="00C76D3C" w:rsidRDefault="005F1586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37115">
              <w:rPr>
                <w:rFonts w:ascii="Arial" w:hAnsi="Arial" w:cs="Arial"/>
                <w:sz w:val="20"/>
                <w:szCs w:val="20"/>
              </w:rPr>
              <w:t>28.01.2019 – 27.01.2022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D60197E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proofErr w:type="spellStart"/>
      <w:r w:rsidR="00AA2F5A">
        <w:rPr>
          <w:rFonts w:ascii="Arial" w:hAnsi="Arial" w:cs="Arial"/>
          <w:sz w:val="18"/>
          <w:szCs w:val="18"/>
        </w:rPr>
        <w:t>nd</w:t>
      </w:r>
      <w:proofErr w:type="spellEnd"/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A2F5A" w:rsidRPr="002B50C0" w14:paraId="59735F91" w14:textId="77777777" w:rsidTr="00795AFA">
        <w:tc>
          <w:tcPr>
            <w:tcW w:w="2972" w:type="dxa"/>
          </w:tcPr>
          <w:p w14:paraId="077C8D26" w14:textId="04B5343D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</w:t>
            </w:r>
            <w:r w:rsidRPr="0082335E">
              <w:rPr>
                <w:rFonts w:ascii="Arial" w:hAnsi="Arial" w:cs="Arial"/>
                <w:b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</w:rPr>
              <w:t>22</w:t>
            </w:r>
            <w:r w:rsidRPr="0082335E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599202CB" w14:textId="77777777" w:rsidR="00AA2F5A" w:rsidRPr="00E91965" w:rsidRDefault="00AA2F5A" w:rsidP="00AA2F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1965">
              <w:rPr>
                <w:rFonts w:ascii="Arial" w:hAnsi="Arial" w:cs="Arial"/>
                <w:b/>
                <w:sz w:val="20"/>
                <w:szCs w:val="20"/>
              </w:rPr>
              <w:t>18,42%</w:t>
            </w:r>
          </w:p>
          <w:p w14:paraId="51820C96" w14:textId="77777777" w:rsidR="00AA2F5A" w:rsidRPr="00E91965" w:rsidRDefault="00AA2F5A" w:rsidP="00AA2F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1965">
              <w:rPr>
                <w:rFonts w:ascii="Arial" w:hAnsi="Arial" w:cs="Arial"/>
                <w:b/>
                <w:sz w:val="20"/>
                <w:szCs w:val="20"/>
              </w:rPr>
              <w:t>0,93%</w:t>
            </w:r>
          </w:p>
          <w:p w14:paraId="4929DAC9" w14:textId="0529A8C4" w:rsidR="00AA2F5A" w:rsidRPr="00E91965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91965">
              <w:rPr>
                <w:rFonts w:ascii="Arial" w:hAnsi="Arial" w:cs="Arial"/>
                <w:b/>
                <w:sz w:val="20"/>
                <w:szCs w:val="20"/>
              </w:rPr>
              <w:t>18,56%</w:t>
            </w:r>
          </w:p>
        </w:tc>
        <w:tc>
          <w:tcPr>
            <w:tcW w:w="3402" w:type="dxa"/>
          </w:tcPr>
          <w:p w14:paraId="6161F9A7" w14:textId="77777777" w:rsidR="00AA2F5A" w:rsidRPr="00C55986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BB31D3" w14:textId="723FEC8D" w:rsidR="00AA2F5A" w:rsidRPr="00141A92" w:rsidRDefault="007D577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D577A">
              <w:rPr>
                <w:rFonts w:ascii="Arial" w:hAnsi="Arial" w:cs="Arial"/>
                <w:b/>
                <w:sz w:val="20"/>
                <w:szCs w:val="20"/>
              </w:rPr>
              <w:t>57</w:t>
            </w:r>
            <w:r w:rsidR="00AA2F5A" w:rsidRPr="007D577A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7D577A"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="00AA2F5A" w:rsidRPr="007D577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118" w:type="dxa"/>
        <w:tblLook w:val="04A0" w:firstRow="1" w:lastRow="0" w:firstColumn="1" w:lastColumn="0" w:noHBand="0" w:noVBand="1"/>
        <w:tblCaption w:val="Kamienie milowe."/>
      </w:tblPr>
      <w:tblGrid>
        <w:gridCol w:w="2667"/>
        <w:gridCol w:w="1662"/>
        <w:gridCol w:w="1306"/>
        <w:gridCol w:w="1728"/>
        <w:gridCol w:w="2276"/>
      </w:tblGrid>
      <w:tr w:rsidR="00AA2F5A" w:rsidRPr="00AB4DCE" w14:paraId="7A07E471" w14:textId="77777777" w:rsidTr="00AA2F5A">
        <w:trPr>
          <w:tblHeader/>
        </w:trPr>
        <w:tc>
          <w:tcPr>
            <w:tcW w:w="2667" w:type="dxa"/>
            <w:shd w:val="clear" w:color="auto" w:fill="D0CECE" w:themeFill="background2" w:themeFillShade="E6"/>
          </w:tcPr>
          <w:p w14:paraId="27E6FDB6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3A007AE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AB4DC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0D5392E1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28" w:type="dxa"/>
            <w:shd w:val="clear" w:color="auto" w:fill="D0CECE" w:themeFill="background2" w:themeFillShade="E6"/>
          </w:tcPr>
          <w:p w14:paraId="5A366E18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6" w:type="dxa"/>
            <w:shd w:val="clear" w:color="auto" w:fill="D0CECE" w:themeFill="background2" w:themeFillShade="E6"/>
          </w:tcPr>
          <w:p w14:paraId="752A7CEF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A2F5A" w:rsidRPr="00AB4DCE" w14:paraId="6450B97D" w14:textId="77777777" w:rsidTr="00AA2F5A">
        <w:tc>
          <w:tcPr>
            <w:tcW w:w="2667" w:type="dxa"/>
          </w:tcPr>
          <w:p w14:paraId="1BD3BA90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struktury projektu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8F55D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14:paraId="00D9BC78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3C1FE63D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2ED0972B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134405DF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33A1E6CC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14:paraId="651FEF15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1523E3B4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14:paraId="1CE33986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542287F2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14:paraId="4BC6269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06.2019</w:t>
            </w:r>
          </w:p>
          <w:p w14:paraId="0BC2E98A" w14:textId="77777777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4F860A9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AA2F5A" w:rsidRPr="00AB4DCE" w14:paraId="38F6D71A" w14:textId="77777777" w:rsidTr="00AA2F5A">
        <w:tc>
          <w:tcPr>
            <w:tcW w:w="2667" w:type="dxa"/>
          </w:tcPr>
          <w:p w14:paraId="07E8D59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funkcjonalne regionalnych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D99">
              <w:rPr>
                <w:rFonts w:ascii="Arial" w:hAnsi="Arial" w:cs="Arial"/>
                <w:sz w:val="20"/>
                <w:szCs w:val="20"/>
              </w:rPr>
              <w:t>pracowni rekonstrukcji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5D766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1A350E9E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007E7D79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0FA035AB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</w:tc>
        <w:tc>
          <w:tcPr>
            <w:tcW w:w="1306" w:type="dxa"/>
          </w:tcPr>
          <w:p w14:paraId="1037A922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14:paraId="42602B52" w14:textId="741E5962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01.2020</w:t>
            </w:r>
          </w:p>
        </w:tc>
        <w:tc>
          <w:tcPr>
            <w:tcW w:w="2276" w:type="dxa"/>
          </w:tcPr>
          <w:p w14:paraId="7E6AC030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Pr="006E3F7B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05C0066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Termin krytyczny </w:t>
            </w:r>
            <w:r>
              <w:rPr>
                <w:rFonts w:ascii="Arial" w:hAnsi="Arial" w:cs="Arial"/>
                <w:sz w:val="20"/>
                <w:szCs w:val="20"/>
              </w:rPr>
              <w:t>upływał</w:t>
            </w:r>
            <w:r w:rsidRPr="006E3F7B">
              <w:rPr>
                <w:rFonts w:ascii="Arial" w:hAnsi="Arial" w:cs="Arial"/>
                <w:sz w:val="20"/>
                <w:szCs w:val="20"/>
              </w:rPr>
              <w:t xml:space="preserve"> 12.01.2020</w:t>
            </w:r>
          </w:p>
          <w:p w14:paraId="448838C6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Termin planowany został przekroczony ze względu na przedłużające się procedury zakupowe wyposażenia oraz prace adaptacyjne pomieszczeń.</w:t>
            </w:r>
          </w:p>
        </w:tc>
      </w:tr>
      <w:tr w:rsidR="00AA2F5A" w:rsidRPr="00AB4DCE" w14:paraId="6D844E17" w14:textId="77777777" w:rsidTr="00AA2F5A">
        <w:tc>
          <w:tcPr>
            <w:tcW w:w="2667" w:type="dxa"/>
          </w:tcPr>
          <w:p w14:paraId="70A6CBBF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Nadzór nad eksploatacją linii technologicznej</w:t>
            </w:r>
          </w:p>
          <w:p w14:paraId="49E34D4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do digitalizacji i rekonstrukcji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9667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3A4EBFB1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7A1CADB5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40F2B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0BAD0B6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  <w:p w14:paraId="089B9151" w14:textId="77777777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53227F8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AA2F5A" w:rsidRPr="00AB4DCE" w14:paraId="76B60349" w14:textId="77777777" w:rsidTr="00AA2F5A">
        <w:tc>
          <w:tcPr>
            <w:tcW w:w="2667" w:type="dxa"/>
          </w:tcPr>
          <w:p w14:paraId="07B4AA97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dostaw materiałów do</w:t>
            </w:r>
          </w:p>
          <w:p w14:paraId="39011B6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603C1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024AF72E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10F96120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4A0FD20F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</w:tc>
        <w:tc>
          <w:tcPr>
            <w:tcW w:w="1306" w:type="dxa"/>
          </w:tcPr>
          <w:p w14:paraId="5BFA543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14:paraId="2D7E198D" w14:textId="77777777" w:rsidR="00AA2F5A" w:rsidRPr="00443E4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443E4A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2276" w:type="dxa"/>
          </w:tcPr>
          <w:p w14:paraId="59A6FFF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AA2F5A" w:rsidRPr="00AB4DCE" w14:paraId="1A775C55" w14:textId="77777777" w:rsidTr="00AA2F5A">
        <w:tc>
          <w:tcPr>
            <w:tcW w:w="2667" w:type="dxa"/>
          </w:tcPr>
          <w:p w14:paraId="3FA90AF2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Zakończenie wprowadzania metadanych o</w:t>
            </w:r>
          </w:p>
          <w:p w14:paraId="5315B078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materiałach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w ramach</w:t>
            </w:r>
          </w:p>
          <w:p w14:paraId="021FBB2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projektu do systemu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C36B7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14:paraId="6AABD901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5DB0F9FE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69735E10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09EC6F05" w14:textId="77777777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4E6BD92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AA2F5A" w:rsidRPr="00AB4DCE" w14:paraId="4EE8EAE7" w14:textId="77777777" w:rsidTr="00AA2F5A">
        <w:tc>
          <w:tcPr>
            <w:tcW w:w="2667" w:type="dxa"/>
          </w:tcPr>
          <w:p w14:paraId="701DD93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procesu 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2A62A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004D5FEB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336578DD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56DA7C7E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16E6DD92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14:paraId="31CEDDD1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6820621B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14:paraId="3D609514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3D43EFF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728" w:type="dxa"/>
          </w:tcPr>
          <w:p w14:paraId="725AA0F0" w14:textId="77777777" w:rsidR="00AA2F5A" w:rsidRPr="00443E4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443E4A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2276" w:type="dxa"/>
          </w:tcPr>
          <w:p w14:paraId="19DD03D6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  <w:tr w:rsidR="00AA2F5A" w:rsidRPr="00AB4DCE" w14:paraId="0A30C439" w14:textId="77777777" w:rsidTr="00AA2F5A">
        <w:tc>
          <w:tcPr>
            <w:tcW w:w="2667" w:type="dxa"/>
          </w:tcPr>
          <w:p w14:paraId="588888AB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Zdigitalizowanie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2000 materiałów</w:t>
            </w:r>
          </w:p>
          <w:p w14:paraId="08EFDF6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światłloczułych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AB06F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332F84BE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</w:tc>
        <w:tc>
          <w:tcPr>
            <w:tcW w:w="1306" w:type="dxa"/>
          </w:tcPr>
          <w:p w14:paraId="41042E96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587C07DB" w14:textId="77777777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4654D2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AA2F5A" w:rsidRPr="00AB4DCE" w14:paraId="49F86668" w14:textId="77777777" w:rsidTr="00AA2F5A">
        <w:tc>
          <w:tcPr>
            <w:tcW w:w="2667" w:type="dxa"/>
          </w:tcPr>
          <w:p w14:paraId="0BE48093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Udostępnianie wszystkich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14:paraId="58252DEA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zrekonstruowanych materiałów na portalu</w:t>
            </w:r>
          </w:p>
          <w:p w14:paraId="255F51C9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internetowym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15573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14:paraId="7DC7F6EA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7B585C8D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07E37CA5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3D317D50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2EA148D2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14:paraId="7C736332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71B17D3B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14:paraId="411E3B3E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3FD38846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311FBB99" w14:textId="77777777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6CB214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Ind w:w="-113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A2F5A" w:rsidRPr="00AB4DCE" w14:paraId="56C6A1F6" w14:textId="77777777" w:rsidTr="00AA2F5A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D75AD57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87CCEF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2CD96A3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418AC54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197E670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B701AF3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A2F5A" w:rsidRPr="00AB4DCE" w14:paraId="575E832F" w14:textId="77777777" w:rsidTr="00AA2F5A">
        <w:tc>
          <w:tcPr>
            <w:tcW w:w="2545" w:type="dxa"/>
          </w:tcPr>
          <w:p w14:paraId="1D403CD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446A380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39F53CE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02EAFF5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6A210066" w14:textId="0FD713C0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0F19445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1764F53B" w14:textId="77777777" w:rsidTr="00AA2F5A">
        <w:tc>
          <w:tcPr>
            <w:tcW w:w="2545" w:type="dxa"/>
          </w:tcPr>
          <w:p w14:paraId="5FDB7EE9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02A08C8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643B253A" w14:textId="77777777" w:rsidR="00AA2F5A" w:rsidRPr="0063555A" w:rsidRDefault="00AA2F5A" w:rsidP="00BC2BA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4C0FFF4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CC15C8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41067131" w14:textId="225A7F11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2F3144B6" w14:textId="34595AE7" w:rsidR="00AA2F5A" w:rsidRPr="00380C5D" w:rsidRDefault="00380C5D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80C5D">
              <w:rPr>
                <w:rFonts w:ascii="Arial" w:hAnsi="Arial" w:cs="Arial"/>
                <w:sz w:val="20"/>
                <w:szCs w:val="20"/>
              </w:rPr>
              <w:t>937</w:t>
            </w:r>
          </w:p>
          <w:p w14:paraId="136150C9" w14:textId="77777777" w:rsidR="00AA2F5A" w:rsidRPr="0063555A" w:rsidRDefault="00AA2F5A" w:rsidP="00AA2F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F5A" w:rsidRPr="00AB4DCE" w14:paraId="30C42392" w14:textId="77777777" w:rsidTr="00AA2F5A">
        <w:tc>
          <w:tcPr>
            <w:tcW w:w="2545" w:type="dxa"/>
          </w:tcPr>
          <w:p w14:paraId="1720937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57C68E4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udostępnionych on-line dokumentów zawierających</w:t>
            </w:r>
          </w:p>
          <w:p w14:paraId="774C32C5" w14:textId="77777777" w:rsidR="00AA2F5A" w:rsidRPr="0063555A" w:rsidRDefault="00AA2F5A" w:rsidP="00BC2BA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4144A3A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14:paraId="01463F45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7EF5DD21" w14:textId="5C1D9D3C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39313B7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4D8D77E2" w14:textId="77777777" w:rsidTr="00AA2F5A">
        <w:tc>
          <w:tcPr>
            <w:tcW w:w="2545" w:type="dxa"/>
          </w:tcPr>
          <w:p w14:paraId="6F9566D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5198096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14:paraId="50AE45A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8B40F0F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EB28D0A" w14:textId="6C3EF024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62D98342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5C232B74" w14:textId="77777777" w:rsidTr="00AA2F5A">
        <w:tc>
          <w:tcPr>
            <w:tcW w:w="2545" w:type="dxa"/>
          </w:tcPr>
          <w:p w14:paraId="473CEB1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071306C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7FF8CA9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6805D05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57D46C9" w14:textId="57D2B95E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321148D0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56D8E375" w14:textId="77777777" w:rsidTr="00AA2F5A">
        <w:tc>
          <w:tcPr>
            <w:tcW w:w="2545" w:type="dxa"/>
          </w:tcPr>
          <w:p w14:paraId="4C46DD7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6.</w:t>
            </w:r>
          </w:p>
          <w:p w14:paraId="55AA7C96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pobrań/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odtworzeń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087A7158" w14:textId="77777777" w:rsidR="00AA2F5A" w:rsidRPr="0063555A" w:rsidRDefault="00AA2F5A" w:rsidP="00BC2BA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5C5AF13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7E3D5C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170 000</w:t>
            </w:r>
          </w:p>
        </w:tc>
        <w:tc>
          <w:tcPr>
            <w:tcW w:w="1701" w:type="dxa"/>
          </w:tcPr>
          <w:p w14:paraId="6A8DA349" w14:textId="62832FAB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56BE1FD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144A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255C9700" w14:textId="77777777" w:rsidTr="00AA2F5A">
        <w:tc>
          <w:tcPr>
            <w:tcW w:w="2545" w:type="dxa"/>
          </w:tcPr>
          <w:p w14:paraId="599AE39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7.</w:t>
            </w:r>
          </w:p>
          <w:p w14:paraId="261AA4E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zdigitalizowanej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6735D5F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175F261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38456918" w14:textId="28CD3DF1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59DD99A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17E11BD9" w14:textId="77777777" w:rsidTr="00AA2F5A">
        <w:tc>
          <w:tcPr>
            <w:tcW w:w="2545" w:type="dxa"/>
          </w:tcPr>
          <w:p w14:paraId="6C19B416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1EAF12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012F21C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82F99C7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701" w:type="dxa"/>
          </w:tcPr>
          <w:p w14:paraId="252B098A" w14:textId="3CC87702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7F19B27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201F93B9" w14:textId="77777777" w:rsidTr="00AA2F5A">
        <w:tc>
          <w:tcPr>
            <w:tcW w:w="2545" w:type="dxa"/>
          </w:tcPr>
          <w:p w14:paraId="31F6192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2F5497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14:paraId="37CD0EE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0C0A867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A094905" w14:textId="61A8EDDD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2142F0E0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2B50C0" w14:paraId="066D88A5" w14:textId="77777777" w:rsidTr="00517F12">
        <w:tc>
          <w:tcPr>
            <w:tcW w:w="2937" w:type="dxa"/>
          </w:tcPr>
          <w:p w14:paraId="21262D83" w14:textId="0FD75C34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14:paraId="016C9765" w14:textId="77777777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3F8DED4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2B50C0" w14:paraId="153EA8F3" w14:textId="77777777" w:rsidTr="00C6751B">
        <w:tc>
          <w:tcPr>
            <w:tcW w:w="2937" w:type="dxa"/>
          </w:tcPr>
          <w:p w14:paraId="46265E90" w14:textId="0DCD7033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22584">
              <w:rPr>
                <w:rFonts w:ascii="Arial" w:hAnsi="Arial" w:cs="Arial"/>
                <w:sz w:val="20"/>
                <w:szCs w:val="20"/>
              </w:rPr>
              <w:t xml:space="preserve">Materiały telewizyjne i filmowe z </w:t>
            </w:r>
            <w:r>
              <w:rPr>
                <w:rFonts w:ascii="Arial" w:hAnsi="Arial" w:cs="Arial"/>
                <w:sz w:val="20"/>
                <w:szCs w:val="20"/>
              </w:rPr>
              <w:t xml:space="preserve">regionalnych archiwów </w:t>
            </w:r>
            <w:r w:rsidRPr="00622584">
              <w:rPr>
                <w:rFonts w:ascii="Arial" w:hAnsi="Arial" w:cs="Arial"/>
                <w:sz w:val="20"/>
                <w:szCs w:val="20"/>
              </w:rPr>
              <w:t xml:space="preserve">TVP S.A. </w:t>
            </w:r>
            <w:r>
              <w:rPr>
                <w:rFonts w:ascii="Arial" w:hAnsi="Arial" w:cs="Arial"/>
                <w:sz w:val="20"/>
                <w:szCs w:val="20"/>
              </w:rPr>
              <w:t>w tym reportaże, filmy dokumentalne etc.</w:t>
            </w:r>
            <w:r w:rsidRPr="0062258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6D7C5935" w14:textId="12AFEF31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1134" w:type="dxa"/>
          </w:tcPr>
          <w:p w14:paraId="56773D50" w14:textId="49E5A2E3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37781807" w14:textId="5CFEEE3D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początkowej fazie projektu nie było planowane udostępniania materiałów. 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2F5A" w:rsidRPr="002B50C0" w14:paraId="50A66C72" w14:textId="77777777" w:rsidTr="006251DB">
        <w:tc>
          <w:tcPr>
            <w:tcW w:w="2547" w:type="dxa"/>
          </w:tcPr>
          <w:p w14:paraId="20B36869" w14:textId="1974805A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DB94B1B" w14:textId="4C0AAFC8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56A3AEAA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256CB68B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118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94"/>
        <w:gridCol w:w="1590"/>
        <w:gridCol w:w="2294"/>
        <w:gridCol w:w="3720"/>
      </w:tblGrid>
      <w:tr w:rsidR="00AA2F5A" w:rsidRPr="00AB4DCE" w14:paraId="00B86C3A" w14:textId="77777777" w:rsidTr="00AA2F5A">
        <w:trPr>
          <w:tblHeader/>
        </w:trPr>
        <w:tc>
          <w:tcPr>
            <w:tcW w:w="1894" w:type="dxa"/>
            <w:shd w:val="clear" w:color="auto" w:fill="D0CECE" w:themeFill="background2" w:themeFillShade="E6"/>
            <w:vAlign w:val="center"/>
          </w:tcPr>
          <w:p w14:paraId="164FF74D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90" w:type="dxa"/>
            <w:shd w:val="clear" w:color="auto" w:fill="D0CECE" w:themeFill="background2" w:themeFillShade="E6"/>
            <w:vAlign w:val="center"/>
          </w:tcPr>
          <w:p w14:paraId="14CEF7DA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6307267B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720" w:type="dxa"/>
            <w:shd w:val="clear" w:color="auto" w:fill="D0CECE" w:themeFill="background2" w:themeFillShade="E6"/>
            <w:vAlign w:val="center"/>
          </w:tcPr>
          <w:p w14:paraId="245C370B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A2F5A" w:rsidRPr="00AB4DCE" w14:paraId="0F2D4BD5" w14:textId="77777777" w:rsidTr="00AA2F5A">
        <w:tc>
          <w:tcPr>
            <w:tcW w:w="1894" w:type="dxa"/>
            <w:vAlign w:val="center"/>
          </w:tcPr>
          <w:p w14:paraId="3E1CAEA2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Wzrost kosztów inwestycyjnych</w:t>
            </w:r>
          </w:p>
        </w:tc>
        <w:tc>
          <w:tcPr>
            <w:tcW w:w="1590" w:type="dxa"/>
          </w:tcPr>
          <w:p w14:paraId="6D645437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CFFC5B4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3B5070D1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Ryzyko wzrostu kosztów inwestycyjnych identyfikowane będzie na bieżąco w oparciu o przygotowywane zestawienia postępu rzeczowej realizacji projektu. W przypadku przekroczenia danej pozycji budżetowej wdrożona zostanie reakcja na pojawiające się ryzyko – przesunięcie kosztów, pomiędzy kategoriami gdzie wystąpiły oszczędności, pokrycie nadwyżki kosztów ze środków Spółki, powtórzenie postepowania w ramach, którego powstało przekroczenie.</w:t>
            </w:r>
          </w:p>
          <w:p w14:paraId="1804E762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Aktualnie nie wystąpił wzrost kosztów inwestycyjnych. Nie nastąpiła zmiana ryzyka w stosunku do poprzedniego okresu sprawozdawczego.</w:t>
            </w:r>
          </w:p>
        </w:tc>
      </w:tr>
      <w:tr w:rsidR="00AA2F5A" w:rsidRPr="00AB4DCE" w14:paraId="67351737" w14:textId="77777777" w:rsidTr="00AA2F5A">
        <w:tc>
          <w:tcPr>
            <w:tcW w:w="1894" w:type="dxa"/>
            <w:vAlign w:val="center"/>
          </w:tcPr>
          <w:p w14:paraId="57C2EAD1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Problemy z wyłonieniem wykonawców w aspekcie stosowania prawa zamówień publicznych</w:t>
            </w:r>
          </w:p>
        </w:tc>
        <w:tc>
          <w:tcPr>
            <w:tcW w:w="1590" w:type="dxa"/>
          </w:tcPr>
          <w:p w14:paraId="6BB735DB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6E99FBE8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2461DC1C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Ryzyko związane z wyłonieniem wykonawców w aspekcie stosowania prawa zamówień publicznych będzie na bieżąco monitorowane w ramach nadzorowania prawidłowego przebiegu realizowanych postępowań w ramach PZP. W przypadku wystąpienia ryzyka wdrożona zostanie reakcja na pojawiające się ryzyko - zwiększenie zaangażowania osobowego na potrzeby realizowanego postępowania, złożenie wniosku o zmianę harmonogramu realizacji projektu (w przypadku wpływu opóźnień w postępowaniu przetargowym na har</w:t>
            </w:r>
            <w:r w:rsidRPr="006E3F7B">
              <w:rPr>
                <w:rFonts w:ascii="Arial" w:hAnsi="Arial" w:cs="Arial"/>
                <w:sz w:val="20"/>
                <w:szCs w:val="20"/>
              </w:rPr>
              <w:lastRenderedPageBreak/>
              <w:t>monogram), ponowne przeprowadzenie postępowania,- zmiana z dwu na trzyzmianowy tryb pracy.</w:t>
            </w:r>
          </w:p>
          <w:p w14:paraId="5945D624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Wystąpiło opóźnienie w części postępowań, które są wznawiane. Niemniej nie wpłynęły one na harmonogram opracowania materiałów i realizację całego projektu. Nie nastąpiła zmiana ryzyka w stosunku do poprzedniego okresu sprawozdawczego.</w:t>
            </w:r>
          </w:p>
        </w:tc>
      </w:tr>
      <w:tr w:rsidR="00AA2F5A" w:rsidRPr="00AB4DCE" w14:paraId="274F8B4D" w14:textId="77777777" w:rsidTr="00AA2F5A">
        <w:tc>
          <w:tcPr>
            <w:tcW w:w="1894" w:type="dxa"/>
            <w:vAlign w:val="center"/>
          </w:tcPr>
          <w:p w14:paraId="7AC887A5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lastRenderedPageBreak/>
              <w:t>Niedotrzymanie warunków umowy o dofinansowanie w zakresie terminowości projektu</w:t>
            </w:r>
          </w:p>
        </w:tc>
        <w:tc>
          <w:tcPr>
            <w:tcW w:w="1590" w:type="dxa"/>
          </w:tcPr>
          <w:p w14:paraId="7A08D001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F20BB5D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65C0A225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Niedotrzymanie warunków umów w zakresie terminowości projektu jest ryzykiem o średnim prawdopodobieństwie. Beneficjent liczy się z możliwością pewnego przedłużenia realizacji dostawy zwłaszcza gdyby dotrzymanie terminu wiązało się z obniżeniem jakości urządzeń. Skutki takiego zdarzenia regulowane będą w finansowych warunkach umów. Przyjęte w harmonogramie terminy zakończenia projektu zostawiają margines czasowy. W przypadku wystąpienia ryzyka wdrożona zostanie reakcja na pojawiające się ryzyko - zwiększenie/zmiany zaangażowania osobowego w obszarach powstawania naruszeń terminów, zmiana z dwu na trzyzmianowy tryb pracy.</w:t>
            </w:r>
          </w:p>
          <w:p w14:paraId="2A194A99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Aktualnie projekt jest realizowany zgodnie z przyjętym harmonogramem. Nie nastąpiła zmiana ryzyka w stosunku do poprzedniego okresu sprawozdawczego.</w:t>
            </w:r>
          </w:p>
        </w:tc>
      </w:tr>
      <w:tr w:rsidR="00AA2F5A" w:rsidRPr="00AB4DCE" w14:paraId="0AC895B4" w14:textId="77777777" w:rsidTr="00AA2F5A">
        <w:tc>
          <w:tcPr>
            <w:tcW w:w="1894" w:type="dxa"/>
            <w:vAlign w:val="center"/>
          </w:tcPr>
          <w:p w14:paraId="319FD9E5" w14:textId="77777777" w:rsidR="00AA2F5A" w:rsidRPr="00695F13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Problemy techniczne wynikające z niskiej jakości materiałów źródłowych</w:t>
            </w:r>
          </w:p>
        </w:tc>
        <w:tc>
          <w:tcPr>
            <w:tcW w:w="1590" w:type="dxa"/>
          </w:tcPr>
          <w:p w14:paraId="5C77069F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2294" w:type="dxa"/>
          </w:tcPr>
          <w:p w14:paraId="5D45F932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6075E188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Problemy techniczne, wynikające z niskiej jakości materiałów źródłowych, są ryzykiem o wysokim poziomie. Wnioskodawca przeprowadził inwentaryzację zbiorów jako działanie minimalizujące to ryzyko. Działaniem zaradczym w przypadku wystąpienia ryzyka będzie zwiększenie liczby roboczo godzin przeznaczonych na rekonstrukcję danego materiału. Wnioskodawca zakłada 5% rezerwę czasu pracy na wypadek tego typu sytuacji. W przypadku wystąpienia ryzyka wdrożona zostanie reakcja na pojawiające się ryzyko - zwiększenie/zmiany zaangażowania osobowego w obszarach powstawania naruszeń terminów, zmiana z dwu na trzyzmianowy tryb pracy.</w:t>
            </w:r>
          </w:p>
          <w:p w14:paraId="255A0D9A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 stwierdzono istotnych problemów z jakością materiałów. Aktualnie prace związane z opracowaniem materiałów są realizowane zgodnie z przyjętym harmonogramem. Nie nastąpiła zmiana ryzyka w stosunku do poprzedniego okresu sprawozdawczego</w:t>
            </w:r>
          </w:p>
        </w:tc>
      </w:tr>
      <w:tr w:rsidR="00AA2F5A" w:rsidRPr="00AB4DCE" w14:paraId="231996EE" w14:textId="77777777" w:rsidTr="00AA2F5A">
        <w:tc>
          <w:tcPr>
            <w:tcW w:w="1894" w:type="dxa"/>
            <w:vAlign w:val="center"/>
          </w:tcPr>
          <w:p w14:paraId="4C23DC2D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lastRenderedPageBreak/>
              <w:t>Nie wywiązywanie się dostawców z postanowień zawartych w umowach</w:t>
            </w:r>
          </w:p>
        </w:tc>
        <w:tc>
          <w:tcPr>
            <w:tcW w:w="1590" w:type="dxa"/>
          </w:tcPr>
          <w:p w14:paraId="16C2969F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4219174C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579F87AA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Niedotrzymanie warunków umów przez Dostawców jakości urządzeń jest ryzykiem o niskim prawdopodobieństwie, gdyż zastosowane procedury oraz szczegółowa specyfikacja to gwarancja jakości. W przypadku wystąpienia ryzyka wdrożona zostanie reakcja na pojawiające się ryzyko - negocjacje z dostawcą, wezwanie do wywiązywania się z postanowień umownych,</w:t>
            </w:r>
          </w:p>
          <w:p w14:paraId="1E24626C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 zmiana dostawcy.</w:t>
            </w:r>
          </w:p>
          <w:p w14:paraId="74E07EA8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W zakresie zawartych umów ich realizacja przebiega prawidłowo. Nie nastąpiła zmiana ryzyka w stosunku do poprzedniego okresu sprawozdawczego.</w:t>
            </w:r>
          </w:p>
          <w:p w14:paraId="6367E06D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7157F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0A26BBF1" w:rsidR="00F7157F" w:rsidRPr="0091332C" w:rsidRDefault="00F7157F" w:rsidP="00F7157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 xml:space="preserve">a dzień składania niniejszego Raportu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stwierdzono ryzyka związane z wystąpieniem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koronawirusa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skutkujące opóźnieniami w dostawach sprzętu (dostawcy wystosowali oficjalne pisma o opóźnieniach związanych z siłą wyższą) oraz utrudnieniami w realizacji bieżących prac wynikające z ograniczeń w przemieszczaniu oraz kwarantannami dla pojedynczych pracowników</w:t>
            </w:r>
          </w:p>
        </w:tc>
        <w:tc>
          <w:tcPr>
            <w:tcW w:w="1701" w:type="dxa"/>
            <w:shd w:val="clear" w:color="auto" w:fill="FFFFFF"/>
          </w:tcPr>
          <w:p w14:paraId="2F0B777F" w14:textId="4FDD4300" w:rsidR="00F7157F" w:rsidRPr="0091332C" w:rsidRDefault="00F7157F" w:rsidP="00F7157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A78F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wysoka</w:t>
            </w:r>
          </w:p>
        </w:tc>
        <w:tc>
          <w:tcPr>
            <w:tcW w:w="2125" w:type="dxa"/>
            <w:shd w:val="clear" w:color="auto" w:fill="FFFFFF"/>
          </w:tcPr>
          <w:p w14:paraId="65F40333" w14:textId="6307DC3C" w:rsidR="00F7157F" w:rsidRPr="0091332C" w:rsidRDefault="00F7157F" w:rsidP="00F7157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A78F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62C413D1" w:rsidR="00F7157F" w:rsidRPr="0091332C" w:rsidRDefault="00F7157F" w:rsidP="00F7157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71F0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Organizacja środowiska pracy zapewniającego zdalny dostęp dla pracowników i umożliwiającego zdalną realizację części zadań. Zabezpieczenie dla pracowników środków ochronnych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A3CAB21" w:rsidR="00805178" w:rsidRPr="00805178" w:rsidRDefault="00F7157F" w:rsidP="00F7157F">
      <w:pPr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F7157F">
        <w:rPr>
          <w:rFonts w:ascii="Arial" w:hAnsi="Arial" w:cs="Arial"/>
          <w:sz w:val="18"/>
          <w:szCs w:val="18"/>
          <w:lang w:eastAsia="pl-PL"/>
        </w:rPr>
        <w:t>ND</w:t>
      </w:r>
    </w:p>
    <w:p w14:paraId="322A7124" w14:textId="77777777" w:rsidR="00F7157F" w:rsidRPr="00F7157F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8D5E0BD" w14:textId="77777777" w:rsidR="00F7157F" w:rsidRPr="00AB4DCE" w:rsidRDefault="00BB059E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F7157F">
        <w:rPr>
          <w:rFonts w:ascii="Arial" w:hAnsi="Arial" w:cs="Arial"/>
          <w:b/>
        </w:rPr>
        <w:t xml:space="preserve"> </w:t>
      </w:r>
      <w:r w:rsidR="00F7157F" w:rsidRPr="00AB4DCE">
        <w:rPr>
          <w:rFonts w:ascii="Arial" w:hAnsi="Arial" w:cs="Arial"/>
        </w:rPr>
        <w:t>Przemysław Herburt</w:t>
      </w:r>
    </w:p>
    <w:p w14:paraId="201B8CA7" w14:textId="77777777" w:rsidR="00F7157F" w:rsidRPr="00AB4DCE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Zastępca Dyrektora </w:t>
      </w:r>
    </w:p>
    <w:p w14:paraId="5BEF9BE9" w14:textId="77777777" w:rsidR="00F7157F" w:rsidRPr="00AB4DCE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Ośrodek Dokumentacji i Zbiorów Programowych TVP SA</w:t>
      </w:r>
    </w:p>
    <w:p w14:paraId="123D3129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 xml:space="preserve"> </w:t>
      </w:r>
      <w:proofErr w:type="spellStart"/>
      <w:r w:rsidRPr="00563650">
        <w:rPr>
          <w:rFonts w:ascii="Arial" w:hAnsi="Arial" w:cs="Arial"/>
          <w:lang w:val="en-GB"/>
        </w:rPr>
        <w:t>kom</w:t>
      </w:r>
      <w:proofErr w:type="spellEnd"/>
      <w:r w:rsidRPr="00563650">
        <w:rPr>
          <w:rFonts w:ascii="Arial" w:hAnsi="Arial" w:cs="Arial"/>
          <w:lang w:val="en-GB"/>
        </w:rPr>
        <w:t>: +48 605 605 228</w:t>
      </w:r>
    </w:p>
    <w:p w14:paraId="50939A81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>: (22) 547 46 59</w:t>
      </w:r>
    </w:p>
    <w:p w14:paraId="499B31F0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fax: (22) 547 43 27</w:t>
      </w:r>
    </w:p>
    <w:p w14:paraId="61D78D51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 xml:space="preserve">e-mail: </w:t>
      </w:r>
      <w:hyperlink r:id="rId8" w:history="1">
        <w:r w:rsidRPr="0056365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563650">
        <w:rPr>
          <w:rFonts w:ascii="Arial" w:hAnsi="Arial" w:cs="Arial"/>
          <w:lang w:val="en-GB"/>
        </w:rPr>
        <w:t xml:space="preserve"> </w:t>
      </w:r>
    </w:p>
    <w:p w14:paraId="2555410E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p w14:paraId="0FA2F07F" w14:textId="0DAD9FBD" w:rsidR="00BB059E" w:rsidRPr="00F7157F" w:rsidRDefault="00BB059E" w:rsidP="00F7157F">
      <w:pPr>
        <w:spacing w:before="360"/>
        <w:jc w:val="both"/>
        <w:rPr>
          <w:rFonts w:ascii="Arial" w:hAnsi="Arial" w:cs="Arial"/>
          <w:color w:val="0070C0"/>
        </w:rPr>
      </w:pPr>
    </w:p>
    <w:p w14:paraId="3E707801" w14:textId="77777777" w:rsidR="00A92887" w:rsidRDefault="00A92887" w:rsidP="00F7157F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6D365B31" w14:textId="57D9EE9F" w:rsidR="00F539CD" w:rsidRDefault="00F539CD" w:rsidP="00A92887">
      <w:pPr>
        <w:spacing w:after="0"/>
        <w:jc w:val="both"/>
        <w:rPr>
          <w:rFonts w:ascii="Arial" w:hAnsi="Arial" w:cs="Arial"/>
        </w:rPr>
      </w:pPr>
      <w:r w:rsidRPr="00F539CD">
        <w:rPr>
          <w:rFonts w:ascii="Arial" w:hAnsi="Arial" w:cs="Arial"/>
        </w:rPr>
        <w:t xml:space="preserve">Załącznik 1 - </w:t>
      </w:r>
      <w:proofErr w:type="spellStart"/>
      <w:r w:rsidRPr="00F539CD">
        <w:rPr>
          <w:rFonts w:ascii="Arial" w:hAnsi="Arial" w:cs="Arial"/>
        </w:rPr>
        <w:t>DIGI_TVP_Raport</w:t>
      </w:r>
      <w:proofErr w:type="spellEnd"/>
      <w:r w:rsidRPr="00F539CD">
        <w:rPr>
          <w:rFonts w:ascii="Arial" w:hAnsi="Arial" w:cs="Arial"/>
        </w:rPr>
        <w:t xml:space="preserve"> z postępu za II kwartał 2020</w:t>
      </w:r>
    </w:p>
    <w:p w14:paraId="5ACC80B6" w14:textId="4FC900F3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  <w:r w:rsidR="00F7157F">
        <w:rPr>
          <w:rFonts w:ascii="Arial" w:hAnsi="Arial" w:cs="Arial"/>
        </w:rPr>
        <w:t xml:space="preserve"> - </w:t>
      </w:r>
      <w:proofErr w:type="spellStart"/>
      <w:r w:rsidR="00F7157F">
        <w:rPr>
          <w:rFonts w:ascii="Arial" w:hAnsi="Arial" w:cs="Arial"/>
        </w:rPr>
        <w:t>nd</w:t>
      </w:r>
      <w:proofErr w:type="spellEnd"/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6363B" w14:textId="77777777" w:rsidR="00DB47E8" w:rsidRDefault="00DB47E8" w:rsidP="00BB2420">
      <w:pPr>
        <w:spacing w:after="0" w:line="240" w:lineRule="auto"/>
      </w:pPr>
      <w:r>
        <w:separator/>
      </w:r>
    </w:p>
  </w:endnote>
  <w:endnote w:type="continuationSeparator" w:id="0">
    <w:p w14:paraId="22A8B33F" w14:textId="77777777" w:rsidR="00DB47E8" w:rsidRDefault="00DB47E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D36186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3E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004D4" w14:textId="77777777" w:rsidR="00DB47E8" w:rsidRDefault="00DB47E8" w:rsidP="00BB2420">
      <w:pPr>
        <w:spacing w:after="0" w:line="240" w:lineRule="auto"/>
      </w:pPr>
      <w:r>
        <w:separator/>
      </w:r>
    </w:p>
  </w:footnote>
  <w:footnote w:type="continuationSeparator" w:id="0">
    <w:p w14:paraId="0E80802C" w14:textId="77777777" w:rsidR="00DB47E8" w:rsidRDefault="00DB47E8" w:rsidP="00BB2420">
      <w:pPr>
        <w:spacing w:after="0" w:line="240" w:lineRule="auto"/>
      </w:pPr>
      <w:r>
        <w:continuationSeparator/>
      </w:r>
    </w:p>
  </w:footnote>
  <w:footnote w:id="1">
    <w:p w14:paraId="597D8603" w14:textId="77777777" w:rsidR="00AA2F5A" w:rsidRDefault="00AA2F5A" w:rsidP="00AA2F5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0C5D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586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577A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2F5A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1965"/>
    <w:rsid w:val="00EA0B4F"/>
    <w:rsid w:val="00EB00AB"/>
    <w:rsid w:val="00EC2AFC"/>
    <w:rsid w:val="00F138F7"/>
    <w:rsid w:val="00F2008A"/>
    <w:rsid w:val="00F21D9E"/>
    <w:rsid w:val="00F25348"/>
    <w:rsid w:val="00F3431A"/>
    <w:rsid w:val="00F45506"/>
    <w:rsid w:val="00F539CD"/>
    <w:rsid w:val="00F60062"/>
    <w:rsid w:val="00F613CC"/>
    <w:rsid w:val="00F7157F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715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herburt@tv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82AFB-CDE6-4BA0-BAAF-D935CCDAA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1398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2020-07-28T11:20:00Z</dcterms:created>
  <dcterms:modified xsi:type="dcterms:W3CDTF">2020-07-28T11:23:00Z</dcterms:modified>
</cp:coreProperties>
</file>