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6B90B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C65BB0E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5C5DCAF" w14:textId="77777777" w:rsidR="00812264" w:rsidRPr="007541BD" w:rsidRDefault="00812264" w:rsidP="0081226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2AFDBD3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1F90F49D" w14:textId="77777777" w:rsidR="00812264" w:rsidRPr="000700BB" w:rsidRDefault="00812264" w:rsidP="00812264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z postępu rzeczowo-finansowego projektu informatycznego </w:t>
      </w:r>
      <w:r w:rsidRPr="000700BB">
        <w:rPr>
          <w:rFonts w:ascii="Arial" w:hAnsi="Arial" w:cs="Arial"/>
          <w:b/>
          <w:sz w:val="24"/>
          <w:szCs w:val="24"/>
        </w:rPr>
        <w:br/>
        <w:t>za I</w:t>
      </w:r>
      <w:r>
        <w:rPr>
          <w:rFonts w:ascii="Arial" w:hAnsi="Arial" w:cs="Arial"/>
          <w:b/>
          <w:sz w:val="24"/>
          <w:szCs w:val="24"/>
        </w:rPr>
        <w:t>I</w:t>
      </w:r>
      <w:r w:rsidRPr="000700BB">
        <w:rPr>
          <w:rFonts w:ascii="Arial" w:hAnsi="Arial" w:cs="Arial"/>
          <w:b/>
          <w:sz w:val="24"/>
          <w:szCs w:val="24"/>
        </w:rPr>
        <w:t xml:space="preserve"> kwartał 20</w:t>
      </w:r>
      <w:r>
        <w:rPr>
          <w:rFonts w:ascii="Arial" w:hAnsi="Arial" w:cs="Arial"/>
          <w:b/>
          <w:sz w:val="24"/>
          <w:szCs w:val="24"/>
        </w:rPr>
        <w:t xml:space="preserve">20 </w:t>
      </w:r>
      <w:r w:rsidRPr="000700BB">
        <w:rPr>
          <w:rFonts w:ascii="Arial" w:hAnsi="Arial" w:cs="Arial"/>
          <w:b/>
          <w:sz w:val="24"/>
          <w:szCs w:val="24"/>
        </w:rPr>
        <w:t>roku</w:t>
      </w:r>
    </w:p>
    <w:p w14:paraId="1704DF0A" w14:textId="77777777" w:rsidR="00812264" w:rsidRPr="000700BB" w:rsidRDefault="00812264" w:rsidP="00812264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0"/>
      </w:tblGrid>
      <w:tr w:rsidR="00812264" w:rsidRPr="000700BB" w14:paraId="382B1D94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ED385C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7DDF7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Konto </w:t>
            </w:r>
            <w:r>
              <w:rPr>
                <w:rFonts w:ascii="Arial" w:hAnsi="Arial" w:cs="Arial"/>
                <w:i/>
              </w:rPr>
              <w:t>przedsiębiorcy</w:t>
            </w:r>
            <w:r w:rsidRPr="00A91880">
              <w:rPr>
                <w:rFonts w:ascii="Arial" w:hAnsi="Arial" w:cs="Arial"/>
                <w:i/>
              </w:rPr>
              <w:t xml:space="preserve"> – usługi online dla firm w jednym miejscu</w:t>
            </w:r>
          </w:p>
        </w:tc>
      </w:tr>
      <w:tr w:rsidR="00812264" w:rsidRPr="000700BB" w14:paraId="3BB7741F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1A903A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BFCA1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</w:t>
            </w:r>
          </w:p>
        </w:tc>
      </w:tr>
      <w:tr w:rsidR="00812264" w:rsidRPr="000700BB" w14:paraId="678059F7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EE959E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E8565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>
              <w:rPr>
                <w:rFonts w:ascii="Arial" w:hAnsi="Arial" w:cs="Arial"/>
                <w:i/>
              </w:rPr>
              <w:t>Rozwoju</w:t>
            </w:r>
          </w:p>
        </w:tc>
      </w:tr>
      <w:tr w:rsidR="00812264" w:rsidRPr="000700BB" w14:paraId="02D500EB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08569C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F7E81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812264" w:rsidRPr="000700BB" w14:paraId="3E1C45E7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90F9FC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2FE63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BP – część budżetowa - 20</w:t>
            </w:r>
            <w:r w:rsidRPr="00A91880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7D75CB2B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2B001B19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812264" w:rsidRPr="000700BB" w14:paraId="159728D9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B2951E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70F96D0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96728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41 394 842,27 zł </w:t>
            </w:r>
          </w:p>
        </w:tc>
      </w:tr>
      <w:tr w:rsidR="00812264" w:rsidRPr="000700BB" w14:paraId="5A89DCAD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06D2F7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8282C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41 017 842,27 zł</w:t>
            </w:r>
          </w:p>
        </w:tc>
      </w:tr>
      <w:tr w:rsidR="00812264" w:rsidRPr="000700BB" w14:paraId="5F9586BD" w14:textId="77777777" w:rsidTr="00BC4E0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E3B7A1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Okres realizacji </w:t>
            </w:r>
          </w:p>
          <w:p w14:paraId="3C089313" w14:textId="77777777" w:rsidR="00812264" w:rsidRPr="000700BB" w:rsidRDefault="00812264" w:rsidP="00BC4E0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F15D9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67F5E66B" w14:textId="77777777" w:rsidR="00812264" w:rsidRPr="00A91880" w:rsidRDefault="00812264" w:rsidP="00BC4E0B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Data zakończenia realizacji projektu: 28 luty 2022 r.</w:t>
            </w:r>
          </w:p>
        </w:tc>
      </w:tr>
    </w:tbl>
    <w:p w14:paraId="065EE1C5" w14:textId="77777777" w:rsidR="00812264" w:rsidRPr="000700BB" w:rsidRDefault="00812264" w:rsidP="0081226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10805A2" w14:textId="77777777" w:rsidR="00812264" w:rsidRPr="000700BB" w:rsidRDefault="00812264" w:rsidP="00812264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Pr="000700BB">
        <w:rPr>
          <w:rFonts w:ascii="Arial" w:hAnsi="Arial" w:cs="Arial"/>
        </w:rPr>
        <w:tab/>
      </w:r>
      <w:r w:rsidRPr="000700BB">
        <w:rPr>
          <w:rFonts w:ascii="Arial" w:hAnsi="Arial" w:cs="Arial"/>
          <w:color w:val="0070C0"/>
          <w:sz w:val="18"/>
          <w:szCs w:val="18"/>
        </w:rPr>
        <w:br/>
      </w:r>
      <w:r w:rsidRPr="000700BB">
        <w:rPr>
          <w:rFonts w:ascii="Arial" w:hAnsi="Arial" w:cs="Arial"/>
        </w:rPr>
        <w:t xml:space="preserve">Realizacja projektu nie jest uwarunkowana wdrożeniem aktów prawnych. </w:t>
      </w:r>
    </w:p>
    <w:p w14:paraId="2BCCBAC5" w14:textId="77777777" w:rsidR="00812264" w:rsidRPr="000700BB" w:rsidRDefault="00812264" w:rsidP="00812264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12264" w:rsidRPr="000700BB" w14:paraId="23323C03" w14:textId="77777777" w:rsidTr="00BC4E0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25E3C4" w14:textId="77777777" w:rsidR="00812264" w:rsidRPr="000700BB" w:rsidRDefault="00812264" w:rsidP="00BC4E0B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09FD77F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F1AD38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75E1A" w:rsidRPr="000700BB" w14:paraId="42253930" w14:textId="77777777" w:rsidTr="00BC4E0B">
        <w:trPr>
          <w:trHeight w:val="290"/>
        </w:trPr>
        <w:tc>
          <w:tcPr>
            <w:tcW w:w="2972" w:type="dxa"/>
          </w:tcPr>
          <w:p w14:paraId="593501A0" w14:textId="54FC81C7" w:rsidR="00675E1A" w:rsidRPr="000700BB" w:rsidRDefault="00675E1A" w:rsidP="00675E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45%</w:t>
            </w:r>
          </w:p>
        </w:tc>
        <w:tc>
          <w:tcPr>
            <w:tcW w:w="3260" w:type="dxa"/>
          </w:tcPr>
          <w:p w14:paraId="50FF0D67" w14:textId="77777777" w:rsidR="00675E1A" w:rsidRPr="00F9395B" w:rsidRDefault="00675E1A" w:rsidP="00675E1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18,10</w:t>
            </w:r>
            <w:r w:rsidRPr="009B17B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2558F3CD" w14:textId="77777777" w:rsidR="00675E1A" w:rsidRPr="00675E1A" w:rsidRDefault="00675E1A" w:rsidP="00675E1A">
            <w:pPr>
              <w:pStyle w:val="Akapitzlist"/>
              <w:numPr>
                <w:ilvl w:val="0"/>
                <w:numId w:val="30"/>
              </w:numPr>
            </w:pPr>
            <w:r>
              <w:rPr>
                <w:rFonts w:ascii="Arial" w:hAnsi="Arial" w:cs="Arial"/>
                <w:sz w:val="20"/>
                <w:szCs w:val="20"/>
              </w:rPr>
              <w:t xml:space="preserve">  7,84</w:t>
            </w:r>
            <w:r w:rsidRPr="00F9395B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18C3C5A" w14:textId="608DD304" w:rsidR="00675E1A" w:rsidRPr="009A498D" w:rsidRDefault="00675E1A" w:rsidP="00675E1A">
            <w:pPr>
              <w:pStyle w:val="Akapitzlist"/>
              <w:numPr>
                <w:ilvl w:val="0"/>
                <w:numId w:val="30"/>
              </w:numPr>
            </w:pPr>
            <w:r w:rsidRPr="00675E1A">
              <w:rPr>
                <w:rFonts w:ascii="Arial" w:hAnsi="Arial" w:cs="Arial"/>
                <w:sz w:val="20"/>
                <w:szCs w:val="20"/>
              </w:rPr>
              <w:t>18,27%</w:t>
            </w:r>
          </w:p>
        </w:tc>
        <w:tc>
          <w:tcPr>
            <w:tcW w:w="3402" w:type="dxa"/>
          </w:tcPr>
          <w:p w14:paraId="5BF431BE" w14:textId="33C98CD3" w:rsidR="00675E1A" w:rsidRPr="000700BB" w:rsidRDefault="00675E1A" w:rsidP="00675E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39,53%</w:t>
            </w:r>
          </w:p>
        </w:tc>
      </w:tr>
    </w:tbl>
    <w:p w14:paraId="290FC73F" w14:textId="3E0A5D13" w:rsidR="00812264" w:rsidRDefault="00812264" w:rsidP="00812264">
      <w:pPr>
        <w:rPr>
          <w:rFonts w:ascii="Arial" w:hAnsi="Arial" w:cs="Arial"/>
        </w:rPr>
      </w:pPr>
    </w:p>
    <w:p w14:paraId="5D5B8970" w14:textId="77777777" w:rsidR="00812264" w:rsidRPr="000700BB" w:rsidRDefault="00812264" w:rsidP="00812264">
      <w:pPr>
        <w:rPr>
          <w:rFonts w:ascii="Arial" w:hAnsi="Arial" w:cs="Arial"/>
        </w:rPr>
      </w:pPr>
    </w:p>
    <w:p w14:paraId="1BB46774" w14:textId="77777777" w:rsidR="00812264" w:rsidRPr="000700BB" w:rsidRDefault="00812264" w:rsidP="00812264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0700BB">
        <w:rPr>
          <w:rFonts w:ascii="Arial" w:hAnsi="Arial" w:cs="Arial"/>
          <w:color w:val="auto"/>
        </w:rPr>
        <w:t xml:space="preserve"> </w:t>
      </w:r>
    </w:p>
    <w:p w14:paraId="72F197D7" w14:textId="77777777" w:rsidR="00812264" w:rsidRPr="000700BB" w:rsidRDefault="00812264" w:rsidP="00812264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812264" w:rsidRPr="000700BB" w14:paraId="3FAC7B57" w14:textId="77777777" w:rsidTr="00BC4E0B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395B16FB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8D6908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A034D8C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BC2AE3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56A2D404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12264" w:rsidRPr="000700BB" w14:paraId="2FD48BAD" w14:textId="77777777" w:rsidTr="00BC4E0B">
        <w:trPr>
          <w:trHeight w:val="1473"/>
        </w:trPr>
        <w:tc>
          <w:tcPr>
            <w:tcW w:w="2098" w:type="dxa"/>
          </w:tcPr>
          <w:p w14:paraId="570482E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gospodarczej".</w:t>
            </w:r>
          </w:p>
          <w:p w14:paraId="631FEBDB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A81303" w14:textId="77777777" w:rsidR="00812264" w:rsidRPr="000700BB" w:rsidRDefault="00812264" w:rsidP="00BC4E0B">
            <w:pPr>
              <w:pStyle w:val="Tekstzwyky"/>
              <w:jc w:val="center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</w:rPr>
              <w:t>brak</w:t>
            </w:r>
          </w:p>
          <w:p w14:paraId="7CEE4DDA" w14:textId="77777777" w:rsidR="00812264" w:rsidRPr="000700BB" w:rsidRDefault="00812264" w:rsidP="00BC4E0B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D966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1347" w:type="dxa"/>
          </w:tcPr>
          <w:p w14:paraId="38EF26E9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49B49568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siągnięty </w:t>
            </w:r>
          </w:p>
        </w:tc>
      </w:tr>
      <w:tr w:rsidR="00812264" w:rsidRPr="000700BB" w14:paraId="4B768686" w14:textId="77777777" w:rsidTr="00BC4E0B">
        <w:tc>
          <w:tcPr>
            <w:tcW w:w="2098" w:type="dxa"/>
          </w:tcPr>
          <w:p w14:paraId="07FF3DF9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92FEE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23B09953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02-2020</w:t>
            </w:r>
          </w:p>
        </w:tc>
        <w:tc>
          <w:tcPr>
            <w:tcW w:w="1347" w:type="dxa"/>
          </w:tcPr>
          <w:p w14:paraId="48F6D327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400F5C61" w14:textId="7917AFAB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931582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B36345" w:rsidRPr="0059313E">
              <w:rPr>
                <w:rFonts w:ascii="Arial" w:hAnsi="Arial" w:cs="Arial"/>
                <w:color w:val="000000"/>
                <w:sz w:val="20"/>
                <w:szCs w:val="20"/>
              </w:rPr>
              <w:t>drożono zalecenia poaudytowe.</w:t>
            </w:r>
            <w:r w:rsidR="009E7D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E7DD5" w:rsidRPr="0059313E">
              <w:rPr>
                <w:rFonts w:ascii="Arial" w:hAnsi="Arial" w:cs="Arial"/>
                <w:color w:val="000000"/>
                <w:sz w:val="20"/>
                <w:szCs w:val="20"/>
              </w:rPr>
              <w:t xml:space="preserve">Rozpoczęto </w:t>
            </w:r>
            <w:r w:rsidR="00780297" w:rsidRPr="0059313E">
              <w:rPr>
                <w:rFonts w:ascii="Arial" w:hAnsi="Arial" w:cs="Arial"/>
                <w:color w:val="000000"/>
                <w:sz w:val="20"/>
                <w:szCs w:val="20"/>
              </w:rPr>
              <w:t xml:space="preserve">pilotażowe </w:t>
            </w:r>
            <w:r w:rsidR="009E7DD5" w:rsidRPr="0059313E">
              <w:rPr>
                <w:rFonts w:ascii="Arial" w:hAnsi="Arial" w:cs="Arial"/>
                <w:color w:val="000000"/>
                <w:sz w:val="20"/>
                <w:szCs w:val="20"/>
              </w:rPr>
              <w:t xml:space="preserve">udostępnienie pierwszej produkcyjnej wersji e-usług CEIDG </w:t>
            </w:r>
            <w:r w:rsidR="009E7DD5" w:rsidRPr="0059313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dla przedsiębiorców na środowisku produkcyjnym.</w:t>
            </w:r>
            <w:r w:rsidR="00DE76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31582">
              <w:rPr>
                <w:rFonts w:ascii="Arial" w:hAnsi="Arial" w:cs="Arial"/>
                <w:color w:val="000000"/>
                <w:sz w:val="20"/>
                <w:szCs w:val="20"/>
              </w:rPr>
              <w:t>Planowany termin podpisania protokołu odbioru Kamienia Milowego to</w:t>
            </w:r>
            <w:r w:rsidR="00675E1A">
              <w:rPr>
                <w:rFonts w:ascii="Arial" w:hAnsi="Arial" w:cs="Arial"/>
                <w:color w:val="000000"/>
                <w:sz w:val="20"/>
                <w:szCs w:val="20"/>
              </w:rPr>
              <w:t xml:space="preserve"> 07</w:t>
            </w:r>
            <w:r w:rsidR="00DE7664">
              <w:rPr>
                <w:rFonts w:ascii="Arial" w:hAnsi="Arial" w:cs="Arial"/>
                <w:color w:val="000000"/>
                <w:sz w:val="20"/>
                <w:szCs w:val="20"/>
              </w:rPr>
              <w:t>-2020.</w:t>
            </w:r>
          </w:p>
          <w:p w14:paraId="2857CD95" w14:textId="77777777" w:rsidR="00812264" w:rsidRPr="000700BB" w:rsidRDefault="00812264" w:rsidP="00BC4E0B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66AEEC0B" w14:textId="77777777" w:rsidTr="00BC4E0B">
        <w:tc>
          <w:tcPr>
            <w:tcW w:w="2098" w:type="dxa"/>
          </w:tcPr>
          <w:p w14:paraId="1D13A1C4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1A2F0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C4496A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09-2020</w:t>
            </w:r>
          </w:p>
        </w:tc>
        <w:tc>
          <w:tcPr>
            <w:tcW w:w="1347" w:type="dxa"/>
          </w:tcPr>
          <w:p w14:paraId="5E542064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5C6B7E1C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22D1D396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12264" w:rsidRPr="000700BB" w14:paraId="67AC6E1F" w14:textId="77777777" w:rsidTr="00BC4E0B">
        <w:tc>
          <w:tcPr>
            <w:tcW w:w="2098" w:type="dxa"/>
          </w:tcPr>
          <w:p w14:paraId="5FA257EE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441E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31A2E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08-2020</w:t>
            </w:r>
          </w:p>
          <w:p w14:paraId="214312D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2535BDC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19BE840A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3CDC3A11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097C902F" w14:textId="77777777" w:rsidTr="00BC4E0B">
        <w:tc>
          <w:tcPr>
            <w:tcW w:w="2098" w:type="dxa"/>
          </w:tcPr>
          <w:p w14:paraId="5D099432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7227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4158EB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11-2020</w:t>
            </w:r>
          </w:p>
        </w:tc>
        <w:tc>
          <w:tcPr>
            <w:tcW w:w="1347" w:type="dxa"/>
          </w:tcPr>
          <w:p w14:paraId="1FFCD94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4227810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008F0341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22008128" w14:textId="77777777" w:rsidTr="00BC4E0B">
        <w:tc>
          <w:tcPr>
            <w:tcW w:w="2098" w:type="dxa"/>
          </w:tcPr>
          <w:p w14:paraId="0AB41E11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219A0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74CDEE18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1B34048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1347" w:type="dxa"/>
          </w:tcPr>
          <w:p w14:paraId="359DB76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7E91015D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1BEE5A07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289104BB" w14:textId="77777777" w:rsidTr="00BC4E0B">
        <w:tc>
          <w:tcPr>
            <w:tcW w:w="2098" w:type="dxa"/>
          </w:tcPr>
          <w:p w14:paraId="0867A15E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0AA651B8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9A6A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9B585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12-2020</w:t>
            </w:r>
          </w:p>
        </w:tc>
        <w:tc>
          <w:tcPr>
            <w:tcW w:w="1347" w:type="dxa"/>
          </w:tcPr>
          <w:p w14:paraId="1097FABD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317AD9E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 trakcie realizacji</w:t>
            </w:r>
          </w:p>
          <w:p w14:paraId="51078548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47A9DB79" w14:textId="77777777" w:rsidTr="00BC4E0B">
        <w:tc>
          <w:tcPr>
            <w:tcW w:w="2098" w:type="dxa"/>
          </w:tcPr>
          <w:p w14:paraId="5E6F5126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890920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7730072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088F9786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07B4AB40" w14:textId="07D689B6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  <w:r w:rsidR="00931582">
              <w:rPr>
                <w:rFonts w:ascii="Arial" w:hAnsi="Arial" w:cs="Arial"/>
                <w:color w:val="000000"/>
                <w:sz w:val="20"/>
              </w:rPr>
              <w:t xml:space="preserve"> – udostępniono wersję pilotażową usługi</w:t>
            </w:r>
          </w:p>
          <w:p w14:paraId="391A793D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1BA4028E" w14:textId="77777777" w:rsidTr="00BC4E0B">
        <w:tc>
          <w:tcPr>
            <w:tcW w:w="2098" w:type="dxa"/>
          </w:tcPr>
          <w:p w14:paraId="5A558147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D7635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BC9AE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419087D5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60B7DB61" w14:textId="77777777" w:rsidR="00812264" w:rsidRPr="000700BB" w:rsidRDefault="00812264" w:rsidP="00812264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086812C0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12264" w:rsidRPr="000700BB" w14:paraId="456227DE" w14:textId="77777777" w:rsidTr="00BC4E0B">
        <w:trPr>
          <w:trHeight w:val="987"/>
        </w:trPr>
        <w:tc>
          <w:tcPr>
            <w:tcW w:w="2098" w:type="dxa"/>
          </w:tcPr>
          <w:p w14:paraId="7E02BAE7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Biznes.gov.pl</w:t>
            </w:r>
          </w:p>
          <w:p w14:paraId="49C92E66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5C9E8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671FB4B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46652F8B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32DDB785" w14:textId="77777777" w:rsidR="00812264" w:rsidRPr="000700BB" w:rsidRDefault="00812264" w:rsidP="00BC4E0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</w:p>
        </w:tc>
        <w:tc>
          <w:tcPr>
            <w:tcW w:w="2792" w:type="dxa"/>
          </w:tcPr>
          <w:p w14:paraId="7ED642DA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7CCFA7B8" w14:textId="77777777" w:rsidR="00812264" w:rsidRPr="000700BB" w:rsidRDefault="00812264" w:rsidP="00BC4E0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1A04A63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D529087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37F7FB5" w14:textId="77777777" w:rsidR="00812264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53157A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812264" w:rsidRPr="000700BB" w14:paraId="60C3422E" w14:textId="77777777" w:rsidTr="00BC4E0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76BB12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978EC9C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F19C74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1AFFE2B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5AA399C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E71046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12264" w:rsidRPr="000700BB" w14:paraId="3BF15F68" w14:textId="77777777" w:rsidTr="00BC4E0B">
        <w:tc>
          <w:tcPr>
            <w:tcW w:w="2545" w:type="dxa"/>
          </w:tcPr>
          <w:p w14:paraId="3DCEB93A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on-line o stopniu</w:t>
            </w:r>
          </w:p>
          <w:p w14:paraId="3EA4A9BB" w14:textId="77777777" w:rsidR="00812264" w:rsidRPr="000700BB" w:rsidRDefault="00812264" w:rsidP="00BC4E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4E10459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614AD02D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E214723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2DB2B5B3" w14:textId="77777777" w:rsidR="00812264" w:rsidRPr="008D30A7" w:rsidRDefault="00812264" w:rsidP="00BC4E0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D30A7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812264" w:rsidRPr="000700BB" w14:paraId="2BD45476" w14:textId="77777777" w:rsidTr="00BC4E0B">
        <w:tc>
          <w:tcPr>
            <w:tcW w:w="2545" w:type="dxa"/>
          </w:tcPr>
          <w:p w14:paraId="35E5E848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500CE148" w14:textId="77777777" w:rsidR="00812264" w:rsidRPr="000700BB" w:rsidRDefault="00812264" w:rsidP="00BC4E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192B59CE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2F20F4B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E59429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615C451D" w14:textId="77777777" w:rsidR="00812264" w:rsidRPr="008D30A7" w:rsidRDefault="00812264" w:rsidP="00BC4E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12264" w:rsidRPr="000700BB" w14:paraId="59D0DDA6" w14:textId="77777777" w:rsidTr="00BC4E0B">
        <w:tc>
          <w:tcPr>
            <w:tcW w:w="2545" w:type="dxa"/>
          </w:tcPr>
          <w:p w14:paraId="0BB8EE10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091A252" w14:textId="77777777" w:rsidR="00812264" w:rsidRPr="000700BB" w:rsidRDefault="00812264" w:rsidP="00BC4E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7E0CFAB4" w14:textId="77777777" w:rsidR="00812264" w:rsidRPr="000700BB" w:rsidRDefault="00812264" w:rsidP="00BC4E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52FAC034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8AC6B9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14:paraId="09A99FB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4B60C0CA" w14:textId="77777777" w:rsidR="00812264" w:rsidRPr="008D30A7" w:rsidRDefault="00812264" w:rsidP="00BC4E0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21</w:t>
            </w:r>
          </w:p>
        </w:tc>
      </w:tr>
      <w:tr w:rsidR="00812264" w:rsidRPr="000700BB" w14:paraId="28F16598" w14:textId="77777777" w:rsidTr="00BC4E0B">
        <w:tc>
          <w:tcPr>
            <w:tcW w:w="2545" w:type="dxa"/>
          </w:tcPr>
          <w:p w14:paraId="3CD40218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2C6135ED" w14:textId="77777777" w:rsidR="00812264" w:rsidRPr="000700BB" w:rsidRDefault="00812264" w:rsidP="00BC4E0B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285E8B75" w14:textId="77777777" w:rsidR="00812264" w:rsidRPr="000700BB" w:rsidRDefault="00812264" w:rsidP="00BC4E0B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4E18D07C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902FBBE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701" w:type="dxa"/>
          </w:tcPr>
          <w:p w14:paraId="72806191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422BE4B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12264" w:rsidRPr="000700BB" w14:paraId="7F3A619B" w14:textId="77777777" w:rsidTr="00BC4E0B">
        <w:tc>
          <w:tcPr>
            <w:tcW w:w="2545" w:type="dxa"/>
          </w:tcPr>
          <w:p w14:paraId="4FD34565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771A10F9" w14:textId="77777777" w:rsidR="00812264" w:rsidRPr="000700BB" w:rsidRDefault="00812264" w:rsidP="00BC4E0B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3E0A2621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6659BA1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2310289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02-2022</w:t>
            </w:r>
          </w:p>
        </w:tc>
        <w:tc>
          <w:tcPr>
            <w:tcW w:w="2268" w:type="dxa"/>
          </w:tcPr>
          <w:p w14:paraId="3DF1C5B4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812264" w:rsidRPr="000700BB" w14:paraId="6B0B1136" w14:textId="77777777" w:rsidTr="00BC4E0B">
        <w:tc>
          <w:tcPr>
            <w:tcW w:w="2545" w:type="dxa"/>
          </w:tcPr>
          <w:p w14:paraId="7DBF61A1" w14:textId="77777777" w:rsidR="00812264" w:rsidRPr="000700BB" w:rsidRDefault="00812264" w:rsidP="00BC4E0B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on-line usługę</w:t>
            </w:r>
          </w:p>
          <w:p w14:paraId="3211541A" w14:textId="77777777" w:rsidR="00812264" w:rsidRPr="000700BB" w:rsidRDefault="00812264" w:rsidP="00BC4E0B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</w:tcPr>
          <w:p w14:paraId="5DD4319A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szt/rok</w:t>
            </w:r>
          </w:p>
        </w:tc>
        <w:tc>
          <w:tcPr>
            <w:tcW w:w="1842" w:type="dxa"/>
          </w:tcPr>
          <w:p w14:paraId="307FB7B7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340 000</w:t>
            </w:r>
          </w:p>
        </w:tc>
        <w:tc>
          <w:tcPr>
            <w:tcW w:w="1701" w:type="dxa"/>
          </w:tcPr>
          <w:p w14:paraId="2EB7A7F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02-2023</w:t>
            </w:r>
          </w:p>
        </w:tc>
        <w:tc>
          <w:tcPr>
            <w:tcW w:w="2268" w:type="dxa"/>
          </w:tcPr>
          <w:p w14:paraId="56B4A42C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12264" w:rsidRPr="000700BB" w14:paraId="3D61A3D9" w14:textId="77777777" w:rsidTr="00BC4E0B">
        <w:tc>
          <w:tcPr>
            <w:tcW w:w="2545" w:type="dxa"/>
          </w:tcPr>
          <w:p w14:paraId="22A02DAB" w14:textId="77777777" w:rsidR="00812264" w:rsidRPr="000700BB" w:rsidRDefault="00812264" w:rsidP="00BC4E0B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lastRenderedPageBreak/>
              <w:t>Liczba rejestrów publicznych o poprawionej interoperacyjności</w:t>
            </w:r>
          </w:p>
        </w:tc>
        <w:tc>
          <w:tcPr>
            <w:tcW w:w="1278" w:type="dxa"/>
          </w:tcPr>
          <w:p w14:paraId="7604C612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302F8F49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98A8FB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08-2020</w:t>
            </w:r>
          </w:p>
        </w:tc>
        <w:tc>
          <w:tcPr>
            <w:tcW w:w="2268" w:type="dxa"/>
          </w:tcPr>
          <w:p w14:paraId="1A97674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65D7973E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812264" w:rsidRPr="000700BB" w14:paraId="4F275246" w14:textId="77777777" w:rsidTr="00BC4E0B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1AD21671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8B3BCA1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2581C3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393F5EDF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4E783F83" w14:textId="77777777" w:rsidTr="00BC4E0B">
        <w:tc>
          <w:tcPr>
            <w:tcW w:w="2817" w:type="dxa"/>
          </w:tcPr>
          <w:p w14:paraId="328C294A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4618B7E6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02-2020</w:t>
            </w:r>
          </w:p>
        </w:tc>
        <w:tc>
          <w:tcPr>
            <w:tcW w:w="1395" w:type="dxa"/>
          </w:tcPr>
          <w:p w14:paraId="3D53DF5A" w14:textId="77777777" w:rsidR="00812264" w:rsidRPr="000700BB" w:rsidRDefault="00812264" w:rsidP="00BC4E0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55AC4FA5" w14:textId="61A4779D" w:rsidR="00293A09" w:rsidRPr="000700BB" w:rsidRDefault="00812264" w:rsidP="0039482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Usługa została wdrożona ale opóźnił się proces </w:t>
            </w:r>
            <w:r w:rsidR="0039482D">
              <w:rPr>
                <w:rFonts w:ascii="Arial" w:hAnsi="Arial" w:cs="Arial"/>
                <w:sz w:val="20"/>
                <w:szCs w:val="20"/>
              </w:rPr>
              <w:t>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testów wydajności i audytu bezpieczeństwa</w:t>
            </w:r>
            <w:r w:rsidR="0039482D">
              <w:rPr>
                <w:rFonts w:ascii="Arial" w:hAnsi="Arial" w:cs="Arial"/>
                <w:sz w:val="20"/>
                <w:szCs w:val="20"/>
              </w:rPr>
              <w:t>, wpłynęło to jednocześnie na</w:t>
            </w:r>
            <w:r>
              <w:rPr>
                <w:rFonts w:ascii="Arial" w:hAnsi="Arial" w:cs="Arial"/>
                <w:sz w:val="20"/>
                <w:szCs w:val="20"/>
              </w:rPr>
              <w:t xml:space="preserve"> opóźnienie daty jej udostępnienia.</w:t>
            </w:r>
            <w:r w:rsidR="00FC5C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482D">
              <w:rPr>
                <w:rFonts w:ascii="Arial" w:hAnsi="Arial" w:cs="Arial"/>
                <w:sz w:val="20"/>
                <w:szCs w:val="20"/>
              </w:rPr>
              <w:t xml:space="preserve">Konieczne było wdrażanie zaleceń poaudytowych oraz wdrażanie poprawek zgłaszanych przez pierwszych </w:t>
            </w:r>
            <w:r w:rsidR="00F56391">
              <w:rPr>
                <w:rFonts w:ascii="Arial" w:hAnsi="Arial" w:cs="Arial"/>
                <w:sz w:val="20"/>
                <w:szCs w:val="20"/>
              </w:rPr>
              <w:t>użytkowników. Wersja</w:t>
            </w:r>
            <w:r w:rsidR="0039482D">
              <w:rPr>
                <w:rFonts w:ascii="Arial" w:hAnsi="Arial" w:cs="Arial"/>
                <w:sz w:val="20"/>
                <w:szCs w:val="20"/>
              </w:rPr>
              <w:t xml:space="preserve"> pierwsza usługi CEIDG dostępna jest </w:t>
            </w:r>
            <w:r w:rsidR="00D20760" w:rsidRPr="0059313E">
              <w:rPr>
                <w:rFonts w:ascii="Arial" w:hAnsi="Arial" w:cs="Arial"/>
                <w:sz w:val="20"/>
                <w:szCs w:val="20"/>
              </w:rPr>
              <w:t xml:space="preserve">na środowisku </w:t>
            </w:r>
            <w:r w:rsidR="00C12090" w:rsidRPr="0059313E">
              <w:rPr>
                <w:rFonts w:ascii="Arial" w:hAnsi="Arial" w:cs="Arial"/>
                <w:sz w:val="20"/>
                <w:szCs w:val="20"/>
              </w:rPr>
              <w:t>produkcyjnym</w:t>
            </w:r>
            <w:r w:rsidR="00CB00D0" w:rsidRPr="005931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2264" w:rsidRPr="000700BB" w14:paraId="4BE1023C" w14:textId="77777777" w:rsidTr="00BC4E0B">
        <w:tc>
          <w:tcPr>
            <w:tcW w:w="2817" w:type="dxa"/>
          </w:tcPr>
          <w:p w14:paraId="762964DF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2D0FA883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06-2021</w:t>
            </w:r>
          </w:p>
        </w:tc>
        <w:tc>
          <w:tcPr>
            <w:tcW w:w="1395" w:type="dxa"/>
          </w:tcPr>
          <w:p w14:paraId="4CC079D6" w14:textId="77777777" w:rsidR="00812264" w:rsidRPr="000700BB" w:rsidRDefault="00812264" w:rsidP="00BC4E0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0F0EF531" w14:textId="77777777" w:rsidR="00812264" w:rsidRPr="000700BB" w:rsidRDefault="00812264" w:rsidP="00BC4E0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21FA2CC" w14:textId="77777777" w:rsidR="00812264" w:rsidRPr="000700BB" w:rsidRDefault="00812264" w:rsidP="00812264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812264" w:rsidRPr="000700BB" w14:paraId="76CD567B" w14:textId="77777777" w:rsidTr="00BC4E0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2B52E4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BBCF5D1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B2F2A3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5B73714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12264" w:rsidRPr="000700BB" w14:paraId="5822FE81" w14:textId="77777777" w:rsidTr="00BC4E0B">
        <w:tc>
          <w:tcPr>
            <w:tcW w:w="2969" w:type="dxa"/>
          </w:tcPr>
          <w:p w14:paraId="3E7B9489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25FE1C52" w14:textId="77777777" w:rsidR="00812264" w:rsidRPr="000700BB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20913362" w14:textId="77777777" w:rsidR="00812264" w:rsidRPr="000700BB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7D6CF5EA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18A754D" w14:textId="77777777" w:rsidR="00812264" w:rsidRPr="000700BB" w:rsidRDefault="00812264" w:rsidP="00812264">
      <w:pPr>
        <w:pStyle w:val="Nagwek3"/>
        <w:numPr>
          <w:ilvl w:val="0"/>
          <w:numId w:val="25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812264" w:rsidRPr="000700BB" w14:paraId="0B54AF36" w14:textId="77777777" w:rsidTr="00BC4E0B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7C2EE0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C326154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53CCA4B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CD8BC9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1C846E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2264" w:rsidRPr="000700BB" w14:paraId="06BEAB37" w14:textId="77777777" w:rsidTr="00BC4E0B">
        <w:tc>
          <w:tcPr>
            <w:tcW w:w="2723" w:type="dxa"/>
          </w:tcPr>
          <w:p w14:paraId="4AD2734C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069E0BCC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</w:rPr>
              <w:t>04-2021</w:t>
            </w:r>
          </w:p>
        </w:tc>
        <w:tc>
          <w:tcPr>
            <w:tcW w:w="1809" w:type="dxa"/>
          </w:tcPr>
          <w:p w14:paraId="783734C6" w14:textId="77777777" w:rsidR="00812264" w:rsidRPr="000700BB" w:rsidRDefault="00812264" w:rsidP="00BC4E0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78F07B73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3CBCDDCB" w14:textId="77777777" w:rsidR="00812264" w:rsidRPr="000700BB" w:rsidRDefault="00812264" w:rsidP="00BC4E0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349587B1" w14:textId="77777777" w:rsidR="00812264" w:rsidRPr="000700BB" w:rsidRDefault="00812264" w:rsidP="00BC4E0B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67836E0F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CEIDG (MPiT)</w:t>
            </w:r>
          </w:p>
          <w:p w14:paraId="382230B5" w14:textId="77777777" w:rsidR="00812264" w:rsidRPr="000700BB" w:rsidRDefault="00812264" w:rsidP="00BC4E0B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jest elementem architektury Projektu. W Projekcie część funkcjonalności CEIDG zostanie rozbudowana a część wyłączona. </w:t>
            </w:r>
          </w:p>
          <w:p w14:paraId="12B361E1" w14:textId="77777777" w:rsidR="00812264" w:rsidRPr="000700BB" w:rsidRDefault="00812264" w:rsidP="00BC4E0B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prace analityczne nad szczegółową specyfikacją rozbudowy CEIDG. Przeprowadzono warsztaty projektowe w zakresie dostępu do treści i usług CEIDG. </w:t>
            </w:r>
          </w:p>
        </w:tc>
      </w:tr>
      <w:tr w:rsidR="00812264" w:rsidRPr="000700BB" w14:paraId="5207E129" w14:textId="77777777" w:rsidTr="00BC4E0B">
        <w:tc>
          <w:tcPr>
            <w:tcW w:w="2723" w:type="dxa"/>
          </w:tcPr>
          <w:p w14:paraId="5BBB127A" w14:textId="77777777" w:rsidR="00812264" w:rsidRPr="000700BB" w:rsidRDefault="00812264" w:rsidP="00BC4E0B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  <w:sz w:val="20"/>
              </w:rPr>
              <w:t>Rozbudowany system Biznes.gov.pl (moje konto, portal, baza wiedzy, eLF,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32C0C6AF" w14:textId="77777777" w:rsidR="00812264" w:rsidRPr="000700BB" w:rsidRDefault="00812264" w:rsidP="00BC4E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289304C9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2B2B6B5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3BC2882E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Biznes.gov.pl będzie wykorzystywał moduł e–doręczeń na potrzeby doręczania elektronicznych dokumentów związanych z realizacją e-usług i zastąpi obecnie stosowany kanał ESP ePUAP. Dodatkowo będzie wykorzystywał BAE (Baza Adresów Elektronicznych) jako źródło danych o adresach e-doręczeń podmiotów publicznych.</w:t>
            </w:r>
            <w:r w:rsidRPr="000700BB">
              <w:rPr>
                <w:rFonts w:ascii="Arial" w:hAnsi="Arial" w:cs="Arial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EF2BCC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626FF7D7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PPK3 (MPiT)</w:t>
            </w:r>
          </w:p>
          <w:p w14:paraId="7C83DEED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 xml:space="preserve">Opis: System Biznes.gov.pl jest elementem architektury Projektu. W Projekcie system Biznes.gov.pl zostanie rozbudowany o nowe e-usługi i funkcjonalności. </w:t>
            </w:r>
          </w:p>
          <w:p w14:paraId="6A0C128C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6C3066CA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POI (MC)</w:t>
            </w:r>
          </w:p>
          <w:p w14:paraId="17E43CBC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będzie wykorzystywał na potrzeby projektowania serwisu graficzny Style Guide dla portalu GOV.PL. Dane nie są wymieniane </w:t>
            </w:r>
          </w:p>
          <w:p w14:paraId="29FABAC3" w14:textId="77777777" w:rsidR="00812264" w:rsidRPr="000700BB" w:rsidRDefault="00812264" w:rsidP="00BC4E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konsultacje analityczne z MC w zakresie założeń</w:t>
            </w:r>
          </w:p>
          <w:p w14:paraId="12DB82BD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0A335379" w14:textId="77777777" w:rsidR="00812264" w:rsidRPr="000700BB" w:rsidRDefault="00812264" w:rsidP="00BC4E0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6E15EF05" w14:textId="77777777" w:rsidR="00812264" w:rsidRPr="000700BB" w:rsidRDefault="00812264" w:rsidP="00BC4E0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5A7F7725" w14:textId="77777777" w:rsidR="00812264" w:rsidRPr="000700BB" w:rsidRDefault="00812264" w:rsidP="00BC4E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670AA8AC" w14:textId="77777777" w:rsidR="00812264" w:rsidRPr="000700BB" w:rsidRDefault="00812264" w:rsidP="00BC4E0B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(KPP, KS, KWD, KUP)</w:t>
            </w:r>
          </w:p>
          <w:p w14:paraId="1EF5AD59" w14:textId="77777777" w:rsidR="00812264" w:rsidRPr="000700BB" w:rsidRDefault="00812264" w:rsidP="00EE14B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Projekt KAP został uruchomiony</w:t>
            </w:r>
          </w:p>
        </w:tc>
      </w:tr>
    </w:tbl>
    <w:p w14:paraId="1355B3B8" w14:textId="77777777" w:rsidR="00812264" w:rsidRPr="00664E53" w:rsidRDefault="00812264" w:rsidP="00812264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9DC5ACE" w14:textId="77777777" w:rsidR="00812264" w:rsidRPr="000700BB" w:rsidRDefault="00812264" w:rsidP="00812264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0700BB">
        <w:rPr>
          <w:rStyle w:val="Nagwek3Znak"/>
          <w:rFonts w:ascii="Arial" w:hAnsi="Arial" w:cs="Arial"/>
          <w:b/>
          <w:color w:val="auto"/>
        </w:rPr>
        <w:t xml:space="preserve"> </w:t>
      </w:r>
      <w:r w:rsidRPr="000700BB">
        <w:rPr>
          <w:rFonts w:ascii="Arial" w:hAnsi="Arial" w:cs="Arial"/>
          <w:color w:val="0070C0"/>
        </w:rPr>
        <w:t xml:space="preserve">  </w:t>
      </w:r>
    </w:p>
    <w:p w14:paraId="75947D2E" w14:textId="77777777" w:rsidR="00812264" w:rsidRPr="000700BB" w:rsidRDefault="00812264" w:rsidP="00812264">
      <w:pPr>
        <w:spacing w:after="120"/>
        <w:rPr>
          <w:rFonts w:ascii="Arial" w:hAnsi="Arial" w:cs="Arial"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812264" w:rsidRPr="009B5624" w14:paraId="02A6A143" w14:textId="77777777" w:rsidTr="00BC4E0B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5C934093" w14:textId="77777777" w:rsidR="00812264" w:rsidRPr="009B5624" w:rsidRDefault="00812264" w:rsidP="00BC4E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2132C7" w14:textId="77777777" w:rsidR="00812264" w:rsidRPr="009B5624" w:rsidRDefault="00812264" w:rsidP="00BC4E0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4CA5BAEF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0136F9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12264" w:rsidRPr="009B5624" w14:paraId="0B6968FD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4D8540A9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0C0E6B84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203F6273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3AB091CC" w14:textId="77777777" w:rsidR="00812264" w:rsidRPr="009B5624" w:rsidRDefault="00812264" w:rsidP="00BC4E0B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bieżącym monitoringiem postępu prac, rozpoczęciem konsultacji na wczesnym etapie projektu, uwzględnieniem w planach alternatywnych rozwiązań oraz precyzyjnym określeniem ram współpracy.</w:t>
            </w:r>
          </w:p>
          <w:p w14:paraId="22D6058B" w14:textId="77777777" w:rsidR="00812264" w:rsidRPr="00A75647" w:rsidRDefault="00812264" w:rsidP="00BC4E0B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079F7573" w14:textId="77777777" w:rsidR="00812264" w:rsidRPr="009B5624" w:rsidRDefault="00812264" w:rsidP="00BC4E0B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Podjęte działania mają na celu minimalizację prawdopodobieństwa materializacji ryzyka oraz wykrycie występowania problemów w najwcześniejszym możliwym terminie aby mieć czas na ich rozwiązanie lub wdrożenia alternatywnego rozwiązania. </w:t>
            </w:r>
          </w:p>
        </w:tc>
      </w:tr>
      <w:tr w:rsidR="00812264" w:rsidRPr="009B5624" w14:paraId="6BC9EC32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65ED6BD4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604E8D83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4097D134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1B417FF9" w14:textId="77777777" w:rsidR="00812264" w:rsidRPr="009B5624" w:rsidRDefault="00812264" w:rsidP="00BC4E0B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bieżącym monitorowaniem zmian legislacyjnych i ewentualnym wnioskowaniem o odpowiednie vacatio legis lub zmiany w harmonogramie projektu.</w:t>
            </w:r>
          </w:p>
          <w:p w14:paraId="3AD74342" w14:textId="77777777" w:rsidR="00812264" w:rsidRPr="00A75647" w:rsidRDefault="00812264" w:rsidP="00BC4E0B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6F3BFF9C" w14:textId="77777777" w:rsidR="00812264" w:rsidRPr="009B5624" w:rsidRDefault="00812264" w:rsidP="00BC4E0B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Podjęte działania mają na celu wykrycie występowania problemów w najwcześniejszym możliwym terminie aby mieć czas na ich rozwiązanie.</w:t>
            </w:r>
          </w:p>
        </w:tc>
      </w:tr>
      <w:tr w:rsidR="00812264" w:rsidRPr="009B5624" w14:paraId="74D62E23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3C7722FD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lastRenderedPageBreak/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4186223F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51DC98A9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16D97A11" w14:textId="77777777" w:rsidR="00812264" w:rsidRPr="009B5624" w:rsidRDefault="00812264" w:rsidP="00BC4E0B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 xml:space="preserve">Podjęto działania związane z wykorzystaniem alternatywnych możliwości pozyskania specjalistycznej wiedzy i umiejętności (outsourcing, body leasing), które wdrożone mogą zostać 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w przypadku napotkanych problemów z zatrudnieniem)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302C9C84" w14:textId="77777777" w:rsidR="00812264" w:rsidRPr="00C96BD0" w:rsidRDefault="00812264" w:rsidP="00BC4E0B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3A7D5297" w14:textId="77777777" w:rsidR="00812264" w:rsidRPr="009B5624" w:rsidRDefault="00812264" w:rsidP="00BC4E0B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Podjęte działania mają na celu optymalne wykorzystanie oraz utrzymanie zasobów ludzkich zaangażowanych w realizację projektu.  </w:t>
            </w:r>
          </w:p>
        </w:tc>
      </w:tr>
      <w:tr w:rsidR="00812264" w:rsidRPr="000700BB" w14:paraId="70B46ECC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57B4F943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54CB659E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A0635EB" w14:textId="77777777" w:rsidR="00812264" w:rsidRPr="009B5624" w:rsidRDefault="00812264" w:rsidP="00BC4E0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7B4F31D6" w14:textId="77777777" w:rsidR="00812264" w:rsidRPr="009B5624" w:rsidRDefault="00812264" w:rsidP="00BC4E0B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zaangażowaniem interesariuszy w realizację produktów. Podjęto działania związane z w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9B5624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9B5624">
              <w:rPr>
                <w:rFonts w:ascii="Arial" w:eastAsia="Arial" w:hAnsi="Arial" w:cs="Arial"/>
                <w:sz w:val="20"/>
              </w:rPr>
              <w:t>.</w:t>
            </w:r>
          </w:p>
          <w:p w14:paraId="2837EB29" w14:textId="77777777" w:rsidR="00812264" w:rsidRPr="009F55C9" w:rsidRDefault="00812264" w:rsidP="00BC4E0B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044546A9" w14:textId="77777777" w:rsidR="00812264" w:rsidRPr="009B5624" w:rsidRDefault="00812264" w:rsidP="00BC4E0B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Podjęte działania pozwalają na bieżąco monitorować oczekiwania użytkowników i  na bieżąco reagować na ich potrzeby. Daje to możliwość utrzymywania prawdopodobieństwa wystąpienia ryzyka na niskim poziomie. </w:t>
            </w:r>
          </w:p>
        </w:tc>
      </w:tr>
      <w:tr w:rsidR="00812264" w:rsidRPr="000700BB" w14:paraId="77BF20D5" w14:textId="77777777" w:rsidTr="00BC4E0B">
        <w:trPr>
          <w:tblHeader/>
        </w:trPr>
        <w:tc>
          <w:tcPr>
            <w:tcW w:w="2835" w:type="dxa"/>
            <w:shd w:val="clear" w:color="auto" w:fill="auto"/>
          </w:tcPr>
          <w:p w14:paraId="550B8B28" w14:textId="77777777" w:rsidR="00812264" w:rsidRPr="009B5624" w:rsidRDefault="00812264" w:rsidP="00BC4E0B">
            <w:pPr>
              <w:spacing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Opóźnienia w realizacji zadań projektowych w związku z ogłoszeniem stanu zagrożenia epidemicznego.</w:t>
            </w:r>
          </w:p>
        </w:tc>
        <w:tc>
          <w:tcPr>
            <w:tcW w:w="1418" w:type="dxa"/>
            <w:shd w:val="clear" w:color="auto" w:fill="auto"/>
          </w:tcPr>
          <w:p w14:paraId="36E671E5" w14:textId="77777777" w:rsidR="00812264" w:rsidRDefault="00812264" w:rsidP="00BC4E0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1701" w:type="dxa"/>
            <w:shd w:val="clear" w:color="auto" w:fill="auto"/>
          </w:tcPr>
          <w:p w14:paraId="41AC3B67" w14:textId="77777777" w:rsidR="00812264" w:rsidRPr="009B5624" w:rsidRDefault="00812264" w:rsidP="00BC4E0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6FB6C3" w14:textId="77777777" w:rsidR="00812264" w:rsidRPr="008E4353" w:rsidRDefault="00812264" w:rsidP="00BC4E0B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Większość pracowników realizuje swoje zadania zdalnie. Komunikacja w projekcie odbywa się zdalnie przy wykorzystaniu przygotowanych wcześniej w projekcie narzędzi. </w:t>
            </w:r>
          </w:p>
          <w:p w14:paraId="63C3103C" w14:textId="77777777" w:rsidR="00812264" w:rsidRPr="008E4353" w:rsidRDefault="00812264" w:rsidP="00BC4E0B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Podjęte działania mają na celu minimalizację negatywnego wpływu ograniczeń wynikających z ogłoszenia stanu zagrożenia epidemicznego.  </w:t>
            </w:r>
          </w:p>
          <w:p w14:paraId="4D52ACE1" w14:textId="471F8BD5" w:rsidR="00812264" w:rsidRPr="004E3B57" w:rsidRDefault="003745C9" w:rsidP="00F9730E">
            <w:pPr>
              <w:pStyle w:val="Akapitzlist"/>
              <w:numPr>
                <w:ilvl w:val="0"/>
                <w:numId w:val="2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 w:rsidRPr="00F56391">
              <w:rPr>
                <w:rFonts w:ascii="Arial" w:hAnsi="Arial" w:cs="Arial"/>
                <w:sz w:val="20"/>
              </w:rPr>
              <w:t>Prowadzony jest stały monitoring stanu realizacji projektu</w:t>
            </w:r>
            <w:r w:rsidR="00F9730E" w:rsidRPr="00F56391">
              <w:rPr>
                <w:rFonts w:ascii="Arial" w:hAnsi="Arial" w:cs="Arial"/>
                <w:sz w:val="20"/>
              </w:rPr>
              <w:t>.</w:t>
            </w:r>
            <w:r w:rsidRPr="00F5639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812264" w:rsidRPr="009B5624" w14:paraId="4990AA0F" w14:textId="77777777" w:rsidTr="00BC4E0B">
        <w:tc>
          <w:tcPr>
            <w:tcW w:w="2835" w:type="dxa"/>
          </w:tcPr>
          <w:p w14:paraId="7A5B7733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Znaczne opóźnienie uruchomienia usługi infrastruktury wirtualnej (chmury) z powodu ograniczeń wprowadzonych stanem epidemii oraz ograniczeniem możliwości prowadzenia normalnej działalności operacyjnej przez dostawców rozwiązań z rynku.</w:t>
            </w:r>
          </w:p>
        </w:tc>
        <w:tc>
          <w:tcPr>
            <w:tcW w:w="1418" w:type="dxa"/>
          </w:tcPr>
          <w:p w14:paraId="21F8C80E" w14:textId="77777777" w:rsidR="00812264" w:rsidRPr="00D35B8F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601F838C" w14:textId="77777777" w:rsidR="00812264" w:rsidRPr="00D35B8F" w:rsidRDefault="00812264" w:rsidP="00BC4E0B">
            <w:pPr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3406701F" w14:textId="77777777" w:rsidR="00812264" w:rsidRDefault="00812264" w:rsidP="00812264">
            <w:pPr>
              <w:pStyle w:val="Akapitzlist"/>
              <w:numPr>
                <w:ilvl w:val="0"/>
                <w:numId w:val="3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Monitorowanie sytuacji i bieżące analizowanie informacji docierających z rynku i dostosowanie działań i terminów do możliwości dostawców. Analiza możliwości szybkiego zagwarantowania usług na potrzeby utrzymania CEIDG.</w:t>
            </w:r>
          </w:p>
          <w:p w14:paraId="76081C11" w14:textId="77777777" w:rsidR="00812264" w:rsidRDefault="00812264" w:rsidP="00812264">
            <w:pPr>
              <w:pStyle w:val="Akapitzlist"/>
              <w:numPr>
                <w:ilvl w:val="0"/>
                <w:numId w:val="3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Przesuniecie terminu składania ofert. Przegląd zadań i dostosowanie harmonogramu projektu. Monitorowanie sytuacji i bieżące analizowanie informacji docierających z rynku i dostosowanie działań i terminów do możliwości dostawców. Przedłużenie dotychczasowych umów z dostawcami usług datacenter dla CEIDG</w:t>
            </w:r>
          </w:p>
          <w:p w14:paraId="3029AAF8" w14:textId="0F3BAC7C" w:rsidR="00812264" w:rsidRPr="008E4353" w:rsidRDefault="00F56391" w:rsidP="00557582">
            <w:pPr>
              <w:pStyle w:val="Akapitzlist"/>
              <w:numPr>
                <w:ilvl w:val="0"/>
                <w:numId w:val="3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6391">
              <w:rPr>
                <w:rFonts w:ascii="Arial" w:hAnsi="Arial" w:cs="Arial"/>
                <w:sz w:val="20"/>
                <w:szCs w:val="20"/>
              </w:rPr>
              <w:t>W trakcie postępowania została wyłoniona najkorzystniejsza oferta. Zostało jednak złożone odwołanie, obecnie trwa procedura odwołania przed KIO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12264" w:rsidRPr="009B5624" w14:paraId="29E72D61" w14:textId="77777777" w:rsidTr="00BC4E0B">
        <w:tc>
          <w:tcPr>
            <w:tcW w:w="2835" w:type="dxa"/>
          </w:tcPr>
          <w:p w14:paraId="4DD8E39B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Znaczne opóźnienie w dostawie i uruchomieniu infrastruk</w:t>
            </w:r>
            <w:r w:rsidRPr="00D35B8F">
              <w:rPr>
                <w:rFonts w:ascii="Arial" w:hAnsi="Arial" w:cs="Arial"/>
                <w:sz w:val="20"/>
                <w:szCs w:val="20"/>
              </w:rPr>
              <w:lastRenderedPageBreak/>
              <w:t>tury w związku z przedłużającym się postępowaniem przetargowym  infrastruktury wirtualnej  z powodu ograniczeń wprowadzonych stanem epidemii oraz ograniczeniem możliwości prowadzenia normalnej działalności operacyjnej przez dostawców sprzętu z rynku.</w:t>
            </w:r>
          </w:p>
        </w:tc>
        <w:tc>
          <w:tcPr>
            <w:tcW w:w="1418" w:type="dxa"/>
          </w:tcPr>
          <w:p w14:paraId="14A08934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lastRenderedPageBreak/>
              <w:t>średnie</w:t>
            </w:r>
          </w:p>
        </w:tc>
        <w:tc>
          <w:tcPr>
            <w:tcW w:w="1701" w:type="dxa"/>
          </w:tcPr>
          <w:p w14:paraId="6DBC45D6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AD01A8D" w14:textId="77777777" w:rsidR="00812264" w:rsidRPr="008E4353" w:rsidRDefault="00812264" w:rsidP="00812264">
            <w:pPr>
              <w:pStyle w:val="Akapitzlist"/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 xml:space="preserve">Monitorowanie sytuacji i bieżące analizowanie informacji </w:t>
            </w:r>
            <w:r w:rsidRPr="008E4353">
              <w:rPr>
                <w:rFonts w:ascii="Arial" w:hAnsi="Arial" w:cs="Arial"/>
                <w:sz w:val="20"/>
                <w:szCs w:val="20"/>
              </w:rPr>
              <w:lastRenderedPageBreak/>
              <w:t>docierających z rynku i dostosowanie działań i terminów do możliwości dostawców. Analiza możliwości szybkiego zagwarantowania infrastruktury na potrzeby utrzymania CEIDG.</w:t>
            </w:r>
          </w:p>
          <w:p w14:paraId="4C977E25" w14:textId="77777777" w:rsidR="00812264" w:rsidRPr="008E4353" w:rsidRDefault="00812264" w:rsidP="00812264">
            <w:pPr>
              <w:pStyle w:val="Akapitzlist"/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4353">
              <w:rPr>
                <w:rFonts w:ascii="Arial" w:hAnsi="Arial" w:cs="Arial"/>
                <w:sz w:val="20"/>
                <w:szCs w:val="20"/>
              </w:rPr>
              <w:t>Przesuniecie terminu składania ofert. Przegląd zadań i dostosowanie harmonogramu projektu. Monitorowanie sytuacji i bieżące analizowanie informacji docierających z rynku i dostosowanie działań i terminów do możliwości dostawców. Przedłużenie dotychczasowych umów z dostawcami usług datacenter dla CEIDG.</w:t>
            </w:r>
          </w:p>
          <w:p w14:paraId="6ACF3312" w14:textId="40141C40" w:rsidR="00812264" w:rsidRPr="008E4353" w:rsidRDefault="00F9730E" w:rsidP="00812264">
            <w:pPr>
              <w:pStyle w:val="Akapitzlist"/>
              <w:numPr>
                <w:ilvl w:val="0"/>
                <w:numId w:val="32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6391">
              <w:rPr>
                <w:rFonts w:ascii="Arial" w:hAnsi="Arial" w:cs="Arial"/>
                <w:sz w:val="20"/>
                <w:szCs w:val="20"/>
              </w:rPr>
              <w:t>Ostatecznie został wyłoniony wykonawca, jednak zł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>ożona oferta znacznie przekroczyła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przewidziany w projekcie budżet na ten cel. W związku z tym MR wystąpił z wnioskiem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 xml:space="preserve"> do Instytucji Pośredniczącej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 o zwiększenie kwalifikowalnej wartości projektu.</w:t>
            </w:r>
            <w:r w:rsidR="00812264" w:rsidRPr="00F5639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12264" w:rsidRPr="009B5624" w14:paraId="06C897FE" w14:textId="77777777" w:rsidTr="00BC4E0B">
        <w:tc>
          <w:tcPr>
            <w:tcW w:w="2835" w:type="dxa"/>
          </w:tcPr>
          <w:p w14:paraId="24C4B530" w14:textId="77777777" w:rsidR="00812264" w:rsidRPr="001528F0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lastRenderedPageBreak/>
              <w:t>Znaczne opóźnienia w realizacji wszystkich zadań projektowych w związku pojawieniem się wśród pracowników przypadków kwarantanny lub zachorowań na COVID -19 lub związku z brakiem zasobów kadrowych spowodowanych masowym wykorzystaniem przez pracowników MR i pracowników Partnera zasiłków opiekuńczych.</w:t>
            </w:r>
          </w:p>
        </w:tc>
        <w:tc>
          <w:tcPr>
            <w:tcW w:w="1418" w:type="dxa"/>
          </w:tcPr>
          <w:p w14:paraId="2967A8D6" w14:textId="77777777" w:rsidR="00812264" w:rsidRPr="001528F0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08C4EEA4" w14:textId="77777777" w:rsidR="00812264" w:rsidRPr="001528F0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0603B557" w14:textId="77777777" w:rsidR="00812264" w:rsidRPr="001528F0" w:rsidRDefault="00812264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 xml:space="preserve">Monitorowanie sytuacji. Wprowadzenie zaleceń dot. unikania bezpośrednich kontaktów, pracy zdalnej i spotkań w formie wideokonferencji.  </w:t>
            </w:r>
          </w:p>
          <w:p w14:paraId="57508114" w14:textId="77777777" w:rsidR="00812264" w:rsidRPr="001528F0" w:rsidRDefault="00812264" w:rsidP="00812264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528F0">
              <w:rPr>
                <w:rFonts w:ascii="Arial" w:hAnsi="Arial" w:cs="Arial"/>
                <w:sz w:val="20"/>
                <w:szCs w:val="20"/>
              </w:rPr>
              <w:t>Praca zdalna. Ograniczenie kontaktów. Elastyczne zarządzanie zasobami ludzkimi. Przesuwanie zasobów  do zadań krytycznych, znajdujących się na ścieżce  krytycznej projektu.</w:t>
            </w:r>
          </w:p>
          <w:p w14:paraId="4674B821" w14:textId="3365A231" w:rsidR="00812264" w:rsidRPr="001528F0" w:rsidRDefault="00F9730E" w:rsidP="003F3E8B">
            <w:pPr>
              <w:pStyle w:val="Akapitzlist"/>
              <w:numPr>
                <w:ilvl w:val="0"/>
                <w:numId w:val="33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6391">
              <w:rPr>
                <w:rFonts w:ascii="Arial" w:hAnsi="Arial" w:cs="Arial"/>
                <w:sz w:val="20"/>
                <w:szCs w:val="20"/>
              </w:rPr>
              <w:t>Został podtrzymany zdalny charakter pracy</w:t>
            </w:r>
            <w:r w:rsidR="00557582" w:rsidRPr="00F56391">
              <w:rPr>
                <w:rFonts w:ascii="Arial" w:hAnsi="Arial" w:cs="Arial"/>
                <w:sz w:val="20"/>
                <w:szCs w:val="20"/>
              </w:rPr>
              <w:t xml:space="preserve"> z uwagi na trwające zagrożenie. N</w:t>
            </w:r>
            <w:r w:rsidRPr="00F56391">
              <w:rPr>
                <w:rFonts w:ascii="Arial" w:hAnsi="Arial" w:cs="Arial"/>
                <w:sz w:val="20"/>
                <w:szCs w:val="20"/>
              </w:rPr>
              <w:t xml:space="preserve">ie zaobserwowano przypadków </w:t>
            </w:r>
            <w:r w:rsidR="003F3E8B" w:rsidRPr="00F56391">
              <w:rPr>
                <w:rFonts w:ascii="Arial" w:hAnsi="Arial" w:cs="Arial"/>
                <w:sz w:val="20"/>
                <w:szCs w:val="20"/>
              </w:rPr>
              <w:lastRenderedPageBreak/>
              <w:t>COVID-19 wśród pracowników.</w:t>
            </w:r>
          </w:p>
        </w:tc>
      </w:tr>
      <w:tr w:rsidR="00812264" w:rsidRPr="009B5624" w14:paraId="5D475005" w14:textId="77777777" w:rsidTr="00BC4E0B">
        <w:tc>
          <w:tcPr>
            <w:tcW w:w="2835" w:type="dxa"/>
          </w:tcPr>
          <w:p w14:paraId="587BA21F" w14:textId="77777777" w:rsidR="00812264" w:rsidRPr="003C12F1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lastRenderedPageBreak/>
              <w:t>Niezrealizowanie badań zaplanowanych w Planie badań, które wymagają kontaktu osobistego moderatora z respondentem, w związku z ograniczeniami przemieszczania się i kontaktów, nałożonymi przez polski rząd i zalecenia OFBOR.</w:t>
            </w:r>
          </w:p>
        </w:tc>
        <w:tc>
          <w:tcPr>
            <w:tcW w:w="1418" w:type="dxa"/>
          </w:tcPr>
          <w:p w14:paraId="1A07579B" w14:textId="77777777" w:rsidR="00812264" w:rsidRPr="003C12F1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701" w:type="dxa"/>
          </w:tcPr>
          <w:p w14:paraId="26B88EB5" w14:textId="77777777" w:rsidR="00812264" w:rsidRPr="003C12F1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11476E7A" w14:textId="77777777" w:rsidR="00812264" w:rsidRPr="003C12F1" w:rsidRDefault="00812264" w:rsidP="00812264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Monitorowanie sytuacji i bieżące analizowanie informacji docierających z rynku i dostosowanie metod badawczych i terminów realizacji badań do sytuacji.</w:t>
            </w:r>
          </w:p>
          <w:p w14:paraId="7C66050D" w14:textId="77777777" w:rsidR="00812264" w:rsidRPr="003C12F1" w:rsidRDefault="00812264" w:rsidP="00812264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C12F1">
              <w:rPr>
                <w:rFonts w:ascii="Arial" w:hAnsi="Arial" w:cs="Arial"/>
                <w:sz w:val="20"/>
                <w:szCs w:val="20"/>
              </w:rPr>
              <w:t>Realizacja badań zdalnie, przez telefon i środki komunikacji elektronicznej.</w:t>
            </w:r>
          </w:p>
          <w:p w14:paraId="70DCAF8B" w14:textId="073E998A" w:rsidR="00812264" w:rsidRPr="003C12F1" w:rsidRDefault="00F56391" w:rsidP="00557582">
            <w:pPr>
              <w:pStyle w:val="Akapitzlist"/>
              <w:numPr>
                <w:ilvl w:val="0"/>
                <w:numId w:val="3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6391">
              <w:rPr>
                <w:rFonts w:ascii="Arial" w:hAnsi="Arial" w:cs="Arial"/>
                <w:sz w:val="20"/>
                <w:szCs w:val="20"/>
              </w:rPr>
              <w:t>W realizowanych badaniach wykorzystywane są metody zdalne lub eksperckie. Dla przykładu przeprowadzono analizę ekspercka wg heurystyk użyteczności ekranów aplikacji urzędnika, czy zdalne badanie formularza elektronicznego. Natomiast brane jest pod uwagę przesunięcie w czasie niektórych badań np. ekranów Konta przedsiębiorcy.</w:t>
            </w:r>
          </w:p>
        </w:tc>
      </w:tr>
      <w:tr w:rsidR="00812264" w:rsidRPr="009B5624" w14:paraId="620A186A" w14:textId="77777777" w:rsidTr="00BC4E0B">
        <w:tc>
          <w:tcPr>
            <w:tcW w:w="2835" w:type="dxa"/>
          </w:tcPr>
          <w:p w14:paraId="13D5B8A5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Przekroczenie budżetu </w:t>
            </w:r>
            <w:r w:rsidRPr="000C767B">
              <w:rPr>
                <w:rFonts w:ascii="Arial" w:hAnsi="Arial" w:cs="Arial"/>
                <w:sz w:val="20"/>
                <w:szCs w:val="20"/>
              </w:rPr>
              <w:t>w realizacji któregokolwiek z zadań</w:t>
            </w:r>
            <w:r>
              <w:rPr>
                <w:rFonts w:ascii="Arial" w:hAnsi="Arial" w:cs="Arial"/>
                <w:sz w:val="20"/>
                <w:szCs w:val="20"/>
              </w:rPr>
              <w:t>. Np</w:t>
            </w:r>
            <w:r w:rsidRPr="000C767B">
              <w:rPr>
                <w:rFonts w:ascii="Arial" w:hAnsi="Arial" w:cs="Arial"/>
                <w:sz w:val="20"/>
                <w:szCs w:val="20"/>
              </w:rPr>
              <w:t xml:space="preserve">. wykonawcy wliczają w cenę ofert ryzyko związane ze zmianą kursu walut i niepewnością na rynku dostaw spowodowaną pandemią koronawirusa) </w:t>
            </w:r>
          </w:p>
        </w:tc>
        <w:tc>
          <w:tcPr>
            <w:tcW w:w="1418" w:type="dxa"/>
          </w:tcPr>
          <w:p w14:paraId="091949D7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701" w:type="dxa"/>
          </w:tcPr>
          <w:p w14:paraId="2A3283EA" w14:textId="77777777" w:rsidR="00812264" w:rsidRPr="00D35B8F" w:rsidRDefault="00812264" w:rsidP="00BC4E0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B8F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</w:tcPr>
          <w:p w14:paraId="6EFB746F" w14:textId="77777777" w:rsidR="00812264" w:rsidRDefault="00812264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C767B">
              <w:rPr>
                <w:rFonts w:ascii="Arial" w:hAnsi="Arial" w:cs="Arial"/>
                <w:sz w:val="20"/>
                <w:szCs w:val="20"/>
              </w:rPr>
              <w:t>Szczegółowa analiza kosztów - szczególnie w pierwszej fazie Projektu, w celu wczesnego wykrycia niedoszacowania kosztów, Intensywny nadzór nad efektywnością pracy. Stały monitoring kosztów i poszukiwanie oszczędności w ramach innych działań, jednak w obecnej sytuacji brak możliwości dalszego obciążania budżetu państwa.</w:t>
            </w:r>
          </w:p>
          <w:p w14:paraId="3FAEAAA7" w14:textId="77777777" w:rsidR="00812264" w:rsidRDefault="00812264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C767B">
              <w:rPr>
                <w:rFonts w:ascii="Arial" w:hAnsi="Arial" w:cs="Arial"/>
                <w:sz w:val="20"/>
                <w:szCs w:val="20"/>
              </w:rPr>
              <w:t>Wprowadzenie procedury zarządzania zmianą w określonym obszarze (zmiana zakresu - eliminacja zadań o mniejszym znaczeniu, przesunięcia pomiędzy kategoriami budżetu).</w:t>
            </w:r>
          </w:p>
          <w:p w14:paraId="2AD5AAE7" w14:textId="106EC676" w:rsidR="00812264" w:rsidRPr="008E4353" w:rsidRDefault="00812264" w:rsidP="00812264">
            <w:pPr>
              <w:pStyle w:val="Akapitzlist"/>
              <w:numPr>
                <w:ilvl w:val="0"/>
                <w:numId w:val="3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6391">
              <w:rPr>
                <w:rFonts w:ascii="Arial" w:hAnsi="Arial" w:cs="Arial"/>
                <w:sz w:val="20"/>
                <w:szCs w:val="20"/>
              </w:rPr>
              <w:lastRenderedPageBreak/>
              <w:t>Jest to ryzyko, które od poprzedniego okresu raportowania uległo znacznemu wzrostowi (z uwagi na COVID-19).</w:t>
            </w:r>
            <w:r w:rsidR="003F3E8B" w:rsidRPr="00F56391">
              <w:rPr>
                <w:rFonts w:ascii="Arial" w:hAnsi="Arial" w:cs="Arial"/>
                <w:sz w:val="20"/>
                <w:szCs w:val="20"/>
              </w:rPr>
              <w:t xml:space="preserve"> Wystąpiono do CPPC z wnioskiem o zwiększenie kwalifikowalnej wartości projektu.</w:t>
            </w:r>
          </w:p>
        </w:tc>
      </w:tr>
    </w:tbl>
    <w:p w14:paraId="385772B3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DD80EDA" w14:textId="77777777" w:rsidR="00812264" w:rsidRPr="000700BB" w:rsidRDefault="00812264" w:rsidP="0081226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812264" w:rsidRPr="000700BB" w14:paraId="055A318B" w14:textId="77777777" w:rsidTr="00BC4E0B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4BE8229" w14:textId="77777777" w:rsidR="00812264" w:rsidRPr="000700BB" w:rsidRDefault="00812264" w:rsidP="00BC4E0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9424E2" w14:textId="77777777" w:rsidR="00812264" w:rsidRPr="000700BB" w:rsidRDefault="00812264" w:rsidP="00BC4E0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D57983D" w14:textId="77777777" w:rsidR="00812264" w:rsidRPr="000700BB" w:rsidRDefault="00812264" w:rsidP="00BC4E0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4784775" w14:textId="77777777" w:rsidR="00812264" w:rsidRPr="000700BB" w:rsidRDefault="00812264" w:rsidP="00BC4E0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2264" w:rsidRPr="000700BB" w14:paraId="79999C1F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702B5365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Nie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</w:rPr>
              <w:t>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492B48D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1C9669C0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5163B813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812264" w:rsidRPr="000700BB" w14:paraId="60CE319A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15074EB2" w14:textId="77777777" w:rsidR="00812264" w:rsidRPr="000700BB" w:rsidRDefault="00812264" w:rsidP="00BC4E0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0700BB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5462B8D6" w14:textId="77777777" w:rsidR="00812264" w:rsidRPr="00E6436D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A59D01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12910735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812264" w:rsidRPr="000700BB" w14:paraId="656201C9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6151C75F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195A6CF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4740F63B" wp14:editId="22331FE9">
                  <wp:extent cx="8890" cy="8890"/>
                  <wp:effectExtent l="0" t="0" r="0" b="0"/>
                  <wp:docPr id="1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D131752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E5BE565" wp14:editId="467C0C90">
                  <wp:extent cx="8890" cy="8890"/>
                  <wp:effectExtent l="0" t="0" r="0" b="0"/>
                  <wp:docPr id="2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20728B98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0700BB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812264" w:rsidRPr="000700BB" w14:paraId="0ED57A95" w14:textId="77777777" w:rsidTr="00BC4E0B">
        <w:trPr>
          <w:trHeight w:val="724"/>
        </w:trPr>
        <w:tc>
          <w:tcPr>
            <w:tcW w:w="2835" w:type="dxa"/>
            <w:shd w:val="clear" w:color="auto" w:fill="auto"/>
          </w:tcPr>
          <w:p w14:paraId="7BEB655E" w14:textId="77777777" w:rsidR="00812264" w:rsidRPr="000700BB" w:rsidRDefault="00812264" w:rsidP="00BC4E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109CAFD4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FFAC4FC" wp14:editId="7263B4C3">
                  <wp:extent cx="8890" cy="8890"/>
                  <wp:effectExtent l="0" t="0" r="0" b="0"/>
                  <wp:docPr id="3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612020C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61A8609" wp14:editId="7295085E">
                  <wp:extent cx="8890" cy="8890"/>
                  <wp:effectExtent l="0" t="0" r="0" b="0"/>
                  <wp:docPr id="4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5BE582BD" w14:textId="77777777" w:rsidR="00812264" w:rsidRPr="000700BB" w:rsidRDefault="00812264" w:rsidP="00BC4E0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2ECC6B84" w14:textId="77777777" w:rsidR="00812264" w:rsidRPr="000700BB" w:rsidRDefault="00812264" w:rsidP="00812264">
      <w:pPr>
        <w:spacing w:before="240" w:after="120"/>
        <w:rPr>
          <w:rFonts w:ascii="Arial" w:hAnsi="Arial" w:cs="Arial"/>
        </w:rPr>
        <w:sectPr w:rsidR="00812264" w:rsidRPr="000700BB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3456212" w14:textId="77777777" w:rsidR="00812264" w:rsidRPr="000700BB" w:rsidRDefault="00812264" w:rsidP="00812264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7D03271" w14:textId="77777777" w:rsidR="00812264" w:rsidRPr="000700BB" w:rsidRDefault="00812264" w:rsidP="00812264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192BF417" w14:textId="77777777" w:rsidR="00812264" w:rsidRPr="000700BB" w:rsidRDefault="00812264" w:rsidP="00812264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63FE46E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Dominik Wójcicki</w:t>
      </w:r>
    </w:p>
    <w:p w14:paraId="1C2B3424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Dyrektor Departamentu Gospodarki Elektronicznej </w:t>
      </w:r>
    </w:p>
    <w:p w14:paraId="407C1D4C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>
        <w:rPr>
          <w:rFonts w:ascii="Arial" w:hAnsi="Arial" w:cs="Arial"/>
          <w:sz w:val="18"/>
          <w:szCs w:val="18"/>
        </w:rPr>
        <w:t>Rozwoju</w:t>
      </w:r>
    </w:p>
    <w:p w14:paraId="747CCCBD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0" w:history="1">
        <w:r w:rsidRPr="004F1EC4">
          <w:rPr>
            <w:rStyle w:val="Hipercze"/>
            <w:rFonts w:ascii="Arial" w:hAnsi="Arial" w:cs="Arial"/>
            <w:sz w:val="18"/>
            <w:szCs w:val="18"/>
            <w:lang w:val="en-US"/>
          </w:rPr>
          <w:t>dominik.wojcicki@mr.gov.pl</w:t>
        </w:r>
      </w:hyperlink>
    </w:p>
    <w:p w14:paraId="72C77095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 </w:t>
      </w:r>
      <w:r>
        <w:rPr>
          <w:rFonts w:ascii="Arial" w:hAnsi="Arial" w:cs="Arial"/>
          <w:sz w:val="18"/>
          <w:szCs w:val="18"/>
        </w:rPr>
        <w:t>411</w:t>
      </w:r>
      <w:r w:rsidRPr="000700BB">
        <w:rPr>
          <w:rFonts w:ascii="Arial" w:hAnsi="Arial" w:cs="Arial"/>
          <w:sz w:val="18"/>
          <w:szCs w:val="18"/>
        </w:rPr>
        <w:t xml:space="preserve"> 94 35</w:t>
      </w:r>
    </w:p>
    <w:p w14:paraId="68370321" w14:textId="77777777" w:rsidR="00812264" w:rsidRPr="000700BB" w:rsidRDefault="00812264" w:rsidP="00812264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218004B2" w14:textId="77777777" w:rsidR="00BB059E" w:rsidRPr="00FB7758" w:rsidRDefault="00BB059E" w:rsidP="00FB7758">
      <w:pPr>
        <w:spacing w:before="360"/>
        <w:jc w:val="both"/>
        <w:rPr>
          <w:rFonts w:ascii="Arial" w:hAnsi="Arial" w:cs="Arial"/>
          <w:color w:val="0070C0"/>
        </w:rPr>
      </w:pPr>
    </w:p>
    <w:sectPr w:rsidR="00BB059E" w:rsidRPr="00FB7758" w:rsidSect="00DC7F79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3300A2" w14:textId="77777777" w:rsidR="00254380" w:rsidRDefault="00254380" w:rsidP="00BB2420">
      <w:pPr>
        <w:spacing w:after="0" w:line="240" w:lineRule="auto"/>
      </w:pPr>
      <w:r>
        <w:separator/>
      </w:r>
    </w:p>
  </w:endnote>
  <w:endnote w:type="continuationSeparator" w:id="0">
    <w:p w14:paraId="304487F4" w14:textId="77777777" w:rsidR="00254380" w:rsidRDefault="0025438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802159"/>
      <w:docPartObj>
        <w:docPartGallery w:val="Page Numbers (Bottom of Page)"/>
        <w:docPartUnique/>
      </w:docPartObj>
    </w:sdtPr>
    <w:sdtEndPr/>
    <w:sdtContent>
      <w:sdt>
        <w:sdtPr>
          <w:id w:val="479663648"/>
          <w:docPartObj>
            <w:docPartGallery w:val="Page Numbers (Top of Page)"/>
            <w:docPartUnique/>
          </w:docPartObj>
        </w:sdtPr>
        <w:sdtEndPr/>
        <w:sdtContent>
          <w:p w14:paraId="075EEBD6" w14:textId="77777777" w:rsidR="00812264" w:rsidRDefault="0081226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B2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3B21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8A184D" w14:textId="77777777" w:rsidR="00812264" w:rsidRDefault="008122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49039" w14:textId="77777777" w:rsidR="00E6436D" w:rsidRDefault="00E64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D585E" w14:textId="77777777" w:rsidR="00254380" w:rsidRDefault="00254380" w:rsidP="00BB2420">
      <w:pPr>
        <w:spacing w:after="0" w:line="240" w:lineRule="auto"/>
      </w:pPr>
      <w:r>
        <w:separator/>
      </w:r>
    </w:p>
  </w:footnote>
  <w:footnote w:type="continuationSeparator" w:id="0">
    <w:p w14:paraId="6CE641FF" w14:textId="77777777" w:rsidR="00254380" w:rsidRDefault="00254380" w:rsidP="00BB2420">
      <w:pPr>
        <w:spacing w:after="0" w:line="240" w:lineRule="auto"/>
      </w:pPr>
      <w:r>
        <w:continuationSeparator/>
      </w:r>
    </w:p>
  </w:footnote>
  <w:footnote w:id="1">
    <w:p w14:paraId="2167EE99" w14:textId="77777777" w:rsidR="00812264" w:rsidRDefault="00812264" w:rsidP="00812264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3D3E7D"/>
    <w:multiLevelType w:val="hybridMultilevel"/>
    <w:tmpl w:val="E4F066BC"/>
    <w:lvl w:ilvl="0" w:tplc="D65E7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E7E3F"/>
    <w:multiLevelType w:val="hybridMultilevel"/>
    <w:tmpl w:val="D3DC2FF8"/>
    <w:lvl w:ilvl="0" w:tplc="C31CA9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83606"/>
    <w:multiLevelType w:val="hybridMultilevel"/>
    <w:tmpl w:val="5F4EB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D86CD6"/>
    <w:multiLevelType w:val="hybridMultilevel"/>
    <w:tmpl w:val="76D6600A"/>
    <w:lvl w:ilvl="0" w:tplc="FCA297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382FC3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F07558"/>
    <w:multiLevelType w:val="hybridMultilevel"/>
    <w:tmpl w:val="3C7E2F52"/>
    <w:lvl w:ilvl="0" w:tplc="B57E1DB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681AED"/>
    <w:multiLevelType w:val="hybridMultilevel"/>
    <w:tmpl w:val="68E4798A"/>
    <w:lvl w:ilvl="0" w:tplc="35BCE3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10"/>
  </w:num>
  <w:num w:numId="5">
    <w:abstractNumId w:val="16"/>
  </w:num>
  <w:num w:numId="6">
    <w:abstractNumId w:val="32"/>
  </w:num>
  <w:num w:numId="7">
    <w:abstractNumId w:val="27"/>
  </w:num>
  <w:num w:numId="8">
    <w:abstractNumId w:val="31"/>
  </w:num>
  <w:num w:numId="9">
    <w:abstractNumId w:val="0"/>
  </w:num>
  <w:num w:numId="10">
    <w:abstractNumId w:val="20"/>
  </w:num>
  <w:num w:numId="11">
    <w:abstractNumId w:val="3"/>
  </w:num>
  <w:num w:numId="12">
    <w:abstractNumId w:val="13"/>
  </w:num>
  <w:num w:numId="13">
    <w:abstractNumId w:val="18"/>
  </w:num>
  <w:num w:numId="14">
    <w:abstractNumId w:val="9"/>
  </w:num>
  <w:num w:numId="15">
    <w:abstractNumId w:val="4"/>
  </w:num>
  <w:num w:numId="16">
    <w:abstractNumId w:val="19"/>
  </w:num>
  <w:num w:numId="17">
    <w:abstractNumId w:val="33"/>
  </w:num>
  <w:num w:numId="18">
    <w:abstractNumId w:val="1"/>
  </w:num>
  <w:num w:numId="19">
    <w:abstractNumId w:val="21"/>
  </w:num>
  <w:num w:numId="20">
    <w:abstractNumId w:val="30"/>
  </w:num>
  <w:num w:numId="21">
    <w:abstractNumId w:val="5"/>
  </w:num>
  <w:num w:numId="22">
    <w:abstractNumId w:val="14"/>
  </w:num>
  <w:num w:numId="23">
    <w:abstractNumId w:val="28"/>
  </w:num>
  <w:num w:numId="24">
    <w:abstractNumId w:val="22"/>
  </w:num>
  <w:num w:numId="25">
    <w:abstractNumId w:val="26"/>
  </w:num>
  <w:num w:numId="26">
    <w:abstractNumId w:val="29"/>
  </w:num>
  <w:num w:numId="27">
    <w:abstractNumId w:val="2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5"/>
  </w:num>
  <w:num w:numId="31">
    <w:abstractNumId w:val="34"/>
  </w:num>
  <w:num w:numId="32">
    <w:abstractNumId w:val="6"/>
  </w:num>
  <w:num w:numId="33">
    <w:abstractNumId w:val="7"/>
  </w:num>
  <w:num w:numId="34">
    <w:abstractNumId w:val="23"/>
  </w:num>
  <w:num w:numId="3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A35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5CEA"/>
    <w:rsid w:val="000A02BF"/>
    <w:rsid w:val="000A1DFB"/>
    <w:rsid w:val="000A2F32"/>
    <w:rsid w:val="000A3938"/>
    <w:rsid w:val="000B1DE9"/>
    <w:rsid w:val="000B3E49"/>
    <w:rsid w:val="000B4F86"/>
    <w:rsid w:val="000B7E82"/>
    <w:rsid w:val="000D08A5"/>
    <w:rsid w:val="000D4A99"/>
    <w:rsid w:val="000D669E"/>
    <w:rsid w:val="000E0060"/>
    <w:rsid w:val="000E1828"/>
    <w:rsid w:val="000E4BF8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56B0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08A8"/>
    <w:rsid w:val="00252087"/>
    <w:rsid w:val="00254380"/>
    <w:rsid w:val="00272843"/>
    <w:rsid w:val="00276C00"/>
    <w:rsid w:val="00283A39"/>
    <w:rsid w:val="00293A09"/>
    <w:rsid w:val="00294CB7"/>
    <w:rsid w:val="002A3C02"/>
    <w:rsid w:val="002A5452"/>
    <w:rsid w:val="002B3F16"/>
    <w:rsid w:val="002B4889"/>
    <w:rsid w:val="002B4C8D"/>
    <w:rsid w:val="002B50C0"/>
    <w:rsid w:val="002B6F21"/>
    <w:rsid w:val="002C6B85"/>
    <w:rsid w:val="002D344F"/>
    <w:rsid w:val="002D3D20"/>
    <w:rsid w:val="002D3D4A"/>
    <w:rsid w:val="002D7ADA"/>
    <w:rsid w:val="002E4590"/>
    <w:rsid w:val="002F0CCE"/>
    <w:rsid w:val="002F10D6"/>
    <w:rsid w:val="002F6FAE"/>
    <w:rsid w:val="002F7F21"/>
    <w:rsid w:val="0030196F"/>
    <w:rsid w:val="00302775"/>
    <w:rsid w:val="00304D04"/>
    <w:rsid w:val="00310D8E"/>
    <w:rsid w:val="003221F2"/>
    <w:rsid w:val="00322614"/>
    <w:rsid w:val="0033389B"/>
    <w:rsid w:val="00334A24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745C9"/>
    <w:rsid w:val="00390FA6"/>
    <w:rsid w:val="003911BA"/>
    <w:rsid w:val="0039256C"/>
    <w:rsid w:val="00394107"/>
    <w:rsid w:val="0039482D"/>
    <w:rsid w:val="003A0B49"/>
    <w:rsid w:val="003A189F"/>
    <w:rsid w:val="003A4115"/>
    <w:rsid w:val="003A42D7"/>
    <w:rsid w:val="003B29B5"/>
    <w:rsid w:val="003B3BF9"/>
    <w:rsid w:val="003B5B7A"/>
    <w:rsid w:val="003C09F7"/>
    <w:rsid w:val="003C12F1"/>
    <w:rsid w:val="003C2FDA"/>
    <w:rsid w:val="003C7325"/>
    <w:rsid w:val="003D33B5"/>
    <w:rsid w:val="003D3C96"/>
    <w:rsid w:val="003D7DD0"/>
    <w:rsid w:val="003E023C"/>
    <w:rsid w:val="003E1AF8"/>
    <w:rsid w:val="003E1FDC"/>
    <w:rsid w:val="003E3144"/>
    <w:rsid w:val="003E54DD"/>
    <w:rsid w:val="003E72EA"/>
    <w:rsid w:val="003F3E8B"/>
    <w:rsid w:val="00401D8F"/>
    <w:rsid w:val="004030A7"/>
    <w:rsid w:val="00403F16"/>
    <w:rsid w:val="00405EA4"/>
    <w:rsid w:val="0041034F"/>
    <w:rsid w:val="004118A3"/>
    <w:rsid w:val="004122E5"/>
    <w:rsid w:val="004125CC"/>
    <w:rsid w:val="0041396C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4074"/>
    <w:rsid w:val="004B6593"/>
    <w:rsid w:val="004C1D48"/>
    <w:rsid w:val="004C4F7C"/>
    <w:rsid w:val="004C6D93"/>
    <w:rsid w:val="004C6E00"/>
    <w:rsid w:val="004D0034"/>
    <w:rsid w:val="004D24BC"/>
    <w:rsid w:val="004D65CA"/>
    <w:rsid w:val="004E3B57"/>
    <w:rsid w:val="004F1EC4"/>
    <w:rsid w:val="004F6E89"/>
    <w:rsid w:val="00503826"/>
    <w:rsid w:val="005041A7"/>
    <w:rsid w:val="00504935"/>
    <w:rsid w:val="0051062E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5602A"/>
    <w:rsid w:val="00557582"/>
    <w:rsid w:val="005734CE"/>
    <w:rsid w:val="005801A7"/>
    <w:rsid w:val="00580B20"/>
    <w:rsid w:val="00586664"/>
    <w:rsid w:val="00586A1E"/>
    <w:rsid w:val="0058713F"/>
    <w:rsid w:val="0059313E"/>
    <w:rsid w:val="00593290"/>
    <w:rsid w:val="00593F29"/>
    <w:rsid w:val="00595BDB"/>
    <w:rsid w:val="005A12F7"/>
    <w:rsid w:val="005A1B30"/>
    <w:rsid w:val="005A25AE"/>
    <w:rsid w:val="005A335B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A4A"/>
    <w:rsid w:val="0061751F"/>
    <w:rsid w:val="0062054D"/>
    <w:rsid w:val="00622341"/>
    <w:rsid w:val="006268B2"/>
    <w:rsid w:val="00631BC8"/>
    <w:rsid w:val="006334BF"/>
    <w:rsid w:val="00635A54"/>
    <w:rsid w:val="006439F8"/>
    <w:rsid w:val="00652700"/>
    <w:rsid w:val="006542A2"/>
    <w:rsid w:val="006549FA"/>
    <w:rsid w:val="00656001"/>
    <w:rsid w:val="00661590"/>
    <w:rsid w:val="00661A62"/>
    <w:rsid w:val="006663BE"/>
    <w:rsid w:val="006714B6"/>
    <w:rsid w:val="006731D9"/>
    <w:rsid w:val="00673E3E"/>
    <w:rsid w:val="006749AC"/>
    <w:rsid w:val="00675E1A"/>
    <w:rsid w:val="00677A52"/>
    <w:rsid w:val="006822BC"/>
    <w:rsid w:val="00682F3E"/>
    <w:rsid w:val="00690045"/>
    <w:rsid w:val="006A19A8"/>
    <w:rsid w:val="006A2C44"/>
    <w:rsid w:val="006A60AA"/>
    <w:rsid w:val="006A60DA"/>
    <w:rsid w:val="006A6C56"/>
    <w:rsid w:val="006B034F"/>
    <w:rsid w:val="006B5117"/>
    <w:rsid w:val="006B7852"/>
    <w:rsid w:val="006B7D06"/>
    <w:rsid w:val="006C2527"/>
    <w:rsid w:val="006E06F6"/>
    <w:rsid w:val="006E094D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C44"/>
    <w:rsid w:val="00780297"/>
    <w:rsid w:val="0078607D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B0251"/>
    <w:rsid w:val="007C030A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4DD8"/>
    <w:rsid w:val="0080230B"/>
    <w:rsid w:val="00802646"/>
    <w:rsid w:val="00806134"/>
    <w:rsid w:val="00812264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56AA"/>
    <w:rsid w:val="00856C3F"/>
    <w:rsid w:val="00864A03"/>
    <w:rsid w:val="0087452F"/>
    <w:rsid w:val="00875528"/>
    <w:rsid w:val="00884686"/>
    <w:rsid w:val="0088591C"/>
    <w:rsid w:val="0088783C"/>
    <w:rsid w:val="00892C23"/>
    <w:rsid w:val="008A06ED"/>
    <w:rsid w:val="008A2B16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D7EB6"/>
    <w:rsid w:val="008E172C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0423"/>
    <w:rsid w:val="00931582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4423"/>
    <w:rsid w:val="009B5624"/>
    <w:rsid w:val="009C143A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E7DD5"/>
    <w:rsid w:val="009F09BF"/>
    <w:rsid w:val="009F0A34"/>
    <w:rsid w:val="009F1187"/>
    <w:rsid w:val="009F1DC8"/>
    <w:rsid w:val="009F437E"/>
    <w:rsid w:val="009F55C9"/>
    <w:rsid w:val="00A0272D"/>
    <w:rsid w:val="00A11788"/>
    <w:rsid w:val="00A2038B"/>
    <w:rsid w:val="00A229FA"/>
    <w:rsid w:val="00A25987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67893"/>
    <w:rsid w:val="00A70113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452A"/>
    <w:rsid w:val="00AA2140"/>
    <w:rsid w:val="00AA2F29"/>
    <w:rsid w:val="00AA4CAB"/>
    <w:rsid w:val="00AA51AD"/>
    <w:rsid w:val="00AB2E01"/>
    <w:rsid w:val="00AB4659"/>
    <w:rsid w:val="00AB6C60"/>
    <w:rsid w:val="00AC7E26"/>
    <w:rsid w:val="00AD45BB"/>
    <w:rsid w:val="00AD6FB9"/>
    <w:rsid w:val="00AE1643"/>
    <w:rsid w:val="00AE3A6C"/>
    <w:rsid w:val="00AF09B8"/>
    <w:rsid w:val="00AF0B3C"/>
    <w:rsid w:val="00AF567D"/>
    <w:rsid w:val="00AF6F46"/>
    <w:rsid w:val="00B00A51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32CBD"/>
    <w:rsid w:val="00B34299"/>
    <w:rsid w:val="00B36345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3236"/>
    <w:rsid w:val="00B64B3C"/>
    <w:rsid w:val="00B673C6"/>
    <w:rsid w:val="00B74859"/>
    <w:rsid w:val="00B87D3D"/>
    <w:rsid w:val="00BA481C"/>
    <w:rsid w:val="00BB059E"/>
    <w:rsid w:val="00BB2420"/>
    <w:rsid w:val="00BB2D05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C05D92"/>
    <w:rsid w:val="00C10268"/>
    <w:rsid w:val="00C1106C"/>
    <w:rsid w:val="00C12090"/>
    <w:rsid w:val="00C26361"/>
    <w:rsid w:val="00C26F59"/>
    <w:rsid w:val="00C302F1"/>
    <w:rsid w:val="00C30752"/>
    <w:rsid w:val="00C315D5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00D0"/>
    <w:rsid w:val="00CB50C1"/>
    <w:rsid w:val="00CB556E"/>
    <w:rsid w:val="00CB5B0F"/>
    <w:rsid w:val="00CB6137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4C0F"/>
    <w:rsid w:val="00CF4F02"/>
    <w:rsid w:val="00D06207"/>
    <w:rsid w:val="00D10599"/>
    <w:rsid w:val="00D1644D"/>
    <w:rsid w:val="00D20760"/>
    <w:rsid w:val="00D23912"/>
    <w:rsid w:val="00D25CFE"/>
    <w:rsid w:val="00D34F18"/>
    <w:rsid w:val="00D4047F"/>
    <w:rsid w:val="00D43C33"/>
    <w:rsid w:val="00D4607F"/>
    <w:rsid w:val="00D53D5F"/>
    <w:rsid w:val="00D56675"/>
    <w:rsid w:val="00D57025"/>
    <w:rsid w:val="00D57765"/>
    <w:rsid w:val="00D60532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8796D"/>
    <w:rsid w:val="00D9474E"/>
    <w:rsid w:val="00DA34DF"/>
    <w:rsid w:val="00DA71D7"/>
    <w:rsid w:val="00DB12B7"/>
    <w:rsid w:val="00DB4488"/>
    <w:rsid w:val="00DB69FD"/>
    <w:rsid w:val="00DC0A8A"/>
    <w:rsid w:val="00DC1705"/>
    <w:rsid w:val="00DC38DE"/>
    <w:rsid w:val="00DC39A9"/>
    <w:rsid w:val="00DC4C79"/>
    <w:rsid w:val="00DC7F79"/>
    <w:rsid w:val="00DD4C78"/>
    <w:rsid w:val="00DD7D1E"/>
    <w:rsid w:val="00DE4EE0"/>
    <w:rsid w:val="00DE6249"/>
    <w:rsid w:val="00DE731D"/>
    <w:rsid w:val="00DE7664"/>
    <w:rsid w:val="00DF50EB"/>
    <w:rsid w:val="00DF6E5E"/>
    <w:rsid w:val="00E0076D"/>
    <w:rsid w:val="00E01633"/>
    <w:rsid w:val="00E021B4"/>
    <w:rsid w:val="00E053F2"/>
    <w:rsid w:val="00E05F0A"/>
    <w:rsid w:val="00E11B44"/>
    <w:rsid w:val="00E12BF8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412F"/>
    <w:rsid w:val="00E47508"/>
    <w:rsid w:val="00E475B4"/>
    <w:rsid w:val="00E52511"/>
    <w:rsid w:val="00E55EB0"/>
    <w:rsid w:val="00E5623A"/>
    <w:rsid w:val="00E57BB7"/>
    <w:rsid w:val="00E61CB0"/>
    <w:rsid w:val="00E6436D"/>
    <w:rsid w:val="00E7042E"/>
    <w:rsid w:val="00E71256"/>
    <w:rsid w:val="00E71496"/>
    <w:rsid w:val="00E71BCF"/>
    <w:rsid w:val="00E7676B"/>
    <w:rsid w:val="00E807FF"/>
    <w:rsid w:val="00E80E9D"/>
    <w:rsid w:val="00E81D7C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E14BA"/>
    <w:rsid w:val="00EE19E8"/>
    <w:rsid w:val="00EF47CD"/>
    <w:rsid w:val="00EF7462"/>
    <w:rsid w:val="00F027F2"/>
    <w:rsid w:val="00F0636D"/>
    <w:rsid w:val="00F1384F"/>
    <w:rsid w:val="00F138F7"/>
    <w:rsid w:val="00F159EE"/>
    <w:rsid w:val="00F17F71"/>
    <w:rsid w:val="00F2008A"/>
    <w:rsid w:val="00F21D9E"/>
    <w:rsid w:val="00F25348"/>
    <w:rsid w:val="00F27116"/>
    <w:rsid w:val="00F31691"/>
    <w:rsid w:val="00F4281C"/>
    <w:rsid w:val="00F45506"/>
    <w:rsid w:val="00F47C95"/>
    <w:rsid w:val="00F5134A"/>
    <w:rsid w:val="00F54BE8"/>
    <w:rsid w:val="00F56391"/>
    <w:rsid w:val="00F57CC1"/>
    <w:rsid w:val="00F60062"/>
    <w:rsid w:val="00F613CC"/>
    <w:rsid w:val="00F6777F"/>
    <w:rsid w:val="00F73B21"/>
    <w:rsid w:val="00F76777"/>
    <w:rsid w:val="00F80BFB"/>
    <w:rsid w:val="00F83F2F"/>
    <w:rsid w:val="00F86555"/>
    <w:rsid w:val="00F960BE"/>
    <w:rsid w:val="00F96F6B"/>
    <w:rsid w:val="00F9730E"/>
    <w:rsid w:val="00FA2F15"/>
    <w:rsid w:val="00FA3BDA"/>
    <w:rsid w:val="00FA4E7C"/>
    <w:rsid w:val="00FA6BC7"/>
    <w:rsid w:val="00FA7CC2"/>
    <w:rsid w:val="00FB5A9E"/>
    <w:rsid w:val="00FB7758"/>
    <w:rsid w:val="00FC0CC8"/>
    <w:rsid w:val="00FC312A"/>
    <w:rsid w:val="00FC3B03"/>
    <w:rsid w:val="00FC5C3F"/>
    <w:rsid w:val="00FD38FD"/>
    <w:rsid w:val="00FE50DB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E0E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dominik.wojcicki@mr.gov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62445-F85C-4C2E-BD4A-71D3BF09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2214</Words>
  <Characters>13289</Characters>
  <Application>Microsoft Office Word</Application>
  <DocSecurity>4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2020-07-21T10:02:00Z</dcterms:created>
  <dcterms:modified xsi:type="dcterms:W3CDTF">2020-07-21T10:02:00Z</dcterms:modified>
</cp:coreProperties>
</file>