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69AB" w14:textId="72CCED81" w:rsidR="005861E0" w:rsidRDefault="008879FA" w:rsidP="000554B8">
      <w:pPr>
        <w:pStyle w:val="Tytu"/>
        <w:jc w:val="center"/>
        <w:rPr>
          <w:b/>
          <w:bCs/>
          <w:sz w:val="32"/>
          <w:szCs w:val="32"/>
        </w:rPr>
      </w:pPr>
      <w:bookmarkStart w:id="0" w:name="_Hlk156805466"/>
      <w:r w:rsidRPr="000554B8">
        <w:rPr>
          <w:b/>
          <w:bCs/>
          <w:sz w:val="32"/>
          <w:szCs w:val="32"/>
        </w:rPr>
        <w:t xml:space="preserve">DOPUSZCZALNOŚĆ </w:t>
      </w:r>
      <w:r w:rsidR="009D218F" w:rsidRPr="000554B8">
        <w:rPr>
          <w:b/>
          <w:bCs/>
          <w:sz w:val="32"/>
          <w:szCs w:val="32"/>
        </w:rPr>
        <w:t>PRZELEW</w:t>
      </w:r>
      <w:r w:rsidRPr="000554B8">
        <w:rPr>
          <w:b/>
          <w:bCs/>
          <w:sz w:val="32"/>
          <w:szCs w:val="32"/>
        </w:rPr>
        <w:t>U</w:t>
      </w:r>
      <w:r w:rsidR="009D218F" w:rsidRPr="000554B8">
        <w:rPr>
          <w:b/>
          <w:bCs/>
          <w:sz w:val="32"/>
          <w:szCs w:val="32"/>
        </w:rPr>
        <w:t xml:space="preserve"> WIERZYTELNOŚCI PRZYSŁUGUJĄCEJ WYKONAWCY ZAMÓWIENIA PUBLICZNEGO </w:t>
      </w:r>
      <w:r w:rsidR="0040228D" w:rsidRPr="000554B8">
        <w:rPr>
          <w:b/>
          <w:bCs/>
          <w:sz w:val="32"/>
          <w:szCs w:val="32"/>
        </w:rPr>
        <w:t xml:space="preserve">Z </w:t>
      </w:r>
      <w:r w:rsidR="006F490C" w:rsidRPr="000554B8">
        <w:rPr>
          <w:b/>
          <w:bCs/>
          <w:sz w:val="32"/>
          <w:szCs w:val="32"/>
        </w:rPr>
        <w:t>TYTUŁU WY</w:t>
      </w:r>
      <w:r w:rsidR="0040228D" w:rsidRPr="000554B8">
        <w:rPr>
          <w:b/>
          <w:bCs/>
          <w:sz w:val="32"/>
          <w:szCs w:val="32"/>
        </w:rPr>
        <w:t>N</w:t>
      </w:r>
      <w:r w:rsidR="006F490C" w:rsidRPr="000554B8">
        <w:rPr>
          <w:b/>
          <w:bCs/>
          <w:sz w:val="32"/>
          <w:szCs w:val="32"/>
        </w:rPr>
        <w:t>AGRODZENIA</w:t>
      </w:r>
      <w:r w:rsidR="0040228D" w:rsidRPr="000554B8">
        <w:rPr>
          <w:b/>
          <w:bCs/>
          <w:sz w:val="32"/>
          <w:szCs w:val="32"/>
        </w:rPr>
        <w:t xml:space="preserve"> </w:t>
      </w:r>
      <w:r w:rsidR="004B4E85" w:rsidRPr="000554B8">
        <w:rPr>
          <w:b/>
          <w:bCs/>
          <w:sz w:val="32"/>
          <w:szCs w:val="32"/>
        </w:rPr>
        <w:t xml:space="preserve">ZA </w:t>
      </w:r>
      <w:r w:rsidR="000D59AB" w:rsidRPr="000554B8">
        <w:rPr>
          <w:b/>
          <w:bCs/>
          <w:sz w:val="32"/>
          <w:szCs w:val="32"/>
        </w:rPr>
        <w:t xml:space="preserve">ZREALIZOWANE DOSTAWY, USŁUGI LUB ROBOTY BUDOWLANE </w:t>
      </w:r>
      <w:r w:rsidR="009D218F" w:rsidRPr="000554B8">
        <w:rPr>
          <w:b/>
          <w:bCs/>
          <w:sz w:val="32"/>
          <w:szCs w:val="32"/>
        </w:rPr>
        <w:t>NA RZECZ PODWYKONAWCY</w:t>
      </w:r>
    </w:p>
    <w:bookmarkEnd w:id="0"/>
    <w:p w14:paraId="67031768" w14:textId="77777777" w:rsidR="000554B8" w:rsidRPr="000554B8" w:rsidRDefault="000554B8" w:rsidP="000554B8"/>
    <w:p w14:paraId="155450DC" w14:textId="2DE291BF" w:rsidR="00121119" w:rsidRPr="000554B8" w:rsidRDefault="000924BE" w:rsidP="000554B8">
      <w:pPr>
        <w:pStyle w:val="Akapitzlist"/>
        <w:numPr>
          <w:ilvl w:val="0"/>
          <w:numId w:val="3"/>
        </w:numPr>
        <w:rPr>
          <w:b/>
          <w:bCs/>
        </w:rPr>
      </w:pPr>
      <w:r w:rsidRPr="000554B8">
        <w:rPr>
          <w:b/>
          <w:bCs/>
        </w:rPr>
        <w:t>Wprowadzenie</w:t>
      </w:r>
      <w:r w:rsidR="009D218F" w:rsidRPr="000554B8">
        <w:rPr>
          <w:b/>
          <w:bCs/>
        </w:rPr>
        <w:t xml:space="preserve"> </w:t>
      </w:r>
    </w:p>
    <w:p w14:paraId="5CD69BA7" w14:textId="3AC06E11" w:rsidR="008879FA" w:rsidRDefault="008879FA" w:rsidP="000554B8">
      <w:pPr>
        <w:ind w:firstLine="360"/>
      </w:pPr>
      <w:r w:rsidRPr="008879FA">
        <w:t>Przepisy ustawy z dnia 11 września 2019 r. Prawo zamówień publicznych (Dz. U. z 2023 r., poz. 1605 ze zm.), zwanej dalej „ustawą Pzp”  nie regulują instytucji przelewu wierzytelności. Na gruncie zamówień publicznych przelew wierzytelności może mieć miejsce na etapie realizacji zamówienia, w związku z czym dopuszczalność i ważność umowy przelewu wierzytelności winna być oceniania pod kątem wypełnienia przesłanek zawartych w ustaw</w:t>
      </w:r>
      <w:r>
        <w:t>ie</w:t>
      </w:r>
      <w:r w:rsidRPr="008879FA">
        <w:t xml:space="preserve"> z dnia 23 kwietnia 1964 r. Kodeks cywilny</w:t>
      </w:r>
      <w:r w:rsidR="00581B49">
        <w:t xml:space="preserve"> (</w:t>
      </w:r>
      <w:hyperlink r:id="rId8" w:history="1">
        <w:r w:rsidR="00581B49" w:rsidRPr="00300E4E">
          <w:t>Dz.U. z 2023 r., poz. 1610 ze zm.)</w:t>
        </w:r>
      </w:hyperlink>
      <w:r w:rsidRPr="008879FA">
        <w:t>, zwanej dalej „KC”.</w:t>
      </w:r>
      <w:r>
        <w:t xml:space="preserve"> </w:t>
      </w:r>
    </w:p>
    <w:p w14:paraId="28A0C02A" w14:textId="377E2281" w:rsidR="000924BE" w:rsidRDefault="003C6B64" w:rsidP="000554B8">
      <w:pPr>
        <w:ind w:firstLine="360"/>
      </w:pPr>
      <w:r>
        <w:t xml:space="preserve">W świetle </w:t>
      </w:r>
      <w:r w:rsidR="009D218F" w:rsidRPr="009812F8">
        <w:t xml:space="preserve">art. 8 ust. 1 ustawy Pzp, do umów w sprawach zamówień publicznych stosuje się przepisy </w:t>
      </w:r>
      <w:r w:rsidR="008879FA">
        <w:t>KC</w:t>
      </w:r>
      <w:r w:rsidR="009D218F" w:rsidRPr="009812F8">
        <w:t xml:space="preserve">, jeżeli przepisy ustawy nie stanowią inaczej. </w:t>
      </w:r>
    </w:p>
    <w:p w14:paraId="2BA93BD7" w14:textId="1D28ECCC" w:rsidR="00BF0D94" w:rsidRDefault="009D218F" w:rsidP="000554B8">
      <w:pPr>
        <w:ind w:firstLine="360"/>
      </w:pPr>
      <w:r w:rsidRPr="009812F8">
        <w:t>Stosownie do treści art. 509 § 1 KC, wierzyciel może bez zgody dłużnika przenieść wierzytelność na osobę trzecią (przelew), chyba że sprzeciwiałoby się to ustawie, zastrzeżeniu umownemu albo właściwości zobowiązania. Przelew wierzytelności (cesja)</w:t>
      </w:r>
      <w:r w:rsidR="00384CFF">
        <w:t>,</w:t>
      </w:r>
      <w:r w:rsidRPr="009812F8">
        <w:t xml:space="preserve"> będąc umową zawieraną przez dotychczasowego wierzyciela z osobą trzecią, na podstawie której osoba trzecia nabywa od wierzyciela przysługującą mu wierzytelność – prawo podmiotowe wierzyciela do żądania od dłużnika świadczenia – jest jedną z cywilnoprawnych instytucji prowadzących do zmiany wierzyciela. </w:t>
      </w:r>
    </w:p>
    <w:p w14:paraId="1641B975" w14:textId="29E1D5FB" w:rsidR="00AD5EFF" w:rsidRDefault="009D218F" w:rsidP="000554B8">
      <w:pPr>
        <w:ind w:firstLine="360"/>
      </w:pPr>
      <w:r w:rsidRPr="009812F8">
        <w:t>Przedmiotem przelewu może być, co do zasady, każda wierzytelność</w:t>
      </w:r>
      <w:r w:rsidR="00CE721A">
        <w:t xml:space="preserve">. </w:t>
      </w:r>
      <w:r w:rsidRPr="009812F8">
        <w:t xml:space="preserve">Właściwość zobowiązania wynikająca z umowy w sprawie zamówienia publicznego nie wyłącza </w:t>
      </w:r>
      <w:r w:rsidRPr="004D5449">
        <w:t>zastosowania przelewu wierzytelności</w:t>
      </w:r>
      <w:r w:rsidR="00BD75DE" w:rsidRPr="004D5449">
        <w:t xml:space="preserve"> </w:t>
      </w:r>
      <w:r w:rsidR="00667279" w:rsidRPr="004D5449">
        <w:t>z tytułu wynagrodzenia</w:t>
      </w:r>
      <w:r w:rsidR="004C1307" w:rsidRPr="004D5449">
        <w:t xml:space="preserve"> przysługującego</w:t>
      </w:r>
      <w:r w:rsidR="00667279" w:rsidRPr="004D5449">
        <w:t xml:space="preserve"> </w:t>
      </w:r>
      <w:r w:rsidR="007F1B20" w:rsidRPr="004D5449">
        <w:t>wykonawcy za zrealizowane dostawy, usługi lub roboty budowlane, gdyż w tym zakresie przelew nie prowadzi do zmiany</w:t>
      </w:r>
      <w:r w:rsidR="007F1B20" w:rsidRPr="009812F8">
        <w:t xml:space="preserve"> istoty świadczenia czy też do udzielenia nowego zamówienia</w:t>
      </w:r>
      <w:r w:rsidRPr="009812F8">
        <w:t xml:space="preserve">. W wyniku przelewu </w:t>
      </w:r>
      <w:r w:rsidR="004C1307">
        <w:t xml:space="preserve">wierzytelności </w:t>
      </w:r>
      <w:r w:rsidR="00C90216">
        <w:t xml:space="preserve">z ww. tytułu </w:t>
      </w:r>
      <w:r w:rsidRPr="009812F8">
        <w:t>stosunek zobowiązaniowy nie ulega bowiem zmianie – zmienia się wyłącznie osoba uczestnicząca w nim po stronie wierzyciela</w:t>
      </w:r>
      <w:r w:rsidR="001B6AAC">
        <w:rPr>
          <w:rStyle w:val="Odwoanieprzypisudolnego"/>
        </w:rPr>
        <w:footnoteReference w:id="1"/>
      </w:r>
      <w:r w:rsidR="001B6AAC">
        <w:t>.</w:t>
      </w:r>
    </w:p>
    <w:p w14:paraId="12800B27" w14:textId="77777777" w:rsidR="000554B8" w:rsidRDefault="000554B8" w:rsidP="000554B8">
      <w:pPr>
        <w:ind w:firstLine="360"/>
      </w:pPr>
    </w:p>
    <w:p w14:paraId="79F0C9E7" w14:textId="03AB1967" w:rsidR="00AD5EFF" w:rsidRPr="000554B8" w:rsidRDefault="009D218F" w:rsidP="000554B8">
      <w:pPr>
        <w:pStyle w:val="Nagwek1"/>
        <w:numPr>
          <w:ilvl w:val="0"/>
          <w:numId w:val="3"/>
        </w:numPr>
      </w:pPr>
      <w:r w:rsidRPr="000554B8">
        <w:t>Sposób w jak</w:t>
      </w:r>
      <w:r w:rsidR="001B6AAC" w:rsidRPr="000554B8">
        <w:t>i</w:t>
      </w:r>
      <w:r w:rsidRPr="000554B8">
        <w:t xml:space="preserve"> dochodzi do przelewu wierzytelności przysługującej wykonawcy </w:t>
      </w:r>
    </w:p>
    <w:p w14:paraId="7623C73D" w14:textId="33AF42DC" w:rsidR="00C40BDB" w:rsidRDefault="009D218F" w:rsidP="000554B8">
      <w:pPr>
        <w:ind w:firstLine="360"/>
      </w:pPr>
      <w:r w:rsidRPr="00AD5EFF">
        <w:t xml:space="preserve">Do przelewu wierzytelności dochodzi wskutek zawarcia </w:t>
      </w:r>
      <w:r w:rsidR="00035152">
        <w:t xml:space="preserve">przez wykonawcę </w:t>
      </w:r>
      <w:r w:rsidRPr="00AD5EFF">
        <w:t xml:space="preserve">umowy z podmiotem (cesjonariuszem – podwykonawcą), na rzecz którego podmiot dotychczas dysponujący wierzytelnością (cedent – wykonawca) przenosi swoje uprawnienie. </w:t>
      </w:r>
    </w:p>
    <w:p w14:paraId="7805CCC3" w14:textId="77777777" w:rsidR="000554B8" w:rsidRDefault="000554B8" w:rsidP="000554B8">
      <w:pPr>
        <w:ind w:firstLine="360"/>
      </w:pPr>
    </w:p>
    <w:p w14:paraId="5E1E9D12" w14:textId="577C9DEB" w:rsidR="00C40BDB" w:rsidRPr="000554B8" w:rsidRDefault="009D218F" w:rsidP="000554B8">
      <w:pPr>
        <w:pStyle w:val="Nagwek1"/>
        <w:numPr>
          <w:ilvl w:val="0"/>
          <w:numId w:val="3"/>
        </w:numPr>
      </w:pPr>
      <w:r w:rsidRPr="000554B8">
        <w:t xml:space="preserve">Kwestia zgody zamawiającego na przelew wierzytelności przysługującej wykonawcy </w:t>
      </w:r>
    </w:p>
    <w:p w14:paraId="740342DB" w14:textId="77777777" w:rsidR="00A24291" w:rsidRDefault="009D218F" w:rsidP="000554B8">
      <w:pPr>
        <w:ind w:firstLine="360"/>
      </w:pPr>
      <w:r w:rsidRPr="00C40BDB">
        <w:t xml:space="preserve">Zasadniczo, przelew wierzytelności przysługującej wykonawcy z tytułu </w:t>
      </w:r>
      <w:r w:rsidR="00A24291">
        <w:t xml:space="preserve">wynagrodzenia za </w:t>
      </w:r>
      <w:r w:rsidRPr="00C40BDB">
        <w:t>zrealizowan</w:t>
      </w:r>
      <w:r w:rsidR="00A24291">
        <w:t>e</w:t>
      </w:r>
      <w:r w:rsidRPr="00C40BDB">
        <w:t xml:space="preserve"> dostaw</w:t>
      </w:r>
      <w:r w:rsidR="00A24291">
        <w:t>y</w:t>
      </w:r>
      <w:r w:rsidRPr="00C40BDB">
        <w:t>, usług</w:t>
      </w:r>
      <w:r w:rsidR="00A24291">
        <w:t>i</w:t>
      </w:r>
      <w:r w:rsidRPr="00C40BDB">
        <w:t xml:space="preserve"> lub rob</w:t>
      </w:r>
      <w:r w:rsidR="00A24291">
        <w:t>o</w:t>
      </w:r>
      <w:r w:rsidRPr="00C40BDB">
        <w:t>t</w:t>
      </w:r>
      <w:r w:rsidR="00A24291">
        <w:t>y</w:t>
      </w:r>
      <w:r w:rsidRPr="00C40BDB">
        <w:t xml:space="preserve"> budowlan</w:t>
      </w:r>
      <w:r w:rsidR="00A24291">
        <w:t>e</w:t>
      </w:r>
      <w:r w:rsidRPr="00C40BDB">
        <w:t xml:space="preserve">, dokonuje się bez udziału dłużnika (zamawiającego), tj. bez jego zgody. </w:t>
      </w:r>
    </w:p>
    <w:p w14:paraId="222C41D0" w14:textId="103CDED3" w:rsidR="009A51B0" w:rsidRDefault="009D218F" w:rsidP="000554B8">
      <w:pPr>
        <w:ind w:firstLine="360"/>
      </w:pPr>
      <w:r w:rsidRPr="00C40BDB">
        <w:lastRenderedPageBreak/>
        <w:t>Jednakże, zgodnie z zasadą swobody umów</w:t>
      </w:r>
      <w:r w:rsidR="00CA2BA9">
        <w:t xml:space="preserve">, </w:t>
      </w:r>
      <w:r w:rsidRPr="00C40BDB">
        <w:t xml:space="preserve">brak jest przeszkód dla uzależnienia skuteczności przelewu takiej wierzytelności od wyrażenia zgody przez dłużnika (zamawiającego), co w świetle zasady przejrzystości postępowania o udzielenie zamówienia publicznego winno znaleźć wyraz w projektowanych postanowieniach umowy w sprawie zamówienia publicznego, czy też w treści innych dokumentów zamówienia. W świetle art. 509 § 1 KC w zw. z art. 8 ust. 1 ustawy Pzp, przelew wierzytelności może bowiem zostać wyłączony w umowie w sprawie zamówienia publicznego stosownym zastrzeżeniem. </w:t>
      </w:r>
    </w:p>
    <w:p w14:paraId="744F6C66" w14:textId="77777777" w:rsidR="000554B8" w:rsidRDefault="000554B8" w:rsidP="000554B8">
      <w:pPr>
        <w:ind w:firstLine="360"/>
      </w:pPr>
    </w:p>
    <w:p w14:paraId="0A258330" w14:textId="5C2691CA" w:rsidR="000924BE" w:rsidRPr="000924BE" w:rsidRDefault="009D218F" w:rsidP="000554B8">
      <w:pPr>
        <w:pStyle w:val="Nagwek1"/>
        <w:numPr>
          <w:ilvl w:val="0"/>
          <w:numId w:val="3"/>
        </w:numPr>
      </w:pPr>
      <w:r w:rsidRPr="000554B8">
        <w:t>Przelew wierzytelności na rzecz podwykonawcy a treść dokumentów zamówienia</w:t>
      </w:r>
    </w:p>
    <w:p w14:paraId="7CF11C02" w14:textId="6CAB7E9F" w:rsidR="009A51B0" w:rsidRPr="000924BE" w:rsidRDefault="009D218F" w:rsidP="000554B8">
      <w:pPr>
        <w:ind w:firstLine="360"/>
      </w:pPr>
      <w:r w:rsidRPr="000924BE">
        <w:t xml:space="preserve">Mając na uwadze powyższe, w sytuacji w której w dokumentach zamówienia zamawiający: </w:t>
      </w:r>
    </w:p>
    <w:p w14:paraId="66C999E5" w14:textId="33896EF2" w:rsidR="009A51B0" w:rsidRDefault="009D218F" w:rsidP="000554B8">
      <w:r w:rsidRPr="00C40BDB">
        <w:t xml:space="preserve">(-) nie wyłączy przelewu wierzytelności </w:t>
      </w:r>
      <w:r w:rsidR="0080547D">
        <w:t xml:space="preserve">z tytułu wynagrodzenia </w:t>
      </w:r>
      <w:r w:rsidR="00F3270D">
        <w:t xml:space="preserve">przysługującego wykonawcy </w:t>
      </w:r>
      <w:r w:rsidR="00F3270D" w:rsidRPr="00C40BDB">
        <w:t xml:space="preserve">z tytułu zrealizowanych dostaw, usług lub robót budowlanych na podstawie umowy w sprawie zamówienia publicznego </w:t>
      </w:r>
      <w:r w:rsidRPr="00C40BDB">
        <w:t xml:space="preserve">albo </w:t>
      </w:r>
    </w:p>
    <w:p w14:paraId="7D69042E" w14:textId="77777777" w:rsidR="00F3270D" w:rsidRDefault="009D218F" w:rsidP="000554B8">
      <w:r w:rsidRPr="00C40BDB">
        <w:t xml:space="preserve">(-) nie ograniczy możliwości dokonania przelewu </w:t>
      </w:r>
      <w:r w:rsidR="00F3270D">
        <w:t xml:space="preserve">takiej </w:t>
      </w:r>
      <w:r w:rsidRPr="00C40BDB">
        <w:t xml:space="preserve">wierzytelności na rzecz podwykonawcy albo </w:t>
      </w:r>
      <w:r w:rsidR="000924BE">
        <w:t xml:space="preserve">  </w:t>
      </w:r>
    </w:p>
    <w:p w14:paraId="31F82938" w14:textId="41101D2D" w:rsidR="009A51B0" w:rsidRDefault="009D218F" w:rsidP="000554B8">
      <w:r w:rsidRPr="00C40BDB">
        <w:t xml:space="preserve">(-) nie wprowadzi żadnych postanowień dotyczących przelewu </w:t>
      </w:r>
      <w:r w:rsidR="00F3270D">
        <w:t xml:space="preserve">takiej </w:t>
      </w:r>
      <w:r w:rsidRPr="00C40BDB">
        <w:t xml:space="preserve">wierzytelności, </w:t>
      </w:r>
    </w:p>
    <w:p w14:paraId="76BFDCBC" w14:textId="6BBA2BF0" w:rsidR="000924BE" w:rsidRDefault="009D218F" w:rsidP="000554B8">
      <w:pPr>
        <w:ind w:firstLine="426"/>
      </w:pPr>
      <w:r w:rsidRPr="00C40BDB">
        <w:t xml:space="preserve">należy uznać, że przelew </w:t>
      </w:r>
      <w:r w:rsidR="00F3270D">
        <w:t xml:space="preserve">takiej </w:t>
      </w:r>
      <w:r w:rsidRPr="00C40BDB">
        <w:t xml:space="preserve">wierzytelności na rzecz podwykonawcy, jest dopuszczalny. </w:t>
      </w:r>
    </w:p>
    <w:p w14:paraId="2D684809" w14:textId="77777777" w:rsidR="000554B8" w:rsidRDefault="000554B8" w:rsidP="000554B8">
      <w:pPr>
        <w:ind w:firstLine="426"/>
      </w:pPr>
    </w:p>
    <w:p w14:paraId="36FC66C3" w14:textId="2D975C1D" w:rsidR="00710019" w:rsidRPr="000554B8" w:rsidRDefault="009D218F" w:rsidP="000554B8">
      <w:pPr>
        <w:pStyle w:val="Nagwek1"/>
        <w:numPr>
          <w:ilvl w:val="0"/>
          <w:numId w:val="3"/>
        </w:numPr>
      </w:pPr>
      <w:r w:rsidRPr="000554B8">
        <w:t>Skutki zawiadomienia zamawiającego o przelewie</w:t>
      </w:r>
    </w:p>
    <w:p w14:paraId="45147EC2" w14:textId="5E612D1D" w:rsidR="00437B1A" w:rsidRDefault="009D218F" w:rsidP="000554B8">
      <w:pPr>
        <w:ind w:firstLine="360"/>
      </w:pPr>
      <w:r w:rsidRPr="00710019">
        <w:t xml:space="preserve">Dostrzeżenia wymaga, że zgodnie z art. 512 KC, dopóki zbywca nie zawiadomił dłużnika o przelewie, spełnienie świadczenia do rąk poprzedniego wierzyciela ma skutek względem nabywcy, chyba że w chwili spełnienia świadczenia dłużnik wiedział o przelewie. Przepis ten stosuje się odpowiednio do innych czynności prawnych dokonanych między dłużnikiem a poprzednim wierzycielem. </w:t>
      </w:r>
    </w:p>
    <w:p w14:paraId="329E5A2D" w14:textId="69643A11" w:rsidR="000924BE" w:rsidRDefault="009D218F" w:rsidP="000554B8">
      <w:pPr>
        <w:ind w:firstLine="360"/>
      </w:pPr>
      <w:r w:rsidRPr="00710019">
        <w:t xml:space="preserve">Innymi słowy, powyższy przepis wprowadza regułę, zgodnie z którą cedent (wykonawca) zobowiązany jest zawiadomić dłużnika (zamawiającego) o dokonanym przelewie, w przeciwnym wypadku dłużnik (zamawiający) pozostający w uzasadnionym przeświadczeniu o tym, że wierzycielem jest cedent (wykonawca), spełniając świadczenie na jego rzecz doprowadza do wygaszenia swojego długu. Regulacja ta dotyczy również innych czynności prawnych dokonanych między dłużnikiem (zamawiającym) i cedentem (wykonawcą). </w:t>
      </w:r>
    </w:p>
    <w:p w14:paraId="6697B58F" w14:textId="77777777" w:rsidR="000554B8" w:rsidRDefault="000554B8" w:rsidP="000554B8">
      <w:pPr>
        <w:ind w:firstLine="360"/>
      </w:pPr>
    </w:p>
    <w:p w14:paraId="65556777" w14:textId="4E74A206" w:rsidR="000924BE" w:rsidRPr="000554B8" w:rsidRDefault="005861E0" w:rsidP="000554B8">
      <w:pPr>
        <w:pStyle w:val="Nagwek1"/>
        <w:numPr>
          <w:ilvl w:val="0"/>
          <w:numId w:val="3"/>
        </w:numPr>
      </w:pPr>
      <w:r w:rsidRPr="000554B8">
        <w:t>Podsumowanie</w:t>
      </w:r>
      <w:r w:rsidR="009D218F" w:rsidRPr="000554B8">
        <w:t xml:space="preserve"> </w:t>
      </w:r>
    </w:p>
    <w:p w14:paraId="7D3608F2" w14:textId="0DC1E3B1" w:rsidR="000924BE" w:rsidRDefault="009D218F" w:rsidP="000554B8">
      <w:r w:rsidRPr="000924BE">
        <w:rPr>
          <w:b/>
          <w:bCs/>
        </w:rPr>
        <w:t>I.</w:t>
      </w:r>
      <w:r w:rsidR="000554B8">
        <w:t xml:space="preserve"> </w:t>
      </w:r>
      <w:r w:rsidRPr="000924BE">
        <w:t xml:space="preserve">Dopuszczalność i ważność umowy przelewu wierzytelności przysługującej wykonawcy zamówienia publicznego </w:t>
      </w:r>
      <w:r w:rsidR="0057494F">
        <w:t xml:space="preserve">z tytułu </w:t>
      </w:r>
      <w:r w:rsidR="0057494F" w:rsidRPr="00EB29FB">
        <w:t xml:space="preserve">wynagrodzenia za zrealizowane dostawy, usługi lub roboty budowlane </w:t>
      </w:r>
      <w:r w:rsidRPr="00EB29FB">
        <w:t>winna być oceniania po</w:t>
      </w:r>
      <w:r w:rsidR="00581B49">
        <w:t>d</w:t>
      </w:r>
      <w:r w:rsidRPr="00EB29FB">
        <w:t xml:space="preserve"> kątem </w:t>
      </w:r>
      <w:r w:rsidR="00F67837">
        <w:t xml:space="preserve">zapisów umowy </w:t>
      </w:r>
      <w:r w:rsidR="00581B49">
        <w:t>w sprawie</w:t>
      </w:r>
      <w:r w:rsidR="00F67837">
        <w:t xml:space="preserve"> zamówieni</w:t>
      </w:r>
      <w:r w:rsidR="00581B49">
        <w:t>a</w:t>
      </w:r>
      <w:r w:rsidR="00F67837">
        <w:t xml:space="preserve"> publiczne</w:t>
      </w:r>
      <w:r w:rsidR="00581B49">
        <w:t>go</w:t>
      </w:r>
      <w:r w:rsidR="00F67837">
        <w:t xml:space="preserve"> oraz </w:t>
      </w:r>
      <w:r w:rsidRPr="00EB29FB">
        <w:t>wypełnienia przesłanek zawartych</w:t>
      </w:r>
      <w:r w:rsidRPr="000924BE">
        <w:t xml:space="preserve"> w KC. </w:t>
      </w:r>
    </w:p>
    <w:p w14:paraId="1ABA5F62" w14:textId="79A2EF19" w:rsidR="000924BE" w:rsidRDefault="009D218F" w:rsidP="000554B8">
      <w:r w:rsidRPr="000924BE">
        <w:rPr>
          <w:b/>
          <w:bCs/>
        </w:rPr>
        <w:t>II.</w:t>
      </w:r>
      <w:r w:rsidR="000554B8">
        <w:rPr>
          <w:b/>
          <w:bCs/>
        </w:rPr>
        <w:t xml:space="preserve"> </w:t>
      </w:r>
      <w:r w:rsidRPr="000924BE">
        <w:t xml:space="preserve">Właściwość zobowiązania wynikająca z umowy w sprawie zamówienia publicznego nie wyłącza zastosowania przelewu </w:t>
      </w:r>
      <w:r w:rsidR="00CD02F4">
        <w:t xml:space="preserve">takiej </w:t>
      </w:r>
      <w:r w:rsidRPr="000924BE">
        <w:t xml:space="preserve">wierzytelności, gdyż w obrębie zamówień publicznych przelew nie prowadzi do zmiany istoty świadczenia czy też do udzielenia nowego zamówienia. </w:t>
      </w:r>
    </w:p>
    <w:p w14:paraId="73E274FE" w14:textId="7D364B77" w:rsidR="000924BE" w:rsidRDefault="009D218F" w:rsidP="000554B8">
      <w:r w:rsidRPr="000924BE">
        <w:rPr>
          <w:b/>
          <w:bCs/>
        </w:rPr>
        <w:lastRenderedPageBreak/>
        <w:t>III.</w:t>
      </w:r>
      <w:r w:rsidR="000554B8">
        <w:rPr>
          <w:b/>
          <w:bCs/>
        </w:rPr>
        <w:t xml:space="preserve"> </w:t>
      </w:r>
      <w:r w:rsidRPr="000924BE">
        <w:t xml:space="preserve">Mimo że zasadniczo przelew wierzytelności przysługującej wykonawcy </w:t>
      </w:r>
      <w:r w:rsidR="00CD02F4" w:rsidRPr="00CD02F4">
        <w:t>wynagrodzenia za zrealizowane dostawy, usługi lub roboty budowlane</w:t>
      </w:r>
      <w:r w:rsidR="00CD02F4">
        <w:rPr>
          <w:b/>
          <w:bCs/>
        </w:rPr>
        <w:t xml:space="preserve"> </w:t>
      </w:r>
      <w:r w:rsidRPr="000924BE">
        <w:t xml:space="preserve">dokonuje się bez udziału zamawiającego, tj. bez jego zgody, brak jest przeszkód dla uzależnienia skuteczności przelewu takiej wierzytelności od wyrażenia zgody przez zamawiającego. </w:t>
      </w:r>
    </w:p>
    <w:p w14:paraId="47AE32F7" w14:textId="613CAB86" w:rsidR="000924BE" w:rsidRDefault="009D218F" w:rsidP="000554B8">
      <w:r w:rsidRPr="00F208A8">
        <w:rPr>
          <w:b/>
          <w:bCs/>
        </w:rPr>
        <w:t>IV.</w:t>
      </w:r>
      <w:r w:rsidRPr="000924BE">
        <w:t xml:space="preserve"> </w:t>
      </w:r>
      <w:r w:rsidR="000554B8">
        <w:t xml:space="preserve"> </w:t>
      </w:r>
      <w:r w:rsidRPr="000924BE">
        <w:t xml:space="preserve">Wykonawca zobowiązany jest zawiadomić zamawiającego o dokonanym przelewie, w przeciwnym wypadku zamawiający pozostający w uzasadnionym przeświadczeniu o tym, że wierzycielem jest wykonawca, spełniając świadczenie na jego rzecz doprowadza do wygaszenia swojego długu. </w:t>
      </w:r>
    </w:p>
    <w:p w14:paraId="4609E482" w14:textId="17641CB3" w:rsidR="003959FF" w:rsidRPr="000924BE" w:rsidRDefault="003959FF" w:rsidP="000554B8"/>
    <w:sectPr w:rsidR="003959FF" w:rsidRPr="000924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2A39" w14:textId="77777777" w:rsidR="0086443A" w:rsidRDefault="0086443A" w:rsidP="001B6AAC">
      <w:pPr>
        <w:spacing w:after="0" w:line="240" w:lineRule="auto"/>
      </w:pPr>
      <w:r>
        <w:separator/>
      </w:r>
    </w:p>
  </w:endnote>
  <w:endnote w:type="continuationSeparator" w:id="0">
    <w:p w14:paraId="5DD8842C" w14:textId="77777777" w:rsidR="0086443A" w:rsidRDefault="0086443A" w:rsidP="001B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071084"/>
      <w:docPartObj>
        <w:docPartGallery w:val="Page Numbers (Bottom of Page)"/>
        <w:docPartUnique/>
      </w:docPartObj>
    </w:sdtPr>
    <w:sdtContent>
      <w:p w14:paraId="78898A86" w14:textId="756E6C46" w:rsidR="00F208A8" w:rsidRDefault="00F208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D6DE4" w14:textId="77777777" w:rsidR="00F208A8" w:rsidRDefault="00F20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076D" w14:textId="77777777" w:rsidR="0086443A" w:rsidRDefault="0086443A" w:rsidP="001B6AAC">
      <w:pPr>
        <w:spacing w:after="0" w:line="240" w:lineRule="auto"/>
      </w:pPr>
      <w:r>
        <w:separator/>
      </w:r>
    </w:p>
  </w:footnote>
  <w:footnote w:type="continuationSeparator" w:id="0">
    <w:p w14:paraId="121822F0" w14:textId="77777777" w:rsidR="0086443A" w:rsidRDefault="0086443A" w:rsidP="001B6AAC">
      <w:pPr>
        <w:spacing w:after="0" w:line="240" w:lineRule="auto"/>
      </w:pPr>
      <w:r>
        <w:continuationSeparator/>
      </w:r>
    </w:p>
  </w:footnote>
  <w:footnote w:id="1">
    <w:p w14:paraId="66FD20EF" w14:textId="202CF799" w:rsidR="001B6AAC" w:rsidRDefault="001B6A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D0690">
        <w:t xml:space="preserve">Por. </w:t>
      </w:r>
      <w:r>
        <w:t>wyrok Sądu Najwyższego 5 września 2001 r</w:t>
      </w:r>
      <w:r w:rsidR="00B0147B">
        <w:t>.</w:t>
      </w:r>
      <w:r>
        <w:t xml:space="preserve">, sygn. CKN 379/00, </w:t>
      </w:r>
      <w:proofErr w:type="spellStart"/>
      <w:r>
        <w:t>Legalis</w:t>
      </w:r>
      <w:proofErr w:type="spellEnd"/>
      <w:r>
        <w:t xml:space="preserve"> nr 272268.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801DE"/>
    <w:multiLevelType w:val="hybridMultilevel"/>
    <w:tmpl w:val="248C9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248B7"/>
    <w:multiLevelType w:val="hybridMultilevel"/>
    <w:tmpl w:val="443656C6"/>
    <w:lvl w:ilvl="0" w:tplc="42562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7F00"/>
    <w:multiLevelType w:val="hybridMultilevel"/>
    <w:tmpl w:val="7516729C"/>
    <w:lvl w:ilvl="0" w:tplc="9702B99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958496">
    <w:abstractNumId w:val="1"/>
  </w:num>
  <w:num w:numId="2" w16cid:durableId="2024938422">
    <w:abstractNumId w:val="2"/>
  </w:num>
  <w:num w:numId="3" w16cid:durableId="174525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E5"/>
    <w:rsid w:val="00022C67"/>
    <w:rsid w:val="00035152"/>
    <w:rsid w:val="00051D80"/>
    <w:rsid w:val="000554B8"/>
    <w:rsid w:val="000924BE"/>
    <w:rsid w:val="000A42A9"/>
    <w:rsid w:val="000D59AB"/>
    <w:rsid w:val="00115481"/>
    <w:rsid w:val="00121119"/>
    <w:rsid w:val="00131107"/>
    <w:rsid w:val="00154EED"/>
    <w:rsid w:val="001B6AAC"/>
    <w:rsid w:val="001F213F"/>
    <w:rsid w:val="00230E35"/>
    <w:rsid w:val="002E5985"/>
    <w:rsid w:val="00300E4E"/>
    <w:rsid w:val="00313247"/>
    <w:rsid w:val="00314885"/>
    <w:rsid w:val="003828C1"/>
    <w:rsid w:val="00384CFF"/>
    <w:rsid w:val="003959FF"/>
    <w:rsid w:val="003C6B64"/>
    <w:rsid w:val="003D0690"/>
    <w:rsid w:val="0040228D"/>
    <w:rsid w:val="00432F08"/>
    <w:rsid w:val="00437B1A"/>
    <w:rsid w:val="00452193"/>
    <w:rsid w:val="0046203D"/>
    <w:rsid w:val="004B4E85"/>
    <w:rsid w:val="004C1307"/>
    <w:rsid w:val="004D5449"/>
    <w:rsid w:val="004D7CC7"/>
    <w:rsid w:val="005712C9"/>
    <w:rsid w:val="0057494F"/>
    <w:rsid w:val="00581B49"/>
    <w:rsid w:val="005861E0"/>
    <w:rsid w:val="0065460F"/>
    <w:rsid w:val="00667279"/>
    <w:rsid w:val="006839C4"/>
    <w:rsid w:val="006D3195"/>
    <w:rsid w:val="006F490C"/>
    <w:rsid w:val="006F7740"/>
    <w:rsid w:val="00701E40"/>
    <w:rsid w:val="00710019"/>
    <w:rsid w:val="00761212"/>
    <w:rsid w:val="0076336E"/>
    <w:rsid w:val="007F1B20"/>
    <w:rsid w:val="0080547D"/>
    <w:rsid w:val="0086443A"/>
    <w:rsid w:val="008879FA"/>
    <w:rsid w:val="008F2CDC"/>
    <w:rsid w:val="009028E5"/>
    <w:rsid w:val="00941967"/>
    <w:rsid w:val="009812F8"/>
    <w:rsid w:val="009901EB"/>
    <w:rsid w:val="00995C2B"/>
    <w:rsid w:val="009A51B0"/>
    <w:rsid w:val="009D218F"/>
    <w:rsid w:val="009F2537"/>
    <w:rsid w:val="00A24291"/>
    <w:rsid w:val="00A81582"/>
    <w:rsid w:val="00AD5EFF"/>
    <w:rsid w:val="00AD6485"/>
    <w:rsid w:val="00B0147B"/>
    <w:rsid w:val="00B32427"/>
    <w:rsid w:val="00BD75DE"/>
    <w:rsid w:val="00BF0D94"/>
    <w:rsid w:val="00C40BDB"/>
    <w:rsid w:val="00C90216"/>
    <w:rsid w:val="00CA2BA9"/>
    <w:rsid w:val="00CD02F4"/>
    <w:rsid w:val="00CE721A"/>
    <w:rsid w:val="00D32484"/>
    <w:rsid w:val="00E015E7"/>
    <w:rsid w:val="00EA6E4C"/>
    <w:rsid w:val="00EB29FB"/>
    <w:rsid w:val="00F208A8"/>
    <w:rsid w:val="00F3270D"/>
    <w:rsid w:val="00F6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9269"/>
  <w15:chartTrackingRefBased/>
  <w15:docId w15:val="{C494C0E4-0397-48AA-A1D7-BD0FEB5F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4B8"/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4B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1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A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A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A8"/>
  </w:style>
  <w:style w:type="paragraph" w:styleId="Stopka">
    <w:name w:val="footer"/>
    <w:basedOn w:val="Normalny"/>
    <w:link w:val="StopkaZnak"/>
    <w:uiPriority w:val="99"/>
    <w:unhideWhenUsed/>
    <w:rsid w:val="00F2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A8"/>
  </w:style>
  <w:style w:type="paragraph" w:styleId="Poprawka">
    <w:name w:val="Revision"/>
    <w:hidden/>
    <w:uiPriority w:val="99"/>
    <w:semiHidden/>
    <w:rsid w:val="008879F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81B4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554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554B8"/>
    <w:rPr>
      <w:rFonts w:ascii="Lato" w:eastAsiaTheme="majorEastAsia" w:hAnsi="Lato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rzgq4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3259-7A6E-43EE-A8DE-B587AF31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Starzyk Olga</dc:creator>
  <cp:keywords/>
  <dc:description/>
  <cp:lastModifiedBy>Trybusz Michał</cp:lastModifiedBy>
  <cp:revision>2</cp:revision>
  <cp:lastPrinted>2024-01-10T13:37:00Z</cp:lastPrinted>
  <dcterms:created xsi:type="dcterms:W3CDTF">2024-01-22T07:44:00Z</dcterms:created>
  <dcterms:modified xsi:type="dcterms:W3CDTF">2024-01-22T07:44:00Z</dcterms:modified>
</cp:coreProperties>
</file>