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FFE67" w14:textId="44616311" w:rsidR="00BE7CB3" w:rsidRPr="00BE7CB3" w:rsidRDefault="00BE7CB3" w:rsidP="00BE7CB3">
      <w:pPr>
        <w:autoSpaceDE w:val="0"/>
        <w:autoSpaceDN w:val="0"/>
        <w:adjustRightInd w:val="0"/>
        <w:spacing w:before="0" w:after="120" w:line="240" w:lineRule="exact"/>
        <w:jc w:val="right"/>
        <w:rPr>
          <w:rFonts w:ascii="Arial" w:eastAsia="Times New Roman" w:hAnsi="Arial" w:cs="Arial"/>
          <w:b/>
          <w:bCs/>
          <w:kern w:val="28"/>
          <w:sz w:val="20"/>
          <w:szCs w:val="20"/>
        </w:rPr>
      </w:pPr>
      <w:r w:rsidRPr="00BE7CB3">
        <w:rPr>
          <w:rFonts w:ascii="Arial" w:eastAsia="Times New Roman" w:hAnsi="Arial" w:cs="Arial"/>
          <w:b/>
          <w:bCs/>
          <w:kern w:val="28"/>
          <w:sz w:val="20"/>
          <w:szCs w:val="20"/>
        </w:rPr>
        <w:t xml:space="preserve">Załącznik nr </w:t>
      </w:r>
      <w:r w:rsidR="000C146F">
        <w:rPr>
          <w:rFonts w:ascii="Arial" w:eastAsia="Times New Roman" w:hAnsi="Arial" w:cs="Arial"/>
          <w:b/>
          <w:bCs/>
          <w:kern w:val="28"/>
          <w:sz w:val="20"/>
          <w:szCs w:val="20"/>
        </w:rPr>
        <w:t>4</w:t>
      </w:r>
      <w:r w:rsidRPr="00BE7CB3">
        <w:rPr>
          <w:rFonts w:ascii="Arial" w:eastAsia="Times New Roman" w:hAnsi="Arial" w:cs="Arial"/>
          <w:b/>
          <w:bCs/>
          <w:kern w:val="28"/>
          <w:sz w:val="20"/>
          <w:szCs w:val="20"/>
        </w:rPr>
        <w:t xml:space="preserve"> </w:t>
      </w:r>
    </w:p>
    <w:p w14:paraId="6B3B948B" w14:textId="2543DE58" w:rsidR="0045491B" w:rsidRDefault="0045491B" w:rsidP="00EB0E9C">
      <w:pPr>
        <w:tabs>
          <w:tab w:val="left" w:pos="-142"/>
          <w:tab w:val="left" w:pos="9356"/>
        </w:tabs>
        <w:autoSpaceDE w:val="0"/>
        <w:autoSpaceDN w:val="0"/>
        <w:adjustRightInd w:val="0"/>
        <w:spacing w:before="0" w:after="120" w:line="240" w:lineRule="exact"/>
        <w:ind w:left="-142" w:right="-141"/>
        <w:rPr>
          <w:rFonts w:ascii="Arial" w:eastAsia="Times New Roman" w:hAnsi="Arial" w:cs="Arial"/>
          <w:bCs/>
          <w:kern w:val="28"/>
          <w:sz w:val="20"/>
          <w:szCs w:val="20"/>
        </w:rPr>
      </w:pPr>
      <w:r>
        <w:rPr>
          <w:rFonts w:ascii="Arial" w:eastAsia="Times New Roman" w:hAnsi="Arial" w:cs="Arial"/>
          <w:bCs/>
          <w:kern w:val="28"/>
          <w:sz w:val="20"/>
          <w:szCs w:val="20"/>
        </w:rPr>
        <w:t>do Umowy z  dnia………grudnia 2023 r. na realizację programu wieloletniego „Rządowy program wsparcia zadań zarządców infrastruktury kolejowej, w tym w zakresie utrzymania i remontów, do 2028 roku”</w:t>
      </w:r>
      <w:r w:rsidR="001F3174">
        <w:rPr>
          <w:rFonts w:ascii="Arial" w:eastAsia="Times New Roman" w:hAnsi="Arial" w:cs="Arial"/>
          <w:bCs/>
          <w:kern w:val="28"/>
          <w:sz w:val="20"/>
          <w:szCs w:val="20"/>
        </w:rPr>
        <w:t xml:space="preserve">  </w:t>
      </w:r>
    </w:p>
    <w:p w14:paraId="559A033B" w14:textId="21480FC5" w:rsidR="001C29DD" w:rsidRDefault="00825794" w:rsidP="00854E75">
      <w:pPr>
        <w:autoSpaceDE w:val="0"/>
        <w:autoSpaceDN w:val="0"/>
        <w:adjustRightInd w:val="0"/>
        <w:spacing w:before="480" w:after="480"/>
        <w:jc w:val="center"/>
        <w:rPr>
          <w:rFonts w:ascii="Arial Black" w:eastAsia="Times New Roman" w:hAnsi="Arial Black" w:cs="Arial"/>
          <w:bCs/>
          <w:kern w:val="28"/>
          <w:sz w:val="32"/>
          <w:szCs w:val="32"/>
        </w:rPr>
      </w:pPr>
      <w:r w:rsidRPr="00854E75">
        <w:rPr>
          <w:rFonts w:ascii="Arial Black" w:eastAsia="Times New Roman" w:hAnsi="Arial Black" w:cs="Arial"/>
          <w:bCs/>
          <w:kern w:val="28"/>
          <w:sz w:val="32"/>
          <w:szCs w:val="32"/>
        </w:rPr>
        <w:t xml:space="preserve">Wskaźniki </w:t>
      </w:r>
      <w:r w:rsidR="00F77234">
        <w:rPr>
          <w:rFonts w:ascii="Arial Black" w:eastAsia="Times New Roman" w:hAnsi="Arial Black" w:cs="Arial"/>
          <w:bCs/>
          <w:kern w:val="28"/>
          <w:sz w:val="32"/>
          <w:szCs w:val="32"/>
        </w:rPr>
        <w:t>monitorowani</w:t>
      </w:r>
      <w:r w:rsidR="00613EAF">
        <w:rPr>
          <w:rFonts w:ascii="Arial Black" w:eastAsia="Times New Roman" w:hAnsi="Arial Black" w:cs="Arial"/>
          <w:bCs/>
          <w:kern w:val="28"/>
          <w:sz w:val="32"/>
          <w:szCs w:val="32"/>
        </w:rPr>
        <w:t>a</w:t>
      </w:r>
      <w:r w:rsidR="00F77234">
        <w:rPr>
          <w:rFonts w:ascii="Arial Black" w:eastAsia="Times New Roman" w:hAnsi="Arial Black" w:cs="Arial"/>
          <w:bCs/>
          <w:kern w:val="28"/>
          <w:sz w:val="32"/>
          <w:szCs w:val="32"/>
        </w:rPr>
        <w:t xml:space="preserve"> Umowy</w:t>
      </w:r>
      <w:r w:rsidR="00185367">
        <w:rPr>
          <w:rFonts w:ascii="Arial Black" w:eastAsia="Times New Roman" w:hAnsi="Arial Black" w:cs="Arial"/>
          <w:bCs/>
          <w:kern w:val="28"/>
          <w:sz w:val="32"/>
          <w:szCs w:val="32"/>
        </w:rPr>
        <w:br/>
      </w:r>
      <w:r w:rsidR="00F77234">
        <w:rPr>
          <w:rFonts w:ascii="Arial Black" w:eastAsia="Times New Roman" w:hAnsi="Arial Black" w:cs="Arial"/>
          <w:bCs/>
          <w:kern w:val="28"/>
          <w:sz w:val="32"/>
          <w:szCs w:val="32"/>
        </w:rPr>
        <w:t xml:space="preserve">oraz </w:t>
      </w:r>
      <w:r w:rsidRPr="00854E75">
        <w:rPr>
          <w:rFonts w:ascii="Arial Black" w:eastAsia="Times New Roman" w:hAnsi="Arial Black" w:cs="Arial"/>
          <w:bCs/>
          <w:kern w:val="28"/>
          <w:sz w:val="32"/>
          <w:szCs w:val="32"/>
        </w:rPr>
        <w:t>oceny poziomu zarządzania</w:t>
      </w:r>
    </w:p>
    <w:p w14:paraId="107AC428" w14:textId="500A430A" w:rsidR="00825794" w:rsidRPr="00871546" w:rsidRDefault="001C29DD" w:rsidP="001C29DD">
      <w:pPr>
        <w:autoSpaceDE w:val="0"/>
        <w:autoSpaceDN w:val="0"/>
        <w:adjustRightInd w:val="0"/>
        <w:spacing w:before="480" w:after="480"/>
        <w:jc w:val="left"/>
        <w:rPr>
          <w:rFonts w:ascii="Arial Black" w:eastAsia="Times New Roman" w:hAnsi="Arial Black" w:cs="Arial"/>
          <w:bCs/>
          <w:kern w:val="28"/>
          <w:sz w:val="24"/>
          <w:szCs w:val="24"/>
          <w:u w:val="single"/>
        </w:rPr>
      </w:pPr>
      <w:r w:rsidRPr="00871546">
        <w:rPr>
          <w:rFonts w:ascii="Arial Black" w:eastAsia="Times New Roman" w:hAnsi="Arial Black" w:cs="Arial"/>
          <w:bCs/>
          <w:kern w:val="28"/>
          <w:sz w:val="24"/>
          <w:szCs w:val="24"/>
          <w:u w:val="single"/>
        </w:rPr>
        <w:t>Postanowienia ogólne</w:t>
      </w:r>
    </w:p>
    <w:p w14:paraId="50C3DE37" w14:textId="77777777" w:rsidR="00157C8F" w:rsidRDefault="00157C8F" w:rsidP="008B7132">
      <w:pPr>
        <w:numPr>
          <w:ilvl w:val="0"/>
          <w:numId w:val="3"/>
        </w:numPr>
        <w:ind w:left="425" w:hanging="425"/>
        <w:rPr>
          <w:rFonts w:ascii="Arial" w:hAnsi="Arial" w:cs="Arial"/>
        </w:rPr>
      </w:pPr>
      <w:r>
        <w:rPr>
          <w:rFonts w:ascii="Arial" w:hAnsi="Arial" w:cs="Arial"/>
        </w:rPr>
        <w:t xml:space="preserve">Zarządca </w:t>
      </w:r>
      <w:r w:rsidR="00F77234">
        <w:rPr>
          <w:rFonts w:ascii="Arial" w:hAnsi="Arial" w:cs="Arial"/>
        </w:rPr>
        <w:t>zobowiązany jest do objęcia systemem monitorowania wskaźników</w:t>
      </w:r>
      <w:r>
        <w:rPr>
          <w:rFonts w:ascii="Arial" w:hAnsi="Arial" w:cs="Arial"/>
        </w:rPr>
        <w:t>, dokonywani</w:t>
      </w:r>
      <w:r w:rsidR="004944BC">
        <w:rPr>
          <w:rFonts w:ascii="Arial" w:hAnsi="Arial" w:cs="Arial"/>
        </w:rPr>
        <w:t>a</w:t>
      </w:r>
      <w:r w:rsidR="003B6FAC">
        <w:rPr>
          <w:rFonts w:ascii="Arial" w:hAnsi="Arial" w:cs="Arial"/>
        </w:rPr>
        <w:t xml:space="preserve"> ocen poziomu realizacji </w:t>
      </w:r>
      <w:r>
        <w:rPr>
          <w:rFonts w:ascii="Arial" w:hAnsi="Arial" w:cs="Arial"/>
        </w:rPr>
        <w:t>oraz</w:t>
      </w:r>
      <w:r w:rsidR="004944BC">
        <w:rPr>
          <w:rFonts w:ascii="Arial" w:hAnsi="Arial" w:cs="Arial"/>
        </w:rPr>
        <w:t> </w:t>
      </w:r>
      <w:r>
        <w:rPr>
          <w:rFonts w:ascii="Arial" w:hAnsi="Arial" w:cs="Arial"/>
        </w:rPr>
        <w:t>ewaluacji bieżącej Umowy.</w:t>
      </w:r>
    </w:p>
    <w:p w14:paraId="0530B9DA" w14:textId="77777777" w:rsidR="004944BC" w:rsidRDefault="000876B8" w:rsidP="008B7132">
      <w:pPr>
        <w:numPr>
          <w:ilvl w:val="0"/>
          <w:numId w:val="3"/>
        </w:numPr>
        <w:ind w:left="425" w:hanging="425"/>
        <w:rPr>
          <w:rFonts w:ascii="Arial" w:hAnsi="Arial" w:cs="Arial"/>
        </w:rPr>
      </w:pPr>
      <w:r>
        <w:rPr>
          <w:rFonts w:ascii="Arial" w:hAnsi="Arial" w:cs="Arial"/>
        </w:rPr>
        <w:t>M</w:t>
      </w:r>
      <w:r w:rsidRPr="000876B8">
        <w:rPr>
          <w:rFonts w:ascii="Arial" w:hAnsi="Arial" w:cs="Arial"/>
        </w:rPr>
        <w:t>onitorowan</w:t>
      </w:r>
      <w:r>
        <w:rPr>
          <w:rFonts w:ascii="Arial" w:hAnsi="Arial" w:cs="Arial"/>
        </w:rPr>
        <w:t>i</w:t>
      </w:r>
      <w:r w:rsidRPr="000876B8">
        <w:rPr>
          <w:rFonts w:ascii="Arial" w:hAnsi="Arial" w:cs="Arial"/>
        </w:rPr>
        <w:t xml:space="preserve">e </w:t>
      </w:r>
      <w:r>
        <w:rPr>
          <w:rFonts w:ascii="Arial" w:hAnsi="Arial" w:cs="Arial"/>
        </w:rPr>
        <w:t xml:space="preserve">prowadzone jest </w:t>
      </w:r>
      <w:r w:rsidRPr="000876B8">
        <w:rPr>
          <w:rFonts w:ascii="Arial" w:hAnsi="Arial" w:cs="Arial"/>
        </w:rPr>
        <w:t xml:space="preserve">w całym okresie </w:t>
      </w:r>
      <w:r w:rsidR="00187F5B">
        <w:rPr>
          <w:rFonts w:ascii="Arial" w:hAnsi="Arial" w:cs="Arial"/>
        </w:rPr>
        <w:t>obowiązywania Umowy</w:t>
      </w:r>
      <w:r w:rsidR="008E1690">
        <w:rPr>
          <w:rFonts w:ascii="Arial" w:hAnsi="Arial" w:cs="Arial"/>
        </w:rPr>
        <w:t>.</w:t>
      </w:r>
    </w:p>
    <w:p w14:paraId="395699D1" w14:textId="77777777" w:rsidR="00B46603" w:rsidRDefault="000876B8" w:rsidP="004944BC">
      <w:pPr>
        <w:ind w:left="425"/>
        <w:rPr>
          <w:rFonts w:ascii="Arial" w:hAnsi="Arial" w:cs="Arial"/>
        </w:rPr>
      </w:pPr>
      <w:r w:rsidRPr="00F77234">
        <w:rPr>
          <w:rFonts w:ascii="Arial" w:hAnsi="Arial" w:cs="Arial"/>
        </w:rPr>
        <w:t xml:space="preserve">Zarządca przedstawia </w:t>
      </w:r>
      <w:r w:rsidR="00187F5B">
        <w:rPr>
          <w:rFonts w:ascii="Arial" w:hAnsi="Arial" w:cs="Arial"/>
        </w:rPr>
        <w:t>Ministrowi</w:t>
      </w:r>
      <w:r w:rsidRPr="00F77234">
        <w:rPr>
          <w:rFonts w:ascii="Arial" w:hAnsi="Arial" w:cs="Arial"/>
        </w:rPr>
        <w:t xml:space="preserve"> informację o wielkościach </w:t>
      </w:r>
      <w:r w:rsidR="00B46603">
        <w:rPr>
          <w:rFonts w:ascii="Arial" w:hAnsi="Arial" w:cs="Arial"/>
        </w:rPr>
        <w:t xml:space="preserve">uzyskiwanych wskaźników </w:t>
      </w:r>
      <w:r w:rsidRPr="00F77234">
        <w:rPr>
          <w:rFonts w:ascii="Arial" w:hAnsi="Arial" w:cs="Arial"/>
        </w:rPr>
        <w:t>w</w:t>
      </w:r>
      <w:r w:rsidR="004944BC">
        <w:rPr>
          <w:rFonts w:ascii="Arial" w:hAnsi="Arial" w:cs="Arial"/>
        </w:rPr>
        <w:t> </w:t>
      </w:r>
      <w:r>
        <w:rPr>
          <w:rFonts w:ascii="Arial" w:hAnsi="Arial" w:cs="Arial"/>
        </w:rPr>
        <w:t>raporcie rocznym</w:t>
      </w:r>
      <w:r w:rsidRPr="00F77234">
        <w:rPr>
          <w:rFonts w:ascii="Arial" w:hAnsi="Arial" w:cs="Arial"/>
        </w:rPr>
        <w:t xml:space="preserve"> z realizacji </w:t>
      </w:r>
      <w:r w:rsidRPr="000876B8">
        <w:rPr>
          <w:rFonts w:ascii="Arial" w:hAnsi="Arial" w:cs="Arial"/>
        </w:rPr>
        <w:t>Umowy</w:t>
      </w:r>
      <w:r w:rsidRPr="00F77234">
        <w:rPr>
          <w:rFonts w:ascii="Arial" w:hAnsi="Arial" w:cs="Arial"/>
        </w:rPr>
        <w:t xml:space="preserve"> za rok poprzedni, odnosząc się do odchyleń od</w:t>
      </w:r>
      <w:r w:rsidR="004944BC">
        <w:rPr>
          <w:rFonts w:ascii="Arial" w:hAnsi="Arial" w:cs="Arial"/>
        </w:rPr>
        <w:t> </w:t>
      </w:r>
      <w:r w:rsidRPr="00F77234">
        <w:rPr>
          <w:rFonts w:ascii="Arial" w:hAnsi="Arial" w:cs="Arial"/>
        </w:rPr>
        <w:t>wartości prognozowanych</w:t>
      </w:r>
      <w:r w:rsidR="00B46603">
        <w:rPr>
          <w:rFonts w:ascii="Arial" w:hAnsi="Arial" w:cs="Arial"/>
        </w:rPr>
        <w:t xml:space="preserve"> na dany rok, </w:t>
      </w:r>
      <w:r w:rsidR="004944BC">
        <w:rPr>
          <w:rFonts w:ascii="Arial" w:hAnsi="Arial" w:cs="Arial"/>
        </w:rPr>
        <w:t xml:space="preserve">występujących trendów zmian na przestrzeni lat, w tym także od wartości </w:t>
      </w:r>
      <w:r w:rsidR="00B46603">
        <w:rPr>
          <w:rFonts w:ascii="Arial" w:hAnsi="Arial" w:cs="Arial"/>
        </w:rPr>
        <w:t xml:space="preserve">określonych jako </w:t>
      </w:r>
      <w:r w:rsidR="00F32FE6">
        <w:rPr>
          <w:rFonts w:ascii="Arial" w:hAnsi="Arial" w:cs="Arial"/>
        </w:rPr>
        <w:t>bazowe</w:t>
      </w:r>
      <w:r w:rsidR="00B46603">
        <w:rPr>
          <w:rFonts w:ascii="Arial" w:hAnsi="Arial" w:cs="Arial"/>
        </w:rPr>
        <w:t>.</w:t>
      </w:r>
    </w:p>
    <w:p w14:paraId="4A57B48D" w14:textId="77777777" w:rsidR="004944BC" w:rsidRDefault="00B46603" w:rsidP="008B7132">
      <w:pPr>
        <w:numPr>
          <w:ilvl w:val="0"/>
          <w:numId w:val="3"/>
        </w:numPr>
        <w:ind w:left="425" w:hanging="425"/>
        <w:rPr>
          <w:rFonts w:ascii="Arial" w:hAnsi="Arial" w:cs="Arial"/>
        </w:rPr>
      </w:pPr>
      <w:r>
        <w:rPr>
          <w:rFonts w:ascii="Arial" w:hAnsi="Arial" w:cs="Arial"/>
        </w:rPr>
        <w:t>Lista wskaźników według niniejszego załącznika</w:t>
      </w:r>
      <w:r w:rsidR="004944BC">
        <w:rPr>
          <w:rFonts w:ascii="Arial" w:hAnsi="Arial" w:cs="Arial"/>
        </w:rPr>
        <w:t xml:space="preserve"> nie ma charakteru zamkniętego.</w:t>
      </w:r>
    </w:p>
    <w:p w14:paraId="21B665F5" w14:textId="77777777" w:rsidR="001D3E8E" w:rsidRDefault="00B46603" w:rsidP="004944BC">
      <w:pPr>
        <w:ind w:left="425"/>
        <w:rPr>
          <w:rFonts w:ascii="Arial" w:hAnsi="Arial" w:cs="Arial"/>
        </w:rPr>
      </w:pPr>
      <w:r>
        <w:rPr>
          <w:rFonts w:ascii="Arial" w:hAnsi="Arial" w:cs="Arial"/>
        </w:rPr>
        <w:t>Strony Umowy w ramach uzgodnień wzajemnych mogą wprowadzić jej uzupełnienie</w:t>
      </w:r>
      <w:r w:rsidR="00F2586E">
        <w:rPr>
          <w:rFonts w:ascii="Arial" w:hAnsi="Arial" w:cs="Arial"/>
        </w:rPr>
        <w:t>, w </w:t>
      </w:r>
      <w:r w:rsidR="00CD5992" w:rsidRPr="00871546">
        <w:rPr>
          <w:rFonts w:ascii="Arial" w:hAnsi="Arial" w:cs="Arial"/>
        </w:rPr>
        <w:t xml:space="preserve">formie aneksu do </w:t>
      </w:r>
      <w:r w:rsidR="0010023F" w:rsidRPr="00871546">
        <w:rPr>
          <w:rFonts w:ascii="Arial" w:hAnsi="Arial" w:cs="Arial"/>
        </w:rPr>
        <w:t>Umowy</w:t>
      </w:r>
      <w:r w:rsidRPr="00871546">
        <w:rPr>
          <w:rFonts w:ascii="Arial" w:hAnsi="Arial" w:cs="Arial"/>
        </w:rPr>
        <w:t xml:space="preserve">. </w:t>
      </w:r>
      <w:r w:rsidR="00CD5992" w:rsidRPr="00871546">
        <w:rPr>
          <w:rFonts w:ascii="Arial" w:hAnsi="Arial" w:cs="Arial"/>
        </w:rPr>
        <w:t>W tej formie</w:t>
      </w:r>
      <w:r w:rsidR="000044D3" w:rsidRPr="00871546">
        <w:rPr>
          <w:rFonts w:ascii="Arial" w:hAnsi="Arial" w:cs="Arial"/>
        </w:rPr>
        <w:t xml:space="preserve"> </w:t>
      </w:r>
      <w:r w:rsidR="000044D3">
        <w:rPr>
          <w:rFonts w:ascii="Arial" w:hAnsi="Arial" w:cs="Arial"/>
        </w:rPr>
        <w:t>m</w:t>
      </w:r>
      <w:r>
        <w:rPr>
          <w:rFonts w:ascii="Arial" w:hAnsi="Arial" w:cs="Arial"/>
        </w:rPr>
        <w:t xml:space="preserve">ogą również ograniczyć </w:t>
      </w:r>
      <w:r w:rsidR="001D3E8E">
        <w:rPr>
          <w:rFonts w:ascii="Arial" w:hAnsi="Arial" w:cs="Arial"/>
        </w:rPr>
        <w:t>listę do wybranych wskaźników</w:t>
      </w:r>
      <w:r w:rsidR="008E1690">
        <w:rPr>
          <w:rFonts w:ascii="Arial" w:hAnsi="Arial" w:cs="Arial"/>
        </w:rPr>
        <w:t>.</w:t>
      </w:r>
    </w:p>
    <w:p w14:paraId="6D722E95" w14:textId="77777777" w:rsidR="009413C9" w:rsidRDefault="001D3E8E" w:rsidP="008B7132">
      <w:pPr>
        <w:numPr>
          <w:ilvl w:val="0"/>
          <w:numId w:val="3"/>
        </w:numPr>
        <w:ind w:left="425" w:hanging="425"/>
        <w:rPr>
          <w:rFonts w:ascii="Arial" w:hAnsi="Arial" w:cs="Arial"/>
        </w:rPr>
      </w:pPr>
      <w:r>
        <w:rPr>
          <w:rFonts w:ascii="Arial" w:hAnsi="Arial" w:cs="Arial"/>
        </w:rPr>
        <w:t>Załącznik niniejszy określa</w:t>
      </w:r>
      <w:r w:rsidR="009413C9">
        <w:rPr>
          <w:rFonts w:ascii="Arial" w:hAnsi="Arial" w:cs="Arial"/>
        </w:rPr>
        <w:t>:</w:t>
      </w:r>
    </w:p>
    <w:p w14:paraId="50720E60" w14:textId="77777777" w:rsidR="009413C9" w:rsidRDefault="007B2247" w:rsidP="008B7132">
      <w:pPr>
        <w:numPr>
          <w:ilvl w:val="1"/>
          <w:numId w:val="4"/>
        </w:numPr>
        <w:ind w:left="850" w:hanging="425"/>
        <w:rPr>
          <w:rFonts w:ascii="Arial" w:hAnsi="Arial" w:cs="Arial"/>
        </w:rPr>
      </w:pPr>
      <w:r>
        <w:rPr>
          <w:rFonts w:ascii="Arial" w:hAnsi="Arial" w:cs="Arial"/>
        </w:rPr>
        <w:t xml:space="preserve">definicje </w:t>
      </w:r>
      <w:r w:rsidR="001D3E8E">
        <w:rPr>
          <w:rFonts w:ascii="Arial" w:hAnsi="Arial" w:cs="Arial"/>
        </w:rPr>
        <w:t>wskaźnik</w:t>
      </w:r>
      <w:r>
        <w:rPr>
          <w:rFonts w:ascii="Arial" w:hAnsi="Arial" w:cs="Arial"/>
        </w:rPr>
        <w:t>ów</w:t>
      </w:r>
      <w:r w:rsidR="0023126E">
        <w:rPr>
          <w:rFonts w:ascii="Arial" w:hAnsi="Arial" w:cs="Arial"/>
        </w:rPr>
        <w:t>;</w:t>
      </w:r>
    </w:p>
    <w:p w14:paraId="429E69A4" w14:textId="77777777" w:rsidR="00CD5A6F" w:rsidRDefault="001D3E8E" w:rsidP="008B7132">
      <w:pPr>
        <w:numPr>
          <w:ilvl w:val="1"/>
          <w:numId w:val="4"/>
        </w:numPr>
        <w:ind w:left="850" w:hanging="425"/>
        <w:rPr>
          <w:rFonts w:ascii="Arial" w:hAnsi="Arial" w:cs="Arial"/>
        </w:rPr>
      </w:pPr>
      <w:r>
        <w:rPr>
          <w:rFonts w:ascii="Arial" w:hAnsi="Arial" w:cs="Arial"/>
        </w:rPr>
        <w:t xml:space="preserve">wielkości wskaźników </w:t>
      </w:r>
      <w:r w:rsidR="00CD5A6F">
        <w:rPr>
          <w:rFonts w:ascii="Arial" w:hAnsi="Arial" w:cs="Arial"/>
        </w:rPr>
        <w:t xml:space="preserve">uzyskanych w roku </w:t>
      </w:r>
      <w:r w:rsidR="00F32FE6">
        <w:rPr>
          <w:rFonts w:ascii="Arial" w:hAnsi="Arial" w:cs="Arial"/>
        </w:rPr>
        <w:t>bazowym</w:t>
      </w:r>
      <w:r w:rsidR="00CD5A6F">
        <w:rPr>
          <w:rFonts w:ascii="Arial" w:hAnsi="Arial" w:cs="Arial"/>
        </w:rPr>
        <w:t xml:space="preserve"> oraz </w:t>
      </w:r>
      <w:r>
        <w:rPr>
          <w:rFonts w:ascii="Arial" w:hAnsi="Arial" w:cs="Arial"/>
        </w:rPr>
        <w:t>do uzyskania przez Zarządcę</w:t>
      </w:r>
      <w:r w:rsidR="00CD5A6F">
        <w:rPr>
          <w:rFonts w:ascii="Arial" w:hAnsi="Arial" w:cs="Arial"/>
        </w:rPr>
        <w:t xml:space="preserve"> w</w:t>
      </w:r>
      <w:r w:rsidR="004944BC">
        <w:rPr>
          <w:rFonts w:ascii="Arial" w:hAnsi="Arial" w:cs="Arial"/>
        </w:rPr>
        <w:t> </w:t>
      </w:r>
      <w:r w:rsidR="007B2247">
        <w:rPr>
          <w:rFonts w:ascii="Arial" w:hAnsi="Arial" w:cs="Arial"/>
        </w:rPr>
        <w:t xml:space="preserve">toku </w:t>
      </w:r>
      <w:r w:rsidR="00CD5A6F">
        <w:rPr>
          <w:rFonts w:ascii="Arial" w:hAnsi="Arial" w:cs="Arial"/>
        </w:rPr>
        <w:t>realizacji Umowy</w:t>
      </w:r>
      <w:r w:rsidR="0023126E">
        <w:rPr>
          <w:rFonts w:ascii="Arial" w:hAnsi="Arial" w:cs="Arial"/>
        </w:rPr>
        <w:t>;</w:t>
      </w:r>
    </w:p>
    <w:p w14:paraId="5247A094" w14:textId="77777777" w:rsidR="00CD5A6F" w:rsidRDefault="00CD5A6F" w:rsidP="008B7132">
      <w:pPr>
        <w:numPr>
          <w:ilvl w:val="1"/>
          <w:numId w:val="4"/>
        </w:numPr>
        <w:ind w:left="850" w:hanging="425"/>
        <w:rPr>
          <w:rFonts w:ascii="Arial" w:hAnsi="Arial" w:cs="Arial"/>
        </w:rPr>
      </w:pPr>
      <w:r>
        <w:rPr>
          <w:rFonts w:ascii="Arial" w:hAnsi="Arial" w:cs="Arial"/>
        </w:rPr>
        <w:t xml:space="preserve">sposoby określania </w:t>
      </w:r>
      <w:r w:rsidR="003B0C61">
        <w:rPr>
          <w:rFonts w:ascii="Arial" w:hAnsi="Arial" w:cs="Arial"/>
        </w:rPr>
        <w:t xml:space="preserve">wartości </w:t>
      </w:r>
      <w:r>
        <w:rPr>
          <w:rFonts w:ascii="Arial" w:hAnsi="Arial" w:cs="Arial"/>
        </w:rPr>
        <w:t>wskaźników, źródła danych do ich wyliczeń oraz inne obowiązujące w tym zakresie warunki.</w:t>
      </w:r>
    </w:p>
    <w:p w14:paraId="20E82C1A" w14:textId="77777777" w:rsidR="006A1478" w:rsidRDefault="004944BC" w:rsidP="008B7132">
      <w:pPr>
        <w:numPr>
          <w:ilvl w:val="0"/>
          <w:numId w:val="3"/>
        </w:numPr>
        <w:ind w:left="425" w:hanging="425"/>
        <w:rPr>
          <w:rFonts w:ascii="Arial" w:hAnsi="Arial" w:cs="Arial"/>
        </w:rPr>
      </w:pPr>
      <w:r w:rsidRPr="00C859DE">
        <w:rPr>
          <w:rFonts w:ascii="Arial" w:hAnsi="Arial" w:cs="Arial"/>
        </w:rPr>
        <w:t>Zarządca, zgodnie z</w:t>
      </w:r>
      <w:r w:rsidR="00D06DD6" w:rsidRPr="00C859DE">
        <w:rPr>
          <w:rFonts w:ascii="Arial" w:hAnsi="Arial" w:cs="Arial"/>
        </w:rPr>
        <w:t> </w:t>
      </w:r>
      <w:r w:rsidRPr="00C859DE">
        <w:rPr>
          <w:rFonts w:ascii="Arial" w:hAnsi="Arial" w:cs="Arial"/>
        </w:rPr>
        <w:t>postanowieniami punktu 8.2.</w:t>
      </w:r>
      <w:r w:rsidR="00FC1B57">
        <w:rPr>
          <w:rFonts w:ascii="Arial" w:hAnsi="Arial" w:cs="Arial"/>
        </w:rPr>
        <w:t>4</w:t>
      </w:r>
      <w:r w:rsidRPr="00C859DE">
        <w:rPr>
          <w:rFonts w:ascii="Arial" w:hAnsi="Arial" w:cs="Arial"/>
        </w:rPr>
        <w:t>. Umowy, zobowiązany jest d</w:t>
      </w:r>
      <w:r w:rsidR="00CD5A6F" w:rsidRPr="00C859DE">
        <w:rPr>
          <w:rFonts w:ascii="Arial" w:hAnsi="Arial" w:cs="Arial"/>
        </w:rPr>
        <w:t>o odniesienia</w:t>
      </w:r>
      <w:r w:rsidR="00CD5A6F">
        <w:rPr>
          <w:rFonts w:ascii="Arial" w:hAnsi="Arial" w:cs="Arial"/>
        </w:rPr>
        <w:t xml:space="preserve"> się do </w:t>
      </w:r>
      <w:r w:rsidR="009518B3">
        <w:rPr>
          <w:rFonts w:ascii="Arial" w:hAnsi="Arial" w:cs="Arial"/>
        </w:rPr>
        <w:t xml:space="preserve">uzyskanych wielkości wskaźników </w:t>
      </w:r>
      <w:r w:rsidR="00CD5A6F">
        <w:rPr>
          <w:rFonts w:ascii="Arial" w:hAnsi="Arial" w:cs="Arial"/>
        </w:rPr>
        <w:t>w</w:t>
      </w:r>
      <w:r w:rsidR="00D06DD6">
        <w:rPr>
          <w:rFonts w:ascii="Arial" w:hAnsi="Arial" w:cs="Arial"/>
        </w:rPr>
        <w:t> </w:t>
      </w:r>
      <w:r w:rsidR="00CD5A6F">
        <w:rPr>
          <w:rFonts w:ascii="Arial" w:hAnsi="Arial" w:cs="Arial"/>
        </w:rPr>
        <w:t>raporcie rocznym</w:t>
      </w:r>
      <w:r>
        <w:rPr>
          <w:rFonts w:ascii="Arial" w:hAnsi="Arial" w:cs="Arial"/>
        </w:rPr>
        <w:t>.</w:t>
      </w:r>
    </w:p>
    <w:p w14:paraId="05F0AF3A" w14:textId="77777777" w:rsidR="006A1478" w:rsidRDefault="006A1478" w:rsidP="008B7132">
      <w:pPr>
        <w:numPr>
          <w:ilvl w:val="0"/>
          <w:numId w:val="3"/>
        </w:numPr>
        <w:ind w:left="425" w:hanging="425"/>
        <w:rPr>
          <w:rFonts w:ascii="Arial" w:hAnsi="Arial" w:cs="Arial"/>
        </w:rPr>
      </w:pPr>
      <w:r>
        <w:rPr>
          <w:rFonts w:ascii="Arial" w:hAnsi="Arial" w:cs="Arial"/>
        </w:rPr>
        <w:t xml:space="preserve">Wielkości wskaźników zaprognozowane do uzyskania </w:t>
      </w:r>
      <w:r w:rsidR="001C29DD">
        <w:rPr>
          <w:rFonts w:ascii="Arial" w:hAnsi="Arial" w:cs="Arial"/>
        </w:rPr>
        <w:t xml:space="preserve">w </w:t>
      </w:r>
      <w:r>
        <w:rPr>
          <w:rFonts w:ascii="Arial" w:hAnsi="Arial" w:cs="Arial"/>
        </w:rPr>
        <w:t xml:space="preserve">kolejnych latach obowiązywania Umowy – w ramach wzajemnych uzgodnień Stron – mogą być skorygowane w rezultacie zaistnienia nowych okoliczności, </w:t>
      </w:r>
      <w:r w:rsidR="008E1690">
        <w:rPr>
          <w:rFonts w:ascii="Arial" w:hAnsi="Arial" w:cs="Arial"/>
        </w:rPr>
        <w:t>zmian sposobów wyliczania będących rezultatem zmiany systemów pozyskiwania i magazynowania danych bazowych</w:t>
      </w:r>
      <w:r w:rsidR="009518B3">
        <w:rPr>
          <w:rFonts w:ascii="Arial" w:hAnsi="Arial" w:cs="Arial"/>
        </w:rPr>
        <w:t xml:space="preserve"> lub</w:t>
      </w:r>
      <w:r w:rsidR="008E1690">
        <w:rPr>
          <w:rFonts w:ascii="Arial" w:hAnsi="Arial" w:cs="Arial"/>
        </w:rPr>
        <w:t xml:space="preserve"> </w:t>
      </w:r>
      <w:r>
        <w:rPr>
          <w:rFonts w:ascii="Arial" w:hAnsi="Arial" w:cs="Arial"/>
        </w:rPr>
        <w:t>ujawnienia nowych potrzeb.</w:t>
      </w:r>
    </w:p>
    <w:p w14:paraId="7D7EE602" w14:textId="53E84C19" w:rsidR="00382C10" w:rsidRPr="00382C10" w:rsidRDefault="00382C10" w:rsidP="00E755ED">
      <w:pPr>
        <w:numPr>
          <w:ilvl w:val="0"/>
          <w:numId w:val="3"/>
        </w:numPr>
        <w:rPr>
          <w:rFonts w:ascii="Arial" w:hAnsi="Arial" w:cs="Arial"/>
          <w:bCs/>
        </w:rPr>
      </w:pPr>
      <w:r>
        <w:rPr>
          <w:rFonts w:ascii="Arial" w:hAnsi="Arial" w:cs="Arial"/>
        </w:rPr>
        <w:t xml:space="preserve">Wskaźnik obligatoryjny – </w:t>
      </w:r>
      <w:r>
        <w:rPr>
          <w:rFonts w:ascii="Arial" w:hAnsi="Arial" w:cs="Arial"/>
          <w:bCs/>
        </w:rPr>
        <w:t>w</w:t>
      </w:r>
      <w:r w:rsidRPr="00382C10">
        <w:rPr>
          <w:rFonts w:ascii="Arial" w:hAnsi="Arial" w:cs="Arial"/>
          <w:bCs/>
        </w:rPr>
        <w:t>skaźnik</w:t>
      </w:r>
      <w:r w:rsidR="00EB1221">
        <w:rPr>
          <w:rFonts w:ascii="Arial" w:hAnsi="Arial" w:cs="Arial"/>
          <w:bCs/>
        </w:rPr>
        <w:t xml:space="preserve"> </w:t>
      </w:r>
      <w:r w:rsidR="009D696B">
        <w:rPr>
          <w:rFonts w:ascii="Arial" w:hAnsi="Arial" w:cs="Arial"/>
          <w:bCs/>
        </w:rPr>
        <w:t>stanowiący zadanie planowe</w:t>
      </w:r>
      <w:r w:rsidRPr="00382C10">
        <w:rPr>
          <w:rFonts w:ascii="Arial" w:hAnsi="Arial" w:cs="Arial"/>
          <w:bCs/>
        </w:rPr>
        <w:t>, któr</w:t>
      </w:r>
      <w:r>
        <w:rPr>
          <w:rFonts w:ascii="Arial" w:hAnsi="Arial" w:cs="Arial"/>
          <w:bCs/>
        </w:rPr>
        <w:t>ego</w:t>
      </w:r>
      <w:r w:rsidRPr="00382C10">
        <w:rPr>
          <w:rFonts w:ascii="Arial" w:hAnsi="Arial" w:cs="Arial"/>
          <w:bCs/>
        </w:rPr>
        <w:t xml:space="preserve"> wartość Zarządca zobowiązany jest uzyska</w:t>
      </w:r>
      <w:r>
        <w:rPr>
          <w:rFonts w:ascii="Arial" w:hAnsi="Arial" w:cs="Arial"/>
          <w:bCs/>
        </w:rPr>
        <w:t>ć w okresie obowiązywania Umowy</w:t>
      </w:r>
      <w:r w:rsidR="009D696B">
        <w:rPr>
          <w:rFonts w:ascii="Arial" w:hAnsi="Arial" w:cs="Arial"/>
          <w:bCs/>
        </w:rPr>
        <w:t xml:space="preserve"> i który </w:t>
      </w:r>
      <w:r w:rsidR="009D696B" w:rsidRPr="009D696B">
        <w:rPr>
          <w:rFonts w:ascii="Arial" w:hAnsi="Arial" w:cs="Arial"/>
          <w:bCs/>
        </w:rPr>
        <w:t xml:space="preserve">podlega rozliczaniu </w:t>
      </w:r>
      <w:r w:rsidR="00910628">
        <w:rPr>
          <w:rFonts w:ascii="Arial" w:hAnsi="Arial" w:cs="Arial"/>
          <w:bCs/>
        </w:rPr>
        <w:br/>
      </w:r>
      <w:r w:rsidR="009D696B" w:rsidRPr="009D696B">
        <w:rPr>
          <w:rFonts w:ascii="Arial" w:hAnsi="Arial" w:cs="Arial"/>
          <w:bCs/>
        </w:rPr>
        <w:t xml:space="preserve">w Karcie Oceny działalności Zarządcy, o której mowa </w:t>
      </w:r>
      <w:r w:rsidR="00E755ED">
        <w:rPr>
          <w:rFonts w:ascii="Arial" w:hAnsi="Arial" w:cs="Arial"/>
          <w:bCs/>
        </w:rPr>
        <w:t xml:space="preserve">pkt </w:t>
      </w:r>
      <w:r w:rsidR="00E755ED" w:rsidRPr="00E755ED">
        <w:rPr>
          <w:rFonts w:ascii="Arial" w:hAnsi="Arial" w:cs="Arial"/>
          <w:bCs/>
        </w:rPr>
        <w:t xml:space="preserve">9.1.8. </w:t>
      </w:r>
      <w:r w:rsidR="009D696B" w:rsidRPr="009D696B">
        <w:rPr>
          <w:rFonts w:ascii="Arial" w:hAnsi="Arial" w:cs="Arial"/>
          <w:bCs/>
        </w:rPr>
        <w:t>Umowy</w:t>
      </w:r>
      <w:r w:rsidR="00A30993">
        <w:rPr>
          <w:rFonts w:ascii="Arial" w:hAnsi="Arial" w:cs="Arial"/>
          <w:bCs/>
        </w:rPr>
        <w:t xml:space="preserve"> oraz postanowieniom pkt 9.2.1. </w:t>
      </w:r>
      <w:r w:rsidR="00393E8C">
        <w:rPr>
          <w:rFonts w:ascii="Arial" w:hAnsi="Arial" w:cs="Arial"/>
          <w:bCs/>
        </w:rPr>
        <w:t>lit. f Umowy</w:t>
      </w:r>
      <w:r w:rsidR="009D696B">
        <w:rPr>
          <w:rFonts w:ascii="Arial" w:hAnsi="Arial" w:cs="Arial"/>
          <w:bCs/>
        </w:rPr>
        <w:t>.</w:t>
      </w:r>
    </w:p>
    <w:p w14:paraId="084AE5CC" w14:textId="02C631DE" w:rsidR="00382C10" w:rsidRDefault="00382C10" w:rsidP="008B7132">
      <w:pPr>
        <w:numPr>
          <w:ilvl w:val="0"/>
          <w:numId w:val="3"/>
        </w:numPr>
        <w:ind w:left="425" w:hanging="425"/>
        <w:rPr>
          <w:rFonts w:ascii="Arial" w:hAnsi="Arial" w:cs="Arial"/>
        </w:rPr>
      </w:pPr>
      <w:r>
        <w:rPr>
          <w:rFonts w:ascii="Arial" w:hAnsi="Arial" w:cs="Arial"/>
        </w:rPr>
        <w:t xml:space="preserve">Wskaźnik informacyjny </w:t>
      </w:r>
      <w:r w:rsidR="00E34277">
        <w:rPr>
          <w:rFonts w:ascii="Arial" w:hAnsi="Arial" w:cs="Arial"/>
        </w:rPr>
        <w:t>–</w:t>
      </w:r>
      <w:r w:rsidR="00142995">
        <w:rPr>
          <w:rFonts w:ascii="Arial" w:hAnsi="Arial" w:cs="Arial"/>
        </w:rPr>
        <w:t xml:space="preserve"> </w:t>
      </w:r>
      <w:r w:rsidR="00E34277">
        <w:rPr>
          <w:rFonts w:ascii="Arial" w:hAnsi="Arial" w:cs="Arial"/>
        </w:rPr>
        <w:t xml:space="preserve">podlega rozliczaniu </w:t>
      </w:r>
      <w:r w:rsidR="00393E8C" w:rsidRPr="00393E8C">
        <w:rPr>
          <w:rFonts w:ascii="Arial" w:hAnsi="Arial" w:cs="Arial"/>
          <w:bCs/>
        </w:rPr>
        <w:t>oraz postanowieniom pkt 9.2.1. lit. f Umowy</w:t>
      </w:r>
      <w:r w:rsidR="00142995">
        <w:rPr>
          <w:rFonts w:ascii="Arial" w:hAnsi="Arial" w:cs="Arial"/>
          <w:bCs/>
        </w:rPr>
        <w:t xml:space="preserve">, o ile został ujęty w </w:t>
      </w:r>
      <w:r w:rsidR="00142995" w:rsidRPr="00872A35">
        <w:rPr>
          <w:rFonts w:ascii="Arial" w:hAnsi="Arial" w:cs="Arial"/>
          <w:bCs/>
          <w:i/>
        </w:rPr>
        <w:t>Karcie Oceny działalności Zarządcy</w:t>
      </w:r>
      <w:r w:rsidR="00E755ED">
        <w:rPr>
          <w:rFonts w:ascii="Arial" w:hAnsi="Arial" w:cs="Arial"/>
          <w:bCs/>
        </w:rPr>
        <w:t xml:space="preserve">, o której mowa w pkt </w:t>
      </w:r>
      <w:r w:rsidR="00142995">
        <w:rPr>
          <w:rFonts w:ascii="Arial" w:hAnsi="Arial" w:cs="Arial"/>
          <w:bCs/>
        </w:rPr>
        <w:t>9.1.8. Umowy</w:t>
      </w:r>
      <w:r w:rsidR="0070416A">
        <w:rPr>
          <w:rFonts w:ascii="Arial" w:hAnsi="Arial" w:cs="Arial"/>
          <w:bCs/>
        </w:rPr>
        <w:t xml:space="preserve"> oraz </w:t>
      </w:r>
      <w:r w:rsidR="008C71EE">
        <w:rPr>
          <w:rFonts w:ascii="Arial" w:hAnsi="Arial" w:cs="Arial"/>
          <w:bCs/>
        </w:rPr>
        <w:t xml:space="preserve">z zastrzeżeniem </w:t>
      </w:r>
      <w:r w:rsidR="0070416A">
        <w:rPr>
          <w:rFonts w:ascii="Arial" w:hAnsi="Arial" w:cs="Arial"/>
          <w:bCs/>
        </w:rPr>
        <w:t>terminów</w:t>
      </w:r>
      <w:r w:rsidR="00872A35">
        <w:rPr>
          <w:rFonts w:ascii="Arial" w:hAnsi="Arial" w:cs="Arial"/>
          <w:bCs/>
        </w:rPr>
        <w:t xml:space="preserve"> </w:t>
      </w:r>
      <w:r w:rsidR="000D771C">
        <w:rPr>
          <w:rFonts w:ascii="Arial" w:hAnsi="Arial" w:cs="Arial"/>
          <w:bCs/>
        </w:rPr>
        <w:t>określonych przy nazwach poszczególnych wskaźników</w:t>
      </w:r>
      <w:r w:rsidR="00872A35">
        <w:rPr>
          <w:rFonts w:ascii="Arial" w:hAnsi="Arial" w:cs="Arial"/>
          <w:bCs/>
        </w:rPr>
        <w:t xml:space="preserve"> </w:t>
      </w:r>
      <w:r w:rsidR="00B9252E">
        <w:rPr>
          <w:rFonts w:ascii="Arial" w:hAnsi="Arial" w:cs="Arial"/>
          <w:bCs/>
        </w:rPr>
        <w:br/>
      </w:r>
      <w:r w:rsidR="00872A35">
        <w:rPr>
          <w:rFonts w:ascii="Arial" w:hAnsi="Arial" w:cs="Arial"/>
          <w:bCs/>
        </w:rPr>
        <w:t>(o ile występują)</w:t>
      </w:r>
      <w:r w:rsidR="000D771C">
        <w:rPr>
          <w:rFonts w:ascii="Arial" w:hAnsi="Arial" w:cs="Arial"/>
          <w:bCs/>
        </w:rPr>
        <w:t>.</w:t>
      </w:r>
    </w:p>
    <w:p w14:paraId="3C5E7B62" w14:textId="2C42B1A4" w:rsidR="00557582" w:rsidRPr="001B13C2" w:rsidRDefault="00652645" w:rsidP="001B13C2">
      <w:pPr>
        <w:pStyle w:val="Akapitzlist"/>
        <w:numPr>
          <w:ilvl w:val="2"/>
          <w:numId w:val="4"/>
        </w:numPr>
        <w:tabs>
          <w:tab w:val="left" w:pos="0"/>
        </w:tabs>
        <w:autoSpaceDE w:val="0"/>
        <w:autoSpaceDN w:val="0"/>
        <w:adjustRightInd w:val="0"/>
        <w:spacing w:before="480" w:after="480"/>
        <w:ind w:left="567" w:hanging="567"/>
        <w:rPr>
          <w:rFonts w:ascii="Arial" w:eastAsia="Times New Roman" w:hAnsi="Arial" w:cs="Arial"/>
          <w:kern w:val="28"/>
          <w:sz w:val="24"/>
          <w:szCs w:val="24"/>
          <w:u w:val="single"/>
          <w:lang w:eastAsia="pl-PL"/>
        </w:rPr>
      </w:pPr>
      <w:r>
        <w:rPr>
          <w:rFonts w:ascii="Arial Black" w:eastAsia="Times New Roman" w:hAnsi="Arial Black" w:cs="Arial"/>
          <w:bCs/>
          <w:kern w:val="28"/>
          <w:sz w:val="28"/>
          <w:szCs w:val="28"/>
          <w:u w:val="single"/>
        </w:rPr>
        <w:br w:type="page"/>
      </w:r>
      <w:r w:rsidR="00D166E5" w:rsidRPr="001B13C2">
        <w:rPr>
          <w:rFonts w:ascii="Arial Black" w:eastAsia="Times New Roman" w:hAnsi="Arial Black" w:cs="Arial"/>
          <w:kern w:val="28"/>
          <w:u w:val="single"/>
          <w:lang w:eastAsia="pl-PL"/>
        </w:rPr>
        <w:lastRenderedPageBreak/>
        <w:t>Udział długości eksploatowanych linii kolejowych spełniających standardy do ogólnej długości eksploatowanych linii kolejowych (%)</w:t>
      </w:r>
      <w:r w:rsidR="001B13C2" w:rsidRPr="001B13C2">
        <w:rPr>
          <w:rFonts w:ascii="Arial Black" w:eastAsia="Times New Roman" w:hAnsi="Arial Black" w:cs="Arial"/>
          <w:kern w:val="28"/>
          <w:u w:val="single"/>
          <w:lang w:eastAsia="pl-PL"/>
        </w:rPr>
        <w:t xml:space="preserve"> </w:t>
      </w:r>
      <w:r w:rsidR="001B13C2" w:rsidRPr="001B13C2">
        <w:rPr>
          <w:rFonts w:ascii="Arial Black" w:eastAsia="Times New Roman" w:hAnsi="Arial Black" w:cs="Arial"/>
          <w:kern w:val="28"/>
          <w:u w:val="single"/>
          <w:lang w:eastAsia="pl-PL"/>
        </w:rPr>
        <w:br/>
        <w:t>– pierwszy wskaźnik realizacji celu głównego Programu.</w:t>
      </w:r>
    </w:p>
    <w:p w14:paraId="0FB021E4" w14:textId="77777777" w:rsidR="001737CC" w:rsidRPr="008B764A" w:rsidRDefault="001737CC" w:rsidP="00AC68D4">
      <w:pPr>
        <w:numPr>
          <w:ilvl w:val="0"/>
          <w:numId w:val="9"/>
        </w:numPr>
        <w:spacing w:before="240" w:after="240"/>
        <w:ind w:left="357" w:hanging="357"/>
        <w:rPr>
          <w:rFonts w:ascii="Arial" w:hAnsi="Arial" w:cs="Arial"/>
        </w:rPr>
      </w:pPr>
      <w:r w:rsidRPr="008B764A">
        <w:rPr>
          <w:rFonts w:ascii="Arial" w:hAnsi="Arial" w:cs="Arial"/>
        </w:rPr>
        <w:t>Nazwa</w:t>
      </w:r>
    </w:p>
    <w:p w14:paraId="7310DFA6" w14:textId="2C99103E" w:rsidR="001737CC" w:rsidRPr="00E13E37" w:rsidRDefault="008F4B92" w:rsidP="00AC68D4">
      <w:pPr>
        <w:pStyle w:val="Akapitzlist"/>
        <w:numPr>
          <w:ilvl w:val="0"/>
          <w:numId w:val="8"/>
        </w:numPr>
        <w:tabs>
          <w:tab w:val="left" w:pos="0"/>
        </w:tabs>
        <w:autoSpaceDE w:val="0"/>
        <w:autoSpaceDN w:val="0"/>
        <w:adjustRightInd w:val="0"/>
        <w:spacing w:before="240" w:after="240"/>
        <w:ind w:left="714" w:hanging="357"/>
        <w:rPr>
          <w:rFonts w:ascii="Arial" w:eastAsia="Times New Roman" w:hAnsi="Arial" w:cs="Arial"/>
          <w:kern w:val="28"/>
          <w:lang w:eastAsia="pl-PL"/>
        </w:rPr>
      </w:pPr>
      <w:r w:rsidRPr="00E13E37">
        <w:rPr>
          <w:rFonts w:ascii="Arial" w:eastAsia="Times New Roman" w:hAnsi="Arial" w:cs="Arial"/>
          <w:kern w:val="28"/>
          <w:lang w:eastAsia="pl-PL"/>
        </w:rPr>
        <w:t>„</w:t>
      </w:r>
      <w:r w:rsidR="001737CC" w:rsidRPr="00E13E37">
        <w:rPr>
          <w:rFonts w:ascii="Arial" w:eastAsia="Times New Roman" w:hAnsi="Arial" w:cs="Arial"/>
          <w:kern w:val="28"/>
          <w:lang w:eastAsia="pl-PL"/>
        </w:rPr>
        <w:t>Udział długości eksploatowanych linii kolejowych spełniających standardy do ogólnej długości eksploatowanych linii kolejowych</w:t>
      </w:r>
      <w:r w:rsidR="00561740" w:rsidRPr="00E13E37">
        <w:rPr>
          <w:rFonts w:ascii="Arial" w:eastAsia="Times New Roman" w:hAnsi="Arial" w:cs="Arial"/>
          <w:kern w:val="28"/>
          <w:lang w:eastAsia="pl-PL"/>
        </w:rPr>
        <w:t xml:space="preserve"> (%)</w:t>
      </w:r>
      <w:r w:rsidRPr="00E13E37">
        <w:rPr>
          <w:rFonts w:ascii="Arial" w:eastAsia="Times New Roman" w:hAnsi="Arial" w:cs="Arial"/>
          <w:kern w:val="28"/>
          <w:lang w:eastAsia="pl-PL"/>
        </w:rPr>
        <w:t>”</w:t>
      </w:r>
      <w:r w:rsidR="001737CC" w:rsidRPr="00E13E37">
        <w:rPr>
          <w:rFonts w:ascii="Arial" w:eastAsia="Times New Roman" w:hAnsi="Arial" w:cs="Arial"/>
          <w:kern w:val="28"/>
          <w:lang w:eastAsia="pl-PL"/>
        </w:rPr>
        <w:t>.</w:t>
      </w:r>
      <w:r w:rsidR="002B2A93" w:rsidRPr="00E13E37">
        <w:rPr>
          <w:rFonts w:ascii="Arial" w:eastAsia="Times New Roman" w:hAnsi="Arial" w:cs="Arial"/>
          <w:kern w:val="28"/>
          <w:lang w:eastAsia="pl-PL"/>
        </w:rPr>
        <w:t xml:space="preserve"> </w:t>
      </w:r>
      <w:r w:rsidRPr="00E13E37">
        <w:rPr>
          <w:rFonts w:ascii="Arial" w:eastAsia="Times New Roman" w:hAnsi="Arial" w:cs="Arial"/>
          <w:b/>
          <w:kern w:val="28"/>
          <w:lang w:eastAsia="pl-PL"/>
        </w:rPr>
        <w:t>Wskaźnik obligatoryjny</w:t>
      </w:r>
      <w:r w:rsidR="00D166E5">
        <w:rPr>
          <w:rFonts w:ascii="Arial" w:eastAsia="Times New Roman" w:hAnsi="Arial" w:cs="Arial"/>
          <w:b/>
          <w:kern w:val="28"/>
          <w:lang w:eastAsia="pl-PL"/>
        </w:rPr>
        <w:t xml:space="preserve">. </w:t>
      </w:r>
      <w:r w:rsidR="00FD6F77">
        <w:rPr>
          <w:rFonts w:ascii="Arial" w:eastAsia="Times New Roman" w:hAnsi="Arial" w:cs="Arial"/>
          <w:b/>
          <w:kern w:val="28"/>
          <w:lang w:eastAsia="pl-PL"/>
        </w:rPr>
        <w:t>Pierwszy wskaźnik realizacji celu głównego</w:t>
      </w:r>
      <w:r w:rsidR="00BD13C1">
        <w:rPr>
          <w:rFonts w:ascii="Arial" w:eastAsia="Times New Roman" w:hAnsi="Arial" w:cs="Arial"/>
          <w:b/>
          <w:kern w:val="28"/>
          <w:lang w:eastAsia="pl-PL"/>
        </w:rPr>
        <w:t xml:space="preserve"> Programu.</w:t>
      </w:r>
    </w:p>
    <w:p w14:paraId="6960C981" w14:textId="77777777" w:rsidR="00557582" w:rsidRPr="00D174B6" w:rsidRDefault="00557582" w:rsidP="00AC68D4">
      <w:pPr>
        <w:numPr>
          <w:ilvl w:val="0"/>
          <w:numId w:val="9"/>
        </w:numPr>
        <w:spacing w:after="120"/>
        <w:ind w:left="357" w:hanging="357"/>
        <w:rPr>
          <w:rFonts w:ascii="Arial" w:hAnsi="Arial" w:cs="Arial"/>
        </w:rPr>
      </w:pPr>
      <w:r w:rsidRPr="00D174B6">
        <w:rPr>
          <w:rFonts w:ascii="Arial" w:hAnsi="Arial" w:cs="Arial"/>
        </w:rPr>
        <w:t>Definicja</w:t>
      </w:r>
    </w:p>
    <w:p w14:paraId="411F50C6" w14:textId="64DD1E92" w:rsidR="001737CC" w:rsidRPr="00A66F86" w:rsidRDefault="000B1B9B" w:rsidP="008041AF">
      <w:pPr>
        <w:pStyle w:val="Akapitzlist"/>
        <w:numPr>
          <w:ilvl w:val="1"/>
          <w:numId w:val="5"/>
        </w:numPr>
        <w:tabs>
          <w:tab w:val="left" w:pos="0"/>
        </w:tabs>
        <w:autoSpaceDE w:val="0"/>
        <w:autoSpaceDN w:val="0"/>
        <w:adjustRightInd w:val="0"/>
        <w:ind w:left="567" w:hanging="567"/>
        <w:rPr>
          <w:rFonts w:ascii="Arial" w:eastAsia="Times New Roman" w:hAnsi="Arial" w:cs="Arial"/>
          <w:kern w:val="28"/>
          <w:lang w:eastAsia="pl-PL"/>
        </w:rPr>
      </w:pPr>
      <w:r w:rsidRPr="001B35A8">
        <w:rPr>
          <w:rFonts w:ascii="Arial" w:eastAsia="Times New Roman" w:hAnsi="Arial" w:cs="Arial"/>
          <w:bCs/>
          <w:kern w:val="28"/>
          <w:lang w:eastAsia="pl-PL"/>
        </w:rPr>
        <w:t xml:space="preserve">Wskaźnikiem monitorowania realizacji celu głównego Programu jest wskaźnik </w:t>
      </w:r>
      <w:r w:rsidR="008041AF">
        <w:rPr>
          <w:rFonts w:ascii="Arial" w:eastAsia="Times New Roman" w:hAnsi="Arial" w:cs="Arial"/>
          <w:bCs/>
          <w:kern w:val="28"/>
          <w:lang w:eastAsia="pl-PL"/>
        </w:rPr>
        <w:br/>
      </w:r>
      <w:r w:rsidRPr="001B35A8">
        <w:rPr>
          <w:rFonts w:ascii="Arial" w:eastAsia="Times New Roman" w:hAnsi="Arial" w:cs="Arial"/>
          <w:bCs/>
          <w:kern w:val="28"/>
          <w:lang w:eastAsia="pl-PL"/>
        </w:rPr>
        <w:t>określający efektywność zarządzania infrastrukturą kolejową poprzez poprawę</w:t>
      </w:r>
      <w:r w:rsidR="008041AF">
        <w:rPr>
          <w:rFonts w:ascii="Arial" w:eastAsia="Times New Roman" w:hAnsi="Arial" w:cs="Arial"/>
          <w:bCs/>
          <w:kern w:val="28"/>
          <w:lang w:eastAsia="pl-PL"/>
        </w:rPr>
        <w:t xml:space="preserve"> </w:t>
      </w:r>
      <w:r w:rsidR="008041AF">
        <w:rPr>
          <w:rFonts w:ascii="Arial" w:eastAsia="Times New Roman" w:hAnsi="Arial" w:cs="Arial"/>
          <w:bCs/>
          <w:kern w:val="28"/>
          <w:lang w:eastAsia="pl-PL"/>
        </w:rPr>
        <w:br/>
      </w:r>
      <w:r w:rsidRPr="00557582">
        <w:rPr>
          <w:rFonts w:ascii="Arial" w:eastAsia="Times New Roman" w:hAnsi="Arial" w:cs="Arial"/>
          <w:bCs/>
          <w:kern w:val="28"/>
          <w:lang w:eastAsia="pl-PL"/>
        </w:rPr>
        <w:t>i zapewnienie trwałości jej parametrów</w:t>
      </w:r>
      <w:r w:rsidR="001737CC">
        <w:rPr>
          <w:rFonts w:ascii="Arial" w:eastAsia="Times New Roman" w:hAnsi="Arial" w:cs="Arial"/>
          <w:bCs/>
          <w:kern w:val="28"/>
          <w:lang w:eastAsia="pl-PL"/>
        </w:rPr>
        <w:t>;</w:t>
      </w:r>
    </w:p>
    <w:p w14:paraId="696A9FE2" w14:textId="77777777" w:rsidR="00557582" w:rsidRPr="00543CE5" w:rsidRDefault="001737CC" w:rsidP="008B7132">
      <w:pPr>
        <w:pStyle w:val="Akapitzlist"/>
        <w:numPr>
          <w:ilvl w:val="1"/>
          <w:numId w:val="5"/>
        </w:numPr>
        <w:tabs>
          <w:tab w:val="left" w:pos="0"/>
        </w:tabs>
        <w:autoSpaceDE w:val="0"/>
        <w:autoSpaceDN w:val="0"/>
        <w:adjustRightInd w:val="0"/>
        <w:ind w:left="567" w:hanging="567"/>
        <w:rPr>
          <w:rFonts w:ascii="Arial" w:eastAsia="Times New Roman" w:hAnsi="Arial" w:cs="Arial"/>
          <w:kern w:val="28"/>
          <w:lang w:eastAsia="pl-PL"/>
        </w:rPr>
      </w:pPr>
      <w:r>
        <w:rPr>
          <w:rFonts w:ascii="Arial" w:eastAsia="Times New Roman" w:hAnsi="Arial" w:cs="Arial"/>
          <w:bCs/>
          <w:kern w:val="28"/>
          <w:lang w:eastAsia="pl-PL"/>
        </w:rPr>
        <w:t xml:space="preserve">Wskaźnik </w:t>
      </w:r>
      <w:r w:rsidR="000B1B9B" w:rsidRPr="00557582">
        <w:rPr>
          <w:rFonts w:ascii="Arial" w:eastAsia="Times New Roman" w:hAnsi="Arial" w:cs="Arial"/>
          <w:bCs/>
          <w:kern w:val="28"/>
          <w:lang w:eastAsia="pl-PL"/>
        </w:rPr>
        <w:t>wyrażony jako udział długości eksploatowanych linii kolejowych spełniających standardy do ogólnej długości eksploatowanych linii kolejowych</w:t>
      </w:r>
      <w:r w:rsidR="005D264A">
        <w:rPr>
          <w:rFonts w:ascii="Arial" w:eastAsia="Times New Roman" w:hAnsi="Arial" w:cs="Arial"/>
          <w:bCs/>
          <w:kern w:val="28"/>
          <w:lang w:eastAsia="pl-PL"/>
        </w:rPr>
        <w:t xml:space="preserve"> </w:t>
      </w:r>
      <w:r>
        <w:rPr>
          <w:rFonts w:ascii="Arial" w:eastAsia="Times New Roman" w:hAnsi="Arial" w:cs="Arial"/>
          <w:bCs/>
          <w:kern w:val="28"/>
          <w:lang w:eastAsia="pl-PL"/>
        </w:rPr>
        <w:t>;</w:t>
      </w:r>
    </w:p>
    <w:p w14:paraId="3A8486C8" w14:textId="77777777" w:rsidR="00543CE5" w:rsidRPr="00185367" w:rsidRDefault="00543CE5" w:rsidP="008B7132">
      <w:pPr>
        <w:pStyle w:val="Akapitzlist"/>
        <w:numPr>
          <w:ilvl w:val="1"/>
          <w:numId w:val="5"/>
        </w:numPr>
        <w:tabs>
          <w:tab w:val="left" w:pos="0"/>
        </w:tabs>
        <w:autoSpaceDE w:val="0"/>
        <w:autoSpaceDN w:val="0"/>
        <w:adjustRightInd w:val="0"/>
        <w:ind w:left="567" w:hanging="567"/>
        <w:rPr>
          <w:rFonts w:ascii="Arial" w:eastAsia="Times New Roman" w:hAnsi="Arial" w:cs="Arial"/>
          <w:kern w:val="28"/>
          <w:lang w:eastAsia="pl-PL"/>
        </w:rPr>
      </w:pPr>
      <w:r>
        <w:rPr>
          <w:rFonts w:ascii="Arial" w:eastAsia="Times New Roman" w:hAnsi="Arial" w:cs="Arial"/>
          <w:bCs/>
          <w:kern w:val="28"/>
          <w:lang w:eastAsia="pl-PL"/>
        </w:rPr>
        <w:t>Wartość wskaźnika wyznaczana jest w oparciu o długość torów głów</w:t>
      </w:r>
      <w:r w:rsidR="00F2586E">
        <w:rPr>
          <w:rFonts w:ascii="Arial" w:eastAsia="Times New Roman" w:hAnsi="Arial" w:cs="Arial"/>
          <w:bCs/>
          <w:kern w:val="28"/>
          <w:lang w:eastAsia="pl-PL"/>
        </w:rPr>
        <w:t>nych zasadniczych i </w:t>
      </w:r>
      <w:r>
        <w:rPr>
          <w:rFonts w:ascii="Arial" w:eastAsia="Times New Roman" w:hAnsi="Arial" w:cs="Arial"/>
          <w:bCs/>
          <w:kern w:val="28"/>
          <w:lang w:eastAsia="pl-PL"/>
        </w:rPr>
        <w:t>szlakowych;</w:t>
      </w:r>
    </w:p>
    <w:p w14:paraId="09336CCB" w14:textId="77777777" w:rsidR="001737CC" w:rsidRPr="00557582" w:rsidRDefault="001737CC" w:rsidP="008B7132">
      <w:pPr>
        <w:pStyle w:val="Akapitzlist"/>
        <w:numPr>
          <w:ilvl w:val="1"/>
          <w:numId w:val="5"/>
        </w:numPr>
        <w:tabs>
          <w:tab w:val="left" w:pos="0"/>
        </w:tabs>
        <w:autoSpaceDE w:val="0"/>
        <w:autoSpaceDN w:val="0"/>
        <w:adjustRightInd w:val="0"/>
        <w:ind w:left="567" w:hanging="567"/>
        <w:rPr>
          <w:rFonts w:ascii="Arial" w:eastAsia="Times New Roman" w:hAnsi="Arial" w:cs="Arial"/>
          <w:kern w:val="28"/>
          <w:lang w:eastAsia="pl-PL"/>
        </w:rPr>
      </w:pPr>
      <w:r>
        <w:rPr>
          <w:rFonts w:ascii="Arial" w:eastAsia="Times New Roman" w:hAnsi="Arial" w:cs="Arial"/>
          <w:bCs/>
          <w:kern w:val="28"/>
          <w:lang w:eastAsia="pl-PL"/>
        </w:rPr>
        <w:t>Jednostką miary wskaźnika jest procent (%);</w:t>
      </w:r>
    </w:p>
    <w:p w14:paraId="14E15BD3" w14:textId="77777777" w:rsidR="00613EAF" w:rsidRPr="00557582" w:rsidRDefault="00613EAF" w:rsidP="008B7132">
      <w:pPr>
        <w:pStyle w:val="Akapitzlist"/>
        <w:numPr>
          <w:ilvl w:val="1"/>
          <w:numId w:val="5"/>
        </w:numPr>
        <w:tabs>
          <w:tab w:val="left" w:pos="0"/>
        </w:tabs>
        <w:autoSpaceDE w:val="0"/>
        <w:autoSpaceDN w:val="0"/>
        <w:adjustRightInd w:val="0"/>
        <w:spacing w:before="480"/>
        <w:ind w:left="567" w:hanging="567"/>
        <w:rPr>
          <w:rFonts w:ascii="Arial" w:eastAsia="Times New Roman" w:hAnsi="Arial" w:cs="Arial"/>
          <w:kern w:val="28"/>
          <w:lang w:eastAsia="pl-PL"/>
        </w:rPr>
      </w:pPr>
      <w:r w:rsidRPr="00557582">
        <w:rPr>
          <w:rFonts w:ascii="Arial" w:eastAsia="Times New Roman" w:hAnsi="Arial" w:cs="Arial"/>
          <w:bCs/>
          <w:kern w:val="28"/>
          <w:lang w:eastAsia="pl-PL"/>
        </w:rPr>
        <w:t>Za spełniające standardy uznaje się te odcinki linii kolejowych, które zgodnie z wynikami dokonywanych przez Zarządcę badań diagnostycznych, pomiarów i oględzin kwalifikuje się jako uzyskujące syntetyczną ocenę dobrą i dostateczną.</w:t>
      </w:r>
      <w:r w:rsidR="00A94A14">
        <w:rPr>
          <w:rFonts w:ascii="Arial" w:eastAsia="Times New Roman" w:hAnsi="Arial" w:cs="Arial"/>
          <w:bCs/>
          <w:kern w:val="28"/>
          <w:lang w:eastAsia="pl-PL"/>
        </w:rPr>
        <w:t xml:space="preserve"> Standardy utrzymania określono w załączniku nr </w:t>
      </w:r>
      <w:r w:rsidR="0071541A">
        <w:rPr>
          <w:rFonts w:ascii="Arial" w:eastAsia="Times New Roman" w:hAnsi="Arial" w:cs="Arial"/>
          <w:bCs/>
          <w:kern w:val="28"/>
          <w:lang w:eastAsia="pl-PL"/>
        </w:rPr>
        <w:t>3</w:t>
      </w:r>
      <w:r w:rsidR="00A94A14">
        <w:rPr>
          <w:rFonts w:ascii="Arial" w:eastAsia="Times New Roman" w:hAnsi="Arial" w:cs="Arial"/>
          <w:bCs/>
          <w:kern w:val="28"/>
          <w:lang w:eastAsia="pl-PL"/>
        </w:rPr>
        <w:t xml:space="preserve"> do Umowy;</w:t>
      </w:r>
    </w:p>
    <w:p w14:paraId="248C6A59" w14:textId="77777777" w:rsidR="00613EAF" w:rsidRDefault="00613EAF" w:rsidP="008B7132">
      <w:pPr>
        <w:numPr>
          <w:ilvl w:val="1"/>
          <w:numId w:val="5"/>
        </w:numPr>
        <w:spacing w:before="0"/>
        <w:ind w:left="567" w:hanging="567"/>
        <w:rPr>
          <w:rFonts w:ascii="Arial" w:eastAsia="Times New Roman" w:hAnsi="Arial" w:cs="Arial"/>
          <w:bCs/>
          <w:kern w:val="28"/>
          <w:lang w:eastAsia="pl-PL"/>
        </w:rPr>
      </w:pPr>
      <w:r>
        <w:rPr>
          <w:rFonts w:ascii="Arial" w:eastAsia="Times New Roman" w:hAnsi="Arial" w:cs="Arial"/>
          <w:bCs/>
          <w:kern w:val="28"/>
          <w:lang w:eastAsia="pl-PL"/>
        </w:rPr>
        <w:t xml:space="preserve">W dokonywanych ocenach wyników badań, o których mowa w </w:t>
      </w:r>
      <w:r w:rsidRPr="00853A19">
        <w:rPr>
          <w:rFonts w:ascii="Arial" w:eastAsia="Times New Roman" w:hAnsi="Arial" w:cs="Arial"/>
          <w:bCs/>
          <w:kern w:val="28"/>
          <w:lang w:eastAsia="pl-PL"/>
        </w:rPr>
        <w:t xml:space="preserve">punkcie </w:t>
      </w:r>
      <w:r w:rsidR="00557582">
        <w:rPr>
          <w:rFonts w:ascii="Arial" w:eastAsia="Times New Roman" w:hAnsi="Arial" w:cs="Arial"/>
          <w:bCs/>
          <w:kern w:val="28"/>
          <w:lang w:eastAsia="pl-PL"/>
        </w:rPr>
        <w:t>2.</w:t>
      </w:r>
      <w:r w:rsidR="0071541A">
        <w:rPr>
          <w:rFonts w:ascii="Arial" w:eastAsia="Times New Roman" w:hAnsi="Arial" w:cs="Arial"/>
          <w:bCs/>
          <w:kern w:val="28"/>
          <w:lang w:eastAsia="pl-PL"/>
        </w:rPr>
        <w:t>5</w:t>
      </w:r>
      <w:r w:rsidR="00A66F86">
        <w:rPr>
          <w:rFonts w:ascii="Arial" w:eastAsia="Times New Roman" w:hAnsi="Arial" w:cs="Arial"/>
          <w:bCs/>
          <w:kern w:val="28"/>
          <w:lang w:eastAsia="pl-PL"/>
        </w:rPr>
        <w:t>.</w:t>
      </w:r>
      <w:r>
        <w:rPr>
          <w:rFonts w:ascii="Arial" w:eastAsia="Times New Roman" w:hAnsi="Arial" w:cs="Arial"/>
          <w:bCs/>
          <w:kern w:val="28"/>
          <w:lang w:eastAsia="pl-PL"/>
        </w:rPr>
        <w:t>, obowiązujące są następujące kryteria:</w:t>
      </w:r>
    </w:p>
    <w:p w14:paraId="39D890C1" w14:textId="77777777" w:rsidR="00613EAF" w:rsidRDefault="00613EAF" w:rsidP="008B7132">
      <w:pPr>
        <w:numPr>
          <w:ilvl w:val="0"/>
          <w:numId w:val="6"/>
        </w:numPr>
        <w:spacing w:before="0"/>
        <w:ind w:left="993" w:hanging="425"/>
        <w:rPr>
          <w:rFonts w:ascii="Arial" w:eastAsia="Times New Roman" w:hAnsi="Arial" w:cs="Arial"/>
          <w:kern w:val="28"/>
          <w:lang w:eastAsia="pl-PL"/>
        </w:rPr>
      </w:pPr>
      <w:r>
        <w:rPr>
          <w:rFonts w:ascii="Arial" w:eastAsia="Times New Roman" w:hAnsi="Arial" w:cs="Arial"/>
          <w:kern w:val="28"/>
          <w:lang w:eastAsia="pl-PL"/>
        </w:rPr>
        <w:t xml:space="preserve">ocena dobra – </w:t>
      </w:r>
      <w:r w:rsidRPr="007076D4">
        <w:rPr>
          <w:rFonts w:ascii="Arial" w:eastAsia="Times New Roman" w:hAnsi="Arial" w:cs="Arial"/>
          <w:bCs/>
          <w:kern w:val="28"/>
          <w:lang w:eastAsia="pl-PL"/>
        </w:rPr>
        <w:t>wymagana tylko konserwacja, niezbędne pojedyncze wymiany elementów nawierzchni, brak ograniczeń</w:t>
      </w:r>
      <w:r w:rsidR="00117748">
        <w:rPr>
          <w:rFonts w:ascii="Arial" w:eastAsia="Times New Roman" w:hAnsi="Arial" w:cs="Arial"/>
          <w:bCs/>
          <w:kern w:val="28"/>
          <w:lang w:eastAsia="pl-PL"/>
        </w:rPr>
        <w:t xml:space="preserve"> eksploatacyjnych</w:t>
      </w:r>
      <w:r>
        <w:rPr>
          <w:rFonts w:ascii="Arial" w:eastAsia="Times New Roman" w:hAnsi="Arial" w:cs="Arial"/>
          <w:kern w:val="28"/>
          <w:lang w:eastAsia="pl-PL"/>
        </w:rPr>
        <w:t>;</w:t>
      </w:r>
    </w:p>
    <w:p w14:paraId="44360D56" w14:textId="77777777" w:rsidR="00613EAF" w:rsidRDefault="00613EAF" w:rsidP="008B7132">
      <w:pPr>
        <w:numPr>
          <w:ilvl w:val="0"/>
          <w:numId w:val="6"/>
        </w:numPr>
        <w:spacing w:before="0"/>
        <w:ind w:left="993" w:hanging="425"/>
        <w:rPr>
          <w:rFonts w:ascii="Arial" w:eastAsia="Times New Roman" w:hAnsi="Arial" w:cs="Arial"/>
          <w:kern w:val="28"/>
          <w:lang w:eastAsia="pl-PL"/>
        </w:rPr>
      </w:pPr>
      <w:r>
        <w:rPr>
          <w:rFonts w:ascii="Arial" w:eastAsia="Times New Roman" w:hAnsi="Arial" w:cs="Arial"/>
          <w:kern w:val="28"/>
          <w:lang w:eastAsia="pl-PL"/>
        </w:rPr>
        <w:t>ocena dostateczna – potrzeba wymian elementów nawierzchni do 30%, obniżenie prędkości rozkładowych lub wprowadzenie ograniczeń</w:t>
      </w:r>
      <w:r w:rsidR="00117748">
        <w:rPr>
          <w:rFonts w:ascii="Arial" w:eastAsia="Times New Roman" w:hAnsi="Arial" w:cs="Arial"/>
          <w:kern w:val="28"/>
          <w:lang w:eastAsia="pl-PL"/>
        </w:rPr>
        <w:t xml:space="preserve"> eksploatacyjnych</w:t>
      </w:r>
      <w:r>
        <w:rPr>
          <w:rFonts w:ascii="Arial" w:eastAsia="Times New Roman" w:hAnsi="Arial" w:cs="Arial"/>
          <w:kern w:val="28"/>
          <w:lang w:eastAsia="pl-PL"/>
        </w:rPr>
        <w:t>;</w:t>
      </w:r>
    </w:p>
    <w:p w14:paraId="68AA722F" w14:textId="77777777" w:rsidR="00E523D5" w:rsidRDefault="00613EAF" w:rsidP="008B7132">
      <w:pPr>
        <w:numPr>
          <w:ilvl w:val="0"/>
          <w:numId w:val="6"/>
        </w:numPr>
        <w:spacing w:before="0"/>
        <w:ind w:left="993" w:hanging="425"/>
        <w:rPr>
          <w:rFonts w:ascii="Arial" w:eastAsia="Times New Roman" w:hAnsi="Arial" w:cs="Arial"/>
          <w:kern w:val="28"/>
          <w:lang w:eastAsia="pl-PL"/>
        </w:rPr>
      </w:pPr>
      <w:r>
        <w:rPr>
          <w:rFonts w:ascii="Arial" w:eastAsia="Times New Roman" w:hAnsi="Arial" w:cs="Arial"/>
          <w:kern w:val="28"/>
          <w:lang w:eastAsia="pl-PL"/>
        </w:rPr>
        <w:t xml:space="preserve">ocena niezadowalająca – </w:t>
      </w:r>
      <w:r w:rsidRPr="007076D4">
        <w:rPr>
          <w:rFonts w:ascii="Arial" w:eastAsia="Times New Roman" w:hAnsi="Arial" w:cs="Arial"/>
          <w:kern w:val="28"/>
          <w:lang w:eastAsia="pl-PL"/>
        </w:rPr>
        <w:t>konieczna kompleksowa</w:t>
      </w:r>
      <w:r w:rsidR="00140A6B">
        <w:rPr>
          <w:rFonts w:ascii="Arial" w:eastAsia="Times New Roman" w:hAnsi="Arial" w:cs="Arial"/>
          <w:kern w:val="28"/>
          <w:lang w:eastAsia="pl-PL"/>
        </w:rPr>
        <w:t xml:space="preserve"> </w:t>
      </w:r>
      <w:r w:rsidR="00117748" w:rsidRPr="007076D4">
        <w:rPr>
          <w:rFonts w:ascii="Arial" w:eastAsia="Times New Roman" w:hAnsi="Arial" w:cs="Arial"/>
          <w:kern w:val="28"/>
          <w:lang w:eastAsia="pl-PL"/>
        </w:rPr>
        <w:t>wymiana</w:t>
      </w:r>
      <w:r w:rsidR="00117748">
        <w:rPr>
          <w:rFonts w:ascii="Arial" w:eastAsia="Times New Roman" w:hAnsi="Arial" w:cs="Arial"/>
          <w:kern w:val="28"/>
          <w:lang w:eastAsia="pl-PL"/>
        </w:rPr>
        <w:t xml:space="preserve"> nawierzchni</w:t>
      </w:r>
      <w:r w:rsidRPr="007076D4">
        <w:rPr>
          <w:rFonts w:ascii="Arial" w:eastAsia="Times New Roman" w:hAnsi="Arial" w:cs="Arial"/>
          <w:kern w:val="28"/>
          <w:lang w:eastAsia="pl-PL"/>
        </w:rPr>
        <w:t>, znaczne obniżenie prędkości rozkładowych oraz duża ilość ograniczeń</w:t>
      </w:r>
      <w:r w:rsidR="00117748">
        <w:rPr>
          <w:rFonts w:ascii="Arial" w:eastAsia="Times New Roman" w:hAnsi="Arial" w:cs="Arial"/>
          <w:kern w:val="28"/>
          <w:lang w:eastAsia="pl-PL"/>
        </w:rPr>
        <w:t xml:space="preserve"> eksploatacyjnych</w:t>
      </w:r>
      <w:r>
        <w:rPr>
          <w:rFonts w:ascii="Arial" w:eastAsia="Times New Roman" w:hAnsi="Arial" w:cs="Arial"/>
          <w:kern w:val="28"/>
          <w:lang w:eastAsia="pl-PL"/>
        </w:rPr>
        <w:t>.</w:t>
      </w:r>
    </w:p>
    <w:p w14:paraId="6DEB5C06" w14:textId="77777777" w:rsidR="00A66F86" w:rsidRPr="00E13E37" w:rsidRDefault="00A66F86" w:rsidP="00AC68D4">
      <w:pPr>
        <w:numPr>
          <w:ilvl w:val="0"/>
          <w:numId w:val="9"/>
        </w:numPr>
        <w:spacing w:before="240" w:after="240"/>
        <w:ind w:left="357" w:hanging="357"/>
        <w:rPr>
          <w:rFonts w:ascii="Arial" w:hAnsi="Arial" w:cs="Arial"/>
        </w:rPr>
      </w:pPr>
      <w:r w:rsidRPr="00E13E37">
        <w:rPr>
          <w:rFonts w:ascii="Arial" w:hAnsi="Arial" w:cs="Arial"/>
        </w:rPr>
        <w:t>Źródła danych</w:t>
      </w:r>
    </w:p>
    <w:p w14:paraId="7936420B" w14:textId="77777777" w:rsidR="00A66F86" w:rsidRPr="00A66F86" w:rsidRDefault="00983BE2" w:rsidP="00E13E37">
      <w:pPr>
        <w:pStyle w:val="Akapitzlist"/>
        <w:tabs>
          <w:tab w:val="left" w:pos="0"/>
        </w:tabs>
        <w:autoSpaceDE w:val="0"/>
        <w:autoSpaceDN w:val="0"/>
        <w:adjustRightInd w:val="0"/>
        <w:spacing w:after="120"/>
        <w:ind w:left="0"/>
        <w:contextualSpacing w:val="0"/>
        <w:rPr>
          <w:rFonts w:ascii="Arial" w:eastAsia="Times New Roman" w:hAnsi="Arial" w:cs="Arial"/>
          <w:kern w:val="28"/>
          <w:lang w:eastAsia="pl-PL"/>
        </w:rPr>
      </w:pPr>
      <w:r>
        <w:rPr>
          <w:rFonts w:ascii="Arial" w:eastAsia="Times New Roman" w:hAnsi="Arial" w:cs="Arial"/>
          <w:kern w:val="28"/>
          <w:lang w:eastAsia="pl-PL"/>
        </w:rPr>
        <w:t>S</w:t>
      </w:r>
      <w:r w:rsidRPr="00983BE2">
        <w:rPr>
          <w:rFonts w:ascii="Arial" w:eastAsia="Times New Roman" w:hAnsi="Arial" w:cs="Arial"/>
          <w:kern w:val="28"/>
          <w:lang w:eastAsia="pl-PL"/>
        </w:rPr>
        <w:t>yntetyczna ocena stanu technicznego linii kolejowych</w:t>
      </w:r>
      <w:r>
        <w:rPr>
          <w:rFonts w:ascii="Arial" w:eastAsia="Times New Roman" w:hAnsi="Arial" w:cs="Arial"/>
          <w:kern w:val="28"/>
          <w:lang w:eastAsia="pl-PL"/>
        </w:rPr>
        <w:t xml:space="preserve"> (</w:t>
      </w:r>
      <w:r w:rsidRPr="00983BE2">
        <w:rPr>
          <w:rFonts w:ascii="Arial" w:eastAsia="Times New Roman" w:hAnsi="Arial" w:cs="Arial"/>
          <w:kern w:val="28"/>
          <w:lang w:eastAsia="pl-PL"/>
        </w:rPr>
        <w:t>nawierzchni kolejowej</w:t>
      </w:r>
      <w:r>
        <w:rPr>
          <w:rFonts w:ascii="Arial" w:eastAsia="Times New Roman" w:hAnsi="Arial" w:cs="Arial"/>
          <w:kern w:val="28"/>
          <w:lang w:eastAsia="pl-PL"/>
        </w:rPr>
        <w:t xml:space="preserve">) na podstawie </w:t>
      </w:r>
      <w:r w:rsidRPr="00983BE2">
        <w:rPr>
          <w:rFonts w:ascii="Arial" w:eastAsia="Times New Roman" w:hAnsi="Arial" w:cs="Arial"/>
          <w:kern w:val="28"/>
          <w:lang w:eastAsia="pl-PL"/>
        </w:rPr>
        <w:t>badań diagnostycznych pomiarów i oględzin</w:t>
      </w:r>
      <w:r w:rsidR="008D6B96">
        <w:rPr>
          <w:rFonts w:ascii="Arial" w:eastAsia="Times New Roman" w:hAnsi="Arial" w:cs="Arial"/>
          <w:kern w:val="28"/>
          <w:lang w:eastAsia="pl-PL"/>
        </w:rPr>
        <w:t>.</w:t>
      </w:r>
      <w:r w:rsidR="008D6B96" w:rsidDel="008D6B96">
        <w:rPr>
          <w:rFonts w:ascii="Arial" w:eastAsia="Times New Roman" w:hAnsi="Arial" w:cs="Arial"/>
          <w:kern w:val="28"/>
          <w:lang w:eastAsia="pl-PL"/>
        </w:rPr>
        <w:t xml:space="preserve"> </w:t>
      </w:r>
    </w:p>
    <w:p w14:paraId="3190A78B" w14:textId="77777777" w:rsidR="00F840EC" w:rsidRPr="00D44A9F" w:rsidRDefault="00F840EC" w:rsidP="00AC68D4">
      <w:pPr>
        <w:numPr>
          <w:ilvl w:val="0"/>
          <w:numId w:val="9"/>
        </w:numPr>
        <w:spacing w:before="240" w:after="240"/>
        <w:ind w:left="357" w:hanging="357"/>
        <w:rPr>
          <w:rFonts w:ascii="Arial" w:hAnsi="Arial" w:cs="Arial"/>
        </w:rPr>
      </w:pPr>
      <w:bookmarkStart w:id="0" w:name="highlightHit_244"/>
      <w:bookmarkStart w:id="1" w:name="highlightHit_245"/>
      <w:bookmarkEnd w:id="0"/>
      <w:bookmarkEnd w:id="1"/>
      <w:r w:rsidRPr="00D44A9F">
        <w:rPr>
          <w:rFonts w:ascii="Arial" w:hAnsi="Arial" w:cs="Arial"/>
        </w:rPr>
        <w:t>Wartość oczekiwana</w:t>
      </w:r>
    </w:p>
    <w:p w14:paraId="1578499A" w14:textId="77777777" w:rsidR="00A66F86" w:rsidRDefault="00B7247E" w:rsidP="00AC68D4">
      <w:pPr>
        <w:pStyle w:val="Akapitzlist"/>
        <w:numPr>
          <w:ilvl w:val="0"/>
          <w:numId w:val="10"/>
        </w:numPr>
        <w:tabs>
          <w:tab w:val="left" w:pos="0"/>
        </w:tabs>
        <w:autoSpaceDE w:val="0"/>
        <w:autoSpaceDN w:val="0"/>
        <w:adjustRightInd w:val="0"/>
        <w:spacing w:before="0"/>
        <w:ind w:left="567" w:hanging="567"/>
        <w:rPr>
          <w:rFonts w:ascii="Arial" w:eastAsia="Times New Roman" w:hAnsi="Arial" w:cs="Arial"/>
          <w:bCs/>
          <w:kern w:val="28"/>
          <w:lang w:eastAsia="pl-PL"/>
        </w:rPr>
      </w:pPr>
      <w:r w:rsidRPr="00472BCD">
        <w:rPr>
          <w:rFonts w:ascii="Arial" w:eastAsia="Times New Roman" w:hAnsi="Arial" w:cs="Arial"/>
          <w:bCs/>
          <w:kern w:val="28"/>
          <w:lang w:eastAsia="pl-PL"/>
        </w:rPr>
        <w:t>Wskaźnik podlega monitorowaniu w cyklu rocznym;</w:t>
      </w:r>
    </w:p>
    <w:p w14:paraId="42AC6513" w14:textId="77777777" w:rsidR="003B0DDD" w:rsidRDefault="003B0DDD" w:rsidP="00AC68D4">
      <w:pPr>
        <w:pStyle w:val="Akapitzlist"/>
        <w:numPr>
          <w:ilvl w:val="0"/>
          <w:numId w:val="10"/>
        </w:numPr>
        <w:tabs>
          <w:tab w:val="left" w:pos="0"/>
        </w:tabs>
        <w:autoSpaceDE w:val="0"/>
        <w:autoSpaceDN w:val="0"/>
        <w:adjustRightInd w:val="0"/>
        <w:spacing w:before="480"/>
        <w:ind w:left="567" w:hanging="567"/>
        <w:rPr>
          <w:rFonts w:ascii="Arial" w:eastAsia="Times New Roman" w:hAnsi="Arial" w:cs="Arial"/>
          <w:bCs/>
          <w:kern w:val="28"/>
          <w:lang w:eastAsia="pl-PL"/>
        </w:rPr>
      </w:pPr>
      <w:r w:rsidRPr="00472BCD">
        <w:rPr>
          <w:rFonts w:ascii="Arial" w:eastAsia="Times New Roman" w:hAnsi="Arial" w:cs="Arial"/>
          <w:bCs/>
          <w:kern w:val="28"/>
          <w:lang w:eastAsia="pl-PL"/>
        </w:rPr>
        <w:t>Wskaźnik określany jest na ostatni dzień roku sprawozdawczego z dokładnością do 0,1%;</w:t>
      </w:r>
    </w:p>
    <w:p w14:paraId="6AAE525B" w14:textId="77777777" w:rsidR="003B0DDD" w:rsidRPr="00472BCD" w:rsidRDefault="003B0DDD" w:rsidP="00AC68D4">
      <w:pPr>
        <w:pStyle w:val="Akapitzlist"/>
        <w:numPr>
          <w:ilvl w:val="0"/>
          <w:numId w:val="10"/>
        </w:numPr>
        <w:tabs>
          <w:tab w:val="left" w:pos="0"/>
        </w:tabs>
        <w:autoSpaceDE w:val="0"/>
        <w:autoSpaceDN w:val="0"/>
        <w:adjustRightInd w:val="0"/>
        <w:spacing w:before="480"/>
        <w:ind w:left="567" w:hanging="567"/>
        <w:rPr>
          <w:rFonts w:ascii="Arial" w:eastAsia="Times New Roman" w:hAnsi="Arial" w:cs="Arial"/>
          <w:bCs/>
          <w:kern w:val="28"/>
          <w:lang w:eastAsia="pl-PL"/>
        </w:rPr>
      </w:pPr>
      <w:r>
        <w:rPr>
          <w:rFonts w:ascii="Arial" w:eastAsia="Times New Roman" w:hAnsi="Arial" w:cs="Arial"/>
          <w:bCs/>
          <w:kern w:val="28"/>
          <w:lang w:eastAsia="pl-PL"/>
        </w:rPr>
        <w:t>Zarządca zobowiązany jest zapewnić uzyskanie następujących wartości wskaźnika</w:t>
      </w:r>
      <w:r w:rsidR="003E2E9E">
        <w:rPr>
          <w:rFonts w:ascii="Arial" w:eastAsia="Times New Roman" w:hAnsi="Arial" w:cs="Arial"/>
          <w:bCs/>
          <w:kern w:val="28"/>
          <w:lang w:eastAsia="pl-PL"/>
        </w:rPr>
        <w:t xml:space="preserve"> w </w:t>
      </w:r>
      <w:r>
        <w:rPr>
          <w:rFonts w:ascii="Arial" w:eastAsia="Times New Roman" w:hAnsi="Arial" w:cs="Arial"/>
          <w:bCs/>
          <w:kern w:val="28"/>
          <w:lang w:eastAsia="pl-PL"/>
        </w:rPr>
        <w:t>poszczególnych latach obowiązywania Umowy:</w:t>
      </w:r>
    </w:p>
    <w:tbl>
      <w:tblPr>
        <w:tblStyle w:val="Tabela-Siatka1"/>
        <w:tblW w:w="3924" w:type="pct"/>
        <w:jc w:val="center"/>
        <w:tblLayout w:type="fixed"/>
        <w:tblLook w:val="04A0" w:firstRow="1" w:lastRow="0" w:firstColumn="1" w:lastColumn="0" w:noHBand="0" w:noVBand="1"/>
      </w:tblPr>
      <w:tblGrid>
        <w:gridCol w:w="2319"/>
        <w:gridCol w:w="954"/>
        <w:gridCol w:w="974"/>
        <w:gridCol w:w="993"/>
        <w:gridCol w:w="991"/>
        <w:gridCol w:w="993"/>
      </w:tblGrid>
      <w:tr w:rsidR="00137879" w:rsidRPr="003E2E9E" w14:paraId="07D20136" w14:textId="77777777" w:rsidTr="00137879">
        <w:trPr>
          <w:trHeight w:val="188"/>
          <w:jc w:val="center"/>
        </w:trPr>
        <w:tc>
          <w:tcPr>
            <w:tcW w:w="1606" w:type="pct"/>
            <w:vMerge w:val="restart"/>
            <w:vAlign w:val="center"/>
          </w:tcPr>
          <w:p w14:paraId="3C9A5FB3" w14:textId="77777777" w:rsidR="00137879" w:rsidRPr="003E2E9E" w:rsidRDefault="00137879" w:rsidP="00091F68">
            <w:pPr>
              <w:spacing w:before="0"/>
              <w:jc w:val="center"/>
              <w:rPr>
                <w:rFonts w:ascii="Arial" w:eastAsia="Times New Roman" w:hAnsi="Arial" w:cs="Arial"/>
                <w:b/>
                <w:bCs/>
                <w:kern w:val="28"/>
                <w:sz w:val="18"/>
                <w:szCs w:val="18"/>
                <w:lang w:eastAsia="pl-PL"/>
              </w:rPr>
            </w:pPr>
            <w:r w:rsidRPr="003E2E9E">
              <w:rPr>
                <w:rFonts w:ascii="Arial" w:eastAsia="Times New Roman" w:hAnsi="Arial" w:cs="Arial"/>
                <w:kern w:val="28"/>
                <w:sz w:val="18"/>
                <w:szCs w:val="18"/>
                <w:lang w:eastAsia="pl-PL"/>
              </w:rPr>
              <w:t>Wskaźnik [%]</w:t>
            </w:r>
          </w:p>
        </w:tc>
        <w:tc>
          <w:tcPr>
            <w:tcW w:w="3394" w:type="pct"/>
            <w:gridSpan w:val="5"/>
            <w:vAlign w:val="center"/>
          </w:tcPr>
          <w:p w14:paraId="49F2EF45" w14:textId="77777777" w:rsidR="00137879" w:rsidRPr="003E2E9E" w:rsidRDefault="00137879" w:rsidP="00091F68">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Oczekiwana wartość wskaźnika w latach</w:t>
            </w:r>
          </w:p>
        </w:tc>
      </w:tr>
      <w:tr w:rsidR="00137879" w:rsidRPr="003E2E9E" w14:paraId="680B3BD7" w14:textId="77777777" w:rsidTr="00137879">
        <w:trPr>
          <w:trHeight w:val="188"/>
          <w:jc w:val="center"/>
        </w:trPr>
        <w:tc>
          <w:tcPr>
            <w:tcW w:w="1606" w:type="pct"/>
            <w:vMerge/>
          </w:tcPr>
          <w:p w14:paraId="1E85319C" w14:textId="77777777" w:rsidR="00137879" w:rsidRPr="003E2E9E" w:rsidRDefault="00137879" w:rsidP="00091F68">
            <w:pPr>
              <w:spacing w:before="0"/>
              <w:rPr>
                <w:rFonts w:ascii="Arial" w:eastAsia="Times New Roman" w:hAnsi="Arial" w:cs="Arial"/>
                <w:b/>
                <w:bCs/>
                <w:kern w:val="28"/>
                <w:sz w:val="18"/>
                <w:szCs w:val="18"/>
                <w:lang w:eastAsia="pl-PL"/>
              </w:rPr>
            </w:pPr>
          </w:p>
        </w:tc>
        <w:tc>
          <w:tcPr>
            <w:tcW w:w="660" w:type="pct"/>
            <w:vAlign w:val="center"/>
          </w:tcPr>
          <w:p w14:paraId="31D147D5" w14:textId="7DFF1375" w:rsidR="00137879" w:rsidRPr="003E2E9E" w:rsidRDefault="00137879" w:rsidP="00091F68">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w:t>
            </w:r>
            <w:r>
              <w:rPr>
                <w:rFonts w:ascii="Arial" w:eastAsia="Times New Roman" w:hAnsi="Arial" w:cs="Arial"/>
                <w:kern w:val="28"/>
                <w:sz w:val="18"/>
                <w:szCs w:val="18"/>
                <w:lang w:eastAsia="pl-PL"/>
              </w:rPr>
              <w:t>24</w:t>
            </w:r>
          </w:p>
        </w:tc>
        <w:tc>
          <w:tcPr>
            <w:tcW w:w="674" w:type="pct"/>
            <w:vAlign w:val="center"/>
          </w:tcPr>
          <w:p w14:paraId="44BD8DD2" w14:textId="691B2BB2" w:rsidR="00137879" w:rsidRPr="003E2E9E" w:rsidRDefault="00137879" w:rsidP="00091F68">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5</w:t>
            </w:r>
          </w:p>
        </w:tc>
        <w:tc>
          <w:tcPr>
            <w:tcW w:w="687" w:type="pct"/>
            <w:vAlign w:val="center"/>
          </w:tcPr>
          <w:p w14:paraId="36F68A28" w14:textId="02D7DBFE" w:rsidR="00137879" w:rsidRPr="003E2E9E" w:rsidRDefault="00137879" w:rsidP="00091F68">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6</w:t>
            </w:r>
          </w:p>
        </w:tc>
        <w:tc>
          <w:tcPr>
            <w:tcW w:w="686" w:type="pct"/>
            <w:vAlign w:val="center"/>
          </w:tcPr>
          <w:p w14:paraId="2B1EE458" w14:textId="03547A51" w:rsidR="00137879" w:rsidRPr="003E2E9E" w:rsidRDefault="00137879" w:rsidP="00091F68">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7</w:t>
            </w:r>
          </w:p>
        </w:tc>
        <w:tc>
          <w:tcPr>
            <w:tcW w:w="687" w:type="pct"/>
            <w:vAlign w:val="center"/>
          </w:tcPr>
          <w:p w14:paraId="5B2AC634" w14:textId="22878CCE" w:rsidR="00137879" w:rsidRPr="003E2E9E" w:rsidRDefault="00137879" w:rsidP="00091F68">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8</w:t>
            </w:r>
          </w:p>
        </w:tc>
      </w:tr>
      <w:tr w:rsidR="00137879" w:rsidRPr="003E2E9E" w14:paraId="29D42F12" w14:textId="77777777" w:rsidTr="00137879">
        <w:trPr>
          <w:trHeight w:val="188"/>
          <w:jc w:val="center"/>
        </w:trPr>
        <w:tc>
          <w:tcPr>
            <w:tcW w:w="1606" w:type="pct"/>
          </w:tcPr>
          <w:p w14:paraId="120398C6" w14:textId="77777777" w:rsidR="00137879" w:rsidRPr="00567C31" w:rsidRDefault="00137879" w:rsidP="00091F68">
            <w:pPr>
              <w:spacing w:before="0"/>
              <w:jc w:val="left"/>
              <w:rPr>
                <w:rFonts w:ascii="Arial" w:eastAsia="Times New Roman" w:hAnsi="Arial" w:cs="Arial"/>
                <w:b/>
                <w:bCs/>
                <w:kern w:val="28"/>
                <w:sz w:val="18"/>
                <w:szCs w:val="18"/>
                <w:lang w:eastAsia="pl-PL"/>
              </w:rPr>
            </w:pPr>
            <w:r w:rsidRPr="00567C31">
              <w:rPr>
                <w:rFonts w:ascii="Arial" w:eastAsia="Times New Roman" w:hAnsi="Arial" w:cs="Arial"/>
                <w:kern w:val="28"/>
                <w:sz w:val="18"/>
                <w:szCs w:val="18"/>
                <w:lang w:eastAsia="pl-PL"/>
              </w:rPr>
              <w:t>Udział długości eksploatowanych linii kolejowych spełniających standardy do ogólnej długości eksploatowanych linii kolejowych</w:t>
            </w:r>
          </w:p>
        </w:tc>
        <w:tc>
          <w:tcPr>
            <w:tcW w:w="660" w:type="pct"/>
            <w:vAlign w:val="center"/>
          </w:tcPr>
          <w:p w14:paraId="7ACCFE1C" w14:textId="77777777" w:rsidR="00137879" w:rsidRPr="00567C31" w:rsidRDefault="00137879" w:rsidP="00971027">
            <w:pPr>
              <w:spacing w:before="0"/>
              <w:jc w:val="center"/>
              <w:rPr>
                <w:rFonts w:ascii="Arial" w:eastAsia="Times New Roman" w:hAnsi="Arial" w:cs="Arial"/>
                <w:kern w:val="28"/>
                <w:sz w:val="18"/>
                <w:szCs w:val="18"/>
                <w:lang w:eastAsia="pl-PL"/>
              </w:rPr>
            </w:pPr>
            <w:r w:rsidRPr="00567C31">
              <w:rPr>
                <w:rFonts w:ascii="Arial" w:eastAsia="Times New Roman" w:hAnsi="Arial" w:cs="Arial"/>
                <w:kern w:val="28"/>
                <w:sz w:val="18"/>
                <w:szCs w:val="18"/>
                <w:lang w:eastAsia="pl-PL"/>
              </w:rPr>
              <w:t>100</w:t>
            </w:r>
          </w:p>
        </w:tc>
        <w:tc>
          <w:tcPr>
            <w:tcW w:w="674" w:type="pct"/>
            <w:vAlign w:val="center"/>
          </w:tcPr>
          <w:p w14:paraId="253D70CF" w14:textId="77777777" w:rsidR="00137879" w:rsidRPr="00567C31" w:rsidRDefault="00137879" w:rsidP="00253FF4">
            <w:pPr>
              <w:spacing w:before="0"/>
              <w:jc w:val="center"/>
              <w:rPr>
                <w:rFonts w:ascii="Arial" w:eastAsia="Times New Roman" w:hAnsi="Arial" w:cs="Arial"/>
                <w:kern w:val="28"/>
                <w:sz w:val="18"/>
                <w:szCs w:val="18"/>
                <w:lang w:eastAsia="pl-PL"/>
              </w:rPr>
            </w:pPr>
            <w:r w:rsidRPr="00567C31">
              <w:rPr>
                <w:rFonts w:ascii="Arial" w:eastAsia="Times New Roman" w:hAnsi="Arial" w:cs="Arial"/>
                <w:kern w:val="28"/>
                <w:sz w:val="18"/>
                <w:szCs w:val="18"/>
                <w:lang w:eastAsia="pl-PL"/>
              </w:rPr>
              <w:t>100</w:t>
            </w:r>
          </w:p>
        </w:tc>
        <w:tc>
          <w:tcPr>
            <w:tcW w:w="687" w:type="pct"/>
            <w:vAlign w:val="center"/>
          </w:tcPr>
          <w:p w14:paraId="411D79C2" w14:textId="77777777" w:rsidR="00137879" w:rsidRPr="00567C31" w:rsidRDefault="00137879" w:rsidP="00253FF4">
            <w:pPr>
              <w:spacing w:before="0"/>
              <w:jc w:val="center"/>
              <w:rPr>
                <w:rFonts w:ascii="Arial" w:eastAsia="Times New Roman" w:hAnsi="Arial" w:cs="Arial"/>
                <w:kern w:val="28"/>
                <w:sz w:val="18"/>
                <w:szCs w:val="18"/>
                <w:lang w:eastAsia="pl-PL"/>
              </w:rPr>
            </w:pPr>
            <w:r w:rsidRPr="00567C31">
              <w:rPr>
                <w:rFonts w:ascii="Arial" w:eastAsia="Times New Roman" w:hAnsi="Arial" w:cs="Arial"/>
                <w:kern w:val="28"/>
                <w:sz w:val="18"/>
                <w:szCs w:val="18"/>
                <w:lang w:eastAsia="pl-PL"/>
              </w:rPr>
              <w:t>100</w:t>
            </w:r>
          </w:p>
        </w:tc>
        <w:tc>
          <w:tcPr>
            <w:tcW w:w="686" w:type="pct"/>
            <w:vAlign w:val="center"/>
          </w:tcPr>
          <w:p w14:paraId="22D4E909" w14:textId="77777777" w:rsidR="00137879" w:rsidRPr="00567C31" w:rsidRDefault="00137879" w:rsidP="00253FF4">
            <w:pPr>
              <w:spacing w:before="0"/>
              <w:jc w:val="center"/>
              <w:rPr>
                <w:rFonts w:ascii="Arial" w:eastAsia="Times New Roman" w:hAnsi="Arial" w:cs="Arial"/>
                <w:kern w:val="28"/>
                <w:sz w:val="18"/>
                <w:szCs w:val="18"/>
                <w:lang w:eastAsia="pl-PL"/>
              </w:rPr>
            </w:pPr>
            <w:r w:rsidRPr="00567C31">
              <w:rPr>
                <w:rFonts w:ascii="Arial" w:eastAsia="Times New Roman" w:hAnsi="Arial" w:cs="Arial"/>
                <w:kern w:val="28"/>
                <w:sz w:val="18"/>
                <w:szCs w:val="18"/>
                <w:lang w:eastAsia="pl-PL"/>
              </w:rPr>
              <w:t>100</w:t>
            </w:r>
          </w:p>
        </w:tc>
        <w:tc>
          <w:tcPr>
            <w:tcW w:w="687" w:type="pct"/>
            <w:vAlign w:val="center"/>
          </w:tcPr>
          <w:p w14:paraId="5CFCC4C7" w14:textId="77777777" w:rsidR="00137879" w:rsidRPr="00567C31" w:rsidRDefault="00137879" w:rsidP="00253FF4">
            <w:pPr>
              <w:spacing w:before="0"/>
              <w:jc w:val="center"/>
              <w:rPr>
                <w:rFonts w:ascii="Arial" w:eastAsia="Times New Roman" w:hAnsi="Arial" w:cs="Arial"/>
                <w:kern w:val="28"/>
                <w:sz w:val="18"/>
                <w:szCs w:val="18"/>
                <w:lang w:eastAsia="pl-PL"/>
              </w:rPr>
            </w:pPr>
            <w:r w:rsidRPr="00567C31">
              <w:rPr>
                <w:rFonts w:ascii="Arial" w:eastAsia="Times New Roman" w:hAnsi="Arial" w:cs="Arial"/>
                <w:kern w:val="28"/>
                <w:sz w:val="18"/>
                <w:szCs w:val="18"/>
                <w:lang w:eastAsia="pl-PL"/>
              </w:rPr>
              <w:t>100</w:t>
            </w:r>
          </w:p>
        </w:tc>
      </w:tr>
    </w:tbl>
    <w:p w14:paraId="61C4DD8B" w14:textId="77777777" w:rsidR="00BE7CB3" w:rsidRDefault="00BE7CB3" w:rsidP="00BE7CB3">
      <w:pPr>
        <w:pStyle w:val="Akapitzlist"/>
        <w:tabs>
          <w:tab w:val="left" w:pos="0"/>
        </w:tabs>
        <w:autoSpaceDE w:val="0"/>
        <w:autoSpaceDN w:val="0"/>
        <w:adjustRightInd w:val="0"/>
        <w:spacing w:before="0" w:after="480"/>
        <w:ind w:left="567"/>
        <w:rPr>
          <w:rFonts w:ascii="Arial" w:eastAsia="Times New Roman" w:hAnsi="Arial" w:cs="Arial"/>
          <w:kern w:val="28"/>
          <w:sz w:val="24"/>
          <w:szCs w:val="24"/>
          <w:lang w:eastAsia="pl-PL"/>
        </w:rPr>
      </w:pPr>
    </w:p>
    <w:p w14:paraId="5873FB74" w14:textId="77777777" w:rsidR="00BE7CB3" w:rsidRDefault="00BE7CB3" w:rsidP="00BE7CB3">
      <w:pPr>
        <w:pStyle w:val="Akapitzlist"/>
        <w:tabs>
          <w:tab w:val="left" w:pos="0"/>
        </w:tabs>
        <w:autoSpaceDE w:val="0"/>
        <w:autoSpaceDN w:val="0"/>
        <w:adjustRightInd w:val="0"/>
        <w:spacing w:before="0" w:after="480"/>
        <w:ind w:left="567"/>
        <w:rPr>
          <w:rFonts w:ascii="Arial" w:eastAsia="Times New Roman" w:hAnsi="Arial" w:cs="Arial"/>
          <w:kern w:val="28"/>
          <w:sz w:val="24"/>
          <w:szCs w:val="24"/>
          <w:lang w:eastAsia="pl-PL"/>
        </w:rPr>
      </w:pPr>
    </w:p>
    <w:p w14:paraId="748288CC" w14:textId="77777777" w:rsidR="00BE7CB3" w:rsidRDefault="00BE7CB3" w:rsidP="00BE7CB3">
      <w:pPr>
        <w:pStyle w:val="Akapitzlist"/>
        <w:tabs>
          <w:tab w:val="left" w:pos="0"/>
        </w:tabs>
        <w:autoSpaceDE w:val="0"/>
        <w:autoSpaceDN w:val="0"/>
        <w:adjustRightInd w:val="0"/>
        <w:spacing w:before="0" w:after="480"/>
        <w:ind w:left="567"/>
        <w:rPr>
          <w:rFonts w:ascii="Arial" w:eastAsia="Times New Roman" w:hAnsi="Arial" w:cs="Arial"/>
          <w:kern w:val="28"/>
          <w:sz w:val="24"/>
          <w:szCs w:val="24"/>
          <w:lang w:eastAsia="pl-PL"/>
        </w:rPr>
      </w:pPr>
    </w:p>
    <w:p w14:paraId="4EC6FD62" w14:textId="77777777" w:rsidR="00BE7CB3" w:rsidRPr="00BE7CB3" w:rsidRDefault="00BE7CB3" w:rsidP="00BE7CB3">
      <w:pPr>
        <w:pStyle w:val="Akapitzlist"/>
        <w:tabs>
          <w:tab w:val="left" w:pos="0"/>
        </w:tabs>
        <w:autoSpaceDE w:val="0"/>
        <w:autoSpaceDN w:val="0"/>
        <w:adjustRightInd w:val="0"/>
        <w:spacing w:before="0" w:after="480"/>
        <w:ind w:left="567"/>
        <w:rPr>
          <w:rFonts w:ascii="Arial" w:eastAsia="Times New Roman" w:hAnsi="Arial" w:cs="Arial"/>
          <w:kern w:val="28"/>
          <w:sz w:val="24"/>
          <w:szCs w:val="24"/>
          <w:lang w:eastAsia="pl-PL"/>
        </w:rPr>
      </w:pPr>
    </w:p>
    <w:p w14:paraId="4C1E7FD5" w14:textId="0263472F" w:rsidR="007B50F4" w:rsidRPr="007A1996" w:rsidRDefault="007B50F4" w:rsidP="00BE7CB3">
      <w:pPr>
        <w:pStyle w:val="Akapitzlist"/>
        <w:numPr>
          <w:ilvl w:val="2"/>
          <w:numId w:val="4"/>
        </w:numPr>
        <w:tabs>
          <w:tab w:val="left" w:pos="0"/>
        </w:tabs>
        <w:autoSpaceDE w:val="0"/>
        <w:autoSpaceDN w:val="0"/>
        <w:adjustRightInd w:val="0"/>
        <w:spacing w:before="0" w:after="480"/>
        <w:ind w:left="567" w:hanging="567"/>
        <w:rPr>
          <w:rFonts w:ascii="Arial" w:eastAsia="Times New Roman" w:hAnsi="Arial" w:cs="Arial"/>
          <w:kern w:val="28"/>
          <w:sz w:val="24"/>
          <w:szCs w:val="24"/>
          <w:lang w:eastAsia="pl-PL"/>
        </w:rPr>
      </w:pPr>
      <w:r w:rsidRPr="007A1996">
        <w:rPr>
          <w:rFonts w:ascii="Arial Black" w:eastAsia="Times New Roman" w:hAnsi="Arial Black" w:cs="Arial"/>
          <w:bCs/>
          <w:kern w:val="28"/>
          <w:sz w:val="24"/>
          <w:szCs w:val="24"/>
          <w:u w:val="single"/>
        </w:rPr>
        <w:t>Średnia prędkość kursowania pociągów (</w:t>
      </w:r>
      <w:r w:rsidR="00425345">
        <w:rPr>
          <w:rFonts w:ascii="Arial Black" w:eastAsia="Times New Roman" w:hAnsi="Arial Black" w:cs="Arial"/>
          <w:bCs/>
          <w:kern w:val="28"/>
          <w:sz w:val="24"/>
          <w:szCs w:val="24"/>
          <w:u w:val="single"/>
        </w:rPr>
        <w:t>p</w:t>
      </w:r>
      <w:r w:rsidR="00892C1D">
        <w:rPr>
          <w:rFonts w:ascii="Arial Black" w:eastAsia="Times New Roman" w:hAnsi="Arial Black" w:cs="Arial"/>
          <w:bCs/>
          <w:kern w:val="28"/>
          <w:sz w:val="24"/>
          <w:szCs w:val="24"/>
          <w:u w:val="single"/>
        </w:rPr>
        <w:t xml:space="preserve">rędkość </w:t>
      </w:r>
      <w:r w:rsidR="00425345">
        <w:rPr>
          <w:rFonts w:ascii="Arial Black" w:eastAsia="Times New Roman" w:hAnsi="Arial Black" w:cs="Arial"/>
          <w:bCs/>
          <w:kern w:val="28"/>
          <w:sz w:val="24"/>
          <w:szCs w:val="24"/>
          <w:u w:val="single"/>
        </w:rPr>
        <w:t>h</w:t>
      </w:r>
      <w:r w:rsidR="00BD13C1">
        <w:rPr>
          <w:rFonts w:ascii="Arial Black" w:eastAsia="Times New Roman" w:hAnsi="Arial Black" w:cs="Arial"/>
          <w:bCs/>
          <w:kern w:val="28"/>
          <w:sz w:val="24"/>
          <w:szCs w:val="24"/>
          <w:u w:val="single"/>
        </w:rPr>
        <w:t xml:space="preserve">andlowa </w:t>
      </w:r>
      <w:r w:rsidR="00BD13C1">
        <w:rPr>
          <w:rFonts w:ascii="Arial Black" w:eastAsia="Times New Roman" w:hAnsi="Arial Black" w:cs="Arial"/>
          <w:bCs/>
          <w:kern w:val="28"/>
          <w:sz w:val="24"/>
          <w:szCs w:val="24"/>
          <w:u w:val="single"/>
        </w:rPr>
        <w:br/>
        <w:t>w km/h</w:t>
      </w:r>
      <w:r w:rsidR="002E22C6" w:rsidRPr="007A1996">
        <w:rPr>
          <w:rFonts w:ascii="Arial Black" w:eastAsia="Times New Roman" w:hAnsi="Arial Black" w:cs="Arial"/>
          <w:bCs/>
          <w:kern w:val="28"/>
          <w:sz w:val="24"/>
          <w:szCs w:val="24"/>
          <w:u w:val="single"/>
        </w:rPr>
        <w:t>)</w:t>
      </w:r>
      <w:r w:rsidR="00BD13C1">
        <w:rPr>
          <w:rFonts w:ascii="Arial Black" w:eastAsia="Times New Roman" w:hAnsi="Arial Black" w:cs="Arial"/>
          <w:bCs/>
          <w:kern w:val="28"/>
          <w:sz w:val="24"/>
          <w:szCs w:val="24"/>
          <w:u w:val="single"/>
        </w:rPr>
        <w:t xml:space="preserve"> na eksploatowan</w:t>
      </w:r>
      <w:r w:rsidR="003C36A4">
        <w:rPr>
          <w:rFonts w:ascii="Arial Black" w:eastAsia="Times New Roman" w:hAnsi="Arial Black" w:cs="Arial"/>
          <w:bCs/>
          <w:kern w:val="28"/>
          <w:sz w:val="24"/>
          <w:szCs w:val="24"/>
          <w:u w:val="single"/>
        </w:rPr>
        <w:t>ej</w:t>
      </w:r>
      <w:r w:rsidR="00BD13C1">
        <w:rPr>
          <w:rFonts w:ascii="Arial Black" w:eastAsia="Times New Roman" w:hAnsi="Arial Black" w:cs="Arial"/>
          <w:bCs/>
          <w:kern w:val="28"/>
          <w:sz w:val="24"/>
          <w:szCs w:val="24"/>
          <w:u w:val="single"/>
        </w:rPr>
        <w:t xml:space="preserve"> lini</w:t>
      </w:r>
      <w:r w:rsidR="003C36A4">
        <w:rPr>
          <w:rFonts w:ascii="Arial Black" w:eastAsia="Times New Roman" w:hAnsi="Arial Black" w:cs="Arial"/>
          <w:bCs/>
          <w:kern w:val="28"/>
          <w:sz w:val="24"/>
          <w:szCs w:val="24"/>
          <w:u w:val="single"/>
        </w:rPr>
        <w:t>i</w:t>
      </w:r>
      <w:r w:rsidR="00BD13C1">
        <w:rPr>
          <w:rFonts w:ascii="Arial Black" w:eastAsia="Times New Roman" w:hAnsi="Arial Black" w:cs="Arial"/>
          <w:bCs/>
          <w:kern w:val="28"/>
          <w:sz w:val="24"/>
          <w:szCs w:val="24"/>
          <w:u w:val="single"/>
        </w:rPr>
        <w:t xml:space="preserve"> </w:t>
      </w:r>
      <w:r w:rsidR="003C36A4">
        <w:rPr>
          <w:rFonts w:ascii="Arial Black" w:eastAsia="Times New Roman" w:hAnsi="Arial Black" w:cs="Arial"/>
          <w:bCs/>
          <w:kern w:val="28"/>
          <w:sz w:val="24"/>
          <w:szCs w:val="24"/>
          <w:u w:val="single"/>
        </w:rPr>
        <w:t xml:space="preserve">kolejowej nr 250 </w:t>
      </w:r>
      <w:r w:rsidR="00BD13C1">
        <w:rPr>
          <w:rFonts w:ascii="Arial Black" w:eastAsia="Times New Roman" w:hAnsi="Arial Black" w:cs="Arial"/>
          <w:bCs/>
          <w:kern w:val="28"/>
          <w:sz w:val="24"/>
          <w:szCs w:val="24"/>
          <w:u w:val="single"/>
        </w:rPr>
        <w:t xml:space="preserve">pomniejszona </w:t>
      </w:r>
      <w:r w:rsidR="003C36A4">
        <w:rPr>
          <w:rFonts w:ascii="Arial Black" w:eastAsia="Times New Roman" w:hAnsi="Arial Black" w:cs="Arial"/>
          <w:bCs/>
          <w:kern w:val="28"/>
          <w:sz w:val="24"/>
          <w:szCs w:val="24"/>
          <w:u w:val="single"/>
        </w:rPr>
        <w:br/>
      </w:r>
      <w:r w:rsidR="00BD13C1">
        <w:rPr>
          <w:rFonts w:ascii="Arial Black" w:eastAsia="Times New Roman" w:hAnsi="Arial Black" w:cs="Arial"/>
          <w:bCs/>
          <w:kern w:val="28"/>
          <w:sz w:val="24"/>
          <w:szCs w:val="24"/>
          <w:u w:val="single"/>
        </w:rPr>
        <w:t xml:space="preserve">o planowe postoje przewoźników wg rozkładu jazdy </w:t>
      </w:r>
      <w:r w:rsidR="001B13C2">
        <w:rPr>
          <w:rFonts w:ascii="Arial Black" w:eastAsia="Times New Roman" w:hAnsi="Arial Black" w:cs="Arial"/>
          <w:bCs/>
          <w:kern w:val="28"/>
          <w:sz w:val="24"/>
          <w:szCs w:val="24"/>
          <w:u w:val="single"/>
        </w:rPr>
        <w:t>– drugi wskaźnik realizacji celu głównego Programu</w:t>
      </w:r>
      <w:r w:rsidR="00BD13C1">
        <w:rPr>
          <w:rFonts w:ascii="Arial Black" w:eastAsia="Times New Roman" w:hAnsi="Arial Black" w:cs="Arial"/>
          <w:bCs/>
          <w:kern w:val="28"/>
          <w:sz w:val="24"/>
          <w:szCs w:val="24"/>
          <w:u w:val="single"/>
        </w:rPr>
        <w:t xml:space="preserve"> </w:t>
      </w:r>
    </w:p>
    <w:p w14:paraId="491AF45B" w14:textId="77777777" w:rsidR="00185367" w:rsidRPr="003B0DDD" w:rsidRDefault="00185367" w:rsidP="00AC68D4">
      <w:pPr>
        <w:numPr>
          <w:ilvl w:val="0"/>
          <w:numId w:val="11"/>
        </w:numPr>
        <w:spacing w:after="120"/>
        <w:ind w:left="357" w:hanging="357"/>
        <w:rPr>
          <w:rFonts w:ascii="Arial" w:hAnsi="Arial" w:cs="Arial"/>
        </w:rPr>
      </w:pPr>
      <w:r w:rsidRPr="003B0DDD">
        <w:rPr>
          <w:rFonts w:ascii="Arial" w:hAnsi="Arial" w:cs="Arial"/>
        </w:rPr>
        <w:t>Nazwa</w:t>
      </w:r>
    </w:p>
    <w:p w14:paraId="2A1D2911" w14:textId="3EC7EA74" w:rsidR="00185367" w:rsidRPr="00971027" w:rsidRDefault="00971027" w:rsidP="00AC68D4">
      <w:pPr>
        <w:pStyle w:val="Akapitzlist"/>
        <w:numPr>
          <w:ilvl w:val="0"/>
          <w:numId w:val="8"/>
        </w:numPr>
        <w:tabs>
          <w:tab w:val="left" w:pos="0"/>
        </w:tabs>
        <w:autoSpaceDE w:val="0"/>
        <w:autoSpaceDN w:val="0"/>
        <w:adjustRightInd w:val="0"/>
        <w:rPr>
          <w:rFonts w:ascii="Arial" w:eastAsia="Times New Roman" w:hAnsi="Arial" w:cs="Arial"/>
          <w:kern w:val="28"/>
          <w:lang w:eastAsia="pl-PL"/>
        </w:rPr>
      </w:pPr>
      <w:r>
        <w:rPr>
          <w:rFonts w:ascii="Arial" w:eastAsia="Times New Roman" w:hAnsi="Arial" w:cs="Arial"/>
          <w:kern w:val="28"/>
          <w:lang w:eastAsia="pl-PL"/>
        </w:rPr>
        <w:t>„</w:t>
      </w:r>
      <w:r w:rsidR="00185367" w:rsidRPr="00971027">
        <w:rPr>
          <w:rFonts w:ascii="Arial" w:eastAsia="Times New Roman" w:hAnsi="Arial" w:cs="Arial"/>
          <w:kern w:val="28"/>
          <w:lang w:eastAsia="pl-PL"/>
        </w:rPr>
        <w:t xml:space="preserve">Średnia prędkość kursowania pociągów </w:t>
      </w:r>
      <w:r w:rsidR="00BD13C1">
        <w:rPr>
          <w:rFonts w:ascii="Arial" w:eastAsia="Times New Roman" w:hAnsi="Arial" w:cs="Arial"/>
          <w:kern w:val="28"/>
          <w:lang w:eastAsia="pl-PL"/>
        </w:rPr>
        <w:t>(</w:t>
      </w:r>
      <w:r w:rsidR="00425345">
        <w:rPr>
          <w:rFonts w:ascii="Arial" w:eastAsia="Times New Roman" w:hAnsi="Arial" w:cs="Arial"/>
          <w:kern w:val="28"/>
          <w:lang w:eastAsia="pl-PL"/>
        </w:rPr>
        <w:t>p</w:t>
      </w:r>
      <w:r w:rsidR="00BD13C1">
        <w:rPr>
          <w:rFonts w:ascii="Arial" w:eastAsia="Times New Roman" w:hAnsi="Arial" w:cs="Arial"/>
          <w:kern w:val="28"/>
          <w:lang w:eastAsia="pl-PL"/>
        </w:rPr>
        <w:t xml:space="preserve">rędkość </w:t>
      </w:r>
      <w:r w:rsidR="00425345">
        <w:rPr>
          <w:rFonts w:ascii="Arial" w:eastAsia="Times New Roman" w:hAnsi="Arial" w:cs="Arial"/>
          <w:kern w:val="28"/>
          <w:lang w:eastAsia="pl-PL"/>
        </w:rPr>
        <w:t>h</w:t>
      </w:r>
      <w:r w:rsidR="00BD13C1">
        <w:rPr>
          <w:rFonts w:ascii="Arial" w:eastAsia="Times New Roman" w:hAnsi="Arial" w:cs="Arial"/>
          <w:kern w:val="28"/>
          <w:lang w:eastAsia="pl-PL"/>
        </w:rPr>
        <w:t xml:space="preserve">andlowa w km/h) </w:t>
      </w:r>
      <w:r w:rsidR="00195620">
        <w:rPr>
          <w:rFonts w:ascii="Arial" w:eastAsia="Times New Roman" w:hAnsi="Arial" w:cs="Arial"/>
          <w:kern w:val="28"/>
          <w:lang w:eastAsia="pl-PL"/>
        </w:rPr>
        <w:br/>
      </w:r>
      <w:r w:rsidR="00185367" w:rsidRPr="00971027">
        <w:rPr>
          <w:rFonts w:ascii="Arial" w:eastAsia="Times New Roman" w:hAnsi="Arial" w:cs="Arial"/>
          <w:kern w:val="28"/>
          <w:lang w:eastAsia="pl-PL"/>
        </w:rPr>
        <w:t xml:space="preserve">na </w:t>
      </w:r>
      <w:r w:rsidR="003C36A4">
        <w:rPr>
          <w:rFonts w:ascii="Arial" w:eastAsia="Times New Roman" w:hAnsi="Arial" w:cs="Arial"/>
          <w:kern w:val="28"/>
          <w:lang w:eastAsia="pl-PL"/>
        </w:rPr>
        <w:t>eksploatowanej linii kolejowej nr 250</w:t>
      </w:r>
      <w:r w:rsidR="00BD13C1">
        <w:rPr>
          <w:rFonts w:ascii="Arial" w:eastAsia="Times New Roman" w:hAnsi="Arial" w:cs="Arial"/>
          <w:kern w:val="28"/>
          <w:lang w:eastAsia="pl-PL"/>
        </w:rPr>
        <w:t xml:space="preserve"> pomniejszona o planowe postoje przewoźników wg rozkładu jazdy</w:t>
      </w:r>
      <w:r>
        <w:rPr>
          <w:rFonts w:ascii="Arial" w:eastAsia="Times New Roman" w:hAnsi="Arial" w:cs="Arial"/>
          <w:kern w:val="28"/>
          <w:lang w:eastAsia="pl-PL"/>
        </w:rPr>
        <w:t>”</w:t>
      </w:r>
      <w:r w:rsidRPr="00971027">
        <w:rPr>
          <w:rFonts w:ascii="Arial" w:eastAsia="Times New Roman" w:hAnsi="Arial" w:cs="Arial"/>
          <w:kern w:val="28"/>
          <w:lang w:eastAsia="pl-PL"/>
        </w:rPr>
        <w:t xml:space="preserve"> </w:t>
      </w:r>
      <w:r w:rsidR="004706B8" w:rsidRPr="00971027">
        <w:rPr>
          <w:rFonts w:ascii="Arial" w:eastAsia="Times New Roman" w:hAnsi="Arial" w:cs="Arial"/>
          <w:b/>
          <w:kern w:val="28"/>
          <w:lang w:eastAsia="pl-PL"/>
        </w:rPr>
        <w:t>Wskaźnik obligatoryjny</w:t>
      </w:r>
      <w:r w:rsidR="00BD13C1">
        <w:rPr>
          <w:rFonts w:ascii="Arial" w:eastAsia="Times New Roman" w:hAnsi="Arial" w:cs="Arial"/>
          <w:b/>
          <w:kern w:val="28"/>
          <w:lang w:eastAsia="pl-PL"/>
        </w:rPr>
        <w:t>. Drugi wskaźnik realizacji celu głównego Programu.</w:t>
      </w:r>
    </w:p>
    <w:p w14:paraId="3BBD3B21" w14:textId="77777777" w:rsidR="007B50F4" w:rsidRPr="003B0DDD" w:rsidRDefault="007B50F4" w:rsidP="00AC68D4">
      <w:pPr>
        <w:numPr>
          <w:ilvl w:val="0"/>
          <w:numId w:val="11"/>
        </w:numPr>
        <w:spacing w:before="240"/>
        <w:rPr>
          <w:rFonts w:ascii="Arial" w:hAnsi="Arial" w:cs="Arial"/>
        </w:rPr>
      </w:pPr>
      <w:r w:rsidRPr="003B0DDD">
        <w:rPr>
          <w:rFonts w:ascii="Arial" w:hAnsi="Arial" w:cs="Arial"/>
        </w:rPr>
        <w:t>Definicja</w:t>
      </w:r>
    </w:p>
    <w:p w14:paraId="6592458A" w14:textId="77777777" w:rsidR="007B50F4" w:rsidRDefault="00E16579" w:rsidP="00AC68D4">
      <w:pPr>
        <w:pStyle w:val="Akapitzlist"/>
        <w:numPr>
          <w:ilvl w:val="0"/>
          <w:numId w:val="12"/>
        </w:numPr>
        <w:tabs>
          <w:tab w:val="left" w:pos="0"/>
        </w:tabs>
        <w:autoSpaceDE w:val="0"/>
        <w:autoSpaceDN w:val="0"/>
        <w:adjustRightInd w:val="0"/>
        <w:ind w:left="567" w:hanging="567"/>
        <w:rPr>
          <w:rFonts w:ascii="Arial" w:eastAsia="Times New Roman" w:hAnsi="Arial" w:cs="Arial"/>
          <w:bCs/>
          <w:kern w:val="28"/>
          <w:lang w:eastAsia="pl-PL"/>
        </w:rPr>
      </w:pPr>
      <w:r w:rsidRPr="003B0DDD">
        <w:rPr>
          <w:rFonts w:ascii="Arial" w:eastAsia="Times New Roman" w:hAnsi="Arial" w:cs="Arial"/>
          <w:bCs/>
          <w:kern w:val="28"/>
          <w:lang w:eastAsia="pl-PL"/>
        </w:rPr>
        <w:t>Wskaźnik</w:t>
      </w:r>
      <w:r w:rsidR="00EA0487" w:rsidRPr="003B0DDD">
        <w:rPr>
          <w:rFonts w:ascii="Arial" w:eastAsia="Times New Roman" w:hAnsi="Arial" w:cs="Arial"/>
          <w:bCs/>
          <w:kern w:val="28"/>
          <w:lang w:eastAsia="pl-PL"/>
        </w:rPr>
        <w:t xml:space="preserve"> </w:t>
      </w:r>
      <w:r w:rsidR="00D33D97" w:rsidRPr="003B0DDD">
        <w:rPr>
          <w:rFonts w:ascii="Arial" w:eastAsia="Times New Roman" w:hAnsi="Arial" w:cs="Arial"/>
          <w:bCs/>
          <w:kern w:val="28"/>
          <w:lang w:eastAsia="pl-PL"/>
        </w:rPr>
        <w:t>definiowan</w:t>
      </w:r>
      <w:r w:rsidRPr="003B0DDD">
        <w:rPr>
          <w:rFonts w:ascii="Arial" w:eastAsia="Times New Roman" w:hAnsi="Arial" w:cs="Arial"/>
          <w:bCs/>
          <w:kern w:val="28"/>
          <w:lang w:eastAsia="pl-PL"/>
        </w:rPr>
        <w:t>y</w:t>
      </w:r>
      <w:r w:rsidR="007B50F4" w:rsidRPr="003B0DDD">
        <w:rPr>
          <w:rFonts w:ascii="Arial" w:eastAsia="Times New Roman" w:hAnsi="Arial" w:cs="Arial"/>
          <w:bCs/>
          <w:kern w:val="28"/>
          <w:lang w:eastAsia="pl-PL"/>
        </w:rPr>
        <w:t xml:space="preserve"> jest jako iloraz całkowitej długości tras pociągów i całkowitego czasu jazdy pociągów upływającego</w:t>
      </w:r>
      <w:r w:rsidR="00D33D97" w:rsidRPr="003B0DDD">
        <w:rPr>
          <w:rFonts w:ascii="Arial" w:eastAsia="Times New Roman" w:hAnsi="Arial" w:cs="Arial"/>
          <w:bCs/>
          <w:kern w:val="28"/>
          <w:lang w:eastAsia="pl-PL"/>
        </w:rPr>
        <w:t xml:space="preserve"> wg rozkładu jazdy</w:t>
      </w:r>
      <w:r w:rsidR="007B50F4" w:rsidRPr="003B0DDD">
        <w:rPr>
          <w:rFonts w:ascii="Arial" w:eastAsia="Times New Roman" w:hAnsi="Arial" w:cs="Arial"/>
          <w:bCs/>
          <w:kern w:val="28"/>
          <w:lang w:eastAsia="pl-PL"/>
        </w:rPr>
        <w:t xml:space="preserve"> od odjazdu ze stacji początkowych do przyjazdu do stacji końcowych;</w:t>
      </w:r>
    </w:p>
    <w:p w14:paraId="3782B632" w14:textId="77777777" w:rsidR="00971027" w:rsidRDefault="007B50F4" w:rsidP="00AC68D4">
      <w:pPr>
        <w:pStyle w:val="Akapitzlist"/>
        <w:numPr>
          <w:ilvl w:val="0"/>
          <w:numId w:val="12"/>
        </w:numPr>
        <w:tabs>
          <w:tab w:val="left" w:pos="0"/>
        </w:tabs>
        <w:autoSpaceDE w:val="0"/>
        <w:autoSpaceDN w:val="0"/>
        <w:adjustRightInd w:val="0"/>
        <w:spacing w:before="480"/>
        <w:ind w:left="567" w:hanging="567"/>
        <w:rPr>
          <w:rFonts w:ascii="Arial" w:eastAsia="Times New Roman" w:hAnsi="Arial" w:cs="Arial"/>
          <w:bCs/>
          <w:kern w:val="28"/>
          <w:lang w:eastAsia="pl-PL"/>
        </w:rPr>
      </w:pPr>
      <w:r w:rsidRPr="00971027">
        <w:rPr>
          <w:rFonts w:ascii="Arial" w:eastAsia="Times New Roman" w:hAnsi="Arial" w:cs="Arial"/>
          <w:bCs/>
          <w:kern w:val="28"/>
          <w:lang w:eastAsia="pl-PL"/>
        </w:rPr>
        <w:t xml:space="preserve">Wskaźnik </w:t>
      </w:r>
      <w:r w:rsidR="009F3437" w:rsidRPr="00971027">
        <w:rPr>
          <w:rFonts w:ascii="Arial" w:eastAsia="Times New Roman" w:hAnsi="Arial" w:cs="Arial"/>
          <w:bCs/>
          <w:kern w:val="28"/>
          <w:lang w:eastAsia="pl-PL"/>
        </w:rPr>
        <w:t>wyznaczany</w:t>
      </w:r>
      <w:r w:rsidR="00EA0487" w:rsidRPr="00971027">
        <w:rPr>
          <w:rFonts w:ascii="Arial" w:eastAsia="Times New Roman" w:hAnsi="Arial" w:cs="Arial"/>
          <w:bCs/>
          <w:kern w:val="28"/>
          <w:lang w:eastAsia="pl-PL"/>
        </w:rPr>
        <w:t xml:space="preserve"> </w:t>
      </w:r>
      <w:r w:rsidRPr="00971027">
        <w:rPr>
          <w:rFonts w:ascii="Arial" w:eastAsia="Times New Roman" w:hAnsi="Arial" w:cs="Arial"/>
          <w:bCs/>
          <w:kern w:val="28"/>
          <w:lang w:eastAsia="pl-PL"/>
        </w:rPr>
        <w:t>jest dla wszystkich pocią</w:t>
      </w:r>
      <w:r w:rsidR="00971027">
        <w:rPr>
          <w:rFonts w:ascii="Arial" w:eastAsia="Times New Roman" w:hAnsi="Arial" w:cs="Arial"/>
          <w:bCs/>
          <w:kern w:val="28"/>
          <w:lang w:eastAsia="pl-PL"/>
        </w:rPr>
        <w:t>gów ujętych w rozkładzie jazdy;</w:t>
      </w:r>
    </w:p>
    <w:p w14:paraId="2C9467B1" w14:textId="77777777" w:rsidR="007B50F4" w:rsidRPr="00971027" w:rsidRDefault="007B50F4" w:rsidP="00AC68D4">
      <w:pPr>
        <w:pStyle w:val="Akapitzlist"/>
        <w:numPr>
          <w:ilvl w:val="0"/>
          <w:numId w:val="12"/>
        </w:numPr>
        <w:tabs>
          <w:tab w:val="left" w:pos="0"/>
        </w:tabs>
        <w:autoSpaceDE w:val="0"/>
        <w:autoSpaceDN w:val="0"/>
        <w:adjustRightInd w:val="0"/>
        <w:spacing w:before="480"/>
        <w:ind w:left="567" w:hanging="567"/>
        <w:rPr>
          <w:rFonts w:ascii="Arial" w:eastAsia="Times New Roman" w:hAnsi="Arial" w:cs="Arial"/>
          <w:bCs/>
          <w:kern w:val="28"/>
          <w:lang w:eastAsia="pl-PL"/>
        </w:rPr>
      </w:pPr>
      <w:r w:rsidRPr="00971027">
        <w:rPr>
          <w:rFonts w:ascii="Arial" w:eastAsia="Times New Roman" w:hAnsi="Arial" w:cs="Arial"/>
          <w:bCs/>
          <w:kern w:val="28"/>
          <w:lang w:eastAsia="pl-PL"/>
        </w:rPr>
        <w:t>Przyjmuje się równoważność roku sprawozdawczego z okresem obowiązywania rocznego rozkładu jazdy</w:t>
      </w:r>
      <w:r w:rsidR="00983BE2" w:rsidRPr="00971027">
        <w:rPr>
          <w:rFonts w:ascii="Arial" w:eastAsia="Times New Roman" w:hAnsi="Arial" w:cs="Arial"/>
          <w:bCs/>
          <w:kern w:val="28"/>
          <w:lang w:eastAsia="pl-PL"/>
        </w:rPr>
        <w:t xml:space="preserve"> pociągów</w:t>
      </w:r>
      <w:r w:rsidRPr="00971027">
        <w:rPr>
          <w:rFonts w:ascii="Arial" w:eastAsia="Times New Roman" w:hAnsi="Arial" w:cs="Arial"/>
          <w:bCs/>
          <w:kern w:val="28"/>
          <w:lang w:eastAsia="pl-PL"/>
        </w:rPr>
        <w:t>.</w:t>
      </w:r>
    </w:p>
    <w:p w14:paraId="545ACEBC" w14:textId="77777777" w:rsidR="003C398B" w:rsidRPr="009B6B2D" w:rsidRDefault="003C398B" w:rsidP="00AC68D4">
      <w:pPr>
        <w:numPr>
          <w:ilvl w:val="0"/>
          <w:numId w:val="11"/>
        </w:numPr>
        <w:spacing w:before="240" w:after="240"/>
        <w:rPr>
          <w:rFonts w:ascii="Arial" w:hAnsi="Arial" w:cs="Arial"/>
        </w:rPr>
      </w:pPr>
      <w:r w:rsidRPr="009B6B2D">
        <w:rPr>
          <w:rFonts w:ascii="Arial" w:hAnsi="Arial" w:cs="Arial"/>
        </w:rPr>
        <w:t>Źródła danych</w:t>
      </w:r>
    </w:p>
    <w:p w14:paraId="3AB9EF8B" w14:textId="46D385EE" w:rsidR="00E523D5" w:rsidRPr="00044750" w:rsidRDefault="00E523D5" w:rsidP="003C398B">
      <w:pPr>
        <w:rPr>
          <w:rFonts w:ascii="Arial" w:eastAsia="Calibri" w:hAnsi="Arial" w:cs="Arial"/>
        </w:rPr>
      </w:pPr>
      <w:r w:rsidRPr="00044750">
        <w:rPr>
          <w:rFonts w:ascii="Arial" w:eastAsia="Calibri" w:hAnsi="Arial" w:cs="Arial"/>
        </w:rPr>
        <w:t xml:space="preserve">Wykorzystywane w </w:t>
      </w:r>
      <w:r w:rsidR="00892C1D">
        <w:rPr>
          <w:rFonts w:ascii="Arial" w:eastAsia="Calibri" w:hAnsi="Arial" w:cs="Arial"/>
        </w:rPr>
        <w:t xml:space="preserve">obliczeniach </w:t>
      </w:r>
      <w:r w:rsidR="00425345">
        <w:rPr>
          <w:rFonts w:ascii="Arial" w:eastAsia="Calibri" w:hAnsi="Arial" w:cs="Arial"/>
        </w:rPr>
        <w:t>p</w:t>
      </w:r>
      <w:r w:rsidR="00892C1D">
        <w:rPr>
          <w:rFonts w:ascii="Arial" w:eastAsia="Calibri" w:hAnsi="Arial" w:cs="Arial"/>
        </w:rPr>
        <w:t xml:space="preserve">rędkości </w:t>
      </w:r>
      <w:r w:rsidR="00425345">
        <w:rPr>
          <w:rFonts w:ascii="Arial" w:eastAsia="Calibri" w:hAnsi="Arial" w:cs="Arial"/>
        </w:rPr>
        <w:t>h</w:t>
      </w:r>
      <w:r w:rsidR="00BD13C1">
        <w:rPr>
          <w:rFonts w:ascii="Arial" w:eastAsia="Calibri" w:hAnsi="Arial" w:cs="Arial"/>
        </w:rPr>
        <w:t>a</w:t>
      </w:r>
      <w:r w:rsidR="00BC1B0E">
        <w:rPr>
          <w:rFonts w:ascii="Arial" w:eastAsia="Calibri" w:hAnsi="Arial" w:cs="Arial"/>
        </w:rPr>
        <w:t>n</w:t>
      </w:r>
      <w:r w:rsidR="00BD13C1">
        <w:rPr>
          <w:rFonts w:ascii="Arial" w:eastAsia="Calibri" w:hAnsi="Arial" w:cs="Arial"/>
        </w:rPr>
        <w:t>dlowej</w:t>
      </w:r>
      <w:r w:rsidRPr="00044750">
        <w:rPr>
          <w:rFonts w:ascii="Arial" w:eastAsia="Calibri" w:hAnsi="Arial" w:cs="Arial"/>
        </w:rPr>
        <w:t>, czasy jazdy pociągów oraz długości ich tras dotyczą pociągów, których rozkład jazdy został zarządzony do realizacji w Systemie Konstrukcji Rozkładu Jazdy</w:t>
      </w:r>
      <w:r w:rsidR="00855638">
        <w:rPr>
          <w:rFonts w:ascii="Arial" w:eastAsia="Calibri" w:hAnsi="Arial" w:cs="Arial"/>
        </w:rPr>
        <w:t>.</w:t>
      </w:r>
    </w:p>
    <w:p w14:paraId="0A277AE5" w14:textId="77777777" w:rsidR="007B50F4" w:rsidRPr="009B6B2D" w:rsidRDefault="007B50F4" w:rsidP="00AC68D4">
      <w:pPr>
        <w:numPr>
          <w:ilvl w:val="0"/>
          <w:numId w:val="11"/>
        </w:numPr>
        <w:spacing w:before="240" w:after="240"/>
        <w:rPr>
          <w:rFonts w:ascii="Arial" w:hAnsi="Arial" w:cs="Arial"/>
        </w:rPr>
      </w:pPr>
      <w:r w:rsidRPr="009B6B2D">
        <w:rPr>
          <w:rFonts w:ascii="Arial" w:hAnsi="Arial" w:cs="Arial"/>
        </w:rPr>
        <w:t>Wartość oczekiwana</w:t>
      </w:r>
    </w:p>
    <w:p w14:paraId="27A25D0A" w14:textId="77777777" w:rsidR="007B50F4" w:rsidRPr="007B50F4" w:rsidRDefault="007B50F4" w:rsidP="00BD1502">
      <w:pPr>
        <w:pStyle w:val="Akapitzlist"/>
        <w:numPr>
          <w:ilvl w:val="1"/>
          <w:numId w:val="7"/>
        </w:numPr>
        <w:tabs>
          <w:tab w:val="left" w:pos="0"/>
        </w:tabs>
        <w:autoSpaceDE w:val="0"/>
        <w:autoSpaceDN w:val="0"/>
        <w:adjustRightInd w:val="0"/>
        <w:spacing w:before="0"/>
        <w:ind w:left="567" w:hanging="567"/>
        <w:rPr>
          <w:rFonts w:ascii="Arial" w:eastAsia="Times New Roman" w:hAnsi="Arial" w:cs="Arial"/>
          <w:bCs/>
          <w:kern w:val="28"/>
          <w:lang w:eastAsia="pl-PL"/>
        </w:rPr>
      </w:pPr>
      <w:r>
        <w:rPr>
          <w:rFonts w:ascii="Arial" w:eastAsia="Times New Roman" w:hAnsi="Arial" w:cs="Arial"/>
          <w:bCs/>
          <w:kern w:val="28"/>
          <w:lang w:eastAsia="pl-PL"/>
        </w:rPr>
        <w:t>W</w:t>
      </w:r>
      <w:r w:rsidRPr="007B50F4">
        <w:rPr>
          <w:rFonts w:ascii="Arial" w:eastAsia="Times New Roman" w:hAnsi="Arial" w:cs="Arial"/>
          <w:bCs/>
          <w:kern w:val="28"/>
          <w:lang w:eastAsia="pl-PL"/>
        </w:rPr>
        <w:t>skaźnik podlega monitorowaniu w cyklu rocznym,</w:t>
      </w:r>
      <w:r w:rsidR="00D33D97">
        <w:rPr>
          <w:rFonts w:ascii="Arial" w:eastAsia="Times New Roman" w:hAnsi="Arial" w:cs="Arial"/>
          <w:bCs/>
          <w:kern w:val="28"/>
          <w:lang w:eastAsia="pl-PL"/>
        </w:rPr>
        <w:t xml:space="preserve"> z zastrzeżeniem pkt. 3.</w:t>
      </w:r>
      <w:r w:rsidRPr="007B50F4">
        <w:rPr>
          <w:rFonts w:ascii="Arial" w:eastAsia="Times New Roman" w:hAnsi="Arial" w:cs="Arial"/>
          <w:bCs/>
          <w:kern w:val="28"/>
          <w:lang w:eastAsia="pl-PL"/>
        </w:rPr>
        <w:t xml:space="preserve">, </w:t>
      </w:r>
    </w:p>
    <w:p w14:paraId="1AD804CE" w14:textId="1691B75B" w:rsidR="007B50F4" w:rsidRPr="006E3A87" w:rsidRDefault="00971027" w:rsidP="00EC6D1E">
      <w:pPr>
        <w:pStyle w:val="Akapitzlist"/>
        <w:numPr>
          <w:ilvl w:val="1"/>
          <w:numId w:val="7"/>
        </w:numPr>
        <w:tabs>
          <w:tab w:val="left" w:pos="0"/>
        </w:tabs>
        <w:autoSpaceDE w:val="0"/>
        <w:autoSpaceDN w:val="0"/>
        <w:adjustRightInd w:val="0"/>
        <w:spacing w:before="0"/>
        <w:ind w:left="567" w:hanging="567"/>
        <w:rPr>
          <w:rFonts w:ascii="Arial" w:eastAsia="Times New Roman" w:hAnsi="Arial" w:cs="Arial"/>
          <w:bCs/>
          <w:kern w:val="28"/>
          <w:lang w:eastAsia="pl-PL"/>
        </w:rPr>
      </w:pPr>
      <w:r>
        <w:rPr>
          <w:rFonts w:ascii="Arial" w:eastAsia="Times New Roman" w:hAnsi="Arial" w:cs="Arial"/>
          <w:bCs/>
          <w:kern w:val="28"/>
          <w:lang w:eastAsia="pl-PL"/>
        </w:rPr>
        <w:t>Z uwagi na aglomeracyjny charakter linii</w:t>
      </w:r>
      <w:r w:rsidR="00A94A14">
        <w:rPr>
          <w:rFonts w:ascii="Arial" w:eastAsia="Times New Roman" w:hAnsi="Arial" w:cs="Arial"/>
          <w:bCs/>
          <w:kern w:val="28"/>
          <w:lang w:eastAsia="pl-PL"/>
        </w:rPr>
        <w:t xml:space="preserve"> Zarządca zobowiązany jest utrzymać średnią prędkość kursowania pociągów </w:t>
      </w:r>
      <w:r w:rsidR="00C24CB2" w:rsidRPr="00C24CB2">
        <w:rPr>
          <w:rFonts w:ascii="Arial" w:eastAsia="Times New Roman" w:hAnsi="Arial" w:cs="Arial"/>
          <w:bCs/>
          <w:kern w:val="28"/>
          <w:lang w:eastAsia="pl-PL"/>
        </w:rPr>
        <w:t>(</w:t>
      </w:r>
      <w:r w:rsidR="00425345">
        <w:rPr>
          <w:rFonts w:ascii="Arial" w:eastAsia="Times New Roman" w:hAnsi="Arial" w:cs="Arial"/>
          <w:bCs/>
          <w:kern w:val="28"/>
          <w:lang w:eastAsia="pl-PL"/>
        </w:rPr>
        <w:t>p</w:t>
      </w:r>
      <w:r w:rsidR="00C24CB2" w:rsidRPr="00C24CB2">
        <w:rPr>
          <w:rFonts w:ascii="Arial" w:eastAsia="Times New Roman" w:hAnsi="Arial" w:cs="Arial"/>
          <w:bCs/>
          <w:kern w:val="28"/>
          <w:lang w:eastAsia="pl-PL"/>
        </w:rPr>
        <w:t xml:space="preserve">rędkość </w:t>
      </w:r>
      <w:r w:rsidR="00425345">
        <w:rPr>
          <w:rFonts w:ascii="Arial" w:eastAsia="Times New Roman" w:hAnsi="Arial" w:cs="Arial"/>
          <w:bCs/>
          <w:kern w:val="28"/>
          <w:lang w:eastAsia="pl-PL"/>
        </w:rPr>
        <w:t>h</w:t>
      </w:r>
      <w:r w:rsidR="00C24CB2" w:rsidRPr="00C24CB2">
        <w:rPr>
          <w:rFonts w:ascii="Arial" w:eastAsia="Times New Roman" w:hAnsi="Arial" w:cs="Arial"/>
          <w:bCs/>
          <w:kern w:val="28"/>
          <w:lang w:eastAsia="pl-PL"/>
        </w:rPr>
        <w:t>andlow</w:t>
      </w:r>
      <w:r w:rsidR="00C24CB2">
        <w:rPr>
          <w:rFonts w:ascii="Arial" w:eastAsia="Times New Roman" w:hAnsi="Arial" w:cs="Arial"/>
          <w:bCs/>
          <w:kern w:val="28"/>
          <w:lang w:eastAsia="pl-PL"/>
        </w:rPr>
        <w:t>ą</w:t>
      </w:r>
      <w:r w:rsidR="00C24CB2" w:rsidRPr="00C24CB2">
        <w:rPr>
          <w:rFonts w:ascii="Arial" w:eastAsia="Times New Roman" w:hAnsi="Arial" w:cs="Arial"/>
          <w:bCs/>
          <w:kern w:val="28"/>
          <w:lang w:eastAsia="pl-PL"/>
        </w:rPr>
        <w:t xml:space="preserve"> w km/h) na eksploatowanej linii kolejowej nr 250 pomniejszon</w:t>
      </w:r>
      <w:r w:rsidR="00C24CB2">
        <w:rPr>
          <w:rFonts w:ascii="Arial" w:eastAsia="Times New Roman" w:hAnsi="Arial" w:cs="Arial"/>
          <w:bCs/>
          <w:kern w:val="28"/>
          <w:lang w:eastAsia="pl-PL"/>
        </w:rPr>
        <w:t>ą</w:t>
      </w:r>
      <w:r w:rsidR="00C24CB2" w:rsidRPr="00C24CB2">
        <w:rPr>
          <w:rFonts w:ascii="Arial" w:eastAsia="Times New Roman" w:hAnsi="Arial" w:cs="Arial"/>
          <w:bCs/>
          <w:kern w:val="28"/>
          <w:lang w:eastAsia="pl-PL"/>
        </w:rPr>
        <w:t xml:space="preserve"> o planowe postoje przewoźników wg rozkładu jazdy</w:t>
      </w:r>
      <w:r w:rsidR="00747E03">
        <w:rPr>
          <w:rFonts w:ascii="Arial" w:eastAsia="Times New Roman" w:hAnsi="Arial" w:cs="Arial"/>
          <w:bCs/>
          <w:kern w:val="28"/>
          <w:lang w:eastAsia="pl-PL"/>
        </w:rPr>
        <w:t xml:space="preserve">. </w:t>
      </w:r>
      <w:r w:rsidR="00EC6D1E">
        <w:rPr>
          <w:rFonts w:ascii="Arial" w:eastAsia="Times New Roman" w:hAnsi="Arial" w:cs="Arial"/>
          <w:bCs/>
          <w:kern w:val="28"/>
          <w:lang w:eastAsia="pl-PL"/>
        </w:rPr>
        <w:br/>
      </w:r>
      <w:r w:rsidR="00747E03">
        <w:rPr>
          <w:rFonts w:ascii="Arial" w:eastAsia="Times New Roman" w:hAnsi="Arial" w:cs="Arial"/>
          <w:bCs/>
          <w:kern w:val="28"/>
          <w:lang w:eastAsia="pl-PL"/>
        </w:rPr>
        <w:t xml:space="preserve">Z tego względu Zarządca zobowiązany jest zapewnić uzyskanie następujących wartości wskaźnika w </w:t>
      </w:r>
      <w:r w:rsidR="00BD13C1">
        <w:rPr>
          <w:rFonts w:ascii="Arial" w:eastAsia="Times New Roman" w:hAnsi="Arial" w:cs="Arial"/>
          <w:bCs/>
          <w:kern w:val="28"/>
          <w:lang w:eastAsia="pl-PL"/>
        </w:rPr>
        <w:t>poszczególnych latach obowiązywania Umowy</w:t>
      </w:r>
      <w:r w:rsidR="00747E03">
        <w:rPr>
          <w:rFonts w:ascii="Arial" w:eastAsia="Times New Roman" w:hAnsi="Arial" w:cs="Arial"/>
          <w:bCs/>
          <w:kern w:val="28"/>
          <w:lang w:eastAsia="pl-PL"/>
        </w:rPr>
        <w:t>:</w:t>
      </w:r>
    </w:p>
    <w:p w14:paraId="6C3D00D7" w14:textId="77777777" w:rsidR="007B50F4" w:rsidRDefault="007B50F4" w:rsidP="007B50F4">
      <w:pPr>
        <w:rPr>
          <w:rFonts w:ascii="Arial" w:eastAsia="Times New Roman" w:hAnsi="Arial" w:cs="Arial"/>
          <w:kern w:val="28"/>
          <w:lang w:eastAsia="pl-PL"/>
        </w:rPr>
      </w:pPr>
    </w:p>
    <w:tbl>
      <w:tblPr>
        <w:tblW w:w="5000" w:type="pct"/>
        <w:jc w:val="center"/>
        <w:tblLayout w:type="fixed"/>
        <w:tblCellMar>
          <w:left w:w="0" w:type="dxa"/>
          <w:right w:w="0" w:type="dxa"/>
        </w:tblCellMar>
        <w:tblLook w:val="04A0" w:firstRow="1" w:lastRow="0" w:firstColumn="1" w:lastColumn="0" w:noHBand="0" w:noVBand="1"/>
      </w:tblPr>
      <w:tblGrid>
        <w:gridCol w:w="3111"/>
        <w:gridCol w:w="1125"/>
        <w:gridCol w:w="1243"/>
        <w:gridCol w:w="1239"/>
        <w:gridCol w:w="1239"/>
        <w:gridCol w:w="1238"/>
      </w:tblGrid>
      <w:tr w:rsidR="00BD13C1" w:rsidRPr="00C949B9" w14:paraId="081C85D7" w14:textId="25671BE8" w:rsidTr="006027A8">
        <w:trPr>
          <w:trHeight w:val="256"/>
          <w:jc w:val="center"/>
        </w:trPr>
        <w:tc>
          <w:tcPr>
            <w:tcW w:w="1691" w:type="pct"/>
            <w:vMerge w:val="restart"/>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7B56262C" w14:textId="77777777" w:rsidR="00BD13C1" w:rsidRPr="00E212D7" w:rsidRDefault="00BD13C1" w:rsidP="00C949B9">
            <w:pPr>
              <w:rPr>
                <w:rFonts w:ascii="Arial" w:eastAsia="Times New Roman" w:hAnsi="Arial" w:cs="Arial"/>
                <w:kern w:val="28"/>
                <w:sz w:val="20"/>
                <w:szCs w:val="20"/>
                <w:lang w:eastAsia="pl-PL"/>
              </w:rPr>
            </w:pPr>
            <w:r w:rsidRPr="00E212D7">
              <w:rPr>
                <w:rFonts w:ascii="Arial" w:eastAsia="Times New Roman" w:hAnsi="Arial" w:cs="Arial"/>
                <w:kern w:val="28"/>
                <w:sz w:val="20"/>
                <w:szCs w:val="20"/>
                <w:lang w:eastAsia="pl-PL"/>
              </w:rPr>
              <w:t>Wskaźnik [km/h]</w:t>
            </w:r>
          </w:p>
        </w:tc>
        <w:tc>
          <w:tcPr>
            <w:tcW w:w="3309" w:type="pct"/>
            <w:gridSpan w:val="5"/>
            <w:tcBorders>
              <w:top w:val="single" w:sz="4" w:space="0" w:color="auto"/>
              <w:left w:val="single" w:sz="4" w:space="0" w:color="auto"/>
              <w:bottom w:val="single" w:sz="4" w:space="0" w:color="auto"/>
              <w:right w:val="single" w:sz="8" w:space="0" w:color="auto"/>
            </w:tcBorders>
            <w:vAlign w:val="center"/>
          </w:tcPr>
          <w:p w14:paraId="7FA6578A" w14:textId="6DD21368" w:rsidR="00BD13C1" w:rsidRPr="004D35BE" w:rsidRDefault="00BD13C1" w:rsidP="008063F1">
            <w:pPr>
              <w:jc w:val="center"/>
              <w:rPr>
                <w:rFonts w:ascii="Arial" w:eastAsia="Times New Roman" w:hAnsi="Arial" w:cs="Arial"/>
                <w:kern w:val="28"/>
                <w:sz w:val="20"/>
                <w:szCs w:val="20"/>
                <w:lang w:eastAsia="pl-PL"/>
              </w:rPr>
            </w:pPr>
            <w:r w:rsidRPr="004D35BE">
              <w:rPr>
                <w:rFonts w:ascii="Arial" w:eastAsia="Times New Roman" w:hAnsi="Arial" w:cs="Arial"/>
                <w:kern w:val="28"/>
                <w:sz w:val="20"/>
                <w:szCs w:val="20"/>
                <w:lang w:eastAsia="pl-PL"/>
              </w:rPr>
              <w:t>Oczekiwana wartość wskaźnika w latach</w:t>
            </w:r>
          </w:p>
        </w:tc>
      </w:tr>
      <w:tr w:rsidR="00BD13C1" w:rsidRPr="00C949B9" w14:paraId="6009EF06" w14:textId="2B79352E" w:rsidTr="006027A8">
        <w:trPr>
          <w:trHeight w:val="102"/>
          <w:jc w:val="center"/>
        </w:trPr>
        <w:tc>
          <w:tcPr>
            <w:tcW w:w="1691" w:type="pct"/>
            <w:vMerge/>
            <w:tcBorders>
              <w:top w:val="single" w:sz="8" w:space="0" w:color="auto"/>
              <w:left w:val="single" w:sz="8" w:space="0" w:color="auto"/>
              <w:bottom w:val="single" w:sz="8" w:space="0" w:color="auto"/>
              <w:right w:val="single" w:sz="8" w:space="0" w:color="auto"/>
            </w:tcBorders>
            <w:vAlign w:val="center"/>
            <w:hideMark/>
          </w:tcPr>
          <w:p w14:paraId="494732FD" w14:textId="77777777" w:rsidR="00BD13C1" w:rsidRPr="00E212D7" w:rsidRDefault="00BD13C1" w:rsidP="00971027">
            <w:pPr>
              <w:spacing w:before="0"/>
              <w:rPr>
                <w:rFonts w:ascii="Arial" w:eastAsia="Times New Roman" w:hAnsi="Arial" w:cs="Arial"/>
                <w:kern w:val="28"/>
                <w:sz w:val="20"/>
                <w:szCs w:val="20"/>
                <w:lang w:eastAsia="pl-PL"/>
              </w:rPr>
            </w:pPr>
          </w:p>
        </w:tc>
        <w:tc>
          <w:tcPr>
            <w:tcW w:w="612" w:type="pct"/>
            <w:tcBorders>
              <w:top w:val="single" w:sz="8" w:space="0" w:color="auto"/>
              <w:left w:val="single" w:sz="8" w:space="0" w:color="auto"/>
              <w:bottom w:val="single" w:sz="8" w:space="0" w:color="auto"/>
              <w:right w:val="single" w:sz="8" w:space="0" w:color="auto"/>
            </w:tcBorders>
          </w:tcPr>
          <w:p w14:paraId="6F732CDB" w14:textId="710D290C" w:rsidR="00BD13C1" w:rsidRPr="00971027" w:rsidRDefault="00BD13C1" w:rsidP="00971027">
            <w:pPr>
              <w:jc w:val="center"/>
            </w:pPr>
            <w:r>
              <w:rPr>
                <w:rFonts w:ascii="Arial" w:eastAsia="Times New Roman" w:hAnsi="Arial" w:cs="Arial"/>
                <w:kern w:val="28"/>
                <w:sz w:val="20"/>
                <w:szCs w:val="20"/>
                <w:lang w:eastAsia="pl-PL"/>
              </w:rPr>
              <w:t>2024</w:t>
            </w:r>
          </w:p>
        </w:tc>
        <w:tc>
          <w:tcPr>
            <w:tcW w:w="676" w:type="pct"/>
            <w:tcBorders>
              <w:top w:val="single" w:sz="8" w:space="0" w:color="auto"/>
              <w:left w:val="single" w:sz="8" w:space="0" w:color="auto"/>
              <w:bottom w:val="single" w:sz="8" w:space="0" w:color="auto"/>
              <w:right w:val="single" w:sz="8" w:space="0" w:color="auto"/>
            </w:tcBorders>
          </w:tcPr>
          <w:p w14:paraId="308CB88F" w14:textId="2F7F56F1" w:rsidR="00BD13C1" w:rsidRPr="00971027" w:rsidRDefault="00BD13C1" w:rsidP="00971027">
            <w:pPr>
              <w:jc w:val="center"/>
            </w:pPr>
            <w:r>
              <w:rPr>
                <w:rFonts w:ascii="Arial" w:eastAsia="Times New Roman" w:hAnsi="Arial" w:cs="Arial"/>
                <w:kern w:val="28"/>
                <w:sz w:val="20"/>
                <w:szCs w:val="20"/>
                <w:lang w:eastAsia="pl-PL"/>
              </w:rPr>
              <w:t>2025</w:t>
            </w:r>
          </w:p>
        </w:tc>
        <w:tc>
          <w:tcPr>
            <w:tcW w:w="674" w:type="pct"/>
            <w:tcBorders>
              <w:top w:val="single" w:sz="8" w:space="0" w:color="auto"/>
              <w:left w:val="single" w:sz="8" w:space="0" w:color="auto"/>
              <w:bottom w:val="single" w:sz="8" w:space="0" w:color="auto"/>
              <w:right w:val="single" w:sz="8" w:space="0" w:color="auto"/>
            </w:tcBorders>
          </w:tcPr>
          <w:p w14:paraId="53F102EC" w14:textId="7AAD261D" w:rsidR="00BD13C1" w:rsidRPr="00971027" w:rsidRDefault="00BD13C1" w:rsidP="005E007F">
            <w:pPr>
              <w:jc w:val="center"/>
            </w:pPr>
            <w:r>
              <w:rPr>
                <w:rFonts w:ascii="Arial" w:eastAsia="Times New Roman" w:hAnsi="Arial" w:cs="Arial"/>
                <w:kern w:val="28"/>
                <w:sz w:val="20"/>
                <w:szCs w:val="20"/>
                <w:lang w:eastAsia="pl-PL"/>
              </w:rPr>
              <w:t>2026</w:t>
            </w:r>
            <w:r w:rsidRPr="00971027">
              <w:rPr>
                <w:rFonts w:ascii="Arial" w:eastAsia="Times New Roman" w:hAnsi="Arial" w:cs="Arial"/>
                <w:kern w:val="28"/>
                <w:sz w:val="20"/>
                <w:szCs w:val="20"/>
                <w:lang w:eastAsia="pl-PL"/>
              </w:rPr>
              <w:t xml:space="preserve"> </w:t>
            </w:r>
          </w:p>
        </w:tc>
        <w:tc>
          <w:tcPr>
            <w:tcW w:w="674" w:type="pct"/>
            <w:tcBorders>
              <w:top w:val="single" w:sz="8" w:space="0" w:color="auto"/>
              <w:left w:val="single" w:sz="8" w:space="0" w:color="auto"/>
              <w:bottom w:val="single" w:sz="8" w:space="0" w:color="auto"/>
              <w:right w:val="single" w:sz="8" w:space="0" w:color="auto"/>
            </w:tcBorders>
          </w:tcPr>
          <w:p w14:paraId="1A50AEC5" w14:textId="0A4156AE" w:rsidR="00BD13C1" w:rsidRDefault="00BD13C1" w:rsidP="006027A8">
            <w:pPr>
              <w:jc w:val="center"/>
              <w:rPr>
                <w:rFonts w:ascii="Arial" w:eastAsia="Times New Roman" w:hAnsi="Arial" w:cs="Arial"/>
                <w:kern w:val="28"/>
                <w:sz w:val="20"/>
                <w:szCs w:val="20"/>
                <w:lang w:eastAsia="pl-PL"/>
              </w:rPr>
            </w:pPr>
            <w:r>
              <w:rPr>
                <w:rFonts w:ascii="Arial" w:eastAsia="Times New Roman" w:hAnsi="Arial" w:cs="Arial"/>
                <w:kern w:val="28"/>
                <w:sz w:val="20"/>
                <w:szCs w:val="20"/>
                <w:lang w:eastAsia="pl-PL"/>
              </w:rPr>
              <w:t>2027</w:t>
            </w:r>
          </w:p>
        </w:tc>
        <w:tc>
          <w:tcPr>
            <w:tcW w:w="674" w:type="pct"/>
            <w:tcBorders>
              <w:top w:val="single" w:sz="8" w:space="0" w:color="auto"/>
              <w:left w:val="single" w:sz="8" w:space="0" w:color="auto"/>
              <w:bottom w:val="single" w:sz="8" w:space="0" w:color="auto"/>
              <w:right w:val="single" w:sz="8" w:space="0" w:color="auto"/>
            </w:tcBorders>
          </w:tcPr>
          <w:p w14:paraId="63F9FCDA" w14:textId="3378DCC6" w:rsidR="00BD13C1" w:rsidRDefault="00BD13C1" w:rsidP="006027A8">
            <w:pPr>
              <w:jc w:val="center"/>
              <w:rPr>
                <w:rFonts w:ascii="Arial" w:eastAsia="Times New Roman" w:hAnsi="Arial" w:cs="Arial"/>
                <w:kern w:val="28"/>
                <w:sz w:val="20"/>
                <w:szCs w:val="20"/>
                <w:lang w:eastAsia="pl-PL"/>
              </w:rPr>
            </w:pPr>
            <w:r>
              <w:rPr>
                <w:rFonts w:ascii="Arial" w:eastAsia="Times New Roman" w:hAnsi="Arial" w:cs="Arial"/>
                <w:kern w:val="28"/>
                <w:sz w:val="20"/>
                <w:szCs w:val="20"/>
                <w:lang w:eastAsia="pl-PL"/>
              </w:rPr>
              <w:t>2028</w:t>
            </w:r>
          </w:p>
        </w:tc>
      </w:tr>
      <w:tr w:rsidR="00BD13C1" w:rsidRPr="006C0B0D" w14:paraId="70FCDAA0" w14:textId="08661A8E" w:rsidTr="006027A8">
        <w:trPr>
          <w:trHeight w:val="427"/>
          <w:jc w:val="center"/>
        </w:trPr>
        <w:tc>
          <w:tcPr>
            <w:tcW w:w="1691"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23AA78" w14:textId="774981FB" w:rsidR="00BD13C1" w:rsidRPr="006C0B0D" w:rsidRDefault="00964EF0" w:rsidP="00964EF0">
            <w:pPr>
              <w:spacing w:before="0"/>
              <w:jc w:val="left"/>
              <w:rPr>
                <w:rFonts w:ascii="Arial" w:eastAsia="Times New Roman" w:hAnsi="Arial" w:cs="Arial"/>
                <w:kern w:val="28"/>
                <w:sz w:val="20"/>
                <w:szCs w:val="20"/>
                <w:lang w:eastAsia="pl-PL"/>
              </w:rPr>
            </w:pPr>
            <w:r w:rsidRPr="00964EF0">
              <w:rPr>
                <w:rFonts w:ascii="Arial" w:eastAsia="Times New Roman" w:hAnsi="Arial" w:cs="Arial"/>
                <w:kern w:val="28"/>
                <w:lang w:eastAsia="pl-PL"/>
              </w:rPr>
              <w:t xml:space="preserve">Średnia prędkość kursowania pociągów (prędkość handlowa w km/h) </w:t>
            </w:r>
            <w:r w:rsidRPr="00964EF0">
              <w:rPr>
                <w:rFonts w:ascii="Arial" w:eastAsia="Times New Roman" w:hAnsi="Arial" w:cs="Arial"/>
                <w:kern w:val="28"/>
                <w:lang w:eastAsia="pl-PL"/>
              </w:rPr>
              <w:br/>
              <w:t xml:space="preserve">na eksploatowanej linii kolejowej nr 250 pomniejszona o planowe postoje przewoźników </w:t>
            </w:r>
            <w:r>
              <w:rPr>
                <w:rFonts w:ascii="Arial" w:eastAsia="Times New Roman" w:hAnsi="Arial" w:cs="Arial"/>
                <w:kern w:val="28"/>
                <w:lang w:eastAsia="pl-PL"/>
              </w:rPr>
              <w:br/>
            </w:r>
            <w:r w:rsidRPr="00964EF0">
              <w:rPr>
                <w:rFonts w:ascii="Arial" w:eastAsia="Times New Roman" w:hAnsi="Arial" w:cs="Arial"/>
                <w:kern w:val="28"/>
                <w:lang w:eastAsia="pl-PL"/>
              </w:rPr>
              <w:t>wg rozkładu jazdy (km/h)</w:t>
            </w:r>
          </w:p>
        </w:tc>
        <w:tc>
          <w:tcPr>
            <w:tcW w:w="612" w:type="pct"/>
            <w:tcBorders>
              <w:top w:val="single" w:sz="8" w:space="0" w:color="auto"/>
              <w:left w:val="single" w:sz="8" w:space="0" w:color="auto"/>
              <w:bottom w:val="single" w:sz="8" w:space="0" w:color="auto"/>
              <w:right w:val="single" w:sz="8" w:space="0" w:color="auto"/>
            </w:tcBorders>
          </w:tcPr>
          <w:p w14:paraId="0B2024A8" w14:textId="26002EAC" w:rsidR="00BD13C1" w:rsidRPr="006C0B0D" w:rsidRDefault="00BD13C1" w:rsidP="00567C31">
            <w:pPr>
              <w:jc w:val="center"/>
            </w:pPr>
            <w:r w:rsidRPr="006C0B0D">
              <w:rPr>
                <w:rFonts w:ascii="Arial" w:eastAsia="Times New Roman" w:hAnsi="Arial" w:cs="Arial"/>
                <w:kern w:val="28"/>
                <w:sz w:val="20"/>
                <w:szCs w:val="20"/>
                <w:lang w:eastAsia="pl-PL"/>
              </w:rPr>
              <w:t>≥</w:t>
            </w:r>
            <w:r w:rsidR="006027A8">
              <w:rPr>
                <w:rFonts w:ascii="Arial" w:eastAsia="Times New Roman" w:hAnsi="Arial" w:cs="Arial"/>
                <w:kern w:val="28"/>
                <w:sz w:val="20"/>
                <w:szCs w:val="20"/>
                <w:lang w:eastAsia="pl-PL"/>
              </w:rPr>
              <w:t>40</w:t>
            </w:r>
          </w:p>
        </w:tc>
        <w:tc>
          <w:tcPr>
            <w:tcW w:w="676" w:type="pct"/>
            <w:tcBorders>
              <w:top w:val="single" w:sz="8" w:space="0" w:color="auto"/>
              <w:left w:val="single" w:sz="8" w:space="0" w:color="auto"/>
              <w:bottom w:val="single" w:sz="8" w:space="0" w:color="auto"/>
              <w:right w:val="single" w:sz="8" w:space="0" w:color="auto"/>
            </w:tcBorders>
          </w:tcPr>
          <w:p w14:paraId="6B2AF208" w14:textId="0C88B093" w:rsidR="00BD13C1" w:rsidRPr="006C0B0D" w:rsidRDefault="00BD13C1" w:rsidP="00971027">
            <w:pPr>
              <w:jc w:val="center"/>
            </w:pPr>
            <w:r w:rsidRPr="006C0B0D">
              <w:rPr>
                <w:rFonts w:ascii="Arial" w:eastAsia="Times New Roman" w:hAnsi="Arial" w:cs="Arial"/>
                <w:kern w:val="28"/>
                <w:sz w:val="20"/>
                <w:szCs w:val="20"/>
                <w:lang w:eastAsia="pl-PL"/>
              </w:rPr>
              <w:t>≥</w:t>
            </w:r>
            <w:r w:rsidR="006027A8">
              <w:rPr>
                <w:rFonts w:ascii="Arial" w:eastAsia="Times New Roman" w:hAnsi="Arial" w:cs="Arial"/>
                <w:kern w:val="28"/>
                <w:sz w:val="20"/>
                <w:szCs w:val="20"/>
                <w:lang w:eastAsia="pl-PL"/>
              </w:rPr>
              <w:t>40</w:t>
            </w:r>
          </w:p>
        </w:tc>
        <w:tc>
          <w:tcPr>
            <w:tcW w:w="674" w:type="pct"/>
            <w:tcBorders>
              <w:top w:val="single" w:sz="8" w:space="0" w:color="auto"/>
              <w:left w:val="single" w:sz="8" w:space="0" w:color="auto"/>
              <w:bottom w:val="single" w:sz="8" w:space="0" w:color="auto"/>
              <w:right w:val="single" w:sz="8" w:space="0" w:color="auto"/>
            </w:tcBorders>
          </w:tcPr>
          <w:p w14:paraId="6994152A" w14:textId="4FB7308B" w:rsidR="00BD13C1" w:rsidRPr="006C0B0D" w:rsidRDefault="00BD13C1" w:rsidP="00971027">
            <w:pPr>
              <w:jc w:val="center"/>
            </w:pPr>
            <w:r w:rsidRPr="006C0B0D">
              <w:rPr>
                <w:rFonts w:ascii="Arial" w:eastAsia="Times New Roman" w:hAnsi="Arial" w:cs="Arial"/>
                <w:kern w:val="28"/>
                <w:sz w:val="20"/>
                <w:szCs w:val="20"/>
                <w:lang w:eastAsia="pl-PL"/>
              </w:rPr>
              <w:t>≥</w:t>
            </w:r>
            <w:r w:rsidR="006027A8">
              <w:rPr>
                <w:rFonts w:ascii="Arial" w:eastAsia="Times New Roman" w:hAnsi="Arial" w:cs="Arial"/>
                <w:kern w:val="28"/>
                <w:sz w:val="20"/>
                <w:szCs w:val="20"/>
                <w:lang w:eastAsia="pl-PL"/>
              </w:rPr>
              <w:t>40</w:t>
            </w:r>
          </w:p>
        </w:tc>
        <w:tc>
          <w:tcPr>
            <w:tcW w:w="674" w:type="pct"/>
            <w:tcBorders>
              <w:top w:val="single" w:sz="8" w:space="0" w:color="auto"/>
              <w:left w:val="single" w:sz="8" w:space="0" w:color="auto"/>
              <w:bottom w:val="single" w:sz="8" w:space="0" w:color="auto"/>
              <w:right w:val="single" w:sz="8" w:space="0" w:color="auto"/>
            </w:tcBorders>
          </w:tcPr>
          <w:p w14:paraId="4A8160F8" w14:textId="55BAADD6" w:rsidR="00BD13C1" w:rsidRPr="006C0B0D" w:rsidRDefault="006027A8" w:rsidP="00971027">
            <w:pPr>
              <w:jc w:val="center"/>
              <w:rPr>
                <w:rFonts w:ascii="Arial" w:eastAsia="Times New Roman" w:hAnsi="Arial" w:cs="Arial"/>
                <w:kern w:val="28"/>
                <w:sz w:val="20"/>
                <w:szCs w:val="20"/>
                <w:lang w:eastAsia="pl-PL"/>
              </w:rPr>
            </w:pPr>
            <w:r>
              <w:rPr>
                <w:rFonts w:ascii="Arial" w:eastAsia="Times New Roman" w:hAnsi="Arial" w:cs="Arial"/>
                <w:kern w:val="28"/>
                <w:sz w:val="20"/>
                <w:szCs w:val="20"/>
                <w:lang w:eastAsia="pl-PL"/>
              </w:rPr>
              <w:t>≥40</w:t>
            </w:r>
          </w:p>
        </w:tc>
        <w:tc>
          <w:tcPr>
            <w:tcW w:w="674" w:type="pct"/>
            <w:tcBorders>
              <w:top w:val="single" w:sz="8" w:space="0" w:color="auto"/>
              <w:left w:val="single" w:sz="8" w:space="0" w:color="auto"/>
              <w:bottom w:val="single" w:sz="8" w:space="0" w:color="auto"/>
              <w:right w:val="single" w:sz="8" w:space="0" w:color="auto"/>
            </w:tcBorders>
          </w:tcPr>
          <w:p w14:paraId="50156784" w14:textId="13E0E116" w:rsidR="00BD13C1" w:rsidRPr="006C0B0D" w:rsidRDefault="006027A8" w:rsidP="00971027">
            <w:pPr>
              <w:jc w:val="center"/>
              <w:rPr>
                <w:rFonts w:ascii="Arial" w:eastAsia="Times New Roman" w:hAnsi="Arial" w:cs="Arial"/>
                <w:kern w:val="28"/>
                <w:sz w:val="20"/>
                <w:szCs w:val="20"/>
                <w:lang w:eastAsia="pl-PL"/>
              </w:rPr>
            </w:pPr>
            <w:r>
              <w:rPr>
                <w:rFonts w:ascii="Arial" w:eastAsia="Times New Roman" w:hAnsi="Arial" w:cs="Arial"/>
                <w:kern w:val="28"/>
                <w:sz w:val="20"/>
                <w:szCs w:val="20"/>
                <w:lang w:eastAsia="pl-PL"/>
              </w:rPr>
              <w:t>≥40</w:t>
            </w:r>
          </w:p>
        </w:tc>
      </w:tr>
    </w:tbl>
    <w:p w14:paraId="2F5C1B52" w14:textId="77777777" w:rsidR="000F0B5F" w:rsidRPr="000F0B5F" w:rsidRDefault="000F0B5F" w:rsidP="000F0B5F">
      <w:pPr>
        <w:pStyle w:val="Akapitzlist"/>
        <w:tabs>
          <w:tab w:val="left" w:pos="0"/>
        </w:tabs>
        <w:autoSpaceDE w:val="0"/>
        <w:autoSpaceDN w:val="0"/>
        <w:adjustRightInd w:val="0"/>
        <w:spacing w:before="0" w:after="480"/>
        <w:ind w:left="567"/>
        <w:jc w:val="left"/>
        <w:rPr>
          <w:rFonts w:ascii="Arial" w:eastAsia="Times New Roman" w:hAnsi="Arial" w:cs="Arial"/>
          <w:kern w:val="28"/>
          <w:lang w:eastAsia="pl-PL"/>
        </w:rPr>
      </w:pPr>
    </w:p>
    <w:p w14:paraId="7B90E18B" w14:textId="77777777" w:rsidR="00A94A14" w:rsidRPr="007A1996" w:rsidRDefault="007B50F4" w:rsidP="00F31452">
      <w:pPr>
        <w:pStyle w:val="Akapitzlist"/>
        <w:numPr>
          <w:ilvl w:val="2"/>
          <w:numId w:val="4"/>
        </w:numPr>
        <w:tabs>
          <w:tab w:val="left" w:pos="0"/>
        </w:tabs>
        <w:autoSpaceDE w:val="0"/>
        <w:autoSpaceDN w:val="0"/>
        <w:adjustRightInd w:val="0"/>
        <w:spacing w:before="480" w:after="480"/>
        <w:ind w:left="567" w:hanging="567"/>
        <w:rPr>
          <w:rFonts w:ascii="Arial Black" w:eastAsia="Times New Roman" w:hAnsi="Arial Black" w:cs="Arial"/>
          <w:bCs/>
          <w:kern w:val="28"/>
          <w:sz w:val="24"/>
          <w:szCs w:val="24"/>
          <w:u w:val="single"/>
        </w:rPr>
      </w:pPr>
      <w:r w:rsidRPr="000F0B5F">
        <w:rPr>
          <w:rFonts w:ascii="Arial" w:eastAsia="Times New Roman" w:hAnsi="Arial" w:cs="Arial"/>
          <w:bCs/>
          <w:kern w:val="28"/>
          <w:lang w:eastAsia="pl-PL"/>
        </w:rPr>
        <w:br w:type="page"/>
      </w:r>
      <w:r w:rsidR="000F0B5F" w:rsidRPr="007A1996">
        <w:rPr>
          <w:rFonts w:ascii="Arial Black" w:eastAsia="Times New Roman" w:hAnsi="Arial Black" w:cs="Arial"/>
          <w:bCs/>
          <w:kern w:val="28"/>
          <w:sz w:val="24"/>
          <w:szCs w:val="24"/>
          <w:u w:val="single"/>
        </w:rPr>
        <w:lastRenderedPageBreak/>
        <w:t xml:space="preserve"> </w:t>
      </w:r>
      <w:r w:rsidR="00A94A14" w:rsidRPr="007A1996">
        <w:rPr>
          <w:rFonts w:ascii="Arial Black" w:eastAsia="Times New Roman" w:hAnsi="Arial Black" w:cs="Arial"/>
          <w:bCs/>
          <w:kern w:val="28"/>
          <w:sz w:val="24"/>
          <w:szCs w:val="24"/>
          <w:u w:val="single"/>
        </w:rPr>
        <w:t>Punktualność Kwalifikowana Pociągów</w:t>
      </w:r>
    </w:p>
    <w:p w14:paraId="002979A7" w14:textId="77777777" w:rsidR="00A94A14" w:rsidRDefault="00A94A14" w:rsidP="00A94A14">
      <w:pPr>
        <w:pStyle w:val="Akapitzlist"/>
        <w:spacing w:after="120"/>
        <w:ind w:left="360"/>
        <w:rPr>
          <w:rFonts w:ascii="Arial" w:hAnsi="Arial" w:cs="Arial"/>
        </w:rPr>
      </w:pPr>
    </w:p>
    <w:p w14:paraId="522C9B5D" w14:textId="77777777" w:rsidR="00A94A14" w:rsidRDefault="00A94A14" w:rsidP="00A94A14">
      <w:pPr>
        <w:pStyle w:val="Akapitzlist"/>
        <w:spacing w:after="120"/>
        <w:ind w:left="360"/>
        <w:rPr>
          <w:rFonts w:ascii="Arial" w:hAnsi="Arial" w:cs="Arial"/>
        </w:rPr>
      </w:pPr>
    </w:p>
    <w:p w14:paraId="14511242" w14:textId="77777777" w:rsidR="00A94A14" w:rsidRPr="00A94A14" w:rsidRDefault="00A94A14" w:rsidP="00AC68D4">
      <w:pPr>
        <w:pStyle w:val="Akapitzlist"/>
        <w:numPr>
          <w:ilvl w:val="0"/>
          <w:numId w:val="13"/>
        </w:numPr>
        <w:spacing w:after="120"/>
        <w:rPr>
          <w:rFonts w:ascii="Arial" w:hAnsi="Arial" w:cs="Arial"/>
        </w:rPr>
      </w:pPr>
      <w:r w:rsidRPr="00A94A14">
        <w:rPr>
          <w:rFonts w:ascii="Arial" w:hAnsi="Arial" w:cs="Arial"/>
        </w:rPr>
        <w:t>Nazwa</w:t>
      </w:r>
    </w:p>
    <w:p w14:paraId="05363D2E" w14:textId="2130280E" w:rsidR="00A94A14" w:rsidRPr="00473A87" w:rsidRDefault="00A94A14" w:rsidP="00473A87">
      <w:pPr>
        <w:spacing w:before="0" w:after="240"/>
        <w:ind w:left="360"/>
        <w:rPr>
          <w:rFonts w:ascii="Arial" w:hAnsi="Arial" w:cs="Arial"/>
          <w:b/>
        </w:rPr>
      </w:pPr>
      <w:r>
        <w:rPr>
          <w:rFonts w:ascii="Arial" w:hAnsi="Arial" w:cs="Arial"/>
        </w:rPr>
        <w:t>3) „</w:t>
      </w:r>
      <w:r w:rsidRPr="006B2EF7">
        <w:rPr>
          <w:rFonts w:ascii="Arial" w:eastAsia="Times New Roman" w:hAnsi="Arial" w:cs="Arial"/>
          <w:kern w:val="28"/>
          <w:lang w:eastAsia="pl-PL"/>
        </w:rPr>
        <w:t xml:space="preserve">Punktualność kwalifikowana pociągów </w:t>
      </w:r>
      <w:r>
        <w:rPr>
          <w:rFonts w:ascii="Arial" w:eastAsia="Times New Roman" w:hAnsi="Arial" w:cs="Arial"/>
          <w:kern w:val="28"/>
          <w:lang w:eastAsia="pl-PL"/>
        </w:rPr>
        <w:t>na sieci PKP SKM</w:t>
      </w:r>
      <w:r w:rsidRPr="006B2EF7">
        <w:rPr>
          <w:rFonts w:ascii="Arial" w:eastAsia="Times New Roman" w:hAnsi="Arial" w:cs="Arial"/>
          <w:kern w:val="28"/>
          <w:lang w:eastAsia="pl-PL"/>
        </w:rPr>
        <w:t xml:space="preserve">” </w:t>
      </w:r>
      <w:r w:rsidRPr="006B2EF7">
        <w:rPr>
          <w:rFonts w:ascii="Arial" w:eastAsia="Times New Roman" w:hAnsi="Arial" w:cs="Arial"/>
          <w:b/>
          <w:kern w:val="28"/>
          <w:lang w:eastAsia="pl-PL"/>
        </w:rPr>
        <w:t>Wskaźnik obligatoryjny</w:t>
      </w:r>
      <w:r w:rsidR="00473A87">
        <w:rPr>
          <w:rFonts w:ascii="Arial" w:hAnsi="Arial" w:cs="Arial"/>
        </w:rPr>
        <w:t xml:space="preserve">. </w:t>
      </w:r>
      <w:r w:rsidR="00473A87">
        <w:rPr>
          <w:rFonts w:ascii="Arial" w:hAnsi="Arial" w:cs="Arial"/>
          <w:b/>
        </w:rPr>
        <w:t>Wskaźnik uzupełniający monitorowania realizacji Programu</w:t>
      </w:r>
    </w:p>
    <w:p w14:paraId="0CD5C0F7" w14:textId="77777777" w:rsidR="00A94A14" w:rsidRPr="003B0DDD" w:rsidRDefault="00A94A14" w:rsidP="00AC68D4">
      <w:pPr>
        <w:numPr>
          <w:ilvl w:val="0"/>
          <w:numId w:val="13"/>
        </w:numPr>
        <w:spacing w:before="240"/>
        <w:rPr>
          <w:rFonts w:ascii="Arial" w:hAnsi="Arial" w:cs="Arial"/>
        </w:rPr>
      </w:pPr>
      <w:r w:rsidRPr="003B0DDD">
        <w:rPr>
          <w:rFonts w:ascii="Arial" w:hAnsi="Arial" w:cs="Arial"/>
        </w:rPr>
        <w:t>Definicja</w:t>
      </w:r>
    </w:p>
    <w:p w14:paraId="7F58807E" w14:textId="77777777" w:rsidR="00A94A14" w:rsidRPr="00A94A14" w:rsidRDefault="00A94A14" w:rsidP="00AC68D4">
      <w:pPr>
        <w:pStyle w:val="Akapitzlist"/>
        <w:numPr>
          <w:ilvl w:val="1"/>
          <w:numId w:val="18"/>
        </w:numPr>
        <w:spacing w:before="240" w:after="240"/>
        <w:rPr>
          <w:rFonts w:ascii="Arial" w:eastAsia="Times New Roman" w:hAnsi="Arial" w:cs="Arial"/>
          <w:kern w:val="28"/>
          <w:lang w:eastAsia="pl-PL"/>
        </w:rPr>
      </w:pPr>
      <w:r w:rsidRPr="00A94A14">
        <w:rPr>
          <w:rFonts w:ascii="Arial" w:eastAsia="Times New Roman" w:hAnsi="Arial" w:cs="Arial"/>
          <w:kern w:val="28"/>
          <w:lang w:eastAsia="pl-PL"/>
        </w:rPr>
        <w:t>Punktualność kwalifikowana wskaźnik określający procentowy udział liczby pociągów, które kursowały punktualnie i bez opóźnień z przyczyn leżących po stronie</w:t>
      </w:r>
      <w:r w:rsidRPr="00A94A14" w:rsidDel="008C3F26">
        <w:rPr>
          <w:rFonts w:ascii="Arial" w:eastAsia="Times New Roman" w:hAnsi="Arial" w:cs="Arial"/>
          <w:kern w:val="28"/>
          <w:lang w:eastAsia="pl-PL"/>
        </w:rPr>
        <w:t xml:space="preserve"> </w:t>
      </w:r>
      <w:r w:rsidRPr="00A94A14">
        <w:rPr>
          <w:rFonts w:ascii="Arial" w:eastAsia="Times New Roman" w:hAnsi="Arial" w:cs="Arial"/>
          <w:kern w:val="28"/>
          <w:lang w:eastAsia="pl-PL"/>
        </w:rPr>
        <w:t>Zarządcy;</w:t>
      </w:r>
    </w:p>
    <w:p w14:paraId="01466DE5" w14:textId="2347F06A" w:rsidR="00A94A14" w:rsidRPr="00A94A14" w:rsidRDefault="00A94A14" w:rsidP="00AC68D4">
      <w:pPr>
        <w:pStyle w:val="Akapitzlist"/>
        <w:numPr>
          <w:ilvl w:val="1"/>
          <w:numId w:val="18"/>
        </w:numPr>
        <w:spacing w:before="240" w:after="240"/>
        <w:rPr>
          <w:rFonts w:ascii="Arial" w:eastAsia="Times New Roman" w:hAnsi="Arial" w:cs="Arial"/>
          <w:kern w:val="28"/>
          <w:lang w:eastAsia="pl-PL"/>
        </w:rPr>
      </w:pPr>
      <w:r w:rsidRPr="00A94A14">
        <w:rPr>
          <w:rFonts w:ascii="Arial" w:eastAsia="Times New Roman" w:hAnsi="Arial" w:cs="Arial"/>
          <w:kern w:val="28"/>
          <w:lang w:eastAsia="pl-PL"/>
        </w:rPr>
        <w:t>Wskaźnik wyznaczany jest dla wszystkich kursujących po linii kolejowej nr 250 pociągów,</w:t>
      </w:r>
    </w:p>
    <w:p w14:paraId="05F29115" w14:textId="77777777" w:rsidR="00A94A14" w:rsidRPr="00A94A14" w:rsidRDefault="00A94A14" w:rsidP="00AC68D4">
      <w:pPr>
        <w:pStyle w:val="Akapitzlist"/>
        <w:numPr>
          <w:ilvl w:val="1"/>
          <w:numId w:val="18"/>
        </w:numPr>
        <w:spacing w:before="240" w:after="240"/>
        <w:rPr>
          <w:rFonts w:ascii="Arial" w:eastAsia="Times New Roman" w:hAnsi="Arial" w:cs="Arial"/>
          <w:kern w:val="28"/>
          <w:lang w:eastAsia="pl-PL"/>
        </w:rPr>
      </w:pPr>
      <w:r w:rsidRPr="00A94A14">
        <w:rPr>
          <w:rFonts w:ascii="Arial" w:eastAsia="Times New Roman" w:hAnsi="Arial" w:cs="Arial"/>
          <w:kern w:val="28"/>
          <w:lang w:eastAsia="pl-PL"/>
        </w:rPr>
        <w:t>Punktualność Pociągów Kwalifikowaną wylicza się w sposób następujący:</w:t>
      </w:r>
    </w:p>
    <w:tbl>
      <w:tblPr>
        <w:tblStyle w:val="Tabela-Siatka"/>
        <w:tblpPr w:leftFromText="141" w:rightFromText="141" w:vertAnchor="text" w:horzAnchor="page" w:tblpX="2641" w:tblpY="3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3119"/>
        <w:gridCol w:w="567"/>
      </w:tblGrid>
      <w:tr w:rsidR="00A94A14" w:rsidRPr="00080C73" w14:paraId="6A7E7BDE" w14:textId="77777777" w:rsidTr="00A25F44">
        <w:tc>
          <w:tcPr>
            <w:tcW w:w="1242" w:type="dxa"/>
            <w:vMerge w:val="restart"/>
            <w:vAlign w:val="center"/>
          </w:tcPr>
          <w:p w14:paraId="45B49085" w14:textId="77777777" w:rsidR="00A94A14" w:rsidRPr="00080C73" w:rsidRDefault="00A25F44" w:rsidP="00D70258">
            <w:pPr>
              <w:autoSpaceDE w:val="0"/>
              <w:autoSpaceDN w:val="0"/>
              <w:adjustRightInd w:val="0"/>
              <w:spacing w:before="0"/>
              <w:ind w:left="-216"/>
              <w:jc w:val="center"/>
              <w:rPr>
                <w:rFonts w:ascii="Arial" w:eastAsia="Times New Roman" w:hAnsi="Arial" w:cs="Arial"/>
                <w:b/>
                <w:bCs/>
                <w:kern w:val="28"/>
              </w:rPr>
            </w:pPr>
            <w:r>
              <w:rPr>
                <w:rFonts w:ascii="Arial" w:eastAsia="Times New Roman" w:hAnsi="Arial" w:cs="Arial"/>
                <w:b/>
                <w:bCs/>
                <w:kern w:val="28"/>
              </w:rPr>
              <w:t xml:space="preserve"> </w:t>
            </w:r>
            <w:proofErr w:type="spellStart"/>
            <w:r w:rsidR="00A94A14" w:rsidRPr="00080C73">
              <w:rPr>
                <w:rFonts w:ascii="Arial" w:eastAsia="Times New Roman" w:hAnsi="Arial" w:cs="Arial"/>
                <w:b/>
                <w:bCs/>
                <w:kern w:val="28"/>
              </w:rPr>
              <w:t>PP</w:t>
            </w:r>
            <w:r w:rsidR="00A94A14" w:rsidRPr="00080C73">
              <w:rPr>
                <w:rFonts w:ascii="Arial" w:eastAsia="Times New Roman" w:hAnsi="Arial" w:cs="Arial"/>
                <w:b/>
                <w:bCs/>
                <w:kern w:val="28"/>
                <w:vertAlign w:val="subscript"/>
              </w:rPr>
              <w:t>Zarządca</w:t>
            </w:r>
            <w:proofErr w:type="spellEnd"/>
            <w:r w:rsidR="00A94A14">
              <w:rPr>
                <w:rFonts w:ascii="Arial" w:eastAsia="Times New Roman" w:hAnsi="Arial" w:cs="Arial"/>
                <w:b/>
                <w:bCs/>
                <w:kern w:val="28"/>
              </w:rPr>
              <w:t xml:space="preserve"> =</w:t>
            </w:r>
          </w:p>
        </w:tc>
        <w:tc>
          <w:tcPr>
            <w:tcW w:w="3119" w:type="dxa"/>
            <w:tcBorders>
              <w:bottom w:val="single" w:sz="4" w:space="0" w:color="auto"/>
            </w:tcBorders>
            <w:vAlign w:val="center"/>
          </w:tcPr>
          <w:p w14:paraId="3B192500" w14:textId="77777777" w:rsidR="00A94A14" w:rsidRPr="00080C73" w:rsidRDefault="00A94A14" w:rsidP="00D70258">
            <w:pPr>
              <w:autoSpaceDE w:val="0"/>
              <w:autoSpaceDN w:val="0"/>
              <w:adjustRightInd w:val="0"/>
              <w:spacing w:before="0"/>
              <w:jc w:val="center"/>
              <w:rPr>
                <w:rFonts w:ascii="Arial" w:eastAsia="Times New Roman" w:hAnsi="Arial" w:cs="Arial"/>
                <w:b/>
                <w:bCs/>
                <w:kern w:val="28"/>
              </w:rPr>
            </w:pPr>
            <w:r>
              <w:rPr>
                <w:rFonts w:ascii="Arial" w:eastAsia="Times New Roman" w:hAnsi="Arial" w:cs="Arial"/>
                <w:b/>
                <w:bCs/>
                <w:kern w:val="28"/>
              </w:rPr>
              <w:t xml:space="preserve">100 * </w:t>
            </w:r>
            <w:r w:rsidRPr="00080C73">
              <w:rPr>
                <w:rFonts w:ascii="Arial" w:eastAsia="Times New Roman" w:hAnsi="Arial" w:cs="Arial"/>
                <w:b/>
                <w:bCs/>
                <w:kern w:val="28"/>
              </w:rPr>
              <w:t>(</w:t>
            </w:r>
            <w:proofErr w:type="spellStart"/>
            <w:r w:rsidRPr="00080C73">
              <w:rPr>
                <w:rFonts w:ascii="Arial" w:eastAsia="Times New Roman" w:hAnsi="Arial" w:cs="Arial"/>
                <w:b/>
                <w:bCs/>
                <w:kern w:val="28"/>
              </w:rPr>
              <w:t>K</w:t>
            </w:r>
            <w:r w:rsidRPr="00080C73">
              <w:rPr>
                <w:rFonts w:ascii="Arial" w:eastAsia="Times New Roman" w:hAnsi="Arial" w:cs="Arial"/>
                <w:b/>
                <w:bCs/>
                <w:kern w:val="28"/>
                <w:vertAlign w:val="subscript"/>
              </w:rPr>
              <w:t>ogółem</w:t>
            </w:r>
            <w:proofErr w:type="spellEnd"/>
            <w:r w:rsidRPr="00080C73">
              <w:rPr>
                <w:rFonts w:ascii="Arial" w:eastAsia="Times New Roman" w:hAnsi="Arial" w:cs="Arial"/>
                <w:b/>
                <w:bCs/>
                <w:kern w:val="28"/>
              </w:rPr>
              <w:t xml:space="preserve"> – </w:t>
            </w:r>
            <w:proofErr w:type="spellStart"/>
            <w:r w:rsidRPr="00080C73">
              <w:rPr>
                <w:rFonts w:ascii="Arial" w:eastAsia="Times New Roman" w:hAnsi="Arial" w:cs="Arial"/>
                <w:b/>
                <w:bCs/>
                <w:kern w:val="28"/>
              </w:rPr>
              <w:t>O</w:t>
            </w:r>
            <w:r w:rsidRPr="00080C73">
              <w:rPr>
                <w:rFonts w:ascii="Arial" w:eastAsia="Times New Roman" w:hAnsi="Arial" w:cs="Arial"/>
                <w:b/>
                <w:bCs/>
                <w:kern w:val="28"/>
                <w:vertAlign w:val="subscript"/>
              </w:rPr>
              <w:t>Zarządca</w:t>
            </w:r>
            <w:proofErr w:type="spellEnd"/>
            <w:r w:rsidRPr="00080C73">
              <w:rPr>
                <w:rFonts w:ascii="Arial" w:eastAsia="Times New Roman" w:hAnsi="Arial" w:cs="Arial"/>
                <w:b/>
                <w:bCs/>
                <w:kern w:val="28"/>
              </w:rPr>
              <w:t>)</w:t>
            </w:r>
          </w:p>
        </w:tc>
        <w:tc>
          <w:tcPr>
            <w:tcW w:w="567" w:type="dxa"/>
            <w:vMerge w:val="restart"/>
            <w:vAlign w:val="center"/>
          </w:tcPr>
          <w:p w14:paraId="4EAD540E" w14:textId="77777777" w:rsidR="00A94A14" w:rsidRPr="00080C73" w:rsidRDefault="00A94A14" w:rsidP="00D70258">
            <w:pPr>
              <w:autoSpaceDE w:val="0"/>
              <w:autoSpaceDN w:val="0"/>
              <w:adjustRightInd w:val="0"/>
              <w:spacing w:before="0"/>
              <w:jc w:val="center"/>
              <w:rPr>
                <w:rFonts w:ascii="Arial" w:eastAsia="Times New Roman" w:hAnsi="Arial" w:cs="Arial"/>
                <w:b/>
                <w:bCs/>
                <w:kern w:val="28"/>
              </w:rPr>
            </w:pPr>
            <w:r w:rsidRPr="00080C73">
              <w:rPr>
                <w:rFonts w:ascii="Arial" w:eastAsia="Times New Roman" w:hAnsi="Arial" w:cs="Arial"/>
                <w:b/>
                <w:bCs/>
                <w:kern w:val="28"/>
              </w:rPr>
              <w:t>[%]</w:t>
            </w:r>
          </w:p>
        </w:tc>
      </w:tr>
      <w:tr w:rsidR="00A94A14" w:rsidRPr="00080C73" w14:paraId="3504478A" w14:textId="77777777" w:rsidTr="00A25F44">
        <w:tc>
          <w:tcPr>
            <w:tcW w:w="1242" w:type="dxa"/>
            <w:vMerge/>
            <w:vAlign w:val="center"/>
          </w:tcPr>
          <w:p w14:paraId="1162EB3D" w14:textId="77777777" w:rsidR="00A94A14" w:rsidRPr="00080C73" w:rsidRDefault="00A94A14" w:rsidP="00D70258">
            <w:pPr>
              <w:autoSpaceDE w:val="0"/>
              <w:autoSpaceDN w:val="0"/>
              <w:adjustRightInd w:val="0"/>
              <w:spacing w:before="0"/>
              <w:jc w:val="center"/>
              <w:rPr>
                <w:rFonts w:ascii="Arial" w:eastAsia="Times New Roman" w:hAnsi="Arial" w:cs="Arial"/>
                <w:b/>
                <w:bCs/>
                <w:kern w:val="28"/>
              </w:rPr>
            </w:pPr>
          </w:p>
        </w:tc>
        <w:tc>
          <w:tcPr>
            <w:tcW w:w="3119" w:type="dxa"/>
            <w:tcBorders>
              <w:top w:val="single" w:sz="4" w:space="0" w:color="auto"/>
            </w:tcBorders>
            <w:vAlign w:val="center"/>
          </w:tcPr>
          <w:p w14:paraId="1AE732BE" w14:textId="77777777" w:rsidR="00A94A14" w:rsidRPr="00080C73" w:rsidRDefault="00A94A14" w:rsidP="00D70258">
            <w:pPr>
              <w:autoSpaceDE w:val="0"/>
              <w:autoSpaceDN w:val="0"/>
              <w:adjustRightInd w:val="0"/>
              <w:spacing w:before="0"/>
              <w:jc w:val="center"/>
              <w:rPr>
                <w:rFonts w:ascii="Arial" w:eastAsia="Times New Roman" w:hAnsi="Arial" w:cs="Arial"/>
                <w:b/>
                <w:bCs/>
                <w:kern w:val="28"/>
                <w:vertAlign w:val="subscript"/>
              </w:rPr>
            </w:pPr>
            <w:proofErr w:type="spellStart"/>
            <w:r w:rsidRPr="00080C73">
              <w:rPr>
                <w:rFonts w:ascii="Arial" w:eastAsia="Times New Roman" w:hAnsi="Arial" w:cs="Arial"/>
                <w:b/>
                <w:bCs/>
                <w:kern w:val="28"/>
              </w:rPr>
              <w:t>K</w:t>
            </w:r>
            <w:r w:rsidRPr="00080C73">
              <w:rPr>
                <w:rFonts w:ascii="Arial" w:eastAsia="Times New Roman" w:hAnsi="Arial" w:cs="Arial"/>
                <w:b/>
                <w:bCs/>
                <w:kern w:val="28"/>
                <w:vertAlign w:val="subscript"/>
              </w:rPr>
              <w:t>ogółem</w:t>
            </w:r>
            <w:proofErr w:type="spellEnd"/>
          </w:p>
        </w:tc>
        <w:tc>
          <w:tcPr>
            <w:tcW w:w="567" w:type="dxa"/>
            <w:vMerge/>
            <w:vAlign w:val="center"/>
          </w:tcPr>
          <w:p w14:paraId="3292639D" w14:textId="77777777" w:rsidR="00A94A14" w:rsidRPr="00080C73" w:rsidRDefault="00A94A14" w:rsidP="00D70258">
            <w:pPr>
              <w:autoSpaceDE w:val="0"/>
              <w:autoSpaceDN w:val="0"/>
              <w:adjustRightInd w:val="0"/>
              <w:spacing w:before="0"/>
              <w:jc w:val="center"/>
              <w:rPr>
                <w:rFonts w:ascii="Arial" w:eastAsia="Times New Roman" w:hAnsi="Arial" w:cs="Arial"/>
                <w:b/>
                <w:bCs/>
                <w:kern w:val="28"/>
              </w:rPr>
            </w:pPr>
          </w:p>
        </w:tc>
      </w:tr>
    </w:tbl>
    <w:p w14:paraId="00395A3E" w14:textId="77777777" w:rsidR="00A94A14" w:rsidRPr="00091F68" w:rsidRDefault="00A94A14" w:rsidP="00A94A14">
      <w:pPr>
        <w:pStyle w:val="Akapitzlist"/>
        <w:tabs>
          <w:tab w:val="left" w:pos="0"/>
        </w:tabs>
        <w:autoSpaceDE w:val="0"/>
        <w:autoSpaceDN w:val="0"/>
        <w:adjustRightInd w:val="0"/>
        <w:spacing w:before="480"/>
        <w:ind w:left="1418"/>
        <w:rPr>
          <w:rFonts w:ascii="Arial" w:eastAsia="Times New Roman" w:hAnsi="Arial" w:cs="Arial"/>
          <w:bCs/>
          <w:kern w:val="28"/>
          <w:lang w:eastAsia="pl-PL"/>
        </w:rPr>
      </w:pPr>
    </w:p>
    <w:p w14:paraId="3347BF96" w14:textId="77777777" w:rsidR="00A94A14" w:rsidRDefault="00A94A14" w:rsidP="00A94A14">
      <w:pPr>
        <w:autoSpaceDE w:val="0"/>
        <w:autoSpaceDN w:val="0"/>
        <w:adjustRightInd w:val="0"/>
        <w:spacing w:before="0"/>
        <w:ind w:left="2268"/>
        <w:rPr>
          <w:rFonts w:ascii="Arial" w:eastAsia="Times New Roman" w:hAnsi="Arial" w:cs="Arial"/>
          <w:bCs/>
          <w:kern w:val="28"/>
        </w:rPr>
      </w:pPr>
    </w:p>
    <w:p w14:paraId="628DA6C6" w14:textId="77777777" w:rsidR="00A94A14" w:rsidRPr="00091F68" w:rsidRDefault="00A94A14" w:rsidP="00A94A14">
      <w:pPr>
        <w:autoSpaceDE w:val="0"/>
        <w:autoSpaceDN w:val="0"/>
        <w:adjustRightInd w:val="0"/>
        <w:spacing w:before="0"/>
        <w:ind w:left="1134"/>
        <w:rPr>
          <w:rFonts w:ascii="Arial" w:eastAsia="Times New Roman" w:hAnsi="Arial" w:cs="Arial"/>
          <w:bCs/>
          <w:kern w:val="28"/>
        </w:rPr>
      </w:pPr>
      <w:r w:rsidRPr="00091F68">
        <w:rPr>
          <w:rFonts w:ascii="Arial" w:eastAsia="Times New Roman" w:hAnsi="Arial" w:cs="Arial"/>
          <w:bCs/>
          <w:kern w:val="28"/>
        </w:rPr>
        <w:t>we wzorze przyjmuje się:</w:t>
      </w:r>
    </w:p>
    <w:p w14:paraId="6F43D484" w14:textId="77777777" w:rsidR="00A94A14" w:rsidRPr="00091F68" w:rsidRDefault="00A94A14" w:rsidP="00A94A14">
      <w:pPr>
        <w:autoSpaceDE w:val="0"/>
        <w:autoSpaceDN w:val="0"/>
        <w:adjustRightInd w:val="0"/>
        <w:spacing w:before="0"/>
        <w:ind w:left="1134"/>
        <w:rPr>
          <w:rFonts w:ascii="Arial" w:eastAsia="Times New Roman" w:hAnsi="Arial" w:cs="Arial"/>
          <w:bCs/>
          <w:kern w:val="28"/>
        </w:rPr>
      </w:pPr>
      <w:proofErr w:type="spellStart"/>
      <w:r w:rsidRPr="00091F68">
        <w:rPr>
          <w:rFonts w:ascii="Arial" w:eastAsia="Times New Roman" w:hAnsi="Arial" w:cs="Arial"/>
          <w:b/>
          <w:bCs/>
          <w:kern w:val="28"/>
        </w:rPr>
        <w:t>PP</w:t>
      </w:r>
      <w:r w:rsidRPr="00091F68">
        <w:rPr>
          <w:rFonts w:ascii="Arial" w:eastAsia="Times New Roman" w:hAnsi="Arial" w:cs="Arial"/>
          <w:b/>
          <w:bCs/>
          <w:kern w:val="28"/>
          <w:vertAlign w:val="subscript"/>
        </w:rPr>
        <w:t>Zarządca</w:t>
      </w:r>
      <w:proofErr w:type="spellEnd"/>
      <w:r w:rsidRPr="00091F68">
        <w:rPr>
          <w:rFonts w:ascii="Arial" w:eastAsia="Times New Roman" w:hAnsi="Arial" w:cs="Arial"/>
          <w:bCs/>
          <w:kern w:val="28"/>
        </w:rPr>
        <w:t xml:space="preserve"> –</w:t>
      </w:r>
      <w:r w:rsidR="00A25F44">
        <w:rPr>
          <w:rFonts w:ascii="Arial" w:eastAsia="Times New Roman" w:hAnsi="Arial" w:cs="Arial"/>
          <w:bCs/>
          <w:kern w:val="28"/>
        </w:rPr>
        <w:t xml:space="preserve"> </w:t>
      </w:r>
      <w:r w:rsidRPr="00091F68">
        <w:rPr>
          <w:rFonts w:ascii="Arial" w:eastAsia="Times New Roman" w:hAnsi="Arial" w:cs="Arial"/>
          <w:bCs/>
          <w:kern w:val="28"/>
        </w:rPr>
        <w:t>procent punktualności,</w:t>
      </w:r>
    </w:p>
    <w:p w14:paraId="183CBCF3" w14:textId="77777777" w:rsidR="00A94A14" w:rsidRPr="00091F68" w:rsidRDefault="00A94A14" w:rsidP="00A94A14">
      <w:pPr>
        <w:autoSpaceDE w:val="0"/>
        <w:autoSpaceDN w:val="0"/>
        <w:adjustRightInd w:val="0"/>
        <w:spacing w:before="0"/>
        <w:ind w:left="1134"/>
        <w:rPr>
          <w:rFonts w:ascii="Arial" w:eastAsia="Times New Roman" w:hAnsi="Arial" w:cs="Arial"/>
          <w:bCs/>
          <w:kern w:val="28"/>
        </w:rPr>
      </w:pPr>
      <w:proofErr w:type="spellStart"/>
      <w:r w:rsidRPr="00091F68">
        <w:rPr>
          <w:rFonts w:ascii="Arial" w:eastAsia="Times New Roman" w:hAnsi="Arial" w:cs="Arial"/>
          <w:b/>
          <w:bCs/>
          <w:kern w:val="28"/>
        </w:rPr>
        <w:t>K</w:t>
      </w:r>
      <w:r w:rsidRPr="00091F68">
        <w:rPr>
          <w:rFonts w:ascii="Arial" w:eastAsia="Times New Roman" w:hAnsi="Arial" w:cs="Arial"/>
          <w:b/>
          <w:bCs/>
          <w:kern w:val="28"/>
          <w:vertAlign w:val="subscript"/>
        </w:rPr>
        <w:t>ogółem</w:t>
      </w:r>
      <w:proofErr w:type="spellEnd"/>
      <w:r w:rsidRPr="00091F68">
        <w:rPr>
          <w:rFonts w:ascii="Arial" w:eastAsia="Times New Roman" w:hAnsi="Arial" w:cs="Arial"/>
          <w:bCs/>
          <w:kern w:val="28"/>
        </w:rPr>
        <w:t xml:space="preserve"> – liczba kursujących pociągów,</w:t>
      </w:r>
    </w:p>
    <w:p w14:paraId="6D296674" w14:textId="77777777" w:rsidR="00A94A14" w:rsidRDefault="00A94A14" w:rsidP="00A94A14">
      <w:pPr>
        <w:autoSpaceDE w:val="0"/>
        <w:autoSpaceDN w:val="0"/>
        <w:adjustRightInd w:val="0"/>
        <w:spacing w:before="0"/>
        <w:ind w:left="1134"/>
        <w:rPr>
          <w:rFonts w:ascii="Arial" w:eastAsia="Times New Roman" w:hAnsi="Arial" w:cs="Arial"/>
          <w:bCs/>
          <w:kern w:val="28"/>
        </w:rPr>
      </w:pPr>
      <w:proofErr w:type="spellStart"/>
      <w:r w:rsidRPr="00091F68">
        <w:rPr>
          <w:rFonts w:ascii="Arial" w:eastAsia="Times New Roman" w:hAnsi="Arial" w:cs="Arial"/>
          <w:b/>
          <w:bCs/>
          <w:kern w:val="28"/>
        </w:rPr>
        <w:t>O</w:t>
      </w:r>
      <w:r w:rsidRPr="00091F68">
        <w:rPr>
          <w:rFonts w:ascii="Arial" w:eastAsia="Times New Roman" w:hAnsi="Arial" w:cs="Arial"/>
          <w:b/>
          <w:bCs/>
          <w:kern w:val="28"/>
          <w:vertAlign w:val="subscript"/>
        </w:rPr>
        <w:t>Zarządca</w:t>
      </w:r>
      <w:proofErr w:type="spellEnd"/>
      <w:r w:rsidRPr="00091F68">
        <w:rPr>
          <w:rFonts w:ascii="Arial" w:eastAsia="Times New Roman" w:hAnsi="Arial" w:cs="Arial"/>
          <w:bCs/>
          <w:kern w:val="28"/>
        </w:rPr>
        <w:t xml:space="preserve"> – liczba opóźnionych </w:t>
      </w:r>
      <w:r w:rsidRPr="008A4C80">
        <w:rPr>
          <w:rFonts w:ascii="Arial" w:eastAsia="Times New Roman" w:hAnsi="Arial" w:cs="Arial"/>
          <w:bCs/>
          <w:kern w:val="28"/>
        </w:rPr>
        <w:t xml:space="preserve">pociągów </w:t>
      </w:r>
      <w:r w:rsidRPr="00F16F8A">
        <w:rPr>
          <w:rFonts w:ascii="Arial" w:eastAsia="Times New Roman" w:hAnsi="Arial" w:cs="Arial"/>
          <w:bCs/>
          <w:kern w:val="28"/>
        </w:rPr>
        <w:t>z przyczyn leżących po stronie</w:t>
      </w:r>
      <w:r w:rsidRPr="004B0F13">
        <w:rPr>
          <w:rFonts w:ascii="Arial" w:eastAsia="Times New Roman" w:hAnsi="Arial" w:cs="Arial"/>
          <w:bCs/>
          <w:kern w:val="28"/>
        </w:rPr>
        <w:t xml:space="preserve"> </w:t>
      </w:r>
      <w:r w:rsidRPr="008A4C80">
        <w:rPr>
          <w:rFonts w:ascii="Arial" w:eastAsia="Times New Roman" w:hAnsi="Arial" w:cs="Arial"/>
          <w:bCs/>
          <w:kern w:val="28"/>
        </w:rPr>
        <w:t>Zarządcy.</w:t>
      </w:r>
    </w:p>
    <w:p w14:paraId="684C6879" w14:textId="77777777" w:rsidR="00A94A14" w:rsidRDefault="00A94A14" w:rsidP="00A94A14">
      <w:pPr>
        <w:autoSpaceDE w:val="0"/>
        <w:autoSpaceDN w:val="0"/>
        <w:adjustRightInd w:val="0"/>
        <w:spacing w:before="0"/>
        <w:ind w:left="2268"/>
        <w:rPr>
          <w:rFonts w:ascii="Arial" w:eastAsia="Times New Roman" w:hAnsi="Arial" w:cs="Arial"/>
          <w:bCs/>
          <w:kern w:val="28"/>
        </w:rPr>
      </w:pPr>
    </w:p>
    <w:p w14:paraId="5650DF5E" w14:textId="77777777" w:rsidR="00A94A14" w:rsidRPr="00811840" w:rsidRDefault="00A94A14" w:rsidP="00AC68D4">
      <w:pPr>
        <w:numPr>
          <w:ilvl w:val="0"/>
          <w:numId w:val="18"/>
        </w:numPr>
        <w:spacing w:before="240" w:after="240"/>
        <w:rPr>
          <w:rFonts w:ascii="Arial" w:hAnsi="Arial" w:cs="Arial"/>
        </w:rPr>
      </w:pPr>
      <w:r w:rsidRPr="00811840">
        <w:rPr>
          <w:rFonts w:ascii="Arial" w:hAnsi="Arial" w:cs="Arial"/>
        </w:rPr>
        <w:t>Źródła danych</w:t>
      </w:r>
    </w:p>
    <w:p w14:paraId="77960B30" w14:textId="77777777" w:rsidR="00A94A14" w:rsidRPr="003A34DC" w:rsidRDefault="00A94A14" w:rsidP="00A94A14">
      <w:pPr>
        <w:pStyle w:val="Akapitzlist"/>
        <w:tabs>
          <w:tab w:val="left" w:pos="0"/>
        </w:tabs>
        <w:autoSpaceDE w:val="0"/>
        <w:autoSpaceDN w:val="0"/>
        <w:adjustRightInd w:val="0"/>
        <w:spacing w:before="480" w:after="480"/>
        <w:ind w:left="360"/>
        <w:rPr>
          <w:rFonts w:ascii="Arial" w:eastAsia="Times New Roman" w:hAnsi="Arial" w:cs="Arial"/>
          <w:kern w:val="28"/>
          <w:lang w:eastAsia="pl-PL"/>
        </w:rPr>
      </w:pPr>
      <w:r w:rsidRPr="003A34DC">
        <w:rPr>
          <w:rFonts w:ascii="Arial" w:eastAsia="Calibri" w:hAnsi="Arial" w:cs="Arial"/>
        </w:rPr>
        <w:t xml:space="preserve">Dane wykorzystywane w obliczeniach Punktualności Kwalifikowanej, ewidencjonowane są w </w:t>
      </w:r>
      <w:r w:rsidRPr="003A34DC">
        <w:rPr>
          <w:rFonts w:ascii="Arial" w:eastAsia="Times New Roman" w:hAnsi="Arial" w:cs="Arial"/>
          <w:kern w:val="28"/>
          <w:lang w:eastAsia="pl-PL"/>
        </w:rPr>
        <w:t>Raporcie o przejściu opóźnionych pociągów R193</w:t>
      </w:r>
      <w:r w:rsidR="00A25F44">
        <w:rPr>
          <w:rFonts w:ascii="Arial" w:eastAsia="Times New Roman" w:hAnsi="Arial" w:cs="Arial"/>
          <w:kern w:val="28"/>
          <w:lang w:eastAsia="pl-PL"/>
        </w:rPr>
        <w:t>.</w:t>
      </w:r>
    </w:p>
    <w:p w14:paraId="52381BCF" w14:textId="77777777" w:rsidR="00A94A14" w:rsidRPr="00811840" w:rsidRDefault="00A94A14" w:rsidP="00AC68D4">
      <w:pPr>
        <w:numPr>
          <w:ilvl w:val="0"/>
          <w:numId w:val="18"/>
        </w:numPr>
        <w:spacing w:before="240" w:after="240"/>
        <w:rPr>
          <w:rFonts w:ascii="Arial" w:hAnsi="Arial" w:cs="Arial"/>
        </w:rPr>
      </w:pPr>
      <w:r w:rsidRPr="00811840">
        <w:rPr>
          <w:rFonts w:ascii="Arial" w:hAnsi="Arial" w:cs="Arial"/>
        </w:rPr>
        <w:t>Wartość oczekiwana</w:t>
      </w:r>
    </w:p>
    <w:p w14:paraId="4D8FB947" w14:textId="77777777" w:rsidR="00A94A14" w:rsidRPr="00C859DE" w:rsidRDefault="00A94A14" w:rsidP="00AC68D4">
      <w:pPr>
        <w:pStyle w:val="Akapitzlist"/>
        <w:numPr>
          <w:ilvl w:val="1"/>
          <w:numId w:val="14"/>
        </w:numPr>
        <w:tabs>
          <w:tab w:val="left" w:pos="0"/>
        </w:tabs>
        <w:autoSpaceDE w:val="0"/>
        <w:autoSpaceDN w:val="0"/>
        <w:adjustRightInd w:val="0"/>
        <w:spacing w:before="0"/>
        <w:ind w:left="567" w:hanging="573"/>
        <w:rPr>
          <w:rFonts w:ascii="Arial" w:eastAsia="Times New Roman" w:hAnsi="Arial" w:cs="Arial"/>
          <w:bCs/>
          <w:kern w:val="28"/>
          <w:lang w:eastAsia="pl-PL"/>
        </w:rPr>
      </w:pPr>
      <w:r>
        <w:rPr>
          <w:rFonts w:ascii="Arial" w:eastAsia="Times New Roman" w:hAnsi="Arial" w:cs="Arial"/>
          <w:bCs/>
          <w:kern w:val="28"/>
          <w:lang w:eastAsia="pl-PL"/>
        </w:rPr>
        <w:t>W</w:t>
      </w:r>
      <w:r w:rsidRPr="007B50F4">
        <w:rPr>
          <w:rFonts w:ascii="Arial" w:eastAsia="Times New Roman" w:hAnsi="Arial" w:cs="Arial"/>
          <w:bCs/>
          <w:kern w:val="28"/>
          <w:lang w:eastAsia="pl-PL"/>
        </w:rPr>
        <w:t>skaźnik podlega monitorowaniu w cyklu rocznym</w:t>
      </w:r>
      <w:r>
        <w:rPr>
          <w:rFonts w:ascii="Arial" w:eastAsia="Times New Roman" w:hAnsi="Arial" w:cs="Arial"/>
          <w:bCs/>
          <w:kern w:val="28"/>
          <w:lang w:eastAsia="pl-PL"/>
        </w:rPr>
        <w:t xml:space="preserve"> (wartość średnioroczna za okres styczeń – grudzień danego roku);</w:t>
      </w:r>
    </w:p>
    <w:p w14:paraId="1DC3B3E8" w14:textId="197805FB" w:rsidR="00A94A14" w:rsidRPr="00C859DE" w:rsidRDefault="00A94A14" w:rsidP="00AC68D4">
      <w:pPr>
        <w:pStyle w:val="Akapitzlist"/>
        <w:numPr>
          <w:ilvl w:val="1"/>
          <w:numId w:val="14"/>
        </w:numPr>
        <w:tabs>
          <w:tab w:val="left" w:pos="0"/>
        </w:tabs>
        <w:autoSpaceDE w:val="0"/>
        <w:autoSpaceDN w:val="0"/>
        <w:adjustRightInd w:val="0"/>
        <w:spacing w:before="0"/>
        <w:ind w:left="567" w:hanging="573"/>
        <w:rPr>
          <w:rFonts w:ascii="Arial" w:eastAsia="Times New Roman" w:hAnsi="Arial" w:cs="Arial"/>
          <w:bCs/>
          <w:kern w:val="28"/>
          <w:lang w:eastAsia="pl-PL"/>
        </w:rPr>
      </w:pPr>
      <w:r w:rsidRPr="00C859DE">
        <w:rPr>
          <w:rFonts w:ascii="Arial" w:eastAsia="Times New Roman" w:hAnsi="Arial" w:cs="Arial"/>
          <w:bCs/>
          <w:kern w:val="28"/>
          <w:lang w:eastAsia="pl-PL"/>
        </w:rPr>
        <w:t>Wskaźnik określany jest na koniec roku sprawozdawczego z dokładnością do 0,</w:t>
      </w:r>
      <w:r w:rsidR="00BC1B0E">
        <w:rPr>
          <w:rFonts w:ascii="Arial" w:eastAsia="Times New Roman" w:hAnsi="Arial" w:cs="Arial"/>
          <w:bCs/>
          <w:kern w:val="28"/>
          <w:lang w:eastAsia="pl-PL"/>
        </w:rPr>
        <w:t>0</w:t>
      </w:r>
      <w:r w:rsidRPr="00C859DE">
        <w:rPr>
          <w:rFonts w:ascii="Arial" w:eastAsia="Times New Roman" w:hAnsi="Arial" w:cs="Arial"/>
          <w:bCs/>
          <w:kern w:val="28"/>
          <w:lang w:eastAsia="pl-PL"/>
        </w:rPr>
        <w:t>1%</w:t>
      </w:r>
    </w:p>
    <w:p w14:paraId="77D9A052" w14:textId="77777777" w:rsidR="00A94A14" w:rsidRDefault="00A94A14" w:rsidP="00AC68D4">
      <w:pPr>
        <w:pStyle w:val="Akapitzlist"/>
        <w:numPr>
          <w:ilvl w:val="1"/>
          <w:numId w:val="14"/>
        </w:numPr>
        <w:tabs>
          <w:tab w:val="left" w:pos="0"/>
        </w:tabs>
        <w:autoSpaceDE w:val="0"/>
        <w:autoSpaceDN w:val="0"/>
        <w:adjustRightInd w:val="0"/>
        <w:spacing w:before="0"/>
        <w:ind w:left="567" w:hanging="573"/>
        <w:rPr>
          <w:rFonts w:ascii="Arial" w:eastAsia="Times New Roman" w:hAnsi="Arial" w:cs="Arial"/>
          <w:bCs/>
          <w:kern w:val="28"/>
          <w:lang w:eastAsia="pl-PL"/>
        </w:rPr>
      </w:pPr>
      <w:r>
        <w:rPr>
          <w:rFonts w:ascii="Arial" w:eastAsia="Times New Roman" w:hAnsi="Arial" w:cs="Arial"/>
          <w:bCs/>
          <w:kern w:val="28"/>
          <w:lang w:eastAsia="pl-PL"/>
        </w:rPr>
        <w:t>Zarządca zobowiązany jest zapewnić uzyskanie następujących wartości wskaźnika w poszczególnych latach obowiązywania Umowy:</w:t>
      </w:r>
    </w:p>
    <w:p w14:paraId="72E87035" w14:textId="77777777" w:rsidR="00A94A14" w:rsidRPr="00BD1502" w:rsidRDefault="00A94A14" w:rsidP="00A94A14">
      <w:pPr>
        <w:tabs>
          <w:tab w:val="left" w:pos="0"/>
        </w:tabs>
        <w:autoSpaceDE w:val="0"/>
        <w:autoSpaceDN w:val="0"/>
        <w:adjustRightInd w:val="0"/>
        <w:spacing w:before="0"/>
        <w:ind w:left="-6"/>
        <w:rPr>
          <w:rFonts w:ascii="Arial" w:eastAsia="Times New Roman" w:hAnsi="Arial" w:cs="Arial"/>
          <w:bCs/>
          <w:kern w:val="28"/>
          <w:lang w:eastAsia="pl-PL"/>
        </w:rPr>
      </w:pPr>
    </w:p>
    <w:tbl>
      <w:tblPr>
        <w:tblStyle w:val="Tabela-Siatka1"/>
        <w:tblW w:w="4399" w:type="pct"/>
        <w:tblInd w:w="108" w:type="dxa"/>
        <w:tblLayout w:type="fixed"/>
        <w:tblLook w:val="04A0" w:firstRow="1" w:lastRow="0" w:firstColumn="1" w:lastColumn="0" w:noHBand="0" w:noVBand="1"/>
      </w:tblPr>
      <w:tblGrid>
        <w:gridCol w:w="3381"/>
        <w:gridCol w:w="1001"/>
        <w:gridCol w:w="1001"/>
        <w:gridCol w:w="1001"/>
        <w:gridCol w:w="876"/>
        <w:gridCol w:w="839"/>
      </w:tblGrid>
      <w:tr w:rsidR="00BC1B0E" w:rsidRPr="006C0B0D" w14:paraId="1C7CE724" w14:textId="77777777" w:rsidTr="00BC1B0E">
        <w:trPr>
          <w:trHeight w:val="146"/>
        </w:trPr>
        <w:tc>
          <w:tcPr>
            <w:tcW w:w="2087" w:type="pct"/>
            <w:vMerge w:val="restart"/>
            <w:vAlign w:val="center"/>
          </w:tcPr>
          <w:p w14:paraId="5A259C5C" w14:textId="77777777"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Wskaźnik [%]</w:t>
            </w:r>
          </w:p>
        </w:tc>
        <w:tc>
          <w:tcPr>
            <w:tcW w:w="2913" w:type="pct"/>
            <w:gridSpan w:val="5"/>
            <w:vAlign w:val="center"/>
          </w:tcPr>
          <w:p w14:paraId="5A2D720B" w14:textId="77777777" w:rsidR="00BC1B0E" w:rsidRPr="006C0B0D" w:rsidRDefault="00BC1B0E" w:rsidP="00C8583D">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Oczekiwana wartość wskaźnika w latach</w:t>
            </w:r>
          </w:p>
        </w:tc>
      </w:tr>
      <w:tr w:rsidR="00BC1B0E" w:rsidRPr="006C0B0D" w14:paraId="3CEB9FF5" w14:textId="77777777" w:rsidTr="00BC1B0E">
        <w:trPr>
          <w:trHeight w:val="42"/>
        </w:trPr>
        <w:tc>
          <w:tcPr>
            <w:tcW w:w="2087" w:type="pct"/>
            <w:vMerge/>
          </w:tcPr>
          <w:p w14:paraId="7EBC0D11" w14:textId="77777777" w:rsidR="00BC1B0E" w:rsidRPr="006C0B0D" w:rsidRDefault="00BC1B0E" w:rsidP="00A94A14">
            <w:pPr>
              <w:spacing w:before="0"/>
              <w:jc w:val="center"/>
              <w:rPr>
                <w:rFonts w:ascii="Arial" w:eastAsia="Times New Roman" w:hAnsi="Arial" w:cs="Arial"/>
                <w:kern w:val="28"/>
                <w:lang w:eastAsia="pl-PL"/>
              </w:rPr>
            </w:pPr>
          </w:p>
        </w:tc>
        <w:tc>
          <w:tcPr>
            <w:tcW w:w="618" w:type="pct"/>
            <w:vAlign w:val="center"/>
          </w:tcPr>
          <w:p w14:paraId="47F3B58E" w14:textId="7AA12C6E"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20</w:t>
            </w:r>
            <w:r>
              <w:rPr>
                <w:rFonts w:ascii="Arial" w:eastAsia="Times New Roman" w:hAnsi="Arial" w:cs="Arial"/>
                <w:kern w:val="28"/>
                <w:lang w:eastAsia="pl-PL"/>
              </w:rPr>
              <w:t>24</w:t>
            </w:r>
          </w:p>
        </w:tc>
        <w:tc>
          <w:tcPr>
            <w:tcW w:w="618" w:type="pct"/>
            <w:vAlign w:val="center"/>
          </w:tcPr>
          <w:p w14:paraId="6B88E6FE" w14:textId="7007ABB1"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202</w:t>
            </w:r>
            <w:r>
              <w:rPr>
                <w:rFonts w:ascii="Arial" w:eastAsia="Times New Roman" w:hAnsi="Arial" w:cs="Arial"/>
                <w:kern w:val="28"/>
                <w:lang w:eastAsia="pl-PL"/>
              </w:rPr>
              <w:t>5</w:t>
            </w:r>
          </w:p>
        </w:tc>
        <w:tc>
          <w:tcPr>
            <w:tcW w:w="618" w:type="pct"/>
            <w:vAlign w:val="center"/>
          </w:tcPr>
          <w:p w14:paraId="7E129961" w14:textId="07655D10"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202</w:t>
            </w:r>
            <w:r>
              <w:rPr>
                <w:rFonts w:ascii="Arial" w:eastAsia="Times New Roman" w:hAnsi="Arial" w:cs="Arial"/>
                <w:kern w:val="28"/>
                <w:lang w:eastAsia="pl-PL"/>
              </w:rPr>
              <w:t>6</w:t>
            </w:r>
          </w:p>
        </w:tc>
        <w:tc>
          <w:tcPr>
            <w:tcW w:w="541" w:type="pct"/>
            <w:vAlign w:val="center"/>
          </w:tcPr>
          <w:p w14:paraId="2A9308DD" w14:textId="36D3682C"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202</w:t>
            </w:r>
            <w:r>
              <w:rPr>
                <w:rFonts w:ascii="Arial" w:eastAsia="Times New Roman" w:hAnsi="Arial" w:cs="Arial"/>
                <w:kern w:val="28"/>
                <w:lang w:eastAsia="pl-PL"/>
              </w:rPr>
              <w:t>7</w:t>
            </w:r>
          </w:p>
        </w:tc>
        <w:tc>
          <w:tcPr>
            <w:tcW w:w="518" w:type="pct"/>
            <w:vAlign w:val="center"/>
          </w:tcPr>
          <w:p w14:paraId="65C7CC0B" w14:textId="0C34606A"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202</w:t>
            </w:r>
            <w:r>
              <w:rPr>
                <w:rFonts w:ascii="Arial" w:eastAsia="Times New Roman" w:hAnsi="Arial" w:cs="Arial"/>
                <w:kern w:val="28"/>
                <w:lang w:eastAsia="pl-PL"/>
              </w:rPr>
              <w:t>8</w:t>
            </w:r>
          </w:p>
        </w:tc>
      </w:tr>
      <w:tr w:rsidR="00BC1B0E" w:rsidRPr="006C0B0D" w14:paraId="5D0FB4F7" w14:textId="77777777" w:rsidTr="00BC1B0E">
        <w:trPr>
          <w:trHeight w:val="42"/>
        </w:trPr>
        <w:tc>
          <w:tcPr>
            <w:tcW w:w="2087" w:type="pct"/>
          </w:tcPr>
          <w:p w14:paraId="36644B4D" w14:textId="165A9850" w:rsidR="00BC1B0E" w:rsidRPr="006C0B0D" w:rsidRDefault="00BC1B0E" w:rsidP="00A94A14">
            <w:pPr>
              <w:spacing w:before="0"/>
              <w:jc w:val="left"/>
              <w:rPr>
                <w:rFonts w:ascii="Arial" w:eastAsia="Times New Roman" w:hAnsi="Arial" w:cs="Arial"/>
                <w:kern w:val="28"/>
                <w:lang w:eastAsia="pl-PL"/>
              </w:rPr>
            </w:pPr>
            <w:r w:rsidRPr="006C0B0D">
              <w:rPr>
                <w:rFonts w:ascii="Arial" w:eastAsia="Times New Roman" w:hAnsi="Arial" w:cs="Arial"/>
                <w:kern w:val="28"/>
                <w:lang w:eastAsia="pl-PL"/>
              </w:rPr>
              <w:t xml:space="preserve">Punktualność kwalifikowana pociągów </w:t>
            </w:r>
          </w:p>
        </w:tc>
        <w:tc>
          <w:tcPr>
            <w:tcW w:w="618" w:type="pct"/>
          </w:tcPr>
          <w:p w14:paraId="474DB1EF" w14:textId="27D760FC" w:rsidR="00BC1B0E" w:rsidRPr="006C0B0D" w:rsidRDefault="00BC1B0E" w:rsidP="00411183">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≥96,</w:t>
            </w:r>
            <w:r>
              <w:rPr>
                <w:rFonts w:ascii="Arial" w:eastAsia="Times New Roman" w:hAnsi="Arial" w:cs="Arial"/>
                <w:kern w:val="28"/>
                <w:lang w:eastAsia="pl-PL"/>
              </w:rPr>
              <w:t>00</w:t>
            </w:r>
          </w:p>
        </w:tc>
        <w:tc>
          <w:tcPr>
            <w:tcW w:w="618" w:type="pct"/>
          </w:tcPr>
          <w:p w14:paraId="0AAFE7B5" w14:textId="6E30B3CA"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≥96,</w:t>
            </w:r>
            <w:r>
              <w:rPr>
                <w:rFonts w:ascii="Arial" w:eastAsia="Times New Roman" w:hAnsi="Arial" w:cs="Arial"/>
                <w:kern w:val="28"/>
                <w:lang w:eastAsia="pl-PL"/>
              </w:rPr>
              <w:t>00</w:t>
            </w:r>
          </w:p>
        </w:tc>
        <w:tc>
          <w:tcPr>
            <w:tcW w:w="618" w:type="pct"/>
          </w:tcPr>
          <w:p w14:paraId="1958C1FB" w14:textId="19B8831B"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≥9</w:t>
            </w:r>
            <w:r>
              <w:rPr>
                <w:rFonts w:ascii="Arial" w:eastAsia="Times New Roman" w:hAnsi="Arial" w:cs="Arial"/>
                <w:kern w:val="28"/>
                <w:lang w:eastAsia="pl-PL"/>
              </w:rPr>
              <w:t>6,00</w:t>
            </w:r>
          </w:p>
        </w:tc>
        <w:tc>
          <w:tcPr>
            <w:tcW w:w="541" w:type="pct"/>
          </w:tcPr>
          <w:p w14:paraId="7D1668A3" w14:textId="075A30BC"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≥9</w:t>
            </w:r>
            <w:r>
              <w:rPr>
                <w:rFonts w:ascii="Arial" w:eastAsia="Times New Roman" w:hAnsi="Arial" w:cs="Arial"/>
                <w:kern w:val="28"/>
                <w:lang w:eastAsia="pl-PL"/>
              </w:rPr>
              <w:t>6,00</w:t>
            </w:r>
          </w:p>
        </w:tc>
        <w:tc>
          <w:tcPr>
            <w:tcW w:w="518" w:type="pct"/>
          </w:tcPr>
          <w:p w14:paraId="5FB926BB" w14:textId="0D1405E6" w:rsidR="00BC1B0E" w:rsidRPr="006C0B0D" w:rsidRDefault="00BC1B0E" w:rsidP="00A94A14">
            <w:pPr>
              <w:spacing w:before="0"/>
              <w:jc w:val="center"/>
              <w:rPr>
                <w:rFonts w:ascii="Arial" w:eastAsia="Times New Roman" w:hAnsi="Arial" w:cs="Arial"/>
                <w:kern w:val="28"/>
                <w:lang w:eastAsia="pl-PL"/>
              </w:rPr>
            </w:pPr>
            <w:r w:rsidRPr="006C0B0D">
              <w:rPr>
                <w:rFonts w:ascii="Arial" w:eastAsia="Times New Roman" w:hAnsi="Arial" w:cs="Arial"/>
                <w:kern w:val="28"/>
                <w:lang w:eastAsia="pl-PL"/>
              </w:rPr>
              <w:t>≥9</w:t>
            </w:r>
            <w:r>
              <w:rPr>
                <w:rFonts w:ascii="Arial" w:eastAsia="Times New Roman" w:hAnsi="Arial" w:cs="Arial"/>
                <w:kern w:val="28"/>
                <w:lang w:eastAsia="pl-PL"/>
              </w:rPr>
              <w:t>6,00</w:t>
            </w:r>
          </w:p>
        </w:tc>
      </w:tr>
    </w:tbl>
    <w:p w14:paraId="3E9E4A30" w14:textId="77777777" w:rsidR="00A94A14" w:rsidRDefault="00A94A14" w:rsidP="00A94A14">
      <w:pPr>
        <w:tabs>
          <w:tab w:val="left" w:pos="0"/>
        </w:tabs>
        <w:autoSpaceDE w:val="0"/>
        <w:autoSpaceDN w:val="0"/>
        <w:adjustRightInd w:val="0"/>
        <w:spacing w:before="480" w:after="480"/>
        <w:jc w:val="left"/>
        <w:rPr>
          <w:rFonts w:ascii="Arial Black" w:eastAsia="Times New Roman" w:hAnsi="Arial Black" w:cs="Arial"/>
          <w:bCs/>
          <w:kern w:val="28"/>
          <w:sz w:val="28"/>
          <w:szCs w:val="28"/>
          <w:u w:val="single"/>
        </w:rPr>
      </w:pPr>
    </w:p>
    <w:p w14:paraId="5990E0D6" w14:textId="12243715" w:rsidR="00F31452" w:rsidRDefault="00F31452" w:rsidP="00A94A14">
      <w:pPr>
        <w:tabs>
          <w:tab w:val="left" w:pos="0"/>
        </w:tabs>
        <w:autoSpaceDE w:val="0"/>
        <w:autoSpaceDN w:val="0"/>
        <w:adjustRightInd w:val="0"/>
        <w:spacing w:before="480" w:after="480"/>
        <w:jc w:val="left"/>
        <w:rPr>
          <w:rFonts w:ascii="Arial Black" w:eastAsia="Times New Roman" w:hAnsi="Arial Black" w:cs="Arial"/>
          <w:bCs/>
          <w:kern w:val="28"/>
          <w:sz w:val="28"/>
          <w:szCs w:val="28"/>
          <w:u w:val="single"/>
        </w:rPr>
      </w:pPr>
    </w:p>
    <w:p w14:paraId="1261CB1E" w14:textId="4CB9F100" w:rsidR="00E444AB" w:rsidRDefault="00E444AB" w:rsidP="00A94A14">
      <w:pPr>
        <w:tabs>
          <w:tab w:val="left" w:pos="0"/>
        </w:tabs>
        <w:autoSpaceDE w:val="0"/>
        <w:autoSpaceDN w:val="0"/>
        <w:adjustRightInd w:val="0"/>
        <w:spacing w:before="480" w:after="480"/>
        <w:jc w:val="left"/>
        <w:rPr>
          <w:rFonts w:ascii="Arial Black" w:eastAsia="Times New Roman" w:hAnsi="Arial Black" w:cs="Arial"/>
          <w:bCs/>
          <w:kern w:val="28"/>
          <w:sz w:val="28"/>
          <w:szCs w:val="28"/>
          <w:u w:val="single"/>
        </w:rPr>
      </w:pPr>
    </w:p>
    <w:p w14:paraId="4F1BC93A" w14:textId="77777777" w:rsidR="00E444AB" w:rsidRPr="007A1996" w:rsidRDefault="00E444AB" w:rsidP="00E444AB">
      <w:pPr>
        <w:pStyle w:val="Akapitzlist"/>
        <w:numPr>
          <w:ilvl w:val="2"/>
          <w:numId w:val="4"/>
        </w:numPr>
        <w:tabs>
          <w:tab w:val="left" w:pos="0"/>
        </w:tabs>
        <w:autoSpaceDE w:val="0"/>
        <w:autoSpaceDN w:val="0"/>
        <w:adjustRightInd w:val="0"/>
        <w:spacing w:before="480" w:after="480"/>
        <w:ind w:left="567" w:hanging="567"/>
        <w:rPr>
          <w:rFonts w:ascii="Arial Black" w:eastAsia="Times New Roman" w:hAnsi="Arial Black" w:cs="Arial"/>
          <w:bCs/>
          <w:kern w:val="28"/>
          <w:sz w:val="24"/>
          <w:szCs w:val="24"/>
          <w:u w:val="single"/>
        </w:rPr>
      </w:pPr>
      <w:r w:rsidRPr="007A1996">
        <w:rPr>
          <w:rFonts w:ascii="Arial Black" w:eastAsia="Times New Roman" w:hAnsi="Arial Black" w:cs="Arial"/>
          <w:bCs/>
          <w:kern w:val="28"/>
          <w:sz w:val="24"/>
          <w:szCs w:val="24"/>
          <w:u w:val="single"/>
        </w:rPr>
        <w:lastRenderedPageBreak/>
        <w:t>Efektywność kosztowa</w:t>
      </w:r>
    </w:p>
    <w:p w14:paraId="78039C7F" w14:textId="77777777" w:rsidR="00E444AB" w:rsidRPr="00D85E37" w:rsidRDefault="00E444AB" w:rsidP="00AC68D4">
      <w:pPr>
        <w:numPr>
          <w:ilvl w:val="0"/>
          <w:numId w:val="15"/>
        </w:numPr>
        <w:spacing w:before="240" w:after="240"/>
        <w:rPr>
          <w:rFonts w:ascii="Arial" w:hAnsi="Arial" w:cs="Arial"/>
        </w:rPr>
      </w:pPr>
      <w:r w:rsidRPr="00D85E37">
        <w:rPr>
          <w:rFonts w:ascii="Arial" w:hAnsi="Arial" w:cs="Arial"/>
        </w:rPr>
        <w:t>Nazwa</w:t>
      </w:r>
    </w:p>
    <w:p w14:paraId="3D979997" w14:textId="722FF799" w:rsidR="00E444AB" w:rsidRPr="00E444AB" w:rsidRDefault="00E444AB" w:rsidP="00AC68D4">
      <w:pPr>
        <w:pStyle w:val="Akapitzlist"/>
        <w:numPr>
          <w:ilvl w:val="0"/>
          <w:numId w:val="21"/>
        </w:numPr>
        <w:tabs>
          <w:tab w:val="left" w:pos="0"/>
        </w:tabs>
        <w:autoSpaceDE w:val="0"/>
        <w:autoSpaceDN w:val="0"/>
        <w:adjustRightInd w:val="0"/>
        <w:spacing w:after="120"/>
        <w:rPr>
          <w:rFonts w:ascii="Arial" w:eastAsia="Times New Roman" w:hAnsi="Arial" w:cs="Arial"/>
          <w:b/>
          <w:bCs/>
          <w:kern w:val="28"/>
          <w:lang w:eastAsia="pl-PL"/>
        </w:rPr>
      </w:pPr>
      <w:r w:rsidRPr="00E444AB">
        <w:rPr>
          <w:rFonts w:ascii="Arial" w:eastAsia="Times New Roman" w:hAnsi="Arial" w:cs="Arial"/>
          <w:bCs/>
          <w:kern w:val="28"/>
          <w:lang w:eastAsia="pl-PL"/>
        </w:rPr>
        <w:t xml:space="preserve">„Koszty działalności związanej z zarządzaniem infrastrukturą kolejową ponoszone </w:t>
      </w:r>
      <w:r w:rsidRPr="00E444AB">
        <w:rPr>
          <w:rFonts w:ascii="Arial" w:eastAsia="Times New Roman" w:hAnsi="Arial" w:cs="Arial"/>
          <w:bCs/>
          <w:kern w:val="28"/>
          <w:lang w:eastAsia="pl-PL"/>
        </w:rPr>
        <w:br/>
        <w:t xml:space="preserve">na 1 </w:t>
      </w:r>
      <w:proofErr w:type="spellStart"/>
      <w:r w:rsidRPr="00E444AB">
        <w:rPr>
          <w:rFonts w:ascii="Arial" w:eastAsia="Times New Roman" w:hAnsi="Arial" w:cs="Arial"/>
          <w:bCs/>
          <w:kern w:val="28"/>
          <w:lang w:eastAsia="pl-PL"/>
        </w:rPr>
        <w:t>pockm</w:t>
      </w:r>
      <w:proofErr w:type="spellEnd"/>
      <w:r w:rsidRPr="00E444AB">
        <w:rPr>
          <w:rFonts w:ascii="Arial" w:eastAsia="Times New Roman" w:hAnsi="Arial" w:cs="Arial"/>
          <w:bCs/>
          <w:kern w:val="28"/>
          <w:lang w:eastAsia="pl-PL"/>
        </w:rPr>
        <w:t xml:space="preserve"> pracy eksploatacyjnej wykonanej na liniach kolejowych zarządzanych przez PKP SKM” </w:t>
      </w:r>
      <w:r w:rsidRPr="00E444AB">
        <w:rPr>
          <w:rFonts w:ascii="Arial" w:eastAsia="Times New Roman" w:hAnsi="Arial" w:cs="Arial"/>
          <w:b/>
          <w:bCs/>
          <w:kern w:val="28"/>
          <w:lang w:eastAsia="pl-PL"/>
        </w:rPr>
        <w:t>Wskaźnik obligatoryjny. Trzeci wskaźnik monitorowania realizacji celu głównego Programu.</w:t>
      </w:r>
    </w:p>
    <w:p w14:paraId="2D60B5EC" w14:textId="62D8427A" w:rsidR="00E444AB" w:rsidRPr="00E444AB" w:rsidRDefault="00F75393" w:rsidP="00AC68D4">
      <w:pPr>
        <w:pStyle w:val="Akapitzlist"/>
        <w:numPr>
          <w:ilvl w:val="0"/>
          <w:numId w:val="21"/>
        </w:numPr>
        <w:tabs>
          <w:tab w:val="left" w:pos="0"/>
        </w:tabs>
        <w:autoSpaceDE w:val="0"/>
        <w:autoSpaceDN w:val="0"/>
        <w:adjustRightInd w:val="0"/>
        <w:spacing w:after="120"/>
        <w:rPr>
          <w:rFonts w:ascii="Arial" w:eastAsia="Times New Roman" w:hAnsi="Arial" w:cs="Arial"/>
          <w:b/>
          <w:bCs/>
          <w:kern w:val="28"/>
          <w:lang w:eastAsia="pl-PL"/>
        </w:rPr>
      </w:pPr>
      <w:r>
        <w:rPr>
          <w:rFonts w:ascii="Arial" w:eastAsia="Times New Roman" w:hAnsi="Arial" w:cs="Arial"/>
          <w:bCs/>
          <w:kern w:val="28"/>
          <w:lang w:eastAsia="pl-PL"/>
        </w:rPr>
        <w:t>„</w:t>
      </w:r>
      <w:r w:rsidR="00E444AB">
        <w:rPr>
          <w:rFonts w:ascii="Arial" w:eastAsia="Times New Roman" w:hAnsi="Arial" w:cs="Arial"/>
          <w:bCs/>
          <w:kern w:val="28"/>
          <w:lang w:eastAsia="pl-PL"/>
        </w:rPr>
        <w:t>Koszty działalność związanej z wykonywaniem zadań zarządców infrastruktury ponoszone na 1 km linii kolejowej zarządzanej przez PKP SKM (tys. zł/km)</w:t>
      </w:r>
      <w:r w:rsidR="007616C5">
        <w:rPr>
          <w:rFonts w:ascii="Arial" w:eastAsia="Times New Roman" w:hAnsi="Arial" w:cs="Arial"/>
          <w:bCs/>
          <w:kern w:val="28"/>
          <w:lang w:eastAsia="pl-PL"/>
        </w:rPr>
        <w:t>”</w:t>
      </w:r>
      <w:r w:rsidR="00E444AB">
        <w:rPr>
          <w:rFonts w:ascii="Arial" w:eastAsia="Times New Roman" w:hAnsi="Arial" w:cs="Arial"/>
          <w:bCs/>
          <w:kern w:val="28"/>
          <w:lang w:eastAsia="pl-PL"/>
        </w:rPr>
        <w:t xml:space="preserve">. </w:t>
      </w:r>
      <w:r w:rsidR="00E444AB" w:rsidRPr="00E444AB">
        <w:rPr>
          <w:rFonts w:ascii="Arial" w:eastAsia="Times New Roman" w:hAnsi="Arial" w:cs="Arial"/>
          <w:b/>
          <w:bCs/>
          <w:kern w:val="28"/>
          <w:lang w:eastAsia="pl-PL"/>
        </w:rPr>
        <w:t>Wskaźnik obligatoryjny</w:t>
      </w:r>
      <w:r w:rsidR="00E444AB">
        <w:rPr>
          <w:rFonts w:ascii="Arial" w:eastAsia="Times New Roman" w:hAnsi="Arial" w:cs="Arial"/>
          <w:b/>
          <w:bCs/>
          <w:kern w:val="28"/>
          <w:lang w:eastAsia="pl-PL"/>
        </w:rPr>
        <w:t>.</w:t>
      </w:r>
      <w:r w:rsidR="00A66767">
        <w:rPr>
          <w:rFonts w:ascii="Arial" w:eastAsia="Times New Roman" w:hAnsi="Arial" w:cs="Arial"/>
          <w:b/>
          <w:bCs/>
          <w:kern w:val="28"/>
          <w:lang w:eastAsia="pl-PL"/>
        </w:rPr>
        <w:t xml:space="preserve"> Wskaźnik uzupełniający monitorowania realizacji Programu.</w:t>
      </w:r>
    </w:p>
    <w:p w14:paraId="600DE873" w14:textId="77777777" w:rsidR="00E444AB" w:rsidRPr="00A94A14" w:rsidRDefault="00E444AB" w:rsidP="00E444AB">
      <w:pPr>
        <w:tabs>
          <w:tab w:val="left" w:pos="0"/>
        </w:tabs>
        <w:autoSpaceDE w:val="0"/>
        <w:autoSpaceDN w:val="0"/>
        <w:adjustRightInd w:val="0"/>
        <w:spacing w:after="120"/>
        <w:ind w:left="360"/>
        <w:rPr>
          <w:rFonts w:ascii="Arial" w:eastAsia="Times New Roman" w:hAnsi="Arial" w:cs="Arial"/>
          <w:kern w:val="28"/>
          <w:lang w:eastAsia="pl-PL"/>
        </w:rPr>
      </w:pPr>
    </w:p>
    <w:p w14:paraId="7BEC0D98" w14:textId="77777777" w:rsidR="00E444AB" w:rsidRPr="008A171E" w:rsidRDefault="00E444AB" w:rsidP="00AC68D4">
      <w:pPr>
        <w:numPr>
          <w:ilvl w:val="0"/>
          <w:numId w:val="15"/>
        </w:numPr>
        <w:spacing w:before="240" w:after="240"/>
        <w:rPr>
          <w:rFonts w:ascii="Arial" w:hAnsi="Arial" w:cs="Arial"/>
        </w:rPr>
      </w:pPr>
      <w:r w:rsidRPr="008A171E">
        <w:rPr>
          <w:rFonts w:ascii="Arial" w:hAnsi="Arial" w:cs="Arial"/>
        </w:rPr>
        <w:t>Definicja</w:t>
      </w:r>
    </w:p>
    <w:p w14:paraId="1B2CDF95" w14:textId="6F55D351" w:rsidR="00667A9B" w:rsidRPr="00667A9B" w:rsidRDefault="00667A9B" w:rsidP="00AC68D4">
      <w:pPr>
        <w:pStyle w:val="Akapitzlist"/>
        <w:numPr>
          <w:ilvl w:val="1"/>
          <w:numId w:val="16"/>
        </w:numPr>
        <w:tabs>
          <w:tab w:val="left" w:pos="0"/>
        </w:tabs>
        <w:autoSpaceDE w:val="0"/>
        <w:autoSpaceDN w:val="0"/>
        <w:adjustRightInd w:val="0"/>
        <w:spacing w:before="0"/>
        <w:ind w:left="709" w:hanging="709"/>
        <w:rPr>
          <w:rFonts w:ascii="Arial" w:eastAsia="Times New Roman" w:hAnsi="Arial" w:cs="Arial"/>
          <w:kern w:val="28"/>
          <w:lang w:eastAsia="pl-PL"/>
        </w:rPr>
      </w:pPr>
      <w:r w:rsidRPr="007A1996">
        <w:rPr>
          <w:rFonts w:ascii="Arial" w:eastAsia="Times New Roman" w:hAnsi="Arial" w:cs="Arial"/>
          <w:bCs/>
          <w:kern w:val="28"/>
          <w:lang w:eastAsia="pl-PL"/>
        </w:rPr>
        <w:t xml:space="preserve">Wskaźnik efektywności kosztowej nr </w:t>
      </w:r>
      <w:r>
        <w:rPr>
          <w:rFonts w:ascii="Arial" w:eastAsia="Times New Roman" w:hAnsi="Arial" w:cs="Arial"/>
          <w:bCs/>
          <w:kern w:val="28"/>
          <w:lang w:eastAsia="pl-PL"/>
        </w:rPr>
        <w:t>4</w:t>
      </w:r>
      <w:r w:rsidRPr="007A1996">
        <w:rPr>
          <w:rFonts w:ascii="Arial" w:eastAsia="Times New Roman" w:hAnsi="Arial" w:cs="Arial"/>
          <w:bCs/>
          <w:kern w:val="28"/>
          <w:lang w:eastAsia="pl-PL"/>
        </w:rPr>
        <w:t xml:space="preserve">) wymieniony w pkt 1, definiowany jest jako </w:t>
      </w:r>
      <w:r w:rsidRPr="007A1996">
        <w:rPr>
          <w:rFonts w:ascii="Arial" w:eastAsia="Times New Roman" w:hAnsi="Arial" w:cs="Arial"/>
          <w:kern w:val="28"/>
          <w:lang w:eastAsia="pl-PL"/>
        </w:rPr>
        <w:t>i</w:t>
      </w:r>
      <w:r w:rsidRPr="007A1996">
        <w:rPr>
          <w:rFonts w:ascii="Arial" w:eastAsia="Times New Roman" w:hAnsi="Arial" w:cs="Arial"/>
          <w:bCs/>
          <w:kern w:val="28"/>
          <w:lang w:eastAsia="pl-PL"/>
        </w:rPr>
        <w:t xml:space="preserve">loraz kosztów działalności związanej z zarządzaniem infrastrukturą kolejową (kosztów działalności gospodarczej PKP SKM jako Zarządcy) i </w:t>
      </w:r>
      <w:r>
        <w:rPr>
          <w:rFonts w:ascii="Arial" w:eastAsia="Times New Roman" w:hAnsi="Arial" w:cs="Arial"/>
          <w:bCs/>
          <w:kern w:val="28"/>
          <w:lang w:eastAsia="pl-PL"/>
        </w:rPr>
        <w:t xml:space="preserve">ilości wykonanej pracy eksploatacyjnej na </w:t>
      </w:r>
      <w:r w:rsidRPr="007A1996">
        <w:rPr>
          <w:rFonts w:ascii="Arial" w:eastAsia="Times New Roman" w:hAnsi="Arial" w:cs="Arial"/>
          <w:bCs/>
          <w:kern w:val="28"/>
          <w:lang w:eastAsia="pl-PL"/>
        </w:rPr>
        <w:t>lini</w:t>
      </w:r>
      <w:r>
        <w:rPr>
          <w:rFonts w:ascii="Arial" w:eastAsia="Times New Roman" w:hAnsi="Arial" w:cs="Arial"/>
          <w:bCs/>
          <w:kern w:val="28"/>
          <w:lang w:eastAsia="pl-PL"/>
        </w:rPr>
        <w:t>ach</w:t>
      </w:r>
      <w:r w:rsidRPr="007A1996">
        <w:rPr>
          <w:rFonts w:ascii="Arial" w:eastAsia="Times New Roman" w:hAnsi="Arial" w:cs="Arial"/>
          <w:bCs/>
          <w:kern w:val="28"/>
          <w:lang w:eastAsia="pl-PL"/>
        </w:rPr>
        <w:t xml:space="preserve"> kolejowych zarządzanych przez PKP SKM;</w:t>
      </w:r>
    </w:p>
    <w:p w14:paraId="4A98CF6C" w14:textId="635A4BF5" w:rsidR="00667A9B" w:rsidRDefault="00667A9B" w:rsidP="00667A9B">
      <w:pPr>
        <w:pStyle w:val="Akapitzlist"/>
        <w:tabs>
          <w:tab w:val="left" w:pos="0"/>
        </w:tabs>
        <w:autoSpaceDE w:val="0"/>
        <w:autoSpaceDN w:val="0"/>
        <w:adjustRightInd w:val="0"/>
        <w:spacing w:before="0"/>
        <w:ind w:left="709"/>
        <w:rPr>
          <w:rFonts w:ascii="Arial" w:eastAsia="Times New Roman" w:hAnsi="Arial" w:cs="Arial"/>
          <w:kern w:val="28"/>
          <w:lang w:eastAsia="pl-PL"/>
        </w:rPr>
      </w:pPr>
    </w:p>
    <w:p w14:paraId="79846F9C" w14:textId="7A79ACEE" w:rsidR="00667A9B" w:rsidRPr="007A1996" w:rsidRDefault="00667A9B" w:rsidP="00667A9B">
      <w:pPr>
        <w:tabs>
          <w:tab w:val="left" w:pos="0"/>
        </w:tabs>
        <w:autoSpaceDE w:val="0"/>
        <w:autoSpaceDN w:val="0"/>
        <w:adjustRightInd w:val="0"/>
        <w:spacing w:before="0"/>
        <w:ind w:left="709"/>
        <w:rPr>
          <w:rFonts w:ascii="Arial" w:eastAsia="Times New Roman" w:hAnsi="Arial" w:cs="Arial"/>
          <w:bCs/>
          <w:kern w:val="28"/>
          <w:lang w:eastAsia="pl-PL"/>
        </w:rPr>
      </w:pPr>
      <w:r w:rsidRPr="007A1996">
        <w:rPr>
          <w:rFonts w:ascii="Arial" w:eastAsia="Times New Roman" w:hAnsi="Arial" w:cs="Arial"/>
          <w:bCs/>
          <w:kern w:val="28"/>
          <w:lang w:eastAsia="pl-PL"/>
        </w:rPr>
        <w:t xml:space="preserve">Wskaźnik wyznaczany jest dla rocznych kosztów działalności związanej z zarządzaniem infrastrukturą kolejową (kosztów działalności gospodarczej PKP SKM) oraz </w:t>
      </w:r>
      <w:r>
        <w:rPr>
          <w:rFonts w:ascii="Arial" w:eastAsia="Times New Roman" w:hAnsi="Arial" w:cs="Arial"/>
          <w:bCs/>
          <w:kern w:val="28"/>
          <w:lang w:eastAsia="pl-PL"/>
        </w:rPr>
        <w:t xml:space="preserve">ilości wykonanej pracy eksploatacyjnej na </w:t>
      </w:r>
      <w:r w:rsidRPr="007A1996">
        <w:rPr>
          <w:rFonts w:ascii="Arial" w:eastAsia="Times New Roman" w:hAnsi="Arial" w:cs="Arial"/>
          <w:bCs/>
          <w:kern w:val="28"/>
          <w:lang w:eastAsia="pl-PL"/>
        </w:rPr>
        <w:t>lini</w:t>
      </w:r>
      <w:r>
        <w:rPr>
          <w:rFonts w:ascii="Arial" w:eastAsia="Times New Roman" w:hAnsi="Arial" w:cs="Arial"/>
          <w:bCs/>
          <w:kern w:val="28"/>
          <w:lang w:eastAsia="pl-PL"/>
        </w:rPr>
        <w:t>ach</w:t>
      </w:r>
      <w:r w:rsidRPr="007A1996">
        <w:rPr>
          <w:rFonts w:ascii="Arial" w:eastAsia="Times New Roman" w:hAnsi="Arial" w:cs="Arial"/>
          <w:bCs/>
          <w:kern w:val="28"/>
          <w:lang w:eastAsia="pl-PL"/>
        </w:rPr>
        <w:t xml:space="preserve"> kolejowych zarządzanych przez PKP SKM wg stanu na dzień 31 grudnia danego roku.</w:t>
      </w:r>
    </w:p>
    <w:p w14:paraId="1A20DB29" w14:textId="77777777" w:rsidR="00667A9B" w:rsidRPr="007A1996" w:rsidRDefault="00667A9B" w:rsidP="00667A9B">
      <w:pPr>
        <w:pStyle w:val="Akapitzlist"/>
        <w:tabs>
          <w:tab w:val="left" w:pos="0"/>
        </w:tabs>
        <w:autoSpaceDE w:val="0"/>
        <w:autoSpaceDN w:val="0"/>
        <w:adjustRightInd w:val="0"/>
        <w:spacing w:before="0"/>
        <w:ind w:left="709"/>
        <w:rPr>
          <w:rFonts w:ascii="Arial" w:eastAsia="Times New Roman" w:hAnsi="Arial" w:cs="Arial"/>
          <w:kern w:val="28"/>
          <w:lang w:eastAsia="pl-PL"/>
        </w:rPr>
      </w:pPr>
    </w:p>
    <w:p w14:paraId="29D274F5" w14:textId="68BAAAF5" w:rsidR="00E444AB" w:rsidRPr="00667A9B" w:rsidRDefault="00E444AB" w:rsidP="00AC68D4">
      <w:pPr>
        <w:pStyle w:val="Akapitzlist"/>
        <w:numPr>
          <w:ilvl w:val="1"/>
          <w:numId w:val="16"/>
        </w:numPr>
        <w:tabs>
          <w:tab w:val="left" w:pos="0"/>
        </w:tabs>
        <w:autoSpaceDE w:val="0"/>
        <w:autoSpaceDN w:val="0"/>
        <w:adjustRightInd w:val="0"/>
        <w:spacing w:before="0"/>
        <w:ind w:left="709" w:hanging="709"/>
        <w:rPr>
          <w:rFonts w:ascii="Arial" w:eastAsia="Times New Roman" w:hAnsi="Arial" w:cs="Arial"/>
          <w:kern w:val="28"/>
          <w:lang w:eastAsia="pl-PL"/>
        </w:rPr>
      </w:pPr>
      <w:r w:rsidRPr="007A1996">
        <w:rPr>
          <w:rFonts w:ascii="Arial" w:eastAsia="Times New Roman" w:hAnsi="Arial" w:cs="Arial"/>
          <w:bCs/>
          <w:kern w:val="28"/>
          <w:lang w:eastAsia="pl-PL"/>
        </w:rPr>
        <w:t xml:space="preserve">Wskaźnik efektywności kosztowej nr </w:t>
      </w:r>
      <w:r w:rsidR="00667A9B">
        <w:rPr>
          <w:rFonts w:ascii="Arial" w:eastAsia="Times New Roman" w:hAnsi="Arial" w:cs="Arial"/>
          <w:bCs/>
          <w:kern w:val="28"/>
          <w:lang w:eastAsia="pl-PL"/>
        </w:rPr>
        <w:t>5</w:t>
      </w:r>
      <w:r w:rsidRPr="007A1996">
        <w:rPr>
          <w:rFonts w:ascii="Arial" w:eastAsia="Times New Roman" w:hAnsi="Arial" w:cs="Arial"/>
          <w:bCs/>
          <w:kern w:val="28"/>
          <w:lang w:eastAsia="pl-PL"/>
        </w:rPr>
        <w:t xml:space="preserve">) wymieniony w pkt 1, definiowany jest jako </w:t>
      </w:r>
      <w:r w:rsidRPr="007A1996">
        <w:rPr>
          <w:rFonts w:ascii="Arial" w:eastAsia="Times New Roman" w:hAnsi="Arial" w:cs="Arial"/>
          <w:kern w:val="28"/>
          <w:lang w:eastAsia="pl-PL"/>
        </w:rPr>
        <w:t>i</w:t>
      </w:r>
      <w:r w:rsidRPr="007A1996">
        <w:rPr>
          <w:rFonts w:ascii="Arial" w:eastAsia="Times New Roman" w:hAnsi="Arial" w:cs="Arial"/>
          <w:bCs/>
          <w:kern w:val="28"/>
          <w:lang w:eastAsia="pl-PL"/>
        </w:rPr>
        <w:t>loraz kosztów działalności związanej z zarządzaniem infrastrukturą kolejową (kosztów działalności gospodarczej PKP SKM jako Zarządcy) i długości linii kolejowych zarządzanych przez PKP SKM;</w:t>
      </w:r>
    </w:p>
    <w:p w14:paraId="5C3D596F" w14:textId="77777777" w:rsidR="00667A9B" w:rsidRPr="007A1996" w:rsidRDefault="00667A9B" w:rsidP="00667A9B">
      <w:pPr>
        <w:pStyle w:val="Akapitzlist"/>
        <w:tabs>
          <w:tab w:val="left" w:pos="0"/>
        </w:tabs>
        <w:autoSpaceDE w:val="0"/>
        <w:autoSpaceDN w:val="0"/>
        <w:adjustRightInd w:val="0"/>
        <w:spacing w:before="0"/>
        <w:ind w:left="709"/>
        <w:rPr>
          <w:rFonts w:ascii="Arial" w:eastAsia="Times New Roman" w:hAnsi="Arial" w:cs="Arial"/>
          <w:kern w:val="28"/>
          <w:lang w:eastAsia="pl-PL"/>
        </w:rPr>
      </w:pPr>
    </w:p>
    <w:p w14:paraId="09DDB4D9" w14:textId="03891C7B" w:rsidR="00E444AB" w:rsidRPr="007A1996" w:rsidRDefault="00E444AB" w:rsidP="00667A9B">
      <w:pPr>
        <w:tabs>
          <w:tab w:val="left" w:pos="0"/>
        </w:tabs>
        <w:autoSpaceDE w:val="0"/>
        <w:autoSpaceDN w:val="0"/>
        <w:adjustRightInd w:val="0"/>
        <w:spacing w:before="0"/>
        <w:ind w:left="709"/>
        <w:rPr>
          <w:rFonts w:ascii="Arial" w:eastAsia="Times New Roman" w:hAnsi="Arial" w:cs="Arial"/>
          <w:bCs/>
          <w:kern w:val="28"/>
          <w:lang w:eastAsia="pl-PL"/>
        </w:rPr>
      </w:pPr>
      <w:r w:rsidRPr="007A1996">
        <w:rPr>
          <w:rFonts w:ascii="Arial" w:eastAsia="Times New Roman" w:hAnsi="Arial" w:cs="Arial"/>
          <w:bCs/>
          <w:kern w:val="28"/>
          <w:lang w:eastAsia="pl-PL"/>
        </w:rPr>
        <w:t>Wskaźnik wyznaczany jest dla rocznych kosztów działalności związanej z zarządzaniem infrastrukturą kolejową (kosztów działalności gospodarczej PKP SKM) oraz długości linii kolejowych zarządzanych przez PKP SKM wg stanu na dzień 31 grudnia danego roku.</w:t>
      </w:r>
    </w:p>
    <w:p w14:paraId="196F9425" w14:textId="77777777" w:rsidR="00E444AB" w:rsidRPr="007A1996" w:rsidRDefault="00E444AB" w:rsidP="00AC68D4">
      <w:pPr>
        <w:numPr>
          <w:ilvl w:val="0"/>
          <w:numId w:val="15"/>
        </w:numPr>
        <w:spacing w:before="240" w:after="240"/>
        <w:rPr>
          <w:rFonts w:ascii="Arial" w:hAnsi="Arial" w:cs="Arial"/>
        </w:rPr>
      </w:pPr>
      <w:r w:rsidRPr="007A1996">
        <w:rPr>
          <w:rFonts w:ascii="Arial" w:hAnsi="Arial" w:cs="Arial"/>
        </w:rPr>
        <w:t>Źródła danych</w:t>
      </w:r>
    </w:p>
    <w:p w14:paraId="68930277" w14:textId="77777777" w:rsidR="00E444AB" w:rsidRPr="007A1996" w:rsidRDefault="00E444AB" w:rsidP="00E444AB">
      <w:pPr>
        <w:pStyle w:val="Akapitzlist"/>
        <w:ind w:left="360"/>
        <w:rPr>
          <w:rFonts w:cs="Times New Roman"/>
        </w:rPr>
      </w:pPr>
      <w:r w:rsidRPr="007A1996">
        <w:rPr>
          <w:rFonts w:ascii="Arial" w:eastAsia="Calibri" w:hAnsi="Arial" w:cs="Arial"/>
          <w:lang w:eastAsia="pl-PL"/>
        </w:rPr>
        <w:t xml:space="preserve">Wielkości do wyliczenia wskaźnika Zarządca określa na bazie </w:t>
      </w:r>
      <w:r w:rsidRPr="007A1996">
        <w:rPr>
          <w:rFonts w:ascii="Arial" w:eastAsia="Times New Roman" w:hAnsi="Arial" w:cs="Arial"/>
          <w:bCs/>
          <w:kern w:val="28"/>
        </w:rPr>
        <w:t>danych pozyskanych z systemu księgowo-finansowego SAP ERP, SEPE (System Ewidencji Pracy Eksploatacyjnej), bazy POS (Prowadzenie Opisu Sieci), ZMIPEL (Zmiana Parametrów Eksploatacyjnych Linii Kolejowych) oraz corocznej sprawozdawczości.</w:t>
      </w:r>
    </w:p>
    <w:p w14:paraId="6AD283D1" w14:textId="77777777" w:rsidR="00E444AB" w:rsidRPr="007A1996" w:rsidRDefault="00E444AB" w:rsidP="00AC68D4">
      <w:pPr>
        <w:numPr>
          <w:ilvl w:val="0"/>
          <w:numId w:val="15"/>
        </w:numPr>
        <w:spacing w:before="240" w:after="240"/>
        <w:rPr>
          <w:rFonts w:ascii="Arial" w:hAnsi="Arial" w:cs="Arial"/>
        </w:rPr>
      </w:pPr>
      <w:r w:rsidRPr="007A1996">
        <w:rPr>
          <w:rFonts w:ascii="Arial" w:hAnsi="Arial" w:cs="Arial"/>
        </w:rPr>
        <w:t>Wartość oczekiwana</w:t>
      </w:r>
    </w:p>
    <w:p w14:paraId="2917DB0B" w14:textId="26143384" w:rsidR="00E444AB" w:rsidRPr="007A1996" w:rsidRDefault="00E444AB" w:rsidP="00AC68D4">
      <w:pPr>
        <w:pStyle w:val="Akapitzlist"/>
        <w:numPr>
          <w:ilvl w:val="1"/>
          <w:numId w:val="17"/>
        </w:numPr>
        <w:tabs>
          <w:tab w:val="left" w:pos="0"/>
        </w:tabs>
        <w:autoSpaceDE w:val="0"/>
        <w:autoSpaceDN w:val="0"/>
        <w:adjustRightInd w:val="0"/>
        <w:spacing w:before="0"/>
        <w:ind w:left="567" w:hanging="567"/>
        <w:rPr>
          <w:rFonts w:ascii="Arial" w:eastAsia="Times New Roman" w:hAnsi="Arial" w:cs="Arial"/>
          <w:kern w:val="28"/>
          <w:lang w:eastAsia="pl-PL"/>
        </w:rPr>
      </w:pPr>
      <w:r w:rsidRPr="007A1996">
        <w:rPr>
          <w:rFonts w:ascii="Arial" w:eastAsia="Times New Roman" w:hAnsi="Arial" w:cs="Arial"/>
          <w:bCs/>
          <w:kern w:val="28"/>
          <w:lang w:eastAsia="pl-PL"/>
        </w:rPr>
        <w:t>Wskaźnik</w:t>
      </w:r>
      <w:r w:rsidR="000A4341">
        <w:rPr>
          <w:rFonts w:ascii="Arial" w:eastAsia="Times New Roman" w:hAnsi="Arial" w:cs="Arial"/>
          <w:bCs/>
          <w:kern w:val="28"/>
          <w:lang w:eastAsia="pl-PL"/>
        </w:rPr>
        <w:t>i</w:t>
      </w:r>
      <w:r w:rsidRPr="007A1996">
        <w:rPr>
          <w:rFonts w:ascii="Arial" w:eastAsia="Times New Roman" w:hAnsi="Arial" w:cs="Arial"/>
          <w:bCs/>
          <w:kern w:val="28"/>
          <w:lang w:eastAsia="pl-PL"/>
        </w:rPr>
        <w:t>, wymienion</w:t>
      </w:r>
      <w:r w:rsidR="000A4341">
        <w:rPr>
          <w:rFonts w:ascii="Arial" w:eastAsia="Times New Roman" w:hAnsi="Arial" w:cs="Arial"/>
          <w:bCs/>
          <w:kern w:val="28"/>
          <w:lang w:eastAsia="pl-PL"/>
        </w:rPr>
        <w:t>e</w:t>
      </w:r>
      <w:r w:rsidRPr="007A1996">
        <w:rPr>
          <w:rFonts w:ascii="Arial" w:eastAsia="Times New Roman" w:hAnsi="Arial" w:cs="Arial"/>
          <w:bCs/>
          <w:kern w:val="28"/>
          <w:lang w:eastAsia="pl-PL"/>
        </w:rPr>
        <w:t xml:space="preserve"> w pkt 1, podlega</w:t>
      </w:r>
      <w:r w:rsidR="000A4341">
        <w:rPr>
          <w:rFonts w:ascii="Arial" w:eastAsia="Times New Roman" w:hAnsi="Arial" w:cs="Arial"/>
          <w:bCs/>
          <w:kern w:val="28"/>
          <w:lang w:eastAsia="pl-PL"/>
        </w:rPr>
        <w:t>ją</w:t>
      </w:r>
      <w:r w:rsidRPr="007A1996">
        <w:rPr>
          <w:rFonts w:ascii="Arial" w:eastAsia="Times New Roman" w:hAnsi="Arial" w:cs="Arial"/>
          <w:bCs/>
          <w:kern w:val="28"/>
          <w:lang w:eastAsia="pl-PL"/>
        </w:rPr>
        <w:t xml:space="preserve"> monitorowaniu w cyklu rocznym;</w:t>
      </w:r>
    </w:p>
    <w:p w14:paraId="133B010D" w14:textId="2709673C" w:rsidR="00E444AB" w:rsidRPr="007616C5" w:rsidRDefault="00E444AB" w:rsidP="00AC68D4">
      <w:pPr>
        <w:pStyle w:val="Akapitzlist"/>
        <w:numPr>
          <w:ilvl w:val="1"/>
          <w:numId w:val="17"/>
        </w:numPr>
        <w:tabs>
          <w:tab w:val="left" w:pos="0"/>
        </w:tabs>
        <w:autoSpaceDE w:val="0"/>
        <w:autoSpaceDN w:val="0"/>
        <w:adjustRightInd w:val="0"/>
        <w:spacing w:before="0" w:after="120"/>
        <w:ind w:left="567" w:hanging="567"/>
        <w:rPr>
          <w:rFonts w:ascii="Arial" w:eastAsia="Times New Roman" w:hAnsi="Arial" w:cs="Arial"/>
          <w:kern w:val="28"/>
          <w:lang w:eastAsia="pl-PL"/>
        </w:rPr>
      </w:pPr>
      <w:r w:rsidRPr="007A1996">
        <w:rPr>
          <w:rFonts w:ascii="Arial" w:eastAsia="Times New Roman" w:hAnsi="Arial" w:cs="Arial"/>
          <w:bCs/>
          <w:kern w:val="28"/>
          <w:lang w:eastAsia="pl-PL"/>
        </w:rPr>
        <w:t>Zarządca zobowiązany jest zapewnić uzyskanie następujących wartości wskaźnik</w:t>
      </w:r>
      <w:r w:rsidR="00667A9B">
        <w:rPr>
          <w:rFonts w:ascii="Arial" w:eastAsia="Times New Roman" w:hAnsi="Arial" w:cs="Arial"/>
          <w:bCs/>
          <w:kern w:val="28"/>
          <w:lang w:eastAsia="pl-PL"/>
        </w:rPr>
        <w:t>ów</w:t>
      </w:r>
      <w:r w:rsidRPr="007A1996">
        <w:rPr>
          <w:rFonts w:ascii="Arial" w:eastAsia="Times New Roman" w:hAnsi="Arial" w:cs="Arial"/>
          <w:bCs/>
          <w:kern w:val="28"/>
          <w:lang w:eastAsia="pl-PL"/>
        </w:rPr>
        <w:t xml:space="preserve"> w poszczególnych latach obowiązywania Umowy:</w:t>
      </w:r>
    </w:p>
    <w:p w14:paraId="2ECA2C9C" w14:textId="3C924CC1" w:rsidR="007616C5" w:rsidRDefault="007616C5" w:rsidP="007616C5">
      <w:pPr>
        <w:tabs>
          <w:tab w:val="left" w:pos="0"/>
        </w:tabs>
        <w:autoSpaceDE w:val="0"/>
        <w:autoSpaceDN w:val="0"/>
        <w:adjustRightInd w:val="0"/>
        <w:spacing w:before="0" w:after="120"/>
        <w:rPr>
          <w:rFonts w:ascii="Arial" w:eastAsia="Times New Roman" w:hAnsi="Arial" w:cs="Arial"/>
          <w:kern w:val="28"/>
          <w:lang w:eastAsia="pl-PL"/>
        </w:rPr>
      </w:pPr>
    </w:p>
    <w:p w14:paraId="53975A62" w14:textId="70734C5F" w:rsidR="007616C5" w:rsidRDefault="007616C5" w:rsidP="007616C5">
      <w:pPr>
        <w:tabs>
          <w:tab w:val="left" w:pos="0"/>
        </w:tabs>
        <w:autoSpaceDE w:val="0"/>
        <w:autoSpaceDN w:val="0"/>
        <w:adjustRightInd w:val="0"/>
        <w:spacing w:before="0" w:after="120"/>
        <w:rPr>
          <w:rFonts w:ascii="Arial" w:eastAsia="Times New Roman" w:hAnsi="Arial" w:cs="Arial"/>
          <w:kern w:val="28"/>
          <w:lang w:eastAsia="pl-PL"/>
        </w:rPr>
      </w:pPr>
    </w:p>
    <w:p w14:paraId="1245D280" w14:textId="1BA920E4" w:rsidR="007616C5" w:rsidRDefault="007616C5" w:rsidP="007616C5">
      <w:pPr>
        <w:tabs>
          <w:tab w:val="left" w:pos="0"/>
        </w:tabs>
        <w:autoSpaceDE w:val="0"/>
        <w:autoSpaceDN w:val="0"/>
        <w:adjustRightInd w:val="0"/>
        <w:spacing w:before="0" w:after="120"/>
        <w:rPr>
          <w:rFonts w:ascii="Arial" w:eastAsia="Times New Roman" w:hAnsi="Arial" w:cs="Arial"/>
          <w:kern w:val="28"/>
          <w:lang w:eastAsia="pl-PL"/>
        </w:rPr>
      </w:pPr>
    </w:p>
    <w:p w14:paraId="425F7AA2" w14:textId="63F06E58" w:rsidR="007616C5" w:rsidRDefault="007616C5" w:rsidP="007616C5">
      <w:pPr>
        <w:tabs>
          <w:tab w:val="left" w:pos="0"/>
        </w:tabs>
        <w:autoSpaceDE w:val="0"/>
        <w:autoSpaceDN w:val="0"/>
        <w:adjustRightInd w:val="0"/>
        <w:spacing w:before="0" w:after="120"/>
        <w:rPr>
          <w:rFonts w:ascii="Arial" w:eastAsia="Times New Roman" w:hAnsi="Arial" w:cs="Arial"/>
          <w:kern w:val="28"/>
          <w:lang w:eastAsia="pl-PL"/>
        </w:rPr>
      </w:pPr>
    </w:p>
    <w:p w14:paraId="19C6097A" w14:textId="5D664930" w:rsidR="007616C5" w:rsidRDefault="007616C5" w:rsidP="007616C5">
      <w:pPr>
        <w:tabs>
          <w:tab w:val="left" w:pos="0"/>
        </w:tabs>
        <w:autoSpaceDE w:val="0"/>
        <w:autoSpaceDN w:val="0"/>
        <w:adjustRightInd w:val="0"/>
        <w:spacing w:before="0" w:after="120"/>
        <w:rPr>
          <w:rFonts w:ascii="Arial" w:eastAsia="Times New Roman" w:hAnsi="Arial" w:cs="Arial"/>
          <w:kern w:val="28"/>
          <w:lang w:eastAsia="pl-PL"/>
        </w:rPr>
      </w:pPr>
    </w:p>
    <w:p w14:paraId="3812954C" w14:textId="77777777" w:rsidR="007616C5" w:rsidRPr="007616C5" w:rsidRDefault="007616C5" w:rsidP="007616C5">
      <w:pPr>
        <w:tabs>
          <w:tab w:val="left" w:pos="0"/>
        </w:tabs>
        <w:autoSpaceDE w:val="0"/>
        <w:autoSpaceDN w:val="0"/>
        <w:adjustRightInd w:val="0"/>
        <w:spacing w:before="0" w:after="120"/>
        <w:rPr>
          <w:rFonts w:ascii="Arial" w:eastAsia="Times New Roman" w:hAnsi="Arial" w:cs="Arial"/>
          <w:kern w:val="28"/>
          <w:lang w:eastAsia="pl-PL"/>
        </w:rPr>
      </w:pPr>
    </w:p>
    <w:tbl>
      <w:tblPr>
        <w:tblStyle w:val="Tabela-Siatka1"/>
        <w:tblW w:w="4923" w:type="pct"/>
        <w:tblInd w:w="-289" w:type="dxa"/>
        <w:tblLayout w:type="fixed"/>
        <w:tblLook w:val="04A0" w:firstRow="1" w:lastRow="0" w:firstColumn="1" w:lastColumn="0" w:noHBand="0" w:noVBand="1"/>
      </w:tblPr>
      <w:tblGrid>
        <w:gridCol w:w="1139"/>
        <w:gridCol w:w="2407"/>
        <w:gridCol w:w="991"/>
        <w:gridCol w:w="852"/>
        <w:gridCol w:w="850"/>
        <w:gridCol w:w="990"/>
        <w:gridCol w:w="993"/>
        <w:gridCol w:w="841"/>
      </w:tblGrid>
      <w:tr w:rsidR="000A4341" w:rsidRPr="007A1996" w14:paraId="4EE93EB9" w14:textId="77777777" w:rsidTr="000A4341">
        <w:trPr>
          <w:trHeight w:val="149"/>
        </w:trPr>
        <w:tc>
          <w:tcPr>
            <w:tcW w:w="628" w:type="pct"/>
            <w:vMerge w:val="restart"/>
            <w:vAlign w:val="center"/>
          </w:tcPr>
          <w:p w14:paraId="59A41135" w14:textId="4B4B31C6" w:rsidR="00F75393" w:rsidRPr="007A1996" w:rsidRDefault="000A4341" w:rsidP="00143208">
            <w:pPr>
              <w:jc w:val="center"/>
              <w:rPr>
                <w:rFonts w:ascii="Arial" w:eastAsia="Times New Roman" w:hAnsi="Arial" w:cs="Arial"/>
                <w:kern w:val="28"/>
                <w:sz w:val="16"/>
                <w:szCs w:val="16"/>
                <w:lang w:eastAsia="pl-PL"/>
              </w:rPr>
            </w:pPr>
            <w:r>
              <w:rPr>
                <w:rFonts w:ascii="Arial" w:eastAsia="Times New Roman" w:hAnsi="Arial" w:cs="Arial"/>
                <w:kern w:val="28"/>
                <w:sz w:val="16"/>
                <w:szCs w:val="16"/>
                <w:lang w:eastAsia="pl-PL"/>
              </w:rPr>
              <w:t>Nr wskaźnika</w:t>
            </w:r>
          </w:p>
        </w:tc>
        <w:tc>
          <w:tcPr>
            <w:tcW w:w="1328" w:type="pct"/>
            <w:vMerge w:val="restart"/>
            <w:vAlign w:val="center"/>
          </w:tcPr>
          <w:p w14:paraId="06351505" w14:textId="77777777"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Wskaźnik</w:t>
            </w:r>
          </w:p>
        </w:tc>
        <w:tc>
          <w:tcPr>
            <w:tcW w:w="547" w:type="pct"/>
            <w:vMerge w:val="restart"/>
            <w:vAlign w:val="center"/>
          </w:tcPr>
          <w:p w14:paraId="3D741079" w14:textId="77777777"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Jedn. miary</w:t>
            </w:r>
          </w:p>
        </w:tc>
        <w:tc>
          <w:tcPr>
            <w:tcW w:w="2497" w:type="pct"/>
            <w:gridSpan w:val="5"/>
            <w:vAlign w:val="center"/>
          </w:tcPr>
          <w:p w14:paraId="6BE1C256" w14:textId="77777777"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Oczekiwana maksymalna wartość wskaźnika w latach</w:t>
            </w:r>
          </w:p>
        </w:tc>
      </w:tr>
      <w:tr w:rsidR="000A4341" w:rsidRPr="007A1996" w14:paraId="3D564A7A" w14:textId="77777777" w:rsidTr="000A4341">
        <w:trPr>
          <w:trHeight w:val="42"/>
        </w:trPr>
        <w:tc>
          <w:tcPr>
            <w:tcW w:w="628" w:type="pct"/>
            <w:vMerge/>
            <w:vAlign w:val="center"/>
          </w:tcPr>
          <w:p w14:paraId="6518252F" w14:textId="77777777" w:rsidR="00F75393" w:rsidRPr="007A1996" w:rsidRDefault="00F75393" w:rsidP="00143208">
            <w:pPr>
              <w:jc w:val="center"/>
              <w:rPr>
                <w:rFonts w:ascii="Arial" w:eastAsia="Times New Roman" w:hAnsi="Arial" w:cs="Arial"/>
                <w:kern w:val="28"/>
                <w:sz w:val="16"/>
                <w:szCs w:val="16"/>
                <w:lang w:eastAsia="pl-PL"/>
              </w:rPr>
            </w:pPr>
          </w:p>
        </w:tc>
        <w:tc>
          <w:tcPr>
            <w:tcW w:w="1328" w:type="pct"/>
            <w:vMerge/>
          </w:tcPr>
          <w:p w14:paraId="6A575E14" w14:textId="77777777" w:rsidR="00F75393" w:rsidRPr="007A1996" w:rsidRDefault="00F75393" w:rsidP="00143208">
            <w:pPr>
              <w:jc w:val="center"/>
              <w:rPr>
                <w:rFonts w:ascii="Arial" w:eastAsia="Times New Roman" w:hAnsi="Arial" w:cs="Arial"/>
                <w:kern w:val="28"/>
                <w:sz w:val="16"/>
                <w:szCs w:val="16"/>
                <w:lang w:eastAsia="pl-PL"/>
              </w:rPr>
            </w:pPr>
          </w:p>
        </w:tc>
        <w:tc>
          <w:tcPr>
            <w:tcW w:w="547" w:type="pct"/>
            <w:vMerge/>
          </w:tcPr>
          <w:p w14:paraId="34C11596" w14:textId="77777777" w:rsidR="00F75393" w:rsidRPr="007A1996" w:rsidRDefault="00F75393" w:rsidP="00143208">
            <w:pPr>
              <w:jc w:val="center"/>
              <w:rPr>
                <w:rFonts w:ascii="Arial" w:eastAsia="Times New Roman" w:hAnsi="Arial" w:cs="Arial"/>
                <w:kern w:val="28"/>
                <w:sz w:val="16"/>
                <w:szCs w:val="16"/>
                <w:lang w:eastAsia="pl-PL"/>
              </w:rPr>
            </w:pPr>
          </w:p>
        </w:tc>
        <w:tc>
          <w:tcPr>
            <w:tcW w:w="470" w:type="pct"/>
            <w:vAlign w:val="center"/>
          </w:tcPr>
          <w:p w14:paraId="545CDF45" w14:textId="007BD69A"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20</w:t>
            </w:r>
            <w:r>
              <w:rPr>
                <w:rFonts w:ascii="Arial" w:eastAsia="Times New Roman" w:hAnsi="Arial" w:cs="Arial"/>
                <w:kern w:val="28"/>
                <w:sz w:val="16"/>
                <w:szCs w:val="16"/>
                <w:lang w:eastAsia="pl-PL"/>
              </w:rPr>
              <w:t>24</w:t>
            </w:r>
          </w:p>
        </w:tc>
        <w:tc>
          <w:tcPr>
            <w:tcW w:w="469" w:type="pct"/>
            <w:vAlign w:val="center"/>
          </w:tcPr>
          <w:p w14:paraId="09EE4C09" w14:textId="3CA79B73"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202</w:t>
            </w:r>
            <w:r>
              <w:rPr>
                <w:rFonts w:ascii="Arial" w:eastAsia="Times New Roman" w:hAnsi="Arial" w:cs="Arial"/>
                <w:kern w:val="28"/>
                <w:sz w:val="16"/>
                <w:szCs w:val="16"/>
                <w:lang w:eastAsia="pl-PL"/>
              </w:rPr>
              <w:t>5</w:t>
            </w:r>
          </w:p>
        </w:tc>
        <w:tc>
          <w:tcPr>
            <w:tcW w:w="546" w:type="pct"/>
            <w:vAlign w:val="center"/>
          </w:tcPr>
          <w:p w14:paraId="15E7B350" w14:textId="6E3D92CF"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202</w:t>
            </w:r>
            <w:r>
              <w:rPr>
                <w:rFonts w:ascii="Arial" w:eastAsia="Times New Roman" w:hAnsi="Arial" w:cs="Arial"/>
                <w:kern w:val="28"/>
                <w:sz w:val="16"/>
                <w:szCs w:val="16"/>
                <w:lang w:eastAsia="pl-PL"/>
              </w:rPr>
              <w:t>6</w:t>
            </w:r>
          </w:p>
        </w:tc>
        <w:tc>
          <w:tcPr>
            <w:tcW w:w="548" w:type="pct"/>
            <w:vAlign w:val="center"/>
          </w:tcPr>
          <w:p w14:paraId="74D6C6D2" w14:textId="65913583"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202</w:t>
            </w:r>
            <w:r>
              <w:rPr>
                <w:rFonts w:ascii="Arial" w:eastAsia="Times New Roman" w:hAnsi="Arial" w:cs="Arial"/>
                <w:kern w:val="28"/>
                <w:sz w:val="16"/>
                <w:szCs w:val="16"/>
                <w:lang w:eastAsia="pl-PL"/>
              </w:rPr>
              <w:t>7</w:t>
            </w:r>
          </w:p>
        </w:tc>
        <w:tc>
          <w:tcPr>
            <w:tcW w:w="464" w:type="pct"/>
            <w:vAlign w:val="center"/>
          </w:tcPr>
          <w:p w14:paraId="6E96606B" w14:textId="48692173" w:rsidR="00F75393" w:rsidRPr="007A1996" w:rsidRDefault="00F75393" w:rsidP="00143208">
            <w:pPr>
              <w:jc w:val="center"/>
              <w:rPr>
                <w:rFonts w:ascii="Arial" w:eastAsia="Times New Roman" w:hAnsi="Arial" w:cs="Arial"/>
                <w:kern w:val="28"/>
                <w:sz w:val="16"/>
                <w:szCs w:val="16"/>
                <w:lang w:eastAsia="pl-PL"/>
              </w:rPr>
            </w:pPr>
            <w:r w:rsidRPr="007A1996">
              <w:rPr>
                <w:rFonts w:ascii="Arial" w:eastAsia="Times New Roman" w:hAnsi="Arial" w:cs="Arial"/>
                <w:kern w:val="28"/>
                <w:sz w:val="16"/>
                <w:szCs w:val="16"/>
                <w:lang w:eastAsia="pl-PL"/>
              </w:rPr>
              <w:t>202</w:t>
            </w:r>
            <w:r>
              <w:rPr>
                <w:rFonts w:ascii="Arial" w:eastAsia="Times New Roman" w:hAnsi="Arial" w:cs="Arial"/>
                <w:kern w:val="28"/>
                <w:sz w:val="16"/>
                <w:szCs w:val="16"/>
                <w:lang w:eastAsia="pl-PL"/>
              </w:rPr>
              <w:t>8</w:t>
            </w:r>
          </w:p>
        </w:tc>
      </w:tr>
      <w:tr w:rsidR="000A4341" w:rsidRPr="007A1996" w14:paraId="51713371" w14:textId="77777777" w:rsidTr="000A4341">
        <w:trPr>
          <w:trHeight w:val="1266"/>
        </w:trPr>
        <w:tc>
          <w:tcPr>
            <w:tcW w:w="628" w:type="pct"/>
            <w:vAlign w:val="center"/>
          </w:tcPr>
          <w:p w14:paraId="3273FF4A" w14:textId="1C1D0E66" w:rsidR="00F75393" w:rsidRPr="007A1996" w:rsidRDefault="00F75393" w:rsidP="00143208">
            <w:pPr>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1328" w:type="pct"/>
          </w:tcPr>
          <w:p w14:paraId="271592F9" w14:textId="490DA513" w:rsidR="00F75393" w:rsidRPr="007A1996" w:rsidRDefault="00F75393" w:rsidP="00F75393">
            <w:pPr>
              <w:jc w:val="left"/>
              <w:rPr>
                <w:rFonts w:ascii="Arial" w:eastAsia="Times New Roman" w:hAnsi="Arial" w:cs="Arial"/>
                <w:kern w:val="28"/>
                <w:sz w:val="16"/>
                <w:szCs w:val="16"/>
                <w:lang w:eastAsia="pl-PL"/>
              </w:rPr>
            </w:pPr>
            <w:r w:rsidRPr="00F75393">
              <w:rPr>
                <w:rFonts w:ascii="Arial" w:eastAsia="Times New Roman" w:hAnsi="Arial" w:cs="Arial"/>
                <w:bCs/>
                <w:sz w:val="16"/>
                <w:szCs w:val="16"/>
                <w:lang w:eastAsia="pl-PL"/>
              </w:rPr>
              <w:t xml:space="preserve">Koszty działalności związanej </w:t>
            </w:r>
            <w:r>
              <w:rPr>
                <w:rFonts w:ascii="Arial" w:eastAsia="Times New Roman" w:hAnsi="Arial" w:cs="Arial"/>
                <w:bCs/>
                <w:sz w:val="16"/>
                <w:szCs w:val="16"/>
                <w:lang w:eastAsia="pl-PL"/>
              </w:rPr>
              <w:br/>
            </w:r>
            <w:r w:rsidRPr="00F75393">
              <w:rPr>
                <w:rFonts w:ascii="Arial" w:eastAsia="Times New Roman" w:hAnsi="Arial" w:cs="Arial"/>
                <w:bCs/>
                <w:sz w:val="16"/>
                <w:szCs w:val="16"/>
                <w:lang w:eastAsia="pl-PL"/>
              </w:rPr>
              <w:t xml:space="preserve">z zarządzaniem infrastrukturą kolejową ponoszone na </w:t>
            </w:r>
            <w:r>
              <w:rPr>
                <w:rFonts w:ascii="Arial" w:eastAsia="Times New Roman" w:hAnsi="Arial" w:cs="Arial"/>
                <w:bCs/>
                <w:sz w:val="16"/>
                <w:szCs w:val="16"/>
                <w:lang w:eastAsia="pl-PL"/>
              </w:rPr>
              <w:br/>
            </w:r>
            <w:r w:rsidRPr="00F75393">
              <w:rPr>
                <w:rFonts w:ascii="Arial" w:eastAsia="Times New Roman" w:hAnsi="Arial" w:cs="Arial"/>
                <w:bCs/>
                <w:sz w:val="16"/>
                <w:szCs w:val="16"/>
                <w:lang w:eastAsia="pl-PL"/>
              </w:rPr>
              <w:t xml:space="preserve">1 </w:t>
            </w:r>
            <w:proofErr w:type="spellStart"/>
            <w:r w:rsidRPr="00F75393">
              <w:rPr>
                <w:rFonts w:ascii="Arial" w:eastAsia="Times New Roman" w:hAnsi="Arial" w:cs="Arial"/>
                <w:bCs/>
                <w:sz w:val="16"/>
                <w:szCs w:val="16"/>
                <w:lang w:eastAsia="pl-PL"/>
              </w:rPr>
              <w:t>pockm</w:t>
            </w:r>
            <w:proofErr w:type="spellEnd"/>
            <w:r w:rsidRPr="00F75393">
              <w:rPr>
                <w:rFonts w:ascii="Arial" w:eastAsia="Times New Roman" w:hAnsi="Arial" w:cs="Arial"/>
                <w:bCs/>
                <w:sz w:val="16"/>
                <w:szCs w:val="16"/>
                <w:lang w:eastAsia="pl-PL"/>
              </w:rPr>
              <w:t xml:space="preserve"> pracy eksploatacyjnej wykonanej na liniach kolejowych zarządzanych przez PKP SKM</w:t>
            </w:r>
            <w:r w:rsidRPr="00F75393">
              <w:rPr>
                <w:rFonts w:ascii="Arial" w:eastAsia="Times New Roman" w:hAnsi="Arial" w:cs="Arial"/>
                <w:sz w:val="16"/>
                <w:szCs w:val="16"/>
                <w:lang w:eastAsia="pl-PL"/>
              </w:rPr>
              <w:t xml:space="preserve"> </w:t>
            </w:r>
          </w:p>
        </w:tc>
        <w:tc>
          <w:tcPr>
            <w:tcW w:w="547" w:type="pct"/>
            <w:vAlign w:val="center"/>
          </w:tcPr>
          <w:p w14:paraId="01B4332D" w14:textId="7368953F" w:rsidR="00F75393" w:rsidRPr="007A1996" w:rsidRDefault="00F75393" w:rsidP="00143208">
            <w:pPr>
              <w:jc w:val="center"/>
              <w:rPr>
                <w:rFonts w:ascii="Arial" w:eastAsia="Times New Roman" w:hAnsi="Arial" w:cs="Arial"/>
                <w:bCs/>
                <w:kern w:val="28"/>
                <w:sz w:val="16"/>
                <w:szCs w:val="16"/>
              </w:rPr>
            </w:pPr>
            <w:r>
              <w:rPr>
                <w:rFonts w:ascii="Arial" w:eastAsia="Times New Roman" w:hAnsi="Arial" w:cs="Arial"/>
                <w:bCs/>
                <w:kern w:val="28"/>
                <w:sz w:val="16"/>
                <w:szCs w:val="16"/>
              </w:rPr>
              <w:t xml:space="preserve">zł/1 </w:t>
            </w:r>
            <w:proofErr w:type="spellStart"/>
            <w:r>
              <w:rPr>
                <w:rFonts w:ascii="Arial" w:eastAsia="Times New Roman" w:hAnsi="Arial" w:cs="Arial"/>
                <w:bCs/>
                <w:kern w:val="28"/>
                <w:sz w:val="16"/>
                <w:szCs w:val="16"/>
              </w:rPr>
              <w:t>pockm</w:t>
            </w:r>
            <w:proofErr w:type="spellEnd"/>
            <w:r w:rsidRPr="007A1996">
              <w:rPr>
                <w:rFonts w:ascii="Arial" w:eastAsia="Times New Roman" w:hAnsi="Arial" w:cs="Arial"/>
                <w:bCs/>
                <w:kern w:val="28"/>
                <w:sz w:val="16"/>
                <w:szCs w:val="16"/>
              </w:rPr>
              <w:t xml:space="preserve"> </w:t>
            </w:r>
          </w:p>
        </w:tc>
        <w:tc>
          <w:tcPr>
            <w:tcW w:w="470" w:type="pct"/>
            <w:tcBorders>
              <w:top w:val="single" w:sz="4" w:space="0" w:color="auto"/>
              <w:left w:val="single" w:sz="4" w:space="0" w:color="auto"/>
              <w:bottom w:val="single" w:sz="4" w:space="0" w:color="auto"/>
              <w:right w:val="single" w:sz="4" w:space="0" w:color="auto"/>
            </w:tcBorders>
            <w:vAlign w:val="bottom"/>
          </w:tcPr>
          <w:p w14:paraId="20B90520" w14:textId="1EA7CF27" w:rsidR="00F75393" w:rsidRPr="007616C5" w:rsidRDefault="00F75393" w:rsidP="007616C5">
            <w:pPr>
              <w:spacing w:after="360"/>
              <w:jc w:val="center"/>
              <w:rPr>
                <w:rFonts w:ascii="Arial" w:hAnsi="Arial" w:cs="Arial"/>
                <w:color w:val="000000"/>
                <w:sz w:val="18"/>
                <w:szCs w:val="18"/>
              </w:rPr>
            </w:pPr>
            <w:r w:rsidRPr="007616C5">
              <w:rPr>
                <w:rFonts w:ascii="Arial" w:eastAsia="Times New Roman" w:hAnsi="Arial" w:cs="Arial"/>
                <w:kern w:val="28"/>
                <w:sz w:val="18"/>
                <w:szCs w:val="18"/>
                <w:lang w:eastAsia="pl-PL"/>
              </w:rPr>
              <w:t>≤ 34,0</w:t>
            </w:r>
          </w:p>
          <w:p w14:paraId="75064E60" w14:textId="77777777" w:rsidR="00F75393" w:rsidRPr="007616C5" w:rsidRDefault="00F75393" w:rsidP="007616C5">
            <w:pPr>
              <w:jc w:val="center"/>
              <w:rPr>
                <w:rFonts w:ascii="Arial" w:hAnsi="Arial" w:cs="Arial"/>
                <w:color w:val="000000"/>
                <w:sz w:val="18"/>
                <w:szCs w:val="18"/>
              </w:rPr>
            </w:pPr>
          </w:p>
        </w:tc>
        <w:tc>
          <w:tcPr>
            <w:tcW w:w="469" w:type="pct"/>
            <w:tcBorders>
              <w:top w:val="single" w:sz="4" w:space="0" w:color="auto"/>
              <w:left w:val="single" w:sz="4" w:space="0" w:color="auto"/>
              <w:bottom w:val="single" w:sz="4" w:space="0" w:color="auto"/>
              <w:right w:val="single" w:sz="4" w:space="0" w:color="auto"/>
            </w:tcBorders>
            <w:vAlign w:val="bottom"/>
          </w:tcPr>
          <w:p w14:paraId="0DF9AA18" w14:textId="11313E4D" w:rsidR="00F75393" w:rsidRPr="007616C5" w:rsidRDefault="00F75393" w:rsidP="007616C5">
            <w:pPr>
              <w:spacing w:after="360"/>
              <w:jc w:val="center"/>
              <w:rPr>
                <w:rFonts w:ascii="Arial" w:hAnsi="Arial" w:cs="Arial"/>
                <w:color w:val="000000"/>
                <w:sz w:val="18"/>
                <w:szCs w:val="18"/>
              </w:rPr>
            </w:pPr>
            <w:r w:rsidRPr="007616C5">
              <w:rPr>
                <w:rFonts w:ascii="Arial" w:eastAsia="Times New Roman" w:hAnsi="Arial" w:cs="Arial"/>
                <w:kern w:val="28"/>
                <w:sz w:val="18"/>
                <w:szCs w:val="18"/>
                <w:lang w:eastAsia="pl-PL"/>
              </w:rPr>
              <w:t>≤ 38,0</w:t>
            </w:r>
          </w:p>
          <w:p w14:paraId="3DFF1FE1" w14:textId="77777777" w:rsidR="00F75393" w:rsidRPr="007616C5" w:rsidRDefault="00F75393" w:rsidP="007616C5">
            <w:pPr>
              <w:jc w:val="center"/>
              <w:rPr>
                <w:rFonts w:ascii="Arial" w:hAnsi="Arial" w:cs="Arial"/>
                <w:color w:val="000000"/>
                <w:sz w:val="18"/>
                <w:szCs w:val="18"/>
              </w:rPr>
            </w:pPr>
          </w:p>
        </w:tc>
        <w:tc>
          <w:tcPr>
            <w:tcW w:w="546" w:type="pct"/>
            <w:tcBorders>
              <w:top w:val="single" w:sz="4" w:space="0" w:color="auto"/>
              <w:left w:val="single" w:sz="4" w:space="0" w:color="auto"/>
              <w:bottom w:val="single" w:sz="4" w:space="0" w:color="auto"/>
              <w:right w:val="single" w:sz="4" w:space="0" w:color="auto"/>
            </w:tcBorders>
            <w:vAlign w:val="bottom"/>
          </w:tcPr>
          <w:p w14:paraId="7F76C750" w14:textId="6AB8D7D0" w:rsidR="00F75393" w:rsidRPr="007616C5" w:rsidRDefault="00F75393" w:rsidP="007616C5">
            <w:pPr>
              <w:spacing w:after="360"/>
              <w:jc w:val="center"/>
              <w:rPr>
                <w:rFonts w:ascii="Arial" w:hAnsi="Arial" w:cs="Arial"/>
                <w:sz w:val="18"/>
                <w:szCs w:val="18"/>
              </w:rPr>
            </w:pPr>
            <w:r w:rsidRPr="007616C5">
              <w:rPr>
                <w:rFonts w:ascii="Arial" w:eastAsia="Times New Roman" w:hAnsi="Arial" w:cs="Arial"/>
                <w:kern w:val="28"/>
                <w:sz w:val="18"/>
                <w:szCs w:val="18"/>
                <w:lang w:eastAsia="pl-PL"/>
              </w:rPr>
              <w:t>≤ 43,0</w:t>
            </w:r>
          </w:p>
          <w:p w14:paraId="0AC93A55" w14:textId="77777777" w:rsidR="00F75393" w:rsidRPr="007616C5" w:rsidRDefault="00F75393" w:rsidP="007616C5">
            <w:pPr>
              <w:jc w:val="center"/>
              <w:rPr>
                <w:rFonts w:ascii="Arial" w:hAnsi="Arial" w:cs="Arial"/>
                <w:sz w:val="18"/>
                <w:szCs w:val="18"/>
              </w:rPr>
            </w:pPr>
          </w:p>
        </w:tc>
        <w:tc>
          <w:tcPr>
            <w:tcW w:w="548" w:type="pct"/>
            <w:tcBorders>
              <w:top w:val="single" w:sz="4" w:space="0" w:color="auto"/>
              <w:left w:val="single" w:sz="4" w:space="0" w:color="auto"/>
              <w:bottom w:val="single" w:sz="4" w:space="0" w:color="auto"/>
              <w:right w:val="single" w:sz="4" w:space="0" w:color="auto"/>
            </w:tcBorders>
            <w:vAlign w:val="bottom"/>
          </w:tcPr>
          <w:p w14:paraId="64CF8281" w14:textId="6879DF43" w:rsidR="00F75393" w:rsidRPr="007616C5" w:rsidRDefault="00F75393" w:rsidP="007616C5">
            <w:pPr>
              <w:spacing w:after="360"/>
              <w:jc w:val="center"/>
              <w:rPr>
                <w:rFonts w:ascii="Arial" w:hAnsi="Arial" w:cs="Arial"/>
                <w:sz w:val="18"/>
                <w:szCs w:val="18"/>
              </w:rPr>
            </w:pPr>
            <w:r w:rsidRPr="007616C5">
              <w:rPr>
                <w:rFonts w:ascii="Arial" w:eastAsia="Times New Roman" w:hAnsi="Arial" w:cs="Arial"/>
                <w:kern w:val="28"/>
                <w:sz w:val="18"/>
                <w:szCs w:val="18"/>
                <w:lang w:eastAsia="pl-PL"/>
              </w:rPr>
              <w:t>≤ 50,0</w:t>
            </w:r>
          </w:p>
          <w:p w14:paraId="07CE6E7A" w14:textId="77777777" w:rsidR="00F75393" w:rsidRPr="007616C5" w:rsidRDefault="00F75393" w:rsidP="007616C5">
            <w:pPr>
              <w:jc w:val="center"/>
              <w:rPr>
                <w:rFonts w:ascii="Arial" w:hAnsi="Arial" w:cs="Arial"/>
                <w:sz w:val="18"/>
                <w:szCs w:val="18"/>
              </w:rPr>
            </w:pPr>
          </w:p>
        </w:tc>
        <w:tc>
          <w:tcPr>
            <w:tcW w:w="464" w:type="pct"/>
            <w:tcBorders>
              <w:top w:val="single" w:sz="4" w:space="0" w:color="auto"/>
              <w:left w:val="single" w:sz="4" w:space="0" w:color="auto"/>
              <w:bottom w:val="single" w:sz="4" w:space="0" w:color="auto"/>
              <w:right w:val="single" w:sz="4" w:space="0" w:color="auto"/>
            </w:tcBorders>
            <w:vAlign w:val="bottom"/>
          </w:tcPr>
          <w:p w14:paraId="1570E91B" w14:textId="5737AE5F" w:rsidR="00F75393" w:rsidRPr="007616C5" w:rsidRDefault="00F75393" w:rsidP="007616C5">
            <w:pPr>
              <w:spacing w:after="360"/>
              <w:jc w:val="center"/>
              <w:rPr>
                <w:rFonts w:ascii="Arial" w:hAnsi="Arial" w:cs="Arial"/>
                <w:sz w:val="18"/>
                <w:szCs w:val="18"/>
              </w:rPr>
            </w:pPr>
            <w:r w:rsidRPr="007616C5">
              <w:rPr>
                <w:rFonts w:ascii="Arial" w:eastAsia="Times New Roman" w:hAnsi="Arial" w:cs="Arial"/>
                <w:kern w:val="28"/>
                <w:sz w:val="18"/>
                <w:szCs w:val="18"/>
                <w:lang w:eastAsia="pl-PL"/>
              </w:rPr>
              <w:t>≤ 57,0</w:t>
            </w:r>
          </w:p>
          <w:p w14:paraId="27AB7FC9" w14:textId="77777777" w:rsidR="00F75393" w:rsidRPr="007616C5" w:rsidRDefault="00F75393" w:rsidP="007616C5">
            <w:pPr>
              <w:jc w:val="center"/>
              <w:rPr>
                <w:rFonts w:ascii="Arial" w:hAnsi="Arial" w:cs="Arial"/>
                <w:sz w:val="18"/>
                <w:szCs w:val="18"/>
              </w:rPr>
            </w:pPr>
          </w:p>
        </w:tc>
      </w:tr>
      <w:tr w:rsidR="000A4341" w:rsidRPr="007A1996" w14:paraId="36E51780" w14:textId="07DC890D" w:rsidTr="000A4341">
        <w:trPr>
          <w:trHeight w:val="1593"/>
        </w:trPr>
        <w:tc>
          <w:tcPr>
            <w:tcW w:w="628" w:type="pct"/>
            <w:vAlign w:val="center"/>
          </w:tcPr>
          <w:p w14:paraId="67803A4B" w14:textId="21BE2FE8" w:rsidR="007616C5" w:rsidRPr="007A1996" w:rsidRDefault="007616C5" w:rsidP="00143208">
            <w:pPr>
              <w:jc w:val="center"/>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1328" w:type="pct"/>
          </w:tcPr>
          <w:p w14:paraId="3D494A5B" w14:textId="2693136F" w:rsidR="007616C5" w:rsidRPr="007A1996" w:rsidRDefault="007616C5" w:rsidP="007616C5">
            <w:pPr>
              <w:jc w:val="left"/>
              <w:rPr>
                <w:rFonts w:ascii="Arial" w:eastAsia="Times New Roman" w:hAnsi="Arial" w:cs="Arial"/>
                <w:sz w:val="16"/>
                <w:szCs w:val="16"/>
                <w:lang w:eastAsia="pl-PL"/>
              </w:rPr>
            </w:pPr>
            <w:r w:rsidRPr="007616C5">
              <w:rPr>
                <w:rFonts w:ascii="Arial" w:eastAsia="Times New Roman" w:hAnsi="Arial" w:cs="Arial"/>
                <w:bCs/>
                <w:sz w:val="16"/>
                <w:szCs w:val="16"/>
                <w:lang w:eastAsia="pl-PL"/>
              </w:rPr>
              <w:t xml:space="preserve">Koszty działalność związanej </w:t>
            </w:r>
            <w:r>
              <w:rPr>
                <w:rFonts w:ascii="Arial" w:eastAsia="Times New Roman" w:hAnsi="Arial" w:cs="Arial"/>
                <w:bCs/>
                <w:sz w:val="16"/>
                <w:szCs w:val="16"/>
                <w:lang w:eastAsia="pl-PL"/>
              </w:rPr>
              <w:br/>
            </w:r>
            <w:r w:rsidRPr="007616C5">
              <w:rPr>
                <w:rFonts w:ascii="Arial" w:eastAsia="Times New Roman" w:hAnsi="Arial" w:cs="Arial"/>
                <w:bCs/>
                <w:sz w:val="16"/>
                <w:szCs w:val="16"/>
                <w:lang w:eastAsia="pl-PL"/>
              </w:rPr>
              <w:t>z wykonywaniem</w:t>
            </w:r>
            <w:r>
              <w:rPr>
                <w:rFonts w:ascii="Arial" w:eastAsia="Times New Roman" w:hAnsi="Arial" w:cs="Arial"/>
                <w:bCs/>
                <w:sz w:val="16"/>
                <w:szCs w:val="16"/>
                <w:lang w:eastAsia="pl-PL"/>
              </w:rPr>
              <w:t xml:space="preserve"> </w:t>
            </w:r>
            <w:r w:rsidRPr="007616C5">
              <w:rPr>
                <w:rFonts w:ascii="Arial" w:eastAsia="Times New Roman" w:hAnsi="Arial" w:cs="Arial"/>
                <w:bCs/>
                <w:sz w:val="16"/>
                <w:szCs w:val="16"/>
                <w:lang w:eastAsia="pl-PL"/>
              </w:rPr>
              <w:t>zadań zarządców infrastruktury ponoszone na 1 km linii kolejowej zarządzanej przez PKP SKM (tys. zł/km)</w:t>
            </w:r>
          </w:p>
        </w:tc>
        <w:tc>
          <w:tcPr>
            <w:tcW w:w="547" w:type="pct"/>
            <w:vAlign w:val="center"/>
          </w:tcPr>
          <w:p w14:paraId="3FB6493E" w14:textId="2D977542" w:rsidR="007616C5" w:rsidRPr="007A1996" w:rsidRDefault="007616C5" w:rsidP="00143208">
            <w:pPr>
              <w:jc w:val="center"/>
              <w:rPr>
                <w:rFonts w:ascii="Arial" w:eastAsia="Times New Roman" w:hAnsi="Arial" w:cs="Arial"/>
                <w:bCs/>
                <w:kern w:val="28"/>
                <w:sz w:val="16"/>
                <w:szCs w:val="16"/>
              </w:rPr>
            </w:pPr>
            <w:proofErr w:type="spellStart"/>
            <w:r>
              <w:rPr>
                <w:rFonts w:ascii="Arial" w:eastAsia="Times New Roman" w:hAnsi="Arial" w:cs="Arial"/>
                <w:bCs/>
                <w:kern w:val="28"/>
                <w:sz w:val="16"/>
                <w:szCs w:val="16"/>
              </w:rPr>
              <w:t>tys.zł</w:t>
            </w:r>
            <w:proofErr w:type="spellEnd"/>
            <w:r>
              <w:rPr>
                <w:rFonts w:ascii="Arial" w:eastAsia="Times New Roman" w:hAnsi="Arial" w:cs="Arial"/>
                <w:bCs/>
                <w:kern w:val="28"/>
                <w:sz w:val="16"/>
                <w:szCs w:val="16"/>
              </w:rPr>
              <w:t>/</w:t>
            </w:r>
            <w:proofErr w:type="spellStart"/>
            <w:r>
              <w:rPr>
                <w:rFonts w:ascii="Arial" w:eastAsia="Times New Roman" w:hAnsi="Arial" w:cs="Arial"/>
                <w:bCs/>
                <w:kern w:val="28"/>
                <w:sz w:val="16"/>
                <w:szCs w:val="16"/>
              </w:rPr>
              <w:t>pockm</w:t>
            </w:r>
            <w:proofErr w:type="spellEnd"/>
          </w:p>
        </w:tc>
        <w:tc>
          <w:tcPr>
            <w:tcW w:w="470" w:type="pct"/>
            <w:tcBorders>
              <w:top w:val="single" w:sz="4" w:space="0" w:color="auto"/>
              <w:left w:val="single" w:sz="4" w:space="0" w:color="auto"/>
              <w:bottom w:val="single" w:sz="4" w:space="0" w:color="auto"/>
              <w:right w:val="single" w:sz="4" w:space="0" w:color="auto"/>
            </w:tcBorders>
            <w:vAlign w:val="bottom"/>
          </w:tcPr>
          <w:p w14:paraId="4F24B49A" w14:textId="29E616BC" w:rsidR="007616C5" w:rsidRPr="007616C5" w:rsidRDefault="007616C5" w:rsidP="007616C5">
            <w:pPr>
              <w:spacing w:after="600"/>
              <w:rPr>
                <w:rFonts w:ascii="Arial" w:hAnsi="Arial" w:cs="Arial"/>
                <w:color w:val="000000"/>
                <w:sz w:val="18"/>
                <w:szCs w:val="18"/>
              </w:rPr>
            </w:pPr>
            <w:r w:rsidRPr="007616C5">
              <w:rPr>
                <w:rFonts w:ascii="Arial" w:hAnsi="Arial" w:cs="Arial"/>
                <w:color w:val="000000"/>
                <w:sz w:val="18"/>
                <w:szCs w:val="18"/>
              </w:rPr>
              <w:t>≤2200</w:t>
            </w:r>
          </w:p>
        </w:tc>
        <w:tc>
          <w:tcPr>
            <w:tcW w:w="469" w:type="pct"/>
            <w:tcBorders>
              <w:top w:val="single" w:sz="4" w:space="0" w:color="auto"/>
              <w:left w:val="single" w:sz="4" w:space="0" w:color="auto"/>
              <w:bottom w:val="single" w:sz="4" w:space="0" w:color="auto"/>
              <w:right w:val="single" w:sz="4" w:space="0" w:color="auto"/>
            </w:tcBorders>
            <w:vAlign w:val="bottom"/>
          </w:tcPr>
          <w:p w14:paraId="4E31530F" w14:textId="4FB51C08" w:rsidR="007616C5" w:rsidRPr="007616C5" w:rsidRDefault="007616C5" w:rsidP="007616C5">
            <w:pPr>
              <w:spacing w:after="600"/>
              <w:jc w:val="center"/>
              <w:rPr>
                <w:rFonts w:ascii="Arial" w:eastAsia="Times New Roman" w:hAnsi="Arial" w:cs="Arial"/>
                <w:kern w:val="28"/>
                <w:sz w:val="18"/>
                <w:szCs w:val="18"/>
                <w:lang w:eastAsia="pl-PL"/>
              </w:rPr>
            </w:pPr>
            <w:r w:rsidRPr="007616C5">
              <w:rPr>
                <w:rFonts w:ascii="Arial" w:eastAsia="Times New Roman" w:hAnsi="Arial" w:cs="Arial"/>
                <w:kern w:val="28"/>
                <w:sz w:val="18"/>
                <w:szCs w:val="18"/>
                <w:lang w:eastAsia="pl-PL"/>
              </w:rPr>
              <w:t>≤2500</w:t>
            </w:r>
          </w:p>
        </w:tc>
        <w:tc>
          <w:tcPr>
            <w:tcW w:w="546" w:type="pct"/>
            <w:tcBorders>
              <w:top w:val="single" w:sz="4" w:space="0" w:color="auto"/>
              <w:left w:val="single" w:sz="4" w:space="0" w:color="auto"/>
              <w:bottom w:val="single" w:sz="4" w:space="0" w:color="auto"/>
              <w:right w:val="single" w:sz="4" w:space="0" w:color="auto"/>
            </w:tcBorders>
          </w:tcPr>
          <w:p w14:paraId="15150C9F" w14:textId="77777777" w:rsidR="007616C5" w:rsidRDefault="007616C5" w:rsidP="007616C5">
            <w:pPr>
              <w:jc w:val="center"/>
              <w:rPr>
                <w:rFonts w:ascii="Arial" w:eastAsia="Times New Roman" w:hAnsi="Arial" w:cs="Arial"/>
                <w:kern w:val="28"/>
                <w:sz w:val="18"/>
                <w:szCs w:val="18"/>
                <w:lang w:eastAsia="pl-PL"/>
              </w:rPr>
            </w:pPr>
          </w:p>
          <w:p w14:paraId="2645C876" w14:textId="77777777" w:rsidR="007616C5" w:rsidRDefault="007616C5" w:rsidP="007616C5">
            <w:pPr>
              <w:jc w:val="center"/>
              <w:rPr>
                <w:rFonts w:ascii="Arial" w:eastAsia="Times New Roman" w:hAnsi="Arial" w:cs="Arial"/>
                <w:kern w:val="28"/>
                <w:sz w:val="18"/>
                <w:szCs w:val="18"/>
                <w:lang w:eastAsia="pl-PL"/>
              </w:rPr>
            </w:pPr>
          </w:p>
          <w:p w14:paraId="70A91ABC" w14:textId="3998641F" w:rsidR="007616C5" w:rsidRPr="007616C5" w:rsidRDefault="007616C5" w:rsidP="007616C5">
            <w:pPr>
              <w:jc w:val="center"/>
              <w:rPr>
                <w:rFonts w:ascii="Arial" w:eastAsia="Times New Roman" w:hAnsi="Arial" w:cs="Arial"/>
                <w:kern w:val="28"/>
                <w:sz w:val="18"/>
                <w:szCs w:val="18"/>
                <w:lang w:eastAsia="pl-PL"/>
              </w:rPr>
            </w:pPr>
            <w:r w:rsidRPr="007616C5">
              <w:rPr>
                <w:rFonts w:ascii="Arial" w:eastAsia="Times New Roman" w:hAnsi="Arial" w:cs="Arial"/>
                <w:kern w:val="28"/>
                <w:sz w:val="18"/>
                <w:szCs w:val="18"/>
                <w:lang w:eastAsia="pl-PL"/>
              </w:rPr>
              <w:t>≤2800</w:t>
            </w:r>
          </w:p>
        </w:tc>
        <w:tc>
          <w:tcPr>
            <w:tcW w:w="548" w:type="pct"/>
            <w:tcBorders>
              <w:top w:val="single" w:sz="4" w:space="0" w:color="auto"/>
              <w:left w:val="single" w:sz="4" w:space="0" w:color="auto"/>
              <w:bottom w:val="single" w:sz="4" w:space="0" w:color="auto"/>
              <w:right w:val="single" w:sz="4" w:space="0" w:color="auto"/>
            </w:tcBorders>
          </w:tcPr>
          <w:p w14:paraId="6E1814B8" w14:textId="77777777" w:rsidR="007616C5" w:rsidRDefault="007616C5" w:rsidP="007616C5">
            <w:pPr>
              <w:jc w:val="center"/>
              <w:rPr>
                <w:rFonts w:ascii="Arial" w:eastAsia="Times New Roman" w:hAnsi="Arial" w:cs="Arial"/>
                <w:kern w:val="28"/>
                <w:sz w:val="18"/>
                <w:szCs w:val="18"/>
                <w:lang w:eastAsia="pl-PL"/>
              </w:rPr>
            </w:pPr>
          </w:p>
          <w:p w14:paraId="46D8C1D0" w14:textId="77777777" w:rsidR="007616C5" w:rsidRDefault="007616C5" w:rsidP="007616C5">
            <w:pPr>
              <w:jc w:val="center"/>
              <w:rPr>
                <w:rFonts w:ascii="Arial" w:eastAsia="Times New Roman" w:hAnsi="Arial" w:cs="Arial"/>
                <w:kern w:val="28"/>
                <w:sz w:val="18"/>
                <w:szCs w:val="18"/>
                <w:lang w:eastAsia="pl-PL"/>
              </w:rPr>
            </w:pPr>
          </w:p>
          <w:p w14:paraId="6F02E763" w14:textId="5E28307B" w:rsidR="007616C5" w:rsidRPr="007616C5" w:rsidRDefault="007616C5" w:rsidP="007616C5">
            <w:pPr>
              <w:jc w:val="center"/>
              <w:rPr>
                <w:rFonts w:ascii="Arial" w:eastAsia="Times New Roman" w:hAnsi="Arial" w:cs="Arial"/>
                <w:kern w:val="28"/>
                <w:sz w:val="18"/>
                <w:szCs w:val="18"/>
                <w:lang w:eastAsia="pl-PL"/>
              </w:rPr>
            </w:pPr>
            <w:r w:rsidRPr="007616C5">
              <w:rPr>
                <w:rFonts w:ascii="Arial" w:eastAsia="Times New Roman" w:hAnsi="Arial" w:cs="Arial"/>
                <w:kern w:val="28"/>
                <w:sz w:val="18"/>
                <w:szCs w:val="18"/>
                <w:lang w:eastAsia="pl-PL"/>
              </w:rPr>
              <w:t>≤3200</w:t>
            </w:r>
          </w:p>
        </w:tc>
        <w:tc>
          <w:tcPr>
            <w:tcW w:w="464" w:type="pct"/>
            <w:tcBorders>
              <w:top w:val="single" w:sz="4" w:space="0" w:color="auto"/>
              <w:left w:val="single" w:sz="4" w:space="0" w:color="auto"/>
              <w:bottom w:val="single" w:sz="4" w:space="0" w:color="auto"/>
              <w:right w:val="single" w:sz="4" w:space="0" w:color="auto"/>
            </w:tcBorders>
          </w:tcPr>
          <w:p w14:paraId="1FA6376D" w14:textId="77777777" w:rsidR="007616C5" w:rsidRDefault="007616C5" w:rsidP="007616C5">
            <w:pPr>
              <w:jc w:val="center"/>
              <w:rPr>
                <w:rFonts w:ascii="Arial" w:eastAsia="Times New Roman" w:hAnsi="Arial" w:cs="Arial"/>
                <w:kern w:val="28"/>
                <w:sz w:val="18"/>
                <w:szCs w:val="18"/>
                <w:lang w:eastAsia="pl-PL"/>
              </w:rPr>
            </w:pPr>
          </w:p>
          <w:p w14:paraId="2A4DA687" w14:textId="77777777" w:rsidR="007616C5" w:rsidRDefault="007616C5" w:rsidP="007616C5">
            <w:pPr>
              <w:jc w:val="center"/>
              <w:rPr>
                <w:rFonts w:ascii="Arial" w:eastAsia="Times New Roman" w:hAnsi="Arial" w:cs="Arial"/>
                <w:kern w:val="28"/>
                <w:sz w:val="18"/>
                <w:szCs w:val="18"/>
                <w:lang w:eastAsia="pl-PL"/>
              </w:rPr>
            </w:pPr>
          </w:p>
          <w:p w14:paraId="32826129" w14:textId="04902E52" w:rsidR="007616C5" w:rsidRPr="007616C5" w:rsidRDefault="007616C5" w:rsidP="007616C5">
            <w:pPr>
              <w:jc w:val="center"/>
              <w:rPr>
                <w:rFonts w:ascii="Arial" w:eastAsia="Times New Roman" w:hAnsi="Arial" w:cs="Arial"/>
                <w:kern w:val="28"/>
                <w:sz w:val="18"/>
                <w:szCs w:val="18"/>
                <w:lang w:eastAsia="pl-PL"/>
              </w:rPr>
            </w:pPr>
            <w:r w:rsidRPr="007616C5">
              <w:rPr>
                <w:rFonts w:ascii="Arial" w:eastAsia="Times New Roman" w:hAnsi="Arial" w:cs="Arial"/>
                <w:kern w:val="28"/>
                <w:sz w:val="18"/>
                <w:szCs w:val="18"/>
                <w:lang w:eastAsia="pl-PL"/>
              </w:rPr>
              <w:t>≤3700</w:t>
            </w:r>
          </w:p>
        </w:tc>
      </w:tr>
    </w:tbl>
    <w:p w14:paraId="7ECF4DB7" w14:textId="77777777" w:rsidR="00E444AB" w:rsidRDefault="00E444AB" w:rsidP="00E444AB">
      <w:pPr>
        <w:rPr>
          <w:rFonts w:ascii="Arial" w:eastAsia="Times New Roman" w:hAnsi="Arial" w:cs="Arial"/>
          <w:kern w:val="28"/>
          <w:highlight w:val="green"/>
          <w:lang w:eastAsia="pl-PL"/>
        </w:rPr>
      </w:pPr>
    </w:p>
    <w:p w14:paraId="73DCC16D" w14:textId="481A9697" w:rsidR="00176316" w:rsidRPr="000E64DC" w:rsidRDefault="00347137" w:rsidP="009577ED">
      <w:pPr>
        <w:pStyle w:val="Akapitzlist"/>
        <w:numPr>
          <w:ilvl w:val="2"/>
          <w:numId w:val="4"/>
        </w:numPr>
        <w:tabs>
          <w:tab w:val="left" w:pos="0"/>
        </w:tabs>
        <w:autoSpaceDE w:val="0"/>
        <w:autoSpaceDN w:val="0"/>
        <w:adjustRightInd w:val="0"/>
        <w:spacing w:before="480" w:after="480"/>
        <w:ind w:hanging="567"/>
        <w:jc w:val="left"/>
        <w:rPr>
          <w:rFonts w:ascii="Arial Black" w:eastAsia="Times New Roman" w:hAnsi="Arial Black" w:cs="Arial"/>
          <w:bCs/>
          <w:kern w:val="28"/>
          <w:sz w:val="28"/>
          <w:szCs w:val="28"/>
          <w:u w:val="single"/>
        </w:rPr>
      </w:pPr>
      <w:r w:rsidRPr="000E64DC">
        <w:rPr>
          <w:rFonts w:ascii="Arial Black" w:eastAsia="Times New Roman" w:hAnsi="Arial Black" w:cs="Arial"/>
          <w:bCs/>
          <w:kern w:val="28"/>
          <w:sz w:val="24"/>
          <w:szCs w:val="24"/>
          <w:u w:val="single"/>
        </w:rPr>
        <w:t>Poprawa poziomu bezpieczeństwa</w:t>
      </w:r>
      <w:bookmarkStart w:id="2" w:name="_GoBack"/>
      <w:bookmarkEnd w:id="2"/>
    </w:p>
    <w:p w14:paraId="76F55E44" w14:textId="77777777" w:rsidR="00176316" w:rsidRDefault="00176316" w:rsidP="00AC68D4">
      <w:pPr>
        <w:pStyle w:val="Akapitzlist"/>
        <w:numPr>
          <w:ilvl w:val="0"/>
          <w:numId w:val="19"/>
        </w:numPr>
        <w:spacing w:before="240" w:after="240"/>
        <w:rPr>
          <w:rFonts w:ascii="Arial" w:hAnsi="Arial" w:cs="Arial"/>
        </w:rPr>
      </w:pPr>
      <w:r w:rsidRPr="00176316">
        <w:rPr>
          <w:rFonts w:ascii="Arial" w:hAnsi="Arial" w:cs="Arial"/>
        </w:rPr>
        <w:t>Nazwa</w:t>
      </w:r>
    </w:p>
    <w:p w14:paraId="4EF674A1" w14:textId="5861DE87" w:rsidR="00CE6019" w:rsidRPr="00CE6019" w:rsidRDefault="00CE6019" w:rsidP="00AC68D4">
      <w:pPr>
        <w:pStyle w:val="Akapitzlist"/>
        <w:numPr>
          <w:ilvl w:val="0"/>
          <w:numId w:val="21"/>
        </w:numPr>
        <w:tabs>
          <w:tab w:val="left" w:pos="0"/>
        </w:tabs>
        <w:autoSpaceDE w:val="0"/>
        <w:autoSpaceDN w:val="0"/>
        <w:adjustRightInd w:val="0"/>
        <w:spacing w:after="120"/>
        <w:rPr>
          <w:rFonts w:ascii="Arial" w:eastAsia="Times New Roman" w:hAnsi="Arial" w:cs="Arial"/>
          <w:b/>
          <w:bCs/>
          <w:kern w:val="28"/>
          <w:lang w:eastAsia="pl-PL"/>
        </w:rPr>
      </w:pPr>
      <w:r w:rsidRPr="00CE6019">
        <w:rPr>
          <w:rFonts w:ascii="Arial" w:eastAsia="Times New Roman" w:hAnsi="Arial" w:cs="Arial"/>
          <w:bCs/>
          <w:kern w:val="28"/>
          <w:lang w:eastAsia="pl-PL"/>
        </w:rPr>
        <w:t xml:space="preserve">Liczba poważnych wypadków i wypadków zaistniałych na sieci kolejowej zarządzanej przez PKP SKM, </w:t>
      </w:r>
      <w:r w:rsidRPr="000816C1">
        <w:rPr>
          <w:rFonts w:ascii="Arial" w:eastAsia="Times New Roman" w:hAnsi="Arial" w:cs="Arial"/>
          <w:bCs/>
          <w:kern w:val="28"/>
          <w:lang w:eastAsia="pl-PL"/>
        </w:rPr>
        <w:t>z przyczyn leżących po stronie</w:t>
      </w:r>
      <w:r w:rsidRPr="00CE6019">
        <w:rPr>
          <w:rFonts w:ascii="Arial" w:eastAsia="Times New Roman" w:hAnsi="Arial" w:cs="Arial"/>
          <w:bCs/>
          <w:kern w:val="28"/>
          <w:lang w:eastAsia="pl-PL"/>
        </w:rPr>
        <w:t xml:space="preserve"> tego zarządcy, przypadająca </w:t>
      </w:r>
      <w:r w:rsidRPr="00CE6019">
        <w:rPr>
          <w:rFonts w:ascii="Arial" w:eastAsia="Times New Roman" w:hAnsi="Arial" w:cs="Arial"/>
          <w:bCs/>
          <w:kern w:val="28"/>
          <w:lang w:eastAsia="pl-PL"/>
        </w:rPr>
        <w:br/>
        <w:t xml:space="preserve">na 1 mln </w:t>
      </w:r>
      <w:proofErr w:type="spellStart"/>
      <w:r w:rsidRPr="00CE6019">
        <w:rPr>
          <w:rFonts w:ascii="Arial" w:eastAsia="Times New Roman" w:hAnsi="Arial" w:cs="Arial"/>
          <w:bCs/>
          <w:kern w:val="28"/>
          <w:lang w:eastAsia="pl-PL"/>
        </w:rPr>
        <w:t>pockm</w:t>
      </w:r>
      <w:proofErr w:type="spellEnd"/>
      <w:r w:rsidRPr="00CE6019">
        <w:rPr>
          <w:rFonts w:ascii="Arial" w:eastAsia="Times New Roman" w:hAnsi="Arial" w:cs="Arial"/>
          <w:bCs/>
          <w:kern w:val="28"/>
          <w:lang w:eastAsia="pl-PL"/>
        </w:rPr>
        <w:t xml:space="preserve"> pracy eksploatacyjnej.</w:t>
      </w:r>
      <w:r w:rsidRPr="00CE6019">
        <w:rPr>
          <w:rFonts w:ascii="Arial" w:eastAsia="Times New Roman" w:hAnsi="Arial" w:cs="Arial"/>
          <w:b/>
          <w:bCs/>
          <w:kern w:val="28"/>
          <w:lang w:eastAsia="pl-PL"/>
        </w:rPr>
        <w:t xml:space="preserve"> Wskaźnik obligatoryjny. Wskaźnik uzupełniający monitorowania realizacji Programu.</w:t>
      </w:r>
    </w:p>
    <w:p w14:paraId="3E2E57A8" w14:textId="7060DC75" w:rsidR="001024F0" w:rsidRDefault="001024F0" w:rsidP="00AC68D4">
      <w:pPr>
        <w:pStyle w:val="Akapitzlist"/>
        <w:numPr>
          <w:ilvl w:val="0"/>
          <w:numId w:val="21"/>
        </w:numPr>
        <w:tabs>
          <w:tab w:val="left" w:pos="0"/>
        </w:tabs>
        <w:autoSpaceDE w:val="0"/>
        <w:autoSpaceDN w:val="0"/>
        <w:adjustRightInd w:val="0"/>
        <w:spacing w:after="120"/>
        <w:rPr>
          <w:rFonts w:ascii="Arial" w:eastAsia="Times New Roman" w:hAnsi="Arial" w:cs="Arial"/>
          <w:b/>
          <w:bCs/>
          <w:kern w:val="28"/>
          <w:lang w:eastAsia="pl-PL"/>
        </w:rPr>
      </w:pPr>
      <w:r w:rsidRPr="001024F0">
        <w:rPr>
          <w:rFonts w:ascii="Arial" w:eastAsia="Times New Roman" w:hAnsi="Arial" w:cs="Arial"/>
          <w:bCs/>
          <w:kern w:val="28"/>
          <w:lang w:eastAsia="pl-PL"/>
        </w:rPr>
        <w:t>„</w:t>
      </w:r>
      <w:r>
        <w:rPr>
          <w:rFonts w:ascii="Arial" w:eastAsia="Times New Roman" w:hAnsi="Arial" w:cs="Arial"/>
          <w:bCs/>
          <w:kern w:val="28"/>
          <w:lang w:eastAsia="pl-PL"/>
        </w:rPr>
        <w:t xml:space="preserve">Udział </w:t>
      </w:r>
      <w:r w:rsidR="006F7413">
        <w:rPr>
          <w:rFonts w:ascii="Arial" w:eastAsia="Times New Roman" w:hAnsi="Arial" w:cs="Arial"/>
          <w:bCs/>
          <w:kern w:val="28"/>
          <w:lang w:eastAsia="pl-PL"/>
        </w:rPr>
        <w:t>długości ogrodzenia zabezpieczającego infrastrukturę PKP SKM w stosunku do długości linii kolejowej</w:t>
      </w:r>
      <w:r>
        <w:rPr>
          <w:rFonts w:ascii="Arial" w:eastAsia="Times New Roman" w:hAnsi="Arial" w:cs="Arial"/>
          <w:bCs/>
          <w:kern w:val="28"/>
          <w:lang w:eastAsia="pl-PL"/>
        </w:rPr>
        <w:t xml:space="preserve"> infrastruktury </w:t>
      </w:r>
      <w:r w:rsidRPr="001024F0">
        <w:rPr>
          <w:rFonts w:ascii="Arial" w:eastAsia="Times New Roman" w:hAnsi="Arial" w:cs="Arial"/>
          <w:bCs/>
          <w:kern w:val="28"/>
          <w:lang w:eastAsia="pl-PL"/>
        </w:rPr>
        <w:t xml:space="preserve">” </w:t>
      </w:r>
      <w:r w:rsidRPr="001024F0">
        <w:rPr>
          <w:rFonts w:ascii="Arial" w:eastAsia="Times New Roman" w:hAnsi="Arial" w:cs="Arial"/>
          <w:b/>
          <w:bCs/>
          <w:kern w:val="28"/>
          <w:lang w:eastAsia="pl-PL"/>
        </w:rPr>
        <w:t>Wskaźnik obligatoryjny</w:t>
      </w:r>
    </w:p>
    <w:p w14:paraId="12E592BD" w14:textId="77777777" w:rsidR="006F7413" w:rsidRPr="001024F0" w:rsidRDefault="006F7413" w:rsidP="001024F0">
      <w:pPr>
        <w:pStyle w:val="Akapitzlist"/>
        <w:tabs>
          <w:tab w:val="left" w:pos="0"/>
        </w:tabs>
        <w:autoSpaceDE w:val="0"/>
        <w:autoSpaceDN w:val="0"/>
        <w:adjustRightInd w:val="0"/>
        <w:spacing w:after="120"/>
        <w:rPr>
          <w:rFonts w:ascii="Arial" w:eastAsia="Times New Roman" w:hAnsi="Arial" w:cs="Arial"/>
          <w:kern w:val="28"/>
          <w:lang w:eastAsia="pl-PL"/>
        </w:rPr>
      </w:pPr>
    </w:p>
    <w:p w14:paraId="0C3B13D0" w14:textId="6386D926" w:rsidR="001024F0" w:rsidRDefault="006F7413" w:rsidP="00AC68D4">
      <w:pPr>
        <w:pStyle w:val="Akapitzlist"/>
        <w:numPr>
          <w:ilvl w:val="0"/>
          <w:numId w:val="19"/>
        </w:numPr>
        <w:spacing w:before="240" w:after="240"/>
        <w:rPr>
          <w:rFonts w:ascii="Arial" w:hAnsi="Arial" w:cs="Arial"/>
        </w:rPr>
      </w:pPr>
      <w:r>
        <w:rPr>
          <w:rFonts w:ascii="Arial" w:hAnsi="Arial" w:cs="Arial"/>
        </w:rPr>
        <w:t>Definicja</w:t>
      </w:r>
    </w:p>
    <w:p w14:paraId="4745630B" w14:textId="77777777" w:rsidR="006A0DB1" w:rsidRPr="00176316" w:rsidRDefault="006A0DB1" w:rsidP="006A0DB1">
      <w:pPr>
        <w:pStyle w:val="Akapitzlist"/>
        <w:spacing w:before="240" w:after="240"/>
        <w:ind w:left="360"/>
        <w:rPr>
          <w:rFonts w:ascii="Arial" w:hAnsi="Arial" w:cs="Arial"/>
        </w:rPr>
      </w:pPr>
    </w:p>
    <w:p w14:paraId="208F7BEE" w14:textId="77777777" w:rsidR="006A0DB1" w:rsidRDefault="006A0DB1" w:rsidP="00AC68D4">
      <w:pPr>
        <w:pStyle w:val="Akapitzlist"/>
        <w:numPr>
          <w:ilvl w:val="1"/>
          <w:numId w:val="19"/>
        </w:numPr>
        <w:rPr>
          <w:rFonts w:ascii="Arial" w:hAnsi="Arial" w:cs="Arial"/>
          <w:bCs/>
        </w:rPr>
      </w:pPr>
    </w:p>
    <w:p w14:paraId="6D158436" w14:textId="1F182A8C" w:rsidR="006A0DB1" w:rsidRDefault="00CE6019" w:rsidP="00AC68D4">
      <w:pPr>
        <w:pStyle w:val="Akapitzlist"/>
        <w:numPr>
          <w:ilvl w:val="2"/>
          <w:numId w:val="19"/>
        </w:numPr>
        <w:rPr>
          <w:rFonts w:ascii="Arial" w:hAnsi="Arial" w:cs="Arial"/>
          <w:bCs/>
        </w:rPr>
      </w:pPr>
      <w:r>
        <w:rPr>
          <w:rFonts w:ascii="Arial" w:hAnsi="Arial" w:cs="Arial"/>
          <w:bCs/>
        </w:rPr>
        <w:t xml:space="preserve">Wskaźnik nr 6) – iloraz </w:t>
      </w:r>
      <w:r w:rsidR="00B36457">
        <w:rPr>
          <w:rFonts w:ascii="Arial" w:hAnsi="Arial" w:cs="Arial"/>
          <w:bCs/>
        </w:rPr>
        <w:t>l</w:t>
      </w:r>
      <w:r w:rsidRPr="00CE6019">
        <w:rPr>
          <w:rFonts w:ascii="Arial" w:eastAsia="Times New Roman" w:hAnsi="Arial" w:cs="Arial"/>
          <w:bCs/>
          <w:kern w:val="28"/>
          <w:lang w:eastAsia="pl-PL"/>
        </w:rPr>
        <w:t>iczb</w:t>
      </w:r>
      <w:r w:rsidR="00B36457">
        <w:rPr>
          <w:rFonts w:ascii="Arial" w:eastAsia="Times New Roman" w:hAnsi="Arial" w:cs="Arial"/>
          <w:bCs/>
          <w:kern w:val="28"/>
          <w:lang w:eastAsia="pl-PL"/>
        </w:rPr>
        <w:t>y</w:t>
      </w:r>
      <w:r w:rsidRPr="00CE6019">
        <w:rPr>
          <w:rFonts w:ascii="Arial" w:eastAsia="Times New Roman" w:hAnsi="Arial" w:cs="Arial"/>
          <w:bCs/>
          <w:kern w:val="28"/>
          <w:lang w:eastAsia="pl-PL"/>
        </w:rPr>
        <w:t xml:space="preserve"> poważnych wypadków i wypadków zaistniałych na sieci kolejowej zarządzanej przez PKP SKM, </w:t>
      </w:r>
      <w:r w:rsidRPr="000816C1">
        <w:rPr>
          <w:rFonts w:ascii="Arial" w:eastAsia="Times New Roman" w:hAnsi="Arial" w:cs="Arial"/>
          <w:bCs/>
          <w:kern w:val="28"/>
          <w:lang w:eastAsia="pl-PL"/>
        </w:rPr>
        <w:t>z przyczyn leżących po stronie</w:t>
      </w:r>
      <w:r w:rsidRPr="00CE6019">
        <w:rPr>
          <w:rFonts w:ascii="Arial" w:eastAsia="Times New Roman" w:hAnsi="Arial" w:cs="Arial"/>
          <w:bCs/>
          <w:kern w:val="28"/>
          <w:lang w:eastAsia="pl-PL"/>
        </w:rPr>
        <w:t xml:space="preserve"> tego zarządcy</w:t>
      </w:r>
      <w:r>
        <w:rPr>
          <w:rFonts w:ascii="Arial" w:eastAsia="Times New Roman" w:hAnsi="Arial" w:cs="Arial"/>
          <w:bCs/>
          <w:kern w:val="28"/>
          <w:lang w:eastAsia="pl-PL"/>
        </w:rPr>
        <w:t xml:space="preserve"> </w:t>
      </w:r>
      <w:r w:rsidR="000816C1">
        <w:rPr>
          <w:rFonts w:ascii="Arial" w:eastAsia="Times New Roman" w:hAnsi="Arial" w:cs="Arial"/>
          <w:bCs/>
          <w:kern w:val="28"/>
          <w:lang w:eastAsia="pl-PL"/>
        </w:rPr>
        <w:br/>
      </w:r>
      <w:r>
        <w:rPr>
          <w:rFonts w:ascii="Arial" w:eastAsia="Times New Roman" w:hAnsi="Arial" w:cs="Arial"/>
          <w:bCs/>
          <w:kern w:val="28"/>
          <w:lang w:eastAsia="pl-PL"/>
        </w:rPr>
        <w:t>i zrealizowanej rocznej pracy eksploatacyjnej wykonanej przez wszystkie pociągi.</w:t>
      </w:r>
    </w:p>
    <w:p w14:paraId="1CF11C33" w14:textId="77777777" w:rsidR="00CE6019" w:rsidRDefault="00CE6019" w:rsidP="00AC68D4">
      <w:pPr>
        <w:pStyle w:val="Akapitzlist"/>
        <w:numPr>
          <w:ilvl w:val="1"/>
          <w:numId w:val="19"/>
        </w:numPr>
        <w:rPr>
          <w:rFonts w:ascii="Arial" w:hAnsi="Arial" w:cs="Arial"/>
          <w:bCs/>
        </w:rPr>
      </w:pPr>
    </w:p>
    <w:p w14:paraId="5173BA0D" w14:textId="2B0293E9" w:rsidR="00176316" w:rsidRPr="006F7413" w:rsidRDefault="00CE6019" w:rsidP="00AC68D4">
      <w:pPr>
        <w:pStyle w:val="Akapitzlist"/>
        <w:numPr>
          <w:ilvl w:val="2"/>
          <w:numId w:val="19"/>
        </w:numPr>
        <w:rPr>
          <w:rFonts w:ascii="Arial" w:hAnsi="Arial" w:cs="Arial"/>
          <w:bCs/>
        </w:rPr>
      </w:pPr>
      <w:r>
        <w:rPr>
          <w:rFonts w:ascii="Arial" w:hAnsi="Arial" w:cs="Arial"/>
          <w:bCs/>
        </w:rPr>
        <w:t xml:space="preserve">Wskaźnik nr 7)  - </w:t>
      </w:r>
      <w:r w:rsidR="001657CA">
        <w:rPr>
          <w:rFonts w:ascii="Arial" w:hAnsi="Arial" w:cs="Arial"/>
          <w:bCs/>
        </w:rPr>
        <w:t>W</w:t>
      </w:r>
      <w:r w:rsidR="00176316" w:rsidRPr="006F7413">
        <w:rPr>
          <w:rFonts w:ascii="Arial" w:hAnsi="Arial" w:cs="Arial"/>
          <w:bCs/>
        </w:rPr>
        <w:t xml:space="preserve">skaźnik monitoringu realizacji </w:t>
      </w:r>
      <w:r w:rsidR="00441F67">
        <w:rPr>
          <w:rFonts w:ascii="Arial" w:hAnsi="Arial" w:cs="Arial"/>
          <w:bCs/>
        </w:rPr>
        <w:t>odnosi się do</w:t>
      </w:r>
      <w:r w:rsidR="00176316" w:rsidRPr="006F7413">
        <w:rPr>
          <w:rFonts w:ascii="Arial" w:hAnsi="Arial" w:cs="Arial"/>
          <w:bCs/>
        </w:rPr>
        <w:t xml:space="preserve"> długoś</w:t>
      </w:r>
      <w:r w:rsidR="00441F67">
        <w:rPr>
          <w:rFonts w:ascii="Arial" w:hAnsi="Arial" w:cs="Arial"/>
          <w:bCs/>
        </w:rPr>
        <w:t>ci</w:t>
      </w:r>
      <w:r w:rsidR="00176316" w:rsidRPr="006F7413">
        <w:rPr>
          <w:rFonts w:ascii="Arial" w:hAnsi="Arial" w:cs="Arial"/>
          <w:bCs/>
        </w:rPr>
        <w:t xml:space="preserve"> ogrodzenia linii kolejowej nr 250. W</w:t>
      </w:r>
      <w:r w:rsidR="00441F67">
        <w:rPr>
          <w:rFonts w:ascii="Arial" w:hAnsi="Arial" w:cs="Arial"/>
          <w:bCs/>
        </w:rPr>
        <w:t> </w:t>
      </w:r>
      <w:r w:rsidR="00176316" w:rsidRPr="006F7413">
        <w:rPr>
          <w:rFonts w:ascii="Arial" w:hAnsi="Arial" w:cs="Arial"/>
          <w:bCs/>
        </w:rPr>
        <w:t>celu zabezpieczenia terenu oraz likwidacji tzw. „dzikich przejść” przez tory linii kolejowej nr 250 planuje się budowę nowych ogrodzeń linii po stronie torów aglomeracyjnych, co ma fizycznie uniemożliwić wstęp na teren kolejowy osób postronnych, ograniczyć ryzyko wypadków, jak również zabezpieczyć infrastrukturę kolejową przed kradzieżami</w:t>
      </w:r>
      <w:r w:rsidR="006F7413">
        <w:rPr>
          <w:rFonts w:ascii="Arial" w:hAnsi="Arial" w:cs="Arial"/>
          <w:bCs/>
        </w:rPr>
        <w:t>, a także istotnie ograniczy zjawisko potrąceń dzikich zwierząt</w:t>
      </w:r>
      <w:r w:rsidR="00176316" w:rsidRPr="006F7413">
        <w:rPr>
          <w:rFonts w:ascii="Arial" w:hAnsi="Arial" w:cs="Arial"/>
          <w:bCs/>
        </w:rPr>
        <w:t xml:space="preserve">. </w:t>
      </w:r>
    </w:p>
    <w:p w14:paraId="5FB553FF" w14:textId="77777777" w:rsidR="00176316" w:rsidRPr="006F7413" w:rsidRDefault="00441F67" w:rsidP="00AC68D4">
      <w:pPr>
        <w:pStyle w:val="Akapitzlist"/>
        <w:numPr>
          <w:ilvl w:val="2"/>
          <w:numId w:val="19"/>
        </w:numPr>
        <w:rPr>
          <w:rFonts w:ascii="Arial" w:hAnsi="Arial" w:cs="Arial"/>
          <w:bCs/>
        </w:rPr>
      </w:pPr>
      <w:r>
        <w:rPr>
          <w:rFonts w:ascii="Arial" w:hAnsi="Arial" w:cs="Arial"/>
          <w:bCs/>
        </w:rPr>
        <w:t>W</w:t>
      </w:r>
      <w:r w:rsidR="00176316" w:rsidRPr="006F7413">
        <w:rPr>
          <w:rFonts w:ascii="Arial" w:hAnsi="Arial" w:cs="Arial"/>
          <w:bCs/>
        </w:rPr>
        <w:t>skaźnik stanowi iloraz łącznej długości ogrodzeń</w:t>
      </w:r>
      <w:r w:rsidR="007A1996">
        <w:rPr>
          <w:rFonts w:ascii="Arial" w:hAnsi="Arial" w:cs="Arial"/>
          <w:bCs/>
        </w:rPr>
        <w:t xml:space="preserve"> (w tym ekranów akustycznych) w </w:t>
      </w:r>
      <w:r w:rsidR="00176316" w:rsidRPr="006F7413">
        <w:rPr>
          <w:rFonts w:ascii="Arial" w:hAnsi="Arial" w:cs="Arial"/>
          <w:bCs/>
        </w:rPr>
        <w:t>stosunku do całkowitej długości linii kojowej nr 250</w:t>
      </w:r>
      <w:r>
        <w:rPr>
          <w:rFonts w:ascii="Arial" w:hAnsi="Arial" w:cs="Arial"/>
          <w:bCs/>
        </w:rPr>
        <w:t>.</w:t>
      </w:r>
      <w:r w:rsidR="00176316" w:rsidRPr="006F7413">
        <w:rPr>
          <w:rFonts w:ascii="Arial" w:hAnsi="Arial" w:cs="Arial"/>
          <w:bCs/>
        </w:rPr>
        <w:t xml:space="preserve"> </w:t>
      </w:r>
    </w:p>
    <w:p w14:paraId="4A643E38" w14:textId="77777777" w:rsidR="00176316" w:rsidRPr="006F7413" w:rsidRDefault="00176316" w:rsidP="00AC68D4">
      <w:pPr>
        <w:pStyle w:val="Akapitzlist"/>
        <w:numPr>
          <w:ilvl w:val="2"/>
          <w:numId w:val="19"/>
        </w:numPr>
        <w:rPr>
          <w:rFonts w:ascii="Arial" w:hAnsi="Arial" w:cs="Arial"/>
          <w:bCs/>
        </w:rPr>
      </w:pPr>
      <w:r w:rsidRPr="006F7413">
        <w:rPr>
          <w:rFonts w:ascii="Arial" w:hAnsi="Arial" w:cs="Arial"/>
          <w:bCs/>
        </w:rPr>
        <w:t>Wskaźnik wyznaczony będzie ze wzoru</w:t>
      </w:r>
      <w:r w:rsidR="00441F67">
        <w:rPr>
          <w:rFonts w:ascii="Arial" w:hAnsi="Arial" w:cs="Arial"/>
          <w:bCs/>
        </w:rPr>
        <w:t>:</w:t>
      </w:r>
    </w:p>
    <w:tbl>
      <w:tblPr>
        <w:tblStyle w:val="Tabela-Siatka"/>
        <w:tblpPr w:leftFromText="141" w:rightFromText="141" w:vertAnchor="text" w:horzAnchor="page" w:tblpX="2533" w:tblpY="338"/>
        <w:tblW w:w="0" w:type="auto"/>
        <w:tblBorders>
          <w:top w:val="none" w:sz="0" w:space="0" w:color="auto"/>
          <w:left w:val="none" w:sz="0" w:space="0" w:color="auto"/>
          <w:bottom w:val="none" w:sz="0" w:space="0" w:color="auto"/>
          <w:right w:val="none" w:sz="0" w:space="0" w:color="auto"/>
          <w:insideH w:val="single" w:sz="12" w:space="0" w:color="auto"/>
          <w:insideV w:val="none" w:sz="0" w:space="0" w:color="auto"/>
        </w:tblBorders>
        <w:tblLayout w:type="fixed"/>
        <w:tblLook w:val="04A0" w:firstRow="1" w:lastRow="0" w:firstColumn="1" w:lastColumn="0" w:noHBand="0" w:noVBand="1"/>
      </w:tblPr>
      <w:tblGrid>
        <w:gridCol w:w="1276"/>
        <w:gridCol w:w="3011"/>
        <w:gridCol w:w="1383"/>
      </w:tblGrid>
      <w:tr w:rsidR="00176316" w:rsidRPr="00080C73" w14:paraId="1F437D84" w14:textId="77777777" w:rsidTr="008C3725">
        <w:tc>
          <w:tcPr>
            <w:tcW w:w="1276" w:type="dxa"/>
            <w:vMerge w:val="restart"/>
            <w:vAlign w:val="center"/>
          </w:tcPr>
          <w:p w14:paraId="02B3C95B" w14:textId="77777777" w:rsidR="00176316" w:rsidRPr="00080C73" w:rsidRDefault="00176316" w:rsidP="008C3725">
            <w:pPr>
              <w:autoSpaceDE w:val="0"/>
              <w:autoSpaceDN w:val="0"/>
              <w:adjustRightInd w:val="0"/>
              <w:spacing w:before="0"/>
              <w:ind w:left="-216"/>
              <w:jc w:val="center"/>
              <w:rPr>
                <w:rFonts w:ascii="Arial" w:eastAsia="Times New Roman" w:hAnsi="Arial" w:cs="Arial"/>
                <w:b/>
                <w:bCs/>
                <w:kern w:val="28"/>
              </w:rPr>
            </w:pPr>
            <w:proofErr w:type="spellStart"/>
            <w:r>
              <w:rPr>
                <w:rFonts w:ascii="Arial" w:eastAsia="Times New Roman" w:hAnsi="Arial" w:cs="Arial"/>
                <w:b/>
                <w:bCs/>
                <w:kern w:val="28"/>
              </w:rPr>
              <w:t>Kd</w:t>
            </w:r>
            <w:proofErr w:type="spellEnd"/>
            <w:r>
              <w:rPr>
                <w:rFonts w:ascii="Arial" w:eastAsia="Times New Roman" w:hAnsi="Arial" w:cs="Arial"/>
                <w:b/>
                <w:bCs/>
                <w:kern w:val="28"/>
              </w:rPr>
              <w:t xml:space="preserve"> = </w:t>
            </w:r>
          </w:p>
        </w:tc>
        <w:tc>
          <w:tcPr>
            <w:tcW w:w="3011" w:type="dxa"/>
            <w:vAlign w:val="center"/>
          </w:tcPr>
          <w:p w14:paraId="464067D3" w14:textId="77777777" w:rsidR="00176316" w:rsidRPr="00080C73" w:rsidRDefault="00176316" w:rsidP="003F1E29">
            <w:pPr>
              <w:autoSpaceDE w:val="0"/>
              <w:autoSpaceDN w:val="0"/>
              <w:adjustRightInd w:val="0"/>
              <w:spacing w:before="0"/>
              <w:jc w:val="center"/>
              <w:rPr>
                <w:rFonts w:ascii="Arial" w:eastAsia="Times New Roman" w:hAnsi="Arial" w:cs="Arial"/>
                <w:b/>
                <w:bCs/>
                <w:kern w:val="28"/>
              </w:rPr>
            </w:pPr>
            <w:r>
              <w:rPr>
                <w:rFonts w:ascii="Arial" w:eastAsia="Times New Roman" w:hAnsi="Arial" w:cs="Arial"/>
                <w:b/>
                <w:bCs/>
                <w:kern w:val="28"/>
              </w:rPr>
              <w:t>Łączna długość ogrodzeń</w:t>
            </w:r>
          </w:p>
        </w:tc>
        <w:tc>
          <w:tcPr>
            <w:tcW w:w="1383" w:type="dxa"/>
            <w:vMerge w:val="restart"/>
            <w:vAlign w:val="center"/>
          </w:tcPr>
          <w:p w14:paraId="2FDBD33C" w14:textId="77777777" w:rsidR="00176316" w:rsidRPr="00080C73" w:rsidRDefault="00176316" w:rsidP="008C3725">
            <w:pPr>
              <w:autoSpaceDE w:val="0"/>
              <w:autoSpaceDN w:val="0"/>
              <w:adjustRightInd w:val="0"/>
              <w:spacing w:before="0"/>
              <w:jc w:val="center"/>
              <w:rPr>
                <w:rFonts w:ascii="Arial" w:eastAsia="Times New Roman" w:hAnsi="Arial" w:cs="Arial"/>
                <w:b/>
                <w:bCs/>
                <w:kern w:val="28"/>
              </w:rPr>
            </w:pPr>
            <w:r>
              <w:rPr>
                <w:rFonts w:ascii="Arial" w:eastAsia="Times New Roman" w:hAnsi="Arial" w:cs="Arial"/>
                <w:b/>
                <w:bCs/>
                <w:kern w:val="28"/>
              </w:rPr>
              <w:t xml:space="preserve">*100 </w:t>
            </w:r>
            <w:r w:rsidRPr="00080C73">
              <w:rPr>
                <w:rFonts w:ascii="Arial" w:eastAsia="Times New Roman" w:hAnsi="Arial" w:cs="Arial"/>
                <w:b/>
                <w:bCs/>
                <w:kern w:val="28"/>
              </w:rPr>
              <w:t>[%]</w:t>
            </w:r>
          </w:p>
        </w:tc>
      </w:tr>
      <w:tr w:rsidR="00176316" w:rsidRPr="00080C73" w14:paraId="58DB680D" w14:textId="77777777" w:rsidTr="008C3725">
        <w:tc>
          <w:tcPr>
            <w:tcW w:w="1276" w:type="dxa"/>
            <w:vMerge/>
            <w:vAlign w:val="center"/>
          </w:tcPr>
          <w:p w14:paraId="7B32E6D3" w14:textId="77777777" w:rsidR="00176316" w:rsidRPr="00080C73" w:rsidRDefault="00176316" w:rsidP="008C3725">
            <w:pPr>
              <w:autoSpaceDE w:val="0"/>
              <w:autoSpaceDN w:val="0"/>
              <w:adjustRightInd w:val="0"/>
              <w:spacing w:before="0"/>
              <w:jc w:val="center"/>
              <w:rPr>
                <w:rFonts w:ascii="Arial" w:eastAsia="Times New Roman" w:hAnsi="Arial" w:cs="Arial"/>
                <w:b/>
                <w:bCs/>
                <w:kern w:val="28"/>
              </w:rPr>
            </w:pPr>
          </w:p>
        </w:tc>
        <w:tc>
          <w:tcPr>
            <w:tcW w:w="3011" w:type="dxa"/>
            <w:vAlign w:val="center"/>
          </w:tcPr>
          <w:p w14:paraId="6ACE1D7E" w14:textId="77777777" w:rsidR="00176316" w:rsidRPr="00080C73" w:rsidRDefault="00176316" w:rsidP="008C3725">
            <w:pPr>
              <w:autoSpaceDE w:val="0"/>
              <w:autoSpaceDN w:val="0"/>
              <w:adjustRightInd w:val="0"/>
              <w:spacing w:before="0"/>
              <w:jc w:val="center"/>
              <w:rPr>
                <w:rFonts w:ascii="Arial" w:eastAsia="Times New Roman" w:hAnsi="Arial" w:cs="Arial"/>
                <w:b/>
                <w:bCs/>
                <w:kern w:val="28"/>
                <w:vertAlign w:val="subscript"/>
              </w:rPr>
            </w:pPr>
            <w:r>
              <w:rPr>
                <w:rFonts w:ascii="Arial" w:eastAsia="Times New Roman" w:hAnsi="Arial" w:cs="Arial"/>
                <w:b/>
                <w:bCs/>
                <w:kern w:val="28"/>
              </w:rPr>
              <w:t>Długość linii nr 250</w:t>
            </w:r>
          </w:p>
        </w:tc>
        <w:tc>
          <w:tcPr>
            <w:tcW w:w="1383" w:type="dxa"/>
            <w:vMerge/>
            <w:vAlign w:val="center"/>
          </w:tcPr>
          <w:p w14:paraId="004E59E5" w14:textId="77777777" w:rsidR="00176316" w:rsidRPr="00080C73" w:rsidRDefault="00176316" w:rsidP="008C3725">
            <w:pPr>
              <w:autoSpaceDE w:val="0"/>
              <w:autoSpaceDN w:val="0"/>
              <w:adjustRightInd w:val="0"/>
              <w:spacing w:before="0"/>
              <w:jc w:val="center"/>
              <w:rPr>
                <w:rFonts w:ascii="Arial" w:eastAsia="Times New Roman" w:hAnsi="Arial" w:cs="Arial"/>
                <w:b/>
                <w:bCs/>
                <w:kern w:val="28"/>
              </w:rPr>
            </w:pPr>
          </w:p>
        </w:tc>
      </w:tr>
    </w:tbl>
    <w:p w14:paraId="7433ADF6" w14:textId="77777777" w:rsidR="00176316" w:rsidRDefault="00176316" w:rsidP="00176316">
      <w:pPr>
        <w:rPr>
          <w:rFonts w:ascii="Arial" w:hAnsi="Arial" w:cs="Arial"/>
          <w:bCs/>
        </w:rPr>
      </w:pPr>
    </w:p>
    <w:p w14:paraId="7DA5AC87" w14:textId="77777777" w:rsidR="00176316" w:rsidRDefault="00176316" w:rsidP="00176316">
      <w:pPr>
        <w:rPr>
          <w:rFonts w:ascii="Arial" w:hAnsi="Arial" w:cs="Arial"/>
          <w:bCs/>
        </w:rPr>
      </w:pPr>
    </w:p>
    <w:p w14:paraId="57D8A21D" w14:textId="77777777" w:rsidR="00176316" w:rsidRDefault="00176316" w:rsidP="00176316">
      <w:pPr>
        <w:rPr>
          <w:rFonts w:ascii="Arial" w:hAnsi="Arial" w:cs="Arial"/>
          <w:bCs/>
        </w:rPr>
      </w:pPr>
    </w:p>
    <w:p w14:paraId="2CD0221B" w14:textId="68D3A019" w:rsidR="006F7413" w:rsidRDefault="006F7413" w:rsidP="00AC68D4">
      <w:pPr>
        <w:pStyle w:val="Akapitzlist"/>
        <w:numPr>
          <w:ilvl w:val="0"/>
          <w:numId w:val="19"/>
        </w:numPr>
        <w:spacing w:before="240" w:after="240"/>
        <w:rPr>
          <w:rFonts w:ascii="Arial" w:hAnsi="Arial" w:cs="Arial"/>
        </w:rPr>
      </w:pPr>
      <w:r w:rsidRPr="006F7413">
        <w:rPr>
          <w:rFonts w:ascii="Arial" w:hAnsi="Arial" w:cs="Arial"/>
        </w:rPr>
        <w:t>Źródła danych</w:t>
      </w:r>
    </w:p>
    <w:p w14:paraId="0ABD6D5D" w14:textId="77777777" w:rsidR="00CE6019" w:rsidRDefault="00CE6019" w:rsidP="00AC68D4">
      <w:pPr>
        <w:pStyle w:val="Akapitzlist"/>
        <w:numPr>
          <w:ilvl w:val="1"/>
          <w:numId w:val="19"/>
        </w:numPr>
        <w:spacing w:before="240" w:after="240"/>
        <w:ind w:left="360"/>
        <w:rPr>
          <w:rFonts w:ascii="Arial" w:hAnsi="Arial" w:cs="Arial"/>
        </w:rPr>
      </w:pPr>
      <w:r w:rsidRPr="00CE6019">
        <w:rPr>
          <w:rFonts w:ascii="Arial" w:hAnsi="Arial" w:cs="Arial"/>
        </w:rPr>
        <w:t>wskaźnik nr 6) – System Ewidencji Pracy Eksploatacyjnej, Baza Wypadki i Wydarzenia</w:t>
      </w:r>
    </w:p>
    <w:p w14:paraId="47B92B0B" w14:textId="6756DF32" w:rsidR="006F7413" w:rsidRPr="00CE6019" w:rsidRDefault="00CE6019" w:rsidP="00AC68D4">
      <w:pPr>
        <w:pStyle w:val="Akapitzlist"/>
        <w:numPr>
          <w:ilvl w:val="1"/>
          <w:numId w:val="19"/>
        </w:numPr>
        <w:spacing w:before="240" w:after="240"/>
        <w:ind w:left="360"/>
        <w:rPr>
          <w:rFonts w:ascii="Arial" w:hAnsi="Arial" w:cs="Arial"/>
        </w:rPr>
      </w:pPr>
      <w:r w:rsidRPr="00CE6019">
        <w:rPr>
          <w:rFonts w:ascii="Arial" w:hAnsi="Arial" w:cs="Arial"/>
        </w:rPr>
        <w:lastRenderedPageBreak/>
        <w:t xml:space="preserve">wskaźnik nr 7) - </w:t>
      </w:r>
      <w:r w:rsidR="006F7413" w:rsidRPr="00CE6019">
        <w:rPr>
          <w:rFonts w:ascii="Arial" w:hAnsi="Arial" w:cs="Arial"/>
        </w:rPr>
        <w:t xml:space="preserve">Łączna długość istniejącego i budowanego ogrodzenia będzie każdorazowo określana przez SKM na dzień 31 grudnia każdego roku na podstawie wizji </w:t>
      </w:r>
      <w:r w:rsidRPr="00CE6019">
        <w:rPr>
          <w:rFonts w:ascii="Arial" w:hAnsi="Arial" w:cs="Arial"/>
        </w:rPr>
        <w:br/>
      </w:r>
      <w:r w:rsidR="006F7413" w:rsidRPr="00CE6019">
        <w:rPr>
          <w:rFonts w:ascii="Arial" w:hAnsi="Arial" w:cs="Arial"/>
        </w:rPr>
        <w:t>w terenie</w:t>
      </w:r>
      <w:r w:rsidR="00055BAD" w:rsidRPr="00CE6019">
        <w:rPr>
          <w:rFonts w:ascii="Arial" w:hAnsi="Arial" w:cs="Arial"/>
        </w:rPr>
        <w:t>.</w:t>
      </w:r>
    </w:p>
    <w:p w14:paraId="25B5188B" w14:textId="77777777" w:rsidR="006F7413" w:rsidRPr="006F7413" w:rsidRDefault="006F7413" w:rsidP="006F7413">
      <w:pPr>
        <w:pStyle w:val="Akapitzlist"/>
        <w:spacing w:before="240" w:after="240"/>
        <w:ind w:left="360"/>
        <w:rPr>
          <w:rFonts w:ascii="Arial" w:hAnsi="Arial" w:cs="Arial"/>
        </w:rPr>
      </w:pPr>
    </w:p>
    <w:p w14:paraId="2F7B5447" w14:textId="77777777" w:rsidR="00176316" w:rsidRPr="006F7413" w:rsidRDefault="006F7413" w:rsidP="00AC68D4">
      <w:pPr>
        <w:pStyle w:val="Akapitzlist"/>
        <w:numPr>
          <w:ilvl w:val="0"/>
          <w:numId w:val="19"/>
        </w:numPr>
        <w:spacing w:before="240" w:after="240"/>
        <w:rPr>
          <w:rFonts w:ascii="Arial" w:hAnsi="Arial" w:cs="Arial"/>
        </w:rPr>
      </w:pPr>
      <w:r w:rsidRPr="006F7413">
        <w:rPr>
          <w:rFonts w:ascii="Arial" w:hAnsi="Arial" w:cs="Arial"/>
        </w:rPr>
        <w:t>Wartość oczekiwana</w:t>
      </w:r>
    </w:p>
    <w:p w14:paraId="295D0215" w14:textId="599F4375" w:rsidR="00176316" w:rsidRPr="006F7413" w:rsidRDefault="00CE6019" w:rsidP="00AC68D4">
      <w:pPr>
        <w:pStyle w:val="Akapitzlist"/>
        <w:numPr>
          <w:ilvl w:val="1"/>
          <w:numId w:val="19"/>
        </w:numPr>
        <w:rPr>
          <w:rFonts w:ascii="Arial" w:hAnsi="Arial" w:cs="Arial"/>
          <w:bCs/>
        </w:rPr>
      </w:pPr>
      <w:r>
        <w:rPr>
          <w:rFonts w:ascii="Arial" w:hAnsi="Arial" w:cs="Arial"/>
          <w:bCs/>
        </w:rPr>
        <w:t xml:space="preserve">Zarządca zobowiązany jest zapewnić uzyskanie następujących wartości wskaźników </w:t>
      </w:r>
      <w:r>
        <w:rPr>
          <w:rFonts w:ascii="Arial" w:hAnsi="Arial" w:cs="Arial"/>
          <w:bCs/>
        </w:rPr>
        <w:br/>
        <w:t>w poszczególnych latach obowiązywania Umowy:</w:t>
      </w:r>
    </w:p>
    <w:p w14:paraId="7025B4BF" w14:textId="77777777" w:rsidR="00176316" w:rsidRDefault="00176316" w:rsidP="00176316">
      <w:pPr>
        <w:rPr>
          <w:rFonts w:ascii="Arial" w:hAnsi="Arial" w:cs="Arial"/>
          <w:bCs/>
        </w:rPr>
      </w:pPr>
    </w:p>
    <w:tbl>
      <w:tblPr>
        <w:tblStyle w:val="Tabela-Siatka1"/>
        <w:tblW w:w="4038" w:type="pct"/>
        <w:jc w:val="center"/>
        <w:tblLayout w:type="fixed"/>
        <w:tblLook w:val="04A0" w:firstRow="1" w:lastRow="0" w:firstColumn="1" w:lastColumn="0" w:noHBand="0" w:noVBand="1"/>
      </w:tblPr>
      <w:tblGrid>
        <w:gridCol w:w="2780"/>
        <w:gridCol w:w="926"/>
        <w:gridCol w:w="928"/>
        <w:gridCol w:w="926"/>
        <w:gridCol w:w="928"/>
        <w:gridCol w:w="946"/>
      </w:tblGrid>
      <w:tr w:rsidR="009636D4" w:rsidRPr="00DE4383" w14:paraId="54744B2E" w14:textId="77777777" w:rsidTr="009636D4">
        <w:trPr>
          <w:trHeight w:val="146"/>
          <w:jc w:val="center"/>
        </w:trPr>
        <w:tc>
          <w:tcPr>
            <w:tcW w:w="1870" w:type="pct"/>
            <w:vMerge w:val="restart"/>
            <w:vAlign w:val="center"/>
          </w:tcPr>
          <w:p w14:paraId="7193EA69" w14:textId="77777777" w:rsidR="009636D4" w:rsidRPr="00DE4383" w:rsidRDefault="009636D4" w:rsidP="008C3725">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Wskaźnik [%]</w:t>
            </w:r>
          </w:p>
        </w:tc>
        <w:tc>
          <w:tcPr>
            <w:tcW w:w="3130" w:type="pct"/>
            <w:gridSpan w:val="5"/>
            <w:vAlign w:val="center"/>
          </w:tcPr>
          <w:p w14:paraId="2DF2BE1E" w14:textId="77777777" w:rsidR="009636D4" w:rsidRPr="00DE4383" w:rsidRDefault="009636D4" w:rsidP="0022568C">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Oczekiwana wartość wskaźnika w latach</w:t>
            </w:r>
          </w:p>
        </w:tc>
      </w:tr>
      <w:tr w:rsidR="009636D4" w:rsidRPr="00DE4383" w14:paraId="3310C748" w14:textId="77777777" w:rsidTr="009636D4">
        <w:trPr>
          <w:trHeight w:val="42"/>
          <w:jc w:val="center"/>
        </w:trPr>
        <w:tc>
          <w:tcPr>
            <w:tcW w:w="1870" w:type="pct"/>
            <w:vMerge/>
          </w:tcPr>
          <w:p w14:paraId="0C750C17" w14:textId="77777777" w:rsidR="009636D4" w:rsidRPr="00DE4383" w:rsidRDefault="009636D4" w:rsidP="008C3725">
            <w:pPr>
              <w:spacing w:before="0"/>
              <w:jc w:val="center"/>
              <w:rPr>
                <w:rFonts w:ascii="Arial" w:eastAsia="Times New Roman" w:hAnsi="Arial" w:cs="Arial"/>
                <w:kern w:val="28"/>
                <w:lang w:eastAsia="pl-PL"/>
              </w:rPr>
            </w:pPr>
          </w:p>
        </w:tc>
        <w:tc>
          <w:tcPr>
            <w:tcW w:w="623" w:type="pct"/>
            <w:vAlign w:val="center"/>
          </w:tcPr>
          <w:p w14:paraId="7B6FF85E" w14:textId="04150A54" w:rsidR="009636D4" w:rsidRPr="00DE4383" w:rsidRDefault="009636D4" w:rsidP="008C3725">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20</w:t>
            </w:r>
            <w:r>
              <w:rPr>
                <w:rFonts w:ascii="Arial" w:eastAsia="Times New Roman" w:hAnsi="Arial" w:cs="Arial"/>
                <w:kern w:val="28"/>
                <w:lang w:eastAsia="pl-PL"/>
              </w:rPr>
              <w:t>24</w:t>
            </w:r>
          </w:p>
        </w:tc>
        <w:tc>
          <w:tcPr>
            <w:tcW w:w="624" w:type="pct"/>
            <w:vAlign w:val="center"/>
          </w:tcPr>
          <w:p w14:paraId="11981EB2" w14:textId="642E22D4" w:rsidR="009636D4" w:rsidRPr="00DE4383" w:rsidRDefault="009636D4" w:rsidP="008C3725">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202</w:t>
            </w:r>
            <w:r>
              <w:rPr>
                <w:rFonts w:ascii="Arial" w:eastAsia="Times New Roman" w:hAnsi="Arial" w:cs="Arial"/>
                <w:kern w:val="28"/>
                <w:lang w:eastAsia="pl-PL"/>
              </w:rPr>
              <w:t>5</w:t>
            </w:r>
          </w:p>
        </w:tc>
        <w:tc>
          <w:tcPr>
            <w:tcW w:w="623" w:type="pct"/>
            <w:vAlign w:val="center"/>
          </w:tcPr>
          <w:p w14:paraId="13DE4AF0" w14:textId="2FED3270" w:rsidR="009636D4" w:rsidRPr="00DE4383" w:rsidRDefault="009636D4" w:rsidP="008C3725">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202</w:t>
            </w:r>
            <w:r>
              <w:rPr>
                <w:rFonts w:ascii="Arial" w:eastAsia="Times New Roman" w:hAnsi="Arial" w:cs="Arial"/>
                <w:kern w:val="28"/>
                <w:lang w:eastAsia="pl-PL"/>
              </w:rPr>
              <w:t>6</w:t>
            </w:r>
          </w:p>
        </w:tc>
        <w:tc>
          <w:tcPr>
            <w:tcW w:w="624" w:type="pct"/>
            <w:vAlign w:val="center"/>
          </w:tcPr>
          <w:p w14:paraId="51ED9C79" w14:textId="66457DAA" w:rsidR="009636D4" w:rsidRPr="00DE4383" w:rsidRDefault="009636D4" w:rsidP="008C3725">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202</w:t>
            </w:r>
            <w:r>
              <w:rPr>
                <w:rFonts w:ascii="Arial" w:eastAsia="Times New Roman" w:hAnsi="Arial" w:cs="Arial"/>
                <w:kern w:val="28"/>
                <w:lang w:eastAsia="pl-PL"/>
              </w:rPr>
              <w:t>7</w:t>
            </w:r>
          </w:p>
        </w:tc>
        <w:tc>
          <w:tcPr>
            <w:tcW w:w="636" w:type="pct"/>
            <w:vAlign w:val="center"/>
          </w:tcPr>
          <w:p w14:paraId="2398AC25" w14:textId="0778F164" w:rsidR="009636D4" w:rsidRPr="00DE4383" w:rsidRDefault="009636D4" w:rsidP="008C3725">
            <w:pPr>
              <w:spacing w:before="0"/>
              <w:jc w:val="center"/>
              <w:rPr>
                <w:rFonts w:ascii="Arial" w:eastAsia="Times New Roman" w:hAnsi="Arial" w:cs="Arial"/>
                <w:kern w:val="28"/>
                <w:lang w:eastAsia="pl-PL"/>
              </w:rPr>
            </w:pPr>
            <w:r w:rsidRPr="00DE4383">
              <w:rPr>
                <w:rFonts w:ascii="Arial" w:eastAsia="Times New Roman" w:hAnsi="Arial" w:cs="Arial"/>
                <w:kern w:val="28"/>
                <w:lang w:eastAsia="pl-PL"/>
              </w:rPr>
              <w:t>202</w:t>
            </w:r>
            <w:r>
              <w:rPr>
                <w:rFonts w:ascii="Arial" w:eastAsia="Times New Roman" w:hAnsi="Arial" w:cs="Arial"/>
                <w:kern w:val="28"/>
                <w:lang w:eastAsia="pl-PL"/>
              </w:rPr>
              <w:t>8</w:t>
            </w:r>
          </w:p>
        </w:tc>
      </w:tr>
      <w:tr w:rsidR="0059032A" w:rsidRPr="00DE4383" w14:paraId="56C4A37B" w14:textId="77777777" w:rsidTr="009636D4">
        <w:trPr>
          <w:trHeight w:val="42"/>
          <w:jc w:val="center"/>
        </w:trPr>
        <w:tc>
          <w:tcPr>
            <w:tcW w:w="1870" w:type="pct"/>
          </w:tcPr>
          <w:p w14:paraId="0E885E7E" w14:textId="27D12190" w:rsidR="0059032A" w:rsidRPr="003A15EA" w:rsidRDefault="0059032A" w:rsidP="00B9186E">
            <w:pPr>
              <w:spacing w:before="0"/>
              <w:jc w:val="left"/>
              <w:rPr>
                <w:rFonts w:ascii="Arial" w:eastAsia="Times New Roman" w:hAnsi="Arial" w:cs="Arial"/>
                <w:kern w:val="28"/>
                <w:lang w:eastAsia="pl-PL"/>
              </w:rPr>
            </w:pPr>
            <w:r w:rsidRPr="00CE6019">
              <w:rPr>
                <w:rFonts w:ascii="Arial" w:eastAsia="Times New Roman" w:hAnsi="Arial" w:cs="Arial"/>
                <w:bCs/>
                <w:kern w:val="28"/>
                <w:lang w:eastAsia="pl-PL"/>
              </w:rPr>
              <w:t xml:space="preserve">Liczba poważnych wypadków i wypadków zaistniałych na sieci kolejowej zarządzanej przez PKP SKM, </w:t>
            </w:r>
            <w:r w:rsidRPr="000816C1">
              <w:rPr>
                <w:rFonts w:ascii="Arial" w:eastAsia="Times New Roman" w:hAnsi="Arial" w:cs="Arial"/>
                <w:bCs/>
                <w:kern w:val="28"/>
                <w:lang w:eastAsia="pl-PL"/>
              </w:rPr>
              <w:t>z przyczyn leżących po stronie</w:t>
            </w:r>
            <w:r w:rsidRPr="00CE6019">
              <w:rPr>
                <w:rFonts w:ascii="Arial" w:eastAsia="Times New Roman" w:hAnsi="Arial" w:cs="Arial"/>
                <w:bCs/>
                <w:kern w:val="28"/>
                <w:lang w:eastAsia="pl-PL"/>
              </w:rPr>
              <w:t xml:space="preserve"> tego zarządcy, przypadająca </w:t>
            </w:r>
            <w:r w:rsidRPr="00CE6019">
              <w:rPr>
                <w:rFonts w:ascii="Arial" w:eastAsia="Times New Roman" w:hAnsi="Arial" w:cs="Arial"/>
                <w:bCs/>
                <w:kern w:val="28"/>
                <w:lang w:eastAsia="pl-PL"/>
              </w:rPr>
              <w:br/>
              <w:t xml:space="preserve">na 1 mln </w:t>
            </w:r>
            <w:proofErr w:type="spellStart"/>
            <w:r w:rsidRPr="00CE6019">
              <w:rPr>
                <w:rFonts w:ascii="Arial" w:eastAsia="Times New Roman" w:hAnsi="Arial" w:cs="Arial"/>
                <w:bCs/>
                <w:kern w:val="28"/>
                <w:lang w:eastAsia="pl-PL"/>
              </w:rPr>
              <w:t>pockm</w:t>
            </w:r>
            <w:proofErr w:type="spellEnd"/>
            <w:r w:rsidRPr="00CE6019">
              <w:rPr>
                <w:rFonts w:ascii="Arial" w:eastAsia="Times New Roman" w:hAnsi="Arial" w:cs="Arial"/>
                <w:bCs/>
                <w:kern w:val="28"/>
                <w:lang w:eastAsia="pl-PL"/>
              </w:rPr>
              <w:t xml:space="preserve"> pracy eksploatacyjnej</w:t>
            </w:r>
          </w:p>
        </w:tc>
        <w:tc>
          <w:tcPr>
            <w:tcW w:w="623" w:type="pct"/>
            <w:tcBorders>
              <w:top w:val="single" w:sz="4" w:space="0" w:color="auto"/>
              <w:left w:val="single" w:sz="4" w:space="0" w:color="auto"/>
              <w:bottom w:val="single" w:sz="4" w:space="0" w:color="auto"/>
              <w:right w:val="single" w:sz="4" w:space="0" w:color="auto"/>
            </w:tcBorders>
            <w:vAlign w:val="center"/>
          </w:tcPr>
          <w:p w14:paraId="209DBF13" w14:textId="304CB920" w:rsidR="0059032A" w:rsidRPr="00283896" w:rsidRDefault="0059032A" w:rsidP="00B9186E">
            <w:pPr>
              <w:spacing w:after="100" w:afterAutospacing="1"/>
              <w:jc w:val="center"/>
              <w:rPr>
                <w:rFonts w:ascii="Arial" w:hAnsi="Arial" w:cs="Arial"/>
              </w:rPr>
            </w:pPr>
            <w:r w:rsidRPr="00283896">
              <w:rPr>
                <w:rFonts w:ascii="Arial" w:hAnsi="Arial" w:cs="Arial"/>
              </w:rPr>
              <w:t>≤0,46</w:t>
            </w:r>
          </w:p>
        </w:tc>
        <w:tc>
          <w:tcPr>
            <w:tcW w:w="624" w:type="pct"/>
            <w:tcBorders>
              <w:top w:val="single" w:sz="4" w:space="0" w:color="auto"/>
              <w:left w:val="single" w:sz="4" w:space="0" w:color="auto"/>
              <w:bottom w:val="single" w:sz="4" w:space="0" w:color="auto"/>
              <w:right w:val="single" w:sz="4" w:space="0" w:color="auto"/>
            </w:tcBorders>
            <w:vAlign w:val="center"/>
          </w:tcPr>
          <w:p w14:paraId="5EB7F153" w14:textId="0E574945" w:rsidR="0059032A" w:rsidRPr="00283896" w:rsidRDefault="00283896" w:rsidP="00B9186E">
            <w:pPr>
              <w:spacing w:after="100" w:afterAutospacing="1"/>
              <w:jc w:val="center"/>
            </w:pPr>
            <w:r w:rsidRPr="00283896">
              <w:rPr>
                <w:rFonts w:ascii="Arial" w:hAnsi="Arial" w:cs="Arial"/>
              </w:rPr>
              <w:t>≤0,46</w:t>
            </w:r>
          </w:p>
        </w:tc>
        <w:tc>
          <w:tcPr>
            <w:tcW w:w="623" w:type="pct"/>
            <w:tcBorders>
              <w:top w:val="single" w:sz="4" w:space="0" w:color="auto"/>
              <w:left w:val="single" w:sz="4" w:space="0" w:color="auto"/>
              <w:bottom w:val="single" w:sz="4" w:space="0" w:color="auto"/>
              <w:right w:val="single" w:sz="4" w:space="0" w:color="auto"/>
            </w:tcBorders>
            <w:vAlign w:val="center"/>
          </w:tcPr>
          <w:p w14:paraId="51B1EA8C" w14:textId="45A298C2" w:rsidR="0059032A" w:rsidRPr="00283896" w:rsidRDefault="00283896" w:rsidP="00B9186E">
            <w:pPr>
              <w:spacing w:after="100" w:afterAutospacing="1"/>
              <w:jc w:val="center"/>
            </w:pPr>
            <w:r w:rsidRPr="00283896">
              <w:rPr>
                <w:rFonts w:ascii="Arial" w:hAnsi="Arial" w:cs="Arial"/>
              </w:rPr>
              <w:t>≤0,46</w:t>
            </w:r>
          </w:p>
        </w:tc>
        <w:tc>
          <w:tcPr>
            <w:tcW w:w="624" w:type="pct"/>
            <w:tcBorders>
              <w:top w:val="single" w:sz="4" w:space="0" w:color="auto"/>
              <w:left w:val="single" w:sz="4" w:space="0" w:color="auto"/>
              <w:bottom w:val="single" w:sz="4" w:space="0" w:color="auto"/>
              <w:right w:val="single" w:sz="4" w:space="0" w:color="auto"/>
            </w:tcBorders>
            <w:vAlign w:val="center"/>
          </w:tcPr>
          <w:p w14:paraId="317FDE31" w14:textId="09CB2944" w:rsidR="0059032A" w:rsidRPr="00283896" w:rsidRDefault="00283896" w:rsidP="00B9186E">
            <w:pPr>
              <w:spacing w:after="100" w:afterAutospacing="1"/>
              <w:jc w:val="center"/>
            </w:pPr>
            <w:r w:rsidRPr="00283896">
              <w:rPr>
                <w:rFonts w:ascii="Arial" w:hAnsi="Arial" w:cs="Arial"/>
              </w:rPr>
              <w:t>≤0,46</w:t>
            </w:r>
          </w:p>
        </w:tc>
        <w:tc>
          <w:tcPr>
            <w:tcW w:w="636" w:type="pct"/>
            <w:tcBorders>
              <w:top w:val="single" w:sz="4" w:space="0" w:color="auto"/>
              <w:left w:val="single" w:sz="4" w:space="0" w:color="auto"/>
              <w:bottom w:val="single" w:sz="4" w:space="0" w:color="auto"/>
              <w:right w:val="single" w:sz="4" w:space="0" w:color="auto"/>
            </w:tcBorders>
            <w:vAlign w:val="center"/>
          </w:tcPr>
          <w:p w14:paraId="117BD5C5" w14:textId="51FAC090" w:rsidR="0059032A" w:rsidRPr="00283896" w:rsidRDefault="00283896" w:rsidP="00B9186E">
            <w:pPr>
              <w:spacing w:after="100" w:afterAutospacing="1"/>
              <w:jc w:val="center"/>
            </w:pPr>
            <w:r w:rsidRPr="00283896">
              <w:rPr>
                <w:rFonts w:ascii="Arial" w:hAnsi="Arial" w:cs="Arial"/>
              </w:rPr>
              <w:t>≤0,46</w:t>
            </w:r>
          </w:p>
        </w:tc>
      </w:tr>
      <w:tr w:rsidR="009636D4" w:rsidRPr="00DE4383" w14:paraId="5AD3CE20" w14:textId="77777777" w:rsidTr="009636D4">
        <w:trPr>
          <w:trHeight w:val="42"/>
          <w:jc w:val="center"/>
        </w:trPr>
        <w:tc>
          <w:tcPr>
            <w:tcW w:w="1870" w:type="pct"/>
          </w:tcPr>
          <w:p w14:paraId="25B9E5B5" w14:textId="77777777" w:rsidR="009636D4" w:rsidRPr="003A15EA" w:rsidRDefault="009636D4" w:rsidP="00B9186E">
            <w:pPr>
              <w:spacing w:before="0"/>
              <w:jc w:val="left"/>
              <w:rPr>
                <w:rFonts w:ascii="Arial" w:eastAsia="Times New Roman" w:hAnsi="Arial" w:cs="Arial"/>
                <w:kern w:val="28"/>
                <w:lang w:eastAsia="pl-PL"/>
              </w:rPr>
            </w:pPr>
            <w:r w:rsidRPr="003A15EA">
              <w:rPr>
                <w:rFonts w:ascii="Arial" w:eastAsia="Times New Roman" w:hAnsi="Arial" w:cs="Arial"/>
                <w:kern w:val="28"/>
                <w:lang w:eastAsia="pl-PL"/>
              </w:rPr>
              <w:t xml:space="preserve">Udział długości </w:t>
            </w:r>
            <w:r w:rsidRPr="003A15EA">
              <w:rPr>
                <w:rFonts w:ascii="Arial" w:eastAsia="Times New Roman" w:hAnsi="Arial" w:cs="Arial"/>
                <w:bCs/>
                <w:kern w:val="28"/>
                <w:lang w:eastAsia="pl-PL"/>
              </w:rPr>
              <w:t>ogrodzenia zabezpieczającego infrastrukturę PKP SKM w stosunku do długości linii kolejowej infrastruktury</w:t>
            </w:r>
          </w:p>
        </w:tc>
        <w:tc>
          <w:tcPr>
            <w:tcW w:w="623" w:type="pct"/>
            <w:tcBorders>
              <w:top w:val="single" w:sz="4" w:space="0" w:color="auto"/>
              <w:left w:val="single" w:sz="4" w:space="0" w:color="auto"/>
              <w:bottom w:val="single" w:sz="4" w:space="0" w:color="auto"/>
              <w:right w:val="single" w:sz="4" w:space="0" w:color="auto"/>
            </w:tcBorders>
            <w:vAlign w:val="center"/>
          </w:tcPr>
          <w:p w14:paraId="4DC0B420" w14:textId="48835463" w:rsidR="009636D4" w:rsidRPr="00216651" w:rsidRDefault="00216651" w:rsidP="00B9186E">
            <w:pPr>
              <w:spacing w:after="100" w:afterAutospacing="1"/>
              <w:jc w:val="center"/>
              <w:rPr>
                <w:rFonts w:ascii="Arial" w:hAnsi="Arial" w:cs="Arial"/>
              </w:rPr>
            </w:pPr>
            <w:r w:rsidRPr="00216651">
              <w:rPr>
                <w:rFonts w:ascii="Arial" w:hAnsi="Arial" w:cs="Arial"/>
              </w:rPr>
              <w:t>58,5</w:t>
            </w:r>
          </w:p>
        </w:tc>
        <w:tc>
          <w:tcPr>
            <w:tcW w:w="624" w:type="pct"/>
            <w:tcBorders>
              <w:top w:val="single" w:sz="4" w:space="0" w:color="auto"/>
              <w:left w:val="single" w:sz="4" w:space="0" w:color="auto"/>
              <w:bottom w:val="single" w:sz="4" w:space="0" w:color="auto"/>
              <w:right w:val="single" w:sz="4" w:space="0" w:color="auto"/>
            </w:tcBorders>
            <w:vAlign w:val="center"/>
          </w:tcPr>
          <w:p w14:paraId="74CB12AD" w14:textId="04B76531" w:rsidR="009636D4" w:rsidRPr="00216651" w:rsidRDefault="00216651" w:rsidP="00B9186E">
            <w:pPr>
              <w:spacing w:after="100" w:afterAutospacing="1"/>
              <w:jc w:val="center"/>
              <w:rPr>
                <w:rFonts w:ascii="Arial" w:hAnsi="Arial" w:cs="Arial"/>
              </w:rPr>
            </w:pPr>
            <w:r w:rsidRPr="00216651">
              <w:rPr>
                <w:rFonts w:ascii="Arial" w:hAnsi="Arial" w:cs="Arial"/>
              </w:rPr>
              <w:t>58,7</w:t>
            </w:r>
          </w:p>
        </w:tc>
        <w:tc>
          <w:tcPr>
            <w:tcW w:w="623" w:type="pct"/>
            <w:tcBorders>
              <w:top w:val="single" w:sz="4" w:space="0" w:color="auto"/>
              <w:left w:val="single" w:sz="4" w:space="0" w:color="auto"/>
              <w:bottom w:val="single" w:sz="4" w:space="0" w:color="auto"/>
              <w:right w:val="single" w:sz="4" w:space="0" w:color="auto"/>
            </w:tcBorders>
            <w:vAlign w:val="center"/>
          </w:tcPr>
          <w:p w14:paraId="2D987BFF" w14:textId="7BE8DEB9" w:rsidR="009636D4" w:rsidRPr="00216651" w:rsidRDefault="00216651" w:rsidP="00B9186E">
            <w:pPr>
              <w:spacing w:after="100" w:afterAutospacing="1"/>
              <w:jc w:val="center"/>
              <w:rPr>
                <w:rFonts w:ascii="Arial" w:hAnsi="Arial" w:cs="Arial"/>
              </w:rPr>
            </w:pPr>
            <w:r w:rsidRPr="00216651">
              <w:rPr>
                <w:rFonts w:ascii="Arial" w:hAnsi="Arial" w:cs="Arial"/>
              </w:rPr>
              <w:t>5</w:t>
            </w:r>
            <w:r w:rsidR="00A5255F">
              <w:rPr>
                <w:rFonts w:ascii="Arial" w:hAnsi="Arial" w:cs="Arial"/>
              </w:rPr>
              <w:t>9</w:t>
            </w:r>
            <w:r w:rsidRPr="00216651">
              <w:rPr>
                <w:rFonts w:ascii="Arial" w:hAnsi="Arial" w:cs="Arial"/>
              </w:rPr>
              <w:t>,</w:t>
            </w:r>
            <w:r w:rsidR="00A5255F">
              <w:rPr>
                <w:rFonts w:ascii="Arial" w:hAnsi="Arial" w:cs="Arial"/>
              </w:rPr>
              <w:t>0</w:t>
            </w:r>
          </w:p>
        </w:tc>
        <w:tc>
          <w:tcPr>
            <w:tcW w:w="624" w:type="pct"/>
            <w:tcBorders>
              <w:top w:val="single" w:sz="4" w:space="0" w:color="auto"/>
              <w:left w:val="single" w:sz="4" w:space="0" w:color="auto"/>
              <w:bottom w:val="single" w:sz="4" w:space="0" w:color="auto"/>
              <w:right w:val="single" w:sz="4" w:space="0" w:color="auto"/>
            </w:tcBorders>
            <w:vAlign w:val="center"/>
          </w:tcPr>
          <w:p w14:paraId="4DD9B6EF" w14:textId="4FFC3D05" w:rsidR="009636D4" w:rsidRPr="00216651" w:rsidRDefault="00216651" w:rsidP="00B9186E">
            <w:pPr>
              <w:spacing w:after="100" w:afterAutospacing="1"/>
              <w:jc w:val="center"/>
              <w:rPr>
                <w:rFonts w:ascii="Arial" w:hAnsi="Arial" w:cs="Arial"/>
              </w:rPr>
            </w:pPr>
            <w:r w:rsidRPr="00216651">
              <w:rPr>
                <w:rFonts w:ascii="Arial" w:hAnsi="Arial" w:cs="Arial"/>
              </w:rPr>
              <w:t>5</w:t>
            </w:r>
            <w:r w:rsidR="00A5255F">
              <w:rPr>
                <w:rFonts w:ascii="Arial" w:hAnsi="Arial" w:cs="Arial"/>
              </w:rPr>
              <w:t>9</w:t>
            </w:r>
            <w:r w:rsidRPr="00216651">
              <w:rPr>
                <w:rFonts w:ascii="Arial" w:hAnsi="Arial" w:cs="Arial"/>
              </w:rPr>
              <w:t>,</w:t>
            </w:r>
            <w:r w:rsidR="00A5255F">
              <w:rPr>
                <w:rFonts w:ascii="Arial" w:hAnsi="Arial" w:cs="Arial"/>
              </w:rPr>
              <w:t>5</w:t>
            </w:r>
          </w:p>
        </w:tc>
        <w:tc>
          <w:tcPr>
            <w:tcW w:w="636" w:type="pct"/>
            <w:tcBorders>
              <w:top w:val="single" w:sz="4" w:space="0" w:color="auto"/>
              <w:left w:val="single" w:sz="4" w:space="0" w:color="auto"/>
              <w:bottom w:val="single" w:sz="4" w:space="0" w:color="auto"/>
              <w:right w:val="single" w:sz="4" w:space="0" w:color="auto"/>
            </w:tcBorders>
            <w:vAlign w:val="center"/>
          </w:tcPr>
          <w:p w14:paraId="344BCBBD" w14:textId="1B83CFBB" w:rsidR="009636D4" w:rsidRPr="00216651" w:rsidRDefault="00A5255F" w:rsidP="00B9186E">
            <w:pPr>
              <w:spacing w:after="100" w:afterAutospacing="1"/>
              <w:jc w:val="center"/>
              <w:rPr>
                <w:rFonts w:ascii="Arial" w:hAnsi="Arial" w:cs="Arial"/>
              </w:rPr>
            </w:pPr>
            <w:r>
              <w:rPr>
                <w:rFonts w:ascii="Arial" w:hAnsi="Arial" w:cs="Arial"/>
              </w:rPr>
              <w:t>60</w:t>
            </w:r>
            <w:r w:rsidR="00216651" w:rsidRPr="00216651">
              <w:rPr>
                <w:rFonts w:ascii="Arial" w:hAnsi="Arial" w:cs="Arial"/>
              </w:rPr>
              <w:t>,</w:t>
            </w:r>
            <w:r>
              <w:rPr>
                <w:rFonts w:ascii="Arial" w:hAnsi="Arial" w:cs="Arial"/>
              </w:rPr>
              <w:t>0</w:t>
            </w:r>
          </w:p>
        </w:tc>
      </w:tr>
    </w:tbl>
    <w:p w14:paraId="0A9791DF" w14:textId="77777777" w:rsidR="00176316" w:rsidRDefault="00176316" w:rsidP="00176316">
      <w:pPr>
        <w:rPr>
          <w:rFonts w:ascii="Arial" w:hAnsi="Arial" w:cs="Arial"/>
          <w:bCs/>
        </w:rPr>
      </w:pPr>
    </w:p>
    <w:p w14:paraId="73C3CF3B" w14:textId="77777777" w:rsidR="00176316" w:rsidRDefault="00176316" w:rsidP="00176316">
      <w:pPr>
        <w:rPr>
          <w:rFonts w:ascii="Arial" w:hAnsi="Arial" w:cs="Arial"/>
          <w:bCs/>
        </w:rPr>
      </w:pPr>
    </w:p>
    <w:p w14:paraId="2B0D30A7" w14:textId="77777777" w:rsidR="006F7413" w:rsidRPr="007A1996" w:rsidRDefault="006F7413" w:rsidP="007A1996">
      <w:pPr>
        <w:pStyle w:val="Akapitzlist"/>
        <w:numPr>
          <w:ilvl w:val="2"/>
          <w:numId w:val="4"/>
        </w:numPr>
        <w:tabs>
          <w:tab w:val="left" w:pos="0"/>
        </w:tabs>
        <w:autoSpaceDE w:val="0"/>
        <w:autoSpaceDN w:val="0"/>
        <w:adjustRightInd w:val="0"/>
        <w:spacing w:before="480" w:after="480"/>
        <w:ind w:left="567" w:hanging="567"/>
        <w:rPr>
          <w:rFonts w:ascii="Arial Black" w:eastAsia="Times New Roman" w:hAnsi="Arial Black" w:cs="Arial"/>
          <w:bCs/>
          <w:kern w:val="28"/>
          <w:sz w:val="24"/>
          <w:szCs w:val="24"/>
          <w:u w:val="single"/>
        </w:rPr>
      </w:pPr>
      <w:r w:rsidRPr="007A1996">
        <w:rPr>
          <w:rFonts w:ascii="Arial Black" w:eastAsia="Times New Roman" w:hAnsi="Arial Black" w:cs="Arial"/>
          <w:bCs/>
          <w:kern w:val="28"/>
          <w:sz w:val="24"/>
          <w:szCs w:val="24"/>
          <w:u w:val="single"/>
        </w:rPr>
        <w:t>Niezawodność</w:t>
      </w:r>
    </w:p>
    <w:p w14:paraId="341030BD" w14:textId="77777777" w:rsidR="006F7413" w:rsidRDefault="006F7413" w:rsidP="006F7413">
      <w:pPr>
        <w:pStyle w:val="Akapitzlist"/>
        <w:spacing w:before="240" w:after="240"/>
        <w:ind w:left="360"/>
        <w:rPr>
          <w:rFonts w:ascii="Arial" w:hAnsi="Arial" w:cs="Arial"/>
        </w:rPr>
      </w:pPr>
    </w:p>
    <w:p w14:paraId="6C2A93BB" w14:textId="77777777" w:rsidR="006F7413" w:rsidRDefault="006F7413" w:rsidP="00AC68D4">
      <w:pPr>
        <w:pStyle w:val="Akapitzlist"/>
        <w:numPr>
          <w:ilvl w:val="0"/>
          <w:numId w:val="20"/>
        </w:numPr>
        <w:spacing w:before="240" w:after="240"/>
        <w:rPr>
          <w:rFonts w:ascii="Arial" w:hAnsi="Arial" w:cs="Arial"/>
        </w:rPr>
      </w:pPr>
      <w:r w:rsidRPr="00176316">
        <w:rPr>
          <w:rFonts w:ascii="Arial" w:hAnsi="Arial" w:cs="Arial"/>
        </w:rPr>
        <w:t>Nazwa</w:t>
      </w:r>
    </w:p>
    <w:p w14:paraId="38725B4E" w14:textId="77777777" w:rsidR="006F7413" w:rsidRDefault="006F7413" w:rsidP="006F7413">
      <w:pPr>
        <w:pStyle w:val="Akapitzlist"/>
        <w:tabs>
          <w:tab w:val="left" w:pos="0"/>
        </w:tabs>
        <w:autoSpaceDE w:val="0"/>
        <w:autoSpaceDN w:val="0"/>
        <w:adjustRightInd w:val="0"/>
        <w:spacing w:after="120"/>
        <w:rPr>
          <w:rFonts w:ascii="Arial" w:eastAsia="Times New Roman" w:hAnsi="Arial" w:cs="Arial"/>
          <w:b/>
          <w:bCs/>
          <w:kern w:val="28"/>
          <w:lang w:eastAsia="pl-PL"/>
        </w:rPr>
      </w:pPr>
      <w:r>
        <w:rPr>
          <w:rFonts w:ascii="Arial" w:eastAsia="Times New Roman" w:hAnsi="Arial" w:cs="Arial"/>
          <w:bCs/>
          <w:kern w:val="28"/>
          <w:lang w:eastAsia="pl-PL"/>
        </w:rPr>
        <w:t>6</w:t>
      </w:r>
      <w:r w:rsidR="00BD7344">
        <w:rPr>
          <w:rFonts w:ascii="Arial" w:eastAsia="Times New Roman" w:hAnsi="Arial" w:cs="Arial"/>
          <w:bCs/>
          <w:kern w:val="28"/>
          <w:lang w:eastAsia="pl-PL"/>
        </w:rPr>
        <w:t xml:space="preserve">) </w:t>
      </w:r>
      <w:r w:rsidRPr="001024F0">
        <w:rPr>
          <w:rFonts w:ascii="Arial" w:eastAsia="Times New Roman" w:hAnsi="Arial" w:cs="Arial"/>
          <w:bCs/>
          <w:kern w:val="28"/>
          <w:lang w:eastAsia="pl-PL"/>
        </w:rPr>
        <w:t>„</w:t>
      </w:r>
      <w:r>
        <w:rPr>
          <w:rFonts w:ascii="Arial" w:eastAsia="Times New Roman" w:hAnsi="Arial" w:cs="Arial"/>
          <w:bCs/>
          <w:kern w:val="28"/>
          <w:lang w:eastAsia="pl-PL"/>
        </w:rPr>
        <w:t>Liczba</w:t>
      </w:r>
      <w:r w:rsidR="008C3725">
        <w:rPr>
          <w:rFonts w:ascii="Arial" w:eastAsia="Times New Roman" w:hAnsi="Arial" w:cs="Arial"/>
          <w:bCs/>
          <w:kern w:val="28"/>
          <w:lang w:eastAsia="pl-PL"/>
        </w:rPr>
        <w:t xml:space="preserve"> awarii na sieci trakcyjnej</w:t>
      </w:r>
      <w:r w:rsidRPr="001024F0">
        <w:rPr>
          <w:rFonts w:ascii="Arial" w:eastAsia="Times New Roman" w:hAnsi="Arial" w:cs="Arial"/>
          <w:bCs/>
          <w:kern w:val="28"/>
          <w:lang w:eastAsia="pl-PL"/>
        </w:rPr>
        <w:t xml:space="preserve">” </w:t>
      </w:r>
      <w:r w:rsidRPr="001024F0">
        <w:rPr>
          <w:rFonts w:ascii="Arial" w:eastAsia="Times New Roman" w:hAnsi="Arial" w:cs="Arial"/>
          <w:b/>
          <w:bCs/>
          <w:kern w:val="28"/>
          <w:lang w:eastAsia="pl-PL"/>
        </w:rPr>
        <w:t xml:space="preserve">Wskaźnik </w:t>
      </w:r>
      <w:r w:rsidR="008C3725">
        <w:rPr>
          <w:rFonts w:ascii="Arial" w:eastAsia="Times New Roman" w:hAnsi="Arial" w:cs="Arial"/>
          <w:b/>
          <w:bCs/>
          <w:kern w:val="28"/>
          <w:lang w:eastAsia="pl-PL"/>
        </w:rPr>
        <w:t>informacyjny</w:t>
      </w:r>
    </w:p>
    <w:p w14:paraId="1625883E" w14:textId="77777777" w:rsidR="008C3725" w:rsidRDefault="008C3725" w:rsidP="008C3725">
      <w:pPr>
        <w:pStyle w:val="Akapitzlist"/>
        <w:tabs>
          <w:tab w:val="left" w:pos="0"/>
        </w:tabs>
        <w:autoSpaceDE w:val="0"/>
        <w:autoSpaceDN w:val="0"/>
        <w:adjustRightInd w:val="0"/>
        <w:spacing w:after="120"/>
        <w:rPr>
          <w:rFonts w:ascii="Arial" w:eastAsia="Times New Roman" w:hAnsi="Arial" w:cs="Arial"/>
          <w:b/>
          <w:bCs/>
          <w:kern w:val="28"/>
          <w:lang w:eastAsia="pl-PL"/>
        </w:rPr>
      </w:pPr>
      <w:r>
        <w:rPr>
          <w:rFonts w:ascii="Arial" w:eastAsia="Times New Roman" w:hAnsi="Arial" w:cs="Arial"/>
          <w:bCs/>
          <w:kern w:val="28"/>
          <w:lang w:eastAsia="pl-PL"/>
        </w:rPr>
        <w:t>7</w:t>
      </w:r>
      <w:r w:rsidRPr="001024F0">
        <w:rPr>
          <w:rFonts w:ascii="Arial" w:eastAsia="Times New Roman" w:hAnsi="Arial" w:cs="Arial"/>
          <w:bCs/>
          <w:kern w:val="28"/>
          <w:lang w:eastAsia="pl-PL"/>
        </w:rPr>
        <w:t>) „</w:t>
      </w:r>
      <w:r>
        <w:rPr>
          <w:rFonts w:ascii="Arial" w:eastAsia="Times New Roman" w:hAnsi="Arial" w:cs="Arial"/>
          <w:bCs/>
          <w:kern w:val="28"/>
          <w:lang w:eastAsia="pl-PL"/>
        </w:rPr>
        <w:t xml:space="preserve">Liczba awarii urządzeń sterowania ruchem kolejowym </w:t>
      </w:r>
      <w:r w:rsidRPr="001024F0">
        <w:rPr>
          <w:rFonts w:ascii="Arial" w:eastAsia="Times New Roman" w:hAnsi="Arial" w:cs="Arial"/>
          <w:bCs/>
          <w:kern w:val="28"/>
          <w:lang w:eastAsia="pl-PL"/>
        </w:rPr>
        <w:t xml:space="preserve">” </w:t>
      </w:r>
      <w:r w:rsidRPr="001024F0">
        <w:rPr>
          <w:rFonts w:ascii="Arial" w:eastAsia="Times New Roman" w:hAnsi="Arial" w:cs="Arial"/>
          <w:b/>
          <w:bCs/>
          <w:kern w:val="28"/>
          <w:lang w:eastAsia="pl-PL"/>
        </w:rPr>
        <w:t xml:space="preserve">Wskaźnik </w:t>
      </w:r>
      <w:r>
        <w:rPr>
          <w:rFonts w:ascii="Arial" w:eastAsia="Times New Roman" w:hAnsi="Arial" w:cs="Arial"/>
          <w:b/>
          <w:bCs/>
          <w:kern w:val="28"/>
          <w:lang w:eastAsia="pl-PL"/>
        </w:rPr>
        <w:t>informacyjny</w:t>
      </w:r>
    </w:p>
    <w:p w14:paraId="38E8823F" w14:textId="3CF50E8A" w:rsidR="008C3725" w:rsidRDefault="008C3725" w:rsidP="008C3725">
      <w:pPr>
        <w:pStyle w:val="Akapitzlist"/>
        <w:tabs>
          <w:tab w:val="left" w:pos="0"/>
        </w:tabs>
        <w:autoSpaceDE w:val="0"/>
        <w:autoSpaceDN w:val="0"/>
        <w:adjustRightInd w:val="0"/>
        <w:spacing w:after="120"/>
        <w:rPr>
          <w:rFonts w:ascii="Arial" w:eastAsia="Times New Roman" w:hAnsi="Arial" w:cs="Arial"/>
          <w:b/>
          <w:bCs/>
          <w:kern w:val="28"/>
          <w:lang w:eastAsia="pl-PL"/>
        </w:rPr>
      </w:pPr>
      <w:r>
        <w:rPr>
          <w:rFonts w:ascii="Arial" w:eastAsia="Times New Roman" w:hAnsi="Arial" w:cs="Arial"/>
          <w:bCs/>
          <w:kern w:val="28"/>
          <w:lang w:eastAsia="pl-PL"/>
        </w:rPr>
        <w:t>8</w:t>
      </w:r>
      <w:r w:rsidRPr="001024F0">
        <w:rPr>
          <w:rFonts w:ascii="Arial" w:eastAsia="Times New Roman" w:hAnsi="Arial" w:cs="Arial"/>
          <w:bCs/>
          <w:kern w:val="28"/>
          <w:lang w:eastAsia="pl-PL"/>
        </w:rPr>
        <w:t>) „</w:t>
      </w:r>
      <w:r>
        <w:rPr>
          <w:rFonts w:ascii="Arial" w:eastAsia="Times New Roman" w:hAnsi="Arial" w:cs="Arial"/>
          <w:bCs/>
          <w:kern w:val="28"/>
          <w:lang w:eastAsia="pl-PL"/>
        </w:rPr>
        <w:t>Wartość syn</w:t>
      </w:r>
      <w:r w:rsidR="00352B57">
        <w:rPr>
          <w:rFonts w:ascii="Arial" w:eastAsia="Times New Roman" w:hAnsi="Arial" w:cs="Arial"/>
          <w:bCs/>
          <w:kern w:val="28"/>
          <w:lang w:eastAsia="pl-PL"/>
        </w:rPr>
        <w:t>tetycznego wskaźnika oceny stanu</w:t>
      </w:r>
      <w:r>
        <w:rPr>
          <w:rFonts w:ascii="Arial" w:eastAsia="Times New Roman" w:hAnsi="Arial" w:cs="Arial"/>
          <w:bCs/>
          <w:kern w:val="28"/>
          <w:lang w:eastAsia="pl-PL"/>
        </w:rPr>
        <w:t xml:space="preserve"> toru „J” </w:t>
      </w:r>
      <w:r w:rsidRPr="001024F0">
        <w:rPr>
          <w:rFonts w:ascii="Arial" w:eastAsia="Times New Roman" w:hAnsi="Arial" w:cs="Arial"/>
          <w:bCs/>
          <w:kern w:val="28"/>
          <w:lang w:eastAsia="pl-PL"/>
        </w:rPr>
        <w:t xml:space="preserve">” </w:t>
      </w:r>
      <w:r w:rsidRPr="001024F0">
        <w:rPr>
          <w:rFonts w:ascii="Arial" w:eastAsia="Times New Roman" w:hAnsi="Arial" w:cs="Arial"/>
          <w:b/>
          <w:bCs/>
          <w:kern w:val="28"/>
          <w:lang w:eastAsia="pl-PL"/>
        </w:rPr>
        <w:t xml:space="preserve">Wskaźnik </w:t>
      </w:r>
      <w:r w:rsidR="00BD7344">
        <w:rPr>
          <w:rFonts w:ascii="Arial" w:eastAsia="Times New Roman" w:hAnsi="Arial" w:cs="Arial"/>
          <w:b/>
          <w:bCs/>
          <w:kern w:val="28"/>
          <w:lang w:eastAsia="pl-PL"/>
        </w:rPr>
        <w:t>obligatoryjny</w:t>
      </w:r>
    </w:p>
    <w:p w14:paraId="4AD98EEA" w14:textId="77777777" w:rsidR="008C3725" w:rsidRDefault="008C3725" w:rsidP="006F7413">
      <w:pPr>
        <w:pStyle w:val="Akapitzlist"/>
        <w:tabs>
          <w:tab w:val="left" w:pos="0"/>
        </w:tabs>
        <w:autoSpaceDE w:val="0"/>
        <w:autoSpaceDN w:val="0"/>
        <w:adjustRightInd w:val="0"/>
        <w:spacing w:after="120"/>
        <w:rPr>
          <w:rFonts w:ascii="Arial" w:eastAsia="Times New Roman" w:hAnsi="Arial" w:cs="Arial"/>
          <w:b/>
          <w:bCs/>
          <w:kern w:val="28"/>
          <w:lang w:eastAsia="pl-PL"/>
        </w:rPr>
      </w:pPr>
    </w:p>
    <w:p w14:paraId="174C93A8" w14:textId="77777777" w:rsidR="006F7413" w:rsidRDefault="008C3725" w:rsidP="00AC68D4">
      <w:pPr>
        <w:pStyle w:val="Akapitzlist"/>
        <w:numPr>
          <w:ilvl w:val="0"/>
          <w:numId w:val="20"/>
        </w:numPr>
        <w:spacing w:before="240" w:after="240"/>
        <w:rPr>
          <w:rFonts w:ascii="Arial" w:hAnsi="Arial" w:cs="Arial"/>
        </w:rPr>
      </w:pPr>
      <w:r>
        <w:rPr>
          <w:rFonts w:ascii="Arial" w:hAnsi="Arial" w:cs="Arial"/>
        </w:rPr>
        <w:t>Definicja</w:t>
      </w:r>
    </w:p>
    <w:p w14:paraId="6FC9560A" w14:textId="77777777" w:rsidR="008C3725" w:rsidRDefault="008C3725" w:rsidP="00AC68D4">
      <w:pPr>
        <w:pStyle w:val="Akapitzlist"/>
        <w:numPr>
          <w:ilvl w:val="1"/>
          <w:numId w:val="20"/>
        </w:numPr>
        <w:rPr>
          <w:rFonts w:ascii="Arial" w:hAnsi="Arial" w:cs="Arial"/>
          <w:bCs/>
        </w:rPr>
      </w:pPr>
      <w:r>
        <w:rPr>
          <w:rFonts w:ascii="Arial" w:hAnsi="Arial" w:cs="Arial"/>
          <w:bCs/>
        </w:rPr>
        <w:t>Sieć trakcyjna - W</w:t>
      </w:r>
      <w:r w:rsidRPr="00F420AC">
        <w:rPr>
          <w:rFonts w:ascii="Arial" w:hAnsi="Arial" w:cs="Arial"/>
          <w:bCs/>
        </w:rPr>
        <w:t xml:space="preserve">skaźnik oceny stanu technicznego stanowić będzie liczba </w:t>
      </w:r>
      <w:r>
        <w:rPr>
          <w:rFonts w:ascii="Arial" w:hAnsi="Arial" w:cs="Arial"/>
          <w:bCs/>
        </w:rPr>
        <w:t>awarii</w:t>
      </w:r>
      <w:r w:rsidRPr="00F420AC">
        <w:rPr>
          <w:rFonts w:ascii="Arial" w:hAnsi="Arial" w:cs="Arial"/>
          <w:bCs/>
        </w:rPr>
        <w:t xml:space="preserve"> sieci trakcyjnej powodującą opóźnienia lub odwołania pociągów na linii kolejowej</w:t>
      </w:r>
      <w:r>
        <w:rPr>
          <w:rFonts w:ascii="Arial" w:hAnsi="Arial" w:cs="Arial"/>
          <w:bCs/>
        </w:rPr>
        <w:t xml:space="preserve"> nr 250</w:t>
      </w:r>
      <w:r w:rsidRPr="00F420AC">
        <w:rPr>
          <w:rFonts w:ascii="Arial" w:hAnsi="Arial" w:cs="Arial"/>
          <w:bCs/>
        </w:rPr>
        <w:t xml:space="preserve">. </w:t>
      </w:r>
      <w:r>
        <w:rPr>
          <w:rFonts w:ascii="Arial" w:hAnsi="Arial" w:cs="Arial"/>
          <w:bCs/>
        </w:rPr>
        <w:t xml:space="preserve">Do liczby awarii nie wlicza się zdarzeń wynikających z zaniku napięcia w sieci trakcyjnej. </w:t>
      </w:r>
      <w:r w:rsidRPr="00F420AC">
        <w:rPr>
          <w:rFonts w:ascii="Arial" w:hAnsi="Arial" w:cs="Arial"/>
          <w:bCs/>
        </w:rPr>
        <w:t xml:space="preserve">Za warunek spełniony ustala się liczbę usterek w ilości mniejszej bądź równej </w:t>
      </w:r>
      <w:r>
        <w:rPr>
          <w:rFonts w:ascii="Arial" w:hAnsi="Arial" w:cs="Arial"/>
          <w:bCs/>
        </w:rPr>
        <w:t>określonej w tabeli ilości usterek w poszczególnych latach.</w:t>
      </w:r>
    </w:p>
    <w:p w14:paraId="19F6BED0" w14:textId="02656AFB" w:rsidR="008C3725" w:rsidRPr="008C3725" w:rsidRDefault="008C3725" w:rsidP="00AC68D4">
      <w:pPr>
        <w:pStyle w:val="Akapitzlist"/>
        <w:numPr>
          <w:ilvl w:val="1"/>
          <w:numId w:val="20"/>
        </w:numPr>
      </w:pPr>
      <w:r w:rsidRPr="00BD7344">
        <w:rPr>
          <w:rFonts w:ascii="Arial" w:hAnsi="Arial" w:cs="Arial"/>
          <w:bCs/>
        </w:rPr>
        <w:t xml:space="preserve">Urządzenia srk - </w:t>
      </w:r>
      <w:r w:rsidRPr="00F420AC">
        <w:rPr>
          <w:rFonts w:ascii="Arial" w:hAnsi="Arial" w:cs="Arial"/>
          <w:bCs/>
        </w:rPr>
        <w:t xml:space="preserve">wskaźnik oceny stanu technicznego stanowić będzie liczba usterek urządzeń srk </w:t>
      </w:r>
      <w:r>
        <w:rPr>
          <w:rFonts w:ascii="Arial" w:hAnsi="Arial" w:cs="Arial"/>
          <w:bCs/>
        </w:rPr>
        <w:t>odnotowanych w książce kontroli urządzeń srk E-1758.</w:t>
      </w:r>
      <w:r w:rsidRPr="00F420AC">
        <w:rPr>
          <w:rFonts w:ascii="Arial" w:hAnsi="Arial" w:cs="Arial"/>
          <w:bCs/>
        </w:rPr>
        <w:t xml:space="preserve"> Za warunek spełniony ustala się liczbę usterek w ilości mniejszej bądź równej </w:t>
      </w:r>
      <w:r>
        <w:rPr>
          <w:rFonts w:ascii="Arial" w:hAnsi="Arial" w:cs="Arial"/>
          <w:bCs/>
        </w:rPr>
        <w:t xml:space="preserve">określonej w tabeli ilości usterek </w:t>
      </w:r>
      <w:r w:rsidR="004033A5">
        <w:rPr>
          <w:rFonts w:ascii="Arial" w:hAnsi="Arial" w:cs="Arial"/>
          <w:bCs/>
        </w:rPr>
        <w:br/>
      </w:r>
      <w:r>
        <w:rPr>
          <w:rFonts w:ascii="Arial" w:hAnsi="Arial" w:cs="Arial"/>
          <w:bCs/>
        </w:rPr>
        <w:t>w poszczególnych latach.</w:t>
      </w:r>
    </w:p>
    <w:p w14:paraId="2A02EABC" w14:textId="48A5CC4C" w:rsidR="008C3725" w:rsidRPr="00470FB2" w:rsidRDefault="008C3725" w:rsidP="00AC68D4">
      <w:pPr>
        <w:pStyle w:val="Akapitzlist"/>
        <w:numPr>
          <w:ilvl w:val="1"/>
          <w:numId w:val="20"/>
        </w:numPr>
      </w:pPr>
      <w:r w:rsidRPr="00F420AC">
        <w:rPr>
          <w:rFonts w:ascii="Arial" w:hAnsi="Arial" w:cs="Arial"/>
          <w:bCs/>
        </w:rPr>
        <w:t xml:space="preserve">wskaźnik syntetyczny stanu toru kolejowego „J”. Wskaźnik ten w sposób obiektywny przedstawia stan techniczny nawierzchni torowej pod kątem geometrii osi toru. Za spełnienie warunku właściwego utrzymania ustala się, że Wskaźnik „J” </w:t>
      </w:r>
      <w:r>
        <w:rPr>
          <w:rFonts w:ascii="Arial" w:hAnsi="Arial" w:cs="Arial"/>
          <w:bCs/>
        </w:rPr>
        <w:t>w kolejnych latach obowiązywania umowy osiągać będzie określone</w:t>
      </w:r>
      <w:r w:rsidR="00DA1918">
        <w:rPr>
          <w:rFonts w:ascii="Arial" w:hAnsi="Arial" w:cs="Arial"/>
          <w:bCs/>
        </w:rPr>
        <w:t>,</w:t>
      </w:r>
      <w:r>
        <w:rPr>
          <w:rFonts w:ascii="Arial" w:hAnsi="Arial" w:cs="Arial"/>
          <w:bCs/>
        </w:rPr>
        <w:t xml:space="preserve"> </w:t>
      </w:r>
      <w:r w:rsidR="00DA1918">
        <w:rPr>
          <w:rFonts w:ascii="Arial" w:hAnsi="Arial" w:cs="Arial"/>
          <w:bCs/>
        </w:rPr>
        <w:t xml:space="preserve">maksymalne </w:t>
      </w:r>
      <w:r>
        <w:rPr>
          <w:rFonts w:ascii="Arial" w:hAnsi="Arial" w:cs="Arial"/>
          <w:bCs/>
        </w:rPr>
        <w:t>wartości</w:t>
      </w:r>
      <w:r w:rsidRPr="00F420AC">
        <w:rPr>
          <w:rFonts w:ascii="Arial" w:hAnsi="Arial" w:cs="Arial"/>
          <w:bCs/>
        </w:rPr>
        <w:t xml:space="preserve">. Wskaźnik „J” </w:t>
      </w:r>
      <w:r w:rsidR="004033A5">
        <w:rPr>
          <w:rFonts w:ascii="Arial" w:hAnsi="Arial" w:cs="Arial"/>
          <w:bCs/>
        </w:rPr>
        <w:br/>
      </w:r>
      <w:r w:rsidRPr="00F420AC">
        <w:rPr>
          <w:rFonts w:ascii="Arial" w:hAnsi="Arial" w:cs="Arial"/>
          <w:bCs/>
        </w:rPr>
        <w:t>w każdym roku trwania umowy będzie obliczany przez komputer diagnostyczny po przejeździe drezyny pomiarowej PKP PLK S.A.</w:t>
      </w:r>
      <w:r>
        <w:rPr>
          <w:rFonts w:ascii="Arial" w:hAnsi="Arial" w:cs="Arial"/>
          <w:bCs/>
        </w:rPr>
        <w:t xml:space="preserve"> Wskaźnik obliczany jest z dokładnością</w:t>
      </w:r>
      <w:r w:rsidR="003F5458">
        <w:rPr>
          <w:rFonts w:ascii="Arial" w:hAnsi="Arial" w:cs="Arial"/>
          <w:bCs/>
        </w:rPr>
        <w:t xml:space="preserve"> </w:t>
      </w:r>
      <w:r w:rsidR="004033A5">
        <w:rPr>
          <w:rFonts w:ascii="Arial" w:hAnsi="Arial" w:cs="Arial"/>
          <w:bCs/>
        </w:rPr>
        <w:br/>
      </w:r>
      <w:r w:rsidR="003F5458">
        <w:rPr>
          <w:rFonts w:ascii="Arial" w:hAnsi="Arial" w:cs="Arial"/>
          <w:bCs/>
        </w:rPr>
        <w:t>do 0,1, według wzoru:</w:t>
      </w:r>
    </w:p>
    <w:p w14:paraId="4CF3F87A" w14:textId="77777777" w:rsidR="00470FB2" w:rsidRPr="003F5458" w:rsidRDefault="00470FB2" w:rsidP="00470FB2">
      <w:pPr>
        <w:pStyle w:val="Akapitzlist"/>
        <w:ind w:left="360"/>
        <w:rPr>
          <w:rFonts w:ascii="Arial" w:hAnsi="Arial" w:cs="Arial"/>
        </w:rPr>
      </w:pPr>
    </w:p>
    <w:p w14:paraId="4690336A" w14:textId="77777777" w:rsidR="00C073BE" w:rsidRPr="00C073BE" w:rsidRDefault="00C073BE" w:rsidP="00C073BE">
      <w:pPr>
        <w:suppressAutoHyphens/>
        <w:autoSpaceDN w:val="0"/>
        <w:spacing w:before="0"/>
        <w:jc w:val="center"/>
        <w:rPr>
          <w:rFonts w:ascii="Arial" w:eastAsia="SimSun" w:hAnsi="Arial" w:cs="Arial"/>
          <w:kern w:val="3"/>
          <w:lang w:eastAsia="zh-CN" w:bidi="hi-IN"/>
        </w:rPr>
      </w:pPr>
      <m:oMath>
        <m:r>
          <w:rPr>
            <w:rFonts w:ascii="Cambria Math" w:eastAsia="SimSun" w:hAnsi="Cambria Math" w:cs="Arial"/>
            <w:kern w:val="3"/>
            <w:lang w:val="en-US" w:eastAsia="zh-CN" w:bidi="hi-IN"/>
          </w:rPr>
          <m:t>J</m:t>
        </m:r>
        <m:r>
          <w:rPr>
            <w:rFonts w:ascii="Cambria Math" w:eastAsia="SimSun" w:hAnsi="Cambria Math" w:cs="Arial"/>
            <w:kern w:val="3"/>
            <w:lang w:eastAsia="zh-CN" w:bidi="hi-IN"/>
          </w:rPr>
          <m:t xml:space="preserve">= </m:t>
        </m:r>
        <m:f>
          <m:fPr>
            <m:ctrlPr>
              <w:rPr>
                <w:rFonts w:ascii="Cambria Math" w:eastAsia="SimSun" w:hAnsi="Cambria Math" w:cs="Arial"/>
                <w:i/>
                <w:kern w:val="3"/>
                <w:lang w:val="en-US" w:eastAsia="zh-CN" w:bidi="hi-IN"/>
              </w:rPr>
            </m:ctrlPr>
          </m:fPr>
          <m:num>
            <m:sSub>
              <m:sSubPr>
                <m:ctrlPr>
                  <w:rPr>
                    <w:rFonts w:ascii="Cambria Math" w:eastAsia="SimSun" w:hAnsi="Cambria Math" w:cs="Arial"/>
                    <w:i/>
                    <w:kern w:val="3"/>
                    <w:lang w:val="en-US" w:eastAsia="zh-CN" w:bidi="hi-IN"/>
                  </w:rPr>
                </m:ctrlPr>
              </m:sSubPr>
              <m:e>
                <m:r>
                  <w:rPr>
                    <w:rFonts w:ascii="Cambria Math" w:eastAsia="SimSun" w:hAnsi="Cambria Math" w:cs="Arial"/>
                    <w:kern w:val="3"/>
                    <w:lang w:val="en-US" w:eastAsia="zh-CN" w:bidi="hi-IN"/>
                  </w:rPr>
                  <m:t>S</m:t>
                </m:r>
              </m:e>
              <m:sub>
                <m:r>
                  <w:rPr>
                    <w:rFonts w:ascii="Cambria Math" w:eastAsia="SimSun" w:hAnsi="Cambria Math" w:cs="Arial"/>
                    <w:kern w:val="3"/>
                    <w:lang w:val="en-US" w:eastAsia="zh-CN" w:bidi="hi-IN"/>
                  </w:rPr>
                  <m:t>z</m:t>
                </m:r>
              </m:sub>
            </m:sSub>
            <m:r>
              <w:rPr>
                <w:rFonts w:ascii="Cambria Math" w:eastAsia="SimSun" w:hAnsi="Cambria Math" w:cs="Arial"/>
                <w:kern w:val="3"/>
                <w:lang w:eastAsia="zh-CN" w:bidi="hi-IN"/>
              </w:rPr>
              <m:t>+</m:t>
            </m:r>
            <m:sSub>
              <m:sSubPr>
                <m:ctrlPr>
                  <w:rPr>
                    <w:rFonts w:ascii="Cambria Math" w:eastAsia="SimSun" w:hAnsi="Cambria Math" w:cs="Arial"/>
                    <w:i/>
                    <w:kern w:val="3"/>
                    <w:lang w:val="en-US" w:eastAsia="zh-CN" w:bidi="hi-IN"/>
                  </w:rPr>
                </m:ctrlPr>
              </m:sSubPr>
              <m:e>
                <m:r>
                  <w:rPr>
                    <w:rFonts w:ascii="Cambria Math" w:eastAsia="SimSun" w:hAnsi="Cambria Math" w:cs="Arial"/>
                    <w:kern w:val="3"/>
                    <w:lang w:val="en-US" w:eastAsia="zh-CN" w:bidi="hi-IN"/>
                  </w:rPr>
                  <m:t>S</m:t>
                </m:r>
              </m:e>
              <m:sub>
                <m:r>
                  <w:rPr>
                    <w:rFonts w:ascii="Cambria Math" w:eastAsia="SimSun" w:hAnsi="Cambria Math" w:cs="Arial"/>
                    <w:kern w:val="3"/>
                    <w:lang w:val="en-US" w:eastAsia="zh-CN" w:bidi="hi-IN"/>
                  </w:rPr>
                  <m:t>y</m:t>
                </m:r>
              </m:sub>
            </m:sSub>
            <m:r>
              <w:rPr>
                <w:rFonts w:ascii="Cambria Math" w:eastAsia="SimSun" w:hAnsi="Cambria Math" w:cs="Arial"/>
                <w:kern w:val="3"/>
                <w:lang w:eastAsia="zh-CN" w:bidi="hi-IN"/>
              </w:rPr>
              <m:t>+</m:t>
            </m:r>
            <m:sSub>
              <m:sSubPr>
                <m:ctrlPr>
                  <w:rPr>
                    <w:rFonts w:ascii="Cambria Math" w:eastAsia="SimSun" w:hAnsi="Cambria Math" w:cs="Arial"/>
                    <w:i/>
                    <w:kern w:val="3"/>
                    <w:lang w:val="en-US" w:eastAsia="zh-CN" w:bidi="hi-IN"/>
                  </w:rPr>
                </m:ctrlPr>
              </m:sSubPr>
              <m:e>
                <m:r>
                  <w:rPr>
                    <w:rFonts w:ascii="Cambria Math" w:eastAsia="SimSun" w:hAnsi="Cambria Math" w:cs="Arial"/>
                    <w:kern w:val="3"/>
                    <w:lang w:val="en-US" w:eastAsia="zh-CN" w:bidi="hi-IN"/>
                  </w:rPr>
                  <m:t>S</m:t>
                </m:r>
              </m:e>
              <m:sub>
                <m:r>
                  <w:rPr>
                    <w:rFonts w:ascii="Cambria Math" w:eastAsia="SimSun" w:hAnsi="Cambria Math" w:cs="Arial"/>
                    <w:kern w:val="3"/>
                    <w:lang w:val="en-US" w:eastAsia="zh-CN" w:bidi="hi-IN"/>
                  </w:rPr>
                  <m:t>w</m:t>
                </m:r>
              </m:sub>
            </m:sSub>
            <m:r>
              <w:rPr>
                <w:rFonts w:ascii="Cambria Math" w:eastAsia="SimSun" w:hAnsi="Cambria Math" w:cs="Arial"/>
                <w:kern w:val="3"/>
                <w:lang w:eastAsia="zh-CN" w:bidi="hi-IN"/>
              </w:rPr>
              <m:t>+0,5</m:t>
            </m:r>
            <m:sSub>
              <m:sSubPr>
                <m:ctrlPr>
                  <w:rPr>
                    <w:rFonts w:ascii="Cambria Math" w:eastAsia="SimSun" w:hAnsi="Cambria Math" w:cs="Arial"/>
                    <w:i/>
                    <w:kern w:val="3"/>
                    <w:lang w:val="en-US" w:eastAsia="zh-CN" w:bidi="hi-IN"/>
                  </w:rPr>
                </m:ctrlPr>
              </m:sSubPr>
              <m:e>
                <m:r>
                  <w:rPr>
                    <w:rFonts w:ascii="Cambria Math" w:eastAsia="SimSun" w:hAnsi="Cambria Math" w:cs="Arial"/>
                    <w:kern w:val="3"/>
                    <w:lang w:val="en-US" w:eastAsia="zh-CN" w:bidi="hi-IN"/>
                  </w:rPr>
                  <m:t>S</m:t>
                </m:r>
              </m:e>
              <m:sub>
                <m:r>
                  <w:rPr>
                    <w:rFonts w:ascii="Cambria Math" w:eastAsia="SimSun" w:hAnsi="Cambria Math" w:cs="Arial"/>
                    <w:kern w:val="3"/>
                    <w:lang w:val="en-US" w:eastAsia="zh-CN" w:bidi="hi-IN"/>
                  </w:rPr>
                  <m:t>e</m:t>
                </m:r>
              </m:sub>
            </m:sSub>
          </m:num>
          <m:den>
            <m:r>
              <w:rPr>
                <w:rFonts w:ascii="Cambria Math" w:eastAsia="SimSun" w:hAnsi="Cambria Math" w:cs="Arial"/>
                <w:kern w:val="3"/>
                <w:lang w:eastAsia="zh-CN" w:bidi="hi-IN"/>
              </w:rPr>
              <m:t>3,5</m:t>
            </m:r>
          </m:den>
        </m:f>
      </m:oMath>
      <w:r w:rsidRPr="00C073BE">
        <w:rPr>
          <w:rFonts w:ascii="Arial" w:eastAsia="SimSun" w:hAnsi="Arial" w:cs="Arial"/>
          <w:kern w:val="3"/>
          <w:lang w:eastAsia="zh-CN" w:bidi="hi-IN"/>
        </w:rPr>
        <w:t xml:space="preserve"> , gdzie</w:t>
      </w:r>
    </w:p>
    <w:p w14:paraId="25115435" w14:textId="77777777" w:rsidR="00C073BE" w:rsidRPr="00C073BE" w:rsidRDefault="00C073BE" w:rsidP="00C073BE">
      <w:pPr>
        <w:suppressAutoHyphens/>
        <w:autoSpaceDN w:val="0"/>
        <w:spacing w:before="0"/>
        <w:ind w:left="709"/>
        <w:rPr>
          <w:rFonts w:ascii="Arial" w:eastAsia="SimSun" w:hAnsi="Arial" w:cs="Arial"/>
          <w:kern w:val="3"/>
          <w:lang w:eastAsia="zh-CN" w:bidi="hi-IN"/>
        </w:rPr>
      </w:pPr>
      <w:proofErr w:type="spellStart"/>
      <w:r w:rsidRPr="00C073BE">
        <w:rPr>
          <w:rFonts w:ascii="Arial" w:eastAsia="SimSun" w:hAnsi="Arial" w:cs="Arial"/>
          <w:kern w:val="3"/>
          <w:lang w:eastAsia="zh-CN" w:bidi="hi-IN"/>
        </w:rPr>
        <w:lastRenderedPageBreak/>
        <w:t>S</w:t>
      </w:r>
      <w:r w:rsidRPr="00C073BE">
        <w:rPr>
          <w:rFonts w:ascii="Arial" w:eastAsia="SimSun" w:hAnsi="Arial" w:cs="Arial"/>
          <w:kern w:val="3"/>
          <w:vertAlign w:val="subscript"/>
          <w:lang w:eastAsia="zh-CN" w:bidi="hi-IN"/>
        </w:rPr>
        <w:t>z</w:t>
      </w:r>
      <w:proofErr w:type="spellEnd"/>
      <w:r w:rsidRPr="00C073BE">
        <w:rPr>
          <w:rFonts w:ascii="Arial" w:eastAsia="SimSun" w:hAnsi="Arial" w:cs="Arial"/>
          <w:kern w:val="3"/>
          <w:lang w:eastAsia="zh-CN" w:bidi="hi-IN"/>
        </w:rPr>
        <w:t xml:space="preserve"> – odchylenie standardowe nierówności pionowych,</w:t>
      </w:r>
    </w:p>
    <w:p w14:paraId="24D841E8" w14:textId="77777777" w:rsidR="00C073BE" w:rsidRPr="00C073BE" w:rsidRDefault="00C073BE" w:rsidP="00C073BE">
      <w:pPr>
        <w:suppressAutoHyphens/>
        <w:autoSpaceDN w:val="0"/>
        <w:spacing w:before="0"/>
        <w:ind w:left="709"/>
        <w:rPr>
          <w:rFonts w:ascii="Arial" w:eastAsia="SimSun" w:hAnsi="Arial" w:cs="Arial"/>
          <w:kern w:val="3"/>
          <w:lang w:eastAsia="zh-CN" w:bidi="hi-IN"/>
        </w:rPr>
      </w:pPr>
      <w:proofErr w:type="spellStart"/>
      <w:r w:rsidRPr="00C073BE">
        <w:rPr>
          <w:rFonts w:ascii="Arial" w:eastAsia="SimSun" w:hAnsi="Arial" w:cs="Arial"/>
          <w:kern w:val="3"/>
          <w:lang w:eastAsia="zh-CN" w:bidi="hi-IN"/>
        </w:rPr>
        <w:t>S</w:t>
      </w:r>
      <w:r w:rsidRPr="00C073BE">
        <w:rPr>
          <w:rFonts w:ascii="Arial" w:eastAsia="SimSun" w:hAnsi="Arial" w:cs="Arial"/>
          <w:kern w:val="3"/>
          <w:vertAlign w:val="subscript"/>
          <w:lang w:eastAsia="zh-CN" w:bidi="hi-IN"/>
        </w:rPr>
        <w:t>y</w:t>
      </w:r>
      <w:proofErr w:type="spellEnd"/>
      <w:r w:rsidRPr="00C073BE">
        <w:rPr>
          <w:rFonts w:ascii="Arial" w:eastAsia="SimSun" w:hAnsi="Arial" w:cs="Arial"/>
          <w:kern w:val="3"/>
          <w:lang w:eastAsia="zh-CN" w:bidi="hi-IN"/>
        </w:rPr>
        <w:t xml:space="preserve"> – odchylenie standardowe nierówności poziomych,</w:t>
      </w:r>
    </w:p>
    <w:p w14:paraId="17653428" w14:textId="77777777" w:rsidR="00C073BE" w:rsidRPr="00C073BE" w:rsidRDefault="00C073BE" w:rsidP="00C073BE">
      <w:pPr>
        <w:suppressAutoHyphens/>
        <w:autoSpaceDN w:val="0"/>
        <w:spacing w:before="0"/>
        <w:ind w:left="709"/>
        <w:rPr>
          <w:rFonts w:ascii="Arial" w:eastAsia="SimSun" w:hAnsi="Arial" w:cs="Arial"/>
          <w:kern w:val="3"/>
          <w:lang w:eastAsia="zh-CN" w:bidi="hi-IN"/>
        </w:rPr>
      </w:pPr>
      <w:proofErr w:type="spellStart"/>
      <w:r w:rsidRPr="00C073BE">
        <w:rPr>
          <w:rFonts w:ascii="Arial" w:eastAsia="SimSun" w:hAnsi="Arial" w:cs="Arial"/>
          <w:kern w:val="3"/>
          <w:lang w:eastAsia="zh-CN" w:bidi="hi-IN"/>
        </w:rPr>
        <w:t>S</w:t>
      </w:r>
      <w:r w:rsidRPr="00C073BE">
        <w:rPr>
          <w:rFonts w:ascii="Arial" w:eastAsia="SimSun" w:hAnsi="Arial" w:cs="Arial"/>
          <w:kern w:val="3"/>
          <w:vertAlign w:val="subscript"/>
          <w:lang w:eastAsia="zh-CN" w:bidi="hi-IN"/>
        </w:rPr>
        <w:t>w</w:t>
      </w:r>
      <w:proofErr w:type="spellEnd"/>
      <w:r w:rsidRPr="00C073BE">
        <w:rPr>
          <w:rFonts w:ascii="Arial" w:eastAsia="SimSun" w:hAnsi="Arial" w:cs="Arial"/>
          <w:kern w:val="3"/>
          <w:lang w:eastAsia="zh-CN" w:bidi="hi-IN"/>
        </w:rPr>
        <w:t xml:space="preserve"> – odchylenie standardowe wichrowatości toru,</w:t>
      </w:r>
    </w:p>
    <w:p w14:paraId="208E91F7" w14:textId="77777777" w:rsidR="00C073BE" w:rsidRPr="00C073BE" w:rsidRDefault="00C073BE" w:rsidP="00C073BE">
      <w:pPr>
        <w:suppressAutoHyphens/>
        <w:autoSpaceDN w:val="0"/>
        <w:spacing w:before="0"/>
        <w:ind w:left="709"/>
        <w:rPr>
          <w:rFonts w:ascii="Arial" w:eastAsia="SimSun" w:hAnsi="Arial" w:cs="Arial"/>
          <w:kern w:val="3"/>
          <w:lang w:eastAsia="zh-CN" w:bidi="hi-IN"/>
        </w:rPr>
      </w:pPr>
      <w:r w:rsidRPr="00C073BE">
        <w:rPr>
          <w:rFonts w:ascii="Arial" w:eastAsia="SimSun" w:hAnsi="Arial" w:cs="Arial"/>
          <w:kern w:val="3"/>
          <w:lang w:eastAsia="zh-CN" w:bidi="hi-IN"/>
        </w:rPr>
        <w:t>S</w:t>
      </w:r>
      <w:r w:rsidRPr="00C073BE">
        <w:rPr>
          <w:rFonts w:ascii="Arial" w:eastAsia="SimSun" w:hAnsi="Arial" w:cs="Arial"/>
          <w:kern w:val="3"/>
          <w:vertAlign w:val="subscript"/>
          <w:lang w:eastAsia="zh-CN" w:bidi="hi-IN"/>
        </w:rPr>
        <w:t>e</w:t>
      </w:r>
      <w:r w:rsidRPr="00C073BE">
        <w:rPr>
          <w:rFonts w:ascii="Arial" w:eastAsia="SimSun" w:hAnsi="Arial" w:cs="Arial"/>
          <w:kern w:val="3"/>
          <w:lang w:eastAsia="zh-CN" w:bidi="hi-IN"/>
        </w:rPr>
        <w:t xml:space="preserve"> – odchylenie standardowe szerokości toru,</w:t>
      </w:r>
    </w:p>
    <w:p w14:paraId="18826362" w14:textId="77777777" w:rsidR="00C073BE" w:rsidRPr="00C073BE" w:rsidRDefault="00C073BE" w:rsidP="00C073BE">
      <w:pPr>
        <w:suppressAutoHyphens/>
        <w:autoSpaceDN w:val="0"/>
        <w:spacing w:before="0"/>
        <w:rPr>
          <w:rFonts w:ascii="Arial" w:eastAsia="SimSun" w:hAnsi="Arial" w:cs="Arial"/>
          <w:kern w:val="3"/>
          <w:lang w:eastAsia="zh-CN" w:bidi="hi-IN"/>
        </w:rPr>
      </w:pPr>
    </w:p>
    <w:p w14:paraId="5D2B7859" w14:textId="77777777" w:rsidR="00C073BE" w:rsidRPr="00C073BE" w:rsidRDefault="00C073BE" w:rsidP="00C073BE">
      <w:pPr>
        <w:suppressAutoHyphens/>
        <w:autoSpaceDN w:val="0"/>
        <w:spacing w:before="0"/>
        <w:ind w:firstLine="709"/>
        <w:rPr>
          <w:rFonts w:ascii="Arial" w:eastAsia="SimSun" w:hAnsi="Arial" w:cs="Arial"/>
          <w:kern w:val="3"/>
          <w:lang w:eastAsia="zh-CN" w:bidi="hi-IN"/>
        </w:rPr>
      </w:pPr>
      <w:r w:rsidRPr="00C073BE">
        <w:rPr>
          <w:rFonts w:ascii="Arial" w:eastAsia="SimSun" w:hAnsi="Arial" w:cs="Arial"/>
          <w:kern w:val="3"/>
          <w:lang w:eastAsia="zh-CN" w:bidi="hi-IN"/>
        </w:rPr>
        <w:t>Odchylenie standardowe obliczane jest natomiast ze wzoru</w:t>
      </w:r>
    </w:p>
    <w:p w14:paraId="67B4CEB0" w14:textId="77777777" w:rsidR="00C073BE" w:rsidRPr="00C073BE" w:rsidRDefault="00C073BE" w:rsidP="00C073BE">
      <w:pPr>
        <w:suppressAutoHyphens/>
        <w:autoSpaceDN w:val="0"/>
        <w:spacing w:before="0"/>
        <w:jc w:val="center"/>
        <w:rPr>
          <w:rFonts w:ascii="Arial" w:eastAsia="SimSun" w:hAnsi="Arial" w:cs="Arial"/>
          <w:kern w:val="3"/>
          <w:lang w:eastAsia="zh-CN" w:bidi="hi-IN"/>
        </w:rPr>
      </w:pPr>
      <m:oMath>
        <m:r>
          <w:rPr>
            <w:rFonts w:ascii="Cambria Math" w:eastAsia="SimSun" w:hAnsi="Cambria Math" w:cs="Arial"/>
            <w:kern w:val="3"/>
            <w:lang w:val="en-US" w:eastAsia="zh-CN" w:bidi="hi-IN"/>
          </w:rPr>
          <m:t>S</m:t>
        </m:r>
        <m:r>
          <w:rPr>
            <w:rFonts w:ascii="Cambria Math" w:eastAsia="SimSun" w:hAnsi="Cambria Math" w:cs="Arial"/>
            <w:kern w:val="3"/>
            <w:lang w:eastAsia="zh-CN" w:bidi="hi-IN"/>
          </w:rPr>
          <m:t xml:space="preserve">= </m:t>
        </m:r>
        <m:rad>
          <m:radPr>
            <m:degHide m:val="1"/>
            <m:ctrlPr>
              <w:rPr>
                <w:rFonts w:ascii="Cambria Math" w:eastAsia="SimSun" w:hAnsi="Cambria Math" w:cs="Arial"/>
                <w:i/>
                <w:kern w:val="3"/>
                <w:lang w:val="en-US" w:eastAsia="zh-CN" w:bidi="hi-IN"/>
              </w:rPr>
            </m:ctrlPr>
          </m:radPr>
          <m:deg/>
          <m:e>
            <m:f>
              <m:fPr>
                <m:ctrlPr>
                  <w:rPr>
                    <w:rFonts w:ascii="Cambria Math" w:eastAsia="SimSun" w:hAnsi="Cambria Math" w:cs="Arial"/>
                    <w:i/>
                    <w:kern w:val="3"/>
                    <w:lang w:val="en-US" w:eastAsia="zh-CN" w:bidi="hi-IN"/>
                  </w:rPr>
                </m:ctrlPr>
              </m:fPr>
              <m:num>
                <m:r>
                  <w:rPr>
                    <w:rFonts w:ascii="Cambria Math" w:eastAsia="SimSun" w:hAnsi="Cambria Math" w:cs="Arial"/>
                    <w:kern w:val="3"/>
                    <w:lang w:eastAsia="zh-CN" w:bidi="hi-IN"/>
                  </w:rPr>
                  <m:t>1</m:t>
                </m:r>
              </m:num>
              <m:den>
                <m:r>
                  <w:rPr>
                    <w:rFonts w:ascii="Cambria Math" w:eastAsia="SimSun" w:hAnsi="Cambria Math" w:cs="Arial"/>
                    <w:kern w:val="3"/>
                    <w:lang w:val="en-US" w:eastAsia="zh-CN" w:bidi="hi-IN"/>
                  </w:rPr>
                  <m:t>n</m:t>
                </m:r>
              </m:den>
            </m:f>
            <m:nary>
              <m:naryPr>
                <m:chr m:val="∑"/>
                <m:limLoc m:val="undOvr"/>
                <m:ctrlPr>
                  <w:rPr>
                    <w:rFonts w:ascii="Cambria Math" w:eastAsia="SimSun" w:hAnsi="Cambria Math" w:cs="Arial"/>
                    <w:i/>
                    <w:kern w:val="3"/>
                    <w:lang w:val="en-US" w:eastAsia="zh-CN" w:bidi="hi-IN"/>
                  </w:rPr>
                </m:ctrlPr>
              </m:naryPr>
              <m:sub>
                <m:r>
                  <w:rPr>
                    <w:rFonts w:ascii="Cambria Math" w:eastAsia="SimSun" w:hAnsi="Cambria Math" w:cs="Arial"/>
                    <w:kern w:val="3"/>
                    <w:lang w:val="en-US" w:eastAsia="zh-CN" w:bidi="hi-IN"/>
                  </w:rPr>
                  <m:t>i</m:t>
                </m:r>
                <m:r>
                  <w:rPr>
                    <w:rFonts w:ascii="Cambria Math" w:eastAsia="SimSun" w:hAnsi="Cambria Math" w:cs="Arial"/>
                    <w:kern w:val="3"/>
                    <w:lang w:eastAsia="zh-CN" w:bidi="hi-IN"/>
                  </w:rPr>
                  <m:t>=1</m:t>
                </m:r>
              </m:sub>
              <m:sup>
                <m:r>
                  <w:rPr>
                    <w:rFonts w:ascii="Cambria Math" w:eastAsia="SimSun" w:hAnsi="Cambria Math" w:cs="Arial"/>
                    <w:kern w:val="3"/>
                    <w:lang w:val="en-US" w:eastAsia="zh-CN" w:bidi="hi-IN"/>
                  </w:rPr>
                  <m:t>n</m:t>
                </m:r>
              </m:sup>
              <m:e>
                <m:sSup>
                  <m:sSupPr>
                    <m:ctrlPr>
                      <w:rPr>
                        <w:rFonts w:ascii="Cambria Math" w:eastAsia="SimSun" w:hAnsi="Cambria Math" w:cs="Arial"/>
                        <w:i/>
                        <w:kern w:val="3"/>
                        <w:lang w:val="en-US" w:eastAsia="zh-CN" w:bidi="hi-IN"/>
                      </w:rPr>
                    </m:ctrlPr>
                  </m:sSupPr>
                  <m:e>
                    <m:r>
                      <w:rPr>
                        <w:rFonts w:ascii="Cambria Math" w:eastAsia="SimSun" w:hAnsi="Cambria Math" w:cs="Arial"/>
                        <w:kern w:val="3"/>
                        <w:lang w:eastAsia="zh-CN" w:bidi="hi-IN"/>
                      </w:rPr>
                      <m:t>(</m:t>
                    </m:r>
                    <m:sSub>
                      <m:sSubPr>
                        <m:ctrlPr>
                          <w:rPr>
                            <w:rFonts w:ascii="Cambria Math" w:eastAsia="SimSun" w:hAnsi="Cambria Math" w:cs="Arial"/>
                            <w:i/>
                            <w:kern w:val="3"/>
                            <w:lang w:val="en-US" w:eastAsia="zh-CN" w:bidi="hi-IN"/>
                          </w:rPr>
                        </m:ctrlPr>
                      </m:sSubPr>
                      <m:e>
                        <m:r>
                          <w:rPr>
                            <w:rFonts w:ascii="Cambria Math" w:eastAsia="SimSun" w:hAnsi="Cambria Math" w:cs="Arial"/>
                            <w:kern w:val="3"/>
                            <w:lang w:val="en-US" w:eastAsia="zh-CN" w:bidi="hi-IN"/>
                          </w:rPr>
                          <m:t>x</m:t>
                        </m:r>
                      </m:e>
                      <m:sub>
                        <m:r>
                          <w:rPr>
                            <w:rFonts w:ascii="Cambria Math" w:eastAsia="SimSun" w:hAnsi="Cambria Math" w:cs="Arial"/>
                            <w:kern w:val="3"/>
                            <w:lang w:val="en-US" w:eastAsia="zh-CN" w:bidi="hi-IN"/>
                          </w:rPr>
                          <m:t>i</m:t>
                        </m:r>
                      </m:sub>
                    </m:sSub>
                    <m:r>
                      <w:rPr>
                        <w:rFonts w:ascii="Cambria Math" w:eastAsia="SimSun" w:hAnsi="Cambria Math" w:cs="Arial"/>
                        <w:kern w:val="3"/>
                        <w:lang w:eastAsia="zh-CN" w:bidi="hi-IN"/>
                      </w:rPr>
                      <m:t>-</m:t>
                    </m:r>
                    <m:bar>
                      <m:barPr>
                        <m:pos m:val="top"/>
                        <m:ctrlPr>
                          <w:rPr>
                            <w:rFonts w:ascii="Cambria Math" w:eastAsia="SimSun" w:hAnsi="Cambria Math" w:cs="Arial"/>
                            <w:i/>
                            <w:kern w:val="3"/>
                            <w:lang w:val="en-US" w:eastAsia="zh-CN" w:bidi="hi-IN"/>
                          </w:rPr>
                        </m:ctrlPr>
                      </m:barPr>
                      <m:e>
                        <m:r>
                          <w:rPr>
                            <w:rFonts w:ascii="Cambria Math" w:eastAsia="SimSun" w:hAnsi="Cambria Math" w:cs="Arial"/>
                            <w:kern w:val="3"/>
                            <w:lang w:val="en-US" w:eastAsia="zh-CN" w:bidi="hi-IN"/>
                          </w:rPr>
                          <m:t>x</m:t>
                        </m:r>
                      </m:e>
                    </m:bar>
                    <m:r>
                      <w:rPr>
                        <w:rFonts w:ascii="Cambria Math" w:eastAsia="SimSun" w:hAnsi="Cambria Math" w:cs="Arial"/>
                        <w:kern w:val="3"/>
                        <w:lang w:eastAsia="zh-CN" w:bidi="hi-IN"/>
                      </w:rPr>
                      <m:t>)</m:t>
                    </m:r>
                  </m:e>
                  <m:sup>
                    <m:r>
                      <w:rPr>
                        <w:rFonts w:ascii="Cambria Math" w:eastAsia="SimSun" w:hAnsi="Cambria Math" w:cs="Arial"/>
                        <w:kern w:val="3"/>
                        <w:lang w:eastAsia="zh-CN" w:bidi="hi-IN"/>
                      </w:rPr>
                      <m:t>2</m:t>
                    </m:r>
                  </m:sup>
                </m:sSup>
              </m:e>
            </m:nary>
          </m:e>
        </m:rad>
      </m:oMath>
      <w:r w:rsidRPr="00C073BE">
        <w:rPr>
          <w:rFonts w:ascii="Arial" w:eastAsia="SimSun" w:hAnsi="Arial" w:cs="Arial"/>
          <w:kern w:val="3"/>
          <w:lang w:eastAsia="zh-CN" w:bidi="hi-IN"/>
        </w:rPr>
        <w:t xml:space="preserve"> , gdzie</w:t>
      </w:r>
    </w:p>
    <w:p w14:paraId="1E6A2668" w14:textId="77777777" w:rsidR="00C073BE" w:rsidRPr="00C073BE" w:rsidRDefault="00C073BE" w:rsidP="00C073BE">
      <w:pPr>
        <w:suppressAutoHyphens/>
        <w:autoSpaceDN w:val="0"/>
        <w:spacing w:before="0"/>
        <w:jc w:val="center"/>
        <w:rPr>
          <w:rFonts w:ascii="Arial" w:eastAsia="SimSun" w:hAnsi="Arial" w:cs="Arial"/>
          <w:kern w:val="3"/>
          <w:lang w:eastAsia="zh-CN" w:bidi="hi-IN"/>
        </w:rPr>
      </w:pPr>
    </w:p>
    <w:p w14:paraId="69502FE8" w14:textId="77777777" w:rsidR="00C073BE" w:rsidRPr="00C073BE" w:rsidRDefault="00C073BE" w:rsidP="00C073BE">
      <w:pPr>
        <w:suppressAutoHyphens/>
        <w:autoSpaceDN w:val="0"/>
        <w:spacing w:before="0"/>
        <w:ind w:left="709"/>
        <w:rPr>
          <w:rFonts w:ascii="Arial" w:eastAsia="SimSun" w:hAnsi="Arial" w:cs="Arial"/>
          <w:kern w:val="3"/>
          <w:lang w:eastAsia="zh-CN" w:bidi="hi-IN"/>
        </w:rPr>
      </w:pPr>
      <w:r w:rsidRPr="00C073BE">
        <w:rPr>
          <w:rFonts w:ascii="Arial" w:eastAsia="SimSun" w:hAnsi="Arial" w:cs="Arial"/>
          <w:kern w:val="3"/>
          <w:lang w:eastAsia="zh-CN" w:bidi="hi-IN"/>
        </w:rPr>
        <w:t>n – liczba zarejestrowanych sygnałów na analizowanym odcinku toru,</w:t>
      </w:r>
    </w:p>
    <w:p w14:paraId="444AC61A" w14:textId="77777777" w:rsidR="00C073BE" w:rsidRPr="00C073BE" w:rsidRDefault="00C073BE" w:rsidP="00C073BE">
      <w:pPr>
        <w:suppressAutoHyphens/>
        <w:autoSpaceDN w:val="0"/>
        <w:spacing w:before="0"/>
        <w:ind w:left="709"/>
        <w:rPr>
          <w:rFonts w:ascii="Arial" w:eastAsia="SimSun" w:hAnsi="Arial" w:cs="Arial"/>
          <w:kern w:val="3"/>
          <w:lang w:eastAsia="zh-CN" w:bidi="hi-IN"/>
        </w:rPr>
      </w:pPr>
      <w:r w:rsidRPr="00C073BE">
        <w:rPr>
          <w:rFonts w:ascii="Arial" w:eastAsia="SimSun" w:hAnsi="Arial" w:cs="Arial"/>
          <w:kern w:val="3"/>
          <w:lang w:eastAsia="zh-CN" w:bidi="hi-IN"/>
        </w:rPr>
        <w:t>x</w:t>
      </w:r>
      <w:r w:rsidRPr="00C073BE">
        <w:rPr>
          <w:rFonts w:ascii="Arial" w:eastAsia="SimSun" w:hAnsi="Arial" w:cs="Arial"/>
          <w:kern w:val="3"/>
          <w:vertAlign w:val="subscript"/>
          <w:lang w:eastAsia="zh-CN" w:bidi="hi-IN"/>
        </w:rPr>
        <w:t>i</w:t>
      </w:r>
      <w:r w:rsidRPr="00C073BE">
        <w:rPr>
          <w:rFonts w:ascii="Arial" w:eastAsia="SimSun" w:hAnsi="Arial" w:cs="Arial"/>
          <w:kern w:val="3"/>
          <w:lang w:eastAsia="zh-CN" w:bidi="hi-IN"/>
        </w:rPr>
        <w:t xml:space="preserve"> – wartość parametru w punkcie i,</w:t>
      </w:r>
    </w:p>
    <w:p w14:paraId="039E9FBA" w14:textId="77777777" w:rsidR="00C073BE" w:rsidRPr="00C073BE" w:rsidRDefault="00603797" w:rsidP="00C073BE">
      <w:pPr>
        <w:suppressAutoHyphens/>
        <w:autoSpaceDN w:val="0"/>
        <w:spacing w:before="0"/>
        <w:ind w:left="709"/>
        <w:rPr>
          <w:rFonts w:ascii="Arial" w:eastAsia="SimSun" w:hAnsi="Arial" w:cs="Arial"/>
          <w:kern w:val="3"/>
          <w:lang w:eastAsia="zh-CN" w:bidi="hi-IN"/>
        </w:rPr>
      </w:pPr>
      <m:oMath>
        <m:bar>
          <m:barPr>
            <m:pos m:val="top"/>
            <m:ctrlPr>
              <w:rPr>
                <w:rFonts w:ascii="Cambria Math" w:eastAsia="SimSun" w:hAnsi="Cambria Math" w:cs="Arial"/>
                <w:i/>
                <w:kern w:val="3"/>
                <w:lang w:val="en-US" w:eastAsia="zh-CN" w:bidi="hi-IN"/>
              </w:rPr>
            </m:ctrlPr>
          </m:barPr>
          <m:e>
            <m:r>
              <w:rPr>
                <w:rFonts w:ascii="Cambria Math" w:eastAsia="SimSun" w:hAnsi="Cambria Math" w:cs="Arial"/>
                <w:kern w:val="3"/>
                <w:lang w:val="en-US" w:eastAsia="zh-CN" w:bidi="hi-IN"/>
              </w:rPr>
              <m:t>x</m:t>
            </m:r>
          </m:e>
        </m:bar>
      </m:oMath>
      <w:r w:rsidR="00C073BE" w:rsidRPr="00C073BE">
        <w:rPr>
          <w:rFonts w:ascii="Arial" w:eastAsia="SimSun" w:hAnsi="Arial" w:cs="Arial"/>
          <w:kern w:val="3"/>
          <w:lang w:eastAsia="zh-CN" w:bidi="hi-IN"/>
        </w:rPr>
        <w:t xml:space="preserve"> – wartość średnia sygnału.</w:t>
      </w:r>
    </w:p>
    <w:p w14:paraId="77625299" w14:textId="77777777" w:rsidR="005C1C47" w:rsidRPr="003F5458" w:rsidRDefault="00C073BE" w:rsidP="00C073BE">
      <w:pPr>
        <w:pStyle w:val="Akapitzlist"/>
        <w:ind w:left="360"/>
        <w:rPr>
          <w:rFonts w:ascii="Arial" w:hAnsi="Arial" w:cs="Arial"/>
        </w:rPr>
      </w:pPr>
      <w:r w:rsidRPr="003F5458">
        <w:rPr>
          <w:rFonts w:ascii="Arial" w:eastAsia="Calibri" w:hAnsi="Arial" w:cs="Arial"/>
        </w:rPr>
        <w:t>Wartość wskaźnika “J” może mieć wartość od 0 do około 15, przy czym wartość mniejsza oznacza lepszy stan nawierzchni kolejowej.</w:t>
      </w:r>
    </w:p>
    <w:p w14:paraId="1207A1FC" w14:textId="77777777" w:rsidR="005C1C47" w:rsidRPr="00470FB2" w:rsidRDefault="005C1C47" w:rsidP="00470FB2">
      <w:pPr>
        <w:pStyle w:val="Akapitzlist"/>
        <w:ind w:left="360"/>
      </w:pPr>
    </w:p>
    <w:p w14:paraId="49DDF153" w14:textId="77777777" w:rsidR="008C3725" w:rsidRDefault="008C3725" w:rsidP="00AC68D4">
      <w:pPr>
        <w:pStyle w:val="Akapitzlist"/>
        <w:numPr>
          <w:ilvl w:val="0"/>
          <w:numId w:val="20"/>
        </w:numPr>
        <w:spacing w:before="240" w:after="240"/>
        <w:rPr>
          <w:rFonts w:ascii="Arial" w:hAnsi="Arial" w:cs="Arial"/>
        </w:rPr>
      </w:pPr>
      <w:r w:rsidRPr="006F7413">
        <w:rPr>
          <w:rFonts w:ascii="Arial" w:hAnsi="Arial" w:cs="Arial"/>
        </w:rPr>
        <w:t>Źródła danych</w:t>
      </w:r>
    </w:p>
    <w:p w14:paraId="627FE081" w14:textId="77777777" w:rsidR="008C3725" w:rsidRDefault="008C3725" w:rsidP="00AC68D4">
      <w:pPr>
        <w:pStyle w:val="Akapitzlist"/>
        <w:numPr>
          <w:ilvl w:val="1"/>
          <w:numId w:val="20"/>
        </w:numPr>
        <w:spacing w:before="240" w:after="240"/>
        <w:rPr>
          <w:rFonts w:ascii="Arial" w:hAnsi="Arial" w:cs="Arial"/>
        </w:rPr>
      </w:pPr>
      <w:r>
        <w:rPr>
          <w:rFonts w:ascii="Arial" w:hAnsi="Arial" w:cs="Arial"/>
        </w:rPr>
        <w:t xml:space="preserve">Liczba awarii będzie odnotowywana na podstawie </w:t>
      </w:r>
      <w:r w:rsidR="00470FB2">
        <w:rPr>
          <w:rFonts w:ascii="Arial" w:hAnsi="Arial" w:cs="Arial"/>
        </w:rPr>
        <w:t xml:space="preserve">prowadzonego przez Zarządcę </w:t>
      </w:r>
      <w:r>
        <w:rPr>
          <w:rFonts w:ascii="Arial" w:hAnsi="Arial" w:cs="Arial"/>
        </w:rPr>
        <w:t>rejestru zdarzeń kolejowych: poważnych wypadków (A), wypadków</w:t>
      </w:r>
      <w:r w:rsidR="00470FB2">
        <w:rPr>
          <w:rFonts w:ascii="Arial" w:hAnsi="Arial" w:cs="Arial"/>
        </w:rPr>
        <w:t>(B)</w:t>
      </w:r>
      <w:r>
        <w:rPr>
          <w:rFonts w:ascii="Arial" w:hAnsi="Arial" w:cs="Arial"/>
        </w:rPr>
        <w:t>, incydentów</w:t>
      </w:r>
      <w:r w:rsidR="00470FB2">
        <w:rPr>
          <w:rFonts w:ascii="Arial" w:hAnsi="Arial" w:cs="Arial"/>
        </w:rPr>
        <w:t>(C)</w:t>
      </w:r>
      <w:r>
        <w:rPr>
          <w:rFonts w:ascii="Arial" w:hAnsi="Arial" w:cs="Arial"/>
        </w:rPr>
        <w:t xml:space="preserve"> i sytuacji potencjalnie niebezpiecznych (D) </w:t>
      </w:r>
    </w:p>
    <w:p w14:paraId="5ED4AF85" w14:textId="77777777" w:rsidR="00470FB2" w:rsidRDefault="00470FB2" w:rsidP="00AC68D4">
      <w:pPr>
        <w:pStyle w:val="Akapitzlist"/>
        <w:numPr>
          <w:ilvl w:val="1"/>
          <w:numId w:val="20"/>
        </w:numPr>
        <w:spacing w:before="240" w:after="240"/>
        <w:rPr>
          <w:rFonts w:ascii="Arial" w:hAnsi="Arial" w:cs="Arial"/>
        </w:rPr>
      </w:pPr>
      <w:r>
        <w:rPr>
          <w:rFonts w:ascii="Arial" w:hAnsi="Arial" w:cs="Arial"/>
        </w:rPr>
        <w:t>Liczba usterek srk określana będzie na podstawie wpisów do książki kontroli urządzeń srk E-1758</w:t>
      </w:r>
    </w:p>
    <w:p w14:paraId="205E686C" w14:textId="77777777" w:rsidR="00470FB2" w:rsidRDefault="00470FB2" w:rsidP="00AC68D4">
      <w:pPr>
        <w:pStyle w:val="Akapitzlist"/>
        <w:numPr>
          <w:ilvl w:val="1"/>
          <w:numId w:val="20"/>
        </w:numPr>
        <w:spacing w:before="240" w:after="240"/>
        <w:rPr>
          <w:rFonts w:ascii="Arial" w:hAnsi="Arial" w:cs="Arial"/>
        </w:rPr>
      </w:pPr>
      <w:r>
        <w:rPr>
          <w:rFonts w:ascii="Arial" w:hAnsi="Arial" w:cs="Arial"/>
        </w:rPr>
        <w:t>Wskaźnik syntetyczny określany będzie na podstawie wydruku (taśmy) z drezyny pomiarowej i protokołu Inspektora diagnosty</w:t>
      </w:r>
    </w:p>
    <w:p w14:paraId="6AC77779" w14:textId="77777777" w:rsidR="00BE7CB3" w:rsidRDefault="00BE7CB3" w:rsidP="00470FB2">
      <w:pPr>
        <w:pStyle w:val="Akapitzlist"/>
        <w:spacing w:before="240" w:after="240"/>
        <w:ind w:left="360"/>
        <w:rPr>
          <w:rFonts w:ascii="Arial" w:hAnsi="Arial" w:cs="Arial"/>
        </w:rPr>
      </w:pPr>
    </w:p>
    <w:p w14:paraId="72BDDDED" w14:textId="77777777" w:rsidR="00470FB2" w:rsidRPr="006F7413" w:rsidRDefault="00470FB2" w:rsidP="00AC68D4">
      <w:pPr>
        <w:pStyle w:val="Akapitzlist"/>
        <w:numPr>
          <w:ilvl w:val="0"/>
          <w:numId w:val="20"/>
        </w:numPr>
        <w:spacing w:before="240" w:after="240"/>
        <w:rPr>
          <w:rFonts w:ascii="Arial" w:hAnsi="Arial" w:cs="Arial"/>
        </w:rPr>
      </w:pPr>
      <w:r w:rsidRPr="006F7413">
        <w:rPr>
          <w:rFonts w:ascii="Arial" w:hAnsi="Arial" w:cs="Arial"/>
        </w:rPr>
        <w:t>Wartość oczekiwana</w:t>
      </w:r>
    </w:p>
    <w:p w14:paraId="78F7B745" w14:textId="77777777" w:rsidR="00470FB2" w:rsidRPr="00470FB2" w:rsidRDefault="00470FB2" w:rsidP="00AC68D4">
      <w:pPr>
        <w:pStyle w:val="Akapitzlist"/>
        <w:numPr>
          <w:ilvl w:val="1"/>
          <w:numId w:val="20"/>
        </w:numPr>
        <w:spacing w:after="240"/>
        <w:rPr>
          <w:rFonts w:ascii="Arial" w:hAnsi="Arial" w:cs="Arial"/>
          <w:bCs/>
        </w:rPr>
      </w:pPr>
      <w:r>
        <w:rPr>
          <w:rFonts w:ascii="Arial" w:hAnsi="Arial" w:cs="Arial"/>
          <w:bCs/>
        </w:rPr>
        <w:t>Liczba awarii sieci trakcyjnej w kolejnych latach wyniesie nie więcej niż:</w:t>
      </w:r>
    </w:p>
    <w:tbl>
      <w:tblPr>
        <w:tblStyle w:val="Tabela-Siatka1"/>
        <w:tblW w:w="4368" w:type="pct"/>
        <w:jc w:val="center"/>
        <w:tblLayout w:type="fixed"/>
        <w:tblLook w:val="04A0" w:firstRow="1" w:lastRow="0" w:firstColumn="1" w:lastColumn="0" w:noHBand="0" w:noVBand="1"/>
      </w:tblPr>
      <w:tblGrid>
        <w:gridCol w:w="3258"/>
        <w:gridCol w:w="957"/>
        <w:gridCol w:w="957"/>
        <w:gridCol w:w="957"/>
        <w:gridCol w:w="957"/>
        <w:gridCol w:w="955"/>
      </w:tblGrid>
      <w:tr w:rsidR="00470FB2" w:rsidRPr="003E2E9E" w14:paraId="42849441" w14:textId="77777777" w:rsidTr="00E257B3">
        <w:trPr>
          <w:trHeight w:val="227"/>
          <w:jc w:val="center"/>
        </w:trPr>
        <w:tc>
          <w:tcPr>
            <w:tcW w:w="2026" w:type="pct"/>
            <w:vMerge w:val="restart"/>
            <w:vAlign w:val="center"/>
          </w:tcPr>
          <w:p w14:paraId="523EBABE" w14:textId="77777777" w:rsidR="00470FB2" w:rsidRPr="003E2E9E" w:rsidRDefault="0040110D" w:rsidP="0040110D">
            <w:pPr>
              <w:spacing w:before="0"/>
              <w:jc w:val="center"/>
              <w:rPr>
                <w:rFonts w:ascii="Arial" w:eastAsia="Times New Roman" w:hAnsi="Arial" w:cs="Arial"/>
                <w:b/>
                <w:bCs/>
                <w:kern w:val="28"/>
                <w:sz w:val="18"/>
                <w:szCs w:val="18"/>
                <w:lang w:eastAsia="pl-PL"/>
              </w:rPr>
            </w:pPr>
            <w:r>
              <w:rPr>
                <w:rFonts w:ascii="Arial" w:eastAsia="Times New Roman" w:hAnsi="Arial" w:cs="Arial"/>
                <w:b/>
                <w:bCs/>
                <w:kern w:val="28"/>
                <w:sz w:val="18"/>
                <w:szCs w:val="18"/>
                <w:lang w:eastAsia="pl-PL"/>
              </w:rPr>
              <w:t>Wskaźnik</w:t>
            </w:r>
            <w:r w:rsidR="00E257B3">
              <w:rPr>
                <w:rFonts w:ascii="Arial" w:eastAsia="Times New Roman" w:hAnsi="Arial" w:cs="Arial"/>
                <w:b/>
                <w:bCs/>
                <w:kern w:val="28"/>
                <w:sz w:val="18"/>
                <w:szCs w:val="18"/>
                <w:lang w:eastAsia="pl-PL"/>
              </w:rPr>
              <w:t xml:space="preserve"> [w szt.]</w:t>
            </w:r>
          </w:p>
        </w:tc>
        <w:tc>
          <w:tcPr>
            <w:tcW w:w="2974" w:type="pct"/>
            <w:gridSpan w:val="5"/>
            <w:vAlign w:val="center"/>
          </w:tcPr>
          <w:p w14:paraId="4B8EDB6C" w14:textId="77777777" w:rsidR="00470FB2" w:rsidRPr="003E2E9E" w:rsidRDefault="00470FB2" w:rsidP="00AE45D1">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 xml:space="preserve">Oczekiwana </w:t>
            </w:r>
            <w:r w:rsidR="00AE45D1">
              <w:rPr>
                <w:rFonts w:ascii="Arial" w:eastAsia="Times New Roman" w:hAnsi="Arial" w:cs="Arial"/>
                <w:kern w:val="28"/>
                <w:sz w:val="18"/>
                <w:szCs w:val="18"/>
                <w:lang w:eastAsia="pl-PL"/>
              </w:rPr>
              <w:t xml:space="preserve">maksymalna </w:t>
            </w:r>
            <w:r w:rsidRPr="003E2E9E">
              <w:rPr>
                <w:rFonts w:ascii="Arial" w:eastAsia="Times New Roman" w:hAnsi="Arial" w:cs="Arial"/>
                <w:kern w:val="28"/>
                <w:sz w:val="18"/>
                <w:szCs w:val="18"/>
                <w:lang w:eastAsia="pl-PL"/>
              </w:rPr>
              <w:t>wartość w latach</w:t>
            </w:r>
          </w:p>
        </w:tc>
      </w:tr>
      <w:tr w:rsidR="00470FB2" w:rsidRPr="003E2E9E" w14:paraId="6760BF9F" w14:textId="77777777" w:rsidTr="00E257B3">
        <w:trPr>
          <w:trHeight w:val="227"/>
          <w:jc w:val="center"/>
        </w:trPr>
        <w:tc>
          <w:tcPr>
            <w:tcW w:w="2026" w:type="pct"/>
            <w:vMerge/>
          </w:tcPr>
          <w:p w14:paraId="7338492B" w14:textId="77777777" w:rsidR="00470FB2" w:rsidRPr="003E2E9E" w:rsidRDefault="00470FB2" w:rsidP="007E2930">
            <w:pPr>
              <w:spacing w:before="0"/>
              <w:rPr>
                <w:rFonts w:ascii="Arial" w:eastAsia="Times New Roman" w:hAnsi="Arial" w:cs="Arial"/>
                <w:b/>
                <w:bCs/>
                <w:kern w:val="28"/>
                <w:sz w:val="18"/>
                <w:szCs w:val="18"/>
                <w:lang w:eastAsia="pl-PL"/>
              </w:rPr>
            </w:pPr>
          </w:p>
        </w:tc>
        <w:tc>
          <w:tcPr>
            <w:tcW w:w="595" w:type="pct"/>
            <w:vAlign w:val="center"/>
          </w:tcPr>
          <w:p w14:paraId="515BE25E" w14:textId="29B77E5C"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w:t>
            </w:r>
            <w:r w:rsidR="009560CA">
              <w:rPr>
                <w:rFonts w:ascii="Arial" w:eastAsia="Times New Roman" w:hAnsi="Arial" w:cs="Arial"/>
                <w:kern w:val="28"/>
                <w:sz w:val="18"/>
                <w:szCs w:val="18"/>
                <w:lang w:eastAsia="pl-PL"/>
              </w:rPr>
              <w:t>24</w:t>
            </w:r>
          </w:p>
        </w:tc>
        <w:tc>
          <w:tcPr>
            <w:tcW w:w="595" w:type="pct"/>
            <w:vAlign w:val="center"/>
          </w:tcPr>
          <w:p w14:paraId="4D0811C8" w14:textId="226188C6"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5</w:t>
            </w:r>
          </w:p>
        </w:tc>
        <w:tc>
          <w:tcPr>
            <w:tcW w:w="595" w:type="pct"/>
            <w:vAlign w:val="center"/>
          </w:tcPr>
          <w:p w14:paraId="499EF322" w14:textId="3E1A957C"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6</w:t>
            </w:r>
          </w:p>
        </w:tc>
        <w:tc>
          <w:tcPr>
            <w:tcW w:w="595" w:type="pct"/>
            <w:vAlign w:val="center"/>
          </w:tcPr>
          <w:p w14:paraId="71E23225" w14:textId="2D608E0D"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7</w:t>
            </w:r>
          </w:p>
        </w:tc>
        <w:tc>
          <w:tcPr>
            <w:tcW w:w="595" w:type="pct"/>
            <w:vAlign w:val="center"/>
          </w:tcPr>
          <w:p w14:paraId="0DAAAAA2" w14:textId="7DD77B53"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8</w:t>
            </w:r>
          </w:p>
        </w:tc>
      </w:tr>
      <w:tr w:rsidR="00470FB2" w:rsidRPr="003E2E9E" w14:paraId="33AF44EA" w14:textId="77777777" w:rsidTr="00E257B3">
        <w:trPr>
          <w:trHeight w:val="227"/>
          <w:jc w:val="center"/>
        </w:trPr>
        <w:tc>
          <w:tcPr>
            <w:tcW w:w="2026" w:type="pct"/>
          </w:tcPr>
          <w:p w14:paraId="05A42E80" w14:textId="77777777" w:rsidR="00470FB2" w:rsidRPr="003E2E9E" w:rsidRDefault="00AE45D1" w:rsidP="007E2930">
            <w:pPr>
              <w:spacing w:before="0"/>
              <w:jc w:val="left"/>
              <w:rPr>
                <w:rFonts w:ascii="Arial" w:eastAsia="Times New Roman" w:hAnsi="Arial" w:cs="Arial"/>
                <w:b/>
                <w:bCs/>
                <w:kern w:val="28"/>
                <w:sz w:val="18"/>
                <w:szCs w:val="18"/>
                <w:lang w:eastAsia="pl-PL"/>
              </w:rPr>
            </w:pPr>
            <w:r>
              <w:rPr>
                <w:rFonts w:ascii="Arial" w:hAnsi="Arial" w:cs="Arial"/>
                <w:bCs/>
              </w:rPr>
              <w:t>Liczba</w:t>
            </w:r>
            <w:r w:rsidR="00470FB2">
              <w:rPr>
                <w:rFonts w:ascii="Arial" w:hAnsi="Arial" w:cs="Arial"/>
                <w:bCs/>
              </w:rPr>
              <w:t xml:space="preserve"> awarii sieci trakcyjnej </w:t>
            </w:r>
          </w:p>
        </w:tc>
        <w:tc>
          <w:tcPr>
            <w:tcW w:w="595" w:type="pct"/>
            <w:vAlign w:val="center"/>
          </w:tcPr>
          <w:p w14:paraId="0698A205" w14:textId="5D437A95" w:rsidR="00470FB2" w:rsidRPr="003E2E9E" w:rsidRDefault="007575E4"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12</w:t>
            </w:r>
          </w:p>
        </w:tc>
        <w:tc>
          <w:tcPr>
            <w:tcW w:w="595" w:type="pct"/>
            <w:vAlign w:val="center"/>
          </w:tcPr>
          <w:p w14:paraId="288C522A" w14:textId="40AE5F06" w:rsidR="00470FB2" w:rsidRPr="003E2E9E" w:rsidRDefault="007575E4"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12</w:t>
            </w:r>
          </w:p>
        </w:tc>
        <w:tc>
          <w:tcPr>
            <w:tcW w:w="595" w:type="pct"/>
            <w:vAlign w:val="center"/>
          </w:tcPr>
          <w:p w14:paraId="2A38DF83" w14:textId="60C2E680" w:rsidR="00470FB2" w:rsidRPr="003E2E9E" w:rsidRDefault="007575E4"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12</w:t>
            </w:r>
          </w:p>
        </w:tc>
        <w:tc>
          <w:tcPr>
            <w:tcW w:w="595" w:type="pct"/>
            <w:vAlign w:val="center"/>
          </w:tcPr>
          <w:p w14:paraId="62E37EA7" w14:textId="314230EE" w:rsidR="00470FB2" w:rsidRPr="00E755ED" w:rsidRDefault="007575E4"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12</w:t>
            </w:r>
          </w:p>
        </w:tc>
        <w:tc>
          <w:tcPr>
            <w:tcW w:w="595" w:type="pct"/>
            <w:vAlign w:val="center"/>
          </w:tcPr>
          <w:p w14:paraId="4C7EB33F" w14:textId="06AFE291" w:rsidR="0099779B" w:rsidRPr="00E755ED" w:rsidRDefault="007575E4" w:rsidP="0099779B">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12</w:t>
            </w:r>
          </w:p>
        </w:tc>
      </w:tr>
    </w:tbl>
    <w:p w14:paraId="65F3945B" w14:textId="77777777" w:rsidR="00470FB2" w:rsidRPr="00470FB2" w:rsidRDefault="00470FB2" w:rsidP="00AC68D4">
      <w:pPr>
        <w:pStyle w:val="Akapitzlist"/>
        <w:numPr>
          <w:ilvl w:val="1"/>
          <w:numId w:val="20"/>
        </w:numPr>
        <w:spacing w:after="240"/>
        <w:rPr>
          <w:rFonts w:ascii="Arial" w:hAnsi="Arial" w:cs="Arial"/>
          <w:bCs/>
        </w:rPr>
      </w:pPr>
      <w:r w:rsidRPr="00470FB2">
        <w:rPr>
          <w:rFonts w:ascii="Arial" w:hAnsi="Arial" w:cs="Arial"/>
          <w:bCs/>
        </w:rPr>
        <w:t>Liczba usterek srk w kolejnych latach wyniesienie nie więcej niż:</w:t>
      </w:r>
    </w:p>
    <w:tbl>
      <w:tblPr>
        <w:tblStyle w:val="Tabela-Siatka1"/>
        <w:tblW w:w="4342" w:type="pct"/>
        <w:jc w:val="center"/>
        <w:tblLayout w:type="fixed"/>
        <w:tblLook w:val="04A0" w:firstRow="1" w:lastRow="0" w:firstColumn="1" w:lastColumn="0" w:noHBand="0" w:noVBand="1"/>
      </w:tblPr>
      <w:tblGrid>
        <w:gridCol w:w="3259"/>
        <w:gridCol w:w="947"/>
        <w:gridCol w:w="946"/>
        <w:gridCol w:w="948"/>
        <w:gridCol w:w="946"/>
        <w:gridCol w:w="948"/>
      </w:tblGrid>
      <w:tr w:rsidR="00470FB2" w:rsidRPr="003E2E9E" w14:paraId="73280173" w14:textId="77777777" w:rsidTr="000965A4">
        <w:trPr>
          <w:trHeight w:val="227"/>
          <w:jc w:val="center"/>
        </w:trPr>
        <w:tc>
          <w:tcPr>
            <w:tcW w:w="2038" w:type="pct"/>
            <w:vMerge w:val="restart"/>
            <w:vAlign w:val="center"/>
          </w:tcPr>
          <w:p w14:paraId="4C8F4E9C" w14:textId="77777777" w:rsidR="00470FB2" w:rsidRPr="003E2E9E" w:rsidRDefault="0040110D" w:rsidP="0040110D">
            <w:pPr>
              <w:spacing w:before="0"/>
              <w:jc w:val="center"/>
              <w:rPr>
                <w:rFonts w:ascii="Arial" w:eastAsia="Times New Roman" w:hAnsi="Arial" w:cs="Arial"/>
                <w:b/>
                <w:bCs/>
                <w:kern w:val="28"/>
                <w:sz w:val="18"/>
                <w:szCs w:val="18"/>
                <w:lang w:eastAsia="pl-PL"/>
              </w:rPr>
            </w:pPr>
            <w:r>
              <w:rPr>
                <w:rFonts w:ascii="Arial" w:eastAsia="Times New Roman" w:hAnsi="Arial" w:cs="Arial"/>
                <w:b/>
                <w:bCs/>
                <w:kern w:val="28"/>
                <w:sz w:val="18"/>
                <w:szCs w:val="18"/>
                <w:lang w:eastAsia="pl-PL"/>
              </w:rPr>
              <w:t xml:space="preserve">Wskaźnik </w:t>
            </w:r>
            <w:r w:rsidRPr="0040110D">
              <w:rPr>
                <w:rFonts w:ascii="Arial" w:eastAsia="Times New Roman" w:hAnsi="Arial" w:cs="Arial"/>
                <w:b/>
                <w:bCs/>
                <w:kern w:val="28"/>
                <w:sz w:val="18"/>
                <w:szCs w:val="18"/>
                <w:lang w:eastAsia="pl-PL"/>
              </w:rPr>
              <w:t>[w szt.]</w:t>
            </w:r>
          </w:p>
        </w:tc>
        <w:tc>
          <w:tcPr>
            <w:tcW w:w="2962" w:type="pct"/>
            <w:gridSpan w:val="5"/>
            <w:vAlign w:val="center"/>
          </w:tcPr>
          <w:p w14:paraId="30C79190" w14:textId="77777777" w:rsidR="00470FB2" w:rsidRPr="003E2E9E" w:rsidRDefault="00470FB2" w:rsidP="002273DB">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Oczekiwana</w:t>
            </w:r>
            <w:r w:rsidR="002273DB">
              <w:rPr>
                <w:rFonts w:ascii="Arial" w:eastAsia="Times New Roman" w:hAnsi="Arial" w:cs="Arial"/>
                <w:kern w:val="28"/>
                <w:sz w:val="18"/>
                <w:szCs w:val="18"/>
                <w:lang w:eastAsia="pl-PL"/>
              </w:rPr>
              <w:t xml:space="preserve"> maksymalna</w:t>
            </w:r>
            <w:r w:rsidRPr="003E2E9E">
              <w:rPr>
                <w:rFonts w:ascii="Arial" w:eastAsia="Times New Roman" w:hAnsi="Arial" w:cs="Arial"/>
                <w:kern w:val="28"/>
                <w:sz w:val="18"/>
                <w:szCs w:val="18"/>
                <w:lang w:eastAsia="pl-PL"/>
              </w:rPr>
              <w:t xml:space="preserve"> wartość w latach</w:t>
            </w:r>
          </w:p>
        </w:tc>
      </w:tr>
      <w:tr w:rsidR="00470FB2" w:rsidRPr="003E2E9E" w14:paraId="358102E3" w14:textId="77777777" w:rsidTr="00E257B3">
        <w:trPr>
          <w:trHeight w:val="227"/>
          <w:jc w:val="center"/>
        </w:trPr>
        <w:tc>
          <w:tcPr>
            <w:tcW w:w="2038" w:type="pct"/>
            <w:vMerge/>
          </w:tcPr>
          <w:p w14:paraId="60CC8532" w14:textId="77777777" w:rsidR="00470FB2" w:rsidRPr="003E2E9E" w:rsidRDefault="00470FB2" w:rsidP="007E2930">
            <w:pPr>
              <w:spacing w:before="0"/>
              <w:rPr>
                <w:rFonts w:ascii="Arial" w:eastAsia="Times New Roman" w:hAnsi="Arial" w:cs="Arial"/>
                <w:b/>
                <w:bCs/>
                <w:kern w:val="28"/>
                <w:sz w:val="18"/>
                <w:szCs w:val="18"/>
                <w:lang w:eastAsia="pl-PL"/>
              </w:rPr>
            </w:pPr>
          </w:p>
        </w:tc>
        <w:tc>
          <w:tcPr>
            <w:tcW w:w="592" w:type="pct"/>
            <w:vAlign w:val="center"/>
          </w:tcPr>
          <w:p w14:paraId="211EC913" w14:textId="2D37673F"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w:t>
            </w:r>
            <w:r w:rsidR="009560CA">
              <w:rPr>
                <w:rFonts w:ascii="Arial" w:eastAsia="Times New Roman" w:hAnsi="Arial" w:cs="Arial"/>
                <w:kern w:val="28"/>
                <w:sz w:val="18"/>
                <w:szCs w:val="18"/>
                <w:lang w:eastAsia="pl-PL"/>
              </w:rPr>
              <w:t>24</w:t>
            </w:r>
          </w:p>
        </w:tc>
        <w:tc>
          <w:tcPr>
            <w:tcW w:w="592" w:type="pct"/>
            <w:vAlign w:val="center"/>
          </w:tcPr>
          <w:p w14:paraId="3514A5AF" w14:textId="007261A3"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5</w:t>
            </w:r>
          </w:p>
        </w:tc>
        <w:tc>
          <w:tcPr>
            <w:tcW w:w="593" w:type="pct"/>
            <w:vAlign w:val="center"/>
          </w:tcPr>
          <w:p w14:paraId="742504DC" w14:textId="0FEDE412"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6</w:t>
            </w:r>
          </w:p>
        </w:tc>
        <w:tc>
          <w:tcPr>
            <w:tcW w:w="592" w:type="pct"/>
            <w:vAlign w:val="center"/>
          </w:tcPr>
          <w:p w14:paraId="4B386767" w14:textId="7672ADCE"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7</w:t>
            </w:r>
          </w:p>
        </w:tc>
        <w:tc>
          <w:tcPr>
            <w:tcW w:w="593" w:type="pct"/>
            <w:vAlign w:val="center"/>
          </w:tcPr>
          <w:p w14:paraId="4DE3C172" w14:textId="38F81386" w:rsidR="00470FB2" w:rsidRPr="003E2E9E" w:rsidRDefault="00470FB2"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sidR="009560CA">
              <w:rPr>
                <w:rFonts w:ascii="Arial" w:eastAsia="Times New Roman" w:hAnsi="Arial" w:cs="Arial"/>
                <w:kern w:val="28"/>
                <w:sz w:val="18"/>
                <w:szCs w:val="18"/>
                <w:lang w:eastAsia="pl-PL"/>
              </w:rPr>
              <w:t>8</w:t>
            </w:r>
          </w:p>
        </w:tc>
      </w:tr>
      <w:tr w:rsidR="00470FB2" w:rsidRPr="003E2E9E" w14:paraId="7326CE59" w14:textId="77777777" w:rsidTr="00E257B3">
        <w:trPr>
          <w:trHeight w:val="227"/>
          <w:jc w:val="center"/>
        </w:trPr>
        <w:tc>
          <w:tcPr>
            <w:tcW w:w="2038" w:type="pct"/>
          </w:tcPr>
          <w:p w14:paraId="31589B74" w14:textId="77777777" w:rsidR="00470FB2" w:rsidRPr="003E2E9E" w:rsidRDefault="002273DB" w:rsidP="007E2930">
            <w:pPr>
              <w:spacing w:before="0"/>
              <w:jc w:val="left"/>
              <w:rPr>
                <w:rFonts w:ascii="Arial" w:eastAsia="Times New Roman" w:hAnsi="Arial" w:cs="Arial"/>
                <w:b/>
                <w:bCs/>
                <w:kern w:val="28"/>
                <w:sz w:val="18"/>
                <w:szCs w:val="18"/>
                <w:lang w:eastAsia="pl-PL"/>
              </w:rPr>
            </w:pPr>
            <w:r>
              <w:rPr>
                <w:rFonts w:ascii="Arial" w:hAnsi="Arial" w:cs="Arial"/>
                <w:bCs/>
              </w:rPr>
              <w:t>Liczba</w:t>
            </w:r>
            <w:r w:rsidR="00470FB2">
              <w:rPr>
                <w:rFonts w:ascii="Arial" w:hAnsi="Arial" w:cs="Arial"/>
                <w:bCs/>
              </w:rPr>
              <w:t xml:space="preserve"> usterek urządzeń srk </w:t>
            </w:r>
          </w:p>
        </w:tc>
        <w:tc>
          <w:tcPr>
            <w:tcW w:w="592" w:type="pct"/>
            <w:vAlign w:val="center"/>
          </w:tcPr>
          <w:p w14:paraId="2F507494" w14:textId="3BCA67DC" w:rsidR="00470FB2" w:rsidRPr="003E2E9E" w:rsidRDefault="00926B57"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90</w:t>
            </w:r>
          </w:p>
        </w:tc>
        <w:tc>
          <w:tcPr>
            <w:tcW w:w="592" w:type="pct"/>
            <w:vAlign w:val="center"/>
          </w:tcPr>
          <w:p w14:paraId="3C951786" w14:textId="021567A5" w:rsidR="00470FB2" w:rsidRPr="003E2E9E" w:rsidRDefault="00926B57"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88</w:t>
            </w:r>
          </w:p>
        </w:tc>
        <w:tc>
          <w:tcPr>
            <w:tcW w:w="593" w:type="pct"/>
            <w:vAlign w:val="center"/>
          </w:tcPr>
          <w:p w14:paraId="3EB44DA4" w14:textId="4CA2CABB" w:rsidR="00470FB2" w:rsidRPr="003E2E9E" w:rsidRDefault="00926B57"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86</w:t>
            </w:r>
          </w:p>
        </w:tc>
        <w:tc>
          <w:tcPr>
            <w:tcW w:w="592" w:type="pct"/>
            <w:vAlign w:val="center"/>
          </w:tcPr>
          <w:p w14:paraId="26135DE1" w14:textId="1932940F" w:rsidR="00470FB2" w:rsidRPr="003E2E9E" w:rsidRDefault="00926B57"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84</w:t>
            </w:r>
          </w:p>
        </w:tc>
        <w:tc>
          <w:tcPr>
            <w:tcW w:w="593" w:type="pct"/>
            <w:vAlign w:val="center"/>
          </w:tcPr>
          <w:p w14:paraId="50053749" w14:textId="37EB4113" w:rsidR="00470FB2" w:rsidRPr="003E2E9E" w:rsidRDefault="00926B57" w:rsidP="007E2930">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82</w:t>
            </w:r>
          </w:p>
        </w:tc>
      </w:tr>
    </w:tbl>
    <w:p w14:paraId="32C71C93" w14:textId="77777777" w:rsidR="00470FB2" w:rsidRPr="00470FB2" w:rsidRDefault="00470FB2" w:rsidP="00470FB2">
      <w:pPr>
        <w:rPr>
          <w:rFonts w:ascii="Arial" w:hAnsi="Arial" w:cs="Arial"/>
          <w:bCs/>
          <w:sz w:val="16"/>
        </w:rPr>
      </w:pPr>
    </w:p>
    <w:p w14:paraId="1BA01124" w14:textId="77777777" w:rsidR="00470FB2" w:rsidRPr="00470FB2" w:rsidRDefault="00470FB2" w:rsidP="00AC68D4">
      <w:pPr>
        <w:pStyle w:val="Akapitzlist"/>
        <w:numPr>
          <w:ilvl w:val="1"/>
          <w:numId w:val="20"/>
        </w:numPr>
        <w:spacing w:after="240"/>
        <w:rPr>
          <w:rFonts w:ascii="Arial" w:hAnsi="Arial" w:cs="Arial"/>
          <w:bCs/>
        </w:rPr>
      </w:pPr>
      <w:r w:rsidRPr="00470FB2">
        <w:rPr>
          <w:rFonts w:ascii="Arial" w:hAnsi="Arial" w:cs="Arial"/>
          <w:bCs/>
        </w:rPr>
        <w:t>Wartość wskaźnika „J” w kolejnych latach będzie nie wyższa niż:</w:t>
      </w:r>
    </w:p>
    <w:tbl>
      <w:tblPr>
        <w:tblStyle w:val="Tabela-Siatka1"/>
        <w:tblW w:w="3865" w:type="pct"/>
        <w:jc w:val="center"/>
        <w:tblLayout w:type="fixed"/>
        <w:tblLook w:val="04A0" w:firstRow="1" w:lastRow="0" w:firstColumn="1" w:lastColumn="0" w:noHBand="0" w:noVBand="1"/>
      </w:tblPr>
      <w:tblGrid>
        <w:gridCol w:w="2210"/>
        <w:gridCol w:w="896"/>
        <w:gridCol w:w="1002"/>
        <w:gridCol w:w="1002"/>
        <w:gridCol w:w="1002"/>
        <w:gridCol w:w="1003"/>
      </w:tblGrid>
      <w:tr w:rsidR="009560CA" w:rsidRPr="003E2E9E" w14:paraId="02BECF82" w14:textId="77777777" w:rsidTr="009560CA">
        <w:trPr>
          <w:trHeight w:val="227"/>
          <w:jc w:val="center"/>
        </w:trPr>
        <w:tc>
          <w:tcPr>
            <w:tcW w:w="1553" w:type="pct"/>
            <w:vMerge w:val="restart"/>
            <w:vAlign w:val="center"/>
          </w:tcPr>
          <w:p w14:paraId="66BE4E78" w14:textId="77777777" w:rsidR="009560CA" w:rsidRPr="003E2E9E" w:rsidRDefault="009560CA" w:rsidP="007E2930">
            <w:pPr>
              <w:spacing w:before="0"/>
              <w:jc w:val="center"/>
              <w:rPr>
                <w:rFonts w:ascii="Arial" w:eastAsia="Times New Roman" w:hAnsi="Arial" w:cs="Arial"/>
                <w:b/>
                <w:bCs/>
                <w:kern w:val="28"/>
                <w:sz w:val="18"/>
                <w:szCs w:val="18"/>
                <w:lang w:eastAsia="pl-PL"/>
              </w:rPr>
            </w:pPr>
            <w:r w:rsidRPr="003E2E9E">
              <w:rPr>
                <w:rFonts w:ascii="Arial" w:eastAsia="Times New Roman" w:hAnsi="Arial" w:cs="Arial"/>
                <w:kern w:val="28"/>
                <w:sz w:val="18"/>
                <w:szCs w:val="18"/>
                <w:lang w:eastAsia="pl-PL"/>
              </w:rPr>
              <w:t xml:space="preserve">Wskaźnik </w:t>
            </w:r>
            <w:r>
              <w:rPr>
                <w:rFonts w:ascii="Arial" w:eastAsia="Times New Roman" w:hAnsi="Arial" w:cs="Arial"/>
                <w:kern w:val="28"/>
                <w:sz w:val="18"/>
                <w:szCs w:val="18"/>
                <w:lang w:eastAsia="pl-PL"/>
              </w:rPr>
              <w:t>„J”</w:t>
            </w:r>
          </w:p>
        </w:tc>
        <w:tc>
          <w:tcPr>
            <w:tcW w:w="3447" w:type="pct"/>
            <w:gridSpan w:val="5"/>
            <w:vAlign w:val="center"/>
          </w:tcPr>
          <w:p w14:paraId="6840385A" w14:textId="77777777" w:rsidR="009560CA" w:rsidRPr="003E2E9E" w:rsidRDefault="009560CA" w:rsidP="007E2930">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Oczekiwana wartość wskaźnika w latach</w:t>
            </w:r>
          </w:p>
        </w:tc>
      </w:tr>
      <w:tr w:rsidR="009560CA" w:rsidRPr="003E2E9E" w14:paraId="706EBDCB" w14:textId="77777777" w:rsidTr="009560CA">
        <w:trPr>
          <w:trHeight w:val="227"/>
          <w:jc w:val="center"/>
        </w:trPr>
        <w:tc>
          <w:tcPr>
            <w:tcW w:w="1553" w:type="pct"/>
            <w:vMerge/>
          </w:tcPr>
          <w:p w14:paraId="6D2B5689" w14:textId="77777777" w:rsidR="009560CA" w:rsidRPr="003E2E9E" w:rsidRDefault="009560CA" w:rsidP="007E2930">
            <w:pPr>
              <w:spacing w:before="0"/>
              <w:rPr>
                <w:rFonts w:ascii="Arial" w:eastAsia="Times New Roman" w:hAnsi="Arial" w:cs="Arial"/>
                <w:b/>
                <w:bCs/>
                <w:kern w:val="28"/>
                <w:sz w:val="18"/>
                <w:szCs w:val="18"/>
                <w:lang w:eastAsia="pl-PL"/>
              </w:rPr>
            </w:pPr>
          </w:p>
        </w:tc>
        <w:tc>
          <w:tcPr>
            <w:tcW w:w="630" w:type="pct"/>
            <w:vAlign w:val="center"/>
          </w:tcPr>
          <w:p w14:paraId="4E569C7F" w14:textId="2C86797B" w:rsidR="009560CA" w:rsidRPr="003E2E9E" w:rsidRDefault="009560CA" w:rsidP="00F31452">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w:t>
            </w:r>
            <w:r>
              <w:rPr>
                <w:rFonts w:ascii="Arial" w:eastAsia="Times New Roman" w:hAnsi="Arial" w:cs="Arial"/>
                <w:kern w:val="28"/>
                <w:sz w:val="18"/>
                <w:szCs w:val="18"/>
                <w:lang w:eastAsia="pl-PL"/>
              </w:rPr>
              <w:t>24</w:t>
            </w:r>
          </w:p>
        </w:tc>
        <w:tc>
          <w:tcPr>
            <w:tcW w:w="704" w:type="pct"/>
            <w:vAlign w:val="center"/>
          </w:tcPr>
          <w:p w14:paraId="6BBE8E33" w14:textId="1DF590E8" w:rsidR="009560CA" w:rsidRPr="003E2E9E" w:rsidRDefault="009560CA" w:rsidP="00F31452">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5</w:t>
            </w:r>
          </w:p>
        </w:tc>
        <w:tc>
          <w:tcPr>
            <w:tcW w:w="704" w:type="pct"/>
            <w:vAlign w:val="center"/>
          </w:tcPr>
          <w:p w14:paraId="0862211C" w14:textId="49C85CC9" w:rsidR="009560CA" w:rsidRPr="003E2E9E" w:rsidRDefault="009560CA" w:rsidP="00F31452">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6</w:t>
            </w:r>
          </w:p>
        </w:tc>
        <w:tc>
          <w:tcPr>
            <w:tcW w:w="704" w:type="pct"/>
            <w:vAlign w:val="center"/>
          </w:tcPr>
          <w:p w14:paraId="379CD5E9" w14:textId="574F2F2E" w:rsidR="009560CA" w:rsidRPr="003E2E9E" w:rsidRDefault="009560CA" w:rsidP="00F31452">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7</w:t>
            </w:r>
          </w:p>
        </w:tc>
        <w:tc>
          <w:tcPr>
            <w:tcW w:w="705" w:type="pct"/>
            <w:vAlign w:val="center"/>
          </w:tcPr>
          <w:p w14:paraId="16C721F7" w14:textId="76D07851" w:rsidR="009560CA" w:rsidRPr="003E2E9E" w:rsidRDefault="009560CA" w:rsidP="00F31452">
            <w:pPr>
              <w:spacing w:before="0"/>
              <w:jc w:val="center"/>
              <w:rPr>
                <w:rFonts w:ascii="Arial" w:eastAsia="Times New Roman" w:hAnsi="Arial" w:cs="Arial"/>
                <w:kern w:val="28"/>
                <w:sz w:val="18"/>
                <w:szCs w:val="18"/>
                <w:lang w:eastAsia="pl-PL"/>
              </w:rPr>
            </w:pPr>
            <w:r w:rsidRPr="003E2E9E">
              <w:rPr>
                <w:rFonts w:ascii="Arial" w:eastAsia="Times New Roman" w:hAnsi="Arial" w:cs="Arial"/>
                <w:kern w:val="28"/>
                <w:sz w:val="18"/>
                <w:szCs w:val="18"/>
                <w:lang w:eastAsia="pl-PL"/>
              </w:rPr>
              <w:t>202</w:t>
            </w:r>
            <w:r>
              <w:rPr>
                <w:rFonts w:ascii="Arial" w:eastAsia="Times New Roman" w:hAnsi="Arial" w:cs="Arial"/>
                <w:kern w:val="28"/>
                <w:sz w:val="18"/>
                <w:szCs w:val="18"/>
                <w:lang w:eastAsia="pl-PL"/>
              </w:rPr>
              <w:t>8</w:t>
            </w:r>
          </w:p>
        </w:tc>
      </w:tr>
      <w:tr w:rsidR="009560CA" w:rsidRPr="003E2E9E" w14:paraId="4F04C6CC" w14:textId="77777777" w:rsidTr="009560CA">
        <w:trPr>
          <w:trHeight w:val="227"/>
          <w:jc w:val="center"/>
        </w:trPr>
        <w:tc>
          <w:tcPr>
            <w:tcW w:w="1553" w:type="pct"/>
            <w:vAlign w:val="center"/>
          </w:tcPr>
          <w:p w14:paraId="6374165F" w14:textId="77777777" w:rsidR="009560CA" w:rsidRPr="00F31452" w:rsidRDefault="009560CA" w:rsidP="008D3F07">
            <w:pPr>
              <w:spacing w:before="0"/>
              <w:jc w:val="left"/>
              <w:rPr>
                <w:rFonts w:ascii="Arial" w:eastAsia="Times New Roman" w:hAnsi="Arial" w:cs="Arial"/>
                <w:b/>
                <w:bCs/>
                <w:kern w:val="28"/>
                <w:sz w:val="18"/>
                <w:szCs w:val="18"/>
                <w:lang w:eastAsia="pl-PL"/>
              </w:rPr>
            </w:pPr>
            <w:r w:rsidRPr="00F31452">
              <w:rPr>
                <w:rFonts w:ascii="Arial" w:hAnsi="Arial" w:cs="Arial"/>
                <w:bCs/>
              </w:rPr>
              <w:t>stan techniczny nawierzchni torowej</w:t>
            </w:r>
          </w:p>
        </w:tc>
        <w:tc>
          <w:tcPr>
            <w:tcW w:w="630" w:type="pct"/>
            <w:vAlign w:val="center"/>
          </w:tcPr>
          <w:p w14:paraId="2EFD0255" w14:textId="77777777" w:rsidR="009560CA" w:rsidRPr="00F31452" w:rsidRDefault="009560CA" w:rsidP="008D3F07">
            <w:pPr>
              <w:spacing w:before="0"/>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2,90</w:t>
            </w:r>
          </w:p>
        </w:tc>
        <w:tc>
          <w:tcPr>
            <w:tcW w:w="704" w:type="pct"/>
            <w:vAlign w:val="center"/>
          </w:tcPr>
          <w:p w14:paraId="3B4F4421" w14:textId="77777777" w:rsidR="009560CA" w:rsidRPr="00F31452" w:rsidRDefault="009560CA" w:rsidP="008D3F07">
            <w:pPr>
              <w:spacing w:before="0"/>
              <w:jc w:val="center"/>
              <w:rPr>
                <w:rFonts w:ascii="Arial" w:eastAsia="Times New Roman" w:hAnsi="Arial" w:cs="Arial"/>
                <w:kern w:val="28"/>
                <w:sz w:val="18"/>
                <w:szCs w:val="18"/>
                <w:lang w:eastAsia="pl-PL"/>
              </w:rPr>
            </w:pPr>
            <w:r w:rsidRPr="00E43A86">
              <w:rPr>
                <w:rFonts w:ascii="Arial" w:eastAsia="Times New Roman" w:hAnsi="Arial" w:cs="Arial"/>
                <w:kern w:val="28"/>
                <w:sz w:val="18"/>
                <w:szCs w:val="18"/>
                <w:lang w:eastAsia="pl-PL"/>
              </w:rPr>
              <w:t>2,90</w:t>
            </w:r>
          </w:p>
        </w:tc>
        <w:tc>
          <w:tcPr>
            <w:tcW w:w="704" w:type="pct"/>
            <w:vAlign w:val="center"/>
          </w:tcPr>
          <w:p w14:paraId="6AF58A3D" w14:textId="77777777" w:rsidR="009560CA" w:rsidRPr="00F31452" w:rsidRDefault="009560CA" w:rsidP="008D3F07">
            <w:pPr>
              <w:spacing w:before="0"/>
              <w:jc w:val="center"/>
              <w:rPr>
                <w:rFonts w:ascii="Arial" w:eastAsia="Times New Roman" w:hAnsi="Arial" w:cs="Arial"/>
                <w:kern w:val="28"/>
                <w:sz w:val="18"/>
                <w:szCs w:val="18"/>
                <w:lang w:eastAsia="pl-PL"/>
              </w:rPr>
            </w:pPr>
            <w:r w:rsidRPr="00E43A86">
              <w:rPr>
                <w:rFonts w:ascii="Arial" w:eastAsia="Times New Roman" w:hAnsi="Arial" w:cs="Arial"/>
                <w:kern w:val="28"/>
                <w:sz w:val="18"/>
                <w:szCs w:val="18"/>
                <w:lang w:eastAsia="pl-PL"/>
              </w:rPr>
              <w:t>2,90</w:t>
            </w:r>
          </w:p>
        </w:tc>
        <w:tc>
          <w:tcPr>
            <w:tcW w:w="704" w:type="pct"/>
            <w:vAlign w:val="center"/>
          </w:tcPr>
          <w:p w14:paraId="68C547B6" w14:textId="77777777" w:rsidR="009560CA" w:rsidRPr="00F31452" w:rsidRDefault="009560CA" w:rsidP="008D3F07">
            <w:pPr>
              <w:spacing w:before="0"/>
              <w:jc w:val="center"/>
              <w:rPr>
                <w:rFonts w:ascii="Arial" w:eastAsia="Times New Roman" w:hAnsi="Arial" w:cs="Arial"/>
                <w:kern w:val="28"/>
                <w:sz w:val="18"/>
                <w:szCs w:val="18"/>
                <w:lang w:eastAsia="pl-PL"/>
              </w:rPr>
            </w:pPr>
            <w:r w:rsidRPr="00E43A86">
              <w:rPr>
                <w:rFonts w:ascii="Arial" w:eastAsia="Times New Roman" w:hAnsi="Arial" w:cs="Arial"/>
                <w:kern w:val="28"/>
                <w:sz w:val="18"/>
                <w:szCs w:val="18"/>
                <w:lang w:eastAsia="pl-PL"/>
              </w:rPr>
              <w:t>2,90</w:t>
            </w:r>
          </w:p>
        </w:tc>
        <w:tc>
          <w:tcPr>
            <w:tcW w:w="705" w:type="pct"/>
            <w:vAlign w:val="center"/>
          </w:tcPr>
          <w:p w14:paraId="735CED34" w14:textId="77777777" w:rsidR="009560CA" w:rsidRPr="003E2E9E" w:rsidRDefault="009560CA" w:rsidP="008D3F07">
            <w:pPr>
              <w:spacing w:before="0"/>
              <w:jc w:val="center"/>
              <w:rPr>
                <w:rFonts w:ascii="Arial" w:eastAsia="Times New Roman" w:hAnsi="Arial" w:cs="Arial"/>
                <w:kern w:val="28"/>
                <w:sz w:val="18"/>
                <w:szCs w:val="18"/>
                <w:lang w:eastAsia="pl-PL"/>
              </w:rPr>
            </w:pPr>
            <w:r w:rsidRPr="00E43A86">
              <w:rPr>
                <w:rFonts w:ascii="Arial" w:eastAsia="Times New Roman" w:hAnsi="Arial" w:cs="Arial"/>
                <w:kern w:val="28"/>
                <w:sz w:val="18"/>
                <w:szCs w:val="18"/>
                <w:lang w:eastAsia="pl-PL"/>
              </w:rPr>
              <w:t>2,90</w:t>
            </w:r>
          </w:p>
        </w:tc>
      </w:tr>
    </w:tbl>
    <w:p w14:paraId="054B50F6" w14:textId="77777777" w:rsidR="00470FB2" w:rsidRPr="00470FB2" w:rsidRDefault="00470FB2" w:rsidP="00470FB2">
      <w:pPr>
        <w:rPr>
          <w:rFonts w:ascii="Arial" w:hAnsi="Arial" w:cs="Arial"/>
          <w:bCs/>
          <w:sz w:val="18"/>
        </w:rPr>
      </w:pPr>
    </w:p>
    <w:sectPr w:rsidR="00470FB2" w:rsidRPr="00470FB2" w:rsidSect="005C1C47">
      <w:footerReference w:type="default" r:id="rId12"/>
      <w:headerReference w:type="first" r:id="rId1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FD485" w14:textId="77777777" w:rsidR="00603797" w:rsidRDefault="00603797">
      <w:pPr>
        <w:spacing w:before="0"/>
      </w:pPr>
      <w:r>
        <w:separator/>
      </w:r>
    </w:p>
  </w:endnote>
  <w:endnote w:type="continuationSeparator" w:id="0">
    <w:p w14:paraId="01D4781B" w14:textId="77777777" w:rsidR="00603797" w:rsidRDefault="0060379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20"/>
        <w:szCs w:val="20"/>
      </w:rPr>
      <w:id w:val="-14844494"/>
      <w:docPartObj>
        <w:docPartGallery w:val="Page Numbers (Bottom of Page)"/>
        <w:docPartUnique/>
      </w:docPartObj>
    </w:sdtPr>
    <w:sdtEndPr/>
    <w:sdtContent>
      <w:p w14:paraId="2321DE80" w14:textId="4FE53238" w:rsidR="008C3725" w:rsidRPr="00F726A4" w:rsidRDefault="008C3725" w:rsidP="00F726A4">
        <w:pPr>
          <w:pStyle w:val="Stopka"/>
          <w:jc w:val="right"/>
          <w:rPr>
            <w:rFonts w:ascii="Arial" w:hAnsi="Arial" w:cs="Arial"/>
            <w:sz w:val="20"/>
            <w:szCs w:val="20"/>
          </w:rPr>
        </w:pPr>
        <w:r w:rsidRPr="00F726A4">
          <w:rPr>
            <w:rFonts w:ascii="Arial" w:eastAsiaTheme="majorEastAsia" w:hAnsi="Arial" w:cs="Arial"/>
            <w:sz w:val="20"/>
            <w:szCs w:val="20"/>
          </w:rPr>
          <w:t xml:space="preserve">str. </w:t>
        </w:r>
        <w:r w:rsidR="00987BC9" w:rsidRPr="00F726A4">
          <w:rPr>
            <w:rFonts w:ascii="Arial" w:eastAsiaTheme="minorEastAsia" w:hAnsi="Arial" w:cs="Arial"/>
            <w:sz w:val="20"/>
            <w:szCs w:val="20"/>
          </w:rPr>
          <w:fldChar w:fldCharType="begin"/>
        </w:r>
        <w:r w:rsidRPr="00F726A4">
          <w:rPr>
            <w:rFonts w:ascii="Arial" w:hAnsi="Arial" w:cs="Arial"/>
            <w:sz w:val="20"/>
            <w:szCs w:val="20"/>
          </w:rPr>
          <w:instrText>PAGE    \* MERGEFORMAT</w:instrText>
        </w:r>
        <w:r w:rsidR="00987BC9" w:rsidRPr="00F726A4">
          <w:rPr>
            <w:rFonts w:ascii="Arial" w:eastAsiaTheme="minorEastAsia" w:hAnsi="Arial" w:cs="Arial"/>
            <w:sz w:val="20"/>
            <w:szCs w:val="20"/>
          </w:rPr>
          <w:fldChar w:fldCharType="separate"/>
        </w:r>
        <w:r w:rsidR="0009703C" w:rsidRPr="0009703C">
          <w:rPr>
            <w:rFonts w:ascii="Arial" w:eastAsiaTheme="majorEastAsia" w:hAnsi="Arial" w:cs="Arial"/>
            <w:noProof/>
            <w:sz w:val="20"/>
            <w:szCs w:val="20"/>
          </w:rPr>
          <w:t>8</w:t>
        </w:r>
        <w:r w:rsidR="00987BC9" w:rsidRPr="00F726A4">
          <w:rPr>
            <w:rFonts w:ascii="Arial" w:eastAsiaTheme="majorEastAsia" w:hAnsi="Arial" w:cs="Arial"/>
            <w:sz w:val="20"/>
            <w:szCs w:val="20"/>
          </w:rPr>
          <w:fldChar w:fldCharType="end"/>
        </w:r>
      </w:p>
    </w:sdtContent>
  </w:sdt>
  <w:p w14:paraId="6561A845" w14:textId="77777777" w:rsidR="008C3725" w:rsidRDefault="008C3725">
    <w:pPr>
      <w:pStyle w:val="Stopka1"/>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12971" w14:textId="77777777" w:rsidR="00603797" w:rsidRDefault="00603797">
      <w:pPr>
        <w:spacing w:before="0"/>
      </w:pPr>
      <w:r>
        <w:separator/>
      </w:r>
    </w:p>
  </w:footnote>
  <w:footnote w:type="continuationSeparator" w:id="0">
    <w:p w14:paraId="0992C917" w14:textId="77777777" w:rsidR="00603797" w:rsidRDefault="0060379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13"/>
      <w:gridCol w:w="4602"/>
    </w:tblGrid>
    <w:tr w:rsidR="008C3725" w:rsidRPr="00F726A4" w14:paraId="37B47FEA" w14:textId="77777777" w:rsidTr="00825794">
      <w:trPr>
        <w:jc w:val="center"/>
      </w:trPr>
      <w:tc>
        <w:tcPr>
          <w:tcW w:w="4686" w:type="dxa"/>
          <w:shd w:val="clear" w:color="auto" w:fill="C0504D" w:themeFill="accent2"/>
          <w:vAlign w:val="center"/>
        </w:tcPr>
        <w:p w14:paraId="6EDE2909" w14:textId="77777777" w:rsidR="008C3725" w:rsidRPr="00F726A4" w:rsidRDefault="008C3725" w:rsidP="00F726A4">
          <w:pPr>
            <w:tabs>
              <w:tab w:val="center" w:pos="4536"/>
              <w:tab w:val="right" w:pos="9072"/>
            </w:tabs>
            <w:spacing w:before="0"/>
            <w:rPr>
              <w:rFonts w:ascii="Arial" w:hAnsi="Arial" w:cs="Arial"/>
              <w:caps/>
              <w:color w:val="FFFFFF" w:themeColor="background1"/>
              <w:sz w:val="18"/>
              <w:szCs w:val="18"/>
            </w:rPr>
          </w:pPr>
        </w:p>
      </w:tc>
      <w:tc>
        <w:tcPr>
          <w:tcW w:w="4674" w:type="dxa"/>
          <w:shd w:val="clear" w:color="auto" w:fill="C0504D" w:themeFill="accent2"/>
          <w:vAlign w:val="center"/>
        </w:tcPr>
        <w:p w14:paraId="5BD93AE0" w14:textId="77777777" w:rsidR="008C3725" w:rsidRPr="00F726A4" w:rsidRDefault="008C3725" w:rsidP="00F726A4">
          <w:pPr>
            <w:tabs>
              <w:tab w:val="center" w:pos="4536"/>
              <w:tab w:val="right" w:pos="9072"/>
            </w:tabs>
            <w:spacing w:before="0"/>
            <w:jc w:val="right"/>
            <w:rPr>
              <w:rFonts w:ascii="Arial" w:hAnsi="Arial" w:cs="Arial"/>
              <w:caps/>
              <w:color w:val="FFFFFF" w:themeColor="background1"/>
              <w:sz w:val="18"/>
              <w:szCs w:val="18"/>
            </w:rPr>
          </w:pPr>
        </w:p>
      </w:tc>
    </w:tr>
    <w:tr w:rsidR="008C3725" w:rsidRPr="00F726A4" w14:paraId="2D96ECFA" w14:textId="77777777" w:rsidTr="00825794">
      <w:trPr>
        <w:trHeight w:hRule="exact" w:val="115"/>
        <w:jc w:val="center"/>
      </w:trPr>
      <w:tc>
        <w:tcPr>
          <w:tcW w:w="4686" w:type="dxa"/>
          <w:shd w:val="clear" w:color="auto" w:fill="4F81BD" w:themeFill="accent1"/>
          <w:tcMar>
            <w:top w:w="0" w:type="dxa"/>
            <w:bottom w:w="0" w:type="dxa"/>
          </w:tcMar>
        </w:tcPr>
        <w:p w14:paraId="229BF400" w14:textId="77777777" w:rsidR="008C3725" w:rsidRPr="00F726A4" w:rsidRDefault="008C3725" w:rsidP="00F726A4">
          <w:pPr>
            <w:tabs>
              <w:tab w:val="center" w:pos="4536"/>
              <w:tab w:val="right" w:pos="9072"/>
            </w:tabs>
            <w:spacing w:before="0"/>
            <w:rPr>
              <w:caps/>
              <w:color w:val="FFFFFF" w:themeColor="background1"/>
              <w:sz w:val="18"/>
              <w:szCs w:val="18"/>
            </w:rPr>
          </w:pPr>
        </w:p>
      </w:tc>
      <w:tc>
        <w:tcPr>
          <w:tcW w:w="4674" w:type="dxa"/>
          <w:shd w:val="clear" w:color="auto" w:fill="4F81BD" w:themeFill="accent1"/>
          <w:tcMar>
            <w:top w:w="0" w:type="dxa"/>
            <w:bottom w:w="0" w:type="dxa"/>
          </w:tcMar>
        </w:tcPr>
        <w:p w14:paraId="53EC5C1F" w14:textId="77777777" w:rsidR="008C3725" w:rsidRPr="00F726A4" w:rsidRDefault="008C3725" w:rsidP="00F726A4">
          <w:pPr>
            <w:tabs>
              <w:tab w:val="center" w:pos="4536"/>
              <w:tab w:val="right" w:pos="9072"/>
            </w:tabs>
            <w:spacing w:before="0"/>
            <w:rPr>
              <w:caps/>
              <w:color w:val="FFFFFF" w:themeColor="background1"/>
              <w:sz w:val="18"/>
              <w:szCs w:val="18"/>
            </w:rPr>
          </w:pPr>
        </w:p>
      </w:tc>
    </w:tr>
  </w:tbl>
  <w:p w14:paraId="120DF2E3" w14:textId="77777777" w:rsidR="008C3725" w:rsidRDefault="008C37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3182"/>
    <w:multiLevelType w:val="multilevel"/>
    <w:tmpl w:val="215AF1E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418"/>
        </w:tabs>
        <w:ind w:left="1418" w:hanging="851"/>
      </w:pPr>
      <w:rPr>
        <w:rFonts w:cs="Times New Roman" w:hint="default"/>
      </w:rPr>
    </w:lvl>
    <w:lvl w:ilvl="3">
      <w:start w:val="1"/>
      <w:numFmt w:val="decimal"/>
      <w:lvlText w:val="%1.%2.%3.%4"/>
      <w:lvlJc w:val="left"/>
      <w:pPr>
        <w:tabs>
          <w:tab w:val="num" w:pos="1418"/>
        </w:tabs>
        <w:ind w:left="1418" w:hanging="851"/>
      </w:pPr>
      <w:rPr>
        <w:rFonts w:cs="Times New Roman" w:hint="default"/>
      </w:rPr>
    </w:lvl>
    <w:lvl w:ilvl="4">
      <w:start w:val="1"/>
      <w:numFmt w:val="lowerLetter"/>
      <w:lvlText w:val="(%5)"/>
      <w:lvlJc w:val="left"/>
      <w:pPr>
        <w:tabs>
          <w:tab w:val="num" w:pos="2268"/>
        </w:tabs>
        <w:ind w:left="2268" w:hanging="850"/>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decimal"/>
      <w:pStyle w:val="Nagwek7"/>
      <w:lvlText w:val="%1.%2.%3.%4.%5.%6.%7"/>
      <w:lvlJc w:val="left"/>
      <w:pPr>
        <w:tabs>
          <w:tab w:val="num" w:pos="1863"/>
        </w:tabs>
        <w:ind w:left="1863" w:hanging="1296"/>
      </w:pPr>
      <w:rPr>
        <w:rFonts w:cs="Times New Roman" w:hint="default"/>
      </w:rPr>
    </w:lvl>
    <w:lvl w:ilvl="7">
      <w:start w:val="1"/>
      <w:numFmt w:val="decimal"/>
      <w:pStyle w:val="Nagwek8"/>
      <w:lvlText w:val="%1.%2.%3.%4.%5.%6.%7.%8"/>
      <w:lvlJc w:val="left"/>
      <w:pPr>
        <w:tabs>
          <w:tab w:val="num" w:pos="2007"/>
        </w:tabs>
        <w:ind w:left="2007" w:hanging="1440"/>
      </w:pPr>
      <w:rPr>
        <w:rFonts w:cs="Times New Roman" w:hint="default"/>
      </w:rPr>
    </w:lvl>
    <w:lvl w:ilvl="8">
      <w:start w:val="1"/>
      <w:numFmt w:val="decimal"/>
      <w:pStyle w:val="Nagwek9"/>
      <w:lvlText w:val="%1.%2.%3.%4.%5.%6.%7.%8.%9"/>
      <w:lvlJc w:val="left"/>
      <w:pPr>
        <w:tabs>
          <w:tab w:val="num" w:pos="2151"/>
        </w:tabs>
        <w:ind w:left="2151" w:hanging="1584"/>
      </w:pPr>
      <w:rPr>
        <w:rFonts w:cs="Times New Roman" w:hint="default"/>
      </w:rPr>
    </w:lvl>
  </w:abstractNum>
  <w:abstractNum w:abstractNumId="1" w15:restartNumberingAfterBreak="0">
    <w:nsid w:val="066C1C25"/>
    <w:multiLevelType w:val="multilevel"/>
    <w:tmpl w:val="89C2799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Arial" w:hAnsi="Arial" w:cs="Arial" w:hint="default"/>
      </w:rPr>
    </w:lvl>
    <w:lvl w:ilvl="2">
      <w:start w:val="1"/>
      <w:numFmt w:val="decimal"/>
      <w:isLgl/>
      <w:lvlText w:val="%1.%2.%3"/>
      <w:lvlJc w:val="left"/>
      <w:pPr>
        <w:ind w:left="720" w:hanging="720"/>
      </w:pPr>
      <w:rPr>
        <w:rFonts w:ascii="Arial" w:hAnsi="Arial" w:cs="Arial" w:hint="default"/>
      </w:rPr>
    </w:lvl>
    <w:lvl w:ilvl="3">
      <w:start w:val="1"/>
      <w:numFmt w:val="decimal"/>
      <w:isLgl/>
      <w:lvlText w:val="%1.%2.%3.%4"/>
      <w:lvlJc w:val="left"/>
      <w:pPr>
        <w:ind w:left="720" w:hanging="720"/>
      </w:pPr>
      <w:rPr>
        <w:rFonts w:ascii="Arial" w:hAnsi="Arial" w:cs="Arial" w:hint="default"/>
      </w:rPr>
    </w:lvl>
    <w:lvl w:ilvl="4">
      <w:start w:val="1"/>
      <w:numFmt w:val="decimal"/>
      <w:isLgl/>
      <w:lvlText w:val="%1.%2.%3.%4.%5"/>
      <w:lvlJc w:val="left"/>
      <w:pPr>
        <w:ind w:left="1080" w:hanging="1080"/>
      </w:pPr>
      <w:rPr>
        <w:rFonts w:ascii="Arial" w:hAnsi="Arial" w:cs="Arial" w:hint="default"/>
      </w:rPr>
    </w:lvl>
    <w:lvl w:ilvl="5">
      <w:start w:val="1"/>
      <w:numFmt w:val="decimal"/>
      <w:isLgl/>
      <w:lvlText w:val="%1.%2.%3.%4.%5.%6"/>
      <w:lvlJc w:val="left"/>
      <w:pPr>
        <w:ind w:left="1080" w:hanging="1080"/>
      </w:pPr>
      <w:rPr>
        <w:rFonts w:ascii="Arial" w:hAnsi="Arial" w:cs="Arial" w:hint="default"/>
      </w:rPr>
    </w:lvl>
    <w:lvl w:ilvl="6">
      <w:start w:val="1"/>
      <w:numFmt w:val="decimal"/>
      <w:isLgl/>
      <w:lvlText w:val="%1.%2.%3.%4.%5.%6.%7"/>
      <w:lvlJc w:val="left"/>
      <w:pPr>
        <w:ind w:left="1440" w:hanging="1440"/>
      </w:pPr>
      <w:rPr>
        <w:rFonts w:ascii="Arial" w:hAnsi="Arial" w:cs="Arial" w:hint="default"/>
      </w:rPr>
    </w:lvl>
    <w:lvl w:ilvl="7">
      <w:start w:val="1"/>
      <w:numFmt w:val="decimal"/>
      <w:isLgl/>
      <w:lvlText w:val="%1.%2.%3.%4.%5.%6.%7.%8"/>
      <w:lvlJc w:val="left"/>
      <w:pPr>
        <w:ind w:left="1440" w:hanging="1440"/>
      </w:pPr>
      <w:rPr>
        <w:rFonts w:ascii="Arial" w:hAnsi="Arial" w:cs="Arial" w:hint="default"/>
      </w:rPr>
    </w:lvl>
    <w:lvl w:ilvl="8">
      <w:start w:val="1"/>
      <w:numFmt w:val="decimal"/>
      <w:isLgl/>
      <w:lvlText w:val="%1.%2.%3.%4.%5.%6.%7.%8.%9"/>
      <w:lvlJc w:val="left"/>
      <w:pPr>
        <w:ind w:left="1440" w:hanging="1440"/>
      </w:pPr>
      <w:rPr>
        <w:rFonts w:ascii="Arial" w:hAnsi="Arial" w:cs="Arial" w:hint="default"/>
      </w:rPr>
    </w:lvl>
  </w:abstractNum>
  <w:abstractNum w:abstractNumId="2" w15:restartNumberingAfterBreak="0">
    <w:nsid w:val="1992349A"/>
    <w:multiLevelType w:val="multilevel"/>
    <w:tmpl w:val="40B24F36"/>
    <w:lvl w:ilvl="0">
      <w:start w:val="1"/>
      <w:numFmt w:val="decimal"/>
      <w:lvlText w:val="%1"/>
      <w:lvlJc w:val="left"/>
      <w:pPr>
        <w:ind w:left="360" w:hanging="360"/>
      </w:pPr>
      <w:rPr>
        <w:rFonts w:hint="default"/>
      </w:rPr>
    </w:lvl>
    <w:lvl w:ilvl="1">
      <w:start w:val="1"/>
      <w:numFmt w:val="decimal"/>
      <w:pStyle w:val="DZPNaglowek1"/>
      <w:lvlText w:val="%1.%2"/>
      <w:lvlJc w:val="left"/>
      <w:pPr>
        <w:ind w:left="502"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D8A71D0"/>
    <w:multiLevelType w:val="multilevel"/>
    <w:tmpl w:val="1A14F59E"/>
    <w:lvl w:ilvl="0">
      <w:start w:val="1"/>
      <w:numFmt w:val="decimal"/>
      <w:lvlText w:val="%1."/>
      <w:lvlJc w:val="left"/>
      <w:pPr>
        <w:ind w:left="360" w:hanging="360"/>
      </w:pPr>
      <w:rPr>
        <w:rFonts w:ascii="Arial Black" w:hAnsi="Arial Black" w:hint="default"/>
        <w:b w:val="0"/>
        <w:i w:val="0"/>
        <w:sz w:val="22"/>
      </w:rPr>
    </w:lvl>
    <w:lvl w:ilvl="1">
      <w:start w:val="1"/>
      <w:numFmt w:val="decimal"/>
      <w:lvlText w:val="2.%2."/>
      <w:lvlJc w:val="left"/>
      <w:pPr>
        <w:ind w:left="43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745587"/>
    <w:multiLevelType w:val="hybridMultilevel"/>
    <w:tmpl w:val="D0CA91C8"/>
    <w:lvl w:ilvl="0" w:tplc="FE92C240">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5503A85"/>
    <w:multiLevelType w:val="multilevel"/>
    <w:tmpl w:val="58E48592"/>
    <w:lvl w:ilvl="0">
      <w:start w:val="1"/>
      <w:numFmt w:val="decimal"/>
      <w:lvlText w:val="%1."/>
      <w:lvlJc w:val="left"/>
      <w:pPr>
        <w:ind w:left="360" w:hanging="360"/>
      </w:pPr>
      <w:rPr>
        <w:rFonts w:ascii="Arial Black" w:hAnsi="Arial Black" w:hint="default"/>
        <w:b w:val="0"/>
        <w:i w:val="0"/>
        <w:sz w:val="22"/>
      </w:rPr>
    </w:lvl>
    <w:lvl w:ilvl="1">
      <w:start w:val="1"/>
      <w:numFmt w:val="decimal"/>
      <w:lvlText w:val="2.%2."/>
      <w:lvlJc w:val="left"/>
      <w:pPr>
        <w:ind w:left="3692" w:hanging="432"/>
      </w:pPr>
      <w:rPr>
        <w:rFonts w:hint="default"/>
      </w:rPr>
    </w:lvl>
    <w:lvl w:ilvl="2">
      <w:start w:val="1"/>
      <w:numFmt w:val="decimal"/>
      <w:lvlText w:val="%1.%2.%3."/>
      <w:lvlJc w:val="left"/>
      <w:pPr>
        <w:ind w:left="546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9833D3"/>
    <w:multiLevelType w:val="hybridMultilevel"/>
    <w:tmpl w:val="BE4E5A44"/>
    <w:lvl w:ilvl="0" w:tplc="2938C98C">
      <w:start w:val="1"/>
      <w:numFmt w:val="decimal"/>
      <w:lvlText w:val="2.%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8AB3E8A"/>
    <w:multiLevelType w:val="hybridMultilevel"/>
    <w:tmpl w:val="FFCA81EC"/>
    <w:lvl w:ilvl="0" w:tplc="84C021A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3831B9"/>
    <w:multiLevelType w:val="hybridMultilevel"/>
    <w:tmpl w:val="7F1259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E73C95"/>
    <w:multiLevelType w:val="hybridMultilevel"/>
    <w:tmpl w:val="8A043C36"/>
    <w:lvl w:ilvl="0" w:tplc="30DAA230">
      <w:start w:val="1"/>
      <w:numFmt w:val="decimal"/>
      <w:lvlText w:val="%1."/>
      <w:lvlJc w:val="left"/>
      <w:pPr>
        <w:ind w:left="360" w:hanging="360"/>
      </w:pPr>
      <w:rPr>
        <w:rFonts w:ascii="Arial" w:hAnsi="Arial" w:hint="default"/>
        <w:b w:val="0"/>
        <w:i w:val="0"/>
        <w:sz w:val="22"/>
      </w:rPr>
    </w:lvl>
    <w:lvl w:ilvl="1" w:tplc="B04843EE">
      <w:start w:val="1"/>
      <w:numFmt w:val="lowerRoman"/>
      <w:lvlText w:val="%2)"/>
      <w:lvlJc w:val="left"/>
      <w:pPr>
        <w:ind w:left="1440" w:hanging="360"/>
      </w:pPr>
      <w:rPr>
        <w:rFonts w:ascii="Arial" w:hAnsi="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BA21EA"/>
    <w:multiLevelType w:val="hybridMultilevel"/>
    <w:tmpl w:val="8A043C36"/>
    <w:lvl w:ilvl="0" w:tplc="30DAA230">
      <w:start w:val="1"/>
      <w:numFmt w:val="decimal"/>
      <w:lvlText w:val="%1."/>
      <w:lvlJc w:val="left"/>
      <w:pPr>
        <w:ind w:left="360" w:hanging="360"/>
      </w:pPr>
      <w:rPr>
        <w:rFonts w:ascii="Arial" w:hAnsi="Arial" w:hint="default"/>
        <w:b w:val="0"/>
        <w:i w:val="0"/>
        <w:sz w:val="22"/>
      </w:rPr>
    </w:lvl>
    <w:lvl w:ilvl="1" w:tplc="B04843EE">
      <w:start w:val="1"/>
      <w:numFmt w:val="lowerRoman"/>
      <w:lvlText w:val="%2)"/>
      <w:lvlJc w:val="left"/>
      <w:pPr>
        <w:ind w:left="1440" w:hanging="360"/>
      </w:pPr>
      <w:rPr>
        <w:rFonts w:ascii="Arial" w:hAnsi="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D221B7"/>
    <w:multiLevelType w:val="multilevel"/>
    <w:tmpl w:val="7EEA36D2"/>
    <w:lvl w:ilvl="0">
      <w:start w:val="1"/>
      <w:numFmt w:val="decimal"/>
      <w:lvlText w:val="%1."/>
      <w:lvlJc w:val="left"/>
      <w:pPr>
        <w:ind w:left="360" w:hanging="360"/>
      </w:pPr>
      <w:rPr>
        <w:rFonts w:ascii="Arial Black" w:hAnsi="Arial Black" w:hint="default"/>
        <w:b w:val="0"/>
        <w:i w:val="0"/>
        <w:sz w:val="22"/>
      </w:rPr>
    </w:lvl>
    <w:lvl w:ilvl="1">
      <w:start w:val="1"/>
      <w:numFmt w:val="decimal"/>
      <w:lvlText w:val="4.%2."/>
      <w:lvlJc w:val="left"/>
      <w:pPr>
        <w:ind w:left="3692" w:hanging="432"/>
      </w:pPr>
      <w:rPr>
        <w:rFonts w:hint="default"/>
      </w:rPr>
    </w:lvl>
    <w:lvl w:ilvl="2">
      <w:start w:val="1"/>
      <w:numFmt w:val="decimal"/>
      <w:lvlText w:val="%1.%2.%3."/>
      <w:lvlJc w:val="left"/>
      <w:pPr>
        <w:ind w:left="546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1F27105"/>
    <w:multiLevelType w:val="multilevel"/>
    <w:tmpl w:val="72B64F8A"/>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A2C1C4A"/>
    <w:multiLevelType w:val="hybridMultilevel"/>
    <w:tmpl w:val="A4C0FC8A"/>
    <w:lvl w:ilvl="0" w:tplc="30DAA230">
      <w:start w:val="1"/>
      <w:numFmt w:val="decimal"/>
      <w:lvlText w:val="%1."/>
      <w:lvlJc w:val="left"/>
      <w:pPr>
        <w:ind w:left="360" w:hanging="360"/>
      </w:pPr>
      <w:rPr>
        <w:rFonts w:ascii="Arial" w:hAnsi="Arial" w:hint="default"/>
        <w:b w:val="0"/>
        <w:i w:val="0"/>
        <w:sz w:val="22"/>
      </w:rPr>
    </w:lvl>
    <w:lvl w:ilvl="1" w:tplc="E862B4DE">
      <w:start w:val="1"/>
      <w:numFmt w:val="lowerLetter"/>
      <w:lvlText w:val="%2)"/>
      <w:lvlJc w:val="left"/>
      <w:pPr>
        <w:ind w:left="1440" w:hanging="360"/>
      </w:pPr>
      <w:rPr>
        <w:rFonts w:ascii="Arial" w:hAnsi="Arial" w:hint="default"/>
        <w:sz w:val="22"/>
      </w:rPr>
    </w:lvl>
    <w:lvl w:ilvl="2" w:tplc="C316988C">
      <w:start w:val="1"/>
      <w:numFmt w:val="upperLetter"/>
      <w:lvlText w:val="%3."/>
      <w:lvlJc w:val="left"/>
      <w:pPr>
        <w:ind w:left="502" w:hanging="360"/>
      </w:pPr>
      <w:rPr>
        <w:rFonts w:ascii="Arial Black" w:hAnsi="Arial Black" w:hint="default"/>
        <w:sz w:val="24"/>
        <w:szCs w:val="24"/>
        <w:u w:val="single"/>
      </w:rPr>
    </w:lvl>
    <w:lvl w:ilvl="3" w:tplc="9CE6BCE6">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AB267A"/>
    <w:multiLevelType w:val="hybridMultilevel"/>
    <w:tmpl w:val="8A043C36"/>
    <w:lvl w:ilvl="0" w:tplc="30DAA230">
      <w:start w:val="1"/>
      <w:numFmt w:val="decimal"/>
      <w:lvlText w:val="%1."/>
      <w:lvlJc w:val="left"/>
      <w:pPr>
        <w:ind w:left="360" w:hanging="360"/>
      </w:pPr>
      <w:rPr>
        <w:rFonts w:ascii="Arial" w:hAnsi="Arial" w:hint="default"/>
        <w:b w:val="0"/>
        <w:i w:val="0"/>
        <w:sz w:val="22"/>
      </w:rPr>
    </w:lvl>
    <w:lvl w:ilvl="1" w:tplc="B04843EE">
      <w:start w:val="1"/>
      <w:numFmt w:val="lowerRoman"/>
      <w:lvlText w:val="%2)"/>
      <w:lvlJc w:val="left"/>
      <w:pPr>
        <w:ind w:left="1440" w:hanging="360"/>
      </w:pPr>
      <w:rPr>
        <w:rFonts w:ascii="Arial" w:hAnsi="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047914"/>
    <w:multiLevelType w:val="multilevel"/>
    <w:tmpl w:val="7EEA36D2"/>
    <w:lvl w:ilvl="0">
      <w:start w:val="1"/>
      <w:numFmt w:val="decimal"/>
      <w:lvlText w:val="%1."/>
      <w:lvlJc w:val="left"/>
      <w:pPr>
        <w:ind w:left="360" w:hanging="360"/>
      </w:pPr>
      <w:rPr>
        <w:rFonts w:ascii="Arial Black" w:hAnsi="Arial Black" w:hint="default"/>
        <w:b w:val="0"/>
        <w:i w:val="0"/>
        <w:sz w:val="22"/>
      </w:rPr>
    </w:lvl>
    <w:lvl w:ilvl="1">
      <w:start w:val="1"/>
      <w:numFmt w:val="decimal"/>
      <w:lvlText w:val="4.%2."/>
      <w:lvlJc w:val="left"/>
      <w:pPr>
        <w:ind w:left="3692" w:hanging="432"/>
      </w:pPr>
      <w:rPr>
        <w:rFonts w:hint="default"/>
      </w:rPr>
    </w:lvl>
    <w:lvl w:ilvl="2">
      <w:start w:val="1"/>
      <w:numFmt w:val="decimal"/>
      <w:lvlText w:val="%1.%2.%3."/>
      <w:lvlJc w:val="left"/>
      <w:pPr>
        <w:ind w:left="546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CB19C1"/>
    <w:multiLevelType w:val="multilevel"/>
    <w:tmpl w:val="68DE84B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C216C73"/>
    <w:multiLevelType w:val="hybridMultilevel"/>
    <w:tmpl w:val="8A043C36"/>
    <w:lvl w:ilvl="0" w:tplc="30DAA230">
      <w:start w:val="1"/>
      <w:numFmt w:val="decimal"/>
      <w:lvlText w:val="%1."/>
      <w:lvlJc w:val="left"/>
      <w:pPr>
        <w:ind w:left="360" w:hanging="360"/>
      </w:pPr>
      <w:rPr>
        <w:rFonts w:ascii="Arial" w:hAnsi="Arial" w:hint="default"/>
        <w:b w:val="0"/>
        <w:i w:val="0"/>
        <w:sz w:val="22"/>
      </w:rPr>
    </w:lvl>
    <w:lvl w:ilvl="1" w:tplc="B04843EE">
      <w:start w:val="1"/>
      <w:numFmt w:val="lowerRoman"/>
      <w:lvlText w:val="%2)"/>
      <w:lvlJc w:val="left"/>
      <w:pPr>
        <w:ind w:left="1440" w:hanging="360"/>
      </w:pPr>
      <w:rPr>
        <w:rFonts w:ascii="Arial" w:hAnsi="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7547F5"/>
    <w:multiLevelType w:val="multilevel"/>
    <w:tmpl w:val="8874737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12489E"/>
    <w:multiLevelType w:val="hybridMultilevel"/>
    <w:tmpl w:val="8A043C36"/>
    <w:lvl w:ilvl="0" w:tplc="30DAA230">
      <w:start w:val="1"/>
      <w:numFmt w:val="decimal"/>
      <w:lvlText w:val="%1."/>
      <w:lvlJc w:val="left"/>
      <w:pPr>
        <w:ind w:left="360" w:hanging="360"/>
      </w:pPr>
      <w:rPr>
        <w:rFonts w:ascii="Arial" w:hAnsi="Arial" w:hint="default"/>
        <w:b w:val="0"/>
        <w:i w:val="0"/>
        <w:sz w:val="22"/>
      </w:rPr>
    </w:lvl>
    <w:lvl w:ilvl="1" w:tplc="B04843EE">
      <w:start w:val="1"/>
      <w:numFmt w:val="lowerRoman"/>
      <w:lvlText w:val="%2)"/>
      <w:lvlJc w:val="left"/>
      <w:pPr>
        <w:ind w:left="1440" w:hanging="360"/>
      </w:pPr>
      <w:rPr>
        <w:rFonts w:ascii="Arial" w:hAnsi="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7F0A09"/>
    <w:multiLevelType w:val="hybridMultilevel"/>
    <w:tmpl w:val="043E0582"/>
    <w:lvl w:ilvl="0" w:tplc="0DBAFD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9"/>
  </w:num>
  <w:num w:numId="4">
    <w:abstractNumId w:val="13"/>
  </w:num>
  <w:num w:numId="5">
    <w:abstractNumId w:val="5"/>
  </w:num>
  <w:num w:numId="6">
    <w:abstractNumId w:val="7"/>
  </w:num>
  <w:num w:numId="7">
    <w:abstractNumId w:val="11"/>
  </w:num>
  <w:num w:numId="8">
    <w:abstractNumId w:val="8"/>
  </w:num>
  <w:num w:numId="9">
    <w:abstractNumId w:val="14"/>
  </w:num>
  <w:num w:numId="10">
    <w:abstractNumId w:val="4"/>
  </w:num>
  <w:num w:numId="11">
    <w:abstractNumId w:val="9"/>
  </w:num>
  <w:num w:numId="12">
    <w:abstractNumId w:val="6"/>
  </w:num>
  <w:num w:numId="13">
    <w:abstractNumId w:val="10"/>
  </w:num>
  <w:num w:numId="14">
    <w:abstractNumId w:val="15"/>
  </w:num>
  <w:num w:numId="15">
    <w:abstractNumId w:val="17"/>
  </w:num>
  <w:num w:numId="16">
    <w:abstractNumId w:val="3"/>
  </w:num>
  <w:num w:numId="17">
    <w:abstractNumId w:val="16"/>
  </w:num>
  <w:num w:numId="18">
    <w:abstractNumId w:val="18"/>
  </w:num>
  <w:num w:numId="19">
    <w:abstractNumId w:val="12"/>
  </w:num>
  <w:num w:numId="20">
    <w:abstractNumId w:val="1"/>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EB2"/>
    <w:rsid w:val="000008CA"/>
    <w:rsid w:val="00000C16"/>
    <w:rsid w:val="000044D3"/>
    <w:rsid w:val="00004625"/>
    <w:rsid w:val="00004C3E"/>
    <w:rsid w:val="00011445"/>
    <w:rsid w:val="0001417B"/>
    <w:rsid w:val="00015D81"/>
    <w:rsid w:val="00016FBB"/>
    <w:rsid w:val="000205B1"/>
    <w:rsid w:val="00024573"/>
    <w:rsid w:val="00026192"/>
    <w:rsid w:val="0003007D"/>
    <w:rsid w:val="00031065"/>
    <w:rsid w:val="00033E5C"/>
    <w:rsid w:val="00042B77"/>
    <w:rsid w:val="00044750"/>
    <w:rsid w:val="00045886"/>
    <w:rsid w:val="000461FB"/>
    <w:rsid w:val="00046913"/>
    <w:rsid w:val="00047418"/>
    <w:rsid w:val="00052F40"/>
    <w:rsid w:val="00052F81"/>
    <w:rsid w:val="00054916"/>
    <w:rsid w:val="00054AD2"/>
    <w:rsid w:val="00055BAD"/>
    <w:rsid w:val="000572D8"/>
    <w:rsid w:val="0006104A"/>
    <w:rsid w:val="00061143"/>
    <w:rsid w:val="00065114"/>
    <w:rsid w:val="00065318"/>
    <w:rsid w:val="0006643A"/>
    <w:rsid w:val="00066CEC"/>
    <w:rsid w:val="00066E2A"/>
    <w:rsid w:val="00070717"/>
    <w:rsid w:val="00071B87"/>
    <w:rsid w:val="00072264"/>
    <w:rsid w:val="00072D9F"/>
    <w:rsid w:val="00073CBA"/>
    <w:rsid w:val="00075094"/>
    <w:rsid w:val="00077491"/>
    <w:rsid w:val="000776B3"/>
    <w:rsid w:val="00077911"/>
    <w:rsid w:val="000806F7"/>
    <w:rsid w:val="000816C1"/>
    <w:rsid w:val="000832F6"/>
    <w:rsid w:val="0008396B"/>
    <w:rsid w:val="00083D5B"/>
    <w:rsid w:val="00085DE4"/>
    <w:rsid w:val="000870A3"/>
    <w:rsid w:val="000876B8"/>
    <w:rsid w:val="00090859"/>
    <w:rsid w:val="00091F68"/>
    <w:rsid w:val="00093126"/>
    <w:rsid w:val="00096513"/>
    <w:rsid w:val="000965A4"/>
    <w:rsid w:val="00096EB2"/>
    <w:rsid w:val="0009703C"/>
    <w:rsid w:val="00097C77"/>
    <w:rsid w:val="000A0943"/>
    <w:rsid w:val="000A0D36"/>
    <w:rsid w:val="000A0F48"/>
    <w:rsid w:val="000A31B2"/>
    <w:rsid w:val="000A4341"/>
    <w:rsid w:val="000A45E1"/>
    <w:rsid w:val="000A5B4D"/>
    <w:rsid w:val="000A70D5"/>
    <w:rsid w:val="000B0FF6"/>
    <w:rsid w:val="000B1B9B"/>
    <w:rsid w:val="000B3D4B"/>
    <w:rsid w:val="000B5DA3"/>
    <w:rsid w:val="000C146F"/>
    <w:rsid w:val="000C2704"/>
    <w:rsid w:val="000C41E1"/>
    <w:rsid w:val="000D204B"/>
    <w:rsid w:val="000D2DF6"/>
    <w:rsid w:val="000D4050"/>
    <w:rsid w:val="000D771C"/>
    <w:rsid w:val="000E1F22"/>
    <w:rsid w:val="000E5B8B"/>
    <w:rsid w:val="000E618D"/>
    <w:rsid w:val="000E64DC"/>
    <w:rsid w:val="000F0B5F"/>
    <w:rsid w:val="000F3D98"/>
    <w:rsid w:val="000F4982"/>
    <w:rsid w:val="0010023F"/>
    <w:rsid w:val="00100CE5"/>
    <w:rsid w:val="001024F0"/>
    <w:rsid w:val="0011273A"/>
    <w:rsid w:val="00117748"/>
    <w:rsid w:val="00117C0A"/>
    <w:rsid w:val="001246F2"/>
    <w:rsid w:val="00125AA6"/>
    <w:rsid w:val="00126A00"/>
    <w:rsid w:val="00132584"/>
    <w:rsid w:val="00134BA7"/>
    <w:rsid w:val="00137879"/>
    <w:rsid w:val="00140A6B"/>
    <w:rsid w:val="001412E4"/>
    <w:rsid w:val="00141905"/>
    <w:rsid w:val="00142995"/>
    <w:rsid w:val="00145EDC"/>
    <w:rsid w:val="0015142D"/>
    <w:rsid w:val="00151E82"/>
    <w:rsid w:val="00155A55"/>
    <w:rsid w:val="00155FF8"/>
    <w:rsid w:val="0015657D"/>
    <w:rsid w:val="00157ABB"/>
    <w:rsid w:val="00157C8F"/>
    <w:rsid w:val="001626A6"/>
    <w:rsid w:val="001657CA"/>
    <w:rsid w:val="00166BF1"/>
    <w:rsid w:val="001735F5"/>
    <w:rsid w:val="001737CC"/>
    <w:rsid w:val="00176316"/>
    <w:rsid w:val="00182256"/>
    <w:rsid w:val="00182AA0"/>
    <w:rsid w:val="00185367"/>
    <w:rsid w:val="00185747"/>
    <w:rsid w:val="001867EE"/>
    <w:rsid w:val="00187F5B"/>
    <w:rsid w:val="00194F28"/>
    <w:rsid w:val="001950D7"/>
    <w:rsid w:val="001954D6"/>
    <w:rsid w:val="001954F6"/>
    <w:rsid w:val="00195620"/>
    <w:rsid w:val="001960AB"/>
    <w:rsid w:val="001A1DDD"/>
    <w:rsid w:val="001A5A32"/>
    <w:rsid w:val="001B13C2"/>
    <w:rsid w:val="001B27EA"/>
    <w:rsid w:val="001B35A8"/>
    <w:rsid w:val="001B4B51"/>
    <w:rsid w:val="001B6955"/>
    <w:rsid w:val="001B6F5A"/>
    <w:rsid w:val="001C29DD"/>
    <w:rsid w:val="001C3A1A"/>
    <w:rsid w:val="001C3B7A"/>
    <w:rsid w:val="001C47DB"/>
    <w:rsid w:val="001C4B00"/>
    <w:rsid w:val="001C5E39"/>
    <w:rsid w:val="001C7486"/>
    <w:rsid w:val="001D3E8E"/>
    <w:rsid w:val="001D5811"/>
    <w:rsid w:val="001E5601"/>
    <w:rsid w:val="001E67D2"/>
    <w:rsid w:val="001F2AA0"/>
    <w:rsid w:val="001F3174"/>
    <w:rsid w:val="001F4107"/>
    <w:rsid w:val="001F7E09"/>
    <w:rsid w:val="00200C13"/>
    <w:rsid w:val="00201067"/>
    <w:rsid w:val="00204580"/>
    <w:rsid w:val="002077A1"/>
    <w:rsid w:val="00210690"/>
    <w:rsid w:val="002114EC"/>
    <w:rsid w:val="002151AD"/>
    <w:rsid w:val="0021617F"/>
    <w:rsid w:val="00216651"/>
    <w:rsid w:val="0021757C"/>
    <w:rsid w:val="002222DD"/>
    <w:rsid w:val="00223FA1"/>
    <w:rsid w:val="0022568C"/>
    <w:rsid w:val="00226C3B"/>
    <w:rsid w:val="002273DB"/>
    <w:rsid w:val="0023126E"/>
    <w:rsid w:val="002313C8"/>
    <w:rsid w:val="002323EB"/>
    <w:rsid w:val="00235630"/>
    <w:rsid w:val="00243290"/>
    <w:rsid w:val="00243DD8"/>
    <w:rsid w:val="00253FF4"/>
    <w:rsid w:val="0025462E"/>
    <w:rsid w:val="00254BB5"/>
    <w:rsid w:val="00255BBB"/>
    <w:rsid w:val="00256CC6"/>
    <w:rsid w:val="00260999"/>
    <w:rsid w:val="002735BE"/>
    <w:rsid w:val="00276BB3"/>
    <w:rsid w:val="00283896"/>
    <w:rsid w:val="00285796"/>
    <w:rsid w:val="00286C09"/>
    <w:rsid w:val="00290741"/>
    <w:rsid w:val="00293688"/>
    <w:rsid w:val="00297C8A"/>
    <w:rsid w:val="002A1CDD"/>
    <w:rsid w:val="002A4C68"/>
    <w:rsid w:val="002A5B37"/>
    <w:rsid w:val="002A5FFD"/>
    <w:rsid w:val="002A7742"/>
    <w:rsid w:val="002B1029"/>
    <w:rsid w:val="002B2A93"/>
    <w:rsid w:val="002B55BD"/>
    <w:rsid w:val="002B61B3"/>
    <w:rsid w:val="002C3D3E"/>
    <w:rsid w:val="002C5BEA"/>
    <w:rsid w:val="002C6866"/>
    <w:rsid w:val="002C71EA"/>
    <w:rsid w:val="002C740A"/>
    <w:rsid w:val="002D2C39"/>
    <w:rsid w:val="002E0446"/>
    <w:rsid w:val="002E22C6"/>
    <w:rsid w:val="002E4797"/>
    <w:rsid w:val="002E48D9"/>
    <w:rsid w:val="002E4DEE"/>
    <w:rsid w:val="002E6641"/>
    <w:rsid w:val="002E7E30"/>
    <w:rsid w:val="002F035B"/>
    <w:rsid w:val="002F33D3"/>
    <w:rsid w:val="003122B3"/>
    <w:rsid w:val="0032019F"/>
    <w:rsid w:val="00323187"/>
    <w:rsid w:val="00327980"/>
    <w:rsid w:val="00330F89"/>
    <w:rsid w:val="00334EE5"/>
    <w:rsid w:val="00334FE2"/>
    <w:rsid w:val="0034234E"/>
    <w:rsid w:val="00344B09"/>
    <w:rsid w:val="00347137"/>
    <w:rsid w:val="00347FD2"/>
    <w:rsid w:val="00352B57"/>
    <w:rsid w:val="0035315A"/>
    <w:rsid w:val="00353B8A"/>
    <w:rsid w:val="00355A6C"/>
    <w:rsid w:val="003575F4"/>
    <w:rsid w:val="00360321"/>
    <w:rsid w:val="003616A0"/>
    <w:rsid w:val="003636F7"/>
    <w:rsid w:val="00366467"/>
    <w:rsid w:val="0036757E"/>
    <w:rsid w:val="0038084F"/>
    <w:rsid w:val="00382C10"/>
    <w:rsid w:val="003915E1"/>
    <w:rsid w:val="00392EF2"/>
    <w:rsid w:val="00393E8C"/>
    <w:rsid w:val="003A15EA"/>
    <w:rsid w:val="003A34DC"/>
    <w:rsid w:val="003A3A2F"/>
    <w:rsid w:val="003A3BB7"/>
    <w:rsid w:val="003A4EAB"/>
    <w:rsid w:val="003A7FEC"/>
    <w:rsid w:val="003B0C61"/>
    <w:rsid w:val="003B0DDD"/>
    <w:rsid w:val="003B1184"/>
    <w:rsid w:val="003B123B"/>
    <w:rsid w:val="003B4835"/>
    <w:rsid w:val="003B540C"/>
    <w:rsid w:val="003B6F01"/>
    <w:rsid w:val="003B6FAC"/>
    <w:rsid w:val="003C27F3"/>
    <w:rsid w:val="003C36A4"/>
    <w:rsid w:val="003C398B"/>
    <w:rsid w:val="003D026A"/>
    <w:rsid w:val="003D1B5E"/>
    <w:rsid w:val="003D74F3"/>
    <w:rsid w:val="003E2C92"/>
    <w:rsid w:val="003E2E9E"/>
    <w:rsid w:val="003E437C"/>
    <w:rsid w:val="003E5BCD"/>
    <w:rsid w:val="003F1E29"/>
    <w:rsid w:val="003F5458"/>
    <w:rsid w:val="003F5478"/>
    <w:rsid w:val="003F6202"/>
    <w:rsid w:val="003F67CB"/>
    <w:rsid w:val="003F6B81"/>
    <w:rsid w:val="003F7E47"/>
    <w:rsid w:val="00400498"/>
    <w:rsid w:val="0040110D"/>
    <w:rsid w:val="004012CA"/>
    <w:rsid w:val="00401998"/>
    <w:rsid w:val="0040289C"/>
    <w:rsid w:val="004033A5"/>
    <w:rsid w:val="004039F5"/>
    <w:rsid w:val="00410E84"/>
    <w:rsid w:val="00411183"/>
    <w:rsid w:val="00412E4C"/>
    <w:rsid w:val="00416171"/>
    <w:rsid w:val="004221AE"/>
    <w:rsid w:val="00425345"/>
    <w:rsid w:val="00430636"/>
    <w:rsid w:val="00433696"/>
    <w:rsid w:val="00435DD2"/>
    <w:rsid w:val="00440DCE"/>
    <w:rsid w:val="00441497"/>
    <w:rsid w:val="00441C92"/>
    <w:rsid w:val="00441F67"/>
    <w:rsid w:val="004422C9"/>
    <w:rsid w:val="0044670E"/>
    <w:rsid w:val="00446F78"/>
    <w:rsid w:val="00451033"/>
    <w:rsid w:val="004519C6"/>
    <w:rsid w:val="0045491B"/>
    <w:rsid w:val="004569F3"/>
    <w:rsid w:val="00461FF2"/>
    <w:rsid w:val="004669B3"/>
    <w:rsid w:val="004679E2"/>
    <w:rsid w:val="004706B8"/>
    <w:rsid w:val="00470FB2"/>
    <w:rsid w:val="0047220D"/>
    <w:rsid w:val="00472BCD"/>
    <w:rsid w:val="00473A87"/>
    <w:rsid w:val="004742A3"/>
    <w:rsid w:val="00476BA5"/>
    <w:rsid w:val="0048369C"/>
    <w:rsid w:val="0048559F"/>
    <w:rsid w:val="004855B4"/>
    <w:rsid w:val="00490696"/>
    <w:rsid w:val="004944BC"/>
    <w:rsid w:val="00497F05"/>
    <w:rsid w:val="004A14C9"/>
    <w:rsid w:val="004A1CB2"/>
    <w:rsid w:val="004A3637"/>
    <w:rsid w:val="004A3725"/>
    <w:rsid w:val="004A67CB"/>
    <w:rsid w:val="004B0F13"/>
    <w:rsid w:val="004B1277"/>
    <w:rsid w:val="004B6195"/>
    <w:rsid w:val="004B6441"/>
    <w:rsid w:val="004C0E91"/>
    <w:rsid w:val="004D35BE"/>
    <w:rsid w:val="004D4BAE"/>
    <w:rsid w:val="004E0A49"/>
    <w:rsid w:val="004E43FF"/>
    <w:rsid w:val="004E660B"/>
    <w:rsid w:val="004E68DF"/>
    <w:rsid w:val="004F1C37"/>
    <w:rsid w:val="004F2837"/>
    <w:rsid w:val="004F55F5"/>
    <w:rsid w:val="004F6096"/>
    <w:rsid w:val="00511585"/>
    <w:rsid w:val="00511EA4"/>
    <w:rsid w:val="005204BC"/>
    <w:rsid w:val="00523E26"/>
    <w:rsid w:val="00525321"/>
    <w:rsid w:val="0052545F"/>
    <w:rsid w:val="00525EC0"/>
    <w:rsid w:val="00532C00"/>
    <w:rsid w:val="00534631"/>
    <w:rsid w:val="0053780C"/>
    <w:rsid w:val="00541C47"/>
    <w:rsid w:val="00542F02"/>
    <w:rsid w:val="005435C0"/>
    <w:rsid w:val="00543CE5"/>
    <w:rsid w:val="00544835"/>
    <w:rsid w:val="005523BE"/>
    <w:rsid w:val="00554055"/>
    <w:rsid w:val="005562CE"/>
    <w:rsid w:val="00557582"/>
    <w:rsid w:val="00561740"/>
    <w:rsid w:val="005629CD"/>
    <w:rsid w:val="00564287"/>
    <w:rsid w:val="00567C31"/>
    <w:rsid w:val="00570D25"/>
    <w:rsid w:val="0057769B"/>
    <w:rsid w:val="00580525"/>
    <w:rsid w:val="005821C4"/>
    <w:rsid w:val="005826C5"/>
    <w:rsid w:val="0058415B"/>
    <w:rsid w:val="00585B57"/>
    <w:rsid w:val="00586BAD"/>
    <w:rsid w:val="00586DEF"/>
    <w:rsid w:val="0059032A"/>
    <w:rsid w:val="00591048"/>
    <w:rsid w:val="00594F5D"/>
    <w:rsid w:val="00596939"/>
    <w:rsid w:val="00597DBC"/>
    <w:rsid w:val="005A0B32"/>
    <w:rsid w:val="005A782E"/>
    <w:rsid w:val="005B24CE"/>
    <w:rsid w:val="005C1C47"/>
    <w:rsid w:val="005C1F17"/>
    <w:rsid w:val="005C72E1"/>
    <w:rsid w:val="005D0658"/>
    <w:rsid w:val="005D0D43"/>
    <w:rsid w:val="005D1CD6"/>
    <w:rsid w:val="005D264A"/>
    <w:rsid w:val="005D509F"/>
    <w:rsid w:val="005D5507"/>
    <w:rsid w:val="005D5742"/>
    <w:rsid w:val="005E007F"/>
    <w:rsid w:val="005E2026"/>
    <w:rsid w:val="005E4919"/>
    <w:rsid w:val="005E6A5D"/>
    <w:rsid w:val="005F2B6D"/>
    <w:rsid w:val="005F2F8F"/>
    <w:rsid w:val="005F5228"/>
    <w:rsid w:val="005F71DF"/>
    <w:rsid w:val="005F7DD6"/>
    <w:rsid w:val="006027A8"/>
    <w:rsid w:val="0060281A"/>
    <w:rsid w:val="00603797"/>
    <w:rsid w:val="0060429B"/>
    <w:rsid w:val="00604BC3"/>
    <w:rsid w:val="00605CA7"/>
    <w:rsid w:val="00606D84"/>
    <w:rsid w:val="00611FE7"/>
    <w:rsid w:val="00613464"/>
    <w:rsid w:val="00613EAF"/>
    <w:rsid w:val="006174AF"/>
    <w:rsid w:val="00620456"/>
    <w:rsid w:val="0062163D"/>
    <w:rsid w:val="00630219"/>
    <w:rsid w:val="00636246"/>
    <w:rsid w:val="00637414"/>
    <w:rsid w:val="0064115D"/>
    <w:rsid w:val="006424FC"/>
    <w:rsid w:val="00643C4F"/>
    <w:rsid w:val="006443B4"/>
    <w:rsid w:val="006447EB"/>
    <w:rsid w:val="006457EA"/>
    <w:rsid w:val="00651E8F"/>
    <w:rsid w:val="00652645"/>
    <w:rsid w:val="00660286"/>
    <w:rsid w:val="006658E0"/>
    <w:rsid w:val="00667A9B"/>
    <w:rsid w:val="00667C07"/>
    <w:rsid w:val="00670BFF"/>
    <w:rsid w:val="006823A4"/>
    <w:rsid w:val="00682B4B"/>
    <w:rsid w:val="00684A95"/>
    <w:rsid w:val="00691F19"/>
    <w:rsid w:val="00692EAC"/>
    <w:rsid w:val="00692FF4"/>
    <w:rsid w:val="00695336"/>
    <w:rsid w:val="006961D5"/>
    <w:rsid w:val="006A0DB1"/>
    <w:rsid w:val="006A0DBF"/>
    <w:rsid w:val="006A1478"/>
    <w:rsid w:val="006A63E3"/>
    <w:rsid w:val="006A67FA"/>
    <w:rsid w:val="006B07F7"/>
    <w:rsid w:val="006B2EF7"/>
    <w:rsid w:val="006B7EDE"/>
    <w:rsid w:val="006C0B0D"/>
    <w:rsid w:val="006C1123"/>
    <w:rsid w:val="006C382F"/>
    <w:rsid w:val="006C489C"/>
    <w:rsid w:val="006C5ECF"/>
    <w:rsid w:val="006D6836"/>
    <w:rsid w:val="006D7566"/>
    <w:rsid w:val="006E0207"/>
    <w:rsid w:val="006E3A87"/>
    <w:rsid w:val="006E5B55"/>
    <w:rsid w:val="006F5122"/>
    <w:rsid w:val="006F5727"/>
    <w:rsid w:val="006F7413"/>
    <w:rsid w:val="0070416A"/>
    <w:rsid w:val="00707BC6"/>
    <w:rsid w:val="007112A8"/>
    <w:rsid w:val="00714BD1"/>
    <w:rsid w:val="0071541A"/>
    <w:rsid w:val="00717F9A"/>
    <w:rsid w:val="0072172E"/>
    <w:rsid w:val="00722F2C"/>
    <w:rsid w:val="007236F7"/>
    <w:rsid w:val="00725313"/>
    <w:rsid w:val="00725555"/>
    <w:rsid w:val="00727A8E"/>
    <w:rsid w:val="00727EE4"/>
    <w:rsid w:val="007309DD"/>
    <w:rsid w:val="00731730"/>
    <w:rsid w:val="007379BA"/>
    <w:rsid w:val="00741D92"/>
    <w:rsid w:val="00743C2A"/>
    <w:rsid w:val="007459AF"/>
    <w:rsid w:val="00747E03"/>
    <w:rsid w:val="00751539"/>
    <w:rsid w:val="00753A79"/>
    <w:rsid w:val="007575E4"/>
    <w:rsid w:val="00757FBD"/>
    <w:rsid w:val="007616C5"/>
    <w:rsid w:val="00763852"/>
    <w:rsid w:val="00763CC8"/>
    <w:rsid w:val="007722F9"/>
    <w:rsid w:val="0078146B"/>
    <w:rsid w:val="007827E5"/>
    <w:rsid w:val="00783C04"/>
    <w:rsid w:val="00784B60"/>
    <w:rsid w:val="00785611"/>
    <w:rsid w:val="00787956"/>
    <w:rsid w:val="007A01A7"/>
    <w:rsid w:val="007A1996"/>
    <w:rsid w:val="007A3378"/>
    <w:rsid w:val="007A49C4"/>
    <w:rsid w:val="007A516B"/>
    <w:rsid w:val="007A52A4"/>
    <w:rsid w:val="007B21EA"/>
    <w:rsid w:val="007B2247"/>
    <w:rsid w:val="007B50F4"/>
    <w:rsid w:val="007C3491"/>
    <w:rsid w:val="007C37F5"/>
    <w:rsid w:val="007D212C"/>
    <w:rsid w:val="007D3185"/>
    <w:rsid w:val="007D3ABF"/>
    <w:rsid w:val="007D5CE9"/>
    <w:rsid w:val="007D6EED"/>
    <w:rsid w:val="007E0287"/>
    <w:rsid w:val="007E0742"/>
    <w:rsid w:val="007E1FFC"/>
    <w:rsid w:val="007E7DFC"/>
    <w:rsid w:val="007F141E"/>
    <w:rsid w:val="007F170B"/>
    <w:rsid w:val="007F6AEE"/>
    <w:rsid w:val="007F779B"/>
    <w:rsid w:val="008030B1"/>
    <w:rsid w:val="008034FA"/>
    <w:rsid w:val="008041AF"/>
    <w:rsid w:val="008063F1"/>
    <w:rsid w:val="0080677F"/>
    <w:rsid w:val="00811840"/>
    <w:rsid w:val="00815929"/>
    <w:rsid w:val="0082027B"/>
    <w:rsid w:val="00825794"/>
    <w:rsid w:val="00826683"/>
    <w:rsid w:val="00827F52"/>
    <w:rsid w:val="00832E30"/>
    <w:rsid w:val="00837767"/>
    <w:rsid w:val="00841EE8"/>
    <w:rsid w:val="00844D6F"/>
    <w:rsid w:val="008508BE"/>
    <w:rsid w:val="0085186B"/>
    <w:rsid w:val="00852AAF"/>
    <w:rsid w:val="008531C5"/>
    <w:rsid w:val="00854E75"/>
    <w:rsid w:val="00855638"/>
    <w:rsid w:val="008565C6"/>
    <w:rsid w:val="00856C24"/>
    <w:rsid w:val="00857E01"/>
    <w:rsid w:val="00865BB0"/>
    <w:rsid w:val="00870807"/>
    <w:rsid w:val="00871546"/>
    <w:rsid w:val="00872A35"/>
    <w:rsid w:val="008731B4"/>
    <w:rsid w:val="00876EA0"/>
    <w:rsid w:val="00881180"/>
    <w:rsid w:val="00881537"/>
    <w:rsid w:val="00881A00"/>
    <w:rsid w:val="008847F9"/>
    <w:rsid w:val="008851DC"/>
    <w:rsid w:val="008867E1"/>
    <w:rsid w:val="00891042"/>
    <w:rsid w:val="00892C1D"/>
    <w:rsid w:val="00893C92"/>
    <w:rsid w:val="00895528"/>
    <w:rsid w:val="00896CFE"/>
    <w:rsid w:val="008A171E"/>
    <w:rsid w:val="008A1A20"/>
    <w:rsid w:val="008A1A60"/>
    <w:rsid w:val="008A2B64"/>
    <w:rsid w:val="008A4C80"/>
    <w:rsid w:val="008A54B0"/>
    <w:rsid w:val="008A6C46"/>
    <w:rsid w:val="008B094F"/>
    <w:rsid w:val="008B1992"/>
    <w:rsid w:val="008B7132"/>
    <w:rsid w:val="008B764A"/>
    <w:rsid w:val="008C1D98"/>
    <w:rsid w:val="008C2397"/>
    <w:rsid w:val="008C3725"/>
    <w:rsid w:val="008C3F26"/>
    <w:rsid w:val="008C59A3"/>
    <w:rsid w:val="008C5B81"/>
    <w:rsid w:val="008C71EE"/>
    <w:rsid w:val="008D0797"/>
    <w:rsid w:val="008D3F07"/>
    <w:rsid w:val="008D4659"/>
    <w:rsid w:val="008D4E87"/>
    <w:rsid w:val="008D6868"/>
    <w:rsid w:val="008D6B96"/>
    <w:rsid w:val="008E040A"/>
    <w:rsid w:val="008E1690"/>
    <w:rsid w:val="008E6C5D"/>
    <w:rsid w:val="008F4B92"/>
    <w:rsid w:val="008F4BDD"/>
    <w:rsid w:val="008F5D3B"/>
    <w:rsid w:val="00900082"/>
    <w:rsid w:val="0090666C"/>
    <w:rsid w:val="00907900"/>
    <w:rsid w:val="00910628"/>
    <w:rsid w:val="009106DA"/>
    <w:rsid w:val="009234A1"/>
    <w:rsid w:val="009238A0"/>
    <w:rsid w:val="00926B57"/>
    <w:rsid w:val="00930233"/>
    <w:rsid w:val="00931ADC"/>
    <w:rsid w:val="00934890"/>
    <w:rsid w:val="00934D98"/>
    <w:rsid w:val="009413C9"/>
    <w:rsid w:val="00942AF7"/>
    <w:rsid w:val="00943174"/>
    <w:rsid w:val="00943D8F"/>
    <w:rsid w:val="009518B3"/>
    <w:rsid w:val="009525CC"/>
    <w:rsid w:val="009560CA"/>
    <w:rsid w:val="009636D4"/>
    <w:rsid w:val="00964EF0"/>
    <w:rsid w:val="009650E1"/>
    <w:rsid w:val="00970689"/>
    <w:rsid w:val="00971027"/>
    <w:rsid w:val="009712C7"/>
    <w:rsid w:val="00971A48"/>
    <w:rsid w:val="009749B4"/>
    <w:rsid w:val="00976193"/>
    <w:rsid w:val="00980472"/>
    <w:rsid w:val="0098222E"/>
    <w:rsid w:val="00983BE2"/>
    <w:rsid w:val="0098759B"/>
    <w:rsid w:val="00987BC9"/>
    <w:rsid w:val="00995F53"/>
    <w:rsid w:val="00996DB1"/>
    <w:rsid w:val="0099779B"/>
    <w:rsid w:val="009A7555"/>
    <w:rsid w:val="009B0729"/>
    <w:rsid w:val="009B1990"/>
    <w:rsid w:val="009B330B"/>
    <w:rsid w:val="009B346B"/>
    <w:rsid w:val="009B57CA"/>
    <w:rsid w:val="009B6B2D"/>
    <w:rsid w:val="009C277B"/>
    <w:rsid w:val="009D364E"/>
    <w:rsid w:val="009D53C2"/>
    <w:rsid w:val="009D5492"/>
    <w:rsid w:val="009D696B"/>
    <w:rsid w:val="009E1B59"/>
    <w:rsid w:val="009E2086"/>
    <w:rsid w:val="009E2210"/>
    <w:rsid w:val="009E4981"/>
    <w:rsid w:val="009E4EF9"/>
    <w:rsid w:val="009E5A8A"/>
    <w:rsid w:val="009E687E"/>
    <w:rsid w:val="009E6942"/>
    <w:rsid w:val="009E75AB"/>
    <w:rsid w:val="009F2C35"/>
    <w:rsid w:val="009F3437"/>
    <w:rsid w:val="00A005B5"/>
    <w:rsid w:val="00A01486"/>
    <w:rsid w:val="00A03B4D"/>
    <w:rsid w:val="00A07EE7"/>
    <w:rsid w:val="00A1009B"/>
    <w:rsid w:val="00A129DB"/>
    <w:rsid w:val="00A153AE"/>
    <w:rsid w:val="00A15BF7"/>
    <w:rsid w:val="00A15FBC"/>
    <w:rsid w:val="00A22009"/>
    <w:rsid w:val="00A23720"/>
    <w:rsid w:val="00A25F44"/>
    <w:rsid w:val="00A27606"/>
    <w:rsid w:val="00A279DE"/>
    <w:rsid w:val="00A304E6"/>
    <w:rsid w:val="00A30993"/>
    <w:rsid w:val="00A3475C"/>
    <w:rsid w:val="00A3574A"/>
    <w:rsid w:val="00A35DF2"/>
    <w:rsid w:val="00A41E66"/>
    <w:rsid w:val="00A42834"/>
    <w:rsid w:val="00A45127"/>
    <w:rsid w:val="00A45D12"/>
    <w:rsid w:val="00A5255F"/>
    <w:rsid w:val="00A53567"/>
    <w:rsid w:val="00A543E4"/>
    <w:rsid w:val="00A5524F"/>
    <w:rsid w:val="00A552F8"/>
    <w:rsid w:val="00A56B00"/>
    <w:rsid w:val="00A6278E"/>
    <w:rsid w:val="00A65023"/>
    <w:rsid w:val="00A664F3"/>
    <w:rsid w:val="00A66767"/>
    <w:rsid w:val="00A66F86"/>
    <w:rsid w:val="00A678D5"/>
    <w:rsid w:val="00A7488B"/>
    <w:rsid w:val="00A81044"/>
    <w:rsid w:val="00A9069D"/>
    <w:rsid w:val="00A91F09"/>
    <w:rsid w:val="00A92034"/>
    <w:rsid w:val="00A94A14"/>
    <w:rsid w:val="00A9786D"/>
    <w:rsid w:val="00A97FAC"/>
    <w:rsid w:val="00AA0466"/>
    <w:rsid w:val="00AA16EC"/>
    <w:rsid w:val="00AA2C04"/>
    <w:rsid w:val="00AA32D4"/>
    <w:rsid w:val="00AA523D"/>
    <w:rsid w:val="00AA6003"/>
    <w:rsid w:val="00AA7773"/>
    <w:rsid w:val="00AB07E9"/>
    <w:rsid w:val="00AB121D"/>
    <w:rsid w:val="00AB74F1"/>
    <w:rsid w:val="00AC68D4"/>
    <w:rsid w:val="00AD35CB"/>
    <w:rsid w:val="00AD47C2"/>
    <w:rsid w:val="00AE45D1"/>
    <w:rsid w:val="00AE4A00"/>
    <w:rsid w:val="00AF3C97"/>
    <w:rsid w:val="00AF4ED6"/>
    <w:rsid w:val="00AF5731"/>
    <w:rsid w:val="00AF6835"/>
    <w:rsid w:val="00B00161"/>
    <w:rsid w:val="00B00A0B"/>
    <w:rsid w:val="00B07A14"/>
    <w:rsid w:val="00B07ABF"/>
    <w:rsid w:val="00B109EC"/>
    <w:rsid w:val="00B10B25"/>
    <w:rsid w:val="00B13877"/>
    <w:rsid w:val="00B15EDB"/>
    <w:rsid w:val="00B16150"/>
    <w:rsid w:val="00B17009"/>
    <w:rsid w:val="00B17541"/>
    <w:rsid w:val="00B17DB4"/>
    <w:rsid w:val="00B17FAA"/>
    <w:rsid w:val="00B2169D"/>
    <w:rsid w:val="00B2458A"/>
    <w:rsid w:val="00B24673"/>
    <w:rsid w:val="00B30B3D"/>
    <w:rsid w:val="00B332CF"/>
    <w:rsid w:val="00B3381D"/>
    <w:rsid w:val="00B34B82"/>
    <w:rsid w:val="00B35C76"/>
    <w:rsid w:val="00B36457"/>
    <w:rsid w:val="00B37438"/>
    <w:rsid w:val="00B46603"/>
    <w:rsid w:val="00B5117C"/>
    <w:rsid w:val="00B5184F"/>
    <w:rsid w:val="00B5504E"/>
    <w:rsid w:val="00B62467"/>
    <w:rsid w:val="00B63335"/>
    <w:rsid w:val="00B63F05"/>
    <w:rsid w:val="00B66586"/>
    <w:rsid w:val="00B7247E"/>
    <w:rsid w:val="00B734DC"/>
    <w:rsid w:val="00B74A8F"/>
    <w:rsid w:val="00B765FB"/>
    <w:rsid w:val="00B7671E"/>
    <w:rsid w:val="00B823A9"/>
    <w:rsid w:val="00B8313F"/>
    <w:rsid w:val="00B860B8"/>
    <w:rsid w:val="00B87B00"/>
    <w:rsid w:val="00B90363"/>
    <w:rsid w:val="00B9186E"/>
    <w:rsid w:val="00B9252E"/>
    <w:rsid w:val="00B92C36"/>
    <w:rsid w:val="00BA3CB7"/>
    <w:rsid w:val="00BA3CC0"/>
    <w:rsid w:val="00BA6607"/>
    <w:rsid w:val="00BA6F68"/>
    <w:rsid w:val="00BA7DA3"/>
    <w:rsid w:val="00BB30A1"/>
    <w:rsid w:val="00BB3A4B"/>
    <w:rsid w:val="00BB3BAA"/>
    <w:rsid w:val="00BB405E"/>
    <w:rsid w:val="00BB5047"/>
    <w:rsid w:val="00BB54B5"/>
    <w:rsid w:val="00BB5DDA"/>
    <w:rsid w:val="00BC1B0E"/>
    <w:rsid w:val="00BC2279"/>
    <w:rsid w:val="00BC2491"/>
    <w:rsid w:val="00BC2B69"/>
    <w:rsid w:val="00BC2D38"/>
    <w:rsid w:val="00BC3D7F"/>
    <w:rsid w:val="00BC6856"/>
    <w:rsid w:val="00BC7694"/>
    <w:rsid w:val="00BC7B67"/>
    <w:rsid w:val="00BD0C16"/>
    <w:rsid w:val="00BD13C1"/>
    <w:rsid w:val="00BD1502"/>
    <w:rsid w:val="00BD3D45"/>
    <w:rsid w:val="00BD7344"/>
    <w:rsid w:val="00BE5736"/>
    <w:rsid w:val="00BE5C49"/>
    <w:rsid w:val="00BE6AC0"/>
    <w:rsid w:val="00BE7CB3"/>
    <w:rsid w:val="00BF253E"/>
    <w:rsid w:val="00BF669F"/>
    <w:rsid w:val="00C002C4"/>
    <w:rsid w:val="00C02B84"/>
    <w:rsid w:val="00C035F7"/>
    <w:rsid w:val="00C04152"/>
    <w:rsid w:val="00C05691"/>
    <w:rsid w:val="00C073BE"/>
    <w:rsid w:val="00C13BC2"/>
    <w:rsid w:val="00C15260"/>
    <w:rsid w:val="00C21A65"/>
    <w:rsid w:val="00C23816"/>
    <w:rsid w:val="00C2451B"/>
    <w:rsid w:val="00C24CB2"/>
    <w:rsid w:val="00C27B1E"/>
    <w:rsid w:val="00C30317"/>
    <w:rsid w:val="00C35D2A"/>
    <w:rsid w:val="00C36C8E"/>
    <w:rsid w:val="00C371C6"/>
    <w:rsid w:val="00C41840"/>
    <w:rsid w:val="00C4443B"/>
    <w:rsid w:val="00C46C23"/>
    <w:rsid w:val="00C47D7B"/>
    <w:rsid w:val="00C505B5"/>
    <w:rsid w:val="00C513ED"/>
    <w:rsid w:val="00C516E6"/>
    <w:rsid w:val="00C5184F"/>
    <w:rsid w:val="00C579BF"/>
    <w:rsid w:val="00C57A87"/>
    <w:rsid w:val="00C61FA2"/>
    <w:rsid w:val="00C6618C"/>
    <w:rsid w:val="00C70EA9"/>
    <w:rsid w:val="00C73084"/>
    <w:rsid w:val="00C744BA"/>
    <w:rsid w:val="00C770F2"/>
    <w:rsid w:val="00C82F8A"/>
    <w:rsid w:val="00C83593"/>
    <w:rsid w:val="00C8583D"/>
    <w:rsid w:val="00C859DE"/>
    <w:rsid w:val="00C87F83"/>
    <w:rsid w:val="00C92C68"/>
    <w:rsid w:val="00C949B9"/>
    <w:rsid w:val="00C95263"/>
    <w:rsid w:val="00CA40DA"/>
    <w:rsid w:val="00CB1256"/>
    <w:rsid w:val="00CC1541"/>
    <w:rsid w:val="00CC1D95"/>
    <w:rsid w:val="00CC312E"/>
    <w:rsid w:val="00CC3683"/>
    <w:rsid w:val="00CC3916"/>
    <w:rsid w:val="00CC5D10"/>
    <w:rsid w:val="00CC7D2C"/>
    <w:rsid w:val="00CC7FF7"/>
    <w:rsid w:val="00CD0F9B"/>
    <w:rsid w:val="00CD19FE"/>
    <w:rsid w:val="00CD4CBB"/>
    <w:rsid w:val="00CD5992"/>
    <w:rsid w:val="00CD5A6F"/>
    <w:rsid w:val="00CD717A"/>
    <w:rsid w:val="00CE2626"/>
    <w:rsid w:val="00CE313F"/>
    <w:rsid w:val="00CE6019"/>
    <w:rsid w:val="00CE60C4"/>
    <w:rsid w:val="00CF2042"/>
    <w:rsid w:val="00CF27BC"/>
    <w:rsid w:val="00CF42D9"/>
    <w:rsid w:val="00CF5C98"/>
    <w:rsid w:val="00CF5F19"/>
    <w:rsid w:val="00D00FC5"/>
    <w:rsid w:val="00D01024"/>
    <w:rsid w:val="00D046F2"/>
    <w:rsid w:val="00D05B5D"/>
    <w:rsid w:val="00D06DD6"/>
    <w:rsid w:val="00D11E75"/>
    <w:rsid w:val="00D14A25"/>
    <w:rsid w:val="00D14E4A"/>
    <w:rsid w:val="00D15A68"/>
    <w:rsid w:val="00D166E5"/>
    <w:rsid w:val="00D174B6"/>
    <w:rsid w:val="00D226A1"/>
    <w:rsid w:val="00D247B9"/>
    <w:rsid w:val="00D267F5"/>
    <w:rsid w:val="00D33D97"/>
    <w:rsid w:val="00D3512B"/>
    <w:rsid w:val="00D35349"/>
    <w:rsid w:val="00D35948"/>
    <w:rsid w:val="00D36826"/>
    <w:rsid w:val="00D4178A"/>
    <w:rsid w:val="00D43968"/>
    <w:rsid w:val="00D448D7"/>
    <w:rsid w:val="00D44A9F"/>
    <w:rsid w:val="00D46F4B"/>
    <w:rsid w:val="00D51DCD"/>
    <w:rsid w:val="00D530D5"/>
    <w:rsid w:val="00D539EE"/>
    <w:rsid w:val="00D61972"/>
    <w:rsid w:val="00D61FA5"/>
    <w:rsid w:val="00D667BA"/>
    <w:rsid w:val="00D66CFC"/>
    <w:rsid w:val="00D67F9B"/>
    <w:rsid w:val="00D70258"/>
    <w:rsid w:val="00D735F0"/>
    <w:rsid w:val="00D77EE9"/>
    <w:rsid w:val="00D77FFC"/>
    <w:rsid w:val="00D818BC"/>
    <w:rsid w:val="00D85E37"/>
    <w:rsid w:val="00D903DD"/>
    <w:rsid w:val="00D90E6A"/>
    <w:rsid w:val="00D94EB7"/>
    <w:rsid w:val="00D95EE3"/>
    <w:rsid w:val="00D971AD"/>
    <w:rsid w:val="00DA008C"/>
    <w:rsid w:val="00DA1918"/>
    <w:rsid w:val="00DA2F64"/>
    <w:rsid w:val="00DA4659"/>
    <w:rsid w:val="00DA58DB"/>
    <w:rsid w:val="00DA5ED8"/>
    <w:rsid w:val="00DA6500"/>
    <w:rsid w:val="00DA651D"/>
    <w:rsid w:val="00DB0469"/>
    <w:rsid w:val="00DB1EB2"/>
    <w:rsid w:val="00DB2BF8"/>
    <w:rsid w:val="00DB5E77"/>
    <w:rsid w:val="00DB5F63"/>
    <w:rsid w:val="00DB65E4"/>
    <w:rsid w:val="00DB6F4D"/>
    <w:rsid w:val="00DB71F8"/>
    <w:rsid w:val="00DC1F2C"/>
    <w:rsid w:val="00DC50E2"/>
    <w:rsid w:val="00DC6E2C"/>
    <w:rsid w:val="00DD0A3E"/>
    <w:rsid w:val="00DD7BA5"/>
    <w:rsid w:val="00DE1E06"/>
    <w:rsid w:val="00DE4156"/>
    <w:rsid w:val="00DE4339"/>
    <w:rsid w:val="00DE4383"/>
    <w:rsid w:val="00DE5CE4"/>
    <w:rsid w:val="00DE6CAC"/>
    <w:rsid w:val="00DF09FA"/>
    <w:rsid w:val="00DF5134"/>
    <w:rsid w:val="00DF612D"/>
    <w:rsid w:val="00DF6C7D"/>
    <w:rsid w:val="00E01BB2"/>
    <w:rsid w:val="00E041D2"/>
    <w:rsid w:val="00E107B9"/>
    <w:rsid w:val="00E113F9"/>
    <w:rsid w:val="00E11BCC"/>
    <w:rsid w:val="00E11FF1"/>
    <w:rsid w:val="00E12A66"/>
    <w:rsid w:val="00E13E37"/>
    <w:rsid w:val="00E16579"/>
    <w:rsid w:val="00E171A3"/>
    <w:rsid w:val="00E212D7"/>
    <w:rsid w:val="00E22109"/>
    <w:rsid w:val="00E257B3"/>
    <w:rsid w:val="00E27C06"/>
    <w:rsid w:val="00E325AE"/>
    <w:rsid w:val="00E34277"/>
    <w:rsid w:val="00E35F98"/>
    <w:rsid w:val="00E422E5"/>
    <w:rsid w:val="00E43A86"/>
    <w:rsid w:val="00E444AB"/>
    <w:rsid w:val="00E4676B"/>
    <w:rsid w:val="00E47345"/>
    <w:rsid w:val="00E518B7"/>
    <w:rsid w:val="00E523D5"/>
    <w:rsid w:val="00E52AA5"/>
    <w:rsid w:val="00E52DDA"/>
    <w:rsid w:val="00E5327A"/>
    <w:rsid w:val="00E54DA7"/>
    <w:rsid w:val="00E55A3A"/>
    <w:rsid w:val="00E56233"/>
    <w:rsid w:val="00E56649"/>
    <w:rsid w:val="00E64BEA"/>
    <w:rsid w:val="00E67A3C"/>
    <w:rsid w:val="00E73490"/>
    <w:rsid w:val="00E73E2B"/>
    <w:rsid w:val="00E74566"/>
    <w:rsid w:val="00E755ED"/>
    <w:rsid w:val="00E83668"/>
    <w:rsid w:val="00E84755"/>
    <w:rsid w:val="00E84ED5"/>
    <w:rsid w:val="00E91FC5"/>
    <w:rsid w:val="00E92D6B"/>
    <w:rsid w:val="00E94A6C"/>
    <w:rsid w:val="00EA0441"/>
    <w:rsid w:val="00EA0487"/>
    <w:rsid w:val="00EA29BE"/>
    <w:rsid w:val="00EA386B"/>
    <w:rsid w:val="00EA3CB8"/>
    <w:rsid w:val="00EA6B1D"/>
    <w:rsid w:val="00EB0E9C"/>
    <w:rsid w:val="00EB1221"/>
    <w:rsid w:val="00EB76F2"/>
    <w:rsid w:val="00EC1E55"/>
    <w:rsid w:val="00EC4917"/>
    <w:rsid w:val="00EC6D1E"/>
    <w:rsid w:val="00ED0899"/>
    <w:rsid w:val="00ED3B5D"/>
    <w:rsid w:val="00ED3F83"/>
    <w:rsid w:val="00ED5253"/>
    <w:rsid w:val="00EE1856"/>
    <w:rsid w:val="00EE19B5"/>
    <w:rsid w:val="00EE2479"/>
    <w:rsid w:val="00EE3392"/>
    <w:rsid w:val="00EE7164"/>
    <w:rsid w:val="00EF3988"/>
    <w:rsid w:val="00EF4803"/>
    <w:rsid w:val="00EF4B8A"/>
    <w:rsid w:val="00EF5328"/>
    <w:rsid w:val="00F00677"/>
    <w:rsid w:val="00F02039"/>
    <w:rsid w:val="00F0462A"/>
    <w:rsid w:val="00F06360"/>
    <w:rsid w:val="00F070DC"/>
    <w:rsid w:val="00F1243F"/>
    <w:rsid w:val="00F12FC9"/>
    <w:rsid w:val="00F13D89"/>
    <w:rsid w:val="00F14BFA"/>
    <w:rsid w:val="00F15196"/>
    <w:rsid w:val="00F1523A"/>
    <w:rsid w:val="00F157AB"/>
    <w:rsid w:val="00F16F8A"/>
    <w:rsid w:val="00F170B0"/>
    <w:rsid w:val="00F17B52"/>
    <w:rsid w:val="00F245FB"/>
    <w:rsid w:val="00F24EA4"/>
    <w:rsid w:val="00F2586E"/>
    <w:rsid w:val="00F30295"/>
    <w:rsid w:val="00F30B38"/>
    <w:rsid w:val="00F31452"/>
    <w:rsid w:val="00F3218D"/>
    <w:rsid w:val="00F32FE6"/>
    <w:rsid w:val="00F4166E"/>
    <w:rsid w:val="00F456BC"/>
    <w:rsid w:val="00F473AC"/>
    <w:rsid w:val="00F47D08"/>
    <w:rsid w:val="00F54F87"/>
    <w:rsid w:val="00F6118F"/>
    <w:rsid w:val="00F67B8D"/>
    <w:rsid w:val="00F71568"/>
    <w:rsid w:val="00F726A4"/>
    <w:rsid w:val="00F75393"/>
    <w:rsid w:val="00F7638B"/>
    <w:rsid w:val="00F77234"/>
    <w:rsid w:val="00F81FE2"/>
    <w:rsid w:val="00F8253A"/>
    <w:rsid w:val="00F826C9"/>
    <w:rsid w:val="00F826F0"/>
    <w:rsid w:val="00F829D0"/>
    <w:rsid w:val="00F82A89"/>
    <w:rsid w:val="00F82AC4"/>
    <w:rsid w:val="00F840EC"/>
    <w:rsid w:val="00F91060"/>
    <w:rsid w:val="00F9371A"/>
    <w:rsid w:val="00F94298"/>
    <w:rsid w:val="00F95AB4"/>
    <w:rsid w:val="00FA0723"/>
    <w:rsid w:val="00FA0B28"/>
    <w:rsid w:val="00FA41CE"/>
    <w:rsid w:val="00FA4402"/>
    <w:rsid w:val="00FA5867"/>
    <w:rsid w:val="00FA7291"/>
    <w:rsid w:val="00FA78C2"/>
    <w:rsid w:val="00FB4111"/>
    <w:rsid w:val="00FB53F1"/>
    <w:rsid w:val="00FB562F"/>
    <w:rsid w:val="00FC1B57"/>
    <w:rsid w:val="00FC383B"/>
    <w:rsid w:val="00FC3A31"/>
    <w:rsid w:val="00FC5500"/>
    <w:rsid w:val="00FC55EA"/>
    <w:rsid w:val="00FC7210"/>
    <w:rsid w:val="00FD370A"/>
    <w:rsid w:val="00FD49C5"/>
    <w:rsid w:val="00FD6F77"/>
    <w:rsid w:val="00FE1459"/>
    <w:rsid w:val="00FE3741"/>
    <w:rsid w:val="00FE3FD2"/>
    <w:rsid w:val="00FE72E4"/>
    <w:rsid w:val="00FF0C25"/>
    <w:rsid w:val="00FF4673"/>
    <w:rsid w:val="00FF46BD"/>
    <w:rsid w:val="00FF5B5F"/>
    <w:rsid w:val="00FF69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33CBC"/>
  <w15:docId w15:val="{CF8F5A38-A3D0-4732-9CFD-0E87DBC8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7247E"/>
    <w:pPr>
      <w:spacing w:before="120" w:after="0" w:line="240" w:lineRule="auto"/>
      <w:jc w:val="both"/>
    </w:pPr>
    <w:rPr>
      <w:rFonts w:ascii="Calibri" w:hAnsi="Calibri" w:cstheme="majorBidi"/>
    </w:rPr>
  </w:style>
  <w:style w:type="paragraph" w:styleId="Nagwek1">
    <w:name w:val="heading 1"/>
    <w:basedOn w:val="Normalny"/>
    <w:next w:val="Normalny"/>
    <w:link w:val="Nagwek1Znak"/>
    <w:uiPriority w:val="9"/>
    <w:qFormat/>
    <w:rsid w:val="00D735F0"/>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Nagwek2">
    <w:name w:val="heading 2"/>
    <w:basedOn w:val="Normalny"/>
    <w:next w:val="Normalny"/>
    <w:link w:val="Nagwek2Znak"/>
    <w:uiPriority w:val="9"/>
    <w:unhideWhenUsed/>
    <w:qFormat/>
    <w:rsid w:val="00D735F0"/>
    <w:pPr>
      <w:keepNext/>
      <w:keepLines/>
      <w:spacing w:before="200"/>
      <w:outlineLvl w:val="1"/>
    </w:pPr>
    <w:rPr>
      <w:rFonts w:asciiTheme="majorHAnsi" w:eastAsiaTheme="majorEastAsia" w:hAnsiTheme="majorHAnsi"/>
      <w:b/>
      <w:bCs/>
      <w:color w:val="4F81BD" w:themeColor="accent1"/>
      <w:sz w:val="26"/>
      <w:szCs w:val="26"/>
    </w:rPr>
  </w:style>
  <w:style w:type="paragraph" w:styleId="Nagwek3">
    <w:name w:val="heading 3"/>
    <w:basedOn w:val="Normalny"/>
    <w:next w:val="Normalny"/>
    <w:link w:val="Nagwek3Znak"/>
    <w:uiPriority w:val="9"/>
    <w:unhideWhenUsed/>
    <w:qFormat/>
    <w:rsid w:val="00D735F0"/>
    <w:pPr>
      <w:keepNext/>
      <w:keepLines/>
      <w:spacing w:before="200"/>
      <w:outlineLvl w:val="2"/>
    </w:pPr>
    <w:rPr>
      <w:rFonts w:asciiTheme="majorHAnsi" w:eastAsiaTheme="majorEastAsia" w:hAnsiTheme="majorHAnsi"/>
      <w:b/>
      <w:bCs/>
      <w:color w:val="4F81BD" w:themeColor="accent1"/>
    </w:rPr>
  </w:style>
  <w:style w:type="paragraph" w:styleId="Nagwek7">
    <w:name w:val="heading 7"/>
    <w:basedOn w:val="Normalny"/>
    <w:next w:val="Normalny"/>
    <w:link w:val="Nagwek7Znak"/>
    <w:uiPriority w:val="99"/>
    <w:qFormat/>
    <w:rsid w:val="008034FA"/>
    <w:pPr>
      <w:numPr>
        <w:ilvl w:val="6"/>
        <w:numId w:val="1"/>
      </w:numPr>
      <w:spacing w:before="240" w:after="60" w:line="360" w:lineRule="auto"/>
      <w:outlineLvl w:val="6"/>
    </w:pPr>
    <w:rPr>
      <w:rFonts w:ascii="Arial" w:eastAsia="Times New Roman" w:hAnsi="Arial" w:cs="Times New Roman"/>
      <w:szCs w:val="24"/>
      <w:lang w:eastAsia="ar-SA"/>
    </w:rPr>
  </w:style>
  <w:style w:type="paragraph" w:styleId="Nagwek8">
    <w:name w:val="heading 8"/>
    <w:basedOn w:val="Normalny"/>
    <w:next w:val="Normalny"/>
    <w:link w:val="Nagwek8Znak"/>
    <w:uiPriority w:val="99"/>
    <w:qFormat/>
    <w:rsid w:val="008034FA"/>
    <w:pPr>
      <w:numPr>
        <w:ilvl w:val="7"/>
        <w:numId w:val="1"/>
      </w:numPr>
      <w:spacing w:before="240" w:after="60" w:line="360" w:lineRule="auto"/>
      <w:outlineLvl w:val="7"/>
    </w:pPr>
    <w:rPr>
      <w:rFonts w:ascii="Arial" w:eastAsia="Times New Roman" w:hAnsi="Arial" w:cs="Times New Roman"/>
      <w:i/>
      <w:iCs/>
      <w:szCs w:val="24"/>
      <w:lang w:eastAsia="ar-SA"/>
    </w:rPr>
  </w:style>
  <w:style w:type="paragraph" w:styleId="Nagwek9">
    <w:name w:val="heading 9"/>
    <w:basedOn w:val="Normalny"/>
    <w:next w:val="Normalny"/>
    <w:link w:val="Nagwek9Znak"/>
    <w:uiPriority w:val="99"/>
    <w:qFormat/>
    <w:rsid w:val="008034FA"/>
    <w:pPr>
      <w:numPr>
        <w:ilvl w:val="8"/>
        <w:numId w:val="1"/>
      </w:numPr>
      <w:spacing w:before="240" w:after="60" w:line="36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35F0"/>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D735F0"/>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D735F0"/>
    <w:rPr>
      <w:rFonts w:asciiTheme="majorHAnsi" w:eastAsiaTheme="majorEastAsia" w:hAnsiTheme="majorHAnsi" w:cstheme="majorBidi"/>
      <w:b/>
      <w:bCs/>
      <w:color w:val="4F81BD" w:themeColor="accent1"/>
    </w:rPr>
  </w:style>
  <w:style w:type="character" w:customStyle="1" w:styleId="Nagwek7Znak">
    <w:name w:val="Nagłówek 7 Znak"/>
    <w:basedOn w:val="Domylnaczcionkaakapitu"/>
    <w:link w:val="Nagwek7"/>
    <w:uiPriority w:val="99"/>
    <w:rsid w:val="008034FA"/>
    <w:rPr>
      <w:rFonts w:ascii="Arial" w:eastAsia="Times New Roman" w:hAnsi="Arial" w:cs="Times New Roman"/>
      <w:szCs w:val="24"/>
      <w:lang w:eastAsia="ar-SA"/>
    </w:rPr>
  </w:style>
  <w:style w:type="character" w:customStyle="1" w:styleId="Nagwek8Znak">
    <w:name w:val="Nagłówek 8 Znak"/>
    <w:basedOn w:val="Domylnaczcionkaakapitu"/>
    <w:link w:val="Nagwek8"/>
    <w:uiPriority w:val="99"/>
    <w:rsid w:val="008034FA"/>
    <w:rPr>
      <w:rFonts w:ascii="Arial" w:eastAsia="Times New Roman" w:hAnsi="Arial" w:cs="Times New Roman"/>
      <w:i/>
      <w:iCs/>
      <w:szCs w:val="24"/>
      <w:lang w:eastAsia="ar-SA"/>
    </w:rPr>
  </w:style>
  <w:style w:type="character" w:customStyle="1" w:styleId="Nagwek9Znak">
    <w:name w:val="Nagłówek 9 Znak"/>
    <w:basedOn w:val="Domylnaczcionkaakapitu"/>
    <w:link w:val="Nagwek9"/>
    <w:uiPriority w:val="99"/>
    <w:rsid w:val="008034FA"/>
    <w:rPr>
      <w:rFonts w:ascii="Arial" w:eastAsia="Times New Roman" w:hAnsi="Arial" w:cs="Arial"/>
      <w:lang w:eastAsia="ar-SA"/>
    </w:rPr>
  </w:style>
  <w:style w:type="paragraph" w:customStyle="1" w:styleId="Stopka1">
    <w:name w:val="Stopka1"/>
    <w:basedOn w:val="Normalny"/>
    <w:uiPriority w:val="99"/>
    <w:rsid w:val="00DB1EB2"/>
    <w:pPr>
      <w:widowControl w:val="0"/>
      <w:tabs>
        <w:tab w:val="right" w:pos="8505"/>
      </w:tabs>
      <w:autoSpaceDE w:val="0"/>
      <w:autoSpaceDN w:val="0"/>
      <w:adjustRightInd w:val="0"/>
      <w:spacing w:after="120"/>
    </w:pPr>
    <w:rPr>
      <w:rFonts w:eastAsia="Times New Roman" w:cs="Arial"/>
      <w:bCs/>
      <w:kern w:val="28"/>
      <w:sz w:val="12"/>
      <w:szCs w:val="12"/>
      <w:lang w:eastAsia="pl-PL"/>
    </w:rPr>
  </w:style>
  <w:style w:type="character" w:styleId="Numerstrony">
    <w:name w:val="page number"/>
    <w:basedOn w:val="Domylnaczcionkaakapitu"/>
    <w:rsid w:val="00DB1EB2"/>
  </w:style>
  <w:style w:type="paragraph" w:styleId="Akapitzlist">
    <w:name w:val="List Paragraph"/>
    <w:basedOn w:val="Normalny"/>
    <w:uiPriority w:val="34"/>
    <w:qFormat/>
    <w:rsid w:val="00751539"/>
    <w:pPr>
      <w:ind w:left="720"/>
      <w:contextualSpacing/>
    </w:pPr>
  </w:style>
  <w:style w:type="table" w:styleId="Tabela-Siatka">
    <w:name w:val="Table Grid"/>
    <w:basedOn w:val="Standardowy"/>
    <w:uiPriority w:val="59"/>
    <w:rsid w:val="007515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D43968"/>
    <w:pPr>
      <w:spacing w:before="0"/>
    </w:pPr>
    <w:rPr>
      <w:sz w:val="20"/>
      <w:szCs w:val="20"/>
    </w:rPr>
  </w:style>
  <w:style w:type="character" w:customStyle="1" w:styleId="TekstprzypisudolnegoZnak">
    <w:name w:val="Tekst przypisu dolnego Znak"/>
    <w:basedOn w:val="Domylnaczcionkaakapitu"/>
    <w:link w:val="Tekstprzypisudolnego"/>
    <w:uiPriority w:val="99"/>
    <w:rsid w:val="00D43968"/>
    <w:rPr>
      <w:rFonts w:ascii="Calibri" w:hAnsi="Calibri" w:cstheme="majorBidi"/>
      <w:sz w:val="20"/>
      <w:szCs w:val="20"/>
    </w:rPr>
  </w:style>
  <w:style w:type="character" w:styleId="Odwoanieprzypisudolnego">
    <w:name w:val="footnote reference"/>
    <w:aliases w:val="Footnote Reference Number,Footnote symbol,Footnote reference number,Times 10 Point,Exposant 3 Point,Ref,de nota al pie,note TESI,SUPERS,EN Footnote text,EN Footnote Reference,Voetnootverwijzing,Footnote number,fr,o,FR"/>
    <w:uiPriority w:val="99"/>
    <w:unhideWhenUsed/>
    <w:rsid w:val="00D43968"/>
    <w:rPr>
      <w:vertAlign w:val="superscript"/>
    </w:rPr>
  </w:style>
  <w:style w:type="paragraph" w:styleId="Tekstkomentarza">
    <w:name w:val="annotation text"/>
    <w:basedOn w:val="Normalny"/>
    <w:link w:val="TekstkomentarzaZnak"/>
    <w:uiPriority w:val="99"/>
    <w:rsid w:val="008034FA"/>
    <w:pPr>
      <w:spacing w:line="360" w:lineRule="auto"/>
    </w:pPr>
    <w:rPr>
      <w:rFonts w:ascii="Arial" w:eastAsia="Times New Roman" w:hAnsi="Arial" w:cs="Times New Roman"/>
      <w:sz w:val="20"/>
      <w:szCs w:val="20"/>
      <w:lang w:eastAsia="ar-SA"/>
    </w:rPr>
  </w:style>
  <w:style w:type="character" w:customStyle="1" w:styleId="TekstkomentarzaZnak">
    <w:name w:val="Tekst komentarza Znak"/>
    <w:basedOn w:val="Domylnaczcionkaakapitu"/>
    <w:link w:val="Tekstkomentarza"/>
    <w:uiPriority w:val="99"/>
    <w:rsid w:val="008034FA"/>
    <w:rPr>
      <w:rFonts w:ascii="Arial" w:eastAsia="Times New Roman" w:hAnsi="Arial" w:cs="Times New Roman"/>
      <w:sz w:val="20"/>
      <w:szCs w:val="20"/>
      <w:lang w:eastAsia="ar-SA"/>
    </w:rPr>
  </w:style>
  <w:style w:type="paragraph" w:customStyle="1" w:styleId="DZPNaglowek1">
    <w:name w:val="DZPNaglowek 1"/>
    <w:basedOn w:val="Normalny"/>
    <w:next w:val="Normalny"/>
    <w:autoRedefine/>
    <w:uiPriority w:val="99"/>
    <w:rsid w:val="008034FA"/>
    <w:pPr>
      <w:keepNext/>
      <w:keepLines/>
      <w:widowControl w:val="0"/>
      <w:numPr>
        <w:ilvl w:val="1"/>
        <w:numId w:val="2"/>
      </w:numPr>
      <w:suppressAutoHyphens/>
      <w:autoSpaceDE w:val="0"/>
      <w:autoSpaceDN w:val="0"/>
      <w:adjustRightInd w:val="0"/>
      <w:outlineLvl w:val="0"/>
    </w:pPr>
    <w:rPr>
      <w:rFonts w:ascii="Arial" w:eastAsia="Times New Roman" w:hAnsi="Arial" w:cs="Arial"/>
      <w:b/>
      <w:bCs/>
      <w:caps/>
      <w:kern w:val="28"/>
      <w:lang w:eastAsia="pl-PL"/>
    </w:rPr>
  </w:style>
  <w:style w:type="paragraph" w:styleId="Tekstdymka">
    <w:name w:val="Balloon Text"/>
    <w:basedOn w:val="Normalny"/>
    <w:link w:val="TekstdymkaZnak"/>
    <w:uiPriority w:val="99"/>
    <w:semiHidden/>
    <w:unhideWhenUsed/>
    <w:rsid w:val="00F13D89"/>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F13D89"/>
    <w:rPr>
      <w:rFonts w:ascii="Tahoma" w:hAnsi="Tahoma" w:cs="Tahoma"/>
      <w:sz w:val="16"/>
      <w:szCs w:val="16"/>
    </w:rPr>
  </w:style>
  <w:style w:type="character" w:styleId="Odwoaniedokomentarza">
    <w:name w:val="annotation reference"/>
    <w:basedOn w:val="Domylnaczcionkaakapitu"/>
    <w:uiPriority w:val="99"/>
    <w:unhideWhenUsed/>
    <w:rsid w:val="008F4BDD"/>
    <w:rPr>
      <w:sz w:val="16"/>
      <w:szCs w:val="16"/>
    </w:rPr>
  </w:style>
  <w:style w:type="paragraph" w:styleId="Tematkomentarza">
    <w:name w:val="annotation subject"/>
    <w:basedOn w:val="Tekstkomentarza"/>
    <w:next w:val="Tekstkomentarza"/>
    <w:link w:val="TematkomentarzaZnak"/>
    <w:uiPriority w:val="99"/>
    <w:semiHidden/>
    <w:unhideWhenUsed/>
    <w:rsid w:val="008F4BDD"/>
    <w:pPr>
      <w:spacing w:line="240" w:lineRule="auto"/>
    </w:pPr>
    <w:rPr>
      <w:rFonts w:ascii="Calibri" w:eastAsiaTheme="minorHAnsi" w:hAnsi="Calibri" w:cstheme="majorBidi"/>
      <w:b/>
      <w:bCs/>
      <w:lang w:eastAsia="en-US"/>
    </w:rPr>
  </w:style>
  <w:style w:type="character" w:customStyle="1" w:styleId="TematkomentarzaZnak">
    <w:name w:val="Temat komentarza Znak"/>
    <w:basedOn w:val="TekstkomentarzaZnak"/>
    <w:link w:val="Tematkomentarza"/>
    <w:uiPriority w:val="99"/>
    <w:semiHidden/>
    <w:rsid w:val="008F4BDD"/>
    <w:rPr>
      <w:rFonts w:ascii="Calibri" w:eastAsia="Times New Roman" w:hAnsi="Calibri" w:cstheme="majorBidi"/>
      <w:b/>
      <w:bCs/>
      <w:sz w:val="20"/>
      <w:szCs w:val="20"/>
      <w:lang w:eastAsia="ar-SA"/>
    </w:rPr>
  </w:style>
  <w:style w:type="paragraph" w:styleId="Nagwek">
    <w:name w:val="header"/>
    <w:basedOn w:val="Normalny"/>
    <w:link w:val="NagwekZnak"/>
    <w:uiPriority w:val="99"/>
    <w:unhideWhenUsed/>
    <w:rsid w:val="00EA29BE"/>
    <w:pPr>
      <w:tabs>
        <w:tab w:val="center" w:pos="4536"/>
        <w:tab w:val="right" w:pos="9072"/>
      </w:tabs>
      <w:spacing w:before="0"/>
    </w:pPr>
  </w:style>
  <w:style w:type="character" w:customStyle="1" w:styleId="NagwekZnak">
    <w:name w:val="Nagłówek Znak"/>
    <w:basedOn w:val="Domylnaczcionkaakapitu"/>
    <w:link w:val="Nagwek"/>
    <w:uiPriority w:val="99"/>
    <w:rsid w:val="00EA29BE"/>
    <w:rPr>
      <w:rFonts w:ascii="Calibri" w:hAnsi="Calibri" w:cstheme="majorBidi"/>
    </w:rPr>
  </w:style>
  <w:style w:type="paragraph" w:styleId="Stopka">
    <w:name w:val="footer"/>
    <w:basedOn w:val="Normalny"/>
    <w:link w:val="StopkaZnak"/>
    <w:uiPriority w:val="99"/>
    <w:unhideWhenUsed/>
    <w:rsid w:val="00EA29BE"/>
    <w:pPr>
      <w:tabs>
        <w:tab w:val="center" w:pos="4536"/>
        <w:tab w:val="right" w:pos="9072"/>
      </w:tabs>
      <w:spacing w:before="0"/>
    </w:pPr>
  </w:style>
  <w:style w:type="character" w:customStyle="1" w:styleId="StopkaZnak">
    <w:name w:val="Stopka Znak"/>
    <w:basedOn w:val="Domylnaczcionkaakapitu"/>
    <w:link w:val="Stopka"/>
    <w:uiPriority w:val="99"/>
    <w:rsid w:val="00EA29BE"/>
    <w:rPr>
      <w:rFonts w:ascii="Calibri" w:hAnsi="Calibri" w:cstheme="majorBidi"/>
    </w:rPr>
  </w:style>
  <w:style w:type="table" w:customStyle="1" w:styleId="Zwykatabela51">
    <w:name w:val="Zwykła tabela 51"/>
    <w:basedOn w:val="Standardowy"/>
    <w:uiPriority w:val="45"/>
    <w:rsid w:val="00B1387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a1">
    <w:name w:val="Tabela - Siatka1"/>
    <w:basedOn w:val="Standardowy"/>
    <w:next w:val="Tabela-Siatka"/>
    <w:uiPriority w:val="59"/>
    <w:rsid w:val="0004475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B35A8"/>
    <w:pPr>
      <w:spacing w:after="0" w:line="240" w:lineRule="auto"/>
    </w:pPr>
    <w:rPr>
      <w:rFonts w:ascii="Calibri" w:hAnsi="Calibri" w:cstheme="majorBidi"/>
    </w:rPr>
  </w:style>
  <w:style w:type="table" w:styleId="redniasiatka3akcent3">
    <w:name w:val="Medium Grid 3 Accent 3"/>
    <w:basedOn w:val="Standardowy"/>
    <w:uiPriority w:val="69"/>
    <w:rsid w:val="00D33D97"/>
    <w:pPr>
      <w:spacing w:after="0" w:line="240" w:lineRule="auto"/>
    </w:pPr>
    <w:rPr>
      <w:rFonts w:ascii="Times New Roman" w:eastAsia="SimSun" w:hAnsi="Times New Roman" w:cs="Times New Roman"/>
      <w:sz w:val="20"/>
      <w:szCs w:val="20"/>
      <w:lang w:eastAsia="pl-PL"/>
    </w:r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paragraph" w:styleId="NormalnyWeb">
    <w:name w:val="Normal (Web)"/>
    <w:basedOn w:val="Normalny"/>
    <w:uiPriority w:val="99"/>
    <w:unhideWhenUsed/>
    <w:rsid w:val="002A1CDD"/>
    <w:pPr>
      <w:spacing w:before="0"/>
      <w:jc w:val="left"/>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878232">
      <w:bodyDiv w:val="1"/>
      <w:marLeft w:val="0"/>
      <w:marRight w:val="0"/>
      <w:marTop w:val="0"/>
      <w:marBottom w:val="0"/>
      <w:divBdr>
        <w:top w:val="none" w:sz="0" w:space="0" w:color="auto"/>
        <w:left w:val="none" w:sz="0" w:space="0" w:color="auto"/>
        <w:bottom w:val="none" w:sz="0" w:space="0" w:color="auto"/>
        <w:right w:val="none" w:sz="0" w:space="0" w:color="auto"/>
      </w:divBdr>
    </w:div>
    <w:div w:id="339746004">
      <w:bodyDiv w:val="1"/>
      <w:marLeft w:val="0"/>
      <w:marRight w:val="0"/>
      <w:marTop w:val="0"/>
      <w:marBottom w:val="0"/>
      <w:divBdr>
        <w:top w:val="none" w:sz="0" w:space="0" w:color="auto"/>
        <w:left w:val="none" w:sz="0" w:space="0" w:color="auto"/>
        <w:bottom w:val="none" w:sz="0" w:space="0" w:color="auto"/>
        <w:right w:val="none" w:sz="0" w:space="0" w:color="auto"/>
      </w:divBdr>
    </w:div>
    <w:div w:id="593244729">
      <w:bodyDiv w:val="1"/>
      <w:marLeft w:val="0"/>
      <w:marRight w:val="0"/>
      <w:marTop w:val="0"/>
      <w:marBottom w:val="0"/>
      <w:divBdr>
        <w:top w:val="none" w:sz="0" w:space="0" w:color="auto"/>
        <w:left w:val="none" w:sz="0" w:space="0" w:color="auto"/>
        <w:bottom w:val="none" w:sz="0" w:space="0" w:color="auto"/>
        <w:right w:val="none" w:sz="0" w:space="0" w:color="auto"/>
      </w:divBdr>
    </w:div>
    <w:div w:id="1020818215">
      <w:bodyDiv w:val="1"/>
      <w:marLeft w:val="0"/>
      <w:marRight w:val="0"/>
      <w:marTop w:val="0"/>
      <w:marBottom w:val="0"/>
      <w:divBdr>
        <w:top w:val="none" w:sz="0" w:space="0" w:color="auto"/>
        <w:left w:val="none" w:sz="0" w:space="0" w:color="auto"/>
        <w:bottom w:val="none" w:sz="0" w:space="0" w:color="auto"/>
        <w:right w:val="none" w:sz="0" w:space="0" w:color="auto"/>
      </w:divBdr>
    </w:div>
    <w:div w:id="1717925026">
      <w:bodyDiv w:val="1"/>
      <w:marLeft w:val="0"/>
      <w:marRight w:val="0"/>
      <w:marTop w:val="0"/>
      <w:marBottom w:val="0"/>
      <w:divBdr>
        <w:top w:val="none" w:sz="0" w:space="0" w:color="auto"/>
        <w:left w:val="none" w:sz="0" w:space="0" w:color="auto"/>
        <w:bottom w:val="none" w:sz="0" w:space="0" w:color="auto"/>
        <w:right w:val="none" w:sz="0" w:space="0" w:color="auto"/>
      </w:divBdr>
    </w:div>
    <w:div w:id="1738238522">
      <w:bodyDiv w:val="1"/>
      <w:marLeft w:val="0"/>
      <w:marRight w:val="0"/>
      <w:marTop w:val="0"/>
      <w:marBottom w:val="0"/>
      <w:divBdr>
        <w:top w:val="none" w:sz="0" w:space="0" w:color="auto"/>
        <w:left w:val="none" w:sz="0" w:space="0" w:color="auto"/>
        <w:bottom w:val="none" w:sz="0" w:space="0" w:color="auto"/>
        <w:right w:val="none" w:sz="0" w:space="0" w:color="auto"/>
      </w:divBdr>
    </w:div>
    <w:div w:id="1967421442">
      <w:bodyDiv w:val="1"/>
      <w:marLeft w:val="0"/>
      <w:marRight w:val="0"/>
      <w:marTop w:val="0"/>
      <w:marBottom w:val="0"/>
      <w:divBdr>
        <w:top w:val="none" w:sz="0" w:space="0" w:color="auto"/>
        <w:left w:val="none" w:sz="0" w:space="0" w:color="auto"/>
        <w:bottom w:val="none" w:sz="0" w:space="0" w:color="auto"/>
        <w:right w:val="none" w:sz="0" w:space="0" w:color="auto"/>
      </w:divBdr>
    </w:div>
    <w:div w:id="208656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790c09d-5b64-4959-95f9-23650bcbd207">4M5JP5TFURRC-623-30</_dlc_DocId>
    <_dlc_DocIdUrl xmlns="5790c09d-5b64-4959-95f9-23650bcbd207">
      <Url>http://e-plk.plk-sa.pl/IKF/_layouts/15/DocIdRedir.aspx?ID=4M5JP5TFURRC-623-30</Url>
      <Description>4M5JP5TFURRC-623-30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F737FAB4BEF1044A5F7B6A3CB916EAC" ma:contentTypeVersion="0" ma:contentTypeDescription="Utwórz nowy dokument." ma:contentTypeScope="" ma:versionID="8807d0b104f3522ec81ce20e2a1850dd">
  <xsd:schema xmlns:xsd="http://www.w3.org/2001/XMLSchema" xmlns:xs="http://www.w3.org/2001/XMLSchema" xmlns:p="http://schemas.microsoft.com/office/2006/metadata/properties" xmlns:ns2="5790c09d-5b64-4959-95f9-23650bcbd207" targetNamespace="http://schemas.microsoft.com/office/2006/metadata/properties" ma:root="true" ma:fieldsID="967d39d7167160a3f34c95adddba83fb" ns2:_="">
    <xsd:import namespace="5790c09d-5b64-4959-95f9-23650bcbd2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0c09d-5b64-4959-95f9-23650bcbd20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38D43-6F61-4DD7-AE24-56D6CB23AA6E}">
  <ds:schemaRefs>
    <ds:schemaRef ds:uri="http://schemas.microsoft.com/office/2006/metadata/properties"/>
    <ds:schemaRef ds:uri="http://schemas.microsoft.com/office/infopath/2007/PartnerControls"/>
    <ds:schemaRef ds:uri="5790c09d-5b64-4959-95f9-23650bcbd207"/>
  </ds:schemaRefs>
</ds:datastoreItem>
</file>

<file path=customXml/itemProps2.xml><?xml version="1.0" encoding="utf-8"?>
<ds:datastoreItem xmlns:ds="http://schemas.openxmlformats.org/officeDocument/2006/customXml" ds:itemID="{9D8ABB71-1388-4712-8E1D-D1260C1FB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0c09d-5b64-4959-95f9-23650bcbd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3C8166-E17D-427F-A6AF-A4BD91A8AF9E}">
  <ds:schemaRefs>
    <ds:schemaRef ds:uri="http://schemas.microsoft.com/sharepoint/events"/>
  </ds:schemaRefs>
</ds:datastoreItem>
</file>

<file path=customXml/itemProps4.xml><?xml version="1.0" encoding="utf-8"?>
<ds:datastoreItem xmlns:ds="http://schemas.openxmlformats.org/officeDocument/2006/customXml" ds:itemID="{2ADAA6ED-5818-4A96-ADF2-EF5CA09373B7}">
  <ds:schemaRefs>
    <ds:schemaRef ds:uri="http://schemas.microsoft.com/sharepoint/v3/contenttype/forms"/>
  </ds:schemaRefs>
</ds:datastoreItem>
</file>

<file path=customXml/itemProps5.xml><?xml version="1.0" encoding="utf-8"?>
<ds:datastoreItem xmlns:ds="http://schemas.openxmlformats.org/officeDocument/2006/customXml" ds:itemID="{893B88FA-7322-4219-BEF6-374082023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2314</Words>
  <Characters>13887</Characters>
  <Application>Microsoft Office Word</Application>
  <DocSecurity>0</DocSecurity>
  <Lines>115</Lines>
  <Paragraphs>32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Sikora Ryszard</dc:creator>
  <cp:lastModifiedBy>Sitnicki Arkadiusz</cp:lastModifiedBy>
  <cp:revision>2</cp:revision>
  <cp:lastPrinted>2023-10-04T10:47:00Z</cp:lastPrinted>
  <dcterms:created xsi:type="dcterms:W3CDTF">2023-11-30T12:44:00Z</dcterms:created>
  <dcterms:modified xsi:type="dcterms:W3CDTF">2023-11-30T12:44:00Z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0x0101007F737FAB4BEF1044A5F7B6A3CB916EAC</vt:lpwstr>
  </property>
  <property fmtid="{D5CDD505-2E9C-101B-9397-08002B2CF9AE}" pid="3" name="_dlc_DocIdItemGuid">
    <vt:lpwstr>f358e756-1574-470a-9a2c-0cba714b4bda</vt:lpwstr>
  </property>
</Properties>
</file>