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2ED8653" w14:textId="6CC8703E" w:rsidR="00084D9A" w:rsidRPr="009B61BA" w:rsidRDefault="004C6CC5" w:rsidP="00084D9A">
      <w:pPr>
        <w:spacing w:before="4600" w:after="6400"/>
        <w:jc w:val="center"/>
        <w:rPr>
          <w:rFonts w:ascii="Arial" w:hAnsi="Arial" w:cs="Arial"/>
          <w:b/>
          <w:sz w:val="36"/>
        </w:rPr>
      </w:pPr>
      <w:r w:rsidRPr="009B61BA">
        <w:rPr>
          <w:rFonts w:ascii="Arial" w:hAnsi="Arial" w:cs="Arial"/>
          <w:b/>
          <w:sz w:val="36"/>
        </w:rPr>
        <w:t>RAPOR</w:t>
      </w:r>
      <w:bookmarkStart w:id="0" w:name="_GoBack"/>
      <w:bookmarkEnd w:id="0"/>
      <w:r w:rsidRPr="009B61BA">
        <w:rPr>
          <w:rFonts w:ascii="Arial" w:hAnsi="Arial" w:cs="Arial"/>
          <w:b/>
          <w:sz w:val="36"/>
        </w:rPr>
        <w:t>T Z REALIZACJI POLITYKI MORSKIEJ</w:t>
      </w:r>
      <w:r w:rsidRPr="009B61BA">
        <w:rPr>
          <w:rFonts w:ascii="Arial" w:hAnsi="Arial" w:cs="Arial"/>
          <w:b/>
          <w:sz w:val="36"/>
        </w:rPr>
        <w:br/>
        <w:t>RZECZYPOSPOLITEJ POLSKIEJ W 201</w:t>
      </w:r>
      <w:r>
        <w:rPr>
          <w:rFonts w:ascii="Arial" w:hAnsi="Arial" w:cs="Arial"/>
          <w:b/>
          <w:sz w:val="36"/>
        </w:rPr>
        <w:t>9</w:t>
      </w:r>
      <w:r w:rsidRPr="009B61BA">
        <w:rPr>
          <w:rFonts w:ascii="Arial" w:hAnsi="Arial" w:cs="Arial"/>
          <w:b/>
          <w:sz w:val="36"/>
        </w:rPr>
        <w:t xml:space="preserve"> ROKU</w:t>
      </w:r>
    </w:p>
    <w:p w14:paraId="3E59CE24" w14:textId="6AAE6C8F" w:rsidR="007C3CB0" w:rsidRPr="00274DED" w:rsidRDefault="007C3CB0" w:rsidP="007C3CB0">
      <w:pPr>
        <w:jc w:val="center"/>
        <w:rPr>
          <w:rFonts w:ascii="Arial" w:hAnsi="Arial" w:cs="Arial"/>
          <w:sz w:val="24"/>
          <w:szCs w:val="24"/>
        </w:rPr>
      </w:pPr>
      <w:r w:rsidRPr="00274DED">
        <w:rPr>
          <w:rFonts w:ascii="Arial" w:hAnsi="Arial" w:cs="Arial"/>
          <w:sz w:val="24"/>
          <w:szCs w:val="24"/>
        </w:rPr>
        <w:t xml:space="preserve">Warszawa, </w:t>
      </w:r>
      <w:r w:rsidR="00FB2992">
        <w:rPr>
          <w:rFonts w:ascii="Arial" w:hAnsi="Arial" w:cs="Arial"/>
          <w:sz w:val="24"/>
          <w:szCs w:val="24"/>
        </w:rPr>
        <w:t>maj</w:t>
      </w:r>
      <w:r w:rsidR="005C4928">
        <w:rPr>
          <w:rFonts w:ascii="Arial" w:hAnsi="Arial" w:cs="Arial"/>
          <w:sz w:val="24"/>
          <w:szCs w:val="24"/>
        </w:rPr>
        <w:t xml:space="preserve"> 2021</w:t>
      </w:r>
      <w:r w:rsidRPr="00274DED">
        <w:rPr>
          <w:rFonts w:ascii="Arial" w:hAnsi="Arial" w:cs="Arial"/>
          <w:sz w:val="24"/>
          <w:szCs w:val="24"/>
        </w:rPr>
        <w:t xml:space="preserve"> r.</w:t>
      </w:r>
    </w:p>
    <w:p w14:paraId="4C3DB916" w14:textId="0EA2BF28" w:rsidR="00CE433E" w:rsidRDefault="007C3CB0" w:rsidP="006310BD">
      <w:pPr>
        <w:rPr>
          <w:rFonts w:ascii="Arial" w:hAnsi="Arial" w:cs="Arial"/>
          <w:sz w:val="20"/>
          <w:szCs w:val="20"/>
        </w:rPr>
      </w:pPr>
      <w:r w:rsidRPr="000F468A">
        <w:rPr>
          <w:rFonts w:ascii="Arial" w:hAnsi="Arial" w:cs="Arial"/>
          <w:sz w:val="20"/>
          <w:szCs w:val="20"/>
        </w:rPr>
        <w:br w:type="page"/>
      </w:r>
    </w:p>
    <w:p w14:paraId="4AD9551B" w14:textId="0BBC6D0D" w:rsidR="00CE26F5" w:rsidRPr="006310BD" w:rsidRDefault="00CE433E" w:rsidP="006310BD">
      <w:pPr>
        <w:rPr>
          <w:rFonts w:ascii="Arial" w:hAnsi="Arial" w:cs="Arial"/>
          <w:sz w:val="20"/>
          <w:szCs w:val="20"/>
        </w:rPr>
      </w:pPr>
      <w:r>
        <w:rPr>
          <w:rFonts w:ascii="Arial" w:hAnsi="Arial" w:cs="Arial"/>
          <w:sz w:val="20"/>
          <w:szCs w:val="20"/>
        </w:rPr>
        <w:lastRenderedPageBreak/>
        <w:br w:type="page"/>
      </w:r>
    </w:p>
    <w:p w14:paraId="76F261CC" w14:textId="77777777" w:rsidR="00CE26F5" w:rsidRDefault="00CE26F5" w:rsidP="000F468A">
      <w:pPr>
        <w:pStyle w:val="Nagwek1"/>
        <w:rPr>
          <w:rFonts w:ascii="Arial" w:hAnsi="Arial" w:cs="Arial"/>
          <w:b/>
          <w:color w:val="auto"/>
          <w:sz w:val="20"/>
          <w:szCs w:val="20"/>
        </w:rPr>
      </w:pPr>
    </w:p>
    <w:sdt>
      <w:sdtPr>
        <w:rPr>
          <w:rFonts w:asciiTheme="minorHAnsi" w:eastAsiaTheme="minorHAnsi" w:hAnsiTheme="minorHAnsi" w:cstheme="minorBidi"/>
          <w:color w:val="auto"/>
          <w:sz w:val="22"/>
          <w:szCs w:val="22"/>
          <w:lang w:eastAsia="en-US"/>
        </w:rPr>
        <w:id w:val="-220589106"/>
        <w:docPartObj>
          <w:docPartGallery w:val="Table of Contents"/>
          <w:docPartUnique/>
        </w:docPartObj>
      </w:sdtPr>
      <w:sdtEndPr>
        <w:rPr>
          <w:rFonts w:ascii="Arial" w:hAnsi="Arial" w:cs="Arial"/>
          <w:bCs/>
          <w:sz w:val="20"/>
          <w:szCs w:val="20"/>
        </w:rPr>
      </w:sdtEndPr>
      <w:sdtContent>
        <w:p w14:paraId="6471CF75" w14:textId="727E301B" w:rsidR="00812F8E" w:rsidRDefault="00812F8E">
          <w:pPr>
            <w:pStyle w:val="Nagwekspisutreci"/>
          </w:pPr>
        </w:p>
        <w:p w14:paraId="42F156C0" w14:textId="1A860A26" w:rsidR="004E1340" w:rsidRDefault="00812F8E">
          <w:pPr>
            <w:pStyle w:val="Spistreci1"/>
            <w:tabs>
              <w:tab w:val="right" w:leader="dot" w:pos="9060"/>
            </w:tabs>
            <w:rPr>
              <w:rFonts w:eastAsiaTheme="minorEastAsia"/>
              <w:noProof/>
              <w:lang w:eastAsia="pl-PL"/>
            </w:rPr>
          </w:pPr>
          <w:r w:rsidRPr="008E778F">
            <w:rPr>
              <w:rFonts w:ascii="Arial" w:hAnsi="Arial" w:cs="Arial"/>
              <w:bCs/>
              <w:sz w:val="20"/>
              <w:szCs w:val="20"/>
            </w:rPr>
            <w:fldChar w:fldCharType="begin"/>
          </w:r>
          <w:r w:rsidRPr="008E778F">
            <w:rPr>
              <w:rFonts w:ascii="Arial" w:hAnsi="Arial" w:cs="Arial"/>
              <w:bCs/>
              <w:sz w:val="20"/>
              <w:szCs w:val="20"/>
            </w:rPr>
            <w:instrText xml:space="preserve"> TOC \o "1-3" \h \z \u </w:instrText>
          </w:r>
          <w:r w:rsidRPr="008E778F">
            <w:rPr>
              <w:rFonts w:ascii="Arial" w:hAnsi="Arial" w:cs="Arial"/>
              <w:bCs/>
              <w:sz w:val="20"/>
              <w:szCs w:val="20"/>
            </w:rPr>
            <w:fldChar w:fldCharType="separate"/>
          </w:r>
          <w:hyperlink w:anchor="_Toc72745024" w:history="1">
            <w:r w:rsidR="004E1340" w:rsidRPr="00BC6526">
              <w:rPr>
                <w:rStyle w:val="Hipercze"/>
                <w:rFonts w:ascii="Arial" w:hAnsi="Arial" w:cs="Arial"/>
                <w:b/>
                <w:noProof/>
              </w:rPr>
              <w:t>Wstęp</w:t>
            </w:r>
            <w:r w:rsidR="004E1340">
              <w:rPr>
                <w:noProof/>
                <w:webHidden/>
              </w:rPr>
              <w:tab/>
            </w:r>
            <w:r w:rsidR="004E1340">
              <w:rPr>
                <w:noProof/>
                <w:webHidden/>
              </w:rPr>
              <w:fldChar w:fldCharType="begin"/>
            </w:r>
            <w:r w:rsidR="004E1340">
              <w:rPr>
                <w:noProof/>
                <w:webHidden/>
              </w:rPr>
              <w:instrText xml:space="preserve"> PAGEREF _Toc72745024 \h </w:instrText>
            </w:r>
            <w:r w:rsidR="004E1340">
              <w:rPr>
                <w:noProof/>
                <w:webHidden/>
              </w:rPr>
            </w:r>
            <w:r w:rsidR="004E1340">
              <w:rPr>
                <w:noProof/>
                <w:webHidden/>
              </w:rPr>
              <w:fldChar w:fldCharType="separate"/>
            </w:r>
            <w:r w:rsidR="00834EF6">
              <w:rPr>
                <w:noProof/>
                <w:webHidden/>
              </w:rPr>
              <w:t>6</w:t>
            </w:r>
            <w:r w:rsidR="004E1340">
              <w:rPr>
                <w:noProof/>
                <w:webHidden/>
              </w:rPr>
              <w:fldChar w:fldCharType="end"/>
            </w:r>
          </w:hyperlink>
        </w:p>
        <w:p w14:paraId="3F99EA7A" w14:textId="69BA8E75" w:rsidR="004E1340" w:rsidRDefault="00F013E4">
          <w:pPr>
            <w:pStyle w:val="Spistreci2"/>
            <w:tabs>
              <w:tab w:val="right" w:leader="dot" w:pos="9060"/>
            </w:tabs>
            <w:rPr>
              <w:rFonts w:eastAsiaTheme="minorEastAsia"/>
              <w:noProof/>
              <w:lang w:eastAsia="pl-PL"/>
            </w:rPr>
          </w:pPr>
          <w:hyperlink w:anchor="_Toc72745025" w:history="1">
            <w:r w:rsidR="004E1340" w:rsidRPr="00BC6526">
              <w:rPr>
                <w:rStyle w:val="Hipercze"/>
                <w:rFonts w:ascii="Arial" w:hAnsi="Arial" w:cs="Arial"/>
                <w:b/>
                <w:noProof/>
                <w:lang w:eastAsia="pl-PL"/>
              </w:rPr>
              <w:t>Przyjęte akty prawne.</w:t>
            </w:r>
            <w:r w:rsidR="004E1340">
              <w:rPr>
                <w:noProof/>
                <w:webHidden/>
              </w:rPr>
              <w:tab/>
            </w:r>
            <w:r w:rsidR="004E1340">
              <w:rPr>
                <w:noProof/>
                <w:webHidden/>
              </w:rPr>
              <w:fldChar w:fldCharType="begin"/>
            </w:r>
            <w:r w:rsidR="004E1340">
              <w:rPr>
                <w:noProof/>
                <w:webHidden/>
              </w:rPr>
              <w:instrText xml:space="preserve"> PAGEREF _Toc72745025 \h </w:instrText>
            </w:r>
            <w:r w:rsidR="004E1340">
              <w:rPr>
                <w:noProof/>
                <w:webHidden/>
              </w:rPr>
            </w:r>
            <w:r w:rsidR="004E1340">
              <w:rPr>
                <w:noProof/>
                <w:webHidden/>
              </w:rPr>
              <w:fldChar w:fldCharType="separate"/>
            </w:r>
            <w:r w:rsidR="00834EF6">
              <w:rPr>
                <w:noProof/>
                <w:webHidden/>
              </w:rPr>
              <w:t>7</w:t>
            </w:r>
            <w:r w:rsidR="004E1340">
              <w:rPr>
                <w:noProof/>
                <w:webHidden/>
              </w:rPr>
              <w:fldChar w:fldCharType="end"/>
            </w:r>
          </w:hyperlink>
        </w:p>
        <w:p w14:paraId="0EC52549" w14:textId="29DF240B" w:rsidR="004E1340" w:rsidRDefault="00F013E4">
          <w:pPr>
            <w:pStyle w:val="Spistreci2"/>
            <w:tabs>
              <w:tab w:val="right" w:leader="dot" w:pos="9060"/>
            </w:tabs>
            <w:rPr>
              <w:rFonts w:eastAsiaTheme="minorEastAsia"/>
              <w:noProof/>
              <w:lang w:eastAsia="pl-PL"/>
            </w:rPr>
          </w:pPr>
          <w:hyperlink w:anchor="_Toc72745026" w:history="1">
            <w:r w:rsidR="004E1340" w:rsidRPr="00BC6526">
              <w:rPr>
                <w:rStyle w:val="Hipercze"/>
                <w:rFonts w:ascii="Arial" w:hAnsi="Arial" w:cs="Arial"/>
                <w:b/>
                <w:noProof/>
                <w:lang w:eastAsia="pl-PL"/>
              </w:rPr>
              <w:t>Prace nad projektami ustaw w 2019 roku.</w:t>
            </w:r>
            <w:r w:rsidR="004E1340">
              <w:rPr>
                <w:noProof/>
                <w:webHidden/>
              </w:rPr>
              <w:tab/>
            </w:r>
            <w:r w:rsidR="004E1340">
              <w:rPr>
                <w:noProof/>
                <w:webHidden/>
              </w:rPr>
              <w:fldChar w:fldCharType="begin"/>
            </w:r>
            <w:r w:rsidR="004E1340">
              <w:rPr>
                <w:noProof/>
                <w:webHidden/>
              </w:rPr>
              <w:instrText xml:space="preserve"> PAGEREF _Toc72745026 \h </w:instrText>
            </w:r>
            <w:r w:rsidR="004E1340">
              <w:rPr>
                <w:noProof/>
                <w:webHidden/>
              </w:rPr>
            </w:r>
            <w:r w:rsidR="004E1340">
              <w:rPr>
                <w:noProof/>
                <w:webHidden/>
              </w:rPr>
              <w:fldChar w:fldCharType="separate"/>
            </w:r>
            <w:r w:rsidR="00834EF6">
              <w:rPr>
                <w:noProof/>
                <w:webHidden/>
              </w:rPr>
              <w:t>9</w:t>
            </w:r>
            <w:r w:rsidR="004E1340">
              <w:rPr>
                <w:noProof/>
                <w:webHidden/>
              </w:rPr>
              <w:fldChar w:fldCharType="end"/>
            </w:r>
          </w:hyperlink>
        </w:p>
        <w:p w14:paraId="3C3428A1" w14:textId="105A272F" w:rsidR="004E1340" w:rsidRDefault="00F013E4">
          <w:pPr>
            <w:pStyle w:val="Spistreci2"/>
            <w:tabs>
              <w:tab w:val="right" w:leader="dot" w:pos="9060"/>
            </w:tabs>
            <w:rPr>
              <w:rFonts w:eastAsiaTheme="minorEastAsia"/>
              <w:noProof/>
              <w:lang w:eastAsia="pl-PL"/>
            </w:rPr>
          </w:pPr>
          <w:hyperlink w:anchor="_Toc72745027" w:history="1">
            <w:r w:rsidR="004E1340" w:rsidRPr="00BC6526">
              <w:rPr>
                <w:rStyle w:val="Hipercze"/>
                <w:rFonts w:ascii="Arial" w:hAnsi="Arial" w:cs="Arial"/>
                <w:b/>
                <w:noProof/>
              </w:rPr>
              <w:t>Rozporządzenia.</w:t>
            </w:r>
            <w:r w:rsidR="004E1340">
              <w:rPr>
                <w:noProof/>
                <w:webHidden/>
              </w:rPr>
              <w:tab/>
            </w:r>
            <w:r w:rsidR="004E1340">
              <w:rPr>
                <w:noProof/>
                <w:webHidden/>
              </w:rPr>
              <w:fldChar w:fldCharType="begin"/>
            </w:r>
            <w:r w:rsidR="004E1340">
              <w:rPr>
                <w:noProof/>
                <w:webHidden/>
              </w:rPr>
              <w:instrText xml:space="preserve"> PAGEREF _Toc72745027 \h </w:instrText>
            </w:r>
            <w:r w:rsidR="004E1340">
              <w:rPr>
                <w:noProof/>
                <w:webHidden/>
              </w:rPr>
            </w:r>
            <w:r w:rsidR="004E1340">
              <w:rPr>
                <w:noProof/>
                <w:webHidden/>
              </w:rPr>
              <w:fldChar w:fldCharType="separate"/>
            </w:r>
            <w:r w:rsidR="00834EF6">
              <w:rPr>
                <w:noProof/>
                <w:webHidden/>
              </w:rPr>
              <w:t>10</w:t>
            </w:r>
            <w:r w:rsidR="004E1340">
              <w:rPr>
                <w:noProof/>
                <w:webHidden/>
              </w:rPr>
              <w:fldChar w:fldCharType="end"/>
            </w:r>
          </w:hyperlink>
        </w:p>
        <w:p w14:paraId="38076A6D" w14:textId="5FD603B8" w:rsidR="004E1340" w:rsidRDefault="00F013E4">
          <w:pPr>
            <w:pStyle w:val="Spistreci1"/>
            <w:tabs>
              <w:tab w:val="right" w:leader="dot" w:pos="9060"/>
            </w:tabs>
            <w:rPr>
              <w:rFonts w:eastAsiaTheme="minorEastAsia"/>
              <w:noProof/>
              <w:lang w:eastAsia="pl-PL"/>
            </w:rPr>
          </w:pPr>
          <w:hyperlink w:anchor="_Toc72745028" w:history="1">
            <w:r w:rsidR="004E1340" w:rsidRPr="00BC6526">
              <w:rPr>
                <w:rStyle w:val="Hipercze"/>
                <w:rFonts w:ascii="Arial" w:hAnsi="Arial" w:cs="Arial"/>
                <w:b/>
                <w:noProof/>
              </w:rPr>
              <w:t>DZIAŁANIA RZĄDU RP W ZAKRESIE POLITYKI MORSKIEJ.</w:t>
            </w:r>
            <w:r w:rsidR="004E1340">
              <w:rPr>
                <w:noProof/>
                <w:webHidden/>
              </w:rPr>
              <w:tab/>
            </w:r>
            <w:r w:rsidR="004E1340">
              <w:rPr>
                <w:noProof/>
                <w:webHidden/>
              </w:rPr>
              <w:fldChar w:fldCharType="begin"/>
            </w:r>
            <w:r w:rsidR="004E1340">
              <w:rPr>
                <w:noProof/>
                <w:webHidden/>
              </w:rPr>
              <w:instrText xml:space="preserve"> PAGEREF _Toc72745028 \h </w:instrText>
            </w:r>
            <w:r w:rsidR="004E1340">
              <w:rPr>
                <w:noProof/>
                <w:webHidden/>
              </w:rPr>
            </w:r>
            <w:r w:rsidR="004E1340">
              <w:rPr>
                <w:noProof/>
                <w:webHidden/>
              </w:rPr>
              <w:fldChar w:fldCharType="separate"/>
            </w:r>
            <w:r w:rsidR="00834EF6">
              <w:rPr>
                <w:noProof/>
                <w:webHidden/>
              </w:rPr>
              <w:t>11</w:t>
            </w:r>
            <w:r w:rsidR="004E1340">
              <w:rPr>
                <w:noProof/>
                <w:webHidden/>
              </w:rPr>
              <w:fldChar w:fldCharType="end"/>
            </w:r>
          </w:hyperlink>
        </w:p>
        <w:p w14:paraId="0F8AAB72" w14:textId="767692B9" w:rsidR="004E1340" w:rsidRDefault="00F013E4">
          <w:pPr>
            <w:pStyle w:val="Spistreci2"/>
            <w:tabs>
              <w:tab w:val="right" w:leader="dot" w:pos="9060"/>
            </w:tabs>
            <w:rPr>
              <w:rFonts w:eastAsiaTheme="minorEastAsia"/>
              <w:noProof/>
              <w:lang w:eastAsia="pl-PL"/>
            </w:rPr>
          </w:pPr>
          <w:hyperlink w:anchor="_Toc72745029" w:history="1">
            <w:r w:rsidR="004E1340" w:rsidRPr="00BC6526">
              <w:rPr>
                <w:rStyle w:val="Hipercze"/>
                <w:rFonts w:ascii="Arial" w:hAnsi="Arial" w:cs="Arial"/>
                <w:b/>
                <w:noProof/>
              </w:rPr>
              <w:t>Realizacja priorytetowych zadań na rzecz rozwoju gospodarki morskiej.</w:t>
            </w:r>
            <w:r w:rsidR="004E1340">
              <w:rPr>
                <w:noProof/>
                <w:webHidden/>
              </w:rPr>
              <w:tab/>
            </w:r>
            <w:r w:rsidR="004E1340">
              <w:rPr>
                <w:noProof/>
                <w:webHidden/>
              </w:rPr>
              <w:fldChar w:fldCharType="begin"/>
            </w:r>
            <w:r w:rsidR="004E1340">
              <w:rPr>
                <w:noProof/>
                <w:webHidden/>
              </w:rPr>
              <w:instrText xml:space="preserve"> PAGEREF _Toc72745029 \h </w:instrText>
            </w:r>
            <w:r w:rsidR="004E1340">
              <w:rPr>
                <w:noProof/>
                <w:webHidden/>
              </w:rPr>
            </w:r>
            <w:r w:rsidR="004E1340">
              <w:rPr>
                <w:noProof/>
                <w:webHidden/>
              </w:rPr>
              <w:fldChar w:fldCharType="separate"/>
            </w:r>
            <w:r w:rsidR="00834EF6">
              <w:rPr>
                <w:noProof/>
                <w:webHidden/>
              </w:rPr>
              <w:t>11</w:t>
            </w:r>
            <w:r w:rsidR="004E1340">
              <w:rPr>
                <w:noProof/>
                <w:webHidden/>
              </w:rPr>
              <w:fldChar w:fldCharType="end"/>
            </w:r>
          </w:hyperlink>
        </w:p>
        <w:p w14:paraId="55DFF1B4" w14:textId="7FD01E6C" w:rsidR="004E1340" w:rsidRDefault="00F013E4">
          <w:pPr>
            <w:pStyle w:val="Spistreci2"/>
            <w:tabs>
              <w:tab w:val="right" w:leader="dot" w:pos="9060"/>
            </w:tabs>
            <w:rPr>
              <w:rFonts w:eastAsiaTheme="minorEastAsia"/>
              <w:noProof/>
              <w:lang w:eastAsia="pl-PL"/>
            </w:rPr>
          </w:pPr>
          <w:hyperlink w:anchor="_Toc72745030" w:history="1">
            <w:r w:rsidR="004E1340" w:rsidRPr="00BC6526">
              <w:rPr>
                <w:rStyle w:val="Hipercze"/>
                <w:rFonts w:ascii="Arial" w:hAnsi="Arial" w:cs="Arial"/>
                <w:b/>
                <w:noProof/>
              </w:rPr>
              <w:t>Realizacja priorytetowych działań na rzecz rozwoju gospodarki wodnej.</w:t>
            </w:r>
            <w:r w:rsidR="004E1340">
              <w:rPr>
                <w:noProof/>
                <w:webHidden/>
              </w:rPr>
              <w:tab/>
            </w:r>
            <w:r w:rsidR="004E1340">
              <w:rPr>
                <w:noProof/>
                <w:webHidden/>
              </w:rPr>
              <w:fldChar w:fldCharType="begin"/>
            </w:r>
            <w:r w:rsidR="004E1340">
              <w:rPr>
                <w:noProof/>
                <w:webHidden/>
              </w:rPr>
              <w:instrText xml:space="preserve"> PAGEREF _Toc72745030 \h </w:instrText>
            </w:r>
            <w:r w:rsidR="004E1340">
              <w:rPr>
                <w:noProof/>
                <w:webHidden/>
              </w:rPr>
            </w:r>
            <w:r w:rsidR="004E1340">
              <w:rPr>
                <w:noProof/>
                <w:webHidden/>
              </w:rPr>
              <w:fldChar w:fldCharType="separate"/>
            </w:r>
            <w:r w:rsidR="00834EF6">
              <w:rPr>
                <w:noProof/>
                <w:webHidden/>
              </w:rPr>
              <w:t>19</w:t>
            </w:r>
            <w:r w:rsidR="004E1340">
              <w:rPr>
                <w:noProof/>
                <w:webHidden/>
              </w:rPr>
              <w:fldChar w:fldCharType="end"/>
            </w:r>
          </w:hyperlink>
        </w:p>
        <w:p w14:paraId="0B487690" w14:textId="2B1728AE" w:rsidR="004E1340" w:rsidRDefault="00F013E4">
          <w:pPr>
            <w:pStyle w:val="Spistreci2"/>
            <w:tabs>
              <w:tab w:val="right" w:leader="dot" w:pos="9060"/>
            </w:tabs>
            <w:rPr>
              <w:rFonts w:eastAsiaTheme="minorEastAsia"/>
              <w:noProof/>
              <w:lang w:eastAsia="pl-PL"/>
            </w:rPr>
          </w:pPr>
          <w:hyperlink w:anchor="_Toc72745031" w:history="1">
            <w:r w:rsidR="004E1340" w:rsidRPr="00BC6526">
              <w:rPr>
                <w:rStyle w:val="Hipercze"/>
                <w:rFonts w:ascii="Arial" w:hAnsi="Arial" w:cs="Arial"/>
                <w:b/>
                <w:noProof/>
              </w:rPr>
              <w:t>Działania inwestycyjne na rzecz rozwoju infrastruktury oraz dostępności do portów.</w:t>
            </w:r>
            <w:r w:rsidR="004E1340">
              <w:rPr>
                <w:noProof/>
                <w:webHidden/>
              </w:rPr>
              <w:tab/>
            </w:r>
            <w:r w:rsidR="004E1340">
              <w:rPr>
                <w:noProof/>
                <w:webHidden/>
              </w:rPr>
              <w:fldChar w:fldCharType="begin"/>
            </w:r>
            <w:r w:rsidR="004E1340">
              <w:rPr>
                <w:noProof/>
                <w:webHidden/>
              </w:rPr>
              <w:instrText xml:space="preserve"> PAGEREF _Toc72745031 \h </w:instrText>
            </w:r>
            <w:r w:rsidR="004E1340">
              <w:rPr>
                <w:noProof/>
                <w:webHidden/>
              </w:rPr>
            </w:r>
            <w:r w:rsidR="004E1340">
              <w:rPr>
                <w:noProof/>
                <w:webHidden/>
              </w:rPr>
              <w:fldChar w:fldCharType="separate"/>
            </w:r>
            <w:r w:rsidR="00834EF6">
              <w:rPr>
                <w:noProof/>
                <w:webHidden/>
              </w:rPr>
              <w:t>20</w:t>
            </w:r>
            <w:r w:rsidR="004E1340">
              <w:rPr>
                <w:noProof/>
                <w:webHidden/>
              </w:rPr>
              <w:fldChar w:fldCharType="end"/>
            </w:r>
          </w:hyperlink>
        </w:p>
        <w:p w14:paraId="75F92290" w14:textId="0567C1C7" w:rsidR="004E1340" w:rsidRDefault="00F013E4">
          <w:pPr>
            <w:pStyle w:val="Spistreci2"/>
            <w:tabs>
              <w:tab w:val="right" w:leader="dot" w:pos="9060"/>
            </w:tabs>
            <w:rPr>
              <w:rFonts w:eastAsiaTheme="minorEastAsia"/>
              <w:noProof/>
              <w:lang w:eastAsia="pl-PL"/>
            </w:rPr>
          </w:pPr>
          <w:hyperlink w:anchor="_Toc72745032" w:history="1">
            <w:r w:rsidR="004E1340" w:rsidRPr="00BC6526">
              <w:rPr>
                <w:rStyle w:val="Hipercze"/>
                <w:rFonts w:ascii="Arial" w:hAnsi="Arial" w:cs="Arial"/>
                <w:b/>
                <w:noProof/>
              </w:rPr>
              <w:t>Umowy w sprawie unikania podwójnego opodatkowania.</w:t>
            </w:r>
            <w:r w:rsidR="004E1340">
              <w:rPr>
                <w:noProof/>
                <w:webHidden/>
              </w:rPr>
              <w:tab/>
            </w:r>
            <w:r w:rsidR="004E1340">
              <w:rPr>
                <w:noProof/>
                <w:webHidden/>
              </w:rPr>
              <w:fldChar w:fldCharType="begin"/>
            </w:r>
            <w:r w:rsidR="004E1340">
              <w:rPr>
                <w:noProof/>
                <w:webHidden/>
              </w:rPr>
              <w:instrText xml:space="preserve"> PAGEREF _Toc72745032 \h </w:instrText>
            </w:r>
            <w:r w:rsidR="004E1340">
              <w:rPr>
                <w:noProof/>
                <w:webHidden/>
              </w:rPr>
            </w:r>
            <w:r w:rsidR="004E1340">
              <w:rPr>
                <w:noProof/>
                <w:webHidden/>
              </w:rPr>
              <w:fldChar w:fldCharType="separate"/>
            </w:r>
            <w:r w:rsidR="00834EF6">
              <w:rPr>
                <w:noProof/>
                <w:webHidden/>
              </w:rPr>
              <w:t>22</w:t>
            </w:r>
            <w:r w:rsidR="004E1340">
              <w:rPr>
                <w:noProof/>
                <w:webHidden/>
              </w:rPr>
              <w:fldChar w:fldCharType="end"/>
            </w:r>
          </w:hyperlink>
        </w:p>
        <w:p w14:paraId="71AFED9D" w14:textId="20317289" w:rsidR="004E1340" w:rsidRDefault="00F013E4">
          <w:pPr>
            <w:pStyle w:val="Spistreci2"/>
            <w:tabs>
              <w:tab w:val="right" w:leader="dot" w:pos="9060"/>
            </w:tabs>
            <w:rPr>
              <w:rFonts w:eastAsiaTheme="minorEastAsia"/>
              <w:noProof/>
              <w:lang w:eastAsia="pl-PL"/>
            </w:rPr>
          </w:pPr>
          <w:hyperlink w:anchor="_Toc72745033" w:history="1">
            <w:r w:rsidR="004E1340" w:rsidRPr="00BC6526">
              <w:rPr>
                <w:rStyle w:val="Hipercze"/>
                <w:rFonts w:ascii="Arial" w:hAnsi="Arial" w:cs="Arial"/>
                <w:b/>
                <w:noProof/>
              </w:rPr>
              <w:t>Uczestnictwo w pracach grup roboczych na forum UE i w układzie regionalnym.</w:t>
            </w:r>
            <w:r w:rsidR="004E1340">
              <w:rPr>
                <w:noProof/>
                <w:webHidden/>
              </w:rPr>
              <w:tab/>
            </w:r>
            <w:r w:rsidR="004E1340">
              <w:rPr>
                <w:noProof/>
                <w:webHidden/>
              </w:rPr>
              <w:fldChar w:fldCharType="begin"/>
            </w:r>
            <w:r w:rsidR="004E1340">
              <w:rPr>
                <w:noProof/>
                <w:webHidden/>
              </w:rPr>
              <w:instrText xml:space="preserve"> PAGEREF _Toc72745033 \h </w:instrText>
            </w:r>
            <w:r w:rsidR="004E1340">
              <w:rPr>
                <w:noProof/>
                <w:webHidden/>
              </w:rPr>
            </w:r>
            <w:r w:rsidR="004E1340">
              <w:rPr>
                <w:noProof/>
                <w:webHidden/>
              </w:rPr>
              <w:fldChar w:fldCharType="separate"/>
            </w:r>
            <w:r w:rsidR="00834EF6">
              <w:rPr>
                <w:noProof/>
                <w:webHidden/>
              </w:rPr>
              <w:t>24</w:t>
            </w:r>
            <w:r w:rsidR="004E1340">
              <w:rPr>
                <w:noProof/>
                <w:webHidden/>
              </w:rPr>
              <w:fldChar w:fldCharType="end"/>
            </w:r>
          </w:hyperlink>
        </w:p>
        <w:p w14:paraId="053B9141" w14:textId="3B432F6C" w:rsidR="004E1340" w:rsidRDefault="00F013E4">
          <w:pPr>
            <w:pStyle w:val="Spistreci2"/>
            <w:tabs>
              <w:tab w:val="right" w:leader="dot" w:pos="9060"/>
            </w:tabs>
            <w:rPr>
              <w:rFonts w:eastAsiaTheme="minorEastAsia"/>
              <w:noProof/>
              <w:lang w:eastAsia="pl-PL"/>
            </w:rPr>
          </w:pPr>
          <w:hyperlink w:anchor="_Toc72745034" w:history="1">
            <w:r w:rsidR="004E1340" w:rsidRPr="00BC6526">
              <w:rPr>
                <w:rStyle w:val="Hipercze"/>
                <w:rFonts w:ascii="Arial" w:hAnsi="Arial" w:cs="Arial"/>
                <w:b/>
                <w:noProof/>
              </w:rPr>
              <w:t>Zaangażowanie Rzeczypospolitej Polskiej na forum ONZ w dziedzinie prawa morza.</w:t>
            </w:r>
            <w:r w:rsidR="004E1340">
              <w:rPr>
                <w:noProof/>
                <w:webHidden/>
              </w:rPr>
              <w:tab/>
            </w:r>
            <w:r w:rsidR="004E1340">
              <w:rPr>
                <w:noProof/>
                <w:webHidden/>
              </w:rPr>
              <w:fldChar w:fldCharType="begin"/>
            </w:r>
            <w:r w:rsidR="004E1340">
              <w:rPr>
                <w:noProof/>
                <w:webHidden/>
              </w:rPr>
              <w:instrText xml:space="preserve"> PAGEREF _Toc72745034 \h </w:instrText>
            </w:r>
            <w:r w:rsidR="004E1340">
              <w:rPr>
                <w:noProof/>
                <w:webHidden/>
              </w:rPr>
            </w:r>
            <w:r w:rsidR="004E1340">
              <w:rPr>
                <w:noProof/>
                <w:webHidden/>
              </w:rPr>
              <w:fldChar w:fldCharType="separate"/>
            </w:r>
            <w:r w:rsidR="00834EF6">
              <w:rPr>
                <w:noProof/>
                <w:webHidden/>
              </w:rPr>
              <w:t>29</w:t>
            </w:r>
            <w:r w:rsidR="004E1340">
              <w:rPr>
                <w:noProof/>
                <w:webHidden/>
              </w:rPr>
              <w:fldChar w:fldCharType="end"/>
            </w:r>
          </w:hyperlink>
        </w:p>
        <w:p w14:paraId="59402FC5" w14:textId="73CFB451" w:rsidR="004E1340" w:rsidRDefault="00F013E4">
          <w:pPr>
            <w:pStyle w:val="Spistreci2"/>
            <w:tabs>
              <w:tab w:val="right" w:leader="dot" w:pos="9060"/>
            </w:tabs>
            <w:rPr>
              <w:rFonts w:eastAsiaTheme="minorEastAsia"/>
              <w:noProof/>
              <w:lang w:eastAsia="pl-PL"/>
            </w:rPr>
          </w:pPr>
          <w:hyperlink w:anchor="_Toc72745035" w:history="1">
            <w:r w:rsidR="004E1340" w:rsidRPr="00BC6526">
              <w:rPr>
                <w:rStyle w:val="Hipercze"/>
                <w:rFonts w:ascii="Arial" w:hAnsi="Arial" w:cs="Arial"/>
                <w:b/>
                <w:noProof/>
              </w:rPr>
              <w:t>Ważniejsze wydarzenia 2019 roku związane z tematyką morską.</w:t>
            </w:r>
            <w:r w:rsidR="004E1340">
              <w:rPr>
                <w:noProof/>
                <w:webHidden/>
              </w:rPr>
              <w:tab/>
            </w:r>
            <w:r w:rsidR="004E1340">
              <w:rPr>
                <w:noProof/>
                <w:webHidden/>
              </w:rPr>
              <w:fldChar w:fldCharType="begin"/>
            </w:r>
            <w:r w:rsidR="004E1340">
              <w:rPr>
                <w:noProof/>
                <w:webHidden/>
              </w:rPr>
              <w:instrText xml:space="preserve"> PAGEREF _Toc72745035 \h </w:instrText>
            </w:r>
            <w:r w:rsidR="004E1340">
              <w:rPr>
                <w:noProof/>
                <w:webHidden/>
              </w:rPr>
            </w:r>
            <w:r w:rsidR="004E1340">
              <w:rPr>
                <w:noProof/>
                <w:webHidden/>
              </w:rPr>
              <w:fldChar w:fldCharType="separate"/>
            </w:r>
            <w:r w:rsidR="00834EF6">
              <w:rPr>
                <w:noProof/>
                <w:webHidden/>
              </w:rPr>
              <w:t>30</w:t>
            </w:r>
            <w:r w:rsidR="004E1340">
              <w:rPr>
                <w:noProof/>
                <w:webHidden/>
              </w:rPr>
              <w:fldChar w:fldCharType="end"/>
            </w:r>
          </w:hyperlink>
        </w:p>
        <w:p w14:paraId="0E758B82" w14:textId="3EB09169" w:rsidR="004E1340" w:rsidRDefault="00F013E4">
          <w:pPr>
            <w:pStyle w:val="Spistreci1"/>
            <w:tabs>
              <w:tab w:val="right" w:leader="dot" w:pos="9060"/>
            </w:tabs>
            <w:rPr>
              <w:rFonts w:eastAsiaTheme="minorEastAsia"/>
              <w:noProof/>
              <w:lang w:eastAsia="pl-PL"/>
            </w:rPr>
          </w:pPr>
          <w:hyperlink w:anchor="_Toc72745036" w:history="1">
            <w:r w:rsidR="004E1340" w:rsidRPr="00BC6526">
              <w:rPr>
                <w:rStyle w:val="Hipercze"/>
                <w:rFonts w:ascii="Arial" w:hAnsi="Arial" w:cs="Arial"/>
                <w:b/>
                <w:noProof/>
              </w:rPr>
              <w:t>DZIAŁANIA NA RZECZ UPROSZCZENIA PROCEDUR W ZAKRESIE ODPRAW TOWARÓW W POLSKICH PORTACH MORSKICH.</w:t>
            </w:r>
            <w:r w:rsidR="004E1340">
              <w:rPr>
                <w:noProof/>
                <w:webHidden/>
              </w:rPr>
              <w:tab/>
            </w:r>
            <w:r w:rsidR="004E1340">
              <w:rPr>
                <w:noProof/>
                <w:webHidden/>
              </w:rPr>
              <w:fldChar w:fldCharType="begin"/>
            </w:r>
            <w:r w:rsidR="004E1340">
              <w:rPr>
                <w:noProof/>
                <w:webHidden/>
              </w:rPr>
              <w:instrText xml:space="preserve"> PAGEREF _Toc72745036 \h </w:instrText>
            </w:r>
            <w:r w:rsidR="004E1340">
              <w:rPr>
                <w:noProof/>
                <w:webHidden/>
              </w:rPr>
            </w:r>
            <w:r w:rsidR="004E1340">
              <w:rPr>
                <w:noProof/>
                <w:webHidden/>
              </w:rPr>
              <w:fldChar w:fldCharType="separate"/>
            </w:r>
            <w:r w:rsidR="00834EF6">
              <w:rPr>
                <w:noProof/>
                <w:webHidden/>
              </w:rPr>
              <w:t>33</w:t>
            </w:r>
            <w:r w:rsidR="004E1340">
              <w:rPr>
                <w:noProof/>
                <w:webHidden/>
              </w:rPr>
              <w:fldChar w:fldCharType="end"/>
            </w:r>
          </w:hyperlink>
        </w:p>
        <w:p w14:paraId="4E75C621" w14:textId="74F74B01" w:rsidR="004E1340" w:rsidRDefault="00F013E4">
          <w:pPr>
            <w:pStyle w:val="Spistreci2"/>
            <w:tabs>
              <w:tab w:val="right" w:leader="dot" w:pos="9060"/>
            </w:tabs>
            <w:rPr>
              <w:rFonts w:eastAsiaTheme="minorEastAsia"/>
              <w:noProof/>
              <w:lang w:eastAsia="pl-PL"/>
            </w:rPr>
          </w:pPr>
          <w:hyperlink w:anchor="_Toc72745037" w:history="1">
            <w:r w:rsidR="004E1340" w:rsidRPr="00BC6526">
              <w:rPr>
                <w:rStyle w:val="Hipercze"/>
                <w:rFonts w:ascii="Arial" w:hAnsi="Arial" w:cs="Arial"/>
                <w:b/>
                <w:noProof/>
              </w:rPr>
              <w:t>Realizacja działań podejmowanych w 2019 r. w zakresie zwiększenia efektywności obrotu towarowego w portach.</w:t>
            </w:r>
            <w:r w:rsidR="004E1340">
              <w:rPr>
                <w:noProof/>
                <w:webHidden/>
              </w:rPr>
              <w:tab/>
            </w:r>
            <w:r w:rsidR="004E1340">
              <w:rPr>
                <w:noProof/>
                <w:webHidden/>
              </w:rPr>
              <w:fldChar w:fldCharType="begin"/>
            </w:r>
            <w:r w:rsidR="004E1340">
              <w:rPr>
                <w:noProof/>
                <w:webHidden/>
              </w:rPr>
              <w:instrText xml:space="preserve"> PAGEREF _Toc72745037 \h </w:instrText>
            </w:r>
            <w:r w:rsidR="004E1340">
              <w:rPr>
                <w:noProof/>
                <w:webHidden/>
              </w:rPr>
            </w:r>
            <w:r w:rsidR="004E1340">
              <w:rPr>
                <w:noProof/>
                <w:webHidden/>
              </w:rPr>
              <w:fldChar w:fldCharType="separate"/>
            </w:r>
            <w:r w:rsidR="00834EF6">
              <w:rPr>
                <w:noProof/>
                <w:webHidden/>
              </w:rPr>
              <w:t>33</w:t>
            </w:r>
            <w:r w:rsidR="004E1340">
              <w:rPr>
                <w:noProof/>
                <w:webHidden/>
              </w:rPr>
              <w:fldChar w:fldCharType="end"/>
            </w:r>
          </w:hyperlink>
        </w:p>
        <w:p w14:paraId="173EB9E8" w14:textId="3E83CF87" w:rsidR="004E1340" w:rsidRDefault="00F013E4">
          <w:pPr>
            <w:pStyle w:val="Spistreci2"/>
            <w:tabs>
              <w:tab w:val="right" w:leader="dot" w:pos="9060"/>
            </w:tabs>
            <w:rPr>
              <w:rFonts w:eastAsiaTheme="minorEastAsia"/>
              <w:noProof/>
              <w:lang w:eastAsia="pl-PL"/>
            </w:rPr>
          </w:pPr>
          <w:hyperlink w:anchor="_Toc72745038" w:history="1">
            <w:r w:rsidR="004E1340" w:rsidRPr="00BC6526">
              <w:rPr>
                <w:rStyle w:val="Hipercze"/>
                <w:rFonts w:ascii="Arial" w:hAnsi="Arial" w:cs="Arial"/>
                <w:b/>
                <w:noProof/>
              </w:rPr>
              <w:t>Uczestnictwo Krajowej Administracji Skarbowej w pracach międzynarodowych grup roboczych i projektach UE.</w:t>
            </w:r>
            <w:r w:rsidR="004E1340">
              <w:rPr>
                <w:noProof/>
                <w:webHidden/>
              </w:rPr>
              <w:tab/>
            </w:r>
            <w:r w:rsidR="004E1340">
              <w:rPr>
                <w:noProof/>
                <w:webHidden/>
              </w:rPr>
              <w:fldChar w:fldCharType="begin"/>
            </w:r>
            <w:r w:rsidR="004E1340">
              <w:rPr>
                <w:noProof/>
                <w:webHidden/>
              </w:rPr>
              <w:instrText xml:space="preserve"> PAGEREF _Toc72745038 \h </w:instrText>
            </w:r>
            <w:r w:rsidR="004E1340">
              <w:rPr>
                <w:noProof/>
                <w:webHidden/>
              </w:rPr>
            </w:r>
            <w:r w:rsidR="004E1340">
              <w:rPr>
                <w:noProof/>
                <w:webHidden/>
              </w:rPr>
              <w:fldChar w:fldCharType="separate"/>
            </w:r>
            <w:r w:rsidR="00834EF6">
              <w:rPr>
                <w:noProof/>
                <w:webHidden/>
              </w:rPr>
              <w:t>36</w:t>
            </w:r>
            <w:r w:rsidR="004E1340">
              <w:rPr>
                <w:noProof/>
                <w:webHidden/>
              </w:rPr>
              <w:fldChar w:fldCharType="end"/>
            </w:r>
          </w:hyperlink>
        </w:p>
        <w:p w14:paraId="5C6EAB8F" w14:textId="36AF0CF0" w:rsidR="004E1340" w:rsidRDefault="00F013E4">
          <w:pPr>
            <w:pStyle w:val="Spistreci2"/>
            <w:tabs>
              <w:tab w:val="right" w:leader="dot" w:pos="9060"/>
            </w:tabs>
            <w:rPr>
              <w:rFonts w:eastAsiaTheme="minorEastAsia"/>
              <w:noProof/>
              <w:lang w:eastAsia="pl-PL"/>
            </w:rPr>
          </w:pPr>
          <w:hyperlink w:anchor="_Toc72745039" w:history="1">
            <w:r w:rsidR="004E1340" w:rsidRPr="00BC6526">
              <w:rPr>
                <w:rStyle w:val="Hipercze"/>
                <w:rFonts w:ascii="Arial" w:hAnsi="Arial" w:cs="Arial"/>
                <w:b/>
                <w:noProof/>
              </w:rPr>
              <w:t>Działania Krajowej Administracji Skarbowej w zakresie bezpieczeństwa granicy morskiej.</w:t>
            </w:r>
            <w:r w:rsidR="004E1340">
              <w:rPr>
                <w:noProof/>
                <w:webHidden/>
              </w:rPr>
              <w:tab/>
            </w:r>
            <w:r w:rsidR="004E1340">
              <w:rPr>
                <w:noProof/>
                <w:webHidden/>
              </w:rPr>
              <w:fldChar w:fldCharType="begin"/>
            </w:r>
            <w:r w:rsidR="004E1340">
              <w:rPr>
                <w:noProof/>
                <w:webHidden/>
              </w:rPr>
              <w:instrText xml:space="preserve"> PAGEREF _Toc72745039 \h </w:instrText>
            </w:r>
            <w:r w:rsidR="004E1340">
              <w:rPr>
                <w:noProof/>
                <w:webHidden/>
              </w:rPr>
            </w:r>
            <w:r w:rsidR="004E1340">
              <w:rPr>
                <w:noProof/>
                <w:webHidden/>
              </w:rPr>
              <w:fldChar w:fldCharType="separate"/>
            </w:r>
            <w:r w:rsidR="00834EF6">
              <w:rPr>
                <w:noProof/>
                <w:webHidden/>
              </w:rPr>
              <w:t>36</w:t>
            </w:r>
            <w:r w:rsidR="004E1340">
              <w:rPr>
                <w:noProof/>
                <w:webHidden/>
              </w:rPr>
              <w:fldChar w:fldCharType="end"/>
            </w:r>
          </w:hyperlink>
        </w:p>
        <w:p w14:paraId="1CB86238" w14:textId="5733B8B6" w:rsidR="004E1340" w:rsidRDefault="00F013E4">
          <w:pPr>
            <w:pStyle w:val="Spistreci1"/>
            <w:tabs>
              <w:tab w:val="right" w:leader="dot" w:pos="9060"/>
            </w:tabs>
            <w:rPr>
              <w:rFonts w:eastAsiaTheme="minorEastAsia"/>
              <w:noProof/>
              <w:lang w:eastAsia="pl-PL"/>
            </w:rPr>
          </w:pPr>
          <w:hyperlink w:anchor="_Toc72745040" w:history="1">
            <w:r w:rsidR="004E1340" w:rsidRPr="00BC6526">
              <w:rPr>
                <w:rStyle w:val="Hipercze"/>
                <w:rFonts w:ascii="Arial" w:hAnsi="Arial" w:cs="Arial"/>
                <w:b/>
                <w:noProof/>
              </w:rPr>
              <w:t>NAUKA I BADANIA MORSKIE.</w:t>
            </w:r>
            <w:r w:rsidR="004E1340">
              <w:rPr>
                <w:noProof/>
                <w:webHidden/>
              </w:rPr>
              <w:tab/>
            </w:r>
            <w:r w:rsidR="004E1340">
              <w:rPr>
                <w:noProof/>
                <w:webHidden/>
              </w:rPr>
              <w:fldChar w:fldCharType="begin"/>
            </w:r>
            <w:r w:rsidR="004E1340">
              <w:rPr>
                <w:noProof/>
                <w:webHidden/>
              </w:rPr>
              <w:instrText xml:space="preserve"> PAGEREF _Toc72745040 \h </w:instrText>
            </w:r>
            <w:r w:rsidR="004E1340">
              <w:rPr>
                <w:noProof/>
                <w:webHidden/>
              </w:rPr>
            </w:r>
            <w:r w:rsidR="004E1340">
              <w:rPr>
                <w:noProof/>
                <w:webHidden/>
              </w:rPr>
              <w:fldChar w:fldCharType="separate"/>
            </w:r>
            <w:r w:rsidR="00834EF6">
              <w:rPr>
                <w:noProof/>
                <w:webHidden/>
              </w:rPr>
              <w:t>37</w:t>
            </w:r>
            <w:r w:rsidR="004E1340">
              <w:rPr>
                <w:noProof/>
                <w:webHidden/>
              </w:rPr>
              <w:fldChar w:fldCharType="end"/>
            </w:r>
          </w:hyperlink>
        </w:p>
        <w:p w14:paraId="689CCCF1" w14:textId="5ABE5017" w:rsidR="004E1340" w:rsidRDefault="00F013E4">
          <w:pPr>
            <w:pStyle w:val="Spistreci2"/>
            <w:tabs>
              <w:tab w:val="right" w:leader="dot" w:pos="9060"/>
            </w:tabs>
            <w:rPr>
              <w:rFonts w:eastAsiaTheme="minorEastAsia"/>
              <w:noProof/>
              <w:lang w:eastAsia="pl-PL"/>
            </w:rPr>
          </w:pPr>
          <w:hyperlink w:anchor="_Toc72745041" w:history="1">
            <w:r w:rsidR="004E1340" w:rsidRPr="00BC6526">
              <w:rPr>
                <w:rStyle w:val="Hipercze"/>
                <w:rFonts w:ascii="Arial" w:hAnsi="Arial" w:cs="Arial"/>
                <w:b/>
                <w:noProof/>
              </w:rPr>
              <w:t>Działalność akademii morskich oraz uczelni prowadzących kierunki związane z realizacją polityki morskiej RP.</w:t>
            </w:r>
            <w:r w:rsidR="004E1340">
              <w:rPr>
                <w:noProof/>
                <w:webHidden/>
              </w:rPr>
              <w:tab/>
            </w:r>
            <w:r w:rsidR="004E1340">
              <w:rPr>
                <w:noProof/>
                <w:webHidden/>
              </w:rPr>
              <w:fldChar w:fldCharType="begin"/>
            </w:r>
            <w:r w:rsidR="004E1340">
              <w:rPr>
                <w:noProof/>
                <w:webHidden/>
              </w:rPr>
              <w:instrText xml:space="preserve"> PAGEREF _Toc72745041 \h </w:instrText>
            </w:r>
            <w:r w:rsidR="004E1340">
              <w:rPr>
                <w:noProof/>
                <w:webHidden/>
              </w:rPr>
            </w:r>
            <w:r w:rsidR="004E1340">
              <w:rPr>
                <w:noProof/>
                <w:webHidden/>
              </w:rPr>
              <w:fldChar w:fldCharType="separate"/>
            </w:r>
            <w:r w:rsidR="00834EF6">
              <w:rPr>
                <w:noProof/>
                <w:webHidden/>
              </w:rPr>
              <w:t>37</w:t>
            </w:r>
            <w:r w:rsidR="004E1340">
              <w:rPr>
                <w:noProof/>
                <w:webHidden/>
              </w:rPr>
              <w:fldChar w:fldCharType="end"/>
            </w:r>
          </w:hyperlink>
        </w:p>
        <w:p w14:paraId="626F2825" w14:textId="4D8527A9" w:rsidR="004E1340" w:rsidRDefault="00F013E4">
          <w:pPr>
            <w:pStyle w:val="Spistreci3"/>
            <w:tabs>
              <w:tab w:val="right" w:leader="dot" w:pos="9060"/>
            </w:tabs>
            <w:rPr>
              <w:rFonts w:eastAsiaTheme="minorEastAsia"/>
              <w:noProof/>
              <w:lang w:eastAsia="pl-PL"/>
            </w:rPr>
          </w:pPr>
          <w:hyperlink w:anchor="_Toc72745042" w:history="1">
            <w:r w:rsidR="004E1340" w:rsidRPr="00BC6526">
              <w:rPr>
                <w:rStyle w:val="Hipercze"/>
                <w:rFonts w:ascii="Arial" w:hAnsi="Arial" w:cs="Arial"/>
                <w:b/>
                <w:noProof/>
              </w:rPr>
              <w:t>Uniwersytet Morski w Gdyni.</w:t>
            </w:r>
            <w:r w:rsidR="004E1340">
              <w:rPr>
                <w:noProof/>
                <w:webHidden/>
              </w:rPr>
              <w:tab/>
            </w:r>
            <w:r w:rsidR="004E1340">
              <w:rPr>
                <w:noProof/>
                <w:webHidden/>
              </w:rPr>
              <w:fldChar w:fldCharType="begin"/>
            </w:r>
            <w:r w:rsidR="004E1340">
              <w:rPr>
                <w:noProof/>
                <w:webHidden/>
              </w:rPr>
              <w:instrText xml:space="preserve"> PAGEREF _Toc72745042 \h </w:instrText>
            </w:r>
            <w:r w:rsidR="004E1340">
              <w:rPr>
                <w:noProof/>
                <w:webHidden/>
              </w:rPr>
            </w:r>
            <w:r w:rsidR="004E1340">
              <w:rPr>
                <w:noProof/>
                <w:webHidden/>
              </w:rPr>
              <w:fldChar w:fldCharType="separate"/>
            </w:r>
            <w:r w:rsidR="00834EF6">
              <w:rPr>
                <w:noProof/>
                <w:webHidden/>
              </w:rPr>
              <w:t>37</w:t>
            </w:r>
            <w:r w:rsidR="004E1340">
              <w:rPr>
                <w:noProof/>
                <w:webHidden/>
              </w:rPr>
              <w:fldChar w:fldCharType="end"/>
            </w:r>
          </w:hyperlink>
        </w:p>
        <w:p w14:paraId="5D63F12D" w14:textId="684BF835" w:rsidR="004E1340" w:rsidRDefault="00F013E4">
          <w:pPr>
            <w:pStyle w:val="Spistreci3"/>
            <w:tabs>
              <w:tab w:val="right" w:leader="dot" w:pos="9060"/>
            </w:tabs>
            <w:rPr>
              <w:rFonts w:eastAsiaTheme="minorEastAsia"/>
              <w:noProof/>
              <w:lang w:eastAsia="pl-PL"/>
            </w:rPr>
          </w:pPr>
          <w:hyperlink w:anchor="_Toc72745043" w:history="1">
            <w:r w:rsidR="004E1340" w:rsidRPr="00BC6526">
              <w:rPr>
                <w:rStyle w:val="Hipercze"/>
                <w:rFonts w:ascii="Arial" w:hAnsi="Arial" w:cs="Arial"/>
                <w:b/>
                <w:noProof/>
                <w:shd w:val="clear" w:color="auto" w:fill="FFFFFF"/>
              </w:rPr>
              <w:t>Akademia Morska w Szczecinie.</w:t>
            </w:r>
            <w:r w:rsidR="004E1340">
              <w:rPr>
                <w:noProof/>
                <w:webHidden/>
              </w:rPr>
              <w:tab/>
            </w:r>
            <w:r w:rsidR="004E1340">
              <w:rPr>
                <w:noProof/>
                <w:webHidden/>
              </w:rPr>
              <w:fldChar w:fldCharType="begin"/>
            </w:r>
            <w:r w:rsidR="004E1340">
              <w:rPr>
                <w:noProof/>
                <w:webHidden/>
              </w:rPr>
              <w:instrText xml:space="preserve"> PAGEREF _Toc72745043 \h </w:instrText>
            </w:r>
            <w:r w:rsidR="004E1340">
              <w:rPr>
                <w:noProof/>
                <w:webHidden/>
              </w:rPr>
            </w:r>
            <w:r w:rsidR="004E1340">
              <w:rPr>
                <w:noProof/>
                <w:webHidden/>
              </w:rPr>
              <w:fldChar w:fldCharType="separate"/>
            </w:r>
            <w:r w:rsidR="00834EF6">
              <w:rPr>
                <w:noProof/>
                <w:webHidden/>
              </w:rPr>
              <w:t>42</w:t>
            </w:r>
            <w:r w:rsidR="004E1340">
              <w:rPr>
                <w:noProof/>
                <w:webHidden/>
              </w:rPr>
              <w:fldChar w:fldCharType="end"/>
            </w:r>
          </w:hyperlink>
        </w:p>
        <w:p w14:paraId="5E282E1A" w14:textId="0B49CCB4" w:rsidR="004E1340" w:rsidRDefault="00F013E4">
          <w:pPr>
            <w:pStyle w:val="Spistreci3"/>
            <w:tabs>
              <w:tab w:val="right" w:leader="dot" w:pos="9060"/>
            </w:tabs>
            <w:rPr>
              <w:rFonts w:eastAsiaTheme="minorEastAsia"/>
              <w:noProof/>
              <w:lang w:eastAsia="pl-PL"/>
            </w:rPr>
          </w:pPr>
          <w:hyperlink w:anchor="_Toc72745044" w:history="1">
            <w:r w:rsidR="004E1340" w:rsidRPr="00BC6526">
              <w:rPr>
                <w:rStyle w:val="Hipercze"/>
                <w:rFonts w:ascii="Arial" w:hAnsi="Arial" w:cs="Arial"/>
                <w:b/>
                <w:noProof/>
                <w:shd w:val="clear" w:color="auto" w:fill="FFFFFF"/>
              </w:rPr>
              <w:t>Uniwersytet Gdański.</w:t>
            </w:r>
            <w:r w:rsidR="004E1340">
              <w:rPr>
                <w:noProof/>
                <w:webHidden/>
              </w:rPr>
              <w:tab/>
            </w:r>
            <w:r w:rsidR="004E1340">
              <w:rPr>
                <w:noProof/>
                <w:webHidden/>
              </w:rPr>
              <w:fldChar w:fldCharType="begin"/>
            </w:r>
            <w:r w:rsidR="004E1340">
              <w:rPr>
                <w:noProof/>
                <w:webHidden/>
              </w:rPr>
              <w:instrText xml:space="preserve"> PAGEREF _Toc72745044 \h </w:instrText>
            </w:r>
            <w:r w:rsidR="004E1340">
              <w:rPr>
                <w:noProof/>
                <w:webHidden/>
              </w:rPr>
            </w:r>
            <w:r w:rsidR="004E1340">
              <w:rPr>
                <w:noProof/>
                <w:webHidden/>
              </w:rPr>
              <w:fldChar w:fldCharType="separate"/>
            </w:r>
            <w:r w:rsidR="00834EF6">
              <w:rPr>
                <w:noProof/>
                <w:webHidden/>
              </w:rPr>
              <w:t>47</w:t>
            </w:r>
            <w:r w:rsidR="004E1340">
              <w:rPr>
                <w:noProof/>
                <w:webHidden/>
              </w:rPr>
              <w:fldChar w:fldCharType="end"/>
            </w:r>
          </w:hyperlink>
        </w:p>
        <w:p w14:paraId="467D84B8" w14:textId="67878B82" w:rsidR="004E1340" w:rsidRDefault="00F013E4">
          <w:pPr>
            <w:pStyle w:val="Spistreci3"/>
            <w:tabs>
              <w:tab w:val="right" w:leader="dot" w:pos="9060"/>
            </w:tabs>
            <w:rPr>
              <w:rFonts w:eastAsiaTheme="minorEastAsia"/>
              <w:noProof/>
              <w:lang w:eastAsia="pl-PL"/>
            </w:rPr>
          </w:pPr>
          <w:hyperlink w:anchor="_Toc72745045" w:history="1">
            <w:r w:rsidR="004E1340" w:rsidRPr="00BC6526">
              <w:rPr>
                <w:rStyle w:val="Hipercze"/>
                <w:rFonts w:ascii="Arial" w:hAnsi="Arial" w:cs="Arial"/>
                <w:b/>
                <w:noProof/>
              </w:rPr>
              <w:t>Akademia Marynarki Wojennej im. Bohaterów Westerplatte w Gdyni.</w:t>
            </w:r>
            <w:r w:rsidR="004E1340">
              <w:rPr>
                <w:noProof/>
                <w:webHidden/>
              </w:rPr>
              <w:tab/>
            </w:r>
            <w:r w:rsidR="004E1340">
              <w:rPr>
                <w:noProof/>
                <w:webHidden/>
              </w:rPr>
              <w:fldChar w:fldCharType="begin"/>
            </w:r>
            <w:r w:rsidR="004E1340">
              <w:rPr>
                <w:noProof/>
                <w:webHidden/>
              </w:rPr>
              <w:instrText xml:space="preserve"> PAGEREF _Toc72745045 \h </w:instrText>
            </w:r>
            <w:r w:rsidR="004E1340">
              <w:rPr>
                <w:noProof/>
                <w:webHidden/>
              </w:rPr>
            </w:r>
            <w:r w:rsidR="004E1340">
              <w:rPr>
                <w:noProof/>
                <w:webHidden/>
              </w:rPr>
              <w:fldChar w:fldCharType="separate"/>
            </w:r>
            <w:r w:rsidR="00834EF6">
              <w:rPr>
                <w:noProof/>
                <w:webHidden/>
              </w:rPr>
              <w:t>57</w:t>
            </w:r>
            <w:r w:rsidR="004E1340">
              <w:rPr>
                <w:noProof/>
                <w:webHidden/>
              </w:rPr>
              <w:fldChar w:fldCharType="end"/>
            </w:r>
          </w:hyperlink>
        </w:p>
        <w:p w14:paraId="5859688D" w14:textId="57E6A341" w:rsidR="004E1340" w:rsidRDefault="00F013E4">
          <w:pPr>
            <w:pStyle w:val="Spistreci3"/>
            <w:tabs>
              <w:tab w:val="right" w:leader="dot" w:pos="9060"/>
            </w:tabs>
            <w:rPr>
              <w:rFonts w:eastAsiaTheme="minorEastAsia"/>
              <w:noProof/>
              <w:lang w:eastAsia="pl-PL"/>
            </w:rPr>
          </w:pPr>
          <w:hyperlink w:anchor="_Toc72745046" w:history="1">
            <w:r w:rsidR="004E1340" w:rsidRPr="00BC6526">
              <w:rPr>
                <w:rStyle w:val="Hipercze"/>
                <w:rFonts w:ascii="Arial" w:hAnsi="Arial" w:cs="Arial"/>
                <w:b/>
                <w:noProof/>
              </w:rPr>
              <w:t>Uniwersytet Szczeciński.</w:t>
            </w:r>
            <w:r w:rsidR="004E1340">
              <w:rPr>
                <w:noProof/>
                <w:webHidden/>
              </w:rPr>
              <w:tab/>
            </w:r>
            <w:r w:rsidR="004E1340">
              <w:rPr>
                <w:noProof/>
                <w:webHidden/>
              </w:rPr>
              <w:fldChar w:fldCharType="begin"/>
            </w:r>
            <w:r w:rsidR="004E1340">
              <w:rPr>
                <w:noProof/>
                <w:webHidden/>
              </w:rPr>
              <w:instrText xml:space="preserve"> PAGEREF _Toc72745046 \h </w:instrText>
            </w:r>
            <w:r w:rsidR="004E1340">
              <w:rPr>
                <w:noProof/>
                <w:webHidden/>
              </w:rPr>
            </w:r>
            <w:r w:rsidR="004E1340">
              <w:rPr>
                <w:noProof/>
                <w:webHidden/>
              </w:rPr>
              <w:fldChar w:fldCharType="separate"/>
            </w:r>
            <w:r w:rsidR="00834EF6">
              <w:rPr>
                <w:noProof/>
                <w:webHidden/>
              </w:rPr>
              <w:t>59</w:t>
            </w:r>
            <w:r w:rsidR="004E1340">
              <w:rPr>
                <w:noProof/>
                <w:webHidden/>
              </w:rPr>
              <w:fldChar w:fldCharType="end"/>
            </w:r>
          </w:hyperlink>
        </w:p>
        <w:p w14:paraId="790CBDAA" w14:textId="34244A12" w:rsidR="004E1340" w:rsidRDefault="00F013E4">
          <w:pPr>
            <w:pStyle w:val="Spistreci3"/>
            <w:tabs>
              <w:tab w:val="right" w:leader="dot" w:pos="9060"/>
            </w:tabs>
            <w:rPr>
              <w:rFonts w:eastAsiaTheme="minorEastAsia"/>
              <w:noProof/>
              <w:lang w:eastAsia="pl-PL"/>
            </w:rPr>
          </w:pPr>
          <w:hyperlink w:anchor="_Toc72745047" w:history="1">
            <w:r w:rsidR="004E1340" w:rsidRPr="00BC6526">
              <w:rPr>
                <w:rStyle w:val="Hipercze"/>
                <w:rFonts w:ascii="Arial" w:hAnsi="Arial" w:cs="Arial"/>
                <w:b/>
                <w:noProof/>
              </w:rPr>
              <w:t>Zachodniopomorski Uniwersytet Technologiczny w Szczecinie.</w:t>
            </w:r>
            <w:r w:rsidR="004E1340">
              <w:rPr>
                <w:noProof/>
                <w:webHidden/>
              </w:rPr>
              <w:tab/>
            </w:r>
            <w:r w:rsidR="004E1340">
              <w:rPr>
                <w:noProof/>
                <w:webHidden/>
              </w:rPr>
              <w:fldChar w:fldCharType="begin"/>
            </w:r>
            <w:r w:rsidR="004E1340">
              <w:rPr>
                <w:noProof/>
                <w:webHidden/>
              </w:rPr>
              <w:instrText xml:space="preserve"> PAGEREF _Toc72745047 \h </w:instrText>
            </w:r>
            <w:r w:rsidR="004E1340">
              <w:rPr>
                <w:noProof/>
                <w:webHidden/>
              </w:rPr>
            </w:r>
            <w:r w:rsidR="004E1340">
              <w:rPr>
                <w:noProof/>
                <w:webHidden/>
              </w:rPr>
              <w:fldChar w:fldCharType="separate"/>
            </w:r>
            <w:r w:rsidR="00834EF6">
              <w:rPr>
                <w:noProof/>
                <w:webHidden/>
              </w:rPr>
              <w:t>62</w:t>
            </w:r>
            <w:r w:rsidR="004E1340">
              <w:rPr>
                <w:noProof/>
                <w:webHidden/>
              </w:rPr>
              <w:fldChar w:fldCharType="end"/>
            </w:r>
          </w:hyperlink>
        </w:p>
        <w:p w14:paraId="78D517CB" w14:textId="30D44376" w:rsidR="004E1340" w:rsidRDefault="00F013E4">
          <w:pPr>
            <w:pStyle w:val="Spistreci1"/>
            <w:tabs>
              <w:tab w:val="right" w:leader="dot" w:pos="9060"/>
            </w:tabs>
            <w:rPr>
              <w:rFonts w:eastAsiaTheme="minorEastAsia"/>
              <w:noProof/>
              <w:lang w:eastAsia="pl-PL"/>
            </w:rPr>
          </w:pPr>
          <w:hyperlink w:anchor="_Toc72745048" w:history="1">
            <w:r w:rsidR="004E1340" w:rsidRPr="00BC6526">
              <w:rPr>
                <w:rStyle w:val="Hipercze"/>
                <w:rFonts w:ascii="Arial" w:hAnsi="Arial" w:cs="Arial"/>
                <w:b/>
                <w:noProof/>
              </w:rPr>
              <w:t>POLITYKA MORSKA RP W  ODNIESIENIU DO REGIONU ARKTYKI I ANTARKTYKI.</w:t>
            </w:r>
            <w:r w:rsidR="004E1340">
              <w:rPr>
                <w:noProof/>
                <w:webHidden/>
              </w:rPr>
              <w:tab/>
            </w:r>
            <w:r w:rsidR="004E1340">
              <w:rPr>
                <w:noProof/>
                <w:webHidden/>
              </w:rPr>
              <w:fldChar w:fldCharType="begin"/>
            </w:r>
            <w:r w:rsidR="004E1340">
              <w:rPr>
                <w:noProof/>
                <w:webHidden/>
              </w:rPr>
              <w:instrText xml:space="preserve"> PAGEREF _Toc72745048 \h </w:instrText>
            </w:r>
            <w:r w:rsidR="004E1340">
              <w:rPr>
                <w:noProof/>
                <w:webHidden/>
              </w:rPr>
            </w:r>
            <w:r w:rsidR="004E1340">
              <w:rPr>
                <w:noProof/>
                <w:webHidden/>
              </w:rPr>
              <w:fldChar w:fldCharType="separate"/>
            </w:r>
            <w:r w:rsidR="00834EF6">
              <w:rPr>
                <w:noProof/>
                <w:webHidden/>
              </w:rPr>
              <w:t>64</w:t>
            </w:r>
            <w:r w:rsidR="004E1340">
              <w:rPr>
                <w:noProof/>
                <w:webHidden/>
              </w:rPr>
              <w:fldChar w:fldCharType="end"/>
            </w:r>
          </w:hyperlink>
        </w:p>
        <w:p w14:paraId="21FEBC76" w14:textId="05868054" w:rsidR="004E1340" w:rsidRDefault="00F013E4">
          <w:pPr>
            <w:pStyle w:val="Spistreci2"/>
            <w:tabs>
              <w:tab w:val="right" w:leader="dot" w:pos="9060"/>
            </w:tabs>
            <w:rPr>
              <w:rFonts w:eastAsiaTheme="minorEastAsia"/>
              <w:noProof/>
              <w:lang w:eastAsia="pl-PL"/>
            </w:rPr>
          </w:pPr>
          <w:hyperlink w:anchor="_Toc72745049" w:history="1">
            <w:r w:rsidR="004E1340" w:rsidRPr="00BC6526">
              <w:rPr>
                <w:rStyle w:val="Hipercze"/>
                <w:rFonts w:ascii="Arial" w:hAnsi="Arial" w:cs="Arial"/>
                <w:b/>
                <w:noProof/>
              </w:rPr>
              <w:t>Zaangażowanie Rzeczypospolitej Polskiej w regionie Arktyki i Antarktyki.</w:t>
            </w:r>
            <w:r w:rsidR="004E1340">
              <w:rPr>
                <w:noProof/>
                <w:webHidden/>
              </w:rPr>
              <w:tab/>
            </w:r>
            <w:r w:rsidR="004E1340">
              <w:rPr>
                <w:noProof/>
                <w:webHidden/>
              </w:rPr>
              <w:fldChar w:fldCharType="begin"/>
            </w:r>
            <w:r w:rsidR="004E1340">
              <w:rPr>
                <w:noProof/>
                <w:webHidden/>
              </w:rPr>
              <w:instrText xml:space="preserve"> PAGEREF _Toc72745049 \h </w:instrText>
            </w:r>
            <w:r w:rsidR="004E1340">
              <w:rPr>
                <w:noProof/>
                <w:webHidden/>
              </w:rPr>
            </w:r>
            <w:r w:rsidR="004E1340">
              <w:rPr>
                <w:noProof/>
                <w:webHidden/>
              </w:rPr>
              <w:fldChar w:fldCharType="separate"/>
            </w:r>
            <w:r w:rsidR="00834EF6">
              <w:rPr>
                <w:noProof/>
                <w:webHidden/>
              </w:rPr>
              <w:t>64</w:t>
            </w:r>
            <w:r w:rsidR="004E1340">
              <w:rPr>
                <w:noProof/>
                <w:webHidden/>
              </w:rPr>
              <w:fldChar w:fldCharType="end"/>
            </w:r>
          </w:hyperlink>
        </w:p>
        <w:p w14:paraId="4490BC21" w14:textId="56952F7B" w:rsidR="004E1340" w:rsidRDefault="00F013E4">
          <w:pPr>
            <w:pStyle w:val="Spistreci2"/>
            <w:tabs>
              <w:tab w:val="right" w:leader="dot" w:pos="9060"/>
            </w:tabs>
            <w:rPr>
              <w:rFonts w:eastAsiaTheme="minorEastAsia"/>
              <w:noProof/>
              <w:lang w:eastAsia="pl-PL"/>
            </w:rPr>
          </w:pPr>
          <w:hyperlink w:anchor="_Toc72745050" w:history="1">
            <w:r w:rsidR="004E1340" w:rsidRPr="00BC6526">
              <w:rPr>
                <w:rStyle w:val="Hipercze"/>
                <w:rFonts w:ascii="Arial" w:hAnsi="Arial" w:cs="Arial"/>
                <w:b/>
                <w:noProof/>
              </w:rPr>
              <w:t>Realizowane projekty i badania naukowe w regionach polarnych w 2019 r.</w:t>
            </w:r>
            <w:r w:rsidR="004E1340">
              <w:rPr>
                <w:noProof/>
                <w:webHidden/>
              </w:rPr>
              <w:tab/>
            </w:r>
            <w:r w:rsidR="004E1340">
              <w:rPr>
                <w:noProof/>
                <w:webHidden/>
              </w:rPr>
              <w:fldChar w:fldCharType="begin"/>
            </w:r>
            <w:r w:rsidR="004E1340">
              <w:rPr>
                <w:noProof/>
                <w:webHidden/>
              </w:rPr>
              <w:instrText xml:space="preserve"> PAGEREF _Toc72745050 \h </w:instrText>
            </w:r>
            <w:r w:rsidR="004E1340">
              <w:rPr>
                <w:noProof/>
                <w:webHidden/>
              </w:rPr>
            </w:r>
            <w:r w:rsidR="004E1340">
              <w:rPr>
                <w:noProof/>
                <w:webHidden/>
              </w:rPr>
              <w:fldChar w:fldCharType="separate"/>
            </w:r>
            <w:r w:rsidR="00834EF6">
              <w:rPr>
                <w:noProof/>
                <w:webHidden/>
              </w:rPr>
              <w:t>66</w:t>
            </w:r>
            <w:r w:rsidR="004E1340">
              <w:rPr>
                <w:noProof/>
                <w:webHidden/>
              </w:rPr>
              <w:fldChar w:fldCharType="end"/>
            </w:r>
          </w:hyperlink>
        </w:p>
        <w:p w14:paraId="7F8E1FD7" w14:textId="4A75F02E" w:rsidR="004E1340" w:rsidRDefault="00F013E4">
          <w:pPr>
            <w:pStyle w:val="Spistreci1"/>
            <w:tabs>
              <w:tab w:val="right" w:leader="dot" w:pos="9060"/>
            </w:tabs>
            <w:rPr>
              <w:rFonts w:eastAsiaTheme="minorEastAsia"/>
              <w:noProof/>
              <w:lang w:eastAsia="pl-PL"/>
            </w:rPr>
          </w:pPr>
          <w:hyperlink w:anchor="_Toc72745051" w:history="1">
            <w:r w:rsidR="004E1340" w:rsidRPr="00BC6526">
              <w:rPr>
                <w:rStyle w:val="Hipercze"/>
                <w:rFonts w:ascii="Arial" w:hAnsi="Arial" w:cs="Arial"/>
                <w:b/>
                <w:noProof/>
              </w:rPr>
              <w:t>OCHRONA ŚRODOWISKA MORSKIEGO.</w:t>
            </w:r>
            <w:r w:rsidR="004E1340">
              <w:rPr>
                <w:noProof/>
                <w:webHidden/>
              </w:rPr>
              <w:tab/>
            </w:r>
            <w:r w:rsidR="004E1340">
              <w:rPr>
                <w:noProof/>
                <w:webHidden/>
              </w:rPr>
              <w:fldChar w:fldCharType="begin"/>
            </w:r>
            <w:r w:rsidR="004E1340">
              <w:rPr>
                <w:noProof/>
                <w:webHidden/>
              </w:rPr>
              <w:instrText xml:space="preserve"> PAGEREF _Toc72745051 \h </w:instrText>
            </w:r>
            <w:r w:rsidR="004E1340">
              <w:rPr>
                <w:noProof/>
                <w:webHidden/>
              </w:rPr>
            </w:r>
            <w:r w:rsidR="004E1340">
              <w:rPr>
                <w:noProof/>
                <w:webHidden/>
              </w:rPr>
              <w:fldChar w:fldCharType="separate"/>
            </w:r>
            <w:r w:rsidR="00834EF6">
              <w:rPr>
                <w:noProof/>
                <w:webHidden/>
              </w:rPr>
              <w:t>68</w:t>
            </w:r>
            <w:r w:rsidR="004E1340">
              <w:rPr>
                <w:noProof/>
                <w:webHidden/>
              </w:rPr>
              <w:fldChar w:fldCharType="end"/>
            </w:r>
          </w:hyperlink>
        </w:p>
        <w:p w14:paraId="0A6883DA" w14:textId="76853D53" w:rsidR="004E1340" w:rsidRDefault="00F013E4">
          <w:pPr>
            <w:pStyle w:val="Spistreci2"/>
            <w:tabs>
              <w:tab w:val="right" w:leader="dot" w:pos="9060"/>
            </w:tabs>
            <w:rPr>
              <w:rFonts w:eastAsiaTheme="minorEastAsia"/>
              <w:noProof/>
              <w:lang w:eastAsia="pl-PL"/>
            </w:rPr>
          </w:pPr>
          <w:hyperlink w:anchor="_Toc72745052" w:history="1">
            <w:r w:rsidR="004E1340" w:rsidRPr="00BC6526">
              <w:rPr>
                <w:rStyle w:val="Hipercze"/>
                <w:rFonts w:ascii="Arial" w:hAnsi="Arial" w:cs="Arial"/>
                <w:b/>
                <w:noProof/>
              </w:rPr>
              <w:t>Działania w ramach Ramowej Dyrektywy w sprawie Strategii Morskiej.</w:t>
            </w:r>
            <w:r w:rsidR="004E1340">
              <w:rPr>
                <w:noProof/>
                <w:webHidden/>
              </w:rPr>
              <w:tab/>
            </w:r>
            <w:r w:rsidR="004E1340">
              <w:rPr>
                <w:noProof/>
                <w:webHidden/>
              </w:rPr>
              <w:fldChar w:fldCharType="begin"/>
            </w:r>
            <w:r w:rsidR="004E1340">
              <w:rPr>
                <w:noProof/>
                <w:webHidden/>
              </w:rPr>
              <w:instrText xml:space="preserve"> PAGEREF _Toc72745052 \h </w:instrText>
            </w:r>
            <w:r w:rsidR="004E1340">
              <w:rPr>
                <w:noProof/>
                <w:webHidden/>
              </w:rPr>
            </w:r>
            <w:r w:rsidR="004E1340">
              <w:rPr>
                <w:noProof/>
                <w:webHidden/>
              </w:rPr>
              <w:fldChar w:fldCharType="separate"/>
            </w:r>
            <w:r w:rsidR="00834EF6">
              <w:rPr>
                <w:noProof/>
                <w:webHidden/>
              </w:rPr>
              <w:t>68</w:t>
            </w:r>
            <w:r w:rsidR="004E1340">
              <w:rPr>
                <w:noProof/>
                <w:webHidden/>
              </w:rPr>
              <w:fldChar w:fldCharType="end"/>
            </w:r>
          </w:hyperlink>
        </w:p>
        <w:p w14:paraId="669708B3" w14:textId="29648C65" w:rsidR="004E1340" w:rsidRDefault="00F013E4">
          <w:pPr>
            <w:pStyle w:val="Spistreci2"/>
            <w:tabs>
              <w:tab w:val="right" w:leader="dot" w:pos="9060"/>
            </w:tabs>
            <w:rPr>
              <w:rFonts w:eastAsiaTheme="minorEastAsia"/>
              <w:noProof/>
              <w:lang w:eastAsia="pl-PL"/>
            </w:rPr>
          </w:pPr>
          <w:hyperlink w:anchor="_Toc72745053" w:history="1">
            <w:r w:rsidR="004E1340" w:rsidRPr="00BC6526">
              <w:rPr>
                <w:rStyle w:val="Hipercze"/>
                <w:rFonts w:ascii="Arial" w:hAnsi="Arial" w:cs="Arial"/>
                <w:b/>
                <w:noProof/>
              </w:rPr>
              <w:t>Działania na rzecz ochrony środowiska morskiego na forum UE.</w:t>
            </w:r>
            <w:r w:rsidR="004E1340">
              <w:rPr>
                <w:noProof/>
                <w:webHidden/>
              </w:rPr>
              <w:tab/>
            </w:r>
            <w:r w:rsidR="004E1340">
              <w:rPr>
                <w:noProof/>
                <w:webHidden/>
              </w:rPr>
              <w:fldChar w:fldCharType="begin"/>
            </w:r>
            <w:r w:rsidR="004E1340">
              <w:rPr>
                <w:noProof/>
                <w:webHidden/>
              </w:rPr>
              <w:instrText xml:space="preserve"> PAGEREF _Toc72745053 \h </w:instrText>
            </w:r>
            <w:r w:rsidR="004E1340">
              <w:rPr>
                <w:noProof/>
                <w:webHidden/>
              </w:rPr>
            </w:r>
            <w:r w:rsidR="004E1340">
              <w:rPr>
                <w:noProof/>
                <w:webHidden/>
              </w:rPr>
              <w:fldChar w:fldCharType="separate"/>
            </w:r>
            <w:r w:rsidR="00834EF6">
              <w:rPr>
                <w:noProof/>
                <w:webHidden/>
              </w:rPr>
              <w:t>71</w:t>
            </w:r>
            <w:r w:rsidR="004E1340">
              <w:rPr>
                <w:noProof/>
                <w:webHidden/>
              </w:rPr>
              <w:fldChar w:fldCharType="end"/>
            </w:r>
          </w:hyperlink>
        </w:p>
        <w:p w14:paraId="4B35B84F" w14:textId="47195815" w:rsidR="004E1340" w:rsidRDefault="00F013E4">
          <w:pPr>
            <w:pStyle w:val="Spistreci2"/>
            <w:tabs>
              <w:tab w:val="right" w:leader="dot" w:pos="9060"/>
            </w:tabs>
            <w:rPr>
              <w:rFonts w:eastAsiaTheme="minorEastAsia"/>
              <w:noProof/>
              <w:lang w:eastAsia="pl-PL"/>
            </w:rPr>
          </w:pPr>
          <w:hyperlink w:anchor="_Toc72745054" w:history="1">
            <w:r w:rsidR="004E1340" w:rsidRPr="00BC6526">
              <w:rPr>
                <w:rStyle w:val="Hipercze"/>
                <w:rFonts w:ascii="Arial" w:hAnsi="Arial" w:cs="Arial"/>
                <w:b/>
                <w:noProof/>
              </w:rPr>
              <w:t>Działania w ramach Konwencji o ochronie środowiska morskiego obszaru Morza Bałtyckiego.</w:t>
            </w:r>
            <w:r w:rsidR="004E1340">
              <w:rPr>
                <w:noProof/>
                <w:webHidden/>
              </w:rPr>
              <w:tab/>
            </w:r>
            <w:r w:rsidR="004E1340">
              <w:rPr>
                <w:noProof/>
                <w:webHidden/>
              </w:rPr>
              <w:fldChar w:fldCharType="begin"/>
            </w:r>
            <w:r w:rsidR="004E1340">
              <w:rPr>
                <w:noProof/>
                <w:webHidden/>
              </w:rPr>
              <w:instrText xml:space="preserve"> PAGEREF _Toc72745054 \h </w:instrText>
            </w:r>
            <w:r w:rsidR="004E1340">
              <w:rPr>
                <w:noProof/>
                <w:webHidden/>
              </w:rPr>
            </w:r>
            <w:r w:rsidR="004E1340">
              <w:rPr>
                <w:noProof/>
                <w:webHidden/>
              </w:rPr>
              <w:fldChar w:fldCharType="separate"/>
            </w:r>
            <w:r w:rsidR="00834EF6">
              <w:rPr>
                <w:noProof/>
                <w:webHidden/>
              </w:rPr>
              <w:t>72</w:t>
            </w:r>
            <w:r w:rsidR="004E1340">
              <w:rPr>
                <w:noProof/>
                <w:webHidden/>
              </w:rPr>
              <w:fldChar w:fldCharType="end"/>
            </w:r>
          </w:hyperlink>
        </w:p>
        <w:p w14:paraId="66EC7D26" w14:textId="02C8AFB3" w:rsidR="004E1340" w:rsidRDefault="00F013E4">
          <w:pPr>
            <w:pStyle w:val="Spistreci2"/>
            <w:tabs>
              <w:tab w:val="right" w:leader="dot" w:pos="9060"/>
            </w:tabs>
            <w:rPr>
              <w:rFonts w:eastAsiaTheme="minorEastAsia"/>
              <w:noProof/>
              <w:lang w:eastAsia="pl-PL"/>
            </w:rPr>
          </w:pPr>
          <w:hyperlink w:anchor="_Toc72745055" w:history="1">
            <w:r w:rsidR="004E1340" w:rsidRPr="00BC6526">
              <w:rPr>
                <w:rStyle w:val="Hipercze"/>
                <w:rFonts w:ascii="Arial" w:hAnsi="Arial" w:cs="Arial"/>
                <w:b/>
                <w:noProof/>
              </w:rPr>
              <w:t>Działania w ramach Strategii Unii Europejskiej dla regionu Morza Bałtyckiego.</w:t>
            </w:r>
            <w:r w:rsidR="004E1340">
              <w:rPr>
                <w:noProof/>
                <w:webHidden/>
              </w:rPr>
              <w:tab/>
            </w:r>
            <w:r w:rsidR="004E1340">
              <w:rPr>
                <w:noProof/>
                <w:webHidden/>
              </w:rPr>
              <w:fldChar w:fldCharType="begin"/>
            </w:r>
            <w:r w:rsidR="004E1340">
              <w:rPr>
                <w:noProof/>
                <w:webHidden/>
              </w:rPr>
              <w:instrText xml:space="preserve"> PAGEREF _Toc72745055 \h </w:instrText>
            </w:r>
            <w:r w:rsidR="004E1340">
              <w:rPr>
                <w:noProof/>
                <w:webHidden/>
              </w:rPr>
            </w:r>
            <w:r w:rsidR="004E1340">
              <w:rPr>
                <w:noProof/>
                <w:webHidden/>
              </w:rPr>
              <w:fldChar w:fldCharType="separate"/>
            </w:r>
            <w:r w:rsidR="00834EF6">
              <w:rPr>
                <w:noProof/>
                <w:webHidden/>
              </w:rPr>
              <w:t>76</w:t>
            </w:r>
            <w:r w:rsidR="004E1340">
              <w:rPr>
                <w:noProof/>
                <w:webHidden/>
              </w:rPr>
              <w:fldChar w:fldCharType="end"/>
            </w:r>
          </w:hyperlink>
        </w:p>
        <w:p w14:paraId="1989FB77" w14:textId="3DB75779" w:rsidR="004E1340" w:rsidRDefault="00F013E4">
          <w:pPr>
            <w:pStyle w:val="Spistreci2"/>
            <w:tabs>
              <w:tab w:val="right" w:leader="dot" w:pos="9060"/>
            </w:tabs>
            <w:rPr>
              <w:rFonts w:eastAsiaTheme="minorEastAsia"/>
              <w:noProof/>
              <w:lang w:eastAsia="pl-PL"/>
            </w:rPr>
          </w:pPr>
          <w:hyperlink w:anchor="_Toc72745056" w:history="1">
            <w:r w:rsidR="004E1340" w:rsidRPr="00BC6526">
              <w:rPr>
                <w:rStyle w:val="Hipercze"/>
                <w:rFonts w:ascii="Arial" w:hAnsi="Arial" w:cs="Arial"/>
                <w:b/>
                <w:noProof/>
              </w:rPr>
              <w:t>Działania w ramach Komitetu Ochrony Środowiska Morskiego Międzynarodowej Organizacji Morskiej (IMO-MEPC).</w:t>
            </w:r>
            <w:r w:rsidR="004E1340">
              <w:rPr>
                <w:noProof/>
                <w:webHidden/>
              </w:rPr>
              <w:tab/>
            </w:r>
            <w:r w:rsidR="004E1340">
              <w:rPr>
                <w:noProof/>
                <w:webHidden/>
              </w:rPr>
              <w:fldChar w:fldCharType="begin"/>
            </w:r>
            <w:r w:rsidR="004E1340">
              <w:rPr>
                <w:noProof/>
                <w:webHidden/>
              </w:rPr>
              <w:instrText xml:space="preserve"> PAGEREF _Toc72745056 \h </w:instrText>
            </w:r>
            <w:r w:rsidR="004E1340">
              <w:rPr>
                <w:noProof/>
                <w:webHidden/>
              </w:rPr>
            </w:r>
            <w:r w:rsidR="004E1340">
              <w:rPr>
                <w:noProof/>
                <w:webHidden/>
              </w:rPr>
              <w:fldChar w:fldCharType="separate"/>
            </w:r>
            <w:r w:rsidR="00834EF6">
              <w:rPr>
                <w:noProof/>
                <w:webHidden/>
              </w:rPr>
              <w:t>78</w:t>
            </w:r>
            <w:r w:rsidR="004E1340">
              <w:rPr>
                <w:noProof/>
                <w:webHidden/>
              </w:rPr>
              <w:fldChar w:fldCharType="end"/>
            </w:r>
          </w:hyperlink>
        </w:p>
        <w:p w14:paraId="5D80C3D8" w14:textId="46A94F9E" w:rsidR="004E1340" w:rsidRDefault="00F013E4">
          <w:pPr>
            <w:pStyle w:val="Spistreci1"/>
            <w:tabs>
              <w:tab w:val="right" w:leader="dot" w:pos="9060"/>
            </w:tabs>
            <w:rPr>
              <w:rFonts w:eastAsiaTheme="minorEastAsia"/>
              <w:noProof/>
              <w:lang w:eastAsia="pl-PL"/>
            </w:rPr>
          </w:pPr>
          <w:hyperlink w:anchor="_Toc72745057" w:history="1">
            <w:r w:rsidR="004E1340" w:rsidRPr="00BC6526">
              <w:rPr>
                <w:rStyle w:val="Hipercze"/>
                <w:rFonts w:ascii="Arial" w:hAnsi="Arial" w:cs="Arial"/>
                <w:b/>
                <w:noProof/>
              </w:rPr>
              <w:t>BEZPIECZEŃSTWO ŻEGLUGI.</w:t>
            </w:r>
            <w:r w:rsidR="004E1340">
              <w:rPr>
                <w:noProof/>
                <w:webHidden/>
              </w:rPr>
              <w:tab/>
            </w:r>
            <w:r w:rsidR="004E1340">
              <w:rPr>
                <w:noProof/>
                <w:webHidden/>
              </w:rPr>
              <w:fldChar w:fldCharType="begin"/>
            </w:r>
            <w:r w:rsidR="004E1340">
              <w:rPr>
                <w:noProof/>
                <w:webHidden/>
              </w:rPr>
              <w:instrText xml:space="preserve"> PAGEREF _Toc72745057 \h </w:instrText>
            </w:r>
            <w:r w:rsidR="004E1340">
              <w:rPr>
                <w:noProof/>
                <w:webHidden/>
              </w:rPr>
            </w:r>
            <w:r w:rsidR="004E1340">
              <w:rPr>
                <w:noProof/>
                <w:webHidden/>
              </w:rPr>
              <w:fldChar w:fldCharType="separate"/>
            </w:r>
            <w:r w:rsidR="00834EF6">
              <w:rPr>
                <w:noProof/>
                <w:webHidden/>
              </w:rPr>
              <w:t>79</w:t>
            </w:r>
            <w:r w:rsidR="004E1340">
              <w:rPr>
                <w:noProof/>
                <w:webHidden/>
              </w:rPr>
              <w:fldChar w:fldCharType="end"/>
            </w:r>
          </w:hyperlink>
        </w:p>
        <w:p w14:paraId="2FE6177A" w14:textId="516D07E3" w:rsidR="004E1340" w:rsidRDefault="00F013E4">
          <w:pPr>
            <w:pStyle w:val="Spistreci2"/>
            <w:tabs>
              <w:tab w:val="right" w:leader="dot" w:pos="9060"/>
            </w:tabs>
            <w:rPr>
              <w:rFonts w:eastAsiaTheme="minorEastAsia"/>
              <w:noProof/>
              <w:lang w:eastAsia="pl-PL"/>
            </w:rPr>
          </w:pPr>
          <w:hyperlink w:anchor="_Toc72745058" w:history="1">
            <w:r w:rsidR="004E1340" w:rsidRPr="00BC6526">
              <w:rPr>
                <w:rStyle w:val="Hipercze"/>
                <w:rFonts w:ascii="Arial" w:hAnsi="Arial" w:cs="Arial"/>
                <w:b/>
                <w:noProof/>
              </w:rPr>
              <w:t>Działania Morskiej Służby Poszukiwania i Ratownictwa (SAR).</w:t>
            </w:r>
            <w:r w:rsidR="004E1340">
              <w:rPr>
                <w:noProof/>
                <w:webHidden/>
              </w:rPr>
              <w:tab/>
            </w:r>
            <w:r w:rsidR="004E1340">
              <w:rPr>
                <w:noProof/>
                <w:webHidden/>
              </w:rPr>
              <w:fldChar w:fldCharType="begin"/>
            </w:r>
            <w:r w:rsidR="004E1340">
              <w:rPr>
                <w:noProof/>
                <w:webHidden/>
              </w:rPr>
              <w:instrText xml:space="preserve"> PAGEREF _Toc72745058 \h </w:instrText>
            </w:r>
            <w:r w:rsidR="004E1340">
              <w:rPr>
                <w:noProof/>
                <w:webHidden/>
              </w:rPr>
            </w:r>
            <w:r w:rsidR="004E1340">
              <w:rPr>
                <w:noProof/>
                <w:webHidden/>
              </w:rPr>
              <w:fldChar w:fldCharType="separate"/>
            </w:r>
            <w:r w:rsidR="00834EF6">
              <w:rPr>
                <w:noProof/>
                <w:webHidden/>
              </w:rPr>
              <w:t>80</w:t>
            </w:r>
            <w:r w:rsidR="004E1340">
              <w:rPr>
                <w:noProof/>
                <w:webHidden/>
              </w:rPr>
              <w:fldChar w:fldCharType="end"/>
            </w:r>
          </w:hyperlink>
        </w:p>
        <w:p w14:paraId="291F6D47" w14:textId="187668E1" w:rsidR="004E1340" w:rsidRDefault="00F013E4">
          <w:pPr>
            <w:pStyle w:val="Spistreci2"/>
            <w:tabs>
              <w:tab w:val="right" w:leader="dot" w:pos="9060"/>
            </w:tabs>
            <w:rPr>
              <w:rFonts w:eastAsiaTheme="minorEastAsia"/>
              <w:noProof/>
              <w:lang w:eastAsia="pl-PL"/>
            </w:rPr>
          </w:pPr>
          <w:hyperlink w:anchor="_Toc72745059" w:history="1">
            <w:r w:rsidR="004E1340" w:rsidRPr="00BC6526">
              <w:rPr>
                <w:rStyle w:val="Hipercze"/>
                <w:rFonts w:ascii="Arial" w:hAnsi="Arial" w:cs="Arial"/>
                <w:b/>
                <w:noProof/>
              </w:rPr>
              <w:t>Działania Straży Granicznej.</w:t>
            </w:r>
            <w:r w:rsidR="004E1340">
              <w:rPr>
                <w:noProof/>
                <w:webHidden/>
              </w:rPr>
              <w:tab/>
            </w:r>
            <w:r w:rsidR="004E1340">
              <w:rPr>
                <w:noProof/>
                <w:webHidden/>
              </w:rPr>
              <w:fldChar w:fldCharType="begin"/>
            </w:r>
            <w:r w:rsidR="004E1340">
              <w:rPr>
                <w:noProof/>
                <w:webHidden/>
              </w:rPr>
              <w:instrText xml:space="preserve"> PAGEREF _Toc72745059 \h </w:instrText>
            </w:r>
            <w:r w:rsidR="004E1340">
              <w:rPr>
                <w:noProof/>
                <w:webHidden/>
              </w:rPr>
            </w:r>
            <w:r w:rsidR="004E1340">
              <w:rPr>
                <w:noProof/>
                <w:webHidden/>
              </w:rPr>
              <w:fldChar w:fldCharType="separate"/>
            </w:r>
            <w:r w:rsidR="00834EF6">
              <w:rPr>
                <w:noProof/>
                <w:webHidden/>
              </w:rPr>
              <w:t>81</w:t>
            </w:r>
            <w:r w:rsidR="004E1340">
              <w:rPr>
                <w:noProof/>
                <w:webHidden/>
              </w:rPr>
              <w:fldChar w:fldCharType="end"/>
            </w:r>
          </w:hyperlink>
        </w:p>
        <w:p w14:paraId="35AFFAFC" w14:textId="1657395F" w:rsidR="004E1340" w:rsidRDefault="00F013E4">
          <w:pPr>
            <w:pStyle w:val="Spistreci2"/>
            <w:tabs>
              <w:tab w:val="right" w:leader="dot" w:pos="9060"/>
            </w:tabs>
            <w:rPr>
              <w:rFonts w:eastAsiaTheme="minorEastAsia"/>
              <w:noProof/>
              <w:lang w:eastAsia="pl-PL"/>
            </w:rPr>
          </w:pPr>
          <w:hyperlink w:anchor="_Toc72745060" w:history="1">
            <w:r w:rsidR="004E1340" w:rsidRPr="00BC6526">
              <w:rPr>
                <w:rStyle w:val="Hipercze"/>
                <w:rFonts w:ascii="Arial" w:hAnsi="Arial" w:cs="Arial"/>
                <w:b/>
                <w:noProof/>
              </w:rPr>
              <w:t>Działania Marynarki Wojennej RP.</w:t>
            </w:r>
            <w:r w:rsidR="004E1340">
              <w:rPr>
                <w:noProof/>
                <w:webHidden/>
              </w:rPr>
              <w:tab/>
            </w:r>
            <w:r w:rsidR="004E1340">
              <w:rPr>
                <w:noProof/>
                <w:webHidden/>
              </w:rPr>
              <w:fldChar w:fldCharType="begin"/>
            </w:r>
            <w:r w:rsidR="004E1340">
              <w:rPr>
                <w:noProof/>
                <w:webHidden/>
              </w:rPr>
              <w:instrText xml:space="preserve"> PAGEREF _Toc72745060 \h </w:instrText>
            </w:r>
            <w:r w:rsidR="004E1340">
              <w:rPr>
                <w:noProof/>
                <w:webHidden/>
              </w:rPr>
            </w:r>
            <w:r w:rsidR="004E1340">
              <w:rPr>
                <w:noProof/>
                <w:webHidden/>
              </w:rPr>
              <w:fldChar w:fldCharType="separate"/>
            </w:r>
            <w:r w:rsidR="00834EF6">
              <w:rPr>
                <w:noProof/>
                <w:webHidden/>
              </w:rPr>
              <w:t>88</w:t>
            </w:r>
            <w:r w:rsidR="004E1340">
              <w:rPr>
                <w:noProof/>
                <w:webHidden/>
              </w:rPr>
              <w:fldChar w:fldCharType="end"/>
            </w:r>
          </w:hyperlink>
        </w:p>
        <w:p w14:paraId="3B3C663F" w14:textId="6B6D9F6A" w:rsidR="004E1340" w:rsidRDefault="00F013E4">
          <w:pPr>
            <w:pStyle w:val="Spistreci2"/>
            <w:tabs>
              <w:tab w:val="right" w:leader="dot" w:pos="9060"/>
            </w:tabs>
            <w:rPr>
              <w:rFonts w:eastAsiaTheme="minorEastAsia"/>
              <w:noProof/>
              <w:lang w:eastAsia="pl-PL"/>
            </w:rPr>
          </w:pPr>
          <w:hyperlink w:anchor="_Toc72745061" w:history="1">
            <w:r w:rsidR="004E1340" w:rsidRPr="00BC6526">
              <w:rPr>
                <w:rStyle w:val="Hipercze"/>
                <w:rFonts w:ascii="Arial" w:hAnsi="Arial" w:cs="Arial"/>
                <w:b/>
                <w:noProof/>
              </w:rPr>
              <w:t>Działania Biura Hydrograficznego Marynarki Wojennej.</w:t>
            </w:r>
            <w:r w:rsidR="004E1340">
              <w:rPr>
                <w:noProof/>
                <w:webHidden/>
              </w:rPr>
              <w:tab/>
            </w:r>
            <w:r w:rsidR="004E1340">
              <w:rPr>
                <w:noProof/>
                <w:webHidden/>
              </w:rPr>
              <w:fldChar w:fldCharType="begin"/>
            </w:r>
            <w:r w:rsidR="004E1340">
              <w:rPr>
                <w:noProof/>
                <w:webHidden/>
              </w:rPr>
              <w:instrText xml:space="preserve"> PAGEREF _Toc72745061 \h </w:instrText>
            </w:r>
            <w:r w:rsidR="004E1340">
              <w:rPr>
                <w:noProof/>
                <w:webHidden/>
              </w:rPr>
            </w:r>
            <w:r w:rsidR="004E1340">
              <w:rPr>
                <w:noProof/>
                <w:webHidden/>
              </w:rPr>
              <w:fldChar w:fldCharType="separate"/>
            </w:r>
            <w:r w:rsidR="00834EF6">
              <w:rPr>
                <w:noProof/>
                <w:webHidden/>
              </w:rPr>
              <w:t>91</w:t>
            </w:r>
            <w:r w:rsidR="004E1340">
              <w:rPr>
                <w:noProof/>
                <w:webHidden/>
              </w:rPr>
              <w:fldChar w:fldCharType="end"/>
            </w:r>
          </w:hyperlink>
        </w:p>
        <w:p w14:paraId="172B4A6B" w14:textId="2420460A" w:rsidR="004E1340" w:rsidRDefault="00F013E4">
          <w:pPr>
            <w:pStyle w:val="Spistreci1"/>
            <w:tabs>
              <w:tab w:val="right" w:leader="dot" w:pos="9060"/>
            </w:tabs>
            <w:rPr>
              <w:rFonts w:eastAsiaTheme="minorEastAsia"/>
              <w:noProof/>
              <w:lang w:eastAsia="pl-PL"/>
            </w:rPr>
          </w:pPr>
          <w:hyperlink w:anchor="_Toc72745062" w:history="1">
            <w:r w:rsidR="004E1340" w:rsidRPr="00BC6526">
              <w:rPr>
                <w:rStyle w:val="Hipercze"/>
                <w:rFonts w:ascii="Arial" w:hAnsi="Arial" w:cs="Arial"/>
                <w:b/>
                <w:noProof/>
              </w:rPr>
              <w:t>WZMOCNIENIE BEZPIECZEŃSTWA ENERGETYCZNEGO KRAJU.</w:t>
            </w:r>
            <w:r w:rsidR="004E1340">
              <w:rPr>
                <w:noProof/>
                <w:webHidden/>
              </w:rPr>
              <w:tab/>
            </w:r>
            <w:r w:rsidR="004E1340">
              <w:rPr>
                <w:noProof/>
                <w:webHidden/>
              </w:rPr>
              <w:fldChar w:fldCharType="begin"/>
            </w:r>
            <w:r w:rsidR="004E1340">
              <w:rPr>
                <w:noProof/>
                <w:webHidden/>
              </w:rPr>
              <w:instrText xml:space="preserve"> PAGEREF _Toc72745062 \h </w:instrText>
            </w:r>
            <w:r w:rsidR="004E1340">
              <w:rPr>
                <w:noProof/>
                <w:webHidden/>
              </w:rPr>
            </w:r>
            <w:r w:rsidR="004E1340">
              <w:rPr>
                <w:noProof/>
                <w:webHidden/>
              </w:rPr>
              <w:fldChar w:fldCharType="separate"/>
            </w:r>
            <w:r w:rsidR="00834EF6">
              <w:rPr>
                <w:noProof/>
                <w:webHidden/>
              </w:rPr>
              <w:t>93</w:t>
            </w:r>
            <w:r w:rsidR="004E1340">
              <w:rPr>
                <w:noProof/>
                <w:webHidden/>
              </w:rPr>
              <w:fldChar w:fldCharType="end"/>
            </w:r>
          </w:hyperlink>
        </w:p>
        <w:p w14:paraId="72D2A1F1" w14:textId="78CFFE50" w:rsidR="004E1340" w:rsidRDefault="00F013E4">
          <w:pPr>
            <w:pStyle w:val="Spistreci1"/>
            <w:tabs>
              <w:tab w:val="right" w:leader="dot" w:pos="9060"/>
            </w:tabs>
            <w:rPr>
              <w:rFonts w:eastAsiaTheme="minorEastAsia"/>
              <w:noProof/>
              <w:lang w:eastAsia="pl-PL"/>
            </w:rPr>
          </w:pPr>
          <w:hyperlink w:anchor="_Toc72745063" w:history="1">
            <w:r w:rsidR="004E1340" w:rsidRPr="00BC6526">
              <w:rPr>
                <w:rStyle w:val="Hipercze"/>
                <w:rFonts w:ascii="Arial" w:hAnsi="Arial" w:cs="Arial"/>
                <w:b/>
                <w:noProof/>
              </w:rPr>
              <w:t>RACJONALNE KORZYSTANIE Z ZASOBÓW NATURALNYCH ŚRODOWISKA MORSKIEGO.</w:t>
            </w:r>
            <w:r w:rsidR="004E1340">
              <w:rPr>
                <w:noProof/>
                <w:webHidden/>
              </w:rPr>
              <w:tab/>
            </w:r>
            <w:r w:rsidR="004E1340">
              <w:rPr>
                <w:noProof/>
                <w:webHidden/>
              </w:rPr>
              <w:fldChar w:fldCharType="begin"/>
            </w:r>
            <w:r w:rsidR="004E1340">
              <w:rPr>
                <w:noProof/>
                <w:webHidden/>
              </w:rPr>
              <w:instrText xml:space="preserve"> PAGEREF _Toc72745063 \h </w:instrText>
            </w:r>
            <w:r w:rsidR="004E1340">
              <w:rPr>
                <w:noProof/>
                <w:webHidden/>
              </w:rPr>
            </w:r>
            <w:r w:rsidR="004E1340">
              <w:rPr>
                <w:noProof/>
                <w:webHidden/>
              </w:rPr>
              <w:fldChar w:fldCharType="separate"/>
            </w:r>
            <w:r w:rsidR="00834EF6">
              <w:rPr>
                <w:noProof/>
                <w:webHidden/>
              </w:rPr>
              <w:t>95</w:t>
            </w:r>
            <w:r w:rsidR="004E1340">
              <w:rPr>
                <w:noProof/>
                <w:webHidden/>
              </w:rPr>
              <w:fldChar w:fldCharType="end"/>
            </w:r>
          </w:hyperlink>
        </w:p>
        <w:p w14:paraId="159B87CD" w14:textId="1090E74A" w:rsidR="004E1340" w:rsidRDefault="00F013E4">
          <w:pPr>
            <w:pStyle w:val="Spistreci2"/>
            <w:tabs>
              <w:tab w:val="right" w:leader="dot" w:pos="9060"/>
            </w:tabs>
            <w:rPr>
              <w:rFonts w:eastAsiaTheme="minorEastAsia"/>
              <w:noProof/>
              <w:lang w:eastAsia="pl-PL"/>
            </w:rPr>
          </w:pPr>
          <w:hyperlink w:anchor="_Toc72745064" w:history="1">
            <w:r w:rsidR="004E1340" w:rsidRPr="00BC6526">
              <w:rPr>
                <w:rStyle w:val="Hipercze"/>
                <w:rFonts w:ascii="Arial" w:hAnsi="Arial" w:cs="Arial"/>
                <w:b/>
                <w:noProof/>
              </w:rPr>
              <w:t>Realizacja zadań wynikających z kontraktu na eksplorację polimetalicznych siarczków masywnych na Atlantyku.</w:t>
            </w:r>
            <w:r w:rsidR="004E1340">
              <w:rPr>
                <w:noProof/>
                <w:webHidden/>
              </w:rPr>
              <w:tab/>
            </w:r>
            <w:r w:rsidR="004E1340">
              <w:rPr>
                <w:noProof/>
                <w:webHidden/>
              </w:rPr>
              <w:fldChar w:fldCharType="begin"/>
            </w:r>
            <w:r w:rsidR="004E1340">
              <w:rPr>
                <w:noProof/>
                <w:webHidden/>
              </w:rPr>
              <w:instrText xml:space="preserve"> PAGEREF _Toc72745064 \h </w:instrText>
            </w:r>
            <w:r w:rsidR="004E1340">
              <w:rPr>
                <w:noProof/>
                <w:webHidden/>
              </w:rPr>
            </w:r>
            <w:r w:rsidR="004E1340">
              <w:rPr>
                <w:noProof/>
                <w:webHidden/>
              </w:rPr>
              <w:fldChar w:fldCharType="separate"/>
            </w:r>
            <w:r w:rsidR="00834EF6">
              <w:rPr>
                <w:noProof/>
                <w:webHidden/>
              </w:rPr>
              <w:t>96</w:t>
            </w:r>
            <w:r w:rsidR="004E1340">
              <w:rPr>
                <w:noProof/>
                <w:webHidden/>
              </w:rPr>
              <w:fldChar w:fldCharType="end"/>
            </w:r>
          </w:hyperlink>
        </w:p>
        <w:p w14:paraId="0AB570A8" w14:textId="50C073F2" w:rsidR="004E1340" w:rsidRDefault="00F013E4">
          <w:pPr>
            <w:pStyle w:val="Spistreci2"/>
            <w:tabs>
              <w:tab w:val="right" w:leader="dot" w:pos="9060"/>
            </w:tabs>
            <w:rPr>
              <w:rFonts w:eastAsiaTheme="minorEastAsia"/>
              <w:noProof/>
              <w:lang w:eastAsia="pl-PL"/>
            </w:rPr>
          </w:pPr>
          <w:hyperlink w:anchor="_Toc72745065" w:history="1">
            <w:r w:rsidR="004E1340" w:rsidRPr="00BC6526">
              <w:rPr>
                <w:rStyle w:val="Hipercze"/>
                <w:rFonts w:ascii="Arial" w:hAnsi="Arial" w:cs="Arial"/>
                <w:b/>
                <w:noProof/>
              </w:rPr>
              <w:t>Wspólna Organizacja Interoceanmetal.</w:t>
            </w:r>
            <w:r w:rsidR="004E1340">
              <w:rPr>
                <w:noProof/>
                <w:webHidden/>
              </w:rPr>
              <w:tab/>
            </w:r>
            <w:r w:rsidR="004E1340">
              <w:rPr>
                <w:noProof/>
                <w:webHidden/>
              </w:rPr>
              <w:fldChar w:fldCharType="begin"/>
            </w:r>
            <w:r w:rsidR="004E1340">
              <w:rPr>
                <w:noProof/>
                <w:webHidden/>
              </w:rPr>
              <w:instrText xml:space="preserve"> PAGEREF _Toc72745065 \h </w:instrText>
            </w:r>
            <w:r w:rsidR="004E1340">
              <w:rPr>
                <w:noProof/>
                <w:webHidden/>
              </w:rPr>
            </w:r>
            <w:r w:rsidR="004E1340">
              <w:rPr>
                <w:noProof/>
                <w:webHidden/>
              </w:rPr>
              <w:fldChar w:fldCharType="separate"/>
            </w:r>
            <w:r w:rsidR="00834EF6">
              <w:rPr>
                <w:noProof/>
                <w:webHidden/>
              </w:rPr>
              <w:t>96</w:t>
            </w:r>
            <w:r w:rsidR="004E1340">
              <w:rPr>
                <w:noProof/>
                <w:webHidden/>
              </w:rPr>
              <w:fldChar w:fldCharType="end"/>
            </w:r>
          </w:hyperlink>
        </w:p>
        <w:p w14:paraId="6DAFA4CF" w14:textId="1095632D" w:rsidR="004E1340" w:rsidRDefault="00F013E4">
          <w:pPr>
            <w:pStyle w:val="Spistreci1"/>
            <w:tabs>
              <w:tab w:val="right" w:leader="dot" w:pos="9060"/>
            </w:tabs>
            <w:rPr>
              <w:rFonts w:eastAsiaTheme="minorEastAsia"/>
              <w:noProof/>
              <w:lang w:eastAsia="pl-PL"/>
            </w:rPr>
          </w:pPr>
          <w:hyperlink w:anchor="_Toc72745066" w:history="1">
            <w:r w:rsidR="004E1340" w:rsidRPr="00BC6526">
              <w:rPr>
                <w:rStyle w:val="Hipercze"/>
                <w:rFonts w:ascii="Arial" w:hAnsi="Arial" w:cs="Arial"/>
                <w:b/>
                <w:noProof/>
              </w:rPr>
              <w:t>SYTUACJA PRZEMYSŁU STOCZNIOWEGO.</w:t>
            </w:r>
            <w:r w:rsidR="004E1340">
              <w:rPr>
                <w:noProof/>
                <w:webHidden/>
              </w:rPr>
              <w:tab/>
            </w:r>
            <w:r w:rsidR="004E1340">
              <w:rPr>
                <w:noProof/>
                <w:webHidden/>
              </w:rPr>
              <w:fldChar w:fldCharType="begin"/>
            </w:r>
            <w:r w:rsidR="004E1340">
              <w:rPr>
                <w:noProof/>
                <w:webHidden/>
              </w:rPr>
              <w:instrText xml:space="preserve"> PAGEREF _Toc72745066 \h </w:instrText>
            </w:r>
            <w:r w:rsidR="004E1340">
              <w:rPr>
                <w:noProof/>
                <w:webHidden/>
              </w:rPr>
            </w:r>
            <w:r w:rsidR="004E1340">
              <w:rPr>
                <w:noProof/>
                <w:webHidden/>
              </w:rPr>
              <w:fldChar w:fldCharType="separate"/>
            </w:r>
            <w:r w:rsidR="00834EF6">
              <w:rPr>
                <w:noProof/>
                <w:webHidden/>
              </w:rPr>
              <w:t>97</w:t>
            </w:r>
            <w:r w:rsidR="004E1340">
              <w:rPr>
                <w:noProof/>
                <w:webHidden/>
              </w:rPr>
              <w:fldChar w:fldCharType="end"/>
            </w:r>
          </w:hyperlink>
        </w:p>
        <w:p w14:paraId="065299DB" w14:textId="7F86F948" w:rsidR="004E1340" w:rsidRDefault="00F013E4">
          <w:pPr>
            <w:pStyle w:val="Spistreci2"/>
            <w:tabs>
              <w:tab w:val="right" w:leader="dot" w:pos="9060"/>
            </w:tabs>
            <w:rPr>
              <w:rFonts w:eastAsiaTheme="minorEastAsia"/>
              <w:noProof/>
              <w:lang w:eastAsia="pl-PL"/>
            </w:rPr>
          </w:pPr>
          <w:hyperlink w:anchor="_Toc72745067" w:history="1">
            <w:r w:rsidR="004E1340" w:rsidRPr="00BC6526">
              <w:rPr>
                <w:rStyle w:val="Hipercze"/>
                <w:rFonts w:ascii="Arial" w:hAnsi="Arial" w:cs="Arial"/>
                <w:b/>
                <w:noProof/>
              </w:rPr>
              <w:t>Światowy rynek stoczniowy w 2019 r.</w:t>
            </w:r>
            <w:r w:rsidR="004E1340">
              <w:rPr>
                <w:noProof/>
                <w:webHidden/>
              </w:rPr>
              <w:tab/>
            </w:r>
            <w:r w:rsidR="004E1340">
              <w:rPr>
                <w:noProof/>
                <w:webHidden/>
              </w:rPr>
              <w:fldChar w:fldCharType="begin"/>
            </w:r>
            <w:r w:rsidR="004E1340">
              <w:rPr>
                <w:noProof/>
                <w:webHidden/>
              </w:rPr>
              <w:instrText xml:space="preserve"> PAGEREF _Toc72745067 \h </w:instrText>
            </w:r>
            <w:r w:rsidR="004E1340">
              <w:rPr>
                <w:noProof/>
                <w:webHidden/>
              </w:rPr>
            </w:r>
            <w:r w:rsidR="004E1340">
              <w:rPr>
                <w:noProof/>
                <w:webHidden/>
              </w:rPr>
              <w:fldChar w:fldCharType="separate"/>
            </w:r>
            <w:r w:rsidR="00834EF6">
              <w:rPr>
                <w:noProof/>
                <w:webHidden/>
              </w:rPr>
              <w:t>97</w:t>
            </w:r>
            <w:r w:rsidR="004E1340">
              <w:rPr>
                <w:noProof/>
                <w:webHidden/>
              </w:rPr>
              <w:fldChar w:fldCharType="end"/>
            </w:r>
          </w:hyperlink>
        </w:p>
        <w:p w14:paraId="29E51564" w14:textId="08ABFC9F" w:rsidR="004E1340" w:rsidRDefault="00F013E4">
          <w:pPr>
            <w:pStyle w:val="Spistreci2"/>
            <w:tabs>
              <w:tab w:val="right" w:leader="dot" w:pos="9060"/>
            </w:tabs>
            <w:rPr>
              <w:rFonts w:eastAsiaTheme="minorEastAsia"/>
              <w:noProof/>
              <w:lang w:eastAsia="pl-PL"/>
            </w:rPr>
          </w:pPr>
          <w:hyperlink w:anchor="_Toc72745068" w:history="1">
            <w:r w:rsidR="004E1340" w:rsidRPr="00BC6526">
              <w:rPr>
                <w:rStyle w:val="Hipercze"/>
                <w:rFonts w:ascii="Arial" w:hAnsi="Arial" w:cs="Arial"/>
                <w:b/>
                <w:noProof/>
              </w:rPr>
              <w:t>Sytuacja polskich stoczni w 2019 r.</w:t>
            </w:r>
            <w:r w:rsidR="004E1340">
              <w:rPr>
                <w:noProof/>
                <w:webHidden/>
              </w:rPr>
              <w:tab/>
            </w:r>
            <w:r w:rsidR="004E1340">
              <w:rPr>
                <w:noProof/>
                <w:webHidden/>
              </w:rPr>
              <w:fldChar w:fldCharType="begin"/>
            </w:r>
            <w:r w:rsidR="004E1340">
              <w:rPr>
                <w:noProof/>
                <w:webHidden/>
              </w:rPr>
              <w:instrText xml:space="preserve"> PAGEREF _Toc72745068 \h </w:instrText>
            </w:r>
            <w:r w:rsidR="004E1340">
              <w:rPr>
                <w:noProof/>
                <w:webHidden/>
              </w:rPr>
            </w:r>
            <w:r w:rsidR="004E1340">
              <w:rPr>
                <w:noProof/>
                <w:webHidden/>
              </w:rPr>
              <w:fldChar w:fldCharType="separate"/>
            </w:r>
            <w:r w:rsidR="00834EF6">
              <w:rPr>
                <w:noProof/>
                <w:webHidden/>
              </w:rPr>
              <w:t>97</w:t>
            </w:r>
            <w:r w:rsidR="004E1340">
              <w:rPr>
                <w:noProof/>
                <w:webHidden/>
              </w:rPr>
              <w:fldChar w:fldCharType="end"/>
            </w:r>
          </w:hyperlink>
        </w:p>
        <w:p w14:paraId="547264F5" w14:textId="2ECD6498" w:rsidR="004E1340" w:rsidRDefault="00F013E4">
          <w:pPr>
            <w:pStyle w:val="Spistreci2"/>
            <w:tabs>
              <w:tab w:val="right" w:leader="dot" w:pos="9060"/>
            </w:tabs>
            <w:rPr>
              <w:rFonts w:eastAsiaTheme="minorEastAsia"/>
              <w:noProof/>
              <w:lang w:eastAsia="pl-PL"/>
            </w:rPr>
          </w:pPr>
          <w:hyperlink w:anchor="_Toc72745069" w:history="1">
            <w:r w:rsidR="004E1340" w:rsidRPr="00BC6526">
              <w:rPr>
                <w:rStyle w:val="Hipercze"/>
                <w:rFonts w:ascii="Arial" w:hAnsi="Arial" w:cs="Arial"/>
                <w:b/>
                <w:noProof/>
              </w:rPr>
              <w:t>Realizacja projektów i programów stoczniowych w 2019 r.</w:t>
            </w:r>
            <w:r w:rsidR="004E1340">
              <w:rPr>
                <w:noProof/>
                <w:webHidden/>
              </w:rPr>
              <w:tab/>
            </w:r>
            <w:r w:rsidR="004E1340">
              <w:rPr>
                <w:noProof/>
                <w:webHidden/>
              </w:rPr>
              <w:fldChar w:fldCharType="begin"/>
            </w:r>
            <w:r w:rsidR="004E1340">
              <w:rPr>
                <w:noProof/>
                <w:webHidden/>
              </w:rPr>
              <w:instrText xml:space="preserve"> PAGEREF _Toc72745069 \h </w:instrText>
            </w:r>
            <w:r w:rsidR="004E1340">
              <w:rPr>
                <w:noProof/>
                <w:webHidden/>
              </w:rPr>
            </w:r>
            <w:r w:rsidR="004E1340">
              <w:rPr>
                <w:noProof/>
                <w:webHidden/>
              </w:rPr>
              <w:fldChar w:fldCharType="separate"/>
            </w:r>
            <w:r w:rsidR="00834EF6">
              <w:rPr>
                <w:noProof/>
                <w:webHidden/>
              </w:rPr>
              <w:t>98</w:t>
            </w:r>
            <w:r w:rsidR="004E1340">
              <w:rPr>
                <w:noProof/>
                <w:webHidden/>
              </w:rPr>
              <w:fldChar w:fldCharType="end"/>
            </w:r>
          </w:hyperlink>
        </w:p>
        <w:p w14:paraId="4397FDB8" w14:textId="3BBC77A0" w:rsidR="004E1340" w:rsidRDefault="00F013E4">
          <w:pPr>
            <w:pStyle w:val="Spistreci2"/>
            <w:tabs>
              <w:tab w:val="right" w:leader="dot" w:pos="9060"/>
            </w:tabs>
            <w:rPr>
              <w:rFonts w:eastAsiaTheme="minorEastAsia"/>
              <w:noProof/>
              <w:lang w:eastAsia="pl-PL"/>
            </w:rPr>
          </w:pPr>
          <w:hyperlink w:anchor="_Toc72745070" w:history="1">
            <w:r w:rsidR="004E1340" w:rsidRPr="00BC6526">
              <w:rPr>
                <w:rStyle w:val="Hipercze"/>
                <w:rFonts w:ascii="Arial" w:hAnsi="Arial" w:cs="Arial"/>
                <w:b/>
                <w:noProof/>
              </w:rPr>
              <w:t>Sytuacja spółek stoczniowych w 2019 r.</w:t>
            </w:r>
            <w:r w:rsidR="004E1340">
              <w:rPr>
                <w:noProof/>
                <w:webHidden/>
              </w:rPr>
              <w:tab/>
            </w:r>
            <w:r w:rsidR="004E1340">
              <w:rPr>
                <w:noProof/>
                <w:webHidden/>
              </w:rPr>
              <w:fldChar w:fldCharType="begin"/>
            </w:r>
            <w:r w:rsidR="004E1340">
              <w:rPr>
                <w:noProof/>
                <w:webHidden/>
              </w:rPr>
              <w:instrText xml:space="preserve"> PAGEREF _Toc72745070 \h </w:instrText>
            </w:r>
            <w:r w:rsidR="004E1340">
              <w:rPr>
                <w:noProof/>
                <w:webHidden/>
              </w:rPr>
            </w:r>
            <w:r w:rsidR="004E1340">
              <w:rPr>
                <w:noProof/>
                <w:webHidden/>
              </w:rPr>
              <w:fldChar w:fldCharType="separate"/>
            </w:r>
            <w:r w:rsidR="00834EF6">
              <w:rPr>
                <w:noProof/>
                <w:webHidden/>
              </w:rPr>
              <w:t>100</w:t>
            </w:r>
            <w:r w:rsidR="004E1340">
              <w:rPr>
                <w:noProof/>
                <w:webHidden/>
              </w:rPr>
              <w:fldChar w:fldCharType="end"/>
            </w:r>
          </w:hyperlink>
        </w:p>
        <w:p w14:paraId="38ED5935" w14:textId="4387E217" w:rsidR="004E1340" w:rsidRDefault="00F013E4">
          <w:pPr>
            <w:pStyle w:val="Spistreci1"/>
            <w:tabs>
              <w:tab w:val="right" w:leader="dot" w:pos="9060"/>
            </w:tabs>
            <w:rPr>
              <w:rFonts w:eastAsiaTheme="minorEastAsia"/>
              <w:noProof/>
              <w:lang w:eastAsia="pl-PL"/>
            </w:rPr>
          </w:pPr>
          <w:hyperlink w:anchor="_Toc72745071" w:history="1">
            <w:r w:rsidR="004E1340" w:rsidRPr="00BC6526">
              <w:rPr>
                <w:rStyle w:val="Hipercze"/>
                <w:rFonts w:ascii="Arial" w:hAnsi="Arial" w:cs="Arial"/>
                <w:b/>
                <w:noProof/>
              </w:rPr>
              <w:t>PLANOWANIE PRZESTRZENNE NA MORZU i LĄDZIE.</w:t>
            </w:r>
            <w:r w:rsidR="004E1340">
              <w:rPr>
                <w:noProof/>
                <w:webHidden/>
              </w:rPr>
              <w:tab/>
            </w:r>
            <w:r w:rsidR="004E1340">
              <w:rPr>
                <w:noProof/>
                <w:webHidden/>
              </w:rPr>
              <w:fldChar w:fldCharType="begin"/>
            </w:r>
            <w:r w:rsidR="004E1340">
              <w:rPr>
                <w:noProof/>
                <w:webHidden/>
              </w:rPr>
              <w:instrText xml:space="preserve"> PAGEREF _Toc72745071 \h </w:instrText>
            </w:r>
            <w:r w:rsidR="004E1340">
              <w:rPr>
                <w:noProof/>
                <w:webHidden/>
              </w:rPr>
            </w:r>
            <w:r w:rsidR="004E1340">
              <w:rPr>
                <w:noProof/>
                <w:webHidden/>
              </w:rPr>
              <w:fldChar w:fldCharType="separate"/>
            </w:r>
            <w:r w:rsidR="00834EF6">
              <w:rPr>
                <w:noProof/>
                <w:webHidden/>
              </w:rPr>
              <w:t>106</w:t>
            </w:r>
            <w:r w:rsidR="004E1340">
              <w:rPr>
                <w:noProof/>
                <w:webHidden/>
              </w:rPr>
              <w:fldChar w:fldCharType="end"/>
            </w:r>
          </w:hyperlink>
        </w:p>
        <w:p w14:paraId="0484062C" w14:textId="52480D06" w:rsidR="004E1340" w:rsidRDefault="00F013E4">
          <w:pPr>
            <w:pStyle w:val="Spistreci2"/>
            <w:tabs>
              <w:tab w:val="right" w:leader="dot" w:pos="9060"/>
            </w:tabs>
            <w:rPr>
              <w:rFonts w:eastAsiaTheme="minorEastAsia"/>
              <w:noProof/>
              <w:lang w:eastAsia="pl-PL"/>
            </w:rPr>
          </w:pPr>
          <w:hyperlink w:anchor="_Toc72745072" w:history="1">
            <w:r w:rsidR="004E1340" w:rsidRPr="00BC6526">
              <w:rPr>
                <w:rStyle w:val="Hipercze"/>
                <w:rFonts w:ascii="Arial" w:hAnsi="Arial" w:cs="Arial"/>
                <w:b/>
                <w:noProof/>
              </w:rPr>
              <w:t>Prace w zakresie opracowania planów zagospodarowania przestrzennego polskich obszarów morskich.</w:t>
            </w:r>
            <w:r w:rsidR="004E1340">
              <w:rPr>
                <w:noProof/>
                <w:webHidden/>
              </w:rPr>
              <w:tab/>
            </w:r>
            <w:r w:rsidR="004E1340">
              <w:rPr>
                <w:noProof/>
                <w:webHidden/>
              </w:rPr>
              <w:fldChar w:fldCharType="begin"/>
            </w:r>
            <w:r w:rsidR="004E1340">
              <w:rPr>
                <w:noProof/>
                <w:webHidden/>
              </w:rPr>
              <w:instrText xml:space="preserve"> PAGEREF _Toc72745072 \h </w:instrText>
            </w:r>
            <w:r w:rsidR="004E1340">
              <w:rPr>
                <w:noProof/>
                <w:webHidden/>
              </w:rPr>
            </w:r>
            <w:r w:rsidR="004E1340">
              <w:rPr>
                <w:noProof/>
                <w:webHidden/>
              </w:rPr>
              <w:fldChar w:fldCharType="separate"/>
            </w:r>
            <w:r w:rsidR="00834EF6">
              <w:rPr>
                <w:noProof/>
                <w:webHidden/>
              </w:rPr>
              <w:t>106</w:t>
            </w:r>
            <w:r w:rsidR="004E1340">
              <w:rPr>
                <w:noProof/>
                <w:webHidden/>
              </w:rPr>
              <w:fldChar w:fldCharType="end"/>
            </w:r>
          </w:hyperlink>
        </w:p>
        <w:p w14:paraId="57ED7723" w14:textId="78DA04EF" w:rsidR="004E1340" w:rsidRDefault="00F013E4">
          <w:pPr>
            <w:pStyle w:val="Spistreci2"/>
            <w:tabs>
              <w:tab w:val="right" w:leader="dot" w:pos="9060"/>
            </w:tabs>
            <w:rPr>
              <w:rFonts w:eastAsiaTheme="minorEastAsia"/>
              <w:noProof/>
              <w:lang w:eastAsia="pl-PL"/>
            </w:rPr>
          </w:pPr>
          <w:hyperlink w:anchor="_Toc72745073" w:history="1">
            <w:r w:rsidR="004E1340" w:rsidRPr="00BC6526">
              <w:rPr>
                <w:rStyle w:val="Hipercze"/>
                <w:rFonts w:ascii="Arial" w:hAnsi="Arial" w:cs="Arial"/>
                <w:b/>
                <w:noProof/>
              </w:rPr>
              <w:t>System Informacji Przestrzennej Administracji Morskiej (SIPAM).</w:t>
            </w:r>
            <w:r w:rsidR="004E1340">
              <w:rPr>
                <w:noProof/>
                <w:webHidden/>
              </w:rPr>
              <w:tab/>
            </w:r>
            <w:r w:rsidR="004E1340">
              <w:rPr>
                <w:noProof/>
                <w:webHidden/>
              </w:rPr>
              <w:fldChar w:fldCharType="begin"/>
            </w:r>
            <w:r w:rsidR="004E1340">
              <w:rPr>
                <w:noProof/>
                <w:webHidden/>
              </w:rPr>
              <w:instrText xml:space="preserve"> PAGEREF _Toc72745073 \h </w:instrText>
            </w:r>
            <w:r w:rsidR="004E1340">
              <w:rPr>
                <w:noProof/>
                <w:webHidden/>
              </w:rPr>
            </w:r>
            <w:r w:rsidR="004E1340">
              <w:rPr>
                <w:noProof/>
                <w:webHidden/>
              </w:rPr>
              <w:fldChar w:fldCharType="separate"/>
            </w:r>
            <w:r w:rsidR="00834EF6">
              <w:rPr>
                <w:noProof/>
                <w:webHidden/>
              </w:rPr>
              <w:t>108</w:t>
            </w:r>
            <w:r w:rsidR="004E1340">
              <w:rPr>
                <w:noProof/>
                <w:webHidden/>
              </w:rPr>
              <w:fldChar w:fldCharType="end"/>
            </w:r>
          </w:hyperlink>
        </w:p>
        <w:p w14:paraId="4C00598C" w14:textId="0D364336" w:rsidR="004E1340" w:rsidRDefault="00F013E4">
          <w:pPr>
            <w:pStyle w:val="Spistreci2"/>
            <w:tabs>
              <w:tab w:val="right" w:leader="dot" w:pos="9060"/>
            </w:tabs>
            <w:rPr>
              <w:rFonts w:eastAsiaTheme="minorEastAsia"/>
              <w:noProof/>
              <w:lang w:eastAsia="pl-PL"/>
            </w:rPr>
          </w:pPr>
          <w:hyperlink w:anchor="_Toc72745074" w:history="1">
            <w:r w:rsidR="004E1340" w:rsidRPr="00BC6526">
              <w:rPr>
                <w:rStyle w:val="Hipercze"/>
                <w:rFonts w:ascii="Arial" w:hAnsi="Arial" w:cs="Arial"/>
                <w:b/>
                <w:noProof/>
              </w:rPr>
              <w:t>Aktywność przedstawicieli Rzeczypospolitej Polskiej na forum międzynarodowym.</w:t>
            </w:r>
            <w:r w:rsidR="004E1340">
              <w:rPr>
                <w:noProof/>
                <w:webHidden/>
              </w:rPr>
              <w:tab/>
            </w:r>
            <w:r w:rsidR="004E1340">
              <w:rPr>
                <w:noProof/>
                <w:webHidden/>
              </w:rPr>
              <w:fldChar w:fldCharType="begin"/>
            </w:r>
            <w:r w:rsidR="004E1340">
              <w:rPr>
                <w:noProof/>
                <w:webHidden/>
              </w:rPr>
              <w:instrText xml:space="preserve"> PAGEREF _Toc72745074 \h </w:instrText>
            </w:r>
            <w:r w:rsidR="004E1340">
              <w:rPr>
                <w:noProof/>
                <w:webHidden/>
              </w:rPr>
            </w:r>
            <w:r w:rsidR="004E1340">
              <w:rPr>
                <w:noProof/>
                <w:webHidden/>
              </w:rPr>
              <w:fldChar w:fldCharType="separate"/>
            </w:r>
            <w:r w:rsidR="00834EF6">
              <w:rPr>
                <w:noProof/>
                <w:webHidden/>
              </w:rPr>
              <w:t>109</w:t>
            </w:r>
            <w:r w:rsidR="004E1340">
              <w:rPr>
                <w:noProof/>
                <w:webHidden/>
              </w:rPr>
              <w:fldChar w:fldCharType="end"/>
            </w:r>
          </w:hyperlink>
        </w:p>
        <w:p w14:paraId="447835E9" w14:textId="722B3766" w:rsidR="004E1340" w:rsidRDefault="00F013E4">
          <w:pPr>
            <w:pStyle w:val="Spistreci1"/>
            <w:tabs>
              <w:tab w:val="right" w:leader="dot" w:pos="9060"/>
            </w:tabs>
            <w:rPr>
              <w:rFonts w:eastAsiaTheme="minorEastAsia"/>
              <w:noProof/>
              <w:lang w:eastAsia="pl-PL"/>
            </w:rPr>
          </w:pPr>
          <w:hyperlink w:anchor="_Toc72745075" w:history="1">
            <w:r w:rsidR="004E1340" w:rsidRPr="00BC6526">
              <w:rPr>
                <w:rStyle w:val="Hipercze"/>
                <w:rFonts w:ascii="Arial" w:hAnsi="Arial" w:cs="Arial"/>
                <w:b/>
                <w:noProof/>
              </w:rPr>
              <w:t>RYBOŁÓWSTWO I PRZETWÓRSTWO RYB W POLSCE.</w:t>
            </w:r>
            <w:r w:rsidR="004E1340">
              <w:rPr>
                <w:noProof/>
                <w:webHidden/>
              </w:rPr>
              <w:tab/>
            </w:r>
            <w:r w:rsidR="004E1340">
              <w:rPr>
                <w:noProof/>
                <w:webHidden/>
              </w:rPr>
              <w:fldChar w:fldCharType="begin"/>
            </w:r>
            <w:r w:rsidR="004E1340">
              <w:rPr>
                <w:noProof/>
                <w:webHidden/>
              </w:rPr>
              <w:instrText xml:space="preserve"> PAGEREF _Toc72745075 \h </w:instrText>
            </w:r>
            <w:r w:rsidR="004E1340">
              <w:rPr>
                <w:noProof/>
                <w:webHidden/>
              </w:rPr>
            </w:r>
            <w:r w:rsidR="004E1340">
              <w:rPr>
                <w:noProof/>
                <w:webHidden/>
              </w:rPr>
              <w:fldChar w:fldCharType="separate"/>
            </w:r>
            <w:r w:rsidR="00834EF6">
              <w:rPr>
                <w:noProof/>
                <w:webHidden/>
              </w:rPr>
              <w:t>110</w:t>
            </w:r>
            <w:r w:rsidR="004E1340">
              <w:rPr>
                <w:noProof/>
                <w:webHidden/>
              </w:rPr>
              <w:fldChar w:fldCharType="end"/>
            </w:r>
          </w:hyperlink>
        </w:p>
        <w:p w14:paraId="52B9149E" w14:textId="3A7A7835" w:rsidR="004E1340" w:rsidRDefault="00F013E4">
          <w:pPr>
            <w:pStyle w:val="Spistreci2"/>
            <w:tabs>
              <w:tab w:val="right" w:leader="dot" w:pos="9060"/>
            </w:tabs>
            <w:rPr>
              <w:rFonts w:eastAsiaTheme="minorEastAsia"/>
              <w:noProof/>
              <w:lang w:eastAsia="pl-PL"/>
            </w:rPr>
          </w:pPr>
          <w:hyperlink w:anchor="_Toc72745076" w:history="1">
            <w:r w:rsidR="004E1340" w:rsidRPr="00BC6526">
              <w:rPr>
                <w:rStyle w:val="Hipercze"/>
                <w:rFonts w:ascii="Arial" w:hAnsi="Arial" w:cs="Arial"/>
                <w:b/>
                <w:noProof/>
              </w:rPr>
              <w:t>Polityka rybołówstwa.</w:t>
            </w:r>
            <w:r w:rsidR="004E1340">
              <w:rPr>
                <w:noProof/>
                <w:webHidden/>
              </w:rPr>
              <w:tab/>
            </w:r>
            <w:r w:rsidR="004E1340">
              <w:rPr>
                <w:noProof/>
                <w:webHidden/>
              </w:rPr>
              <w:fldChar w:fldCharType="begin"/>
            </w:r>
            <w:r w:rsidR="004E1340">
              <w:rPr>
                <w:noProof/>
                <w:webHidden/>
              </w:rPr>
              <w:instrText xml:space="preserve"> PAGEREF _Toc72745076 \h </w:instrText>
            </w:r>
            <w:r w:rsidR="004E1340">
              <w:rPr>
                <w:noProof/>
                <w:webHidden/>
              </w:rPr>
            </w:r>
            <w:r w:rsidR="004E1340">
              <w:rPr>
                <w:noProof/>
                <w:webHidden/>
              </w:rPr>
              <w:fldChar w:fldCharType="separate"/>
            </w:r>
            <w:r w:rsidR="00834EF6">
              <w:rPr>
                <w:noProof/>
                <w:webHidden/>
              </w:rPr>
              <w:t>110</w:t>
            </w:r>
            <w:r w:rsidR="004E1340">
              <w:rPr>
                <w:noProof/>
                <w:webHidden/>
              </w:rPr>
              <w:fldChar w:fldCharType="end"/>
            </w:r>
          </w:hyperlink>
        </w:p>
        <w:p w14:paraId="2158DD99" w14:textId="65AB53F0" w:rsidR="004E1340" w:rsidRDefault="00F013E4">
          <w:pPr>
            <w:pStyle w:val="Spistreci2"/>
            <w:tabs>
              <w:tab w:val="right" w:leader="dot" w:pos="9060"/>
            </w:tabs>
            <w:rPr>
              <w:rFonts w:eastAsiaTheme="minorEastAsia"/>
              <w:noProof/>
              <w:lang w:eastAsia="pl-PL"/>
            </w:rPr>
          </w:pPr>
          <w:hyperlink w:anchor="_Toc72745077" w:history="1">
            <w:r w:rsidR="004E1340" w:rsidRPr="00BC6526">
              <w:rPr>
                <w:rStyle w:val="Hipercze"/>
                <w:rFonts w:ascii="Arial" w:hAnsi="Arial" w:cs="Arial"/>
                <w:b/>
                <w:noProof/>
              </w:rPr>
              <w:t>Informacja o polskiej flocie rybackiej.</w:t>
            </w:r>
            <w:r w:rsidR="004E1340">
              <w:rPr>
                <w:noProof/>
                <w:webHidden/>
              </w:rPr>
              <w:tab/>
            </w:r>
            <w:r w:rsidR="004E1340">
              <w:rPr>
                <w:noProof/>
                <w:webHidden/>
              </w:rPr>
              <w:fldChar w:fldCharType="begin"/>
            </w:r>
            <w:r w:rsidR="004E1340">
              <w:rPr>
                <w:noProof/>
                <w:webHidden/>
              </w:rPr>
              <w:instrText xml:space="preserve"> PAGEREF _Toc72745077 \h </w:instrText>
            </w:r>
            <w:r w:rsidR="004E1340">
              <w:rPr>
                <w:noProof/>
                <w:webHidden/>
              </w:rPr>
            </w:r>
            <w:r w:rsidR="004E1340">
              <w:rPr>
                <w:noProof/>
                <w:webHidden/>
              </w:rPr>
              <w:fldChar w:fldCharType="separate"/>
            </w:r>
            <w:r w:rsidR="00834EF6">
              <w:rPr>
                <w:noProof/>
                <w:webHidden/>
              </w:rPr>
              <w:t>111</w:t>
            </w:r>
            <w:r w:rsidR="004E1340">
              <w:rPr>
                <w:noProof/>
                <w:webHidden/>
              </w:rPr>
              <w:fldChar w:fldCharType="end"/>
            </w:r>
          </w:hyperlink>
        </w:p>
        <w:p w14:paraId="6939F525" w14:textId="7C4C8027" w:rsidR="004E1340" w:rsidRDefault="00F013E4">
          <w:pPr>
            <w:pStyle w:val="Spistreci2"/>
            <w:tabs>
              <w:tab w:val="right" w:leader="dot" w:pos="9060"/>
            </w:tabs>
            <w:rPr>
              <w:rFonts w:eastAsiaTheme="minorEastAsia"/>
              <w:noProof/>
              <w:lang w:eastAsia="pl-PL"/>
            </w:rPr>
          </w:pPr>
          <w:hyperlink w:anchor="_Toc72745078" w:history="1">
            <w:r w:rsidR="004E1340" w:rsidRPr="00BC6526">
              <w:rPr>
                <w:rStyle w:val="Hipercze"/>
                <w:rFonts w:ascii="Arial" w:hAnsi="Arial" w:cs="Arial"/>
                <w:b/>
                <w:noProof/>
              </w:rPr>
              <w:t>Zarządzanie żywymi zasobami morza.</w:t>
            </w:r>
            <w:r w:rsidR="004E1340">
              <w:rPr>
                <w:noProof/>
                <w:webHidden/>
              </w:rPr>
              <w:tab/>
            </w:r>
            <w:r w:rsidR="004E1340">
              <w:rPr>
                <w:noProof/>
                <w:webHidden/>
              </w:rPr>
              <w:fldChar w:fldCharType="begin"/>
            </w:r>
            <w:r w:rsidR="004E1340">
              <w:rPr>
                <w:noProof/>
                <w:webHidden/>
              </w:rPr>
              <w:instrText xml:space="preserve"> PAGEREF _Toc72745078 \h </w:instrText>
            </w:r>
            <w:r w:rsidR="004E1340">
              <w:rPr>
                <w:noProof/>
                <w:webHidden/>
              </w:rPr>
            </w:r>
            <w:r w:rsidR="004E1340">
              <w:rPr>
                <w:noProof/>
                <w:webHidden/>
              </w:rPr>
              <w:fldChar w:fldCharType="separate"/>
            </w:r>
            <w:r w:rsidR="00834EF6">
              <w:rPr>
                <w:noProof/>
                <w:webHidden/>
              </w:rPr>
              <w:t>112</w:t>
            </w:r>
            <w:r w:rsidR="004E1340">
              <w:rPr>
                <w:noProof/>
                <w:webHidden/>
              </w:rPr>
              <w:fldChar w:fldCharType="end"/>
            </w:r>
          </w:hyperlink>
        </w:p>
        <w:p w14:paraId="6F7E7FFA" w14:textId="50128091" w:rsidR="004E1340" w:rsidRDefault="00F013E4">
          <w:pPr>
            <w:pStyle w:val="Spistreci2"/>
            <w:tabs>
              <w:tab w:val="right" w:leader="dot" w:pos="9060"/>
            </w:tabs>
            <w:rPr>
              <w:rFonts w:eastAsiaTheme="minorEastAsia"/>
              <w:noProof/>
              <w:lang w:eastAsia="pl-PL"/>
            </w:rPr>
          </w:pPr>
          <w:hyperlink w:anchor="_Toc72745079" w:history="1">
            <w:r w:rsidR="004E1340" w:rsidRPr="00BC6526">
              <w:rPr>
                <w:rStyle w:val="Hipercze"/>
                <w:rFonts w:ascii="Arial" w:hAnsi="Arial" w:cs="Arial"/>
                <w:b/>
                <w:noProof/>
              </w:rPr>
              <w:t>Działania w ramach Porozumienia o ochronie małych waleni ASCOBANS.</w:t>
            </w:r>
            <w:r w:rsidR="004E1340">
              <w:rPr>
                <w:noProof/>
                <w:webHidden/>
              </w:rPr>
              <w:tab/>
            </w:r>
            <w:r w:rsidR="004E1340">
              <w:rPr>
                <w:noProof/>
                <w:webHidden/>
              </w:rPr>
              <w:fldChar w:fldCharType="begin"/>
            </w:r>
            <w:r w:rsidR="004E1340">
              <w:rPr>
                <w:noProof/>
                <w:webHidden/>
              </w:rPr>
              <w:instrText xml:space="preserve"> PAGEREF _Toc72745079 \h </w:instrText>
            </w:r>
            <w:r w:rsidR="004E1340">
              <w:rPr>
                <w:noProof/>
                <w:webHidden/>
              </w:rPr>
            </w:r>
            <w:r w:rsidR="004E1340">
              <w:rPr>
                <w:noProof/>
                <w:webHidden/>
              </w:rPr>
              <w:fldChar w:fldCharType="separate"/>
            </w:r>
            <w:r w:rsidR="00834EF6">
              <w:rPr>
                <w:noProof/>
                <w:webHidden/>
              </w:rPr>
              <w:t>113</w:t>
            </w:r>
            <w:r w:rsidR="004E1340">
              <w:rPr>
                <w:noProof/>
                <w:webHidden/>
              </w:rPr>
              <w:fldChar w:fldCharType="end"/>
            </w:r>
          </w:hyperlink>
        </w:p>
        <w:p w14:paraId="63009D78" w14:textId="223B6045" w:rsidR="004E1340" w:rsidRDefault="00F013E4">
          <w:pPr>
            <w:pStyle w:val="Spistreci2"/>
            <w:tabs>
              <w:tab w:val="right" w:leader="dot" w:pos="9060"/>
            </w:tabs>
            <w:rPr>
              <w:rFonts w:eastAsiaTheme="minorEastAsia"/>
              <w:noProof/>
              <w:lang w:eastAsia="pl-PL"/>
            </w:rPr>
          </w:pPr>
          <w:hyperlink w:anchor="_Toc72745080" w:history="1">
            <w:r w:rsidR="004E1340" w:rsidRPr="00BC6526">
              <w:rPr>
                <w:rStyle w:val="Hipercze"/>
                <w:rFonts w:ascii="Arial" w:hAnsi="Arial" w:cs="Arial"/>
                <w:b/>
                <w:noProof/>
              </w:rPr>
              <w:t>Przetwórstwo ryb w Polsce w 2019 r.</w:t>
            </w:r>
            <w:r w:rsidR="004E1340">
              <w:rPr>
                <w:noProof/>
                <w:webHidden/>
              </w:rPr>
              <w:tab/>
            </w:r>
            <w:r w:rsidR="004E1340">
              <w:rPr>
                <w:noProof/>
                <w:webHidden/>
              </w:rPr>
              <w:fldChar w:fldCharType="begin"/>
            </w:r>
            <w:r w:rsidR="004E1340">
              <w:rPr>
                <w:noProof/>
                <w:webHidden/>
              </w:rPr>
              <w:instrText xml:space="preserve"> PAGEREF _Toc72745080 \h </w:instrText>
            </w:r>
            <w:r w:rsidR="004E1340">
              <w:rPr>
                <w:noProof/>
                <w:webHidden/>
              </w:rPr>
            </w:r>
            <w:r w:rsidR="004E1340">
              <w:rPr>
                <w:noProof/>
                <w:webHidden/>
              </w:rPr>
              <w:fldChar w:fldCharType="separate"/>
            </w:r>
            <w:r w:rsidR="00834EF6">
              <w:rPr>
                <w:noProof/>
                <w:webHidden/>
              </w:rPr>
              <w:t>113</w:t>
            </w:r>
            <w:r w:rsidR="004E1340">
              <w:rPr>
                <w:noProof/>
                <w:webHidden/>
              </w:rPr>
              <w:fldChar w:fldCharType="end"/>
            </w:r>
          </w:hyperlink>
        </w:p>
        <w:p w14:paraId="29A5E3FB" w14:textId="37F5C014" w:rsidR="004E1340" w:rsidRDefault="00F013E4">
          <w:pPr>
            <w:pStyle w:val="Spistreci2"/>
            <w:tabs>
              <w:tab w:val="right" w:leader="dot" w:pos="9060"/>
            </w:tabs>
            <w:rPr>
              <w:rFonts w:eastAsiaTheme="minorEastAsia"/>
              <w:noProof/>
              <w:lang w:eastAsia="pl-PL"/>
            </w:rPr>
          </w:pPr>
          <w:hyperlink w:anchor="_Toc72745081" w:history="1">
            <w:r w:rsidR="004E1340" w:rsidRPr="00BC6526">
              <w:rPr>
                <w:rStyle w:val="Hipercze"/>
                <w:rFonts w:ascii="Arial" w:hAnsi="Arial" w:cs="Arial"/>
                <w:b/>
                <w:noProof/>
              </w:rPr>
              <w:t>Popularyzacja produktów rybnych wśród konsumentów.</w:t>
            </w:r>
            <w:r w:rsidR="004E1340">
              <w:rPr>
                <w:noProof/>
                <w:webHidden/>
              </w:rPr>
              <w:tab/>
            </w:r>
            <w:r w:rsidR="004E1340">
              <w:rPr>
                <w:noProof/>
                <w:webHidden/>
              </w:rPr>
              <w:fldChar w:fldCharType="begin"/>
            </w:r>
            <w:r w:rsidR="004E1340">
              <w:rPr>
                <w:noProof/>
                <w:webHidden/>
              </w:rPr>
              <w:instrText xml:space="preserve"> PAGEREF _Toc72745081 \h </w:instrText>
            </w:r>
            <w:r w:rsidR="004E1340">
              <w:rPr>
                <w:noProof/>
                <w:webHidden/>
              </w:rPr>
            </w:r>
            <w:r w:rsidR="004E1340">
              <w:rPr>
                <w:noProof/>
                <w:webHidden/>
              </w:rPr>
              <w:fldChar w:fldCharType="separate"/>
            </w:r>
            <w:r w:rsidR="00834EF6">
              <w:rPr>
                <w:noProof/>
                <w:webHidden/>
              </w:rPr>
              <w:t>113</w:t>
            </w:r>
            <w:r w:rsidR="004E1340">
              <w:rPr>
                <w:noProof/>
                <w:webHidden/>
              </w:rPr>
              <w:fldChar w:fldCharType="end"/>
            </w:r>
          </w:hyperlink>
        </w:p>
        <w:p w14:paraId="5C27D06D" w14:textId="66F0872C" w:rsidR="004E1340" w:rsidRDefault="00F013E4">
          <w:pPr>
            <w:pStyle w:val="Spistreci2"/>
            <w:tabs>
              <w:tab w:val="right" w:leader="dot" w:pos="9060"/>
            </w:tabs>
            <w:rPr>
              <w:rFonts w:eastAsiaTheme="minorEastAsia"/>
              <w:noProof/>
              <w:lang w:eastAsia="pl-PL"/>
            </w:rPr>
          </w:pPr>
          <w:hyperlink w:anchor="_Toc72745082" w:history="1">
            <w:r w:rsidR="004E1340" w:rsidRPr="00BC6526">
              <w:rPr>
                <w:rStyle w:val="Hipercze"/>
                <w:rFonts w:ascii="Arial" w:hAnsi="Arial" w:cs="Arial"/>
                <w:b/>
                <w:noProof/>
              </w:rPr>
              <w:t>Wspieranie organizacji producenckich.</w:t>
            </w:r>
            <w:r w:rsidR="004E1340">
              <w:rPr>
                <w:noProof/>
                <w:webHidden/>
              </w:rPr>
              <w:tab/>
            </w:r>
            <w:r w:rsidR="004E1340">
              <w:rPr>
                <w:noProof/>
                <w:webHidden/>
              </w:rPr>
              <w:fldChar w:fldCharType="begin"/>
            </w:r>
            <w:r w:rsidR="004E1340">
              <w:rPr>
                <w:noProof/>
                <w:webHidden/>
              </w:rPr>
              <w:instrText xml:space="preserve"> PAGEREF _Toc72745082 \h </w:instrText>
            </w:r>
            <w:r w:rsidR="004E1340">
              <w:rPr>
                <w:noProof/>
                <w:webHidden/>
              </w:rPr>
            </w:r>
            <w:r w:rsidR="004E1340">
              <w:rPr>
                <w:noProof/>
                <w:webHidden/>
              </w:rPr>
              <w:fldChar w:fldCharType="separate"/>
            </w:r>
            <w:r w:rsidR="00834EF6">
              <w:rPr>
                <w:noProof/>
                <w:webHidden/>
              </w:rPr>
              <w:t>114</w:t>
            </w:r>
            <w:r w:rsidR="004E1340">
              <w:rPr>
                <w:noProof/>
                <w:webHidden/>
              </w:rPr>
              <w:fldChar w:fldCharType="end"/>
            </w:r>
          </w:hyperlink>
        </w:p>
        <w:p w14:paraId="7E73C0EF" w14:textId="748A30AF" w:rsidR="004E1340" w:rsidRDefault="00F013E4">
          <w:pPr>
            <w:pStyle w:val="Spistreci2"/>
            <w:tabs>
              <w:tab w:val="right" w:leader="dot" w:pos="9060"/>
            </w:tabs>
            <w:rPr>
              <w:rFonts w:eastAsiaTheme="minorEastAsia"/>
              <w:noProof/>
              <w:lang w:eastAsia="pl-PL"/>
            </w:rPr>
          </w:pPr>
          <w:hyperlink w:anchor="_Toc72745083" w:history="1">
            <w:r w:rsidR="004E1340" w:rsidRPr="00BC6526">
              <w:rPr>
                <w:rStyle w:val="Hipercze"/>
                <w:rFonts w:ascii="Arial" w:hAnsi="Arial" w:cs="Arial"/>
                <w:b/>
                <w:noProof/>
              </w:rPr>
              <w:t>Wymiana handlowa w 2019 r.</w:t>
            </w:r>
            <w:r w:rsidR="004E1340">
              <w:rPr>
                <w:noProof/>
                <w:webHidden/>
              </w:rPr>
              <w:tab/>
            </w:r>
            <w:r w:rsidR="004E1340">
              <w:rPr>
                <w:noProof/>
                <w:webHidden/>
              </w:rPr>
              <w:fldChar w:fldCharType="begin"/>
            </w:r>
            <w:r w:rsidR="004E1340">
              <w:rPr>
                <w:noProof/>
                <w:webHidden/>
              </w:rPr>
              <w:instrText xml:space="preserve"> PAGEREF _Toc72745083 \h </w:instrText>
            </w:r>
            <w:r w:rsidR="004E1340">
              <w:rPr>
                <w:noProof/>
                <w:webHidden/>
              </w:rPr>
            </w:r>
            <w:r w:rsidR="004E1340">
              <w:rPr>
                <w:noProof/>
                <w:webHidden/>
              </w:rPr>
              <w:fldChar w:fldCharType="separate"/>
            </w:r>
            <w:r w:rsidR="00834EF6">
              <w:rPr>
                <w:noProof/>
                <w:webHidden/>
              </w:rPr>
              <w:t>114</w:t>
            </w:r>
            <w:r w:rsidR="004E1340">
              <w:rPr>
                <w:noProof/>
                <w:webHidden/>
              </w:rPr>
              <w:fldChar w:fldCharType="end"/>
            </w:r>
          </w:hyperlink>
        </w:p>
        <w:p w14:paraId="39BD7AC6" w14:textId="1CE7B60C" w:rsidR="004E1340" w:rsidRDefault="00F013E4">
          <w:pPr>
            <w:pStyle w:val="Spistreci1"/>
            <w:tabs>
              <w:tab w:val="right" w:leader="dot" w:pos="9060"/>
            </w:tabs>
            <w:rPr>
              <w:rFonts w:eastAsiaTheme="minorEastAsia"/>
              <w:noProof/>
              <w:lang w:eastAsia="pl-PL"/>
            </w:rPr>
          </w:pPr>
          <w:hyperlink w:anchor="_Toc72745084" w:history="1">
            <w:r w:rsidR="004E1340" w:rsidRPr="00BC6526">
              <w:rPr>
                <w:rStyle w:val="Hipercze"/>
                <w:rFonts w:ascii="Arial" w:hAnsi="Arial" w:cs="Arial"/>
                <w:b/>
                <w:noProof/>
              </w:rPr>
              <w:t>TURYSTYKA W REGIONACH NADMORSKICH.</w:t>
            </w:r>
            <w:r w:rsidR="004E1340">
              <w:rPr>
                <w:noProof/>
                <w:webHidden/>
              </w:rPr>
              <w:tab/>
            </w:r>
            <w:r w:rsidR="004E1340">
              <w:rPr>
                <w:noProof/>
                <w:webHidden/>
              </w:rPr>
              <w:fldChar w:fldCharType="begin"/>
            </w:r>
            <w:r w:rsidR="004E1340">
              <w:rPr>
                <w:noProof/>
                <w:webHidden/>
              </w:rPr>
              <w:instrText xml:space="preserve"> PAGEREF _Toc72745084 \h </w:instrText>
            </w:r>
            <w:r w:rsidR="004E1340">
              <w:rPr>
                <w:noProof/>
                <w:webHidden/>
              </w:rPr>
            </w:r>
            <w:r w:rsidR="004E1340">
              <w:rPr>
                <w:noProof/>
                <w:webHidden/>
              </w:rPr>
              <w:fldChar w:fldCharType="separate"/>
            </w:r>
            <w:r w:rsidR="00834EF6">
              <w:rPr>
                <w:noProof/>
                <w:webHidden/>
              </w:rPr>
              <w:t>114</w:t>
            </w:r>
            <w:r w:rsidR="004E1340">
              <w:rPr>
                <w:noProof/>
                <w:webHidden/>
              </w:rPr>
              <w:fldChar w:fldCharType="end"/>
            </w:r>
          </w:hyperlink>
        </w:p>
        <w:p w14:paraId="351BD1C7" w14:textId="26C747B0" w:rsidR="004E1340" w:rsidRDefault="00F013E4">
          <w:pPr>
            <w:pStyle w:val="Spistreci2"/>
            <w:tabs>
              <w:tab w:val="right" w:leader="dot" w:pos="9060"/>
            </w:tabs>
            <w:rPr>
              <w:rFonts w:eastAsiaTheme="minorEastAsia"/>
              <w:noProof/>
              <w:lang w:eastAsia="pl-PL"/>
            </w:rPr>
          </w:pPr>
          <w:hyperlink w:anchor="_Toc72745085" w:history="1">
            <w:r w:rsidR="004E1340" w:rsidRPr="00BC6526">
              <w:rPr>
                <w:rStyle w:val="Hipercze"/>
                <w:rFonts w:ascii="Arial" w:hAnsi="Arial" w:cs="Arial"/>
                <w:b/>
                <w:noProof/>
              </w:rPr>
              <w:t>Działalność turystyczna w obszarach nadmorskich w 2019 r.</w:t>
            </w:r>
            <w:r w:rsidR="004E1340">
              <w:rPr>
                <w:noProof/>
                <w:webHidden/>
              </w:rPr>
              <w:tab/>
            </w:r>
            <w:r w:rsidR="004E1340">
              <w:rPr>
                <w:noProof/>
                <w:webHidden/>
              </w:rPr>
              <w:fldChar w:fldCharType="begin"/>
            </w:r>
            <w:r w:rsidR="004E1340">
              <w:rPr>
                <w:noProof/>
                <w:webHidden/>
              </w:rPr>
              <w:instrText xml:space="preserve"> PAGEREF _Toc72745085 \h </w:instrText>
            </w:r>
            <w:r w:rsidR="004E1340">
              <w:rPr>
                <w:noProof/>
                <w:webHidden/>
              </w:rPr>
            </w:r>
            <w:r w:rsidR="004E1340">
              <w:rPr>
                <w:noProof/>
                <w:webHidden/>
              </w:rPr>
              <w:fldChar w:fldCharType="separate"/>
            </w:r>
            <w:r w:rsidR="00834EF6">
              <w:rPr>
                <w:noProof/>
                <w:webHidden/>
              </w:rPr>
              <w:t>114</w:t>
            </w:r>
            <w:r w:rsidR="004E1340">
              <w:rPr>
                <w:noProof/>
                <w:webHidden/>
              </w:rPr>
              <w:fldChar w:fldCharType="end"/>
            </w:r>
          </w:hyperlink>
        </w:p>
        <w:p w14:paraId="074B7C97" w14:textId="52C588C0" w:rsidR="004E1340" w:rsidRDefault="00F013E4">
          <w:pPr>
            <w:pStyle w:val="Spistreci2"/>
            <w:tabs>
              <w:tab w:val="right" w:leader="dot" w:pos="9060"/>
            </w:tabs>
            <w:rPr>
              <w:rFonts w:eastAsiaTheme="minorEastAsia"/>
              <w:noProof/>
              <w:lang w:eastAsia="pl-PL"/>
            </w:rPr>
          </w:pPr>
          <w:hyperlink w:anchor="_Toc72745086" w:history="1">
            <w:r w:rsidR="004E1340" w:rsidRPr="00BC6526">
              <w:rPr>
                <w:rStyle w:val="Hipercze"/>
                <w:rFonts w:ascii="Arial" w:hAnsi="Arial" w:cs="Arial"/>
                <w:b/>
                <w:noProof/>
              </w:rPr>
              <w:t>Działania Głównego Inspektora Sanitarnego i organów Państwowej Inspekcji Sanitarnej.</w:t>
            </w:r>
            <w:r w:rsidR="004E1340">
              <w:rPr>
                <w:noProof/>
                <w:webHidden/>
              </w:rPr>
              <w:tab/>
            </w:r>
            <w:r w:rsidR="004E1340">
              <w:rPr>
                <w:noProof/>
                <w:webHidden/>
              </w:rPr>
              <w:fldChar w:fldCharType="begin"/>
            </w:r>
            <w:r w:rsidR="004E1340">
              <w:rPr>
                <w:noProof/>
                <w:webHidden/>
              </w:rPr>
              <w:instrText xml:space="preserve"> PAGEREF _Toc72745086 \h </w:instrText>
            </w:r>
            <w:r w:rsidR="004E1340">
              <w:rPr>
                <w:noProof/>
                <w:webHidden/>
              </w:rPr>
            </w:r>
            <w:r w:rsidR="004E1340">
              <w:rPr>
                <w:noProof/>
                <w:webHidden/>
              </w:rPr>
              <w:fldChar w:fldCharType="separate"/>
            </w:r>
            <w:r w:rsidR="00834EF6">
              <w:rPr>
                <w:noProof/>
                <w:webHidden/>
              </w:rPr>
              <w:t>115</w:t>
            </w:r>
            <w:r w:rsidR="004E1340">
              <w:rPr>
                <w:noProof/>
                <w:webHidden/>
              </w:rPr>
              <w:fldChar w:fldCharType="end"/>
            </w:r>
          </w:hyperlink>
        </w:p>
        <w:p w14:paraId="75F7504B" w14:textId="73DFE08E" w:rsidR="004E1340" w:rsidRDefault="00F013E4">
          <w:pPr>
            <w:pStyle w:val="Spistreci2"/>
            <w:tabs>
              <w:tab w:val="right" w:leader="dot" w:pos="9060"/>
            </w:tabs>
            <w:rPr>
              <w:rFonts w:eastAsiaTheme="minorEastAsia"/>
              <w:noProof/>
              <w:lang w:eastAsia="pl-PL"/>
            </w:rPr>
          </w:pPr>
          <w:hyperlink w:anchor="_Toc72745087" w:history="1">
            <w:r w:rsidR="004E1340" w:rsidRPr="00BC6526">
              <w:rPr>
                <w:rStyle w:val="Hipercze"/>
                <w:rFonts w:ascii="Arial" w:hAnsi="Arial" w:cs="Arial"/>
                <w:b/>
                <w:noProof/>
              </w:rPr>
              <w:t>Działania Narodowego Muzeum Morskiego w Gdańsku.</w:t>
            </w:r>
            <w:r w:rsidR="004E1340">
              <w:rPr>
                <w:noProof/>
                <w:webHidden/>
              </w:rPr>
              <w:tab/>
            </w:r>
            <w:r w:rsidR="004E1340">
              <w:rPr>
                <w:noProof/>
                <w:webHidden/>
              </w:rPr>
              <w:fldChar w:fldCharType="begin"/>
            </w:r>
            <w:r w:rsidR="004E1340">
              <w:rPr>
                <w:noProof/>
                <w:webHidden/>
              </w:rPr>
              <w:instrText xml:space="preserve"> PAGEREF _Toc72745087 \h </w:instrText>
            </w:r>
            <w:r w:rsidR="004E1340">
              <w:rPr>
                <w:noProof/>
                <w:webHidden/>
              </w:rPr>
            </w:r>
            <w:r w:rsidR="004E1340">
              <w:rPr>
                <w:noProof/>
                <w:webHidden/>
              </w:rPr>
              <w:fldChar w:fldCharType="separate"/>
            </w:r>
            <w:r w:rsidR="00834EF6">
              <w:rPr>
                <w:noProof/>
                <w:webHidden/>
              </w:rPr>
              <w:t>117</w:t>
            </w:r>
            <w:r w:rsidR="004E1340">
              <w:rPr>
                <w:noProof/>
                <w:webHidden/>
              </w:rPr>
              <w:fldChar w:fldCharType="end"/>
            </w:r>
          </w:hyperlink>
        </w:p>
        <w:p w14:paraId="2BD04A3A" w14:textId="6FE846C8" w:rsidR="004E1340" w:rsidRDefault="00F013E4">
          <w:pPr>
            <w:pStyle w:val="Spistreci1"/>
            <w:tabs>
              <w:tab w:val="right" w:leader="dot" w:pos="9060"/>
            </w:tabs>
            <w:rPr>
              <w:rFonts w:eastAsiaTheme="minorEastAsia"/>
              <w:noProof/>
              <w:lang w:eastAsia="pl-PL"/>
            </w:rPr>
          </w:pPr>
          <w:hyperlink w:anchor="_Toc72745088" w:history="1">
            <w:r w:rsidR="004E1340" w:rsidRPr="00BC6526">
              <w:rPr>
                <w:rStyle w:val="Hipercze"/>
                <w:rFonts w:ascii="Arial" w:hAnsi="Arial" w:cs="Arial"/>
                <w:b/>
                <w:noProof/>
              </w:rPr>
              <w:t>ZARZĄDZANIE MORSKIE.</w:t>
            </w:r>
            <w:r w:rsidR="004E1340">
              <w:rPr>
                <w:noProof/>
                <w:webHidden/>
              </w:rPr>
              <w:tab/>
            </w:r>
            <w:r w:rsidR="004E1340">
              <w:rPr>
                <w:noProof/>
                <w:webHidden/>
              </w:rPr>
              <w:fldChar w:fldCharType="begin"/>
            </w:r>
            <w:r w:rsidR="004E1340">
              <w:rPr>
                <w:noProof/>
                <w:webHidden/>
              </w:rPr>
              <w:instrText xml:space="preserve"> PAGEREF _Toc72745088 \h </w:instrText>
            </w:r>
            <w:r w:rsidR="004E1340">
              <w:rPr>
                <w:noProof/>
                <w:webHidden/>
              </w:rPr>
            </w:r>
            <w:r w:rsidR="004E1340">
              <w:rPr>
                <w:noProof/>
                <w:webHidden/>
              </w:rPr>
              <w:fldChar w:fldCharType="separate"/>
            </w:r>
            <w:r w:rsidR="00834EF6">
              <w:rPr>
                <w:noProof/>
                <w:webHidden/>
              </w:rPr>
              <w:t>120</w:t>
            </w:r>
            <w:r w:rsidR="004E1340">
              <w:rPr>
                <w:noProof/>
                <w:webHidden/>
              </w:rPr>
              <w:fldChar w:fldCharType="end"/>
            </w:r>
          </w:hyperlink>
        </w:p>
        <w:p w14:paraId="70BC6C02" w14:textId="6DE05514" w:rsidR="004E1340" w:rsidRDefault="00F013E4">
          <w:pPr>
            <w:pStyle w:val="Spistreci2"/>
            <w:tabs>
              <w:tab w:val="right" w:leader="dot" w:pos="9060"/>
            </w:tabs>
            <w:rPr>
              <w:rFonts w:eastAsiaTheme="minorEastAsia"/>
              <w:noProof/>
              <w:lang w:eastAsia="pl-PL"/>
            </w:rPr>
          </w:pPr>
          <w:hyperlink w:anchor="_Toc72745089" w:history="1">
            <w:r w:rsidR="004E1340" w:rsidRPr="00BC6526">
              <w:rPr>
                <w:rStyle w:val="Hipercze"/>
                <w:rFonts w:ascii="Arial" w:hAnsi="Arial" w:cs="Arial"/>
                <w:b/>
                <w:noProof/>
              </w:rPr>
              <w:t>Zespół Trójstronny ds. żeglugi i rybołówstwa morskiego.</w:t>
            </w:r>
            <w:r w:rsidR="004E1340">
              <w:rPr>
                <w:noProof/>
                <w:webHidden/>
              </w:rPr>
              <w:tab/>
            </w:r>
            <w:r w:rsidR="004E1340">
              <w:rPr>
                <w:noProof/>
                <w:webHidden/>
              </w:rPr>
              <w:fldChar w:fldCharType="begin"/>
            </w:r>
            <w:r w:rsidR="004E1340">
              <w:rPr>
                <w:noProof/>
                <w:webHidden/>
              </w:rPr>
              <w:instrText xml:space="preserve"> PAGEREF _Toc72745089 \h </w:instrText>
            </w:r>
            <w:r w:rsidR="004E1340">
              <w:rPr>
                <w:noProof/>
                <w:webHidden/>
              </w:rPr>
            </w:r>
            <w:r w:rsidR="004E1340">
              <w:rPr>
                <w:noProof/>
                <w:webHidden/>
              </w:rPr>
              <w:fldChar w:fldCharType="separate"/>
            </w:r>
            <w:r w:rsidR="00834EF6">
              <w:rPr>
                <w:noProof/>
                <w:webHidden/>
              </w:rPr>
              <w:t>120</w:t>
            </w:r>
            <w:r w:rsidR="004E1340">
              <w:rPr>
                <w:noProof/>
                <w:webHidden/>
              </w:rPr>
              <w:fldChar w:fldCharType="end"/>
            </w:r>
          </w:hyperlink>
        </w:p>
        <w:p w14:paraId="078879DF" w14:textId="1ECBCBFF" w:rsidR="004E1340" w:rsidRDefault="00F013E4">
          <w:pPr>
            <w:pStyle w:val="Spistreci2"/>
            <w:tabs>
              <w:tab w:val="right" w:leader="dot" w:pos="9060"/>
            </w:tabs>
            <w:rPr>
              <w:rFonts w:eastAsiaTheme="minorEastAsia"/>
              <w:noProof/>
              <w:lang w:eastAsia="pl-PL"/>
            </w:rPr>
          </w:pPr>
          <w:hyperlink w:anchor="_Toc72745090" w:history="1">
            <w:r w:rsidR="004E1340" w:rsidRPr="00BC6526">
              <w:rPr>
                <w:rStyle w:val="Hipercze"/>
                <w:rFonts w:ascii="Arial" w:hAnsi="Arial" w:cs="Arial"/>
                <w:b/>
                <w:noProof/>
              </w:rPr>
              <w:t>Zespół Trójstronny ds. prowadzenia dialogu społecznego w sektorze portów morskich.</w:t>
            </w:r>
            <w:r w:rsidR="004E1340">
              <w:rPr>
                <w:noProof/>
                <w:webHidden/>
              </w:rPr>
              <w:tab/>
            </w:r>
            <w:r w:rsidR="004E1340">
              <w:rPr>
                <w:noProof/>
                <w:webHidden/>
              </w:rPr>
              <w:fldChar w:fldCharType="begin"/>
            </w:r>
            <w:r w:rsidR="004E1340">
              <w:rPr>
                <w:noProof/>
                <w:webHidden/>
              </w:rPr>
              <w:instrText xml:space="preserve"> PAGEREF _Toc72745090 \h </w:instrText>
            </w:r>
            <w:r w:rsidR="004E1340">
              <w:rPr>
                <w:noProof/>
                <w:webHidden/>
              </w:rPr>
            </w:r>
            <w:r w:rsidR="004E1340">
              <w:rPr>
                <w:noProof/>
                <w:webHidden/>
              </w:rPr>
              <w:fldChar w:fldCharType="separate"/>
            </w:r>
            <w:r w:rsidR="00834EF6">
              <w:rPr>
                <w:noProof/>
                <w:webHidden/>
              </w:rPr>
              <w:t>121</w:t>
            </w:r>
            <w:r w:rsidR="004E1340">
              <w:rPr>
                <w:noProof/>
                <w:webHidden/>
              </w:rPr>
              <w:fldChar w:fldCharType="end"/>
            </w:r>
          </w:hyperlink>
        </w:p>
        <w:p w14:paraId="19B81E48" w14:textId="2427A3F5" w:rsidR="004E1340" w:rsidRDefault="00F013E4">
          <w:pPr>
            <w:pStyle w:val="Spistreci2"/>
            <w:tabs>
              <w:tab w:val="right" w:leader="dot" w:pos="9060"/>
            </w:tabs>
            <w:rPr>
              <w:rFonts w:eastAsiaTheme="minorEastAsia"/>
              <w:noProof/>
              <w:lang w:eastAsia="pl-PL"/>
            </w:rPr>
          </w:pPr>
          <w:hyperlink w:anchor="_Toc72745091" w:history="1">
            <w:r w:rsidR="004E1340" w:rsidRPr="00BC6526">
              <w:rPr>
                <w:rStyle w:val="Hipercze"/>
                <w:rFonts w:ascii="Arial" w:hAnsi="Arial" w:cs="Arial"/>
                <w:b/>
                <w:bCs/>
                <w:noProof/>
              </w:rPr>
              <w:t>Zespół Trójstronny ds. przemysłu stoczniowego.</w:t>
            </w:r>
            <w:r w:rsidR="004E1340">
              <w:rPr>
                <w:noProof/>
                <w:webHidden/>
              </w:rPr>
              <w:tab/>
            </w:r>
            <w:r w:rsidR="004E1340">
              <w:rPr>
                <w:noProof/>
                <w:webHidden/>
              </w:rPr>
              <w:fldChar w:fldCharType="begin"/>
            </w:r>
            <w:r w:rsidR="004E1340">
              <w:rPr>
                <w:noProof/>
                <w:webHidden/>
              </w:rPr>
              <w:instrText xml:space="preserve"> PAGEREF _Toc72745091 \h </w:instrText>
            </w:r>
            <w:r w:rsidR="004E1340">
              <w:rPr>
                <w:noProof/>
                <w:webHidden/>
              </w:rPr>
            </w:r>
            <w:r w:rsidR="004E1340">
              <w:rPr>
                <w:noProof/>
                <w:webHidden/>
              </w:rPr>
              <w:fldChar w:fldCharType="separate"/>
            </w:r>
            <w:r w:rsidR="00834EF6">
              <w:rPr>
                <w:noProof/>
                <w:webHidden/>
              </w:rPr>
              <w:t>121</w:t>
            </w:r>
            <w:r w:rsidR="004E1340">
              <w:rPr>
                <w:noProof/>
                <w:webHidden/>
              </w:rPr>
              <w:fldChar w:fldCharType="end"/>
            </w:r>
          </w:hyperlink>
        </w:p>
        <w:p w14:paraId="476E6175" w14:textId="18F672CF" w:rsidR="004E1340" w:rsidRDefault="00F013E4">
          <w:pPr>
            <w:pStyle w:val="Spistreci2"/>
            <w:tabs>
              <w:tab w:val="right" w:leader="dot" w:pos="9060"/>
            </w:tabs>
            <w:rPr>
              <w:rFonts w:eastAsiaTheme="minorEastAsia"/>
              <w:noProof/>
              <w:lang w:eastAsia="pl-PL"/>
            </w:rPr>
          </w:pPr>
          <w:hyperlink w:anchor="_Toc72745092" w:history="1">
            <w:r w:rsidR="004E1340" w:rsidRPr="00BC6526">
              <w:rPr>
                <w:rStyle w:val="Hipercze"/>
                <w:rFonts w:ascii="Arial" w:hAnsi="Arial" w:cs="Arial"/>
                <w:b/>
                <w:noProof/>
              </w:rPr>
              <w:t>Zakończenie</w:t>
            </w:r>
            <w:r w:rsidR="004E1340">
              <w:rPr>
                <w:noProof/>
                <w:webHidden/>
              </w:rPr>
              <w:tab/>
            </w:r>
            <w:r w:rsidR="004E1340">
              <w:rPr>
                <w:noProof/>
                <w:webHidden/>
              </w:rPr>
              <w:fldChar w:fldCharType="begin"/>
            </w:r>
            <w:r w:rsidR="004E1340">
              <w:rPr>
                <w:noProof/>
                <w:webHidden/>
              </w:rPr>
              <w:instrText xml:space="preserve"> PAGEREF _Toc72745092 \h </w:instrText>
            </w:r>
            <w:r w:rsidR="004E1340">
              <w:rPr>
                <w:noProof/>
                <w:webHidden/>
              </w:rPr>
            </w:r>
            <w:r w:rsidR="004E1340">
              <w:rPr>
                <w:noProof/>
                <w:webHidden/>
              </w:rPr>
              <w:fldChar w:fldCharType="separate"/>
            </w:r>
            <w:r w:rsidR="00834EF6">
              <w:rPr>
                <w:noProof/>
                <w:webHidden/>
              </w:rPr>
              <w:t>123</w:t>
            </w:r>
            <w:r w:rsidR="004E1340">
              <w:rPr>
                <w:noProof/>
                <w:webHidden/>
              </w:rPr>
              <w:fldChar w:fldCharType="end"/>
            </w:r>
          </w:hyperlink>
        </w:p>
        <w:p w14:paraId="7D30ADC4" w14:textId="5A53264E" w:rsidR="00812F8E" w:rsidRPr="008E778F" w:rsidRDefault="00812F8E">
          <w:pPr>
            <w:rPr>
              <w:rFonts w:ascii="Arial" w:hAnsi="Arial" w:cs="Arial"/>
              <w:sz w:val="20"/>
              <w:szCs w:val="20"/>
            </w:rPr>
          </w:pPr>
          <w:r w:rsidRPr="008E778F">
            <w:rPr>
              <w:rFonts w:ascii="Arial" w:hAnsi="Arial" w:cs="Arial"/>
              <w:bCs/>
              <w:sz w:val="20"/>
              <w:szCs w:val="20"/>
            </w:rPr>
            <w:fldChar w:fldCharType="end"/>
          </w:r>
        </w:p>
      </w:sdtContent>
    </w:sdt>
    <w:p w14:paraId="4B9EC306" w14:textId="77777777" w:rsidR="00CE26F5" w:rsidRPr="00507214" w:rsidRDefault="00CE26F5" w:rsidP="000F468A">
      <w:pPr>
        <w:pStyle w:val="Nagwek1"/>
        <w:rPr>
          <w:rFonts w:ascii="Arial" w:hAnsi="Arial" w:cs="Arial"/>
          <w:b/>
          <w:color w:val="auto"/>
          <w:sz w:val="20"/>
          <w:szCs w:val="20"/>
        </w:rPr>
      </w:pPr>
    </w:p>
    <w:p w14:paraId="24AC9705" w14:textId="77777777" w:rsidR="00CE26F5" w:rsidRDefault="00CE26F5" w:rsidP="000F468A">
      <w:pPr>
        <w:pStyle w:val="Nagwek1"/>
        <w:rPr>
          <w:rFonts w:ascii="Arial" w:hAnsi="Arial" w:cs="Arial"/>
          <w:b/>
          <w:color w:val="auto"/>
          <w:sz w:val="20"/>
          <w:szCs w:val="20"/>
        </w:rPr>
      </w:pPr>
    </w:p>
    <w:p w14:paraId="0C2A6C7E" w14:textId="77777777" w:rsidR="00CE26F5" w:rsidRDefault="00CE26F5" w:rsidP="000F468A">
      <w:pPr>
        <w:pStyle w:val="Nagwek1"/>
        <w:rPr>
          <w:rFonts w:ascii="Arial" w:hAnsi="Arial" w:cs="Arial"/>
          <w:b/>
          <w:color w:val="auto"/>
          <w:sz w:val="20"/>
          <w:szCs w:val="20"/>
        </w:rPr>
      </w:pPr>
    </w:p>
    <w:p w14:paraId="5290D0CC" w14:textId="77777777" w:rsidR="00CE26F5" w:rsidRDefault="00CE26F5" w:rsidP="000F468A">
      <w:pPr>
        <w:pStyle w:val="Nagwek1"/>
        <w:rPr>
          <w:rFonts w:ascii="Arial" w:hAnsi="Arial" w:cs="Arial"/>
          <w:b/>
          <w:color w:val="auto"/>
          <w:sz w:val="20"/>
          <w:szCs w:val="20"/>
        </w:rPr>
      </w:pPr>
    </w:p>
    <w:p w14:paraId="18A716B3" w14:textId="77777777" w:rsidR="00CE26F5" w:rsidRDefault="00CE26F5" w:rsidP="000F468A">
      <w:pPr>
        <w:pStyle w:val="Nagwek1"/>
        <w:rPr>
          <w:rFonts w:ascii="Arial" w:hAnsi="Arial" w:cs="Arial"/>
          <w:b/>
          <w:color w:val="auto"/>
          <w:sz w:val="20"/>
          <w:szCs w:val="20"/>
        </w:rPr>
      </w:pPr>
    </w:p>
    <w:p w14:paraId="5D1E9CC7" w14:textId="77777777" w:rsidR="00CE26F5" w:rsidRDefault="00CE26F5" w:rsidP="000F468A">
      <w:pPr>
        <w:pStyle w:val="Nagwek1"/>
        <w:rPr>
          <w:rFonts w:ascii="Arial" w:hAnsi="Arial" w:cs="Arial"/>
          <w:b/>
          <w:color w:val="auto"/>
          <w:sz w:val="20"/>
          <w:szCs w:val="20"/>
        </w:rPr>
      </w:pPr>
    </w:p>
    <w:p w14:paraId="7A7170A1" w14:textId="77777777" w:rsidR="00CE26F5" w:rsidRDefault="00CE26F5" w:rsidP="000F468A">
      <w:pPr>
        <w:pStyle w:val="Nagwek1"/>
        <w:rPr>
          <w:rFonts w:ascii="Arial" w:hAnsi="Arial" w:cs="Arial"/>
          <w:b/>
          <w:color w:val="auto"/>
          <w:sz w:val="20"/>
          <w:szCs w:val="20"/>
        </w:rPr>
      </w:pPr>
    </w:p>
    <w:p w14:paraId="6CFAD7BB" w14:textId="77777777" w:rsidR="00CE26F5" w:rsidRDefault="00CE26F5" w:rsidP="000F468A">
      <w:pPr>
        <w:pStyle w:val="Nagwek1"/>
        <w:rPr>
          <w:rFonts w:ascii="Arial" w:hAnsi="Arial" w:cs="Arial"/>
          <w:b/>
          <w:color w:val="auto"/>
          <w:sz w:val="20"/>
          <w:szCs w:val="20"/>
        </w:rPr>
      </w:pPr>
    </w:p>
    <w:p w14:paraId="6E331BE3" w14:textId="77777777" w:rsidR="00CE26F5" w:rsidRDefault="00CE26F5" w:rsidP="000F468A">
      <w:pPr>
        <w:pStyle w:val="Nagwek1"/>
        <w:rPr>
          <w:rFonts w:ascii="Arial" w:hAnsi="Arial" w:cs="Arial"/>
          <w:b/>
          <w:color w:val="auto"/>
          <w:sz w:val="20"/>
          <w:szCs w:val="20"/>
        </w:rPr>
      </w:pPr>
    </w:p>
    <w:p w14:paraId="39C1D684" w14:textId="77777777" w:rsidR="00CE26F5" w:rsidRDefault="00CE26F5" w:rsidP="000F468A">
      <w:pPr>
        <w:pStyle w:val="Nagwek1"/>
        <w:rPr>
          <w:rFonts w:ascii="Arial" w:hAnsi="Arial" w:cs="Arial"/>
          <w:b/>
          <w:color w:val="auto"/>
          <w:sz w:val="20"/>
          <w:szCs w:val="20"/>
        </w:rPr>
      </w:pPr>
    </w:p>
    <w:p w14:paraId="5C4F53F4" w14:textId="77777777" w:rsidR="00CE26F5" w:rsidRDefault="00CE26F5" w:rsidP="000F468A">
      <w:pPr>
        <w:pStyle w:val="Nagwek1"/>
        <w:rPr>
          <w:rFonts w:ascii="Arial" w:hAnsi="Arial" w:cs="Arial"/>
          <w:b/>
          <w:color w:val="auto"/>
          <w:sz w:val="20"/>
          <w:szCs w:val="20"/>
        </w:rPr>
      </w:pPr>
    </w:p>
    <w:p w14:paraId="49DF4789" w14:textId="77777777" w:rsidR="00CE26F5" w:rsidRDefault="00CE26F5" w:rsidP="00CE26F5"/>
    <w:p w14:paraId="15C83288" w14:textId="77777777" w:rsidR="00CE26F5" w:rsidRDefault="00CE26F5" w:rsidP="00CE26F5"/>
    <w:p w14:paraId="3C474421" w14:textId="77777777" w:rsidR="00CE26F5" w:rsidRDefault="00CE26F5" w:rsidP="00CE26F5"/>
    <w:p w14:paraId="150D6CB9" w14:textId="77777777" w:rsidR="00CE26F5" w:rsidRDefault="00CE26F5" w:rsidP="00CE26F5"/>
    <w:p w14:paraId="3F10BAAA" w14:textId="77777777" w:rsidR="00CE26F5" w:rsidRDefault="00CE26F5" w:rsidP="00CE26F5"/>
    <w:p w14:paraId="7FD5F434" w14:textId="77777777" w:rsidR="00CE26F5" w:rsidRDefault="00CE26F5" w:rsidP="00CE26F5"/>
    <w:p w14:paraId="4E067709" w14:textId="77777777" w:rsidR="00CE26F5" w:rsidRDefault="00CE26F5" w:rsidP="00CE26F5"/>
    <w:p w14:paraId="579A5473" w14:textId="77777777" w:rsidR="00B85ABA" w:rsidRDefault="00B85ABA" w:rsidP="00CE26F5"/>
    <w:p w14:paraId="2F903F3C" w14:textId="36780DB3" w:rsidR="003954D6" w:rsidRPr="00CE26F5" w:rsidRDefault="003954D6" w:rsidP="00CE26F5"/>
    <w:p w14:paraId="700D4695" w14:textId="3CB06443" w:rsidR="008339C1" w:rsidRPr="00F82F0D" w:rsidRDefault="008339C1" w:rsidP="000F468A">
      <w:pPr>
        <w:pStyle w:val="Nagwek1"/>
        <w:rPr>
          <w:rFonts w:ascii="Arial" w:hAnsi="Arial" w:cs="Arial"/>
          <w:b/>
          <w:color w:val="auto"/>
          <w:sz w:val="20"/>
          <w:szCs w:val="20"/>
        </w:rPr>
      </w:pPr>
      <w:bookmarkStart w:id="1" w:name="_Toc72745024"/>
      <w:r w:rsidRPr="00F82F0D">
        <w:rPr>
          <w:rFonts w:ascii="Arial" w:hAnsi="Arial" w:cs="Arial"/>
          <w:b/>
          <w:color w:val="auto"/>
          <w:sz w:val="20"/>
          <w:szCs w:val="20"/>
        </w:rPr>
        <w:lastRenderedPageBreak/>
        <w:t>Wstęp</w:t>
      </w:r>
      <w:bookmarkEnd w:id="1"/>
    </w:p>
    <w:p w14:paraId="4859C7E0" w14:textId="73148DED" w:rsidR="008339C1" w:rsidRPr="004C6CC5" w:rsidRDefault="008339C1" w:rsidP="008D2321">
      <w:pPr>
        <w:spacing w:before="240" w:after="120" w:line="276" w:lineRule="auto"/>
        <w:jc w:val="both"/>
        <w:rPr>
          <w:rFonts w:ascii="Arial" w:hAnsi="Arial" w:cs="Arial"/>
          <w:sz w:val="20"/>
          <w:szCs w:val="20"/>
        </w:rPr>
      </w:pPr>
      <w:r w:rsidRPr="004C6CC5">
        <w:rPr>
          <w:rFonts w:ascii="Arial" w:hAnsi="Arial" w:cs="Arial"/>
          <w:sz w:val="20"/>
          <w:szCs w:val="20"/>
        </w:rPr>
        <w:t>„Raport</w:t>
      </w:r>
      <w:r w:rsidR="004C6CC5">
        <w:rPr>
          <w:rFonts w:ascii="Arial" w:hAnsi="Arial" w:cs="Arial"/>
          <w:sz w:val="20"/>
          <w:szCs w:val="20"/>
        </w:rPr>
        <w:t xml:space="preserve"> z </w:t>
      </w:r>
      <w:r w:rsidRPr="004C6CC5">
        <w:rPr>
          <w:rFonts w:ascii="Arial" w:hAnsi="Arial" w:cs="Arial"/>
          <w:sz w:val="20"/>
          <w:szCs w:val="20"/>
        </w:rPr>
        <w:t>realizacji polityki morskiej Rzeczypospolitej Polskiej” jest dokumentem rządowym, przedstawiającym działania podjęte</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 xml:space="preserve">przez Polskę na rzecz realizacji polityki morskiej państwa </w:t>
      </w:r>
      <w:r w:rsidR="00AE770B">
        <w:rPr>
          <w:rFonts w:ascii="Arial" w:hAnsi="Arial" w:cs="Arial"/>
          <w:sz w:val="20"/>
          <w:szCs w:val="20"/>
        </w:rPr>
        <w:t>w powiązaniu ze zintegrowaną polityką morską</w:t>
      </w:r>
      <w:r w:rsidRPr="004C6CC5">
        <w:rPr>
          <w:rFonts w:ascii="Arial" w:hAnsi="Arial" w:cs="Arial"/>
          <w:sz w:val="20"/>
          <w:szCs w:val="20"/>
        </w:rPr>
        <w:t xml:space="preserve"> UE.</w:t>
      </w:r>
    </w:p>
    <w:p w14:paraId="3755BF0E" w14:textId="4F6EAC11" w:rsidR="008339C1" w:rsidRPr="004C6CC5" w:rsidRDefault="008339C1" w:rsidP="008D2321">
      <w:pPr>
        <w:spacing w:before="240" w:after="120" w:line="276" w:lineRule="auto"/>
        <w:jc w:val="both"/>
        <w:rPr>
          <w:rFonts w:ascii="Arial" w:hAnsi="Arial" w:cs="Arial"/>
          <w:sz w:val="20"/>
          <w:szCs w:val="20"/>
        </w:rPr>
      </w:pPr>
      <w:r w:rsidRPr="004C6CC5">
        <w:rPr>
          <w:rFonts w:ascii="Arial" w:hAnsi="Arial" w:cs="Arial"/>
          <w:sz w:val="20"/>
          <w:szCs w:val="20"/>
        </w:rPr>
        <w:t>Dokument został przygotowany zgodnie</w:t>
      </w:r>
      <w:r w:rsidR="004C6CC5">
        <w:rPr>
          <w:rFonts w:ascii="Arial" w:hAnsi="Arial" w:cs="Arial"/>
          <w:sz w:val="20"/>
          <w:szCs w:val="20"/>
        </w:rPr>
        <w:t xml:space="preserve"> z </w:t>
      </w:r>
      <w:r w:rsidRPr="004C6CC5">
        <w:rPr>
          <w:rFonts w:ascii="Arial" w:hAnsi="Arial" w:cs="Arial"/>
          <w:sz w:val="20"/>
          <w:szCs w:val="20"/>
        </w:rPr>
        <w:t xml:space="preserve">przyjętą zasadą monitorowania wdrażania polityki morskiej RP dla dokumentu rządowego pt.: „Polityka morska Rzeczypospolitej Polskiej do roku 2020 </w:t>
      </w:r>
      <w:r w:rsidRPr="004C6CC5">
        <w:rPr>
          <w:rFonts w:ascii="Arial" w:hAnsi="Arial" w:cs="Arial"/>
          <w:sz w:val="20"/>
          <w:szCs w:val="20"/>
        </w:rPr>
        <w:br/>
        <w:t xml:space="preserve">(z perspektywą do 2030 roku)”. </w:t>
      </w:r>
    </w:p>
    <w:p w14:paraId="6F8F5E64" w14:textId="03111B36" w:rsidR="008339C1" w:rsidRPr="004C6CC5" w:rsidRDefault="008339C1" w:rsidP="008D2321">
      <w:pPr>
        <w:spacing w:before="240" w:after="120" w:line="276" w:lineRule="auto"/>
        <w:jc w:val="both"/>
        <w:rPr>
          <w:rFonts w:ascii="Arial" w:hAnsi="Arial" w:cs="Arial"/>
          <w:sz w:val="20"/>
          <w:szCs w:val="20"/>
        </w:rPr>
      </w:pPr>
      <w:r w:rsidRPr="004C6CC5">
        <w:rPr>
          <w:rFonts w:ascii="Arial" w:hAnsi="Arial" w:cs="Arial"/>
          <w:sz w:val="20"/>
          <w:szCs w:val="20"/>
        </w:rPr>
        <w:t>Dokument prezentuje najważniejsze działania Rządu RP wpisujące się</w:t>
      </w:r>
      <w:r w:rsidR="004C6CC5">
        <w:rPr>
          <w:rFonts w:ascii="Arial" w:hAnsi="Arial" w:cs="Arial"/>
          <w:sz w:val="20"/>
          <w:szCs w:val="20"/>
        </w:rPr>
        <w:t xml:space="preserve"> w </w:t>
      </w:r>
      <w:r w:rsidRPr="004C6CC5">
        <w:rPr>
          <w:rFonts w:ascii="Arial" w:hAnsi="Arial" w:cs="Arial"/>
          <w:sz w:val="20"/>
          <w:szCs w:val="20"/>
        </w:rPr>
        <w:t>proces realizacji polityki morskiej państwa oraz najważniejsze wydarzenia związane</w:t>
      </w:r>
      <w:r w:rsidR="004C6CC5">
        <w:rPr>
          <w:rFonts w:ascii="Arial" w:hAnsi="Arial" w:cs="Arial"/>
          <w:sz w:val="20"/>
          <w:szCs w:val="20"/>
        </w:rPr>
        <w:t xml:space="preserve"> z </w:t>
      </w:r>
      <w:r w:rsidRPr="004C6CC5">
        <w:rPr>
          <w:rFonts w:ascii="Arial" w:hAnsi="Arial" w:cs="Arial"/>
          <w:sz w:val="20"/>
          <w:szCs w:val="20"/>
        </w:rPr>
        <w:t>prowadzeniem polityki morskiej Rzeczypospolitej Polskiej, jakie miały miejsce</w:t>
      </w:r>
      <w:r w:rsidR="004C6CC5">
        <w:rPr>
          <w:rFonts w:ascii="Arial" w:hAnsi="Arial" w:cs="Arial"/>
          <w:sz w:val="20"/>
          <w:szCs w:val="20"/>
        </w:rPr>
        <w:t xml:space="preserve"> w </w:t>
      </w:r>
      <w:r w:rsidRPr="004C6CC5">
        <w:rPr>
          <w:rFonts w:ascii="Arial" w:hAnsi="Arial" w:cs="Arial"/>
          <w:sz w:val="20"/>
          <w:szCs w:val="20"/>
        </w:rPr>
        <w:t>2019 roku.</w:t>
      </w:r>
    </w:p>
    <w:p w14:paraId="6A250827" w14:textId="44AFC3DE" w:rsidR="008339C1" w:rsidRPr="004C6CC5" w:rsidRDefault="008339C1" w:rsidP="008D2321">
      <w:pPr>
        <w:spacing w:before="240" w:after="120" w:line="276" w:lineRule="auto"/>
        <w:jc w:val="both"/>
        <w:rPr>
          <w:rFonts w:ascii="Arial" w:hAnsi="Arial" w:cs="Arial"/>
          <w:sz w:val="20"/>
          <w:szCs w:val="20"/>
        </w:rPr>
      </w:pPr>
      <w:r w:rsidRPr="004C6CC5">
        <w:rPr>
          <w:rFonts w:ascii="Arial" w:hAnsi="Arial" w:cs="Arial"/>
          <w:sz w:val="20"/>
          <w:szCs w:val="20"/>
        </w:rPr>
        <w:t>Dokument został opracowany na podstawie informacji przekazanych przez resorty, instytucje współpracujące</w:t>
      </w:r>
      <w:r w:rsidR="000E578C">
        <w:rPr>
          <w:rFonts w:ascii="Arial" w:hAnsi="Arial" w:cs="Arial"/>
          <w:sz w:val="20"/>
          <w:szCs w:val="20"/>
        </w:rPr>
        <w:t>, instytucje podległe</w:t>
      </w:r>
      <w:r w:rsidRPr="004C6CC5">
        <w:rPr>
          <w:rFonts w:ascii="Arial" w:hAnsi="Arial" w:cs="Arial"/>
          <w:sz w:val="20"/>
          <w:szCs w:val="20"/>
        </w:rPr>
        <w:t xml:space="preserve"> oraz inne podmioty, a także</w:t>
      </w:r>
      <w:r w:rsidR="004C6CC5">
        <w:rPr>
          <w:rFonts w:ascii="Arial" w:hAnsi="Arial" w:cs="Arial"/>
          <w:sz w:val="20"/>
          <w:szCs w:val="20"/>
        </w:rPr>
        <w:t xml:space="preserve"> z </w:t>
      </w:r>
      <w:r w:rsidRPr="004C6CC5">
        <w:rPr>
          <w:rFonts w:ascii="Arial" w:hAnsi="Arial" w:cs="Arial"/>
          <w:sz w:val="20"/>
          <w:szCs w:val="20"/>
        </w:rPr>
        <w:t>wykorzystaniem materiałów</w:t>
      </w:r>
      <w:r w:rsidR="004C6CC5">
        <w:rPr>
          <w:rFonts w:ascii="Arial" w:hAnsi="Arial" w:cs="Arial"/>
          <w:sz w:val="20"/>
          <w:szCs w:val="20"/>
        </w:rPr>
        <w:t xml:space="preserve"> i </w:t>
      </w:r>
      <w:r w:rsidRPr="004C6CC5">
        <w:rPr>
          <w:rFonts w:ascii="Arial" w:hAnsi="Arial" w:cs="Arial"/>
          <w:sz w:val="20"/>
          <w:szCs w:val="20"/>
        </w:rPr>
        <w:t xml:space="preserve">opracowań własnych </w:t>
      </w:r>
      <w:r w:rsidR="007A2696">
        <w:rPr>
          <w:rFonts w:ascii="Arial" w:hAnsi="Arial" w:cs="Arial"/>
          <w:sz w:val="20"/>
          <w:szCs w:val="20"/>
        </w:rPr>
        <w:t xml:space="preserve">byłego </w:t>
      </w:r>
      <w:r w:rsidRPr="004C6CC5">
        <w:rPr>
          <w:rFonts w:ascii="Arial" w:hAnsi="Arial" w:cs="Arial"/>
          <w:sz w:val="20"/>
          <w:szCs w:val="20"/>
        </w:rPr>
        <w:t>Ministerstwa Gospodarki Morskiej</w:t>
      </w:r>
      <w:r w:rsidR="004C6CC5">
        <w:rPr>
          <w:rFonts w:ascii="Arial" w:hAnsi="Arial" w:cs="Arial"/>
          <w:sz w:val="20"/>
          <w:szCs w:val="20"/>
        </w:rPr>
        <w:t xml:space="preserve"> i </w:t>
      </w:r>
      <w:r w:rsidRPr="004C6CC5">
        <w:rPr>
          <w:rFonts w:ascii="Arial" w:hAnsi="Arial" w:cs="Arial"/>
          <w:sz w:val="20"/>
          <w:szCs w:val="20"/>
        </w:rPr>
        <w:t>Żeglugi Śródlądowej.</w:t>
      </w:r>
    </w:p>
    <w:p w14:paraId="6DB20902" w14:textId="11C3FCCA" w:rsidR="00DB685B" w:rsidRPr="006240AC" w:rsidRDefault="008339C1" w:rsidP="006240AC">
      <w:pPr>
        <w:spacing w:after="120" w:line="276" w:lineRule="auto"/>
        <w:jc w:val="both"/>
        <w:rPr>
          <w:rFonts w:ascii="Arial" w:hAnsi="Arial" w:cs="Arial"/>
          <w:sz w:val="20"/>
          <w:szCs w:val="20"/>
        </w:rPr>
      </w:pPr>
      <w:r w:rsidRPr="004C6CC5">
        <w:rPr>
          <w:rFonts w:ascii="Arial" w:hAnsi="Arial" w:cs="Arial"/>
          <w:sz w:val="20"/>
          <w:szCs w:val="20"/>
        </w:rPr>
        <w:br w:type="page"/>
      </w:r>
      <w:r w:rsidR="002B2DDA" w:rsidRPr="00586B31">
        <w:rPr>
          <w:rFonts w:ascii="Arial" w:hAnsi="Arial" w:cs="Arial"/>
          <w:b/>
          <w:sz w:val="20"/>
          <w:szCs w:val="20"/>
        </w:rPr>
        <w:lastRenderedPageBreak/>
        <w:t>DZIAŁANIA LEGISLACYJNE</w:t>
      </w:r>
      <w:r w:rsidR="00E25C58">
        <w:rPr>
          <w:rFonts w:ascii="Arial" w:hAnsi="Arial" w:cs="Arial"/>
          <w:b/>
          <w:sz w:val="20"/>
          <w:szCs w:val="20"/>
        </w:rPr>
        <w:t xml:space="preserve"> W</w:t>
      </w:r>
      <w:r w:rsidR="004C6CC5" w:rsidRPr="00586B31">
        <w:rPr>
          <w:rFonts w:ascii="Arial" w:hAnsi="Arial" w:cs="Arial"/>
          <w:b/>
          <w:sz w:val="20"/>
          <w:szCs w:val="20"/>
        </w:rPr>
        <w:t> </w:t>
      </w:r>
      <w:r w:rsidR="002B2DDA" w:rsidRPr="00586B31">
        <w:rPr>
          <w:rFonts w:ascii="Arial" w:hAnsi="Arial" w:cs="Arial"/>
          <w:b/>
          <w:sz w:val="20"/>
          <w:szCs w:val="20"/>
        </w:rPr>
        <w:t xml:space="preserve">ZAKRESIE POLITYKI MORSKIEJ </w:t>
      </w:r>
    </w:p>
    <w:p w14:paraId="785F5D96" w14:textId="4056B06E" w:rsidR="00EF60CD" w:rsidRPr="000F468A" w:rsidRDefault="00EF60CD" w:rsidP="000F468A">
      <w:pPr>
        <w:pStyle w:val="Nagwek2"/>
        <w:rPr>
          <w:rFonts w:ascii="Arial" w:hAnsi="Arial" w:cs="Arial"/>
          <w:color w:val="auto"/>
          <w:sz w:val="20"/>
          <w:szCs w:val="20"/>
          <w:lang w:eastAsia="pl-PL"/>
        </w:rPr>
      </w:pPr>
      <w:bookmarkStart w:id="2" w:name="_Toc72745025"/>
      <w:r w:rsidRPr="00586B31">
        <w:rPr>
          <w:rFonts w:ascii="Arial" w:hAnsi="Arial" w:cs="Arial"/>
          <w:b/>
          <w:color w:val="auto"/>
          <w:sz w:val="20"/>
          <w:szCs w:val="20"/>
          <w:lang w:eastAsia="pl-PL"/>
        </w:rPr>
        <w:t>Przyjęte akty prawne</w:t>
      </w:r>
      <w:r w:rsidRPr="00C12191">
        <w:rPr>
          <w:rFonts w:ascii="Arial" w:hAnsi="Arial" w:cs="Arial"/>
          <w:b/>
          <w:color w:val="auto"/>
          <w:sz w:val="20"/>
          <w:szCs w:val="20"/>
          <w:lang w:eastAsia="pl-PL"/>
        </w:rPr>
        <w:t>.</w:t>
      </w:r>
      <w:bookmarkEnd w:id="2"/>
      <w:r w:rsidRPr="000F468A">
        <w:rPr>
          <w:rFonts w:ascii="Arial" w:hAnsi="Arial" w:cs="Arial"/>
          <w:color w:val="auto"/>
          <w:sz w:val="20"/>
          <w:szCs w:val="20"/>
          <w:lang w:eastAsia="pl-PL"/>
        </w:rPr>
        <w:t xml:space="preserve"> </w:t>
      </w:r>
    </w:p>
    <w:p w14:paraId="02F9BEEF" w14:textId="44D5E7BC" w:rsidR="00AC5688" w:rsidRPr="004C6CC5" w:rsidRDefault="00AC5688" w:rsidP="003C6ECA">
      <w:pPr>
        <w:pStyle w:val="NormalnyWeb"/>
        <w:numPr>
          <w:ilvl w:val="0"/>
          <w:numId w:val="30"/>
        </w:numPr>
        <w:spacing w:before="120" w:beforeAutospacing="0" w:after="0" w:afterAutospacing="0" w:line="276" w:lineRule="auto"/>
        <w:jc w:val="both"/>
        <w:rPr>
          <w:rFonts w:ascii="Arial" w:hAnsi="Arial" w:cs="Arial"/>
          <w:b/>
          <w:sz w:val="20"/>
          <w:szCs w:val="20"/>
        </w:rPr>
      </w:pPr>
      <w:r w:rsidRPr="004C6CC5">
        <w:rPr>
          <w:rFonts w:ascii="Arial" w:hAnsi="Arial" w:cs="Arial"/>
          <w:b/>
          <w:sz w:val="20"/>
          <w:szCs w:val="20"/>
        </w:rPr>
        <w:t>Ustawa</w:t>
      </w:r>
      <w:r w:rsidR="004C6CC5">
        <w:rPr>
          <w:rFonts w:ascii="Arial" w:hAnsi="Arial" w:cs="Arial"/>
          <w:b/>
          <w:sz w:val="20"/>
          <w:szCs w:val="20"/>
        </w:rPr>
        <w:t xml:space="preserve"> z </w:t>
      </w:r>
      <w:r w:rsidRPr="004C6CC5">
        <w:rPr>
          <w:rFonts w:ascii="Arial" w:hAnsi="Arial" w:cs="Arial"/>
          <w:b/>
          <w:sz w:val="20"/>
          <w:szCs w:val="20"/>
        </w:rPr>
        <w:t>dnia 4 lipca 2019 r. o zmianie ustawy o bezpieczeństwie morskim (Dz. U. poz. 1702)</w:t>
      </w:r>
    </w:p>
    <w:p w14:paraId="421E96E3" w14:textId="4E89E7F2" w:rsidR="00AC5688" w:rsidRPr="004C6CC5" w:rsidRDefault="00AC5688" w:rsidP="00AC5688">
      <w:pPr>
        <w:pStyle w:val="NormalnyWeb"/>
        <w:spacing w:before="120" w:beforeAutospacing="0" w:after="0" w:afterAutospacing="0" w:line="276" w:lineRule="auto"/>
        <w:jc w:val="both"/>
        <w:rPr>
          <w:rFonts w:ascii="Arial" w:hAnsi="Arial" w:cs="Arial"/>
          <w:sz w:val="20"/>
          <w:szCs w:val="20"/>
        </w:rPr>
      </w:pPr>
      <w:r w:rsidRPr="004C6CC5">
        <w:rPr>
          <w:rFonts w:ascii="Arial" w:hAnsi="Arial" w:cs="Arial"/>
          <w:sz w:val="20"/>
          <w:szCs w:val="20"/>
        </w:rPr>
        <w:t xml:space="preserve">Celem ustawy </w:t>
      </w:r>
      <w:r w:rsidR="002A6C2B">
        <w:rPr>
          <w:rFonts w:ascii="Arial" w:hAnsi="Arial" w:cs="Arial"/>
          <w:sz w:val="20"/>
          <w:szCs w:val="20"/>
        </w:rPr>
        <w:t>jest</w:t>
      </w:r>
      <w:r w:rsidRPr="004C6CC5">
        <w:rPr>
          <w:rFonts w:ascii="Arial" w:hAnsi="Arial" w:cs="Arial"/>
          <w:sz w:val="20"/>
          <w:szCs w:val="20"/>
        </w:rPr>
        <w:t xml:space="preserve"> wdrożenie do polskiego porządku prawnego dyrektywy Parlamentu Europejskiego</w:t>
      </w:r>
      <w:r w:rsidR="004C6CC5">
        <w:rPr>
          <w:rFonts w:ascii="Arial" w:hAnsi="Arial" w:cs="Arial"/>
          <w:sz w:val="20"/>
          <w:szCs w:val="20"/>
        </w:rPr>
        <w:t xml:space="preserve"> i </w:t>
      </w:r>
      <w:r w:rsidRPr="004C6CC5">
        <w:rPr>
          <w:rFonts w:ascii="Arial" w:hAnsi="Arial" w:cs="Arial"/>
          <w:sz w:val="20"/>
          <w:szCs w:val="20"/>
        </w:rPr>
        <w:t>Rady (UE) 2017/2109</w:t>
      </w:r>
      <w:r w:rsidR="004C6CC5">
        <w:rPr>
          <w:rFonts w:ascii="Arial" w:hAnsi="Arial" w:cs="Arial"/>
          <w:sz w:val="20"/>
          <w:szCs w:val="20"/>
        </w:rPr>
        <w:t xml:space="preserve"> z </w:t>
      </w:r>
      <w:r w:rsidRPr="004C6CC5">
        <w:rPr>
          <w:rFonts w:ascii="Arial" w:hAnsi="Arial" w:cs="Arial"/>
          <w:sz w:val="20"/>
          <w:szCs w:val="20"/>
        </w:rPr>
        <w:t>dnia 15 listopada 2017 r. zmieniającej dyrektywę Rady 98/41/WE</w:t>
      </w:r>
      <w:r w:rsidR="004C6CC5">
        <w:rPr>
          <w:rFonts w:ascii="Arial" w:hAnsi="Arial" w:cs="Arial"/>
          <w:sz w:val="20"/>
          <w:szCs w:val="20"/>
        </w:rPr>
        <w:t xml:space="preserve"> w </w:t>
      </w:r>
      <w:r w:rsidRPr="004C6CC5">
        <w:rPr>
          <w:rFonts w:ascii="Arial" w:hAnsi="Arial" w:cs="Arial"/>
          <w:sz w:val="20"/>
          <w:szCs w:val="20"/>
        </w:rPr>
        <w:t>sprawie rejestracji osób podróżujących na pokładzie statków pasażerskich płynących do portów państw członkowskich Wspólnoty lub</w:t>
      </w:r>
      <w:r w:rsidR="004C6CC5">
        <w:rPr>
          <w:rFonts w:ascii="Arial" w:hAnsi="Arial" w:cs="Arial"/>
          <w:sz w:val="20"/>
          <w:szCs w:val="20"/>
        </w:rPr>
        <w:t xml:space="preserve"> z </w:t>
      </w:r>
      <w:r w:rsidRPr="004C6CC5">
        <w:rPr>
          <w:rFonts w:ascii="Arial" w:hAnsi="Arial" w:cs="Arial"/>
          <w:sz w:val="20"/>
          <w:szCs w:val="20"/>
        </w:rPr>
        <w:t>portów państw członkowskich Wspólnoty oraz dyrektywę Parlamentu Europejskiego</w:t>
      </w:r>
      <w:r w:rsidR="004C6CC5">
        <w:rPr>
          <w:rFonts w:ascii="Arial" w:hAnsi="Arial" w:cs="Arial"/>
          <w:sz w:val="20"/>
          <w:szCs w:val="20"/>
        </w:rPr>
        <w:t xml:space="preserve"> i </w:t>
      </w:r>
      <w:r w:rsidRPr="004C6CC5">
        <w:rPr>
          <w:rFonts w:ascii="Arial" w:hAnsi="Arial" w:cs="Arial"/>
          <w:sz w:val="20"/>
          <w:szCs w:val="20"/>
        </w:rPr>
        <w:t>Rady 2010/65/UE</w:t>
      </w:r>
      <w:r w:rsidR="004C6CC5">
        <w:rPr>
          <w:rFonts w:ascii="Arial" w:hAnsi="Arial" w:cs="Arial"/>
          <w:sz w:val="20"/>
          <w:szCs w:val="20"/>
        </w:rPr>
        <w:t xml:space="preserve"> w </w:t>
      </w:r>
      <w:r w:rsidRPr="004C6CC5">
        <w:rPr>
          <w:rFonts w:ascii="Arial" w:hAnsi="Arial" w:cs="Arial"/>
          <w:sz w:val="20"/>
          <w:szCs w:val="20"/>
        </w:rPr>
        <w:t>sprawie formalności sprawozdawczych dla statków wchodzących do lub wychodzących</w:t>
      </w:r>
      <w:r w:rsidR="004C6CC5">
        <w:rPr>
          <w:rFonts w:ascii="Arial" w:hAnsi="Arial" w:cs="Arial"/>
          <w:sz w:val="20"/>
          <w:szCs w:val="20"/>
        </w:rPr>
        <w:t xml:space="preserve"> z </w:t>
      </w:r>
      <w:r w:rsidRPr="004C6CC5">
        <w:rPr>
          <w:rFonts w:ascii="Arial" w:hAnsi="Arial" w:cs="Arial"/>
          <w:sz w:val="20"/>
          <w:szCs w:val="20"/>
        </w:rPr>
        <w:t>portów państw członkowskich (Dz. Urz. UE L 315</w:t>
      </w:r>
      <w:r w:rsidR="004C6CC5">
        <w:rPr>
          <w:rFonts w:ascii="Arial" w:hAnsi="Arial" w:cs="Arial"/>
          <w:sz w:val="20"/>
          <w:szCs w:val="20"/>
        </w:rPr>
        <w:t xml:space="preserve"> z </w:t>
      </w:r>
      <w:r w:rsidRPr="004C6CC5">
        <w:rPr>
          <w:rFonts w:ascii="Arial" w:hAnsi="Arial" w:cs="Arial"/>
          <w:sz w:val="20"/>
          <w:szCs w:val="20"/>
        </w:rPr>
        <w:t>30.11.2017, str. 52). Dodatkowym motywem powstania ustawy było wdrożenie do polskiego porządku prawnego dyrektywy Parlamentu Europejskiego</w:t>
      </w:r>
      <w:r w:rsidR="004C6CC5">
        <w:rPr>
          <w:rFonts w:ascii="Arial" w:hAnsi="Arial" w:cs="Arial"/>
          <w:sz w:val="20"/>
          <w:szCs w:val="20"/>
        </w:rPr>
        <w:t xml:space="preserve"> i </w:t>
      </w:r>
      <w:r w:rsidRPr="004C6CC5">
        <w:rPr>
          <w:rFonts w:ascii="Arial" w:hAnsi="Arial" w:cs="Arial"/>
          <w:sz w:val="20"/>
          <w:szCs w:val="20"/>
        </w:rPr>
        <w:t>Rady (UE) 2017/2110</w:t>
      </w:r>
      <w:r w:rsidR="004C6CC5">
        <w:rPr>
          <w:rFonts w:ascii="Arial" w:hAnsi="Arial" w:cs="Arial"/>
          <w:sz w:val="20"/>
          <w:szCs w:val="20"/>
        </w:rPr>
        <w:t xml:space="preserve"> z </w:t>
      </w:r>
      <w:r w:rsidRPr="004C6CC5">
        <w:rPr>
          <w:rFonts w:ascii="Arial" w:hAnsi="Arial" w:cs="Arial"/>
          <w:sz w:val="20"/>
          <w:szCs w:val="20"/>
        </w:rPr>
        <w:t>dnia 15 listopada 2017 r.</w:t>
      </w:r>
      <w:r w:rsidR="004C6CC5">
        <w:rPr>
          <w:rFonts w:ascii="Arial" w:hAnsi="Arial" w:cs="Arial"/>
          <w:sz w:val="20"/>
          <w:szCs w:val="20"/>
        </w:rPr>
        <w:t xml:space="preserve"> w </w:t>
      </w:r>
      <w:r w:rsidRPr="004C6CC5">
        <w:rPr>
          <w:rFonts w:ascii="Arial" w:hAnsi="Arial" w:cs="Arial"/>
          <w:sz w:val="20"/>
          <w:szCs w:val="20"/>
        </w:rPr>
        <w:t>sprawie systemu inspekcji na potrzeby bezpiecznej eksploatacji statków pasażerskich typu ro-ro</w:t>
      </w:r>
      <w:r w:rsidR="004C6CC5">
        <w:rPr>
          <w:rFonts w:ascii="Arial" w:hAnsi="Arial" w:cs="Arial"/>
          <w:sz w:val="20"/>
          <w:szCs w:val="20"/>
        </w:rPr>
        <w:t xml:space="preserve"> i </w:t>
      </w:r>
      <w:r w:rsidRPr="004C6CC5">
        <w:rPr>
          <w:rFonts w:ascii="Arial" w:hAnsi="Arial" w:cs="Arial"/>
          <w:sz w:val="20"/>
          <w:szCs w:val="20"/>
        </w:rPr>
        <w:t>szybkich jednostek pasażerskich uprawiających żeglugę na linii regularnej oraz zmieniającej dyrektywę 2009/16/WE</w:t>
      </w:r>
      <w:r w:rsidR="004C6CC5">
        <w:rPr>
          <w:rFonts w:ascii="Arial" w:hAnsi="Arial" w:cs="Arial"/>
          <w:sz w:val="20"/>
          <w:szCs w:val="20"/>
        </w:rPr>
        <w:t xml:space="preserve"> i </w:t>
      </w:r>
      <w:r w:rsidRPr="004C6CC5">
        <w:rPr>
          <w:rFonts w:ascii="Arial" w:hAnsi="Arial" w:cs="Arial"/>
          <w:sz w:val="20"/>
          <w:szCs w:val="20"/>
        </w:rPr>
        <w:t>uchylającej dyrektywę Rady 1999/35/WE (Dz. Urz. UE L 315</w:t>
      </w:r>
      <w:r w:rsidR="004C6CC5">
        <w:rPr>
          <w:rFonts w:ascii="Arial" w:hAnsi="Arial" w:cs="Arial"/>
          <w:sz w:val="20"/>
          <w:szCs w:val="20"/>
        </w:rPr>
        <w:t xml:space="preserve"> z </w:t>
      </w:r>
      <w:r w:rsidRPr="004C6CC5">
        <w:rPr>
          <w:rFonts w:ascii="Arial" w:hAnsi="Arial" w:cs="Arial"/>
          <w:sz w:val="20"/>
          <w:szCs w:val="20"/>
        </w:rPr>
        <w:t>30.11.2017, str. 61).</w:t>
      </w:r>
    </w:p>
    <w:p w14:paraId="2A8F67EC" w14:textId="414B22D8" w:rsidR="00AC5688" w:rsidRPr="00586B31" w:rsidRDefault="00AC5688" w:rsidP="003C6ECA">
      <w:pPr>
        <w:pStyle w:val="Akapitzlist"/>
        <w:numPr>
          <w:ilvl w:val="0"/>
          <w:numId w:val="30"/>
        </w:numPr>
        <w:spacing w:before="120" w:line="276" w:lineRule="auto"/>
        <w:jc w:val="both"/>
        <w:rPr>
          <w:rFonts w:ascii="Arial" w:hAnsi="Arial" w:cs="Arial"/>
          <w:b/>
          <w:sz w:val="20"/>
          <w:szCs w:val="20"/>
        </w:rPr>
      </w:pPr>
      <w:r w:rsidRPr="00586B31">
        <w:rPr>
          <w:rFonts w:ascii="Arial" w:hAnsi="Arial" w:cs="Arial"/>
          <w:b/>
          <w:sz w:val="20"/>
          <w:szCs w:val="20"/>
        </w:rPr>
        <w:t>Ustawa</w:t>
      </w:r>
      <w:r w:rsidR="004C6CC5" w:rsidRPr="00586B31">
        <w:rPr>
          <w:rFonts w:ascii="Arial" w:hAnsi="Arial" w:cs="Arial"/>
          <w:b/>
          <w:sz w:val="20"/>
          <w:szCs w:val="20"/>
        </w:rPr>
        <w:t xml:space="preserve"> z </w:t>
      </w:r>
      <w:r w:rsidRPr="00586B31">
        <w:rPr>
          <w:rFonts w:ascii="Arial" w:hAnsi="Arial" w:cs="Arial"/>
          <w:b/>
          <w:sz w:val="20"/>
          <w:szCs w:val="20"/>
        </w:rPr>
        <w:t>dnia 19 lipca 2019 r. o zmianie ustawy o portach</w:t>
      </w:r>
      <w:r w:rsidR="004C6CC5" w:rsidRPr="00586B31">
        <w:rPr>
          <w:rFonts w:ascii="Arial" w:hAnsi="Arial" w:cs="Arial"/>
          <w:b/>
          <w:sz w:val="20"/>
          <w:szCs w:val="20"/>
        </w:rPr>
        <w:t xml:space="preserve"> i </w:t>
      </w:r>
      <w:r w:rsidRPr="00586B31">
        <w:rPr>
          <w:rFonts w:ascii="Arial" w:hAnsi="Arial" w:cs="Arial"/>
          <w:b/>
          <w:sz w:val="20"/>
          <w:szCs w:val="20"/>
        </w:rPr>
        <w:t>przystaniach morskich oraz niektórych innych ustaw (Dz. U. poz. 1716)</w:t>
      </w:r>
    </w:p>
    <w:p w14:paraId="5A9290F7" w14:textId="6FF6A697" w:rsidR="00AC5688" w:rsidRPr="004C6CC5" w:rsidRDefault="00AC5688" w:rsidP="00AC5688">
      <w:pPr>
        <w:spacing w:line="276" w:lineRule="auto"/>
        <w:jc w:val="both"/>
        <w:rPr>
          <w:rFonts w:ascii="Arial" w:hAnsi="Arial" w:cs="Arial"/>
          <w:sz w:val="20"/>
          <w:szCs w:val="20"/>
        </w:rPr>
      </w:pPr>
      <w:r w:rsidRPr="004C6CC5">
        <w:rPr>
          <w:rFonts w:ascii="Arial" w:hAnsi="Arial" w:cs="Arial"/>
          <w:sz w:val="20"/>
          <w:szCs w:val="20"/>
        </w:rPr>
        <w:t>Celem ustawy jest dostosowanie aktów prawnych regulujących organizację</w:t>
      </w:r>
      <w:r w:rsidR="004C6CC5">
        <w:rPr>
          <w:rFonts w:ascii="Arial" w:hAnsi="Arial" w:cs="Arial"/>
          <w:sz w:val="20"/>
          <w:szCs w:val="20"/>
        </w:rPr>
        <w:t xml:space="preserve"> i </w:t>
      </w:r>
      <w:r w:rsidRPr="004C6CC5">
        <w:rPr>
          <w:rFonts w:ascii="Arial" w:hAnsi="Arial" w:cs="Arial"/>
          <w:sz w:val="20"/>
          <w:szCs w:val="20"/>
        </w:rPr>
        <w:t>funkcjonowanie portów do postanowień rozporządzenia Parlamentu Europejskiego</w:t>
      </w:r>
      <w:r w:rsidR="004C6CC5">
        <w:rPr>
          <w:rFonts w:ascii="Arial" w:hAnsi="Arial" w:cs="Arial"/>
          <w:sz w:val="20"/>
          <w:szCs w:val="20"/>
        </w:rPr>
        <w:t xml:space="preserve"> i </w:t>
      </w:r>
      <w:r w:rsidRPr="004C6CC5">
        <w:rPr>
          <w:rFonts w:ascii="Arial" w:hAnsi="Arial" w:cs="Arial"/>
          <w:sz w:val="20"/>
          <w:szCs w:val="20"/>
        </w:rPr>
        <w:t>Rady (UE) 2017/352</w:t>
      </w:r>
      <w:r w:rsidR="004C6CC5">
        <w:rPr>
          <w:rFonts w:ascii="Arial" w:hAnsi="Arial" w:cs="Arial"/>
          <w:sz w:val="20"/>
          <w:szCs w:val="20"/>
        </w:rPr>
        <w:t xml:space="preserve"> z </w:t>
      </w:r>
      <w:r w:rsidRPr="004C6CC5">
        <w:rPr>
          <w:rFonts w:ascii="Arial" w:hAnsi="Arial" w:cs="Arial"/>
          <w:sz w:val="20"/>
          <w:szCs w:val="20"/>
        </w:rPr>
        <w:t>dnia 15 lutego 2017 r. ustanawiającego ramy</w:t>
      </w:r>
      <w:r w:rsidR="004C6CC5">
        <w:rPr>
          <w:rFonts w:ascii="Arial" w:hAnsi="Arial" w:cs="Arial"/>
          <w:sz w:val="20"/>
          <w:szCs w:val="20"/>
        </w:rPr>
        <w:t xml:space="preserve"> w </w:t>
      </w:r>
      <w:r w:rsidRPr="004C6CC5">
        <w:rPr>
          <w:rFonts w:ascii="Arial" w:hAnsi="Arial" w:cs="Arial"/>
          <w:sz w:val="20"/>
          <w:szCs w:val="20"/>
        </w:rPr>
        <w:t>zakresie świadczenia usług portowych oraz wspólne zasady dotyczące przejrzystości finansowej portów (Dz. Urz. UE L 57</w:t>
      </w:r>
      <w:r w:rsidR="004C6CC5">
        <w:rPr>
          <w:rFonts w:ascii="Arial" w:hAnsi="Arial" w:cs="Arial"/>
          <w:sz w:val="20"/>
          <w:szCs w:val="20"/>
        </w:rPr>
        <w:t xml:space="preserve"> z </w:t>
      </w:r>
      <w:r w:rsidRPr="004C6CC5">
        <w:rPr>
          <w:rFonts w:ascii="Arial" w:hAnsi="Arial" w:cs="Arial"/>
          <w:sz w:val="20"/>
          <w:szCs w:val="20"/>
        </w:rPr>
        <w:t>3.03.2017, str. 1). Ustawa ma również na celu wzmocnienie pozycji podmiotów zarządzających portami</w:t>
      </w:r>
      <w:r w:rsidR="004C6CC5">
        <w:rPr>
          <w:rFonts w:ascii="Arial" w:hAnsi="Arial" w:cs="Arial"/>
          <w:sz w:val="20"/>
          <w:szCs w:val="20"/>
        </w:rPr>
        <w:t xml:space="preserve"> i </w:t>
      </w:r>
      <w:r w:rsidRPr="004C6CC5">
        <w:rPr>
          <w:rFonts w:ascii="Arial" w:hAnsi="Arial" w:cs="Arial"/>
          <w:sz w:val="20"/>
          <w:szCs w:val="20"/>
        </w:rPr>
        <w:t>przystaniami morskimi oraz usprawnienie funkcjonowania portów. Poprawa funkcjonowania polskich portów</w:t>
      </w:r>
      <w:r w:rsidR="00265500">
        <w:rPr>
          <w:rFonts w:ascii="Arial" w:hAnsi="Arial" w:cs="Arial"/>
          <w:sz w:val="20"/>
          <w:szCs w:val="20"/>
        </w:rPr>
        <w:t xml:space="preserve"> i </w:t>
      </w:r>
      <w:r w:rsidRPr="004C6CC5">
        <w:rPr>
          <w:rFonts w:ascii="Arial" w:hAnsi="Arial" w:cs="Arial"/>
          <w:sz w:val="20"/>
          <w:szCs w:val="20"/>
        </w:rPr>
        <w:t>przystani morskich,</w:t>
      </w:r>
      <w:r w:rsidR="00265500">
        <w:rPr>
          <w:rFonts w:ascii="Arial" w:hAnsi="Arial" w:cs="Arial"/>
          <w:sz w:val="20"/>
          <w:szCs w:val="20"/>
        </w:rPr>
        <w:t xml:space="preserve"> w </w:t>
      </w:r>
      <w:r w:rsidRPr="004C6CC5">
        <w:rPr>
          <w:rFonts w:ascii="Arial" w:hAnsi="Arial" w:cs="Arial"/>
          <w:sz w:val="20"/>
          <w:szCs w:val="20"/>
        </w:rPr>
        <w:t>tym świadczonych</w:t>
      </w:r>
      <w:r w:rsidR="004C6CC5">
        <w:rPr>
          <w:rFonts w:ascii="Arial" w:hAnsi="Arial" w:cs="Arial"/>
          <w:sz w:val="20"/>
          <w:szCs w:val="20"/>
        </w:rPr>
        <w:t xml:space="preserve"> w </w:t>
      </w:r>
      <w:r w:rsidRPr="004C6CC5">
        <w:rPr>
          <w:rFonts w:ascii="Arial" w:hAnsi="Arial" w:cs="Arial"/>
          <w:sz w:val="20"/>
          <w:szCs w:val="20"/>
        </w:rPr>
        <w:t>polskich portach</w:t>
      </w:r>
      <w:r w:rsidR="004C6CC5">
        <w:rPr>
          <w:rFonts w:ascii="Arial" w:hAnsi="Arial" w:cs="Arial"/>
          <w:sz w:val="20"/>
          <w:szCs w:val="20"/>
        </w:rPr>
        <w:t xml:space="preserve"> i </w:t>
      </w:r>
      <w:r w:rsidRPr="004C6CC5">
        <w:rPr>
          <w:rFonts w:ascii="Arial" w:hAnsi="Arial" w:cs="Arial"/>
          <w:sz w:val="20"/>
          <w:szCs w:val="20"/>
        </w:rPr>
        <w:t>przystaniach morskich usług, ma wpłynąć na wzmocnienie ich pozycji na międzynarodowym rynku, przede wszystkim</w:t>
      </w:r>
      <w:r w:rsidR="004C6CC5">
        <w:rPr>
          <w:rFonts w:ascii="Arial" w:hAnsi="Arial" w:cs="Arial"/>
          <w:sz w:val="20"/>
          <w:szCs w:val="20"/>
        </w:rPr>
        <w:t xml:space="preserve"> w </w:t>
      </w:r>
      <w:r w:rsidRPr="004C6CC5">
        <w:rPr>
          <w:rFonts w:ascii="Arial" w:hAnsi="Arial" w:cs="Arial"/>
          <w:sz w:val="20"/>
          <w:szCs w:val="20"/>
        </w:rPr>
        <w:t>basenie Morza Bałtyckiego, celem pełnienia kluczowej roli węzłów logistycznych</w:t>
      </w:r>
      <w:r w:rsidR="004C6CC5">
        <w:rPr>
          <w:rFonts w:ascii="Arial" w:hAnsi="Arial" w:cs="Arial"/>
          <w:sz w:val="20"/>
          <w:szCs w:val="20"/>
        </w:rPr>
        <w:t xml:space="preserve"> w </w:t>
      </w:r>
      <w:r w:rsidRPr="004C6CC5">
        <w:rPr>
          <w:rFonts w:ascii="Arial" w:hAnsi="Arial" w:cs="Arial"/>
          <w:sz w:val="20"/>
          <w:szCs w:val="20"/>
        </w:rPr>
        <w:t>globalnych łańcuchach dostaw zwłaszcza dla Europy Środkowo-Wschodniej.</w:t>
      </w:r>
    </w:p>
    <w:p w14:paraId="250684FD" w14:textId="6B6CC3E0" w:rsidR="00AC5688" w:rsidRPr="00A357EB" w:rsidRDefault="00AC5688" w:rsidP="003C6ECA">
      <w:pPr>
        <w:pStyle w:val="Akapitzlist"/>
        <w:numPr>
          <w:ilvl w:val="0"/>
          <w:numId w:val="30"/>
        </w:numPr>
        <w:spacing w:before="120" w:line="276" w:lineRule="auto"/>
        <w:jc w:val="both"/>
        <w:rPr>
          <w:rFonts w:ascii="Arial" w:hAnsi="Arial" w:cs="Arial"/>
          <w:sz w:val="20"/>
          <w:szCs w:val="20"/>
        </w:rPr>
      </w:pPr>
      <w:r w:rsidRPr="00A357EB">
        <w:rPr>
          <w:rFonts w:ascii="Arial" w:hAnsi="Arial" w:cs="Arial"/>
          <w:b/>
          <w:sz w:val="20"/>
          <w:szCs w:val="20"/>
        </w:rPr>
        <w:t>Ustawa</w:t>
      </w:r>
      <w:r w:rsidR="00D47D24">
        <w:rPr>
          <w:rFonts w:ascii="Arial" w:hAnsi="Arial" w:cs="Arial"/>
          <w:b/>
          <w:sz w:val="20"/>
          <w:szCs w:val="20"/>
        </w:rPr>
        <w:t xml:space="preserve"> z </w:t>
      </w:r>
      <w:r w:rsidRPr="00A357EB">
        <w:rPr>
          <w:rFonts w:ascii="Arial" w:hAnsi="Arial" w:cs="Arial"/>
          <w:b/>
          <w:sz w:val="20"/>
          <w:szCs w:val="20"/>
        </w:rPr>
        <w:t>dnia 9 sierpnia 2019 r. o zmianie ustawy o podatku</w:t>
      </w:r>
      <w:r w:rsidR="00E353F4">
        <w:rPr>
          <w:rFonts w:ascii="Arial" w:hAnsi="Arial" w:cs="Arial"/>
          <w:b/>
          <w:sz w:val="20"/>
          <w:szCs w:val="20"/>
        </w:rPr>
        <w:t xml:space="preserve"> dochodowym od osób fizycznych </w:t>
      </w:r>
      <w:r w:rsidRPr="00A357EB">
        <w:rPr>
          <w:rFonts w:ascii="Arial" w:hAnsi="Arial" w:cs="Arial"/>
          <w:b/>
          <w:sz w:val="20"/>
          <w:szCs w:val="20"/>
        </w:rPr>
        <w:t>(Dz.U.</w:t>
      </w:r>
      <w:r w:rsidR="004C6CC5" w:rsidRPr="00A357EB">
        <w:rPr>
          <w:rFonts w:ascii="Arial" w:hAnsi="Arial" w:cs="Arial"/>
          <w:b/>
          <w:sz w:val="20"/>
          <w:szCs w:val="20"/>
        </w:rPr>
        <w:t xml:space="preserve"> z </w:t>
      </w:r>
      <w:r w:rsidRPr="00A357EB">
        <w:rPr>
          <w:rFonts w:ascii="Arial" w:hAnsi="Arial" w:cs="Arial"/>
          <w:b/>
          <w:sz w:val="20"/>
          <w:szCs w:val="20"/>
        </w:rPr>
        <w:t>2019 r. poz. 1834)</w:t>
      </w:r>
      <w:r w:rsidRPr="00A357EB">
        <w:rPr>
          <w:rFonts w:ascii="Arial" w:hAnsi="Arial" w:cs="Arial"/>
          <w:sz w:val="20"/>
          <w:szCs w:val="20"/>
        </w:rPr>
        <w:t xml:space="preserve"> </w:t>
      </w:r>
    </w:p>
    <w:p w14:paraId="0628A0D3" w14:textId="6E8113AF" w:rsidR="00AC5688" w:rsidRPr="004C6CC5" w:rsidRDefault="00AC5688" w:rsidP="00624891">
      <w:pPr>
        <w:spacing w:before="120" w:after="120" w:line="276" w:lineRule="auto"/>
        <w:jc w:val="both"/>
        <w:rPr>
          <w:rFonts w:ascii="Arial" w:hAnsi="Arial" w:cs="Arial"/>
          <w:sz w:val="20"/>
          <w:szCs w:val="20"/>
        </w:rPr>
      </w:pPr>
      <w:r w:rsidRPr="004C6CC5">
        <w:rPr>
          <w:rFonts w:ascii="Arial" w:hAnsi="Arial" w:cs="Arial"/>
          <w:sz w:val="20"/>
          <w:szCs w:val="20"/>
        </w:rPr>
        <w:t>Celem ustawy była realizacja stanowiska Komisji Europejskiej przedstawionego</w:t>
      </w:r>
      <w:r w:rsidR="004C6CC5">
        <w:rPr>
          <w:rFonts w:ascii="Arial" w:hAnsi="Arial" w:cs="Arial"/>
          <w:sz w:val="20"/>
          <w:szCs w:val="20"/>
        </w:rPr>
        <w:t xml:space="preserve"> w </w:t>
      </w:r>
      <w:r w:rsidRPr="004C6CC5">
        <w:rPr>
          <w:rFonts w:ascii="Arial" w:hAnsi="Arial" w:cs="Arial"/>
          <w:sz w:val="20"/>
          <w:szCs w:val="20"/>
        </w:rPr>
        <w:t>toku postępowania</w:t>
      </w:r>
      <w:r w:rsidR="004C6CC5">
        <w:rPr>
          <w:rFonts w:ascii="Arial" w:hAnsi="Arial" w:cs="Arial"/>
          <w:sz w:val="20"/>
          <w:szCs w:val="20"/>
        </w:rPr>
        <w:t xml:space="preserve"> w </w:t>
      </w:r>
      <w:r w:rsidRPr="004C6CC5">
        <w:rPr>
          <w:rFonts w:ascii="Arial" w:hAnsi="Arial" w:cs="Arial"/>
          <w:sz w:val="20"/>
          <w:szCs w:val="20"/>
        </w:rPr>
        <w:t>sprawie notyfikacji środka pomocowego dla armatorów statków morskich, przyjętego</w:t>
      </w:r>
      <w:r w:rsidR="004C6CC5">
        <w:rPr>
          <w:rFonts w:ascii="Arial" w:hAnsi="Arial" w:cs="Arial"/>
          <w:sz w:val="20"/>
          <w:szCs w:val="20"/>
        </w:rPr>
        <w:t xml:space="preserve"> w </w:t>
      </w:r>
      <w:r w:rsidR="00C63F95">
        <w:rPr>
          <w:rFonts w:ascii="Arial" w:hAnsi="Arial" w:cs="Arial"/>
          <w:sz w:val="20"/>
          <w:szCs w:val="20"/>
        </w:rPr>
        <w:t xml:space="preserve">art. </w:t>
      </w:r>
      <w:r w:rsidRPr="004C6CC5">
        <w:rPr>
          <w:rFonts w:ascii="Arial" w:hAnsi="Arial" w:cs="Arial"/>
          <w:sz w:val="20"/>
          <w:szCs w:val="20"/>
        </w:rPr>
        <w:t>118 ustawy</w:t>
      </w:r>
      <w:r w:rsidR="004C6CC5">
        <w:rPr>
          <w:rFonts w:ascii="Arial" w:hAnsi="Arial" w:cs="Arial"/>
          <w:sz w:val="20"/>
          <w:szCs w:val="20"/>
        </w:rPr>
        <w:t xml:space="preserve"> z </w:t>
      </w:r>
      <w:r w:rsidRPr="004C6CC5">
        <w:rPr>
          <w:rFonts w:ascii="Arial" w:hAnsi="Arial" w:cs="Arial"/>
          <w:sz w:val="20"/>
          <w:szCs w:val="20"/>
        </w:rPr>
        <w:t>dnia 5 sierpnia 2015 r. o pracy na morzu, zmieniającego art. 21 ustawy</w:t>
      </w:r>
      <w:r w:rsidR="004C6CC5">
        <w:rPr>
          <w:rFonts w:ascii="Arial" w:hAnsi="Arial" w:cs="Arial"/>
          <w:sz w:val="20"/>
          <w:szCs w:val="20"/>
        </w:rPr>
        <w:t xml:space="preserve"> z </w:t>
      </w:r>
      <w:r w:rsidRPr="004C6CC5">
        <w:rPr>
          <w:rFonts w:ascii="Arial" w:hAnsi="Arial" w:cs="Arial"/>
          <w:sz w:val="20"/>
          <w:szCs w:val="20"/>
        </w:rPr>
        <w:t xml:space="preserve">dnia 26 lipca 1991 r. o podatku dochodowym od osób fizycznych. Przedmiotowy środek pomocowy polegał na zwolnieniu </w:t>
      </w:r>
      <w:r w:rsidRPr="004C6CC5">
        <w:rPr>
          <w:rFonts w:ascii="Arial" w:hAnsi="Arial" w:cs="Arial"/>
          <w:sz w:val="20"/>
          <w:szCs w:val="20"/>
        </w:rPr>
        <w:br/>
        <w:t>z podatku dochodowego dochodów marynarzy uzyskanych</w:t>
      </w:r>
      <w:r w:rsidR="004C6CC5">
        <w:rPr>
          <w:rFonts w:ascii="Arial" w:hAnsi="Arial" w:cs="Arial"/>
          <w:sz w:val="20"/>
          <w:szCs w:val="20"/>
        </w:rPr>
        <w:t xml:space="preserve"> z </w:t>
      </w:r>
      <w:r w:rsidRPr="004C6CC5">
        <w:rPr>
          <w:rFonts w:ascii="Arial" w:hAnsi="Arial" w:cs="Arial"/>
          <w:sz w:val="20"/>
          <w:szCs w:val="20"/>
        </w:rPr>
        <w:t xml:space="preserve">tytułu pracy na statkach morskich </w:t>
      </w:r>
      <w:r w:rsidRPr="004C6CC5">
        <w:rPr>
          <w:rFonts w:ascii="Arial" w:hAnsi="Arial" w:cs="Arial"/>
          <w:sz w:val="20"/>
          <w:szCs w:val="20"/>
        </w:rPr>
        <w:br/>
        <w:t>o polskiej przynależności, wykonywanej łącznie przez okres co najmniej 183 dni</w:t>
      </w:r>
      <w:r w:rsidR="004C6CC5">
        <w:rPr>
          <w:rFonts w:ascii="Arial" w:hAnsi="Arial" w:cs="Arial"/>
          <w:sz w:val="20"/>
          <w:szCs w:val="20"/>
        </w:rPr>
        <w:t xml:space="preserve"> w </w:t>
      </w:r>
      <w:r w:rsidRPr="004C6CC5">
        <w:rPr>
          <w:rFonts w:ascii="Arial" w:hAnsi="Arial" w:cs="Arial"/>
          <w:sz w:val="20"/>
          <w:szCs w:val="20"/>
        </w:rPr>
        <w:t xml:space="preserve">roku podatkowym, </w:t>
      </w:r>
      <w:r w:rsidRPr="004C6CC5">
        <w:rPr>
          <w:rFonts w:ascii="Arial" w:hAnsi="Arial" w:cs="Arial"/>
          <w:sz w:val="20"/>
          <w:szCs w:val="20"/>
        </w:rPr>
        <w:br/>
        <w:t xml:space="preserve">w żegludze międzynarodowej na statkach wykorzystywanych do przewozu ładunku lub pasażerów. </w:t>
      </w:r>
      <w:r w:rsidRPr="004C6CC5">
        <w:rPr>
          <w:rFonts w:ascii="Arial" w:hAnsi="Arial" w:cs="Arial"/>
          <w:sz w:val="20"/>
          <w:szCs w:val="20"/>
        </w:rPr>
        <w:br/>
        <w:t xml:space="preserve">W opinii Komisji Europejskiej przepis ten należało rozszerzyć na statki morskie o przynależności państw członkowskich UE oraz </w:t>
      </w:r>
      <w:r w:rsidR="009B5148" w:rsidRPr="004C6CC5">
        <w:rPr>
          <w:rFonts w:ascii="Arial" w:hAnsi="Arial" w:cs="Arial"/>
          <w:sz w:val="20"/>
          <w:szCs w:val="20"/>
        </w:rPr>
        <w:t>Europejskiego Obszaru Gospodarczego</w:t>
      </w:r>
      <w:r w:rsidRPr="004C6CC5">
        <w:rPr>
          <w:rFonts w:ascii="Arial" w:hAnsi="Arial" w:cs="Arial"/>
          <w:sz w:val="20"/>
          <w:szCs w:val="20"/>
        </w:rPr>
        <w:t xml:space="preserve">, celem zapobieżenia dyskryminacji tych państw. Aby uniknąć zarzutu dyskryminacji marynarzy pracujących na statkach innych niż o polskiej przynależności, art. 21 ust. 1 pkt 23c ustawy o podatku dochodowym rozszerzono o statki </w:t>
      </w:r>
      <w:r w:rsidR="00CC2287">
        <w:rPr>
          <w:rFonts w:ascii="Arial" w:hAnsi="Arial" w:cs="Arial"/>
          <w:sz w:val="20"/>
          <w:szCs w:val="20"/>
        </w:rPr>
        <w:br/>
      </w:r>
      <w:r w:rsidRPr="004C6CC5">
        <w:rPr>
          <w:rFonts w:ascii="Arial" w:hAnsi="Arial" w:cs="Arial"/>
          <w:sz w:val="20"/>
          <w:szCs w:val="20"/>
        </w:rPr>
        <w:t>o przynależności państw członkowskich UE oraz EOG. Dzięki temu możliwość uzyskania zwolnienia od podatku dochodowego uzyskali marynarze pracujący nie tylko na statkach pod polską banderą, ale również pod banderami państw UE</w:t>
      </w:r>
      <w:r w:rsidR="004C6CC5">
        <w:rPr>
          <w:rFonts w:ascii="Arial" w:hAnsi="Arial" w:cs="Arial"/>
          <w:sz w:val="20"/>
          <w:szCs w:val="20"/>
        </w:rPr>
        <w:t xml:space="preserve"> i </w:t>
      </w:r>
      <w:r w:rsidRPr="004C6CC5">
        <w:rPr>
          <w:rFonts w:ascii="Arial" w:hAnsi="Arial" w:cs="Arial"/>
          <w:sz w:val="20"/>
          <w:szCs w:val="20"/>
        </w:rPr>
        <w:t>EOG. Zmiana umożliwiła</w:t>
      </w:r>
      <w:r w:rsidR="00624891">
        <w:rPr>
          <w:rFonts w:ascii="Arial" w:hAnsi="Arial" w:cs="Arial"/>
          <w:sz w:val="20"/>
          <w:szCs w:val="20"/>
        </w:rPr>
        <w:t xml:space="preserve"> w </w:t>
      </w:r>
      <w:r w:rsidRPr="004C6CC5">
        <w:rPr>
          <w:rFonts w:ascii="Arial" w:hAnsi="Arial" w:cs="Arial"/>
          <w:sz w:val="20"/>
          <w:szCs w:val="20"/>
        </w:rPr>
        <w:t>dniu 16 grudnia 2019 r. wydanie pozytywnej decyzji o zgodności pomocy publicznej</w:t>
      </w:r>
      <w:r w:rsidR="004C6CC5">
        <w:rPr>
          <w:rFonts w:ascii="Arial" w:hAnsi="Arial" w:cs="Arial"/>
          <w:sz w:val="20"/>
          <w:szCs w:val="20"/>
        </w:rPr>
        <w:t xml:space="preserve"> z </w:t>
      </w:r>
      <w:r w:rsidRPr="004C6CC5">
        <w:rPr>
          <w:rFonts w:ascii="Arial" w:hAnsi="Arial" w:cs="Arial"/>
          <w:sz w:val="20"/>
          <w:szCs w:val="20"/>
        </w:rPr>
        <w:t>rynkiem wewnętrznym przez Komisję Europejską</w:t>
      </w:r>
      <w:r w:rsidR="004C6CC5">
        <w:rPr>
          <w:rFonts w:ascii="Arial" w:hAnsi="Arial" w:cs="Arial"/>
          <w:sz w:val="20"/>
          <w:szCs w:val="20"/>
        </w:rPr>
        <w:t xml:space="preserve"> i </w:t>
      </w:r>
      <w:r w:rsidRPr="004C6CC5">
        <w:rPr>
          <w:rFonts w:ascii="Arial" w:hAnsi="Arial" w:cs="Arial"/>
          <w:sz w:val="20"/>
          <w:szCs w:val="20"/>
        </w:rPr>
        <w:t>dołączenie Polski do grona większości państw członkowskich stosujących „Wytyczne Wspólnoty</w:t>
      </w:r>
      <w:r w:rsidR="004C6CC5">
        <w:rPr>
          <w:rFonts w:ascii="Arial" w:hAnsi="Arial" w:cs="Arial"/>
          <w:sz w:val="20"/>
          <w:szCs w:val="20"/>
        </w:rPr>
        <w:t xml:space="preserve"> w </w:t>
      </w:r>
      <w:r w:rsidRPr="004C6CC5">
        <w:rPr>
          <w:rFonts w:ascii="Arial" w:hAnsi="Arial" w:cs="Arial"/>
          <w:sz w:val="20"/>
          <w:szCs w:val="20"/>
        </w:rPr>
        <w:t>sprawie pomocy publicznej dla transportu morskiego ” (Dz. Urz. UE C 13</w:t>
      </w:r>
      <w:r w:rsidR="004C6CC5">
        <w:rPr>
          <w:rFonts w:ascii="Arial" w:hAnsi="Arial" w:cs="Arial"/>
          <w:sz w:val="20"/>
          <w:szCs w:val="20"/>
        </w:rPr>
        <w:t xml:space="preserve"> z </w:t>
      </w:r>
      <w:r w:rsidRPr="004C6CC5">
        <w:rPr>
          <w:rFonts w:ascii="Arial" w:hAnsi="Arial" w:cs="Arial"/>
          <w:sz w:val="20"/>
          <w:szCs w:val="20"/>
        </w:rPr>
        <w:t xml:space="preserve">17.01.2004, s. 3). </w:t>
      </w:r>
    </w:p>
    <w:p w14:paraId="1E5E64F8" w14:textId="77777777" w:rsidR="006422F2" w:rsidRPr="006422F2" w:rsidRDefault="00AC5688" w:rsidP="007E7B84">
      <w:pPr>
        <w:spacing w:before="120" w:after="120" w:line="276" w:lineRule="auto"/>
        <w:jc w:val="both"/>
        <w:rPr>
          <w:rFonts w:ascii="Arial" w:hAnsi="Arial" w:cs="Arial"/>
          <w:sz w:val="20"/>
          <w:szCs w:val="20"/>
        </w:rPr>
      </w:pPr>
      <w:r w:rsidRPr="004C6CC5">
        <w:rPr>
          <w:rFonts w:ascii="Arial" w:hAnsi="Arial" w:cs="Arial"/>
          <w:sz w:val="20"/>
          <w:szCs w:val="20"/>
        </w:rPr>
        <w:t xml:space="preserve">Na mocy tej decyzji, zgodnie ze zmianą ww. ustawy o podatku dochodowym od osób fizycznych, </w:t>
      </w:r>
      <w:r w:rsidRPr="004C6CC5">
        <w:rPr>
          <w:rFonts w:ascii="Arial" w:hAnsi="Arial" w:cs="Arial"/>
          <w:sz w:val="20"/>
          <w:szCs w:val="20"/>
        </w:rPr>
        <w:br/>
        <w:t xml:space="preserve">z obowiązku płacenia podatku dochodowego zwolnieni są marynarze pracujący na statkach </w:t>
      </w:r>
      <w:r w:rsidRPr="004C6CC5">
        <w:rPr>
          <w:rFonts w:ascii="Arial" w:hAnsi="Arial" w:cs="Arial"/>
          <w:sz w:val="20"/>
          <w:szCs w:val="20"/>
        </w:rPr>
        <w:br/>
        <w:t xml:space="preserve">o przynależności państw członkowskich UE oraz EOG pod warunkiem wykonywania przez marynarzy </w:t>
      </w:r>
      <w:r w:rsidRPr="004C6CC5">
        <w:rPr>
          <w:rFonts w:ascii="Arial" w:hAnsi="Arial" w:cs="Arial"/>
          <w:sz w:val="20"/>
          <w:szCs w:val="20"/>
        </w:rPr>
        <w:lastRenderedPageBreak/>
        <w:t>pracy na statkach morskich podnoszących band</w:t>
      </w:r>
      <w:r w:rsidR="009B5148">
        <w:rPr>
          <w:rFonts w:ascii="Arial" w:hAnsi="Arial" w:cs="Arial"/>
          <w:sz w:val="20"/>
          <w:szCs w:val="20"/>
        </w:rPr>
        <w:t xml:space="preserve">erę państwa członkowskiego UE </w:t>
      </w:r>
      <w:r w:rsidRPr="004C6CC5">
        <w:rPr>
          <w:rFonts w:ascii="Arial" w:hAnsi="Arial" w:cs="Arial"/>
          <w:sz w:val="20"/>
          <w:szCs w:val="20"/>
        </w:rPr>
        <w:t>lub państwa należącego do Europejskiego Obszaru Gospodarczego używanych do przewozu ładunku lub pasażerów</w:t>
      </w:r>
      <w:r w:rsidR="004C6CC5">
        <w:rPr>
          <w:rFonts w:ascii="Arial" w:hAnsi="Arial" w:cs="Arial"/>
          <w:sz w:val="20"/>
          <w:szCs w:val="20"/>
        </w:rPr>
        <w:t xml:space="preserve"> w </w:t>
      </w:r>
      <w:r w:rsidRPr="004C6CC5">
        <w:rPr>
          <w:rFonts w:ascii="Arial" w:hAnsi="Arial" w:cs="Arial"/>
          <w:sz w:val="20"/>
          <w:szCs w:val="20"/>
        </w:rPr>
        <w:t>żegludze międzynarodowej, jeżeli jest ona</w:t>
      </w:r>
      <w:r w:rsidR="004C6CC5">
        <w:rPr>
          <w:rFonts w:ascii="Arial" w:hAnsi="Arial" w:cs="Arial"/>
          <w:sz w:val="20"/>
          <w:szCs w:val="20"/>
        </w:rPr>
        <w:t xml:space="preserve"> w </w:t>
      </w:r>
      <w:r w:rsidRPr="004C6CC5">
        <w:rPr>
          <w:rFonts w:ascii="Arial" w:hAnsi="Arial" w:cs="Arial"/>
          <w:sz w:val="20"/>
          <w:szCs w:val="20"/>
        </w:rPr>
        <w:t xml:space="preserve">danym roku podatkowym wykonywana łącznie przez okres co najmniej 183 dni (pół roku). </w:t>
      </w:r>
      <w:r w:rsidR="006422F2" w:rsidRPr="006422F2">
        <w:rPr>
          <w:rFonts w:ascii="Arial" w:hAnsi="Arial" w:cs="Arial"/>
          <w:sz w:val="20"/>
          <w:szCs w:val="20"/>
        </w:rPr>
        <w:t xml:space="preserve">Ze względu na specyfikę zawodu marynarza, do okresu tego zalicza się również m.in. okresy: </w:t>
      </w:r>
    </w:p>
    <w:p w14:paraId="26544008" w14:textId="77777777" w:rsidR="006422F2" w:rsidRPr="006422F2" w:rsidRDefault="006422F2" w:rsidP="006422F2">
      <w:pPr>
        <w:spacing w:after="120" w:line="240" w:lineRule="auto"/>
        <w:jc w:val="both"/>
        <w:rPr>
          <w:rFonts w:ascii="Arial" w:hAnsi="Arial" w:cs="Arial"/>
          <w:sz w:val="20"/>
          <w:szCs w:val="20"/>
        </w:rPr>
      </w:pPr>
      <w:r w:rsidRPr="006422F2">
        <w:rPr>
          <w:rFonts w:ascii="Arial" w:hAnsi="Arial" w:cs="Arial"/>
          <w:sz w:val="20"/>
          <w:szCs w:val="20"/>
        </w:rPr>
        <w:t xml:space="preserve">- podróży do miejsca rozpoczęcia pracy na statku oraz powrotu ze statku,  </w:t>
      </w:r>
    </w:p>
    <w:p w14:paraId="0F8C1768" w14:textId="741F1E73" w:rsidR="006422F2" w:rsidRPr="006422F2" w:rsidRDefault="006422F2" w:rsidP="006422F2">
      <w:pPr>
        <w:spacing w:after="120" w:line="240" w:lineRule="auto"/>
        <w:jc w:val="both"/>
        <w:rPr>
          <w:rFonts w:ascii="Arial" w:hAnsi="Arial" w:cs="Arial"/>
          <w:sz w:val="20"/>
          <w:szCs w:val="20"/>
        </w:rPr>
      </w:pPr>
      <w:r w:rsidRPr="006422F2">
        <w:rPr>
          <w:rFonts w:ascii="Arial" w:hAnsi="Arial" w:cs="Arial"/>
          <w:sz w:val="20"/>
          <w:szCs w:val="20"/>
        </w:rPr>
        <w:t>- repatriacji i oczekiwania na repatriację w rozumieniu ustawy z dnia 5 sierpnia 2015 r. o pracy na morzu,</w:t>
      </w:r>
    </w:p>
    <w:p w14:paraId="0C6ABA97" w14:textId="48E2CA1E" w:rsidR="006422F2" w:rsidRPr="006422F2" w:rsidRDefault="006422F2" w:rsidP="006422F2">
      <w:pPr>
        <w:spacing w:after="120" w:line="240" w:lineRule="auto"/>
        <w:jc w:val="both"/>
        <w:rPr>
          <w:rFonts w:ascii="Arial" w:hAnsi="Arial" w:cs="Arial"/>
          <w:sz w:val="20"/>
          <w:szCs w:val="20"/>
        </w:rPr>
      </w:pPr>
      <w:r w:rsidRPr="006422F2">
        <w:rPr>
          <w:rFonts w:ascii="Arial" w:hAnsi="Arial" w:cs="Arial"/>
          <w:sz w:val="20"/>
          <w:szCs w:val="20"/>
        </w:rPr>
        <w:t xml:space="preserve">- pobierania zasiłku chorobowego lub zasiłku macierzyńskiego oraz okresy niezdolności do pracy </w:t>
      </w:r>
      <w:r w:rsidRPr="006422F2">
        <w:rPr>
          <w:rFonts w:ascii="Arial" w:hAnsi="Arial" w:cs="Arial"/>
          <w:sz w:val="20"/>
          <w:szCs w:val="20"/>
        </w:rPr>
        <w:br/>
        <w:t xml:space="preserve">z tytułu wypadku przy pracy lub choroby, które miały miejsce w okresie zatrudnienia na statku, </w:t>
      </w:r>
    </w:p>
    <w:p w14:paraId="7584E31B" w14:textId="77777777" w:rsidR="006422F2" w:rsidRPr="006422F2" w:rsidRDefault="006422F2" w:rsidP="006422F2">
      <w:pPr>
        <w:spacing w:after="120" w:line="240" w:lineRule="auto"/>
        <w:jc w:val="both"/>
        <w:rPr>
          <w:rFonts w:ascii="Arial" w:hAnsi="Arial" w:cs="Arial"/>
          <w:sz w:val="20"/>
          <w:szCs w:val="20"/>
        </w:rPr>
      </w:pPr>
      <w:r w:rsidRPr="006422F2">
        <w:rPr>
          <w:rFonts w:ascii="Arial" w:hAnsi="Arial" w:cs="Arial"/>
          <w:sz w:val="20"/>
          <w:szCs w:val="20"/>
        </w:rPr>
        <w:t>- szkolenia lub przeszkolenia, zgodnie z wymogami Konwencji STCW, a także szkolenia lub przeszkolenia, na które marynarz został skierowany przez armatora, a obowiązek odbycia tego szkolenia wynika z odrębnych przepisów,</w:t>
      </w:r>
    </w:p>
    <w:p w14:paraId="0609821E" w14:textId="78EEF2A7" w:rsidR="006422F2" w:rsidRPr="006422F2" w:rsidRDefault="006422F2" w:rsidP="006422F2">
      <w:pPr>
        <w:spacing w:after="120" w:line="240" w:lineRule="auto"/>
        <w:jc w:val="both"/>
        <w:rPr>
          <w:rFonts w:ascii="Arial" w:hAnsi="Arial" w:cs="Arial"/>
          <w:sz w:val="20"/>
          <w:szCs w:val="20"/>
        </w:rPr>
      </w:pPr>
      <w:r w:rsidRPr="006422F2">
        <w:rPr>
          <w:rFonts w:ascii="Arial" w:hAnsi="Arial" w:cs="Arial"/>
          <w:sz w:val="20"/>
          <w:szCs w:val="20"/>
        </w:rPr>
        <w:t>- urlopu wypoczynkowego lub okolicznościowego, jeżeli marynarska umowa o pracę w rozumieniu ustawy z dnia 5 si</w:t>
      </w:r>
      <w:r w:rsidR="0093043D">
        <w:rPr>
          <w:rFonts w:ascii="Arial" w:hAnsi="Arial" w:cs="Arial"/>
          <w:sz w:val="20"/>
          <w:szCs w:val="20"/>
        </w:rPr>
        <w:t>erpnia 2015 r. o pracy na morzu</w:t>
      </w:r>
      <w:r w:rsidRPr="006422F2">
        <w:rPr>
          <w:rFonts w:ascii="Arial" w:hAnsi="Arial" w:cs="Arial"/>
          <w:sz w:val="20"/>
          <w:szCs w:val="20"/>
        </w:rPr>
        <w:t xml:space="preserve"> przewiduje jego uzyskanie,</w:t>
      </w:r>
    </w:p>
    <w:p w14:paraId="35D15D64" w14:textId="77777777" w:rsidR="006422F2" w:rsidRPr="006422F2" w:rsidRDefault="006422F2" w:rsidP="006422F2">
      <w:pPr>
        <w:spacing w:after="120" w:line="240" w:lineRule="auto"/>
        <w:jc w:val="both"/>
        <w:rPr>
          <w:rFonts w:ascii="Arial" w:hAnsi="Arial" w:cs="Arial"/>
          <w:sz w:val="20"/>
          <w:szCs w:val="20"/>
        </w:rPr>
      </w:pPr>
      <w:r w:rsidRPr="006422F2">
        <w:rPr>
          <w:rFonts w:ascii="Arial" w:hAnsi="Arial" w:cs="Arial"/>
          <w:sz w:val="20"/>
          <w:szCs w:val="20"/>
        </w:rPr>
        <w:t xml:space="preserve">- wolnego od pracy pobytu na lądzie, udzielonego na podstawie przepisów dotyczących czasu pracy marynarzy, bezpośrednio po czasie pracy na statku obsługiwanym przez kolejno wymieniające się załogi statku lub część załogi statku, </w:t>
      </w:r>
    </w:p>
    <w:p w14:paraId="3BF88A6A" w14:textId="5F74BA2D" w:rsidR="006422F2" w:rsidRPr="006422F2" w:rsidRDefault="006422F2" w:rsidP="006422F2">
      <w:pPr>
        <w:spacing w:after="120" w:line="240" w:lineRule="auto"/>
        <w:jc w:val="both"/>
        <w:rPr>
          <w:rFonts w:ascii="Arial" w:hAnsi="Arial" w:cs="Arial"/>
          <w:sz w:val="20"/>
          <w:szCs w:val="20"/>
        </w:rPr>
      </w:pPr>
      <w:r w:rsidRPr="006422F2">
        <w:rPr>
          <w:rFonts w:ascii="Arial" w:hAnsi="Arial" w:cs="Arial"/>
          <w:sz w:val="20"/>
          <w:szCs w:val="20"/>
        </w:rPr>
        <w:t>- urlopu wyrównawczego, o którym mowa w art. 56 ustawy z dnia 5 sierpnia 2015 r. o pracy na morzu oraz wolnego od pracy pobytu na lądzie, udzielonego na podstawie przepisów dot</w:t>
      </w:r>
      <w:r w:rsidR="008679F4">
        <w:rPr>
          <w:rFonts w:ascii="Arial" w:hAnsi="Arial" w:cs="Arial"/>
          <w:sz w:val="20"/>
          <w:szCs w:val="20"/>
        </w:rPr>
        <w:t>yczących czasu pracy marynarzy.</w:t>
      </w:r>
    </w:p>
    <w:p w14:paraId="5672FB8A" w14:textId="7381C879" w:rsidR="006422F2" w:rsidRPr="000A4564" w:rsidRDefault="007E7B84" w:rsidP="009D7C91">
      <w:pPr>
        <w:spacing w:after="120" w:line="276" w:lineRule="auto"/>
        <w:jc w:val="both"/>
        <w:rPr>
          <w:rFonts w:ascii="Arial" w:hAnsi="Arial" w:cs="Arial"/>
          <w:sz w:val="20"/>
          <w:szCs w:val="20"/>
        </w:rPr>
      </w:pPr>
      <w:r w:rsidRPr="000A4564">
        <w:rPr>
          <w:rFonts w:ascii="Arial" w:hAnsi="Arial" w:cs="Arial"/>
          <w:sz w:val="20"/>
          <w:szCs w:val="20"/>
        </w:rPr>
        <w:t>Zgodnie z art. 2 ustawy z dnia 9 sierpnia 2019 r. o zmianie ustawy o podatku dochodowym od osób fizycznych przepisy stosuje się począwszy od roku, w którym Komisja Europejska wydała pozytywną decyzję o zgodności pomocy p</w:t>
      </w:r>
      <w:r w:rsidR="0093043D" w:rsidRPr="000A4564">
        <w:rPr>
          <w:rFonts w:ascii="Arial" w:hAnsi="Arial" w:cs="Arial"/>
          <w:sz w:val="20"/>
          <w:szCs w:val="20"/>
        </w:rPr>
        <w:t>ublicznej z rynkiem wewnętrznym.</w:t>
      </w:r>
      <w:r w:rsidRPr="000A4564">
        <w:rPr>
          <w:rFonts w:ascii="Arial" w:hAnsi="Arial" w:cs="Arial"/>
          <w:sz w:val="20"/>
          <w:szCs w:val="20"/>
        </w:rPr>
        <w:t xml:space="preserve"> W związku z faktem, że Komisja Europejska wydała taką de</w:t>
      </w:r>
      <w:r w:rsidR="0093043D" w:rsidRPr="000A4564">
        <w:rPr>
          <w:rFonts w:ascii="Arial" w:hAnsi="Arial" w:cs="Arial"/>
          <w:sz w:val="20"/>
          <w:szCs w:val="20"/>
        </w:rPr>
        <w:t>cyzję w dniu 16 grudnia 2019 r.</w:t>
      </w:r>
      <w:r w:rsidRPr="000A4564">
        <w:rPr>
          <w:rFonts w:ascii="Arial" w:hAnsi="Arial" w:cs="Arial"/>
          <w:sz w:val="20"/>
          <w:szCs w:val="20"/>
        </w:rPr>
        <w:t xml:space="preserve"> to </w:t>
      </w:r>
      <w:r w:rsidR="0093043D" w:rsidRPr="000A4564">
        <w:rPr>
          <w:rFonts w:ascii="Arial" w:hAnsi="Arial" w:cs="Arial"/>
          <w:sz w:val="20"/>
          <w:szCs w:val="20"/>
        </w:rPr>
        <w:t>powyższe</w:t>
      </w:r>
      <w:r w:rsidRPr="000A4564">
        <w:rPr>
          <w:rFonts w:ascii="Arial" w:hAnsi="Arial" w:cs="Arial"/>
          <w:sz w:val="20"/>
          <w:szCs w:val="20"/>
        </w:rPr>
        <w:t xml:space="preserve"> przepisy (zwolnienie w kształcie im nadanym) znalazły zastosowanie do dochodów uzyskanych w 2019 r., a tym samym mogły być zastosowane po raz pierwszy w rozliczeniu dochodów w zeznaniach za 2019 r.</w:t>
      </w:r>
    </w:p>
    <w:p w14:paraId="07462165" w14:textId="0C5B8AEA" w:rsidR="008D3874" w:rsidRDefault="008D3874" w:rsidP="003C6ECA">
      <w:pPr>
        <w:pStyle w:val="Akapitzlist"/>
        <w:numPr>
          <w:ilvl w:val="0"/>
          <w:numId w:val="30"/>
        </w:numPr>
        <w:spacing w:after="120" w:line="276" w:lineRule="auto"/>
        <w:jc w:val="both"/>
        <w:rPr>
          <w:rFonts w:ascii="Arial" w:hAnsi="Arial" w:cs="Arial"/>
          <w:b/>
          <w:sz w:val="20"/>
          <w:szCs w:val="20"/>
        </w:rPr>
      </w:pPr>
      <w:r w:rsidRPr="008D3874">
        <w:rPr>
          <w:rFonts w:ascii="Arial" w:hAnsi="Arial" w:cs="Arial"/>
          <w:b/>
          <w:sz w:val="20"/>
          <w:szCs w:val="20"/>
        </w:rPr>
        <w:t xml:space="preserve">Ustawa o inwestycjach z zakresu budowy portów zewnętrznych z dnia 9 sierpnia 2019 r. </w:t>
      </w:r>
      <w:r w:rsidR="00991C69">
        <w:rPr>
          <w:rFonts w:ascii="Arial" w:hAnsi="Arial" w:cs="Arial"/>
          <w:b/>
          <w:sz w:val="20"/>
          <w:szCs w:val="20"/>
        </w:rPr>
        <w:br/>
      </w:r>
      <w:r w:rsidRPr="008D3874">
        <w:rPr>
          <w:rFonts w:ascii="Arial" w:hAnsi="Arial" w:cs="Arial"/>
          <w:b/>
          <w:sz w:val="20"/>
          <w:szCs w:val="20"/>
        </w:rPr>
        <w:t>(Dz. U. z 2019 r. poz. 1924).</w:t>
      </w:r>
    </w:p>
    <w:p w14:paraId="02554A09" w14:textId="5C3A1888" w:rsidR="00F835AF" w:rsidRPr="00F835AF" w:rsidRDefault="00CA0694" w:rsidP="00F835AF">
      <w:pPr>
        <w:spacing w:after="120" w:line="276" w:lineRule="auto"/>
        <w:jc w:val="both"/>
        <w:rPr>
          <w:rFonts w:ascii="Arial" w:hAnsi="Arial" w:cs="Arial"/>
          <w:sz w:val="20"/>
          <w:szCs w:val="20"/>
        </w:rPr>
      </w:pPr>
      <w:r>
        <w:rPr>
          <w:rFonts w:ascii="Arial" w:hAnsi="Arial" w:cs="Arial"/>
          <w:sz w:val="20"/>
          <w:szCs w:val="20"/>
        </w:rPr>
        <w:t>U</w:t>
      </w:r>
      <w:r w:rsidR="00F835AF" w:rsidRPr="00F835AF">
        <w:rPr>
          <w:rFonts w:ascii="Arial" w:hAnsi="Arial" w:cs="Arial"/>
          <w:sz w:val="20"/>
          <w:szCs w:val="20"/>
        </w:rPr>
        <w:t xml:space="preserve">stawa wprowadza ułatwienia proceduralne usprawniające budowę portów zewnętrznych (powstających w wyniku zalądowienia obszarów morskich) w ramach rozbudowy portów </w:t>
      </w:r>
      <w:r w:rsidR="005C174C">
        <w:rPr>
          <w:rFonts w:ascii="Arial" w:hAnsi="Arial" w:cs="Arial"/>
          <w:sz w:val="20"/>
          <w:szCs w:val="20"/>
        </w:rPr>
        <w:br/>
      </w:r>
      <w:r w:rsidR="00F835AF" w:rsidRPr="00F835AF">
        <w:rPr>
          <w:rFonts w:ascii="Arial" w:hAnsi="Arial" w:cs="Arial"/>
          <w:sz w:val="20"/>
          <w:szCs w:val="20"/>
        </w:rPr>
        <w:t>o podstawowym znaczeniu dla gospodarki narodowej: Szczecin - Świnoujście, Gdynia i Gdańsk. Dalszy rozwój tych portów wymaga zwiększenia ich możliwości przeładunkowych przez budowę: Portu Centralnego w Gdańsku, Portu Zewnętrznego w Gdyni i głębokowodnego termina</w:t>
      </w:r>
      <w:r w:rsidR="00F835AF">
        <w:rPr>
          <w:rFonts w:ascii="Arial" w:hAnsi="Arial" w:cs="Arial"/>
          <w:sz w:val="20"/>
          <w:szCs w:val="20"/>
        </w:rPr>
        <w:t xml:space="preserve">lu kontenerowego </w:t>
      </w:r>
      <w:r>
        <w:rPr>
          <w:rFonts w:ascii="Arial" w:hAnsi="Arial" w:cs="Arial"/>
          <w:sz w:val="20"/>
          <w:szCs w:val="20"/>
        </w:rPr>
        <w:br/>
      </w:r>
      <w:r w:rsidR="00F835AF">
        <w:rPr>
          <w:rFonts w:ascii="Arial" w:hAnsi="Arial" w:cs="Arial"/>
          <w:sz w:val="20"/>
          <w:szCs w:val="20"/>
        </w:rPr>
        <w:t>w Świnoujściu.</w:t>
      </w:r>
      <w:r w:rsidR="00B64C48">
        <w:rPr>
          <w:rFonts w:ascii="Arial" w:hAnsi="Arial" w:cs="Arial"/>
          <w:sz w:val="20"/>
          <w:szCs w:val="20"/>
        </w:rPr>
        <w:t xml:space="preserve"> </w:t>
      </w:r>
      <w:r w:rsidR="00F835AF" w:rsidRPr="00F835AF">
        <w:rPr>
          <w:rFonts w:ascii="Arial" w:hAnsi="Arial" w:cs="Arial"/>
          <w:sz w:val="20"/>
          <w:szCs w:val="20"/>
        </w:rPr>
        <w:t xml:space="preserve">Dla całej gospodarki </w:t>
      </w:r>
      <w:r w:rsidR="00095422">
        <w:rPr>
          <w:rFonts w:ascii="Arial" w:hAnsi="Arial" w:cs="Arial"/>
          <w:sz w:val="20"/>
          <w:szCs w:val="20"/>
        </w:rPr>
        <w:t xml:space="preserve">narodowej </w:t>
      </w:r>
      <w:r w:rsidR="00F835AF" w:rsidRPr="00F835AF">
        <w:rPr>
          <w:rFonts w:ascii="Arial" w:hAnsi="Arial" w:cs="Arial"/>
          <w:sz w:val="20"/>
          <w:szCs w:val="20"/>
        </w:rPr>
        <w:t xml:space="preserve">duże znaczenie ma zwiększenie potencjału przeładunkowego polskich portów </w:t>
      </w:r>
      <w:r w:rsidR="00095422">
        <w:rPr>
          <w:rFonts w:ascii="Arial" w:hAnsi="Arial" w:cs="Arial"/>
          <w:sz w:val="20"/>
          <w:szCs w:val="20"/>
        </w:rPr>
        <w:t>-</w:t>
      </w:r>
      <w:r w:rsidR="00F835AF" w:rsidRPr="00F835AF">
        <w:rPr>
          <w:rFonts w:ascii="Arial" w:hAnsi="Arial" w:cs="Arial"/>
          <w:sz w:val="20"/>
          <w:szCs w:val="20"/>
        </w:rPr>
        <w:t xml:space="preserve"> w 2018 r. przeładunki w portach przekroczyły 100 mln ton, w samym porcie G</w:t>
      </w:r>
      <w:r w:rsidR="00131022">
        <w:rPr>
          <w:rFonts w:ascii="Arial" w:hAnsi="Arial" w:cs="Arial"/>
          <w:sz w:val="20"/>
          <w:szCs w:val="20"/>
        </w:rPr>
        <w:t>dańsk przeładunek wzrósł o 20,7</w:t>
      </w:r>
      <w:r w:rsidR="00095422">
        <w:rPr>
          <w:rFonts w:ascii="Arial" w:hAnsi="Arial" w:cs="Arial"/>
          <w:sz w:val="20"/>
          <w:szCs w:val="20"/>
        </w:rPr>
        <w:t>%</w:t>
      </w:r>
      <w:r w:rsidR="00F835AF" w:rsidRPr="00F835AF">
        <w:rPr>
          <w:rFonts w:ascii="Arial" w:hAnsi="Arial" w:cs="Arial"/>
          <w:sz w:val="20"/>
          <w:szCs w:val="20"/>
        </w:rPr>
        <w:t xml:space="preserve"> w stosunku do 2017 r. Rozwój portów pozwala także osiągać znaczące wpływy budżetowe </w:t>
      </w:r>
      <w:r w:rsidR="00095422">
        <w:rPr>
          <w:rFonts w:ascii="Arial" w:hAnsi="Arial" w:cs="Arial"/>
          <w:sz w:val="20"/>
          <w:szCs w:val="20"/>
        </w:rPr>
        <w:t>-</w:t>
      </w:r>
      <w:r w:rsidR="00F835AF" w:rsidRPr="00F835AF">
        <w:rPr>
          <w:rFonts w:ascii="Arial" w:hAnsi="Arial" w:cs="Arial"/>
          <w:sz w:val="20"/>
          <w:szCs w:val="20"/>
        </w:rPr>
        <w:t xml:space="preserve"> należności z</w:t>
      </w:r>
      <w:r w:rsidR="00B64C48">
        <w:rPr>
          <w:rFonts w:ascii="Arial" w:hAnsi="Arial" w:cs="Arial"/>
          <w:sz w:val="20"/>
          <w:szCs w:val="20"/>
        </w:rPr>
        <w:t xml:space="preserve"> tytułu ceł, podatków i akcyzy.</w:t>
      </w:r>
    </w:p>
    <w:p w14:paraId="06C4B127" w14:textId="7C41ACBB" w:rsidR="00F835AF" w:rsidRPr="00F835AF" w:rsidRDefault="00F835AF" w:rsidP="00F835AF">
      <w:pPr>
        <w:spacing w:after="120" w:line="276" w:lineRule="auto"/>
        <w:jc w:val="both"/>
        <w:rPr>
          <w:rFonts w:ascii="Arial" w:hAnsi="Arial" w:cs="Arial"/>
          <w:sz w:val="20"/>
          <w:szCs w:val="20"/>
        </w:rPr>
      </w:pPr>
      <w:r w:rsidRPr="00F835AF">
        <w:rPr>
          <w:rFonts w:ascii="Arial" w:hAnsi="Arial" w:cs="Arial"/>
          <w:sz w:val="20"/>
          <w:szCs w:val="20"/>
        </w:rPr>
        <w:t>Przygotowana specustawa portowa zawiera rozwiązania przyspieszające budowę portów z</w:t>
      </w:r>
      <w:r w:rsidR="0065429F">
        <w:rPr>
          <w:rFonts w:ascii="Arial" w:hAnsi="Arial" w:cs="Arial"/>
          <w:sz w:val="20"/>
          <w:szCs w:val="20"/>
        </w:rPr>
        <w:t>ewnętrznych w portach: Szczecin,</w:t>
      </w:r>
      <w:r w:rsidRPr="00F835AF">
        <w:rPr>
          <w:rFonts w:ascii="Arial" w:hAnsi="Arial" w:cs="Arial"/>
          <w:sz w:val="20"/>
          <w:szCs w:val="20"/>
        </w:rPr>
        <w:t xml:space="preserve"> Świnoujście, Gdynia i Gdańsk. Chodzi przede wszystkim o ułatwienia </w:t>
      </w:r>
      <w:r w:rsidR="00CF50EF">
        <w:rPr>
          <w:rFonts w:ascii="Arial" w:hAnsi="Arial" w:cs="Arial"/>
          <w:sz w:val="20"/>
          <w:szCs w:val="20"/>
        </w:rPr>
        <w:br/>
      </w:r>
      <w:r w:rsidRPr="00F835AF">
        <w:rPr>
          <w:rFonts w:ascii="Arial" w:hAnsi="Arial" w:cs="Arial"/>
          <w:sz w:val="20"/>
          <w:szCs w:val="20"/>
        </w:rPr>
        <w:t xml:space="preserve">w nabywaniu nieruchomości pod inwestycje dotyczące budowy portów zewnętrznych. </w:t>
      </w:r>
      <w:r w:rsidR="00131022">
        <w:rPr>
          <w:rFonts w:ascii="Arial" w:hAnsi="Arial" w:cs="Arial"/>
          <w:sz w:val="20"/>
          <w:szCs w:val="20"/>
        </w:rPr>
        <w:t>Ustawa</w:t>
      </w:r>
      <w:r w:rsidRPr="00F835AF">
        <w:rPr>
          <w:rFonts w:ascii="Arial" w:hAnsi="Arial" w:cs="Arial"/>
          <w:sz w:val="20"/>
          <w:szCs w:val="20"/>
        </w:rPr>
        <w:t xml:space="preserve"> zawiera również przepisy szczegółowo regulujące kwestie odszkodowań za wywłaszczone gru</w:t>
      </w:r>
      <w:r w:rsidR="00095422">
        <w:rPr>
          <w:rFonts w:ascii="Arial" w:hAnsi="Arial" w:cs="Arial"/>
          <w:sz w:val="20"/>
          <w:szCs w:val="20"/>
        </w:rPr>
        <w:t xml:space="preserve">nty (przede wszystkim wskazuje </w:t>
      </w:r>
      <w:r w:rsidRPr="00F835AF">
        <w:rPr>
          <w:rFonts w:ascii="Arial" w:hAnsi="Arial" w:cs="Arial"/>
          <w:sz w:val="20"/>
          <w:szCs w:val="20"/>
        </w:rPr>
        <w:t>sposób ustalania odszkodowania z tytułu utraty praw do nieruchomości) oraz odszkodowań za ogra</w:t>
      </w:r>
      <w:r>
        <w:rPr>
          <w:rFonts w:ascii="Arial" w:hAnsi="Arial" w:cs="Arial"/>
          <w:sz w:val="20"/>
          <w:szCs w:val="20"/>
        </w:rPr>
        <w:t>niczenie praw do nieruchomości.</w:t>
      </w:r>
    </w:p>
    <w:p w14:paraId="476F25D0" w14:textId="218B9537" w:rsidR="00F835AF" w:rsidRPr="00F835AF" w:rsidRDefault="00131022" w:rsidP="00F835AF">
      <w:pPr>
        <w:spacing w:after="120" w:line="276" w:lineRule="auto"/>
        <w:jc w:val="both"/>
        <w:rPr>
          <w:rFonts w:ascii="Arial" w:hAnsi="Arial" w:cs="Arial"/>
          <w:sz w:val="20"/>
          <w:szCs w:val="20"/>
        </w:rPr>
      </w:pPr>
      <w:r>
        <w:rPr>
          <w:rFonts w:ascii="Arial" w:hAnsi="Arial" w:cs="Arial"/>
          <w:sz w:val="20"/>
          <w:szCs w:val="20"/>
        </w:rPr>
        <w:t>Na mocy</w:t>
      </w:r>
      <w:r w:rsidR="00095422">
        <w:rPr>
          <w:rFonts w:ascii="Arial" w:hAnsi="Arial" w:cs="Arial"/>
          <w:sz w:val="20"/>
          <w:szCs w:val="20"/>
        </w:rPr>
        <w:t xml:space="preserve"> ustawy</w:t>
      </w:r>
      <w:r w:rsidR="00F835AF" w:rsidRPr="00F835AF">
        <w:rPr>
          <w:rFonts w:ascii="Arial" w:hAnsi="Arial" w:cs="Arial"/>
          <w:sz w:val="20"/>
          <w:szCs w:val="20"/>
        </w:rPr>
        <w:t xml:space="preserve"> decyzja o ustaleniu lokalizacji inwestycji w zakresie budowy portu zewnętrznego (decyzja lokalizacyjna) będzie wydawana przez wojewodę na wniosek inwestora (podmiotu zarządzającego portem morskim lub dyrektora urzędu morskiego). Na wydanie tej decyzji wojewoda będzie miał miesiąc. Decyzja lokalizacyjna będzie podstawą do wydania przez wojewodę decyzji </w:t>
      </w:r>
      <w:r w:rsidR="006E775E">
        <w:rPr>
          <w:rFonts w:ascii="Arial" w:hAnsi="Arial" w:cs="Arial"/>
          <w:sz w:val="20"/>
          <w:szCs w:val="20"/>
        </w:rPr>
        <w:br/>
      </w:r>
      <w:r w:rsidR="00F835AF" w:rsidRPr="00F835AF">
        <w:rPr>
          <w:rFonts w:ascii="Arial" w:hAnsi="Arial" w:cs="Arial"/>
          <w:sz w:val="20"/>
          <w:szCs w:val="20"/>
        </w:rPr>
        <w:t xml:space="preserve">o wygaśnięciu trwałego zarządu lub zarządu w odniesieniu do gruntów będących w zarządzie Państwowego Gospodarstwa Leśnego Lasy Państwowe (z wyłączeniem nieruchomości położonych na </w:t>
      </w:r>
      <w:r w:rsidR="00F835AF" w:rsidRPr="00F835AF">
        <w:rPr>
          <w:rFonts w:ascii="Arial" w:hAnsi="Arial" w:cs="Arial"/>
          <w:sz w:val="20"/>
          <w:szCs w:val="20"/>
        </w:rPr>
        <w:lastRenderedPageBreak/>
        <w:t>terenie parków narodowych, rezerwatów przyrody lub obszarów Natura 2000). Łatwiej będzie</w:t>
      </w:r>
      <w:r w:rsidR="005D1567">
        <w:rPr>
          <w:rFonts w:ascii="Arial" w:hAnsi="Arial" w:cs="Arial"/>
          <w:sz w:val="20"/>
          <w:szCs w:val="20"/>
        </w:rPr>
        <w:t xml:space="preserve"> można też uzyskać inne decyzje </w:t>
      </w:r>
      <w:r w:rsidR="00F835AF" w:rsidRPr="00F835AF">
        <w:rPr>
          <w:rFonts w:ascii="Arial" w:hAnsi="Arial" w:cs="Arial"/>
          <w:sz w:val="20"/>
          <w:szCs w:val="20"/>
        </w:rPr>
        <w:t>poprzedzające uzyskanie decyzji lokalizacyjnej</w:t>
      </w:r>
      <w:r w:rsidR="00095422">
        <w:rPr>
          <w:rFonts w:ascii="Arial" w:hAnsi="Arial" w:cs="Arial"/>
          <w:sz w:val="20"/>
          <w:szCs w:val="20"/>
        </w:rPr>
        <w:t xml:space="preserve">, </w:t>
      </w:r>
      <w:r w:rsidR="00F835AF" w:rsidRPr="00F835AF">
        <w:rPr>
          <w:rFonts w:ascii="Arial" w:hAnsi="Arial" w:cs="Arial"/>
          <w:sz w:val="20"/>
          <w:szCs w:val="20"/>
        </w:rPr>
        <w:t>np. decyzję o środowiskowych uwarunkowaniach dla realizacji inwestycji w zakres</w:t>
      </w:r>
      <w:r w:rsidR="00F835AF">
        <w:rPr>
          <w:rFonts w:ascii="Arial" w:hAnsi="Arial" w:cs="Arial"/>
          <w:sz w:val="20"/>
          <w:szCs w:val="20"/>
        </w:rPr>
        <w:t>ie budowy portu zewnętrznego.</w:t>
      </w:r>
    </w:p>
    <w:p w14:paraId="437D05E2" w14:textId="1C975E7D" w:rsidR="008D3874" w:rsidRPr="00F835AF" w:rsidRDefault="006E775E" w:rsidP="008D3874">
      <w:pPr>
        <w:spacing w:after="120" w:line="276" w:lineRule="auto"/>
        <w:jc w:val="both"/>
        <w:rPr>
          <w:rFonts w:ascii="Arial" w:hAnsi="Arial" w:cs="Arial"/>
          <w:sz w:val="20"/>
          <w:szCs w:val="20"/>
        </w:rPr>
      </w:pPr>
      <w:r>
        <w:rPr>
          <w:rFonts w:ascii="Arial" w:hAnsi="Arial" w:cs="Arial"/>
          <w:sz w:val="20"/>
          <w:szCs w:val="20"/>
        </w:rPr>
        <w:t>Ustawa</w:t>
      </w:r>
      <w:r w:rsidR="00F835AF" w:rsidRPr="00F835AF">
        <w:rPr>
          <w:rFonts w:ascii="Arial" w:hAnsi="Arial" w:cs="Arial"/>
          <w:sz w:val="20"/>
          <w:szCs w:val="20"/>
        </w:rPr>
        <w:t xml:space="preserve"> zakłada, że ostateczna decyzja o ustaleniu lokalizacji inwestycji w zakresie budowy portu zewnętrznego będzie miała skutek decyzji wywłaszczeniowej </w:t>
      </w:r>
      <w:r w:rsidR="009772EE">
        <w:rPr>
          <w:rFonts w:ascii="Arial" w:hAnsi="Arial" w:cs="Arial"/>
          <w:sz w:val="20"/>
          <w:szCs w:val="20"/>
        </w:rPr>
        <w:t>-</w:t>
      </w:r>
      <w:r w:rsidR="00F835AF" w:rsidRPr="00F835AF">
        <w:rPr>
          <w:rFonts w:ascii="Arial" w:hAnsi="Arial" w:cs="Arial"/>
          <w:sz w:val="20"/>
          <w:szCs w:val="20"/>
        </w:rPr>
        <w:t xml:space="preserve"> przedmiotem wywłaszczenia będą wyłącznie te nieruchomości, które zostały wskazane przez inwestora (podmiot zarządzający portem morskim lub dyrektora urzędu morskiego) we wniosku o ustalenie lokalizacji inwestycji w zakresie budowy portów zewnętrznych. Inwestor, w tym przypadku podmiot zarządzający portem morskim,  </w:t>
      </w:r>
      <w:r w:rsidR="008045C6">
        <w:rPr>
          <w:rFonts w:ascii="Arial" w:hAnsi="Arial" w:cs="Arial"/>
          <w:sz w:val="20"/>
          <w:szCs w:val="20"/>
        </w:rPr>
        <w:br/>
      </w:r>
      <w:r w:rsidR="00F835AF" w:rsidRPr="00F835AF">
        <w:rPr>
          <w:rFonts w:ascii="Arial" w:hAnsi="Arial" w:cs="Arial"/>
          <w:sz w:val="20"/>
          <w:szCs w:val="20"/>
        </w:rPr>
        <w:t xml:space="preserve">z mocy </w:t>
      </w:r>
      <w:r w:rsidR="009772EE">
        <w:rPr>
          <w:rFonts w:ascii="Arial" w:hAnsi="Arial" w:cs="Arial"/>
          <w:sz w:val="20"/>
          <w:szCs w:val="20"/>
        </w:rPr>
        <w:t xml:space="preserve">prawa nabędzie </w:t>
      </w:r>
      <w:r w:rsidR="00F835AF" w:rsidRPr="00F835AF">
        <w:rPr>
          <w:rFonts w:ascii="Arial" w:hAnsi="Arial" w:cs="Arial"/>
          <w:sz w:val="20"/>
          <w:szCs w:val="20"/>
        </w:rPr>
        <w:t>z dniem, w którym decyzja lokal</w:t>
      </w:r>
      <w:r w:rsidR="009772EE">
        <w:rPr>
          <w:rFonts w:ascii="Arial" w:hAnsi="Arial" w:cs="Arial"/>
          <w:sz w:val="20"/>
          <w:szCs w:val="20"/>
        </w:rPr>
        <w:t>izacyjna stanie się ostateczna,</w:t>
      </w:r>
      <w:r w:rsidR="00F835AF" w:rsidRPr="00F835AF">
        <w:rPr>
          <w:rFonts w:ascii="Arial" w:hAnsi="Arial" w:cs="Arial"/>
          <w:sz w:val="20"/>
          <w:szCs w:val="20"/>
        </w:rPr>
        <w:t xml:space="preserve"> prawo użytkowania wieczystego wywłaszczonych nieruchomości wraz z prawem własności budynków, urządzeń i lokali na nich się znajdujących. Ustawa gwarantuje także ułatwienia w zajmowaniu terenów wód płynących, dróg publicznych bądź terenów kolejowych na czas realizacji inwestycji.</w:t>
      </w:r>
    </w:p>
    <w:p w14:paraId="2B65A60A" w14:textId="0D5FAEAB" w:rsidR="00AC5688" w:rsidRPr="00A357EB" w:rsidRDefault="00AC5688" w:rsidP="003C6ECA">
      <w:pPr>
        <w:pStyle w:val="Akapitzlist"/>
        <w:numPr>
          <w:ilvl w:val="0"/>
          <w:numId w:val="30"/>
        </w:numPr>
        <w:spacing w:before="120" w:line="276" w:lineRule="auto"/>
        <w:jc w:val="both"/>
        <w:rPr>
          <w:rFonts w:ascii="Arial" w:hAnsi="Arial" w:cs="Arial"/>
          <w:sz w:val="20"/>
          <w:szCs w:val="20"/>
        </w:rPr>
      </w:pPr>
      <w:r w:rsidRPr="00A357EB">
        <w:rPr>
          <w:rFonts w:ascii="Arial" w:hAnsi="Arial" w:cs="Arial"/>
          <w:b/>
          <w:sz w:val="20"/>
          <w:szCs w:val="20"/>
        </w:rPr>
        <w:t>Ustawa</w:t>
      </w:r>
      <w:r w:rsidR="004C6CC5" w:rsidRPr="00A357EB">
        <w:rPr>
          <w:rFonts w:ascii="Arial" w:hAnsi="Arial" w:cs="Arial"/>
          <w:b/>
          <w:sz w:val="20"/>
          <w:szCs w:val="20"/>
        </w:rPr>
        <w:t xml:space="preserve"> z </w:t>
      </w:r>
      <w:r w:rsidRPr="00A357EB">
        <w:rPr>
          <w:rFonts w:ascii="Arial" w:hAnsi="Arial" w:cs="Arial"/>
          <w:b/>
          <w:sz w:val="20"/>
          <w:szCs w:val="20"/>
        </w:rPr>
        <w:t>dnia 11 września 2019 r. o pracy na statkach rybackich (Dz. U. poz. 2197)</w:t>
      </w:r>
      <w:r w:rsidRPr="00A357EB">
        <w:rPr>
          <w:rFonts w:ascii="Arial" w:hAnsi="Arial" w:cs="Arial"/>
          <w:sz w:val="20"/>
          <w:szCs w:val="20"/>
        </w:rPr>
        <w:t xml:space="preserve"> </w:t>
      </w:r>
    </w:p>
    <w:p w14:paraId="759FA3F2" w14:textId="55F1C9CF" w:rsidR="00AC5688" w:rsidRDefault="002622E7" w:rsidP="00775BC6">
      <w:pPr>
        <w:spacing w:before="120" w:after="120" w:line="276" w:lineRule="auto"/>
        <w:jc w:val="both"/>
        <w:rPr>
          <w:rFonts w:ascii="Arial" w:hAnsi="Arial" w:cs="Arial"/>
          <w:sz w:val="20"/>
          <w:szCs w:val="20"/>
        </w:rPr>
      </w:pPr>
      <w:r>
        <w:rPr>
          <w:rFonts w:ascii="Arial" w:hAnsi="Arial" w:cs="Arial"/>
          <w:sz w:val="20"/>
          <w:szCs w:val="20"/>
        </w:rPr>
        <w:t>U</w:t>
      </w:r>
      <w:r w:rsidR="00AC5688" w:rsidRPr="004C6CC5">
        <w:rPr>
          <w:rFonts w:ascii="Arial" w:hAnsi="Arial" w:cs="Arial"/>
          <w:sz w:val="20"/>
          <w:szCs w:val="20"/>
        </w:rPr>
        <w:t>stawa kompleksowo reguluje kwestie związane</w:t>
      </w:r>
      <w:r w:rsidR="004C6CC5">
        <w:rPr>
          <w:rFonts w:ascii="Arial" w:hAnsi="Arial" w:cs="Arial"/>
          <w:sz w:val="20"/>
          <w:szCs w:val="20"/>
        </w:rPr>
        <w:t xml:space="preserve"> z </w:t>
      </w:r>
      <w:r w:rsidR="00AC5688" w:rsidRPr="004C6CC5">
        <w:rPr>
          <w:rFonts w:ascii="Arial" w:hAnsi="Arial" w:cs="Arial"/>
          <w:sz w:val="20"/>
          <w:szCs w:val="20"/>
        </w:rPr>
        <w:t>życiem</w:t>
      </w:r>
      <w:r w:rsidR="004C6CC5">
        <w:rPr>
          <w:rFonts w:ascii="Arial" w:hAnsi="Arial" w:cs="Arial"/>
          <w:sz w:val="20"/>
          <w:szCs w:val="20"/>
        </w:rPr>
        <w:t xml:space="preserve"> i </w:t>
      </w:r>
      <w:r w:rsidR="00AC5688" w:rsidRPr="004C6CC5">
        <w:rPr>
          <w:rFonts w:ascii="Arial" w:hAnsi="Arial" w:cs="Arial"/>
          <w:sz w:val="20"/>
          <w:szCs w:val="20"/>
        </w:rPr>
        <w:t xml:space="preserve">pracą rybaków na statkach rybackich, </w:t>
      </w:r>
      <w:r w:rsidR="00AC5688" w:rsidRPr="004C6CC5">
        <w:rPr>
          <w:rFonts w:ascii="Arial" w:hAnsi="Arial" w:cs="Arial"/>
          <w:sz w:val="20"/>
          <w:szCs w:val="20"/>
        </w:rPr>
        <w:br/>
        <w:t>jak również ich uprawnienia oraz obowiązki armatorów statków rybackich wobec nich. Podstawowym celem projektu jest implementacja do prawa krajowego dyrektywy Rady (UE) 2017/159</w:t>
      </w:r>
      <w:r w:rsidR="004C6CC5">
        <w:rPr>
          <w:rFonts w:ascii="Arial" w:hAnsi="Arial" w:cs="Arial"/>
          <w:sz w:val="20"/>
          <w:szCs w:val="20"/>
        </w:rPr>
        <w:t xml:space="preserve"> z </w:t>
      </w:r>
      <w:r w:rsidR="00AC5688" w:rsidRPr="004C6CC5">
        <w:rPr>
          <w:rFonts w:ascii="Arial" w:hAnsi="Arial" w:cs="Arial"/>
          <w:sz w:val="20"/>
          <w:szCs w:val="20"/>
        </w:rPr>
        <w:t xml:space="preserve">dnia </w:t>
      </w:r>
      <w:r w:rsidR="00AC5688" w:rsidRPr="004C6CC5">
        <w:rPr>
          <w:rFonts w:ascii="Arial" w:hAnsi="Arial" w:cs="Arial"/>
          <w:sz w:val="20"/>
          <w:szCs w:val="20"/>
        </w:rPr>
        <w:br/>
        <w:t>19 grudnia 2016 r. wdrażającej Umowę</w:t>
      </w:r>
      <w:r w:rsidR="004C6CC5">
        <w:rPr>
          <w:rFonts w:ascii="Arial" w:hAnsi="Arial" w:cs="Arial"/>
          <w:sz w:val="20"/>
          <w:szCs w:val="20"/>
        </w:rPr>
        <w:t xml:space="preserve"> w </w:t>
      </w:r>
      <w:r w:rsidR="00AC5688" w:rsidRPr="004C6CC5">
        <w:rPr>
          <w:rFonts w:ascii="Arial" w:hAnsi="Arial" w:cs="Arial"/>
          <w:sz w:val="20"/>
          <w:szCs w:val="20"/>
        </w:rPr>
        <w:t>sprawie wdrożenia Konwencji Międzynarodowej Organizacji Pracy dotyczącej pracy</w:t>
      </w:r>
      <w:r w:rsidR="004C6CC5">
        <w:rPr>
          <w:rFonts w:ascii="Arial" w:hAnsi="Arial" w:cs="Arial"/>
          <w:sz w:val="20"/>
          <w:szCs w:val="20"/>
        </w:rPr>
        <w:t xml:space="preserve"> w </w:t>
      </w:r>
      <w:r w:rsidR="00AC5688" w:rsidRPr="004C6CC5">
        <w:rPr>
          <w:rFonts w:ascii="Arial" w:hAnsi="Arial" w:cs="Arial"/>
          <w:sz w:val="20"/>
          <w:szCs w:val="20"/>
        </w:rPr>
        <w:t>sektorze rybołówstwa</w:t>
      </w:r>
      <w:r w:rsidR="004C6CC5">
        <w:rPr>
          <w:rFonts w:ascii="Arial" w:hAnsi="Arial" w:cs="Arial"/>
          <w:sz w:val="20"/>
          <w:szCs w:val="20"/>
        </w:rPr>
        <w:t xml:space="preserve"> z </w:t>
      </w:r>
      <w:r w:rsidR="00AC5688" w:rsidRPr="004C6CC5">
        <w:rPr>
          <w:rFonts w:ascii="Arial" w:hAnsi="Arial" w:cs="Arial"/>
          <w:sz w:val="20"/>
          <w:szCs w:val="20"/>
        </w:rPr>
        <w:t>2007 r. zawartą dnia 21 maja 2012 r. między Generalną Konfederacją Spółdzielni Rolniczych przy Unii Europejskiej (COGECA), Europejską Federacją Pracowników Transportu (ETF) oraz Stowarzyszeniem Krajowych Organizacji Przedsiębiorstw</w:t>
      </w:r>
      <w:r w:rsidR="006005B1">
        <w:rPr>
          <w:rFonts w:ascii="Arial" w:hAnsi="Arial" w:cs="Arial"/>
          <w:sz w:val="20"/>
          <w:szCs w:val="20"/>
        </w:rPr>
        <w:t xml:space="preserve"> w </w:t>
      </w:r>
      <w:r w:rsidR="00AC5688" w:rsidRPr="004C6CC5">
        <w:rPr>
          <w:rFonts w:ascii="Arial" w:hAnsi="Arial" w:cs="Arial"/>
          <w:sz w:val="20"/>
          <w:szCs w:val="20"/>
        </w:rPr>
        <w:t>Sektorze Rybołówstwa</w:t>
      </w:r>
      <w:r w:rsidR="004C6CC5">
        <w:rPr>
          <w:rFonts w:ascii="Arial" w:hAnsi="Arial" w:cs="Arial"/>
          <w:sz w:val="20"/>
          <w:szCs w:val="20"/>
        </w:rPr>
        <w:t xml:space="preserve"> w </w:t>
      </w:r>
      <w:r w:rsidR="00AC5688" w:rsidRPr="004C6CC5">
        <w:rPr>
          <w:rFonts w:ascii="Arial" w:hAnsi="Arial" w:cs="Arial"/>
          <w:sz w:val="20"/>
          <w:szCs w:val="20"/>
        </w:rPr>
        <w:t>Unii Europejskiej (Europêche) (Dz. Urz. UE L 25</w:t>
      </w:r>
      <w:r w:rsidR="004C6CC5">
        <w:rPr>
          <w:rFonts w:ascii="Arial" w:hAnsi="Arial" w:cs="Arial"/>
          <w:sz w:val="20"/>
          <w:szCs w:val="20"/>
        </w:rPr>
        <w:t xml:space="preserve"> z </w:t>
      </w:r>
      <w:r w:rsidR="00AC5688" w:rsidRPr="004C6CC5">
        <w:rPr>
          <w:rFonts w:ascii="Arial" w:hAnsi="Arial" w:cs="Arial"/>
          <w:sz w:val="20"/>
          <w:szCs w:val="20"/>
        </w:rPr>
        <w:t>31.01.2017, str. 12), która weszła</w:t>
      </w:r>
      <w:r w:rsidR="004C6CC5">
        <w:rPr>
          <w:rFonts w:ascii="Arial" w:hAnsi="Arial" w:cs="Arial"/>
          <w:sz w:val="20"/>
          <w:szCs w:val="20"/>
        </w:rPr>
        <w:t xml:space="preserve"> w </w:t>
      </w:r>
      <w:r w:rsidR="00AC5688" w:rsidRPr="004C6CC5">
        <w:rPr>
          <w:rFonts w:ascii="Arial" w:hAnsi="Arial" w:cs="Arial"/>
          <w:sz w:val="20"/>
          <w:szCs w:val="20"/>
        </w:rPr>
        <w:t>życie dnia 16 listopada 2017 r. Ponadto, ustawa wdraża międzynarodowe</w:t>
      </w:r>
      <w:r w:rsidR="00686F97" w:rsidRPr="004C6CC5">
        <w:rPr>
          <w:rFonts w:ascii="Arial" w:hAnsi="Arial" w:cs="Arial"/>
          <w:sz w:val="20"/>
          <w:szCs w:val="20"/>
        </w:rPr>
        <w:t xml:space="preserve"> </w:t>
      </w:r>
      <w:r w:rsidR="00AC5688" w:rsidRPr="004C6CC5">
        <w:rPr>
          <w:rFonts w:ascii="Arial" w:hAnsi="Arial" w:cs="Arial"/>
          <w:sz w:val="20"/>
          <w:szCs w:val="20"/>
        </w:rPr>
        <w:t>normy</w:t>
      </w:r>
      <w:r w:rsidR="004C6CC5">
        <w:rPr>
          <w:rFonts w:ascii="Arial" w:hAnsi="Arial" w:cs="Arial"/>
          <w:sz w:val="20"/>
          <w:szCs w:val="20"/>
        </w:rPr>
        <w:t xml:space="preserve"> w </w:t>
      </w:r>
      <w:r w:rsidR="00AC5688" w:rsidRPr="004C6CC5">
        <w:rPr>
          <w:rFonts w:ascii="Arial" w:hAnsi="Arial" w:cs="Arial"/>
          <w:sz w:val="20"/>
          <w:szCs w:val="20"/>
        </w:rPr>
        <w:t>zakresie stosunków pracy na statkach rybackich, określone</w:t>
      </w:r>
      <w:r w:rsidR="004C6CC5">
        <w:rPr>
          <w:rFonts w:ascii="Arial" w:hAnsi="Arial" w:cs="Arial"/>
          <w:sz w:val="20"/>
          <w:szCs w:val="20"/>
        </w:rPr>
        <w:t xml:space="preserve"> w </w:t>
      </w:r>
      <w:r w:rsidR="00AC5688" w:rsidRPr="004C6CC5">
        <w:rPr>
          <w:rFonts w:ascii="Arial" w:hAnsi="Arial" w:cs="Arial"/>
          <w:sz w:val="20"/>
          <w:szCs w:val="20"/>
        </w:rPr>
        <w:t xml:space="preserve">Konwencji </w:t>
      </w:r>
      <w:r w:rsidR="00C334D7">
        <w:rPr>
          <w:rFonts w:ascii="Arial" w:hAnsi="Arial" w:cs="Arial"/>
          <w:sz w:val="20"/>
          <w:szCs w:val="20"/>
        </w:rPr>
        <w:br/>
      </w:r>
      <w:r w:rsidR="00AC5688" w:rsidRPr="004C6CC5">
        <w:rPr>
          <w:rFonts w:ascii="Arial" w:hAnsi="Arial" w:cs="Arial"/>
          <w:sz w:val="20"/>
          <w:szCs w:val="20"/>
        </w:rPr>
        <w:t>nr 188 dotyczącej pracy</w:t>
      </w:r>
      <w:r w:rsidR="004C6CC5">
        <w:rPr>
          <w:rFonts w:ascii="Arial" w:hAnsi="Arial" w:cs="Arial"/>
          <w:sz w:val="20"/>
          <w:szCs w:val="20"/>
        </w:rPr>
        <w:t xml:space="preserve"> w </w:t>
      </w:r>
      <w:r w:rsidR="00AC5688" w:rsidRPr="004C6CC5">
        <w:rPr>
          <w:rFonts w:ascii="Arial" w:hAnsi="Arial" w:cs="Arial"/>
          <w:sz w:val="20"/>
          <w:szCs w:val="20"/>
        </w:rPr>
        <w:t>sektorze rybołówstwa, przyjętej przez Konferencję Ogólną Międzynarodowej Organizacji Pracy</w:t>
      </w:r>
      <w:r w:rsidR="004C6CC5">
        <w:rPr>
          <w:rFonts w:ascii="Arial" w:hAnsi="Arial" w:cs="Arial"/>
          <w:sz w:val="20"/>
          <w:szCs w:val="20"/>
        </w:rPr>
        <w:t xml:space="preserve"> w </w:t>
      </w:r>
      <w:r w:rsidR="00AC5688" w:rsidRPr="004C6CC5">
        <w:rPr>
          <w:rFonts w:ascii="Arial" w:hAnsi="Arial" w:cs="Arial"/>
          <w:sz w:val="20"/>
          <w:szCs w:val="20"/>
        </w:rPr>
        <w:t>Genewie dnia 30 maja 2007 r., które są transponowane do prawa Unii Europejskiej przedmiotową dyrektywą. Wdrożenie do prawa krajowego regulacji unijnych</w:t>
      </w:r>
      <w:r w:rsidR="004C6CC5">
        <w:rPr>
          <w:rFonts w:ascii="Arial" w:hAnsi="Arial" w:cs="Arial"/>
          <w:sz w:val="20"/>
          <w:szCs w:val="20"/>
        </w:rPr>
        <w:t xml:space="preserve"> i </w:t>
      </w:r>
      <w:r w:rsidR="00AC5688" w:rsidRPr="004C6CC5">
        <w:rPr>
          <w:rFonts w:ascii="Arial" w:hAnsi="Arial" w:cs="Arial"/>
          <w:sz w:val="20"/>
          <w:szCs w:val="20"/>
        </w:rPr>
        <w:t>międzynarodowych dotyczących pracy rybaków ma na celu poprawę warunków pracy</w:t>
      </w:r>
      <w:r w:rsidR="004C6CC5">
        <w:rPr>
          <w:rFonts w:ascii="Arial" w:hAnsi="Arial" w:cs="Arial"/>
          <w:sz w:val="20"/>
          <w:szCs w:val="20"/>
        </w:rPr>
        <w:t xml:space="preserve"> i </w:t>
      </w:r>
      <w:r w:rsidR="00AC5688" w:rsidRPr="004C6CC5">
        <w:rPr>
          <w:rFonts w:ascii="Arial" w:hAnsi="Arial" w:cs="Arial"/>
          <w:sz w:val="20"/>
          <w:szCs w:val="20"/>
        </w:rPr>
        <w:t>życia rybaków oraz zapewnienie ochrony</w:t>
      </w:r>
      <w:r w:rsidR="00686F97" w:rsidRPr="004C6CC5">
        <w:rPr>
          <w:rFonts w:ascii="Arial" w:hAnsi="Arial" w:cs="Arial"/>
          <w:sz w:val="20"/>
          <w:szCs w:val="20"/>
        </w:rPr>
        <w:t xml:space="preserve"> </w:t>
      </w:r>
      <w:r w:rsidR="00AC5688" w:rsidRPr="004C6CC5">
        <w:rPr>
          <w:rFonts w:ascii="Arial" w:hAnsi="Arial" w:cs="Arial"/>
          <w:sz w:val="20"/>
          <w:szCs w:val="20"/>
        </w:rPr>
        <w:t>zdrowia</w:t>
      </w:r>
      <w:r w:rsidR="004C6CC5">
        <w:rPr>
          <w:rFonts w:ascii="Arial" w:hAnsi="Arial" w:cs="Arial"/>
          <w:sz w:val="20"/>
          <w:szCs w:val="20"/>
        </w:rPr>
        <w:t xml:space="preserve"> i </w:t>
      </w:r>
      <w:r w:rsidR="00AC5688" w:rsidRPr="004C6CC5">
        <w:rPr>
          <w:rFonts w:ascii="Arial" w:hAnsi="Arial" w:cs="Arial"/>
          <w:sz w:val="20"/>
          <w:szCs w:val="20"/>
        </w:rPr>
        <w:t>bezpieczeństwa pracowników sektora rybołówstwa morskiego, pracujących na statkach rybackich pływających pod polską banderą.</w:t>
      </w:r>
    </w:p>
    <w:p w14:paraId="1E0144EC" w14:textId="1E81A89A" w:rsidR="00014910" w:rsidRPr="00661C68" w:rsidRDefault="00B45144" w:rsidP="00775BC6">
      <w:pPr>
        <w:pStyle w:val="Nagwek2"/>
        <w:spacing w:before="120" w:after="120"/>
        <w:rPr>
          <w:rFonts w:ascii="Arial" w:hAnsi="Arial" w:cs="Arial"/>
          <w:b/>
          <w:color w:val="auto"/>
          <w:sz w:val="20"/>
          <w:szCs w:val="20"/>
          <w:lang w:eastAsia="pl-PL"/>
        </w:rPr>
      </w:pPr>
      <w:bookmarkStart w:id="3" w:name="_Toc72745026"/>
      <w:r w:rsidRPr="008B433A">
        <w:rPr>
          <w:rFonts w:ascii="Arial" w:hAnsi="Arial" w:cs="Arial"/>
          <w:b/>
          <w:color w:val="auto"/>
          <w:sz w:val="20"/>
          <w:szCs w:val="20"/>
          <w:lang w:eastAsia="pl-PL"/>
        </w:rPr>
        <w:t>Prace nad</w:t>
      </w:r>
      <w:r w:rsidR="00014910" w:rsidRPr="008B433A">
        <w:rPr>
          <w:rFonts w:ascii="Arial" w:hAnsi="Arial" w:cs="Arial"/>
          <w:b/>
          <w:color w:val="auto"/>
          <w:sz w:val="20"/>
          <w:szCs w:val="20"/>
          <w:lang w:eastAsia="pl-PL"/>
        </w:rPr>
        <w:t xml:space="preserve"> </w:t>
      </w:r>
      <w:r w:rsidRPr="008B433A">
        <w:rPr>
          <w:rFonts w:ascii="Arial" w:hAnsi="Arial" w:cs="Arial"/>
          <w:b/>
          <w:color w:val="auto"/>
          <w:sz w:val="20"/>
          <w:szCs w:val="20"/>
          <w:lang w:eastAsia="pl-PL"/>
        </w:rPr>
        <w:t>projektami ustaw</w:t>
      </w:r>
      <w:r w:rsidR="00014910" w:rsidRPr="008B433A">
        <w:rPr>
          <w:rFonts w:ascii="Arial" w:hAnsi="Arial" w:cs="Arial"/>
          <w:b/>
          <w:color w:val="auto"/>
          <w:sz w:val="20"/>
          <w:szCs w:val="20"/>
          <w:lang w:eastAsia="pl-PL"/>
        </w:rPr>
        <w:t xml:space="preserve"> w 2019 roku.</w:t>
      </w:r>
      <w:bookmarkEnd w:id="3"/>
      <w:r w:rsidR="00014910" w:rsidRPr="00661C68">
        <w:rPr>
          <w:rFonts w:ascii="Arial" w:hAnsi="Arial" w:cs="Arial"/>
          <w:b/>
          <w:color w:val="auto"/>
          <w:sz w:val="20"/>
          <w:szCs w:val="20"/>
          <w:lang w:eastAsia="pl-PL"/>
        </w:rPr>
        <w:t xml:space="preserve"> </w:t>
      </w:r>
    </w:p>
    <w:p w14:paraId="177A19F0" w14:textId="5082F9F8" w:rsidR="00F86950" w:rsidRPr="004C6CC5" w:rsidRDefault="00F86950" w:rsidP="00775BC6">
      <w:pPr>
        <w:spacing w:before="120" w:after="120" w:line="276" w:lineRule="auto"/>
        <w:jc w:val="both"/>
        <w:rPr>
          <w:rFonts w:ascii="Arial" w:hAnsi="Arial" w:cs="Arial"/>
          <w:sz w:val="20"/>
          <w:szCs w:val="20"/>
        </w:rPr>
      </w:pPr>
      <w:r>
        <w:rPr>
          <w:rFonts w:ascii="Arial" w:hAnsi="Arial" w:cs="Arial"/>
          <w:sz w:val="20"/>
          <w:szCs w:val="20"/>
        </w:rPr>
        <w:t>Pozostałe</w:t>
      </w:r>
      <w:r w:rsidRPr="004C6CC5">
        <w:rPr>
          <w:rFonts w:ascii="Arial" w:hAnsi="Arial" w:cs="Arial"/>
          <w:sz w:val="20"/>
          <w:szCs w:val="20"/>
        </w:rPr>
        <w:t xml:space="preserve"> działania obejmowały prace </w:t>
      </w:r>
      <w:r w:rsidR="00B45144">
        <w:rPr>
          <w:rFonts w:ascii="Arial" w:hAnsi="Arial" w:cs="Arial"/>
          <w:sz w:val="20"/>
          <w:szCs w:val="20"/>
        </w:rPr>
        <w:t>związane z</w:t>
      </w:r>
      <w:r w:rsidRPr="004C6CC5">
        <w:rPr>
          <w:rFonts w:ascii="Arial" w:hAnsi="Arial" w:cs="Arial"/>
          <w:sz w:val="20"/>
          <w:szCs w:val="20"/>
        </w:rPr>
        <w:t xml:space="preserve"> projektem ustawy o zmianie ustawy o pracy na morzu. Celem projektu ustawy jest implementacja do polskiego prawa zmian wynikających</w:t>
      </w:r>
      <w:r>
        <w:rPr>
          <w:rFonts w:ascii="Arial" w:hAnsi="Arial" w:cs="Arial"/>
          <w:sz w:val="20"/>
          <w:szCs w:val="20"/>
        </w:rPr>
        <w:t xml:space="preserve"> z </w:t>
      </w:r>
      <w:r w:rsidRPr="004C6CC5">
        <w:rPr>
          <w:rFonts w:ascii="Arial" w:hAnsi="Arial" w:cs="Arial"/>
          <w:sz w:val="20"/>
          <w:szCs w:val="20"/>
        </w:rPr>
        <w:t>Poprawek do Konwencji o pracy na morzu</w:t>
      </w:r>
      <w:r>
        <w:rPr>
          <w:rFonts w:ascii="Arial" w:hAnsi="Arial" w:cs="Arial"/>
          <w:sz w:val="20"/>
          <w:szCs w:val="20"/>
        </w:rPr>
        <w:t xml:space="preserve"> z </w:t>
      </w:r>
      <w:r w:rsidRPr="004C6CC5">
        <w:rPr>
          <w:rFonts w:ascii="Arial" w:hAnsi="Arial" w:cs="Arial"/>
          <w:sz w:val="20"/>
          <w:szCs w:val="20"/>
        </w:rPr>
        <w:t>2006 r. (Konwencja MLC), które zostały przyjęte przez Specjalny Trójstronny Komitet</w:t>
      </w:r>
      <w:r>
        <w:rPr>
          <w:rFonts w:ascii="Arial" w:hAnsi="Arial" w:cs="Arial"/>
          <w:sz w:val="20"/>
          <w:szCs w:val="20"/>
        </w:rPr>
        <w:t xml:space="preserve"> w </w:t>
      </w:r>
      <w:r w:rsidRPr="004C6CC5">
        <w:rPr>
          <w:rFonts w:ascii="Arial" w:hAnsi="Arial" w:cs="Arial"/>
          <w:sz w:val="20"/>
          <w:szCs w:val="20"/>
        </w:rPr>
        <w:t>dniu 27 kwietnia 2018 r., a następnie zatwierdzone przez Międzynarodową Konferencję Pracy</w:t>
      </w:r>
      <w:r>
        <w:rPr>
          <w:rFonts w:ascii="Arial" w:hAnsi="Arial" w:cs="Arial"/>
          <w:sz w:val="20"/>
          <w:szCs w:val="20"/>
        </w:rPr>
        <w:t xml:space="preserve"> w </w:t>
      </w:r>
      <w:r w:rsidRPr="004C6CC5">
        <w:rPr>
          <w:rFonts w:ascii="Arial" w:hAnsi="Arial" w:cs="Arial"/>
          <w:sz w:val="20"/>
          <w:szCs w:val="20"/>
        </w:rPr>
        <w:t>dniu 5 czerwca 2018 r. Poprawki te podnoszą poziom ochrony praw pracowniczych marynarzy</w:t>
      </w:r>
      <w:r>
        <w:rPr>
          <w:rFonts w:ascii="Arial" w:hAnsi="Arial" w:cs="Arial"/>
          <w:sz w:val="20"/>
          <w:szCs w:val="20"/>
        </w:rPr>
        <w:t xml:space="preserve"> w </w:t>
      </w:r>
      <w:r w:rsidRPr="004C6CC5">
        <w:rPr>
          <w:rFonts w:ascii="Arial" w:hAnsi="Arial" w:cs="Arial"/>
          <w:sz w:val="20"/>
          <w:szCs w:val="20"/>
        </w:rPr>
        <w:t>przypadku uwięzienia na statku</w:t>
      </w:r>
      <w:r>
        <w:rPr>
          <w:rFonts w:ascii="Arial" w:hAnsi="Arial" w:cs="Arial"/>
          <w:sz w:val="20"/>
          <w:szCs w:val="20"/>
        </w:rPr>
        <w:t xml:space="preserve"> w </w:t>
      </w:r>
      <w:r w:rsidRPr="004C6CC5">
        <w:rPr>
          <w:rFonts w:ascii="Arial" w:hAnsi="Arial" w:cs="Arial"/>
          <w:sz w:val="20"/>
          <w:szCs w:val="20"/>
        </w:rPr>
        <w:t>wyniku piractwa lub zbrojnej napaści na statek. Przedmiotowe poprawki wchodzą</w:t>
      </w:r>
      <w:r>
        <w:rPr>
          <w:rFonts w:ascii="Arial" w:hAnsi="Arial" w:cs="Arial"/>
          <w:sz w:val="20"/>
          <w:szCs w:val="20"/>
        </w:rPr>
        <w:t xml:space="preserve"> w </w:t>
      </w:r>
      <w:r w:rsidRPr="004C6CC5">
        <w:rPr>
          <w:rFonts w:ascii="Arial" w:hAnsi="Arial" w:cs="Arial"/>
          <w:sz w:val="20"/>
          <w:szCs w:val="20"/>
        </w:rPr>
        <w:t>życie</w:t>
      </w:r>
      <w:r>
        <w:rPr>
          <w:rFonts w:ascii="Arial" w:hAnsi="Arial" w:cs="Arial"/>
          <w:sz w:val="20"/>
          <w:szCs w:val="20"/>
        </w:rPr>
        <w:t xml:space="preserve"> w </w:t>
      </w:r>
      <w:r w:rsidRPr="004C6CC5">
        <w:rPr>
          <w:rFonts w:ascii="Arial" w:hAnsi="Arial" w:cs="Arial"/>
          <w:sz w:val="20"/>
          <w:szCs w:val="20"/>
        </w:rPr>
        <w:t>dniu 26 grudnia 2020 r.</w:t>
      </w:r>
    </w:p>
    <w:p w14:paraId="4241DACA" w14:textId="77777777" w:rsidR="00F86950" w:rsidRPr="004C6CC5" w:rsidRDefault="00F86950" w:rsidP="00F86950">
      <w:pPr>
        <w:spacing w:line="276" w:lineRule="auto"/>
        <w:jc w:val="both"/>
        <w:rPr>
          <w:rFonts w:ascii="Arial" w:hAnsi="Arial" w:cs="Arial"/>
          <w:sz w:val="20"/>
          <w:szCs w:val="20"/>
        </w:rPr>
      </w:pPr>
      <w:r w:rsidRPr="004C6CC5">
        <w:rPr>
          <w:rFonts w:ascii="Arial" w:hAnsi="Arial" w:cs="Arial"/>
          <w:sz w:val="20"/>
          <w:szCs w:val="20"/>
        </w:rPr>
        <w:t>Ponadto, projekt ustawy wprowadza zmiany do ustawy</w:t>
      </w:r>
      <w:r>
        <w:rPr>
          <w:rFonts w:ascii="Arial" w:hAnsi="Arial" w:cs="Arial"/>
          <w:sz w:val="20"/>
          <w:szCs w:val="20"/>
        </w:rPr>
        <w:t xml:space="preserve"> z </w:t>
      </w:r>
      <w:r w:rsidRPr="004C6CC5">
        <w:rPr>
          <w:rFonts w:ascii="Arial" w:hAnsi="Arial" w:cs="Arial"/>
          <w:sz w:val="20"/>
          <w:szCs w:val="20"/>
        </w:rPr>
        <w:t>dnia 5 sierpnia 2015 r. o pracy na morzu (Dz.U.</w:t>
      </w:r>
      <w:r>
        <w:rPr>
          <w:rFonts w:ascii="Arial" w:hAnsi="Arial" w:cs="Arial"/>
          <w:sz w:val="20"/>
          <w:szCs w:val="20"/>
        </w:rPr>
        <w:t xml:space="preserve"> z </w:t>
      </w:r>
      <w:r w:rsidRPr="004C6CC5">
        <w:rPr>
          <w:rFonts w:ascii="Arial" w:hAnsi="Arial" w:cs="Arial"/>
          <w:sz w:val="20"/>
          <w:szCs w:val="20"/>
        </w:rPr>
        <w:t>2019 r. poz. 1889) wypracowane przez Zespół Trójstronny do spraw Żeglugi</w:t>
      </w:r>
      <w:r>
        <w:rPr>
          <w:rFonts w:ascii="Arial" w:hAnsi="Arial" w:cs="Arial"/>
          <w:sz w:val="20"/>
          <w:szCs w:val="20"/>
        </w:rPr>
        <w:t xml:space="preserve"> i </w:t>
      </w:r>
      <w:r w:rsidRPr="004C6CC5">
        <w:rPr>
          <w:rFonts w:ascii="Arial" w:hAnsi="Arial" w:cs="Arial"/>
          <w:sz w:val="20"/>
          <w:szCs w:val="20"/>
        </w:rPr>
        <w:t>Rybołówstwa Morskiego, mające poprawić funkcjonowanie przedmiotowej ustawy.</w:t>
      </w:r>
    </w:p>
    <w:p w14:paraId="5C8D88E3" w14:textId="77777777" w:rsidR="00014910" w:rsidRPr="00014910" w:rsidRDefault="00014910" w:rsidP="00014910">
      <w:pPr>
        <w:spacing w:line="276" w:lineRule="auto"/>
        <w:jc w:val="both"/>
        <w:rPr>
          <w:rFonts w:ascii="Arial" w:hAnsi="Arial" w:cs="Arial"/>
          <w:sz w:val="20"/>
          <w:szCs w:val="20"/>
        </w:rPr>
      </w:pPr>
      <w:r w:rsidRPr="00014910">
        <w:rPr>
          <w:rFonts w:ascii="Arial" w:hAnsi="Arial" w:cs="Arial"/>
          <w:sz w:val="20"/>
          <w:szCs w:val="20"/>
        </w:rPr>
        <w:t xml:space="preserve">W dniu 4 czerwca 2019 r. Minister Rodziny, Pracy i Polityki Społecznej wystąpił z wnioskiem o ratyfikację - za uprzednią zgodą wyrażoną w ustawie - Konwencji nr 188 dotyczącej pracy w sektorze rybołówstwa przyjętej przez Międzynarodową Konferencję Pracy w 2007 r. Konwencja została ratyfikowana przez Prezydenta RP w dniu 8 listopada 2019 r., a fakt ten został notyfikowany Dyrektorowi Generalnemu Międzynarodowego Biura Pracy 17 grudnia 2019 r. Konwencja nr 188 wejdzie w życie w stosunku do Polski w dniu 17 grudnia 2020 r. </w:t>
      </w:r>
    </w:p>
    <w:p w14:paraId="5ED3710B" w14:textId="7BD2902E" w:rsidR="003E7EC9" w:rsidRPr="004C6CC5" w:rsidRDefault="00014910" w:rsidP="00AC5688">
      <w:pPr>
        <w:spacing w:line="276" w:lineRule="auto"/>
        <w:jc w:val="both"/>
        <w:rPr>
          <w:rFonts w:ascii="Arial" w:hAnsi="Arial" w:cs="Arial"/>
          <w:sz w:val="20"/>
          <w:szCs w:val="20"/>
        </w:rPr>
      </w:pPr>
      <w:r w:rsidRPr="00014910">
        <w:rPr>
          <w:rFonts w:ascii="Arial" w:hAnsi="Arial" w:cs="Arial"/>
          <w:sz w:val="20"/>
          <w:szCs w:val="20"/>
        </w:rPr>
        <w:t xml:space="preserve">Zgodnie z art. 19 ust. 5 b Konstytucji Międzynarodowej Organizacji Pracy Minister Rodziny, Pracy i Polityki Społecznej przedłożył w dniu 29 maja 2019 r. Marszałkowi Sejmu RP tekst Poprawek z 2018 </w:t>
      </w:r>
      <w:r w:rsidRPr="00014910">
        <w:rPr>
          <w:rFonts w:ascii="Arial" w:hAnsi="Arial" w:cs="Arial"/>
          <w:sz w:val="20"/>
          <w:szCs w:val="20"/>
        </w:rPr>
        <w:lastRenderedPageBreak/>
        <w:t xml:space="preserve">r. do Konwencji o pracy na morzu z 2006 r. W porozumieniu z Ministerstwem Gospodarki Morskiej </w:t>
      </w:r>
      <w:r w:rsidR="00977FAE">
        <w:rPr>
          <w:rFonts w:ascii="Arial" w:hAnsi="Arial" w:cs="Arial"/>
          <w:sz w:val="20"/>
          <w:szCs w:val="20"/>
        </w:rPr>
        <w:br/>
      </w:r>
      <w:r w:rsidRPr="00014910">
        <w:rPr>
          <w:rFonts w:ascii="Arial" w:hAnsi="Arial" w:cs="Arial"/>
          <w:sz w:val="20"/>
          <w:szCs w:val="20"/>
        </w:rPr>
        <w:t>i Żeglugi Śródlądowej zainicjowana została procedura ratyfikacji - również za uprzed</w:t>
      </w:r>
      <w:r w:rsidR="00796C0D">
        <w:rPr>
          <w:rFonts w:ascii="Arial" w:hAnsi="Arial" w:cs="Arial"/>
          <w:sz w:val="20"/>
          <w:szCs w:val="20"/>
        </w:rPr>
        <w:t xml:space="preserve">nią zgodą wyrażoną w ustawie - </w:t>
      </w:r>
      <w:r w:rsidRPr="00014910">
        <w:rPr>
          <w:rFonts w:ascii="Arial" w:hAnsi="Arial" w:cs="Arial"/>
          <w:sz w:val="20"/>
          <w:szCs w:val="20"/>
        </w:rPr>
        <w:t xml:space="preserve">Poprawek z 2018 r. Poprawki te wejdą w życie, jeżeli do końca wyznaczonego terminu, </w:t>
      </w:r>
      <w:r w:rsidR="00C12191">
        <w:rPr>
          <w:rFonts w:ascii="Arial" w:hAnsi="Arial" w:cs="Arial"/>
          <w:sz w:val="20"/>
          <w:szCs w:val="20"/>
        </w:rPr>
        <w:br/>
      </w:r>
      <w:r w:rsidRPr="00014910">
        <w:rPr>
          <w:rFonts w:ascii="Arial" w:hAnsi="Arial" w:cs="Arial"/>
          <w:sz w:val="20"/>
          <w:szCs w:val="20"/>
        </w:rPr>
        <w:t>tj. do dnia 26 czerwca 2020 r. sprzeciwu nie złoży więcej niż 40 % państw-stron Konwencji według stanu na dzień 5 czerwca 2018 r.</w:t>
      </w:r>
    </w:p>
    <w:p w14:paraId="086184B6" w14:textId="26F0C3EC" w:rsidR="00AC5688" w:rsidRPr="003E7EC9" w:rsidRDefault="00AC5688" w:rsidP="00AC5688">
      <w:pPr>
        <w:pStyle w:val="Nagwek2"/>
        <w:rPr>
          <w:rFonts w:ascii="Arial" w:hAnsi="Arial" w:cs="Arial"/>
          <w:b/>
          <w:color w:val="auto"/>
          <w:sz w:val="20"/>
          <w:szCs w:val="20"/>
        </w:rPr>
      </w:pPr>
      <w:bookmarkStart w:id="4" w:name="_Toc72745027"/>
      <w:r w:rsidRPr="003E7EC9">
        <w:rPr>
          <w:rFonts w:ascii="Arial" w:hAnsi="Arial" w:cs="Arial"/>
          <w:b/>
          <w:color w:val="auto"/>
          <w:sz w:val="20"/>
          <w:szCs w:val="20"/>
        </w:rPr>
        <w:t>Rozporządzenia</w:t>
      </w:r>
      <w:r w:rsidR="00E831E7">
        <w:rPr>
          <w:rFonts w:ascii="Arial" w:hAnsi="Arial" w:cs="Arial"/>
          <w:b/>
          <w:color w:val="auto"/>
          <w:sz w:val="20"/>
          <w:szCs w:val="20"/>
        </w:rPr>
        <w:t>.</w:t>
      </w:r>
      <w:bookmarkEnd w:id="4"/>
    </w:p>
    <w:p w14:paraId="7BA3686B" w14:textId="2189D477" w:rsidR="00A7045E" w:rsidRDefault="00A7045E" w:rsidP="003C6ECA">
      <w:pPr>
        <w:numPr>
          <w:ilvl w:val="0"/>
          <w:numId w:val="24"/>
        </w:numPr>
        <w:spacing w:before="120" w:after="120" w:line="276" w:lineRule="auto"/>
        <w:jc w:val="both"/>
        <w:rPr>
          <w:rFonts w:ascii="Arial" w:hAnsi="Arial" w:cs="Arial"/>
          <w:sz w:val="20"/>
          <w:szCs w:val="20"/>
        </w:rPr>
      </w:pPr>
      <w:r w:rsidRPr="004C6CC5">
        <w:rPr>
          <w:rFonts w:ascii="Arial" w:hAnsi="Arial" w:cs="Arial"/>
          <w:sz w:val="20"/>
          <w:szCs w:val="20"/>
        </w:rPr>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z </w:t>
      </w:r>
      <w:r w:rsidRPr="004C6CC5">
        <w:rPr>
          <w:rFonts w:ascii="Arial" w:hAnsi="Arial" w:cs="Arial"/>
          <w:sz w:val="20"/>
          <w:szCs w:val="20"/>
        </w:rPr>
        <w:t xml:space="preserve">dnia 14 maja 2019 r. </w:t>
      </w:r>
      <w:r w:rsidRPr="004C6CC5">
        <w:rPr>
          <w:rFonts w:ascii="Arial" w:hAnsi="Arial" w:cs="Arial"/>
          <w:sz w:val="20"/>
          <w:szCs w:val="20"/>
        </w:rPr>
        <w:br/>
        <w:t>w sprawie utworzenia obwodów głosowania na polskich statkach morskich</w:t>
      </w:r>
      <w:r w:rsidR="004C6CC5">
        <w:rPr>
          <w:rFonts w:ascii="Arial" w:hAnsi="Arial" w:cs="Arial"/>
          <w:sz w:val="20"/>
          <w:szCs w:val="20"/>
        </w:rPr>
        <w:t xml:space="preserve"> w </w:t>
      </w:r>
      <w:r w:rsidRPr="004C6CC5">
        <w:rPr>
          <w:rFonts w:ascii="Arial" w:hAnsi="Arial" w:cs="Arial"/>
          <w:sz w:val="20"/>
          <w:szCs w:val="20"/>
        </w:rPr>
        <w:t>wyborach do Parlamentu Europejskiego</w:t>
      </w:r>
      <w:r w:rsidR="004C6CC5">
        <w:rPr>
          <w:rFonts w:ascii="Arial" w:hAnsi="Arial" w:cs="Arial"/>
          <w:sz w:val="20"/>
          <w:szCs w:val="20"/>
        </w:rPr>
        <w:t xml:space="preserve"> w </w:t>
      </w:r>
      <w:r w:rsidRPr="004C6CC5">
        <w:rPr>
          <w:rFonts w:ascii="Arial" w:hAnsi="Arial" w:cs="Arial"/>
          <w:sz w:val="20"/>
          <w:szCs w:val="20"/>
        </w:rPr>
        <w:t>Rzeczypospolitej Polskiej (Dz. U. poz. 920)</w:t>
      </w:r>
      <w:r w:rsidR="00491D59" w:rsidRPr="004C6CC5">
        <w:rPr>
          <w:rFonts w:ascii="Arial" w:hAnsi="Arial" w:cs="Arial"/>
          <w:sz w:val="20"/>
          <w:szCs w:val="20"/>
        </w:rPr>
        <w:t>;</w:t>
      </w:r>
    </w:p>
    <w:p w14:paraId="0E9EB4B5" w14:textId="16E9A8B8" w:rsidR="00AD7583" w:rsidRPr="008E6B71" w:rsidRDefault="00AD7583" w:rsidP="003C6ECA">
      <w:pPr>
        <w:pStyle w:val="Akapitzlist"/>
        <w:numPr>
          <w:ilvl w:val="0"/>
          <w:numId w:val="24"/>
        </w:numPr>
        <w:spacing w:line="276" w:lineRule="auto"/>
        <w:jc w:val="both"/>
        <w:rPr>
          <w:rFonts w:ascii="Arial" w:hAnsi="Arial" w:cs="Arial"/>
          <w:sz w:val="20"/>
          <w:szCs w:val="20"/>
        </w:rPr>
      </w:pPr>
      <w:r w:rsidRPr="008310A8">
        <w:rPr>
          <w:rFonts w:ascii="Arial" w:hAnsi="Arial" w:cs="Arial"/>
          <w:sz w:val="20"/>
          <w:szCs w:val="20"/>
        </w:rPr>
        <w:t>Rozporządzenie Ministra Gospodarki Morskiej i Żeglugi Śródlądowej z dnia 21 sierpnia 2019 r. w sprawie wymiarów i okresów ochronnych organizmów morskich oraz szczegółowych warunków wykonywania rybołówstwa komercyjnego (Dz. U. poz. 1701).</w:t>
      </w:r>
    </w:p>
    <w:p w14:paraId="46E9D6B1" w14:textId="43C863C8" w:rsidR="00A7045E" w:rsidRPr="004C6CC5" w:rsidRDefault="00A7045E" w:rsidP="003C6ECA">
      <w:pPr>
        <w:numPr>
          <w:ilvl w:val="0"/>
          <w:numId w:val="24"/>
        </w:numPr>
        <w:spacing w:before="120" w:after="120" w:line="276" w:lineRule="auto"/>
        <w:jc w:val="both"/>
        <w:rPr>
          <w:rFonts w:ascii="Arial" w:hAnsi="Arial" w:cs="Arial"/>
          <w:sz w:val="20"/>
          <w:szCs w:val="20"/>
        </w:rPr>
      </w:pPr>
      <w:r w:rsidRPr="004C6CC5">
        <w:rPr>
          <w:rFonts w:ascii="Arial" w:hAnsi="Arial" w:cs="Arial"/>
          <w:sz w:val="20"/>
          <w:szCs w:val="20"/>
        </w:rPr>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z </w:t>
      </w:r>
      <w:r w:rsidRPr="004C6CC5">
        <w:rPr>
          <w:rFonts w:ascii="Arial" w:hAnsi="Arial" w:cs="Arial"/>
          <w:sz w:val="20"/>
          <w:szCs w:val="20"/>
        </w:rPr>
        <w:t>dnia 18 września 2019 r.</w:t>
      </w:r>
      <w:r w:rsidR="004C6CC5">
        <w:rPr>
          <w:rFonts w:ascii="Arial" w:hAnsi="Arial" w:cs="Arial"/>
          <w:sz w:val="20"/>
          <w:szCs w:val="20"/>
        </w:rPr>
        <w:t xml:space="preserve"> w </w:t>
      </w:r>
      <w:r w:rsidRPr="004C6CC5">
        <w:rPr>
          <w:rFonts w:ascii="Arial" w:hAnsi="Arial" w:cs="Arial"/>
          <w:sz w:val="20"/>
          <w:szCs w:val="20"/>
        </w:rPr>
        <w:t>sprawie utworzenia obwodów głosowania na polskich statkach morskich</w:t>
      </w:r>
      <w:r w:rsidR="004C6CC5">
        <w:rPr>
          <w:rFonts w:ascii="Arial" w:hAnsi="Arial" w:cs="Arial"/>
          <w:sz w:val="20"/>
          <w:szCs w:val="20"/>
        </w:rPr>
        <w:t xml:space="preserve"> w </w:t>
      </w:r>
      <w:r w:rsidRPr="004C6CC5">
        <w:rPr>
          <w:rFonts w:ascii="Arial" w:hAnsi="Arial" w:cs="Arial"/>
          <w:sz w:val="20"/>
          <w:szCs w:val="20"/>
        </w:rPr>
        <w:t>wyborach do Sejmu</w:t>
      </w:r>
      <w:r w:rsidR="004C6CC5">
        <w:rPr>
          <w:rFonts w:ascii="Arial" w:hAnsi="Arial" w:cs="Arial"/>
          <w:sz w:val="20"/>
          <w:szCs w:val="20"/>
        </w:rPr>
        <w:t xml:space="preserve"> i </w:t>
      </w:r>
      <w:r w:rsidRPr="004C6CC5">
        <w:rPr>
          <w:rFonts w:ascii="Arial" w:hAnsi="Arial" w:cs="Arial"/>
          <w:sz w:val="20"/>
          <w:szCs w:val="20"/>
        </w:rPr>
        <w:t>do Senatu (Dz. U. poz. 1800)</w:t>
      </w:r>
      <w:r w:rsidR="00491D59" w:rsidRPr="004C6CC5">
        <w:rPr>
          <w:rFonts w:ascii="Arial" w:hAnsi="Arial" w:cs="Arial"/>
          <w:sz w:val="20"/>
          <w:szCs w:val="20"/>
        </w:rPr>
        <w:t>;</w:t>
      </w:r>
    </w:p>
    <w:p w14:paraId="1A67B717" w14:textId="09B7766B" w:rsidR="00491D59" w:rsidRPr="00AD7583" w:rsidRDefault="00A7045E" w:rsidP="003C6ECA">
      <w:pPr>
        <w:pStyle w:val="Akapitzlist"/>
        <w:numPr>
          <w:ilvl w:val="0"/>
          <w:numId w:val="24"/>
        </w:numPr>
        <w:spacing w:before="120" w:after="120" w:line="276" w:lineRule="auto"/>
        <w:contextualSpacing w:val="0"/>
        <w:jc w:val="both"/>
        <w:rPr>
          <w:rFonts w:ascii="Arial" w:hAnsi="Arial" w:cs="Arial"/>
          <w:sz w:val="20"/>
          <w:szCs w:val="20"/>
        </w:rPr>
      </w:pPr>
      <w:r w:rsidRPr="004C6CC5">
        <w:rPr>
          <w:rFonts w:ascii="Arial" w:hAnsi="Arial" w:cs="Arial"/>
          <w:sz w:val="20"/>
          <w:szCs w:val="20"/>
        </w:rPr>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z </w:t>
      </w:r>
      <w:r w:rsidRPr="004C6CC5">
        <w:rPr>
          <w:rFonts w:ascii="Arial" w:hAnsi="Arial" w:cs="Arial"/>
          <w:sz w:val="20"/>
          <w:szCs w:val="20"/>
        </w:rPr>
        <w:t>dnia 30 września 2019 r.</w:t>
      </w:r>
      <w:r w:rsidR="004C6CC5">
        <w:rPr>
          <w:rFonts w:ascii="Arial" w:hAnsi="Arial" w:cs="Arial"/>
          <w:sz w:val="20"/>
          <w:szCs w:val="20"/>
        </w:rPr>
        <w:t xml:space="preserve"> w </w:t>
      </w:r>
      <w:r w:rsidRPr="004C6CC5">
        <w:rPr>
          <w:rFonts w:ascii="Arial" w:hAnsi="Arial" w:cs="Arial"/>
          <w:sz w:val="20"/>
          <w:szCs w:val="20"/>
        </w:rPr>
        <w:t>sprawie powierzenia prowadzenia rejestru jachtów</w:t>
      </w:r>
      <w:r w:rsidR="004C6CC5">
        <w:rPr>
          <w:rFonts w:ascii="Arial" w:hAnsi="Arial" w:cs="Arial"/>
          <w:sz w:val="20"/>
          <w:szCs w:val="20"/>
        </w:rPr>
        <w:t xml:space="preserve"> i </w:t>
      </w:r>
      <w:r w:rsidRPr="004C6CC5">
        <w:rPr>
          <w:rFonts w:ascii="Arial" w:hAnsi="Arial" w:cs="Arial"/>
          <w:sz w:val="20"/>
          <w:szCs w:val="20"/>
        </w:rPr>
        <w:t>innych jednostek pływających o długości do 24 m</w:t>
      </w:r>
      <w:r w:rsidR="004C6CC5">
        <w:rPr>
          <w:rFonts w:ascii="Arial" w:hAnsi="Arial" w:cs="Arial"/>
          <w:sz w:val="20"/>
          <w:szCs w:val="20"/>
        </w:rPr>
        <w:t xml:space="preserve"> i </w:t>
      </w:r>
      <w:r w:rsidRPr="004C6CC5">
        <w:rPr>
          <w:rFonts w:ascii="Arial" w:hAnsi="Arial" w:cs="Arial"/>
          <w:sz w:val="20"/>
          <w:szCs w:val="20"/>
        </w:rPr>
        <w:t>administrowania nim (Dz. U.</w:t>
      </w:r>
      <w:r w:rsidR="004C6CC5">
        <w:rPr>
          <w:rFonts w:ascii="Arial" w:hAnsi="Arial" w:cs="Arial"/>
          <w:sz w:val="20"/>
          <w:szCs w:val="20"/>
        </w:rPr>
        <w:t xml:space="preserve"> z </w:t>
      </w:r>
      <w:r w:rsidRPr="004C6CC5">
        <w:rPr>
          <w:rFonts w:ascii="Arial" w:hAnsi="Arial" w:cs="Arial"/>
          <w:sz w:val="20"/>
          <w:szCs w:val="20"/>
        </w:rPr>
        <w:t>2019 r. poz. 1908);</w:t>
      </w:r>
    </w:p>
    <w:p w14:paraId="13DE2E07" w14:textId="5DFFB4E6" w:rsidR="00A7045E" w:rsidRPr="004C6CC5" w:rsidRDefault="00A7045E" w:rsidP="003C6ECA">
      <w:pPr>
        <w:numPr>
          <w:ilvl w:val="0"/>
          <w:numId w:val="24"/>
        </w:numPr>
        <w:spacing w:before="120" w:after="120" w:line="276" w:lineRule="auto"/>
        <w:jc w:val="both"/>
        <w:rPr>
          <w:rFonts w:ascii="Arial" w:hAnsi="Arial" w:cs="Arial"/>
          <w:sz w:val="20"/>
          <w:szCs w:val="20"/>
        </w:rPr>
      </w:pPr>
      <w:r w:rsidRPr="004C6CC5">
        <w:rPr>
          <w:rFonts w:ascii="Arial" w:hAnsi="Arial" w:cs="Arial"/>
          <w:sz w:val="20"/>
          <w:szCs w:val="20"/>
        </w:rPr>
        <w:t>Rozporządzenie Ministra Zdrowia</w:t>
      </w:r>
      <w:r w:rsidR="004C6CC5">
        <w:rPr>
          <w:rFonts w:ascii="Arial" w:hAnsi="Arial" w:cs="Arial"/>
          <w:sz w:val="20"/>
          <w:szCs w:val="20"/>
        </w:rPr>
        <w:t xml:space="preserve"> z </w:t>
      </w:r>
      <w:r w:rsidRPr="004C6CC5">
        <w:rPr>
          <w:rFonts w:ascii="Arial" w:hAnsi="Arial" w:cs="Arial"/>
          <w:sz w:val="20"/>
          <w:szCs w:val="20"/>
        </w:rPr>
        <w:t>dnia 21 listopada 2019 r.</w:t>
      </w:r>
      <w:r w:rsidR="004C6CC5">
        <w:rPr>
          <w:rFonts w:ascii="Arial" w:hAnsi="Arial" w:cs="Arial"/>
          <w:sz w:val="20"/>
          <w:szCs w:val="20"/>
        </w:rPr>
        <w:t xml:space="preserve"> w </w:t>
      </w:r>
      <w:r w:rsidRPr="004C6CC5">
        <w:rPr>
          <w:rFonts w:ascii="Arial" w:hAnsi="Arial" w:cs="Arial"/>
          <w:sz w:val="20"/>
          <w:szCs w:val="20"/>
        </w:rPr>
        <w:t>sprawie wzoru karty zdrowia dla rybaka na statku rybackim (Dz.U. poz. 2318)</w:t>
      </w:r>
      <w:r w:rsidR="00491D59" w:rsidRPr="004C6CC5">
        <w:rPr>
          <w:rFonts w:ascii="Arial" w:hAnsi="Arial" w:cs="Arial"/>
          <w:sz w:val="20"/>
          <w:szCs w:val="20"/>
        </w:rPr>
        <w:t>;</w:t>
      </w:r>
    </w:p>
    <w:p w14:paraId="1C76EAF7" w14:textId="62C137F3" w:rsidR="00A7045E" w:rsidRPr="004C6CC5" w:rsidRDefault="00A7045E" w:rsidP="003C6ECA">
      <w:pPr>
        <w:pStyle w:val="Akapitzlist"/>
        <w:numPr>
          <w:ilvl w:val="0"/>
          <w:numId w:val="24"/>
        </w:numPr>
        <w:spacing w:before="120" w:after="120" w:line="276" w:lineRule="auto"/>
        <w:jc w:val="both"/>
        <w:rPr>
          <w:rFonts w:ascii="Arial" w:hAnsi="Arial" w:cs="Arial"/>
          <w:sz w:val="20"/>
          <w:szCs w:val="20"/>
        </w:rPr>
      </w:pPr>
      <w:r w:rsidRPr="004C6CC5">
        <w:rPr>
          <w:rFonts w:ascii="Arial" w:hAnsi="Arial" w:cs="Arial"/>
          <w:sz w:val="20"/>
          <w:szCs w:val="20"/>
        </w:rPr>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z </w:t>
      </w:r>
      <w:r w:rsidRPr="004C6CC5">
        <w:rPr>
          <w:rFonts w:ascii="Arial" w:hAnsi="Arial" w:cs="Arial"/>
          <w:sz w:val="20"/>
          <w:szCs w:val="20"/>
        </w:rPr>
        <w:t>dnia 4 grudnia 2019 r.</w:t>
      </w:r>
      <w:r w:rsidR="004C6CC5">
        <w:rPr>
          <w:rFonts w:ascii="Arial" w:hAnsi="Arial" w:cs="Arial"/>
          <w:sz w:val="20"/>
          <w:szCs w:val="20"/>
        </w:rPr>
        <w:t xml:space="preserve"> w </w:t>
      </w:r>
      <w:r w:rsidRPr="004C6CC5">
        <w:rPr>
          <w:rFonts w:ascii="Arial" w:hAnsi="Arial" w:cs="Arial"/>
          <w:sz w:val="20"/>
          <w:szCs w:val="20"/>
        </w:rPr>
        <w:t>sprawie liczenia osób odbywających podróż na statkach (Dz. U. poz. 2391);</w:t>
      </w:r>
    </w:p>
    <w:p w14:paraId="4D988155" w14:textId="05276A85" w:rsidR="00A7045E" w:rsidRDefault="00A7045E" w:rsidP="003C6ECA">
      <w:pPr>
        <w:numPr>
          <w:ilvl w:val="0"/>
          <w:numId w:val="24"/>
        </w:numPr>
        <w:spacing w:before="120" w:after="120" w:line="276" w:lineRule="auto"/>
        <w:jc w:val="both"/>
        <w:rPr>
          <w:rFonts w:ascii="Arial" w:hAnsi="Arial" w:cs="Arial"/>
          <w:sz w:val="20"/>
          <w:szCs w:val="20"/>
        </w:rPr>
      </w:pPr>
      <w:r w:rsidRPr="004C6CC5">
        <w:rPr>
          <w:rFonts w:ascii="Arial" w:hAnsi="Arial" w:cs="Arial"/>
          <w:sz w:val="20"/>
          <w:szCs w:val="20"/>
        </w:rPr>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z </w:t>
      </w:r>
      <w:r w:rsidRPr="004C6CC5">
        <w:rPr>
          <w:rFonts w:ascii="Arial" w:hAnsi="Arial" w:cs="Arial"/>
          <w:sz w:val="20"/>
          <w:szCs w:val="20"/>
        </w:rPr>
        <w:t>dnia 18 grudnia 2019 r.</w:t>
      </w:r>
      <w:r w:rsidR="004C6CC5">
        <w:rPr>
          <w:rFonts w:ascii="Arial" w:hAnsi="Arial" w:cs="Arial"/>
          <w:sz w:val="20"/>
          <w:szCs w:val="20"/>
        </w:rPr>
        <w:t xml:space="preserve"> w </w:t>
      </w:r>
      <w:r w:rsidRPr="004C6CC5">
        <w:rPr>
          <w:rFonts w:ascii="Arial" w:hAnsi="Arial" w:cs="Arial"/>
          <w:sz w:val="20"/>
          <w:szCs w:val="20"/>
        </w:rPr>
        <w:t>sprawie trybu przeprowadzania inspekcji warunków pracy</w:t>
      </w:r>
      <w:r w:rsidR="004C6CC5">
        <w:rPr>
          <w:rFonts w:ascii="Arial" w:hAnsi="Arial" w:cs="Arial"/>
          <w:sz w:val="20"/>
          <w:szCs w:val="20"/>
        </w:rPr>
        <w:t xml:space="preserve"> i </w:t>
      </w:r>
      <w:r w:rsidRPr="004C6CC5">
        <w:rPr>
          <w:rFonts w:ascii="Arial" w:hAnsi="Arial" w:cs="Arial"/>
          <w:sz w:val="20"/>
          <w:szCs w:val="20"/>
        </w:rPr>
        <w:t>życia rybaków na statku rybackim (Dz.U. poz. 20)</w:t>
      </w:r>
      <w:r w:rsidR="00491D59" w:rsidRPr="004C6CC5">
        <w:rPr>
          <w:rFonts w:ascii="Arial" w:hAnsi="Arial" w:cs="Arial"/>
          <w:sz w:val="20"/>
          <w:szCs w:val="20"/>
        </w:rPr>
        <w:t>;</w:t>
      </w:r>
    </w:p>
    <w:p w14:paraId="625A1C6C" w14:textId="6800AE96" w:rsidR="009B0375" w:rsidRPr="009B0375" w:rsidRDefault="009B0375" w:rsidP="003C6ECA">
      <w:pPr>
        <w:pStyle w:val="Akapitzlist"/>
        <w:numPr>
          <w:ilvl w:val="0"/>
          <w:numId w:val="24"/>
        </w:numPr>
        <w:spacing w:before="120" w:after="120" w:line="276" w:lineRule="auto"/>
        <w:contextualSpacing w:val="0"/>
        <w:jc w:val="both"/>
        <w:rPr>
          <w:rFonts w:ascii="Arial" w:hAnsi="Arial" w:cs="Arial"/>
          <w:sz w:val="20"/>
          <w:szCs w:val="20"/>
        </w:rPr>
      </w:pPr>
      <w:r w:rsidRPr="008310A8">
        <w:rPr>
          <w:rFonts w:ascii="Arial" w:hAnsi="Arial" w:cs="Arial"/>
          <w:sz w:val="20"/>
          <w:szCs w:val="20"/>
        </w:rPr>
        <w:t>Rozporządzenie Ministra Gospodarki Morskiej i Żeglugi Śródlądowej z dnia 19 grudnia 2019 r. zmieniającym rozporządzenie w sprawie szczegółowego sposobu podziału ogólnych kwot połowowych i dodatkowych kwot połowowych (Dz. U. poz. 2492).</w:t>
      </w:r>
    </w:p>
    <w:p w14:paraId="3BA4AAAA" w14:textId="22E6B73B" w:rsidR="00A7045E" w:rsidRPr="004C6CC5" w:rsidRDefault="00A7045E" w:rsidP="003C6ECA">
      <w:pPr>
        <w:pStyle w:val="Akapitzlist"/>
        <w:numPr>
          <w:ilvl w:val="0"/>
          <w:numId w:val="24"/>
        </w:numPr>
        <w:spacing w:before="120" w:after="120" w:line="276" w:lineRule="auto"/>
        <w:contextualSpacing w:val="0"/>
        <w:jc w:val="both"/>
        <w:rPr>
          <w:rFonts w:ascii="Arial" w:hAnsi="Arial" w:cs="Arial"/>
          <w:sz w:val="20"/>
          <w:szCs w:val="20"/>
        </w:rPr>
      </w:pPr>
      <w:r w:rsidRPr="004C6CC5">
        <w:rPr>
          <w:rFonts w:ascii="Arial" w:hAnsi="Arial" w:cs="Arial"/>
          <w:sz w:val="20"/>
          <w:szCs w:val="20"/>
        </w:rPr>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z </w:t>
      </w:r>
      <w:r w:rsidRPr="004C6CC5">
        <w:rPr>
          <w:rFonts w:ascii="Arial" w:hAnsi="Arial" w:cs="Arial"/>
          <w:sz w:val="20"/>
          <w:szCs w:val="20"/>
        </w:rPr>
        <w:t>dnia 20 grudnia 2019 r.</w:t>
      </w:r>
      <w:r w:rsidR="004C6CC5">
        <w:rPr>
          <w:rFonts w:ascii="Arial" w:hAnsi="Arial" w:cs="Arial"/>
          <w:sz w:val="20"/>
          <w:szCs w:val="20"/>
        </w:rPr>
        <w:t xml:space="preserve"> w </w:t>
      </w:r>
      <w:r w:rsidRPr="004C6CC5">
        <w:rPr>
          <w:rFonts w:ascii="Arial" w:hAnsi="Arial" w:cs="Arial"/>
          <w:sz w:val="20"/>
          <w:szCs w:val="20"/>
        </w:rPr>
        <w:t>sprawie inspekcji państwa portu (Dz. U.</w:t>
      </w:r>
      <w:r w:rsidR="004C6CC5">
        <w:rPr>
          <w:rFonts w:ascii="Arial" w:hAnsi="Arial" w:cs="Arial"/>
          <w:sz w:val="20"/>
          <w:szCs w:val="20"/>
        </w:rPr>
        <w:t xml:space="preserve"> z </w:t>
      </w:r>
      <w:r w:rsidRPr="004C6CC5">
        <w:rPr>
          <w:rFonts w:ascii="Arial" w:hAnsi="Arial" w:cs="Arial"/>
          <w:sz w:val="20"/>
          <w:szCs w:val="20"/>
        </w:rPr>
        <w:t>2020 r. poz. 90);</w:t>
      </w:r>
    </w:p>
    <w:p w14:paraId="6169F9C2" w14:textId="45F6DFAE" w:rsidR="002D1006" w:rsidRPr="000F468A" w:rsidRDefault="002D1006" w:rsidP="003C6ECA">
      <w:pPr>
        <w:numPr>
          <w:ilvl w:val="0"/>
          <w:numId w:val="24"/>
        </w:numPr>
        <w:spacing w:line="276" w:lineRule="auto"/>
        <w:jc w:val="both"/>
        <w:rPr>
          <w:rFonts w:ascii="Arial" w:hAnsi="Arial" w:cs="Arial"/>
          <w:sz w:val="20"/>
          <w:szCs w:val="20"/>
          <w:u w:val="single"/>
        </w:rPr>
      </w:pPr>
      <w:r w:rsidRPr="004C6CC5">
        <w:rPr>
          <w:rFonts w:ascii="Arial" w:hAnsi="Arial" w:cs="Arial"/>
          <w:sz w:val="20"/>
          <w:szCs w:val="20"/>
        </w:rPr>
        <w:t>Rozporządzenie Ministra Aktywów Państwowych</w:t>
      </w:r>
      <w:r w:rsidR="004C6CC5">
        <w:rPr>
          <w:rFonts w:ascii="Arial" w:hAnsi="Arial" w:cs="Arial"/>
          <w:sz w:val="20"/>
          <w:szCs w:val="20"/>
        </w:rPr>
        <w:t xml:space="preserve"> z </w:t>
      </w:r>
      <w:r w:rsidRPr="004C6CC5">
        <w:rPr>
          <w:rFonts w:ascii="Arial" w:hAnsi="Arial" w:cs="Arial"/>
          <w:sz w:val="20"/>
          <w:szCs w:val="20"/>
        </w:rPr>
        <w:t>dnia 23 grudnia 2019 r.</w:t>
      </w:r>
      <w:r w:rsidR="004C6CC5">
        <w:rPr>
          <w:rFonts w:ascii="Arial" w:hAnsi="Arial" w:cs="Arial"/>
          <w:sz w:val="20"/>
          <w:szCs w:val="20"/>
        </w:rPr>
        <w:t xml:space="preserve"> w </w:t>
      </w:r>
      <w:r w:rsidRPr="004C6CC5">
        <w:rPr>
          <w:rFonts w:ascii="Arial" w:hAnsi="Arial" w:cs="Arial"/>
          <w:sz w:val="20"/>
          <w:szCs w:val="20"/>
        </w:rPr>
        <w:t>sprawie szczegółowych kryteriów wyboru projektów do udzielenia wsparcia ze środków Funduszu Niskoemisyjnego Transportu (Dz.U.</w:t>
      </w:r>
      <w:r w:rsidR="004C6CC5">
        <w:rPr>
          <w:rFonts w:ascii="Arial" w:hAnsi="Arial" w:cs="Arial"/>
          <w:sz w:val="20"/>
          <w:szCs w:val="20"/>
        </w:rPr>
        <w:t xml:space="preserve"> z </w:t>
      </w:r>
      <w:r w:rsidRPr="004C6CC5">
        <w:rPr>
          <w:rFonts w:ascii="Arial" w:hAnsi="Arial" w:cs="Arial"/>
          <w:sz w:val="20"/>
          <w:szCs w:val="20"/>
        </w:rPr>
        <w:t>2019 r. poz. 2526)</w:t>
      </w:r>
      <w:r w:rsidR="00491D59" w:rsidRPr="004C6CC5">
        <w:rPr>
          <w:rFonts w:ascii="Arial" w:hAnsi="Arial" w:cs="Arial"/>
          <w:sz w:val="20"/>
          <w:szCs w:val="20"/>
        </w:rPr>
        <w:t>;</w:t>
      </w:r>
    </w:p>
    <w:p w14:paraId="75F6F970" w14:textId="10107435" w:rsidR="002D1006" w:rsidRPr="004C6CC5" w:rsidRDefault="002D1006" w:rsidP="003C6ECA">
      <w:pPr>
        <w:numPr>
          <w:ilvl w:val="0"/>
          <w:numId w:val="24"/>
        </w:numPr>
        <w:spacing w:line="276" w:lineRule="auto"/>
        <w:jc w:val="both"/>
        <w:rPr>
          <w:rFonts w:ascii="Arial" w:hAnsi="Arial" w:cs="Arial"/>
          <w:sz w:val="20"/>
          <w:szCs w:val="20"/>
          <w:u w:val="single"/>
        </w:rPr>
      </w:pPr>
      <w:r w:rsidRPr="004C6CC5">
        <w:rPr>
          <w:rFonts w:ascii="Arial" w:hAnsi="Arial" w:cs="Arial"/>
          <w:sz w:val="20"/>
          <w:szCs w:val="20"/>
        </w:rPr>
        <w:t>Rozporządzenie Ministra Aktywów Państwowych</w:t>
      </w:r>
      <w:r w:rsidR="004C6CC5">
        <w:rPr>
          <w:rFonts w:ascii="Arial" w:hAnsi="Arial" w:cs="Arial"/>
          <w:sz w:val="20"/>
          <w:szCs w:val="20"/>
        </w:rPr>
        <w:t xml:space="preserve"> z </w:t>
      </w:r>
      <w:r w:rsidRPr="004C6CC5">
        <w:rPr>
          <w:rFonts w:ascii="Arial" w:hAnsi="Arial" w:cs="Arial"/>
          <w:sz w:val="20"/>
          <w:szCs w:val="20"/>
        </w:rPr>
        <w:t>dnia 23 grudnia 2019 r.</w:t>
      </w:r>
      <w:r w:rsidR="004C6CC5">
        <w:rPr>
          <w:rFonts w:ascii="Arial" w:hAnsi="Arial" w:cs="Arial"/>
          <w:sz w:val="20"/>
          <w:szCs w:val="20"/>
        </w:rPr>
        <w:t xml:space="preserve"> w </w:t>
      </w:r>
      <w:r w:rsidRPr="004C6CC5">
        <w:rPr>
          <w:rFonts w:ascii="Arial" w:hAnsi="Arial" w:cs="Arial"/>
          <w:sz w:val="20"/>
          <w:szCs w:val="20"/>
        </w:rPr>
        <w:t xml:space="preserve">sprawie szczegółowych warunków udzielania oraz sposobu rozliczania wsparcia udzielonego </w:t>
      </w:r>
      <w:r w:rsidRPr="004C6CC5">
        <w:rPr>
          <w:rFonts w:ascii="Arial" w:hAnsi="Arial" w:cs="Arial"/>
          <w:sz w:val="20"/>
          <w:szCs w:val="20"/>
        </w:rPr>
        <w:br/>
        <w:t>ze środków Funduszu Niskoemisyjnego Transportu (Dz.U.</w:t>
      </w:r>
      <w:r w:rsidR="004C6CC5">
        <w:rPr>
          <w:rFonts w:ascii="Arial" w:hAnsi="Arial" w:cs="Arial"/>
          <w:sz w:val="20"/>
          <w:szCs w:val="20"/>
        </w:rPr>
        <w:t xml:space="preserve"> z </w:t>
      </w:r>
      <w:r w:rsidRPr="004C6CC5">
        <w:rPr>
          <w:rFonts w:ascii="Arial" w:hAnsi="Arial" w:cs="Arial"/>
          <w:sz w:val="20"/>
          <w:szCs w:val="20"/>
        </w:rPr>
        <w:t>2019 r. poz. 2538)</w:t>
      </w:r>
      <w:r w:rsidR="00491D59" w:rsidRPr="004C6CC5">
        <w:rPr>
          <w:rFonts w:ascii="Arial" w:hAnsi="Arial" w:cs="Arial"/>
          <w:sz w:val="20"/>
          <w:szCs w:val="20"/>
        </w:rPr>
        <w:t>;</w:t>
      </w:r>
    </w:p>
    <w:p w14:paraId="6EA67BF5" w14:textId="1A0599F4" w:rsidR="00A7045E" w:rsidRPr="004C6CC5" w:rsidRDefault="00A7045E" w:rsidP="003C6ECA">
      <w:pPr>
        <w:numPr>
          <w:ilvl w:val="0"/>
          <w:numId w:val="24"/>
        </w:numPr>
        <w:spacing w:line="276" w:lineRule="auto"/>
        <w:jc w:val="both"/>
        <w:rPr>
          <w:rFonts w:ascii="Arial" w:hAnsi="Arial" w:cs="Arial"/>
          <w:sz w:val="20"/>
          <w:szCs w:val="20"/>
        </w:rPr>
      </w:pPr>
      <w:r w:rsidRPr="004C6CC5">
        <w:rPr>
          <w:rFonts w:ascii="Arial" w:hAnsi="Arial" w:cs="Arial"/>
          <w:sz w:val="20"/>
          <w:szCs w:val="20"/>
        </w:rPr>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z </w:t>
      </w:r>
      <w:r w:rsidRPr="004C6CC5">
        <w:rPr>
          <w:rFonts w:ascii="Arial" w:hAnsi="Arial" w:cs="Arial"/>
          <w:sz w:val="20"/>
          <w:szCs w:val="20"/>
        </w:rPr>
        <w:t>dnia 24 grudnia 2019 r.</w:t>
      </w:r>
      <w:r w:rsidR="004C6CC5">
        <w:rPr>
          <w:rFonts w:ascii="Arial" w:hAnsi="Arial" w:cs="Arial"/>
          <w:sz w:val="20"/>
          <w:szCs w:val="20"/>
        </w:rPr>
        <w:t xml:space="preserve"> w </w:t>
      </w:r>
      <w:r w:rsidRPr="004C6CC5">
        <w:rPr>
          <w:rFonts w:ascii="Arial" w:hAnsi="Arial" w:cs="Arial"/>
          <w:sz w:val="20"/>
          <w:szCs w:val="20"/>
        </w:rPr>
        <w:t>sprawie kontroli przestrzegania przepisów o czasie pracy</w:t>
      </w:r>
      <w:r w:rsidR="001D5C8D">
        <w:rPr>
          <w:rFonts w:ascii="Arial" w:hAnsi="Arial" w:cs="Arial"/>
          <w:sz w:val="20"/>
          <w:szCs w:val="20"/>
        </w:rPr>
        <w:t xml:space="preserve"> i odpoczynku rybaków (Dz.U. </w:t>
      </w:r>
      <w:r w:rsidRPr="004C6CC5">
        <w:rPr>
          <w:rFonts w:ascii="Arial" w:hAnsi="Arial" w:cs="Arial"/>
          <w:sz w:val="20"/>
          <w:szCs w:val="20"/>
        </w:rPr>
        <w:t>z 2020 r. poz. 58)</w:t>
      </w:r>
      <w:r w:rsidR="00491D59" w:rsidRPr="004C6CC5">
        <w:rPr>
          <w:rFonts w:ascii="Arial" w:hAnsi="Arial" w:cs="Arial"/>
          <w:sz w:val="20"/>
          <w:szCs w:val="20"/>
        </w:rPr>
        <w:t>;</w:t>
      </w:r>
    </w:p>
    <w:p w14:paraId="3C088025" w14:textId="70588F4D" w:rsidR="009D7B4B" w:rsidRPr="004C6CC5" w:rsidRDefault="009D7B4B" w:rsidP="003C6ECA">
      <w:pPr>
        <w:pStyle w:val="Akapitzlist"/>
        <w:numPr>
          <w:ilvl w:val="0"/>
          <w:numId w:val="24"/>
        </w:numPr>
        <w:spacing w:line="276" w:lineRule="auto"/>
        <w:jc w:val="both"/>
        <w:rPr>
          <w:rFonts w:ascii="Arial" w:hAnsi="Arial" w:cs="Arial"/>
          <w:sz w:val="20"/>
          <w:szCs w:val="20"/>
        </w:rPr>
      </w:pPr>
      <w:r w:rsidRPr="004C6CC5">
        <w:rPr>
          <w:rFonts w:ascii="Arial" w:hAnsi="Arial" w:cs="Arial"/>
          <w:sz w:val="20"/>
          <w:szCs w:val="20"/>
        </w:rPr>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z </w:t>
      </w:r>
      <w:r w:rsidRPr="004C6CC5">
        <w:rPr>
          <w:rFonts w:ascii="Arial" w:hAnsi="Arial" w:cs="Arial"/>
          <w:sz w:val="20"/>
          <w:szCs w:val="20"/>
        </w:rPr>
        <w:t>dnia 24 grudnia 2019 r.</w:t>
      </w:r>
      <w:r w:rsidR="004C6CC5">
        <w:rPr>
          <w:rFonts w:ascii="Arial" w:hAnsi="Arial" w:cs="Arial"/>
          <w:sz w:val="20"/>
          <w:szCs w:val="20"/>
        </w:rPr>
        <w:t xml:space="preserve"> w </w:t>
      </w:r>
      <w:r w:rsidRPr="004C6CC5">
        <w:rPr>
          <w:rFonts w:ascii="Arial" w:hAnsi="Arial" w:cs="Arial"/>
          <w:sz w:val="20"/>
          <w:szCs w:val="20"/>
        </w:rPr>
        <w:t>sprawie wzoru wniosku o wydanie zgody</w:t>
      </w:r>
      <w:r w:rsidR="004C6CC5">
        <w:rPr>
          <w:rFonts w:ascii="Arial" w:hAnsi="Arial" w:cs="Arial"/>
          <w:sz w:val="20"/>
          <w:szCs w:val="20"/>
        </w:rPr>
        <w:t xml:space="preserve"> w </w:t>
      </w:r>
      <w:r w:rsidRPr="004C6CC5">
        <w:rPr>
          <w:rFonts w:ascii="Arial" w:hAnsi="Arial" w:cs="Arial"/>
          <w:sz w:val="20"/>
          <w:szCs w:val="20"/>
        </w:rPr>
        <w:t>sprawie wykorzystania pasa technicznego do innego celu niż utrzymanie brzegu</w:t>
      </w:r>
      <w:r w:rsidR="004C6CC5">
        <w:rPr>
          <w:rFonts w:ascii="Arial" w:hAnsi="Arial" w:cs="Arial"/>
          <w:sz w:val="20"/>
          <w:szCs w:val="20"/>
        </w:rPr>
        <w:t xml:space="preserve"> w </w:t>
      </w:r>
      <w:r w:rsidRPr="004C6CC5">
        <w:rPr>
          <w:rFonts w:ascii="Arial" w:hAnsi="Arial" w:cs="Arial"/>
          <w:sz w:val="20"/>
          <w:szCs w:val="20"/>
        </w:rPr>
        <w:t>stanie zgodnym</w:t>
      </w:r>
      <w:r w:rsidR="004C6CC5">
        <w:rPr>
          <w:rFonts w:ascii="Arial" w:hAnsi="Arial" w:cs="Arial"/>
          <w:sz w:val="20"/>
          <w:szCs w:val="20"/>
        </w:rPr>
        <w:t xml:space="preserve"> z </w:t>
      </w:r>
      <w:r w:rsidRPr="004C6CC5">
        <w:rPr>
          <w:rFonts w:ascii="Arial" w:hAnsi="Arial" w:cs="Arial"/>
          <w:sz w:val="20"/>
          <w:szCs w:val="20"/>
        </w:rPr>
        <w:t>wymogami bezpieczeństwa</w:t>
      </w:r>
      <w:r w:rsidR="004C6CC5">
        <w:rPr>
          <w:rFonts w:ascii="Arial" w:hAnsi="Arial" w:cs="Arial"/>
          <w:sz w:val="20"/>
          <w:szCs w:val="20"/>
        </w:rPr>
        <w:t xml:space="preserve"> i </w:t>
      </w:r>
      <w:r w:rsidRPr="004C6CC5">
        <w:rPr>
          <w:rFonts w:ascii="Arial" w:hAnsi="Arial" w:cs="Arial"/>
          <w:sz w:val="20"/>
          <w:szCs w:val="20"/>
        </w:rPr>
        <w:t>ochrony środowiska oraz wykazu dokumentów, które należy dołączyć do wniosku (</w:t>
      </w:r>
      <w:hyperlink r:id="rId8" w:history="1">
        <w:r w:rsidRPr="000F468A">
          <w:rPr>
            <w:rStyle w:val="Hipercze"/>
            <w:rFonts w:ascii="Arial" w:hAnsi="Arial" w:cs="Arial"/>
            <w:color w:val="auto"/>
            <w:sz w:val="20"/>
            <w:szCs w:val="20"/>
            <w:u w:val="none"/>
          </w:rPr>
          <w:t>Dz.U. 2019 poz. 2545</w:t>
        </w:r>
      </w:hyperlink>
      <w:r w:rsidRPr="000F468A">
        <w:rPr>
          <w:rFonts w:ascii="Arial" w:hAnsi="Arial" w:cs="Arial"/>
          <w:sz w:val="20"/>
          <w:szCs w:val="20"/>
        </w:rPr>
        <w:t>)</w:t>
      </w:r>
      <w:r w:rsidR="00491D59" w:rsidRPr="004C6CC5">
        <w:rPr>
          <w:rFonts w:ascii="Arial" w:hAnsi="Arial" w:cs="Arial"/>
          <w:sz w:val="20"/>
          <w:szCs w:val="20"/>
        </w:rPr>
        <w:t>;</w:t>
      </w:r>
    </w:p>
    <w:p w14:paraId="03EE5D4B" w14:textId="620FCA8B" w:rsidR="00A7045E" w:rsidRPr="004C6CC5" w:rsidRDefault="00A7045E" w:rsidP="003C6ECA">
      <w:pPr>
        <w:numPr>
          <w:ilvl w:val="0"/>
          <w:numId w:val="24"/>
        </w:numPr>
        <w:spacing w:line="276" w:lineRule="auto"/>
        <w:jc w:val="both"/>
        <w:rPr>
          <w:rFonts w:ascii="Arial" w:hAnsi="Arial" w:cs="Arial"/>
          <w:sz w:val="20"/>
          <w:szCs w:val="20"/>
        </w:rPr>
      </w:pPr>
      <w:r w:rsidRPr="004C6CC5">
        <w:rPr>
          <w:rFonts w:ascii="Arial" w:hAnsi="Arial" w:cs="Arial"/>
          <w:sz w:val="20"/>
          <w:szCs w:val="20"/>
        </w:rPr>
        <w:lastRenderedPageBreak/>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z </w:t>
      </w:r>
      <w:r w:rsidRPr="004C6CC5">
        <w:rPr>
          <w:rFonts w:ascii="Arial" w:hAnsi="Arial" w:cs="Arial"/>
          <w:sz w:val="20"/>
          <w:szCs w:val="20"/>
        </w:rPr>
        <w:t>dnia 31 grudnia 2019 r.</w:t>
      </w:r>
      <w:r w:rsidR="004C6CC5">
        <w:rPr>
          <w:rFonts w:ascii="Arial" w:hAnsi="Arial" w:cs="Arial"/>
          <w:sz w:val="20"/>
          <w:szCs w:val="20"/>
        </w:rPr>
        <w:t xml:space="preserve"> w </w:t>
      </w:r>
      <w:r w:rsidRPr="004C6CC5">
        <w:rPr>
          <w:rFonts w:ascii="Arial" w:hAnsi="Arial" w:cs="Arial"/>
          <w:sz w:val="20"/>
          <w:szCs w:val="20"/>
        </w:rPr>
        <w:t>sprawie wzoru Rybackiego Certyfikatu Pracy (Dz.U. poz. 37)</w:t>
      </w:r>
      <w:r w:rsidR="00491D59" w:rsidRPr="004C6CC5">
        <w:rPr>
          <w:rFonts w:ascii="Arial" w:hAnsi="Arial" w:cs="Arial"/>
          <w:sz w:val="20"/>
          <w:szCs w:val="20"/>
        </w:rPr>
        <w:t>.</w:t>
      </w:r>
    </w:p>
    <w:p w14:paraId="3F120DF9" w14:textId="7E03C2CA" w:rsidR="00D75273" w:rsidRPr="00FE5072" w:rsidRDefault="00D75273" w:rsidP="00FE5072">
      <w:pPr>
        <w:rPr>
          <w:rFonts w:ascii="Arial" w:hAnsi="Arial" w:cs="Arial"/>
          <w:sz w:val="20"/>
          <w:szCs w:val="20"/>
        </w:rPr>
      </w:pPr>
      <w:r w:rsidRPr="00FE5072">
        <w:rPr>
          <w:rFonts w:ascii="Arial" w:hAnsi="Arial" w:cs="Arial"/>
          <w:sz w:val="20"/>
          <w:szCs w:val="20"/>
        </w:rPr>
        <w:t xml:space="preserve">Jednocześnie </w:t>
      </w:r>
      <w:r w:rsidR="00523DAB" w:rsidRPr="00FE5072">
        <w:rPr>
          <w:rFonts w:ascii="Arial" w:hAnsi="Arial" w:cs="Arial"/>
          <w:sz w:val="20"/>
          <w:szCs w:val="20"/>
        </w:rPr>
        <w:t xml:space="preserve">w 2019 r. </w:t>
      </w:r>
      <w:r w:rsidRPr="00FE5072">
        <w:rPr>
          <w:rFonts w:ascii="Arial" w:hAnsi="Arial" w:cs="Arial"/>
          <w:sz w:val="20"/>
          <w:szCs w:val="20"/>
        </w:rPr>
        <w:t>trwały prace nad następującymi projektami rozporządzeń</w:t>
      </w:r>
      <w:r w:rsidR="00B76EB9" w:rsidRPr="00FE5072">
        <w:rPr>
          <w:rFonts w:ascii="Arial" w:hAnsi="Arial" w:cs="Arial"/>
          <w:sz w:val="20"/>
          <w:szCs w:val="20"/>
        </w:rPr>
        <w:t>:</w:t>
      </w:r>
    </w:p>
    <w:p w14:paraId="0A8F2EE5" w14:textId="7E9C2B70" w:rsidR="00D75273" w:rsidRPr="00FC565C" w:rsidRDefault="00424499" w:rsidP="00E22642">
      <w:pPr>
        <w:pStyle w:val="Akapitzlist"/>
        <w:numPr>
          <w:ilvl w:val="0"/>
          <w:numId w:val="22"/>
        </w:numPr>
        <w:spacing w:before="120" w:after="120" w:line="276" w:lineRule="auto"/>
        <w:jc w:val="both"/>
        <w:rPr>
          <w:rFonts w:ascii="Arial" w:hAnsi="Arial" w:cs="Arial"/>
          <w:sz w:val="20"/>
          <w:szCs w:val="20"/>
        </w:rPr>
      </w:pPr>
      <w:r>
        <w:rPr>
          <w:rFonts w:ascii="Arial" w:hAnsi="Arial" w:cs="Arial"/>
          <w:sz w:val="20"/>
          <w:szCs w:val="20"/>
        </w:rPr>
        <w:t>p</w:t>
      </w:r>
      <w:r w:rsidR="00D75273" w:rsidRPr="00FC565C">
        <w:rPr>
          <w:rFonts w:ascii="Arial" w:hAnsi="Arial" w:cs="Arial"/>
          <w:sz w:val="20"/>
          <w:szCs w:val="20"/>
        </w:rPr>
        <w:t>rojekt rozporządzenia Ministra Gospodarki Morskiej i Żeglugi Śródlądowej w sprawie inspekcji i audytów statku morskiego</w:t>
      </w:r>
      <w:r w:rsidR="00402C1D">
        <w:rPr>
          <w:rFonts w:ascii="Arial" w:hAnsi="Arial" w:cs="Arial"/>
          <w:sz w:val="20"/>
          <w:szCs w:val="20"/>
        </w:rPr>
        <w:t>;</w:t>
      </w:r>
      <w:r w:rsidR="00D75273" w:rsidRPr="00FC565C">
        <w:rPr>
          <w:rFonts w:ascii="Arial" w:hAnsi="Arial" w:cs="Arial"/>
          <w:sz w:val="20"/>
          <w:szCs w:val="20"/>
        </w:rPr>
        <w:t xml:space="preserve"> </w:t>
      </w:r>
    </w:p>
    <w:p w14:paraId="3206C323" w14:textId="205B0208" w:rsidR="00D75273" w:rsidRPr="00FC565C" w:rsidRDefault="00424499" w:rsidP="00E22642">
      <w:pPr>
        <w:pStyle w:val="Akapitzlist"/>
        <w:numPr>
          <w:ilvl w:val="0"/>
          <w:numId w:val="22"/>
        </w:numPr>
        <w:spacing w:before="120" w:after="120" w:line="276" w:lineRule="auto"/>
        <w:contextualSpacing w:val="0"/>
        <w:jc w:val="both"/>
        <w:rPr>
          <w:rFonts w:ascii="Arial" w:hAnsi="Arial" w:cs="Arial"/>
          <w:sz w:val="20"/>
          <w:szCs w:val="20"/>
        </w:rPr>
      </w:pPr>
      <w:r>
        <w:rPr>
          <w:rFonts w:ascii="Arial" w:hAnsi="Arial" w:cs="Arial"/>
          <w:sz w:val="20"/>
          <w:szCs w:val="20"/>
        </w:rPr>
        <w:t>p</w:t>
      </w:r>
      <w:r w:rsidR="00D75273" w:rsidRPr="00FC565C">
        <w:rPr>
          <w:rFonts w:ascii="Arial" w:hAnsi="Arial" w:cs="Arial"/>
          <w:sz w:val="20"/>
          <w:szCs w:val="20"/>
        </w:rPr>
        <w:t>rojekt rozporządzenia Ministra Gospodarki Morskiej i Żeglugi Śródlądowej w sprawie sposobu prowadzenia rejestru jachtów i innych jednostek</w:t>
      </w:r>
      <w:r w:rsidR="00402C1D">
        <w:rPr>
          <w:rFonts w:ascii="Arial" w:hAnsi="Arial" w:cs="Arial"/>
          <w:sz w:val="20"/>
          <w:szCs w:val="20"/>
        </w:rPr>
        <w:t xml:space="preserve"> pływających o długości do 24 m;</w:t>
      </w:r>
    </w:p>
    <w:p w14:paraId="4878D52E" w14:textId="5E69A986" w:rsidR="00D75273" w:rsidRPr="00FC565C" w:rsidRDefault="00424499" w:rsidP="00E22642">
      <w:pPr>
        <w:pStyle w:val="Akapitzlist"/>
        <w:numPr>
          <w:ilvl w:val="0"/>
          <w:numId w:val="22"/>
        </w:numPr>
        <w:spacing w:before="120" w:after="120" w:line="276" w:lineRule="auto"/>
        <w:contextualSpacing w:val="0"/>
        <w:jc w:val="both"/>
        <w:rPr>
          <w:rFonts w:ascii="Arial" w:hAnsi="Arial" w:cs="Arial"/>
          <w:sz w:val="20"/>
          <w:szCs w:val="20"/>
        </w:rPr>
      </w:pPr>
      <w:r>
        <w:rPr>
          <w:rFonts w:ascii="Arial" w:hAnsi="Arial" w:cs="Arial"/>
          <w:sz w:val="20"/>
          <w:szCs w:val="20"/>
        </w:rPr>
        <w:t>p</w:t>
      </w:r>
      <w:r w:rsidR="00D75273" w:rsidRPr="00FC565C">
        <w:rPr>
          <w:rFonts w:ascii="Arial" w:hAnsi="Arial" w:cs="Arial"/>
          <w:sz w:val="20"/>
          <w:szCs w:val="20"/>
        </w:rPr>
        <w:t>rojekt rozporządzenia Ministra Gospodarki Morskiej i Żeglugi Śródlądowej w sprawie wysokości opłat związanych z rejestracją jachtów i innych jednostek pływających o długości do 24 m</w:t>
      </w:r>
      <w:r w:rsidR="00402C1D">
        <w:rPr>
          <w:rFonts w:ascii="Arial" w:hAnsi="Arial" w:cs="Arial"/>
          <w:sz w:val="20"/>
          <w:szCs w:val="20"/>
        </w:rPr>
        <w:t>;</w:t>
      </w:r>
      <w:r w:rsidR="00D75273" w:rsidRPr="00FC565C">
        <w:rPr>
          <w:rFonts w:ascii="Arial" w:hAnsi="Arial" w:cs="Arial"/>
          <w:sz w:val="20"/>
          <w:szCs w:val="20"/>
        </w:rPr>
        <w:t xml:space="preserve"> </w:t>
      </w:r>
    </w:p>
    <w:p w14:paraId="4137BA73" w14:textId="16995180" w:rsidR="005F3D31" w:rsidRPr="00FC565C" w:rsidRDefault="00424499" w:rsidP="00E22642">
      <w:pPr>
        <w:pStyle w:val="Akapitzlist"/>
        <w:numPr>
          <w:ilvl w:val="0"/>
          <w:numId w:val="22"/>
        </w:numPr>
        <w:autoSpaceDE w:val="0"/>
        <w:autoSpaceDN w:val="0"/>
        <w:spacing w:before="120" w:after="120" w:line="276" w:lineRule="auto"/>
        <w:ind w:left="357"/>
        <w:contextualSpacing w:val="0"/>
        <w:jc w:val="both"/>
        <w:rPr>
          <w:rFonts w:ascii="Arial" w:hAnsi="Arial" w:cs="Arial"/>
          <w:b/>
          <w:sz w:val="20"/>
          <w:szCs w:val="20"/>
        </w:rPr>
      </w:pPr>
      <w:r>
        <w:rPr>
          <w:rFonts w:ascii="Arial" w:hAnsi="Arial" w:cs="Arial"/>
          <w:sz w:val="20"/>
          <w:szCs w:val="20"/>
        </w:rPr>
        <w:t>p</w:t>
      </w:r>
      <w:r w:rsidR="00D75273" w:rsidRPr="00FC565C">
        <w:rPr>
          <w:rFonts w:ascii="Arial" w:hAnsi="Arial" w:cs="Arial"/>
          <w:sz w:val="20"/>
          <w:szCs w:val="20"/>
        </w:rPr>
        <w:t>rojekt rozporządzenia Gospodarki Morskiej i Żeglugi Śródlądowej w sprawie rejestracji jachtów i innych jednostek pływających o długości do 24 m</w:t>
      </w:r>
      <w:r w:rsidR="00402C1D">
        <w:rPr>
          <w:rFonts w:ascii="Arial" w:hAnsi="Arial" w:cs="Arial"/>
          <w:sz w:val="20"/>
          <w:szCs w:val="20"/>
        </w:rPr>
        <w:t>;</w:t>
      </w:r>
    </w:p>
    <w:p w14:paraId="12325BAC" w14:textId="12D84A7C" w:rsidR="00D75273" w:rsidRPr="00FC565C" w:rsidRDefault="00424499" w:rsidP="00E22642">
      <w:pPr>
        <w:pStyle w:val="Akapitzlist"/>
        <w:numPr>
          <w:ilvl w:val="0"/>
          <w:numId w:val="22"/>
        </w:numPr>
        <w:autoSpaceDE w:val="0"/>
        <w:autoSpaceDN w:val="0"/>
        <w:spacing w:before="120" w:after="120" w:line="276" w:lineRule="auto"/>
        <w:ind w:left="357"/>
        <w:contextualSpacing w:val="0"/>
        <w:jc w:val="both"/>
        <w:rPr>
          <w:rFonts w:ascii="Arial" w:hAnsi="Arial" w:cs="Arial"/>
          <w:b/>
          <w:sz w:val="20"/>
          <w:szCs w:val="20"/>
        </w:rPr>
      </w:pPr>
      <w:r>
        <w:rPr>
          <w:rFonts w:ascii="Arial" w:hAnsi="Arial" w:cs="Arial"/>
          <w:sz w:val="20"/>
          <w:szCs w:val="20"/>
        </w:rPr>
        <w:t>p</w:t>
      </w:r>
      <w:r w:rsidR="005F3D31" w:rsidRPr="00FC565C">
        <w:rPr>
          <w:rFonts w:ascii="Arial" w:hAnsi="Arial" w:cs="Arial"/>
          <w:sz w:val="20"/>
          <w:szCs w:val="20"/>
        </w:rPr>
        <w:t xml:space="preserve">rojekt rozporządzenia </w:t>
      </w:r>
      <w:r w:rsidR="005F3D31" w:rsidRPr="00FC565C">
        <w:rPr>
          <w:rFonts w:ascii="Arial" w:eastAsia="Calibri" w:hAnsi="Arial" w:cs="Arial"/>
          <w:sz w:val="20"/>
          <w:szCs w:val="20"/>
        </w:rPr>
        <w:t>Ministra Gospodarki Morskiej i Żeglugi Śródlądowej w sprawie listy załogi statku rybackiego</w:t>
      </w:r>
      <w:r w:rsidR="00402C1D">
        <w:rPr>
          <w:rFonts w:ascii="Arial" w:eastAsia="Calibri" w:hAnsi="Arial" w:cs="Arial"/>
          <w:sz w:val="20"/>
          <w:szCs w:val="20"/>
        </w:rPr>
        <w:t>;</w:t>
      </w:r>
    </w:p>
    <w:p w14:paraId="05737336" w14:textId="68448AB8" w:rsidR="005F3D31" w:rsidRPr="00CE1860" w:rsidRDefault="00424499" w:rsidP="00E22642">
      <w:pPr>
        <w:pStyle w:val="Akapitzlist"/>
        <w:numPr>
          <w:ilvl w:val="0"/>
          <w:numId w:val="22"/>
        </w:numPr>
        <w:autoSpaceDE w:val="0"/>
        <w:autoSpaceDN w:val="0"/>
        <w:spacing w:before="120" w:after="120" w:line="276" w:lineRule="auto"/>
        <w:ind w:left="357"/>
        <w:contextualSpacing w:val="0"/>
        <w:jc w:val="both"/>
        <w:rPr>
          <w:rFonts w:ascii="Arial" w:hAnsi="Arial" w:cs="Arial"/>
          <w:b/>
          <w:sz w:val="20"/>
          <w:szCs w:val="20"/>
        </w:rPr>
      </w:pPr>
      <w:r>
        <w:rPr>
          <w:rFonts w:ascii="Arial" w:hAnsi="Arial" w:cs="Arial"/>
          <w:sz w:val="20"/>
          <w:szCs w:val="20"/>
        </w:rPr>
        <w:t>p</w:t>
      </w:r>
      <w:r w:rsidR="005F3D31" w:rsidRPr="00FC565C">
        <w:rPr>
          <w:rFonts w:ascii="Arial" w:hAnsi="Arial" w:cs="Arial"/>
          <w:sz w:val="20"/>
          <w:szCs w:val="20"/>
        </w:rPr>
        <w:t xml:space="preserve">rojekt rozporządzenia Ministra Gospodarki Morskiej i Żeglugi Śródlądowej w sprawie wymagań </w:t>
      </w:r>
      <w:r w:rsidR="00B529E1">
        <w:rPr>
          <w:rFonts w:ascii="Arial" w:hAnsi="Arial" w:cs="Arial"/>
          <w:sz w:val="20"/>
          <w:szCs w:val="20"/>
        </w:rPr>
        <w:br/>
      </w:r>
      <w:r w:rsidR="005F3D31" w:rsidRPr="00FC565C">
        <w:rPr>
          <w:rFonts w:ascii="Arial" w:hAnsi="Arial" w:cs="Arial"/>
          <w:sz w:val="20"/>
          <w:szCs w:val="20"/>
        </w:rPr>
        <w:t>w zakresie bezpieczeństwa i higieny pracy i życia na statkach rybackich oraz szczegółowych wymagań technicznych w zakresie ich konstrukcji i wyposażenia</w:t>
      </w:r>
      <w:r w:rsidR="00402C1D">
        <w:rPr>
          <w:rFonts w:ascii="Arial" w:hAnsi="Arial" w:cs="Arial"/>
          <w:sz w:val="20"/>
          <w:szCs w:val="20"/>
        </w:rPr>
        <w:t>;</w:t>
      </w:r>
    </w:p>
    <w:p w14:paraId="73DF3A56" w14:textId="08890323" w:rsidR="00CE1860" w:rsidRPr="00FC565C" w:rsidRDefault="00CE1860" w:rsidP="00E22642">
      <w:pPr>
        <w:pStyle w:val="Akapitzlist"/>
        <w:numPr>
          <w:ilvl w:val="0"/>
          <w:numId w:val="22"/>
        </w:numPr>
        <w:autoSpaceDE w:val="0"/>
        <w:autoSpaceDN w:val="0"/>
        <w:spacing w:before="120" w:after="120" w:line="276" w:lineRule="auto"/>
        <w:ind w:left="357"/>
        <w:contextualSpacing w:val="0"/>
        <w:jc w:val="both"/>
        <w:rPr>
          <w:rFonts w:ascii="Arial" w:hAnsi="Arial" w:cs="Arial"/>
          <w:b/>
          <w:sz w:val="20"/>
          <w:szCs w:val="20"/>
        </w:rPr>
      </w:pPr>
      <w:r>
        <w:rPr>
          <w:rFonts w:ascii="Arial" w:eastAsia="Calibri" w:hAnsi="Arial" w:cs="Arial"/>
          <w:color w:val="000000"/>
          <w:sz w:val="20"/>
          <w:szCs w:val="20"/>
          <w:lang w:eastAsia="pl-PL"/>
        </w:rPr>
        <w:t xml:space="preserve">projekt </w:t>
      </w:r>
      <w:r w:rsidRPr="00CE1860">
        <w:rPr>
          <w:rFonts w:ascii="Arial" w:eastAsia="Calibri" w:hAnsi="Arial" w:cs="Arial"/>
          <w:color w:val="000000"/>
          <w:sz w:val="20"/>
          <w:szCs w:val="20"/>
          <w:lang w:eastAsia="pl-PL"/>
        </w:rPr>
        <w:t>rozporzą</w:t>
      </w:r>
      <w:r>
        <w:rPr>
          <w:rFonts w:ascii="Arial" w:eastAsia="Calibri" w:hAnsi="Arial" w:cs="Arial"/>
          <w:color w:val="000000"/>
          <w:sz w:val="20"/>
          <w:szCs w:val="20"/>
          <w:lang w:eastAsia="pl-PL"/>
        </w:rPr>
        <w:t xml:space="preserve">dzenia </w:t>
      </w:r>
      <w:r w:rsidRPr="00CE1860">
        <w:rPr>
          <w:rFonts w:ascii="Arial" w:eastAsia="Calibri" w:hAnsi="Arial" w:cs="Arial"/>
          <w:color w:val="000000"/>
          <w:sz w:val="20"/>
          <w:szCs w:val="20"/>
          <w:lang w:eastAsia="pl-PL"/>
        </w:rPr>
        <w:t>Ministra Gospodarki Morskiej i Żeglugi Śródlądowej w sprawie określenia współczynników przeliczeniowych na rok 2020 do przeliczania ilości organizmów morskich danych gatunków podlegających wymianie w ramach wymiany indywidualnych kwot połowowych pomiędzy armatorami statków rybackich oraz szczegółowych warunków wymiany tych kwot</w:t>
      </w:r>
      <w:r>
        <w:rPr>
          <w:rFonts w:ascii="Arial" w:eastAsia="Calibri" w:hAnsi="Arial" w:cs="Arial"/>
          <w:color w:val="000000"/>
          <w:sz w:val="20"/>
          <w:szCs w:val="20"/>
          <w:lang w:eastAsia="pl-PL"/>
        </w:rPr>
        <w:t>;</w:t>
      </w:r>
    </w:p>
    <w:p w14:paraId="6B13D1FD" w14:textId="49FE4FB9" w:rsidR="005F3D31" w:rsidRPr="00FC565C" w:rsidRDefault="00424499" w:rsidP="00E22642">
      <w:pPr>
        <w:numPr>
          <w:ilvl w:val="0"/>
          <w:numId w:val="22"/>
        </w:numPr>
        <w:spacing w:line="276" w:lineRule="auto"/>
        <w:jc w:val="both"/>
        <w:rPr>
          <w:rFonts w:ascii="Arial" w:hAnsi="Arial" w:cs="Arial"/>
          <w:sz w:val="20"/>
          <w:szCs w:val="20"/>
          <w:u w:val="single"/>
        </w:rPr>
      </w:pPr>
      <w:r>
        <w:rPr>
          <w:rFonts w:ascii="Arial" w:hAnsi="Arial" w:cs="Arial"/>
          <w:sz w:val="20"/>
          <w:szCs w:val="20"/>
        </w:rPr>
        <w:t>p</w:t>
      </w:r>
      <w:r w:rsidR="005F3D31" w:rsidRPr="00FC565C">
        <w:rPr>
          <w:rFonts w:ascii="Arial" w:hAnsi="Arial" w:cs="Arial"/>
          <w:sz w:val="20"/>
          <w:szCs w:val="20"/>
        </w:rPr>
        <w:t>rojekt rozporządzenia</w:t>
      </w:r>
      <w:r w:rsidR="005F3D31" w:rsidRPr="00FC565C">
        <w:rPr>
          <w:rFonts w:ascii="Arial" w:eastAsia="Calibri" w:hAnsi="Arial" w:cs="Arial"/>
          <w:sz w:val="20"/>
          <w:szCs w:val="20"/>
        </w:rPr>
        <w:t xml:space="preserve"> Ministra Gospodarki Morskiej i Żeglugi Śródlądowej w sprawie zniesienia Urzędu Morskiego w Słupsku</w:t>
      </w:r>
      <w:r w:rsidR="00402C1D">
        <w:rPr>
          <w:rFonts w:ascii="Arial" w:eastAsia="Calibri" w:hAnsi="Arial" w:cs="Arial"/>
          <w:sz w:val="20"/>
          <w:szCs w:val="20"/>
        </w:rPr>
        <w:t>;</w:t>
      </w:r>
      <w:r w:rsidR="005F3D31" w:rsidRPr="00FC565C">
        <w:rPr>
          <w:rFonts w:ascii="Arial" w:eastAsia="Calibri" w:hAnsi="Arial" w:cs="Arial"/>
          <w:sz w:val="20"/>
          <w:szCs w:val="20"/>
        </w:rPr>
        <w:t xml:space="preserve"> </w:t>
      </w:r>
    </w:p>
    <w:p w14:paraId="726BB504" w14:textId="3C454A51" w:rsidR="005F3D31" w:rsidRPr="005F3D31" w:rsidRDefault="00424499" w:rsidP="00E22642">
      <w:pPr>
        <w:numPr>
          <w:ilvl w:val="0"/>
          <w:numId w:val="22"/>
        </w:numPr>
        <w:autoSpaceDE w:val="0"/>
        <w:autoSpaceDN w:val="0"/>
        <w:spacing w:before="120" w:after="120" w:line="276" w:lineRule="auto"/>
        <w:ind w:left="357"/>
        <w:jc w:val="both"/>
        <w:rPr>
          <w:rFonts w:ascii="Arial" w:hAnsi="Arial" w:cs="Arial"/>
          <w:b/>
          <w:color w:val="FF0000"/>
          <w:sz w:val="20"/>
          <w:szCs w:val="20"/>
          <w:u w:val="single"/>
        </w:rPr>
      </w:pPr>
      <w:r>
        <w:rPr>
          <w:rFonts w:ascii="Arial" w:hAnsi="Arial" w:cs="Arial"/>
          <w:sz w:val="20"/>
          <w:szCs w:val="20"/>
        </w:rPr>
        <w:t>p</w:t>
      </w:r>
      <w:r w:rsidR="005F3D31" w:rsidRPr="00FC565C">
        <w:rPr>
          <w:rFonts w:ascii="Arial" w:hAnsi="Arial" w:cs="Arial"/>
          <w:sz w:val="20"/>
          <w:szCs w:val="20"/>
        </w:rPr>
        <w:t>rojekt rozporządzenia</w:t>
      </w:r>
      <w:r w:rsidR="005F3D31" w:rsidRPr="00FC565C">
        <w:rPr>
          <w:rFonts w:ascii="Arial" w:eastAsia="Calibri" w:hAnsi="Arial" w:cs="Arial"/>
          <w:sz w:val="20"/>
          <w:szCs w:val="20"/>
        </w:rPr>
        <w:t xml:space="preserve"> Ministra Gospodarki Morskiej i Żeglugi Śródlądowej w sprawie określenia terytorialnego zakresu działania dyrektorów </w:t>
      </w:r>
      <w:r w:rsidR="005F3D31" w:rsidRPr="005F3D31">
        <w:rPr>
          <w:rFonts w:ascii="Arial" w:eastAsia="Calibri" w:hAnsi="Arial" w:cs="Arial"/>
          <w:sz w:val="20"/>
          <w:szCs w:val="20"/>
        </w:rPr>
        <w:t>urzędów morskich i siedzib urzędów morskich</w:t>
      </w:r>
      <w:r w:rsidR="00402C1D">
        <w:rPr>
          <w:rFonts w:ascii="Arial" w:eastAsia="Calibri" w:hAnsi="Arial" w:cs="Arial"/>
          <w:sz w:val="20"/>
          <w:szCs w:val="20"/>
        </w:rPr>
        <w:t>;</w:t>
      </w:r>
      <w:r w:rsidR="005F3D31" w:rsidRPr="005F3D31">
        <w:rPr>
          <w:rFonts w:ascii="Arial" w:eastAsia="Calibri" w:hAnsi="Arial" w:cs="Arial"/>
          <w:sz w:val="20"/>
          <w:szCs w:val="20"/>
        </w:rPr>
        <w:t xml:space="preserve"> </w:t>
      </w:r>
    </w:p>
    <w:p w14:paraId="26BB402D" w14:textId="5612B1E7" w:rsidR="004F7770" w:rsidRPr="00D7350B" w:rsidRDefault="004F7770" w:rsidP="00E22642">
      <w:pPr>
        <w:pStyle w:val="Akapitzlist"/>
        <w:numPr>
          <w:ilvl w:val="0"/>
          <w:numId w:val="22"/>
        </w:numPr>
        <w:spacing w:before="120" w:after="120" w:line="276" w:lineRule="auto"/>
        <w:contextualSpacing w:val="0"/>
        <w:jc w:val="both"/>
        <w:rPr>
          <w:rFonts w:ascii="Arial" w:hAnsi="Arial" w:cs="Arial"/>
          <w:sz w:val="20"/>
          <w:szCs w:val="20"/>
        </w:rPr>
      </w:pPr>
      <w:r w:rsidRPr="00D7350B">
        <w:rPr>
          <w:rFonts w:ascii="Arial" w:hAnsi="Arial" w:cs="Arial"/>
          <w:sz w:val="20"/>
          <w:szCs w:val="20"/>
        </w:rPr>
        <w:t>projekt rozporządzenia Ministra Obrony Narodowej</w:t>
      </w:r>
      <w:r w:rsidR="004C6CC5" w:rsidRPr="00D7350B">
        <w:rPr>
          <w:rFonts w:ascii="Arial" w:hAnsi="Arial" w:cs="Arial"/>
          <w:sz w:val="20"/>
          <w:szCs w:val="20"/>
        </w:rPr>
        <w:t xml:space="preserve"> w </w:t>
      </w:r>
      <w:r w:rsidRPr="00D7350B">
        <w:rPr>
          <w:rFonts w:ascii="Arial" w:hAnsi="Arial" w:cs="Arial"/>
          <w:sz w:val="20"/>
          <w:szCs w:val="20"/>
        </w:rPr>
        <w:t>sprawie granic morskich portów wojennych</w:t>
      </w:r>
      <w:r w:rsidR="00B60325">
        <w:rPr>
          <w:rFonts w:ascii="Arial" w:hAnsi="Arial" w:cs="Arial"/>
          <w:sz w:val="20"/>
          <w:szCs w:val="20"/>
        </w:rPr>
        <w:br/>
      </w:r>
      <w:r w:rsidR="0082734E">
        <w:rPr>
          <w:rFonts w:ascii="Arial" w:hAnsi="Arial" w:cs="Arial"/>
          <w:sz w:val="20"/>
          <w:szCs w:val="20"/>
        </w:rPr>
        <w:t xml:space="preserve"> (6 portów </w:t>
      </w:r>
      <w:r w:rsidR="003C0071">
        <w:rPr>
          <w:rFonts w:ascii="Arial" w:hAnsi="Arial" w:cs="Arial"/>
          <w:sz w:val="20"/>
          <w:szCs w:val="20"/>
        </w:rPr>
        <w:t>-</w:t>
      </w:r>
      <w:r w:rsidR="0082734E">
        <w:rPr>
          <w:rFonts w:ascii="Arial" w:hAnsi="Arial" w:cs="Arial"/>
          <w:sz w:val="20"/>
          <w:szCs w:val="20"/>
        </w:rPr>
        <w:t> </w:t>
      </w:r>
      <w:r w:rsidRPr="00D7350B">
        <w:rPr>
          <w:rFonts w:ascii="Arial" w:hAnsi="Arial" w:cs="Arial"/>
          <w:sz w:val="20"/>
          <w:szCs w:val="20"/>
        </w:rPr>
        <w:t>Ustka, Kołobrzeg, Hel-Zachód, Gdynia, Dziwnów, Świnoujście)</w:t>
      </w:r>
      <w:r w:rsidR="00402C1D">
        <w:rPr>
          <w:rFonts w:ascii="Arial" w:hAnsi="Arial" w:cs="Arial"/>
          <w:sz w:val="20"/>
          <w:szCs w:val="20"/>
        </w:rPr>
        <w:t>;</w:t>
      </w:r>
      <w:r w:rsidRPr="00D7350B">
        <w:rPr>
          <w:rFonts w:ascii="Arial" w:hAnsi="Arial" w:cs="Arial"/>
          <w:sz w:val="20"/>
          <w:szCs w:val="20"/>
        </w:rPr>
        <w:t> </w:t>
      </w:r>
    </w:p>
    <w:p w14:paraId="7899CDFE" w14:textId="5990FC10" w:rsidR="004F7770" w:rsidRPr="00D7350B" w:rsidRDefault="004F7770" w:rsidP="00E22642">
      <w:pPr>
        <w:pStyle w:val="Akapitzlist"/>
        <w:numPr>
          <w:ilvl w:val="0"/>
          <w:numId w:val="22"/>
        </w:numPr>
        <w:spacing w:before="120" w:after="120" w:line="276" w:lineRule="auto"/>
        <w:contextualSpacing w:val="0"/>
        <w:jc w:val="both"/>
        <w:rPr>
          <w:rFonts w:ascii="Arial" w:hAnsi="Arial" w:cs="Arial"/>
          <w:sz w:val="20"/>
          <w:szCs w:val="20"/>
        </w:rPr>
      </w:pPr>
      <w:r w:rsidRPr="00D7350B">
        <w:rPr>
          <w:rFonts w:ascii="Arial" w:hAnsi="Arial" w:cs="Arial"/>
          <w:sz w:val="20"/>
          <w:szCs w:val="20"/>
        </w:rPr>
        <w:t>projekt rozporządzenia Ministra Obrony Narodowej</w:t>
      </w:r>
      <w:r w:rsidR="004C6CC5" w:rsidRPr="00D7350B">
        <w:rPr>
          <w:rFonts w:ascii="Arial" w:hAnsi="Arial" w:cs="Arial"/>
          <w:sz w:val="20"/>
          <w:szCs w:val="20"/>
        </w:rPr>
        <w:t xml:space="preserve"> w </w:t>
      </w:r>
      <w:r w:rsidRPr="00D7350B">
        <w:rPr>
          <w:rFonts w:ascii="Arial" w:hAnsi="Arial" w:cs="Arial"/>
          <w:sz w:val="20"/>
          <w:szCs w:val="20"/>
        </w:rPr>
        <w:t>sprawie stref zamkniętych na morskich wodach wewnętrznych oraz na morzu terytorial</w:t>
      </w:r>
      <w:r w:rsidR="003E17D7" w:rsidRPr="00D7350B">
        <w:rPr>
          <w:rFonts w:ascii="Arial" w:hAnsi="Arial" w:cs="Arial"/>
          <w:sz w:val="20"/>
          <w:szCs w:val="20"/>
        </w:rPr>
        <w:t>nym Rzeczypospolitej Polskiej</w:t>
      </w:r>
      <w:r w:rsidR="00402C1D">
        <w:rPr>
          <w:rFonts w:ascii="Arial" w:hAnsi="Arial" w:cs="Arial"/>
          <w:sz w:val="20"/>
          <w:szCs w:val="20"/>
        </w:rPr>
        <w:t>;</w:t>
      </w:r>
      <w:r w:rsidR="003E17D7" w:rsidRPr="00D7350B">
        <w:rPr>
          <w:rFonts w:ascii="Arial" w:hAnsi="Arial" w:cs="Arial"/>
          <w:sz w:val="20"/>
          <w:szCs w:val="20"/>
        </w:rPr>
        <w:t> </w:t>
      </w:r>
    </w:p>
    <w:p w14:paraId="4C6D1A48" w14:textId="5816708F" w:rsidR="00307E9B" w:rsidRPr="007C36E4" w:rsidRDefault="004F7770" w:rsidP="007C36E4">
      <w:pPr>
        <w:pStyle w:val="Akapitzlist"/>
        <w:numPr>
          <w:ilvl w:val="0"/>
          <w:numId w:val="22"/>
        </w:numPr>
        <w:spacing w:before="120" w:after="120" w:line="276" w:lineRule="auto"/>
        <w:contextualSpacing w:val="0"/>
        <w:jc w:val="both"/>
        <w:rPr>
          <w:rFonts w:ascii="Arial" w:hAnsi="Arial" w:cs="Arial"/>
          <w:sz w:val="20"/>
          <w:szCs w:val="20"/>
        </w:rPr>
      </w:pPr>
      <w:r w:rsidRPr="00D7350B">
        <w:rPr>
          <w:rFonts w:ascii="Arial" w:hAnsi="Arial" w:cs="Arial"/>
          <w:sz w:val="20"/>
          <w:szCs w:val="20"/>
        </w:rPr>
        <w:t xml:space="preserve">projekt rozporządzenia </w:t>
      </w:r>
      <w:r w:rsidR="00403B2D" w:rsidRPr="00D7350B">
        <w:rPr>
          <w:rFonts w:ascii="Arial" w:hAnsi="Arial" w:cs="Arial"/>
          <w:sz w:val="20"/>
          <w:szCs w:val="20"/>
        </w:rPr>
        <w:t>Ministra Obrony Narodowej</w:t>
      </w:r>
      <w:r w:rsidRPr="00D7350B">
        <w:rPr>
          <w:rFonts w:ascii="Arial" w:hAnsi="Arial" w:cs="Arial"/>
          <w:sz w:val="20"/>
          <w:szCs w:val="20"/>
        </w:rPr>
        <w:t xml:space="preserve"> zmieniającego rozporządzenie</w:t>
      </w:r>
      <w:r w:rsidR="004C6CC5" w:rsidRPr="00D7350B">
        <w:rPr>
          <w:rFonts w:ascii="Arial" w:hAnsi="Arial" w:cs="Arial"/>
          <w:sz w:val="20"/>
          <w:szCs w:val="20"/>
        </w:rPr>
        <w:t xml:space="preserve"> w </w:t>
      </w:r>
      <w:r w:rsidRPr="00D7350B">
        <w:rPr>
          <w:rFonts w:ascii="Arial" w:hAnsi="Arial" w:cs="Arial"/>
          <w:sz w:val="20"/>
          <w:szCs w:val="20"/>
        </w:rPr>
        <w:t>sprawie przepływu okrętów wojennych obcych państw przez polskie morze terytorialne oraz warunków wejścia tych okrętów na polskie morskie wody wewnętrzne.</w:t>
      </w:r>
    </w:p>
    <w:p w14:paraId="26117C3B" w14:textId="2C33A59E" w:rsidR="007556DD" w:rsidRPr="007611E2" w:rsidRDefault="00754745" w:rsidP="00EF5A91">
      <w:pPr>
        <w:pStyle w:val="Nagwek1"/>
        <w:jc w:val="both"/>
        <w:rPr>
          <w:rFonts w:ascii="Arial" w:hAnsi="Arial" w:cs="Arial"/>
          <w:b/>
          <w:sz w:val="20"/>
          <w:szCs w:val="20"/>
        </w:rPr>
      </w:pPr>
      <w:bookmarkStart w:id="5" w:name="_Toc72745028"/>
      <w:r w:rsidRPr="007611E2">
        <w:rPr>
          <w:rFonts w:ascii="Arial" w:hAnsi="Arial" w:cs="Arial"/>
          <w:b/>
          <w:color w:val="auto"/>
          <w:sz w:val="20"/>
          <w:szCs w:val="20"/>
        </w:rPr>
        <w:t>DZIAŁANIA RZĄDU RP</w:t>
      </w:r>
      <w:r w:rsidR="00F55158">
        <w:rPr>
          <w:rFonts w:ascii="Arial" w:hAnsi="Arial" w:cs="Arial"/>
          <w:b/>
          <w:color w:val="auto"/>
          <w:sz w:val="20"/>
          <w:szCs w:val="20"/>
        </w:rPr>
        <w:t xml:space="preserve"> W</w:t>
      </w:r>
      <w:r w:rsidR="004C6CC5" w:rsidRPr="007611E2">
        <w:rPr>
          <w:rFonts w:ascii="Arial" w:hAnsi="Arial" w:cs="Arial"/>
          <w:b/>
          <w:color w:val="auto"/>
          <w:sz w:val="20"/>
          <w:szCs w:val="20"/>
        </w:rPr>
        <w:t> </w:t>
      </w:r>
      <w:r w:rsidRPr="007611E2">
        <w:rPr>
          <w:rFonts w:ascii="Arial" w:hAnsi="Arial" w:cs="Arial"/>
          <w:b/>
          <w:color w:val="auto"/>
          <w:sz w:val="20"/>
          <w:szCs w:val="20"/>
        </w:rPr>
        <w:t>ZAKRESIE POLITYKI MORSKIEJ</w:t>
      </w:r>
      <w:r w:rsidR="001C1ABE">
        <w:rPr>
          <w:rFonts w:ascii="Arial" w:hAnsi="Arial" w:cs="Arial"/>
          <w:b/>
          <w:color w:val="auto"/>
          <w:sz w:val="20"/>
          <w:szCs w:val="20"/>
        </w:rPr>
        <w:t>.</w:t>
      </w:r>
      <w:bookmarkEnd w:id="5"/>
    </w:p>
    <w:p w14:paraId="2635560E" w14:textId="3C34A64A" w:rsidR="007611E2" w:rsidRPr="009D5B53" w:rsidRDefault="00754745" w:rsidP="00EF5A91">
      <w:pPr>
        <w:pStyle w:val="Nagwek2"/>
        <w:jc w:val="both"/>
        <w:rPr>
          <w:rFonts w:ascii="Arial" w:hAnsi="Arial" w:cs="Arial"/>
          <w:b/>
          <w:color w:val="auto"/>
          <w:sz w:val="20"/>
          <w:szCs w:val="20"/>
        </w:rPr>
      </w:pPr>
      <w:bookmarkStart w:id="6" w:name="_Toc72745029"/>
      <w:r w:rsidRPr="007611E2">
        <w:rPr>
          <w:rFonts w:ascii="Arial" w:hAnsi="Arial" w:cs="Arial"/>
          <w:b/>
          <w:color w:val="auto"/>
          <w:sz w:val="20"/>
          <w:szCs w:val="20"/>
        </w:rPr>
        <w:t xml:space="preserve">Realizacja priorytetowych </w:t>
      </w:r>
      <w:r w:rsidR="00A6481C">
        <w:rPr>
          <w:rFonts w:ascii="Arial" w:hAnsi="Arial" w:cs="Arial"/>
          <w:b/>
          <w:color w:val="auto"/>
          <w:sz w:val="20"/>
          <w:szCs w:val="20"/>
        </w:rPr>
        <w:t>zada</w:t>
      </w:r>
      <w:r w:rsidRPr="007611E2">
        <w:rPr>
          <w:rFonts w:ascii="Arial" w:hAnsi="Arial" w:cs="Arial"/>
          <w:b/>
          <w:color w:val="auto"/>
          <w:sz w:val="20"/>
          <w:szCs w:val="20"/>
        </w:rPr>
        <w:t>ń na rzecz rozwoju gospodarki morskiej</w:t>
      </w:r>
      <w:r w:rsidR="00CB6221">
        <w:rPr>
          <w:rFonts w:ascii="Arial" w:hAnsi="Arial" w:cs="Arial"/>
          <w:b/>
          <w:color w:val="auto"/>
          <w:sz w:val="20"/>
          <w:szCs w:val="20"/>
        </w:rPr>
        <w:t>.</w:t>
      </w:r>
      <w:bookmarkEnd w:id="6"/>
      <w:r w:rsidRPr="007611E2">
        <w:rPr>
          <w:rFonts w:ascii="Arial" w:hAnsi="Arial" w:cs="Arial"/>
          <w:b/>
          <w:color w:val="auto"/>
          <w:sz w:val="20"/>
          <w:szCs w:val="20"/>
        </w:rPr>
        <w:t xml:space="preserve"> </w:t>
      </w:r>
    </w:p>
    <w:p w14:paraId="7C6E7F66" w14:textId="5FC4703C" w:rsidR="001C3864" w:rsidRPr="000312C7" w:rsidRDefault="001C3864" w:rsidP="003C6ECA">
      <w:pPr>
        <w:pStyle w:val="Akapitzlist"/>
        <w:numPr>
          <w:ilvl w:val="0"/>
          <w:numId w:val="26"/>
        </w:numPr>
        <w:spacing w:before="120" w:after="120"/>
        <w:jc w:val="both"/>
        <w:rPr>
          <w:rFonts w:ascii="Arial" w:hAnsi="Arial" w:cs="Arial"/>
          <w:sz w:val="20"/>
          <w:szCs w:val="20"/>
        </w:rPr>
      </w:pPr>
      <w:r w:rsidRPr="000312C7">
        <w:rPr>
          <w:rFonts w:ascii="Arial" w:hAnsi="Arial" w:cs="Arial"/>
          <w:b/>
          <w:sz w:val="20"/>
          <w:szCs w:val="20"/>
        </w:rPr>
        <w:t>Program rozwoju polskich portów morskich do 20</w:t>
      </w:r>
      <w:r w:rsidR="00893B53" w:rsidRPr="000312C7">
        <w:rPr>
          <w:rFonts w:ascii="Arial" w:hAnsi="Arial" w:cs="Arial"/>
          <w:b/>
          <w:sz w:val="20"/>
          <w:szCs w:val="20"/>
        </w:rPr>
        <w:t>30 roku</w:t>
      </w:r>
      <w:r w:rsidRPr="000312C7">
        <w:rPr>
          <w:rFonts w:ascii="Arial" w:hAnsi="Arial" w:cs="Arial"/>
          <w:b/>
          <w:sz w:val="20"/>
          <w:szCs w:val="20"/>
        </w:rPr>
        <w:t>.</w:t>
      </w:r>
    </w:p>
    <w:p w14:paraId="361A6DFB" w14:textId="16D58672" w:rsidR="001C3864" w:rsidRPr="00E73F2D" w:rsidRDefault="00213ACC" w:rsidP="001C3864">
      <w:pPr>
        <w:spacing w:before="120" w:after="120" w:line="276" w:lineRule="auto"/>
        <w:jc w:val="both"/>
        <w:rPr>
          <w:rFonts w:ascii="Arial" w:hAnsi="Arial" w:cs="Arial"/>
          <w:sz w:val="20"/>
          <w:szCs w:val="20"/>
        </w:rPr>
      </w:pPr>
      <w:r w:rsidRPr="00E73F2D">
        <w:rPr>
          <w:rFonts w:ascii="Arial" w:hAnsi="Arial" w:cs="Arial"/>
          <w:sz w:val="20"/>
          <w:szCs w:val="20"/>
        </w:rPr>
        <w:t xml:space="preserve">W dniu </w:t>
      </w:r>
      <w:r w:rsidR="001C3864" w:rsidRPr="00E73F2D">
        <w:rPr>
          <w:rFonts w:ascii="Arial" w:hAnsi="Arial" w:cs="Arial"/>
          <w:sz w:val="20"/>
          <w:szCs w:val="20"/>
        </w:rPr>
        <w:t>17 września 2</w:t>
      </w:r>
      <w:r w:rsidRPr="00E73F2D">
        <w:rPr>
          <w:rFonts w:ascii="Arial" w:hAnsi="Arial" w:cs="Arial"/>
          <w:sz w:val="20"/>
          <w:szCs w:val="20"/>
        </w:rPr>
        <w:t>019 r. Rada Ministrów przyjęła U</w:t>
      </w:r>
      <w:r w:rsidR="001C3864" w:rsidRPr="00E73F2D">
        <w:rPr>
          <w:rFonts w:ascii="Arial" w:hAnsi="Arial" w:cs="Arial"/>
          <w:sz w:val="20"/>
          <w:szCs w:val="20"/>
        </w:rPr>
        <w:t xml:space="preserve">chwałę </w:t>
      </w:r>
      <w:r w:rsidRPr="00F44DBF">
        <w:rPr>
          <w:rFonts w:ascii="Arial" w:hAnsi="Arial" w:cs="Arial"/>
          <w:sz w:val="20"/>
          <w:szCs w:val="20"/>
        </w:rPr>
        <w:t>nr 100 Rady Ministrów</w:t>
      </w:r>
      <w:r w:rsidRPr="00E73F2D">
        <w:rPr>
          <w:rFonts w:ascii="Arial" w:hAnsi="Arial" w:cs="Arial"/>
          <w:b/>
          <w:sz w:val="20"/>
          <w:szCs w:val="20"/>
        </w:rPr>
        <w:t xml:space="preserve"> </w:t>
      </w:r>
      <w:r w:rsidR="001C3864" w:rsidRPr="00E73F2D">
        <w:rPr>
          <w:rFonts w:ascii="Arial" w:hAnsi="Arial" w:cs="Arial"/>
          <w:sz w:val="20"/>
          <w:szCs w:val="20"/>
        </w:rPr>
        <w:t xml:space="preserve">w sprawie przyjęcia programu pod nazwą: „Program rozwoju polskich portów morskich do 2030 roku”. </w:t>
      </w:r>
      <w:r w:rsidRPr="00E73F2D">
        <w:rPr>
          <w:rFonts w:ascii="Arial" w:hAnsi="Arial" w:cs="Arial"/>
          <w:sz w:val="20"/>
          <w:szCs w:val="20"/>
        </w:rPr>
        <w:t xml:space="preserve">Ten strategiczny dokument rządowy </w:t>
      </w:r>
      <w:r w:rsidR="001C3864" w:rsidRPr="00E73F2D">
        <w:rPr>
          <w:rFonts w:ascii="Arial" w:hAnsi="Arial" w:cs="Arial"/>
          <w:sz w:val="20"/>
          <w:szCs w:val="20"/>
        </w:rPr>
        <w:t xml:space="preserve">przygotowany został </w:t>
      </w:r>
      <w:r w:rsidR="00B948E7">
        <w:rPr>
          <w:rFonts w:ascii="Arial" w:hAnsi="Arial" w:cs="Arial"/>
          <w:sz w:val="20"/>
          <w:szCs w:val="20"/>
        </w:rPr>
        <w:t>w</w:t>
      </w:r>
      <w:r w:rsidRPr="00E73F2D">
        <w:rPr>
          <w:rFonts w:ascii="Arial" w:hAnsi="Arial" w:cs="Arial"/>
          <w:sz w:val="20"/>
          <w:szCs w:val="20"/>
        </w:rPr>
        <w:t xml:space="preserve"> celu dalszego usprawnienia funkcjonowania polskich portów morskich, wzmocnienia procesu ich rozwoju, a także wykorzystania w pełni potencjału, jakim </w:t>
      </w:r>
      <w:r w:rsidR="00F20DCE">
        <w:rPr>
          <w:rFonts w:ascii="Arial" w:hAnsi="Arial" w:cs="Arial"/>
          <w:sz w:val="20"/>
          <w:szCs w:val="20"/>
        </w:rPr>
        <w:t xml:space="preserve">porty </w:t>
      </w:r>
      <w:r w:rsidRPr="00E73F2D">
        <w:rPr>
          <w:rFonts w:ascii="Arial" w:hAnsi="Arial" w:cs="Arial"/>
          <w:sz w:val="20"/>
          <w:szCs w:val="20"/>
        </w:rPr>
        <w:t>dysponują</w:t>
      </w:r>
      <w:r w:rsidR="00B948E7">
        <w:rPr>
          <w:rFonts w:ascii="Arial" w:hAnsi="Arial" w:cs="Arial"/>
          <w:sz w:val="20"/>
          <w:szCs w:val="20"/>
        </w:rPr>
        <w:t xml:space="preserve">. </w:t>
      </w:r>
      <w:r w:rsidR="001C3864" w:rsidRPr="00E73F2D">
        <w:rPr>
          <w:rFonts w:ascii="Arial" w:hAnsi="Arial" w:cs="Arial"/>
          <w:sz w:val="20"/>
          <w:szCs w:val="20"/>
        </w:rPr>
        <w:t xml:space="preserve">Program </w:t>
      </w:r>
      <w:r w:rsidR="00B948E7">
        <w:rPr>
          <w:rFonts w:ascii="Arial" w:hAnsi="Arial" w:cs="Arial"/>
          <w:sz w:val="20"/>
          <w:szCs w:val="20"/>
        </w:rPr>
        <w:t>jest</w:t>
      </w:r>
      <w:r w:rsidR="001C3864" w:rsidRPr="00E73F2D">
        <w:rPr>
          <w:rFonts w:ascii="Arial" w:hAnsi="Arial" w:cs="Arial"/>
          <w:sz w:val="20"/>
          <w:szCs w:val="20"/>
        </w:rPr>
        <w:t xml:space="preserve"> dokumentem o charakterze operacyjno-wdrożeniowym, realizującym także cele zawarte w „Strategii </w:t>
      </w:r>
      <w:r w:rsidR="00B948E7">
        <w:rPr>
          <w:rFonts w:ascii="Arial" w:hAnsi="Arial" w:cs="Arial"/>
          <w:sz w:val="20"/>
          <w:szCs w:val="20"/>
        </w:rPr>
        <w:t xml:space="preserve">Zrównoważonego </w:t>
      </w:r>
      <w:r w:rsidR="001C3864" w:rsidRPr="00E73F2D">
        <w:rPr>
          <w:rFonts w:ascii="Arial" w:hAnsi="Arial" w:cs="Arial"/>
          <w:sz w:val="20"/>
          <w:szCs w:val="20"/>
        </w:rPr>
        <w:t>Rozwoju Transportu do 20</w:t>
      </w:r>
      <w:r w:rsidR="00F20DCE">
        <w:rPr>
          <w:rFonts w:ascii="Arial" w:hAnsi="Arial" w:cs="Arial"/>
          <w:sz w:val="20"/>
          <w:szCs w:val="20"/>
        </w:rPr>
        <w:t>3</w:t>
      </w:r>
      <w:r w:rsidR="001C3864" w:rsidRPr="00E73F2D">
        <w:rPr>
          <w:rFonts w:ascii="Arial" w:hAnsi="Arial" w:cs="Arial"/>
          <w:sz w:val="20"/>
          <w:szCs w:val="20"/>
        </w:rPr>
        <w:t>0 roku</w:t>
      </w:r>
      <w:r w:rsidR="00F20DCE">
        <w:rPr>
          <w:rFonts w:ascii="Arial" w:hAnsi="Arial" w:cs="Arial"/>
          <w:sz w:val="20"/>
          <w:szCs w:val="20"/>
        </w:rPr>
        <w:t>”</w:t>
      </w:r>
      <w:r w:rsidR="001C3864" w:rsidRPr="00E73F2D">
        <w:rPr>
          <w:rFonts w:ascii="Arial" w:hAnsi="Arial" w:cs="Arial"/>
          <w:sz w:val="20"/>
          <w:szCs w:val="20"/>
        </w:rPr>
        <w:t xml:space="preserve"> </w:t>
      </w:r>
      <w:r w:rsidR="00F44DBF">
        <w:rPr>
          <w:rFonts w:ascii="Arial" w:hAnsi="Arial" w:cs="Arial"/>
          <w:sz w:val="20"/>
          <w:szCs w:val="20"/>
        </w:rPr>
        <w:t>w zakresie portów morskich, a także</w:t>
      </w:r>
      <w:r w:rsidR="001C3864" w:rsidRPr="00E73F2D">
        <w:rPr>
          <w:rFonts w:ascii="Arial" w:hAnsi="Arial" w:cs="Arial"/>
          <w:sz w:val="20"/>
          <w:szCs w:val="20"/>
        </w:rPr>
        <w:t xml:space="preserve"> </w:t>
      </w:r>
      <w:r w:rsidR="00F44DBF" w:rsidRPr="00E73F2D">
        <w:rPr>
          <w:rFonts w:ascii="Arial" w:hAnsi="Arial" w:cs="Arial"/>
          <w:sz w:val="20"/>
          <w:szCs w:val="20"/>
        </w:rPr>
        <w:t xml:space="preserve">„Strategii na rzecz Odpowiedzialnego Rozwoju do roku 2020 (z perspektywą do 2030 r.)”, tj. najważniejszego strategicznego </w:t>
      </w:r>
      <w:r w:rsidR="00285043">
        <w:rPr>
          <w:rFonts w:ascii="Arial" w:hAnsi="Arial" w:cs="Arial"/>
          <w:sz w:val="20"/>
          <w:szCs w:val="20"/>
        </w:rPr>
        <w:t xml:space="preserve">dokumentu w obszarze średnio- i </w:t>
      </w:r>
      <w:r w:rsidR="00F44DBF" w:rsidRPr="00E73F2D">
        <w:rPr>
          <w:rFonts w:ascii="Arial" w:hAnsi="Arial" w:cs="Arial"/>
          <w:sz w:val="20"/>
          <w:szCs w:val="20"/>
        </w:rPr>
        <w:t xml:space="preserve">długofalowej polityki gospodarczej, w której wskazany został jako jeden </w:t>
      </w:r>
      <w:r w:rsidR="00285043">
        <w:rPr>
          <w:rFonts w:ascii="Arial" w:hAnsi="Arial" w:cs="Arial"/>
          <w:sz w:val="20"/>
          <w:szCs w:val="20"/>
        </w:rPr>
        <w:t>z tzw. projektów strategicznych.</w:t>
      </w:r>
    </w:p>
    <w:p w14:paraId="0403C280" w14:textId="61C65940" w:rsidR="00E73F2D" w:rsidRPr="004C6CC5" w:rsidRDefault="00E73F2D" w:rsidP="00E73F2D">
      <w:pPr>
        <w:spacing w:line="276" w:lineRule="auto"/>
        <w:jc w:val="both"/>
        <w:rPr>
          <w:rFonts w:ascii="Arial" w:hAnsi="Arial" w:cs="Arial"/>
          <w:sz w:val="20"/>
          <w:szCs w:val="20"/>
        </w:rPr>
      </w:pPr>
      <w:r w:rsidRPr="004C6CC5">
        <w:rPr>
          <w:rFonts w:ascii="Arial" w:hAnsi="Arial" w:cs="Arial"/>
          <w:sz w:val="20"/>
          <w:szCs w:val="20"/>
        </w:rPr>
        <w:lastRenderedPageBreak/>
        <w:t>Program określa cele</w:t>
      </w:r>
      <w:r w:rsidR="008B67D3">
        <w:rPr>
          <w:rFonts w:ascii="Arial" w:hAnsi="Arial" w:cs="Arial"/>
          <w:sz w:val="20"/>
          <w:szCs w:val="20"/>
        </w:rPr>
        <w:t xml:space="preserve"> i </w:t>
      </w:r>
      <w:r w:rsidRPr="004C6CC5">
        <w:rPr>
          <w:rFonts w:ascii="Arial" w:hAnsi="Arial" w:cs="Arial"/>
          <w:sz w:val="20"/>
          <w:szCs w:val="20"/>
        </w:rPr>
        <w:t xml:space="preserve">priorytety rozwojowe portów, wskazuje najważniejsze kierunki ich rozwoju, </w:t>
      </w:r>
      <w:r w:rsidRPr="004C6CC5">
        <w:rPr>
          <w:rFonts w:ascii="Arial" w:hAnsi="Arial" w:cs="Arial"/>
          <w:sz w:val="20"/>
          <w:szCs w:val="20"/>
        </w:rPr>
        <w:br/>
        <w:t>a także wyznacza konkretne przedsięwzięcia inwestycyjne do realizacji. Celem głównym programu jest trwałe umocnienie polskich portów morskich jako liderów wśród portów morskich basenu Morza Bałtyckiego, pełniących rolę kluczowych węzłów globalnych łańcuchów dostaw</w:t>
      </w:r>
      <w:r w:rsidR="00E86E38">
        <w:rPr>
          <w:rFonts w:ascii="Arial" w:hAnsi="Arial" w:cs="Arial"/>
          <w:sz w:val="20"/>
          <w:szCs w:val="20"/>
        </w:rPr>
        <w:t xml:space="preserve"> dla Europy Środkowo-Wschodniej</w:t>
      </w:r>
      <w:r w:rsidRPr="004C6CC5">
        <w:rPr>
          <w:rFonts w:ascii="Arial" w:hAnsi="Arial" w:cs="Arial"/>
          <w:sz w:val="20"/>
          <w:szCs w:val="20"/>
        </w:rPr>
        <w:t xml:space="preserve"> oraz zwiększenie ich udziału</w:t>
      </w:r>
      <w:r>
        <w:rPr>
          <w:rFonts w:ascii="Arial" w:hAnsi="Arial" w:cs="Arial"/>
          <w:sz w:val="20"/>
          <w:szCs w:val="20"/>
        </w:rPr>
        <w:t xml:space="preserve"> w </w:t>
      </w:r>
      <w:r w:rsidRPr="004C6CC5">
        <w:rPr>
          <w:rFonts w:ascii="Arial" w:hAnsi="Arial" w:cs="Arial"/>
          <w:sz w:val="20"/>
          <w:szCs w:val="20"/>
        </w:rPr>
        <w:t>rozwoju społeczno-gospodarczym kraju.</w:t>
      </w:r>
    </w:p>
    <w:p w14:paraId="1F49633F" w14:textId="2E46FE82" w:rsidR="00E73F2D" w:rsidRPr="004C6CC5" w:rsidRDefault="00E73F2D" w:rsidP="00E73F2D">
      <w:pPr>
        <w:spacing w:line="276" w:lineRule="auto"/>
        <w:jc w:val="both"/>
        <w:rPr>
          <w:rFonts w:ascii="Arial" w:hAnsi="Arial" w:cs="Arial"/>
          <w:sz w:val="20"/>
          <w:szCs w:val="20"/>
        </w:rPr>
      </w:pPr>
      <w:r w:rsidRPr="004C6CC5">
        <w:rPr>
          <w:rFonts w:ascii="Arial" w:hAnsi="Arial" w:cs="Arial"/>
          <w:sz w:val="20"/>
          <w:szCs w:val="20"/>
        </w:rPr>
        <w:t>W programie kompleksowo uregulowano problematykę rozwoju polskich portów</w:t>
      </w:r>
      <w:r>
        <w:rPr>
          <w:rFonts w:ascii="Arial" w:hAnsi="Arial" w:cs="Arial"/>
          <w:sz w:val="20"/>
          <w:szCs w:val="20"/>
        </w:rPr>
        <w:t xml:space="preserve"> i </w:t>
      </w:r>
      <w:r w:rsidRPr="004C6CC5">
        <w:rPr>
          <w:rFonts w:ascii="Arial" w:hAnsi="Arial" w:cs="Arial"/>
          <w:sz w:val="20"/>
          <w:szCs w:val="20"/>
        </w:rPr>
        <w:t>przystani morskich. Oprócz działań ściśle związanych</w:t>
      </w:r>
      <w:r>
        <w:rPr>
          <w:rFonts w:ascii="Arial" w:hAnsi="Arial" w:cs="Arial"/>
          <w:sz w:val="20"/>
          <w:szCs w:val="20"/>
        </w:rPr>
        <w:t xml:space="preserve"> z </w:t>
      </w:r>
      <w:r w:rsidRPr="004C6CC5">
        <w:rPr>
          <w:rFonts w:ascii="Arial" w:hAnsi="Arial" w:cs="Arial"/>
          <w:sz w:val="20"/>
          <w:szCs w:val="20"/>
        </w:rPr>
        <w:t>inwestycjami</w:t>
      </w:r>
      <w:r>
        <w:rPr>
          <w:rFonts w:ascii="Arial" w:hAnsi="Arial" w:cs="Arial"/>
          <w:sz w:val="20"/>
          <w:szCs w:val="20"/>
        </w:rPr>
        <w:t xml:space="preserve"> w </w:t>
      </w:r>
      <w:r w:rsidRPr="004C6CC5">
        <w:rPr>
          <w:rFonts w:ascii="Arial" w:hAnsi="Arial" w:cs="Arial"/>
          <w:sz w:val="20"/>
          <w:szCs w:val="20"/>
        </w:rPr>
        <w:t>infrastrukturę portową zdefiniowano</w:t>
      </w:r>
      <w:r>
        <w:rPr>
          <w:rFonts w:ascii="Arial" w:hAnsi="Arial" w:cs="Arial"/>
          <w:sz w:val="20"/>
          <w:szCs w:val="20"/>
        </w:rPr>
        <w:t xml:space="preserve"> w </w:t>
      </w:r>
      <w:r w:rsidRPr="004C6CC5">
        <w:rPr>
          <w:rFonts w:ascii="Arial" w:hAnsi="Arial" w:cs="Arial"/>
          <w:sz w:val="20"/>
          <w:szCs w:val="20"/>
        </w:rPr>
        <w:t>nim również działania dotyczące rozwoju infrastruktury dostępowej do portów morskich od strony morza</w:t>
      </w:r>
      <w:r>
        <w:rPr>
          <w:rFonts w:ascii="Arial" w:hAnsi="Arial" w:cs="Arial"/>
          <w:sz w:val="20"/>
          <w:szCs w:val="20"/>
        </w:rPr>
        <w:t xml:space="preserve"> i </w:t>
      </w:r>
      <w:r w:rsidRPr="004C6CC5">
        <w:rPr>
          <w:rFonts w:ascii="Arial" w:hAnsi="Arial" w:cs="Arial"/>
          <w:sz w:val="20"/>
          <w:szCs w:val="20"/>
        </w:rPr>
        <w:t xml:space="preserve">lądu, </w:t>
      </w:r>
      <w:r w:rsidRPr="004C6CC5">
        <w:rPr>
          <w:rFonts w:ascii="Arial" w:hAnsi="Arial" w:cs="Arial"/>
          <w:sz w:val="20"/>
          <w:szCs w:val="20"/>
        </w:rPr>
        <w:br/>
        <w:t>w tym rozwój korytarzy drogowych</w:t>
      </w:r>
      <w:r w:rsidR="00834522">
        <w:rPr>
          <w:rFonts w:ascii="Arial" w:hAnsi="Arial" w:cs="Arial"/>
          <w:sz w:val="20"/>
          <w:szCs w:val="20"/>
        </w:rPr>
        <w:t xml:space="preserve"> i </w:t>
      </w:r>
      <w:r w:rsidRPr="004C6CC5">
        <w:rPr>
          <w:rFonts w:ascii="Arial" w:hAnsi="Arial" w:cs="Arial"/>
          <w:sz w:val="20"/>
          <w:szCs w:val="20"/>
        </w:rPr>
        <w:t>kolejowych oraz szlaków rzecznych, zapewniających lepszą dostępność transportową do portów morskich, a także wskazano działania służące ochronie środowiska</w:t>
      </w:r>
      <w:r>
        <w:rPr>
          <w:rFonts w:ascii="Arial" w:hAnsi="Arial" w:cs="Arial"/>
          <w:sz w:val="20"/>
          <w:szCs w:val="20"/>
        </w:rPr>
        <w:t xml:space="preserve"> i </w:t>
      </w:r>
      <w:r w:rsidRPr="004C6CC5">
        <w:rPr>
          <w:rFonts w:ascii="Arial" w:hAnsi="Arial" w:cs="Arial"/>
          <w:sz w:val="20"/>
          <w:szCs w:val="20"/>
        </w:rPr>
        <w:t xml:space="preserve">poprawie bezpieczeństwa uczestników ruchu portowego. </w:t>
      </w:r>
    </w:p>
    <w:p w14:paraId="5D712AF2" w14:textId="7EE16432" w:rsidR="00E73F2D" w:rsidRPr="004C6CC5" w:rsidRDefault="00E73F2D" w:rsidP="00E73F2D">
      <w:pPr>
        <w:spacing w:line="276" w:lineRule="auto"/>
        <w:jc w:val="both"/>
        <w:rPr>
          <w:rFonts w:ascii="Arial" w:hAnsi="Arial" w:cs="Arial"/>
          <w:sz w:val="20"/>
          <w:szCs w:val="20"/>
        </w:rPr>
      </w:pPr>
      <w:r w:rsidRPr="004C6CC5">
        <w:rPr>
          <w:rFonts w:ascii="Arial" w:hAnsi="Arial" w:cs="Arial"/>
          <w:sz w:val="20"/>
          <w:szCs w:val="20"/>
        </w:rPr>
        <w:t>Wśród najważniejszych inwestycji ujętych</w:t>
      </w:r>
      <w:r>
        <w:rPr>
          <w:rFonts w:ascii="Arial" w:hAnsi="Arial" w:cs="Arial"/>
          <w:sz w:val="20"/>
          <w:szCs w:val="20"/>
        </w:rPr>
        <w:t xml:space="preserve"> w </w:t>
      </w:r>
      <w:r w:rsidRPr="004C6CC5">
        <w:rPr>
          <w:rFonts w:ascii="Arial" w:hAnsi="Arial" w:cs="Arial"/>
          <w:sz w:val="20"/>
          <w:szCs w:val="20"/>
        </w:rPr>
        <w:t>programie znajduje się m.in.: budowa drogi wodnej łączącej Zalew Wiślany</w:t>
      </w:r>
      <w:r>
        <w:rPr>
          <w:rFonts w:ascii="Arial" w:hAnsi="Arial" w:cs="Arial"/>
          <w:sz w:val="20"/>
          <w:szCs w:val="20"/>
        </w:rPr>
        <w:t xml:space="preserve"> z </w:t>
      </w:r>
      <w:r w:rsidRPr="004C6CC5">
        <w:rPr>
          <w:rFonts w:ascii="Arial" w:hAnsi="Arial" w:cs="Arial"/>
          <w:sz w:val="20"/>
          <w:szCs w:val="20"/>
        </w:rPr>
        <w:t>Zatoką Gdańską, modernizacja toru wodnego Świnoujście-Szczecin d</w:t>
      </w:r>
      <w:r w:rsidR="00834522">
        <w:rPr>
          <w:rFonts w:ascii="Arial" w:hAnsi="Arial" w:cs="Arial"/>
          <w:sz w:val="20"/>
          <w:szCs w:val="20"/>
        </w:rPr>
        <w:t>o głębokości 12,5 m oraz budowa</w:t>
      </w:r>
      <w:r w:rsidRPr="004C6CC5">
        <w:rPr>
          <w:rFonts w:ascii="Arial" w:hAnsi="Arial" w:cs="Arial"/>
          <w:sz w:val="20"/>
          <w:szCs w:val="20"/>
        </w:rPr>
        <w:t xml:space="preserve"> Portu Centralnego</w:t>
      </w:r>
      <w:r>
        <w:rPr>
          <w:rFonts w:ascii="Arial" w:hAnsi="Arial" w:cs="Arial"/>
          <w:sz w:val="20"/>
          <w:szCs w:val="20"/>
        </w:rPr>
        <w:t xml:space="preserve"> w </w:t>
      </w:r>
      <w:r w:rsidRPr="004C6CC5">
        <w:rPr>
          <w:rFonts w:ascii="Arial" w:hAnsi="Arial" w:cs="Arial"/>
          <w:sz w:val="20"/>
          <w:szCs w:val="20"/>
        </w:rPr>
        <w:t>Gdańsku, Portu Zewnętrznego</w:t>
      </w:r>
      <w:r>
        <w:rPr>
          <w:rFonts w:ascii="Arial" w:hAnsi="Arial" w:cs="Arial"/>
          <w:sz w:val="20"/>
          <w:szCs w:val="20"/>
        </w:rPr>
        <w:t xml:space="preserve"> w </w:t>
      </w:r>
      <w:r w:rsidRPr="004C6CC5">
        <w:rPr>
          <w:rFonts w:ascii="Arial" w:hAnsi="Arial" w:cs="Arial"/>
          <w:sz w:val="20"/>
          <w:szCs w:val="20"/>
        </w:rPr>
        <w:t>Gdyni</w:t>
      </w:r>
      <w:r>
        <w:rPr>
          <w:rFonts w:ascii="Arial" w:hAnsi="Arial" w:cs="Arial"/>
          <w:sz w:val="20"/>
          <w:szCs w:val="20"/>
        </w:rPr>
        <w:t xml:space="preserve"> i </w:t>
      </w:r>
      <w:r w:rsidRPr="004C6CC5">
        <w:rPr>
          <w:rFonts w:ascii="Arial" w:hAnsi="Arial" w:cs="Arial"/>
          <w:sz w:val="20"/>
          <w:szCs w:val="20"/>
        </w:rPr>
        <w:t>Terminala Kontenerowego</w:t>
      </w:r>
      <w:r>
        <w:rPr>
          <w:rFonts w:ascii="Arial" w:hAnsi="Arial" w:cs="Arial"/>
          <w:sz w:val="20"/>
          <w:szCs w:val="20"/>
        </w:rPr>
        <w:t xml:space="preserve"> w </w:t>
      </w:r>
      <w:r w:rsidRPr="004C6CC5">
        <w:rPr>
          <w:rFonts w:ascii="Arial" w:hAnsi="Arial" w:cs="Arial"/>
          <w:sz w:val="20"/>
          <w:szCs w:val="20"/>
        </w:rPr>
        <w:t xml:space="preserve">Świnoujściu. </w:t>
      </w:r>
    </w:p>
    <w:p w14:paraId="3FAF1E95" w14:textId="5B852578" w:rsidR="00E73F2D" w:rsidRPr="00487FF0" w:rsidRDefault="00B34F3E" w:rsidP="00487FF0">
      <w:pPr>
        <w:spacing w:before="120" w:after="120" w:line="276" w:lineRule="auto"/>
        <w:jc w:val="both"/>
        <w:rPr>
          <w:rFonts w:ascii="Arial" w:eastAsia="Times New Roman" w:hAnsi="Arial" w:cs="Arial"/>
          <w:sz w:val="20"/>
          <w:szCs w:val="20"/>
          <w:lang w:eastAsia="pl-PL"/>
        </w:rPr>
      </w:pPr>
      <w:r w:rsidRPr="00E73F2D">
        <w:rPr>
          <w:rFonts w:ascii="Arial" w:eastAsia="Times New Roman" w:hAnsi="Arial" w:cs="Arial"/>
          <w:sz w:val="20"/>
          <w:szCs w:val="20"/>
          <w:lang w:eastAsia="pl-PL"/>
        </w:rPr>
        <w:t>Program obejmuje trzy województwa: pomorskie, zachodniopomorskie oraz warmińsko-mazurskie. Uwzględniono w nim: 4 porty morskie o podstawowym znaczeniu dla gospodarki narodowej (Gdańsk, Gdynia, Szczecin, Świnoujście), 28 portów niemających podstawowego znaczenia dla gospodarki narodowej, w tym 9 portów regionalnych i 19 portów lokalnych oraz 50 przystani.</w:t>
      </w:r>
      <w:r>
        <w:rPr>
          <w:rFonts w:ascii="Arial" w:eastAsia="Times New Roman" w:hAnsi="Arial" w:cs="Arial"/>
          <w:sz w:val="20"/>
          <w:szCs w:val="20"/>
          <w:lang w:eastAsia="pl-PL"/>
        </w:rPr>
        <w:t xml:space="preserve"> </w:t>
      </w:r>
      <w:r w:rsidRPr="00E73F2D">
        <w:rPr>
          <w:rFonts w:ascii="Arial" w:eastAsia="Times New Roman" w:hAnsi="Arial" w:cs="Arial"/>
          <w:sz w:val="20"/>
          <w:szCs w:val="20"/>
          <w:lang w:eastAsia="pl-PL"/>
        </w:rPr>
        <w:t>Na wszystkie inwestycje wskazane w planie finansowym programu trzeba będzie przeznaczyć blisko 40 mld zł.</w:t>
      </w:r>
      <w:r w:rsidR="00487FF0">
        <w:rPr>
          <w:rFonts w:ascii="Arial" w:eastAsia="Times New Roman" w:hAnsi="Arial" w:cs="Arial"/>
          <w:sz w:val="20"/>
          <w:szCs w:val="20"/>
          <w:lang w:eastAsia="pl-PL"/>
        </w:rPr>
        <w:t xml:space="preserve"> </w:t>
      </w:r>
      <w:r w:rsidR="00E73F2D" w:rsidRPr="004C6CC5">
        <w:rPr>
          <w:rFonts w:ascii="Arial" w:hAnsi="Arial" w:cs="Arial"/>
          <w:sz w:val="20"/>
          <w:szCs w:val="20"/>
        </w:rPr>
        <w:t xml:space="preserve">Realizowane będą </w:t>
      </w:r>
      <w:r w:rsidR="00487FF0">
        <w:rPr>
          <w:rFonts w:ascii="Arial" w:hAnsi="Arial" w:cs="Arial"/>
          <w:sz w:val="20"/>
          <w:szCs w:val="20"/>
        </w:rPr>
        <w:t xml:space="preserve">one </w:t>
      </w:r>
      <w:r w:rsidR="00E73F2D" w:rsidRPr="004C6CC5">
        <w:rPr>
          <w:rFonts w:ascii="Arial" w:hAnsi="Arial" w:cs="Arial"/>
          <w:sz w:val="20"/>
          <w:szCs w:val="20"/>
        </w:rPr>
        <w:t>m.in.</w:t>
      </w:r>
      <w:r w:rsidR="00E73F2D">
        <w:rPr>
          <w:rFonts w:ascii="Arial" w:hAnsi="Arial" w:cs="Arial"/>
          <w:sz w:val="20"/>
          <w:szCs w:val="20"/>
        </w:rPr>
        <w:t xml:space="preserve"> z </w:t>
      </w:r>
      <w:r w:rsidR="00E73F2D" w:rsidRPr="004C6CC5">
        <w:rPr>
          <w:rFonts w:ascii="Arial" w:hAnsi="Arial" w:cs="Arial"/>
          <w:sz w:val="20"/>
          <w:szCs w:val="20"/>
        </w:rPr>
        <w:t>budżetu państwa, przy wsparciu środków UE, a także</w:t>
      </w:r>
      <w:r w:rsidR="00E73F2D">
        <w:rPr>
          <w:rFonts w:ascii="Arial" w:hAnsi="Arial" w:cs="Arial"/>
          <w:sz w:val="20"/>
          <w:szCs w:val="20"/>
        </w:rPr>
        <w:t xml:space="preserve"> w </w:t>
      </w:r>
      <w:r w:rsidR="00E73F2D" w:rsidRPr="004C6CC5">
        <w:rPr>
          <w:rFonts w:ascii="Arial" w:hAnsi="Arial" w:cs="Arial"/>
          <w:sz w:val="20"/>
          <w:szCs w:val="20"/>
        </w:rPr>
        <w:t>ramach partnerstwa publiczno-prywatnego.</w:t>
      </w:r>
    </w:p>
    <w:p w14:paraId="33445C4C" w14:textId="1D779014" w:rsidR="007611E2" w:rsidRPr="000B5F67" w:rsidRDefault="005C1A68" w:rsidP="003C6ECA">
      <w:pPr>
        <w:pStyle w:val="Akapitzlist"/>
        <w:numPr>
          <w:ilvl w:val="0"/>
          <w:numId w:val="30"/>
        </w:numPr>
        <w:rPr>
          <w:rFonts w:ascii="Arial" w:hAnsi="Arial" w:cs="Arial"/>
          <w:b/>
          <w:sz w:val="20"/>
          <w:szCs w:val="20"/>
        </w:rPr>
      </w:pPr>
      <w:r w:rsidRPr="000B5F67">
        <w:rPr>
          <w:rFonts w:ascii="Arial" w:hAnsi="Arial" w:cs="Arial"/>
          <w:b/>
          <w:sz w:val="20"/>
          <w:szCs w:val="20"/>
        </w:rPr>
        <w:t>Budowa drogi wodnej łączącej Zalew Wiślany</w:t>
      </w:r>
      <w:r w:rsidR="009D36E1" w:rsidRPr="000B5F67">
        <w:rPr>
          <w:rFonts w:ascii="Arial" w:hAnsi="Arial" w:cs="Arial"/>
          <w:sz w:val="20"/>
          <w:szCs w:val="20"/>
          <w:lang w:eastAsia="pl-PL"/>
        </w:rPr>
        <w:t xml:space="preserve"> </w:t>
      </w:r>
      <w:r w:rsidR="009D36E1" w:rsidRPr="000B5F67">
        <w:rPr>
          <w:rFonts w:ascii="Arial" w:hAnsi="Arial" w:cs="Arial"/>
          <w:b/>
          <w:sz w:val="20"/>
          <w:szCs w:val="20"/>
        </w:rPr>
        <w:t>z Zatoką Gdańską na lata 2016</w:t>
      </w:r>
      <w:r w:rsidR="00FD29C2" w:rsidRPr="000B5F67">
        <w:rPr>
          <w:rFonts w:ascii="Arial" w:hAnsi="Arial" w:cs="Arial"/>
          <w:b/>
          <w:sz w:val="20"/>
          <w:szCs w:val="20"/>
        </w:rPr>
        <w:t xml:space="preserve"> </w:t>
      </w:r>
      <w:r w:rsidR="00CD5D07">
        <w:rPr>
          <w:rFonts w:ascii="Arial" w:hAnsi="Arial" w:cs="Arial"/>
          <w:b/>
          <w:sz w:val="20"/>
          <w:szCs w:val="20"/>
        </w:rPr>
        <w:t>-</w:t>
      </w:r>
      <w:r w:rsidR="00FD29C2" w:rsidRPr="000B5F67">
        <w:rPr>
          <w:rFonts w:ascii="Arial" w:hAnsi="Arial" w:cs="Arial"/>
          <w:b/>
          <w:sz w:val="20"/>
          <w:szCs w:val="20"/>
        </w:rPr>
        <w:t xml:space="preserve"> </w:t>
      </w:r>
      <w:r w:rsidR="009D36E1" w:rsidRPr="000B5F67">
        <w:rPr>
          <w:rFonts w:ascii="Arial" w:hAnsi="Arial" w:cs="Arial"/>
          <w:b/>
          <w:sz w:val="20"/>
          <w:szCs w:val="20"/>
        </w:rPr>
        <w:t>2022</w:t>
      </w:r>
      <w:r w:rsidR="00CD5D07">
        <w:rPr>
          <w:rFonts w:ascii="Arial" w:hAnsi="Arial" w:cs="Arial"/>
          <w:b/>
          <w:sz w:val="20"/>
          <w:szCs w:val="20"/>
        </w:rPr>
        <w:t>.</w:t>
      </w:r>
    </w:p>
    <w:p w14:paraId="202161D7" w14:textId="352DFB8D" w:rsidR="00CE08C8" w:rsidRDefault="000F1CEA" w:rsidP="000F1CEA">
      <w:pPr>
        <w:spacing w:line="276" w:lineRule="auto"/>
        <w:jc w:val="both"/>
        <w:rPr>
          <w:rFonts w:ascii="Arial" w:hAnsi="Arial" w:cs="Arial"/>
          <w:sz w:val="20"/>
          <w:szCs w:val="20"/>
        </w:rPr>
      </w:pPr>
      <w:r w:rsidRPr="00A151E5">
        <w:rPr>
          <w:rFonts w:ascii="Arial" w:hAnsi="Arial" w:cs="Arial"/>
          <w:sz w:val="20"/>
          <w:szCs w:val="20"/>
        </w:rPr>
        <w:t xml:space="preserve">Przedsięwzięcie realizowane jest w ramach Programu wieloletniego pn. „Budowa drogi wodnej łączącej Zalew Wiślany z Zatoką Gdańską na lata 2016 </w:t>
      </w:r>
      <w:r w:rsidR="00A551F2">
        <w:rPr>
          <w:rFonts w:ascii="Arial" w:hAnsi="Arial" w:cs="Arial"/>
          <w:sz w:val="20"/>
          <w:szCs w:val="20"/>
        </w:rPr>
        <w:t>-</w:t>
      </w:r>
      <w:r w:rsidRPr="00A151E5">
        <w:rPr>
          <w:rFonts w:ascii="Arial" w:hAnsi="Arial" w:cs="Arial"/>
          <w:sz w:val="20"/>
          <w:szCs w:val="20"/>
        </w:rPr>
        <w:t xml:space="preserve"> 2022”, przyjętego w dniu 24 maja 2016 r. uc</w:t>
      </w:r>
      <w:r w:rsidR="00043522">
        <w:rPr>
          <w:rFonts w:ascii="Arial" w:hAnsi="Arial" w:cs="Arial"/>
          <w:sz w:val="20"/>
          <w:szCs w:val="20"/>
        </w:rPr>
        <w:t xml:space="preserve">hwałą </w:t>
      </w:r>
      <w:r w:rsidR="00250530">
        <w:rPr>
          <w:rFonts w:ascii="Arial" w:hAnsi="Arial" w:cs="Arial"/>
          <w:sz w:val="20"/>
          <w:szCs w:val="20"/>
        </w:rPr>
        <w:br/>
      </w:r>
      <w:r w:rsidR="00043522">
        <w:rPr>
          <w:rFonts w:ascii="Arial" w:hAnsi="Arial" w:cs="Arial"/>
          <w:sz w:val="20"/>
          <w:szCs w:val="20"/>
        </w:rPr>
        <w:t>nr 57/2016 Rady Ministrów</w:t>
      </w:r>
      <w:r w:rsidRPr="00A151E5">
        <w:rPr>
          <w:rFonts w:ascii="Arial" w:hAnsi="Arial" w:cs="Arial"/>
          <w:sz w:val="20"/>
          <w:szCs w:val="20"/>
        </w:rPr>
        <w:t xml:space="preserve"> </w:t>
      </w:r>
      <w:r w:rsidR="00043522" w:rsidRPr="00A151E5">
        <w:rPr>
          <w:rFonts w:ascii="Arial" w:hAnsi="Arial" w:cs="Arial"/>
          <w:sz w:val="20"/>
          <w:szCs w:val="20"/>
        </w:rPr>
        <w:t xml:space="preserve">oraz w oparciu o ustawę z dnia 24 lutego 2017 r. o inwestycjach w zakresie budowy drogi wodnej łączącej Zalew Wiślany z Zatoką Gdańską - tzw. </w:t>
      </w:r>
      <w:r w:rsidR="000F6776">
        <w:rPr>
          <w:rFonts w:ascii="Arial" w:hAnsi="Arial" w:cs="Arial"/>
          <w:sz w:val="20"/>
          <w:szCs w:val="20"/>
        </w:rPr>
        <w:t>Specustawę</w:t>
      </w:r>
      <w:r w:rsidR="00043522" w:rsidRPr="00A151E5">
        <w:rPr>
          <w:rFonts w:ascii="Arial" w:hAnsi="Arial" w:cs="Arial"/>
          <w:sz w:val="20"/>
          <w:szCs w:val="20"/>
        </w:rPr>
        <w:t xml:space="preserve">. </w:t>
      </w:r>
      <w:r w:rsidR="00B533E2" w:rsidRPr="00A151E5">
        <w:rPr>
          <w:rFonts w:ascii="Arial" w:hAnsi="Arial" w:cs="Arial"/>
          <w:sz w:val="20"/>
          <w:szCs w:val="20"/>
        </w:rPr>
        <w:t>Przedsięwzięc</w:t>
      </w:r>
      <w:r w:rsidR="00B533E2">
        <w:rPr>
          <w:rFonts w:ascii="Arial" w:hAnsi="Arial" w:cs="Arial"/>
          <w:sz w:val="20"/>
          <w:szCs w:val="20"/>
        </w:rPr>
        <w:t xml:space="preserve">ie jest priorytetowym zadaniem </w:t>
      </w:r>
      <w:r w:rsidR="00B533E2" w:rsidRPr="00A151E5">
        <w:rPr>
          <w:rFonts w:ascii="Arial" w:hAnsi="Arial" w:cs="Arial"/>
          <w:sz w:val="20"/>
          <w:szCs w:val="20"/>
        </w:rPr>
        <w:t>Rządu z uwagi na nadrzędny interes publiczny, jakim jest zapewnienie bezpieczeństwa publicznego.</w:t>
      </w:r>
      <w:r w:rsidR="00B533E2">
        <w:rPr>
          <w:rFonts w:ascii="Arial" w:hAnsi="Arial" w:cs="Arial"/>
          <w:sz w:val="20"/>
          <w:szCs w:val="20"/>
        </w:rPr>
        <w:t xml:space="preserve"> </w:t>
      </w:r>
    </w:p>
    <w:p w14:paraId="0DE63D06" w14:textId="5348AA97" w:rsidR="000F1CEA" w:rsidRPr="00A151E5" w:rsidRDefault="000F1CEA" w:rsidP="000F1CEA">
      <w:pPr>
        <w:spacing w:line="276" w:lineRule="auto"/>
        <w:jc w:val="both"/>
        <w:rPr>
          <w:rFonts w:ascii="Arial" w:hAnsi="Arial" w:cs="Arial"/>
          <w:sz w:val="20"/>
          <w:szCs w:val="20"/>
        </w:rPr>
      </w:pPr>
      <w:r w:rsidRPr="00A151E5">
        <w:rPr>
          <w:rFonts w:ascii="Arial" w:hAnsi="Arial" w:cs="Arial"/>
          <w:sz w:val="20"/>
          <w:szCs w:val="20"/>
        </w:rPr>
        <w:t>W 2019 r.</w:t>
      </w:r>
      <w:r w:rsidR="00DA16E2">
        <w:rPr>
          <w:rFonts w:ascii="Arial" w:hAnsi="Arial" w:cs="Arial"/>
          <w:sz w:val="20"/>
          <w:szCs w:val="20"/>
        </w:rPr>
        <w:t xml:space="preserve"> </w:t>
      </w:r>
      <w:r w:rsidR="005A4115">
        <w:rPr>
          <w:rFonts w:ascii="Arial" w:hAnsi="Arial" w:cs="Arial"/>
          <w:sz w:val="20"/>
          <w:szCs w:val="20"/>
        </w:rPr>
        <w:t>zmianie uległa wartość Programu -</w:t>
      </w:r>
      <w:r w:rsidRPr="00A151E5">
        <w:rPr>
          <w:rFonts w:ascii="Arial" w:hAnsi="Arial" w:cs="Arial"/>
          <w:sz w:val="20"/>
          <w:szCs w:val="20"/>
        </w:rPr>
        <w:t xml:space="preserve"> z kwoty 880 mln zł na kwotę 1 987,5 mln zł</w:t>
      </w:r>
      <w:r w:rsidR="00DA16E2">
        <w:rPr>
          <w:rFonts w:ascii="Arial" w:hAnsi="Arial" w:cs="Arial"/>
          <w:sz w:val="20"/>
          <w:szCs w:val="20"/>
        </w:rPr>
        <w:t>,</w:t>
      </w:r>
      <w:r w:rsidR="00DA16E2" w:rsidRPr="00DA16E2">
        <w:rPr>
          <w:rFonts w:ascii="Arial" w:hAnsi="Arial" w:cs="Arial"/>
          <w:sz w:val="20"/>
          <w:szCs w:val="20"/>
        </w:rPr>
        <w:t xml:space="preserve"> </w:t>
      </w:r>
      <w:r w:rsidR="00DA16E2" w:rsidRPr="00A151E5">
        <w:rPr>
          <w:rFonts w:ascii="Arial" w:hAnsi="Arial" w:cs="Arial"/>
          <w:sz w:val="20"/>
          <w:szCs w:val="20"/>
        </w:rPr>
        <w:t>przede wszystkim z uwagi na wzrost cen materiałów na rynku budowlanym</w:t>
      </w:r>
      <w:r w:rsidRPr="00A151E5">
        <w:rPr>
          <w:rFonts w:ascii="Arial" w:hAnsi="Arial" w:cs="Arial"/>
          <w:sz w:val="20"/>
          <w:szCs w:val="20"/>
        </w:rPr>
        <w:t xml:space="preserve">, </w:t>
      </w:r>
      <w:r w:rsidR="00043522">
        <w:rPr>
          <w:rFonts w:ascii="Arial" w:hAnsi="Arial" w:cs="Arial"/>
          <w:sz w:val="20"/>
          <w:szCs w:val="20"/>
        </w:rPr>
        <w:t>a także</w:t>
      </w:r>
      <w:r w:rsidR="005A4115">
        <w:rPr>
          <w:rFonts w:ascii="Arial" w:hAnsi="Arial" w:cs="Arial"/>
          <w:sz w:val="20"/>
          <w:szCs w:val="20"/>
        </w:rPr>
        <w:t xml:space="preserve"> zakres Programu </w:t>
      </w:r>
      <w:r w:rsidR="005A4115">
        <w:rPr>
          <w:rFonts w:ascii="Arial" w:hAnsi="Arial" w:cs="Arial"/>
          <w:sz w:val="20"/>
          <w:szCs w:val="20"/>
        </w:rPr>
        <w:br/>
        <w:t>(</w:t>
      </w:r>
      <w:r w:rsidRPr="00A151E5">
        <w:rPr>
          <w:rFonts w:ascii="Arial" w:hAnsi="Arial" w:cs="Arial"/>
          <w:sz w:val="20"/>
          <w:szCs w:val="20"/>
        </w:rPr>
        <w:t>w ramach przedsięwzięcia przewidziano równi</w:t>
      </w:r>
      <w:r w:rsidR="00DA16E2">
        <w:rPr>
          <w:rFonts w:ascii="Arial" w:hAnsi="Arial" w:cs="Arial"/>
          <w:sz w:val="20"/>
          <w:szCs w:val="20"/>
        </w:rPr>
        <w:t>eż likwidację mostu w Nowakowie</w:t>
      </w:r>
      <w:r w:rsidR="005A4115">
        <w:rPr>
          <w:rFonts w:ascii="Arial" w:hAnsi="Arial" w:cs="Arial"/>
          <w:sz w:val="20"/>
          <w:szCs w:val="20"/>
        </w:rPr>
        <w:t>)</w:t>
      </w:r>
      <w:r w:rsidR="00043522">
        <w:rPr>
          <w:rFonts w:ascii="Arial" w:hAnsi="Arial" w:cs="Arial"/>
          <w:sz w:val="20"/>
          <w:szCs w:val="20"/>
        </w:rPr>
        <w:t>.</w:t>
      </w:r>
      <w:r w:rsidRPr="00A151E5">
        <w:rPr>
          <w:rFonts w:ascii="Arial" w:hAnsi="Arial" w:cs="Arial"/>
          <w:sz w:val="20"/>
          <w:szCs w:val="20"/>
        </w:rPr>
        <w:t xml:space="preserve"> Wykonawcą Programu jest Dyrektor Urzędu Morskiego w Gdyni. Minister właściwy do spraw gospodarki morskiej sprawuje nadzór nad realizacją Programu. Program finansowany jest w całości ze środków z budżetu państwa. Realizacja zawartych umów pomiędzy Inwestorem </w:t>
      </w:r>
      <w:r w:rsidR="00043522">
        <w:rPr>
          <w:rFonts w:ascii="Arial" w:hAnsi="Arial" w:cs="Arial"/>
          <w:sz w:val="20"/>
          <w:szCs w:val="20"/>
        </w:rPr>
        <w:t>-</w:t>
      </w:r>
      <w:r w:rsidRPr="00A151E5">
        <w:rPr>
          <w:rFonts w:ascii="Arial" w:hAnsi="Arial" w:cs="Arial"/>
          <w:sz w:val="20"/>
          <w:szCs w:val="20"/>
        </w:rPr>
        <w:t xml:space="preserve"> Urzędem Morskim w Gdyni </w:t>
      </w:r>
      <w:r w:rsidR="00301665">
        <w:rPr>
          <w:rFonts w:ascii="Arial" w:hAnsi="Arial" w:cs="Arial"/>
          <w:sz w:val="20"/>
          <w:szCs w:val="20"/>
        </w:rPr>
        <w:br/>
      </w:r>
      <w:r w:rsidRPr="00A151E5">
        <w:rPr>
          <w:rFonts w:ascii="Arial" w:hAnsi="Arial" w:cs="Arial"/>
          <w:sz w:val="20"/>
          <w:szCs w:val="20"/>
        </w:rPr>
        <w:t>a wykonawcami wyłonionymi w ramach przetargów, odbywa się na podstawie zawartych z nimi umów, zgodnie z załączonymi do tych umów harmonogramami.</w:t>
      </w:r>
    </w:p>
    <w:p w14:paraId="54BFCB6C" w14:textId="550B44D6" w:rsidR="000F1CEA" w:rsidRPr="00A151E5" w:rsidRDefault="000F1CEA" w:rsidP="000F1CEA">
      <w:pPr>
        <w:spacing w:line="276" w:lineRule="auto"/>
        <w:jc w:val="both"/>
        <w:rPr>
          <w:rFonts w:ascii="Arial" w:hAnsi="Arial" w:cs="Arial"/>
          <w:sz w:val="20"/>
          <w:szCs w:val="20"/>
        </w:rPr>
      </w:pPr>
      <w:r w:rsidRPr="00A151E5">
        <w:rPr>
          <w:rFonts w:ascii="Arial" w:hAnsi="Arial" w:cs="Arial"/>
          <w:sz w:val="20"/>
          <w:szCs w:val="20"/>
        </w:rPr>
        <w:t xml:space="preserve">Najistotniejsze osiągnięte </w:t>
      </w:r>
      <w:r w:rsidR="002365B5">
        <w:rPr>
          <w:rFonts w:ascii="Arial" w:hAnsi="Arial" w:cs="Arial"/>
          <w:sz w:val="20"/>
          <w:szCs w:val="20"/>
        </w:rPr>
        <w:t>w 2019 r. zadania w ramach realizacji inwestycji</w:t>
      </w:r>
      <w:r w:rsidRPr="00A151E5">
        <w:rPr>
          <w:rFonts w:ascii="Arial" w:hAnsi="Arial" w:cs="Arial"/>
          <w:sz w:val="20"/>
          <w:szCs w:val="20"/>
        </w:rPr>
        <w:t>:</w:t>
      </w:r>
    </w:p>
    <w:p w14:paraId="5CEBC992" w14:textId="2A0D124D" w:rsidR="000F1CEA" w:rsidRPr="007C6100" w:rsidRDefault="007C6100" w:rsidP="007C6100">
      <w:pPr>
        <w:spacing w:line="276" w:lineRule="auto"/>
        <w:jc w:val="both"/>
        <w:rPr>
          <w:rFonts w:ascii="Arial" w:hAnsi="Arial" w:cs="Arial"/>
          <w:sz w:val="20"/>
          <w:szCs w:val="20"/>
        </w:rPr>
      </w:pPr>
      <w:r>
        <w:rPr>
          <w:rFonts w:ascii="Arial" w:hAnsi="Arial" w:cs="Arial"/>
          <w:sz w:val="20"/>
          <w:szCs w:val="20"/>
        </w:rPr>
        <w:t xml:space="preserve">- </w:t>
      </w:r>
      <w:r w:rsidR="000F1CEA" w:rsidRPr="007C6100">
        <w:rPr>
          <w:rFonts w:ascii="Arial" w:hAnsi="Arial" w:cs="Arial"/>
          <w:sz w:val="20"/>
          <w:szCs w:val="20"/>
        </w:rPr>
        <w:t xml:space="preserve">Decyzja wojewody pomorskiego z dnia 15 lutego 2019 r. o zezwoleniu na realizację inwestycji </w:t>
      </w:r>
      <w:r w:rsidR="00A94CDC">
        <w:rPr>
          <w:rFonts w:ascii="Arial" w:hAnsi="Arial" w:cs="Arial"/>
          <w:sz w:val="20"/>
          <w:szCs w:val="20"/>
        </w:rPr>
        <w:br/>
      </w:r>
      <w:r w:rsidR="000F1CEA" w:rsidRPr="007C6100">
        <w:rPr>
          <w:rFonts w:ascii="Arial" w:hAnsi="Arial" w:cs="Arial"/>
          <w:sz w:val="20"/>
          <w:szCs w:val="20"/>
        </w:rPr>
        <w:t>w zakresi</w:t>
      </w:r>
      <w:r w:rsidR="00A94CDC">
        <w:rPr>
          <w:rFonts w:ascii="Arial" w:hAnsi="Arial" w:cs="Arial"/>
          <w:sz w:val="20"/>
          <w:szCs w:val="20"/>
        </w:rPr>
        <w:t>e infrastruktury dostępowej pn.</w:t>
      </w:r>
      <w:r w:rsidR="000F1CEA" w:rsidRPr="007C6100">
        <w:rPr>
          <w:rFonts w:ascii="Arial" w:hAnsi="Arial" w:cs="Arial"/>
          <w:sz w:val="20"/>
          <w:szCs w:val="20"/>
        </w:rPr>
        <w:t xml:space="preserve"> „Budowa drogi wodnej łączącej Zalew Wiślany z Zatoką Gdańską”, część województwa pomorskiego.</w:t>
      </w:r>
    </w:p>
    <w:p w14:paraId="5CA0CFFC" w14:textId="431F3D18" w:rsidR="000F1CEA" w:rsidRPr="007C6100" w:rsidRDefault="007C6100" w:rsidP="007C6100">
      <w:pPr>
        <w:spacing w:line="276" w:lineRule="auto"/>
        <w:jc w:val="both"/>
        <w:rPr>
          <w:rFonts w:ascii="Arial" w:hAnsi="Arial" w:cs="Arial"/>
          <w:sz w:val="20"/>
          <w:szCs w:val="20"/>
        </w:rPr>
      </w:pPr>
      <w:r>
        <w:rPr>
          <w:rFonts w:ascii="Arial" w:hAnsi="Arial" w:cs="Arial"/>
          <w:sz w:val="20"/>
          <w:szCs w:val="20"/>
        </w:rPr>
        <w:t xml:space="preserve">- </w:t>
      </w:r>
      <w:r w:rsidR="000F1CEA" w:rsidRPr="007C6100">
        <w:rPr>
          <w:rFonts w:ascii="Arial" w:hAnsi="Arial" w:cs="Arial"/>
          <w:sz w:val="20"/>
          <w:szCs w:val="20"/>
        </w:rPr>
        <w:t>Decyzja wojewody pomorskiego z dnia 24.06.2019 r. o zezwoleniu na realizację inwestycji w zakresi</w:t>
      </w:r>
      <w:r w:rsidR="00A94CDC">
        <w:rPr>
          <w:rFonts w:ascii="Arial" w:hAnsi="Arial" w:cs="Arial"/>
          <w:sz w:val="20"/>
          <w:szCs w:val="20"/>
        </w:rPr>
        <w:t>e infrastruktury dostępowej pn.</w:t>
      </w:r>
      <w:r w:rsidR="000F1CEA" w:rsidRPr="007C6100">
        <w:rPr>
          <w:rFonts w:ascii="Arial" w:hAnsi="Arial" w:cs="Arial"/>
          <w:sz w:val="20"/>
          <w:szCs w:val="20"/>
        </w:rPr>
        <w:t xml:space="preserve"> „Budowa drogi wodnej łączącej Zalew Wiślany z Zatoką Gdańską”, część zlokalizowana w województwie warmińsko-mazurskim.</w:t>
      </w:r>
    </w:p>
    <w:p w14:paraId="2057F09B" w14:textId="21405F86" w:rsidR="000F1CEA" w:rsidRPr="007C6100" w:rsidRDefault="007C6100" w:rsidP="007C6100">
      <w:pPr>
        <w:spacing w:line="276" w:lineRule="auto"/>
        <w:jc w:val="both"/>
        <w:rPr>
          <w:rFonts w:ascii="Arial" w:hAnsi="Arial" w:cs="Arial"/>
          <w:sz w:val="20"/>
          <w:szCs w:val="20"/>
        </w:rPr>
      </w:pPr>
      <w:r>
        <w:rPr>
          <w:rFonts w:ascii="Arial" w:hAnsi="Arial" w:cs="Arial"/>
          <w:sz w:val="20"/>
          <w:szCs w:val="20"/>
        </w:rPr>
        <w:t xml:space="preserve">- </w:t>
      </w:r>
      <w:r w:rsidR="00F56E8B">
        <w:rPr>
          <w:rFonts w:ascii="Arial" w:hAnsi="Arial" w:cs="Arial"/>
          <w:sz w:val="20"/>
          <w:szCs w:val="20"/>
        </w:rPr>
        <w:t>w dniu</w:t>
      </w:r>
      <w:r w:rsidR="000F1CEA" w:rsidRPr="007C6100">
        <w:rPr>
          <w:rFonts w:ascii="Arial" w:hAnsi="Arial" w:cs="Arial"/>
          <w:sz w:val="20"/>
          <w:szCs w:val="20"/>
        </w:rPr>
        <w:t xml:space="preserve"> 4.10.2019 r. podpisano umowę na roboty budowlane – zatwierdzona kwota kontraktowa brutto: 991 622 781,98 zł.</w:t>
      </w:r>
    </w:p>
    <w:p w14:paraId="68B64006" w14:textId="2B940212" w:rsidR="000F1CEA" w:rsidRPr="007C6100" w:rsidRDefault="007C6100" w:rsidP="007C6100">
      <w:pPr>
        <w:spacing w:line="276" w:lineRule="auto"/>
        <w:jc w:val="both"/>
        <w:rPr>
          <w:rFonts w:ascii="Arial" w:hAnsi="Arial" w:cs="Arial"/>
          <w:sz w:val="20"/>
          <w:szCs w:val="20"/>
        </w:rPr>
      </w:pPr>
      <w:r>
        <w:rPr>
          <w:rFonts w:ascii="Arial" w:hAnsi="Arial" w:cs="Arial"/>
          <w:sz w:val="20"/>
          <w:szCs w:val="20"/>
        </w:rPr>
        <w:lastRenderedPageBreak/>
        <w:t xml:space="preserve">- </w:t>
      </w:r>
      <w:r w:rsidR="00F56E8B">
        <w:rPr>
          <w:rFonts w:ascii="Arial" w:hAnsi="Arial" w:cs="Arial"/>
          <w:sz w:val="20"/>
          <w:szCs w:val="20"/>
        </w:rPr>
        <w:t>w dniu</w:t>
      </w:r>
      <w:r w:rsidR="000F1CEA" w:rsidRPr="007C6100">
        <w:rPr>
          <w:rFonts w:ascii="Arial" w:hAnsi="Arial" w:cs="Arial"/>
          <w:sz w:val="20"/>
          <w:szCs w:val="20"/>
        </w:rPr>
        <w:t xml:space="preserve"> 18.10.2019 r. Urząd Morski w Gdyni przekazał plac budowy Wykonawcy robót budowlanych.</w:t>
      </w:r>
    </w:p>
    <w:p w14:paraId="32C31E97" w14:textId="4B531383" w:rsidR="000F1CEA" w:rsidRPr="007C6100" w:rsidRDefault="007C6100" w:rsidP="007C6100">
      <w:pPr>
        <w:spacing w:line="276" w:lineRule="auto"/>
        <w:jc w:val="both"/>
        <w:rPr>
          <w:rFonts w:ascii="Arial" w:hAnsi="Arial" w:cs="Arial"/>
          <w:sz w:val="20"/>
          <w:szCs w:val="20"/>
        </w:rPr>
      </w:pPr>
      <w:r>
        <w:rPr>
          <w:rFonts w:ascii="Arial" w:hAnsi="Arial" w:cs="Arial"/>
          <w:sz w:val="20"/>
          <w:szCs w:val="20"/>
        </w:rPr>
        <w:t xml:space="preserve">- </w:t>
      </w:r>
      <w:r w:rsidR="00F56E8B">
        <w:rPr>
          <w:rFonts w:ascii="Arial" w:hAnsi="Arial" w:cs="Arial"/>
          <w:sz w:val="20"/>
          <w:szCs w:val="20"/>
        </w:rPr>
        <w:t>w dniu</w:t>
      </w:r>
      <w:r w:rsidR="000F1CEA" w:rsidRPr="007C6100">
        <w:rPr>
          <w:rFonts w:ascii="Arial" w:hAnsi="Arial" w:cs="Arial"/>
          <w:sz w:val="20"/>
          <w:szCs w:val="20"/>
        </w:rPr>
        <w:t xml:space="preserve"> 09.12.2019 r. podpisano umowę na Oczyszczenie dna z materiałów ferromagnetycznych w tym wybuchowych na obszarze Zalewu Wiślanego w granicach Toru Wodnego i na obszarze Rzeki Elbląg w ramach projektu pn. „Budowa drogi wodnej łączącej Zalew Wiślany z Zatoką Gdańską” (2 cześć zamówienia) </w:t>
      </w:r>
      <w:r w:rsidR="00A94CDC">
        <w:rPr>
          <w:rFonts w:ascii="Arial" w:hAnsi="Arial" w:cs="Arial"/>
          <w:sz w:val="20"/>
          <w:szCs w:val="20"/>
        </w:rPr>
        <w:t>-</w:t>
      </w:r>
      <w:r w:rsidR="000F1CEA" w:rsidRPr="007C6100">
        <w:rPr>
          <w:rFonts w:ascii="Arial" w:hAnsi="Arial" w:cs="Arial"/>
          <w:sz w:val="20"/>
          <w:szCs w:val="20"/>
        </w:rPr>
        <w:t xml:space="preserve"> kwota brutto: 4 786 963,20 zł.  </w:t>
      </w:r>
    </w:p>
    <w:p w14:paraId="7C9DCBB9" w14:textId="4E99326E" w:rsidR="00C8554A" w:rsidRDefault="001C4190" w:rsidP="00F16839">
      <w:pPr>
        <w:spacing w:line="276" w:lineRule="auto"/>
        <w:jc w:val="both"/>
        <w:rPr>
          <w:rFonts w:ascii="Arial" w:hAnsi="Arial" w:cs="Arial"/>
          <w:sz w:val="20"/>
          <w:szCs w:val="20"/>
        </w:rPr>
      </w:pPr>
      <w:r w:rsidRPr="00A151E5">
        <w:rPr>
          <w:rFonts w:ascii="Arial" w:hAnsi="Arial" w:cs="Arial"/>
          <w:sz w:val="20"/>
          <w:szCs w:val="20"/>
        </w:rPr>
        <w:t>Pod koniec 2019 r.</w:t>
      </w:r>
      <w:r w:rsidR="00C8554A" w:rsidRPr="00A151E5">
        <w:rPr>
          <w:rFonts w:ascii="Arial" w:hAnsi="Arial" w:cs="Arial"/>
          <w:sz w:val="20"/>
          <w:szCs w:val="20"/>
        </w:rPr>
        <w:t xml:space="preserve"> trwa</w:t>
      </w:r>
      <w:r w:rsidRPr="00A151E5">
        <w:rPr>
          <w:rFonts w:ascii="Arial" w:hAnsi="Arial" w:cs="Arial"/>
          <w:sz w:val="20"/>
          <w:szCs w:val="20"/>
        </w:rPr>
        <w:t>ła</w:t>
      </w:r>
      <w:r w:rsidR="00C8554A" w:rsidRPr="00A151E5">
        <w:rPr>
          <w:rFonts w:ascii="Arial" w:hAnsi="Arial" w:cs="Arial"/>
          <w:sz w:val="20"/>
          <w:szCs w:val="20"/>
        </w:rPr>
        <w:t xml:space="preserve"> ocena ofert w przetargu nieograniczonym na wyłonienie Inżyniera Kontraktu część I projektu „Budowa drogi wodnej łączącej Zalew Wiślany z Zatoka Gdańską” oraz w przetargu nieograniczonym na sprawowanie nadzoru środowiskowego w trakcie realizacji robót budowlanych </w:t>
      </w:r>
      <w:r w:rsidR="00A60FDD">
        <w:rPr>
          <w:rFonts w:ascii="Arial" w:hAnsi="Arial" w:cs="Arial"/>
          <w:sz w:val="20"/>
          <w:szCs w:val="20"/>
        </w:rPr>
        <w:br/>
      </w:r>
      <w:r w:rsidR="00C8554A" w:rsidRPr="00A151E5">
        <w:rPr>
          <w:rFonts w:ascii="Arial" w:hAnsi="Arial" w:cs="Arial"/>
          <w:sz w:val="20"/>
          <w:szCs w:val="20"/>
        </w:rPr>
        <w:t>w ramach projektu.</w:t>
      </w:r>
    </w:p>
    <w:p w14:paraId="0B262B55" w14:textId="1F3A7FBD" w:rsidR="003B0AB2" w:rsidRPr="000F468A" w:rsidRDefault="003B0AB2" w:rsidP="003B0AB2">
      <w:pPr>
        <w:pStyle w:val="Akapitzlist"/>
        <w:numPr>
          <w:ilvl w:val="0"/>
          <w:numId w:val="25"/>
        </w:numPr>
        <w:autoSpaceDE w:val="0"/>
        <w:autoSpaceDN w:val="0"/>
        <w:spacing w:before="120" w:after="120" w:line="276" w:lineRule="auto"/>
        <w:jc w:val="both"/>
        <w:rPr>
          <w:rFonts w:ascii="Arial" w:hAnsi="Arial" w:cs="Arial"/>
          <w:sz w:val="20"/>
          <w:szCs w:val="20"/>
        </w:rPr>
      </w:pPr>
      <w:r w:rsidRPr="000F468A">
        <w:rPr>
          <w:rFonts w:ascii="Arial" w:hAnsi="Arial" w:cs="Arial"/>
          <w:b/>
          <w:sz w:val="20"/>
          <w:szCs w:val="20"/>
        </w:rPr>
        <w:t>Program ochrony brzegów morskich</w:t>
      </w:r>
      <w:r w:rsidR="00CD5D07">
        <w:rPr>
          <w:rFonts w:ascii="Arial" w:hAnsi="Arial" w:cs="Arial"/>
          <w:b/>
          <w:sz w:val="20"/>
          <w:szCs w:val="20"/>
        </w:rPr>
        <w:t>.</w:t>
      </w:r>
    </w:p>
    <w:p w14:paraId="52591426" w14:textId="77777777" w:rsidR="003B0AB2" w:rsidRPr="004C6CC5" w:rsidRDefault="003B0AB2" w:rsidP="003B0AB2">
      <w:pPr>
        <w:autoSpaceDE w:val="0"/>
        <w:autoSpaceDN w:val="0"/>
        <w:spacing w:before="120" w:after="120" w:line="276" w:lineRule="auto"/>
        <w:jc w:val="both"/>
        <w:rPr>
          <w:rFonts w:ascii="Arial" w:hAnsi="Arial" w:cs="Arial"/>
          <w:spacing w:val="4"/>
          <w:sz w:val="20"/>
          <w:szCs w:val="20"/>
        </w:rPr>
      </w:pPr>
      <w:r w:rsidRPr="004C6CC5">
        <w:rPr>
          <w:rFonts w:ascii="Arial" w:hAnsi="Arial" w:cs="Arial"/>
          <w:sz w:val="20"/>
          <w:szCs w:val="20"/>
        </w:rPr>
        <w:t>Program ochrony brzegów morskich został przyjęty ustawą</w:t>
      </w:r>
      <w:r>
        <w:rPr>
          <w:rFonts w:ascii="Arial" w:hAnsi="Arial" w:cs="Arial"/>
          <w:sz w:val="20"/>
          <w:szCs w:val="20"/>
        </w:rPr>
        <w:t xml:space="preserve"> z </w:t>
      </w:r>
      <w:r w:rsidRPr="004C6CC5">
        <w:rPr>
          <w:rFonts w:ascii="Arial" w:hAnsi="Arial" w:cs="Arial"/>
          <w:sz w:val="20"/>
          <w:szCs w:val="20"/>
        </w:rPr>
        <w:t>dnia 28 marca 2003 r. o ustanowieniu programu wieloletniego „Program ochrony brzegów morskich” (Dz. U.</w:t>
      </w:r>
      <w:r>
        <w:rPr>
          <w:rFonts w:ascii="Arial" w:hAnsi="Arial" w:cs="Arial"/>
          <w:sz w:val="20"/>
          <w:szCs w:val="20"/>
        </w:rPr>
        <w:t xml:space="preserve"> z </w:t>
      </w:r>
      <w:r w:rsidRPr="004C6CC5">
        <w:rPr>
          <w:rFonts w:ascii="Arial" w:hAnsi="Arial" w:cs="Arial"/>
          <w:sz w:val="20"/>
          <w:szCs w:val="20"/>
        </w:rPr>
        <w:t xml:space="preserve">2016 r. poz. 678). Program ma na celu ochronę najbardziej zagrożonych odcinków brzegu morskiego (w Programie zostały wskazane odcinki, na których mogą być prowadzone działania). </w:t>
      </w:r>
      <w:r w:rsidRPr="004C6CC5">
        <w:rPr>
          <w:rFonts w:ascii="Arial" w:hAnsi="Arial" w:cs="Arial"/>
          <w:bCs/>
          <w:sz w:val="20"/>
          <w:szCs w:val="20"/>
        </w:rPr>
        <w:t xml:space="preserve">Okres realizacji Programu: </w:t>
      </w:r>
      <w:r w:rsidRPr="004C6CC5">
        <w:rPr>
          <w:rFonts w:ascii="Arial" w:hAnsi="Arial" w:cs="Arial"/>
          <w:spacing w:val="4"/>
          <w:sz w:val="20"/>
          <w:szCs w:val="20"/>
        </w:rPr>
        <w:t xml:space="preserve">lata 2004-2023. </w:t>
      </w:r>
      <w:r w:rsidRPr="004C6CC5">
        <w:rPr>
          <w:rFonts w:ascii="Arial" w:hAnsi="Arial" w:cs="Arial"/>
          <w:sz w:val="20"/>
          <w:szCs w:val="20"/>
        </w:rPr>
        <w:t xml:space="preserve">Całkowita wartość Programu: 911 000 tys. zł. </w:t>
      </w:r>
      <w:r w:rsidRPr="004C6CC5">
        <w:rPr>
          <w:rFonts w:ascii="Arial" w:hAnsi="Arial" w:cs="Arial"/>
          <w:bCs/>
          <w:sz w:val="20"/>
          <w:szCs w:val="20"/>
        </w:rPr>
        <w:t>Wykonawcami Programu są Dyrektorzy Urzędów Morskich.</w:t>
      </w:r>
    </w:p>
    <w:p w14:paraId="3E66DF74" w14:textId="4AD7E4F0" w:rsidR="003B0AB2" w:rsidRPr="000F468A" w:rsidRDefault="003B0AB2" w:rsidP="003B0AB2">
      <w:pPr>
        <w:spacing w:before="120" w:after="120" w:line="276" w:lineRule="auto"/>
        <w:jc w:val="both"/>
        <w:rPr>
          <w:rFonts w:ascii="Arial" w:hAnsi="Arial" w:cs="Arial"/>
          <w:sz w:val="20"/>
          <w:szCs w:val="20"/>
        </w:rPr>
      </w:pPr>
      <w:r w:rsidRPr="000F468A">
        <w:rPr>
          <w:rFonts w:ascii="Arial" w:hAnsi="Arial" w:cs="Arial"/>
          <w:sz w:val="20"/>
          <w:szCs w:val="20"/>
        </w:rPr>
        <w:t>W ustawie budżetowej na rok 2019 zabezpieczono na realizację Programu wydatki</w:t>
      </w:r>
      <w:r>
        <w:rPr>
          <w:rFonts w:ascii="Arial" w:hAnsi="Arial" w:cs="Arial"/>
          <w:sz w:val="20"/>
          <w:szCs w:val="20"/>
        </w:rPr>
        <w:t xml:space="preserve"> w </w:t>
      </w:r>
      <w:r w:rsidRPr="000F468A">
        <w:rPr>
          <w:rFonts w:ascii="Arial" w:hAnsi="Arial" w:cs="Arial"/>
          <w:sz w:val="20"/>
          <w:szCs w:val="20"/>
        </w:rPr>
        <w:t xml:space="preserve">łącznej kwocie </w:t>
      </w:r>
      <w:r w:rsidRPr="000F468A">
        <w:rPr>
          <w:rFonts w:ascii="Arial" w:hAnsi="Arial" w:cs="Arial"/>
          <w:sz w:val="20"/>
          <w:szCs w:val="20"/>
        </w:rPr>
        <w:br/>
        <w:t>34.000 tys. zł,</w:t>
      </w:r>
      <w:r>
        <w:rPr>
          <w:rFonts w:ascii="Arial" w:hAnsi="Arial" w:cs="Arial"/>
          <w:sz w:val="20"/>
          <w:szCs w:val="20"/>
        </w:rPr>
        <w:t xml:space="preserve"> z </w:t>
      </w:r>
      <w:r w:rsidRPr="000F468A">
        <w:rPr>
          <w:rFonts w:ascii="Arial" w:hAnsi="Arial" w:cs="Arial"/>
          <w:sz w:val="20"/>
          <w:szCs w:val="20"/>
        </w:rPr>
        <w:t>przeznaczeniem dla jednostek realizujących jego zadania, tj. Urzędów Morskich</w:t>
      </w:r>
      <w:r>
        <w:rPr>
          <w:rFonts w:ascii="Arial" w:hAnsi="Arial" w:cs="Arial"/>
          <w:sz w:val="20"/>
          <w:szCs w:val="20"/>
        </w:rPr>
        <w:t xml:space="preserve"> w </w:t>
      </w:r>
      <w:r w:rsidRPr="000F468A">
        <w:rPr>
          <w:rFonts w:ascii="Arial" w:hAnsi="Arial" w:cs="Arial"/>
          <w:sz w:val="20"/>
          <w:szCs w:val="20"/>
        </w:rPr>
        <w:t>Gdyni, Słupsku</w:t>
      </w:r>
      <w:r>
        <w:rPr>
          <w:rFonts w:ascii="Arial" w:hAnsi="Arial" w:cs="Arial"/>
          <w:sz w:val="20"/>
          <w:szCs w:val="20"/>
        </w:rPr>
        <w:t xml:space="preserve"> i </w:t>
      </w:r>
      <w:r w:rsidRPr="000F468A">
        <w:rPr>
          <w:rFonts w:ascii="Arial" w:hAnsi="Arial" w:cs="Arial"/>
          <w:sz w:val="20"/>
          <w:szCs w:val="20"/>
        </w:rPr>
        <w:t>Szczecinie. Planowane nakłady</w:t>
      </w:r>
      <w:r>
        <w:rPr>
          <w:rFonts w:ascii="Arial" w:hAnsi="Arial" w:cs="Arial"/>
          <w:sz w:val="20"/>
          <w:szCs w:val="20"/>
        </w:rPr>
        <w:t xml:space="preserve"> z </w:t>
      </w:r>
      <w:r w:rsidRPr="000F468A">
        <w:rPr>
          <w:rFonts w:ascii="Arial" w:hAnsi="Arial" w:cs="Arial"/>
          <w:sz w:val="20"/>
          <w:szCs w:val="20"/>
        </w:rPr>
        <w:t>budżetu państwa na realizację zadań przewi</w:t>
      </w:r>
      <w:r>
        <w:rPr>
          <w:rFonts w:ascii="Arial" w:hAnsi="Arial" w:cs="Arial"/>
          <w:sz w:val="20"/>
          <w:szCs w:val="20"/>
        </w:rPr>
        <w:t xml:space="preserve">dzianych Programem nie mogą być w poszczególnych latach </w:t>
      </w:r>
      <w:r w:rsidRPr="000F468A">
        <w:rPr>
          <w:rFonts w:ascii="Arial" w:hAnsi="Arial" w:cs="Arial"/>
          <w:sz w:val="20"/>
          <w:szCs w:val="20"/>
        </w:rPr>
        <w:t>mniejsze niż 34.000 tys. zł.</w:t>
      </w:r>
      <w:r>
        <w:rPr>
          <w:rFonts w:ascii="Arial" w:hAnsi="Arial" w:cs="Arial"/>
          <w:sz w:val="20"/>
          <w:szCs w:val="20"/>
        </w:rPr>
        <w:t xml:space="preserve"> </w:t>
      </w:r>
      <w:r w:rsidRPr="000F468A">
        <w:rPr>
          <w:rFonts w:ascii="Arial" w:hAnsi="Arial" w:cs="Arial"/>
          <w:sz w:val="20"/>
          <w:szCs w:val="20"/>
        </w:rPr>
        <w:t>Powyższe wydatki zostały zrealizowane</w:t>
      </w:r>
      <w:r>
        <w:rPr>
          <w:rFonts w:ascii="Arial" w:hAnsi="Arial" w:cs="Arial"/>
          <w:sz w:val="20"/>
          <w:szCs w:val="20"/>
        </w:rPr>
        <w:t xml:space="preserve"> w </w:t>
      </w:r>
      <w:r w:rsidRPr="000F468A">
        <w:rPr>
          <w:rFonts w:ascii="Arial" w:hAnsi="Arial" w:cs="Arial"/>
          <w:sz w:val="20"/>
          <w:szCs w:val="20"/>
        </w:rPr>
        <w:t xml:space="preserve">kwocie </w:t>
      </w:r>
      <w:r w:rsidRPr="000F468A">
        <w:rPr>
          <w:rFonts w:ascii="Arial" w:hAnsi="Arial" w:cs="Arial"/>
          <w:bCs/>
          <w:sz w:val="20"/>
          <w:szCs w:val="20"/>
        </w:rPr>
        <w:t>33.989 tys. zł</w:t>
      </w:r>
      <w:r w:rsidRPr="000F468A">
        <w:rPr>
          <w:rFonts w:ascii="Arial" w:hAnsi="Arial" w:cs="Arial"/>
          <w:sz w:val="20"/>
          <w:szCs w:val="20"/>
        </w:rPr>
        <w:t xml:space="preserve">, co stanowiło </w:t>
      </w:r>
      <w:r w:rsidR="009B2A6F">
        <w:rPr>
          <w:rFonts w:ascii="Arial" w:hAnsi="Arial" w:cs="Arial"/>
          <w:bCs/>
          <w:sz w:val="20"/>
          <w:szCs w:val="20"/>
        </w:rPr>
        <w:t>99,9</w:t>
      </w:r>
      <w:r w:rsidRPr="000F468A">
        <w:rPr>
          <w:rFonts w:ascii="Arial" w:hAnsi="Arial" w:cs="Arial"/>
          <w:bCs/>
          <w:sz w:val="20"/>
          <w:szCs w:val="20"/>
        </w:rPr>
        <w:t>%</w:t>
      </w:r>
      <w:r w:rsidRPr="000F468A">
        <w:rPr>
          <w:rFonts w:ascii="Arial" w:hAnsi="Arial" w:cs="Arial"/>
          <w:sz w:val="20"/>
          <w:szCs w:val="20"/>
        </w:rPr>
        <w:t xml:space="preserve"> kwoty zaplanowanych</w:t>
      </w:r>
      <w:r>
        <w:rPr>
          <w:rFonts w:ascii="Arial" w:hAnsi="Arial" w:cs="Arial"/>
          <w:sz w:val="20"/>
          <w:szCs w:val="20"/>
        </w:rPr>
        <w:t xml:space="preserve"> w </w:t>
      </w:r>
      <w:r w:rsidRPr="000F468A">
        <w:rPr>
          <w:rFonts w:ascii="Arial" w:hAnsi="Arial" w:cs="Arial"/>
          <w:sz w:val="20"/>
          <w:szCs w:val="20"/>
        </w:rPr>
        <w:t>2019 r. środków budżetowych. Środki</w:t>
      </w:r>
      <w:r>
        <w:rPr>
          <w:rFonts w:ascii="Arial" w:hAnsi="Arial" w:cs="Arial"/>
          <w:sz w:val="20"/>
          <w:szCs w:val="20"/>
        </w:rPr>
        <w:t xml:space="preserve"> w </w:t>
      </w:r>
      <w:r w:rsidRPr="000F468A">
        <w:rPr>
          <w:rFonts w:ascii="Arial" w:hAnsi="Arial" w:cs="Arial"/>
          <w:sz w:val="20"/>
          <w:szCs w:val="20"/>
        </w:rPr>
        <w:t>wysokości 11 tys. zł nie zostały wydatkowane.</w:t>
      </w:r>
    </w:p>
    <w:p w14:paraId="0B974354" w14:textId="77777777" w:rsidR="003B0AB2" w:rsidRDefault="003B0AB2" w:rsidP="003B0AB2">
      <w:pPr>
        <w:tabs>
          <w:tab w:val="left" w:pos="284"/>
        </w:tabs>
        <w:spacing w:before="120" w:after="120" w:line="276" w:lineRule="auto"/>
        <w:jc w:val="both"/>
        <w:rPr>
          <w:rFonts w:ascii="Arial" w:hAnsi="Arial" w:cs="Arial"/>
          <w:sz w:val="20"/>
          <w:szCs w:val="20"/>
        </w:rPr>
      </w:pPr>
      <w:r w:rsidRPr="000F468A">
        <w:rPr>
          <w:rFonts w:ascii="Arial" w:hAnsi="Arial" w:cs="Arial"/>
          <w:sz w:val="20"/>
          <w:szCs w:val="20"/>
        </w:rPr>
        <w:t>Na podstawie art. 2 a ustawy</w:t>
      </w:r>
      <w:r>
        <w:rPr>
          <w:rFonts w:ascii="Arial" w:hAnsi="Arial" w:cs="Arial"/>
          <w:sz w:val="20"/>
          <w:szCs w:val="20"/>
        </w:rPr>
        <w:t xml:space="preserve"> z </w:t>
      </w:r>
      <w:r w:rsidRPr="000F468A">
        <w:rPr>
          <w:rFonts w:ascii="Arial" w:hAnsi="Arial" w:cs="Arial"/>
          <w:sz w:val="20"/>
          <w:szCs w:val="20"/>
        </w:rPr>
        <w:t>dnia 28 marca 2003 r. o ustanowieniu programu wieloletniego „Program ochrony brzegów morskich” wskaźnikiem realizacji Programu</w:t>
      </w:r>
      <w:r>
        <w:rPr>
          <w:rFonts w:ascii="Arial" w:hAnsi="Arial" w:cs="Arial"/>
          <w:sz w:val="20"/>
          <w:szCs w:val="20"/>
        </w:rPr>
        <w:t xml:space="preserve"> w </w:t>
      </w:r>
      <w:r w:rsidRPr="000F468A">
        <w:rPr>
          <w:rFonts w:ascii="Arial" w:hAnsi="Arial" w:cs="Arial"/>
          <w:sz w:val="20"/>
          <w:szCs w:val="20"/>
        </w:rPr>
        <w:t>danym roku jest długość linii brzegowej zabezpieczonej przed zjawiskiem erozji</w:t>
      </w:r>
      <w:r>
        <w:rPr>
          <w:rFonts w:ascii="Arial" w:hAnsi="Arial" w:cs="Arial"/>
          <w:sz w:val="20"/>
          <w:szCs w:val="20"/>
        </w:rPr>
        <w:t xml:space="preserve"> i </w:t>
      </w:r>
      <w:r w:rsidRPr="000F468A">
        <w:rPr>
          <w:rFonts w:ascii="Arial" w:hAnsi="Arial" w:cs="Arial"/>
          <w:sz w:val="20"/>
          <w:szCs w:val="20"/>
        </w:rPr>
        <w:t>powodzi od strony morza, liczona</w:t>
      </w:r>
      <w:r>
        <w:rPr>
          <w:rFonts w:ascii="Arial" w:hAnsi="Arial" w:cs="Arial"/>
          <w:sz w:val="20"/>
          <w:szCs w:val="20"/>
        </w:rPr>
        <w:t xml:space="preserve"> w </w:t>
      </w:r>
      <w:r w:rsidRPr="000F468A">
        <w:rPr>
          <w:rFonts w:ascii="Arial" w:hAnsi="Arial" w:cs="Arial"/>
          <w:sz w:val="20"/>
          <w:szCs w:val="20"/>
        </w:rPr>
        <w:t>kilometrach.</w:t>
      </w:r>
      <w:bookmarkStart w:id="7" w:name="_Hlk36197123"/>
      <w:r>
        <w:rPr>
          <w:rFonts w:ascii="Arial" w:hAnsi="Arial" w:cs="Arial"/>
          <w:sz w:val="20"/>
          <w:szCs w:val="20"/>
        </w:rPr>
        <w:t xml:space="preserve"> </w:t>
      </w:r>
    </w:p>
    <w:p w14:paraId="44FEAD5B" w14:textId="23BC8F64" w:rsidR="003B0AB2" w:rsidRPr="0069266E" w:rsidRDefault="003B0AB2" w:rsidP="003B0AB2">
      <w:pPr>
        <w:tabs>
          <w:tab w:val="left" w:pos="284"/>
        </w:tabs>
        <w:spacing w:before="120" w:after="120" w:line="276" w:lineRule="auto"/>
        <w:jc w:val="both"/>
        <w:rPr>
          <w:rFonts w:ascii="Arial" w:hAnsi="Arial" w:cs="Arial"/>
          <w:sz w:val="20"/>
          <w:szCs w:val="20"/>
        </w:rPr>
      </w:pPr>
      <w:r w:rsidRPr="0069266E">
        <w:rPr>
          <w:rFonts w:ascii="Arial" w:hAnsi="Arial" w:cs="Arial"/>
          <w:sz w:val="20"/>
          <w:szCs w:val="20"/>
        </w:rPr>
        <w:t xml:space="preserve">W 2019 r. zaplanowano realizację zadań w ramach Programu na 8,0 km linii brzegowej. Na koniec </w:t>
      </w:r>
      <w:r w:rsidR="00E2075D">
        <w:rPr>
          <w:rFonts w:ascii="Arial" w:hAnsi="Arial" w:cs="Arial"/>
          <w:sz w:val="20"/>
          <w:szCs w:val="20"/>
        </w:rPr>
        <w:br/>
      </w:r>
      <w:r w:rsidRPr="0069266E">
        <w:rPr>
          <w:rFonts w:ascii="Arial" w:hAnsi="Arial" w:cs="Arial"/>
          <w:sz w:val="20"/>
          <w:szCs w:val="20"/>
        </w:rPr>
        <w:t>2019 r. wykonano zabezpieczenia brzegu morskiego przed zjawiskiem erozji i powodzi od strony morza na łącznej długości 12,38 km. Wyższe wykonanie wartości miernika osiągnięto w wyniku wprowadzenia nowych zadań do realizacji w trakcie roku budżetowego.</w:t>
      </w:r>
    </w:p>
    <w:p w14:paraId="794D4C9A" w14:textId="77777777" w:rsidR="003B0AB2" w:rsidRPr="000F468A" w:rsidRDefault="003B0AB2" w:rsidP="003B0AB2">
      <w:pPr>
        <w:tabs>
          <w:tab w:val="left" w:pos="284"/>
        </w:tabs>
        <w:spacing w:before="120" w:after="120" w:line="276" w:lineRule="auto"/>
        <w:jc w:val="both"/>
        <w:rPr>
          <w:rFonts w:ascii="Arial" w:hAnsi="Arial" w:cs="Arial"/>
          <w:sz w:val="20"/>
          <w:szCs w:val="20"/>
        </w:rPr>
      </w:pPr>
      <w:r w:rsidRPr="000F468A">
        <w:rPr>
          <w:rFonts w:ascii="Arial" w:hAnsi="Arial" w:cs="Arial"/>
          <w:sz w:val="20"/>
          <w:szCs w:val="20"/>
        </w:rPr>
        <w:t>W wybranych lokalizacjach zapewniono minimalne poziomy bezpieczeństwa brzegu morskiego oraz zapewniono położenie brzegu morskiego po odwodnej stronie granicznej linii ochrony brzegu morskiego.</w:t>
      </w:r>
      <w:bookmarkEnd w:id="7"/>
    </w:p>
    <w:p w14:paraId="2580BA44" w14:textId="77777777" w:rsidR="003B0AB2" w:rsidRPr="000F468A" w:rsidRDefault="003B0AB2" w:rsidP="003B0AB2">
      <w:pPr>
        <w:spacing w:before="120" w:after="120" w:line="276" w:lineRule="auto"/>
        <w:jc w:val="both"/>
        <w:rPr>
          <w:rFonts w:ascii="Arial" w:hAnsi="Arial" w:cs="Arial"/>
          <w:b/>
          <w:bCs/>
          <w:sz w:val="20"/>
          <w:szCs w:val="20"/>
        </w:rPr>
      </w:pPr>
      <w:r w:rsidRPr="000F468A">
        <w:rPr>
          <w:rFonts w:ascii="Arial" w:hAnsi="Arial" w:cs="Arial"/>
          <w:sz w:val="20"/>
          <w:szCs w:val="20"/>
        </w:rPr>
        <w:t>Urząd Morski</w:t>
      </w:r>
      <w:r>
        <w:rPr>
          <w:rFonts w:ascii="Arial" w:hAnsi="Arial" w:cs="Arial"/>
          <w:sz w:val="20"/>
          <w:szCs w:val="20"/>
        </w:rPr>
        <w:t xml:space="preserve"> w </w:t>
      </w:r>
      <w:r w:rsidRPr="000F468A">
        <w:rPr>
          <w:rFonts w:ascii="Arial" w:hAnsi="Arial" w:cs="Arial"/>
          <w:sz w:val="20"/>
          <w:szCs w:val="20"/>
        </w:rPr>
        <w:t>Gdyni zaplanował na realizację zadań 14.847 tys. zł (plan po zmianach),</w:t>
      </w:r>
      <w:r>
        <w:rPr>
          <w:rFonts w:ascii="Arial" w:hAnsi="Arial" w:cs="Arial"/>
          <w:sz w:val="20"/>
          <w:szCs w:val="20"/>
        </w:rPr>
        <w:t xml:space="preserve"> z </w:t>
      </w:r>
      <w:r w:rsidRPr="000F468A">
        <w:rPr>
          <w:rFonts w:ascii="Arial" w:hAnsi="Arial" w:cs="Arial"/>
          <w:sz w:val="20"/>
          <w:szCs w:val="20"/>
        </w:rPr>
        <w:t>czego zrealizowano zadania na kwotę 14.841 tys. zł.</w:t>
      </w:r>
    </w:p>
    <w:p w14:paraId="5676822B" w14:textId="77777777" w:rsidR="003B0AB2" w:rsidRPr="000F468A" w:rsidRDefault="003B0AB2" w:rsidP="003B0AB2">
      <w:pPr>
        <w:spacing w:before="120" w:after="120" w:line="276" w:lineRule="auto"/>
        <w:jc w:val="both"/>
        <w:rPr>
          <w:rFonts w:ascii="Arial" w:hAnsi="Arial" w:cs="Arial"/>
          <w:sz w:val="20"/>
          <w:szCs w:val="20"/>
        </w:rPr>
      </w:pPr>
      <w:r w:rsidRPr="000F468A">
        <w:rPr>
          <w:rFonts w:ascii="Arial" w:hAnsi="Arial" w:cs="Arial"/>
          <w:sz w:val="20"/>
          <w:szCs w:val="20"/>
        </w:rPr>
        <w:t>Urząd Morski</w:t>
      </w:r>
      <w:r>
        <w:rPr>
          <w:rFonts w:ascii="Arial" w:hAnsi="Arial" w:cs="Arial"/>
          <w:sz w:val="20"/>
          <w:szCs w:val="20"/>
        </w:rPr>
        <w:t xml:space="preserve"> w </w:t>
      </w:r>
      <w:r w:rsidRPr="000F468A">
        <w:rPr>
          <w:rFonts w:ascii="Arial" w:hAnsi="Arial" w:cs="Arial"/>
          <w:sz w:val="20"/>
          <w:szCs w:val="20"/>
        </w:rPr>
        <w:t xml:space="preserve">Słupsku zaplanował na realizację zadań </w:t>
      </w:r>
      <w:r w:rsidRPr="000F468A">
        <w:rPr>
          <w:rFonts w:ascii="Arial" w:hAnsi="Arial" w:cs="Arial"/>
          <w:bCs/>
          <w:sz w:val="20"/>
          <w:szCs w:val="20"/>
        </w:rPr>
        <w:t xml:space="preserve">11.000 tys. </w:t>
      </w:r>
      <w:r w:rsidRPr="000F468A">
        <w:rPr>
          <w:rFonts w:ascii="Arial" w:hAnsi="Arial" w:cs="Arial"/>
          <w:sz w:val="20"/>
          <w:szCs w:val="20"/>
        </w:rPr>
        <w:t>zł (plan po zmianach),</w:t>
      </w:r>
      <w:r>
        <w:rPr>
          <w:rFonts w:ascii="Arial" w:hAnsi="Arial" w:cs="Arial"/>
          <w:sz w:val="20"/>
          <w:szCs w:val="20"/>
        </w:rPr>
        <w:t xml:space="preserve"> z </w:t>
      </w:r>
      <w:r w:rsidRPr="000F468A">
        <w:rPr>
          <w:rFonts w:ascii="Arial" w:hAnsi="Arial" w:cs="Arial"/>
          <w:sz w:val="20"/>
          <w:szCs w:val="20"/>
        </w:rPr>
        <w:t xml:space="preserve">czego zrealizowano zadania na kwotę </w:t>
      </w:r>
      <w:r w:rsidRPr="000F468A">
        <w:rPr>
          <w:rFonts w:ascii="Arial" w:hAnsi="Arial" w:cs="Arial"/>
          <w:bCs/>
          <w:sz w:val="20"/>
          <w:szCs w:val="20"/>
        </w:rPr>
        <w:t xml:space="preserve">10.994,7 tys. </w:t>
      </w:r>
      <w:r w:rsidRPr="000F468A">
        <w:rPr>
          <w:rFonts w:ascii="Arial" w:hAnsi="Arial" w:cs="Arial"/>
          <w:sz w:val="20"/>
          <w:szCs w:val="20"/>
        </w:rPr>
        <w:t>zł.</w:t>
      </w:r>
    </w:p>
    <w:p w14:paraId="1B6C7FB1" w14:textId="77777777" w:rsidR="003B0AB2" w:rsidRPr="000F468A" w:rsidRDefault="003B0AB2" w:rsidP="003B0AB2">
      <w:pPr>
        <w:spacing w:before="120" w:after="120" w:line="276" w:lineRule="auto"/>
        <w:jc w:val="both"/>
        <w:rPr>
          <w:rFonts w:ascii="Arial" w:hAnsi="Arial" w:cs="Arial"/>
          <w:sz w:val="20"/>
          <w:szCs w:val="20"/>
        </w:rPr>
      </w:pPr>
      <w:r w:rsidRPr="000F468A">
        <w:rPr>
          <w:rFonts w:ascii="Arial" w:hAnsi="Arial" w:cs="Arial"/>
          <w:sz w:val="20"/>
          <w:szCs w:val="20"/>
        </w:rPr>
        <w:t>Urząd Morski</w:t>
      </w:r>
      <w:r>
        <w:rPr>
          <w:rFonts w:ascii="Arial" w:hAnsi="Arial" w:cs="Arial"/>
          <w:sz w:val="20"/>
          <w:szCs w:val="20"/>
        </w:rPr>
        <w:t xml:space="preserve"> w </w:t>
      </w:r>
      <w:r w:rsidRPr="000F468A">
        <w:rPr>
          <w:rFonts w:ascii="Arial" w:hAnsi="Arial" w:cs="Arial"/>
          <w:sz w:val="20"/>
          <w:szCs w:val="20"/>
        </w:rPr>
        <w:t xml:space="preserve">Szczecinie zaplanował na realizację zadań </w:t>
      </w:r>
      <w:r w:rsidRPr="000F468A">
        <w:rPr>
          <w:rFonts w:ascii="Arial" w:hAnsi="Arial" w:cs="Arial"/>
          <w:bCs/>
          <w:sz w:val="20"/>
          <w:szCs w:val="20"/>
        </w:rPr>
        <w:t xml:space="preserve">8.152,6 tys. </w:t>
      </w:r>
      <w:r w:rsidRPr="000F468A">
        <w:rPr>
          <w:rFonts w:ascii="Arial" w:hAnsi="Arial" w:cs="Arial"/>
          <w:sz w:val="20"/>
          <w:szCs w:val="20"/>
        </w:rPr>
        <w:t>zł (plan po zmianach),</w:t>
      </w:r>
      <w:r>
        <w:rPr>
          <w:rFonts w:ascii="Arial" w:hAnsi="Arial" w:cs="Arial"/>
          <w:sz w:val="20"/>
          <w:szCs w:val="20"/>
        </w:rPr>
        <w:t xml:space="preserve"> z </w:t>
      </w:r>
      <w:r w:rsidRPr="000F468A">
        <w:rPr>
          <w:rFonts w:ascii="Arial" w:hAnsi="Arial" w:cs="Arial"/>
          <w:sz w:val="20"/>
          <w:szCs w:val="20"/>
        </w:rPr>
        <w:t xml:space="preserve">czego zrealizowano zadania na kwotę </w:t>
      </w:r>
      <w:r w:rsidRPr="000F468A">
        <w:rPr>
          <w:rFonts w:ascii="Arial" w:hAnsi="Arial" w:cs="Arial"/>
          <w:bCs/>
          <w:sz w:val="20"/>
          <w:szCs w:val="20"/>
        </w:rPr>
        <w:t xml:space="preserve">8.152,5 tys. </w:t>
      </w:r>
      <w:r w:rsidRPr="000F468A">
        <w:rPr>
          <w:rFonts w:ascii="Arial" w:hAnsi="Arial" w:cs="Arial"/>
          <w:sz w:val="20"/>
          <w:szCs w:val="20"/>
        </w:rPr>
        <w:t>zł.</w:t>
      </w:r>
    </w:p>
    <w:p w14:paraId="2C6B7B80" w14:textId="77777777" w:rsidR="003B0AB2" w:rsidRPr="000E0F9B" w:rsidRDefault="003B0AB2" w:rsidP="003B0AB2">
      <w:pPr>
        <w:spacing w:before="120" w:after="120" w:line="276" w:lineRule="auto"/>
        <w:jc w:val="both"/>
        <w:rPr>
          <w:rFonts w:ascii="Arial" w:hAnsi="Arial" w:cs="Arial"/>
          <w:sz w:val="20"/>
          <w:szCs w:val="20"/>
        </w:rPr>
      </w:pPr>
      <w:r w:rsidRPr="000F468A">
        <w:rPr>
          <w:rFonts w:ascii="Arial" w:hAnsi="Arial" w:cs="Arial"/>
          <w:sz w:val="20"/>
          <w:szCs w:val="20"/>
        </w:rPr>
        <w:t xml:space="preserve">Od rozpoczęcia realizacji Programu do dnia 31 grudnia 2019 r. zrealizowano zadania na łączną kwotę </w:t>
      </w:r>
      <w:r w:rsidRPr="000F468A">
        <w:rPr>
          <w:rFonts w:ascii="Arial" w:hAnsi="Arial" w:cs="Arial"/>
          <w:sz w:val="20"/>
          <w:szCs w:val="20"/>
        </w:rPr>
        <w:br/>
        <w:t>539 717 tys. zł, co daje wykonanie wydatków na poziomie 59,24 %.</w:t>
      </w:r>
    </w:p>
    <w:p w14:paraId="326D9AF1" w14:textId="185E4973" w:rsidR="003B0AB2" w:rsidRPr="0041355C" w:rsidRDefault="003B0AB2" w:rsidP="003B0AB2">
      <w:pPr>
        <w:pStyle w:val="Akapitzlist"/>
        <w:numPr>
          <w:ilvl w:val="0"/>
          <w:numId w:val="26"/>
        </w:numPr>
        <w:spacing w:line="276" w:lineRule="auto"/>
        <w:jc w:val="both"/>
        <w:rPr>
          <w:rFonts w:ascii="Arial" w:hAnsi="Arial" w:cs="Arial"/>
          <w:b/>
          <w:sz w:val="20"/>
          <w:szCs w:val="20"/>
        </w:rPr>
      </w:pPr>
      <w:r w:rsidRPr="0041355C">
        <w:rPr>
          <w:rFonts w:ascii="Arial" w:hAnsi="Arial" w:cs="Arial"/>
          <w:b/>
          <w:sz w:val="20"/>
          <w:szCs w:val="20"/>
        </w:rPr>
        <w:t xml:space="preserve">Program wieloletni pn. „Utrzymanie dróg </w:t>
      </w:r>
      <w:r w:rsidR="00F10D8B">
        <w:rPr>
          <w:rFonts w:ascii="Arial" w:hAnsi="Arial" w:cs="Arial"/>
          <w:b/>
          <w:sz w:val="20"/>
          <w:szCs w:val="20"/>
        </w:rPr>
        <w:t xml:space="preserve">wodnych w rejonie ujścia Odry w </w:t>
      </w:r>
      <w:r w:rsidRPr="0041355C">
        <w:rPr>
          <w:rFonts w:ascii="Arial" w:hAnsi="Arial" w:cs="Arial"/>
          <w:b/>
          <w:sz w:val="20"/>
          <w:szCs w:val="20"/>
        </w:rPr>
        <w:t>latach 2019-2028".</w:t>
      </w:r>
    </w:p>
    <w:p w14:paraId="4FB7A5A4" w14:textId="493E14FD" w:rsidR="001C1294" w:rsidRPr="001C1294" w:rsidRDefault="003B0AB2" w:rsidP="001C1294">
      <w:pPr>
        <w:spacing w:after="120" w:line="276" w:lineRule="auto"/>
        <w:jc w:val="both"/>
        <w:rPr>
          <w:rFonts w:ascii="Arial" w:hAnsi="Arial" w:cs="Arial"/>
          <w:sz w:val="20"/>
          <w:szCs w:val="20"/>
        </w:rPr>
      </w:pPr>
      <w:r w:rsidRPr="00C1309A">
        <w:rPr>
          <w:rFonts w:ascii="Arial" w:hAnsi="Arial" w:cs="Arial"/>
          <w:bCs/>
          <w:sz w:val="20"/>
          <w:szCs w:val="20"/>
        </w:rPr>
        <w:t xml:space="preserve">Program został przyjęty uchwałą Rady Ministrów nr 204/2017 z dnia 12 grudnia 2017 r. </w:t>
      </w:r>
      <w:r w:rsidRPr="00C1309A">
        <w:rPr>
          <w:rFonts w:ascii="Arial" w:hAnsi="Arial" w:cs="Arial"/>
          <w:sz w:val="20"/>
          <w:szCs w:val="20"/>
        </w:rPr>
        <w:t xml:space="preserve">Istotą programu wieloletniego jest zapewnienie finansowania na </w:t>
      </w:r>
      <w:r w:rsidR="001C1294">
        <w:rPr>
          <w:rFonts w:ascii="Arial" w:hAnsi="Arial" w:cs="Arial"/>
          <w:sz w:val="20"/>
          <w:szCs w:val="20"/>
        </w:rPr>
        <w:t xml:space="preserve">trwałe </w:t>
      </w:r>
      <w:r w:rsidRPr="00C1309A">
        <w:rPr>
          <w:rFonts w:ascii="Arial" w:hAnsi="Arial" w:cs="Arial"/>
          <w:sz w:val="20"/>
          <w:szCs w:val="20"/>
        </w:rPr>
        <w:t xml:space="preserve">utrzymanie bezpiecznego dostępu do portów morskich rejonu ujścia Odry, </w:t>
      </w:r>
      <w:r w:rsidRPr="00C1309A">
        <w:rPr>
          <w:rFonts w:ascii="Arial" w:hAnsi="Arial" w:cs="Arial"/>
          <w:bCs/>
          <w:sz w:val="20"/>
          <w:szCs w:val="20"/>
        </w:rPr>
        <w:t>a w szczególności Szczecina i Świnoujścia (w</w:t>
      </w:r>
      <w:r w:rsidR="001C1294">
        <w:rPr>
          <w:rFonts w:ascii="Arial" w:hAnsi="Arial" w:cs="Arial"/>
          <w:bCs/>
          <w:sz w:val="20"/>
          <w:szCs w:val="20"/>
        </w:rPr>
        <w:t xml:space="preserve"> tym portu zewnętrznego </w:t>
      </w:r>
      <w:r w:rsidR="00322465">
        <w:rPr>
          <w:rFonts w:ascii="Arial" w:hAnsi="Arial" w:cs="Arial"/>
          <w:bCs/>
          <w:sz w:val="20"/>
          <w:szCs w:val="20"/>
        </w:rPr>
        <w:br/>
      </w:r>
      <w:r w:rsidRPr="00C1309A">
        <w:rPr>
          <w:rFonts w:ascii="Arial" w:hAnsi="Arial" w:cs="Arial"/>
          <w:bCs/>
          <w:sz w:val="20"/>
          <w:szCs w:val="20"/>
        </w:rPr>
        <w:lastRenderedPageBreak/>
        <w:t>z terminalem LNG im. Prezydenta Lecha Kaczyńskiego) oraz Polic</w:t>
      </w:r>
      <w:r w:rsidRPr="00C1309A">
        <w:rPr>
          <w:rFonts w:ascii="Arial" w:hAnsi="Arial" w:cs="Arial"/>
          <w:sz w:val="20"/>
          <w:szCs w:val="20"/>
        </w:rPr>
        <w:t xml:space="preserve"> w zakresie niezbędnym do prowadzenia bezpiecznej i niezakłóconej żeglugi statków o parametrach wynikających z aktualnie obowiązujących przepisów. </w:t>
      </w:r>
      <w:r w:rsidR="001C1294" w:rsidRPr="001C1294">
        <w:rPr>
          <w:rFonts w:ascii="Arial" w:hAnsi="Arial" w:cs="Arial"/>
          <w:sz w:val="20"/>
          <w:szCs w:val="20"/>
        </w:rPr>
        <w:t>Tory wodne, których parametry limitują możliwość korzystani</w:t>
      </w:r>
      <w:r w:rsidR="001C1294">
        <w:rPr>
          <w:rFonts w:ascii="Arial" w:hAnsi="Arial" w:cs="Arial"/>
          <w:sz w:val="20"/>
          <w:szCs w:val="20"/>
        </w:rPr>
        <w:t>a z portów przez statki morskie podlegają stałemu spłycaniu - d</w:t>
      </w:r>
      <w:r w:rsidR="001C1294" w:rsidRPr="001C1294">
        <w:rPr>
          <w:rFonts w:ascii="Arial" w:hAnsi="Arial" w:cs="Arial"/>
          <w:sz w:val="20"/>
          <w:szCs w:val="20"/>
        </w:rPr>
        <w:t>la niezakłóconego funkcjonowania portów niezbędne jest ich ciągłe pogłębianie w celu utrzymania niepogorszonych głównych parametrów toru</w:t>
      </w:r>
      <w:r w:rsidR="001C1294">
        <w:rPr>
          <w:rFonts w:ascii="Arial" w:hAnsi="Arial" w:cs="Arial"/>
          <w:sz w:val="20"/>
          <w:szCs w:val="20"/>
        </w:rPr>
        <w:t>,</w:t>
      </w:r>
      <w:r w:rsidR="001C1294" w:rsidRPr="001C1294">
        <w:rPr>
          <w:rFonts w:ascii="Arial" w:hAnsi="Arial" w:cs="Arial"/>
          <w:sz w:val="20"/>
          <w:szCs w:val="20"/>
        </w:rPr>
        <w:t xml:space="preserve"> tj. gwarantowanej w przepisach prawa głębokości i szerokości. W celu zapewnienia bezpiecznej </w:t>
      </w:r>
      <w:r w:rsidR="00297CD7">
        <w:rPr>
          <w:rFonts w:ascii="Arial" w:hAnsi="Arial" w:cs="Arial"/>
          <w:sz w:val="20"/>
          <w:szCs w:val="20"/>
        </w:rPr>
        <w:br/>
      </w:r>
      <w:r w:rsidR="001C1294" w:rsidRPr="001C1294">
        <w:rPr>
          <w:rFonts w:ascii="Arial" w:hAnsi="Arial" w:cs="Arial"/>
          <w:sz w:val="20"/>
          <w:szCs w:val="20"/>
        </w:rPr>
        <w:t>i niezakłóconej żeglugi konieczne jest także zapewnienie bezawaryjnego działania systemów bezpie</w:t>
      </w:r>
      <w:r w:rsidR="00A2670E">
        <w:rPr>
          <w:rFonts w:ascii="Arial" w:hAnsi="Arial" w:cs="Arial"/>
          <w:sz w:val="20"/>
          <w:szCs w:val="20"/>
        </w:rPr>
        <w:t xml:space="preserve">czeństwa takich jak system VTS, </w:t>
      </w:r>
      <w:r w:rsidR="001C1294" w:rsidRPr="001C1294">
        <w:rPr>
          <w:rFonts w:ascii="Arial" w:hAnsi="Arial" w:cs="Arial"/>
          <w:sz w:val="20"/>
          <w:szCs w:val="20"/>
        </w:rPr>
        <w:t>system monitorowania kontroli i synchronizacji świateł nawigacyjnych znaków stałych i pływających, stałe i pływające oznakowanie nawigacyjne i łączność światłowodowa Świnoujście</w:t>
      </w:r>
      <w:r w:rsidR="00A2670E">
        <w:rPr>
          <w:rFonts w:ascii="Arial" w:hAnsi="Arial" w:cs="Arial"/>
          <w:sz w:val="20"/>
          <w:szCs w:val="20"/>
        </w:rPr>
        <w:t xml:space="preserve"> </w:t>
      </w:r>
      <w:r w:rsidR="001C1294" w:rsidRPr="001C1294">
        <w:rPr>
          <w:rFonts w:ascii="Arial" w:hAnsi="Arial" w:cs="Arial"/>
          <w:sz w:val="20"/>
          <w:szCs w:val="20"/>
        </w:rPr>
        <w:t>-</w:t>
      </w:r>
      <w:r w:rsidR="00A2670E">
        <w:rPr>
          <w:rFonts w:ascii="Arial" w:hAnsi="Arial" w:cs="Arial"/>
          <w:sz w:val="20"/>
          <w:szCs w:val="20"/>
        </w:rPr>
        <w:t xml:space="preserve"> </w:t>
      </w:r>
      <w:r w:rsidR="001C1294" w:rsidRPr="001C1294">
        <w:rPr>
          <w:rFonts w:ascii="Arial" w:hAnsi="Arial" w:cs="Arial"/>
          <w:sz w:val="20"/>
          <w:szCs w:val="20"/>
        </w:rPr>
        <w:t>Szczecin.</w:t>
      </w:r>
    </w:p>
    <w:p w14:paraId="28FEF69F" w14:textId="38BDBF6B" w:rsidR="003B0AB2" w:rsidRPr="00B1341D" w:rsidRDefault="003B0AB2" w:rsidP="003B0AB2">
      <w:pPr>
        <w:spacing w:after="120" w:line="276" w:lineRule="auto"/>
        <w:jc w:val="both"/>
        <w:rPr>
          <w:rFonts w:ascii="Arial" w:hAnsi="Arial" w:cs="Arial"/>
          <w:sz w:val="20"/>
          <w:szCs w:val="20"/>
        </w:rPr>
      </w:pPr>
      <w:r w:rsidRPr="00C1309A">
        <w:rPr>
          <w:rFonts w:ascii="Arial" w:hAnsi="Arial" w:cs="Arial"/>
          <w:bCs/>
          <w:sz w:val="20"/>
          <w:szCs w:val="20"/>
        </w:rPr>
        <w:t>Program ma charakter utrzymaniowy, a finansowany jest ze środków publicznych ujętych corocznie</w:t>
      </w:r>
      <w:r w:rsidR="00060A0A">
        <w:rPr>
          <w:rFonts w:ascii="Arial" w:hAnsi="Arial" w:cs="Arial"/>
          <w:bCs/>
          <w:sz w:val="20"/>
          <w:szCs w:val="20"/>
        </w:rPr>
        <w:br/>
      </w:r>
      <w:r w:rsidRPr="00C1309A">
        <w:rPr>
          <w:rFonts w:ascii="Arial" w:hAnsi="Arial" w:cs="Arial"/>
          <w:bCs/>
          <w:sz w:val="20"/>
          <w:szCs w:val="20"/>
        </w:rPr>
        <w:t xml:space="preserve">w ustawie budżetowej w ramach części 21 </w:t>
      </w:r>
      <w:r w:rsidR="00FF03EF">
        <w:rPr>
          <w:rFonts w:ascii="Arial" w:hAnsi="Arial" w:cs="Arial"/>
          <w:bCs/>
          <w:sz w:val="20"/>
          <w:szCs w:val="20"/>
        </w:rPr>
        <w:t>-</w:t>
      </w:r>
      <w:r w:rsidRPr="00C1309A">
        <w:rPr>
          <w:rFonts w:ascii="Arial" w:hAnsi="Arial" w:cs="Arial"/>
          <w:bCs/>
          <w:sz w:val="20"/>
          <w:szCs w:val="20"/>
        </w:rPr>
        <w:t xml:space="preserve"> Gospodarka morska. Wykonawcą Programu jest Dyrektor Urzędu Morskiego w Szczecinie. Okres realizacji Programu: lata 2019-2028. Wartość Programu: 237 967 tys. zł. </w:t>
      </w:r>
    </w:p>
    <w:p w14:paraId="58480B73" w14:textId="77777777" w:rsidR="003B0AB2" w:rsidRPr="00C1309A" w:rsidRDefault="003B0AB2" w:rsidP="003B0AB2">
      <w:pPr>
        <w:spacing w:after="120" w:line="276" w:lineRule="auto"/>
        <w:jc w:val="both"/>
        <w:rPr>
          <w:rFonts w:ascii="Arial" w:hAnsi="Arial" w:cs="Arial"/>
          <w:bCs/>
          <w:sz w:val="20"/>
          <w:szCs w:val="20"/>
        </w:rPr>
      </w:pPr>
      <w:r w:rsidRPr="00C1309A">
        <w:rPr>
          <w:rFonts w:ascii="Arial" w:hAnsi="Arial" w:cs="Arial"/>
          <w:bCs/>
          <w:sz w:val="20"/>
          <w:szCs w:val="20"/>
        </w:rPr>
        <w:t>Zadania Programu:</w:t>
      </w:r>
    </w:p>
    <w:p w14:paraId="5EEC24E0" w14:textId="77777777" w:rsidR="003B0AB2" w:rsidRPr="00C1309A" w:rsidRDefault="003B0AB2" w:rsidP="003B0AB2">
      <w:pPr>
        <w:spacing w:after="120" w:line="276" w:lineRule="auto"/>
        <w:jc w:val="both"/>
        <w:rPr>
          <w:rFonts w:ascii="Arial" w:hAnsi="Arial" w:cs="Arial"/>
          <w:bCs/>
          <w:sz w:val="20"/>
          <w:szCs w:val="20"/>
        </w:rPr>
      </w:pPr>
      <w:r w:rsidRPr="00C1309A">
        <w:rPr>
          <w:rFonts w:ascii="Arial" w:hAnsi="Arial" w:cs="Arial"/>
          <w:bCs/>
          <w:sz w:val="20"/>
          <w:szCs w:val="20"/>
        </w:rPr>
        <w:t>- przywrócenie parametrów torów podejściowych do parametrów określonych w obowiązujących przepisach, a następnie ich utrzymanie, celem zapewnienia bezpiecznego dostępu od strony morza do portów morskich, położonych w rejonie ujścia Odry - w szczególności do portu Szczecin;</w:t>
      </w:r>
    </w:p>
    <w:p w14:paraId="244F8702" w14:textId="475E76D0" w:rsidR="003B0AB2" w:rsidRPr="00C1309A" w:rsidRDefault="003B0AB2" w:rsidP="003B0AB2">
      <w:pPr>
        <w:spacing w:after="120" w:line="276" w:lineRule="auto"/>
        <w:jc w:val="both"/>
        <w:rPr>
          <w:rFonts w:ascii="Arial" w:hAnsi="Arial" w:cs="Arial"/>
          <w:bCs/>
          <w:sz w:val="20"/>
          <w:szCs w:val="20"/>
        </w:rPr>
      </w:pPr>
      <w:r w:rsidRPr="00C1309A">
        <w:rPr>
          <w:rFonts w:ascii="Arial" w:hAnsi="Arial" w:cs="Arial"/>
          <w:bCs/>
          <w:sz w:val="20"/>
          <w:szCs w:val="20"/>
        </w:rPr>
        <w:t xml:space="preserve">- zapewnienie trwałości projektu realizowanego w ramach Programu Operacyjnego Infrastruktura </w:t>
      </w:r>
      <w:r w:rsidRPr="00C1309A">
        <w:rPr>
          <w:rFonts w:ascii="Arial" w:hAnsi="Arial" w:cs="Arial"/>
          <w:bCs/>
          <w:sz w:val="20"/>
          <w:szCs w:val="20"/>
        </w:rPr>
        <w:br/>
        <w:t xml:space="preserve">i Środowisko 2014 - 2020 pn. </w:t>
      </w:r>
      <w:r w:rsidRPr="00C1309A">
        <w:rPr>
          <w:rFonts w:ascii="Arial" w:hAnsi="Arial" w:cs="Arial"/>
          <w:bCs/>
          <w:iCs/>
          <w:sz w:val="20"/>
          <w:szCs w:val="20"/>
        </w:rPr>
        <w:t xml:space="preserve">„Modernizacja toru wodnego Świnoujście </w:t>
      </w:r>
      <w:r w:rsidR="00FF03EF">
        <w:rPr>
          <w:rFonts w:ascii="Arial" w:hAnsi="Arial" w:cs="Arial"/>
          <w:bCs/>
          <w:iCs/>
          <w:sz w:val="20"/>
          <w:szCs w:val="20"/>
        </w:rPr>
        <w:t>-</w:t>
      </w:r>
      <w:r w:rsidRPr="00C1309A">
        <w:rPr>
          <w:rFonts w:ascii="Arial" w:hAnsi="Arial" w:cs="Arial"/>
          <w:bCs/>
          <w:iCs/>
          <w:sz w:val="20"/>
          <w:szCs w:val="20"/>
        </w:rPr>
        <w:t xml:space="preserve"> Szczecin do 12,5 m</w:t>
      </w:r>
      <w:r w:rsidRPr="00C1309A">
        <w:rPr>
          <w:rFonts w:ascii="Arial" w:hAnsi="Arial" w:cs="Arial"/>
          <w:bCs/>
          <w:sz w:val="20"/>
          <w:szCs w:val="20"/>
        </w:rPr>
        <w:t xml:space="preserve">” po okresie jego realizacji </w:t>
      </w:r>
      <w:r w:rsidR="00FF03EF">
        <w:rPr>
          <w:rFonts w:ascii="Arial" w:hAnsi="Arial" w:cs="Arial"/>
          <w:bCs/>
          <w:sz w:val="20"/>
          <w:szCs w:val="20"/>
        </w:rPr>
        <w:t>-</w:t>
      </w:r>
      <w:r w:rsidRPr="00C1309A">
        <w:rPr>
          <w:rFonts w:ascii="Arial" w:hAnsi="Arial" w:cs="Arial"/>
          <w:bCs/>
          <w:sz w:val="20"/>
          <w:szCs w:val="20"/>
        </w:rPr>
        <w:t xml:space="preserve"> utrzymanie parametrów technicznych toru;</w:t>
      </w:r>
    </w:p>
    <w:p w14:paraId="19FB2534" w14:textId="77777777" w:rsidR="003B0AB2" w:rsidRPr="00C1309A" w:rsidRDefault="003B0AB2" w:rsidP="003B0AB2">
      <w:pPr>
        <w:spacing w:after="120" w:line="276" w:lineRule="auto"/>
        <w:jc w:val="both"/>
        <w:rPr>
          <w:rFonts w:ascii="Arial" w:hAnsi="Arial" w:cs="Arial"/>
          <w:bCs/>
          <w:sz w:val="20"/>
          <w:szCs w:val="20"/>
        </w:rPr>
      </w:pPr>
      <w:r w:rsidRPr="00C1309A">
        <w:rPr>
          <w:rFonts w:ascii="Arial" w:hAnsi="Arial" w:cs="Arial"/>
          <w:bCs/>
          <w:sz w:val="20"/>
          <w:szCs w:val="20"/>
        </w:rPr>
        <w:t xml:space="preserve">- zapewnienie bezawaryjnego działania systemów bezpieczeństwa żeglugi wchodzących w skład infrastruktury zapewniającej dostęp do portów w Świnoujściu i Szczecinie; </w:t>
      </w:r>
    </w:p>
    <w:p w14:paraId="52CF0EB0" w14:textId="77777777" w:rsidR="003B0AB2" w:rsidRPr="00C1309A" w:rsidRDefault="003B0AB2" w:rsidP="003B0AB2">
      <w:pPr>
        <w:spacing w:after="120" w:line="276" w:lineRule="auto"/>
        <w:jc w:val="both"/>
        <w:rPr>
          <w:rFonts w:ascii="Arial" w:hAnsi="Arial" w:cs="Arial"/>
          <w:bCs/>
          <w:sz w:val="20"/>
          <w:szCs w:val="20"/>
        </w:rPr>
      </w:pPr>
      <w:r w:rsidRPr="00C1309A">
        <w:rPr>
          <w:rFonts w:ascii="Arial" w:hAnsi="Arial" w:cs="Arial"/>
          <w:bCs/>
          <w:sz w:val="20"/>
          <w:szCs w:val="20"/>
        </w:rPr>
        <w:t>- utrzymanie ciągłego i niezakłóconego dostępu do portów w Świnoujściu i Szczecinie z uwagi na ważną rolę tych portów dla zapewnienia bezpieczeństwa i obronności państwa, a w szczególności wypełnienia przez Polskę zobowiązań sojuszniczych.</w:t>
      </w:r>
    </w:p>
    <w:p w14:paraId="348A4702" w14:textId="3AE1FE0F" w:rsidR="001C1294" w:rsidRPr="001C1294" w:rsidRDefault="001C1294" w:rsidP="001C1294">
      <w:pPr>
        <w:spacing w:line="276" w:lineRule="auto"/>
        <w:jc w:val="both"/>
        <w:rPr>
          <w:rFonts w:ascii="Arial" w:hAnsi="Arial" w:cs="Arial"/>
          <w:sz w:val="20"/>
          <w:szCs w:val="20"/>
        </w:rPr>
      </w:pPr>
      <w:r w:rsidRPr="001C1294">
        <w:rPr>
          <w:rFonts w:ascii="Arial" w:hAnsi="Arial" w:cs="Arial"/>
          <w:sz w:val="20"/>
          <w:szCs w:val="20"/>
        </w:rPr>
        <w:t>Do osiągniętych rezulta</w:t>
      </w:r>
      <w:r>
        <w:rPr>
          <w:rFonts w:ascii="Arial" w:hAnsi="Arial" w:cs="Arial"/>
          <w:sz w:val="20"/>
          <w:szCs w:val="20"/>
        </w:rPr>
        <w:t>tów (kamieni milowych) w 2019 r.</w:t>
      </w:r>
      <w:r w:rsidRPr="001C1294">
        <w:rPr>
          <w:rFonts w:ascii="Arial" w:hAnsi="Arial" w:cs="Arial"/>
          <w:sz w:val="20"/>
          <w:szCs w:val="20"/>
        </w:rPr>
        <w:t xml:space="preserve"> można zaliczyć wykonanie następujących zadań:</w:t>
      </w:r>
    </w:p>
    <w:p w14:paraId="37D2F8AF" w14:textId="434A3648"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prace czerpalno</w:t>
      </w:r>
      <w:r w:rsidR="00834EF4">
        <w:rPr>
          <w:rFonts w:ascii="Arial" w:hAnsi="Arial" w:cs="Arial"/>
          <w:sz w:val="20"/>
          <w:szCs w:val="20"/>
        </w:rPr>
        <w:t xml:space="preserve"> </w:t>
      </w:r>
      <w:r w:rsidRPr="001C1294">
        <w:rPr>
          <w:rFonts w:ascii="Arial" w:hAnsi="Arial" w:cs="Arial"/>
          <w:sz w:val="20"/>
          <w:szCs w:val="20"/>
        </w:rPr>
        <w:t>-</w:t>
      </w:r>
      <w:r w:rsidR="00834EF4">
        <w:rPr>
          <w:rFonts w:ascii="Arial" w:hAnsi="Arial" w:cs="Arial"/>
          <w:sz w:val="20"/>
          <w:szCs w:val="20"/>
        </w:rPr>
        <w:t xml:space="preserve"> </w:t>
      </w:r>
      <w:r w:rsidRPr="001C1294">
        <w:rPr>
          <w:rFonts w:ascii="Arial" w:hAnsi="Arial" w:cs="Arial"/>
          <w:sz w:val="20"/>
          <w:szCs w:val="20"/>
        </w:rPr>
        <w:t>refulacyjne o kubaturze ok. 462 500 m</w:t>
      </w:r>
      <w:r w:rsidRPr="001C1294">
        <w:rPr>
          <w:rFonts w:ascii="Arial" w:hAnsi="Arial" w:cs="Arial"/>
          <w:sz w:val="20"/>
          <w:szCs w:val="20"/>
          <w:vertAlign w:val="superscript"/>
        </w:rPr>
        <w:t>3</w:t>
      </w:r>
      <w:r w:rsidRPr="001C1294">
        <w:rPr>
          <w:rFonts w:ascii="Arial" w:hAnsi="Arial" w:cs="Arial"/>
          <w:sz w:val="20"/>
          <w:szCs w:val="20"/>
        </w:rPr>
        <w:t>,</w:t>
      </w:r>
    </w:p>
    <w:p w14:paraId="339B2D10" w14:textId="1BB6C726"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prace konserwacyjno - remontowe na polach refulacyjnych,</w:t>
      </w:r>
    </w:p>
    <w:p w14:paraId="631C9055" w14:textId="5A0616BF"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remont stawy zachodniej II BT i stawy wschodniej BT na TWŚ-S,</w:t>
      </w:r>
    </w:p>
    <w:p w14:paraId="59D9FEB2" w14:textId="415AA169"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remont znaków stałego oznakowania nawigacyjnego - stawa dolna nabieżnika Młyny,</w:t>
      </w:r>
    </w:p>
    <w:p w14:paraId="1B0CC922" w14:textId="0B89F5C8"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remont znaków stałego oznakowania nawigacyjnego - stawa cyplowa wyspy Mielin,</w:t>
      </w:r>
    </w:p>
    <w:p w14:paraId="548CE85B" w14:textId="346F6E22"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prace konserwacyjno</w:t>
      </w:r>
      <w:r>
        <w:rPr>
          <w:rFonts w:ascii="Arial" w:hAnsi="Arial" w:cs="Arial"/>
          <w:sz w:val="20"/>
          <w:szCs w:val="20"/>
        </w:rPr>
        <w:t xml:space="preserve"> -</w:t>
      </w:r>
      <w:r w:rsidRPr="001C1294">
        <w:rPr>
          <w:rFonts w:ascii="Arial" w:hAnsi="Arial" w:cs="Arial"/>
          <w:sz w:val="20"/>
          <w:szCs w:val="20"/>
        </w:rPr>
        <w:t xml:space="preserve"> remontowe i wymiana systemu odbojowego w obiektach UMS,</w:t>
      </w:r>
    </w:p>
    <w:p w14:paraId="3CBABE14" w14:textId="3112AC79"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 xml:space="preserve">remont Stawy światła sektorowego Domańce, </w:t>
      </w:r>
    </w:p>
    <w:p w14:paraId="631AE8FE" w14:textId="1A3D184D"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remont pomostu cumowniczego do stawy światła sektorowego Domańce,</w:t>
      </w:r>
    </w:p>
    <w:p w14:paraId="1A694F69" w14:textId="2B3DC0C5"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remont oznakowania nawigacyjnego - remont dalb 40, 41,</w:t>
      </w:r>
    </w:p>
    <w:p w14:paraId="551841A4" w14:textId="0CE3C562" w:rsidR="001C1294" w:rsidRPr="001C1294" w:rsidRDefault="001C1294" w:rsidP="00BE7674">
      <w:pPr>
        <w:spacing w:after="0" w:line="276" w:lineRule="auto"/>
        <w:jc w:val="both"/>
        <w:rPr>
          <w:rFonts w:ascii="Arial" w:hAnsi="Arial" w:cs="Arial"/>
          <w:sz w:val="20"/>
          <w:szCs w:val="20"/>
        </w:rPr>
      </w:pPr>
      <w:r>
        <w:rPr>
          <w:rFonts w:ascii="Arial" w:hAnsi="Arial" w:cs="Arial"/>
          <w:sz w:val="20"/>
          <w:szCs w:val="20"/>
        </w:rPr>
        <w:t xml:space="preserve">- </w:t>
      </w:r>
      <w:r w:rsidRPr="001C1294">
        <w:rPr>
          <w:rFonts w:ascii="Arial" w:hAnsi="Arial" w:cs="Arial"/>
          <w:sz w:val="20"/>
          <w:szCs w:val="20"/>
        </w:rPr>
        <w:t>remont ostróg przy falochronie Centralnym w Świnoujściu,</w:t>
      </w:r>
    </w:p>
    <w:p w14:paraId="6791064B" w14:textId="2ECA9809" w:rsidR="004F0583" w:rsidRPr="001C1294" w:rsidRDefault="001C1294" w:rsidP="00BE7674">
      <w:pPr>
        <w:spacing w:after="120" w:line="276" w:lineRule="auto"/>
        <w:jc w:val="both"/>
        <w:rPr>
          <w:rFonts w:ascii="Arial" w:hAnsi="Arial" w:cs="Arial"/>
          <w:sz w:val="20"/>
          <w:szCs w:val="20"/>
        </w:rPr>
      </w:pPr>
      <w:r w:rsidRPr="001C1294">
        <w:rPr>
          <w:rFonts w:ascii="Arial" w:hAnsi="Arial" w:cs="Arial"/>
          <w:sz w:val="20"/>
          <w:szCs w:val="20"/>
        </w:rPr>
        <w:t xml:space="preserve">- </w:t>
      </w:r>
      <w:r w:rsidR="004F0583" w:rsidRPr="001C1294">
        <w:rPr>
          <w:rFonts w:ascii="Arial" w:hAnsi="Arial" w:cs="Arial"/>
          <w:sz w:val="20"/>
          <w:szCs w:val="20"/>
        </w:rPr>
        <w:t>prace konserwacyjno-remontowe ostróg wyspy Chełminek.</w:t>
      </w:r>
    </w:p>
    <w:p w14:paraId="6ADD3D1D" w14:textId="2C96ECFC" w:rsidR="000C3875" w:rsidRPr="004C6CC5" w:rsidRDefault="000C3875" w:rsidP="00BE7674">
      <w:pPr>
        <w:numPr>
          <w:ilvl w:val="0"/>
          <w:numId w:val="23"/>
        </w:numPr>
        <w:spacing w:after="120" w:line="276" w:lineRule="auto"/>
        <w:contextualSpacing/>
        <w:jc w:val="both"/>
        <w:rPr>
          <w:rFonts w:ascii="Arial" w:hAnsi="Arial" w:cs="Arial"/>
          <w:b/>
          <w:sz w:val="20"/>
          <w:szCs w:val="20"/>
        </w:rPr>
      </w:pPr>
      <w:r w:rsidRPr="004C6CC5">
        <w:rPr>
          <w:rFonts w:ascii="Arial" w:hAnsi="Arial" w:cs="Arial"/>
          <w:b/>
          <w:sz w:val="20"/>
          <w:szCs w:val="20"/>
        </w:rPr>
        <w:t>Inwestycje morskie realizowane</w:t>
      </w:r>
      <w:r w:rsidR="004C6CC5">
        <w:rPr>
          <w:rFonts w:ascii="Arial" w:hAnsi="Arial" w:cs="Arial"/>
          <w:b/>
          <w:sz w:val="20"/>
          <w:szCs w:val="20"/>
        </w:rPr>
        <w:t xml:space="preserve"> w </w:t>
      </w:r>
      <w:r w:rsidRPr="004C6CC5">
        <w:rPr>
          <w:rFonts w:ascii="Arial" w:hAnsi="Arial" w:cs="Arial"/>
          <w:b/>
          <w:sz w:val="20"/>
          <w:szCs w:val="20"/>
        </w:rPr>
        <w:t>2019 r. współfinansowane ze środków unijnych</w:t>
      </w:r>
      <w:r w:rsidR="004C6CC5">
        <w:rPr>
          <w:rFonts w:ascii="Arial" w:hAnsi="Arial" w:cs="Arial"/>
          <w:b/>
          <w:sz w:val="20"/>
          <w:szCs w:val="20"/>
        </w:rPr>
        <w:t xml:space="preserve"> w </w:t>
      </w:r>
      <w:r w:rsidRPr="004C6CC5">
        <w:rPr>
          <w:rFonts w:ascii="Arial" w:hAnsi="Arial" w:cs="Arial"/>
          <w:b/>
          <w:sz w:val="20"/>
          <w:szCs w:val="20"/>
        </w:rPr>
        <w:t>ramach Programu Operacyjnego Infrastruktura</w:t>
      </w:r>
      <w:r w:rsidR="004C6CC5">
        <w:rPr>
          <w:rFonts w:ascii="Arial" w:hAnsi="Arial" w:cs="Arial"/>
          <w:b/>
          <w:sz w:val="20"/>
          <w:szCs w:val="20"/>
        </w:rPr>
        <w:t xml:space="preserve"> i </w:t>
      </w:r>
      <w:r w:rsidRPr="004C6CC5">
        <w:rPr>
          <w:rFonts w:ascii="Arial" w:hAnsi="Arial" w:cs="Arial"/>
          <w:b/>
          <w:sz w:val="20"/>
          <w:szCs w:val="20"/>
        </w:rPr>
        <w:t xml:space="preserve">Środowisko 2014-2020. </w:t>
      </w:r>
    </w:p>
    <w:p w14:paraId="053DB145" w14:textId="77777777" w:rsidR="00ED78E3" w:rsidRPr="004C6CC5" w:rsidRDefault="00ED78E3" w:rsidP="00BE7674">
      <w:pPr>
        <w:spacing w:after="120" w:line="276" w:lineRule="auto"/>
        <w:ind w:left="360"/>
        <w:contextualSpacing/>
        <w:jc w:val="both"/>
        <w:rPr>
          <w:rFonts w:ascii="Arial" w:hAnsi="Arial" w:cs="Arial"/>
          <w:b/>
          <w:sz w:val="20"/>
          <w:szCs w:val="20"/>
        </w:rPr>
      </w:pPr>
    </w:p>
    <w:p w14:paraId="4A65DC31" w14:textId="0C142855" w:rsidR="00B6635A" w:rsidRPr="004C6CC5" w:rsidRDefault="00B6635A" w:rsidP="00BE7674">
      <w:pPr>
        <w:spacing w:after="120" w:line="276" w:lineRule="auto"/>
        <w:jc w:val="both"/>
        <w:rPr>
          <w:rFonts w:ascii="Arial" w:hAnsi="Arial" w:cs="Arial"/>
          <w:sz w:val="20"/>
          <w:szCs w:val="20"/>
        </w:rPr>
      </w:pPr>
      <w:r w:rsidRPr="000F468A">
        <w:rPr>
          <w:rFonts w:ascii="Arial" w:hAnsi="Arial" w:cs="Arial"/>
          <w:sz w:val="20"/>
          <w:szCs w:val="20"/>
        </w:rPr>
        <w:t>-</w:t>
      </w:r>
      <w:r w:rsidRPr="004C6CC5">
        <w:rPr>
          <w:rFonts w:ascii="Arial" w:hAnsi="Arial" w:cs="Arial"/>
          <w:b/>
          <w:sz w:val="20"/>
          <w:szCs w:val="20"/>
        </w:rPr>
        <w:t xml:space="preserve"> Modernizacja wejścia do portu wewnętrznego (w Gdańsku). Etap IIIA</w:t>
      </w:r>
      <w:r w:rsidRPr="004C6CC5">
        <w:rPr>
          <w:rFonts w:ascii="Arial" w:hAnsi="Arial" w:cs="Arial"/>
          <w:sz w:val="20"/>
          <w:szCs w:val="20"/>
        </w:rPr>
        <w:t xml:space="preserve"> </w:t>
      </w:r>
      <w:r w:rsidR="00003172">
        <w:rPr>
          <w:rFonts w:ascii="Arial" w:hAnsi="Arial" w:cs="Arial"/>
          <w:sz w:val="20"/>
          <w:szCs w:val="20"/>
        </w:rPr>
        <w:t>-</w:t>
      </w:r>
      <w:r w:rsidRPr="004C6CC5">
        <w:rPr>
          <w:rFonts w:ascii="Arial" w:hAnsi="Arial" w:cs="Arial"/>
          <w:sz w:val="20"/>
          <w:szCs w:val="20"/>
        </w:rPr>
        <w:t xml:space="preserve"> projekt Urzędu Morskiego</w:t>
      </w:r>
      <w:r w:rsidR="004C6CC5">
        <w:rPr>
          <w:rFonts w:ascii="Arial" w:hAnsi="Arial" w:cs="Arial"/>
          <w:sz w:val="20"/>
          <w:szCs w:val="20"/>
        </w:rPr>
        <w:t xml:space="preserve"> w </w:t>
      </w:r>
      <w:r w:rsidR="00A94CDC">
        <w:rPr>
          <w:rFonts w:ascii="Arial" w:hAnsi="Arial" w:cs="Arial"/>
          <w:sz w:val="20"/>
          <w:szCs w:val="20"/>
        </w:rPr>
        <w:t xml:space="preserve">Gdyni. Wartość projektu: </w:t>
      </w:r>
      <w:r w:rsidRPr="004C6CC5">
        <w:rPr>
          <w:rFonts w:ascii="Arial" w:hAnsi="Arial" w:cs="Arial"/>
          <w:sz w:val="20"/>
          <w:szCs w:val="20"/>
        </w:rPr>
        <w:t>116 mln zł,</w:t>
      </w:r>
      <w:r w:rsidR="004C6CC5">
        <w:rPr>
          <w:rFonts w:ascii="Arial" w:hAnsi="Arial" w:cs="Arial"/>
          <w:sz w:val="20"/>
          <w:szCs w:val="20"/>
        </w:rPr>
        <w:t xml:space="preserve"> w </w:t>
      </w:r>
      <w:r w:rsidRPr="004C6CC5">
        <w:rPr>
          <w:rFonts w:ascii="Arial" w:hAnsi="Arial" w:cs="Arial"/>
          <w:sz w:val="20"/>
          <w:szCs w:val="20"/>
        </w:rPr>
        <w:t>tym</w:t>
      </w:r>
      <w:r w:rsidR="004468B4">
        <w:rPr>
          <w:rFonts w:ascii="Arial" w:hAnsi="Arial" w:cs="Arial"/>
          <w:sz w:val="20"/>
          <w:szCs w:val="20"/>
        </w:rPr>
        <w:t xml:space="preserve"> dofinansowanie ze środków UE: </w:t>
      </w:r>
      <w:r w:rsidRPr="004C6CC5">
        <w:rPr>
          <w:rFonts w:ascii="Arial" w:hAnsi="Arial" w:cs="Arial"/>
          <w:sz w:val="20"/>
          <w:szCs w:val="20"/>
        </w:rPr>
        <w:t>98,60 mln zł.</w:t>
      </w:r>
      <w:r w:rsidR="004C6CC5">
        <w:rPr>
          <w:rFonts w:ascii="Arial" w:hAnsi="Arial" w:cs="Arial"/>
          <w:sz w:val="20"/>
          <w:szCs w:val="20"/>
        </w:rPr>
        <w:t xml:space="preserve"> </w:t>
      </w:r>
      <w:r w:rsidR="00003172">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ramach Projektu wybudowany zostanie tor wodny o długości 2 153 m wraz</w:t>
      </w:r>
      <w:r w:rsidR="004C6CC5">
        <w:rPr>
          <w:rFonts w:ascii="Arial" w:hAnsi="Arial" w:cs="Arial"/>
          <w:sz w:val="20"/>
          <w:szCs w:val="20"/>
        </w:rPr>
        <w:t xml:space="preserve"> z </w:t>
      </w:r>
      <w:r w:rsidRPr="004C6CC5">
        <w:rPr>
          <w:rFonts w:ascii="Arial" w:hAnsi="Arial" w:cs="Arial"/>
          <w:sz w:val="20"/>
          <w:szCs w:val="20"/>
        </w:rPr>
        <w:t>obrotnicą na Martwej Wiśle</w:t>
      </w:r>
      <w:r w:rsidR="004C6CC5">
        <w:rPr>
          <w:rFonts w:ascii="Arial" w:hAnsi="Arial" w:cs="Arial"/>
          <w:sz w:val="20"/>
          <w:szCs w:val="20"/>
        </w:rPr>
        <w:t xml:space="preserve"> i </w:t>
      </w:r>
      <w:r w:rsidRPr="004C6CC5">
        <w:rPr>
          <w:rFonts w:ascii="Arial" w:hAnsi="Arial" w:cs="Arial"/>
          <w:sz w:val="20"/>
          <w:szCs w:val="20"/>
        </w:rPr>
        <w:t>wymianą oznakowania nawigacyjnego oraz zostaną przebudowane</w:t>
      </w:r>
      <w:r w:rsidR="004C6CC5">
        <w:rPr>
          <w:rFonts w:ascii="Arial" w:hAnsi="Arial" w:cs="Arial"/>
          <w:sz w:val="20"/>
          <w:szCs w:val="20"/>
        </w:rPr>
        <w:t xml:space="preserve"> i </w:t>
      </w:r>
      <w:r w:rsidRPr="004C6CC5">
        <w:rPr>
          <w:rFonts w:ascii="Arial" w:hAnsi="Arial" w:cs="Arial"/>
          <w:sz w:val="20"/>
          <w:szCs w:val="20"/>
        </w:rPr>
        <w:t>wyremontowane nabrzeża Martwej Wisły: Nabrzeże Szyprów (383,0 mb), Nabrzeże Flisaków (307,0 mb), Nabrzeże Retmanów (938,0 mb), Nabrzeże Polski Hak (355,0 mb), Nabrzeże Motławy nr XVIII (531,0 mb).</w:t>
      </w:r>
    </w:p>
    <w:p w14:paraId="40BD1C4B" w14:textId="057D69B7"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lastRenderedPageBreak/>
        <w:t xml:space="preserve">- </w:t>
      </w:r>
      <w:r w:rsidRPr="004C6CC5">
        <w:rPr>
          <w:rFonts w:ascii="Arial" w:hAnsi="Arial" w:cs="Arial"/>
          <w:b/>
          <w:sz w:val="20"/>
          <w:szCs w:val="20"/>
        </w:rPr>
        <w:t>Modernizacja toru wodnego do Portu Północnego</w:t>
      </w:r>
      <w:r w:rsidR="004C6CC5">
        <w:rPr>
          <w:rFonts w:ascii="Arial" w:hAnsi="Arial" w:cs="Arial"/>
          <w:b/>
          <w:sz w:val="20"/>
          <w:szCs w:val="20"/>
        </w:rPr>
        <w:t xml:space="preserve"> w </w:t>
      </w:r>
      <w:r w:rsidRPr="004C6CC5">
        <w:rPr>
          <w:rFonts w:ascii="Arial" w:hAnsi="Arial" w:cs="Arial"/>
          <w:b/>
          <w:sz w:val="20"/>
          <w:szCs w:val="20"/>
        </w:rPr>
        <w:t>Gdańsku</w:t>
      </w:r>
      <w:r w:rsidRPr="004C6CC5">
        <w:rPr>
          <w:rFonts w:ascii="Arial" w:hAnsi="Arial" w:cs="Arial"/>
          <w:sz w:val="20"/>
          <w:szCs w:val="20"/>
        </w:rPr>
        <w:t xml:space="preserve"> - projekt Urzędu Morskiego</w:t>
      </w:r>
      <w:r w:rsidR="004C6CC5">
        <w:rPr>
          <w:rFonts w:ascii="Arial" w:hAnsi="Arial" w:cs="Arial"/>
          <w:sz w:val="20"/>
          <w:szCs w:val="20"/>
        </w:rPr>
        <w:t xml:space="preserve"> w </w:t>
      </w:r>
      <w:r w:rsidR="00A94CDC">
        <w:rPr>
          <w:rFonts w:ascii="Arial" w:hAnsi="Arial" w:cs="Arial"/>
          <w:sz w:val="20"/>
          <w:szCs w:val="20"/>
        </w:rPr>
        <w:t xml:space="preserve">Gdyni. Wartość projektu: </w:t>
      </w:r>
      <w:r w:rsidRPr="004C6CC5">
        <w:rPr>
          <w:rFonts w:ascii="Arial" w:hAnsi="Arial" w:cs="Arial"/>
          <w:sz w:val="20"/>
          <w:szCs w:val="20"/>
        </w:rPr>
        <w:t>161mln zł,</w:t>
      </w:r>
      <w:r w:rsidR="004C6CC5">
        <w:rPr>
          <w:rFonts w:ascii="Arial" w:hAnsi="Arial" w:cs="Arial"/>
          <w:sz w:val="20"/>
          <w:szCs w:val="20"/>
        </w:rPr>
        <w:t xml:space="preserve"> w </w:t>
      </w:r>
      <w:r w:rsidRPr="004C6CC5">
        <w:rPr>
          <w:rFonts w:ascii="Arial" w:hAnsi="Arial" w:cs="Arial"/>
          <w:sz w:val="20"/>
          <w:szCs w:val="20"/>
        </w:rPr>
        <w:t>tym</w:t>
      </w:r>
      <w:r w:rsidR="004744F5">
        <w:rPr>
          <w:rFonts w:ascii="Arial" w:hAnsi="Arial" w:cs="Arial"/>
          <w:sz w:val="20"/>
          <w:szCs w:val="20"/>
        </w:rPr>
        <w:t xml:space="preserve"> dofinansowanie ze środków UE: </w:t>
      </w:r>
      <w:r w:rsidRPr="004C6CC5">
        <w:rPr>
          <w:rFonts w:ascii="Arial" w:hAnsi="Arial" w:cs="Arial"/>
          <w:sz w:val="20"/>
          <w:szCs w:val="20"/>
        </w:rPr>
        <w:t>136,8 mln zł. Istotą projektu jest przebudowa toru wodnego wraz</w:t>
      </w:r>
      <w:r w:rsidR="00003172">
        <w:rPr>
          <w:rFonts w:ascii="Arial" w:hAnsi="Arial" w:cs="Arial"/>
          <w:sz w:val="20"/>
          <w:szCs w:val="20"/>
        </w:rPr>
        <w:t xml:space="preserve"> z </w:t>
      </w:r>
      <w:r w:rsidRPr="004C6CC5">
        <w:rPr>
          <w:rFonts w:ascii="Arial" w:hAnsi="Arial" w:cs="Arial"/>
          <w:sz w:val="20"/>
          <w:szCs w:val="20"/>
        </w:rPr>
        <w:t>dostosowaniem oznakowania nawigacyjnego zlokalizowanego na Zatoce Gdańskiej</w:t>
      </w:r>
      <w:r w:rsidR="004C6CC5">
        <w:rPr>
          <w:rFonts w:ascii="Arial" w:hAnsi="Arial" w:cs="Arial"/>
          <w:sz w:val="20"/>
          <w:szCs w:val="20"/>
        </w:rPr>
        <w:t xml:space="preserve"> w </w:t>
      </w:r>
      <w:r w:rsidRPr="004C6CC5">
        <w:rPr>
          <w:rFonts w:ascii="Arial" w:hAnsi="Arial" w:cs="Arial"/>
          <w:sz w:val="20"/>
          <w:szCs w:val="20"/>
        </w:rPr>
        <w:t>rejonie Portu Północnego, będącego częścią Portu Morskiego</w:t>
      </w:r>
      <w:r w:rsidR="004C6CC5">
        <w:rPr>
          <w:rFonts w:ascii="Arial" w:hAnsi="Arial" w:cs="Arial"/>
          <w:sz w:val="20"/>
          <w:szCs w:val="20"/>
        </w:rPr>
        <w:t xml:space="preserve"> w </w:t>
      </w:r>
      <w:r w:rsidRPr="004C6CC5">
        <w:rPr>
          <w:rFonts w:ascii="Arial" w:hAnsi="Arial" w:cs="Arial"/>
          <w:sz w:val="20"/>
          <w:szCs w:val="20"/>
        </w:rPr>
        <w:t>Gdańsku, mająca na celu powiększenie szerokości toru</w:t>
      </w:r>
      <w:r w:rsidR="004C6CC5">
        <w:rPr>
          <w:rFonts w:ascii="Arial" w:hAnsi="Arial" w:cs="Arial"/>
          <w:sz w:val="20"/>
          <w:szCs w:val="20"/>
        </w:rPr>
        <w:t xml:space="preserve"> w </w:t>
      </w:r>
      <w:r w:rsidRPr="004C6CC5">
        <w:rPr>
          <w:rFonts w:ascii="Arial" w:hAnsi="Arial" w:cs="Arial"/>
          <w:sz w:val="20"/>
          <w:szCs w:val="20"/>
        </w:rPr>
        <w:t>dnie do docelowej 600 m oraz głębokości technicznej do docelowej 18 m.</w:t>
      </w:r>
    </w:p>
    <w:p w14:paraId="31F33094" w14:textId="790C8D1F"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Modernizacja układu falochronów osłonowych</w:t>
      </w:r>
      <w:r w:rsidR="004C6CC5">
        <w:rPr>
          <w:rFonts w:ascii="Arial" w:hAnsi="Arial" w:cs="Arial"/>
          <w:b/>
          <w:sz w:val="20"/>
          <w:szCs w:val="20"/>
        </w:rPr>
        <w:t xml:space="preserve"> w </w:t>
      </w:r>
      <w:r w:rsidRPr="004C6CC5">
        <w:rPr>
          <w:rFonts w:ascii="Arial" w:hAnsi="Arial" w:cs="Arial"/>
          <w:b/>
          <w:sz w:val="20"/>
          <w:szCs w:val="20"/>
        </w:rPr>
        <w:t>Porcie Północnym</w:t>
      </w:r>
      <w:r w:rsidR="004C6CC5">
        <w:rPr>
          <w:rFonts w:ascii="Arial" w:hAnsi="Arial" w:cs="Arial"/>
          <w:b/>
          <w:sz w:val="20"/>
          <w:szCs w:val="20"/>
        </w:rPr>
        <w:t xml:space="preserve"> w </w:t>
      </w:r>
      <w:r w:rsidRPr="004C6CC5">
        <w:rPr>
          <w:rFonts w:ascii="Arial" w:hAnsi="Arial" w:cs="Arial"/>
          <w:b/>
          <w:sz w:val="20"/>
          <w:szCs w:val="20"/>
        </w:rPr>
        <w:t>Gdańsku</w:t>
      </w:r>
      <w:r w:rsidRPr="004C6CC5">
        <w:rPr>
          <w:rFonts w:ascii="Arial" w:hAnsi="Arial" w:cs="Arial"/>
          <w:sz w:val="20"/>
          <w:szCs w:val="20"/>
        </w:rPr>
        <w:t xml:space="preserve"> - projekt Urzędu Morskiego</w:t>
      </w:r>
      <w:r w:rsidR="004C6CC5">
        <w:rPr>
          <w:rFonts w:ascii="Arial" w:hAnsi="Arial" w:cs="Arial"/>
          <w:sz w:val="20"/>
          <w:szCs w:val="20"/>
        </w:rPr>
        <w:t xml:space="preserve"> w </w:t>
      </w:r>
      <w:r w:rsidR="00A94CDC">
        <w:rPr>
          <w:rFonts w:ascii="Arial" w:hAnsi="Arial" w:cs="Arial"/>
          <w:sz w:val="20"/>
          <w:szCs w:val="20"/>
        </w:rPr>
        <w:t xml:space="preserve">Gdyni. Wartość projektu: </w:t>
      </w:r>
      <w:r w:rsidRPr="004C6CC5">
        <w:rPr>
          <w:rFonts w:ascii="Arial" w:hAnsi="Arial" w:cs="Arial"/>
          <w:sz w:val="20"/>
          <w:szCs w:val="20"/>
        </w:rPr>
        <w:t>795 mln zł,</w:t>
      </w:r>
      <w:r w:rsidR="004C6CC5">
        <w:rPr>
          <w:rFonts w:ascii="Arial" w:hAnsi="Arial" w:cs="Arial"/>
          <w:sz w:val="20"/>
          <w:szCs w:val="20"/>
        </w:rPr>
        <w:t xml:space="preserve"> w </w:t>
      </w:r>
      <w:r w:rsidRPr="004C6CC5">
        <w:rPr>
          <w:rFonts w:ascii="Arial" w:hAnsi="Arial" w:cs="Arial"/>
          <w:sz w:val="20"/>
          <w:szCs w:val="20"/>
        </w:rPr>
        <w:t>tym</w:t>
      </w:r>
      <w:r w:rsidR="00A94CDC">
        <w:rPr>
          <w:rFonts w:ascii="Arial" w:hAnsi="Arial" w:cs="Arial"/>
          <w:sz w:val="20"/>
          <w:szCs w:val="20"/>
        </w:rPr>
        <w:t xml:space="preserve"> dofinansowanie ze środków UE: </w:t>
      </w:r>
      <w:r w:rsidRPr="004C6CC5">
        <w:rPr>
          <w:rFonts w:ascii="Arial" w:hAnsi="Arial" w:cs="Arial"/>
          <w:sz w:val="20"/>
          <w:szCs w:val="20"/>
        </w:rPr>
        <w:t>675 mln zł.</w:t>
      </w:r>
      <w:r w:rsidR="0000317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ramach projektu planowana jest rozbudowa układu falochronów odpowiadających za osłonięcie wschodniej strony Portu Północnego:</w:t>
      </w:r>
    </w:p>
    <w:p w14:paraId="599B749B" w14:textId="77777777" w:rsidR="00B6635A" w:rsidRPr="004C6CC5" w:rsidRDefault="00B6635A" w:rsidP="00A94CDC">
      <w:pPr>
        <w:spacing w:after="0" w:line="276" w:lineRule="auto"/>
        <w:jc w:val="both"/>
        <w:rPr>
          <w:rFonts w:ascii="Arial" w:hAnsi="Arial" w:cs="Arial"/>
          <w:sz w:val="20"/>
          <w:szCs w:val="20"/>
        </w:rPr>
      </w:pPr>
      <w:r w:rsidRPr="004C6CC5">
        <w:rPr>
          <w:rFonts w:ascii="Arial" w:hAnsi="Arial" w:cs="Arial"/>
          <w:sz w:val="20"/>
          <w:szCs w:val="20"/>
        </w:rPr>
        <w:t>- remont istniejącego falochronu wyspowego (o długości 653 m);</w:t>
      </w:r>
    </w:p>
    <w:p w14:paraId="3BD54C27" w14:textId="77777777" w:rsidR="00B6635A" w:rsidRPr="004C6CC5" w:rsidRDefault="00B6635A" w:rsidP="00A94CDC">
      <w:pPr>
        <w:spacing w:after="0" w:line="276" w:lineRule="auto"/>
        <w:jc w:val="both"/>
        <w:rPr>
          <w:rFonts w:ascii="Arial" w:hAnsi="Arial" w:cs="Arial"/>
          <w:sz w:val="20"/>
          <w:szCs w:val="20"/>
        </w:rPr>
      </w:pPr>
      <w:r w:rsidRPr="004C6CC5">
        <w:rPr>
          <w:rFonts w:ascii="Arial" w:hAnsi="Arial" w:cs="Arial"/>
          <w:sz w:val="20"/>
          <w:szCs w:val="20"/>
        </w:rPr>
        <w:t>- budowa nowego falochronu osłonowego na przedłużeniu istniejącego falochronu wyspowego (całkowita długość nowej konstrukcji wyniesie 853 m);</w:t>
      </w:r>
    </w:p>
    <w:p w14:paraId="00D758F3" w14:textId="77777777" w:rsidR="00B6635A" w:rsidRPr="004C6CC5" w:rsidRDefault="00B6635A" w:rsidP="00A94CDC">
      <w:pPr>
        <w:spacing w:after="0" w:line="276" w:lineRule="auto"/>
        <w:jc w:val="both"/>
        <w:rPr>
          <w:rFonts w:ascii="Arial" w:hAnsi="Arial" w:cs="Arial"/>
          <w:sz w:val="20"/>
          <w:szCs w:val="20"/>
        </w:rPr>
      </w:pPr>
      <w:r w:rsidRPr="004C6CC5">
        <w:rPr>
          <w:rFonts w:ascii="Arial" w:hAnsi="Arial" w:cs="Arial"/>
          <w:sz w:val="20"/>
          <w:szCs w:val="20"/>
        </w:rPr>
        <w:t>- budowa platformy dla ptaków, która zlokalizowana będzie pomiędzy istniejącym falochronem wyspowym, a jego projektowanym przedłużeniem;</w:t>
      </w:r>
    </w:p>
    <w:p w14:paraId="607C2184" w14:textId="6A79E274" w:rsidR="00B6635A" w:rsidRPr="004C6CC5" w:rsidRDefault="00B6635A" w:rsidP="00A94CDC">
      <w:pPr>
        <w:spacing w:after="0" w:line="276" w:lineRule="auto"/>
        <w:jc w:val="both"/>
        <w:rPr>
          <w:rFonts w:ascii="Arial" w:hAnsi="Arial" w:cs="Arial"/>
          <w:sz w:val="20"/>
          <w:szCs w:val="20"/>
        </w:rPr>
      </w:pPr>
      <w:r w:rsidRPr="004C6CC5">
        <w:rPr>
          <w:rFonts w:ascii="Arial" w:hAnsi="Arial" w:cs="Arial"/>
          <w:sz w:val="20"/>
          <w:szCs w:val="20"/>
        </w:rPr>
        <w:t>- przebudowa wraz</w:t>
      </w:r>
      <w:r w:rsidR="004C6CC5">
        <w:rPr>
          <w:rFonts w:ascii="Arial" w:hAnsi="Arial" w:cs="Arial"/>
          <w:sz w:val="20"/>
          <w:szCs w:val="20"/>
        </w:rPr>
        <w:t xml:space="preserve"> z </w:t>
      </w:r>
      <w:r w:rsidRPr="004C6CC5">
        <w:rPr>
          <w:rFonts w:ascii="Arial" w:hAnsi="Arial" w:cs="Arial"/>
          <w:sz w:val="20"/>
          <w:szCs w:val="20"/>
        </w:rPr>
        <w:t xml:space="preserve">robotami rozbiórkowymi Falochronu Północnego Wyspowego (o długości </w:t>
      </w:r>
      <w:r w:rsidR="000C7823">
        <w:rPr>
          <w:rFonts w:ascii="Arial" w:hAnsi="Arial" w:cs="Arial"/>
          <w:sz w:val="20"/>
          <w:szCs w:val="20"/>
        </w:rPr>
        <w:br/>
      </w:r>
      <w:r w:rsidRPr="004C6CC5">
        <w:rPr>
          <w:rFonts w:ascii="Arial" w:hAnsi="Arial" w:cs="Arial"/>
          <w:sz w:val="20"/>
          <w:szCs w:val="20"/>
        </w:rPr>
        <w:t>625 m);</w:t>
      </w:r>
    </w:p>
    <w:p w14:paraId="151EAA7C" w14:textId="77777777" w:rsidR="00B6635A" w:rsidRPr="004C6CC5" w:rsidRDefault="00B6635A" w:rsidP="00A94CDC">
      <w:pPr>
        <w:spacing w:after="0" w:line="276" w:lineRule="auto"/>
        <w:jc w:val="both"/>
        <w:rPr>
          <w:rFonts w:ascii="Arial" w:hAnsi="Arial" w:cs="Arial"/>
          <w:sz w:val="20"/>
          <w:szCs w:val="20"/>
        </w:rPr>
      </w:pPr>
      <w:r w:rsidRPr="004C6CC5">
        <w:rPr>
          <w:rFonts w:ascii="Arial" w:hAnsi="Arial" w:cs="Arial"/>
          <w:sz w:val="20"/>
          <w:szCs w:val="20"/>
        </w:rPr>
        <w:t>- budowa nowego „Południowo - Wschodniego” falochronu (o długości 826 m);</w:t>
      </w:r>
    </w:p>
    <w:p w14:paraId="547F1AB5" w14:textId="6D6D44A9" w:rsidR="00B6635A" w:rsidRPr="004C6CC5" w:rsidRDefault="00B6635A" w:rsidP="00A94CDC">
      <w:pPr>
        <w:spacing w:after="0" w:line="276" w:lineRule="auto"/>
        <w:jc w:val="both"/>
        <w:rPr>
          <w:rFonts w:ascii="Arial" w:hAnsi="Arial" w:cs="Arial"/>
          <w:sz w:val="20"/>
          <w:szCs w:val="20"/>
        </w:rPr>
      </w:pPr>
      <w:r w:rsidRPr="004C6CC5">
        <w:rPr>
          <w:rFonts w:ascii="Arial" w:hAnsi="Arial" w:cs="Arial"/>
          <w:sz w:val="20"/>
          <w:szCs w:val="20"/>
        </w:rPr>
        <w:t>- wykonanie robót czerpalnych na projektowanych torach wodnych</w:t>
      </w:r>
      <w:r w:rsidR="004C6CC5">
        <w:rPr>
          <w:rFonts w:ascii="Arial" w:hAnsi="Arial" w:cs="Arial"/>
          <w:sz w:val="20"/>
          <w:szCs w:val="20"/>
        </w:rPr>
        <w:t xml:space="preserve"> i </w:t>
      </w:r>
      <w:r w:rsidRPr="004C6CC5">
        <w:rPr>
          <w:rFonts w:ascii="Arial" w:hAnsi="Arial" w:cs="Arial"/>
          <w:sz w:val="20"/>
          <w:szCs w:val="20"/>
        </w:rPr>
        <w:t>obrotnicach wraz</w:t>
      </w:r>
      <w:r w:rsidR="004C6CC5">
        <w:rPr>
          <w:rFonts w:ascii="Arial" w:hAnsi="Arial" w:cs="Arial"/>
          <w:sz w:val="20"/>
          <w:szCs w:val="20"/>
        </w:rPr>
        <w:t xml:space="preserve"> z </w:t>
      </w:r>
      <w:r w:rsidRPr="004C6CC5">
        <w:rPr>
          <w:rFonts w:ascii="Arial" w:hAnsi="Arial" w:cs="Arial"/>
          <w:sz w:val="20"/>
          <w:szCs w:val="20"/>
        </w:rPr>
        <w:t>odpowiednim rozmieszczeniem oznakowania nawigacyjnego.</w:t>
      </w:r>
    </w:p>
    <w:p w14:paraId="2B306C6B" w14:textId="6E66963B"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Pogłębienie toru podejściowego</w:t>
      </w:r>
      <w:r w:rsidR="004C6CC5">
        <w:rPr>
          <w:rFonts w:ascii="Arial" w:hAnsi="Arial" w:cs="Arial"/>
          <w:b/>
          <w:sz w:val="20"/>
          <w:szCs w:val="20"/>
        </w:rPr>
        <w:t xml:space="preserve"> i </w:t>
      </w:r>
      <w:r w:rsidRPr="004C6CC5">
        <w:rPr>
          <w:rFonts w:ascii="Arial" w:hAnsi="Arial" w:cs="Arial"/>
          <w:b/>
          <w:sz w:val="20"/>
          <w:szCs w:val="20"/>
        </w:rPr>
        <w:t xml:space="preserve">akwenów wewnętrznych Portu Gdynia. Etap II – Pogłębienie toru podejściowego </w:t>
      </w:r>
      <w:r w:rsidRPr="004C6CC5">
        <w:rPr>
          <w:rFonts w:ascii="Arial" w:hAnsi="Arial" w:cs="Arial"/>
          <w:sz w:val="20"/>
          <w:szCs w:val="20"/>
        </w:rPr>
        <w:t>- projekt Urzędu Morskiego</w:t>
      </w:r>
      <w:r w:rsidR="004C6CC5">
        <w:rPr>
          <w:rFonts w:ascii="Arial" w:hAnsi="Arial" w:cs="Arial"/>
          <w:sz w:val="20"/>
          <w:szCs w:val="20"/>
        </w:rPr>
        <w:t xml:space="preserve"> w </w:t>
      </w:r>
      <w:r w:rsidR="00C774C0">
        <w:rPr>
          <w:rFonts w:ascii="Arial" w:hAnsi="Arial" w:cs="Arial"/>
          <w:sz w:val="20"/>
          <w:szCs w:val="20"/>
        </w:rPr>
        <w:t xml:space="preserve">Gdyni. Wartość projektu: 70 </w:t>
      </w:r>
      <w:r w:rsidRPr="004C6CC5">
        <w:rPr>
          <w:rFonts w:ascii="Arial" w:hAnsi="Arial" w:cs="Arial"/>
          <w:sz w:val="20"/>
          <w:szCs w:val="20"/>
        </w:rPr>
        <w:t>mln zł,</w:t>
      </w:r>
      <w:r w:rsidR="004C6CC5">
        <w:rPr>
          <w:rFonts w:ascii="Arial" w:hAnsi="Arial" w:cs="Arial"/>
          <w:sz w:val="20"/>
          <w:szCs w:val="20"/>
        </w:rPr>
        <w:t xml:space="preserve"> w </w:t>
      </w:r>
      <w:r w:rsidRPr="004C6CC5">
        <w:rPr>
          <w:rFonts w:ascii="Arial" w:hAnsi="Arial" w:cs="Arial"/>
          <w:sz w:val="20"/>
          <w:szCs w:val="20"/>
        </w:rPr>
        <w:t>tym</w:t>
      </w:r>
      <w:r w:rsidR="00C774C0">
        <w:rPr>
          <w:rFonts w:ascii="Arial" w:hAnsi="Arial" w:cs="Arial"/>
          <w:sz w:val="20"/>
          <w:szCs w:val="20"/>
        </w:rPr>
        <w:t xml:space="preserve"> dofinansowanie ze środków UE: </w:t>
      </w:r>
      <w:r w:rsidRPr="004C6CC5">
        <w:rPr>
          <w:rFonts w:ascii="Arial" w:hAnsi="Arial" w:cs="Arial"/>
          <w:sz w:val="20"/>
          <w:szCs w:val="20"/>
        </w:rPr>
        <w:t>59,5 mln zł. Inwestycja polega na pogłębianiu toru podejściowego do Portu Gdynia do rzędnej 17,00 m (do główek falochronu) oraz poszerzeniu toru podejściowego</w:t>
      </w:r>
      <w:r w:rsidR="00CC2552">
        <w:rPr>
          <w:rFonts w:ascii="Arial" w:hAnsi="Arial" w:cs="Arial"/>
          <w:sz w:val="20"/>
          <w:szCs w:val="20"/>
        </w:rPr>
        <w:t xml:space="preserve"> </w:t>
      </w:r>
      <w:r w:rsidRPr="004C6CC5">
        <w:rPr>
          <w:rFonts w:ascii="Arial" w:hAnsi="Arial" w:cs="Arial"/>
          <w:sz w:val="20"/>
          <w:szCs w:val="20"/>
        </w:rPr>
        <w:t xml:space="preserve">do </w:t>
      </w:r>
      <w:r w:rsidRPr="004C6CC5">
        <w:rPr>
          <w:rFonts w:ascii="Arial" w:hAnsi="Arial" w:cs="Arial"/>
          <w:sz w:val="20"/>
          <w:szCs w:val="20"/>
        </w:rPr>
        <w:br/>
        <w:t xml:space="preserve">280 m (na długości 3 734 m). Ponadto wykonane zostanie zabezpieczenie trasy światłowodu na projektowanej szerokości toru podejściowego oraz zabezpieczenie (przebudowa) wejścia do portu </w:t>
      </w:r>
      <w:r w:rsidRPr="004C6CC5">
        <w:rPr>
          <w:rFonts w:ascii="Arial" w:hAnsi="Arial" w:cs="Arial"/>
          <w:sz w:val="20"/>
          <w:szCs w:val="20"/>
        </w:rPr>
        <w:br/>
        <w:t>z pozostawieniem szerokości wejścia głównego 140 m.</w:t>
      </w:r>
    </w:p>
    <w:p w14:paraId="7BBC1677" w14:textId="043CCC11"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Zintegrowany system oznakowania nawigacyjnego</w:t>
      </w:r>
      <w:r w:rsidR="004C6CC5">
        <w:rPr>
          <w:rFonts w:ascii="Arial" w:hAnsi="Arial" w:cs="Arial"/>
          <w:b/>
          <w:sz w:val="20"/>
          <w:szCs w:val="20"/>
        </w:rPr>
        <w:t xml:space="preserve"> z </w:t>
      </w:r>
      <w:r w:rsidRPr="004C6CC5">
        <w:rPr>
          <w:rFonts w:ascii="Arial" w:hAnsi="Arial" w:cs="Arial"/>
          <w:b/>
          <w:sz w:val="20"/>
          <w:szCs w:val="20"/>
        </w:rPr>
        <w:t>elementami e-Navigation</w:t>
      </w:r>
      <w:r w:rsidRPr="004C6CC5">
        <w:rPr>
          <w:rFonts w:ascii="Arial" w:hAnsi="Arial" w:cs="Arial"/>
          <w:sz w:val="20"/>
          <w:szCs w:val="20"/>
        </w:rPr>
        <w:t xml:space="preserve"> </w:t>
      </w:r>
      <w:r w:rsidRPr="004C6CC5">
        <w:rPr>
          <w:rFonts w:ascii="Arial" w:hAnsi="Arial" w:cs="Arial"/>
          <w:sz w:val="20"/>
          <w:szCs w:val="20"/>
        </w:rPr>
        <w:softHyphen/>
        <w:t>- projekt Urzędu Morskiego</w:t>
      </w:r>
      <w:r w:rsidR="004C6CC5">
        <w:rPr>
          <w:rFonts w:ascii="Arial" w:hAnsi="Arial" w:cs="Arial"/>
          <w:sz w:val="20"/>
          <w:szCs w:val="20"/>
        </w:rPr>
        <w:t xml:space="preserve"> w </w:t>
      </w:r>
      <w:r w:rsidR="00CC2552">
        <w:rPr>
          <w:rFonts w:ascii="Arial" w:hAnsi="Arial" w:cs="Arial"/>
          <w:sz w:val="20"/>
          <w:szCs w:val="20"/>
        </w:rPr>
        <w:t xml:space="preserve">Gdyni. Wartość projektu: 41 </w:t>
      </w:r>
      <w:r w:rsidRPr="004C6CC5">
        <w:rPr>
          <w:rFonts w:ascii="Arial" w:hAnsi="Arial" w:cs="Arial"/>
          <w:sz w:val="20"/>
          <w:szCs w:val="20"/>
        </w:rPr>
        <w:t>mln zł,</w:t>
      </w:r>
      <w:r w:rsidR="004C6CC5">
        <w:rPr>
          <w:rFonts w:ascii="Arial" w:hAnsi="Arial" w:cs="Arial"/>
          <w:sz w:val="20"/>
          <w:szCs w:val="20"/>
        </w:rPr>
        <w:t xml:space="preserve"> w </w:t>
      </w:r>
      <w:r w:rsidRPr="004C6CC5">
        <w:rPr>
          <w:rFonts w:ascii="Arial" w:hAnsi="Arial" w:cs="Arial"/>
          <w:sz w:val="20"/>
          <w:szCs w:val="20"/>
        </w:rPr>
        <w:t xml:space="preserve">tym dofinansowanie ze środków UE: 34,84 mln zł. </w:t>
      </w:r>
      <w:r w:rsidRPr="004C6CC5">
        <w:rPr>
          <w:rFonts w:ascii="Arial" w:hAnsi="Arial" w:cs="Arial"/>
          <w:sz w:val="20"/>
          <w:szCs w:val="20"/>
        </w:rPr>
        <w:br/>
        <w:t>W ramach projektu planowana jest wymiana</w:t>
      </w:r>
      <w:r w:rsidR="004C6CC5">
        <w:rPr>
          <w:rFonts w:ascii="Arial" w:hAnsi="Arial" w:cs="Arial"/>
          <w:sz w:val="20"/>
          <w:szCs w:val="20"/>
        </w:rPr>
        <w:t xml:space="preserve"> i </w:t>
      </w:r>
      <w:r w:rsidRPr="004C6CC5">
        <w:rPr>
          <w:rFonts w:ascii="Arial" w:hAnsi="Arial" w:cs="Arial"/>
          <w:sz w:val="20"/>
          <w:szCs w:val="20"/>
        </w:rPr>
        <w:t>modernizacja systemów oznakowania nawigacyjnego stanowiącego infrastrukturę zapewnienia dostępu do portów (w tym do portów o podstawowym znaczeniu dla gospodarki narodowej</w:t>
      </w:r>
      <w:r w:rsidR="004C6CC5">
        <w:rPr>
          <w:rFonts w:ascii="Arial" w:hAnsi="Arial" w:cs="Arial"/>
          <w:sz w:val="20"/>
          <w:szCs w:val="20"/>
        </w:rPr>
        <w:t xml:space="preserve"> w </w:t>
      </w:r>
      <w:r w:rsidRPr="004C6CC5">
        <w:rPr>
          <w:rFonts w:ascii="Arial" w:hAnsi="Arial" w:cs="Arial"/>
          <w:sz w:val="20"/>
          <w:szCs w:val="20"/>
        </w:rPr>
        <w:t>obszarze Zatoki Gdańskiej), tj. modernizacja infrastruktury Bazy Oznakowania Nawigacyjnego do obsługi technicznej znaków nawigacyjnych, rozbudowa krajowej sieci AIS-PL</w:t>
      </w:r>
      <w:r w:rsidR="00C774C0">
        <w:rPr>
          <w:rFonts w:ascii="Arial" w:hAnsi="Arial" w:cs="Arial"/>
          <w:sz w:val="20"/>
          <w:szCs w:val="20"/>
        </w:rPr>
        <w:t xml:space="preserve"> w </w:t>
      </w:r>
      <w:r w:rsidRPr="004C6CC5">
        <w:rPr>
          <w:rFonts w:ascii="Arial" w:hAnsi="Arial" w:cs="Arial"/>
          <w:sz w:val="20"/>
          <w:szCs w:val="20"/>
        </w:rPr>
        <w:t>rejonie Zalewu Wiślanego, modernizacja wybranych elementów systemu VTS Zatoka Gdańska, dostosowanie informatycznych systemów bezpieczeństwa morskiego do zadań związanych</w:t>
      </w:r>
      <w:r w:rsidR="004C6CC5">
        <w:rPr>
          <w:rFonts w:ascii="Arial" w:hAnsi="Arial" w:cs="Arial"/>
          <w:sz w:val="20"/>
          <w:szCs w:val="20"/>
        </w:rPr>
        <w:t xml:space="preserve"> z </w:t>
      </w:r>
      <w:r w:rsidRPr="004C6CC5">
        <w:rPr>
          <w:rFonts w:ascii="Arial" w:hAnsi="Arial" w:cs="Arial"/>
          <w:sz w:val="20"/>
          <w:szCs w:val="20"/>
        </w:rPr>
        <w:t>wymianą informacji</w:t>
      </w:r>
      <w:r w:rsidR="004C6CC5">
        <w:rPr>
          <w:rFonts w:ascii="Arial" w:hAnsi="Arial" w:cs="Arial"/>
          <w:sz w:val="20"/>
          <w:szCs w:val="20"/>
        </w:rPr>
        <w:t xml:space="preserve"> w </w:t>
      </w:r>
      <w:r w:rsidRPr="004C6CC5">
        <w:rPr>
          <w:rFonts w:ascii="Arial" w:hAnsi="Arial" w:cs="Arial"/>
          <w:sz w:val="20"/>
          <w:szCs w:val="20"/>
        </w:rPr>
        <w:t>ramach sieci europejskich, stworzenie narzędzi dla ustanowienia krajowego systemu e-Navigation oraz rozbudowa</w:t>
      </w:r>
      <w:r w:rsidR="004C6CC5">
        <w:rPr>
          <w:rFonts w:ascii="Arial" w:hAnsi="Arial" w:cs="Arial"/>
          <w:sz w:val="20"/>
          <w:szCs w:val="20"/>
        </w:rPr>
        <w:t xml:space="preserve"> i </w:t>
      </w:r>
      <w:r w:rsidRPr="004C6CC5">
        <w:rPr>
          <w:rFonts w:ascii="Arial" w:hAnsi="Arial" w:cs="Arial"/>
          <w:sz w:val="20"/>
          <w:szCs w:val="20"/>
        </w:rPr>
        <w:t>modernizacja infrastruktury telekomunikacyjnej dla potrzeb systemów wymiany informacji</w:t>
      </w:r>
      <w:r w:rsidR="004C6CC5">
        <w:rPr>
          <w:rFonts w:ascii="Arial" w:hAnsi="Arial" w:cs="Arial"/>
          <w:sz w:val="20"/>
          <w:szCs w:val="20"/>
        </w:rPr>
        <w:t xml:space="preserve"> i </w:t>
      </w:r>
      <w:r w:rsidRPr="004C6CC5">
        <w:rPr>
          <w:rFonts w:ascii="Arial" w:hAnsi="Arial" w:cs="Arial"/>
          <w:sz w:val="20"/>
          <w:szCs w:val="20"/>
        </w:rPr>
        <w:t>bezpieczeństwa morskiego (w tym relacji statek - ląd).</w:t>
      </w:r>
    </w:p>
    <w:p w14:paraId="79B6CC03" w14:textId="4206A18D"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Wymiana taboru pływającego Urzędu Morskiego</w:t>
      </w:r>
      <w:r w:rsidR="004C6CC5">
        <w:rPr>
          <w:rFonts w:ascii="Arial" w:hAnsi="Arial" w:cs="Arial"/>
          <w:b/>
          <w:sz w:val="20"/>
          <w:szCs w:val="20"/>
        </w:rPr>
        <w:t xml:space="preserve"> w </w:t>
      </w:r>
      <w:r w:rsidRPr="004C6CC5">
        <w:rPr>
          <w:rFonts w:ascii="Arial" w:hAnsi="Arial" w:cs="Arial"/>
          <w:b/>
          <w:sz w:val="20"/>
          <w:szCs w:val="20"/>
        </w:rPr>
        <w:t>Gdyni</w:t>
      </w:r>
      <w:r w:rsidRPr="004C6CC5">
        <w:rPr>
          <w:rFonts w:ascii="Arial" w:hAnsi="Arial" w:cs="Arial"/>
          <w:sz w:val="20"/>
          <w:szCs w:val="20"/>
        </w:rPr>
        <w:t xml:space="preserve"> </w:t>
      </w:r>
      <w:r w:rsidRPr="004C6CC5">
        <w:rPr>
          <w:rFonts w:ascii="Arial" w:hAnsi="Arial" w:cs="Arial"/>
          <w:sz w:val="20"/>
          <w:szCs w:val="20"/>
        </w:rPr>
        <w:softHyphen/>
        <w:t>- projekt Urzędu Morskiego</w:t>
      </w:r>
      <w:r w:rsidR="004C6CC5">
        <w:rPr>
          <w:rFonts w:ascii="Arial" w:hAnsi="Arial" w:cs="Arial"/>
          <w:sz w:val="20"/>
          <w:szCs w:val="20"/>
        </w:rPr>
        <w:t xml:space="preserve"> w </w:t>
      </w:r>
      <w:r w:rsidR="00C774C0">
        <w:rPr>
          <w:rFonts w:ascii="Arial" w:hAnsi="Arial" w:cs="Arial"/>
          <w:sz w:val="20"/>
          <w:szCs w:val="20"/>
        </w:rPr>
        <w:t xml:space="preserve">Gdyni. Wartość projektu: </w:t>
      </w:r>
      <w:r w:rsidRPr="004C6CC5">
        <w:rPr>
          <w:rFonts w:ascii="Arial" w:hAnsi="Arial" w:cs="Arial"/>
          <w:sz w:val="20"/>
          <w:szCs w:val="20"/>
        </w:rPr>
        <w:t>80,98 mln zł,</w:t>
      </w:r>
      <w:r w:rsidR="004C6CC5">
        <w:rPr>
          <w:rFonts w:ascii="Arial" w:hAnsi="Arial" w:cs="Arial"/>
          <w:sz w:val="20"/>
          <w:szCs w:val="20"/>
        </w:rPr>
        <w:t xml:space="preserve"> w </w:t>
      </w:r>
      <w:r w:rsidRPr="004C6CC5">
        <w:rPr>
          <w:rFonts w:ascii="Arial" w:hAnsi="Arial" w:cs="Arial"/>
          <w:sz w:val="20"/>
          <w:szCs w:val="20"/>
        </w:rPr>
        <w:t>tym</w:t>
      </w:r>
      <w:r w:rsidR="00C774C0">
        <w:rPr>
          <w:rFonts w:ascii="Arial" w:hAnsi="Arial" w:cs="Arial"/>
          <w:sz w:val="20"/>
          <w:szCs w:val="20"/>
        </w:rPr>
        <w:t xml:space="preserve"> dofinansowanie ze środków UE: </w:t>
      </w:r>
      <w:r w:rsidRPr="004C6CC5">
        <w:rPr>
          <w:rFonts w:ascii="Arial" w:hAnsi="Arial" w:cs="Arial"/>
          <w:sz w:val="20"/>
          <w:szCs w:val="20"/>
        </w:rPr>
        <w:t>68,79 mln zł. Projekt obejmuje zakup 5 jednostek taboru pływającego: specjalistyczna jednostka hydrograficzna wraz</w:t>
      </w:r>
      <w:r w:rsidR="004C6CC5">
        <w:rPr>
          <w:rFonts w:ascii="Arial" w:hAnsi="Arial" w:cs="Arial"/>
          <w:sz w:val="20"/>
          <w:szCs w:val="20"/>
        </w:rPr>
        <w:t xml:space="preserve"> z </w:t>
      </w:r>
      <w:r w:rsidRPr="004C6CC5">
        <w:rPr>
          <w:rFonts w:ascii="Arial" w:hAnsi="Arial" w:cs="Arial"/>
          <w:sz w:val="20"/>
          <w:szCs w:val="20"/>
        </w:rPr>
        <w:t>wyposażeniem</w:t>
      </w:r>
      <w:r w:rsidR="004C6CC5">
        <w:rPr>
          <w:rFonts w:ascii="Arial" w:hAnsi="Arial" w:cs="Arial"/>
          <w:sz w:val="20"/>
          <w:szCs w:val="20"/>
        </w:rPr>
        <w:t xml:space="preserve"> w </w:t>
      </w:r>
      <w:r w:rsidRPr="004C6CC5">
        <w:rPr>
          <w:rFonts w:ascii="Arial" w:hAnsi="Arial" w:cs="Arial"/>
          <w:sz w:val="20"/>
          <w:szCs w:val="20"/>
        </w:rPr>
        <w:t>postaci nowego systemu gromadzenia</w:t>
      </w:r>
      <w:r w:rsidR="004C6CC5">
        <w:rPr>
          <w:rFonts w:ascii="Arial" w:hAnsi="Arial" w:cs="Arial"/>
          <w:sz w:val="20"/>
          <w:szCs w:val="20"/>
        </w:rPr>
        <w:t xml:space="preserve"> i </w:t>
      </w:r>
      <w:r w:rsidRPr="004C6CC5">
        <w:rPr>
          <w:rFonts w:ascii="Arial" w:hAnsi="Arial" w:cs="Arial"/>
          <w:sz w:val="20"/>
          <w:szCs w:val="20"/>
        </w:rPr>
        <w:t>obróbki danych hydrograficznych, jednostka dla obsługi Kapitanatu Portu Gdynia, jednostka do obsługi oznakowania nawigacyjnego na wodach Zalewu Wiślanego oraz 2 szybkie jednostki kontrolno-inspekcyjne.</w:t>
      </w:r>
    </w:p>
    <w:p w14:paraId="4231A44C" w14:textId="6292236A" w:rsidR="00C619AC"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Budowa morskiego systemu łączności</w:t>
      </w:r>
      <w:r w:rsidR="004C6CC5">
        <w:rPr>
          <w:rFonts w:ascii="Arial" w:hAnsi="Arial" w:cs="Arial"/>
          <w:b/>
          <w:sz w:val="20"/>
          <w:szCs w:val="20"/>
        </w:rPr>
        <w:t xml:space="preserve"> w </w:t>
      </w:r>
      <w:r w:rsidRPr="004C6CC5">
        <w:rPr>
          <w:rFonts w:ascii="Arial" w:hAnsi="Arial" w:cs="Arial"/>
          <w:b/>
          <w:sz w:val="20"/>
          <w:szCs w:val="20"/>
        </w:rPr>
        <w:t>niebezpieczeństwie - GMDSS-PL</w:t>
      </w:r>
      <w:r w:rsidRPr="004C6CC5">
        <w:rPr>
          <w:rFonts w:ascii="Arial" w:hAnsi="Arial" w:cs="Arial"/>
          <w:sz w:val="20"/>
          <w:szCs w:val="20"/>
        </w:rPr>
        <w:t xml:space="preserve"> - projekt Urzędu Morskiego</w:t>
      </w:r>
      <w:r w:rsidR="004C6CC5">
        <w:rPr>
          <w:rFonts w:ascii="Arial" w:hAnsi="Arial" w:cs="Arial"/>
          <w:sz w:val="20"/>
          <w:szCs w:val="20"/>
        </w:rPr>
        <w:t xml:space="preserve"> w </w:t>
      </w:r>
      <w:r w:rsidRPr="004C6CC5">
        <w:rPr>
          <w:rFonts w:ascii="Arial" w:hAnsi="Arial" w:cs="Arial"/>
          <w:sz w:val="20"/>
          <w:szCs w:val="20"/>
        </w:rPr>
        <w:t>Gdyni. Wartość projektu: 19 mln zł,</w:t>
      </w:r>
      <w:r w:rsidR="004C6CC5">
        <w:rPr>
          <w:rFonts w:ascii="Arial" w:hAnsi="Arial" w:cs="Arial"/>
          <w:sz w:val="20"/>
          <w:szCs w:val="20"/>
        </w:rPr>
        <w:t xml:space="preserve"> w </w:t>
      </w:r>
      <w:r w:rsidRPr="004C6CC5">
        <w:rPr>
          <w:rFonts w:ascii="Arial" w:hAnsi="Arial" w:cs="Arial"/>
          <w:sz w:val="20"/>
          <w:szCs w:val="20"/>
        </w:rPr>
        <w:t>tym dofinansowanie ze środków UE: 16,16 mln zł. Przedmiotem projektu jest budowa morskiego systemu łączności</w:t>
      </w:r>
      <w:r w:rsidR="004C6CC5">
        <w:rPr>
          <w:rFonts w:ascii="Arial" w:hAnsi="Arial" w:cs="Arial"/>
          <w:sz w:val="20"/>
          <w:szCs w:val="20"/>
        </w:rPr>
        <w:t xml:space="preserve"> w </w:t>
      </w:r>
      <w:r w:rsidRPr="004C6CC5">
        <w:rPr>
          <w:rFonts w:ascii="Arial" w:hAnsi="Arial" w:cs="Arial"/>
          <w:sz w:val="20"/>
          <w:szCs w:val="20"/>
        </w:rPr>
        <w:t xml:space="preserve">niebezpieczeństwie zgodnego </w:t>
      </w:r>
      <w:r w:rsidRPr="004C6CC5">
        <w:rPr>
          <w:rFonts w:ascii="Arial" w:hAnsi="Arial" w:cs="Arial"/>
          <w:sz w:val="20"/>
          <w:szCs w:val="20"/>
        </w:rPr>
        <w:br/>
        <w:t xml:space="preserve">z wytycznymi Międzynarodowej Konwencji o Bezpieczeństwie Życia na Morzu (zwanym systemem GMDSS - Global Maritime Distress and Safety System). </w:t>
      </w:r>
      <w:r w:rsidR="00C619AC">
        <w:rPr>
          <w:rFonts w:ascii="Arial" w:hAnsi="Arial" w:cs="Arial"/>
          <w:sz w:val="20"/>
          <w:szCs w:val="20"/>
        </w:rPr>
        <w:t>Celem budowy systemu</w:t>
      </w:r>
      <w:r w:rsidR="00C619AC" w:rsidRPr="00C619AC">
        <w:rPr>
          <w:rFonts w:ascii="Arial" w:hAnsi="Arial" w:cs="Arial"/>
          <w:sz w:val="20"/>
          <w:szCs w:val="20"/>
        </w:rPr>
        <w:t xml:space="preserve"> jest stworzenie niezawodnego i nowoczesnego systemu łączności radiotelefonicznej, zapewniającego pokrycie </w:t>
      </w:r>
      <w:r w:rsidR="00C619AC" w:rsidRPr="00C619AC">
        <w:rPr>
          <w:rFonts w:ascii="Arial" w:hAnsi="Arial" w:cs="Arial"/>
          <w:sz w:val="20"/>
          <w:szCs w:val="20"/>
        </w:rPr>
        <w:lastRenderedPageBreak/>
        <w:t>obszaru odpowiedzialności za poszukiwanie i ratownictwo oraz polskiej wył</w:t>
      </w:r>
      <w:r w:rsidR="00C619AC">
        <w:rPr>
          <w:rFonts w:ascii="Arial" w:hAnsi="Arial" w:cs="Arial"/>
          <w:sz w:val="20"/>
          <w:szCs w:val="20"/>
        </w:rPr>
        <w:t>ącznej strefy ekonomicznej</w:t>
      </w:r>
      <w:r w:rsidR="00C619AC" w:rsidRPr="00C619AC">
        <w:rPr>
          <w:rFonts w:ascii="Arial" w:hAnsi="Arial" w:cs="Arial"/>
          <w:sz w:val="20"/>
          <w:szCs w:val="20"/>
        </w:rPr>
        <w:t>. System będzie oparty o normy i przepisy wynikające ze standardów pracy systemów części lądowej systemu GMDSS.</w:t>
      </w:r>
    </w:p>
    <w:p w14:paraId="260F8EED" w14:textId="26960E63"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Ochrona brzegów morskich</w:t>
      </w:r>
      <w:r w:rsidR="004C6CC5">
        <w:rPr>
          <w:rFonts w:ascii="Arial" w:hAnsi="Arial" w:cs="Arial"/>
          <w:b/>
          <w:sz w:val="20"/>
          <w:szCs w:val="20"/>
        </w:rPr>
        <w:t xml:space="preserve"> w </w:t>
      </w:r>
      <w:r w:rsidRPr="004C6CC5">
        <w:rPr>
          <w:rFonts w:ascii="Arial" w:hAnsi="Arial" w:cs="Arial"/>
          <w:b/>
          <w:sz w:val="20"/>
          <w:szCs w:val="20"/>
        </w:rPr>
        <w:t>rejonie Półwyspu Helskiego</w:t>
      </w:r>
      <w:r w:rsidRPr="004C6CC5">
        <w:rPr>
          <w:rFonts w:ascii="Arial" w:hAnsi="Arial" w:cs="Arial"/>
          <w:sz w:val="20"/>
          <w:szCs w:val="20"/>
        </w:rPr>
        <w:t xml:space="preserve"> – projekt Urzędu Morskiego</w:t>
      </w:r>
      <w:r w:rsidR="004C6CC5">
        <w:rPr>
          <w:rFonts w:ascii="Arial" w:hAnsi="Arial" w:cs="Arial"/>
          <w:sz w:val="20"/>
          <w:szCs w:val="20"/>
        </w:rPr>
        <w:t xml:space="preserve"> w </w:t>
      </w:r>
      <w:r w:rsidRPr="004C6CC5">
        <w:rPr>
          <w:rFonts w:ascii="Arial" w:hAnsi="Arial" w:cs="Arial"/>
          <w:sz w:val="20"/>
          <w:szCs w:val="20"/>
        </w:rPr>
        <w:t xml:space="preserve">Gdyni. </w:t>
      </w:r>
      <w:r w:rsidRPr="004C6CC5">
        <w:rPr>
          <w:rFonts w:ascii="Arial" w:eastAsia="Times New Roman" w:hAnsi="Arial" w:cs="Arial"/>
          <w:sz w:val="20"/>
          <w:szCs w:val="20"/>
          <w:lang w:eastAsia="pl-PL"/>
        </w:rPr>
        <w:t>Wartość projektu: 75 mln zł,</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tym dofinansowanie ze środków UE: 63,75 mln zł. Głównym elementem przedsięwzięcia jest odbudowa ostróg Władysławowo -  Kuźnica. Odnowiony system będzie się składał</w:t>
      </w:r>
      <w:r w:rsidR="004C6CC5">
        <w:rPr>
          <w:rFonts w:ascii="Arial" w:eastAsia="Times New Roman" w:hAnsi="Arial" w:cs="Arial"/>
          <w:sz w:val="20"/>
          <w:szCs w:val="20"/>
          <w:lang w:eastAsia="pl-PL"/>
        </w:rPr>
        <w:t xml:space="preserve"> z </w:t>
      </w:r>
      <w:r w:rsidRPr="004C6CC5">
        <w:rPr>
          <w:rFonts w:ascii="Arial" w:eastAsia="Times New Roman" w:hAnsi="Arial" w:cs="Arial"/>
          <w:sz w:val="20"/>
          <w:szCs w:val="20"/>
          <w:lang w:eastAsia="pl-PL"/>
        </w:rPr>
        <w:t>około 144 ostróg. Projekt realizowany jest m.in.</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 xml:space="preserve">celu wzmocnienia odporności na wybrzeżu Bałtyku na </w:t>
      </w:r>
      <w:r w:rsidRPr="004C6CC5">
        <w:rPr>
          <w:rFonts w:ascii="Arial" w:hAnsi="Arial" w:cs="Arial"/>
          <w:sz w:val="20"/>
          <w:szCs w:val="20"/>
        </w:rPr>
        <w:t>zagrożenia związane ze zmianami klimatu oraz ochrona terenów zamieszkałych u nasady Półwyspu Helskiego przed zagrożeniem powodziowym.</w:t>
      </w:r>
    </w:p>
    <w:p w14:paraId="3DEAF0A4" w14:textId="3E4674AB"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Zabezpieczenie przeciwpowodziowe Krynicy Morskiej</w:t>
      </w:r>
      <w:r w:rsidRPr="004C6CC5">
        <w:rPr>
          <w:rFonts w:ascii="Arial" w:hAnsi="Arial" w:cs="Arial"/>
          <w:sz w:val="20"/>
          <w:szCs w:val="20"/>
        </w:rPr>
        <w:t xml:space="preserve"> – projekt Urzędu Morskiego</w:t>
      </w:r>
      <w:r w:rsidR="004C6CC5">
        <w:rPr>
          <w:rFonts w:ascii="Arial" w:hAnsi="Arial" w:cs="Arial"/>
          <w:sz w:val="20"/>
          <w:szCs w:val="20"/>
        </w:rPr>
        <w:t xml:space="preserve"> w </w:t>
      </w:r>
      <w:r w:rsidRPr="004C6CC5">
        <w:rPr>
          <w:rFonts w:ascii="Arial" w:hAnsi="Arial" w:cs="Arial"/>
          <w:sz w:val="20"/>
          <w:szCs w:val="20"/>
        </w:rPr>
        <w:t>Gdyni. Wartość projektu: 35 mln zł,</w:t>
      </w:r>
      <w:r w:rsidR="004C6CC5">
        <w:rPr>
          <w:rFonts w:ascii="Arial" w:hAnsi="Arial" w:cs="Arial"/>
          <w:sz w:val="20"/>
          <w:szCs w:val="20"/>
        </w:rPr>
        <w:t xml:space="preserve"> w </w:t>
      </w:r>
      <w:r w:rsidRPr="004C6CC5">
        <w:rPr>
          <w:rFonts w:ascii="Arial" w:hAnsi="Arial" w:cs="Arial"/>
          <w:sz w:val="20"/>
          <w:szCs w:val="20"/>
        </w:rPr>
        <w:t>tym dofinansowanie ze środków UE: 29,75 mln zł.</w:t>
      </w:r>
      <w:r w:rsidR="000A4F2F">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ramach projektu wykonana zostanie: budowa nowych wałów przeciwpowodziowych, przebudowa istniejących wałów przeciwpowodziowych przez podwyższenie korony wału</w:t>
      </w:r>
      <w:r w:rsidR="000A4F2F">
        <w:rPr>
          <w:rFonts w:ascii="Arial" w:hAnsi="Arial" w:cs="Arial"/>
          <w:sz w:val="20"/>
          <w:szCs w:val="20"/>
        </w:rPr>
        <w:t xml:space="preserve"> oraz </w:t>
      </w:r>
      <w:r w:rsidRPr="004C6CC5">
        <w:rPr>
          <w:rFonts w:ascii="Arial" w:hAnsi="Arial" w:cs="Arial"/>
          <w:sz w:val="20"/>
          <w:szCs w:val="20"/>
        </w:rPr>
        <w:t>montaż mobilnych zapór przeciwpowodziowych. Celem projektu jest poprawa sprawności reagowania</w:t>
      </w:r>
      <w:r w:rsidR="004C6CC5">
        <w:rPr>
          <w:rFonts w:ascii="Arial" w:hAnsi="Arial" w:cs="Arial"/>
          <w:sz w:val="20"/>
          <w:szCs w:val="20"/>
        </w:rPr>
        <w:t xml:space="preserve"> w </w:t>
      </w:r>
      <w:r w:rsidRPr="004C6CC5">
        <w:rPr>
          <w:rFonts w:ascii="Arial" w:hAnsi="Arial" w:cs="Arial"/>
          <w:sz w:val="20"/>
          <w:szCs w:val="20"/>
        </w:rPr>
        <w:t>sytuacji wystąpienia powodzi sztormowych,</w:t>
      </w:r>
      <w:r w:rsidR="004C6CC5">
        <w:rPr>
          <w:rFonts w:ascii="Arial" w:hAnsi="Arial" w:cs="Arial"/>
          <w:sz w:val="20"/>
          <w:szCs w:val="20"/>
        </w:rPr>
        <w:t xml:space="preserve"> w </w:t>
      </w:r>
      <w:r w:rsidRPr="004C6CC5">
        <w:rPr>
          <w:rFonts w:ascii="Arial" w:hAnsi="Arial" w:cs="Arial"/>
          <w:sz w:val="20"/>
          <w:szCs w:val="20"/>
        </w:rPr>
        <w:t>szczególności zabezpieczenie miasta Krynica Morska przed powodziami od strony Zalewu Wiślanego, poprawa ochrony brzegu Morza Bałtyckiego oraz minimalizowanie strat wynikających</w:t>
      </w:r>
      <w:r w:rsidR="004C6CC5">
        <w:rPr>
          <w:rFonts w:ascii="Arial" w:hAnsi="Arial" w:cs="Arial"/>
          <w:sz w:val="20"/>
          <w:szCs w:val="20"/>
        </w:rPr>
        <w:t xml:space="preserve"> z </w:t>
      </w:r>
      <w:r w:rsidRPr="004C6CC5">
        <w:rPr>
          <w:rFonts w:ascii="Arial" w:hAnsi="Arial" w:cs="Arial"/>
          <w:sz w:val="20"/>
          <w:szCs w:val="20"/>
        </w:rPr>
        <w:t>erozji lądu</w:t>
      </w:r>
      <w:r w:rsidR="004C6CC5">
        <w:rPr>
          <w:rFonts w:ascii="Arial" w:hAnsi="Arial" w:cs="Arial"/>
          <w:sz w:val="20"/>
          <w:szCs w:val="20"/>
        </w:rPr>
        <w:t xml:space="preserve"> i </w:t>
      </w:r>
      <w:r w:rsidRPr="004C6CC5">
        <w:rPr>
          <w:rFonts w:ascii="Arial" w:hAnsi="Arial" w:cs="Arial"/>
          <w:sz w:val="20"/>
          <w:szCs w:val="20"/>
        </w:rPr>
        <w:t>cofania się brzegu.</w:t>
      </w:r>
    </w:p>
    <w:p w14:paraId="791E958C" w14:textId="19592DC3" w:rsidR="00B6635A" w:rsidRPr="00050571" w:rsidRDefault="00B6635A" w:rsidP="00B6635A">
      <w:pPr>
        <w:spacing w:before="120" w:after="120" w:line="276" w:lineRule="auto"/>
        <w:jc w:val="both"/>
        <w:rPr>
          <w:rFonts w:ascii="Arial" w:hAnsi="Arial" w:cs="Arial"/>
          <w:i/>
          <w:sz w:val="20"/>
          <w:szCs w:val="20"/>
        </w:rPr>
      </w:pPr>
      <w:r w:rsidRPr="004C6CC5">
        <w:rPr>
          <w:rFonts w:ascii="Arial" w:hAnsi="Arial" w:cs="Arial"/>
          <w:sz w:val="20"/>
          <w:szCs w:val="20"/>
        </w:rPr>
        <w:t xml:space="preserve">- </w:t>
      </w:r>
      <w:r w:rsidRPr="004C6CC5">
        <w:rPr>
          <w:rFonts w:ascii="Arial" w:hAnsi="Arial" w:cs="Arial"/>
          <w:b/>
          <w:sz w:val="20"/>
          <w:szCs w:val="20"/>
        </w:rPr>
        <w:t>Przegląd</w:t>
      </w:r>
      <w:r w:rsidR="004C6CC5">
        <w:rPr>
          <w:rFonts w:ascii="Arial" w:hAnsi="Arial" w:cs="Arial"/>
          <w:b/>
          <w:sz w:val="20"/>
          <w:szCs w:val="20"/>
        </w:rPr>
        <w:t xml:space="preserve"> i </w:t>
      </w:r>
      <w:r w:rsidRPr="004C6CC5">
        <w:rPr>
          <w:rFonts w:ascii="Arial" w:hAnsi="Arial" w:cs="Arial"/>
          <w:b/>
          <w:sz w:val="20"/>
          <w:szCs w:val="20"/>
        </w:rPr>
        <w:t>aktualizacja wstępnej oceny ryzyka powodziowego od strony morza,</w:t>
      </w:r>
      <w:r w:rsidR="004C6CC5">
        <w:rPr>
          <w:rFonts w:ascii="Arial" w:hAnsi="Arial" w:cs="Arial"/>
          <w:b/>
          <w:sz w:val="20"/>
          <w:szCs w:val="20"/>
        </w:rPr>
        <w:t xml:space="preserve"> w </w:t>
      </w:r>
      <w:r w:rsidRPr="004C6CC5">
        <w:rPr>
          <w:rFonts w:ascii="Arial" w:hAnsi="Arial" w:cs="Arial"/>
          <w:b/>
          <w:sz w:val="20"/>
          <w:szCs w:val="20"/>
        </w:rPr>
        <w:t>tym morskich wód wewnętrznych</w:t>
      </w:r>
      <w:r w:rsidRPr="004C6CC5">
        <w:rPr>
          <w:rFonts w:ascii="Arial" w:hAnsi="Arial" w:cs="Arial"/>
          <w:sz w:val="20"/>
          <w:szCs w:val="20"/>
        </w:rPr>
        <w:t xml:space="preserve"> </w:t>
      </w:r>
      <w:r w:rsidR="002364CC">
        <w:rPr>
          <w:rFonts w:ascii="Arial" w:hAnsi="Arial" w:cs="Arial"/>
          <w:sz w:val="20"/>
          <w:szCs w:val="20"/>
        </w:rPr>
        <w:t>-</w:t>
      </w:r>
      <w:r w:rsidR="00F72EBA">
        <w:rPr>
          <w:rFonts w:ascii="Arial" w:hAnsi="Arial" w:cs="Arial"/>
          <w:sz w:val="20"/>
          <w:szCs w:val="20"/>
        </w:rPr>
        <w:t xml:space="preserve"> projekt Ministerstwa G</w:t>
      </w:r>
      <w:r w:rsidRPr="004C6CC5">
        <w:rPr>
          <w:rFonts w:ascii="Arial" w:hAnsi="Arial" w:cs="Arial"/>
          <w:sz w:val="20"/>
          <w:szCs w:val="20"/>
        </w:rPr>
        <w:t>ospodarki Morskiej</w:t>
      </w:r>
      <w:r w:rsidR="004C6CC5">
        <w:rPr>
          <w:rFonts w:ascii="Arial" w:hAnsi="Arial" w:cs="Arial"/>
          <w:sz w:val="20"/>
          <w:szCs w:val="20"/>
        </w:rPr>
        <w:t xml:space="preserve"> i </w:t>
      </w:r>
      <w:r w:rsidRPr="004C6CC5">
        <w:rPr>
          <w:rFonts w:ascii="Arial" w:hAnsi="Arial" w:cs="Arial"/>
          <w:sz w:val="20"/>
          <w:szCs w:val="20"/>
        </w:rPr>
        <w:t>Żeglugi Śródlądowej. Wartość projektu: 0,</w:t>
      </w:r>
      <w:r w:rsidR="00845B42">
        <w:rPr>
          <w:rFonts w:ascii="Arial" w:hAnsi="Arial" w:cs="Arial"/>
          <w:sz w:val="20"/>
          <w:szCs w:val="20"/>
        </w:rPr>
        <w:t>7</w:t>
      </w:r>
      <w:r w:rsidRPr="004C6CC5">
        <w:rPr>
          <w:rFonts w:ascii="Arial" w:hAnsi="Arial" w:cs="Arial"/>
          <w:sz w:val="20"/>
          <w:szCs w:val="20"/>
        </w:rPr>
        <w:t xml:space="preserve"> mln zł,</w:t>
      </w:r>
      <w:r w:rsidR="004C6CC5">
        <w:rPr>
          <w:rFonts w:ascii="Arial" w:hAnsi="Arial" w:cs="Arial"/>
          <w:sz w:val="20"/>
          <w:szCs w:val="20"/>
        </w:rPr>
        <w:t xml:space="preserve"> w </w:t>
      </w:r>
      <w:r w:rsidRPr="004C6CC5">
        <w:rPr>
          <w:rFonts w:ascii="Arial" w:hAnsi="Arial" w:cs="Arial"/>
          <w:sz w:val="20"/>
          <w:szCs w:val="20"/>
        </w:rPr>
        <w:t>tym dofinansowanie ze środków UE: 0,</w:t>
      </w:r>
      <w:r w:rsidR="002364CC">
        <w:rPr>
          <w:rFonts w:ascii="Arial" w:hAnsi="Arial" w:cs="Arial"/>
          <w:sz w:val="20"/>
          <w:szCs w:val="20"/>
        </w:rPr>
        <w:t>58</w:t>
      </w:r>
      <w:r w:rsidRPr="004C6CC5">
        <w:rPr>
          <w:rFonts w:ascii="Arial" w:hAnsi="Arial" w:cs="Arial"/>
          <w:sz w:val="20"/>
          <w:szCs w:val="20"/>
        </w:rPr>
        <w:t xml:space="preserve"> mln zł.</w:t>
      </w:r>
      <w:r w:rsidR="002364CC">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ramach projektu wykonano m</w:t>
      </w:r>
      <w:r w:rsidR="000A2FDC">
        <w:rPr>
          <w:rFonts w:ascii="Arial" w:hAnsi="Arial" w:cs="Arial"/>
          <w:sz w:val="20"/>
          <w:szCs w:val="20"/>
        </w:rPr>
        <w:t>.</w:t>
      </w:r>
      <w:r w:rsidRPr="004C6CC5">
        <w:rPr>
          <w:rFonts w:ascii="Arial" w:hAnsi="Arial" w:cs="Arial"/>
          <w:sz w:val="20"/>
          <w:szCs w:val="20"/>
        </w:rPr>
        <w:t>in. identyfikację obszarów narażonych na niebezpieczeństwo powodzi, na których stwierdza się istnienie dużego ryzyka powodziowego lub obszarów, na których wystąpienie dużego ryzyka jest prawdopodobne. Wyniki aktualizacji zostały wykorzystane do opracowania map zagrożenia powodziowego</w:t>
      </w:r>
      <w:r w:rsidR="004C6CC5">
        <w:rPr>
          <w:rFonts w:ascii="Arial" w:hAnsi="Arial" w:cs="Arial"/>
          <w:sz w:val="20"/>
          <w:szCs w:val="20"/>
        </w:rPr>
        <w:t xml:space="preserve"> i </w:t>
      </w:r>
      <w:r w:rsidRPr="004C6CC5">
        <w:rPr>
          <w:rFonts w:ascii="Arial" w:hAnsi="Arial" w:cs="Arial"/>
          <w:sz w:val="20"/>
          <w:szCs w:val="20"/>
        </w:rPr>
        <w:t>map ryzyka powodziowego, a</w:t>
      </w:r>
      <w:r w:rsidR="004C6CC5">
        <w:rPr>
          <w:rFonts w:ascii="Arial" w:hAnsi="Arial" w:cs="Arial"/>
          <w:sz w:val="20"/>
          <w:szCs w:val="20"/>
        </w:rPr>
        <w:t xml:space="preserve"> w </w:t>
      </w:r>
      <w:r w:rsidR="00A317E2">
        <w:rPr>
          <w:rFonts w:ascii="Arial" w:hAnsi="Arial" w:cs="Arial"/>
          <w:sz w:val="20"/>
          <w:szCs w:val="20"/>
        </w:rPr>
        <w:t>konsekwencji</w:t>
      </w:r>
      <w:r w:rsidRPr="004C6CC5">
        <w:rPr>
          <w:rFonts w:ascii="Arial" w:hAnsi="Arial" w:cs="Arial"/>
          <w:sz w:val="20"/>
          <w:szCs w:val="20"/>
        </w:rPr>
        <w:t xml:space="preserve"> do sporządzenia planów zarządzania </w:t>
      </w:r>
      <w:r w:rsidRPr="00D93FF4">
        <w:rPr>
          <w:rFonts w:ascii="Arial" w:hAnsi="Arial" w:cs="Arial"/>
          <w:sz w:val="20"/>
          <w:szCs w:val="20"/>
        </w:rPr>
        <w:t>ryzykiem powodziowym</w:t>
      </w:r>
      <w:r w:rsidRPr="00050571">
        <w:rPr>
          <w:rFonts w:ascii="Arial" w:hAnsi="Arial" w:cs="Arial"/>
          <w:i/>
          <w:sz w:val="20"/>
          <w:szCs w:val="20"/>
        </w:rPr>
        <w:t>.</w:t>
      </w:r>
    </w:p>
    <w:p w14:paraId="6DBC22D6" w14:textId="758674CF" w:rsidR="00AA70E9" w:rsidRPr="004A5153" w:rsidRDefault="00B6635A" w:rsidP="00AF7CE8">
      <w:pPr>
        <w:spacing w:before="120" w:after="120" w:line="276" w:lineRule="auto"/>
        <w:jc w:val="both"/>
        <w:rPr>
          <w:rFonts w:ascii="Arial" w:hAnsi="Arial" w:cs="Arial"/>
          <w:sz w:val="20"/>
          <w:szCs w:val="20"/>
        </w:rPr>
      </w:pPr>
      <w:r w:rsidRPr="00D3525C">
        <w:rPr>
          <w:rFonts w:ascii="Arial" w:hAnsi="Arial" w:cs="Arial"/>
          <w:sz w:val="20"/>
          <w:szCs w:val="20"/>
        </w:rPr>
        <w:t>-</w:t>
      </w:r>
      <w:r w:rsidRPr="00050571">
        <w:rPr>
          <w:rFonts w:ascii="Arial" w:hAnsi="Arial" w:cs="Arial"/>
          <w:b/>
          <w:i/>
          <w:sz w:val="20"/>
          <w:szCs w:val="20"/>
        </w:rPr>
        <w:t xml:space="preserve"> </w:t>
      </w:r>
      <w:r w:rsidRPr="004A5153">
        <w:rPr>
          <w:rFonts w:ascii="Arial" w:hAnsi="Arial" w:cs="Arial"/>
          <w:b/>
          <w:sz w:val="20"/>
          <w:szCs w:val="20"/>
        </w:rPr>
        <w:t>Przegląd</w:t>
      </w:r>
      <w:r w:rsidR="004C6CC5" w:rsidRPr="004A5153">
        <w:rPr>
          <w:rFonts w:ascii="Arial" w:hAnsi="Arial" w:cs="Arial"/>
          <w:b/>
          <w:sz w:val="20"/>
          <w:szCs w:val="20"/>
        </w:rPr>
        <w:t xml:space="preserve"> i </w:t>
      </w:r>
      <w:r w:rsidRPr="004A5153">
        <w:rPr>
          <w:rFonts w:ascii="Arial" w:hAnsi="Arial" w:cs="Arial"/>
          <w:b/>
          <w:sz w:val="20"/>
          <w:szCs w:val="20"/>
        </w:rPr>
        <w:t>aktualizacja planów zarządzania ryzykiem powodziowym od strony morza,</w:t>
      </w:r>
      <w:r w:rsidR="004C6CC5" w:rsidRPr="004A5153">
        <w:rPr>
          <w:rFonts w:ascii="Arial" w:hAnsi="Arial" w:cs="Arial"/>
          <w:b/>
          <w:sz w:val="20"/>
          <w:szCs w:val="20"/>
        </w:rPr>
        <w:t xml:space="preserve"> w </w:t>
      </w:r>
      <w:r w:rsidRPr="004A5153">
        <w:rPr>
          <w:rFonts w:ascii="Arial" w:hAnsi="Arial" w:cs="Arial"/>
          <w:b/>
          <w:sz w:val="20"/>
          <w:szCs w:val="20"/>
        </w:rPr>
        <w:t xml:space="preserve">tym morskich wód wewnętrznych </w:t>
      </w:r>
      <w:r w:rsidR="00050571" w:rsidRPr="004A5153">
        <w:rPr>
          <w:rFonts w:ascii="Arial" w:hAnsi="Arial" w:cs="Arial"/>
          <w:sz w:val="20"/>
          <w:szCs w:val="20"/>
        </w:rPr>
        <w:t>-</w:t>
      </w:r>
      <w:r w:rsidR="0047632A">
        <w:rPr>
          <w:rFonts w:ascii="Arial" w:hAnsi="Arial" w:cs="Arial"/>
          <w:sz w:val="20"/>
          <w:szCs w:val="20"/>
        </w:rPr>
        <w:t xml:space="preserve"> projekt Ministerstwa G</w:t>
      </w:r>
      <w:r w:rsidR="00AF7CE8" w:rsidRPr="004A5153">
        <w:rPr>
          <w:rFonts w:ascii="Arial" w:hAnsi="Arial" w:cs="Arial"/>
          <w:sz w:val="20"/>
          <w:szCs w:val="20"/>
        </w:rPr>
        <w:t>ospodarki Morskiej</w:t>
      </w:r>
      <w:r w:rsidR="004C6CC5" w:rsidRPr="004A5153">
        <w:rPr>
          <w:rFonts w:ascii="Arial" w:hAnsi="Arial" w:cs="Arial"/>
          <w:sz w:val="20"/>
          <w:szCs w:val="20"/>
        </w:rPr>
        <w:t xml:space="preserve"> i </w:t>
      </w:r>
      <w:r w:rsidR="00AF7CE8" w:rsidRPr="004A5153">
        <w:rPr>
          <w:rFonts w:ascii="Arial" w:hAnsi="Arial" w:cs="Arial"/>
          <w:sz w:val="20"/>
          <w:szCs w:val="20"/>
        </w:rPr>
        <w:t xml:space="preserve">Żeglugi Śródlądowej. Wartość projektu: </w:t>
      </w:r>
      <w:r w:rsidR="00CD4A67" w:rsidRPr="004A5153">
        <w:rPr>
          <w:rFonts w:ascii="Arial" w:hAnsi="Arial" w:cs="Arial"/>
          <w:sz w:val="20"/>
          <w:szCs w:val="20"/>
        </w:rPr>
        <w:t xml:space="preserve">2,0 mln zł </w:t>
      </w:r>
      <w:r w:rsidR="004C6CC5" w:rsidRPr="004A5153">
        <w:rPr>
          <w:rFonts w:ascii="Arial" w:hAnsi="Arial" w:cs="Arial"/>
          <w:sz w:val="20"/>
          <w:szCs w:val="20"/>
        </w:rPr>
        <w:t>w </w:t>
      </w:r>
      <w:r w:rsidR="00AF7CE8" w:rsidRPr="004A5153">
        <w:rPr>
          <w:rFonts w:ascii="Arial" w:hAnsi="Arial" w:cs="Arial"/>
          <w:sz w:val="20"/>
          <w:szCs w:val="20"/>
        </w:rPr>
        <w:t xml:space="preserve">tym dofinansowanie ze środków UE: </w:t>
      </w:r>
      <w:r w:rsidR="00CD4A67" w:rsidRPr="004A5153">
        <w:rPr>
          <w:rFonts w:ascii="Arial" w:hAnsi="Arial" w:cs="Arial"/>
          <w:sz w:val="20"/>
          <w:szCs w:val="20"/>
        </w:rPr>
        <w:t>1,7 mln zł</w:t>
      </w:r>
      <w:r w:rsidR="0047632A">
        <w:rPr>
          <w:rFonts w:ascii="Arial" w:hAnsi="Arial" w:cs="Arial"/>
          <w:sz w:val="20"/>
          <w:szCs w:val="20"/>
        </w:rPr>
        <w:t>.</w:t>
      </w:r>
      <w:r w:rsidR="00CD4A67" w:rsidRPr="004A5153">
        <w:rPr>
          <w:rFonts w:ascii="Arial" w:hAnsi="Arial" w:cs="Arial"/>
          <w:sz w:val="20"/>
          <w:szCs w:val="20"/>
        </w:rPr>
        <w:t xml:space="preserve"> </w:t>
      </w:r>
      <w:r w:rsidR="00196957">
        <w:rPr>
          <w:rFonts w:ascii="Arial" w:hAnsi="Arial" w:cs="Arial"/>
          <w:sz w:val="20"/>
          <w:szCs w:val="20"/>
        </w:rPr>
        <w:t xml:space="preserve">Projekt ma na celu opracowanie przeglądu i aktualizacji planów zarządzania ryzykiem powodziowym przyjętych przez Radę Ministrów w formie rozporządzeń w sprawie przyjęcia planów zarządzania ryzykiem powodziowym dla obszarów dorzeczy Odry i Wisły w odniesieniu do zagrożenia powodzią od strony morza, w tym morskich wód wewnętrznych oraz opracowanie planów zarządzania ryzykiem powodziowym w zakresie zgodnym z wymogami ustawy </w:t>
      </w:r>
      <w:r w:rsidR="001A1834">
        <w:rPr>
          <w:rFonts w:ascii="Arial" w:hAnsi="Arial" w:cs="Arial"/>
          <w:sz w:val="20"/>
          <w:szCs w:val="20"/>
        </w:rPr>
        <w:t>-</w:t>
      </w:r>
      <w:r w:rsidR="00196957">
        <w:rPr>
          <w:rFonts w:ascii="Arial" w:hAnsi="Arial" w:cs="Arial"/>
          <w:sz w:val="20"/>
          <w:szCs w:val="20"/>
        </w:rPr>
        <w:t xml:space="preserve"> Prawo wodne. Celem nadrzędnym planów zarządzania ryzykiem powodziowym jest ograniczenie potencjalnych negatywnych skutków powodzi dla życia i zdrowia ludzi, środowiska, dziedzictwa kulturowego oraz działalności gospodarczej. </w:t>
      </w:r>
      <w:r w:rsidR="00050571" w:rsidRPr="004A5153">
        <w:rPr>
          <w:rFonts w:ascii="Arial" w:hAnsi="Arial" w:cs="Arial"/>
          <w:sz w:val="20"/>
          <w:szCs w:val="20"/>
        </w:rPr>
        <w:t>W</w:t>
      </w:r>
      <w:r w:rsidR="004C6CC5" w:rsidRPr="004A5153">
        <w:rPr>
          <w:rFonts w:ascii="Arial" w:hAnsi="Arial" w:cs="Arial"/>
          <w:sz w:val="20"/>
          <w:szCs w:val="20"/>
        </w:rPr>
        <w:t> </w:t>
      </w:r>
      <w:r w:rsidR="00AF7CE8" w:rsidRPr="004A5153">
        <w:rPr>
          <w:rFonts w:ascii="Arial" w:hAnsi="Arial" w:cs="Arial"/>
          <w:sz w:val="20"/>
          <w:szCs w:val="20"/>
        </w:rPr>
        <w:t>ramach projektu wykonano m</w:t>
      </w:r>
      <w:r w:rsidR="00D3525C">
        <w:rPr>
          <w:rFonts w:ascii="Arial" w:hAnsi="Arial" w:cs="Arial"/>
          <w:sz w:val="20"/>
          <w:szCs w:val="20"/>
        </w:rPr>
        <w:t>.</w:t>
      </w:r>
      <w:r w:rsidR="00AF7CE8" w:rsidRPr="004A5153">
        <w:rPr>
          <w:rFonts w:ascii="Arial" w:hAnsi="Arial" w:cs="Arial"/>
          <w:sz w:val="20"/>
          <w:szCs w:val="20"/>
        </w:rPr>
        <w:t>in. identyfikację obszarów narażonych na niebezpieczeństwo powodzi, na których stwierdza się istnienie dużego ryzyka powodziowego lub obszarów, na których wystąpienie dużego ryzyka jest prawdopodobne. Wyniki aktualizacji zostały wykorzystane do opracowania map zagrożenia powodziowego</w:t>
      </w:r>
      <w:r w:rsidR="00196957">
        <w:rPr>
          <w:rFonts w:ascii="Arial" w:hAnsi="Arial" w:cs="Arial"/>
          <w:sz w:val="20"/>
          <w:szCs w:val="20"/>
        </w:rPr>
        <w:t xml:space="preserve"> i </w:t>
      </w:r>
      <w:r w:rsidR="00AF7CE8" w:rsidRPr="004A5153">
        <w:rPr>
          <w:rFonts w:ascii="Arial" w:hAnsi="Arial" w:cs="Arial"/>
          <w:sz w:val="20"/>
          <w:szCs w:val="20"/>
        </w:rPr>
        <w:t>map ryzyka powodziowego, a</w:t>
      </w:r>
      <w:r w:rsidR="004C6CC5" w:rsidRPr="004A5153">
        <w:rPr>
          <w:rFonts w:ascii="Arial" w:hAnsi="Arial" w:cs="Arial"/>
          <w:sz w:val="20"/>
          <w:szCs w:val="20"/>
        </w:rPr>
        <w:t xml:space="preserve"> w </w:t>
      </w:r>
      <w:r w:rsidR="00D3525C">
        <w:rPr>
          <w:rFonts w:ascii="Arial" w:hAnsi="Arial" w:cs="Arial"/>
          <w:sz w:val="20"/>
          <w:szCs w:val="20"/>
        </w:rPr>
        <w:t>konsekwencji</w:t>
      </w:r>
      <w:r w:rsidR="00AF7CE8" w:rsidRPr="004A5153">
        <w:rPr>
          <w:rFonts w:ascii="Arial" w:hAnsi="Arial" w:cs="Arial"/>
          <w:sz w:val="20"/>
          <w:szCs w:val="20"/>
        </w:rPr>
        <w:t xml:space="preserve"> do sporządzenia planów zarządzania ryzykiem powodziowym.</w:t>
      </w:r>
    </w:p>
    <w:p w14:paraId="07A8E146" w14:textId="6586FD24" w:rsidR="00B6635A"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Modernizacja toru wodnego Świnoujście - Szczecin do głębokości 12,5 m</w:t>
      </w:r>
      <w:r w:rsidRPr="004C6CC5">
        <w:rPr>
          <w:rFonts w:ascii="Arial" w:hAnsi="Arial" w:cs="Arial"/>
          <w:sz w:val="20"/>
          <w:szCs w:val="20"/>
        </w:rPr>
        <w:t xml:space="preserve"> - projekt Urzędu Morskiego</w:t>
      </w:r>
      <w:r w:rsidR="004C6CC5">
        <w:rPr>
          <w:rFonts w:ascii="Arial" w:hAnsi="Arial" w:cs="Arial"/>
          <w:sz w:val="20"/>
          <w:szCs w:val="20"/>
        </w:rPr>
        <w:t xml:space="preserve"> w </w:t>
      </w:r>
      <w:r w:rsidRPr="004C6CC5">
        <w:rPr>
          <w:rFonts w:ascii="Arial" w:hAnsi="Arial" w:cs="Arial"/>
          <w:sz w:val="20"/>
          <w:szCs w:val="20"/>
        </w:rPr>
        <w:t>Szczecinie. Wartość projektu: 1,44 mld zł,</w:t>
      </w:r>
      <w:r w:rsidR="004C6CC5">
        <w:rPr>
          <w:rFonts w:ascii="Arial" w:hAnsi="Arial" w:cs="Arial"/>
          <w:sz w:val="20"/>
          <w:szCs w:val="20"/>
        </w:rPr>
        <w:t xml:space="preserve"> w </w:t>
      </w:r>
      <w:r w:rsidRPr="004C6CC5">
        <w:rPr>
          <w:rFonts w:ascii="Arial" w:hAnsi="Arial" w:cs="Arial"/>
          <w:sz w:val="20"/>
          <w:szCs w:val="20"/>
        </w:rPr>
        <w:t xml:space="preserve">tym dofinansowanie ze środków UE: 1,22 mld zł. Projekt obejmuje pogłębienie toru Świnoujście </w:t>
      </w:r>
      <w:r w:rsidR="00CF24EA">
        <w:rPr>
          <w:rFonts w:ascii="Arial" w:hAnsi="Arial" w:cs="Arial"/>
          <w:sz w:val="20"/>
          <w:szCs w:val="20"/>
        </w:rPr>
        <w:t>-</w:t>
      </w:r>
      <w:r w:rsidRPr="004C6CC5">
        <w:rPr>
          <w:rFonts w:ascii="Arial" w:hAnsi="Arial" w:cs="Arial"/>
          <w:sz w:val="20"/>
          <w:szCs w:val="20"/>
        </w:rPr>
        <w:t xml:space="preserve"> Szczecin do głębokości 12,5 m na odcinku ok. 62 km</w:t>
      </w:r>
      <w:r w:rsidR="00EC7E86">
        <w:rPr>
          <w:rFonts w:ascii="Arial" w:hAnsi="Arial" w:cs="Arial"/>
          <w:sz w:val="20"/>
          <w:szCs w:val="20"/>
        </w:rPr>
        <w:t xml:space="preserve"> z </w:t>
      </w:r>
      <w:r w:rsidRPr="004C6CC5">
        <w:rPr>
          <w:rFonts w:ascii="Arial" w:hAnsi="Arial" w:cs="Arial"/>
          <w:sz w:val="20"/>
          <w:szCs w:val="20"/>
        </w:rPr>
        <w:t>równoczesnym jego poszerzeniem do szerokości 100 m</w:t>
      </w:r>
      <w:r w:rsidR="00FC602E">
        <w:rPr>
          <w:rFonts w:ascii="Arial" w:hAnsi="Arial" w:cs="Arial"/>
          <w:sz w:val="20"/>
          <w:szCs w:val="20"/>
        </w:rPr>
        <w:t xml:space="preserve"> w </w:t>
      </w:r>
      <w:r w:rsidRPr="004C6CC5">
        <w:rPr>
          <w:rFonts w:ascii="Arial" w:hAnsi="Arial" w:cs="Arial"/>
          <w:sz w:val="20"/>
          <w:szCs w:val="20"/>
        </w:rPr>
        <w:t xml:space="preserve">dnie na odcinkach prostych </w:t>
      </w:r>
      <w:r w:rsidRPr="004C6CC5">
        <w:rPr>
          <w:rFonts w:ascii="Arial" w:hAnsi="Arial" w:cs="Arial"/>
          <w:sz w:val="20"/>
          <w:szCs w:val="20"/>
        </w:rPr>
        <w:br/>
        <w:t>z odpowiednimi poszerzeniami na łukach</w:t>
      </w:r>
      <w:r w:rsidR="004C6CC5">
        <w:rPr>
          <w:rFonts w:ascii="Arial" w:hAnsi="Arial" w:cs="Arial"/>
          <w:sz w:val="20"/>
          <w:szCs w:val="20"/>
        </w:rPr>
        <w:t xml:space="preserve"> i </w:t>
      </w:r>
      <w:r w:rsidRPr="004C6CC5">
        <w:rPr>
          <w:rFonts w:ascii="Arial" w:hAnsi="Arial" w:cs="Arial"/>
          <w:sz w:val="20"/>
          <w:szCs w:val="20"/>
        </w:rPr>
        <w:t>odcinkach przejściowych wraz</w:t>
      </w:r>
      <w:r w:rsidR="004C6CC5">
        <w:rPr>
          <w:rFonts w:ascii="Arial" w:hAnsi="Arial" w:cs="Arial"/>
          <w:sz w:val="20"/>
          <w:szCs w:val="20"/>
        </w:rPr>
        <w:t xml:space="preserve"> z </w:t>
      </w:r>
      <w:r w:rsidRPr="004C6CC5">
        <w:rPr>
          <w:rFonts w:ascii="Arial" w:hAnsi="Arial" w:cs="Arial"/>
          <w:sz w:val="20"/>
          <w:szCs w:val="20"/>
        </w:rPr>
        <w:t>niezbędnymi korektami geometrii toru wodnego, a także wykonanie mijanek. Ponadto, zakresem projektu objęto również odcinek Kanału Grabowskiego o długości ok. 0,43 km między Obrotnicą Orli Przesmyk</w:t>
      </w:r>
      <w:r w:rsidR="004C6CC5">
        <w:rPr>
          <w:rFonts w:ascii="Arial" w:hAnsi="Arial" w:cs="Arial"/>
          <w:sz w:val="20"/>
          <w:szCs w:val="20"/>
        </w:rPr>
        <w:t xml:space="preserve"> i </w:t>
      </w:r>
      <w:r w:rsidRPr="004C6CC5">
        <w:rPr>
          <w:rFonts w:ascii="Arial" w:hAnsi="Arial" w:cs="Arial"/>
          <w:sz w:val="20"/>
          <w:szCs w:val="20"/>
        </w:rPr>
        <w:t>Obrotnicą na Kanale Grabowskim (na wysokości Kanału Dębickiego) oraz odcinek toru wodnego o długości ok. 0,39 km między Nabrzeżem Zbożowym</w:t>
      </w:r>
      <w:r w:rsidR="004C6CC5">
        <w:rPr>
          <w:rFonts w:ascii="Arial" w:hAnsi="Arial" w:cs="Arial"/>
          <w:sz w:val="20"/>
          <w:szCs w:val="20"/>
        </w:rPr>
        <w:t xml:space="preserve"> i </w:t>
      </w:r>
      <w:r w:rsidRPr="004C6CC5">
        <w:rPr>
          <w:rFonts w:ascii="Arial" w:hAnsi="Arial" w:cs="Arial"/>
          <w:sz w:val="20"/>
          <w:szCs w:val="20"/>
        </w:rPr>
        <w:t xml:space="preserve">Obrotnicą Kanał Grabowski/Kanał Dębicki. Wykonane zostaną również następujące roboty: przebudowa (regulacja) skarp brzegowych bez umocnień, niwelacja dna </w:t>
      </w:r>
      <w:r w:rsidRPr="004C6CC5">
        <w:rPr>
          <w:rFonts w:ascii="Arial" w:hAnsi="Arial" w:cs="Arial"/>
          <w:sz w:val="20"/>
          <w:szCs w:val="20"/>
        </w:rPr>
        <w:br/>
      </w:r>
      <w:r w:rsidRPr="004C6CC5">
        <w:rPr>
          <w:rFonts w:ascii="Arial" w:hAnsi="Arial" w:cs="Arial"/>
          <w:sz w:val="20"/>
          <w:szCs w:val="20"/>
        </w:rPr>
        <w:lastRenderedPageBreak/>
        <w:t>w strefie Świnoujścia (Kanały Piastowski</w:t>
      </w:r>
      <w:r w:rsidR="004C6CC5">
        <w:rPr>
          <w:rFonts w:ascii="Arial" w:hAnsi="Arial" w:cs="Arial"/>
          <w:sz w:val="20"/>
          <w:szCs w:val="20"/>
        </w:rPr>
        <w:t xml:space="preserve"> i </w:t>
      </w:r>
      <w:r w:rsidRPr="004C6CC5">
        <w:rPr>
          <w:rFonts w:ascii="Arial" w:hAnsi="Arial" w:cs="Arial"/>
          <w:sz w:val="20"/>
          <w:szCs w:val="20"/>
        </w:rPr>
        <w:t>Mieliński), budowa</w:t>
      </w:r>
      <w:r w:rsidR="004C6CC5">
        <w:rPr>
          <w:rFonts w:ascii="Arial" w:hAnsi="Arial" w:cs="Arial"/>
          <w:sz w:val="20"/>
          <w:szCs w:val="20"/>
        </w:rPr>
        <w:t xml:space="preserve"> i </w:t>
      </w:r>
      <w:r w:rsidRPr="004C6CC5">
        <w:rPr>
          <w:rFonts w:ascii="Arial" w:hAnsi="Arial" w:cs="Arial"/>
          <w:sz w:val="20"/>
          <w:szCs w:val="20"/>
        </w:rPr>
        <w:t xml:space="preserve">przebudowa umocnień brzegowych </w:t>
      </w:r>
      <w:r w:rsidRPr="004C6CC5">
        <w:rPr>
          <w:rFonts w:ascii="Arial" w:hAnsi="Arial" w:cs="Arial"/>
          <w:sz w:val="20"/>
          <w:szCs w:val="20"/>
        </w:rPr>
        <w:br/>
        <w:t>i budowli hydrotechnicznych wraz</w:t>
      </w:r>
      <w:r w:rsidR="004C6CC5">
        <w:rPr>
          <w:rFonts w:ascii="Arial" w:hAnsi="Arial" w:cs="Arial"/>
          <w:sz w:val="20"/>
          <w:szCs w:val="20"/>
        </w:rPr>
        <w:t xml:space="preserve"> z </w:t>
      </w:r>
      <w:r w:rsidRPr="004C6CC5">
        <w:rPr>
          <w:rFonts w:ascii="Arial" w:hAnsi="Arial" w:cs="Arial"/>
          <w:sz w:val="20"/>
          <w:szCs w:val="20"/>
        </w:rPr>
        <w:t>przylegającą infrastrukturą, przebudowa kolidujących sieci branżowych, pogłębienie</w:t>
      </w:r>
      <w:r w:rsidR="004C6CC5">
        <w:rPr>
          <w:rFonts w:ascii="Arial" w:hAnsi="Arial" w:cs="Arial"/>
          <w:sz w:val="20"/>
          <w:szCs w:val="20"/>
        </w:rPr>
        <w:t xml:space="preserve"> i </w:t>
      </w:r>
      <w:r w:rsidRPr="004C6CC5">
        <w:rPr>
          <w:rFonts w:ascii="Arial" w:hAnsi="Arial" w:cs="Arial"/>
          <w:sz w:val="20"/>
          <w:szCs w:val="20"/>
        </w:rPr>
        <w:t>poszerzenie 3 obrotnic statków (na wysokości Polic, przy Przesmyku Orlim na Przekopie Mieleńskim u wejścia do Kanału Grabowskiego oraz na połączeniu Kanału Grabowskiego</w:t>
      </w:r>
      <w:r w:rsidR="004C6CC5">
        <w:rPr>
          <w:rFonts w:ascii="Arial" w:hAnsi="Arial" w:cs="Arial"/>
          <w:sz w:val="20"/>
          <w:szCs w:val="20"/>
        </w:rPr>
        <w:t xml:space="preserve"> i </w:t>
      </w:r>
      <w:r w:rsidRPr="004C6CC5">
        <w:rPr>
          <w:rFonts w:ascii="Arial" w:hAnsi="Arial" w:cs="Arial"/>
          <w:sz w:val="20"/>
          <w:szCs w:val="20"/>
        </w:rPr>
        <w:t>Basenu Dębickiego).</w:t>
      </w:r>
    </w:p>
    <w:p w14:paraId="6B239B3D" w14:textId="30A9F41B" w:rsidR="001A1834" w:rsidRPr="001A1834" w:rsidRDefault="001A1834" w:rsidP="001A1834">
      <w:pPr>
        <w:spacing w:before="120" w:after="120" w:line="276" w:lineRule="auto"/>
        <w:jc w:val="both"/>
        <w:rPr>
          <w:rFonts w:ascii="Arial" w:hAnsi="Arial" w:cs="Arial"/>
          <w:sz w:val="20"/>
          <w:szCs w:val="20"/>
        </w:rPr>
      </w:pPr>
      <w:r w:rsidRPr="001A1834">
        <w:rPr>
          <w:rFonts w:ascii="Arial" w:hAnsi="Arial" w:cs="Arial"/>
          <w:sz w:val="20"/>
          <w:szCs w:val="20"/>
        </w:rPr>
        <w:t xml:space="preserve">W 2019 r. w ramach projektu </w:t>
      </w:r>
      <w:r w:rsidR="00FC602E">
        <w:rPr>
          <w:rFonts w:ascii="Arial" w:hAnsi="Arial" w:cs="Arial"/>
          <w:sz w:val="20"/>
          <w:szCs w:val="20"/>
        </w:rPr>
        <w:t>zrealizowano</w:t>
      </w:r>
      <w:r w:rsidRPr="001A1834">
        <w:rPr>
          <w:rFonts w:ascii="Arial" w:hAnsi="Arial" w:cs="Arial"/>
          <w:sz w:val="20"/>
          <w:szCs w:val="20"/>
        </w:rPr>
        <w:t xml:space="preserve"> prace </w:t>
      </w:r>
      <w:r w:rsidR="00FC602E">
        <w:rPr>
          <w:rFonts w:ascii="Arial" w:hAnsi="Arial" w:cs="Arial"/>
          <w:sz w:val="20"/>
          <w:szCs w:val="20"/>
        </w:rPr>
        <w:t>k</w:t>
      </w:r>
      <w:r w:rsidRPr="001A1834">
        <w:rPr>
          <w:rFonts w:ascii="Arial" w:hAnsi="Arial" w:cs="Arial"/>
          <w:sz w:val="20"/>
          <w:szCs w:val="20"/>
        </w:rPr>
        <w:t xml:space="preserve">oncepcyjno-projektowe, prace geologiczne, saperskie (tj. oczyszczanie z niewybuchów), </w:t>
      </w:r>
      <w:r w:rsidR="00FC602E">
        <w:rPr>
          <w:rFonts w:ascii="Arial" w:hAnsi="Arial" w:cs="Arial"/>
          <w:sz w:val="20"/>
          <w:szCs w:val="20"/>
        </w:rPr>
        <w:t xml:space="preserve">a także </w:t>
      </w:r>
      <w:r w:rsidRPr="001A1834">
        <w:rPr>
          <w:rFonts w:ascii="Arial" w:hAnsi="Arial" w:cs="Arial"/>
          <w:sz w:val="20"/>
          <w:szCs w:val="20"/>
        </w:rPr>
        <w:t>pozyskanie terenu dla realizacji inwestycji „Modernizacja toru wodnego Świnoujście - Szczecin do głębokości 12,5 m”</w:t>
      </w:r>
      <w:r w:rsidR="00FC602E">
        <w:rPr>
          <w:rFonts w:ascii="Arial" w:hAnsi="Arial" w:cs="Arial"/>
          <w:sz w:val="20"/>
          <w:szCs w:val="20"/>
        </w:rPr>
        <w:t>. Przeprowadzono także procedurę przetargową</w:t>
      </w:r>
      <w:r w:rsidRPr="001A1834">
        <w:rPr>
          <w:rFonts w:ascii="Arial" w:hAnsi="Arial" w:cs="Arial"/>
          <w:sz w:val="20"/>
          <w:szCs w:val="20"/>
        </w:rPr>
        <w:t xml:space="preserve"> na wyłonienie Wykonawcy zadania „Modernizacja obiektów Bazy Oznakowania Nawigacyjnego Urzędu Morskieg</w:t>
      </w:r>
      <w:r w:rsidR="00FC602E">
        <w:rPr>
          <w:rFonts w:ascii="Arial" w:hAnsi="Arial" w:cs="Arial"/>
          <w:sz w:val="20"/>
          <w:szCs w:val="20"/>
        </w:rPr>
        <w:t>o w Szczecinie” oraz przekazano plac</w:t>
      </w:r>
      <w:r w:rsidRPr="001A1834">
        <w:rPr>
          <w:rFonts w:ascii="Arial" w:hAnsi="Arial" w:cs="Arial"/>
          <w:sz w:val="20"/>
          <w:szCs w:val="20"/>
        </w:rPr>
        <w:t xml:space="preserve"> budowy Wykonawcy robót budowlanych.</w:t>
      </w:r>
    </w:p>
    <w:p w14:paraId="50076520" w14:textId="77777777" w:rsidR="001A1834" w:rsidRPr="001A1834" w:rsidRDefault="001A1834" w:rsidP="001A1834">
      <w:pPr>
        <w:spacing w:before="120" w:after="120" w:line="276" w:lineRule="auto"/>
        <w:jc w:val="both"/>
        <w:rPr>
          <w:rFonts w:ascii="Arial" w:hAnsi="Arial" w:cs="Arial"/>
          <w:sz w:val="20"/>
          <w:szCs w:val="20"/>
        </w:rPr>
      </w:pPr>
      <w:r w:rsidRPr="001A1834">
        <w:rPr>
          <w:rFonts w:ascii="Arial" w:hAnsi="Arial" w:cs="Arial"/>
          <w:sz w:val="20"/>
          <w:szCs w:val="20"/>
        </w:rPr>
        <w:t>W 2019 roku, łącznie wydano środki finansowe w wysokości 44.331,3 tys. zł, z przeznaczeniem na:</w:t>
      </w:r>
    </w:p>
    <w:p w14:paraId="46BF611B" w14:textId="2A2B911E" w:rsidR="001A1834" w:rsidRPr="001A1834" w:rsidRDefault="001A1834" w:rsidP="00823EFA">
      <w:pPr>
        <w:spacing w:after="0" w:line="276" w:lineRule="auto"/>
        <w:jc w:val="both"/>
        <w:rPr>
          <w:rFonts w:ascii="Arial" w:hAnsi="Arial" w:cs="Arial"/>
          <w:sz w:val="20"/>
          <w:szCs w:val="20"/>
        </w:rPr>
      </w:pPr>
      <w:r>
        <w:rPr>
          <w:rFonts w:ascii="Arial" w:hAnsi="Arial" w:cs="Arial"/>
          <w:sz w:val="20"/>
          <w:szCs w:val="20"/>
        </w:rPr>
        <w:t xml:space="preserve">- </w:t>
      </w:r>
      <w:r w:rsidRPr="001A1834">
        <w:rPr>
          <w:rFonts w:ascii="Arial" w:hAnsi="Arial" w:cs="Arial"/>
          <w:sz w:val="20"/>
          <w:szCs w:val="20"/>
        </w:rPr>
        <w:t>projekt wykonawczy  dla Modernizacji obiektów Bazy Oznakowania Nawigacyjnego Urzędu Morskiego w Szczecinie;</w:t>
      </w:r>
    </w:p>
    <w:p w14:paraId="36FD128A" w14:textId="55F7B47C" w:rsidR="001A1834" w:rsidRPr="001A1834" w:rsidRDefault="001A1834" w:rsidP="00823EFA">
      <w:pPr>
        <w:spacing w:after="0" w:line="276" w:lineRule="auto"/>
        <w:jc w:val="both"/>
        <w:rPr>
          <w:rFonts w:ascii="Arial" w:hAnsi="Arial" w:cs="Arial"/>
          <w:sz w:val="20"/>
          <w:szCs w:val="20"/>
        </w:rPr>
      </w:pPr>
      <w:r>
        <w:rPr>
          <w:rFonts w:ascii="Arial" w:hAnsi="Arial" w:cs="Arial"/>
          <w:sz w:val="20"/>
          <w:szCs w:val="20"/>
        </w:rPr>
        <w:t xml:space="preserve">- </w:t>
      </w:r>
      <w:r w:rsidRPr="001A1834">
        <w:rPr>
          <w:rFonts w:ascii="Arial" w:hAnsi="Arial" w:cs="Arial"/>
          <w:sz w:val="20"/>
          <w:szCs w:val="20"/>
        </w:rPr>
        <w:t xml:space="preserve">koszty ogólne wykonawcy kontraktu na „Zaprojektowanie oraz wykonanie robót budowlanych </w:t>
      </w:r>
      <w:r w:rsidR="000576A4">
        <w:rPr>
          <w:rFonts w:ascii="Arial" w:hAnsi="Arial" w:cs="Arial"/>
          <w:sz w:val="20"/>
          <w:szCs w:val="20"/>
        </w:rPr>
        <w:br/>
      </w:r>
      <w:r w:rsidRPr="001A1834">
        <w:rPr>
          <w:rFonts w:ascii="Arial" w:hAnsi="Arial" w:cs="Arial"/>
          <w:sz w:val="20"/>
          <w:szCs w:val="20"/>
        </w:rPr>
        <w:t xml:space="preserve">i pogłębiarskich w ramach modernizacji toru wodnego Świnoujście - Szczecin do głębokości 12,5 m”;  </w:t>
      </w:r>
    </w:p>
    <w:p w14:paraId="25BD07C9" w14:textId="78213CD4" w:rsidR="001A1834" w:rsidRPr="001A1834" w:rsidRDefault="001A1834" w:rsidP="00823EFA">
      <w:pPr>
        <w:spacing w:after="0" w:line="276" w:lineRule="auto"/>
        <w:jc w:val="both"/>
        <w:rPr>
          <w:rFonts w:ascii="Arial" w:hAnsi="Arial" w:cs="Arial"/>
          <w:sz w:val="20"/>
          <w:szCs w:val="20"/>
        </w:rPr>
      </w:pPr>
      <w:r>
        <w:rPr>
          <w:rFonts w:ascii="Arial" w:hAnsi="Arial" w:cs="Arial"/>
          <w:sz w:val="20"/>
          <w:szCs w:val="20"/>
        </w:rPr>
        <w:t xml:space="preserve">- </w:t>
      </w:r>
      <w:r w:rsidRPr="001A1834">
        <w:rPr>
          <w:rFonts w:ascii="Arial" w:hAnsi="Arial" w:cs="Arial"/>
          <w:sz w:val="20"/>
          <w:szCs w:val="20"/>
        </w:rPr>
        <w:t xml:space="preserve">usunięcie obiektów ferromagnetycznych oraz obiektów niebezpiecznych; </w:t>
      </w:r>
    </w:p>
    <w:p w14:paraId="5FE060B7" w14:textId="2E27999C" w:rsidR="001A1834" w:rsidRPr="001A1834" w:rsidRDefault="001A1834" w:rsidP="00823EFA">
      <w:pPr>
        <w:spacing w:after="0" w:line="276" w:lineRule="auto"/>
        <w:jc w:val="both"/>
        <w:rPr>
          <w:rFonts w:ascii="Arial" w:hAnsi="Arial" w:cs="Arial"/>
          <w:sz w:val="20"/>
          <w:szCs w:val="20"/>
        </w:rPr>
      </w:pPr>
      <w:r>
        <w:rPr>
          <w:rFonts w:ascii="Arial" w:hAnsi="Arial" w:cs="Arial"/>
          <w:sz w:val="20"/>
          <w:szCs w:val="20"/>
        </w:rPr>
        <w:t xml:space="preserve">- </w:t>
      </w:r>
      <w:r w:rsidRPr="001A1834">
        <w:rPr>
          <w:rFonts w:ascii="Arial" w:hAnsi="Arial" w:cs="Arial"/>
          <w:sz w:val="20"/>
          <w:szCs w:val="20"/>
        </w:rPr>
        <w:t>Inżynierów  Kontraktu (dla obu podzadań);</w:t>
      </w:r>
    </w:p>
    <w:p w14:paraId="3DEB3D3F" w14:textId="403CD49B" w:rsidR="001A1834" w:rsidRPr="001A1834" w:rsidRDefault="001A1834" w:rsidP="00823EFA">
      <w:pPr>
        <w:spacing w:after="0" w:line="276" w:lineRule="auto"/>
        <w:jc w:val="both"/>
        <w:rPr>
          <w:rFonts w:ascii="Arial" w:hAnsi="Arial" w:cs="Arial"/>
          <w:sz w:val="20"/>
          <w:szCs w:val="20"/>
        </w:rPr>
      </w:pPr>
      <w:r>
        <w:rPr>
          <w:rFonts w:ascii="Arial" w:hAnsi="Arial" w:cs="Arial"/>
          <w:sz w:val="20"/>
          <w:szCs w:val="20"/>
        </w:rPr>
        <w:t xml:space="preserve">- </w:t>
      </w:r>
      <w:r w:rsidRPr="001A1834">
        <w:rPr>
          <w:rFonts w:ascii="Arial" w:hAnsi="Arial" w:cs="Arial"/>
          <w:sz w:val="20"/>
          <w:szCs w:val="20"/>
        </w:rPr>
        <w:t>obsługę prawną inwestycji (dla obu podzadań);</w:t>
      </w:r>
    </w:p>
    <w:p w14:paraId="049981E4" w14:textId="78B51D77" w:rsidR="001A1834" w:rsidRPr="001A1834" w:rsidRDefault="001A1834" w:rsidP="00823EFA">
      <w:pPr>
        <w:spacing w:after="0" w:line="276" w:lineRule="auto"/>
        <w:jc w:val="both"/>
        <w:rPr>
          <w:rFonts w:ascii="Arial" w:hAnsi="Arial" w:cs="Arial"/>
          <w:sz w:val="20"/>
          <w:szCs w:val="20"/>
        </w:rPr>
      </w:pPr>
      <w:r>
        <w:rPr>
          <w:rFonts w:ascii="Arial" w:hAnsi="Arial" w:cs="Arial"/>
          <w:sz w:val="20"/>
          <w:szCs w:val="20"/>
        </w:rPr>
        <w:t xml:space="preserve">- </w:t>
      </w:r>
      <w:r w:rsidRPr="001A1834">
        <w:rPr>
          <w:rFonts w:ascii="Arial" w:hAnsi="Arial" w:cs="Arial"/>
          <w:sz w:val="20"/>
          <w:szCs w:val="20"/>
        </w:rPr>
        <w:t>promocję projektu;</w:t>
      </w:r>
    </w:p>
    <w:p w14:paraId="1018BFCE" w14:textId="5738524B" w:rsidR="001A1834" w:rsidRPr="001A1834" w:rsidRDefault="001A1834" w:rsidP="00823EFA">
      <w:pPr>
        <w:spacing w:after="0" w:line="276" w:lineRule="auto"/>
        <w:jc w:val="both"/>
        <w:rPr>
          <w:rFonts w:ascii="Arial" w:hAnsi="Arial" w:cs="Arial"/>
          <w:sz w:val="20"/>
          <w:szCs w:val="20"/>
        </w:rPr>
      </w:pPr>
      <w:r>
        <w:rPr>
          <w:rFonts w:ascii="Arial" w:hAnsi="Arial" w:cs="Arial"/>
          <w:sz w:val="20"/>
          <w:szCs w:val="20"/>
        </w:rPr>
        <w:t xml:space="preserve">- </w:t>
      </w:r>
      <w:r w:rsidRPr="001A1834">
        <w:rPr>
          <w:rFonts w:ascii="Arial" w:hAnsi="Arial" w:cs="Arial"/>
          <w:sz w:val="20"/>
          <w:szCs w:val="20"/>
        </w:rPr>
        <w:t>dodatki zadaniowe wraz z pochodnymi;</w:t>
      </w:r>
    </w:p>
    <w:p w14:paraId="2082E940" w14:textId="3631DDF1" w:rsidR="001A1834" w:rsidRPr="001A1834" w:rsidRDefault="00601C4A" w:rsidP="00823EFA">
      <w:pPr>
        <w:spacing w:after="0" w:line="276" w:lineRule="auto"/>
        <w:jc w:val="both"/>
        <w:rPr>
          <w:rFonts w:ascii="Arial" w:hAnsi="Arial" w:cs="Arial"/>
          <w:sz w:val="20"/>
          <w:szCs w:val="20"/>
        </w:rPr>
      </w:pPr>
      <w:r>
        <w:rPr>
          <w:rFonts w:ascii="Arial" w:hAnsi="Arial" w:cs="Arial"/>
          <w:sz w:val="20"/>
          <w:szCs w:val="20"/>
        </w:rPr>
        <w:t xml:space="preserve">- </w:t>
      </w:r>
      <w:r w:rsidR="001A1834" w:rsidRPr="001A1834">
        <w:rPr>
          <w:rFonts w:ascii="Arial" w:hAnsi="Arial" w:cs="Arial"/>
          <w:sz w:val="20"/>
          <w:szCs w:val="20"/>
        </w:rPr>
        <w:t>nabycie gruntów pod inwestycję, uzyskanie prawa do dysponowania nieruchomością na cele budowlane.</w:t>
      </w:r>
    </w:p>
    <w:p w14:paraId="207C7A94" w14:textId="244E3F9F" w:rsidR="001A1834" w:rsidRPr="004C6CC5" w:rsidRDefault="00823EFA" w:rsidP="00B6635A">
      <w:pPr>
        <w:spacing w:before="120" w:after="120" w:line="276" w:lineRule="auto"/>
        <w:jc w:val="both"/>
        <w:rPr>
          <w:rFonts w:ascii="Arial" w:hAnsi="Arial" w:cs="Arial"/>
          <w:sz w:val="20"/>
          <w:szCs w:val="20"/>
        </w:rPr>
      </w:pPr>
      <w:r w:rsidRPr="00823EFA">
        <w:rPr>
          <w:rFonts w:ascii="Arial" w:hAnsi="Arial" w:cs="Arial"/>
          <w:sz w:val="20"/>
          <w:szCs w:val="20"/>
        </w:rPr>
        <w:t xml:space="preserve">Ponadto </w:t>
      </w:r>
      <w:r w:rsidRPr="001A1834">
        <w:rPr>
          <w:rFonts w:ascii="Arial" w:hAnsi="Arial" w:cs="Arial"/>
          <w:sz w:val="20"/>
          <w:szCs w:val="20"/>
        </w:rPr>
        <w:t xml:space="preserve">w dniu 20 grudnia 2019 r. Wykonawcę </w:t>
      </w:r>
      <w:r>
        <w:rPr>
          <w:rFonts w:ascii="Arial" w:hAnsi="Arial" w:cs="Arial"/>
          <w:sz w:val="20"/>
          <w:szCs w:val="20"/>
        </w:rPr>
        <w:t>złożył</w:t>
      </w:r>
      <w:r w:rsidR="001A1834" w:rsidRPr="001A1834">
        <w:rPr>
          <w:rFonts w:ascii="Arial" w:hAnsi="Arial" w:cs="Arial"/>
          <w:sz w:val="20"/>
          <w:szCs w:val="20"/>
        </w:rPr>
        <w:t xml:space="preserve"> </w:t>
      </w:r>
      <w:r>
        <w:rPr>
          <w:rFonts w:ascii="Arial" w:hAnsi="Arial" w:cs="Arial"/>
          <w:sz w:val="20"/>
          <w:szCs w:val="20"/>
        </w:rPr>
        <w:t>wniosek</w:t>
      </w:r>
      <w:r w:rsidR="001A1834" w:rsidRPr="001A1834">
        <w:rPr>
          <w:rFonts w:ascii="Arial" w:hAnsi="Arial" w:cs="Arial"/>
          <w:sz w:val="20"/>
          <w:szCs w:val="20"/>
        </w:rPr>
        <w:t xml:space="preserve"> o pozwolenie na budowę. </w:t>
      </w:r>
    </w:p>
    <w:p w14:paraId="74D6F432" w14:textId="1856C5F7" w:rsidR="00B6635A" w:rsidRPr="004C6CC5" w:rsidRDefault="009C364C" w:rsidP="00B6635A">
      <w:pPr>
        <w:spacing w:before="120" w:after="120" w:line="276" w:lineRule="auto"/>
        <w:jc w:val="both"/>
        <w:rPr>
          <w:rFonts w:ascii="Arial" w:hAnsi="Arial" w:cs="Arial"/>
          <w:sz w:val="20"/>
          <w:szCs w:val="20"/>
        </w:rPr>
      </w:pPr>
      <w:r>
        <w:rPr>
          <w:rFonts w:ascii="Arial" w:hAnsi="Arial" w:cs="Arial"/>
          <w:sz w:val="20"/>
          <w:szCs w:val="20"/>
        </w:rPr>
        <w:t xml:space="preserve">- </w:t>
      </w:r>
      <w:r w:rsidR="00B6635A" w:rsidRPr="000F468A">
        <w:rPr>
          <w:rFonts w:ascii="Arial" w:hAnsi="Arial" w:cs="Arial"/>
          <w:b/>
          <w:bCs/>
          <w:sz w:val="20"/>
          <w:szCs w:val="20"/>
        </w:rPr>
        <w:t>Budowa dwóch wieloza</w:t>
      </w:r>
      <w:r>
        <w:rPr>
          <w:rFonts w:ascii="Arial" w:hAnsi="Arial" w:cs="Arial"/>
          <w:b/>
          <w:bCs/>
          <w:sz w:val="20"/>
          <w:szCs w:val="20"/>
        </w:rPr>
        <w:t xml:space="preserve">daniowych jednostek pływających </w:t>
      </w:r>
      <w:r w:rsidR="00B6635A" w:rsidRPr="004C6CC5">
        <w:rPr>
          <w:rFonts w:ascii="Arial" w:hAnsi="Arial" w:cs="Arial"/>
          <w:sz w:val="20"/>
          <w:szCs w:val="20"/>
        </w:rPr>
        <w:t>- projekt Urzędu Morskiego</w:t>
      </w:r>
      <w:r w:rsidR="004C6CC5">
        <w:rPr>
          <w:rFonts w:ascii="Arial" w:hAnsi="Arial" w:cs="Arial"/>
          <w:sz w:val="20"/>
          <w:szCs w:val="20"/>
        </w:rPr>
        <w:t xml:space="preserve"> w </w:t>
      </w:r>
      <w:r w:rsidR="00B6635A" w:rsidRPr="004C6CC5">
        <w:rPr>
          <w:rFonts w:ascii="Arial" w:hAnsi="Arial" w:cs="Arial"/>
          <w:sz w:val="20"/>
          <w:szCs w:val="20"/>
        </w:rPr>
        <w:t>Szczecinie. Wartość projektu: 222,27 mln zł,</w:t>
      </w:r>
      <w:r w:rsidR="004C6CC5">
        <w:rPr>
          <w:rFonts w:ascii="Arial" w:hAnsi="Arial" w:cs="Arial"/>
          <w:sz w:val="20"/>
          <w:szCs w:val="20"/>
        </w:rPr>
        <w:t xml:space="preserve"> w </w:t>
      </w:r>
      <w:r w:rsidR="00B6635A" w:rsidRPr="004C6CC5">
        <w:rPr>
          <w:rFonts w:ascii="Arial" w:hAnsi="Arial" w:cs="Arial"/>
          <w:sz w:val="20"/>
          <w:szCs w:val="20"/>
        </w:rPr>
        <w:t>ty</w:t>
      </w:r>
      <w:r>
        <w:rPr>
          <w:rFonts w:ascii="Arial" w:hAnsi="Arial" w:cs="Arial"/>
          <w:sz w:val="20"/>
          <w:szCs w:val="20"/>
        </w:rPr>
        <w:t xml:space="preserve">m dofinansowanie ze środków UE: </w:t>
      </w:r>
      <w:r w:rsidR="00B6635A" w:rsidRPr="004C6CC5">
        <w:rPr>
          <w:rFonts w:ascii="Arial" w:hAnsi="Arial" w:cs="Arial"/>
          <w:sz w:val="20"/>
          <w:szCs w:val="20"/>
        </w:rPr>
        <w:t>188,87 mln zł. Jednostki będą pełnić funkcję lodołamaczy, a także służyć do obsługi oznakowania nawigacyjnego, holowania statków, prowadzenia prac hydrograficznych</w:t>
      </w:r>
      <w:r w:rsidR="004C6CC5">
        <w:rPr>
          <w:rFonts w:ascii="Arial" w:hAnsi="Arial" w:cs="Arial"/>
          <w:sz w:val="20"/>
          <w:szCs w:val="20"/>
        </w:rPr>
        <w:t xml:space="preserve"> i </w:t>
      </w:r>
      <w:r w:rsidR="00B6635A" w:rsidRPr="004C6CC5">
        <w:rPr>
          <w:rFonts w:ascii="Arial" w:hAnsi="Arial" w:cs="Arial"/>
          <w:sz w:val="20"/>
          <w:szCs w:val="20"/>
        </w:rPr>
        <w:t>zwalczania rozlewów. Będą mogły również służyć jako jednostki o funkcjach ratowniczych</w:t>
      </w:r>
      <w:r w:rsidR="004C6CC5">
        <w:rPr>
          <w:rFonts w:ascii="Arial" w:hAnsi="Arial" w:cs="Arial"/>
          <w:sz w:val="20"/>
          <w:szCs w:val="20"/>
        </w:rPr>
        <w:t xml:space="preserve"> i </w:t>
      </w:r>
      <w:r w:rsidR="00B6635A" w:rsidRPr="004C6CC5">
        <w:rPr>
          <w:rFonts w:ascii="Arial" w:hAnsi="Arial" w:cs="Arial"/>
          <w:sz w:val="20"/>
          <w:szCs w:val="20"/>
        </w:rPr>
        <w:t>przeciwpożarowych, wspomagając</w:t>
      </w:r>
      <w:r w:rsidR="004C6CC5">
        <w:rPr>
          <w:rFonts w:ascii="Arial" w:hAnsi="Arial" w:cs="Arial"/>
          <w:sz w:val="20"/>
          <w:szCs w:val="20"/>
        </w:rPr>
        <w:t xml:space="preserve"> w </w:t>
      </w:r>
      <w:r w:rsidR="00B6635A" w:rsidRPr="004C6CC5">
        <w:rPr>
          <w:rFonts w:ascii="Arial" w:hAnsi="Arial" w:cs="Arial"/>
          <w:sz w:val="20"/>
          <w:szCs w:val="20"/>
        </w:rPr>
        <w:t xml:space="preserve">tych zadaniach inne służby. </w:t>
      </w:r>
    </w:p>
    <w:p w14:paraId="75632416" w14:textId="05883A89" w:rsidR="00B6635A" w:rsidRPr="004C6CC5" w:rsidRDefault="00B6635A" w:rsidP="00B6635A">
      <w:pPr>
        <w:spacing w:before="120" w:after="120" w:line="276" w:lineRule="auto"/>
        <w:jc w:val="both"/>
        <w:rPr>
          <w:rFonts w:ascii="Arial" w:hAnsi="Arial" w:cs="Arial"/>
          <w:b/>
          <w:sz w:val="20"/>
          <w:szCs w:val="20"/>
        </w:rPr>
      </w:pPr>
      <w:r w:rsidRPr="004C6CC5">
        <w:rPr>
          <w:rFonts w:ascii="Arial" w:hAnsi="Arial" w:cs="Arial"/>
          <w:sz w:val="20"/>
          <w:szCs w:val="20"/>
        </w:rPr>
        <w:t xml:space="preserve">- </w:t>
      </w:r>
      <w:r w:rsidRPr="004C6CC5">
        <w:rPr>
          <w:rFonts w:ascii="Arial" w:hAnsi="Arial" w:cs="Arial"/>
          <w:b/>
          <w:sz w:val="20"/>
          <w:szCs w:val="20"/>
        </w:rPr>
        <w:t>Zabezpieczenie zagrożonych odcinków zachodniego wybrzeża</w:t>
      </w:r>
      <w:r w:rsidRPr="004C6CC5">
        <w:rPr>
          <w:rFonts w:ascii="Arial" w:hAnsi="Arial" w:cs="Arial"/>
          <w:sz w:val="20"/>
          <w:szCs w:val="20"/>
        </w:rPr>
        <w:t xml:space="preserve"> </w:t>
      </w:r>
      <w:r w:rsidR="007453BB">
        <w:rPr>
          <w:rFonts w:ascii="Arial" w:hAnsi="Arial" w:cs="Arial"/>
          <w:sz w:val="20"/>
          <w:szCs w:val="20"/>
        </w:rPr>
        <w:t>-</w:t>
      </w:r>
      <w:r w:rsidRPr="004C6CC5">
        <w:rPr>
          <w:rFonts w:ascii="Arial" w:hAnsi="Arial" w:cs="Arial"/>
          <w:sz w:val="20"/>
          <w:szCs w:val="20"/>
        </w:rPr>
        <w:t xml:space="preserve"> projekt Urzędu Morskiego </w:t>
      </w:r>
      <w:r w:rsidRPr="004C6CC5">
        <w:rPr>
          <w:rFonts w:ascii="Arial" w:hAnsi="Arial" w:cs="Arial"/>
          <w:sz w:val="20"/>
          <w:szCs w:val="20"/>
        </w:rPr>
        <w:br/>
        <w:t>w Szczecinie. Wartość projektu: 53 mln zł,</w:t>
      </w:r>
      <w:r w:rsidR="004C6CC5">
        <w:rPr>
          <w:rFonts w:ascii="Arial" w:hAnsi="Arial" w:cs="Arial"/>
          <w:sz w:val="20"/>
          <w:szCs w:val="20"/>
        </w:rPr>
        <w:t xml:space="preserve"> w </w:t>
      </w:r>
      <w:r w:rsidRPr="004C6CC5">
        <w:rPr>
          <w:rFonts w:ascii="Arial" w:hAnsi="Arial" w:cs="Arial"/>
          <w:sz w:val="20"/>
          <w:szCs w:val="20"/>
        </w:rPr>
        <w:t>tym dofinansowanie ze środków UE: 45,05 mln zł. Przedmiotowy projekt realizowany jest</w:t>
      </w:r>
      <w:r w:rsidR="004C6CC5">
        <w:rPr>
          <w:rFonts w:ascii="Arial" w:hAnsi="Arial" w:cs="Arial"/>
          <w:sz w:val="20"/>
          <w:szCs w:val="20"/>
        </w:rPr>
        <w:t xml:space="preserve"> w </w:t>
      </w:r>
      <w:r w:rsidRPr="004C6CC5">
        <w:rPr>
          <w:rFonts w:ascii="Arial" w:hAnsi="Arial" w:cs="Arial"/>
          <w:sz w:val="20"/>
          <w:szCs w:val="20"/>
        </w:rPr>
        <w:t xml:space="preserve">celu zabezpieczenia brzegu morskiego pomiędzy Dziwnówkiem a Dziwnowem (km 385,40 </w:t>
      </w:r>
      <w:r w:rsidR="004426B8">
        <w:rPr>
          <w:rFonts w:ascii="Arial" w:hAnsi="Arial" w:cs="Arial"/>
          <w:sz w:val="20"/>
          <w:szCs w:val="20"/>
        </w:rPr>
        <w:t xml:space="preserve">- </w:t>
      </w:r>
      <w:r w:rsidRPr="004C6CC5">
        <w:rPr>
          <w:rFonts w:ascii="Arial" w:hAnsi="Arial" w:cs="Arial"/>
          <w:sz w:val="20"/>
          <w:szCs w:val="20"/>
        </w:rPr>
        <w:t xml:space="preserve">388,30) oraz Rewalem a Trzęsaczem (km 372,00 </w:t>
      </w:r>
      <w:r w:rsidR="004426B8">
        <w:rPr>
          <w:rFonts w:ascii="Arial" w:hAnsi="Arial" w:cs="Arial"/>
          <w:sz w:val="20"/>
          <w:szCs w:val="20"/>
        </w:rPr>
        <w:t>-</w:t>
      </w:r>
      <w:r w:rsidRPr="004C6CC5">
        <w:rPr>
          <w:rFonts w:ascii="Arial" w:hAnsi="Arial" w:cs="Arial"/>
          <w:sz w:val="20"/>
          <w:szCs w:val="20"/>
        </w:rPr>
        <w:t xml:space="preserve"> 373,50).</w:t>
      </w:r>
      <w:r w:rsidR="007453BB">
        <w:rPr>
          <w:rFonts w:ascii="Arial" w:hAnsi="Arial" w:cs="Arial"/>
          <w:sz w:val="20"/>
          <w:szCs w:val="20"/>
        </w:rPr>
        <w:t xml:space="preserve"> W</w:t>
      </w:r>
      <w:r w:rsidR="004C6CC5">
        <w:rPr>
          <w:rFonts w:ascii="Arial" w:hAnsi="Arial" w:cs="Arial"/>
          <w:sz w:val="20"/>
          <w:szCs w:val="20"/>
        </w:rPr>
        <w:t> </w:t>
      </w:r>
      <w:r w:rsidR="007453BB">
        <w:rPr>
          <w:rFonts w:ascii="Arial" w:hAnsi="Arial" w:cs="Arial"/>
          <w:sz w:val="20"/>
          <w:szCs w:val="20"/>
        </w:rPr>
        <w:t>ramach projektu wykon</w:t>
      </w:r>
      <w:r w:rsidRPr="004C6CC5">
        <w:rPr>
          <w:rFonts w:ascii="Arial" w:hAnsi="Arial" w:cs="Arial"/>
          <w:sz w:val="20"/>
          <w:szCs w:val="20"/>
        </w:rPr>
        <w:t xml:space="preserve">ana zostanie modernizacja grupy ostróg,  budowa opaski brzegowej </w:t>
      </w:r>
      <w:r w:rsidRPr="007453BB">
        <w:rPr>
          <w:rFonts w:ascii="Arial" w:hAnsi="Arial" w:cs="Arial"/>
          <w:sz w:val="20"/>
          <w:szCs w:val="20"/>
        </w:rPr>
        <w:t>kamiennej oraz sztuczne zasilanie brzegu morskiego na wybranych odcinkach.</w:t>
      </w:r>
    </w:p>
    <w:p w14:paraId="776C5EFE" w14:textId="08D807FF"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b/>
          <w:sz w:val="20"/>
          <w:szCs w:val="20"/>
        </w:rPr>
        <w:t>- Przebudowa wraz</w:t>
      </w:r>
      <w:r w:rsidR="004C6CC5">
        <w:rPr>
          <w:rFonts w:ascii="Arial" w:hAnsi="Arial" w:cs="Arial"/>
          <w:b/>
          <w:sz w:val="20"/>
          <w:szCs w:val="20"/>
        </w:rPr>
        <w:t xml:space="preserve"> z </w:t>
      </w:r>
      <w:r w:rsidRPr="004C6CC5">
        <w:rPr>
          <w:rFonts w:ascii="Arial" w:hAnsi="Arial" w:cs="Arial"/>
          <w:b/>
          <w:sz w:val="20"/>
          <w:szCs w:val="20"/>
        </w:rPr>
        <w:t>rozbudową istniejącego systemu umocnień brzegowych na wysokości miejscowości Mielno</w:t>
      </w:r>
      <w:r w:rsidRPr="004C6CC5">
        <w:rPr>
          <w:rFonts w:ascii="Arial" w:hAnsi="Arial" w:cs="Arial"/>
          <w:sz w:val="20"/>
          <w:szCs w:val="20"/>
        </w:rPr>
        <w:t xml:space="preserve"> </w:t>
      </w:r>
      <w:r w:rsidR="00A63049">
        <w:rPr>
          <w:rFonts w:ascii="Arial" w:hAnsi="Arial" w:cs="Arial"/>
          <w:sz w:val="20"/>
          <w:szCs w:val="20"/>
        </w:rPr>
        <w:t>-</w:t>
      </w:r>
      <w:r w:rsidRPr="004C6CC5">
        <w:rPr>
          <w:rFonts w:ascii="Arial" w:hAnsi="Arial" w:cs="Arial"/>
          <w:sz w:val="20"/>
          <w:szCs w:val="20"/>
        </w:rPr>
        <w:t xml:space="preserve"> projekt Urzędu Morskiego</w:t>
      </w:r>
      <w:r w:rsidR="004C6CC5">
        <w:rPr>
          <w:rFonts w:ascii="Arial" w:hAnsi="Arial" w:cs="Arial"/>
          <w:sz w:val="20"/>
          <w:szCs w:val="20"/>
        </w:rPr>
        <w:t xml:space="preserve"> w </w:t>
      </w:r>
      <w:r w:rsidRPr="004C6CC5">
        <w:rPr>
          <w:rFonts w:ascii="Arial" w:hAnsi="Arial" w:cs="Arial"/>
          <w:sz w:val="20"/>
          <w:szCs w:val="20"/>
        </w:rPr>
        <w:t>Słupsku. Wartość projektu: 54 mln zł,</w:t>
      </w:r>
      <w:r w:rsidR="004C6CC5">
        <w:rPr>
          <w:rFonts w:ascii="Arial" w:hAnsi="Arial" w:cs="Arial"/>
          <w:sz w:val="20"/>
          <w:szCs w:val="20"/>
        </w:rPr>
        <w:t xml:space="preserve"> w </w:t>
      </w:r>
      <w:r w:rsidRPr="004C6CC5">
        <w:rPr>
          <w:rFonts w:ascii="Arial" w:hAnsi="Arial" w:cs="Arial"/>
          <w:sz w:val="20"/>
          <w:szCs w:val="20"/>
        </w:rPr>
        <w:t>ty</w:t>
      </w:r>
      <w:r w:rsidR="002415A7">
        <w:rPr>
          <w:rFonts w:ascii="Arial" w:hAnsi="Arial" w:cs="Arial"/>
          <w:sz w:val="20"/>
          <w:szCs w:val="20"/>
        </w:rPr>
        <w:t xml:space="preserve">m dofinansowanie ze środków UE: </w:t>
      </w:r>
      <w:r w:rsidRPr="004C6CC5">
        <w:rPr>
          <w:rFonts w:ascii="Arial" w:hAnsi="Arial" w:cs="Arial"/>
          <w:sz w:val="20"/>
          <w:szCs w:val="20"/>
        </w:rPr>
        <w:t>45,90 mln zł.</w:t>
      </w:r>
      <w:r w:rsidR="00A63049">
        <w:rPr>
          <w:rFonts w:ascii="Arial" w:hAnsi="Arial" w:cs="Arial"/>
          <w:sz w:val="20"/>
          <w:szCs w:val="20"/>
        </w:rPr>
        <w:t xml:space="preserve"> W </w:t>
      </w:r>
      <w:r w:rsidRPr="004C6CC5">
        <w:rPr>
          <w:rFonts w:ascii="Arial" w:hAnsi="Arial" w:cs="Arial"/>
          <w:sz w:val="20"/>
          <w:szCs w:val="20"/>
        </w:rPr>
        <w:t>ramach pr</w:t>
      </w:r>
      <w:r w:rsidR="002415A7">
        <w:rPr>
          <w:rFonts w:ascii="Arial" w:hAnsi="Arial" w:cs="Arial"/>
          <w:sz w:val="20"/>
          <w:szCs w:val="20"/>
        </w:rPr>
        <w:t xml:space="preserve">zedsięwzięcia wykonana </w:t>
      </w:r>
      <w:r w:rsidR="00A63049">
        <w:rPr>
          <w:rFonts w:ascii="Arial" w:hAnsi="Arial" w:cs="Arial"/>
          <w:sz w:val="20"/>
          <w:szCs w:val="20"/>
        </w:rPr>
        <w:t>zostanie</w:t>
      </w:r>
      <w:r w:rsidRPr="004C6CC5">
        <w:rPr>
          <w:rFonts w:ascii="Arial" w:hAnsi="Arial" w:cs="Arial"/>
          <w:sz w:val="20"/>
          <w:szCs w:val="20"/>
        </w:rPr>
        <w:t>  modernizacja opasek brzegowych, remont ostróg oraz sztuczne zasilanie brzegu morskiego</w:t>
      </w:r>
      <w:r w:rsidR="004C6CC5">
        <w:rPr>
          <w:rFonts w:ascii="Arial" w:hAnsi="Arial" w:cs="Arial"/>
          <w:sz w:val="20"/>
          <w:szCs w:val="20"/>
        </w:rPr>
        <w:t xml:space="preserve"> w </w:t>
      </w:r>
      <w:r w:rsidRPr="004C6CC5">
        <w:rPr>
          <w:rFonts w:ascii="Arial" w:hAnsi="Arial" w:cs="Arial"/>
          <w:sz w:val="20"/>
          <w:szCs w:val="20"/>
        </w:rPr>
        <w:t>rejonie Mielna. Celem projektu jest odbudowa oraz zabezpieczenie brzegu morskiego pomiędzy 297,7 a 301,0 km wybrzeża.</w:t>
      </w:r>
    </w:p>
    <w:p w14:paraId="138531FC" w14:textId="2E78312B"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Budowa wielozadaniowego statku ratowniczego dla Morskiej Służby Poszukiwania</w:t>
      </w:r>
      <w:r w:rsidR="004C6CC5">
        <w:rPr>
          <w:rFonts w:ascii="Arial" w:hAnsi="Arial" w:cs="Arial"/>
          <w:b/>
          <w:sz w:val="20"/>
          <w:szCs w:val="20"/>
        </w:rPr>
        <w:t xml:space="preserve"> i </w:t>
      </w:r>
      <w:r w:rsidRPr="004C6CC5">
        <w:rPr>
          <w:rFonts w:ascii="Arial" w:hAnsi="Arial" w:cs="Arial"/>
          <w:b/>
          <w:sz w:val="20"/>
          <w:szCs w:val="20"/>
        </w:rPr>
        <w:t>Ratownictwa</w:t>
      </w:r>
      <w:r w:rsidRPr="004C6CC5">
        <w:rPr>
          <w:rFonts w:ascii="Arial" w:hAnsi="Arial" w:cs="Arial"/>
          <w:sz w:val="20"/>
          <w:szCs w:val="20"/>
        </w:rPr>
        <w:t xml:space="preserve"> </w:t>
      </w:r>
      <w:r w:rsidR="0098128C">
        <w:rPr>
          <w:rFonts w:ascii="Arial" w:hAnsi="Arial" w:cs="Arial"/>
          <w:sz w:val="20"/>
          <w:szCs w:val="20"/>
        </w:rPr>
        <w:t>-</w:t>
      </w:r>
      <w:r w:rsidRPr="004C6CC5">
        <w:rPr>
          <w:rFonts w:ascii="Arial" w:hAnsi="Arial" w:cs="Arial"/>
          <w:sz w:val="20"/>
          <w:szCs w:val="20"/>
        </w:rPr>
        <w:t xml:space="preserve"> projekt Morskiej Służby Poszukiwania</w:t>
      </w:r>
      <w:r w:rsidR="004C6CC5">
        <w:rPr>
          <w:rFonts w:ascii="Arial" w:hAnsi="Arial" w:cs="Arial"/>
          <w:sz w:val="20"/>
          <w:szCs w:val="20"/>
        </w:rPr>
        <w:t xml:space="preserve"> i </w:t>
      </w:r>
      <w:r w:rsidRPr="004C6CC5">
        <w:rPr>
          <w:rFonts w:ascii="Arial" w:hAnsi="Arial" w:cs="Arial"/>
          <w:sz w:val="20"/>
          <w:szCs w:val="20"/>
        </w:rPr>
        <w:t xml:space="preserve">Ratownictwa. Wartość projektu: 280 mln zł, </w:t>
      </w:r>
      <w:r w:rsidRPr="004C6CC5">
        <w:rPr>
          <w:rFonts w:ascii="Arial" w:hAnsi="Arial" w:cs="Arial"/>
          <w:sz w:val="20"/>
          <w:szCs w:val="20"/>
        </w:rPr>
        <w:br/>
        <w:t>w ty</w:t>
      </w:r>
      <w:r w:rsidR="002415A7">
        <w:rPr>
          <w:rFonts w:ascii="Arial" w:hAnsi="Arial" w:cs="Arial"/>
          <w:sz w:val="20"/>
          <w:szCs w:val="20"/>
        </w:rPr>
        <w:t xml:space="preserve">m dofinansowanie ze środków UE: </w:t>
      </w:r>
      <w:r w:rsidRPr="004C6CC5">
        <w:rPr>
          <w:rFonts w:ascii="Arial" w:hAnsi="Arial" w:cs="Arial"/>
          <w:sz w:val="20"/>
          <w:szCs w:val="20"/>
        </w:rPr>
        <w:t>238 mln zł. Statek będzie posiadać następujące funkcje: poszukiwanie</w:t>
      </w:r>
      <w:r w:rsidR="004C6CC5">
        <w:rPr>
          <w:rFonts w:ascii="Arial" w:hAnsi="Arial" w:cs="Arial"/>
          <w:sz w:val="20"/>
          <w:szCs w:val="20"/>
        </w:rPr>
        <w:t xml:space="preserve"> i </w:t>
      </w:r>
      <w:r w:rsidRPr="004C6CC5">
        <w:rPr>
          <w:rFonts w:ascii="Arial" w:hAnsi="Arial" w:cs="Arial"/>
          <w:sz w:val="20"/>
          <w:szCs w:val="20"/>
        </w:rPr>
        <w:t>ratowanie rozbitków, udzielanie im pomocy medycznej, możliwość stworzenia ośrodka koordynacyjnego</w:t>
      </w:r>
      <w:r w:rsidR="004C6CC5">
        <w:rPr>
          <w:rFonts w:ascii="Arial" w:hAnsi="Arial" w:cs="Arial"/>
          <w:sz w:val="20"/>
          <w:szCs w:val="20"/>
        </w:rPr>
        <w:t xml:space="preserve"> w </w:t>
      </w:r>
      <w:r w:rsidRPr="004C6CC5">
        <w:rPr>
          <w:rFonts w:ascii="Arial" w:hAnsi="Arial" w:cs="Arial"/>
          <w:sz w:val="20"/>
          <w:szCs w:val="20"/>
        </w:rPr>
        <w:t>przypadku masowych akcji ratowniczych, zwalczanie zagrożeń chemicznych na morzu,</w:t>
      </w:r>
      <w:r w:rsidR="002415A7">
        <w:rPr>
          <w:rFonts w:ascii="Arial" w:hAnsi="Arial" w:cs="Arial"/>
          <w:sz w:val="20"/>
          <w:szCs w:val="20"/>
        </w:rPr>
        <w:t xml:space="preserve"> w </w:t>
      </w:r>
      <w:r w:rsidRPr="004C6CC5">
        <w:rPr>
          <w:rFonts w:ascii="Arial" w:hAnsi="Arial" w:cs="Arial"/>
          <w:sz w:val="20"/>
          <w:szCs w:val="20"/>
        </w:rPr>
        <w:t>tym zagrożeń olejowych, gaszenie pożarów na statkach</w:t>
      </w:r>
      <w:r w:rsidR="004C6CC5">
        <w:rPr>
          <w:rFonts w:ascii="Arial" w:hAnsi="Arial" w:cs="Arial"/>
          <w:sz w:val="20"/>
          <w:szCs w:val="20"/>
        </w:rPr>
        <w:t xml:space="preserve"> w </w:t>
      </w:r>
      <w:r w:rsidRPr="004C6CC5">
        <w:rPr>
          <w:rFonts w:ascii="Arial" w:hAnsi="Arial" w:cs="Arial"/>
          <w:sz w:val="20"/>
          <w:szCs w:val="20"/>
        </w:rPr>
        <w:t xml:space="preserve">celu ratowania życia, a także </w:t>
      </w:r>
      <w:r w:rsidRPr="004C6CC5">
        <w:rPr>
          <w:rFonts w:ascii="Arial" w:hAnsi="Arial" w:cs="Arial"/>
          <w:sz w:val="20"/>
          <w:szCs w:val="20"/>
        </w:rPr>
        <w:lastRenderedPageBreak/>
        <w:t>awaryjny odładunek statku będącego</w:t>
      </w:r>
      <w:r w:rsidR="004C6CC5">
        <w:rPr>
          <w:rFonts w:ascii="Arial" w:hAnsi="Arial" w:cs="Arial"/>
          <w:sz w:val="20"/>
          <w:szCs w:val="20"/>
        </w:rPr>
        <w:t xml:space="preserve"> w </w:t>
      </w:r>
      <w:r w:rsidRPr="004C6CC5">
        <w:rPr>
          <w:rFonts w:ascii="Arial" w:hAnsi="Arial" w:cs="Arial"/>
          <w:sz w:val="20"/>
          <w:szCs w:val="20"/>
        </w:rPr>
        <w:t>niebezpieczeństwie, holowania awaryjne</w:t>
      </w:r>
      <w:r w:rsidR="004C6CC5">
        <w:rPr>
          <w:rFonts w:ascii="Arial" w:hAnsi="Arial" w:cs="Arial"/>
          <w:sz w:val="20"/>
          <w:szCs w:val="20"/>
        </w:rPr>
        <w:t xml:space="preserve"> i </w:t>
      </w:r>
      <w:r w:rsidRPr="004C6CC5">
        <w:rPr>
          <w:rFonts w:ascii="Arial" w:hAnsi="Arial" w:cs="Arial"/>
          <w:sz w:val="20"/>
          <w:szCs w:val="20"/>
        </w:rPr>
        <w:t>asysta ratownicza. Planowana całkowita długość nowego statku to max 85 m, zanurzenie max 5,5 m.</w:t>
      </w:r>
    </w:p>
    <w:p w14:paraId="77DB3FD3" w14:textId="133BF628"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Pogłębianie toru podejściowego</w:t>
      </w:r>
      <w:r w:rsidR="004C6CC5">
        <w:rPr>
          <w:rFonts w:ascii="Arial" w:hAnsi="Arial" w:cs="Arial"/>
          <w:b/>
          <w:sz w:val="20"/>
          <w:szCs w:val="20"/>
        </w:rPr>
        <w:t xml:space="preserve"> i </w:t>
      </w:r>
      <w:r w:rsidRPr="004C6CC5">
        <w:rPr>
          <w:rFonts w:ascii="Arial" w:hAnsi="Arial" w:cs="Arial"/>
          <w:b/>
          <w:sz w:val="20"/>
          <w:szCs w:val="20"/>
        </w:rPr>
        <w:t>akwenów wewnętrznych Portu Gdynia - etapy</w:t>
      </w:r>
      <w:r w:rsidR="00AD542E">
        <w:rPr>
          <w:rFonts w:ascii="Arial" w:hAnsi="Arial" w:cs="Arial"/>
          <w:b/>
          <w:sz w:val="20"/>
          <w:szCs w:val="20"/>
        </w:rPr>
        <w:t xml:space="preserve"> I</w:t>
      </w:r>
      <w:r w:rsidR="004C6CC5">
        <w:rPr>
          <w:rFonts w:ascii="Arial" w:hAnsi="Arial" w:cs="Arial"/>
          <w:b/>
          <w:sz w:val="20"/>
          <w:szCs w:val="20"/>
        </w:rPr>
        <w:t> </w:t>
      </w:r>
      <w:r w:rsidRPr="004C6CC5">
        <w:rPr>
          <w:rFonts w:ascii="Arial" w:hAnsi="Arial" w:cs="Arial"/>
          <w:b/>
          <w:sz w:val="20"/>
          <w:szCs w:val="20"/>
        </w:rPr>
        <w:t>i III oraz przebudowa nabrzeży</w:t>
      </w:r>
      <w:r w:rsidR="004C6CC5">
        <w:rPr>
          <w:rFonts w:ascii="Arial" w:hAnsi="Arial" w:cs="Arial"/>
          <w:b/>
          <w:sz w:val="20"/>
          <w:szCs w:val="20"/>
        </w:rPr>
        <w:t xml:space="preserve"> w </w:t>
      </w:r>
      <w:r w:rsidRPr="004C6CC5">
        <w:rPr>
          <w:rFonts w:ascii="Arial" w:hAnsi="Arial" w:cs="Arial"/>
          <w:b/>
          <w:sz w:val="20"/>
          <w:szCs w:val="20"/>
        </w:rPr>
        <w:t>Porcie Gdynia - etapy II</w:t>
      </w:r>
      <w:r w:rsidR="004C6CC5">
        <w:rPr>
          <w:rFonts w:ascii="Arial" w:hAnsi="Arial" w:cs="Arial"/>
          <w:b/>
          <w:sz w:val="20"/>
          <w:szCs w:val="20"/>
        </w:rPr>
        <w:t xml:space="preserve"> i </w:t>
      </w:r>
      <w:r w:rsidRPr="004C6CC5">
        <w:rPr>
          <w:rFonts w:ascii="Arial" w:hAnsi="Arial" w:cs="Arial"/>
          <w:b/>
          <w:sz w:val="20"/>
          <w:szCs w:val="20"/>
        </w:rPr>
        <w:t xml:space="preserve">III </w:t>
      </w:r>
      <w:r w:rsidR="00E4422D">
        <w:rPr>
          <w:rFonts w:ascii="Arial" w:hAnsi="Arial" w:cs="Arial"/>
          <w:sz w:val="20"/>
          <w:szCs w:val="20"/>
        </w:rPr>
        <w:t>-</w:t>
      </w:r>
      <w:r w:rsidRPr="004C6CC5">
        <w:rPr>
          <w:rFonts w:ascii="Arial" w:hAnsi="Arial" w:cs="Arial"/>
          <w:sz w:val="20"/>
          <w:szCs w:val="20"/>
        </w:rPr>
        <w:t xml:space="preserve"> projekt Zarządu Morskiego Portu</w:t>
      </w:r>
      <w:r w:rsidR="00AE3312">
        <w:rPr>
          <w:rFonts w:ascii="Arial" w:hAnsi="Arial" w:cs="Arial"/>
          <w:sz w:val="20"/>
          <w:szCs w:val="20"/>
        </w:rPr>
        <w:t xml:space="preserve"> Gdynia S.A. Wartość projektu: </w:t>
      </w:r>
      <w:r w:rsidRPr="004C6CC5">
        <w:rPr>
          <w:rFonts w:ascii="Arial" w:hAnsi="Arial" w:cs="Arial"/>
          <w:sz w:val="20"/>
          <w:szCs w:val="20"/>
        </w:rPr>
        <w:t>557 mln zł,</w:t>
      </w:r>
      <w:r w:rsidR="004C6CC5">
        <w:rPr>
          <w:rFonts w:ascii="Arial" w:hAnsi="Arial" w:cs="Arial"/>
          <w:sz w:val="20"/>
          <w:szCs w:val="20"/>
        </w:rPr>
        <w:t xml:space="preserve"> w </w:t>
      </w:r>
      <w:r w:rsidRPr="004C6CC5">
        <w:rPr>
          <w:rFonts w:ascii="Arial" w:hAnsi="Arial" w:cs="Arial"/>
          <w:sz w:val="20"/>
          <w:szCs w:val="20"/>
        </w:rPr>
        <w:t>ty</w:t>
      </w:r>
      <w:r w:rsidR="002415A7">
        <w:rPr>
          <w:rFonts w:ascii="Arial" w:hAnsi="Arial" w:cs="Arial"/>
          <w:sz w:val="20"/>
          <w:szCs w:val="20"/>
        </w:rPr>
        <w:t xml:space="preserve">m dofinansowanie ze środków UE: </w:t>
      </w:r>
      <w:r w:rsidRPr="004C6CC5">
        <w:rPr>
          <w:rFonts w:ascii="Arial" w:hAnsi="Arial" w:cs="Arial"/>
          <w:sz w:val="20"/>
          <w:szCs w:val="20"/>
        </w:rPr>
        <w:t>273 mln zł.</w:t>
      </w:r>
      <w:r w:rsidR="004C6CC5">
        <w:rPr>
          <w:rFonts w:ascii="Arial" w:hAnsi="Arial" w:cs="Arial"/>
          <w:sz w:val="20"/>
          <w:szCs w:val="20"/>
        </w:rPr>
        <w:t xml:space="preserve"> </w:t>
      </w:r>
      <w:r w:rsidR="00E4422D">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 xml:space="preserve">ramach projektu wykonane zostaną następujące prace: przebudowa obrotnicy nr 2 poprzez zwiększenie jej średnicy </w:t>
      </w:r>
      <w:r w:rsidRPr="004C6CC5">
        <w:rPr>
          <w:rFonts w:ascii="Arial" w:hAnsi="Arial" w:cs="Arial"/>
          <w:sz w:val="20"/>
          <w:szCs w:val="20"/>
        </w:rPr>
        <w:br/>
        <w:t>z 400 m do 480 m wraz</w:t>
      </w:r>
      <w:r w:rsidR="004C6CC5">
        <w:rPr>
          <w:rFonts w:ascii="Arial" w:hAnsi="Arial" w:cs="Arial"/>
          <w:sz w:val="20"/>
          <w:szCs w:val="20"/>
        </w:rPr>
        <w:t xml:space="preserve"> z </w:t>
      </w:r>
      <w:r w:rsidRPr="004C6CC5">
        <w:rPr>
          <w:rFonts w:ascii="Arial" w:hAnsi="Arial" w:cs="Arial"/>
          <w:sz w:val="20"/>
          <w:szCs w:val="20"/>
        </w:rPr>
        <w:t xml:space="preserve">przebudową Nabrzeża Gościnnego oraz przebudowa Nabrzeża Indyjskiego </w:t>
      </w:r>
      <w:r w:rsidRPr="004C6CC5">
        <w:rPr>
          <w:rFonts w:ascii="Arial" w:hAnsi="Arial" w:cs="Arial"/>
          <w:sz w:val="20"/>
          <w:szCs w:val="20"/>
        </w:rPr>
        <w:br/>
        <w:t>i Nabrzeża Helskiego.</w:t>
      </w:r>
    </w:p>
    <w:p w14:paraId="312C7318" w14:textId="6E3839AD"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 xml:space="preserve">Rozbudowa dostępu kolejowego do zachodniej części Portu Gdynia - przebudowa </w:t>
      </w:r>
      <w:r w:rsidRPr="004C6CC5">
        <w:rPr>
          <w:rFonts w:ascii="Arial" w:hAnsi="Arial" w:cs="Arial"/>
          <w:b/>
          <w:sz w:val="20"/>
          <w:szCs w:val="20"/>
        </w:rPr>
        <w:br/>
        <w:t>i elektryfikacja</w:t>
      </w:r>
      <w:r w:rsidRPr="004C6CC5">
        <w:rPr>
          <w:rFonts w:ascii="Arial" w:hAnsi="Arial" w:cs="Arial"/>
          <w:sz w:val="20"/>
          <w:szCs w:val="20"/>
        </w:rPr>
        <w:t xml:space="preserve"> </w:t>
      </w:r>
      <w:r w:rsidR="003C4354">
        <w:rPr>
          <w:rFonts w:ascii="Arial" w:hAnsi="Arial" w:cs="Arial"/>
          <w:sz w:val="20"/>
          <w:szCs w:val="20"/>
        </w:rPr>
        <w:t>-</w:t>
      </w:r>
      <w:r w:rsidRPr="004C6CC5">
        <w:rPr>
          <w:rFonts w:ascii="Arial" w:hAnsi="Arial" w:cs="Arial"/>
          <w:sz w:val="20"/>
          <w:szCs w:val="20"/>
        </w:rPr>
        <w:t xml:space="preserve"> projekt Zarządu Morskiego Portu Gdynia S.A. Wartość projektu: 40,6 mln zł,</w:t>
      </w:r>
      <w:r w:rsidR="004C6CC5">
        <w:rPr>
          <w:rFonts w:ascii="Arial" w:hAnsi="Arial" w:cs="Arial"/>
          <w:sz w:val="20"/>
          <w:szCs w:val="20"/>
        </w:rPr>
        <w:t xml:space="preserve"> w </w:t>
      </w:r>
      <w:r w:rsidRPr="004C6CC5">
        <w:rPr>
          <w:rFonts w:ascii="Arial" w:hAnsi="Arial" w:cs="Arial"/>
          <w:sz w:val="20"/>
          <w:szCs w:val="20"/>
        </w:rPr>
        <w:t>tym dofinansowanie ze środków UE: 19,80 mln zł. Przedmiotowe przedsięwzięcie inwestycyjne polega na rozbudowie</w:t>
      </w:r>
      <w:r w:rsidR="003C4354">
        <w:rPr>
          <w:rFonts w:ascii="Arial" w:hAnsi="Arial" w:cs="Arial"/>
          <w:sz w:val="20"/>
          <w:szCs w:val="20"/>
        </w:rPr>
        <w:t xml:space="preserve"> i </w:t>
      </w:r>
      <w:r w:rsidRPr="004C6CC5">
        <w:rPr>
          <w:rFonts w:ascii="Arial" w:hAnsi="Arial" w:cs="Arial"/>
          <w:sz w:val="20"/>
          <w:szCs w:val="20"/>
        </w:rPr>
        <w:t>modernizacji torów kolejowych prowadzących do bramy intermodalnego terminalu kontenerowego, tj.</w:t>
      </w:r>
      <w:r w:rsidR="004C6CC5">
        <w:rPr>
          <w:rFonts w:ascii="Arial" w:hAnsi="Arial" w:cs="Arial"/>
          <w:sz w:val="20"/>
          <w:szCs w:val="20"/>
        </w:rPr>
        <w:t xml:space="preserve"> w </w:t>
      </w:r>
      <w:r w:rsidRPr="004C6CC5">
        <w:rPr>
          <w:rFonts w:ascii="Arial" w:hAnsi="Arial" w:cs="Arial"/>
          <w:sz w:val="20"/>
          <w:szCs w:val="20"/>
        </w:rPr>
        <w:t>szczególności na elektryfikacji trasy, dobudowaniu nowych odcinków torów oraz wyposażeniu jej</w:t>
      </w:r>
      <w:r w:rsidR="004C6CC5">
        <w:rPr>
          <w:rFonts w:ascii="Arial" w:hAnsi="Arial" w:cs="Arial"/>
          <w:sz w:val="20"/>
          <w:szCs w:val="20"/>
        </w:rPr>
        <w:t xml:space="preserve"> w </w:t>
      </w:r>
      <w:r w:rsidRPr="004C6CC5">
        <w:rPr>
          <w:rFonts w:ascii="Arial" w:hAnsi="Arial" w:cs="Arial"/>
          <w:sz w:val="20"/>
          <w:szCs w:val="20"/>
        </w:rPr>
        <w:t>nowoczesne systemy kierowania ruchem.</w:t>
      </w:r>
    </w:p>
    <w:p w14:paraId="114839DC" w14:textId="269C0740"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Budowa publicznego terminalu promowego</w:t>
      </w:r>
      <w:r w:rsidR="004C6CC5">
        <w:rPr>
          <w:rFonts w:ascii="Arial" w:hAnsi="Arial" w:cs="Arial"/>
          <w:b/>
          <w:sz w:val="20"/>
          <w:szCs w:val="20"/>
        </w:rPr>
        <w:t xml:space="preserve"> w </w:t>
      </w:r>
      <w:r w:rsidRPr="004C6CC5">
        <w:rPr>
          <w:rFonts w:ascii="Arial" w:hAnsi="Arial" w:cs="Arial"/>
          <w:b/>
          <w:sz w:val="20"/>
          <w:szCs w:val="20"/>
        </w:rPr>
        <w:t>Porcie Gdynia</w:t>
      </w:r>
      <w:r w:rsidRPr="004C6CC5">
        <w:rPr>
          <w:rFonts w:ascii="Arial" w:hAnsi="Arial" w:cs="Arial"/>
          <w:sz w:val="20"/>
          <w:szCs w:val="20"/>
        </w:rPr>
        <w:t xml:space="preserve"> </w:t>
      </w:r>
      <w:r w:rsidR="007D39FB">
        <w:rPr>
          <w:rFonts w:ascii="Arial" w:hAnsi="Arial" w:cs="Arial"/>
          <w:sz w:val="20"/>
          <w:szCs w:val="20"/>
        </w:rPr>
        <w:t>-</w:t>
      </w:r>
      <w:r w:rsidRPr="004C6CC5">
        <w:rPr>
          <w:rFonts w:ascii="Arial" w:hAnsi="Arial" w:cs="Arial"/>
          <w:sz w:val="20"/>
          <w:szCs w:val="20"/>
        </w:rPr>
        <w:t xml:space="preserve"> projekt Zarządu Morskiego Portu</w:t>
      </w:r>
      <w:r w:rsidR="002E2C20">
        <w:rPr>
          <w:rFonts w:ascii="Arial" w:hAnsi="Arial" w:cs="Arial"/>
          <w:sz w:val="20"/>
          <w:szCs w:val="20"/>
        </w:rPr>
        <w:t xml:space="preserve"> Gdynia S.A. Wartość projektu: </w:t>
      </w:r>
      <w:r w:rsidRPr="004C6CC5">
        <w:rPr>
          <w:rFonts w:ascii="Arial" w:hAnsi="Arial" w:cs="Arial"/>
          <w:sz w:val="20"/>
          <w:szCs w:val="20"/>
        </w:rPr>
        <w:t>289,4 mln zł,</w:t>
      </w:r>
      <w:r w:rsidR="004C6CC5">
        <w:rPr>
          <w:rFonts w:ascii="Arial" w:hAnsi="Arial" w:cs="Arial"/>
          <w:sz w:val="20"/>
          <w:szCs w:val="20"/>
        </w:rPr>
        <w:t xml:space="preserve"> w </w:t>
      </w:r>
      <w:r w:rsidRPr="004C6CC5">
        <w:rPr>
          <w:rFonts w:ascii="Arial" w:hAnsi="Arial" w:cs="Arial"/>
          <w:sz w:val="20"/>
          <w:szCs w:val="20"/>
        </w:rPr>
        <w:t xml:space="preserve">tym dofinansowanie ze środków UE: 116,83 mln zł. Projekt zakłada budowę nowego terminalu promowego we wschodniej części Portu Gdynia wraz </w:t>
      </w:r>
      <w:r w:rsidRPr="004C6CC5">
        <w:rPr>
          <w:rFonts w:ascii="Arial" w:hAnsi="Arial" w:cs="Arial"/>
          <w:sz w:val="20"/>
          <w:szCs w:val="20"/>
        </w:rPr>
        <w:br/>
        <w:t>z infrastrukturą towarzyszącą, umożliwiającą sprawną obsługę ładunków</w:t>
      </w:r>
      <w:r w:rsidR="004C6CC5">
        <w:rPr>
          <w:rFonts w:ascii="Arial" w:hAnsi="Arial" w:cs="Arial"/>
          <w:sz w:val="20"/>
          <w:szCs w:val="20"/>
        </w:rPr>
        <w:t xml:space="preserve"> i </w:t>
      </w:r>
      <w:r w:rsidRPr="004C6CC5">
        <w:rPr>
          <w:rFonts w:ascii="Arial" w:hAnsi="Arial" w:cs="Arial"/>
          <w:sz w:val="20"/>
          <w:szCs w:val="20"/>
        </w:rPr>
        <w:t>pasażerów oraz poprawę dostępności transportowej portu oraz przebudowę układu komunikacyjnego do wschodniej części Portu Gdynia</w:t>
      </w:r>
      <w:r w:rsidR="004C6CC5">
        <w:rPr>
          <w:rFonts w:ascii="Arial" w:hAnsi="Arial" w:cs="Arial"/>
          <w:sz w:val="20"/>
          <w:szCs w:val="20"/>
        </w:rPr>
        <w:t xml:space="preserve"> w </w:t>
      </w:r>
      <w:r w:rsidRPr="004C6CC5">
        <w:rPr>
          <w:rFonts w:ascii="Arial" w:hAnsi="Arial" w:cs="Arial"/>
          <w:sz w:val="20"/>
          <w:szCs w:val="20"/>
        </w:rPr>
        <w:t>obrębie Węzła Ofiar Grudnia ’70. Terminal przejmie funkcje dotychczas eksploatowanego, niedużego terminalu na Nabrzeżu Helskim II.</w:t>
      </w:r>
    </w:p>
    <w:p w14:paraId="1AE0741B" w14:textId="380C6F86"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Budowa infrastruktury portowej do odbioru ścieków sanitarnych ze statków</w:t>
      </w:r>
      <w:r w:rsidR="004C6CC5">
        <w:rPr>
          <w:rFonts w:ascii="Arial" w:hAnsi="Arial" w:cs="Arial"/>
          <w:b/>
          <w:sz w:val="20"/>
          <w:szCs w:val="20"/>
        </w:rPr>
        <w:t xml:space="preserve"> w </w:t>
      </w:r>
      <w:r w:rsidRPr="004C6CC5">
        <w:rPr>
          <w:rFonts w:ascii="Arial" w:hAnsi="Arial" w:cs="Arial"/>
          <w:b/>
          <w:sz w:val="20"/>
          <w:szCs w:val="20"/>
        </w:rPr>
        <w:t>Porcie Gdynia</w:t>
      </w:r>
      <w:r w:rsidRPr="004C6CC5">
        <w:rPr>
          <w:rFonts w:ascii="Arial" w:hAnsi="Arial" w:cs="Arial"/>
          <w:sz w:val="20"/>
          <w:szCs w:val="20"/>
        </w:rPr>
        <w:t xml:space="preserve"> </w:t>
      </w:r>
      <w:r w:rsidR="00C50BB4">
        <w:rPr>
          <w:rFonts w:ascii="Arial" w:hAnsi="Arial" w:cs="Arial"/>
          <w:sz w:val="20"/>
          <w:szCs w:val="20"/>
        </w:rPr>
        <w:t>-</w:t>
      </w:r>
      <w:r w:rsidRPr="004C6CC5">
        <w:rPr>
          <w:rFonts w:ascii="Arial" w:hAnsi="Arial" w:cs="Arial"/>
          <w:sz w:val="20"/>
          <w:szCs w:val="20"/>
        </w:rPr>
        <w:t xml:space="preserve"> projekt Zarządu Morskiego Portu Gdynia S.A. Wartość projektu: 27,06 mln zł,</w:t>
      </w:r>
      <w:r w:rsidR="004C6CC5">
        <w:rPr>
          <w:rFonts w:ascii="Arial" w:hAnsi="Arial" w:cs="Arial"/>
          <w:sz w:val="20"/>
          <w:szCs w:val="20"/>
        </w:rPr>
        <w:t xml:space="preserve"> w </w:t>
      </w:r>
      <w:r w:rsidRPr="004C6CC5">
        <w:rPr>
          <w:rFonts w:ascii="Arial" w:hAnsi="Arial" w:cs="Arial"/>
          <w:sz w:val="20"/>
          <w:szCs w:val="20"/>
        </w:rPr>
        <w:t>tym dofinansowanie ze śro</w:t>
      </w:r>
      <w:r w:rsidR="000C69A7">
        <w:rPr>
          <w:rFonts w:ascii="Arial" w:hAnsi="Arial" w:cs="Arial"/>
          <w:sz w:val="20"/>
          <w:szCs w:val="20"/>
        </w:rPr>
        <w:t xml:space="preserve">dków UE: </w:t>
      </w:r>
      <w:r w:rsidRPr="004C6CC5">
        <w:rPr>
          <w:rFonts w:ascii="Arial" w:hAnsi="Arial" w:cs="Arial"/>
          <w:sz w:val="20"/>
          <w:szCs w:val="20"/>
        </w:rPr>
        <w:t xml:space="preserve">18,70 mln zł. Projekt ma na celu poprawę konkurencyjności poprzez wykonanie nowej </w:t>
      </w:r>
      <w:r w:rsidRPr="004C6CC5">
        <w:rPr>
          <w:rFonts w:ascii="Arial" w:hAnsi="Arial" w:cs="Arial"/>
          <w:sz w:val="20"/>
          <w:szCs w:val="20"/>
        </w:rPr>
        <w:br/>
        <w:t xml:space="preserve">i dostosowanie istniejącej infrastruktury kanalizacyjnej do odbierania ścieków sanitarnych ze statków </w:t>
      </w:r>
      <w:r w:rsidRPr="004C6CC5">
        <w:rPr>
          <w:rFonts w:ascii="Arial" w:hAnsi="Arial" w:cs="Arial"/>
          <w:sz w:val="20"/>
          <w:szCs w:val="20"/>
        </w:rPr>
        <w:br/>
        <w:t xml:space="preserve">i zrzut tych ścieków do sieci kanalizacji sanitarnej miasta Gdynia. Projekt polega na budowie zbiorczego systemu kanalizacji sanitarnej grawitacyjno-tłocznej do odbioru ścieków sanitarnych ze statków wraz </w:t>
      </w:r>
      <w:r w:rsidRPr="004C6CC5">
        <w:rPr>
          <w:rFonts w:ascii="Arial" w:hAnsi="Arial" w:cs="Arial"/>
          <w:sz w:val="20"/>
          <w:szCs w:val="20"/>
        </w:rPr>
        <w:br/>
        <w:t>z budową</w:t>
      </w:r>
      <w:r w:rsidR="004C6CC5">
        <w:rPr>
          <w:rFonts w:ascii="Arial" w:hAnsi="Arial" w:cs="Arial"/>
          <w:sz w:val="20"/>
          <w:szCs w:val="20"/>
        </w:rPr>
        <w:t xml:space="preserve"> i </w:t>
      </w:r>
      <w:r w:rsidRPr="004C6CC5">
        <w:rPr>
          <w:rFonts w:ascii="Arial" w:hAnsi="Arial" w:cs="Arial"/>
          <w:sz w:val="20"/>
          <w:szCs w:val="20"/>
        </w:rPr>
        <w:t>przebudową niezbędnej infrastruktury podziemnej</w:t>
      </w:r>
      <w:r w:rsidR="004C6CC5">
        <w:rPr>
          <w:rFonts w:ascii="Arial" w:hAnsi="Arial" w:cs="Arial"/>
          <w:sz w:val="20"/>
          <w:szCs w:val="20"/>
        </w:rPr>
        <w:t xml:space="preserve"> i </w:t>
      </w:r>
      <w:r w:rsidRPr="004C6CC5">
        <w:rPr>
          <w:rFonts w:ascii="Arial" w:hAnsi="Arial" w:cs="Arial"/>
          <w:sz w:val="20"/>
          <w:szCs w:val="20"/>
        </w:rPr>
        <w:t xml:space="preserve">naziemnej, pracami rozbiórkowymi </w:t>
      </w:r>
      <w:r w:rsidRPr="004C6CC5">
        <w:rPr>
          <w:rFonts w:ascii="Arial" w:hAnsi="Arial" w:cs="Arial"/>
          <w:sz w:val="20"/>
          <w:szCs w:val="20"/>
        </w:rPr>
        <w:br/>
        <w:t>i odtworzeniowymi. Planowane przedsięwzięcie zlokalizowane jest na terenie Portu Gdynia, we wschodniej części Gdyni</w:t>
      </w:r>
      <w:r w:rsidR="004C6CC5">
        <w:rPr>
          <w:rFonts w:ascii="Arial" w:hAnsi="Arial" w:cs="Arial"/>
          <w:sz w:val="20"/>
          <w:szCs w:val="20"/>
        </w:rPr>
        <w:t xml:space="preserve"> i </w:t>
      </w:r>
      <w:r w:rsidRPr="004C6CC5">
        <w:rPr>
          <w:rFonts w:ascii="Arial" w:hAnsi="Arial" w:cs="Arial"/>
          <w:sz w:val="20"/>
          <w:szCs w:val="20"/>
        </w:rPr>
        <w:t>obejmuje nabrzeże Francuskie, Belgijskie, Polskie oraz ciąg ul. Polskiej</w:t>
      </w:r>
      <w:r w:rsidR="004C6CC5">
        <w:rPr>
          <w:rFonts w:ascii="Arial" w:hAnsi="Arial" w:cs="Arial"/>
          <w:sz w:val="20"/>
          <w:szCs w:val="20"/>
        </w:rPr>
        <w:t xml:space="preserve"> i </w:t>
      </w:r>
      <w:r w:rsidRPr="004C6CC5">
        <w:rPr>
          <w:rFonts w:ascii="Arial" w:hAnsi="Arial" w:cs="Arial"/>
          <w:sz w:val="20"/>
          <w:szCs w:val="20"/>
        </w:rPr>
        <w:t>plac XXVII.</w:t>
      </w:r>
    </w:p>
    <w:p w14:paraId="2FD2F8B7" w14:textId="201A7658"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Poprawa dostępu do Portu</w:t>
      </w:r>
      <w:r w:rsidR="004C6CC5">
        <w:rPr>
          <w:rFonts w:ascii="Arial" w:hAnsi="Arial" w:cs="Arial"/>
          <w:b/>
          <w:sz w:val="20"/>
          <w:szCs w:val="20"/>
        </w:rPr>
        <w:t xml:space="preserve"> w </w:t>
      </w:r>
      <w:r w:rsidRPr="004C6CC5">
        <w:rPr>
          <w:rFonts w:ascii="Arial" w:hAnsi="Arial" w:cs="Arial"/>
          <w:b/>
          <w:sz w:val="20"/>
          <w:szCs w:val="20"/>
        </w:rPr>
        <w:t>Szczecinie</w:t>
      </w:r>
      <w:r w:rsidR="004C6CC5">
        <w:rPr>
          <w:rFonts w:ascii="Arial" w:hAnsi="Arial" w:cs="Arial"/>
          <w:b/>
          <w:sz w:val="20"/>
          <w:szCs w:val="20"/>
        </w:rPr>
        <w:t xml:space="preserve"> w </w:t>
      </w:r>
      <w:r w:rsidRPr="004C6CC5">
        <w:rPr>
          <w:rFonts w:ascii="Arial" w:hAnsi="Arial" w:cs="Arial"/>
          <w:b/>
          <w:sz w:val="20"/>
          <w:szCs w:val="20"/>
        </w:rPr>
        <w:t>rejonie Kanału Dębickiego</w:t>
      </w:r>
      <w:r w:rsidRPr="004C6CC5">
        <w:rPr>
          <w:rFonts w:ascii="Arial" w:hAnsi="Arial" w:cs="Arial"/>
          <w:sz w:val="20"/>
          <w:szCs w:val="20"/>
        </w:rPr>
        <w:t xml:space="preserve"> </w:t>
      </w:r>
      <w:r w:rsidR="00C50BB4">
        <w:rPr>
          <w:rFonts w:ascii="Arial" w:hAnsi="Arial" w:cs="Arial"/>
          <w:sz w:val="20"/>
          <w:szCs w:val="20"/>
        </w:rPr>
        <w:t>-</w:t>
      </w:r>
      <w:r w:rsidRPr="004C6CC5">
        <w:rPr>
          <w:rFonts w:ascii="Arial" w:hAnsi="Arial" w:cs="Arial"/>
          <w:sz w:val="20"/>
          <w:szCs w:val="20"/>
        </w:rPr>
        <w:t xml:space="preserve"> projekt Zarządu Morskich Portów Szczecin</w:t>
      </w:r>
      <w:r w:rsidR="004C6CC5">
        <w:rPr>
          <w:rFonts w:ascii="Arial" w:hAnsi="Arial" w:cs="Arial"/>
          <w:sz w:val="20"/>
          <w:szCs w:val="20"/>
        </w:rPr>
        <w:t xml:space="preserve"> i </w:t>
      </w:r>
      <w:r w:rsidRPr="004C6CC5">
        <w:rPr>
          <w:rFonts w:ascii="Arial" w:hAnsi="Arial" w:cs="Arial"/>
          <w:sz w:val="20"/>
          <w:szCs w:val="20"/>
        </w:rPr>
        <w:t>Świn</w:t>
      </w:r>
      <w:r w:rsidR="00F7571D">
        <w:rPr>
          <w:rFonts w:ascii="Arial" w:hAnsi="Arial" w:cs="Arial"/>
          <w:sz w:val="20"/>
          <w:szCs w:val="20"/>
        </w:rPr>
        <w:t xml:space="preserve">oujście S.A. Wartość projektu: </w:t>
      </w:r>
      <w:r w:rsidRPr="004C6CC5">
        <w:rPr>
          <w:rFonts w:ascii="Arial" w:hAnsi="Arial" w:cs="Arial"/>
          <w:sz w:val="20"/>
          <w:szCs w:val="20"/>
        </w:rPr>
        <w:t>423,5 mln zł,</w:t>
      </w:r>
      <w:r w:rsidR="004C6CC5">
        <w:rPr>
          <w:rFonts w:ascii="Arial" w:hAnsi="Arial" w:cs="Arial"/>
          <w:sz w:val="20"/>
          <w:szCs w:val="20"/>
        </w:rPr>
        <w:t xml:space="preserve"> w </w:t>
      </w:r>
      <w:r w:rsidRPr="004C6CC5">
        <w:rPr>
          <w:rFonts w:ascii="Arial" w:hAnsi="Arial" w:cs="Arial"/>
          <w:sz w:val="20"/>
          <w:szCs w:val="20"/>
        </w:rPr>
        <w:t>tym</w:t>
      </w:r>
      <w:r w:rsidR="00D6551D">
        <w:rPr>
          <w:rFonts w:ascii="Arial" w:hAnsi="Arial" w:cs="Arial"/>
          <w:sz w:val="20"/>
          <w:szCs w:val="20"/>
        </w:rPr>
        <w:t xml:space="preserve"> dofinansowanie ze środków UE: </w:t>
      </w:r>
      <w:r w:rsidRPr="004C6CC5">
        <w:rPr>
          <w:rFonts w:ascii="Arial" w:hAnsi="Arial" w:cs="Arial"/>
          <w:sz w:val="20"/>
          <w:szCs w:val="20"/>
        </w:rPr>
        <w:t>225,9 mln zł. Inwestycja polega na modernizacji Nabrzeża Czeskiego</w:t>
      </w:r>
      <w:r w:rsidR="004C6CC5">
        <w:rPr>
          <w:rFonts w:ascii="Arial" w:hAnsi="Arial" w:cs="Arial"/>
          <w:sz w:val="20"/>
          <w:szCs w:val="20"/>
        </w:rPr>
        <w:t xml:space="preserve"> i </w:t>
      </w:r>
      <w:r w:rsidRPr="004C6CC5">
        <w:rPr>
          <w:rFonts w:ascii="Arial" w:hAnsi="Arial" w:cs="Arial"/>
          <w:sz w:val="20"/>
          <w:szCs w:val="20"/>
        </w:rPr>
        <w:t xml:space="preserve">Nabrzeża Słowackiego </w:t>
      </w:r>
      <w:r w:rsidR="00D938F4">
        <w:rPr>
          <w:rFonts w:ascii="Arial" w:hAnsi="Arial" w:cs="Arial"/>
          <w:sz w:val="20"/>
          <w:szCs w:val="20"/>
        </w:rPr>
        <w:br/>
      </w:r>
      <w:r w:rsidRPr="004C6CC5">
        <w:rPr>
          <w:rFonts w:ascii="Arial" w:hAnsi="Arial" w:cs="Arial"/>
          <w:sz w:val="20"/>
          <w:szCs w:val="20"/>
        </w:rPr>
        <w:t>o łącznej długości linii cumowniczej 985 m (do głębokości technicznej 12,5 m</w:t>
      </w:r>
      <w:r w:rsidR="004C6CC5">
        <w:rPr>
          <w:rFonts w:ascii="Arial" w:hAnsi="Arial" w:cs="Arial"/>
          <w:sz w:val="20"/>
          <w:szCs w:val="20"/>
        </w:rPr>
        <w:t xml:space="preserve"> i </w:t>
      </w:r>
      <w:r w:rsidR="00F7571D">
        <w:rPr>
          <w:rFonts w:ascii="Arial" w:hAnsi="Arial" w:cs="Arial"/>
          <w:sz w:val="20"/>
          <w:szCs w:val="20"/>
        </w:rPr>
        <w:t xml:space="preserve">nośności nabrzeża 40 kN/m2), </w:t>
      </w:r>
      <w:r w:rsidRPr="004C6CC5">
        <w:rPr>
          <w:rFonts w:ascii="Arial" w:hAnsi="Arial" w:cs="Arial"/>
          <w:sz w:val="20"/>
          <w:szCs w:val="20"/>
        </w:rPr>
        <w:t>modernizacji infrastruktury technicznej na bezpośrednim zapleczu nabrzeża</w:t>
      </w:r>
      <w:r w:rsidR="00F7571D">
        <w:rPr>
          <w:rFonts w:ascii="Arial" w:hAnsi="Arial" w:cs="Arial"/>
          <w:sz w:val="20"/>
          <w:szCs w:val="20"/>
        </w:rPr>
        <w:t xml:space="preserve"> i </w:t>
      </w:r>
      <w:r w:rsidRPr="004C6CC5">
        <w:rPr>
          <w:rFonts w:ascii="Arial" w:hAnsi="Arial" w:cs="Arial"/>
          <w:sz w:val="20"/>
          <w:szCs w:val="20"/>
        </w:rPr>
        <w:t>likwidację istniejącej rampy ro-ro, dostosowanie parametrów Kanału Dębickiego do obsługi największych statków</w:t>
      </w:r>
      <w:r w:rsidR="00F7571D">
        <w:rPr>
          <w:rFonts w:ascii="Arial" w:hAnsi="Arial" w:cs="Arial"/>
          <w:sz w:val="20"/>
          <w:szCs w:val="20"/>
        </w:rPr>
        <w:t>,</w:t>
      </w:r>
      <w:r w:rsidRPr="004C6CC5">
        <w:rPr>
          <w:rFonts w:ascii="Arial" w:hAnsi="Arial" w:cs="Arial"/>
          <w:sz w:val="20"/>
          <w:szCs w:val="20"/>
        </w:rPr>
        <w:t xml:space="preserve"> jakie mogą zawinąć do portu</w:t>
      </w:r>
      <w:r w:rsidR="004C6CC5">
        <w:rPr>
          <w:rFonts w:ascii="Arial" w:hAnsi="Arial" w:cs="Arial"/>
          <w:sz w:val="20"/>
          <w:szCs w:val="20"/>
        </w:rPr>
        <w:t xml:space="preserve"> w </w:t>
      </w:r>
      <w:r w:rsidRPr="004C6CC5">
        <w:rPr>
          <w:rFonts w:ascii="Arial" w:hAnsi="Arial" w:cs="Arial"/>
          <w:sz w:val="20"/>
          <w:szCs w:val="20"/>
        </w:rPr>
        <w:t xml:space="preserve">Szczecinie, tj. poszerzenie kanału do 200 m na całej jego długości oraz pogłębienie do 12,5 m. Projekt obejmuje też wybudowanie nabrzeża Norweskiego o długości 300 m </w:t>
      </w:r>
      <w:r w:rsidRPr="004C6CC5">
        <w:rPr>
          <w:rFonts w:ascii="Arial" w:hAnsi="Arial" w:cs="Arial"/>
          <w:sz w:val="20"/>
          <w:szCs w:val="20"/>
        </w:rPr>
        <w:br/>
        <w:t>i głębokości technicznej 12,5 m.</w:t>
      </w:r>
    </w:p>
    <w:p w14:paraId="4B9C5434" w14:textId="4390E320"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Poprawa dostępu do Portu</w:t>
      </w:r>
      <w:r w:rsidR="004C6CC5">
        <w:rPr>
          <w:rFonts w:ascii="Arial" w:hAnsi="Arial" w:cs="Arial"/>
          <w:b/>
          <w:sz w:val="20"/>
          <w:szCs w:val="20"/>
        </w:rPr>
        <w:t xml:space="preserve"> w </w:t>
      </w:r>
      <w:r w:rsidRPr="004C6CC5">
        <w:rPr>
          <w:rFonts w:ascii="Arial" w:hAnsi="Arial" w:cs="Arial"/>
          <w:b/>
          <w:sz w:val="20"/>
          <w:szCs w:val="20"/>
        </w:rPr>
        <w:t>Szczecinie</w:t>
      </w:r>
      <w:r w:rsidR="004C6CC5">
        <w:rPr>
          <w:rFonts w:ascii="Arial" w:hAnsi="Arial" w:cs="Arial"/>
          <w:b/>
          <w:sz w:val="20"/>
          <w:szCs w:val="20"/>
        </w:rPr>
        <w:t xml:space="preserve"> w </w:t>
      </w:r>
      <w:r w:rsidRPr="004C6CC5">
        <w:rPr>
          <w:rFonts w:ascii="Arial" w:hAnsi="Arial" w:cs="Arial"/>
          <w:b/>
          <w:sz w:val="20"/>
          <w:szCs w:val="20"/>
        </w:rPr>
        <w:t>rejonie Basenu Kaszubskiego</w:t>
      </w:r>
      <w:r w:rsidRPr="004C6CC5">
        <w:rPr>
          <w:rFonts w:ascii="Arial" w:hAnsi="Arial" w:cs="Arial"/>
          <w:sz w:val="20"/>
          <w:szCs w:val="20"/>
        </w:rPr>
        <w:t xml:space="preserve"> </w:t>
      </w:r>
      <w:r w:rsidR="00C50BB4">
        <w:rPr>
          <w:rFonts w:ascii="Arial" w:hAnsi="Arial" w:cs="Arial"/>
          <w:sz w:val="20"/>
          <w:szCs w:val="20"/>
        </w:rPr>
        <w:t>-</w:t>
      </w:r>
      <w:r w:rsidRPr="004C6CC5">
        <w:rPr>
          <w:rFonts w:ascii="Arial" w:hAnsi="Arial" w:cs="Arial"/>
          <w:sz w:val="20"/>
          <w:szCs w:val="20"/>
        </w:rPr>
        <w:t xml:space="preserve"> projekt Zarządu Morskich Portów Szczecin</w:t>
      </w:r>
      <w:r w:rsidR="004C6CC5">
        <w:rPr>
          <w:rFonts w:ascii="Arial" w:hAnsi="Arial" w:cs="Arial"/>
          <w:sz w:val="20"/>
          <w:szCs w:val="20"/>
        </w:rPr>
        <w:t xml:space="preserve"> i </w:t>
      </w:r>
      <w:r w:rsidRPr="004C6CC5">
        <w:rPr>
          <w:rFonts w:ascii="Arial" w:hAnsi="Arial" w:cs="Arial"/>
          <w:sz w:val="20"/>
          <w:szCs w:val="20"/>
        </w:rPr>
        <w:t>Świn</w:t>
      </w:r>
      <w:r w:rsidR="00786B9D">
        <w:rPr>
          <w:rFonts w:ascii="Arial" w:hAnsi="Arial" w:cs="Arial"/>
          <w:sz w:val="20"/>
          <w:szCs w:val="20"/>
        </w:rPr>
        <w:t xml:space="preserve">oujście S.A. Wartość projektu: </w:t>
      </w:r>
      <w:r w:rsidRPr="004C6CC5">
        <w:rPr>
          <w:rFonts w:ascii="Arial" w:hAnsi="Arial" w:cs="Arial"/>
          <w:sz w:val="20"/>
          <w:szCs w:val="20"/>
        </w:rPr>
        <w:t>311 mln zł,</w:t>
      </w:r>
      <w:r w:rsidR="004C6CC5">
        <w:rPr>
          <w:rFonts w:ascii="Arial" w:hAnsi="Arial" w:cs="Arial"/>
          <w:sz w:val="20"/>
          <w:szCs w:val="20"/>
        </w:rPr>
        <w:t xml:space="preserve"> w </w:t>
      </w:r>
      <w:r w:rsidRPr="004C6CC5">
        <w:rPr>
          <w:rFonts w:ascii="Arial" w:hAnsi="Arial" w:cs="Arial"/>
          <w:sz w:val="20"/>
          <w:szCs w:val="20"/>
        </w:rPr>
        <w:t>tym dofinansowanie ze środków UE: 128  mln zł. Projekt obejmuje wykonanie m.in. następujących prac: budowę przystani dalbowej przy Nabrzeżu Dąbrowieckim (wraz</w:t>
      </w:r>
      <w:r w:rsidR="004C6CC5">
        <w:rPr>
          <w:rFonts w:ascii="Arial" w:hAnsi="Arial" w:cs="Arial"/>
          <w:sz w:val="20"/>
          <w:szCs w:val="20"/>
        </w:rPr>
        <w:t xml:space="preserve"> z </w:t>
      </w:r>
      <w:r w:rsidRPr="004C6CC5">
        <w:rPr>
          <w:rFonts w:ascii="Arial" w:hAnsi="Arial" w:cs="Arial"/>
          <w:sz w:val="20"/>
          <w:szCs w:val="20"/>
        </w:rPr>
        <w:t>zabezpieczeniem brzegu), przebudowę</w:t>
      </w:r>
      <w:r w:rsidR="004C6CC5">
        <w:rPr>
          <w:rFonts w:ascii="Arial" w:hAnsi="Arial" w:cs="Arial"/>
          <w:sz w:val="20"/>
          <w:szCs w:val="20"/>
        </w:rPr>
        <w:t xml:space="preserve"> i </w:t>
      </w:r>
      <w:r w:rsidRPr="004C6CC5">
        <w:rPr>
          <w:rFonts w:ascii="Arial" w:hAnsi="Arial" w:cs="Arial"/>
          <w:sz w:val="20"/>
          <w:szCs w:val="20"/>
        </w:rPr>
        <w:t xml:space="preserve">rozbudowę (wydłużenie) nabrzeża Katowickiego, przebudowę nabrzeży Chorzowskiego, Chorzowskiego-Uskok </w:t>
      </w:r>
      <w:r w:rsidRPr="004C6CC5">
        <w:rPr>
          <w:rFonts w:ascii="Arial" w:hAnsi="Arial" w:cs="Arial"/>
          <w:sz w:val="20"/>
          <w:szCs w:val="20"/>
        </w:rPr>
        <w:br/>
        <w:t>i Gliwickiego-Uskok (do głębokości technicznej 12,5 m), wykonanie umocnień wschodniego narożnika Nabrzeża Sosnowieckiego oraz narożników wysp Ostrów Mieleński</w:t>
      </w:r>
      <w:r w:rsidR="004C6CC5">
        <w:rPr>
          <w:rFonts w:ascii="Arial" w:hAnsi="Arial" w:cs="Arial"/>
          <w:sz w:val="20"/>
          <w:szCs w:val="20"/>
        </w:rPr>
        <w:t xml:space="preserve"> i </w:t>
      </w:r>
      <w:r w:rsidR="00786B9D">
        <w:rPr>
          <w:rFonts w:ascii="Arial" w:hAnsi="Arial" w:cs="Arial"/>
          <w:sz w:val="20"/>
          <w:szCs w:val="20"/>
        </w:rPr>
        <w:t xml:space="preserve">Mieleńska Łąka, </w:t>
      </w:r>
      <w:r w:rsidRPr="004C6CC5">
        <w:rPr>
          <w:rFonts w:ascii="Arial" w:hAnsi="Arial" w:cs="Arial"/>
          <w:sz w:val="20"/>
          <w:szCs w:val="20"/>
        </w:rPr>
        <w:t>zamknięcie Basenu Noteckiego pomiędzy nabrzeżami Górnośląskim</w:t>
      </w:r>
      <w:r w:rsidR="004C6CC5">
        <w:rPr>
          <w:rFonts w:ascii="Arial" w:hAnsi="Arial" w:cs="Arial"/>
          <w:sz w:val="20"/>
          <w:szCs w:val="20"/>
        </w:rPr>
        <w:t xml:space="preserve"> i </w:t>
      </w:r>
      <w:r w:rsidRPr="004C6CC5">
        <w:rPr>
          <w:rFonts w:ascii="Arial" w:hAnsi="Arial" w:cs="Arial"/>
          <w:sz w:val="20"/>
          <w:szCs w:val="20"/>
        </w:rPr>
        <w:t>Dolnośląskim oraz zalądowanie Basenu Noteckiego urobkiem</w:t>
      </w:r>
      <w:r w:rsidR="004C6CC5">
        <w:rPr>
          <w:rFonts w:ascii="Arial" w:hAnsi="Arial" w:cs="Arial"/>
          <w:sz w:val="20"/>
          <w:szCs w:val="20"/>
        </w:rPr>
        <w:t xml:space="preserve"> z </w:t>
      </w:r>
      <w:r w:rsidRPr="004C6CC5">
        <w:rPr>
          <w:rFonts w:ascii="Arial" w:hAnsi="Arial" w:cs="Arial"/>
          <w:sz w:val="20"/>
          <w:szCs w:val="20"/>
        </w:rPr>
        <w:t>prac czerpalnych wykonywanych przy przebudowywanych nabrzeżach</w:t>
      </w:r>
      <w:r w:rsidR="004C6CC5">
        <w:rPr>
          <w:rFonts w:ascii="Arial" w:hAnsi="Arial" w:cs="Arial"/>
          <w:sz w:val="20"/>
          <w:szCs w:val="20"/>
        </w:rPr>
        <w:t xml:space="preserve"> i </w:t>
      </w:r>
      <w:r w:rsidRPr="004C6CC5">
        <w:rPr>
          <w:rFonts w:ascii="Arial" w:hAnsi="Arial" w:cs="Arial"/>
          <w:sz w:val="20"/>
          <w:szCs w:val="20"/>
        </w:rPr>
        <w:t xml:space="preserve">na </w:t>
      </w:r>
      <w:r w:rsidRPr="004C6CC5">
        <w:rPr>
          <w:rFonts w:ascii="Arial" w:hAnsi="Arial" w:cs="Arial"/>
          <w:sz w:val="20"/>
          <w:szCs w:val="20"/>
        </w:rPr>
        <w:lastRenderedPageBreak/>
        <w:t>pogłębieniu toru wodnego</w:t>
      </w:r>
      <w:r w:rsidR="004C6CC5">
        <w:rPr>
          <w:rFonts w:ascii="Arial" w:hAnsi="Arial" w:cs="Arial"/>
          <w:sz w:val="20"/>
          <w:szCs w:val="20"/>
        </w:rPr>
        <w:t xml:space="preserve"> w </w:t>
      </w:r>
      <w:r w:rsidRPr="004C6CC5">
        <w:rPr>
          <w:rFonts w:ascii="Arial" w:hAnsi="Arial" w:cs="Arial"/>
          <w:sz w:val="20"/>
          <w:szCs w:val="20"/>
        </w:rPr>
        <w:t>Basenie Kaszubskim do głębokości technicznej 12,5 m (we fragmencie Parnicy, przy Nabrzeżu Dąbrowieckim roboty czerpalne zostaną wykonane do uzyskania 10,5 m).</w:t>
      </w:r>
    </w:p>
    <w:p w14:paraId="475732EB" w14:textId="13E53B09" w:rsidR="00B6635A" w:rsidRPr="004C6CC5"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sz w:val="20"/>
          <w:szCs w:val="20"/>
        </w:rPr>
        <w:t>Rozbudowa</w:t>
      </w:r>
      <w:r w:rsidR="004C6CC5">
        <w:rPr>
          <w:rFonts w:ascii="Arial" w:hAnsi="Arial" w:cs="Arial"/>
          <w:b/>
          <w:sz w:val="20"/>
          <w:szCs w:val="20"/>
        </w:rPr>
        <w:t xml:space="preserve"> i </w:t>
      </w:r>
      <w:r w:rsidRPr="004C6CC5">
        <w:rPr>
          <w:rFonts w:ascii="Arial" w:hAnsi="Arial" w:cs="Arial"/>
          <w:b/>
          <w:sz w:val="20"/>
          <w:szCs w:val="20"/>
        </w:rPr>
        <w:t>modernizacja infrastruktury technicznej</w:t>
      </w:r>
      <w:r w:rsidR="004C6CC5">
        <w:rPr>
          <w:rFonts w:ascii="Arial" w:hAnsi="Arial" w:cs="Arial"/>
          <w:b/>
          <w:sz w:val="20"/>
          <w:szCs w:val="20"/>
        </w:rPr>
        <w:t xml:space="preserve"> w </w:t>
      </w:r>
      <w:r w:rsidRPr="004C6CC5">
        <w:rPr>
          <w:rFonts w:ascii="Arial" w:hAnsi="Arial" w:cs="Arial"/>
          <w:b/>
          <w:sz w:val="20"/>
          <w:szCs w:val="20"/>
        </w:rPr>
        <w:t>portach</w:t>
      </w:r>
      <w:r w:rsidR="004C6CC5">
        <w:rPr>
          <w:rFonts w:ascii="Arial" w:hAnsi="Arial" w:cs="Arial"/>
          <w:b/>
          <w:sz w:val="20"/>
          <w:szCs w:val="20"/>
        </w:rPr>
        <w:t xml:space="preserve"> w </w:t>
      </w:r>
      <w:r w:rsidRPr="004C6CC5">
        <w:rPr>
          <w:rFonts w:ascii="Arial" w:hAnsi="Arial" w:cs="Arial"/>
          <w:b/>
          <w:sz w:val="20"/>
          <w:szCs w:val="20"/>
        </w:rPr>
        <w:t>Szczecinie</w:t>
      </w:r>
      <w:r w:rsidR="004C6CC5">
        <w:rPr>
          <w:rFonts w:ascii="Arial" w:hAnsi="Arial" w:cs="Arial"/>
          <w:b/>
          <w:sz w:val="20"/>
          <w:szCs w:val="20"/>
        </w:rPr>
        <w:t xml:space="preserve"> i w </w:t>
      </w:r>
      <w:r w:rsidRPr="004C6CC5">
        <w:rPr>
          <w:rFonts w:ascii="Arial" w:hAnsi="Arial" w:cs="Arial"/>
          <w:b/>
          <w:sz w:val="20"/>
          <w:szCs w:val="20"/>
        </w:rPr>
        <w:t>Świnoujściu</w:t>
      </w:r>
      <w:r w:rsidRPr="004C6CC5">
        <w:rPr>
          <w:rFonts w:ascii="Arial" w:hAnsi="Arial" w:cs="Arial"/>
          <w:sz w:val="20"/>
          <w:szCs w:val="20"/>
        </w:rPr>
        <w:t xml:space="preserve"> </w:t>
      </w:r>
      <w:r w:rsidR="00C50BB4">
        <w:rPr>
          <w:rFonts w:ascii="Arial" w:hAnsi="Arial" w:cs="Arial"/>
          <w:sz w:val="20"/>
          <w:szCs w:val="20"/>
        </w:rPr>
        <w:t>-</w:t>
      </w:r>
      <w:r w:rsidRPr="004C6CC5">
        <w:rPr>
          <w:rFonts w:ascii="Arial" w:hAnsi="Arial" w:cs="Arial"/>
          <w:sz w:val="20"/>
          <w:szCs w:val="20"/>
        </w:rPr>
        <w:t xml:space="preserve"> projekt Zarządu Morskich Portów Szczecin</w:t>
      </w:r>
      <w:r w:rsidR="004C6CC5">
        <w:rPr>
          <w:rFonts w:ascii="Arial" w:hAnsi="Arial" w:cs="Arial"/>
          <w:sz w:val="20"/>
          <w:szCs w:val="20"/>
        </w:rPr>
        <w:t xml:space="preserve"> i </w:t>
      </w:r>
      <w:r w:rsidRPr="004C6CC5">
        <w:rPr>
          <w:rFonts w:ascii="Arial" w:hAnsi="Arial" w:cs="Arial"/>
          <w:sz w:val="20"/>
          <w:szCs w:val="20"/>
        </w:rPr>
        <w:t>Świnoujście S.A. Wartość projektu: 118,08 mln zł,</w:t>
      </w:r>
      <w:r w:rsidR="004C6CC5">
        <w:rPr>
          <w:rFonts w:ascii="Arial" w:hAnsi="Arial" w:cs="Arial"/>
          <w:sz w:val="20"/>
          <w:szCs w:val="20"/>
        </w:rPr>
        <w:t xml:space="preserve"> w </w:t>
      </w:r>
      <w:r w:rsidRPr="004C6CC5">
        <w:rPr>
          <w:rFonts w:ascii="Arial" w:hAnsi="Arial" w:cs="Arial"/>
          <w:sz w:val="20"/>
          <w:szCs w:val="20"/>
        </w:rPr>
        <w:t>ty</w:t>
      </w:r>
      <w:r w:rsidR="006474FD">
        <w:rPr>
          <w:rFonts w:ascii="Arial" w:hAnsi="Arial" w:cs="Arial"/>
          <w:sz w:val="20"/>
          <w:szCs w:val="20"/>
        </w:rPr>
        <w:t xml:space="preserve">m dofinansowanie ze środków UE: </w:t>
      </w:r>
      <w:r w:rsidRPr="004C6CC5">
        <w:rPr>
          <w:rFonts w:ascii="Arial" w:hAnsi="Arial" w:cs="Arial"/>
          <w:sz w:val="20"/>
          <w:szCs w:val="20"/>
        </w:rPr>
        <w:t>57,60 mln zł. Inwestycja dotyczy budowy nowej</w:t>
      </w:r>
      <w:r w:rsidR="004C6CC5">
        <w:rPr>
          <w:rFonts w:ascii="Arial" w:hAnsi="Arial" w:cs="Arial"/>
          <w:sz w:val="20"/>
          <w:szCs w:val="20"/>
        </w:rPr>
        <w:t xml:space="preserve"> i </w:t>
      </w:r>
      <w:r w:rsidRPr="004C6CC5">
        <w:rPr>
          <w:rFonts w:ascii="Arial" w:hAnsi="Arial" w:cs="Arial"/>
          <w:sz w:val="20"/>
          <w:szCs w:val="20"/>
        </w:rPr>
        <w:t>modernizacji istniejącej infrastruktury technicznej obejmującej: sieci wodociągowe, kanalizację sanitarną, kanalizację wód opadowych, zasilanie elektroenergetyczne, sieci teletechniczne, sieć wody przeciwpożarowej oraz system odwadniania terenów. Inwestycja uporządkuje</w:t>
      </w:r>
      <w:r w:rsidR="0081773D">
        <w:rPr>
          <w:rFonts w:ascii="Arial" w:hAnsi="Arial" w:cs="Arial"/>
          <w:sz w:val="20"/>
          <w:szCs w:val="20"/>
        </w:rPr>
        <w:t xml:space="preserve"> i </w:t>
      </w:r>
      <w:r w:rsidRPr="004C6CC5">
        <w:rPr>
          <w:rFonts w:ascii="Arial" w:hAnsi="Arial" w:cs="Arial"/>
          <w:sz w:val="20"/>
          <w:szCs w:val="20"/>
        </w:rPr>
        <w:t>uzupełni infrastrukturę techniczną we wszystkich rejonach portu</w:t>
      </w:r>
      <w:r w:rsidR="004C6CC5">
        <w:rPr>
          <w:rFonts w:ascii="Arial" w:hAnsi="Arial" w:cs="Arial"/>
          <w:sz w:val="20"/>
          <w:szCs w:val="20"/>
        </w:rPr>
        <w:t xml:space="preserve"> w </w:t>
      </w:r>
      <w:r w:rsidRPr="004C6CC5">
        <w:rPr>
          <w:rFonts w:ascii="Arial" w:hAnsi="Arial" w:cs="Arial"/>
          <w:sz w:val="20"/>
          <w:szCs w:val="20"/>
        </w:rPr>
        <w:t>Szczecinie</w:t>
      </w:r>
      <w:r w:rsidR="004C6CC5">
        <w:rPr>
          <w:rFonts w:ascii="Arial" w:hAnsi="Arial" w:cs="Arial"/>
          <w:sz w:val="20"/>
          <w:szCs w:val="20"/>
        </w:rPr>
        <w:t xml:space="preserve"> i </w:t>
      </w:r>
      <w:r w:rsidRPr="004C6CC5">
        <w:rPr>
          <w:rFonts w:ascii="Arial" w:hAnsi="Arial" w:cs="Arial"/>
          <w:sz w:val="20"/>
          <w:szCs w:val="20"/>
        </w:rPr>
        <w:t>Świnoujściu, zapewni optymalizację zużycia nośników energii, poprawę sytuacji</w:t>
      </w:r>
      <w:r w:rsidR="00AB35F2">
        <w:rPr>
          <w:rFonts w:ascii="Arial" w:hAnsi="Arial" w:cs="Arial"/>
          <w:sz w:val="20"/>
          <w:szCs w:val="20"/>
        </w:rPr>
        <w:t xml:space="preserve"> w </w:t>
      </w:r>
      <w:r w:rsidRPr="004C6CC5">
        <w:rPr>
          <w:rFonts w:ascii="Arial" w:hAnsi="Arial" w:cs="Arial"/>
          <w:sz w:val="20"/>
          <w:szCs w:val="20"/>
        </w:rPr>
        <w:t>zakresie ochrony środowiska</w:t>
      </w:r>
      <w:r w:rsidR="00D938F4">
        <w:rPr>
          <w:rFonts w:ascii="Arial" w:hAnsi="Arial" w:cs="Arial"/>
          <w:sz w:val="20"/>
          <w:szCs w:val="20"/>
        </w:rPr>
        <w:t xml:space="preserve"> i </w:t>
      </w:r>
      <w:r w:rsidRPr="004C6CC5">
        <w:rPr>
          <w:rFonts w:ascii="Arial" w:hAnsi="Arial" w:cs="Arial"/>
          <w:sz w:val="20"/>
          <w:szCs w:val="20"/>
        </w:rPr>
        <w:t>dostosowanie się</w:t>
      </w:r>
      <w:r w:rsidR="00AB35F2">
        <w:rPr>
          <w:rFonts w:ascii="Arial" w:hAnsi="Arial" w:cs="Arial"/>
          <w:sz w:val="20"/>
          <w:szCs w:val="20"/>
        </w:rPr>
        <w:t xml:space="preserve"> w </w:t>
      </w:r>
      <w:r w:rsidRPr="004C6CC5">
        <w:rPr>
          <w:rFonts w:ascii="Arial" w:hAnsi="Arial" w:cs="Arial"/>
          <w:sz w:val="20"/>
          <w:szCs w:val="20"/>
        </w:rPr>
        <w:t>tym względzie do obowiązujących norm</w:t>
      </w:r>
      <w:r w:rsidR="004C6CC5">
        <w:rPr>
          <w:rFonts w:ascii="Arial" w:hAnsi="Arial" w:cs="Arial"/>
          <w:sz w:val="20"/>
          <w:szCs w:val="20"/>
        </w:rPr>
        <w:t xml:space="preserve"> i </w:t>
      </w:r>
      <w:r w:rsidRPr="004C6CC5">
        <w:rPr>
          <w:rFonts w:ascii="Arial" w:hAnsi="Arial" w:cs="Arial"/>
          <w:sz w:val="20"/>
          <w:szCs w:val="20"/>
        </w:rPr>
        <w:t>przepisów (obecnych, jak</w:t>
      </w:r>
      <w:r w:rsidR="004C6CC5">
        <w:rPr>
          <w:rFonts w:ascii="Arial" w:hAnsi="Arial" w:cs="Arial"/>
          <w:sz w:val="20"/>
          <w:szCs w:val="20"/>
        </w:rPr>
        <w:t xml:space="preserve"> i </w:t>
      </w:r>
      <w:r w:rsidRPr="004C6CC5">
        <w:rPr>
          <w:rFonts w:ascii="Arial" w:hAnsi="Arial" w:cs="Arial"/>
          <w:sz w:val="20"/>
          <w:szCs w:val="20"/>
        </w:rPr>
        <w:t>planowanych do wprowadzenia). Cała inwestycja prowadzona będzie etapowo, tak aby tereny portowe mogły nieprzerwanie funkcjonować podczas prowadzonych prac budowlanych.</w:t>
      </w:r>
    </w:p>
    <w:p w14:paraId="77494E04" w14:textId="68480105" w:rsidR="00B6635A" w:rsidRDefault="00B6635A" w:rsidP="00B6635A">
      <w:pPr>
        <w:spacing w:before="120"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b/>
          <w:bCs/>
          <w:sz w:val="20"/>
          <w:szCs w:val="20"/>
        </w:rPr>
        <w:t>Zakup statku pożarniczego dla Zarządu Morskich Portów Szczecin</w:t>
      </w:r>
      <w:r w:rsidR="004C6CC5">
        <w:rPr>
          <w:rFonts w:ascii="Arial" w:hAnsi="Arial" w:cs="Arial"/>
          <w:b/>
          <w:bCs/>
          <w:sz w:val="20"/>
          <w:szCs w:val="20"/>
        </w:rPr>
        <w:t xml:space="preserve"> i </w:t>
      </w:r>
      <w:r w:rsidRPr="004C6CC5">
        <w:rPr>
          <w:rFonts w:ascii="Arial" w:hAnsi="Arial" w:cs="Arial"/>
          <w:b/>
          <w:bCs/>
          <w:sz w:val="20"/>
          <w:szCs w:val="20"/>
        </w:rPr>
        <w:t>Świnoujście</w:t>
      </w:r>
      <w:r w:rsidRPr="004C6CC5">
        <w:rPr>
          <w:rFonts w:ascii="Arial" w:hAnsi="Arial" w:cs="Arial"/>
          <w:sz w:val="20"/>
          <w:szCs w:val="20"/>
        </w:rPr>
        <w:t xml:space="preserve"> - projekt Zarządu Morskich Portów Szczecin</w:t>
      </w:r>
      <w:r w:rsidR="0042076E">
        <w:rPr>
          <w:rFonts w:ascii="Arial" w:hAnsi="Arial" w:cs="Arial"/>
          <w:sz w:val="20"/>
          <w:szCs w:val="20"/>
        </w:rPr>
        <w:t xml:space="preserve"> i </w:t>
      </w:r>
      <w:r w:rsidRPr="004C6CC5">
        <w:rPr>
          <w:rFonts w:ascii="Arial" w:hAnsi="Arial" w:cs="Arial"/>
          <w:sz w:val="20"/>
          <w:szCs w:val="20"/>
        </w:rPr>
        <w:t>Świnoujście S.A. Wartość projektu: 28 mln zł,</w:t>
      </w:r>
      <w:r w:rsidR="00D938F4">
        <w:rPr>
          <w:rFonts w:ascii="Arial" w:hAnsi="Arial" w:cs="Arial"/>
          <w:sz w:val="20"/>
          <w:szCs w:val="20"/>
        </w:rPr>
        <w:t xml:space="preserve"> w </w:t>
      </w:r>
      <w:r w:rsidRPr="004C6CC5">
        <w:rPr>
          <w:rFonts w:ascii="Arial" w:hAnsi="Arial" w:cs="Arial"/>
          <w:sz w:val="20"/>
          <w:szCs w:val="20"/>
        </w:rPr>
        <w:t>tym dofinansowanie ze środków UE: 23 mln zł. Inwestycja polega na budowie statku mającego za zadanie prowadzenie akcji ratowniczo-gaśniczych, zabezpieczanie akwenu portowego przed pożarem, ochronę przeciwpożarową</w:t>
      </w:r>
      <w:r w:rsidR="004C6CC5">
        <w:rPr>
          <w:rFonts w:ascii="Arial" w:hAnsi="Arial" w:cs="Arial"/>
          <w:sz w:val="20"/>
          <w:szCs w:val="20"/>
        </w:rPr>
        <w:t xml:space="preserve"> i </w:t>
      </w:r>
      <w:r w:rsidRPr="004C6CC5">
        <w:rPr>
          <w:rFonts w:ascii="Arial" w:hAnsi="Arial" w:cs="Arial"/>
          <w:sz w:val="20"/>
          <w:szCs w:val="20"/>
        </w:rPr>
        <w:t>asystę</w:t>
      </w:r>
      <w:r w:rsidR="0013207C">
        <w:rPr>
          <w:rFonts w:ascii="Arial" w:hAnsi="Arial" w:cs="Arial"/>
          <w:sz w:val="20"/>
          <w:szCs w:val="20"/>
        </w:rPr>
        <w:t>,</w:t>
      </w:r>
      <w:r w:rsidRPr="004C6CC5">
        <w:rPr>
          <w:rFonts w:ascii="Arial" w:hAnsi="Arial" w:cs="Arial"/>
          <w:sz w:val="20"/>
          <w:szCs w:val="20"/>
        </w:rPr>
        <w:t xml:space="preserve"> np. gazowców</w:t>
      </w:r>
      <w:r w:rsidR="004C6CC5">
        <w:rPr>
          <w:rFonts w:ascii="Arial" w:hAnsi="Arial" w:cs="Arial"/>
          <w:sz w:val="20"/>
          <w:szCs w:val="20"/>
        </w:rPr>
        <w:t xml:space="preserve"> w </w:t>
      </w:r>
      <w:r w:rsidRPr="004C6CC5">
        <w:rPr>
          <w:rFonts w:ascii="Arial" w:hAnsi="Arial" w:cs="Arial"/>
          <w:sz w:val="20"/>
          <w:szCs w:val="20"/>
        </w:rPr>
        <w:t>granicach portu Szczecin</w:t>
      </w:r>
      <w:r w:rsidR="004C6CC5">
        <w:rPr>
          <w:rFonts w:ascii="Arial" w:hAnsi="Arial" w:cs="Arial"/>
          <w:sz w:val="20"/>
          <w:szCs w:val="20"/>
        </w:rPr>
        <w:t xml:space="preserve"> i </w:t>
      </w:r>
      <w:r w:rsidRPr="004C6CC5">
        <w:rPr>
          <w:rFonts w:ascii="Arial" w:hAnsi="Arial" w:cs="Arial"/>
          <w:sz w:val="20"/>
          <w:szCs w:val="20"/>
        </w:rPr>
        <w:t>Świnoujście.</w:t>
      </w:r>
    </w:p>
    <w:p w14:paraId="03338FDB" w14:textId="4CBE965C" w:rsidR="00D14631" w:rsidRPr="004C6CC5" w:rsidRDefault="00D14631" w:rsidP="00B6635A">
      <w:pPr>
        <w:spacing w:before="120" w:after="120" w:line="276" w:lineRule="auto"/>
        <w:jc w:val="both"/>
        <w:rPr>
          <w:rFonts w:ascii="Arial" w:hAnsi="Arial" w:cs="Arial"/>
          <w:sz w:val="20"/>
          <w:szCs w:val="20"/>
        </w:rPr>
      </w:pPr>
      <w:r>
        <w:rPr>
          <w:rFonts w:ascii="Arial" w:hAnsi="Arial" w:cs="Arial"/>
          <w:sz w:val="20"/>
          <w:szCs w:val="20"/>
        </w:rPr>
        <w:t xml:space="preserve">- Kompleksowe zabezpieczenie przeciwpowodziowe Żuław – etap II – Regionalny Zarząd Gospodarki Wodnej w Gdańsku - </w:t>
      </w:r>
    </w:p>
    <w:p w14:paraId="4E1CFEB5" w14:textId="14D419AD" w:rsidR="004B4C77" w:rsidRDefault="004716DE" w:rsidP="008B0AD4">
      <w:pPr>
        <w:pStyle w:val="Nagwek2"/>
        <w:spacing w:before="120" w:after="120"/>
        <w:rPr>
          <w:rFonts w:ascii="Arial" w:hAnsi="Arial" w:cs="Arial"/>
          <w:b/>
          <w:color w:val="auto"/>
          <w:sz w:val="20"/>
          <w:szCs w:val="20"/>
        </w:rPr>
      </w:pPr>
      <w:bookmarkStart w:id="8" w:name="_Toc72745030"/>
      <w:r w:rsidRPr="001A7C8B">
        <w:rPr>
          <w:rFonts w:ascii="Arial" w:hAnsi="Arial" w:cs="Arial"/>
          <w:b/>
          <w:color w:val="auto"/>
          <w:sz w:val="20"/>
          <w:szCs w:val="20"/>
        </w:rPr>
        <w:t>Realizacja priorytetowych działań na rzecz rozwoju gospodarki wodnej</w:t>
      </w:r>
      <w:r w:rsidR="003E4EC5">
        <w:rPr>
          <w:rFonts w:ascii="Arial" w:hAnsi="Arial" w:cs="Arial"/>
          <w:b/>
          <w:color w:val="auto"/>
          <w:sz w:val="20"/>
          <w:szCs w:val="20"/>
        </w:rPr>
        <w:t>.</w:t>
      </w:r>
      <w:bookmarkEnd w:id="8"/>
      <w:r w:rsidRPr="001A7C8B">
        <w:rPr>
          <w:rFonts w:ascii="Arial" w:hAnsi="Arial" w:cs="Arial"/>
          <w:b/>
          <w:color w:val="auto"/>
          <w:sz w:val="20"/>
          <w:szCs w:val="20"/>
        </w:rPr>
        <w:t xml:space="preserve"> </w:t>
      </w:r>
    </w:p>
    <w:p w14:paraId="77845CFC" w14:textId="688FF99F" w:rsidR="00734121" w:rsidRPr="00532F43" w:rsidRDefault="00734121" w:rsidP="00532F43">
      <w:pPr>
        <w:tabs>
          <w:tab w:val="left" w:pos="2127"/>
        </w:tabs>
        <w:spacing w:after="120" w:line="276" w:lineRule="auto"/>
        <w:jc w:val="both"/>
        <w:rPr>
          <w:rFonts w:ascii="Arial" w:hAnsi="Arial" w:cs="Arial"/>
          <w:sz w:val="20"/>
          <w:szCs w:val="20"/>
        </w:rPr>
      </w:pPr>
      <w:r w:rsidRPr="00532F43">
        <w:rPr>
          <w:rFonts w:ascii="Arial" w:hAnsi="Arial" w:cs="Arial"/>
          <w:sz w:val="20"/>
          <w:szCs w:val="20"/>
        </w:rPr>
        <w:t>W 2019 r. kontynuowano współpracę międzyrządową z krajami graniczącymi z Polską na poziomie komisji dwustronnych.</w:t>
      </w:r>
      <w:r w:rsidR="009132EF">
        <w:rPr>
          <w:rFonts w:ascii="Arial" w:hAnsi="Arial" w:cs="Arial"/>
          <w:sz w:val="20"/>
          <w:szCs w:val="20"/>
        </w:rPr>
        <w:t xml:space="preserve"> </w:t>
      </w:r>
      <w:r w:rsidRPr="00532F43">
        <w:rPr>
          <w:rFonts w:ascii="Arial" w:hAnsi="Arial" w:cs="Arial"/>
          <w:sz w:val="20"/>
          <w:szCs w:val="20"/>
        </w:rPr>
        <w:t>W dniach 9-30 sierpnia 2019 r. odbyło się 18. posiedzenie Polsko -</w:t>
      </w:r>
      <w:r w:rsidR="00C27F09">
        <w:rPr>
          <w:rFonts w:ascii="Arial" w:hAnsi="Arial" w:cs="Arial"/>
          <w:sz w:val="20"/>
          <w:szCs w:val="20"/>
        </w:rPr>
        <w:t xml:space="preserve"> Ukraińskiej Komisji do Spraw</w:t>
      </w:r>
      <w:r w:rsidRPr="00532F43">
        <w:rPr>
          <w:rFonts w:ascii="Arial" w:hAnsi="Arial" w:cs="Arial"/>
          <w:sz w:val="20"/>
          <w:szCs w:val="20"/>
        </w:rPr>
        <w:t xml:space="preserve"> Wód Granicznych. Strony podsumowały roczną współpracę w gospodarce wodnej </w:t>
      </w:r>
      <w:r w:rsidR="009132EF">
        <w:rPr>
          <w:rFonts w:ascii="Arial" w:hAnsi="Arial" w:cs="Arial"/>
          <w:sz w:val="20"/>
          <w:szCs w:val="20"/>
        </w:rPr>
        <w:br/>
      </w:r>
      <w:r w:rsidRPr="00532F43">
        <w:rPr>
          <w:rFonts w:ascii="Arial" w:hAnsi="Arial" w:cs="Arial"/>
          <w:sz w:val="20"/>
          <w:szCs w:val="20"/>
        </w:rPr>
        <w:t>w zlewni Bugu i Sanu w okresie od września 2018 r. do sierpnia 2019 r. Zakres współpracy obejmuje m.in. badania i wymianę danych hydrometeorologicznych i hydrogeologicznych, ochronę wód granicznych przed zanieczyszczeniem, ochronę przeciwpowodziową i</w:t>
      </w:r>
      <w:r w:rsidR="00C27F09">
        <w:rPr>
          <w:rFonts w:ascii="Arial" w:hAnsi="Arial" w:cs="Arial"/>
          <w:sz w:val="20"/>
          <w:szCs w:val="20"/>
        </w:rPr>
        <w:t xml:space="preserve"> przeciwdziałanie skutkom suszy oraz</w:t>
      </w:r>
      <w:r w:rsidRPr="00532F43">
        <w:rPr>
          <w:rFonts w:ascii="Arial" w:hAnsi="Arial" w:cs="Arial"/>
          <w:sz w:val="20"/>
          <w:szCs w:val="20"/>
        </w:rPr>
        <w:t xml:space="preserve"> planowanie w gospodarce wodnej. Prace są prowadzone w ramach czterech grup roboczych.</w:t>
      </w:r>
    </w:p>
    <w:p w14:paraId="2BF01E38" w14:textId="28AF600B" w:rsidR="00734121" w:rsidRPr="00532F43" w:rsidRDefault="00734121" w:rsidP="00532F43">
      <w:pPr>
        <w:tabs>
          <w:tab w:val="left" w:pos="2127"/>
        </w:tabs>
        <w:spacing w:after="120" w:line="276" w:lineRule="auto"/>
        <w:jc w:val="both"/>
        <w:rPr>
          <w:rFonts w:ascii="Arial" w:hAnsi="Arial" w:cs="Arial"/>
          <w:sz w:val="20"/>
          <w:szCs w:val="20"/>
        </w:rPr>
      </w:pPr>
      <w:r w:rsidRPr="00532F43">
        <w:rPr>
          <w:rFonts w:ascii="Arial" w:hAnsi="Arial" w:cs="Arial"/>
          <w:sz w:val="20"/>
          <w:szCs w:val="20"/>
        </w:rPr>
        <w:t>W dniu 17 października 2019 r. odbyło się III Posiedzenie Wspólnego Komitetu do spraw wdrożenia Umowy między Rządem Rzeczypospolitej Polskiej a Rządem Republiki Federalnej Niemiec o wspólnej poprawie sytuacji na drogach wodnych na pograniczu polsko-niemieckim (ochrona przeciwpowodziowa, warunki przepływu i żeglugi). Omówiono stan zaawansowania poszczególnych zadań inwestycyjnych na Odrze granicznej wynik</w:t>
      </w:r>
      <w:r w:rsidR="00DA4A97">
        <w:rPr>
          <w:rFonts w:ascii="Arial" w:hAnsi="Arial" w:cs="Arial"/>
          <w:sz w:val="20"/>
          <w:szCs w:val="20"/>
        </w:rPr>
        <w:t>ających z podpisanej w 2015 r.</w:t>
      </w:r>
      <w:r w:rsidRPr="00532F43">
        <w:rPr>
          <w:rFonts w:ascii="Arial" w:hAnsi="Arial" w:cs="Arial"/>
          <w:sz w:val="20"/>
          <w:szCs w:val="20"/>
        </w:rPr>
        <w:t xml:space="preserve"> umowy. Komitet zobowiązał grupę roboczą do przedstawienia wspólnego harmonogramu prac, który uwzględni konieczność jak najszybszego rozpoczęcia działań w najważniejszych miejscach limitujących przepływ wód i zdefiniowanych </w:t>
      </w:r>
      <w:r w:rsidR="00DA4A97">
        <w:rPr>
          <w:rFonts w:ascii="Arial" w:hAnsi="Arial" w:cs="Arial"/>
          <w:sz w:val="20"/>
          <w:szCs w:val="20"/>
        </w:rPr>
        <w:br/>
      </w:r>
      <w:r w:rsidR="0092125A">
        <w:rPr>
          <w:rFonts w:ascii="Arial" w:hAnsi="Arial" w:cs="Arial"/>
          <w:sz w:val="20"/>
          <w:szCs w:val="20"/>
        </w:rPr>
        <w:t>w umowie</w:t>
      </w:r>
      <w:r w:rsidRPr="00532F43">
        <w:rPr>
          <w:rFonts w:ascii="Arial" w:hAnsi="Arial" w:cs="Arial"/>
          <w:sz w:val="20"/>
          <w:szCs w:val="20"/>
        </w:rPr>
        <w:t xml:space="preserve"> jako priorytetowe.</w:t>
      </w:r>
    </w:p>
    <w:p w14:paraId="35C408C3" w14:textId="5B789799" w:rsidR="00734121" w:rsidRPr="00532F43" w:rsidRDefault="00734121" w:rsidP="00532F43">
      <w:pPr>
        <w:tabs>
          <w:tab w:val="left" w:pos="2127"/>
        </w:tabs>
        <w:spacing w:after="120" w:line="276" w:lineRule="auto"/>
        <w:jc w:val="both"/>
        <w:rPr>
          <w:rFonts w:ascii="Arial" w:hAnsi="Arial" w:cs="Arial"/>
          <w:sz w:val="20"/>
          <w:szCs w:val="20"/>
        </w:rPr>
      </w:pPr>
      <w:r w:rsidRPr="00532F43">
        <w:rPr>
          <w:rFonts w:ascii="Arial" w:hAnsi="Arial" w:cs="Arial"/>
          <w:sz w:val="20"/>
          <w:szCs w:val="20"/>
        </w:rPr>
        <w:t xml:space="preserve">W dniach 22-23 października </w:t>
      </w:r>
      <w:r w:rsidR="00F000CA">
        <w:rPr>
          <w:rFonts w:ascii="Arial" w:hAnsi="Arial" w:cs="Arial"/>
          <w:sz w:val="20"/>
          <w:szCs w:val="20"/>
        </w:rPr>
        <w:t xml:space="preserve">2019 r. </w:t>
      </w:r>
      <w:r w:rsidRPr="00532F43">
        <w:rPr>
          <w:rFonts w:ascii="Arial" w:hAnsi="Arial" w:cs="Arial"/>
          <w:sz w:val="20"/>
          <w:szCs w:val="20"/>
        </w:rPr>
        <w:t xml:space="preserve">w Brnie odbyło się coroczne posiedzenie Polsko-Czeskiej Komisji ds. Wód Granicznych. Podsumowano najważniejsze zadania zrealizowane przez administracje obydwu krajów w odniesieniu do utrzymania cieków przygranicznych, planowania inwestycji, współpracy </w:t>
      </w:r>
      <w:r w:rsidR="00F000CA">
        <w:rPr>
          <w:rFonts w:ascii="Arial" w:hAnsi="Arial" w:cs="Arial"/>
          <w:sz w:val="20"/>
          <w:szCs w:val="20"/>
        </w:rPr>
        <w:br/>
      </w:r>
      <w:r w:rsidRPr="00532F43">
        <w:rPr>
          <w:rFonts w:ascii="Arial" w:hAnsi="Arial" w:cs="Arial"/>
          <w:sz w:val="20"/>
          <w:szCs w:val="20"/>
        </w:rPr>
        <w:t>w dziedzinie prognozowania hydrometeorologicznego i monitorowania jakości wód. Bieżąca współpraca na wodach granicznych jest realizowana w czterech polsko-czeskich tematycznych grupach roboczych. Grupy spotykają się regularnie w ciągu roku w celu wymiany informacji i koordynacji działań wyznaczonych przez Polsko-Czeską Komisję Wód Granicznych.</w:t>
      </w:r>
    </w:p>
    <w:p w14:paraId="13406559" w14:textId="5B80137D" w:rsidR="00734121" w:rsidRPr="00532F43" w:rsidRDefault="00734121" w:rsidP="00532F43">
      <w:pPr>
        <w:tabs>
          <w:tab w:val="left" w:pos="2127"/>
        </w:tabs>
        <w:spacing w:after="120" w:line="276" w:lineRule="auto"/>
        <w:jc w:val="both"/>
        <w:rPr>
          <w:rFonts w:ascii="Arial" w:hAnsi="Arial" w:cs="Arial"/>
          <w:sz w:val="20"/>
          <w:szCs w:val="20"/>
        </w:rPr>
      </w:pPr>
      <w:r w:rsidRPr="00532F43">
        <w:rPr>
          <w:rFonts w:ascii="Arial" w:hAnsi="Arial" w:cs="Arial"/>
          <w:sz w:val="20"/>
          <w:szCs w:val="20"/>
        </w:rPr>
        <w:t xml:space="preserve">W dniach 18-19 listopada </w:t>
      </w:r>
      <w:r w:rsidR="00F000CA">
        <w:rPr>
          <w:rFonts w:ascii="Arial" w:hAnsi="Arial" w:cs="Arial"/>
          <w:sz w:val="20"/>
          <w:szCs w:val="20"/>
        </w:rPr>
        <w:t xml:space="preserve">2019 r. </w:t>
      </w:r>
      <w:r w:rsidRPr="00532F43">
        <w:rPr>
          <w:rFonts w:ascii="Arial" w:hAnsi="Arial" w:cs="Arial"/>
          <w:sz w:val="20"/>
          <w:szCs w:val="20"/>
        </w:rPr>
        <w:t>w Brześciu odbyło się III posiedzenie Pols</w:t>
      </w:r>
      <w:r w:rsidR="00F000CA">
        <w:rPr>
          <w:rFonts w:ascii="Arial" w:hAnsi="Arial" w:cs="Arial"/>
          <w:sz w:val="20"/>
          <w:szCs w:val="20"/>
        </w:rPr>
        <w:t xml:space="preserve">ko-Białoruskiej grupy roboczej </w:t>
      </w:r>
      <w:r w:rsidRPr="00532F43">
        <w:rPr>
          <w:rFonts w:ascii="Arial" w:hAnsi="Arial" w:cs="Arial"/>
          <w:sz w:val="20"/>
          <w:szCs w:val="20"/>
        </w:rPr>
        <w:t xml:space="preserve">ds. odbudowy szlaku wodnego E40 na odcinku Dniepr-Wisła. Podczas posiedzenia przedyskutowano podjęte działania na rzecz rozwoju E40, zaproponowano rozważenie powołania międzynarodowej komisji ds. funkcjonowania E40 oraz przedstawiono koncepcję utworzenia regularnego połączenia wodnego śródlądowego na odcinku granicznym pomiędzy Brześciem (Białoruś) i Małaszewiczami (Polska). </w:t>
      </w:r>
    </w:p>
    <w:p w14:paraId="3E5D5DF8" w14:textId="1234F1C3" w:rsidR="003346D7" w:rsidRPr="000F468A" w:rsidRDefault="003346D7" w:rsidP="003C6ECA">
      <w:pPr>
        <w:pStyle w:val="Akapitzlist"/>
        <w:numPr>
          <w:ilvl w:val="0"/>
          <w:numId w:val="26"/>
        </w:numPr>
        <w:spacing w:after="120" w:line="276" w:lineRule="auto"/>
        <w:jc w:val="both"/>
        <w:rPr>
          <w:rFonts w:ascii="Arial" w:hAnsi="Arial" w:cs="Arial"/>
          <w:b/>
          <w:sz w:val="20"/>
          <w:szCs w:val="20"/>
        </w:rPr>
      </w:pPr>
      <w:r w:rsidRPr="000F468A">
        <w:rPr>
          <w:rFonts w:ascii="Arial" w:hAnsi="Arial" w:cs="Arial"/>
          <w:b/>
          <w:sz w:val="20"/>
          <w:szCs w:val="20"/>
        </w:rPr>
        <w:lastRenderedPageBreak/>
        <w:t>Program R</w:t>
      </w:r>
      <w:r w:rsidRPr="004C6CC5">
        <w:rPr>
          <w:rFonts w:ascii="Arial" w:hAnsi="Arial" w:cs="Arial"/>
          <w:b/>
          <w:sz w:val="20"/>
          <w:szCs w:val="20"/>
        </w:rPr>
        <w:t>o</w:t>
      </w:r>
      <w:r w:rsidRPr="000F468A">
        <w:rPr>
          <w:rFonts w:ascii="Arial" w:hAnsi="Arial" w:cs="Arial"/>
          <w:b/>
          <w:sz w:val="20"/>
          <w:szCs w:val="20"/>
        </w:rPr>
        <w:t>zwoju Drogi Wodnej Rzeki Wisły</w:t>
      </w:r>
    </w:p>
    <w:p w14:paraId="45746D01" w14:textId="1129142B" w:rsidR="003346D7" w:rsidRPr="004C6CC5" w:rsidRDefault="003346D7" w:rsidP="004661D5">
      <w:pPr>
        <w:spacing w:line="276" w:lineRule="auto"/>
        <w:jc w:val="both"/>
        <w:rPr>
          <w:rFonts w:ascii="Arial" w:hAnsi="Arial" w:cs="Arial"/>
          <w:noProof/>
          <w:sz w:val="20"/>
          <w:szCs w:val="20"/>
        </w:rPr>
      </w:pPr>
      <w:r w:rsidRPr="004C6CC5">
        <w:rPr>
          <w:rFonts w:ascii="Arial" w:hAnsi="Arial" w:cs="Arial"/>
          <w:noProof/>
          <w:sz w:val="20"/>
          <w:szCs w:val="20"/>
        </w:rPr>
        <w:t>W 2019 r. kontynuowane były prace nad opracowaniem Studium wykonalności dla drogi wodnej E-40: „Studium wykonalności dla modernizacji drogi wodnej E-40 dla rzeki Wisły na odcinku od Gdańska do Warszawy</w:t>
      </w:r>
      <w:r w:rsidR="004C6CC5">
        <w:rPr>
          <w:rFonts w:ascii="Arial" w:hAnsi="Arial" w:cs="Arial"/>
          <w:noProof/>
          <w:sz w:val="20"/>
          <w:szCs w:val="20"/>
        </w:rPr>
        <w:t xml:space="preserve"> i </w:t>
      </w:r>
      <w:r w:rsidRPr="004C6CC5">
        <w:rPr>
          <w:rFonts w:ascii="Arial" w:hAnsi="Arial" w:cs="Arial"/>
          <w:noProof/>
          <w:sz w:val="20"/>
          <w:szCs w:val="20"/>
        </w:rPr>
        <w:t>E-40 na odcinku od Warszawy do granicy Polska-Białoruś (Brześć) oraz drogi wodnej E-70 na odcinku od Wisły do Zalewu Wiślanego (do Elbląga)”. Celem opracowania jest m.in. szczegółowa analiza zasadności kompleksowego zagospodarowania wymienionych dróg wodnych oraz sprawdzenie, czy istnieją ograniczenia techniczne, środowiskowe, finansowe, organizacyjne, prawne</w:t>
      </w:r>
      <w:r w:rsidR="004C6CC5">
        <w:rPr>
          <w:rFonts w:ascii="Arial" w:hAnsi="Arial" w:cs="Arial"/>
          <w:noProof/>
          <w:sz w:val="20"/>
          <w:szCs w:val="20"/>
        </w:rPr>
        <w:t xml:space="preserve"> i </w:t>
      </w:r>
      <w:r w:rsidRPr="004C6CC5">
        <w:rPr>
          <w:rFonts w:ascii="Arial" w:hAnsi="Arial" w:cs="Arial"/>
          <w:noProof/>
          <w:sz w:val="20"/>
          <w:szCs w:val="20"/>
        </w:rPr>
        <w:t>inne, które uniemożliwiają jego realizację. Studium ma też określić zakres projektowanego przedsięwzięcia</w:t>
      </w:r>
      <w:r w:rsidR="004C6CC5">
        <w:rPr>
          <w:rFonts w:ascii="Arial" w:hAnsi="Arial" w:cs="Arial"/>
          <w:noProof/>
          <w:sz w:val="20"/>
          <w:szCs w:val="20"/>
        </w:rPr>
        <w:t xml:space="preserve"> i </w:t>
      </w:r>
      <w:r w:rsidRPr="004C6CC5">
        <w:rPr>
          <w:rFonts w:ascii="Arial" w:hAnsi="Arial" w:cs="Arial"/>
          <w:noProof/>
          <w:sz w:val="20"/>
          <w:szCs w:val="20"/>
        </w:rPr>
        <w:t>jego główne parametry techniczne. Celem dokumentu jest też osza</w:t>
      </w:r>
      <w:r w:rsidR="004D05BB">
        <w:rPr>
          <w:rFonts w:ascii="Arial" w:hAnsi="Arial" w:cs="Arial"/>
          <w:noProof/>
          <w:sz w:val="20"/>
          <w:szCs w:val="20"/>
        </w:rPr>
        <w:t>cowanie nakładów inwestycyjnych</w:t>
      </w:r>
      <w:r w:rsidRPr="004C6CC5">
        <w:rPr>
          <w:rFonts w:ascii="Arial" w:hAnsi="Arial" w:cs="Arial"/>
          <w:noProof/>
          <w:sz w:val="20"/>
          <w:szCs w:val="20"/>
        </w:rPr>
        <w:t xml:space="preserve"> niezbędnych do realizacji programu oraz określenie harmonogramu wydatków</w:t>
      </w:r>
      <w:r w:rsidR="004C6CC5">
        <w:rPr>
          <w:rFonts w:ascii="Arial" w:hAnsi="Arial" w:cs="Arial"/>
          <w:noProof/>
          <w:sz w:val="20"/>
          <w:szCs w:val="20"/>
        </w:rPr>
        <w:t xml:space="preserve"> i </w:t>
      </w:r>
      <w:r w:rsidRPr="004C6CC5">
        <w:rPr>
          <w:rFonts w:ascii="Arial" w:hAnsi="Arial" w:cs="Arial"/>
          <w:noProof/>
          <w:sz w:val="20"/>
          <w:szCs w:val="20"/>
        </w:rPr>
        <w:t>potencjalnych źródeł finansowania. Studium ma też zawierać analizę popytu na transport śródlądowy, towarowy</w:t>
      </w:r>
      <w:r w:rsidR="004D05BB">
        <w:rPr>
          <w:rFonts w:ascii="Arial" w:hAnsi="Arial" w:cs="Arial"/>
          <w:noProof/>
          <w:sz w:val="20"/>
          <w:szCs w:val="20"/>
        </w:rPr>
        <w:t xml:space="preserve"> i </w:t>
      </w:r>
      <w:r w:rsidRPr="004C6CC5">
        <w:rPr>
          <w:rFonts w:ascii="Arial" w:hAnsi="Arial" w:cs="Arial"/>
          <w:noProof/>
          <w:sz w:val="20"/>
          <w:szCs w:val="20"/>
        </w:rPr>
        <w:t>pasażerski dla dróg wodnych będących przedmiotem opracowania, tak</w:t>
      </w:r>
      <w:r w:rsidR="004C6CC5">
        <w:rPr>
          <w:rFonts w:ascii="Arial" w:hAnsi="Arial" w:cs="Arial"/>
          <w:noProof/>
          <w:sz w:val="20"/>
          <w:szCs w:val="20"/>
        </w:rPr>
        <w:t xml:space="preserve"> w </w:t>
      </w:r>
      <w:r w:rsidRPr="004C6CC5">
        <w:rPr>
          <w:rFonts w:ascii="Arial" w:hAnsi="Arial" w:cs="Arial"/>
          <w:noProof/>
          <w:sz w:val="20"/>
          <w:szCs w:val="20"/>
        </w:rPr>
        <w:t>aspekcie krajowym, jak</w:t>
      </w:r>
      <w:r w:rsidR="004C6CC5">
        <w:rPr>
          <w:rFonts w:ascii="Arial" w:hAnsi="Arial" w:cs="Arial"/>
          <w:noProof/>
          <w:sz w:val="20"/>
          <w:szCs w:val="20"/>
        </w:rPr>
        <w:t xml:space="preserve"> i </w:t>
      </w:r>
      <w:r w:rsidRPr="004C6CC5">
        <w:rPr>
          <w:rFonts w:ascii="Arial" w:hAnsi="Arial" w:cs="Arial"/>
          <w:noProof/>
          <w:sz w:val="20"/>
          <w:szCs w:val="20"/>
        </w:rPr>
        <w:t xml:space="preserve">europejskim. Zatwierdzony zaktualizowany Harmonogram przewiduje rozpoczęcie procedury odbiorowej Studium </w:t>
      </w:r>
      <w:r w:rsidR="00E715C0">
        <w:rPr>
          <w:rFonts w:ascii="Arial" w:hAnsi="Arial" w:cs="Arial"/>
          <w:noProof/>
          <w:sz w:val="20"/>
          <w:szCs w:val="20"/>
        </w:rPr>
        <w:t xml:space="preserve">w dniu </w:t>
      </w:r>
      <w:r w:rsidRPr="004C6CC5">
        <w:rPr>
          <w:rFonts w:ascii="Arial" w:hAnsi="Arial" w:cs="Arial"/>
          <w:noProof/>
          <w:sz w:val="20"/>
          <w:szCs w:val="20"/>
        </w:rPr>
        <w:t>30 kwietnia 2020 r.</w:t>
      </w:r>
    </w:p>
    <w:p w14:paraId="14E68AB3" w14:textId="6B63A5A7" w:rsidR="00523D1F" w:rsidRPr="00523D1F" w:rsidRDefault="007C59E4" w:rsidP="003E4710">
      <w:pPr>
        <w:pStyle w:val="Nagwek2"/>
        <w:spacing w:before="120" w:after="120"/>
        <w:jc w:val="both"/>
        <w:rPr>
          <w:rFonts w:ascii="Arial" w:hAnsi="Arial" w:cs="Arial"/>
          <w:b/>
          <w:color w:val="auto"/>
          <w:sz w:val="20"/>
          <w:szCs w:val="20"/>
        </w:rPr>
      </w:pPr>
      <w:bookmarkStart w:id="9" w:name="_Toc72745031"/>
      <w:r w:rsidRPr="006E6BF4">
        <w:rPr>
          <w:rFonts w:ascii="Arial" w:hAnsi="Arial" w:cs="Arial"/>
          <w:b/>
          <w:color w:val="auto"/>
          <w:sz w:val="20"/>
          <w:szCs w:val="20"/>
        </w:rPr>
        <w:t xml:space="preserve">Działania inwestycyjne </w:t>
      </w:r>
      <w:r w:rsidR="00CC1166" w:rsidRPr="006E6BF4">
        <w:rPr>
          <w:rFonts w:ascii="Arial" w:hAnsi="Arial" w:cs="Arial"/>
          <w:b/>
          <w:color w:val="auto"/>
          <w:sz w:val="20"/>
          <w:szCs w:val="20"/>
        </w:rPr>
        <w:t>na rzecz rozwoju infrastruktury oraz dostępności do portów</w:t>
      </w:r>
      <w:r w:rsidR="00A2143A" w:rsidRPr="006E6BF4">
        <w:rPr>
          <w:rFonts w:ascii="Arial" w:hAnsi="Arial" w:cs="Arial"/>
          <w:b/>
          <w:color w:val="auto"/>
          <w:sz w:val="20"/>
          <w:szCs w:val="20"/>
        </w:rPr>
        <w:t>.</w:t>
      </w:r>
      <w:bookmarkEnd w:id="9"/>
    </w:p>
    <w:p w14:paraId="18A4AF0E" w14:textId="109FA5D5" w:rsidR="008B0AD4" w:rsidRDefault="00625BCD" w:rsidP="003E4710">
      <w:pPr>
        <w:spacing w:before="120" w:after="120" w:line="276" w:lineRule="auto"/>
        <w:jc w:val="both"/>
        <w:rPr>
          <w:rFonts w:ascii="Arial" w:hAnsi="Arial" w:cs="Arial"/>
          <w:sz w:val="20"/>
          <w:szCs w:val="20"/>
        </w:rPr>
      </w:pPr>
      <w:r>
        <w:rPr>
          <w:rFonts w:ascii="Arial" w:hAnsi="Arial" w:cs="Arial"/>
          <w:sz w:val="20"/>
          <w:szCs w:val="20"/>
        </w:rPr>
        <w:t>W</w:t>
      </w:r>
      <w:r w:rsidR="007C59E4" w:rsidRPr="000F468A">
        <w:rPr>
          <w:rFonts w:ascii="Arial" w:hAnsi="Arial" w:cs="Arial"/>
          <w:sz w:val="20"/>
          <w:szCs w:val="20"/>
        </w:rPr>
        <w:t xml:space="preserve"> </w:t>
      </w:r>
      <w:r w:rsidR="00601D23">
        <w:rPr>
          <w:rFonts w:ascii="Arial" w:hAnsi="Arial" w:cs="Arial"/>
          <w:sz w:val="20"/>
          <w:szCs w:val="20"/>
        </w:rPr>
        <w:t>„</w:t>
      </w:r>
      <w:r w:rsidR="007C59E4" w:rsidRPr="000F468A">
        <w:rPr>
          <w:rFonts w:ascii="Arial" w:hAnsi="Arial" w:cs="Arial"/>
          <w:sz w:val="20"/>
          <w:szCs w:val="20"/>
        </w:rPr>
        <w:t>Strategii Zrównoważonego Rozwoju Transportu do 2030 roku</w:t>
      </w:r>
      <w:r w:rsidR="00A01558">
        <w:rPr>
          <w:rFonts w:ascii="Arial" w:hAnsi="Arial" w:cs="Arial"/>
          <w:sz w:val="20"/>
          <w:szCs w:val="20"/>
        </w:rPr>
        <w:t>”</w:t>
      </w:r>
      <w:r w:rsidR="007C59E4" w:rsidRPr="000F468A">
        <w:rPr>
          <w:rFonts w:ascii="Arial" w:hAnsi="Arial" w:cs="Arial"/>
          <w:sz w:val="20"/>
          <w:szCs w:val="20"/>
        </w:rPr>
        <w:t xml:space="preserve"> (SRT2030</w:t>
      </w:r>
      <w:r w:rsidR="007C59E4">
        <w:rPr>
          <w:rFonts w:ascii="Arial" w:hAnsi="Arial" w:cs="Arial"/>
          <w:sz w:val="20"/>
          <w:szCs w:val="20"/>
        </w:rPr>
        <w:t>,</w:t>
      </w:r>
      <w:r w:rsidR="007C59E4" w:rsidRPr="000F468A">
        <w:rPr>
          <w:rFonts w:ascii="Arial" w:hAnsi="Arial" w:cs="Arial"/>
          <w:sz w:val="20"/>
          <w:szCs w:val="20"/>
        </w:rPr>
        <w:t>) stanowiącej załącznik do uchwały nr 105 Rady Ministrów</w:t>
      </w:r>
      <w:r w:rsidR="009F11D3">
        <w:rPr>
          <w:rFonts w:ascii="Arial" w:hAnsi="Arial" w:cs="Arial"/>
          <w:sz w:val="20"/>
          <w:szCs w:val="20"/>
        </w:rPr>
        <w:t xml:space="preserve"> z </w:t>
      </w:r>
      <w:r w:rsidR="007C59E4" w:rsidRPr="000F468A">
        <w:rPr>
          <w:rFonts w:ascii="Arial" w:hAnsi="Arial" w:cs="Arial"/>
          <w:sz w:val="20"/>
          <w:szCs w:val="20"/>
        </w:rPr>
        <w:t>dnia 24 września 2019 r.</w:t>
      </w:r>
      <w:r w:rsidR="008B5654">
        <w:rPr>
          <w:rFonts w:ascii="Arial" w:hAnsi="Arial" w:cs="Arial"/>
          <w:sz w:val="20"/>
          <w:szCs w:val="20"/>
        </w:rPr>
        <w:t xml:space="preserve"> </w:t>
      </w:r>
      <w:r w:rsidR="007C59E4">
        <w:rPr>
          <w:rFonts w:ascii="Arial" w:hAnsi="Arial" w:cs="Arial"/>
          <w:sz w:val="20"/>
          <w:szCs w:val="20"/>
        </w:rPr>
        <w:t>w </w:t>
      </w:r>
      <w:r w:rsidR="007C59E4" w:rsidRPr="000F468A">
        <w:rPr>
          <w:rFonts w:ascii="Arial" w:hAnsi="Arial" w:cs="Arial"/>
          <w:sz w:val="20"/>
          <w:szCs w:val="20"/>
        </w:rPr>
        <w:t>sprawie</w:t>
      </w:r>
      <w:r w:rsidR="007C59E4">
        <w:rPr>
          <w:rFonts w:ascii="Arial" w:hAnsi="Arial" w:cs="Arial"/>
          <w:sz w:val="20"/>
          <w:szCs w:val="20"/>
        </w:rPr>
        <w:t xml:space="preserve"> przyjęcia „Strategii Zrównoważo</w:t>
      </w:r>
      <w:r w:rsidR="007C59E4" w:rsidRPr="000F468A">
        <w:rPr>
          <w:rFonts w:ascii="Arial" w:hAnsi="Arial" w:cs="Arial"/>
          <w:sz w:val="20"/>
          <w:szCs w:val="20"/>
        </w:rPr>
        <w:t>nego Rozwoju Transportu do 2030 roku (M.P poz. 1054)</w:t>
      </w:r>
      <w:r w:rsidR="007C59E4">
        <w:rPr>
          <w:rFonts w:ascii="Arial" w:hAnsi="Arial" w:cs="Arial"/>
          <w:sz w:val="20"/>
          <w:szCs w:val="20"/>
        </w:rPr>
        <w:t>,</w:t>
      </w:r>
      <w:r w:rsidR="007C59E4" w:rsidRPr="000F468A">
        <w:rPr>
          <w:rFonts w:ascii="Arial" w:hAnsi="Arial" w:cs="Arial"/>
          <w:sz w:val="20"/>
          <w:szCs w:val="20"/>
        </w:rPr>
        <w:t xml:space="preserve"> ujęto</w:t>
      </w:r>
      <w:r w:rsidR="007C59E4">
        <w:rPr>
          <w:rFonts w:ascii="Arial" w:hAnsi="Arial" w:cs="Arial"/>
          <w:sz w:val="20"/>
          <w:szCs w:val="20"/>
        </w:rPr>
        <w:t xml:space="preserve"> w </w:t>
      </w:r>
      <w:r w:rsidR="007C59E4" w:rsidRPr="000F468A">
        <w:rPr>
          <w:rFonts w:ascii="Arial" w:hAnsi="Arial" w:cs="Arial"/>
          <w:sz w:val="20"/>
          <w:szCs w:val="20"/>
        </w:rPr>
        <w:t>ramach polityki morskiej szereg działań</w:t>
      </w:r>
      <w:r w:rsidR="007C59E4">
        <w:rPr>
          <w:rFonts w:ascii="Arial" w:hAnsi="Arial" w:cs="Arial"/>
          <w:sz w:val="20"/>
          <w:szCs w:val="20"/>
        </w:rPr>
        <w:t xml:space="preserve"> i </w:t>
      </w:r>
      <w:r w:rsidR="007C59E4" w:rsidRPr="000F468A">
        <w:rPr>
          <w:rFonts w:ascii="Arial" w:hAnsi="Arial" w:cs="Arial"/>
          <w:sz w:val="20"/>
          <w:szCs w:val="20"/>
        </w:rPr>
        <w:t>projektów strategicznych</w:t>
      </w:r>
      <w:r w:rsidR="007C59E4">
        <w:rPr>
          <w:rFonts w:ascii="Arial" w:hAnsi="Arial" w:cs="Arial"/>
          <w:sz w:val="20"/>
          <w:szCs w:val="20"/>
        </w:rPr>
        <w:t xml:space="preserve"> w </w:t>
      </w:r>
      <w:r w:rsidR="007C59E4" w:rsidRPr="000F468A">
        <w:rPr>
          <w:rFonts w:ascii="Arial" w:hAnsi="Arial" w:cs="Arial"/>
          <w:sz w:val="20"/>
          <w:szCs w:val="20"/>
        </w:rPr>
        <w:t xml:space="preserve">ramach </w:t>
      </w:r>
      <w:r w:rsidR="00A412F7">
        <w:rPr>
          <w:rFonts w:ascii="Arial" w:hAnsi="Arial" w:cs="Arial"/>
          <w:sz w:val="20"/>
          <w:szCs w:val="20"/>
        </w:rPr>
        <w:t xml:space="preserve">poszczególnych </w:t>
      </w:r>
      <w:r w:rsidR="007C59E4" w:rsidRPr="000F468A">
        <w:rPr>
          <w:rFonts w:ascii="Arial" w:hAnsi="Arial" w:cs="Arial"/>
          <w:sz w:val="20"/>
          <w:szCs w:val="20"/>
        </w:rPr>
        <w:t>kierunków interwencji. Zostało to przygotowane</w:t>
      </w:r>
      <w:r w:rsidR="007C59E4">
        <w:rPr>
          <w:rFonts w:ascii="Arial" w:hAnsi="Arial" w:cs="Arial"/>
          <w:sz w:val="20"/>
          <w:szCs w:val="20"/>
        </w:rPr>
        <w:t xml:space="preserve"> w </w:t>
      </w:r>
      <w:r w:rsidR="007C59E4" w:rsidRPr="000F468A">
        <w:rPr>
          <w:rFonts w:ascii="Arial" w:hAnsi="Arial" w:cs="Arial"/>
          <w:sz w:val="20"/>
          <w:szCs w:val="20"/>
        </w:rPr>
        <w:t>ścisłej współpracy</w:t>
      </w:r>
      <w:r w:rsidR="0066033F">
        <w:rPr>
          <w:rFonts w:ascii="Arial" w:hAnsi="Arial" w:cs="Arial"/>
          <w:sz w:val="20"/>
          <w:szCs w:val="20"/>
        </w:rPr>
        <w:t xml:space="preserve"> z </w:t>
      </w:r>
      <w:r w:rsidR="007C59E4" w:rsidRPr="000F468A">
        <w:rPr>
          <w:rFonts w:ascii="Arial" w:hAnsi="Arial" w:cs="Arial"/>
          <w:sz w:val="20"/>
          <w:szCs w:val="20"/>
        </w:rPr>
        <w:t>MGMiŻŚ</w:t>
      </w:r>
      <w:r w:rsidR="007C59E4">
        <w:rPr>
          <w:rFonts w:ascii="Arial" w:hAnsi="Arial" w:cs="Arial"/>
          <w:sz w:val="20"/>
          <w:szCs w:val="20"/>
        </w:rPr>
        <w:t xml:space="preserve"> i </w:t>
      </w:r>
      <w:r w:rsidR="007C59E4" w:rsidRPr="000F468A">
        <w:rPr>
          <w:rFonts w:ascii="Arial" w:hAnsi="Arial" w:cs="Arial"/>
          <w:sz w:val="20"/>
          <w:szCs w:val="20"/>
        </w:rPr>
        <w:t>odnosi się m.in. do rozwoju infrastruktury polskich portów morskich, poprawy parametrów szlaków wodnych, lepszego powiązania transportu morskiego</w:t>
      </w:r>
      <w:r w:rsidR="007C59E4">
        <w:rPr>
          <w:rFonts w:ascii="Arial" w:hAnsi="Arial" w:cs="Arial"/>
          <w:sz w:val="20"/>
          <w:szCs w:val="20"/>
        </w:rPr>
        <w:t xml:space="preserve"> z </w:t>
      </w:r>
      <w:r w:rsidR="007C59E4" w:rsidRPr="000F468A">
        <w:rPr>
          <w:rFonts w:ascii="Arial" w:hAnsi="Arial" w:cs="Arial"/>
          <w:sz w:val="20"/>
          <w:szCs w:val="20"/>
        </w:rPr>
        <w:t>transportem od strony lądu, poprawy standardów bezpieczeństwa</w:t>
      </w:r>
      <w:r w:rsidR="007C59E4">
        <w:rPr>
          <w:rFonts w:ascii="Arial" w:hAnsi="Arial" w:cs="Arial"/>
          <w:sz w:val="20"/>
          <w:szCs w:val="20"/>
        </w:rPr>
        <w:t xml:space="preserve"> i </w:t>
      </w:r>
      <w:r w:rsidR="007C59E4" w:rsidRPr="000F468A">
        <w:rPr>
          <w:rFonts w:ascii="Arial" w:hAnsi="Arial" w:cs="Arial"/>
          <w:sz w:val="20"/>
          <w:szCs w:val="20"/>
        </w:rPr>
        <w:t>systemów wspomagających, zwiększenia atrakcyjności usług polskich przedsiębiorców operujących</w:t>
      </w:r>
      <w:r w:rsidR="007C59E4">
        <w:rPr>
          <w:rFonts w:ascii="Arial" w:hAnsi="Arial" w:cs="Arial"/>
          <w:sz w:val="20"/>
          <w:szCs w:val="20"/>
        </w:rPr>
        <w:t xml:space="preserve"> w </w:t>
      </w:r>
      <w:r w:rsidR="007C59E4" w:rsidRPr="000F468A">
        <w:rPr>
          <w:rFonts w:ascii="Arial" w:hAnsi="Arial" w:cs="Arial"/>
          <w:sz w:val="20"/>
          <w:szCs w:val="20"/>
        </w:rPr>
        <w:t>ramach transportu morskiego, zwiększenia potencjału polskich armatorów morskich, unowocześniania</w:t>
      </w:r>
      <w:r w:rsidR="0066033F">
        <w:rPr>
          <w:rFonts w:ascii="Arial" w:hAnsi="Arial" w:cs="Arial"/>
          <w:sz w:val="20"/>
          <w:szCs w:val="20"/>
        </w:rPr>
        <w:t xml:space="preserve"> i </w:t>
      </w:r>
      <w:r w:rsidR="007C59E4" w:rsidRPr="000F468A">
        <w:rPr>
          <w:rFonts w:ascii="Arial" w:hAnsi="Arial" w:cs="Arial"/>
          <w:sz w:val="20"/>
          <w:szCs w:val="20"/>
        </w:rPr>
        <w:t>cyfryzacji transportu morskiego, zmniejszenia presji oddziaływania transportu morskiego na środowisko naturalne, zapewnienia odpowiedniej jakości kadry pracowników</w:t>
      </w:r>
      <w:r w:rsidR="000142BA">
        <w:rPr>
          <w:rFonts w:ascii="Arial" w:hAnsi="Arial" w:cs="Arial"/>
          <w:sz w:val="20"/>
          <w:szCs w:val="20"/>
        </w:rPr>
        <w:t>,</w:t>
      </w:r>
      <w:r w:rsidR="007C59E4" w:rsidRPr="000F468A">
        <w:rPr>
          <w:rFonts w:ascii="Arial" w:hAnsi="Arial" w:cs="Arial"/>
          <w:sz w:val="20"/>
          <w:szCs w:val="20"/>
        </w:rPr>
        <w:t xml:space="preserve"> czy też stworzenia instrumentów prawnych</w:t>
      </w:r>
      <w:r w:rsidR="007C59E4">
        <w:rPr>
          <w:rFonts w:ascii="Arial" w:hAnsi="Arial" w:cs="Arial"/>
          <w:sz w:val="20"/>
          <w:szCs w:val="20"/>
        </w:rPr>
        <w:t xml:space="preserve"> i </w:t>
      </w:r>
      <w:r w:rsidR="007C59E4" w:rsidRPr="000F468A">
        <w:rPr>
          <w:rFonts w:ascii="Arial" w:hAnsi="Arial" w:cs="Arial"/>
          <w:sz w:val="20"/>
          <w:szCs w:val="20"/>
        </w:rPr>
        <w:t>fi</w:t>
      </w:r>
      <w:r w:rsidR="007C59E4">
        <w:rPr>
          <w:rFonts w:ascii="Arial" w:hAnsi="Arial" w:cs="Arial"/>
          <w:sz w:val="20"/>
          <w:szCs w:val="20"/>
        </w:rPr>
        <w:t xml:space="preserve">nansowych służących powyższym. </w:t>
      </w:r>
      <w:r w:rsidR="007C59E4" w:rsidRPr="000F468A">
        <w:rPr>
          <w:rFonts w:ascii="Arial" w:hAnsi="Arial" w:cs="Arial"/>
          <w:sz w:val="20"/>
          <w:szCs w:val="20"/>
        </w:rPr>
        <w:t>Wśród projektów strategicznych</w:t>
      </w:r>
      <w:r w:rsidR="003145A7">
        <w:rPr>
          <w:rFonts w:ascii="Arial" w:hAnsi="Arial" w:cs="Arial"/>
          <w:sz w:val="20"/>
          <w:szCs w:val="20"/>
        </w:rPr>
        <w:t xml:space="preserve"> w </w:t>
      </w:r>
      <w:r w:rsidR="007C59E4" w:rsidRPr="000F468A">
        <w:rPr>
          <w:rFonts w:ascii="Arial" w:hAnsi="Arial" w:cs="Arial"/>
          <w:sz w:val="20"/>
          <w:szCs w:val="20"/>
        </w:rPr>
        <w:t>SRT2030 wymieniono: Program rozwoju polskich portów morskich do 2030 roku, Program wieloletni pn. „Budowa drogi wodnej łączącej Zalew Wiślany</w:t>
      </w:r>
      <w:r w:rsidR="00A01558">
        <w:rPr>
          <w:rFonts w:ascii="Arial" w:hAnsi="Arial" w:cs="Arial"/>
          <w:sz w:val="20"/>
          <w:szCs w:val="20"/>
        </w:rPr>
        <w:t xml:space="preserve"> z </w:t>
      </w:r>
      <w:r w:rsidR="007C59E4" w:rsidRPr="000F468A">
        <w:rPr>
          <w:rFonts w:ascii="Arial" w:hAnsi="Arial" w:cs="Arial"/>
          <w:sz w:val="20"/>
          <w:szCs w:val="20"/>
        </w:rPr>
        <w:t>Zatoką Gdańską na lata 2016</w:t>
      </w:r>
      <w:r w:rsidR="0066033F">
        <w:rPr>
          <w:rFonts w:ascii="Arial" w:hAnsi="Arial" w:cs="Arial"/>
          <w:sz w:val="20"/>
          <w:szCs w:val="20"/>
        </w:rPr>
        <w:t xml:space="preserve"> </w:t>
      </w:r>
      <w:r w:rsidR="007C59E4" w:rsidRPr="000F468A">
        <w:rPr>
          <w:rFonts w:ascii="Arial" w:hAnsi="Arial" w:cs="Arial"/>
          <w:sz w:val="20"/>
          <w:szCs w:val="20"/>
        </w:rPr>
        <w:t>-</w:t>
      </w:r>
      <w:r w:rsidR="0066033F">
        <w:rPr>
          <w:rFonts w:ascii="Arial" w:hAnsi="Arial" w:cs="Arial"/>
          <w:sz w:val="20"/>
          <w:szCs w:val="20"/>
        </w:rPr>
        <w:t xml:space="preserve"> </w:t>
      </w:r>
      <w:r w:rsidR="007C59E4" w:rsidRPr="000F468A">
        <w:rPr>
          <w:rFonts w:ascii="Arial" w:hAnsi="Arial" w:cs="Arial"/>
          <w:sz w:val="20"/>
          <w:szCs w:val="20"/>
        </w:rPr>
        <w:t>2022”, Port Centralny</w:t>
      </w:r>
      <w:r w:rsidR="007C59E4">
        <w:rPr>
          <w:rFonts w:ascii="Arial" w:hAnsi="Arial" w:cs="Arial"/>
          <w:sz w:val="20"/>
          <w:szCs w:val="20"/>
        </w:rPr>
        <w:t xml:space="preserve"> w </w:t>
      </w:r>
      <w:r w:rsidR="007C59E4" w:rsidRPr="000F468A">
        <w:rPr>
          <w:rFonts w:ascii="Arial" w:hAnsi="Arial" w:cs="Arial"/>
          <w:sz w:val="20"/>
          <w:szCs w:val="20"/>
        </w:rPr>
        <w:t>Gdańsku, Port Zewnętrzny</w:t>
      </w:r>
      <w:r w:rsidR="007C59E4">
        <w:rPr>
          <w:rFonts w:ascii="Arial" w:hAnsi="Arial" w:cs="Arial"/>
          <w:sz w:val="20"/>
          <w:szCs w:val="20"/>
        </w:rPr>
        <w:t xml:space="preserve"> w </w:t>
      </w:r>
      <w:r w:rsidR="007C59E4" w:rsidRPr="000F468A">
        <w:rPr>
          <w:rFonts w:ascii="Arial" w:hAnsi="Arial" w:cs="Arial"/>
          <w:sz w:val="20"/>
          <w:szCs w:val="20"/>
        </w:rPr>
        <w:t>Gdyni, Terminal kontenerowy</w:t>
      </w:r>
      <w:r w:rsidR="007C59E4">
        <w:rPr>
          <w:rFonts w:ascii="Arial" w:hAnsi="Arial" w:cs="Arial"/>
          <w:sz w:val="20"/>
          <w:szCs w:val="20"/>
        </w:rPr>
        <w:t xml:space="preserve"> w </w:t>
      </w:r>
      <w:r w:rsidR="0004652A">
        <w:rPr>
          <w:rFonts w:ascii="Arial" w:hAnsi="Arial" w:cs="Arial"/>
          <w:sz w:val="20"/>
          <w:szCs w:val="20"/>
        </w:rPr>
        <w:t>Świnoujściu, Modernizację</w:t>
      </w:r>
      <w:r w:rsidR="007C59E4" w:rsidRPr="000F468A">
        <w:rPr>
          <w:rFonts w:ascii="Arial" w:hAnsi="Arial" w:cs="Arial"/>
          <w:sz w:val="20"/>
          <w:szCs w:val="20"/>
        </w:rPr>
        <w:t xml:space="preserve"> toru wodnego Świnoujście-Szczecin do </w:t>
      </w:r>
      <w:r w:rsidR="0066033F">
        <w:rPr>
          <w:rFonts w:ascii="Arial" w:hAnsi="Arial" w:cs="Arial"/>
          <w:sz w:val="20"/>
          <w:szCs w:val="20"/>
        </w:rPr>
        <w:t xml:space="preserve">12,5 m oraz </w:t>
      </w:r>
      <w:r w:rsidR="007C59E4">
        <w:rPr>
          <w:rFonts w:ascii="Arial" w:hAnsi="Arial" w:cs="Arial"/>
          <w:sz w:val="20"/>
          <w:szCs w:val="20"/>
        </w:rPr>
        <w:t>Program wieloletni pn. „</w:t>
      </w:r>
      <w:r w:rsidR="007C59E4" w:rsidRPr="000F468A">
        <w:rPr>
          <w:rFonts w:ascii="Arial" w:hAnsi="Arial" w:cs="Arial"/>
          <w:sz w:val="20"/>
          <w:szCs w:val="20"/>
        </w:rPr>
        <w:t>Utrzymanie dróg wodnych</w:t>
      </w:r>
      <w:r w:rsidR="007C59E4">
        <w:rPr>
          <w:rFonts w:ascii="Arial" w:hAnsi="Arial" w:cs="Arial"/>
          <w:sz w:val="20"/>
          <w:szCs w:val="20"/>
        </w:rPr>
        <w:t xml:space="preserve"> w </w:t>
      </w:r>
      <w:r w:rsidR="007C59E4" w:rsidRPr="000F468A">
        <w:rPr>
          <w:rFonts w:ascii="Arial" w:hAnsi="Arial" w:cs="Arial"/>
          <w:sz w:val="20"/>
          <w:szCs w:val="20"/>
        </w:rPr>
        <w:t>rejonie ujścia Odry</w:t>
      </w:r>
      <w:r w:rsidR="007C59E4">
        <w:rPr>
          <w:rFonts w:ascii="Arial" w:hAnsi="Arial" w:cs="Arial"/>
          <w:sz w:val="20"/>
          <w:szCs w:val="20"/>
        </w:rPr>
        <w:t xml:space="preserve"> w </w:t>
      </w:r>
      <w:r w:rsidR="007C59E4" w:rsidRPr="000F468A">
        <w:rPr>
          <w:rFonts w:ascii="Arial" w:hAnsi="Arial" w:cs="Arial"/>
          <w:sz w:val="20"/>
          <w:szCs w:val="20"/>
        </w:rPr>
        <w:t>latach 2019-2028".</w:t>
      </w:r>
    </w:p>
    <w:p w14:paraId="2BE3D2C3" w14:textId="744AAC1F" w:rsidR="000D5B08" w:rsidRPr="00FE1FC2" w:rsidRDefault="00D17C61" w:rsidP="00711A33">
      <w:pPr>
        <w:tabs>
          <w:tab w:val="left" w:pos="284"/>
        </w:tabs>
        <w:spacing w:before="120" w:after="120" w:line="276" w:lineRule="auto"/>
        <w:jc w:val="both"/>
        <w:rPr>
          <w:rFonts w:ascii="Arial" w:hAnsi="Arial" w:cs="Arial"/>
          <w:sz w:val="20"/>
          <w:szCs w:val="20"/>
        </w:rPr>
      </w:pPr>
      <w:r w:rsidRPr="00A2143A">
        <w:rPr>
          <w:rFonts w:ascii="Arial" w:hAnsi="Arial" w:cs="Arial"/>
          <w:sz w:val="20"/>
          <w:szCs w:val="20"/>
        </w:rPr>
        <w:t>Ministerstwo Infrastruktury</w:t>
      </w:r>
      <w:r w:rsidRPr="00FE1FC2">
        <w:rPr>
          <w:rFonts w:ascii="Arial" w:hAnsi="Arial" w:cs="Arial"/>
          <w:sz w:val="20"/>
          <w:szCs w:val="20"/>
        </w:rPr>
        <w:t xml:space="preserve"> podejmował</w:t>
      </w:r>
      <w:r w:rsidR="000D5B08" w:rsidRPr="00FE1FC2">
        <w:rPr>
          <w:rFonts w:ascii="Arial" w:hAnsi="Arial" w:cs="Arial"/>
          <w:sz w:val="20"/>
          <w:szCs w:val="20"/>
        </w:rPr>
        <w:t xml:space="preserve">o działania na rzecz zwiększenia dostępności do portów </w:t>
      </w:r>
      <w:r w:rsidR="00222271" w:rsidRPr="00FE1FC2">
        <w:rPr>
          <w:rFonts w:ascii="Arial" w:hAnsi="Arial" w:cs="Arial"/>
          <w:sz w:val="20"/>
          <w:szCs w:val="20"/>
        </w:rPr>
        <w:t xml:space="preserve">m.in. </w:t>
      </w:r>
      <w:r w:rsidR="00DC6F84">
        <w:rPr>
          <w:rFonts w:ascii="Arial" w:hAnsi="Arial" w:cs="Arial"/>
          <w:sz w:val="20"/>
          <w:szCs w:val="20"/>
        </w:rPr>
        <w:br/>
      </w:r>
      <w:r w:rsidR="000D5B08" w:rsidRPr="00FE1FC2">
        <w:rPr>
          <w:rFonts w:ascii="Arial" w:hAnsi="Arial" w:cs="Arial"/>
          <w:sz w:val="20"/>
          <w:szCs w:val="20"/>
        </w:rPr>
        <w:t xml:space="preserve">w zakresie infrastruktury drogowej </w:t>
      </w:r>
      <w:r w:rsidR="00222271" w:rsidRPr="00FE1FC2">
        <w:rPr>
          <w:rFonts w:ascii="Arial" w:hAnsi="Arial" w:cs="Arial"/>
          <w:sz w:val="20"/>
          <w:szCs w:val="20"/>
        </w:rPr>
        <w:t>(</w:t>
      </w:r>
      <w:r w:rsidR="000D5B08" w:rsidRPr="00FE1FC2">
        <w:rPr>
          <w:rFonts w:ascii="Arial" w:hAnsi="Arial" w:cs="Arial"/>
          <w:sz w:val="20"/>
          <w:szCs w:val="20"/>
        </w:rPr>
        <w:t>budowa autostrad i dróg ekspresowych</w:t>
      </w:r>
      <w:r w:rsidR="00222271" w:rsidRPr="00FE1FC2">
        <w:rPr>
          <w:rFonts w:ascii="Arial" w:hAnsi="Arial" w:cs="Arial"/>
          <w:sz w:val="20"/>
          <w:szCs w:val="20"/>
        </w:rPr>
        <w:t>)</w:t>
      </w:r>
      <w:r w:rsidR="000D5B08" w:rsidRPr="00FE1FC2">
        <w:rPr>
          <w:rFonts w:ascii="Arial" w:hAnsi="Arial" w:cs="Arial"/>
          <w:sz w:val="20"/>
          <w:szCs w:val="20"/>
        </w:rPr>
        <w:t xml:space="preserve"> w ramach Programu Budowy Dróg Krajowych na lata 2014-2023. Drogami kluczowymi dla dostęp</w:t>
      </w:r>
      <w:r w:rsidR="008D5E70" w:rsidRPr="00FE1FC2">
        <w:rPr>
          <w:rFonts w:ascii="Arial" w:hAnsi="Arial" w:cs="Arial"/>
          <w:sz w:val="20"/>
          <w:szCs w:val="20"/>
        </w:rPr>
        <w:t>u do polskich portów morskich jest</w:t>
      </w:r>
      <w:r w:rsidR="000D5B08" w:rsidRPr="00FE1FC2">
        <w:rPr>
          <w:rFonts w:ascii="Arial" w:hAnsi="Arial" w:cs="Arial"/>
          <w:sz w:val="20"/>
          <w:szCs w:val="20"/>
        </w:rPr>
        <w:t xml:space="preserve"> autostrada A1 oraz drogi ekspresowe S3, S6 oraz S7.</w:t>
      </w:r>
      <w:r w:rsidR="00361BF6" w:rsidRPr="00FE1FC2">
        <w:rPr>
          <w:rFonts w:ascii="Arial" w:hAnsi="Arial" w:cs="Arial"/>
          <w:sz w:val="20"/>
          <w:szCs w:val="20"/>
        </w:rPr>
        <w:t xml:space="preserve"> </w:t>
      </w:r>
      <w:r w:rsidR="000D5B08" w:rsidRPr="00FE1FC2">
        <w:rPr>
          <w:rFonts w:ascii="Arial" w:hAnsi="Arial" w:cs="Arial"/>
          <w:sz w:val="20"/>
          <w:szCs w:val="20"/>
        </w:rPr>
        <w:t>W roku 2019 oddano do użytku następujące odcinki ww. dróg:</w:t>
      </w:r>
    </w:p>
    <w:p w14:paraId="5E1957BB" w14:textId="31BAEAC2" w:rsidR="000D5B08" w:rsidRPr="008A1AB7" w:rsidRDefault="009A62C3" w:rsidP="00711A33">
      <w:pPr>
        <w:tabs>
          <w:tab w:val="left" w:pos="284"/>
        </w:tabs>
        <w:spacing w:before="120" w:after="120" w:line="276" w:lineRule="auto"/>
        <w:jc w:val="both"/>
        <w:rPr>
          <w:rFonts w:ascii="Arial" w:hAnsi="Arial" w:cs="Arial"/>
          <w:sz w:val="20"/>
          <w:szCs w:val="20"/>
        </w:rPr>
      </w:pPr>
      <w:r>
        <w:rPr>
          <w:rFonts w:ascii="Arial" w:hAnsi="Arial" w:cs="Arial"/>
          <w:sz w:val="20"/>
          <w:szCs w:val="20"/>
        </w:rPr>
        <w:t xml:space="preserve">- </w:t>
      </w:r>
      <w:r w:rsidR="000D5B08" w:rsidRPr="008A1AB7">
        <w:rPr>
          <w:rFonts w:ascii="Arial" w:hAnsi="Arial" w:cs="Arial"/>
          <w:sz w:val="20"/>
          <w:szCs w:val="20"/>
        </w:rPr>
        <w:t>w ciągu autostrady A1 odcinki od węzła Pyrzowice do węzła Blachownia o łącznej długości 36,6 km. Ponadto w trybie tymczasowej organizacji ruchu został udostępniony odcinek od węzła Blachownia do węzła Rząsawa (21,2 km),</w:t>
      </w:r>
    </w:p>
    <w:p w14:paraId="0D47996C" w14:textId="5403C8E3" w:rsidR="000D5B08" w:rsidRPr="008A1AB7" w:rsidRDefault="009A62C3" w:rsidP="00711A33">
      <w:pPr>
        <w:tabs>
          <w:tab w:val="left" w:pos="284"/>
        </w:tabs>
        <w:spacing w:before="120" w:after="120" w:line="276" w:lineRule="auto"/>
        <w:jc w:val="both"/>
        <w:rPr>
          <w:rFonts w:ascii="Arial" w:hAnsi="Arial" w:cs="Arial"/>
          <w:sz w:val="20"/>
          <w:szCs w:val="20"/>
        </w:rPr>
      </w:pPr>
      <w:r>
        <w:rPr>
          <w:rFonts w:ascii="Arial" w:hAnsi="Arial" w:cs="Arial"/>
          <w:sz w:val="20"/>
          <w:szCs w:val="20"/>
        </w:rPr>
        <w:t xml:space="preserve">- </w:t>
      </w:r>
      <w:r w:rsidR="000D5B08" w:rsidRPr="008A1AB7">
        <w:rPr>
          <w:rFonts w:ascii="Arial" w:hAnsi="Arial" w:cs="Arial"/>
          <w:sz w:val="20"/>
          <w:szCs w:val="20"/>
        </w:rPr>
        <w:t>w ciągu drogi ekspresowej S6 sześć odcinków realiza</w:t>
      </w:r>
      <w:r w:rsidR="00560266">
        <w:rPr>
          <w:rFonts w:ascii="Arial" w:hAnsi="Arial" w:cs="Arial"/>
          <w:sz w:val="20"/>
          <w:szCs w:val="20"/>
        </w:rPr>
        <w:t xml:space="preserve">cyjnych miedzy węzłem Goleniów </w:t>
      </w:r>
      <w:r w:rsidR="000D5B08" w:rsidRPr="008A1AB7">
        <w:rPr>
          <w:rFonts w:ascii="Arial" w:hAnsi="Arial" w:cs="Arial"/>
          <w:sz w:val="20"/>
          <w:szCs w:val="20"/>
        </w:rPr>
        <w:t>a początkiem obwodnicy Koszalina o łącznej długości 119,4 km,</w:t>
      </w:r>
    </w:p>
    <w:p w14:paraId="0ED57AB6" w14:textId="51839ABF" w:rsidR="000D5B08" w:rsidRPr="008A1AB7" w:rsidRDefault="009A62C3" w:rsidP="00711A33">
      <w:pPr>
        <w:tabs>
          <w:tab w:val="left" w:pos="284"/>
        </w:tabs>
        <w:spacing w:before="120" w:after="120" w:line="276" w:lineRule="auto"/>
        <w:jc w:val="both"/>
        <w:rPr>
          <w:rFonts w:ascii="Arial" w:hAnsi="Arial" w:cs="Arial"/>
          <w:sz w:val="20"/>
          <w:szCs w:val="20"/>
        </w:rPr>
      </w:pPr>
      <w:r>
        <w:rPr>
          <w:rFonts w:ascii="Arial" w:hAnsi="Arial" w:cs="Arial"/>
          <w:sz w:val="20"/>
          <w:szCs w:val="20"/>
        </w:rPr>
        <w:t xml:space="preserve">- </w:t>
      </w:r>
      <w:r w:rsidR="000D5B08" w:rsidRPr="008A1AB7">
        <w:rPr>
          <w:rFonts w:ascii="Arial" w:hAnsi="Arial" w:cs="Arial"/>
          <w:sz w:val="20"/>
          <w:szCs w:val="20"/>
        </w:rPr>
        <w:t>w ciągu drogi ekspresowej S7 odcinek Koszwały – Nowy Dwór Gdański o długości 20,5 km.</w:t>
      </w:r>
    </w:p>
    <w:p w14:paraId="2E9B7466" w14:textId="49BD837C" w:rsidR="000D5B08" w:rsidRPr="008A1AB7" w:rsidRDefault="000D5B08" w:rsidP="00711A33">
      <w:pPr>
        <w:tabs>
          <w:tab w:val="left" w:pos="284"/>
        </w:tabs>
        <w:spacing w:before="120" w:after="120" w:line="276" w:lineRule="auto"/>
        <w:jc w:val="both"/>
        <w:rPr>
          <w:rFonts w:ascii="Arial" w:hAnsi="Arial" w:cs="Arial"/>
          <w:sz w:val="20"/>
          <w:szCs w:val="20"/>
        </w:rPr>
      </w:pPr>
      <w:r w:rsidRPr="008A1AB7">
        <w:rPr>
          <w:rFonts w:ascii="Arial" w:hAnsi="Arial" w:cs="Arial"/>
          <w:sz w:val="20"/>
          <w:szCs w:val="20"/>
        </w:rPr>
        <w:t xml:space="preserve">W roku 2019 rozpoczęto budowę odcinków: Bełchatów </w:t>
      </w:r>
      <w:r w:rsidR="009A62C3">
        <w:rPr>
          <w:rFonts w:ascii="Arial" w:hAnsi="Arial" w:cs="Arial"/>
          <w:sz w:val="20"/>
          <w:szCs w:val="20"/>
        </w:rPr>
        <w:t>-</w:t>
      </w:r>
      <w:r w:rsidRPr="008A1AB7">
        <w:rPr>
          <w:rFonts w:ascii="Arial" w:hAnsi="Arial" w:cs="Arial"/>
          <w:sz w:val="20"/>
          <w:szCs w:val="20"/>
        </w:rPr>
        <w:t xml:space="preserve"> Kamieńsk w ciągu autostrady A1 (24,2 km), Miękowo </w:t>
      </w:r>
      <w:r w:rsidR="009A62C3">
        <w:rPr>
          <w:rFonts w:ascii="Arial" w:hAnsi="Arial" w:cs="Arial"/>
          <w:sz w:val="20"/>
          <w:szCs w:val="20"/>
        </w:rPr>
        <w:t>-</w:t>
      </w:r>
      <w:r w:rsidRPr="008A1AB7">
        <w:rPr>
          <w:rFonts w:ascii="Arial" w:hAnsi="Arial" w:cs="Arial"/>
          <w:sz w:val="20"/>
          <w:szCs w:val="20"/>
        </w:rPr>
        <w:t xml:space="preserve"> koniec obwodnicy Brzozowa na drodze ekspresowej S3 (26,1 km), Luzino </w:t>
      </w:r>
      <w:r w:rsidR="009A62C3">
        <w:rPr>
          <w:rFonts w:ascii="Arial" w:hAnsi="Arial" w:cs="Arial"/>
          <w:sz w:val="20"/>
          <w:szCs w:val="20"/>
        </w:rPr>
        <w:t>-</w:t>
      </w:r>
      <w:r w:rsidRPr="008A1AB7">
        <w:rPr>
          <w:rFonts w:ascii="Arial" w:hAnsi="Arial" w:cs="Arial"/>
          <w:sz w:val="20"/>
          <w:szCs w:val="20"/>
        </w:rPr>
        <w:t xml:space="preserve"> Gdynia Wielki Kack na drodze ekspresowej S6 (30,5 km), Napierki </w:t>
      </w:r>
      <w:r w:rsidR="009A62C3">
        <w:rPr>
          <w:rFonts w:ascii="Arial" w:hAnsi="Arial" w:cs="Arial"/>
          <w:sz w:val="20"/>
          <w:szCs w:val="20"/>
        </w:rPr>
        <w:t>-</w:t>
      </w:r>
      <w:r w:rsidRPr="008A1AB7">
        <w:rPr>
          <w:rFonts w:ascii="Arial" w:hAnsi="Arial" w:cs="Arial"/>
          <w:sz w:val="20"/>
          <w:szCs w:val="20"/>
        </w:rPr>
        <w:t xml:space="preserve"> Płońsk na drodze ekspresowej S7 (71,2 km).</w:t>
      </w:r>
      <w:r w:rsidR="009A62C3">
        <w:rPr>
          <w:rFonts w:ascii="Arial" w:hAnsi="Arial" w:cs="Arial"/>
          <w:sz w:val="20"/>
          <w:szCs w:val="20"/>
        </w:rPr>
        <w:t xml:space="preserve"> </w:t>
      </w:r>
      <w:r w:rsidRPr="008A1AB7">
        <w:rPr>
          <w:rFonts w:ascii="Arial" w:hAnsi="Arial" w:cs="Arial"/>
          <w:sz w:val="20"/>
          <w:szCs w:val="20"/>
        </w:rPr>
        <w:t xml:space="preserve">Ogłoszono również przetargi na projektowanie i budowę odcinka Świnoujście </w:t>
      </w:r>
      <w:r w:rsidR="009A62C3">
        <w:rPr>
          <w:rFonts w:ascii="Arial" w:hAnsi="Arial" w:cs="Arial"/>
          <w:sz w:val="20"/>
          <w:szCs w:val="20"/>
        </w:rPr>
        <w:t>-</w:t>
      </w:r>
      <w:r w:rsidRPr="008A1AB7">
        <w:rPr>
          <w:rFonts w:ascii="Arial" w:hAnsi="Arial" w:cs="Arial"/>
          <w:sz w:val="20"/>
          <w:szCs w:val="20"/>
        </w:rPr>
        <w:t xml:space="preserve"> Troszyn na drodze ekspresowej S3 (33 km) oraz odcinka Płońsk </w:t>
      </w:r>
      <w:r w:rsidR="009A62C3">
        <w:rPr>
          <w:rFonts w:ascii="Arial" w:hAnsi="Arial" w:cs="Arial"/>
          <w:sz w:val="20"/>
          <w:szCs w:val="20"/>
        </w:rPr>
        <w:t>-</w:t>
      </w:r>
      <w:r w:rsidRPr="008A1AB7">
        <w:rPr>
          <w:rFonts w:ascii="Arial" w:hAnsi="Arial" w:cs="Arial"/>
          <w:sz w:val="20"/>
          <w:szCs w:val="20"/>
        </w:rPr>
        <w:t xml:space="preserve"> Czosnów na drodze ekspresowej S7 (34,6 km).</w:t>
      </w:r>
    </w:p>
    <w:p w14:paraId="1CCD4A45" w14:textId="77777777" w:rsidR="000D5B08" w:rsidRPr="001A4F93" w:rsidRDefault="000D5B08" w:rsidP="00711A33">
      <w:pPr>
        <w:tabs>
          <w:tab w:val="left" w:pos="284"/>
        </w:tabs>
        <w:spacing w:before="120" w:after="120" w:line="276" w:lineRule="auto"/>
        <w:jc w:val="both"/>
        <w:rPr>
          <w:rFonts w:ascii="Arial" w:hAnsi="Arial" w:cs="Arial"/>
          <w:sz w:val="20"/>
          <w:szCs w:val="20"/>
        </w:rPr>
      </w:pPr>
      <w:r w:rsidRPr="001A4F93">
        <w:rPr>
          <w:rFonts w:ascii="Arial" w:hAnsi="Arial" w:cs="Arial"/>
          <w:sz w:val="20"/>
          <w:szCs w:val="20"/>
        </w:rPr>
        <w:lastRenderedPageBreak/>
        <w:t xml:space="preserve">W dniu 17 września 2019 r. weszła w życie ustawa z dnia 19 lipca 2019 r. o zmianie ustawy o portach </w:t>
      </w:r>
      <w:r w:rsidRPr="001A4F93">
        <w:rPr>
          <w:rFonts w:ascii="Arial" w:hAnsi="Arial" w:cs="Arial"/>
          <w:sz w:val="20"/>
          <w:szCs w:val="20"/>
        </w:rPr>
        <w:br/>
        <w:t>i przystaniach morskich oraz niektórych innych ustaw (Dz. U. poz. 1716). Ustawa nie tylko wzmacnia pozycję podmiotów zarządzających portami i przystaniami morskimi oraz usprawnia funkcjonowanie portów, ale także dostosowuje akty prawne regulujące organizację i funkcjonowanie portów do postanowień rozporządzenia Parlamentu Europejskiego i Rady (UE) 2017/352 z dnia 15 lutego 2017 r. ustanawiającego ramy w zakresie świadczenia usług portowych oraz wspólne zasady dotyczące przejrzystości finansowej portów (Dz. Urz. UE L 57 z 03.03.2017, str. 1).</w:t>
      </w:r>
    </w:p>
    <w:p w14:paraId="4093E4C1" w14:textId="05F24C65" w:rsidR="000D5B08" w:rsidRPr="008A1AB7" w:rsidRDefault="000D5B08" w:rsidP="00711A33">
      <w:pPr>
        <w:tabs>
          <w:tab w:val="left" w:pos="284"/>
        </w:tabs>
        <w:spacing w:before="120" w:after="120" w:line="276" w:lineRule="auto"/>
        <w:jc w:val="both"/>
        <w:rPr>
          <w:rFonts w:ascii="Arial" w:hAnsi="Arial" w:cs="Arial"/>
          <w:sz w:val="20"/>
          <w:szCs w:val="20"/>
        </w:rPr>
      </w:pPr>
      <w:r w:rsidRPr="008A1AB7">
        <w:rPr>
          <w:rFonts w:ascii="Arial" w:hAnsi="Arial" w:cs="Arial"/>
          <w:sz w:val="20"/>
          <w:szCs w:val="20"/>
        </w:rPr>
        <w:t>W kwestii poprawy dostępu drogowego do portu w Gdyni należy wskazać, że powyższa ustawa zmienia m.in. przepisy ustawy z dnia 21 marca 1985 r. o drogach publicznych, wprowadzając następujące zmiany:</w:t>
      </w:r>
    </w:p>
    <w:p w14:paraId="04BB9F34" w14:textId="6FFB7D6A" w:rsidR="000D5B08" w:rsidRDefault="008D0A25" w:rsidP="00711A33">
      <w:pPr>
        <w:spacing w:before="120" w:after="120" w:line="240" w:lineRule="exact"/>
        <w:jc w:val="both"/>
        <w:rPr>
          <w:rFonts w:ascii="Arial" w:hAnsi="Arial" w:cs="Arial"/>
          <w:sz w:val="20"/>
        </w:rPr>
      </w:pPr>
      <w:r>
        <w:rPr>
          <w:rFonts w:ascii="Arial" w:hAnsi="Arial" w:cs="Arial"/>
          <w:sz w:val="20"/>
        </w:rPr>
        <w:t xml:space="preserve">- </w:t>
      </w:r>
      <w:r w:rsidR="000D5B08">
        <w:rPr>
          <w:rFonts w:ascii="Arial" w:hAnsi="Arial" w:cs="Arial"/>
          <w:sz w:val="20"/>
        </w:rPr>
        <w:t>w art. 5 po ust. 2 dodaje się ust. 2a w brzmieniu:</w:t>
      </w:r>
    </w:p>
    <w:p w14:paraId="2CD72E43" w14:textId="77777777" w:rsidR="000D5B08" w:rsidRDefault="000D5B08" w:rsidP="00711A33">
      <w:pPr>
        <w:spacing w:before="120" w:after="120" w:line="276" w:lineRule="auto"/>
        <w:ind w:left="426"/>
        <w:jc w:val="both"/>
        <w:rPr>
          <w:rFonts w:ascii="Arial" w:hAnsi="Arial" w:cs="Arial"/>
          <w:sz w:val="20"/>
        </w:rPr>
      </w:pPr>
      <w:r>
        <w:rPr>
          <w:rFonts w:ascii="Arial" w:hAnsi="Arial" w:cs="Arial"/>
          <w:sz w:val="20"/>
        </w:rPr>
        <w:t xml:space="preserve">„2a. W przypadku konieczności zapewnienia dostępu drogowego w standardzie wymaganym dla transeuropejskiej sieci transportowej (TEN-T) do polskich portów wymienionych w załączniku II do rozporządzenia Parlamentu Europejskiego i Rady (UE) nr 1315/2013 z dnia 11 grudnia 2013 r. </w:t>
      </w:r>
      <w:r>
        <w:rPr>
          <w:rFonts w:ascii="Arial" w:hAnsi="Arial" w:cs="Arial"/>
          <w:sz w:val="20"/>
        </w:rPr>
        <w:br/>
        <w:t xml:space="preserve">w sprawie unijnych wytycznych dotyczących rozwoju transeuropejskiej sieci transportowej </w:t>
      </w:r>
      <w:r>
        <w:rPr>
          <w:rFonts w:ascii="Arial" w:hAnsi="Arial" w:cs="Arial"/>
          <w:sz w:val="20"/>
        </w:rPr>
        <w:br/>
        <w:t>i uchylającego decyzję nr 661/2010/UE (Dz. Urz. UE L 348 z 20.12.2013, str. 1, z późn. zm.) minister właściwy do spraw transportu, w porozumieniu z ministrem właściwym do spraw gospodarki morskiej, po zasięgnięciu opinii właściwych sejmików województw, a w miastach na prawach powiatu – opinii rad miast, w drodze rozporządzenia, zalicza drogi do kategorii dróg krajowych, mając na uwadze kryteria zaliczenia określone w ust. 1.”;</w:t>
      </w:r>
    </w:p>
    <w:p w14:paraId="561685CC" w14:textId="1E072E44" w:rsidR="000D5B08" w:rsidRDefault="008D0A25" w:rsidP="008D0A25">
      <w:pPr>
        <w:spacing w:after="240" w:line="240" w:lineRule="exact"/>
        <w:jc w:val="both"/>
        <w:rPr>
          <w:rFonts w:ascii="Arial" w:hAnsi="Arial" w:cs="Arial"/>
          <w:sz w:val="20"/>
        </w:rPr>
      </w:pPr>
      <w:r>
        <w:rPr>
          <w:rFonts w:ascii="Arial" w:hAnsi="Arial" w:cs="Arial"/>
          <w:sz w:val="20"/>
        </w:rPr>
        <w:t xml:space="preserve">- </w:t>
      </w:r>
      <w:r w:rsidR="000D5B08">
        <w:rPr>
          <w:rFonts w:ascii="Arial" w:hAnsi="Arial" w:cs="Arial"/>
          <w:sz w:val="20"/>
        </w:rPr>
        <w:t>w art. 19 ust. 5 otrzymuje brzmienie:</w:t>
      </w:r>
    </w:p>
    <w:p w14:paraId="3917CB8F" w14:textId="4F2D58AC" w:rsidR="000D5B08" w:rsidRDefault="000D5B08" w:rsidP="00F85928">
      <w:pPr>
        <w:spacing w:before="120" w:after="120" w:line="276" w:lineRule="auto"/>
        <w:ind w:left="426"/>
        <w:jc w:val="both"/>
        <w:rPr>
          <w:rFonts w:ascii="Arial" w:hAnsi="Arial" w:cs="Arial"/>
          <w:sz w:val="20"/>
        </w:rPr>
      </w:pPr>
      <w:r>
        <w:rPr>
          <w:rFonts w:ascii="Arial" w:hAnsi="Arial" w:cs="Arial"/>
          <w:sz w:val="20"/>
        </w:rPr>
        <w:t>„5. W granicach miast na prawach powiatu zarządcą wszystkich dróg publicznych, z wyjątkiem autostrad i dróg ekspresowych oraz dróg, o których mowa w przepisach wydanych na podstawie art. 5</w:t>
      </w:r>
      <w:r w:rsidR="008D0A25">
        <w:rPr>
          <w:rFonts w:ascii="Arial" w:hAnsi="Arial" w:cs="Arial"/>
          <w:sz w:val="20"/>
        </w:rPr>
        <w:t xml:space="preserve"> ust. 2a, jest prezydent miasta</w:t>
      </w:r>
      <w:r>
        <w:rPr>
          <w:rFonts w:ascii="Arial" w:hAnsi="Arial" w:cs="Arial"/>
          <w:sz w:val="20"/>
        </w:rPr>
        <w:t>”.</w:t>
      </w:r>
    </w:p>
    <w:p w14:paraId="60E90EBB" w14:textId="5B507304" w:rsidR="000D5B08" w:rsidRPr="00AD7F79" w:rsidRDefault="000D5B08" w:rsidP="00F85928">
      <w:pPr>
        <w:tabs>
          <w:tab w:val="left" w:pos="284"/>
        </w:tabs>
        <w:spacing w:before="120" w:after="120" w:line="276" w:lineRule="auto"/>
        <w:jc w:val="both"/>
        <w:rPr>
          <w:rFonts w:ascii="Arial" w:hAnsi="Arial" w:cs="Arial"/>
          <w:sz w:val="20"/>
          <w:szCs w:val="20"/>
        </w:rPr>
      </w:pPr>
      <w:r w:rsidRPr="00AD7F79">
        <w:rPr>
          <w:rFonts w:ascii="Arial" w:hAnsi="Arial" w:cs="Arial"/>
          <w:sz w:val="20"/>
          <w:szCs w:val="20"/>
        </w:rPr>
        <w:t>Jednocześnie należy wskazać, że w art. 19 ustawy z dnia 19 lipca 2019</w:t>
      </w:r>
      <w:r w:rsidR="008D0A25" w:rsidRPr="00AD7F79">
        <w:rPr>
          <w:rFonts w:ascii="Arial" w:hAnsi="Arial" w:cs="Arial"/>
          <w:sz w:val="20"/>
          <w:szCs w:val="20"/>
        </w:rPr>
        <w:t xml:space="preserve"> r. o zmianie ustawy o portach </w:t>
      </w:r>
      <w:r w:rsidR="00186B9B">
        <w:rPr>
          <w:rFonts w:ascii="Arial" w:hAnsi="Arial" w:cs="Arial"/>
          <w:sz w:val="20"/>
          <w:szCs w:val="20"/>
        </w:rPr>
        <w:br/>
      </w:r>
      <w:r w:rsidRPr="00AD7F79">
        <w:rPr>
          <w:rFonts w:ascii="Arial" w:hAnsi="Arial" w:cs="Arial"/>
          <w:sz w:val="20"/>
          <w:szCs w:val="20"/>
        </w:rPr>
        <w:t>i przystaniach morski</w:t>
      </w:r>
      <w:r w:rsidR="00496AB5">
        <w:rPr>
          <w:rFonts w:ascii="Arial" w:hAnsi="Arial" w:cs="Arial"/>
          <w:sz w:val="20"/>
          <w:szCs w:val="20"/>
        </w:rPr>
        <w:t>ch oraz niektórych innych ustaw</w:t>
      </w:r>
      <w:r w:rsidRPr="00AD7F79">
        <w:rPr>
          <w:rFonts w:ascii="Arial" w:hAnsi="Arial" w:cs="Arial"/>
          <w:sz w:val="20"/>
          <w:szCs w:val="20"/>
        </w:rPr>
        <w:t xml:space="preserve"> ustawodawca określił maksymalny limit wydatków budżetu państwa będący skutkiem fina</w:t>
      </w:r>
      <w:r w:rsidR="00496AB5">
        <w:rPr>
          <w:rFonts w:ascii="Arial" w:hAnsi="Arial" w:cs="Arial"/>
          <w:sz w:val="20"/>
          <w:szCs w:val="20"/>
        </w:rPr>
        <w:t>nsowym ustawy. Limit ten wynosi w latach 2019 - 2028</w:t>
      </w:r>
      <w:r w:rsidRPr="00AD7F79">
        <w:rPr>
          <w:rFonts w:ascii="Arial" w:hAnsi="Arial" w:cs="Arial"/>
          <w:sz w:val="20"/>
          <w:szCs w:val="20"/>
        </w:rPr>
        <w:t xml:space="preserve"> do 2 mld zł. Organem właściwym do monitorowania wykorzystania limitu wydatków jest minister właściwy do spraw transportu.</w:t>
      </w:r>
    </w:p>
    <w:p w14:paraId="6DA26258" w14:textId="1CD88A00" w:rsidR="000D5B08" w:rsidRPr="00AD7F79" w:rsidRDefault="000D5B08" w:rsidP="00F85928">
      <w:pPr>
        <w:tabs>
          <w:tab w:val="left" w:pos="284"/>
        </w:tabs>
        <w:spacing w:before="120" w:after="120" w:line="276" w:lineRule="auto"/>
        <w:jc w:val="both"/>
        <w:rPr>
          <w:rFonts w:ascii="Arial" w:hAnsi="Arial" w:cs="Arial"/>
          <w:sz w:val="20"/>
          <w:szCs w:val="20"/>
        </w:rPr>
      </w:pPr>
      <w:r w:rsidRPr="00AD7F79">
        <w:rPr>
          <w:rFonts w:ascii="Arial" w:hAnsi="Arial" w:cs="Arial"/>
          <w:sz w:val="20"/>
          <w:szCs w:val="20"/>
        </w:rPr>
        <w:t xml:space="preserve">Niezależnie od powyższego należy wskazać, że dostępność do portu w Gdyni zapewniona jest przez tzw. Estakadę Kwiatkowskiego </w:t>
      </w:r>
      <w:r w:rsidR="00E80099" w:rsidRPr="00AD7F79">
        <w:rPr>
          <w:rFonts w:ascii="Arial" w:hAnsi="Arial" w:cs="Arial"/>
          <w:sz w:val="20"/>
          <w:szCs w:val="20"/>
        </w:rPr>
        <w:t>-</w:t>
      </w:r>
      <w:r w:rsidRPr="00AD7F79">
        <w:rPr>
          <w:rFonts w:ascii="Arial" w:hAnsi="Arial" w:cs="Arial"/>
          <w:sz w:val="20"/>
          <w:szCs w:val="20"/>
        </w:rPr>
        <w:t xml:space="preserve"> drogę kategorii powiatowej łączącą port z drogą ekspresową S6. Obecnie zgodnie z wyrokiem TSUE na całej sieci dróg publicznych istnieje możliwość poruszania się pojazdów o nacisku osi do 11,5 tony. </w:t>
      </w:r>
    </w:p>
    <w:p w14:paraId="09A3ABD4" w14:textId="3ED2109D" w:rsidR="000D5B08" w:rsidRPr="00AD7F79" w:rsidRDefault="000D5B08" w:rsidP="00F85928">
      <w:pPr>
        <w:tabs>
          <w:tab w:val="left" w:pos="284"/>
        </w:tabs>
        <w:spacing w:before="120" w:after="120" w:line="276" w:lineRule="auto"/>
        <w:jc w:val="both"/>
        <w:rPr>
          <w:rFonts w:ascii="Arial" w:hAnsi="Arial" w:cs="Arial"/>
          <w:sz w:val="20"/>
          <w:szCs w:val="20"/>
        </w:rPr>
      </w:pPr>
      <w:r w:rsidRPr="00AD7F79">
        <w:rPr>
          <w:rFonts w:ascii="Arial" w:hAnsi="Arial" w:cs="Arial"/>
          <w:sz w:val="20"/>
          <w:szCs w:val="20"/>
        </w:rPr>
        <w:t xml:space="preserve">Natomiast dostępność drogowa portu w Gdańsku poprawiła się dzięki </w:t>
      </w:r>
      <w:r w:rsidR="00E80099" w:rsidRPr="00AD7F79">
        <w:rPr>
          <w:rFonts w:ascii="Arial" w:hAnsi="Arial" w:cs="Arial"/>
          <w:sz w:val="20"/>
          <w:szCs w:val="20"/>
        </w:rPr>
        <w:t xml:space="preserve">inwestycjom infrastrukturalnym </w:t>
      </w:r>
      <w:r w:rsidRPr="00AD7F79">
        <w:rPr>
          <w:rFonts w:ascii="Arial" w:hAnsi="Arial" w:cs="Arial"/>
          <w:sz w:val="20"/>
          <w:szCs w:val="20"/>
        </w:rPr>
        <w:t xml:space="preserve">w Gdańsku, przede wszystkim dzięki tzw. Trasie Sucharskiego. W 2012 r. oddane zostały kluczowe dla obsługi Deepwater Container Terminal Gdańsk </w:t>
      </w:r>
      <w:r w:rsidR="00A8688C" w:rsidRPr="00AD7F79">
        <w:rPr>
          <w:rFonts w:ascii="Arial" w:hAnsi="Arial" w:cs="Arial"/>
          <w:sz w:val="20"/>
          <w:szCs w:val="20"/>
        </w:rPr>
        <w:t>(</w:t>
      </w:r>
      <w:r w:rsidR="00E80099" w:rsidRPr="00AD7F79">
        <w:rPr>
          <w:rFonts w:ascii="Arial" w:hAnsi="Arial" w:cs="Arial"/>
          <w:sz w:val="20"/>
          <w:szCs w:val="20"/>
        </w:rPr>
        <w:t>DCT Gdańsk</w:t>
      </w:r>
      <w:r w:rsidR="00A8688C" w:rsidRPr="00AD7F79">
        <w:rPr>
          <w:rFonts w:ascii="Arial" w:hAnsi="Arial" w:cs="Arial"/>
          <w:sz w:val="20"/>
          <w:szCs w:val="20"/>
        </w:rPr>
        <w:t>)</w:t>
      </w:r>
      <w:r w:rsidR="00E80099" w:rsidRPr="00AD7F79">
        <w:rPr>
          <w:rFonts w:ascii="Arial" w:hAnsi="Arial" w:cs="Arial"/>
          <w:sz w:val="20"/>
          <w:szCs w:val="20"/>
        </w:rPr>
        <w:t xml:space="preserve"> </w:t>
      </w:r>
      <w:r w:rsidRPr="00AD7F79">
        <w:rPr>
          <w:rFonts w:ascii="Arial" w:hAnsi="Arial" w:cs="Arial"/>
          <w:sz w:val="20"/>
          <w:szCs w:val="20"/>
        </w:rPr>
        <w:t xml:space="preserve">odcinki trasy między: ul. Elbląską </w:t>
      </w:r>
      <w:r w:rsidR="003508BE">
        <w:rPr>
          <w:rFonts w:ascii="Arial" w:hAnsi="Arial" w:cs="Arial"/>
          <w:sz w:val="20"/>
          <w:szCs w:val="20"/>
        </w:rPr>
        <w:br/>
      </w:r>
      <w:r w:rsidRPr="00AD7F79">
        <w:rPr>
          <w:rFonts w:ascii="Arial" w:hAnsi="Arial" w:cs="Arial"/>
          <w:sz w:val="20"/>
          <w:szCs w:val="20"/>
        </w:rPr>
        <w:t>a Południową Obwodnic</w:t>
      </w:r>
      <w:r w:rsidR="00E80099" w:rsidRPr="00AD7F79">
        <w:rPr>
          <w:rFonts w:ascii="Arial" w:hAnsi="Arial" w:cs="Arial"/>
          <w:sz w:val="20"/>
          <w:szCs w:val="20"/>
        </w:rPr>
        <w:t>ą</w:t>
      </w:r>
      <w:r w:rsidRPr="00AD7F79">
        <w:rPr>
          <w:rFonts w:ascii="Arial" w:hAnsi="Arial" w:cs="Arial"/>
          <w:sz w:val="20"/>
          <w:szCs w:val="20"/>
        </w:rPr>
        <w:t xml:space="preserve"> oraz między mostem Jana Pawła II przez Martwą Wisłę a węzłem Ku Ujściu, z którym łączy się ul. Kontenerowa.</w:t>
      </w:r>
    </w:p>
    <w:p w14:paraId="6703A02E" w14:textId="0A185BEB" w:rsidR="000D5B08" w:rsidRPr="00AD7F79" w:rsidRDefault="000D5B08" w:rsidP="00F85928">
      <w:pPr>
        <w:tabs>
          <w:tab w:val="left" w:pos="284"/>
        </w:tabs>
        <w:spacing w:before="120" w:after="120" w:line="276" w:lineRule="auto"/>
        <w:jc w:val="both"/>
        <w:rPr>
          <w:rFonts w:ascii="Arial" w:hAnsi="Arial" w:cs="Arial"/>
          <w:sz w:val="20"/>
          <w:szCs w:val="20"/>
        </w:rPr>
      </w:pPr>
      <w:r w:rsidRPr="00AD7F79">
        <w:rPr>
          <w:rFonts w:ascii="Arial" w:hAnsi="Arial" w:cs="Arial"/>
          <w:sz w:val="20"/>
          <w:szCs w:val="20"/>
        </w:rPr>
        <w:t xml:space="preserve">Na etapie dokumentacyjnym znajdują się drogowe projekty prowadzone przez miejską spółkę „Gdańska Agencja Rozwoju Gospodarczego”. Projekty dotyczą drogi Nowe Kaczeńce, która połączy ul. Majora Sucharskiego z </w:t>
      </w:r>
      <w:r w:rsidR="00E80099" w:rsidRPr="00AD7F79">
        <w:rPr>
          <w:rFonts w:ascii="Arial" w:hAnsi="Arial" w:cs="Arial"/>
          <w:sz w:val="20"/>
          <w:szCs w:val="20"/>
        </w:rPr>
        <w:t xml:space="preserve">DCT </w:t>
      </w:r>
      <w:r w:rsidRPr="00AD7F79">
        <w:rPr>
          <w:rFonts w:ascii="Arial" w:hAnsi="Arial" w:cs="Arial"/>
          <w:sz w:val="20"/>
          <w:szCs w:val="20"/>
        </w:rPr>
        <w:t xml:space="preserve">Gdańsk oraz część ul. Nowa Portowa, która ma zapewnić dostęp od ul. Nowe Kaczeńce do Pomorskiego Centrum Dystrybucyjnego na zapleczu </w:t>
      </w:r>
      <w:r w:rsidR="00E80099" w:rsidRPr="00AD7F79">
        <w:rPr>
          <w:rFonts w:ascii="Arial" w:hAnsi="Arial" w:cs="Arial"/>
          <w:sz w:val="20"/>
          <w:szCs w:val="20"/>
        </w:rPr>
        <w:t>DCT</w:t>
      </w:r>
      <w:r w:rsidRPr="00AD7F79">
        <w:rPr>
          <w:rFonts w:ascii="Arial" w:hAnsi="Arial" w:cs="Arial"/>
          <w:sz w:val="20"/>
          <w:szCs w:val="20"/>
        </w:rPr>
        <w:t xml:space="preserve"> Gdańsk.</w:t>
      </w:r>
    </w:p>
    <w:p w14:paraId="1124FF72" w14:textId="26208EB0" w:rsidR="000D5B08" w:rsidRPr="00AD7F79" w:rsidRDefault="000D5B08" w:rsidP="00F85928">
      <w:pPr>
        <w:tabs>
          <w:tab w:val="left" w:pos="284"/>
        </w:tabs>
        <w:spacing w:before="120" w:after="120" w:line="276" w:lineRule="auto"/>
        <w:jc w:val="both"/>
        <w:rPr>
          <w:rFonts w:ascii="Arial" w:hAnsi="Arial" w:cs="Arial"/>
          <w:sz w:val="20"/>
          <w:szCs w:val="20"/>
        </w:rPr>
      </w:pPr>
      <w:r w:rsidRPr="00AD7F79">
        <w:rPr>
          <w:rFonts w:ascii="Arial" w:hAnsi="Arial" w:cs="Arial"/>
          <w:sz w:val="20"/>
          <w:szCs w:val="20"/>
        </w:rPr>
        <w:t xml:space="preserve">W przypadku Gdańskiego Terminala Kontenerowego kluczową inwestycją było „Połączenie Portu Lotniczego z Portem Morskim Gdańsk </w:t>
      </w:r>
      <w:r w:rsidR="00A8688C" w:rsidRPr="00AD7F79">
        <w:rPr>
          <w:rFonts w:ascii="Arial" w:hAnsi="Arial" w:cs="Arial"/>
          <w:sz w:val="20"/>
          <w:szCs w:val="20"/>
        </w:rPr>
        <w:t>-</w:t>
      </w:r>
      <w:r w:rsidRPr="00AD7F79">
        <w:rPr>
          <w:rFonts w:ascii="Arial" w:hAnsi="Arial" w:cs="Arial"/>
          <w:sz w:val="20"/>
          <w:szCs w:val="20"/>
        </w:rPr>
        <w:t xml:space="preserve"> Trasa Słowackiego” wraz z wydrążeniem tunelu pod Martwą Wisłą, co umożliwia wyjazd z rejonów portowych z ominięciem centrum Gdańska. Inwestycja została ukończona w 2016 r.</w:t>
      </w:r>
    </w:p>
    <w:p w14:paraId="5368801F" w14:textId="00DFAFF4" w:rsidR="000D5B08" w:rsidRPr="00AD7F79" w:rsidRDefault="000D5B08" w:rsidP="00F85928">
      <w:pPr>
        <w:tabs>
          <w:tab w:val="left" w:pos="284"/>
        </w:tabs>
        <w:spacing w:before="120" w:after="120" w:line="276" w:lineRule="auto"/>
        <w:jc w:val="both"/>
        <w:rPr>
          <w:rFonts w:ascii="Arial" w:hAnsi="Arial" w:cs="Arial"/>
          <w:sz w:val="20"/>
          <w:szCs w:val="20"/>
        </w:rPr>
      </w:pPr>
      <w:r w:rsidRPr="00AD7F79">
        <w:rPr>
          <w:rFonts w:ascii="Arial" w:hAnsi="Arial" w:cs="Arial"/>
          <w:sz w:val="20"/>
          <w:szCs w:val="20"/>
        </w:rPr>
        <w:lastRenderedPageBreak/>
        <w:t xml:space="preserve">W Szczecinie dostępność do portu odbywa się z pominięciem centrum Szczecina, z wykorzystaniem </w:t>
      </w:r>
      <w:r w:rsidR="00787A4C">
        <w:rPr>
          <w:rFonts w:ascii="Arial" w:hAnsi="Arial" w:cs="Arial"/>
          <w:sz w:val="20"/>
          <w:szCs w:val="20"/>
        </w:rPr>
        <w:br/>
      </w:r>
      <w:r w:rsidRPr="00AD7F79">
        <w:rPr>
          <w:rFonts w:ascii="Arial" w:hAnsi="Arial" w:cs="Arial"/>
          <w:sz w:val="20"/>
          <w:szCs w:val="20"/>
        </w:rPr>
        <w:t>ul. Hryniewieckiego, a następnie w niedalekiej odległości drogi krajowej nr 10, którą można dostać się do drogi ekspresowej S3 oraz autostrady A6. W 2013 r. została ukończona inwestycja „Przebudowa ulicy Struga” w ciągu drogi krajowej nr 10. W 2019 r. rozpoczęła się realizacja projektu „Modernizacja Dostępu Drogowego do Portu w Szczecinie: Przebudowa Układu Drogowego w Rejonie Międzyodrza”.</w:t>
      </w:r>
    </w:p>
    <w:p w14:paraId="6B07F894" w14:textId="18A30A1A" w:rsidR="000D5B08" w:rsidRPr="00AD7F79" w:rsidRDefault="000D5B08" w:rsidP="00F85928">
      <w:pPr>
        <w:tabs>
          <w:tab w:val="left" w:pos="284"/>
        </w:tabs>
        <w:spacing w:before="120" w:after="120" w:line="276" w:lineRule="auto"/>
        <w:jc w:val="both"/>
        <w:rPr>
          <w:rFonts w:ascii="Arial" w:hAnsi="Arial" w:cs="Arial"/>
          <w:sz w:val="20"/>
          <w:szCs w:val="20"/>
        </w:rPr>
      </w:pPr>
      <w:r w:rsidRPr="00AD7F79">
        <w:rPr>
          <w:rFonts w:ascii="Arial" w:hAnsi="Arial" w:cs="Arial"/>
          <w:sz w:val="20"/>
          <w:szCs w:val="20"/>
        </w:rPr>
        <w:t xml:space="preserve">Dostępność do portu w Świnoujściu zapewnia droga krajowa nr 3 </w:t>
      </w:r>
      <w:r w:rsidR="00A8688C" w:rsidRPr="00AD7F79">
        <w:rPr>
          <w:rFonts w:ascii="Arial" w:hAnsi="Arial" w:cs="Arial"/>
          <w:sz w:val="20"/>
          <w:szCs w:val="20"/>
        </w:rPr>
        <w:t>-</w:t>
      </w:r>
      <w:r w:rsidRPr="00AD7F79">
        <w:rPr>
          <w:rFonts w:ascii="Arial" w:hAnsi="Arial" w:cs="Arial"/>
          <w:sz w:val="20"/>
          <w:szCs w:val="20"/>
        </w:rPr>
        <w:t xml:space="preserve"> jednojezdniowa droga, </w:t>
      </w:r>
      <w:r w:rsidRPr="00AD7F79">
        <w:rPr>
          <w:rFonts w:ascii="Arial" w:hAnsi="Arial" w:cs="Arial"/>
          <w:sz w:val="20"/>
          <w:szCs w:val="20"/>
        </w:rPr>
        <w:br/>
        <w:t xml:space="preserve">w większości w klasie G. Zgodnie ze znowelizowanym we wrześniu 2019 r. „Programem Budowy Dróg Krajowych na lata 2014-2023 (z perspektywą do 2025 r.)”, odcinek drogi ekspresowej S3 Świnoujście </w:t>
      </w:r>
      <w:r w:rsidR="00A8688C" w:rsidRPr="00AD7F79">
        <w:rPr>
          <w:rFonts w:ascii="Arial" w:hAnsi="Arial" w:cs="Arial"/>
          <w:sz w:val="20"/>
          <w:szCs w:val="20"/>
        </w:rPr>
        <w:t>-</w:t>
      </w:r>
      <w:r w:rsidRPr="00AD7F79">
        <w:rPr>
          <w:rFonts w:ascii="Arial" w:hAnsi="Arial" w:cs="Arial"/>
          <w:sz w:val="20"/>
          <w:szCs w:val="20"/>
        </w:rPr>
        <w:t xml:space="preserve"> Troszyn zostanie zbudowany w latach 2022-2024. </w:t>
      </w:r>
      <w:r w:rsidR="00A01558">
        <w:rPr>
          <w:rFonts w:ascii="Arial" w:hAnsi="Arial" w:cs="Arial"/>
          <w:sz w:val="20"/>
          <w:szCs w:val="20"/>
        </w:rPr>
        <w:t>N</w:t>
      </w:r>
      <w:r w:rsidRPr="00AD7F79">
        <w:rPr>
          <w:rFonts w:ascii="Arial" w:hAnsi="Arial" w:cs="Arial"/>
          <w:sz w:val="20"/>
          <w:szCs w:val="20"/>
        </w:rPr>
        <w:t>ależy wyjaśnić, że wersja Programu z 2015 r. nie gwarantowała realizacji tego odcinka, gdyż stawiała go na odległym miejscu listy priorytetów przy założonym budżecie o 100 mld zł niższym niż wartość wszystkich zadań ujętych w Programie.</w:t>
      </w:r>
    </w:p>
    <w:p w14:paraId="7CBF4606" w14:textId="14C21286" w:rsidR="00AD7F79" w:rsidRPr="000F468A" w:rsidRDefault="00AD7F79" w:rsidP="00F85928">
      <w:pPr>
        <w:tabs>
          <w:tab w:val="left" w:pos="284"/>
        </w:tabs>
        <w:spacing w:before="120" w:after="120" w:line="276" w:lineRule="auto"/>
        <w:jc w:val="both"/>
        <w:rPr>
          <w:rFonts w:ascii="Arial" w:hAnsi="Arial" w:cs="Arial"/>
          <w:sz w:val="20"/>
          <w:szCs w:val="20"/>
        </w:rPr>
      </w:pPr>
      <w:r w:rsidRPr="000F468A">
        <w:rPr>
          <w:rFonts w:ascii="Arial" w:hAnsi="Arial" w:cs="Arial"/>
          <w:sz w:val="20"/>
          <w:szCs w:val="20"/>
        </w:rPr>
        <w:t>Inwestycje na liniach kolejowych, które dofinansowane są przez ministra właściwego do spraw transportu, realizowane są</w:t>
      </w:r>
      <w:r>
        <w:rPr>
          <w:rFonts w:ascii="Arial" w:hAnsi="Arial" w:cs="Arial"/>
          <w:sz w:val="20"/>
          <w:szCs w:val="20"/>
        </w:rPr>
        <w:t xml:space="preserve"> w </w:t>
      </w:r>
      <w:r w:rsidRPr="000F468A">
        <w:rPr>
          <w:rFonts w:ascii="Arial" w:hAnsi="Arial" w:cs="Arial"/>
          <w:sz w:val="20"/>
          <w:szCs w:val="20"/>
        </w:rPr>
        <w:t xml:space="preserve">oparciu o Krajowy Program Kolejowy obowiązujący do 2023 roku (KPK), który jest programem wieloletnim. Dokument ten realizuje strategie przyjęte przez Radę Ministrów, </w:t>
      </w:r>
      <w:r w:rsidRPr="000F468A">
        <w:rPr>
          <w:rFonts w:ascii="Arial" w:hAnsi="Arial" w:cs="Arial"/>
          <w:sz w:val="20"/>
          <w:szCs w:val="20"/>
        </w:rPr>
        <w:br/>
        <w:t>w tym „Stra</w:t>
      </w:r>
      <w:r w:rsidR="00A94EC2">
        <w:rPr>
          <w:rFonts w:ascii="Arial" w:hAnsi="Arial" w:cs="Arial"/>
          <w:sz w:val="20"/>
          <w:szCs w:val="20"/>
        </w:rPr>
        <w:t xml:space="preserve">tegię </w:t>
      </w:r>
      <w:r w:rsidR="00FA33E6">
        <w:rPr>
          <w:rFonts w:ascii="Arial" w:hAnsi="Arial" w:cs="Arial"/>
          <w:sz w:val="20"/>
          <w:szCs w:val="20"/>
        </w:rPr>
        <w:t xml:space="preserve">na rzecz Odpowiedzialnego </w:t>
      </w:r>
      <w:r w:rsidR="00A94EC2">
        <w:rPr>
          <w:rFonts w:ascii="Arial" w:hAnsi="Arial" w:cs="Arial"/>
          <w:sz w:val="20"/>
          <w:szCs w:val="20"/>
        </w:rPr>
        <w:t xml:space="preserve">Rozwoju </w:t>
      </w:r>
      <w:r w:rsidR="00FA33E6">
        <w:rPr>
          <w:rFonts w:ascii="Arial" w:hAnsi="Arial" w:cs="Arial"/>
          <w:sz w:val="20"/>
          <w:szCs w:val="20"/>
        </w:rPr>
        <w:t>do roku</w:t>
      </w:r>
      <w:r w:rsidR="00A94EC2">
        <w:rPr>
          <w:rFonts w:ascii="Arial" w:hAnsi="Arial" w:cs="Arial"/>
          <w:sz w:val="20"/>
          <w:szCs w:val="20"/>
        </w:rPr>
        <w:t xml:space="preserve"> 2020</w:t>
      </w:r>
      <w:r w:rsidR="00FA33E6">
        <w:rPr>
          <w:rFonts w:ascii="Arial" w:hAnsi="Arial" w:cs="Arial"/>
          <w:sz w:val="20"/>
          <w:szCs w:val="20"/>
        </w:rPr>
        <w:t xml:space="preserve"> (z perspektywą do 2030 roku)</w:t>
      </w:r>
      <w:r w:rsidR="00A94EC2">
        <w:rPr>
          <w:rFonts w:ascii="Arial" w:hAnsi="Arial" w:cs="Arial"/>
          <w:sz w:val="20"/>
          <w:szCs w:val="20"/>
        </w:rPr>
        <w:t>" oraz „</w:t>
      </w:r>
      <w:r w:rsidRPr="000F468A">
        <w:rPr>
          <w:rFonts w:ascii="Arial" w:hAnsi="Arial" w:cs="Arial"/>
          <w:sz w:val="20"/>
          <w:szCs w:val="20"/>
        </w:rPr>
        <w:t xml:space="preserve">Strategię </w:t>
      </w:r>
      <w:r w:rsidR="00FA33E6">
        <w:rPr>
          <w:rFonts w:ascii="Arial" w:hAnsi="Arial" w:cs="Arial"/>
          <w:sz w:val="20"/>
          <w:szCs w:val="20"/>
        </w:rPr>
        <w:t>Zrównoważonego Rozwoju Transportu do 203</w:t>
      </w:r>
      <w:r w:rsidRPr="000F468A">
        <w:rPr>
          <w:rFonts w:ascii="Arial" w:hAnsi="Arial" w:cs="Arial"/>
          <w:sz w:val="20"/>
          <w:szCs w:val="20"/>
        </w:rPr>
        <w:t>0</w:t>
      </w:r>
      <w:r w:rsidR="008B4A16">
        <w:rPr>
          <w:rFonts w:ascii="Arial" w:hAnsi="Arial" w:cs="Arial"/>
          <w:sz w:val="20"/>
          <w:szCs w:val="20"/>
        </w:rPr>
        <w:t xml:space="preserve"> </w:t>
      </w:r>
      <w:r w:rsidRPr="000F468A">
        <w:rPr>
          <w:rFonts w:ascii="Arial" w:hAnsi="Arial" w:cs="Arial"/>
          <w:sz w:val="20"/>
          <w:szCs w:val="20"/>
        </w:rPr>
        <w:t>roku". KPK obowiązuje do roku 2023, czyli do momentu,</w:t>
      </w:r>
      <w:r w:rsidR="00F02B63">
        <w:rPr>
          <w:rFonts w:ascii="Arial" w:hAnsi="Arial" w:cs="Arial"/>
          <w:sz w:val="20"/>
          <w:szCs w:val="20"/>
        </w:rPr>
        <w:t xml:space="preserve"> w </w:t>
      </w:r>
      <w:r w:rsidRPr="000F468A">
        <w:rPr>
          <w:rFonts w:ascii="Arial" w:hAnsi="Arial" w:cs="Arial"/>
          <w:sz w:val="20"/>
          <w:szCs w:val="20"/>
        </w:rPr>
        <w:t>którym kończy się możliwość dofinansowania projektów</w:t>
      </w:r>
      <w:r>
        <w:rPr>
          <w:rFonts w:ascii="Arial" w:hAnsi="Arial" w:cs="Arial"/>
          <w:sz w:val="20"/>
          <w:szCs w:val="20"/>
        </w:rPr>
        <w:t xml:space="preserve"> w </w:t>
      </w:r>
      <w:r w:rsidRPr="000F468A">
        <w:rPr>
          <w:rFonts w:ascii="Arial" w:hAnsi="Arial" w:cs="Arial"/>
          <w:sz w:val="20"/>
          <w:szCs w:val="20"/>
        </w:rPr>
        <w:t>ram</w:t>
      </w:r>
      <w:r>
        <w:rPr>
          <w:rFonts w:ascii="Arial" w:hAnsi="Arial" w:cs="Arial"/>
          <w:sz w:val="20"/>
          <w:szCs w:val="20"/>
        </w:rPr>
        <w:t>ach perspektywy finansowej UE</w:t>
      </w:r>
      <w:r w:rsidRPr="000F468A">
        <w:rPr>
          <w:rFonts w:ascii="Arial" w:hAnsi="Arial" w:cs="Arial"/>
          <w:sz w:val="20"/>
          <w:szCs w:val="20"/>
        </w:rPr>
        <w:t xml:space="preserve"> na lata 2014-2020. Dokument ten określa wielkość</w:t>
      </w:r>
      <w:r>
        <w:rPr>
          <w:rFonts w:ascii="Arial" w:hAnsi="Arial" w:cs="Arial"/>
          <w:sz w:val="20"/>
          <w:szCs w:val="20"/>
        </w:rPr>
        <w:t xml:space="preserve"> i </w:t>
      </w:r>
      <w:r w:rsidRPr="000F468A">
        <w:rPr>
          <w:rFonts w:ascii="Arial" w:hAnsi="Arial" w:cs="Arial"/>
          <w:sz w:val="20"/>
          <w:szCs w:val="20"/>
        </w:rPr>
        <w:t>źródła finansowania (w tym środki</w:t>
      </w:r>
      <w:r>
        <w:rPr>
          <w:rFonts w:ascii="Arial" w:hAnsi="Arial" w:cs="Arial"/>
          <w:sz w:val="20"/>
          <w:szCs w:val="20"/>
        </w:rPr>
        <w:t xml:space="preserve"> z </w:t>
      </w:r>
      <w:r w:rsidRPr="000F468A">
        <w:rPr>
          <w:rFonts w:ascii="Arial" w:hAnsi="Arial" w:cs="Arial"/>
          <w:sz w:val="20"/>
          <w:szCs w:val="20"/>
        </w:rPr>
        <w:t>UE oraz środki krajowe), a także stanowi podstawę dla zapewnienia finansowania inwestycji zgodnie</w:t>
      </w:r>
      <w:r>
        <w:rPr>
          <w:rFonts w:ascii="Arial" w:hAnsi="Arial" w:cs="Arial"/>
          <w:sz w:val="20"/>
          <w:szCs w:val="20"/>
        </w:rPr>
        <w:t xml:space="preserve"> z </w:t>
      </w:r>
      <w:r w:rsidRPr="000F468A">
        <w:rPr>
          <w:rFonts w:ascii="Arial" w:hAnsi="Arial" w:cs="Arial"/>
          <w:sz w:val="20"/>
          <w:szCs w:val="20"/>
        </w:rPr>
        <w:t>ustawą o finansach publicznych.</w:t>
      </w:r>
    </w:p>
    <w:p w14:paraId="50EE5FEC" w14:textId="77777777" w:rsidR="00AD7F79" w:rsidRPr="000F468A" w:rsidRDefault="00AD7F79" w:rsidP="007B1C13">
      <w:pPr>
        <w:tabs>
          <w:tab w:val="left" w:pos="284"/>
        </w:tabs>
        <w:spacing w:before="120" w:after="120" w:line="240" w:lineRule="exact"/>
        <w:jc w:val="both"/>
        <w:rPr>
          <w:rFonts w:ascii="Arial" w:hAnsi="Arial" w:cs="Arial"/>
          <w:sz w:val="20"/>
          <w:szCs w:val="20"/>
        </w:rPr>
      </w:pPr>
      <w:r w:rsidRPr="000F468A">
        <w:rPr>
          <w:rFonts w:ascii="Arial" w:hAnsi="Arial" w:cs="Arial"/>
          <w:sz w:val="20"/>
          <w:szCs w:val="20"/>
        </w:rPr>
        <w:t xml:space="preserve">W ramach KPK Spółka PKP Polskie Linie Kolejowe S.A. prowadzi szereg inwestycji związanych </w:t>
      </w:r>
      <w:r w:rsidRPr="000F468A">
        <w:rPr>
          <w:rFonts w:ascii="Arial" w:hAnsi="Arial" w:cs="Arial"/>
          <w:sz w:val="20"/>
          <w:szCs w:val="20"/>
        </w:rPr>
        <w:br/>
        <w:t>z poprawą dostępu kolejowego do portów morskich:</w:t>
      </w:r>
    </w:p>
    <w:p w14:paraId="63E2B16E" w14:textId="77777777" w:rsidR="00AD7F79" w:rsidRPr="000F468A" w:rsidRDefault="00AD7F79" w:rsidP="00AD7F79">
      <w:pPr>
        <w:tabs>
          <w:tab w:val="left" w:pos="284"/>
        </w:tabs>
        <w:spacing w:before="120" w:after="120" w:line="240" w:lineRule="exact"/>
        <w:jc w:val="both"/>
        <w:rPr>
          <w:rFonts w:ascii="Arial" w:hAnsi="Arial" w:cs="Arial"/>
          <w:sz w:val="20"/>
          <w:szCs w:val="20"/>
        </w:rPr>
      </w:pPr>
      <w:r>
        <w:rPr>
          <w:rFonts w:ascii="Arial" w:hAnsi="Arial" w:cs="Arial"/>
          <w:sz w:val="20"/>
          <w:szCs w:val="20"/>
        </w:rPr>
        <w:t xml:space="preserve">- </w:t>
      </w:r>
      <w:r w:rsidRPr="000F468A">
        <w:rPr>
          <w:rFonts w:ascii="Arial" w:hAnsi="Arial" w:cs="Arial"/>
          <w:sz w:val="20"/>
          <w:szCs w:val="20"/>
        </w:rPr>
        <w:t>Poprawa dostępu kolejowego do portu morskiego</w:t>
      </w:r>
      <w:r>
        <w:rPr>
          <w:rFonts w:ascii="Arial" w:hAnsi="Arial" w:cs="Arial"/>
          <w:sz w:val="20"/>
          <w:szCs w:val="20"/>
        </w:rPr>
        <w:t xml:space="preserve"> w </w:t>
      </w:r>
      <w:r w:rsidRPr="000F468A">
        <w:rPr>
          <w:rFonts w:ascii="Arial" w:hAnsi="Arial" w:cs="Arial"/>
          <w:sz w:val="20"/>
          <w:szCs w:val="20"/>
        </w:rPr>
        <w:t>Gdyni,</w:t>
      </w:r>
    </w:p>
    <w:p w14:paraId="0ABDBADB" w14:textId="77777777" w:rsidR="00AD7F79" w:rsidRPr="000F468A" w:rsidRDefault="00AD7F79" w:rsidP="00AD7F79">
      <w:pPr>
        <w:tabs>
          <w:tab w:val="left" w:pos="284"/>
        </w:tabs>
        <w:spacing w:before="120" w:after="120" w:line="240" w:lineRule="exact"/>
        <w:jc w:val="both"/>
        <w:rPr>
          <w:rFonts w:ascii="Arial" w:hAnsi="Arial" w:cs="Arial"/>
          <w:sz w:val="20"/>
          <w:szCs w:val="20"/>
        </w:rPr>
      </w:pPr>
      <w:r>
        <w:rPr>
          <w:rFonts w:ascii="Arial" w:hAnsi="Arial" w:cs="Arial"/>
          <w:sz w:val="20"/>
          <w:szCs w:val="20"/>
        </w:rPr>
        <w:t xml:space="preserve">- </w:t>
      </w:r>
      <w:r w:rsidRPr="000F468A">
        <w:rPr>
          <w:rFonts w:ascii="Arial" w:hAnsi="Arial" w:cs="Arial"/>
          <w:sz w:val="20"/>
          <w:szCs w:val="20"/>
        </w:rPr>
        <w:t>Poprawa infrastruktury kolejowego dostępu do portu Gdańsk,</w:t>
      </w:r>
    </w:p>
    <w:p w14:paraId="2BB61AA2" w14:textId="77777777" w:rsidR="00AD7F79" w:rsidRPr="000F468A" w:rsidRDefault="00AD7F79" w:rsidP="00AD7F79">
      <w:pPr>
        <w:tabs>
          <w:tab w:val="left" w:pos="284"/>
        </w:tabs>
        <w:spacing w:before="120" w:after="120" w:line="240" w:lineRule="exact"/>
        <w:jc w:val="both"/>
        <w:rPr>
          <w:rFonts w:ascii="Arial" w:hAnsi="Arial" w:cs="Arial"/>
          <w:sz w:val="20"/>
          <w:szCs w:val="20"/>
        </w:rPr>
      </w:pPr>
      <w:r>
        <w:rPr>
          <w:rFonts w:ascii="Arial" w:hAnsi="Arial" w:cs="Arial"/>
          <w:sz w:val="20"/>
          <w:szCs w:val="20"/>
        </w:rPr>
        <w:t xml:space="preserve">- </w:t>
      </w:r>
      <w:r w:rsidRPr="000F468A">
        <w:rPr>
          <w:rFonts w:ascii="Arial" w:hAnsi="Arial" w:cs="Arial"/>
          <w:sz w:val="20"/>
          <w:szCs w:val="20"/>
        </w:rPr>
        <w:t>Projekt poprawy dostępu kolejowego do Portu Gdańsk (most + dwutorowa linia kolejowa),</w:t>
      </w:r>
    </w:p>
    <w:p w14:paraId="04287FBD" w14:textId="77777777" w:rsidR="00AD7F79" w:rsidRDefault="00AD7F79" w:rsidP="00AD7F79">
      <w:pPr>
        <w:tabs>
          <w:tab w:val="left" w:pos="284"/>
        </w:tabs>
        <w:spacing w:before="120" w:after="120" w:line="240" w:lineRule="exact"/>
        <w:jc w:val="both"/>
        <w:rPr>
          <w:rFonts w:ascii="Arial" w:hAnsi="Arial" w:cs="Arial"/>
          <w:sz w:val="20"/>
          <w:szCs w:val="20"/>
        </w:rPr>
      </w:pPr>
      <w:r>
        <w:rPr>
          <w:rFonts w:ascii="Arial" w:hAnsi="Arial" w:cs="Arial"/>
          <w:sz w:val="20"/>
          <w:szCs w:val="20"/>
        </w:rPr>
        <w:t xml:space="preserve">- </w:t>
      </w:r>
      <w:r w:rsidRPr="000F468A">
        <w:rPr>
          <w:rFonts w:ascii="Arial" w:hAnsi="Arial" w:cs="Arial"/>
          <w:sz w:val="20"/>
          <w:szCs w:val="20"/>
        </w:rPr>
        <w:t>Poprawa dostępu kolejowego do portów morskich</w:t>
      </w:r>
      <w:r>
        <w:rPr>
          <w:rFonts w:ascii="Arial" w:hAnsi="Arial" w:cs="Arial"/>
          <w:sz w:val="20"/>
          <w:szCs w:val="20"/>
        </w:rPr>
        <w:t xml:space="preserve"> w </w:t>
      </w:r>
      <w:r w:rsidRPr="000F468A">
        <w:rPr>
          <w:rFonts w:ascii="Arial" w:hAnsi="Arial" w:cs="Arial"/>
          <w:sz w:val="20"/>
          <w:szCs w:val="20"/>
        </w:rPr>
        <w:t>Szczecinie</w:t>
      </w:r>
      <w:r>
        <w:rPr>
          <w:rFonts w:ascii="Arial" w:hAnsi="Arial" w:cs="Arial"/>
          <w:sz w:val="20"/>
          <w:szCs w:val="20"/>
        </w:rPr>
        <w:t xml:space="preserve"> i Świnoujściu.</w:t>
      </w:r>
    </w:p>
    <w:p w14:paraId="20B922B2" w14:textId="77777777" w:rsidR="00AD7F79" w:rsidRPr="000F468A" w:rsidRDefault="00AD7F79" w:rsidP="00AD7F79">
      <w:pPr>
        <w:spacing w:before="120" w:after="120" w:line="276" w:lineRule="auto"/>
        <w:jc w:val="both"/>
        <w:rPr>
          <w:rFonts w:ascii="Arial" w:hAnsi="Arial" w:cs="Arial"/>
          <w:sz w:val="20"/>
          <w:szCs w:val="20"/>
        </w:rPr>
      </w:pPr>
      <w:r w:rsidRPr="000F468A">
        <w:rPr>
          <w:rFonts w:ascii="Arial" w:hAnsi="Arial" w:cs="Arial"/>
          <w:sz w:val="20"/>
          <w:szCs w:val="20"/>
        </w:rPr>
        <w:t>Projektami współuczestniczącymi</w:t>
      </w:r>
      <w:r>
        <w:rPr>
          <w:rFonts w:ascii="Arial" w:hAnsi="Arial" w:cs="Arial"/>
          <w:sz w:val="20"/>
          <w:szCs w:val="20"/>
        </w:rPr>
        <w:t xml:space="preserve"> w </w:t>
      </w:r>
      <w:r w:rsidRPr="000F468A">
        <w:rPr>
          <w:rFonts w:ascii="Arial" w:hAnsi="Arial" w:cs="Arial"/>
          <w:sz w:val="20"/>
          <w:szCs w:val="20"/>
        </w:rPr>
        <w:t>poprawie dostępu do ww. portów morskich są:</w:t>
      </w:r>
    </w:p>
    <w:p w14:paraId="7974C081" w14:textId="0EB65162" w:rsidR="00AD7F79" w:rsidRPr="000F468A" w:rsidRDefault="00AD7F79" w:rsidP="00AD7F79">
      <w:pPr>
        <w:tabs>
          <w:tab w:val="left" w:pos="284"/>
        </w:tabs>
        <w:spacing w:before="120" w:after="120" w:line="240" w:lineRule="exact"/>
        <w:jc w:val="both"/>
        <w:rPr>
          <w:rFonts w:ascii="Arial" w:hAnsi="Arial" w:cs="Arial"/>
          <w:sz w:val="20"/>
          <w:szCs w:val="20"/>
        </w:rPr>
      </w:pPr>
      <w:r>
        <w:rPr>
          <w:rFonts w:ascii="Arial" w:hAnsi="Arial" w:cs="Arial"/>
          <w:sz w:val="20"/>
          <w:szCs w:val="20"/>
        </w:rPr>
        <w:t xml:space="preserve">- </w:t>
      </w:r>
      <w:r w:rsidRPr="000F468A">
        <w:rPr>
          <w:rFonts w:ascii="Arial" w:hAnsi="Arial" w:cs="Arial"/>
          <w:sz w:val="20"/>
          <w:szCs w:val="20"/>
        </w:rPr>
        <w:t xml:space="preserve">Prace na alternatywnym ciągu transportowym Bydgoszcz </w:t>
      </w:r>
      <w:r w:rsidR="00E40B83">
        <w:rPr>
          <w:rFonts w:ascii="Arial" w:hAnsi="Arial" w:cs="Arial"/>
          <w:sz w:val="20"/>
          <w:szCs w:val="20"/>
        </w:rPr>
        <w:t>-</w:t>
      </w:r>
      <w:r w:rsidRPr="000F468A">
        <w:rPr>
          <w:rFonts w:ascii="Arial" w:hAnsi="Arial" w:cs="Arial"/>
          <w:sz w:val="20"/>
          <w:szCs w:val="20"/>
        </w:rPr>
        <w:t xml:space="preserve"> Trójmiasto (linia kolejowa nr 201),</w:t>
      </w:r>
    </w:p>
    <w:p w14:paraId="374B80C8" w14:textId="1D78E07B" w:rsidR="007C59E4" w:rsidRPr="007B1C13" w:rsidRDefault="00AD7F79" w:rsidP="00565489">
      <w:pPr>
        <w:spacing w:before="120" w:after="120" w:line="276" w:lineRule="auto"/>
        <w:jc w:val="both"/>
        <w:rPr>
          <w:rFonts w:ascii="Arial" w:hAnsi="Arial" w:cs="Arial"/>
          <w:color w:val="FF0000"/>
          <w:sz w:val="20"/>
          <w:szCs w:val="20"/>
        </w:rPr>
      </w:pPr>
      <w:r>
        <w:rPr>
          <w:rFonts w:ascii="Arial" w:hAnsi="Arial" w:cs="Arial"/>
          <w:sz w:val="20"/>
          <w:szCs w:val="20"/>
        </w:rPr>
        <w:t xml:space="preserve">- </w:t>
      </w:r>
      <w:r w:rsidRPr="000F468A">
        <w:rPr>
          <w:rFonts w:ascii="Arial" w:hAnsi="Arial" w:cs="Arial"/>
          <w:sz w:val="20"/>
          <w:szCs w:val="20"/>
        </w:rPr>
        <w:t>Prace</w:t>
      </w:r>
      <w:r>
        <w:rPr>
          <w:rFonts w:ascii="Arial" w:hAnsi="Arial" w:cs="Arial"/>
          <w:sz w:val="20"/>
          <w:szCs w:val="20"/>
        </w:rPr>
        <w:t xml:space="preserve"> w </w:t>
      </w:r>
      <w:r w:rsidRPr="000F468A">
        <w:rPr>
          <w:rFonts w:ascii="Arial" w:hAnsi="Arial" w:cs="Arial"/>
          <w:sz w:val="20"/>
          <w:szCs w:val="20"/>
        </w:rPr>
        <w:t xml:space="preserve">ciągu C-E 65 na odcinku Zduńska Wola - Inowrocław </w:t>
      </w:r>
      <w:r w:rsidR="00E40B83">
        <w:rPr>
          <w:rFonts w:ascii="Arial" w:hAnsi="Arial" w:cs="Arial"/>
          <w:sz w:val="20"/>
          <w:szCs w:val="20"/>
        </w:rPr>
        <w:t>-</w:t>
      </w:r>
      <w:r w:rsidRPr="000F468A">
        <w:rPr>
          <w:rFonts w:ascii="Arial" w:hAnsi="Arial" w:cs="Arial"/>
          <w:sz w:val="20"/>
          <w:szCs w:val="20"/>
        </w:rPr>
        <w:t xml:space="preserve"> Tczew  na obszarach</w:t>
      </w:r>
      <w:r>
        <w:rPr>
          <w:rFonts w:ascii="Arial" w:hAnsi="Arial" w:cs="Arial"/>
          <w:sz w:val="20"/>
          <w:szCs w:val="20"/>
        </w:rPr>
        <w:t xml:space="preserve"> LCS Zduńska Wola Karsznice, LCS Inowrocław, LCS Bydgoszcz Główna i LCS Tczew.</w:t>
      </w:r>
    </w:p>
    <w:p w14:paraId="2E5D035E" w14:textId="5AD87C99" w:rsidR="00131183" w:rsidRPr="00651344" w:rsidRDefault="00131183" w:rsidP="00565489">
      <w:pPr>
        <w:pStyle w:val="Nagwek2"/>
        <w:spacing w:before="120" w:after="120"/>
        <w:jc w:val="both"/>
        <w:rPr>
          <w:rFonts w:ascii="Arial" w:hAnsi="Arial" w:cs="Arial"/>
          <w:b/>
          <w:color w:val="auto"/>
          <w:sz w:val="20"/>
          <w:szCs w:val="20"/>
        </w:rPr>
      </w:pPr>
      <w:bookmarkStart w:id="10" w:name="_Toc31884577"/>
      <w:bookmarkStart w:id="11" w:name="_Toc72745032"/>
      <w:r w:rsidRPr="00651344">
        <w:rPr>
          <w:rFonts w:ascii="Arial" w:hAnsi="Arial" w:cs="Arial"/>
          <w:b/>
          <w:color w:val="auto"/>
          <w:sz w:val="20"/>
          <w:szCs w:val="20"/>
        </w:rPr>
        <w:t>Umowy</w:t>
      </w:r>
      <w:r w:rsidR="004C6CC5" w:rsidRPr="00651344">
        <w:rPr>
          <w:rFonts w:ascii="Arial" w:hAnsi="Arial" w:cs="Arial"/>
          <w:b/>
          <w:color w:val="auto"/>
          <w:sz w:val="20"/>
          <w:szCs w:val="20"/>
        </w:rPr>
        <w:t xml:space="preserve"> w </w:t>
      </w:r>
      <w:r w:rsidRPr="00651344">
        <w:rPr>
          <w:rFonts w:ascii="Arial" w:hAnsi="Arial" w:cs="Arial"/>
          <w:b/>
          <w:color w:val="auto"/>
          <w:sz w:val="20"/>
          <w:szCs w:val="20"/>
        </w:rPr>
        <w:t>sprawie unikania podwójnego opodatkowania</w:t>
      </w:r>
      <w:bookmarkEnd w:id="10"/>
      <w:r w:rsidRPr="00651344">
        <w:rPr>
          <w:rFonts w:ascii="Arial" w:hAnsi="Arial" w:cs="Arial"/>
          <w:b/>
          <w:color w:val="auto"/>
          <w:sz w:val="20"/>
          <w:szCs w:val="20"/>
        </w:rPr>
        <w:t>.</w:t>
      </w:r>
      <w:bookmarkEnd w:id="11"/>
    </w:p>
    <w:p w14:paraId="2F071FDD" w14:textId="2C94F288" w:rsidR="00131183" w:rsidRPr="000F468A" w:rsidRDefault="00131183" w:rsidP="00565489">
      <w:pPr>
        <w:spacing w:before="120" w:after="120" w:line="276" w:lineRule="auto"/>
        <w:jc w:val="both"/>
        <w:rPr>
          <w:rFonts w:ascii="Arial" w:hAnsi="Arial" w:cs="Arial"/>
          <w:sz w:val="20"/>
          <w:szCs w:val="20"/>
        </w:rPr>
      </w:pPr>
      <w:r w:rsidRPr="000F468A">
        <w:rPr>
          <w:rFonts w:ascii="Arial" w:hAnsi="Arial" w:cs="Arial"/>
          <w:sz w:val="20"/>
          <w:szCs w:val="20"/>
        </w:rPr>
        <w:t>Umowy</w:t>
      </w:r>
      <w:r w:rsidR="004C6CC5">
        <w:rPr>
          <w:rFonts w:ascii="Arial" w:hAnsi="Arial" w:cs="Arial"/>
          <w:sz w:val="20"/>
          <w:szCs w:val="20"/>
        </w:rPr>
        <w:t xml:space="preserve"> w </w:t>
      </w:r>
      <w:r w:rsidRPr="000F468A">
        <w:rPr>
          <w:rFonts w:ascii="Arial" w:hAnsi="Arial" w:cs="Arial"/>
          <w:sz w:val="20"/>
          <w:szCs w:val="20"/>
        </w:rPr>
        <w:t>sprawie unikania p</w:t>
      </w:r>
      <w:r w:rsidR="00307309">
        <w:rPr>
          <w:rFonts w:ascii="Arial" w:hAnsi="Arial" w:cs="Arial"/>
          <w:sz w:val="20"/>
          <w:szCs w:val="20"/>
        </w:rPr>
        <w:t>odwójnego opodatkowania (</w:t>
      </w:r>
      <w:r w:rsidRPr="000F468A">
        <w:rPr>
          <w:rFonts w:ascii="Arial" w:hAnsi="Arial" w:cs="Arial"/>
          <w:sz w:val="20"/>
          <w:szCs w:val="20"/>
        </w:rPr>
        <w:t>UPO) zawierają przepisy rozdzielające między umawiające się państwa</w:t>
      </w:r>
      <w:r w:rsidR="00307309">
        <w:rPr>
          <w:rFonts w:ascii="Arial" w:hAnsi="Arial" w:cs="Arial"/>
          <w:sz w:val="20"/>
          <w:szCs w:val="20"/>
        </w:rPr>
        <w:t>,</w:t>
      </w:r>
      <w:r w:rsidRPr="000F468A">
        <w:rPr>
          <w:rFonts w:ascii="Arial" w:hAnsi="Arial" w:cs="Arial"/>
          <w:sz w:val="20"/>
          <w:szCs w:val="20"/>
        </w:rPr>
        <w:t xml:space="preserve"> m</w:t>
      </w:r>
      <w:r w:rsidR="00307309">
        <w:rPr>
          <w:rFonts w:ascii="Arial" w:hAnsi="Arial" w:cs="Arial"/>
          <w:sz w:val="20"/>
          <w:szCs w:val="20"/>
        </w:rPr>
        <w:t xml:space="preserve">.in. prawo do opodatkowania: </w:t>
      </w:r>
      <w:r w:rsidRPr="000F468A">
        <w:rPr>
          <w:rFonts w:ascii="Arial" w:hAnsi="Arial" w:cs="Arial"/>
          <w:sz w:val="20"/>
          <w:szCs w:val="20"/>
        </w:rPr>
        <w:t>zysków osiąganych</w:t>
      </w:r>
      <w:r w:rsidR="00A94EC2">
        <w:rPr>
          <w:rFonts w:ascii="Arial" w:hAnsi="Arial" w:cs="Arial"/>
          <w:sz w:val="20"/>
          <w:szCs w:val="20"/>
        </w:rPr>
        <w:t xml:space="preserve"> z </w:t>
      </w:r>
      <w:r w:rsidRPr="000F468A">
        <w:rPr>
          <w:rFonts w:ascii="Arial" w:hAnsi="Arial" w:cs="Arial"/>
          <w:sz w:val="20"/>
          <w:szCs w:val="20"/>
        </w:rPr>
        <w:t>eksploatacji</w:t>
      </w:r>
      <w:r w:rsidR="004C6CC5">
        <w:rPr>
          <w:rFonts w:ascii="Arial" w:hAnsi="Arial" w:cs="Arial"/>
          <w:sz w:val="20"/>
          <w:szCs w:val="20"/>
        </w:rPr>
        <w:t xml:space="preserve"> w </w:t>
      </w:r>
      <w:r w:rsidRPr="000F468A">
        <w:rPr>
          <w:rFonts w:ascii="Arial" w:hAnsi="Arial" w:cs="Arial"/>
          <w:sz w:val="20"/>
          <w:szCs w:val="20"/>
        </w:rPr>
        <w:t>transporcie międzynarodowym s</w:t>
      </w:r>
      <w:r w:rsidR="00307309">
        <w:rPr>
          <w:rFonts w:ascii="Arial" w:hAnsi="Arial" w:cs="Arial"/>
          <w:sz w:val="20"/>
          <w:szCs w:val="20"/>
        </w:rPr>
        <w:t xml:space="preserve">tatków morskich oraz </w:t>
      </w:r>
      <w:r w:rsidRPr="000F468A">
        <w:rPr>
          <w:rFonts w:ascii="Arial" w:hAnsi="Arial" w:cs="Arial"/>
          <w:sz w:val="20"/>
          <w:szCs w:val="20"/>
        </w:rPr>
        <w:t>dochodów</w:t>
      </w:r>
      <w:r w:rsidR="00A94EC2">
        <w:rPr>
          <w:rFonts w:ascii="Arial" w:hAnsi="Arial" w:cs="Arial"/>
          <w:sz w:val="20"/>
          <w:szCs w:val="20"/>
        </w:rPr>
        <w:t xml:space="preserve"> z </w:t>
      </w:r>
      <w:r w:rsidRPr="000F468A">
        <w:rPr>
          <w:rFonts w:ascii="Arial" w:hAnsi="Arial" w:cs="Arial"/>
          <w:sz w:val="20"/>
          <w:szCs w:val="20"/>
        </w:rPr>
        <w:t>tytułu pracy najemnej wykonywanej na pokładzie statku morskiego eksploatowanego</w:t>
      </w:r>
      <w:r w:rsidR="004C6CC5">
        <w:rPr>
          <w:rFonts w:ascii="Arial" w:hAnsi="Arial" w:cs="Arial"/>
          <w:sz w:val="20"/>
          <w:szCs w:val="20"/>
        </w:rPr>
        <w:t xml:space="preserve"> w </w:t>
      </w:r>
      <w:r w:rsidRPr="000F468A">
        <w:rPr>
          <w:rFonts w:ascii="Arial" w:hAnsi="Arial" w:cs="Arial"/>
          <w:sz w:val="20"/>
          <w:szCs w:val="20"/>
        </w:rPr>
        <w:t xml:space="preserve">transporcie międzynarodowym. </w:t>
      </w:r>
    </w:p>
    <w:p w14:paraId="3F5E34D5" w14:textId="659BAC34" w:rsidR="00131183" w:rsidRPr="000F468A" w:rsidRDefault="008066BD" w:rsidP="00E340A7">
      <w:pPr>
        <w:spacing w:line="276" w:lineRule="auto"/>
        <w:jc w:val="both"/>
        <w:rPr>
          <w:rFonts w:ascii="Arial" w:hAnsi="Arial" w:cs="Arial"/>
          <w:sz w:val="20"/>
          <w:szCs w:val="20"/>
        </w:rPr>
      </w:pPr>
      <w:r>
        <w:rPr>
          <w:rFonts w:ascii="Arial" w:hAnsi="Arial" w:cs="Arial"/>
          <w:sz w:val="20"/>
          <w:szCs w:val="20"/>
        </w:rPr>
        <w:t>Dodatkowo</w:t>
      </w:r>
      <w:r w:rsidR="00131183" w:rsidRPr="000F468A">
        <w:rPr>
          <w:rFonts w:ascii="Arial" w:hAnsi="Arial" w:cs="Arial"/>
          <w:sz w:val="20"/>
          <w:szCs w:val="20"/>
        </w:rPr>
        <w:t xml:space="preserve"> UP</w:t>
      </w:r>
      <w:r>
        <w:rPr>
          <w:rFonts w:ascii="Arial" w:hAnsi="Arial" w:cs="Arial"/>
          <w:sz w:val="20"/>
          <w:szCs w:val="20"/>
        </w:rPr>
        <w:t>O zawierają także regulacje dotyczące</w:t>
      </w:r>
      <w:r w:rsidR="00131183" w:rsidRPr="000F468A">
        <w:rPr>
          <w:rFonts w:ascii="Arial" w:hAnsi="Arial" w:cs="Arial"/>
          <w:sz w:val="20"/>
          <w:szCs w:val="20"/>
        </w:rPr>
        <w:t xml:space="preserve"> stosowanej przez państwa metody unikania podwójnego opodatkowania, która może mieć wpływ na opodatkowanie</w:t>
      </w:r>
      <w:r w:rsidR="00A94EC2">
        <w:rPr>
          <w:rFonts w:ascii="Arial" w:hAnsi="Arial" w:cs="Arial"/>
          <w:sz w:val="20"/>
          <w:szCs w:val="20"/>
        </w:rPr>
        <w:t xml:space="preserve"> w </w:t>
      </w:r>
      <w:r w:rsidR="00131183" w:rsidRPr="000F468A">
        <w:rPr>
          <w:rFonts w:ascii="Arial" w:hAnsi="Arial" w:cs="Arial"/>
          <w:sz w:val="20"/>
          <w:szCs w:val="20"/>
        </w:rPr>
        <w:t>Polsce również uzyskiwanych przez polskich rezydentów podatkowych dochodów, o których mowa</w:t>
      </w:r>
      <w:r w:rsidR="00C72C50">
        <w:rPr>
          <w:rFonts w:ascii="Arial" w:hAnsi="Arial" w:cs="Arial"/>
          <w:sz w:val="20"/>
          <w:szCs w:val="20"/>
        </w:rPr>
        <w:t xml:space="preserve"> </w:t>
      </w:r>
      <w:r w:rsidR="00131183" w:rsidRPr="000F468A">
        <w:rPr>
          <w:rFonts w:ascii="Arial" w:hAnsi="Arial" w:cs="Arial"/>
          <w:sz w:val="20"/>
          <w:szCs w:val="20"/>
        </w:rPr>
        <w:t>powyżej.</w:t>
      </w:r>
    </w:p>
    <w:p w14:paraId="0D45C8D5" w14:textId="42B0A99C" w:rsidR="00131183" w:rsidRDefault="00131183" w:rsidP="00E340A7">
      <w:pPr>
        <w:spacing w:line="276" w:lineRule="auto"/>
        <w:jc w:val="both"/>
        <w:rPr>
          <w:rFonts w:ascii="Arial" w:hAnsi="Arial" w:cs="Arial"/>
          <w:sz w:val="20"/>
          <w:szCs w:val="20"/>
        </w:rPr>
      </w:pPr>
      <w:r w:rsidRPr="000F468A">
        <w:rPr>
          <w:rFonts w:ascii="Arial" w:hAnsi="Arial" w:cs="Arial"/>
          <w:sz w:val="20"/>
          <w:szCs w:val="20"/>
        </w:rPr>
        <w:t>Należy wskazać, że zawierane przez Polskę UPO są co do zasady wzorowane na Modelowej Konwencji OECD</w:t>
      </w:r>
      <w:r w:rsidR="004C6CC5">
        <w:rPr>
          <w:rFonts w:ascii="Arial" w:hAnsi="Arial" w:cs="Arial"/>
          <w:sz w:val="20"/>
          <w:szCs w:val="20"/>
        </w:rPr>
        <w:t xml:space="preserve"> w </w:t>
      </w:r>
      <w:r w:rsidRPr="000F468A">
        <w:rPr>
          <w:rFonts w:ascii="Arial" w:hAnsi="Arial" w:cs="Arial"/>
          <w:sz w:val="20"/>
          <w:szCs w:val="20"/>
        </w:rPr>
        <w:t>sprawie podatku od dochodu</w:t>
      </w:r>
      <w:r w:rsidR="004C6CC5">
        <w:rPr>
          <w:rFonts w:ascii="Arial" w:hAnsi="Arial" w:cs="Arial"/>
          <w:sz w:val="20"/>
          <w:szCs w:val="20"/>
        </w:rPr>
        <w:t xml:space="preserve"> i </w:t>
      </w:r>
      <w:r w:rsidR="00771DC6">
        <w:rPr>
          <w:rFonts w:ascii="Arial" w:hAnsi="Arial" w:cs="Arial"/>
          <w:sz w:val="20"/>
          <w:szCs w:val="20"/>
        </w:rPr>
        <w:t>majątku (</w:t>
      </w:r>
      <w:r w:rsidR="00A94EC2">
        <w:rPr>
          <w:rFonts w:ascii="Arial" w:hAnsi="Arial" w:cs="Arial"/>
          <w:sz w:val="20"/>
          <w:szCs w:val="20"/>
        </w:rPr>
        <w:t xml:space="preserve">MK OECD). </w:t>
      </w:r>
      <w:r w:rsidRPr="000F468A">
        <w:rPr>
          <w:rFonts w:ascii="Arial" w:hAnsi="Arial" w:cs="Arial"/>
          <w:sz w:val="20"/>
          <w:szCs w:val="20"/>
        </w:rPr>
        <w:t>MK OECD</w:t>
      </w:r>
      <w:r w:rsidR="004C6CC5">
        <w:rPr>
          <w:rFonts w:ascii="Arial" w:hAnsi="Arial" w:cs="Arial"/>
          <w:sz w:val="20"/>
          <w:szCs w:val="20"/>
        </w:rPr>
        <w:t xml:space="preserve"> w </w:t>
      </w:r>
      <w:r w:rsidRPr="000F468A">
        <w:rPr>
          <w:rFonts w:ascii="Arial" w:hAnsi="Arial" w:cs="Arial"/>
          <w:sz w:val="20"/>
          <w:szCs w:val="20"/>
        </w:rPr>
        <w:t>kształcie nadanym</w:t>
      </w:r>
      <w:r w:rsidR="004C6CC5">
        <w:rPr>
          <w:rFonts w:ascii="Arial" w:hAnsi="Arial" w:cs="Arial"/>
          <w:sz w:val="20"/>
          <w:szCs w:val="20"/>
        </w:rPr>
        <w:t xml:space="preserve"> </w:t>
      </w:r>
      <w:r w:rsidR="00A94EC2">
        <w:rPr>
          <w:rFonts w:ascii="Arial" w:hAnsi="Arial" w:cs="Arial"/>
          <w:sz w:val="20"/>
          <w:szCs w:val="20"/>
        </w:rPr>
        <w:br/>
      </w:r>
      <w:r w:rsidR="004C6CC5">
        <w:rPr>
          <w:rFonts w:ascii="Arial" w:hAnsi="Arial" w:cs="Arial"/>
          <w:sz w:val="20"/>
          <w:szCs w:val="20"/>
        </w:rPr>
        <w:t>w </w:t>
      </w:r>
      <w:r w:rsidRPr="000F468A">
        <w:rPr>
          <w:rFonts w:ascii="Arial" w:hAnsi="Arial" w:cs="Arial"/>
          <w:sz w:val="20"/>
          <w:szCs w:val="20"/>
        </w:rPr>
        <w:t>2017 r. definiuje transport międzynarodowy jako wszelki transport statkiem morskim lub statkiem powietrznym, poza przypadkami</w:t>
      </w:r>
      <w:r w:rsidR="00771DC6">
        <w:rPr>
          <w:rFonts w:ascii="Arial" w:hAnsi="Arial" w:cs="Arial"/>
          <w:sz w:val="20"/>
          <w:szCs w:val="20"/>
        </w:rPr>
        <w:t>,</w:t>
      </w:r>
      <w:r w:rsidRPr="000F468A">
        <w:rPr>
          <w:rFonts w:ascii="Arial" w:hAnsi="Arial" w:cs="Arial"/>
          <w:sz w:val="20"/>
          <w:szCs w:val="20"/>
        </w:rPr>
        <w:t xml:space="preserve"> gdy statek jest eksploatowany wyłącznie między miejscami położonymi</w:t>
      </w:r>
      <w:r w:rsidR="004C6CC5">
        <w:rPr>
          <w:rFonts w:ascii="Arial" w:hAnsi="Arial" w:cs="Arial"/>
          <w:sz w:val="20"/>
          <w:szCs w:val="20"/>
        </w:rPr>
        <w:t xml:space="preserve"> w </w:t>
      </w:r>
      <w:r w:rsidRPr="000F468A">
        <w:rPr>
          <w:rFonts w:ascii="Arial" w:hAnsi="Arial" w:cs="Arial"/>
          <w:sz w:val="20"/>
          <w:szCs w:val="20"/>
        </w:rPr>
        <w:t>umawiającym się państwie</w:t>
      </w:r>
      <w:r w:rsidR="004C6CC5">
        <w:rPr>
          <w:rFonts w:ascii="Arial" w:hAnsi="Arial" w:cs="Arial"/>
          <w:sz w:val="20"/>
          <w:szCs w:val="20"/>
        </w:rPr>
        <w:t xml:space="preserve"> i </w:t>
      </w:r>
      <w:r w:rsidRPr="000F468A">
        <w:rPr>
          <w:rFonts w:ascii="Arial" w:hAnsi="Arial" w:cs="Arial"/>
          <w:sz w:val="20"/>
          <w:szCs w:val="20"/>
        </w:rPr>
        <w:t>gdy przedsiębiorstwo, które eksploatu</w:t>
      </w:r>
      <w:r w:rsidR="00A94EC2">
        <w:rPr>
          <w:rFonts w:ascii="Arial" w:hAnsi="Arial" w:cs="Arial"/>
          <w:sz w:val="20"/>
          <w:szCs w:val="20"/>
        </w:rPr>
        <w:t>je statek morski lub powietrzny</w:t>
      </w:r>
      <w:r w:rsidRPr="000F468A">
        <w:rPr>
          <w:rFonts w:ascii="Arial" w:hAnsi="Arial" w:cs="Arial"/>
          <w:sz w:val="20"/>
          <w:szCs w:val="20"/>
        </w:rPr>
        <w:t xml:space="preserve"> nie jest przedsiębiorstwem tego państwa (ar</w:t>
      </w:r>
      <w:r w:rsidR="00D236B8">
        <w:rPr>
          <w:rFonts w:ascii="Arial" w:hAnsi="Arial" w:cs="Arial"/>
          <w:sz w:val="20"/>
          <w:szCs w:val="20"/>
        </w:rPr>
        <w:t xml:space="preserve">t. 3 ust. 1 lit. e MK OECD). W </w:t>
      </w:r>
      <w:r w:rsidRPr="000F468A">
        <w:rPr>
          <w:rFonts w:ascii="Arial" w:hAnsi="Arial" w:cs="Arial"/>
          <w:sz w:val="20"/>
          <w:szCs w:val="20"/>
        </w:rPr>
        <w:t>zakresie opodatkowania zysków pochodzących</w:t>
      </w:r>
      <w:r w:rsidR="00A94EC2">
        <w:rPr>
          <w:rFonts w:ascii="Arial" w:hAnsi="Arial" w:cs="Arial"/>
          <w:sz w:val="20"/>
          <w:szCs w:val="20"/>
        </w:rPr>
        <w:t xml:space="preserve"> z </w:t>
      </w:r>
      <w:r w:rsidRPr="000F468A">
        <w:rPr>
          <w:rFonts w:ascii="Arial" w:hAnsi="Arial" w:cs="Arial"/>
          <w:sz w:val="20"/>
          <w:szCs w:val="20"/>
        </w:rPr>
        <w:t>eksploatowania przez przedsiębiorstwo umawiającego się państwa statków morskich lub powietrznych</w:t>
      </w:r>
      <w:r w:rsidR="00D236B8">
        <w:rPr>
          <w:rFonts w:ascii="Arial" w:hAnsi="Arial" w:cs="Arial"/>
          <w:sz w:val="20"/>
          <w:szCs w:val="20"/>
        </w:rPr>
        <w:t xml:space="preserve"> w </w:t>
      </w:r>
      <w:r w:rsidRPr="000F468A">
        <w:rPr>
          <w:rFonts w:ascii="Arial" w:hAnsi="Arial" w:cs="Arial"/>
          <w:sz w:val="20"/>
          <w:szCs w:val="20"/>
        </w:rPr>
        <w:t>transporcie międzynarodowym, opodatkowanie tychże zysków może nastąpić wyłącznie</w:t>
      </w:r>
      <w:r w:rsidR="00A94EC2">
        <w:rPr>
          <w:rFonts w:ascii="Arial" w:hAnsi="Arial" w:cs="Arial"/>
          <w:sz w:val="20"/>
          <w:szCs w:val="20"/>
        </w:rPr>
        <w:t xml:space="preserve"> w </w:t>
      </w:r>
      <w:r w:rsidRPr="000F468A">
        <w:rPr>
          <w:rFonts w:ascii="Arial" w:hAnsi="Arial" w:cs="Arial"/>
          <w:sz w:val="20"/>
          <w:szCs w:val="20"/>
        </w:rPr>
        <w:t>tym umawiającym się państwie,</w:t>
      </w:r>
      <w:r w:rsidR="00A94EC2">
        <w:rPr>
          <w:rFonts w:ascii="Arial" w:hAnsi="Arial" w:cs="Arial"/>
          <w:sz w:val="20"/>
          <w:szCs w:val="20"/>
        </w:rPr>
        <w:t xml:space="preserve"> w </w:t>
      </w:r>
      <w:r w:rsidRPr="000F468A">
        <w:rPr>
          <w:rFonts w:ascii="Arial" w:hAnsi="Arial" w:cs="Arial"/>
          <w:sz w:val="20"/>
          <w:szCs w:val="20"/>
        </w:rPr>
        <w:t xml:space="preserve">którym działa takie </w:t>
      </w:r>
      <w:r w:rsidRPr="000F468A">
        <w:rPr>
          <w:rFonts w:ascii="Arial" w:hAnsi="Arial" w:cs="Arial"/>
          <w:sz w:val="20"/>
          <w:szCs w:val="20"/>
        </w:rPr>
        <w:lastRenderedPageBreak/>
        <w:t>przedsiębiorstwo (art. 8 ust. 1 MK OECD). Zasady takie są stosowane także</w:t>
      </w:r>
      <w:r w:rsidR="004C6CC5">
        <w:rPr>
          <w:rFonts w:ascii="Arial" w:hAnsi="Arial" w:cs="Arial"/>
          <w:sz w:val="20"/>
          <w:szCs w:val="20"/>
        </w:rPr>
        <w:t xml:space="preserve"> w </w:t>
      </w:r>
      <w:r w:rsidRPr="000F468A">
        <w:rPr>
          <w:rFonts w:ascii="Arial" w:hAnsi="Arial" w:cs="Arial"/>
          <w:sz w:val="20"/>
          <w:szCs w:val="20"/>
        </w:rPr>
        <w:t>od</w:t>
      </w:r>
      <w:r w:rsidR="00A94EC2">
        <w:rPr>
          <w:rFonts w:ascii="Arial" w:hAnsi="Arial" w:cs="Arial"/>
          <w:sz w:val="20"/>
          <w:szCs w:val="20"/>
        </w:rPr>
        <w:t xml:space="preserve">niesieniu do zysków pochodzących z </w:t>
      </w:r>
      <w:r w:rsidRPr="000F468A">
        <w:rPr>
          <w:rFonts w:ascii="Arial" w:hAnsi="Arial" w:cs="Arial"/>
          <w:sz w:val="20"/>
          <w:szCs w:val="20"/>
        </w:rPr>
        <w:t>uczestnictwa</w:t>
      </w:r>
      <w:r w:rsidR="00A94EC2">
        <w:rPr>
          <w:rFonts w:ascii="Arial" w:hAnsi="Arial" w:cs="Arial"/>
          <w:sz w:val="20"/>
          <w:szCs w:val="20"/>
        </w:rPr>
        <w:t xml:space="preserve"> w </w:t>
      </w:r>
      <w:r w:rsidRPr="000F468A">
        <w:rPr>
          <w:rFonts w:ascii="Arial" w:hAnsi="Arial" w:cs="Arial"/>
          <w:sz w:val="20"/>
          <w:szCs w:val="20"/>
        </w:rPr>
        <w:t>umowie poolowej, we wspólnym przedsięwzięciu lub</w:t>
      </w:r>
      <w:r w:rsidR="004C6CC5">
        <w:rPr>
          <w:rFonts w:ascii="Arial" w:hAnsi="Arial" w:cs="Arial"/>
          <w:sz w:val="20"/>
          <w:szCs w:val="20"/>
        </w:rPr>
        <w:t xml:space="preserve"> w </w:t>
      </w:r>
      <w:r w:rsidRPr="000F468A">
        <w:rPr>
          <w:rFonts w:ascii="Arial" w:hAnsi="Arial" w:cs="Arial"/>
          <w:sz w:val="20"/>
          <w:szCs w:val="20"/>
        </w:rPr>
        <w:t>międzynarodowym związku eksploatacyj</w:t>
      </w:r>
      <w:r w:rsidR="00D236B8">
        <w:rPr>
          <w:rFonts w:ascii="Arial" w:hAnsi="Arial" w:cs="Arial"/>
          <w:sz w:val="20"/>
          <w:szCs w:val="20"/>
        </w:rPr>
        <w:t xml:space="preserve">nym (art. 8 ust. 2 MK OECD). </w:t>
      </w:r>
      <w:r w:rsidRPr="000F468A">
        <w:rPr>
          <w:rFonts w:ascii="Arial" w:hAnsi="Arial" w:cs="Arial"/>
          <w:sz w:val="20"/>
          <w:szCs w:val="20"/>
        </w:rPr>
        <w:t>Zgodnie</w:t>
      </w:r>
      <w:r w:rsidR="00D236B8">
        <w:rPr>
          <w:rFonts w:ascii="Arial" w:hAnsi="Arial" w:cs="Arial"/>
          <w:sz w:val="20"/>
          <w:szCs w:val="20"/>
        </w:rPr>
        <w:t xml:space="preserve"> z </w:t>
      </w:r>
      <w:r w:rsidR="00050C65">
        <w:rPr>
          <w:rFonts w:ascii="Arial" w:hAnsi="Arial" w:cs="Arial"/>
          <w:sz w:val="20"/>
          <w:szCs w:val="20"/>
        </w:rPr>
        <w:t>MK OECD</w:t>
      </w:r>
      <w:r w:rsidRPr="000F468A">
        <w:rPr>
          <w:rFonts w:ascii="Arial" w:hAnsi="Arial" w:cs="Arial"/>
          <w:sz w:val="20"/>
          <w:szCs w:val="20"/>
        </w:rPr>
        <w:t xml:space="preserve"> wynagrodzenie uzyskane</w:t>
      </w:r>
      <w:r w:rsidR="004C6CC5">
        <w:rPr>
          <w:rFonts w:ascii="Arial" w:hAnsi="Arial" w:cs="Arial"/>
          <w:sz w:val="20"/>
          <w:szCs w:val="20"/>
        </w:rPr>
        <w:t xml:space="preserve"> w </w:t>
      </w:r>
      <w:r w:rsidRPr="000F468A">
        <w:rPr>
          <w:rFonts w:ascii="Arial" w:hAnsi="Arial" w:cs="Arial"/>
          <w:sz w:val="20"/>
          <w:szCs w:val="20"/>
        </w:rPr>
        <w:t>związku</w:t>
      </w:r>
      <w:r w:rsidR="004C6CC5">
        <w:rPr>
          <w:rFonts w:ascii="Arial" w:hAnsi="Arial" w:cs="Arial"/>
          <w:sz w:val="20"/>
          <w:szCs w:val="20"/>
        </w:rPr>
        <w:t xml:space="preserve"> z </w:t>
      </w:r>
      <w:r w:rsidRPr="000F468A">
        <w:rPr>
          <w:rFonts w:ascii="Arial" w:hAnsi="Arial" w:cs="Arial"/>
          <w:sz w:val="20"/>
          <w:szCs w:val="20"/>
        </w:rPr>
        <w:t>wykonywaniem pracy najemnej na pokładzie statku morskiego lub statku powietrznego eksploatowanego</w:t>
      </w:r>
      <w:r w:rsidR="004C6CC5">
        <w:rPr>
          <w:rFonts w:ascii="Arial" w:hAnsi="Arial" w:cs="Arial"/>
          <w:sz w:val="20"/>
          <w:szCs w:val="20"/>
        </w:rPr>
        <w:t xml:space="preserve"> w </w:t>
      </w:r>
      <w:r w:rsidRPr="000F468A">
        <w:rPr>
          <w:rFonts w:ascii="Arial" w:hAnsi="Arial" w:cs="Arial"/>
          <w:sz w:val="20"/>
          <w:szCs w:val="20"/>
        </w:rPr>
        <w:t>transporcie międzynarodowym</w:t>
      </w:r>
      <w:r w:rsidR="004C6CC5">
        <w:rPr>
          <w:rFonts w:ascii="Arial" w:hAnsi="Arial" w:cs="Arial"/>
          <w:sz w:val="20"/>
          <w:szCs w:val="20"/>
        </w:rPr>
        <w:t xml:space="preserve"> w </w:t>
      </w:r>
      <w:r w:rsidRPr="000F468A">
        <w:rPr>
          <w:rFonts w:ascii="Arial" w:hAnsi="Arial" w:cs="Arial"/>
          <w:sz w:val="20"/>
          <w:szCs w:val="20"/>
        </w:rPr>
        <w:t>charakterze regularnego członka załogi takiego statku, może być opodatkowane tylko</w:t>
      </w:r>
      <w:r w:rsidR="004C6CC5">
        <w:rPr>
          <w:rFonts w:ascii="Arial" w:hAnsi="Arial" w:cs="Arial"/>
          <w:sz w:val="20"/>
          <w:szCs w:val="20"/>
        </w:rPr>
        <w:t xml:space="preserve"> w </w:t>
      </w:r>
      <w:r w:rsidRPr="000F468A">
        <w:rPr>
          <w:rFonts w:ascii="Arial" w:hAnsi="Arial" w:cs="Arial"/>
          <w:sz w:val="20"/>
          <w:szCs w:val="20"/>
        </w:rPr>
        <w:t>tym umawiającym się państwie, którego rezydentem podatkowym jest osoba wykonująca taką pracę, chyba że praca jest wykonywana na pokładzie statku morskiego lub powietrznego eksploatowanego wyłącznie</w:t>
      </w:r>
      <w:r w:rsidR="004C6CC5">
        <w:rPr>
          <w:rFonts w:ascii="Arial" w:hAnsi="Arial" w:cs="Arial"/>
          <w:sz w:val="20"/>
          <w:szCs w:val="20"/>
        </w:rPr>
        <w:t xml:space="preserve"> w </w:t>
      </w:r>
      <w:r w:rsidRPr="000F468A">
        <w:rPr>
          <w:rFonts w:ascii="Arial" w:hAnsi="Arial" w:cs="Arial"/>
          <w:sz w:val="20"/>
          <w:szCs w:val="20"/>
        </w:rPr>
        <w:t>drugim umawiającym się państwie (art. 15 ust. 3 MK OECD).</w:t>
      </w:r>
    </w:p>
    <w:p w14:paraId="6E8C894A" w14:textId="0C03046D" w:rsidR="005916B2" w:rsidRPr="005916B2" w:rsidRDefault="005916B2" w:rsidP="00E340A7">
      <w:pPr>
        <w:pStyle w:val="Akapitzlist"/>
        <w:numPr>
          <w:ilvl w:val="0"/>
          <w:numId w:val="26"/>
        </w:numPr>
        <w:spacing w:line="276" w:lineRule="auto"/>
        <w:jc w:val="both"/>
        <w:rPr>
          <w:rFonts w:ascii="Arial" w:hAnsi="Arial" w:cs="Arial"/>
          <w:b/>
          <w:bCs/>
          <w:iCs/>
          <w:sz w:val="20"/>
          <w:szCs w:val="20"/>
        </w:rPr>
      </w:pPr>
      <w:r>
        <w:rPr>
          <w:rFonts w:ascii="Arial" w:hAnsi="Arial" w:cs="Arial"/>
          <w:b/>
          <w:bCs/>
          <w:iCs/>
          <w:sz w:val="20"/>
          <w:szCs w:val="20"/>
        </w:rPr>
        <w:t>Negocjacje bilateralne UPO w 2019 r.</w:t>
      </w:r>
    </w:p>
    <w:p w14:paraId="55725D50" w14:textId="69505092" w:rsidR="00CE33D8" w:rsidRPr="004C6CC5" w:rsidRDefault="00131183" w:rsidP="00E340A7">
      <w:pPr>
        <w:spacing w:line="276" w:lineRule="auto"/>
        <w:jc w:val="both"/>
        <w:rPr>
          <w:rFonts w:ascii="Arial" w:hAnsi="Arial" w:cs="Arial"/>
          <w:sz w:val="20"/>
          <w:szCs w:val="20"/>
        </w:rPr>
      </w:pPr>
      <w:r w:rsidRPr="000F468A">
        <w:rPr>
          <w:rFonts w:ascii="Arial" w:hAnsi="Arial" w:cs="Arial"/>
          <w:sz w:val="20"/>
          <w:szCs w:val="20"/>
        </w:rPr>
        <w:t>W 2019 r. prowadzone były negocjacje</w:t>
      </w:r>
      <w:r w:rsidR="004C6CC5">
        <w:rPr>
          <w:rFonts w:ascii="Arial" w:hAnsi="Arial" w:cs="Arial"/>
          <w:sz w:val="20"/>
          <w:szCs w:val="20"/>
        </w:rPr>
        <w:t xml:space="preserve"> w </w:t>
      </w:r>
      <w:r w:rsidRPr="000F468A">
        <w:rPr>
          <w:rFonts w:ascii="Arial" w:hAnsi="Arial" w:cs="Arial"/>
          <w:sz w:val="20"/>
          <w:szCs w:val="20"/>
        </w:rPr>
        <w:t>celu zawarcia nowych UPO oraz protokołów zmieniając</w:t>
      </w:r>
      <w:r w:rsidR="00D236B8">
        <w:rPr>
          <w:rFonts w:ascii="Arial" w:hAnsi="Arial" w:cs="Arial"/>
          <w:sz w:val="20"/>
          <w:szCs w:val="20"/>
        </w:rPr>
        <w:t>ych obowiązujące UPO (które dotyczą</w:t>
      </w:r>
      <w:r w:rsidRPr="000F468A">
        <w:rPr>
          <w:rFonts w:ascii="Arial" w:hAnsi="Arial" w:cs="Arial"/>
          <w:sz w:val="20"/>
          <w:szCs w:val="20"/>
        </w:rPr>
        <w:t xml:space="preserve"> </w:t>
      </w:r>
      <w:r w:rsidR="00D236B8">
        <w:rPr>
          <w:rFonts w:ascii="Arial" w:hAnsi="Arial" w:cs="Arial"/>
          <w:sz w:val="20"/>
          <w:szCs w:val="20"/>
        </w:rPr>
        <w:t xml:space="preserve">również kwestii, o których mowa </w:t>
      </w:r>
      <w:r w:rsidR="004B2987">
        <w:rPr>
          <w:rFonts w:ascii="Arial" w:hAnsi="Arial" w:cs="Arial"/>
          <w:sz w:val="20"/>
          <w:szCs w:val="20"/>
        </w:rPr>
        <w:t>powyżej)</w:t>
      </w:r>
      <w:r w:rsidR="004C6CC5">
        <w:rPr>
          <w:rFonts w:ascii="Arial" w:hAnsi="Arial" w:cs="Arial"/>
          <w:sz w:val="20"/>
          <w:szCs w:val="20"/>
        </w:rPr>
        <w:t xml:space="preserve"> z </w:t>
      </w:r>
      <w:r w:rsidRPr="000F468A">
        <w:rPr>
          <w:rFonts w:ascii="Arial" w:hAnsi="Arial" w:cs="Arial"/>
          <w:sz w:val="20"/>
          <w:szCs w:val="20"/>
        </w:rPr>
        <w:t>szeregiem partnerów traktatowych, m.in.</w:t>
      </w:r>
      <w:r w:rsidR="008D7A07" w:rsidRPr="004C6CC5">
        <w:rPr>
          <w:rFonts w:ascii="Arial" w:hAnsi="Arial" w:cs="Arial"/>
          <w:sz w:val="20"/>
          <w:szCs w:val="20"/>
        </w:rPr>
        <w:t xml:space="preserve"> z</w:t>
      </w:r>
      <w:r w:rsidRPr="000F468A">
        <w:rPr>
          <w:rFonts w:ascii="Arial" w:hAnsi="Arial" w:cs="Arial"/>
          <w:sz w:val="20"/>
          <w:szCs w:val="20"/>
        </w:rPr>
        <w:t xml:space="preserve">: </w:t>
      </w:r>
    </w:p>
    <w:p w14:paraId="1FC29D11" w14:textId="71123857" w:rsidR="00CE33D8" w:rsidRPr="004C6CC5" w:rsidRDefault="00CE33D8" w:rsidP="00E340A7">
      <w:pPr>
        <w:spacing w:line="276" w:lineRule="auto"/>
        <w:jc w:val="both"/>
        <w:rPr>
          <w:rFonts w:ascii="Arial" w:hAnsi="Arial" w:cs="Arial"/>
          <w:sz w:val="20"/>
          <w:szCs w:val="20"/>
        </w:rPr>
      </w:pPr>
      <w:r w:rsidRPr="004C6CC5">
        <w:rPr>
          <w:rFonts w:ascii="Arial" w:hAnsi="Arial" w:cs="Arial"/>
          <w:sz w:val="20"/>
          <w:szCs w:val="20"/>
        </w:rPr>
        <w:t xml:space="preserve">- </w:t>
      </w:r>
      <w:r w:rsidR="00131183" w:rsidRPr="000F468A">
        <w:rPr>
          <w:rFonts w:ascii="Arial" w:hAnsi="Arial" w:cs="Arial"/>
          <w:sz w:val="20"/>
          <w:szCs w:val="20"/>
        </w:rPr>
        <w:t>Braz</w:t>
      </w:r>
      <w:r w:rsidR="008D7A07" w:rsidRPr="004C6CC5">
        <w:rPr>
          <w:rFonts w:ascii="Arial" w:hAnsi="Arial" w:cs="Arial"/>
          <w:sz w:val="20"/>
          <w:szCs w:val="20"/>
        </w:rPr>
        <w:t>ylią</w:t>
      </w:r>
      <w:r w:rsidR="00131183" w:rsidRPr="000F468A">
        <w:rPr>
          <w:rFonts w:ascii="Arial" w:hAnsi="Arial" w:cs="Arial"/>
          <w:sz w:val="20"/>
          <w:szCs w:val="20"/>
        </w:rPr>
        <w:t>, Cypr</w:t>
      </w:r>
      <w:r w:rsidR="000E2E7F">
        <w:rPr>
          <w:rFonts w:ascii="Arial" w:hAnsi="Arial" w:cs="Arial"/>
          <w:sz w:val="20"/>
          <w:szCs w:val="20"/>
        </w:rPr>
        <w:t>em,</w:t>
      </w:r>
      <w:r w:rsidR="00131183" w:rsidRPr="000F468A">
        <w:rPr>
          <w:rFonts w:ascii="Arial" w:hAnsi="Arial" w:cs="Arial"/>
          <w:sz w:val="20"/>
          <w:szCs w:val="20"/>
        </w:rPr>
        <w:t xml:space="preserve"> Gruzj</w:t>
      </w:r>
      <w:r w:rsidR="008D7A07" w:rsidRPr="004C6CC5">
        <w:rPr>
          <w:rFonts w:ascii="Arial" w:hAnsi="Arial" w:cs="Arial"/>
          <w:sz w:val="20"/>
          <w:szCs w:val="20"/>
        </w:rPr>
        <w:t>ą</w:t>
      </w:r>
      <w:r w:rsidR="00131183" w:rsidRPr="000F468A">
        <w:rPr>
          <w:rFonts w:ascii="Arial" w:hAnsi="Arial" w:cs="Arial"/>
          <w:sz w:val="20"/>
          <w:szCs w:val="20"/>
        </w:rPr>
        <w:t>, Hiszpani</w:t>
      </w:r>
      <w:r w:rsidR="008D7A07" w:rsidRPr="004C6CC5">
        <w:rPr>
          <w:rFonts w:ascii="Arial" w:hAnsi="Arial" w:cs="Arial"/>
          <w:sz w:val="20"/>
          <w:szCs w:val="20"/>
        </w:rPr>
        <w:t>ą</w:t>
      </w:r>
      <w:r w:rsidR="00131183" w:rsidRPr="000F468A">
        <w:rPr>
          <w:rFonts w:ascii="Arial" w:hAnsi="Arial" w:cs="Arial"/>
          <w:sz w:val="20"/>
          <w:szCs w:val="20"/>
        </w:rPr>
        <w:t>, Francj</w:t>
      </w:r>
      <w:r w:rsidR="008D7A07" w:rsidRPr="004C6CC5">
        <w:rPr>
          <w:rFonts w:ascii="Arial" w:hAnsi="Arial" w:cs="Arial"/>
          <w:sz w:val="20"/>
          <w:szCs w:val="20"/>
        </w:rPr>
        <w:t>ą</w:t>
      </w:r>
      <w:r w:rsidR="00131183" w:rsidRPr="000F468A">
        <w:rPr>
          <w:rFonts w:ascii="Arial" w:hAnsi="Arial" w:cs="Arial"/>
          <w:sz w:val="20"/>
          <w:szCs w:val="20"/>
        </w:rPr>
        <w:t xml:space="preserve"> – nowe UPO; </w:t>
      </w:r>
    </w:p>
    <w:p w14:paraId="40E1C165" w14:textId="111D6B28" w:rsidR="00131183" w:rsidRPr="000F468A" w:rsidRDefault="00CE33D8" w:rsidP="00E340A7">
      <w:pPr>
        <w:spacing w:line="276" w:lineRule="auto"/>
        <w:jc w:val="both"/>
        <w:rPr>
          <w:rFonts w:ascii="Arial" w:hAnsi="Arial" w:cs="Arial"/>
          <w:sz w:val="20"/>
          <w:szCs w:val="20"/>
        </w:rPr>
      </w:pPr>
      <w:r w:rsidRPr="004C6CC5">
        <w:rPr>
          <w:rFonts w:ascii="Arial" w:hAnsi="Arial" w:cs="Arial"/>
          <w:sz w:val="20"/>
          <w:szCs w:val="20"/>
        </w:rPr>
        <w:t xml:space="preserve">- </w:t>
      </w:r>
      <w:r w:rsidR="00131183" w:rsidRPr="000F468A">
        <w:rPr>
          <w:rFonts w:ascii="Arial" w:hAnsi="Arial" w:cs="Arial"/>
          <w:sz w:val="20"/>
          <w:szCs w:val="20"/>
        </w:rPr>
        <w:t>Malt</w:t>
      </w:r>
      <w:r w:rsidR="008D7A07" w:rsidRPr="004C6CC5">
        <w:rPr>
          <w:rFonts w:ascii="Arial" w:hAnsi="Arial" w:cs="Arial"/>
          <w:sz w:val="20"/>
          <w:szCs w:val="20"/>
        </w:rPr>
        <w:t xml:space="preserve">ą, Holandią, Szwecją, </w:t>
      </w:r>
      <w:r w:rsidR="000E2E7F" w:rsidRPr="004C6CC5">
        <w:rPr>
          <w:rFonts w:ascii="Arial" w:hAnsi="Arial" w:cs="Arial"/>
          <w:sz w:val="20"/>
          <w:szCs w:val="20"/>
        </w:rPr>
        <w:t>Niderlandami</w:t>
      </w:r>
      <w:r w:rsidR="00C42DEA">
        <w:rPr>
          <w:rFonts w:ascii="Arial" w:hAnsi="Arial" w:cs="Arial"/>
          <w:sz w:val="20"/>
          <w:szCs w:val="20"/>
        </w:rPr>
        <w:t>,</w:t>
      </w:r>
      <w:r w:rsidR="005627F1">
        <w:rPr>
          <w:rFonts w:ascii="Arial" w:hAnsi="Arial" w:cs="Arial"/>
          <w:sz w:val="20"/>
          <w:szCs w:val="20"/>
        </w:rPr>
        <w:t xml:space="preserve"> </w:t>
      </w:r>
      <w:r w:rsidR="008D7A07" w:rsidRPr="004C6CC5">
        <w:rPr>
          <w:rFonts w:ascii="Arial" w:hAnsi="Arial" w:cs="Arial"/>
          <w:sz w:val="20"/>
          <w:szCs w:val="20"/>
        </w:rPr>
        <w:t>Niemcami</w:t>
      </w:r>
      <w:r w:rsidR="00131183" w:rsidRPr="000F468A">
        <w:rPr>
          <w:rFonts w:ascii="Arial" w:hAnsi="Arial" w:cs="Arial"/>
          <w:sz w:val="20"/>
          <w:szCs w:val="20"/>
        </w:rPr>
        <w:t xml:space="preserve"> – protokoły zmieniające UPO.</w:t>
      </w:r>
    </w:p>
    <w:p w14:paraId="2FC5297E" w14:textId="70744200" w:rsidR="00131183" w:rsidRPr="000F468A" w:rsidRDefault="00131183" w:rsidP="00E340A7">
      <w:pPr>
        <w:spacing w:line="276" w:lineRule="auto"/>
        <w:jc w:val="both"/>
        <w:rPr>
          <w:rFonts w:ascii="Arial" w:hAnsi="Arial" w:cs="Arial"/>
          <w:sz w:val="20"/>
          <w:szCs w:val="20"/>
        </w:rPr>
      </w:pPr>
      <w:r w:rsidRPr="000F468A">
        <w:rPr>
          <w:rFonts w:ascii="Arial" w:hAnsi="Arial" w:cs="Arial"/>
          <w:sz w:val="20"/>
          <w:szCs w:val="20"/>
        </w:rPr>
        <w:t>Niektóre</w:t>
      </w:r>
      <w:r w:rsidR="004C6CC5">
        <w:rPr>
          <w:rFonts w:ascii="Arial" w:hAnsi="Arial" w:cs="Arial"/>
          <w:sz w:val="20"/>
          <w:szCs w:val="20"/>
        </w:rPr>
        <w:t xml:space="preserve"> z </w:t>
      </w:r>
      <w:r w:rsidRPr="000F468A">
        <w:rPr>
          <w:rFonts w:ascii="Arial" w:hAnsi="Arial" w:cs="Arial"/>
          <w:sz w:val="20"/>
          <w:szCs w:val="20"/>
        </w:rPr>
        <w:t xml:space="preserve">negocjacji/renegocjacji </w:t>
      </w:r>
      <w:r w:rsidR="006335FC">
        <w:rPr>
          <w:rFonts w:ascii="Arial" w:hAnsi="Arial" w:cs="Arial"/>
          <w:sz w:val="20"/>
          <w:szCs w:val="20"/>
        </w:rPr>
        <w:t xml:space="preserve">już się zakończyły </w:t>
      </w:r>
      <w:r w:rsidRPr="000F468A">
        <w:rPr>
          <w:rFonts w:ascii="Arial" w:hAnsi="Arial" w:cs="Arial"/>
          <w:sz w:val="20"/>
          <w:szCs w:val="20"/>
        </w:rPr>
        <w:t>(tj. zostały parafowane projekty UPO/protokołów zmieniających), jednakże</w:t>
      </w:r>
      <w:r w:rsidR="004B2987">
        <w:rPr>
          <w:rFonts w:ascii="Arial" w:hAnsi="Arial" w:cs="Arial"/>
          <w:sz w:val="20"/>
          <w:szCs w:val="20"/>
        </w:rPr>
        <w:t xml:space="preserve"> w </w:t>
      </w:r>
      <w:r w:rsidRPr="000F468A">
        <w:rPr>
          <w:rFonts w:ascii="Arial" w:hAnsi="Arial" w:cs="Arial"/>
          <w:sz w:val="20"/>
          <w:szCs w:val="20"/>
        </w:rPr>
        <w:t>2019 r. nie doszło do podpisania żadnej UPO/protokołu zmieniającego UPO. Nie jest zatem możliwe</w:t>
      </w:r>
      <w:r w:rsidR="005D770A">
        <w:rPr>
          <w:rFonts w:ascii="Arial" w:hAnsi="Arial" w:cs="Arial"/>
          <w:sz w:val="20"/>
          <w:szCs w:val="20"/>
        </w:rPr>
        <w:t xml:space="preserve"> w </w:t>
      </w:r>
      <w:r w:rsidRPr="000F468A">
        <w:rPr>
          <w:rFonts w:ascii="Arial" w:hAnsi="Arial" w:cs="Arial"/>
          <w:sz w:val="20"/>
          <w:szCs w:val="20"/>
        </w:rPr>
        <w:t xml:space="preserve">sposób </w:t>
      </w:r>
      <w:r w:rsidR="004B2987">
        <w:rPr>
          <w:rFonts w:ascii="Arial" w:hAnsi="Arial" w:cs="Arial"/>
          <w:sz w:val="20"/>
          <w:szCs w:val="20"/>
        </w:rPr>
        <w:t xml:space="preserve">pewny </w:t>
      </w:r>
      <w:r w:rsidRPr="000F468A">
        <w:rPr>
          <w:rFonts w:ascii="Arial" w:hAnsi="Arial" w:cs="Arial"/>
          <w:sz w:val="20"/>
          <w:szCs w:val="20"/>
        </w:rPr>
        <w:t xml:space="preserve">wskazanie </w:t>
      </w:r>
      <w:r w:rsidR="004B2987" w:rsidRPr="000F468A">
        <w:rPr>
          <w:rFonts w:ascii="Arial" w:hAnsi="Arial" w:cs="Arial"/>
          <w:sz w:val="20"/>
          <w:szCs w:val="20"/>
        </w:rPr>
        <w:t>ostateczny</w:t>
      </w:r>
      <w:r w:rsidR="004B2987">
        <w:rPr>
          <w:rFonts w:ascii="Arial" w:hAnsi="Arial" w:cs="Arial"/>
          <w:sz w:val="20"/>
          <w:szCs w:val="20"/>
        </w:rPr>
        <w:t>ch</w:t>
      </w:r>
      <w:r w:rsidR="004B2987" w:rsidRPr="000F468A">
        <w:rPr>
          <w:rFonts w:ascii="Arial" w:hAnsi="Arial" w:cs="Arial"/>
          <w:sz w:val="20"/>
          <w:szCs w:val="20"/>
        </w:rPr>
        <w:t xml:space="preserve"> </w:t>
      </w:r>
      <w:r w:rsidRPr="000F468A">
        <w:rPr>
          <w:rFonts w:ascii="Arial" w:hAnsi="Arial" w:cs="Arial"/>
          <w:sz w:val="20"/>
          <w:szCs w:val="20"/>
        </w:rPr>
        <w:t>rozwiązań przyjętych</w:t>
      </w:r>
      <w:r w:rsidR="004B2987">
        <w:rPr>
          <w:rFonts w:ascii="Arial" w:hAnsi="Arial" w:cs="Arial"/>
          <w:sz w:val="20"/>
          <w:szCs w:val="20"/>
        </w:rPr>
        <w:t xml:space="preserve"> </w:t>
      </w:r>
      <w:r w:rsidR="006335FC">
        <w:rPr>
          <w:rFonts w:ascii="Arial" w:hAnsi="Arial" w:cs="Arial"/>
          <w:sz w:val="20"/>
          <w:szCs w:val="20"/>
        </w:rPr>
        <w:br/>
      </w:r>
      <w:r w:rsidR="004B2987">
        <w:rPr>
          <w:rFonts w:ascii="Arial" w:hAnsi="Arial" w:cs="Arial"/>
          <w:sz w:val="20"/>
          <w:szCs w:val="20"/>
        </w:rPr>
        <w:t xml:space="preserve">w </w:t>
      </w:r>
      <w:r w:rsidRPr="000F468A">
        <w:rPr>
          <w:rFonts w:ascii="Arial" w:hAnsi="Arial" w:cs="Arial"/>
          <w:sz w:val="20"/>
          <w:szCs w:val="20"/>
        </w:rPr>
        <w:t>ww. UPO/protokołach</w:t>
      </w:r>
      <w:r w:rsidR="006335FC">
        <w:rPr>
          <w:rFonts w:ascii="Arial" w:hAnsi="Arial" w:cs="Arial"/>
          <w:sz w:val="20"/>
          <w:szCs w:val="20"/>
        </w:rPr>
        <w:t xml:space="preserve"> we </w:t>
      </w:r>
      <w:r w:rsidR="006335FC" w:rsidRPr="000F468A">
        <w:rPr>
          <w:rFonts w:ascii="Arial" w:hAnsi="Arial" w:cs="Arial"/>
          <w:sz w:val="20"/>
          <w:szCs w:val="20"/>
        </w:rPr>
        <w:t>wskazanym powyże</w:t>
      </w:r>
      <w:r w:rsidR="006335FC">
        <w:rPr>
          <w:rFonts w:ascii="Arial" w:hAnsi="Arial" w:cs="Arial"/>
          <w:sz w:val="20"/>
          <w:szCs w:val="20"/>
        </w:rPr>
        <w:t>j zakresie</w:t>
      </w:r>
      <w:r w:rsidRPr="000F468A">
        <w:rPr>
          <w:rFonts w:ascii="Arial" w:hAnsi="Arial" w:cs="Arial"/>
          <w:sz w:val="20"/>
          <w:szCs w:val="20"/>
        </w:rPr>
        <w:t>. Dopiero bowiem po podpisaniu danej UPO/protokołu można mówić</w:t>
      </w:r>
      <w:r w:rsidR="004C6CC5">
        <w:rPr>
          <w:rFonts w:ascii="Arial" w:hAnsi="Arial" w:cs="Arial"/>
          <w:sz w:val="20"/>
          <w:szCs w:val="20"/>
        </w:rPr>
        <w:t xml:space="preserve"> w </w:t>
      </w:r>
      <w:r w:rsidRPr="000F468A">
        <w:rPr>
          <w:rFonts w:ascii="Arial" w:hAnsi="Arial" w:cs="Arial"/>
          <w:sz w:val="20"/>
          <w:szCs w:val="20"/>
        </w:rPr>
        <w:t>sposób definitywny o przyjęciu konkretnych regulacji.</w:t>
      </w:r>
    </w:p>
    <w:p w14:paraId="39D58C88" w14:textId="4EAA164A" w:rsidR="00131183" w:rsidRPr="000F468A" w:rsidRDefault="00131183" w:rsidP="00E340A7">
      <w:pPr>
        <w:spacing w:line="276" w:lineRule="auto"/>
        <w:jc w:val="both"/>
        <w:rPr>
          <w:rFonts w:ascii="Arial" w:hAnsi="Arial" w:cs="Arial"/>
          <w:sz w:val="20"/>
          <w:szCs w:val="20"/>
        </w:rPr>
      </w:pPr>
      <w:r w:rsidRPr="000F468A">
        <w:rPr>
          <w:rFonts w:ascii="Arial" w:hAnsi="Arial" w:cs="Arial"/>
          <w:sz w:val="20"/>
          <w:szCs w:val="20"/>
        </w:rPr>
        <w:t>Z perspektywy prac prowadzonych</w:t>
      </w:r>
      <w:r w:rsidR="0077677F">
        <w:rPr>
          <w:rFonts w:ascii="Arial" w:hAnsi="Arial" w:cs="Arial"/>
          <w:sz w:val="20"/>
          <w:szCs w:val="20"/>
        </w:rPr>
        <w:t xml:space="preserve"> w </w:t>
      </w:r>
      <w:r w:rsidRPr="000F468A">
        <w:rPr>
          <w:rFonts w:ascii="Arial" w:hAnsi="Arial" w:cs="Arial"/>
          <w:sz w:val="20"/>
          <w:szCs w:val="20"/>
        </w:rPr>
        <w:t>2019 r. kluczowe jest wynegocjowanie UPO</w:t>
      </w:r>
      <w:r w:rsidR="000458C1">
        <w:rPr>
          <w:rFonts w:ascii="Arial" w:hAnsi="Arial" w:cs="Arial"/>
          <w:sz w:val="20"/>
          <w:szCs w:val="20"/>
        </w:rPr>
        <w:t xml:space="preserve"> z </w:t>
      </w:r>
      <w:r w:rsidRPr="000F468A">
        <w:rPr>
          <w:rFonts w:ascii="Arial" w:hAnsi="Arial" w:cs="Arial"/>
          <w:sz w:val="20"/>
          <w:szCs w:val="20"/>
        </w:rPr>
        <w:t>Brazylią. Ma to d</w:t>
      </w:r>
      <w:r w:rsidR="00F61368">
        <w:rPr>
          <w:rFonts w:ascii="Arial" w:hAnsi="Arial" w:cs="Arial"/>
          <w:sz w:val="20"/>
          <w:szCs w:val="20"/>
        </w:rPr>
        <w:t>uże</w:t>
      </w:r>
      <w:r w:rsidRPr="000F468A">
        <w:rPr>
          <w:rFonts w:ascii="Arial" w:hAnsi="Arial" w:cs="Arial"/>
          <w:sz w:val="20"/>
          <w:szCs w:val="20"/>
        </w:rPr>
        <w:t xml:space="preserve"> znaczenie, gdyż obecnie Polski</w:t>
      </w:r>
      <w:r w:rsidR="0077677F">
        <w:rPr>
          <w:rFonts w:ascii="Arial" w:hAnsi="Arial" w:cs="Arial"/>
          <w:sz w:val="20"/>
          <w:szCs w:val="20"/>
        </w:rPr>
        <w:t xml:space="preserve"> i </w:t>
      </w:r>
      <w:r w:rsidRPr="000F468A">
        <w:rPr>
          <w:rFonts w:ascii="Arial" w:hAnsi="Arial" w:cs="Arial"/>
          <w:sz w:val="20"/>
          <w:szCs w:val="20"/>
        </w:rPr>
        <w:t>Brazylii nie łączy UPO, Brazylia jest zaś dla Polski najważniejszym partnerem handlowym</w:t>
      </w:r>
      <w:r w:rsidR="00E06892">
        <w:rPr>
          <w:rFonts w:ascii="Arial" w:hAnsi="Arial" w:cs="Arial"/>
          <w:sz w:val="20"/>
          <w:szCs w:val="20"/>
        </w:rPr>
        <w:t xml:space="preserve"> w </w:t>
      </w:r>
      <w:r w:rsidRPr="000F468A">
        <w:rPr>
          <w:rFonts w:ascii="Arial" w:hAnsi="Arial" w:cs="Arial"/>
          <w:sz w:val="20"/>
          <w:szCs w:val="20"/>
        </w:rPr>
        <w:t xml:space="preserve">Ameryce </w:t>
      </w:r>
      <w:r w:rsidR="00E06892">
        <w:rPr>
          <w:rFonts w:ascii="Arial" w:hAnsi="Arial" w:cs="Arial"/>
          <w:sz w:val="20"/>
          <w:szCs w:val="20"/>
        </w:rPr>
        <w:t xml:space="preserve">Łacińskiej, a rynek brazylijski z </w:t>
      </w:r>
      <w:r w:rsidRPr="000F468A">
        <w:rPr>
          <w:rFonts w:ascii="Arial" w:hAnsi="Arial" w:cs="Arial"/>
          <w:sz w:val="20"/>
          <w:szCs w:val="20"/>
        </w:rPr>
        <w:t>uwagi na swoją wielkość</w:t>
      </w:r>
      <w:r w:rsidR="000458C1">
        <w:rPr>
          <w:rFonts w:ascii="Arial" w:hAnsi="Arial" w:cs="Arial"/>
          <w:sz w:val="20"/>
          <w:szCs w:val="20"/>
        </w:rPr>
        <w:t xml:space="preserve"> </w:t>
      </w:r>
      <w:r w:rsidR="0092289C">
        <w:rPr>
          <w:rFonts w:ascii="Arial" w:hAnsi="Arial" w:cs="Arial"/>
          <w:sz w:val="20"/>
          <w:szCs w:val="20"/>
        </w:rPr>
        <w:t>oraz</w:t>
      </w:r>
      <w:r w:rsidR="000458C1">
        <w:rPr>
          <w:rFonts w:ascii="Arial" w:hAnsi="Arial" w:cs="Arial"/>
          <w:sz w:val="20"/>
          <w:szCs w:val="20"/>
        </w:rPr>
        <w:t xml:space="preserve"> </w:t>
      </w:r>
      <w:r w:rsidR="0092289C">
        <w:rPr>
          <w:rFonts w:ascii="Arial" w:hAnsi="Arial" w:cs="Arial"/>
          <w:sz w:val="20"/>
          <w:szCs w:val="20"/>
        </w:rPr>
        <w:t>perspektywy rozwoju</w:t>
      </w:r>
      <w:r w:rsidRPr="000F468A">
        <w:rPr>
          <w:rFonts w:ascii="Arial" w:hAnsi="Arial" w:cs="Arial"/>
          <w:sz w:val="20"/>
          <w:szCs w:val="20"/>
        </w:rPr>
        <w:t xml:space="preserve"> może odgrywać</w:t>
      </w:r>
      <w:r w:rsidR="004C6CC5">
        <w:rPr>
          <w:rFonts w:ascii="Arial" w:hAnsi="Arial" w:cs="Arial"/>
          <w:sz w:val="20"/>
          <w:szCs w:val="20"/>
        </w:rPr>
        <w:t xml:space="preserve"> w </w:t>
      </w:r>
      <w:r w:rsidRPr="000F468A">
        <w:rPr>
          <w:rFonts w:ascii="Arial" w:hAnsi="Arial" w:cs="Arial"/>
          <w:sz w:val="20"/>
          <w:szCs w:val="20"/>
        </w:rPr>
        <w:t>przyszłości ważną rolę dla Polski.</w:t>
      </w:r>
      <w:r w:rsidR="00F61368">
        <w:rPr>
          <w:rFonts w:ascii="Arial" w:hAnsi="Arial" w:cs="Arial"/>
          <w:sz w:val="20"/>
          <w:szCs w:val="20"/>
        </w:rPr>
        <w:t xml:space="preserve"> W</w:t>
      </w:r>
      <w:r w:rsidR="004C6CC5">
        <w:rPr>
          <w:rFonts w:ascii="Arial" w:hAnsi="Arial" w:cs="Arial"/>
          <w:sz w:val="20"/>
          <w:szCs w:val="20"/>
        </w:rPr>
        <w:t> </w:t>
      </w:r>
      <w:r w:rsidRPr="000F468A">
        <w:rPr>
          <w:rFonts w:ascii="Arial" w:hAnsi="Arial" w:cs="Arial"/>
          <w:sz w:val="20"/>
          <w:szCs w:val="20"/>
        </w:rPr>
        <w:t>parafowanym projekcie UPO zakładane jest przyjęcie rozwiązań zgodnych</w:t>
      </w:r>
      <w:r w:rsidR="004C6CC5">
        <w:rPr>
          <w:rFonts w:ascii="Arial" w:hAnsi="Arial" w:cs="Arial"/>
          <w:sz w:val="20"/>
          <w:szCs w:val="20"/>
        </w:rPr>
        <w:t xml:space="preserve"> z </w:t>
      </w:r>
      <w:r w:rsidR="00E06892">
        <w:rPr>
          <w:rFonts w:ascii="Arial" w:hAnsi="Arial" w:cs="Arial"/>
          <w:sz w:val="20"/>
          <w:szCs w:val="20"/>
        </w:rPr>
        <w:t xml:space="preserve">aktualnym brzmieniem MK OECD. </w:t>
      </w:r>
      <w:r w:rsidRPr="000F468A">
        <w:rPr>
          <w:rFonts w:ascii="Arial" w:hAnsi="Arial" w:cs="Arial"/>
          <w:sz w:val="20"/>
          <w:szCs w:val="20"/>
        </w:rPr>
        <w:t>Podpisanie UPO jest wstępnie planowane na 2020 r., jednakże wskazać należy, że jest to zależne od dostępności partnera traktatowego.</w:t>
      </w:r>
    </w:p>
    <w:p w14:paraId="01C59E2B" w14:textId="0A255D5A" w:rsidR="00A95A53" w:rsidRDefault="00131183" w:rsidP="00E340A7">
      <w:pPr>
        <w:spacing w:line="276" w:lineRule="auto"/>
        <w:jc w:val="both"/>
        <w:rPr>
          <w:rFonts w:ascii="Arial" w:hAnsi="Arial" w:cs="Arial"/>
          <w:sz w:val="20"/>
          <w:szCs w:val="20"/>
        </w:rPr>
      </w:pPr>
      <w:r w:rsidRPr="000F468A">
        <w:rPr>
          <w:rFonts w:ascii="Arial" w:hAnsi="Arial" w:cs="Arial"/>
          <w:sz w:val="20"/>
          <w:szCs w:val="20"/>
        </w:rPr>
        <w:t>Jednocześnie warto p</w:t>
      </w:r>
      <w:r w:rsidR="00E06892">
        <w:rPr>
          <w:rFonts w:ascii="Arial" w:hAnsi="Arial" w:cs="Arial"/>
          <w:sz w:val="20"/>
          <w:szCs w:val="20"/>
        </w:rPr>
        <w:t>odkreślić</w:t>
      </w:r>
      <w:r w:rsidRPr="000F468A">
        <w:rPr>
          <w:rFonts w:ascii="Arial" w:hAnsi="Arial" w:cs="Arial"/>
          <w:sz w:val="20"/>
          <w:szCs w:val="20"/>
        </w:rPr>
        <w:t>, że zgodnie</w:t>
      </w:r>
      <w:r w:rsidR="004C6CC5">
        <w:rPr>
          <w:rFonts w:ascii="Arial" w:hAnsi="Arial" w:cs="Arial"/>
          <w:sz w:val="20"/>
          <w:szCs w:val="20"/>
        </w:rPr>
        <w:t xml:space="preserve"> z </w:t>
      </w:r>
      <w:r w:rsidRPr="000F468A">
        <w:rPr>
          <w:rFonts w:ascii="Arial" w:hAnsi="Arial" w:cs="Arial"/>
          <w:sz w:val="20"/>
          <w:szCs w:val="20"/>
        </w:rPr>
        <w:t>ustawą o umowach międ</w:t>
      </w:r>
      <w:r w:rsidR="00A95A53">
        <w:rPr>
          <w:rFonts w:ascii="Arial" w:hAnsi="Arial" w:cs="Arial"/>
          <w:sz w:val="20"/>
          <w:szCs w:val="20"/>
        </w:rPr>
        <w:t>zynarodowych, każdorazowo przed</w:t>
      </w:r>
      <w:r w:rsidRPr="000F468A">
        <w:rPr>
          <w:rFonts w:ascii="Arial" w:hAnsi="Arial" w:cs="Arial"/>
          <w:sz w:val="20"/>
          <w:szCs w:val="20"/>
        </w:rPr>
        <w:t xml:space="preserve"> rozpoczęciem negocjacji UPO/protokołów zmieniających UPO oraz </w:t>
      </w:r>
      <w:r w:rsidR="00CE33D8" w:rsidRPr="004C6CC5">
        <w:rPr>
          <w:rFonts w:ascii="Arial" w:hAnsi="Arial" w:cs="Arial"/>
          <w:sz w:val="20"/>
          <w:szCs w:val="20"/>
        </w:rPr>
        <w:t xml:space="preserve">przed </w:t>
      </w:r>
      <w:r w:rsidRPr="000F468A">
        <w:rPr>
          <w:rFonts w:ascii="Arial" w:hAnsi="Arial" w:cs="Arial"/>
          <w:sz w:val="20"/>
          <w:szCs w:val="20"/>
        </w:rPr>
        <w:t>podpisaniem U</w:t>
      </w:r>
      <w:r w:rsidR="00A95A53">
        <w:rPr>
          <w:rFonts w:ascii="Arial" w:hAnsi="Arial" w:cs="Arial"/>
          <w:sz w:val="20"/>
          <w:szCs w:val="20"/>
        </w:rPr>
        <w:t>PO/protokołów zmieniających UPO</w:t>
      </w:r>
      <w:r w:rsidRPr="000F468A">
        <w:rPr>
          <w:rFonts w:ascii="Arial" w:hAnsi="Arial" w:cs="Arial"/>
          <w:sz w:val="20"/>
          <w:szCs w:val="20"/>
        </w:rPr>
        <w:t xml:space="preserve"> odbywa się procedura uzyskania zgody na rozpoczęcie negocjacji UPO/podpis UPO, która obejmuje również konsultacje międzyresortowe.</w:t>
      </w:r>
      <w:r w:rsidR="00A95A53">
        <w:rPr>
          <w:rFonts w:ascii="Arial" w:hAnsi="Arial" w:cs="Arial"/>
          <w:sz w:val="20"/>
          <w:szCs w:val="20"/>
        </w:rPr>
        <w:t xml:space="preserve"> W</w:t>
      </w:r>
      <w:r w:rsidR="004C6CC5">
        <w:rPr>
          <w:rFonts w:ascii="Arial" w:hAnsi="Arial" w:cs="Arial"/>
          <w:sz w:val="20"/>
          <w:szCs w:val="20"/>
        </w:rPr>
        <w:t> </w:t>
      </w:r>
      <w:r w:rsidRPr="000F468A">
        <w:rPr>
          <w:rFonts w:ascii="Arial" w:hAnsi="Arial" w:cs="Arial"/>
          <w:sz w:val="20"/>
          <w:szCs w:val="20"/>
        </w:rPr>
        <w:t xml:space="preserve">ramach tych uzgodnień, projekty ww. dokumentów są przedstawiane wszystkim Ministrom. </w:t>
      </w:r>
    </w:p>
    <w:p w14:paraId="048AB57A" w14:textId="77777777" w:rsidR="00040934" w:rsidRPr="00BA10B0" w:rsidRDefault="00040934" w:rsidP="003C6ECA">
      <w:pPr>
        <w:pStyle w:val="Akapitzlist"/>
        <w:numPr>
          <w:ilvl w:val="0"/>
          <w:numId w:val="26"/>
        </w:numPr>
        <w:spacing w:line="276" w:lineRule="auto"/>
        <w:jc w:val="both"/>
        <w:rPr>
          <w:rFonts w:ascii="Arial" w:hAnsi="Arial" w:cs="Arial"/>
          <w:b/>
          <w:bCs/>
          <w:iCs/>
          <w:sz w:val="20"/>
          <w:szCs w:val="20"/>
        </w:rPr>
      </w:pPr>
      <w:r w:rsidRPr="00BA10B0">
        <w:rPr>
          <w:rFonts w:ascii="Arial" w:hAnsi="Arial" w:cs="Arial"/>
          <w:b/>
          <w:bCs/>
          <w:iCs/>
          <w:sz w:val="20"/>
          <w:szCs w:val="20"/>
        </w:rPr>
        <w:t>Zmiany wynikające z Konwencji MLI</w:t>
      </w:r>
    </w:p>
    <w:p w14:paraId="0CA7382C" w14:textId="03043C8C" w:rsidR="00040934" w:rsidRPr="00040934" w:rsidRDefault="00040934" w:rsidP="00E340A7">
      <w:pPr>
        <w:spacing w:line="276" w:lineRule="auto"/>
        <w:jc w:val="both"/>
        <w:rPr>
          <w:rFonts w:ascii="Arial" w:hAnsi="Arial" w:cs="Arial"/>
          <w:sz w:val="20"/>
          <w:szCs w:val="20"/>
        </w:rPr>
      </w:pPr>
      <w:r w:rsidRPr="00040934">
        <w:rPr>
          <w:rFonts w:ascii="Arial" w:hAnsi="Arial" w:cs="Arial"/>
          <w:sz w:val="20"/>
          <w:szCs w:val="20"/>
        </w:rPr>
        <w:t>Dodatkowo wskazania wymaga, że niezależnie od bilateralnych negocjacji UPO, Polska</w:t>
      </w:r>
      <w:r>
        <w:rPr>
          <w:rFonts w:ascii="Arial" w:hAnsi="Arial" w:cs="Arial"/>
          <w:sz w:val="20"/>
          <w:szCs w:val="20"/>
        </w:rPr>
        <w:t xml:space="preserve"> </w:t>
      </w:r>
      <w:r w:rsidRPr="00040934">
        <w:rPr>
          <w:rFonts w:ascii="Arial" w:hAnsi="Arial" w:cs="Arial"/>
          <w:sz w:val="20"/>
          <w:szCs w:val="20"/>
        </w:rPr>
        <w:t>przystąpiła do Konwencji wielostronnej implementującej środki traktatowego prawa</w:t>
      </w:r>
      <w:r>
        <w:rPr>
          <w:rFonts w:ascii="Arial" w:hAnsi="Arial" w:cs="Arial"/>
          <w:sz w:val="20"/>
          <w:szCs w:val="20"/>
        </w:rPr>
        <w:t xml:space="preserve"> </w:t>
      </w:r>
      <w:r w:rsidRPr="00040934">
        <w:rPr>
          <w:rFonts w:ascii="Arial" w:hAnsi="Arial" w:cs="Arial"/>
          <w:sz w:val="20"/>
          <w:szCs w:val="20"/>
        </w:rPr>
        <w:t>podatkowego mające na celu zapobieganie erozji podstawy opodatkowania</w:t>
      </w:r>
      <w:r>
        <w:rPr>
          <w:rFonts w:ascii="Arial" w:hAnsi="Arial" w:cs="Arial"/>
          <w:sz w:val="20"/>
          <w:szCs w:val="20"/>
        </w:rPr>
        <w:t xml:space="preserve"> </w:t>
      </w:r>
      <w:r w:rsidRPr="00040934">
        <w:rPr>
          <w:rFonts w:ascii="Arial" w:hAnsi="Arial" w:cs="Arial"/>
          <w:sz w:val="20"/>
          <w:szCs w:val="20"/>
        </w:rPr>
        <w:t xml:space="preserve">i przenoszeniu zysku, sporządzonej w Paryżu </w:t>
      </w:r>
      <w:r>
        <w:rPr>
          <w:rFonts w:ascii="Arial" w:hAnsi="Arial" w:cs="Arial"/>
          <w:sz w:val="20"/>
          <w:szCs w:val="20"/>
        </w:rPr>
        <w:t>w dniu 24 listopada 2016 r. (</w:t>
      </w:r>
      <w:r w:rsidRPr="00040934">
        <w:rPr>
          <w:rFonts w:ascii="Arial" w:hAnsi="Arial" w:cs="Arial"/>
          <w:sz w:val="20"/>
          <w:szCs w:val="20"/>
        </w:rPr>
        <w:t>Konwencja</w:t>
      </w:r>
      <w:r>
        <w:rPr>
          <w:rFonts w:ascii="Arial" w:hAnsi="Arial" w:cs="Arial"/>
          <w:sz w:val="20"/>
          <w:szCs w:val="20"/>
        </w:rPr>
        <w:t xml:space="preserve"> </w:t>
      </w:r>
      <w:r w:rsidRPr="00040934">
        <w:rPr>
          <w:rFonts w:ascii="Arial" w:hAnsi="Arial" w:cs="Arial"/>
          <w:sz w:val="20"/>
          <w:szCs w:val="20"/>
        </w:rPr>
        <w:t>MLI). Jeden przepisów Konwencji MLI przewiduje możliwość zmiany metody unikania</w:t>
      </w:r>
      <w:r>
        <w:rPr>
          <w:rFonts w:ascii="Arial" w:hAnsi="Arial" w:cs="Arial"/>
          <w:sz w:val="20"/>
          <w:szCs w:val="20"/>
        </w:rPr>
        <w:t xml:space="preserve"> </w:t>
      </w:r>
      <w:r w:rsidRPr="00040934">
        <w:rPr>
          <w:rFonts w:ascii="Arial" w:hAnsi="Arial" w:cs="Arial"/>
          <w:sz w:val="20"/>
          <w:szCs w:val="20"/>
        </w:rPr>
        <w:t>podwójnego opodatkowania (o której mowa powyżej) z metody wyłączenia</w:t>
      </w:r>
      <w:r>
        <w:rPr>
          <w:rFonts w:ascii="Arial" w:hAnsi="Arial" w:cs="Arial"/>
          <w:sz w:val="20"/>
          <w:szCs w:val="20"/>
        </w:rPr>
        <w:t xml:space="preserve"> </w:t>
      </w:r>
      <w:r w:rsidRPr="00040934">
        <w:rPr>
          <w:rFonts w:ascii="Arial" w:hAnsi="Arial" w:cs="Arial"/>
          <w:sz w:val="20"/>
          <w:szCs w:val="20"/>
        </w:rPr>
        <w:t>(zwolnienia) z progresją na metodę odliczenia (zaliczenia/kredytu) proporcjonalnego.</w:t>
      </w:r>
    </w:p>
    <w:p w14:paraId="6737A448" w14:textId="5AD21BC9" w:rsidR="00040934" w:rsidRDefault="00040934" w:rsidP="00E340A7">
      <w:pPr>
        <w:spacing w:line="276" w:lineRule="auto"/>
        <w:jc w:val="both"/>
        <w:rPr>
          <w:rFonts w:ascii="Arial" w:hAnsi="Arial" w:cs="Arial"/>
          <w:sz w:val="20"/>
          <w:szCs w:val="20"/>
        </w:rPr>
      </w:pPr>
      <w:r w:rsidRPr="00040934">
        <w:rPr>
          <w:rFonts w:ascii="Arial" w:hAnsi="Arial" w:cs="Arial"/>
          <w:sz w:val="20"/>
          <w:szCs w:val="20"/>
        </w:rPr>
        <w:t>W poniższej tabeli zaprezentowano UPO z państwami, w których metoda unikania</w:t>
      </w:r>
      <w:r>
        <w:rPr>
          <w:rFonts w:ascii="Arial" w:hAnsi="Arial" w:cs="Arial"/>
          <w:sz w:val="20"/>
          <w:szCs w:val="20"/>
        </w:rPr>
        <w:t xml:space="preserve"> </w:t>
      </w:r>
      <w:r w:rsidRPr="00040934">
        <w:rPr>
          <w:rFonts w:ascii="Arial" w:hAnsi="Arial" w:cs="Arial"/>
          <w:sz w:val="20"/>
          <w:szCs w:val="20"/>
        </w:rPr>
        <w:t>podwójnego opodatkowania została już zmieniona przez Konwencję MLI</w:t>
      </w:r>
      <w:r>
        <w:rPr>
          <w:rFonts w:ascii="Arial" w:hAnsi="Arial" w:cs="Arial"/>
          <w:sz w:val="20"/>
          <w:szCs w:val="20"/>
        </w:rPr>
        <w:t>,</w:t>
      </w:r>
      <w:r w:rsidRPr="00040934">
        <w:rPr>
          <w:rFonts w:ascii="Arial" w:hAnsi="Arial" w:cs="Arial"/>
          <w:sz w:val="20"/>
          <w:szCs w:val="20"/>
        </w:rPr>
        <w:t xml:space="preserve"> bądź zostanie</w:t>
      </w:r>
      <w:r>
        <w:rPr>
          <w:rFonts w:ascii="Arial" w:hAnsi="Arial" w:cs="Arial"/>
          <w:sz w:val="20"/>
          <w:szCs w:val="20"/>
        </w:rPr>
        <w:t xml:space="preserve"> zmieniona w najbliższym czasie (dane Ministerstwa Finansów).</w:t>
      </w:r>
    </w:p>
    <w:tbl>
      <w:tblPr>
        <w:tblW w:w="0" w:type="auto"/>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6" w:space="0" w:color="FFFFFF" w:themeColor="background1"/>
          <w:insideV w:val="single" w:sz="6" w:space="0" w:color="FFFFFF" w:themeColor="background1"/>
        </w:tblBorders>
        <w:tblLayout w:type="fixed"/>
        <w:tblCellMar>
          <w:top w:w="28" w:type="dxa"/>
          <w:left w:w="28" w:type="dxa"/>
          <w:bottom w:w="28" w:type="dxa"/>
          <w:right w:w="28" w:type="dxa"/>
        </w:tblCellMar>
        <w:tblLook w:val="0480" w:firstRow="0" w:lastRow="0" w:firstColumn="1" w:lastColumn="0" w:noHBand="0" w:noVBand="1"/>
      </w:tblPr>
      <w:tblGrid>
        <w:gridCol w:w="2977"/>
        <w:gridCol w:w="2942"/>
        <w:gridCol w:w="2900"/>
      </w:tblGrid>
      <w:tr w:rsidR="00FD1221" w:rsidRPr="00016A01" w14:paraId="69D22C21" w14:textId="77777777" w:rsidTr="00E93DE2">
        <w:trPr>
          <w:trHeight w:val="489"/>
          <w:jc w:val="center"/>
        </w:trPr>
        <w:tc>
          <w:tcPr>
            <w:tcW w:w="2977" w:type="dxa"/>
            <w:shd w:val="clear" w:color="auto" w:fill="E9E8E8"/>
            <w:vAlign w:val="center"/>
            <w:hideMark/>
          </w:tcPr>
          <w:p w14:paraId="14EA2340" w14:textId="1DF73E87" w:rsidR="00FD1221" w:rsidRPr="00016A01" w:rsidRDefault="00471D6D" w:rsidP="00FD1221">
            <w:pPr>
              <w:spacing w:line="240" w:lineRule="auto"/>
              <w:jc w:val="both"/>
              <w:rPr>
                <w:rFonts w:ascii="Arial" w:hAnsi="Arial" w:cs="Arial"/>
                <w:bCs/>
                <w:sz w:val="16"/>
                <w:szCs w:val="16"/>
              </w:rPr>
            </w:pPr>
            <w:r>
              <w:rPr>
                <w:rFonts w:ascii="Arial" w:hAnsi="Arial" w:cs="Arial"/>
                <w:bCs/>
                <w:sz w:val="16"/>
                <w:szCs w:val="16"/>
              </w:rPr>
              <w:t>D</w:t>
            </w:r>
            <w:r w:rsidR="00FD1221" w:rsidRPr="00016A01">
              <w:rPr>
                <w:rFonts w:ascii="Arial" w:hAnsi="Arial" w:cs="Arial"/>
                <w:bCs/>
                <w:sz w:val="16"/>
                <w:szCs w:val="16"/>
              </w:rPr>
              <w:t>ochody uzyskiwane</w:t>
            </w:r>
          </w:p>
          <w:p w14:paraId="7556FE93"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od 1 stycznia</w:t>
            </w:r>
            <w:r w:rsidRPr="00016A01">
              <w:rPr>
                <w:rFonts w:ascii="Arial" w:hAnsi="Arial" w:cs="Arial"/>
                <w:b/>
                <w:bCs/>
                <w:sz w:val="16"/>
                <w:szCs w:val="16"/>
              </w:rPr>
              <w:t xml:space="preserve"> </w:t>
            </w:r>
            <w:r w:rsidRPr="00966D77">
              <w:rPr>
                <w:rFonts w:ascii="Arial" w:hAnsi="Arial" w:cs="Arial"/>
                <w:bCs/>
                <w:sz w:val="16"/>
                <w:szCs w:val="16"/>
              </w:rPr>
              <w:t>2019 r.</w:t>
            </w:r>
          </w:p>
        </w:tc>
        <w:tc>
          <w:tcPr>
            <w:tcW w:w="2942" w:type="dxa"/>
            <w:shd w:val="clear" w:color="auto" w:fill="E9E8E8"/>
            <w:tcMar>
              <w:top w:w="72" w:type="dxa"/>
              <w:left w:w="144" w:type="dxa"/>
              <w:bottom w:w="72" w:type="dxa"/>
              <w:right w:w="144" w:type="dxa"/>
            </w:tcMar>
            <w:vAlign w:val="center"/>
            <w:hideMark/>
          </w:tcPr>
          <w:p w14:paraId="257153AD" w14:textId="2E47C1D9" w:rsidR="00FD1221" w:rsidRPr="00016A01" w:rsidRDefault="00471D6D" w:rsidP="00FD1221">
            <w:pPr>
              <w:spacing w:line="240" w:lineRule="auto"/>
              <w:jc w:val="both"/>
              <w:rPr>
                <w:rFonts w:ascii="Arial" w:hAnsi="Arial" w:cs="Arial"/>
                <w:bCs/>
                <w:sz w:val="16"/>
                <w:szCs w:val="16"/>
              </w:rPr>
            </w:pPr>
            <w:r>
              <w:rPr>
                <w:rFonts w:ascii="Arial" w:hAnsi="Arial" w:cs="Arial"/>
                <w:bCs/>
                <w:sz w:val="16"/>
                <w:szCs w:val="16"/>
              </w:rPr>
              <w:t>D</w:t>
            </w:r>
            <w:r w:rsidR="00FD1221" w:rsidRPr="00016A01">
              <w:rPr>
                <w:rFonts w:ascii="Arial" w:hAnsi="Arial" w:cs="Arial"/>
                <w:bCs/>
                <w:sz w:val="16"/>
                <w:szCs w:val="16"/>
              </w:rPr>
              <w:t xml:space="preserve">ochody uzyskiwane </w:t>
            </w:r>
          </w:p>
          <w:p w14:paraId="07A3DA82"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 xml:space="preserve">od 1 stycznia </w:t>
            </w:r>
            <w:r w:rsidRPr="00966D77">
              <w:rPr>
                <w:rFonts w:ascii="Arial" w:hAnsi="Arial" w:cs="Arial"/>
                <w:bCs/>
                <w:sz w:val="16"/>
                <w:szCs w:val="16"/>
              </w:rPr>
              <w:t>2020 r.</w:t>
            </w:r>
          </w:p>
        </w:tc>
        <w:tc>
          <w:tcPr>
            <w:tcW w:w="2900" w:type="dxa"/>
            <w:shd w:val="clear" w:color="auto" w:fill="E9E8E8"/>
            <w:vAlign w:val="center"/>
            <w:hideMark/>
          </w:tcPr>
          <w:p w14:paraId="34026BB8" w14:textId="03471FBB" w:rsidR="00FD1221" w:rsidRPr="00016A01" w:rsidRDefault="00471D6D" w:rsidP="00FD1221">
            <w:pPr>
              <w:spacing w:line="240" w:lineRule="auto"/>
              <w:jc w:val="both"/>
              <w:rPr>
                <w:rFonts w:ascii="Arial" w:hAnsi="Arial" w:cs="Arial"/>
                <w:bCs/>
                <w:sz w:val="16"/>
                <w:szCs w:val="16"/>
              </w:rPr>
            </w:pPr>
            <w:r>
              <w:rPr>
                <w:rFonts w:ascii="Arial" w:hAnsi="Arial" w:cs="Arial"/>
                <w:bCs/>
                <w:sz w:val="16"/>
                <w:szCs w:val="16"/>
              </w:rPr>
              <w:t>D</w:t>
            </w:r>
            <w:r w:rsidR="00FD1221" w:rsidRPr="00016A01">
              <w:rPr>
                <w:rFonts w:ascii="Arial" w:hAnsi="Arial" w:cs="Arial"/>
                <w:bCs/>
                <w:sz w:val="16"/>
                <w:szCs w:val="16"/>
              </w:rPr>
              <w:t>ochody uzyskiwane</w:t>
            </w:r>
          </w:p>
          <w:p w14:paraId="5BEB380D" w14:textId="5910EAD8" w:rsidR="00FD1221" w:rsidRPr="00016A01" w:rsidRDefault="00FD1221" w:rsidP="003206AB">
            <w:pPr>
              <w:spacing w:line="240" w:lineRule="auto"/>
              <w:jc w:val="both"/>
              <w:rPr>
                <w:rFonts w:ascii="Arial" w:hAnsi="Arial" w:cs="Arial"/>
                <w:bCs/>
                <w:sz w:val="16"/>
                <w:szCs w:val="16"/>
              </w:rPr>
            </w:pPr>
            <w:r w:rsidRPr="00016A01">
              <w:rPr>
                <w:rFonts w:ascii="Arial" w:hAnsi="Arial" w:cs="Arial"/>
                <w:bCs/>
                <w:sz w:val="16"/>
                <w:szCs w:val="16"/>
              </w:rPr>
              <w:t>od 1 stycznia</w:t>
            </w:r>
            <w:r w:rsidRPr="00016A01">
              <w:rPr>
                <w:rFonts w:ascii="Arial" w:hAnsi="Arial" w:cs="Arial"/>
                <w:b/>
                <w:bCs/>
                <w:sz w:val="16"/>
                <w:szCs w:val="16"/>
              </w:rPr>
              <w:t xml:space="preserve"> </w:t>
            </w:r>
            <w:r w:rsidRPr="00966D77">
              <w:rPr>
                <w:rFonts w:ascii="Arial" w:hAnsi="Arial" w:cs="Arial"/>
                <w:bCs/>
                <w:sz w:val="16"/>
                <w:szCs w:val="16"/>
              </w:rPr>
              <w:t>2021 r.</w:t>
            </w:r>
          </w:p>
        </w:tc>
      </w:tr>
      <w:tr w:rsidR="00FD1221" w:rsidRPr="00016A01" w14:paraId="14B23AC3" w14:textId="77777777" w:rsidTr="00E93DE2">
        <w:trPr>
          <w:trHeight w:val="489"/>
          <w:jc w:val="center"/>
        </w:trPr>
        <w:tc>
          <w:tcPr>
            <w:tcW w:w="2977" w:type="dxa"/>
            <w:shd w:val="clear" w:color="auto" w:fill="F5F4F4"/>
            <w:vAlign w:val="center"/>
            <w:hideMark/>
          </w:tcPr>
          <w:p w14:paraId="3EF3CCEC"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lastRenderedPageBreak/>
              <w:t>Austria</w:t>
            </w:r>
          </w:p>
          <w:p w14:paraId="2A0958E5"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Słowenia</w:t>
            </w:r>
          </w:p>
        </w:tc>
        <w:tc>
          <w:tcPr>
            <w:tcW w:w="2942" w:type="dxa"/>
            <w:shd w:val="clear" w:color="auto" w:fill="F5F4F4"/>
            <w:tcMar>
              <w:top w:w="72" w:type="dxa"/>
              <w:left w:w="144" w:type="dxa"/>
              <w:bottom w:w="72" w:type="dxa"/>
              <w:right w:w="144" w:type="dxa"/>
            </w:tcMar>
            <w:vAlign w:val="center"/>
            <w:hideMark/>
          </w:tcPr>
          <w:p w14:paraId="43A416E4"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Wielka Brytania</w:t>
            </w:r>
          </w:p>
          <w:p w14:paraId="090F1088"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Irlandia</w:t>
            </w:r>
          </w:p>
          <w:p w14:paraId="21F9F3DF"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Finlandia</w:t>
            </w:r>
          </w:p>
          <w:p w14:paraId="0D0D69E9"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Izrael</w:t>
            </w:r>
          </w:p>
          <w:p w14:paraId="56A4D673"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Japonia</w:t>
            </w:r>
          </w:p>
          <w:p w14:paraId="0CC3EC92"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Litwa</w:t>
            </w:r>
          </w:p>
          <w:p w14:paraId="53575B01"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Nowa Zelandia</w:t>
            </w:r>
          </w:p>
          <w:p w14:paraId="594B1785"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Słowacja</w:t>
            </w:r>
          </w:p>
        </w:tc>
        <w:tc>
          <w:tcPr>
            <w:tcW w:w="2900" w:type="dxa"/>
            <w:shd w:val="clear" w:color="auto" w:fill="F5F4F4"/>
            <w:vAlign w:val="center"/>
            <w:hideMark/>
          </w:tcPr>
          <w:p w14:paraId="30D22135"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Norwegia</w:t>
            </w:r>
          </w:p>
          <w:p w14:paraId="0850CA92"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Belgia</w:t>
            </w:r>
          </w:p>
          <w:p w14:paraId="1E77EE20"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Kanada</w:t>
            </w:r>
          </w:p>
          <w:p w14:paraId="79F7061B" w14:textId="77777777" w:rsidR="00FD1221" w:rsidRPr="00016A01" w:rsidRDefault="00FD1221" w:rsidP="00FD1221">
            <w:pPr>
              <w:spacing w:line="240" w:lineRule="auto"/>
              <w:jc w:val="both"/>
              <w:rPr>
                <w:rFonts w:ascii="Arial" w:hAnsi="Arial" w:cs="Arial"/>
                <w:bCs/>
                <w:sz w:val="16"/>
                <w:szCs w:val="16"/>
              </w:rPr>
            </w:pPr>
            <w:r w:rsidRPr="00016A01">
              <w:rPr>
                <w:rFonts w:ascii="Arial" w:hAnsi="Arial" w:cs="Arial"/>
                <w:bCs/>
                <w:sz w:val="16"/>
                <w:szCs w:val="16"/>
              </w:rPr>
              <w:t>Dania</w:t>
            </w:r>
          </w:p>
        </w:tc>
      </w:tr>
    </w:tbl>
    <w:p w14:paraId="64BC2136" w14:textId="77777777" w:rsidR="00EF774A" w:rsidRDefault="00EF774A" w:rsidP="00B6687A">
      <w:pPr>
        <w:pStyle w:val="Nagwek2"/>
        <w:rPr>
          <w:rFonts w:ascii="Arial" w:hAnsi="Arial" w:cs="Arial"/>
          <w:b/>
          <w:color w:val="auto"/>
          <w:sz w:val="20"/>
          <w:szCs w:val="20"/>
        </w:rPr>
      </w:pPr>
      <w:bookmarkStart w:id="12" w:name="_Toc32492908"/>
    </w:p>
    <w:p w14:paraId="60AD61E0" w14:textId="6D1F4C39" w:rsidR="00B6687A" w:rsidRPr="00FB45B2" w:rsidRDefault="00B6687A" w:rsidP="00B6687A">
      <w:pPr>
        <w:pStyle w:val="Nagwek2"/>
        <w:rPr>
          <w:rFonts w:ascii="Arial" w:hAnsi="Arial" w:cs="Arial"/>
          <w:b/>
          <w:color w:val="auto"/>
          <w:sz w:val="20"/>
          <w:szCs w:val="20"/>
        </w:rPr>
      </w:pPr>
      <w:bookmarkStart w:id="13" w:name="_Toc72745033"/>
      <w:r w:rsidRPr="00FB45B2">
        <w:rPr>
          <w:rFonts w:ascii="Arial" w:hAnsi="Arial" w:cs="Arial"/>
          <w:b/>
          <w:color w:val="auto"/>
          <w:sz w:val="20"/>
          <w:szCs w:val="20"/>
        </w:rPr>
        <w:t>Uczestnictwo</w:t>
      </w:r>
      <w:r w:rsidR="004C6CC5" w:rsidRPr="00FB45B2">
        <w:rPr>
          <w:rFonts w:ascii="Arial" w:hAnsi="Arial" w:cs="Arial"/>
          <w:b/>
          <w:color w:val="auto"/>
          <w:sz w:val="20"/>
          <w:szCs w:val="20"/>
        </w:rPr>
        <w:t xml:space="preserve"> w </w:t>
      </w:r>
      <w:r w:rsidRPr="00FB45B2">
        <w:rPr>
          <w:rFonts w:ascii="Arial" w:hAnsi="Arial" w:cs="Arial"/>
          <w:b/>
          <w:color w:val="auto"/>
          <w:sz w:val="20"/>
          <w:szCs w:val="20"/>
        </w:rPr>
        <w:t>pracach grup roboczych na forum UE</w:t>
      </w:r>
      <w:r w:rsidR="004C6CC5" w:rsidRPr="00FB45B2">
        <w:rPr>
          <w:rFonts w:ascii="Arial" w:hAnsi="Arial" w:cs="Arial"/>
          <w:b/>
          <w:color w:val="auto"/>
          <w:sz w:val="20"/>
          <w:szCs w:val="20"/>
        </w:rPr>
        <w:t xml:space="preserve"> i w </w:t>
      </w:r>
      <w:r w:rsidRPr="00FB45B2">
        <w:rPr>
          <w:rFonts w:ascii="Arial" w:hAnsi="Arial" w:cs="Arial"/>
          <w:b/>
          <w:color w:val="auto"/>
          <w:sz w:val="20"/>
          <w:szCs w:val="20"/>
        </w:rPr>
        <w:t>układzie regionalnym.</w:t>
      </w:r>
      <w:bookmarkEnd w:id="12"/>
      <w:bookmarkEnd w:id="13"/>
    </w:p>
    <w:p w14:paraId="7690CA27" w14:textId="639FCACA" w:rsidR="00B6687A" w:rsidRPr="004C6CC5" w:rsidRDefault="00B6687A" w:rsidP="00B6687A">
      <w:pPr>
        <w:spacing w:before="240" w:after="240" w:line="276" w:lineRule="auto"/>
        <w:jc w:val="both"/>
        <w:rPr>
          <w:rFonts w:ascii="Arial" w:hAnsi="Arial" w:cs="Arial"/>
          <w:sz w:val="20"/>
          <w:szCs w:val="20"/>
        </w:rPr>
      </w:pPr>
      <w:r w:rsidRPr="004C6CC5">
        <w:rPr>
          <w:rFonts w:ascii="Arial" w:hAnsi="Arial" w:cs="Arial"/>
          <w:sz w:val="20"/>
          <w:szCs w:val="20"/>
        </w:rPr>
        <w:t>Przedstawiciele Polski aktywnie uczestniczyli</w:t>
      </w:r>
      <w:r w:rsidR="004C6CC5">
        <w:rPr>
          <w:rFonts w:ascii="Arial" w:hAnsi="Arial" w:cs="Arial"/>
          <w:sz w:val="20"/>
          <w:szCs w:val="20"/>
        </w:rPr>
        <w:t xml:space="preserve"> w </w:t>
      </w:r>
      <w:r w:rsidRPr="004C6CC5">
        <w:rPr>
          <w:rFonts w:ascii="Arial" w:hAnsi="Arial" w:cs="Arial"/>
          <w:sz w:val="20"/>
          <w:szCs w:val="20"/>
        </w:rPr>
        <w:t>pracach grup roboczych Komisji Europejskiej</w:t>
      </w:r>
      <w:r w:rsidR="004C6CC5">
        <w:rPr>
          <w:rFonts w:ascii="Arial" w:hAnsi="Arial" w:cs="Arial"/>
          <w:sz w:val="20"/>
          <w:szCs w:val="20"/>
        </w:rPr>
        <w:t xml:space="preserve"> i </w:t>
      </w:r>
      <w:r w:rsidRPr="004C6CC5">
        <w:rPr>
          <w:rFonts w:ascii="Arial" w:hAnsi="Arial" w:cs="Arial"/>
          <w:sz w:val="20"/>
          <w:szCs w:val="20"/>
        </w:rPr>
        <w:t>Rady, organizacji międzynarodowych systemu Narodów Zjednoczonych oraz organizacji regionalnych, których zakres działalności dotyczy spraw morskich.</w:t>
      </w:r>
    </w:p>
    <w:p w14:paraId="2BA83D12" w14:textId="64538D12" w:rsidR="00B6687A" w:rsidRPr="004C6CC5" w:rsidRDefault="00B6687A" w:rsidP="003C6ECA">
      <w:pPr>
        <w:pStyle w:val="Akapitzlist"/>
        <w:numPr>
          <w:ilvl w:val="0"/>
          <w:numId w:val="27"/>
        </w:numPr>
        <w:spacing w:before="240" w:after="240"/>
        <w:jc w:val="both"/>
        <w:rPr>
          <w:rFonts w:ascii="Arial" w:hAnsi="Arial" w:cs="Arial"/>
          <w:b/>
          <w:sz w:val="20"/>
          <w:szCs w:val="20"/>
        </w:rPr>
      </w:pPr>
      <w:r w:rsidRPr="004C6CC5">
        <w:rPr>
          <w:rFonts w:ascii="Arial" w:hAnsi="Arial" w:cs="Arial"/>
          <w:b/>
          <w:sz w:val="20"/>
          <w:szCs w:val="20"/>
        </w:rPr>
        <w:t xml:space="preserve">Grupa Ekspertów Państw Członkowskich do spraw Zintegrowanej Polityki Morskiej </w:t>
      </w:r>
      <w:r w:rsidRPr="004C6CC5">
        <w:rPr>
          <w:rFonts w:ascii="Arial" w:hAnsi="Arial" w:cs="Arial"/>
          <w:b/>
          <w:sz w:val="20"/>
          <w:szCs w:val="20"/>
        </w:rPr>
        <w:br/>
        <w:t>wraz</w:t>
      </w:r>
      <w:r w:rsidR="004C6CC5">
        <w:rPr>
          <w:rFonts w:ascii="Arial" w:hAnsi="Arial" w:cs="Arial"/>
          <w:b/>
          <w:sz w:val="20"/>
          <w:szCs w:val="20"/>
        </w:rPr>
        <w:t xml:space="preserve"> z </w:t>
      </w:r>
      <w:r w:rsidRPr="004C6CC5">
        <w:rPr>
          <w:rFonts w:ascii="Arial" w:hAnsi="Arial" w:cs="Arial"/>
          <w:b/>
          <w:sz w:val="20"/>
          <w:szCs w:val="20"/>
        </w:rPr>
        <w:t>podgrupami roboczymi (grupa KE).</w:t>
      </w:r>
    </w:p>
    <w:p w14:paraId="07509AA5" w14:textId="5CFDF491" w:rsidR="0033169C" w:rsidRPr="005E6CB8" w:rsidRDefault="00B6687A" w:rsidP="005E6CB8">
      <w:pPr>
        <w:spacing w:before="120" w:after="0" w:line="276" w:lineRule="auto"/>
        <w:jc w:val="both"/>
        <w:rPr>
          <w:rFonts w:ascii="Arial" w:eastAsia="Times New Roman" w:hAnsi="Arial" w:cs="Arial"/>
          <w:bCs/>
          <w:sz w:val="20"/>
          <w:szCs w:val="20"/>
          <w:lang w:eastAsia="pl-PL"/>
        </w:rPr>
      </w:pPr>
      <w:r w:rsidRPr="006C6EBD">
        <w:rPr>
          <w:rFonts w:ascii="Arial" w:eastAsia="HiddenHorzOCR" w:hAnsi="Arial" w:cs="Arial"/>
          <w:sz w:val="20"/>
          <w:szCs w:val="20"/>
        </w:rPr>
        <w:t xml:space="preserve">Grupa stanowi najważniejsze forum dyskusyjne na poziomie eksperckim umożliwiające wymianę bieżących informacji dotyczących prowadzenia zintegrowanej polityki morskiej na szczeblu UE </w:t>
      </w:r>
      <w:r w:rsidRPr="006C6EBD">
        <w:rPr>
          <w:rFonts w:ascii="Arial" w:eastAsia="HiddenHorzOCR" w:hAnsi="Arial" w:cs="Arial"/>
          <w:sz w:val="20"/>
          <w:szCs w:val="20"/>
        </w:rPr>
        <w:br/>
        <w:t>oraz</w:t>
      </w:r>
      <w:r w:rsidR="004C6CC5" w:rsidRPr="006C6EBD">
        <w:rPr>
          <w:rFonts w:ascii="Arial" w:eastAsia="HiddenHorzOCR" w:hAnsi="Arial" w:cs="Arial"/>
          <w:sz w:val="20"/>
          <w:szCs w:val="20"/>
        </w:rPr>
        <w:t xml:space="preserve"> w </w:t>
      </w:r>
      <w:r w:rsidR="00E10298">
        <w:rPr>
          <w:rFonts w:ascii="Arial" w:eastAsia="HiddenHorzOCR" w:hAnsi="Arial" w:cs="Arial"/>
          <w:sz w:val="20"/>
          <w:szCs w:val="20"/>
        </w:rPr>
        <w:t>państwach członkowskich</w:t>
      </w:r>
      <w:r w:rsidRPr="006C6EBD">
        <w:rPr>
          <w:rFonts w:ascii="Arial" w:eastAsia="HiddenHorzOCR" w:hAnsi="Arial" w:cs="Arial"/>
          <w:sz w:val="20"/>
          <w:szCs w:val="20"/>
        </w:rPr>
        <w:t>.</w:t>
      </w:r>
      <w:r w:rsidR="005E6CB8">
        <w:rPr>
          <w:rFonts w:ascii="Arial" w:eastAsia="HiddenHorzOCR" w:hAnsi="Arial" w:cs="Arial"/>
          <w:sz w:val="20"/>
          <w:szCs w:val="20"/>
        </w:rPr>
        <w:t xml:space="preserve"> W </w:t>
      </w:r>
      <w:r w:rsidRPr="006C6EBD">
        <w:rPr>
          <w:rFonts w:ascii="Arial" w:eastAsia="HiddenHorzOCR" w:hAnsi="Arial" w:cs="Arial"/>
          <w:sz w:val="20"/>
          <w:szCs w:val="20"/>
        </w:rPr>
        <w:t>2019</w:t>
      </w:r>
      <w:r w:rsidR="008D7A07" w:rsidRPr="006C6EBD">
        <w:rPr>
          <w:rFonts w:ascii="Arial" w:eastAsia="HiddenHorzOCR" w:hAnsi="Arial" w:cs="Arial"/>
          <w:sz w:val="20"/>
          <w:szCs w:val="20"/>
        </w:rPr>
        <w:t xml:space="preserve"> r. </w:t>
      </w:r>
      <w:r w:rsidR="005E6CB8">
        <w:rPr>
          <w:rFonts w:ascii="Arial" w:eastAsia="HiddenHorzOCR" w:hAnsi="Arial" w:cs="Arial"/>
          <w:sz w:val="20"/>
          <w:szCs w:val="20"/>
        </w:rPr>
        <w:t>przedmiotem prac Grupy była</w:t>
      </w:r>
      <w:r w:rsidR="005E6CB8" w:rsidRPr="005E6CB8">
        <w:rPr>
          <w:rFonts w:ascii="Arial" w:eastAsia="Times New Roman" w:hAnsi="Arial" w:cs="Arial"/>
          <w:bCs/>
          <w:sz w:val="20"/>
          <w:szCs w:val="20"/>
          <w:lang w:eastAsia="pl-PL"/>
        </w:rPr>
        <w:t xml:space="preserve"> </w:t>
      </w:r>
      <w:r w:rsidR="005E6CB8">
        <w:rPr>
          <w:rFonts w:ascii="Arial" w:eastAsia="Times New Roman" w:hAnsi="Arial" w:cs="Arial"/>
          <w:bCs/>
          <w:sz w:val="20"/>
          <w:szCs w:val="20"/>
          <w:lang w:eastAsia="pl-PL"/>
        </w:rPr>
        <w:t>p</w:t>
      </w:r>
      <w:r w:rsidR="005E6CB8" w:rsidRPr="00850A57">
        <w:rPr>
          <w:rFonts w:ascii="Arial" w:eastAsia="Times New Roman" w:hAnsi="Arial" w:cs="Arial"/>
          <w:bCs/>
          <w:sz w:val="20"/>
          <w:szCs w:val="20"/>
          <w:lang w:eastAsia="pl-PL"/>
        </w:rPr>
        <w:t>oprawa procesu wymiany informacji między organami nadzoru morskiego</w:t>
      </w:r>
      <w:r w:rsidR="005E6CB8">
        <w:rPr>
          <w:rFonts w:ascii="Arial" w:eastAsia="Times New Roman" w:hAnsi="Arial" w:cs="Arial"/>
          <w:bCs/>
          <w:sz w:val="20"/>
          <w:szCs w:val="20"/>
          <w:lang w:eastAsia="pl-PL"/>
        </w:rPr>
        <w:t>, który</w:t>
      </w:r>
      <w:r w:rsidR="005E6CB8" w:rsidRPr="00850A57">
        <w:rPr>
          <w:rFonts w:ascii="Arial" w:eastAsia="Times New Roman" w:hAnsi="Arial" w:cs="Arial"/>
          <w:bCs/>
          <w:sz w:val="20"/>
          <w:szCs w:val="20"/>
          <w:lang w:eastAsia="pl-PL"/>
        </w:rPr>
        <w:t xml:space="preserve"> jest jednym z klucz</w:t>
      </w:r>
      <w:r w:rsidR="005E6CB8">
        <w:rPr>
          <w:rFonts w:ascii="Arial" w:eastAsia="Times New Roman" w:hAnsi="Arial" w:cs="Arial"/>
          <w:bCs/>
          <w:sz w:val="20"/>
          <w:szCs w:val="20"/>
          <w:lang w:eastAsia="pl-PL"/>
        </w:rPr>
        <w:t xml:space="preserve">owych celów strategicznych UE </w:t>
      </w:r>
      <w:r w:rsidR="005E6CB8" w:rsidRPr="00850A57">
        <w:rPr>
          <w:rFonts w:ascii="Arial" w:eastAsia="Times New Roman" w:hAnsi="Arial" w:cs="Arial"/>
          <w:bCs/>
          <w:sz w:val="20"/>
          <w:szCs w:val="20"/>
          <w:lang w:eastAsia="pl-PL"/>
        </w:rPr>
        <w:t xml:space="preserve">w ramach </w:t>
      </w:r>
      <w:r w:rsidR="005E6CB8">
        <w:rPr>
          <w:rFonts w:ascii="Arial" w:eastAsia="Times New Roman" w:hAnsi="Arial" w:cs="Arial"/>
          <w:bCs/>
          <w:sz w:val="20"/>
          <w:szCs w:val="20"/>
          <w:lang w:eastAsia="pl-PL"/>
        </w:rPr>
        <w:t>zintegrowanej polityki morskiej.</w:t>
      </w:r>
      <w:r w:rsidR="005E6CB8" w:rsidRPr="00850A57">
        <w:rPr>
          <w:rFonts w:ascii="Arial" w:eastAsia="Times New Roman" w:hAnsi="Arial" w:cs="Arial"/>
          <w:bCs/>
          <w:sz w:val="20"/>
          <w:szCs w:val="20"/>
          <w:lang w:eastAsia="pl-PL"/>
        </w:rPr>
        <w:t xml:space="preserve"> </w:t>
      </w:r>
      <w:r w:rsidR="005E6CB8">
        <w:rPr>
          <w:rFonts w:ascii="Arial" w:eastAsia="Times New Roman" w:hAnsi="Arial" w:cs="Arial"/>
          <w:bCs/>
          <w:sz w:val="20"/>
          <w:szCs w:val="20"/>
          <w:lang w:eastAsia="pl-PL"/>
        </w:rPr>
        <w:t xml:space="preserve">Przedmiotem dyskusji były </w:t>
      </w:r>
      <w:r w:rsidR="005E6CB8">
        <w:rPr>
          <w:rFonts w:ascii="Arial" w:eastAsia="HiddenHorzOCR" w:hAnsi="Arial" w:cs="Arial"/>
          <w:sz w:val="20"/>
          <w:szCs w:val="20"/>
        </w:rPr>
        <w:t>dokumenty przygotowane</w:t>
      </w:r>
      <w:r w:rsidR="005E6CB8" w:rsidRPr="006C6EBD">
        <w:rPr>
          <w:rFonts w:ascii="Arial" w:eastAsia="HiddenHorzOCR" w:hAnsi="Arial" w:cs="Arial"/>
          <w:sz w:val="20"/>
          <w:szCs w:val="20"/>
        </w:rPr>
        <w:t xml:space="preserve"> przez Komisję Europejską </w:t>
      </w:r>
      <w:r w:rsidR="005E6CB8">
        <w:rPr>
          <w:rFonts w:ascii="Arial" w:eastAsia="HiddenHorzOCR" w:hAnsi="Arial" w:cs="Arial"/>
          <w:sz w:val="20"/>
          <w:szCs w:val="20"/>
        </w:rPr>
        <w:t>dotyczące</w:t>
      </w:r>
      <w:r w:rsidR="005E6CB8" w:rsidRPr="006C6EBD">
        <w:rPr>
          <w:rFonts w:ascii="Arial" w:eastAsia="HiddenHorzOCR" w:hAnsi="Arial" w:cs="Arial"/>
          <w:sz w:val="20"/>
          <w:szCs w:val="20"/>
        </w:rPr>
        <w:t xml:space="preserve"> głównych działań oraz </w:t>
      </w:r>
      <w:r w:rsidR="005E6CB8">
        <w:rPr>
          <w:rFonts w:ascii="Arial" w:eastAsia="HiddenHorzOCR" w:hAnsi="Arial" w:cs="Arial"/>
          <w:sz w:val="20"/>
          <w:szCs w:val="20"/>
        </w:rPr>
        <w:t xml:space="preserve">procesu </w:t>
      </w:r>
      <w:r w:rsidR="005E6CB8" w:rsidRPr="006C6EBD">
        <w:rPr>
          <w:rFonts w:ascii="Arial" w:eastAsia="HiddenHorzOCR" w:hAnsi="Arial" w:cs="Arial"/>
          <w:sz w:val="20"/>
          <w:szCs w:val="20"/>
        </w:rPr>
        <w:t>zarządzania fazą przejściową CISE. Zgodnie</w:t>
      </w:r>
      <w:r w:rsidR="00373FA5">
        <w:rPr>
          <w:rFonts w:ascii="Arial" w:eastAsia="HiddenHorzOCR" w:hAnsi="Arial" w:cs="Arial"/>
          <w:sz w:val="20"/>
          <w:szCs w:val="20"/>
        </w:rPr>
        <w:t xml:space="preserve"> z </w:t>
      </w:r>
      <w:r w:rsidR="005E6CB8" w:rsidRPr="006C6EBD">
        <w:rPr>
          <w:rFonts w:ascii="Arial" w:eastAsia="HiddenHorzOCR" w:hAnsi="Arial" w:cs="Arial"/>
          <w:sz w:val="20"/>
          <w:szCs w:val="20"/>
        </w:rPr>
        <w:t>dokumentem koncepc</w:t>
      </w:r>
      <w:r w:rsidR="00EF1C86">
        <w:rPr>
          <w:rFonts w:ascii="Arial" w:eastAsia="HiddenHorzOCR" w:hAnsi="Arial" w:cs="Arial"/>
          <w:sz w:val="20"/>
          <w:szCs w:val="20"/>
        </w:rPr>
        <w:t xml:space="preserve">yjnym przedstawiającym zakres i </w:t>
      </w:r>
      <w:r w:rsidR="005E6CB8" w:rsidRPr="006C6EBD">
        <w:rPr>
          <w:rFonts w:ascii="Arial" w:eastAsia="HiddenHorzOCR" w:hAnsi="Arial" w:cs="Arial"/>
          <w:sz w:val="20"/>
          <w:szCs w:val="20"/>
        </w:rPr>
        <w:t>cele okresu przejściowego</w:t>
      </w:r>
      <w:r w:rsidR="005E6CB8">
        <w:rPr>
          <w:rFonts w:ascii="Arial" w:eastAsia="HiddenHorzOCR" w:hAnsi="Arial" w:cs="Arial"/>
          <w:sz w:val="20"/>
          <w:szCs w:val="20"/>
        </w:rPr>
        <w:t xml:space="preserve"> </w:t>
      </w:r>
      <w:r w:rsidR="005A10B7">
        <w:rPr>
          <w:rFonts w:ascii="Arial" w:eastAsia="HiddenHorzOCR" w:hAnsi="Arial" w:cs="Arial"/>
          <w:sz w:val="20"/>
          <w:szCs w:val="20"/>
        </w:rPr>
        <w:br/>
      </w:r>
      <w:r w:rsidR="005E6CB8">
        <w:rPr>
          <w:rFonts w:ascii="Arial" w:eastAsia="HiddenHorzOCR" w:hAnsi="Arial" w:cs="Arial"/>
          <w:sz w:val="20"/>
          <w:szCs w:val="20"/>
        </w:rPr>
        <w:t xml:space="preserve">w </w:t>
      </w:r>
      <w:r w:rsidR="005E6CB8" w:rsidRPr="006C6EBD">
        <w:rPr>
          <w:rFonts w:ascii="Arial" w:eastAsia="HiddenHorzOCR" w:hAnsi="Arial" w:cs="Arial"/>
          <w:sz w:val="20"/>
          <w:szCs w:val="20"/>
        </w:rPr>
        <w:t>dokumentach szczegół</w:t>
      </w:r>
      <w:r w:rsidR="00FD78EC">
        <w:rPr>
          <w:rFonts w:ascii="Arial" w:eastAsia="HiddenHorzOCR" w:hAnsi="Arial" w:cs="Arial"/>
          <w:sz w:val="20"/>
          <w:szCs w:val="20"/>
        </w:rPr>
        <w:t xml:space="preserve">owo opisano kwestie techniczne, </w:t>
      </w:r>
      <w:r w:rsidR="00E10298">
        <w:rPr>
          <w:rFonts w:ascii="Arial" w:eastAsia="HiddenHorzOCR" w:hAnsi="Arial" w:cs="Arial"/>
          <w:sz w:val="20"/>
          <w:szCs w:val="20"/>
        </w:rPr>
        <w:t xml:space="preserve">ramy operacyjne </w:t>
      </w:r>
      <w:r w:rsidR="005E6CB8" w:rsidRPr="006C6EBD">
        <w:rPr>
          <w:rFonts w:ascii="Arial" w:eastAsia="HiddenHorzOCR" w:hAnsi="Arial" w:cs="Arial"/>
          <w:sz w:val="20"/>
          <w:szCs w:val="20"/>
        </w:rPr>
        <w:t>i administracyjne, które należy wprowadzić w celu ułatwienia prze</w:t>
      </w:r>
      <w:r w:rsidR="00E10298">
        <w:rPr>
          <w:rFonts w:ascii="Arial" w:eastAsia="HiddenHorzOCR" w:hAnsi="Arial" w:cs="Arial"/>
          <w:sz w:val="20"/>
          <w:szCs w:val="20"/>
        </w:rPr>
        <w:t xml:space="preserve">jścia do fazy operacyjnej CISE </w:t>
      </w:r>
      <w:r w:rsidR="005E6CB8" w:rsidRPr="006C6EBD">
        <w:rPr>
          <w:rFonts w:ascii="Arial" w:eastAsia="HiddenHorzOCR" w:hAnsi="Arial" w:cs="Arial"/>
          <w:sz w:val="20"/>
          <w:szCs w:val="20"/>
        </w:rPr>
        <w:t>po 2020 r.</w:t>
      </w:r>
      <w:r w:rsidR="005E6CB8">
        <w:rPr>
          <w:rFonts w:ascii="Arial" w:eastAsia="Times New Roman" w:hAnsi="Arial" w:cs="Arial"/>
          <w:bCs/>
          <w:sz w:val="20"/>
          <w:szCs w:val="20"/>
          <w:lang w:eastAsia="pl-PL"/>
        </w:rPr>
        <w:t xml:space="preserve"> </w:t>
      </w:r>
      <w:r w:rsidRPr="006C6EBD">
        <w:rPr>
          <w:rFonts w:ascii="Arial" w:eastAsia="HiddenHorzOCR" w:hAnsi="Arial" w:cs="Arial"/>
          <w:sz w:val="20"/>
          <w:szCs w:val="20"/>
        </w:rPr>
        <w:t>Dyskutowano także o działaniach, jakie państwa członkowskie powinny podjąć na szczeblu krajowym</w:t>
      </w:r>
      <w:r w:rsidR="004C6CC5" w:rsidRPr="006C6EBD">
        <w:rPr>
          <w:rFonts w:ascii="Arial" w:eastAsia="HiddenHorzOCR" w:hAnsi="Arial" w:cs="Arial"/>
          <w:sz w:val="20"/>
          <w:szCs w:val="20"/>
        </w:rPr>
        <w:t xml:space="preserve"> w </w:t>
      </w:r>
      <w:r w:rsidRPr="006C6EBD">
        <w:rPr>
          <w:rFonts w:ascii="Arial" w:eastAsia="HiddenHorzOCR" w:hAnsi="Arial" w:cs="Arial"/>
          <w:sz w:val="20"/>
          <w:szCs w:val="20"/>
        </w:rPr>
        <w:t>celu zapewnienia spójnego zarządzania fazą przejściową. Podkreślano nadrzędne znaczenie CISE dla zapewnienia właściwego nadzoru</w:t>
      </w:r>
      <w:r w:rsidR="004C6CC5" w:rsidRPr="006C6EBD">
        <w:rPr>
          <w:rFonts w:ascii="Arial" w:eastAsia="HiddenHorzOCR" w:hAnsi="Arial" w:cs="Arial"/>
          <w:sz w:val="20"/>
          <w:szCs w:val="20"/>
        </w:rPr>
        <w:t xml:space="preserve"> i </w:t>
      </w:r>
      <w:r w:rsidRPr="006C6EBD">
        <w:rPr>
          <w:rFonts w:ascii="Arial" w:eastAsia="HiddenHorzOCR" w:hAnsi="Arial" w:cs="Arial"/>
          <w:sz w:val="20"/>
          <w:szCs w:val="20"/>
        </w:rPr>
        <w:t>wymiany informacji</w:t>
      </w:r>
      <w:r w:rsidR="004C6CC5" w:rsidRPr="006C6EBD">
        <w:rPr>
          <w:rFonts w:ascii="Arial" w:eastAsia="HiddenHorzOCR" w:hAnsi="Arial" w:cs="Arial"/>
          <w:sz w:val="20"/>
          <w:szCs w:val="20"/>
        </w:rPr>
        <w:t xml:space="preserve"> w </w:t>
      </w:r>
      <w:r w:rsidRPr="006C6EBD">
        <w:rPr>
          <w:rFonts w:ascii="Arial" w:eastAsia="HiddenHorzOCR" w:hAnsi="Arial" w:cs="Arial"/>
          <w:sz w:val="20"/>
          <w:szCs w:val="20"/>
        </w:rPr>
        <w:t>obszarach morskich UE oraz jego znaczenie dla bezpieczeństwa morskiego</w:t>
      </w:r>
      <w:r w:rsidR="004C6CC5" w:rsidRPr="006C6EBD">
        <w:rPr>
          <w:rFonts w:ascii="Arial" w:eastAsia="HiddenHorzOCR" w:hAnsi="Arial" w:cs="Arial"/>
          <w:sz w:val="20"/>
          <w:szCs w:val="20"/>
        </w:rPr>
        <w:t xml:space="preserve"> w </w:t>
      </w:r>
      <w:r w:rsidRPr="006C6EBD">
        <w:rPr>
          <w:rFonts w:ascii="Arial" w:eastAsia="HiddenHorzOCR" w:hAnsi="Arial" w:cs="Arial"/>
          <w:sz w:val="20"/>
          <w:szCs w:val="20"/>
        </w:rPr>
        <w:t xml:space="preserve">powiązaniu ze zrewidowanym Planem Działań Europejskiej Strategii Bezpieczeństwa na Morzu. </w:t>
      </w:r>
    </w:p>
    <w:p w14:paraId="52B2455E" w14:textId="77777777" w:rsidR="0013764D" w:rsidRDefault="00B6687A" w:rsidP="003C6ECA">
      <w:pPr>
        <w:pStyle w:val="Akapitzlist"/>
        <w:numPr>
          <w:ilvl w:val="0"/>
          <w:numId w:val="27"/>
        </w:numPr>
        <w:spacing w:before="120" w:after="120" w:line="276" w:lineRule="auto"/>
        <w:jc w:val="both"/>
        <w:rPr>
          <w:rFonts w:ascii="Arial" w:hAnsi="Arial" w:cs="Arial"/>
          <w:b/>
          <w:sz w:val="20"/>
          <w:szCs w:val="20"/>
        </w:rPr>
      </w:pPr>
      <w:r w:rsidRPr="00AA7D00">
        <w:rPr>
          <w:rFonts w:ascii="Arial" w:hAnsi="Arial" w:cs="Arial"/>
          <w:b/>
          <w:sz w:val="20"/>
          <w:szCs w:val="20"/>
        </w:rPr>
        <w:t>Grupa Przyjaciół Prezydencji Rady UE do spraw Zintegrowanej Polityki Morskiej.</w:t>
      </w:r>
    </w:p>
    <w:p w14:paraId="69920D12" w14:textId="1DA8CAF8" w:rsidR="00400EFC" w:rsidRPr="0013764D" w:rsidRDefault="00F06EA7" w:rsidP="0013764D">
      <w:pPr>
        <w:spacing w:before="120" w:after="120" w:line="276" w:lineRule="auto"/>
        <w:jc w:val="both"/>
        <w:rPr>
          <w:rFonts w:ascii="Arial" w:hAnsi="Arial" w:cs="Arial"/>
          <w:sz w:val="20"/>
          <w:szCs w:val="20"/>
        </w:rPr>
      </w:pPr>
      <w:r w:rsidRPr="0013764D">
        <w:rPr>
          <w:rFonts w:ascii="Arial" w:hAnsi="Arial" w:cs="Arial"/>
          <w:sz w:val="20"/>
          <w:szCs w:val="20"/>
        </w:rPr>
        <w:t xml:space="preserve">W 2019 r. </w:t>
      </w:r>
      <w:r w:rsidR="00E311DF">
        <w:rPr>
          <w:rFonts w:ascii="Arial" w:hAnsi="Arial" w:cs="Arial"/>
          <w:sz w:val="20"/>
          <w:szCs w:val="20"/>
        </w:rPr>
        <w:t>przedmiotem prac G</w:t>
      </w:r>
      <w:r w:rsidR="00400EFC" w:rsidRPr="0013764D">
        <w:rPr>
          <w:rFonts w:ascii="Arial" w:hAnsi="Arial" w:cs="Arial"/>
          <w:sz w:val="20"/>
          <w:szCs w:val="20"/>
        </w:rPr>
        <w:t>rupy był projekt Konkluzji Rady w sprawie zintegrowanej polityki morskiej</w:t>
      </w:r>
      <w:r w:rsidR="005F2069" w:rsidRPr="0013764D">
        <w:rPr>
          <w:rFonts w:ascii="Arial" w:hAnsi="Arial" w:cs="Arial"/>
          <w:sz w:val="20"/>
          <w:szCs w:val="20"/>
        </w:rPr>
        <w:t xml:space="preserve">, </w:t>
      </w:r>
      <w:r w:rsidR="00E311DF">
        <w:rPr>
          <w:rFonts w:ascii="Arial" w:hAnsi="Arial" w:cs="Arial"/>
          <w:sz w:val="20"/>
          <w:szCs w:val="20"/>
        </w:rPr>
        <w:t>dotyczących</w:t>
      </w:r>
      <w:r w:rsidR="009F2E3A" w:rsidRPr="0013764D">
        <w:rPr>
          <w:rFonts w:ascii="Arial" w:hAnsi="Arial" w:cs="Arial"/>
          <w:sz w:val="20"/>
          <w:szCs w:val="20"/>
        </w:rPr>
        <w:t xml:space="preserve"> zarządzania </w:t>
      </w:r>
      <w:r w:rsidR="00BA14D9" w:rsidRPr="0013764D">
        <w:rPr>
          <w:rFonts w:ascii="Arial" w:hAnsi="Arial" w:cs="Arial"/>
          <w:sz w:val="20"/>
          <w:szCs w:val="20"/>
        </w:rPr>
        <w:t>oceanicznego</w:t>
      </w:r>
      <w:r w:rsidR="009F2E3A" w:rsidRPr="0013764D">
        <w:rPr>
          <w:rFonts w:ascii="Arial" w:hAnsi="Arial" w:cs="Arial"/>
          <w:sz w:val="20"/>
          <w:szCs w:val="20"/>
        </w:rPr>
        <w:t xml:space="preserve">, </w:t>
      </w:r>
      <w:r w:rsidR="005F2069" w:rsidRPr="0013764D">
        <w:rPr>
          <w:rFonts w:ascii="Arial" w:hAnsi="Arial" w:cs="Arial"/>
          <w:sz w:val="20"/>
          <w:szCs w:val="20"/>
        </w:rPr>
        <w:t>które koncentrowały się na następujących obszarach: oceany i zmiany klimatyczne, wiedza o morzu, bezpiecz</w:t>
      </w:r>
      <w:r w:rsidR="006C4682">
        <w:rPr>
          <w:rFonts w:ascii="Arial" w:hAnsi="Arial" w:cs="Arial"/>
          <w:sz w:val="20"/>
          <w:szCs w:val="20"/>
        </w:rPr>
        <w:t xml:space="preserve">eństwo morskie i nadzór morski, </w:t>
      </w:r>
      <w:r w:rsidR="005F2069" w:rsidRPr="0013764D">
        <w:rPr>
          <w:rFonts w:ascii="Arial" w:hAnsi="Arial" w:cs="Arial"/>
          <w:sz w:val="20"/>
          <w:szCs w:val="20"/>
        </w:rPr>
        <w:t>zrównoważona niebieska gospodarka, śmieci morski</w:t>
      </w:r>
      <w:r w:rsidR="006C4682">
        <w:rPr>
          <w:rFonts w:ascii="Arial" w:hAnsi="Arial" w:cs="Arial"/>
          <w:sz w:val="20"/>
          <w:szCs w:val="20"/>
        </w:rPr>
        <w:t>e i odpady z tworzyw sztucznych oraz</w:t>
      </w:r>
      <w:r w:rsidR="000222E5">
        <w:rPr>
          <w:rFonts w:ascii="Arial" w:hAnsi="Arial" w:cs="Arial"/>
          <w:sz w:val="20"/>
          <w:szCs w:val="20"/>
        </w:rPr>
        <w:t xml:space="preserve"> region</w:t>
      </w:r>
      <w:r w:rsidR="006C4682" w:rsidRPr="006C4682">
        <w:rPr>
          <w:rFonts w:ascii="Arial" w:hAnsi="Arial" w:cs="Arial"/>
          <w:sz w:val="20"/>
          <w:szCs w:val="20"/>
        </w:rPr>
        <w:t xml:space="preserve"> </w:t>
      </w:r>
      <w:r w:rsidR="000222E5">
        <w:rPr>
          <w:rFonts w:ascii="Arial" w:hAnsi="Arial" w:cs="Arial"/>
          <w:sz w:val="20"/>
          <w:szCs w:val="20"/>
        </w:rPr>
        <w:t>Arktyki</w:t>
      </w:r>
      <w:r w:rsidR="006C4682">
        <w:rPr>
          <w:rFonts w:ascii="Arial" w:hAnsi="Arial" w:cs="Arial"/>
          <w:sz w:val="20"/>
          <w:szCs w:val="20"/>
        </w:rPr>
        <w:t>.</w:t>
      </w:r>
    </w:p>
    <w:p w14:paraId="0E641E37" w14:textId="776FB499" w:rsidR="00F06EA7" w:rsidRPr="00601AC2" w:rsidRDefault="00601AC2" w:rsidP="00400EFC">
      <w:pPr>
        <w:spacing w:before="120" w:after="120" w:line="276" w:lineRule="auto"/>
        <w:jc w:val="both"/>
        <w:rPr>
          <w:rFonts w:ascii="Arial" w:eastAsia="Calibri" w:hAnsi="Arial" w:cs="Arial"/>
          <w:sz w:val="20"/>
          <w:szCs w:val="20"/>
        </w:rPr>
      </w:pPr>
      <w:r w:rsidRPr="00601AC2">
        <w:rPr>
          <w:rFonts w:ascii="Arial" w:eastAsia="Calibri" w:hAnsi="Arial" w:cs="Arial"/>
          <w:sz w:val="20"/>
          <w:szCs w:val="20"/>
        </w:rPr>
        <w:t xml:space="preserve">Ważnym punktem kilku posiedzeń Grupy były uzgodnienia dotyczące listy </w:t>
      </w:r>
      <w:r w:rsidR="00E73525">
        <w:rPr>
          <w:rFonts w:ascii="Arial" w:eastAsia="Calibri" w:hAnsi="Arial" w:cs="Arial"/>
          <w:sz w:val="20"/>
          <w:szCs w:val="20"/>
        </w:rPr>
        <w:t xml:space="preserve">dobrowolnych </w:t>
      </w:r>
      <w:r w:rsidRPr="00601AC2">
        <w:rPr>
          <w:rFonts w:ascii="Arial" w:eastAsia="Calibri" w:hAnsi="Arial" w:cs="Arial"/>
          <w:sz w:val="20"/>
          <w:szCs w:val="20"/>
        </w:rPr>
        <w:t xml:space="preserve">zobowiązań UE na konferencję wysokiego szczebla „Our </w:t>
      </w:r>
      <w:r>
        <w:rPr>
          <w:rFonts w:ascii="Arial" w:eastAsia="Calibri" w:hAnsi="Arial" w:cs="Arial"/>
          <w:sz w:val="20"/>
          <w:szCs w:val="20"/>
        </w:rPr>
        <w:t xml:space="preserve">Ocean”, </w:t>
      </w:r>
      <w:r w:rsidR="000B6D8E">
        <w:rPr>
          <w:rFonts w:ascii="Arial" w:eastAsia="Calibri" w:hAnsi="Arial" w:cs="Arial"/>
          <w:sz w:val="20"/>
          <w:szCs w:val="20"/>
        </w:rPr>
        <w:t>która odbyła się</w:t>
      </w:r>
      <w:r>
        <w:rPr>
          <w:rFonts w:ascii="Arial" w:eastAsia="Calibri" w:hAnsi="Arial" w:cs="Arial"/>
          <w:sz w:val="20"/>
          <w:szCs w:val="20"/>
        </w:rPr>
        <w:t xml:space="preserve"> </w:t>
      </w:r>
      <w:r w:rsidRPr="00B30A3E">
        <w:rPr>
          <w:rFonts w:ascii="Arial" w:eastAsia="Times New Roman" w:hAnsi="Arial" w:cs="Arial"/>
          <w:sz w:val="20"/>
          <w:szCs w:val="20"/>
          <w:lang w:val="en-US" w:eastAsia="pl-PL"/>
        </w:rPr>
        <w:t xml:space="preserve">w dniach 23-24 października </w:t>
      </w:r>
      <w:r w:rsidR="000B6D8E">
        <w:rPr>
          <w:rFonts w:ascii="Arial" w:eastAsia="Times New Roman" w:hAnsi="Arial" w:cs="Arial"/>
          <w:sz w:val="20"/>
          <w:szCs w:val="20"/>
          <w:lang w:val="en-US" w:eastAsia="pl-PL"/>
        </w:rPr>
        <w:br/>
      </w:r>
      <w:r w:rsidRPr="00B30A3E">
        <w:rPr>
          <w:rFonts w:ascii="Arial" w:eastAsia="Times New Roman" w:hAnsi="Arial" w:cs="Arial"/>
          <w:sz w:val="20"/>
          <w:szCs w:val="20"/>
          <w:lang w:val="en-US" w:eastAsia="pl-PL"/>
        </w:rPr>
        <w:t>2019 r.</w:t>
      </w:r>
      <w:r>
        <w:rPr>
          <w:rFonts w:ascii="Arial" w:eastAsia="Times New Roman" w:hAnsi="Arial" w:cs="Arial"/>
          <w:sz w:val="20"/>
          <w:szCs w:val="20"/>
          <w:lang w:val="en-US" w:eastAsia="pl-PL"/>
        </w:rPr>
        <w:t xml:space="preserve"> </w:t>
      </w:r>
      <w:r w:rsidRPr="00601AC2">
        <w:rPr>
          <w:rFonts w:ascii="Arial" w:eastAsia="Calibri" w:hAnsi="Arial" w:cs="Arial"/>
          <w:sz w:val="20"/>
          <w:szCs w:val="20"/>
        </w:rPr>
        <w:t xml:space="preserve">w </w:t>
      </w:r>
      <w:r>
        <w:rPr>
          <w:rFonts w:ascii="Arial" w:eastAsia="Calibri" w:hAnsi="Arial" w:cs="Arial"/>
          <w:sz w:val="20"/>
          <w:szCs w:val="20"/>
        </w:rPr>
        <w:t>Norwegii</w:t>
      </w:r>
      <w:r w:rsidRPr="00601AC2">
        <w:rPr>
          <w:rFonts w:ascii="Arial" w:eastAsia="Calibri" w:hAnsi="Arial" w:cs="Arial"/>
          <w:sz w:val="20"/>
          <w:szCs w:val="20"/>
        </w:rPr>
        <w:t xml:space="preserve">. Głównym celem </w:t>
      </w:r>
      <w:r w:rsidR="00CB5E93">
        <w:rPr>
          <w:rFonts w:ascii="Arial" w:eastAsia="Calibri" w:hAnsi="Arial" w:cs="Arial"/>
          <w:sz w:val="20"/>
          <w:szCs w:val="20"/>
        </w:rPr>
        <w:t xml:space="preserve">dorocznej </w:t>
      </w:r>
      <w:r w:rsidRPr="00601AC2">
        <w:rPr>
          <w:rFonts w:ascii="Arial" w:eastAsia="Calibri" w:hAnsi="Arial" w:cs="Arial"/>
          <w:sz w:val="20"/>
          <w:szCs w:val="20"/>
        </w:rPr>
        <w:t>konferencji oceanicznej organizowanej z inicjatywy Komisji Europejskiej jest wzmocnienie współpracy i partnerstwa między różnymi zainteresowanymi stronami z branży morskiej, co przekłada się na konkretne i mo</w:t>
      </w:r>
      <w:r w:rsidR="001C0F75">
        <w:rPr>
          <w:rFonts w:ascii="Arial" w:eastAsia="Calibri" w:hAnsi="Arial" w:cs="Arial"/>
          <w:sz w:val="20"/>
          <w:szCs w:val="20"/>
        </w:rPr>
        <w:t xml:space="preserve">żliwe do podjęcia zobowiązania. </w:t>
      </w:r>
      <w:r w:rsidRPr="00601AC2">
        <w:rPr>
          <w:rFonts w:ascii="Arial" w:eastAsia="Calibri" w:hAnsi="Arial" w:cs="Arial"/>
          <w:sz w:val="20"/>
          <w:szCs w:val="20"/>
        </w:rPr>
        <w:t>Tematyka konferencji koncentruje się przede wszystkim na wpływie zmian klimatu na</w:t>
      </w:r>
      <w:r w:rsidR="001C0F75">
        <w:rPr>
          <w:rFonts w:ascii="Arial" w:eastAsia="Calibri" w:hAnsi="Arial" w:cs="Arial"/>
          <w:sz w:val="20"/>
          <w:szCs w:val="20"/>
        </w:rPr>
        <w:t xml:space="preserve"> oceany, zanieczyszczeniu mórz </w:t>
      </w:r>
      <w:r w:rsidRPr="00601AC2">
        <w:rPr>
          <w:rFonts w:ascii="Arial" w:eastAsia="Calibri" w:hAnsi="Arial" w:cs="Arial"/>
          <w:sz w:val="20"/>
          <w:szCs w:val="20"/>
        </w:rPr>
        <w:t>i ochronie wrażliwych ekosystemów morskich, zrównoważonym rybołówstwie, morskich obszarach chronionych, a także „niebieskiej” gospodarce oraz bezpieczeństwie morskim.</w:t>
      </w:r>
      <w:r>
        <w:rPr>
          <w:rFonts w:ascii="Arial" w:eastAsia="Calibri" w:hAnsi="Arial" w:cs="Arial"/>
          <w:sz w:val="20"/>
          <w:szCs w:val="20"/>
        </w:rPr>
        <w:t xml:space="preserve"> </w:t>
      </w:r>
      <w:r w:rsidR="00887042">
        <w:rPr>
          <w:rFonts w:ascii="Arial" w:eastAsia="Calibri" w:hAnsi="Arial" w:cs="Arial"/>
          <w:sz w:val="20"/>
          <w:szCs w:val="20"/>
        </w:rPr>
        <w:t>Ostatecznie p</w:t>
      </w:r>
      <w:r w:rsidR="00400EFC" w:rsidRPr="00B30A3E">
        <w:rPr>
          <w:rFonts w:ascii="Arial" w:eastAsia="Calibri" w:hAnsi="Arial" w:cs="Arial"/>
          <w:sz w:val="20"/>
          <w:szCs w:val="20"/>
        </w:rPr>
        <w:t xml:space="preserve">odczas konferencji </w:t>
      </w:r>
      <w:r w:rsidR="00FA7BB4">
        <w:rPr>
          <w:rFonts w:ascii="Arial" w:eastAsia="Calibri" w:hAnsi="Arial" w:cs="Arial"/>
          <w:sz w:val="20"/>
          <w:szCs w:val="20"/>
        </w:rPr>
        <w:t>p</w:t>
      </w:r>
      <w:r w:rsidR="00F06EA7" w:rsidRPr="00B30A3E">
        <w:rPr>
          <w:rFonts w:ascii="Arial" w:eastAsia="Calibri" w:hAnsi="Arial" w:cs="Arial"/>
          <w:sz w:val="20"/>
          <w:szCs w:val="20"/>
        </w:rPr>
        <w:t xml:space="preserve">odjęto 370 zobowiązań o łącznej wartości 63 bln dolarów, a 80% </w:t>
      </w:r>
      <w:r w:rsidR="000B6D8E">
        <w:rPr>
          <w:rFonts w:ascii="Arial" w:eastAsia="Calibri" w:hAnsi="Arial" w:cs="Arial"/>
          <w:sz w:val="20"/>
          <w:szCs w:val="20"/>
        </w:rPr>
        <w:br/>
      </w:r>
      <w:r w:rsidR="00F06EA7" w:rsidRPr="00B30A3E">
        <w:rPr>
          <w:rFonts w:ascii="Arial" w:eastAsia="Calibri" w:hAnsi="Arial" w:cs="Arial"/>
          <w:sz w:val="20"/>
          <w:szCs w:val="20"/>
        </w:rPr>
        <w:t xml:space="preserve">z nich to zobowiązania </w:t>
      </w:r>
      <w:r w:rsidR="008F4156">
        <w:rPr>
          <w:rFonts w:ascii="Arial" w:eastAsia="Calibri" w:hAnsi="Arial" w:cs="Arial"/>
          <w:sz w:val="20"/>
          <w:szCs w:val="20"/>
        </w:rPr>
        <w:t xml:space="preserve">sektora prywatnego. </w:t>
      </w:r>
    </w:p>
    <w:p w14:paraId="0AA6A5F2" w14:textId="74E1E407" w:rsidR="002B1F79" w:rsidRPr="00706EEB" w:rsidRDefault="00C615E5" w:rsidP="00355127">
      <w:pPr>
        <w:spacing w:before="120" w:after="120" w:line="276" w:lineRule="auto"/>
        <w:jc w:val="both"/>
        <w:rPr>
          <w:rFonts w:ascii="Arial" w:eastAsia="Calibri" w:hAnsi="Arial" w:cs="Arial"/>
          <w:color w:val="000000"/>
          <w:sz w:val="20"/>
          <w:szCs w:val="20"/>
          <w:lang w:eastAsia="pl-PL"/>
        </w:rPr>
      </w:pPr>
      <w:r>
        <w:rPr>
          <w:rFonts w:ascii="Arial" w:eastAsia="Calibri" w:hAnsi="Arial" w:cs="Arial"/>
          <w:color w:val="000000"/>
          <w:sz w:val="20"/>
          <w:szCs w:val="20"/>
          <w:lang w:eastAsia="pl-PL"/>
        </w:rPr>
        <w:lastRenderedPageBreak/>
        <w:t>P</w:t>
      </w:r>
      <w:r w:rsidRPr="00FA7BB4">
        <w:rPr>
          <w:rFonts w:ascii="Arial" w:eastAsia="Calibri" w:hAnsi="Arial" w:cs="Arial"/>
          <w:color w:val="000000"/>
          <w:sz w:val="20"/>
          <w:szCs w:val="20"/>
          <w:lang w:eastAsia="pl-PL"/>
        </w:rPr>
        <w:t>rzedmiotem pracy</w:t>
      </w:r>
      <w:r w:rsidRPr="003B7775">
        <w:rPr>
          <w:rFonts w:ascii="Arial" w:eastAsia="Times New Roman" w:hAnsi="Arial" w:cs="Arial"/>
          <w:sz w:val="20"/>
          <w:szCs w:val="20"/>
          <w:lang w:val="en-US" w:eastAsia="pl-PL"/>
        </w:rPr>
        <w:t xml:space="preserve"> </w:t>
      </w:r>
      <w:r w:rsidR="008D57AE">
        <w:rPr>
          <w:rFonts w:ascii="Arial" w:eastAsia="Times New Roman" w:hAnsi="Arial" w:cs="Arial"/>
          <w:sz w:val="20"/>
          <w:szCs w:val="20"/>
          <w:lang w:val="en-US" w:eastAsia="pl-PL"/>
        </w:rPr>
        <w:t>G</w:t>
      </w:r>
      <w:r>
        <w:rPr>
          <w:rFonts w:ascii="Arial" w:eastAsia="Times New Roman" w:hAnsi="Arial" w:cs="Arial"/>
          <w:sz w:val="20"/>
          <w:szCs w:val="20"/>
          <w:lang w:val="en-US" w:eastAsia="pl-PL"/>
        </w:rPr>
        <w:t xml:space="preserve">rupy </w:t>
      </w:r>
      <w:r w:rsidR="00B545BF">
        <w:rPr>
          <w:rFonts w:ascii="Arial" w:eastAsia="Times New Roman" w:hAnsi="Arial" w:cs="Arial"/>
          <w:sz w:val="20"/>
          <w:szCs w:val="20"/>
          <w:lang w:val="en-US" w:eastAsia="pl-PL"/>
        </w:rPr>
        <w:t>był</w:t>
      </w:r>
      <w:r>
        <w:rPr>
          <w:rFonts w:ascii="Arial" w:eastAsia="Times New Roman" w:hAnsi="Arial" w:cs="Arial"/>
          <w:sz w:val="20"/>
          <w:szCs w:val="20"/>
          <w:lang w:val="en-US" w:eastAsia="pl-PL"/>
        </w:rPr>
        <w:t xml:space="preserve"> również </w:t>
      </w:r>
      <w:r w:rsidR="00B545BF">
        <w:rPr>
          <w:rFonts w:ascii="Arial" w:eastAsia="Times New Roman" w:hAnsi="Arial" w:cs="Arial"/>
          <w:sz w:val="20"/>
          <w:szCs w:val="20"/>
          <w:lang w:val="en-US" w:eastAsia="pl-PL"/>
        </w:rPr>
        <w:t xml:space="preserve">projekt </w:t>
      </w:r>
      <w:r>
        <w:rPr>
          <w:rFonts w:ascii="Arial" w:eastAsia="Calibri" w:hAnsi="Arial" w:cs="Arial"/>
          <w:color w:val="000000"/>
          <w:sz w:val="20"/>
          <w:szCs w:val="20"/>
          <w:lang w:eastAsia="pl-PL"/>
        </w:rPr>
        <w:t>d</w:t>
      </w:r>
      <w:r w:rsidRPr="00FA7BB4">
        <w:rPr>
          <w:rFonts w:ascii="Arial" w:eastAsia="Calibri" w:hAnsi="Arial" w:cs="Arial"/>
          <w:color w:val="000000"/>
          <w:sz w:val="20"/>
          <w:szCs w:val="20"/>
          <w:lang w:eastAsia="pl-PL"/>
        </w:rPr>
        <w:t>e</w:t>
      </w:r>
      <w:r>
        <w:rPr>
          <w:rFonts w:ascii="Arial" w:eastAsia="Calibri" w:hAnsi="Arial" w:cs="Arial"/>
          <w:color w:val="000000"/>
          <w:sz w:val="20"/>
          <w:szCs w:val="20"/>
          <w:lang w:eastAsia="pl-PL"/>
        </w:rPr>
        <w:t>kla</w:t>
      </w:r>
      <w:r w:rsidR="00B545BF">
        <w:rPr>
          <w:rFonts w:ascii="Arial" w:eastAsia="Calibri" w:hAnsi="Arial" w:cs="Arial"/>
          <w:color w:val="000000"/>
          <w:sz w:val="20"/>
          <w:szCs w:val="20"/>
          <w:lang w:eastAsia="pl-PL"/>
        </w:rPr>
        <w:t>racji politycznej</w:t>
      </w:r>
      <w:r w:rsidR="00706EEB">
        <w:rPr>
          <w:rFonts w:ascii="Arial" w:eastAsia="Calibri" w:hAnsi="Arial" w:cs="Arial"/>
          <w:color w:val="000000"/>
          <w:sz w:val="20"/>
          <w:szCs w:val="20"/>
          <w:lang w:eastAsia="pl-PL"/>
        </w:rPr>
        <w:t xml:space="preserve"> wraz z listą dobrowolnych zobowiązań</w:t>
      </w:r>
      <w:r>
        <w:rPr>
          <w:rFonts w:ascii="Arial" w:eastAsia="Calibri" w:hAnsi="Arial" w:cs="Arial"/>
          <w:color w:val="000000"/>
          <w:sz w:val="20"/>
          <w:szCs w:val="20"/>
          <w:lang w:eastAsia="pl-PL"/>
        </w:rPr>
        <w:t>, która miała zo</w:t>
      </w:r>
      <w:r w:rsidRPr="00FA7BB4">
        <w:rPr>
          <w:rFonts w:ascii="Arial" w:eastAsia="Calibri" w:hAnsi="Arial" w:cs="Arial"/>
          <w:color w:val="000000"/>
          <w:sz w:val="20"/>
          <w:szCs w:val="20"/>
          <w:lang w:eastAsia="pl-PL"/>
        </w:rPr>
        <w:t xml:space="preserve">stać zaprezentowana w imieniu UE </w:t>
      </w:r>
      <w:r>
        <w:rPr>
          <w:rFonts w:ascii="Arial" w:eastAsia="Calibri" w:hAnsi="Arial" w:cs="Arial"/>
          <w:color w:val="000000"/>
          <w:sz w:val="20"/>
          <w:szCs w:val="20"/>
          <w:lang w:eastAsia="pl-PL"/>
        </w:rPr>
        <w:t>podczas</w:t>
      </w:r>
      <w:r w:rsidR="003B7775" w:rsidRPr="003B7775">
        <w:rPr>
          <w:rFonts w:ascii="Arial" w:eastAsia="Times New Roman" w:hAnsi="Arial" w:cs="Arial"/>
          <w:sz w:val="20"/>
          <w:szCs w:val="20"/>
          <w:lang w:val="en-US" w:eastAsia="pl-PL"/>
        </w:rPr>
        <w:t xml:space="preserve"> Konferencji </w:t>
      </w:r>
      <w:r w:rsidR="001C0F75">
        <w:rPr>
          <w:rFonts w:ascii="Arial" w:eastAsia="Times New Roman" w:hAnsi="Arial" w:cs="Arial"/>
          <w:sz w:val="20"/>
          <w:szCs w:val="20"/>
          <w:lang w:val="en-US" w:eastAsia="pl-PL"/>
        </w:rPr>
        <w:t xml:space="preserve">Oceanicznej </w:t>
      </w:r>
      <w:r w:rsidR="003B7775" w:rsidRPr="003B7775">
        <w:rPr>
          <w:rFonts w:ascii="Arial" w:eastAsia="Times New Roman" w:hAnsi="Arial" w:cs="Arial"/>
          <w:sz w:val="20"/>
          <w:szCs w:val="20"/>
          <w:lang w:val="en-US" w:eastAsia="pl-PL"/>
        </w:rPr>
        <w:t>Narodów Zjednoczonych (</w:t>
      </w:r>
      <w:r w:rsidR="008D57AE">
        <w:rPr>
          <w:rFonts w:ascii="Arial" w:eastAsia="Times New Roman" w:hAnsi="Arial" w:cs="Arial"/>
          <w:sz w:val="20"/>
          <w:szCs w:val="20"/>
          <w:lang w:val="en-US" w:eastAsia="pl-PL"/>
        </w:rPr>
        <w:t xml:space="preserve">2020 UN Ocean Conference), </w:t>
      </w:r>
      <w:r w:rsidR="00DC1170">
        <w:rPr>
          <w:rFonts w:ascii="Arial" w:eastAsia="Calibri" w:hAnsi="Arial" w:cs="Arial"/>
          <w:color w:val="000000"/>
          <w:sz w:val="20"/>
          <w:szCs w:val="20"/>
          <w:lang w:eastAsia="pl-PL"/>
        </w:rPr>
        <w:t>współorganizowanej przez</w:t>
      </w:r>
      <w:r w:rsidR="001C0F75" w:rsidRPr="001C0F75">
        <w:rPr>
          <w:rFonts w:ascii="Arial" w:eastAsia="Calibri" w:hAnsi="Arial" w:cs="Arial"/>
          <w:color w:val="000000"/>
          <w:sz w:val="20"/>
          <w:szCs w:val="20"/>
          <w:lang w:eastAsia="pl-PL"/>
        </w:rPr>
        <w:t xml:space="preserve"> rządy Kenii </w:t>
      </w:r>
      <w:r w:rsidR="00EC13CC">
        <w:rPr>
          <w:rFonts w:ascii="Arial" w:eastAsia="Calibri" w:hAnsi="Arial" w:cs="Arial"/>
          <w:color w:val="000000"/>
          <w:sz w:val="20"/>
          <w:szCs w:val="20"/>
          <w:lang w:eastAsia="pl-PL"/>
        </w:rPr>
        <w:br/>
      </w:r>
      <w:r w:rsidR="001C0F75" w:rsidRPr="001C0F75">
        <w:rPr>
          <w:rFonts w:ascii="Arial" w:eastAsia="Calibri" w:hAnsi="Arial" w:cs="Arial"/>
          <w:color w:val="000000"/>
          <w:sz w:val="20"/>
          <w:szCs w:val="20"/>
          <w:lang w:eastAsia="pl-PL"/>
        </w:rPr>
        <w:t>i Portugalii</w:t>
      </w:r>
      <w:r w:rsidR="001C0F75">
        <w:rPr>
          <w:rFonts w:ascii="Arial" w:eastAsia="Calibri" w:hAnsi="Arial" w:cs="Arial"/>
          <w:color w:val="000000"/>
          <w:sz w:val="20"/>
          <w:szCs w:val="20"/>
          <w:lang w:eastAsia="pl-PL"/>
        </w:rPr>
        <w:t xml:space="preserve"> </w:t>
      </w:r>
      <w:r w:rsidR="003B7775" w:rsidRPr="003B7775">
        <w:rPr>
          <w:rFonts w:ascii="Arial" w:eastAsia="Times New Roman" w:hAnsi="Arial" w:cs="Arial"/>
          <w:sz w:val="20"/>
          <w:szCs w:val="20"/>
          <w:lang w:val="en-US" w:eastAsia="pl-PL"/>
        </w:rPr>
        <w:t xml:space="preserve">w dniach 2-6 czerwca </w:t>
      </w:r>
      <w:r w:rsidR="00FA7BB4">
        <w:rPr>
          <w:rFonts w:ascii="Arial" w:eastAsia="Times New Roman" w:hAnsi="Arial" w:cs="Arial"/>
          <w:sz w:val="20"/>
          <w:szCs w:val="20"/>
          <w:lang w:val="en-US" w:eastAsia="pl-PL"/>
        </w:rPr>
        <w:t xml:space="preserve">2020 r. </w:t>
      </w:r>
      <w:r w:rsidR="003B7775" w:rsidRPr="003B7775">
        <w:rPr>
          <w:rFonts w:ascii="Arial" w:eastAsia="Times New Roman" w:hAnsi="Arial" w:cs="Arial"/>
          <w:sz w:val="20"/>
          <w:szCs w:val="20"/>
          <w:lang w:val="en-US" w:eastAsia="pl-PL"/>
        </w:rPr>
        <w:t>w Lizbonie</w:t>
      </w:r>
      <w:r w:rsidR="00FA7BB4" w:rsidRPr="00FA7BB4">
        <w:rPr>
          <w:rFonts w:ascii="Arial" w:eastAsia="Calibri" w:hAnsi="Arial" w:cs="Arial"/>
          <w:color w:val="000000"/>
          <w:sz w:val="20"/>
          <w:szCs w:val="20"/>
          <w:lang w:eastAsia="pl-PL"/>
        </w:rPr>
        <w:t xml:space="preserve">. </w:t>
      </w:r>
      <w:r w:rsidR="00433D19">
        <w:rPr>
          <w:rFonts w:ascii="Arial" w:eastAsia="Calibri" w:hAnsi="Arial" w:cs="Arial"/>
          <w:color w:val="000000"/>
          <w:sz w:val="20"/>
          <w:szCs w:val="20"/>
          <w:lang w:eastAsia="pl-PL"/>
        </w:rPr>
        <w:t xml:space="preserve">Zgodnie z deklaracją polityczną </w:t>
      </w:r>
      <w:r w:rsidR="00433D19">
        <w:rPr>
          <w:rFonts w:ascii="Arial" w:eastAsia="Times New Roman" w:hAnsi="Arial" w:cs="Arial"/>
          <w:sz w:val="20"/>
          <w:szCs w:val="20"/>
          <w:lang w:eastAsia="pl-PL"/>
        </w:rPr>
        <w:t>UE</w:t>
      </w:r>
      <w:r w:rsidR="00433D19" w:rsidRPr="006B6D46">
        <w:rPr>
          <w:rFonts w:ascii="Arial" w:eastAsia="Times New Roman" w:hAnsi="Arial" w:cs="Arial"/>
          <w:sz w:val="20"/>
          <w:szCs w:val="20"/>
          <w:lang w:eastAsia="pl-PL"/>
        </w:rPr>
        <w:t xml:space="preserve"> </w:t>
      </w:r>
      <w:r w:rsidR="00433D19">
        <w:rPr>
          <w:rFonts w:ascii="Arial" w:eastAsia="Times New Roman" w:hAnsi="Arial" w:cs="Arial"/>
          <w:sz w:val="20"/>
          <w:szCs w:val="20"/>
          <w:lang w:eastAsia="pl-PL"/>
        </w:rPr>
        <w:t>chce</w:t>
      </w:r>
      <w:r w:rsidR="00433D19" w:rsidRPr="006B6D46">
        <w:rPr>
          <w:rFonts w:ascii="Arial" w:eastAsia="Times New Roman" w:hAnsi="Arial" w:cs="Arial"/>
          <w:sz w:val="20"/>
          <w:szCs w:val="20"/>
          <w:lang w:eastAsia="pl-PL"/>
        </w:rPr>
        <w:t xml:space="preserve"> odgrywać wiodącą rolę w międzynarodowym zarządzaniu </w:t>
      </w:r>
      <w:r w:rsidR="00BA2A09">
        <w:rPr>
          <w:rFonts w:ascii="Arial" w:eastAsia="Times New Roman" w:hAnsi="Arial" w:cs="Arial"/>
          <w:sz w:val="20"/>
          <w:szCs w:val="20"/>
          <w:lang w:eastAsia="pl-PL"/>
        </w:rPr>
        <w:t xml:space="preserve">oceanami, również </w:t>
      </w:r>
      <w:r w:rsidR="00433D19" w:rsidRPr="006B6D46">
        <w:rPr>
          <w:rFonts w:ascii="Arial" w:eastAsia="Times New Roman" w:hAnsi="Arial" w:cs="Arial"/>
          <w:sz w:val="20"/>
          <w:szCs w:val="20"/>
          <w:lang w:eastAsia="pl-PL"/>
        </w:rPr>
        <w:t xml:space="preserve">w dyskusjach </w:t>
      </w:r>
      <w:r w:rsidR="00433D19">
        <w:rPr>
          <w:rFonts w:ascii="Arial" w:eastAsia="Times New Roman" w:hAnsi="Arial" w:cs="Arial"/>
          <w:sz w:val="20"/>
          <w:szCs w:val="20"/>
          <w:lang w:eastAsia="pl-PL"/>
        </w:rPr>
        <w:t>na forum</w:t>
      </w:r>
      <w:r w:rsidR="00526CFB">
        <w:rPr>
          <w:rFonts w:ascii="Arial" w:eastAsia="Times New Roman" w:hAnsi="Arial" w:cs="Arial"/>
          <w:sz w:val="20"/>
          <w:szCs w:val="20"/>
          <w:lang w:eastAsia="pl-PL"/>
        </w:rPr>
        <w:t xml:space="preserve"> ONZ.</w:t>
      </w:r>
      <w:r w:rsidR="00433D19" w:rsidRPr="006B6D46">
        <w:rPr>
          <w:rFonts w:ascii="Arial" w:eastAsia="Times New Roman" w:hAnsi="Arial" w:cs="Arial"/>
          <w:sz w:val="20"/>
          <w:szCs w:val="20"/>
          <w:lang w:eastAsia="pl-PL"/>
        </w:rPr>
        <w:t xml:space="preserve"> </w:t>
      </w:r>
      <w:r w:rsidR="00BA2A09">
        <w:rPr>
          <w:rFonts w:ascii="Arial" w:eastAsia="Calibri" w:hAnsi="Arial" w:cs="Arial"/>
          <w:color w:val="000000"/>
          <w:sz w:val="20"/>
          <w:szCs w:val="20"/>
          <w:lang w:eastAsia="pl-PL"/>
        </w:rPr>
        <w:t>Celem Konferencji jest</w:t>
      </w:r>
      <w:r w:rsidR="00355127" w:rsidRPr="006B6D46">
        <w:rPr>
          <w:rFonts w:ascii="Arial" w:eastAsia="Calibri" w:hAnsi="Arial" w:cs="Arial"/>
          <w:color w:val="000000"/>
          <w:sz w:val="20"/>
          <w:szCs w:val="20"/>
          <w:lang w:eastAsia="pl-PL"/>
        </w:rPr>
        <w:t xml:space="preserve"> </w:t>
      </w:r>
      <w:r w:rsidR="00355127" w:rsidRPr="001C0F75">
        <w:rPr>
          <w:rFonts w:ascii="Arial" w:eastAsia="Calibri" w:hAnsi="Arial" w:cs="Arial"/>
          <w:color w:val="000000"/>
          <w:sz w:val="20"/>
          <w:szCs w:val="20"/>
          <w:lang w:eastAsia="pl-PL"/>
        </w:rPr>
        <w:t>wzmacnia</w:t>
      </w:r>
      <w:r w:rsidR="00BA2A09">
        <w:rPr>
          <w:rFonts w:ascii="Arial" w:eastAsia="Calibri" w:hAnsi="Arial" w:cs="Arial"/>
          <w:color w:val="000000"/>
          <w:sz w:val="20"/>
          <w:szCs w:val="20"/>
          <w:lang w:eastAsia="pl-PL"/>
        </w:rPr>
        <w:t>nie wysiłków</w:t>
      </w:r>
      <w:r w:rsidR="00355127" w:rsidRPr="001C0F75">
        <w:rPr>
          <w:rFonts w:ascii="Arial" w:eastAsia="Calibri" w:hAnsi="Arial" w:cs="Arial"/>
          <w:color w:val="000000"/>
          <w:sz w:val="20"/>
          <w:szCs w:val="20"/>
          <w:lang w:eastAsia="pl-PL"/>
        </w:rPr>
        <w:t xml:space="preserve"> </w:t>
      </w:r>
      <w:r w:rsidR="00AF68F0">
        <w:rPr>
          <w:rFonts w:ascii="Arial" w:eastAsia="Calibri" w:hAnsi="Arial" w:cs="Arial"/>
          <w:color w:val="000000"/>
          <w:sz w:val="20"/>
          <w:szCs w:val="20"/>
          <w:lang w:eastAsia="pl-PL"/>
        </w:rPr>
        <w:t>społeczności międzynarodowej</w:t>
      </w:r>
      <w:r w:rsidR="00AF68F0" w:rsidRPr="001C0F75">
        <w:rPr>
          <w:rFonts w:ascii="Arial" w:eastAsia="Calibri" w:hAnsi="Arial" w:cs="Arial"/>
          <w:color w:val="000000"/>
          <w:sz w:val="20"/>
          <w:szCs w:val="20"/>
          <w:lang w:eastAsia="pl-PL"/>
        </w:rPr>
        <w:t xml:space="preserve"> </w:t>
      </w:r>
      <w:r w:rsidR="00355127" w:rsidRPr="001C0F75">
        <w:rPr>
          <w:rFonts w:ascii="Arial" w:eastAsia="Calibri" w:hAnsi="Arial" w:cs="Arial"/>
          <w:color w:val="000000"/>
          <w:sz w:val="20"/>
          <w:szCs w:val="20"/>
          <w:lang w:eastAsia="pl-PL"/>
        </w:rPr>
        <w:t>na rzecz twor</w:t>
      </w:r>
      <w:r w:rsidR="00355127">
        <w:rPr>
          <w:rFonts w:ascii="Arial" w:eastAsia="Calibri" w:hAnsi="Arial" w:cs="Arial"/>
          <w:color w:val="000000"/>
          <w:sz w:val="20"/>
          <w:szCs w:val="20"/>
          <w:lang w:eastAsia="pl-PL"/>
        </w:rPr>
        <w:t xml:space="preserve">zenia </w:t>
      </w:r>
      <w:r w:rsidR="00526CFB">
        <w:rPr>
          <w:rFonts w:ascii="Arial" w:eastAsia="Calibri" w:hAnsi="Arial" w:cs="Arial"/>
          <w:color w:val="000000"/>
          <w:sz w:val="20"/>
          <w:szCs w:val="20"/>
          <w:lang w:eastAsia="pl-PL"/>
        </w:rPr>
        <w:br/>
      </w:r>
      <w:r w:rsidR="00355127">
        <w:rPr>
          <w:rFonts w:ascii="Arial" w:eastAsia="Calibri" w:hAnsi="Arial" w:cs="Arial"/>
          <w:color w:val="000000"/>
          <w:sz w:val="20"/>
          <w:szCs w:val="20"/>
          <w:lang w:eastAsia="pl-PL"/>
        </w:rPr>
        <w:t xml:space="preserve">i stymulowania </w:t>
      </w:r>
      <w:r w:rsidR="00541C6F">
        <w:rPr>
          <w:rFonts w:ascii="Arial" w:eastAsia="Calibri" w:hAnsi="Arial" w:cs="Arial"/>
          <w:color w:val="000000"/>
          <w:sz w:val="20"/>
          <w:szCs w:val="20"/>
          <w:lang w:eastAsia="pl-PL"/>
        </w:rPr>
        <w:t xml:space="preserve">nowych </w:t>
      </w:r>
      <w:r w:rsidR="00355127">
        <w:rPr>
          <w:rFonts w:ascii="Arial" w:eastAsia="Calibri" w:hAnsi="Arial" w:cs="Arial"/>
          <w:color w:val="000000"/>
          <w:sz w:val="20"/>
          <w:szCs w:val="20"/>
          <w:lang w:eastAsia="pl-PL"/>
        </w:rPr>
        <w:t>rozwiązań opartych na nauce i innowacjach</w:t>
      </w:r>
      <w:r w:rsidR="00355127" w:rsidRPr="001C0F75">
        <w:rPr>
          <w:rFonts w:ascii="Arial" w:eastAsia="Calibri" w:hAnsi="Arial" w:cs="Arial"/>
          <w:color w:val="000000"/>
          <w:sz w:val="20"/>
          <w:szCs w:val="20"/>
          <w:lang w:eastAsia="pl-PL"/>
        </w:rPr>
        <w:t xml:space="preserve"> </w:t>
      </w:r>
      <w:r w:rsidR="00541C6F">
        <w:rPr>
          <w:rFonts w:ascii="Arial" w:eastAsia="Calibri" w:hAnsi="Arial" w:cs="Arial"/>
          <w:color w:val="000000"/>
          <w:sz w:val="20"/>
          <w:szCs w:val="20"/>
          <w:lang w:eastAsia="pl-PL"/>
        </w:rPr>
        <w:t xml:space="preserve">w dziedzinie </w:t>
      </w:r>
      <w:r w:rsidR="00355127" w:rsidRPr="001C0F75">
        <w:rPr>
          <w:rFonts w:ascii="Arial" w:eastAsia="Calibri" w:hAnsi="Arial" w:cs="Arial"/>
          <w:color w:val="000000"/>
          <w:sz w:val="20"/>
          <w:szCs w:val="20"/>
          <w:lang w:eastAsia="pl-PL"/>
        </w:rPr>
        <w:t>global</w:t>
      </w:r>
      <w:r w:rsidR="00CB722F">
        <w:rPr>
          <w:rFonts w:ascii="Arial" w:eastAsia="Calibri" w:hAnsi="Arial" w:cs="Arial"/>
          <w:color w:val="000000"/>
          <w:sz w:val="20"/>
          <w:szCs w:val="20"/>
          <w:lang w:eastAsia="pl-PL"/>
        </w:rPr>
        <w:t>nych działań</w:t>
      </w:r>
      <w:r w:rsidR="00355127">
        <w:rPr>
          <w:rFonts w:ascii="Arial" w:eastAsia="Calibri" w:hAnsi="Arial" w:cs="Arial"/>
          <w:color w:val="000000"/>
          <w:sz w:val="20"/>
          <w:szCs w:val="20"/>
          <w:lang w:eastAsia="pl-PL"/>
        </w:rPr>
        <w:t xml:space="preserve"> oceanicznych, </w:t>
      </w:r>
      <w:r w:rsidR="008E6B09">
        <w:rPr>
          <w:rFonts w:ascii="Arial" w:eastAsia="Calibri" w:hAnsi="Arial" w:cs="Arial"/>
          <w:color w:val="000000"/>
          <w:sz w:val="20"/>
          <w:szCs w:val="20"/>
          <w:lang w:eastAsia="pl-PL"/>
        </w:rPr>
        <w:t>m.in.</w:t>
      </w:r>
      <w:r w:rsidR="00355127">
        <w:rPr>
          <w:rFonts w:ascii="Arial" w:eastAsia="Calibri" w:hAnsi="Arial" w:cs="Arial"/>
          <w:color w:val="000000"/>
          <w:sz w:val="20"/>
          <w:szCs w:val="20"/>
          <w:lang w:eastAsia="pl-PL"/>
        </w:rPr>
        <w:t xml:space="preserve"> </w:t>
      </w:r>
      <w:r w:rsidR="00355127" w:rsidRPr="001C0F75">
        <w:rPr>
          <w:rFonts w:ascii="Arial" w:eastAsia="Calibri" w:hAnsi="Arial" w:cs="Arial"/>
          <w:color w:val="000000"/>
          <w:sz w:val="20"/>
          <w:szCs w:val="20"/>
          <w:lang w:eastAsia="pl-PL"/>
        </w:rPr>
        <w:t>dla reali</w:t>
      </w:r>
      <w:r w:rsidR="00355127">
        <w:rPr>
          <w:rFonts w:ascii="Arial" w:eastAsia="Calibri" w:hAnsi="Arial" w:cs="Arial"/>
          <w:color w:val="000000"/>
          <w:sz w:val="20"/>
          <w:szCs w:val="20"/>
          <w:lang w:eastAsia="pl-PL"/>
        </w:rPr>
        <w:t xml:space="preserve">zacji </w:t>
      </w:r>
      <w:r w:rsidR="008E6B09">
        <w:rPr>
          <w:rFonts w:ascii="Arial" w:eastAsia="Calibri" w:hAnsi="Arial" w:cs="Arial"/>
          <w:color w:val="000000"/>
          <w:sz w:val="20"/>
          <w:szCs w:val="20"/>
          <w:lang w:eastAsia="pl-PL"/>
        </w:rPr>
        <w:t>celów zrównoważonego rozwoju, w tym szczególnie</w:t>
      </w:r>
      <w:r w:rsidR="008E6B09" w:rsidRPr="001C0F75">
        <w:rPr>
          <w:rFonts w:ascii="Arial" w:eastAsia="Calibri" w:hAnsi="Arial" w:cs="Arial"/>
          <w:color w:val="000000"/>
          <w:sz w:val="20"/>
          <w:szCs w:val="20"/>
          <w:lang w:eastAsia="pl-PL"/>
        </w:rPr>
        <w:t xml:space="preserve"> </w:t>
      </w:r>
      <w:r w:rsidR="00355127">
        <w:rPr>
          <w:rFonts w:ascii="Arial" w:eastAsia="Calibri" w:hAnsi="Arial" w:cs="Arial"/>
          <w:color w:val="000000"/>
          <w:sz w:val="20"/>
          <w:szCs w:val="20"/>
          <w:lang w:eastAsia="pl-PL"/>
        </w:rPr>
        <w:t>celu 14 p</w:t>
      </w:r>
      <w:r w:rsidR="00355127" w:rsidRPr="009E412F">
        <w:rPr>
          <w:rFonts w:ascii="Arial" w:eastAsia="Calibri" w:hAnsi="Arial" w:cs="Arial"/>
          <w:color w:val="000000"/>
          <w:sz w:val="20"/>
          <w:szCs w:val="20"/>
          <w:lang w:eastAsia="pl-PL"/>
        </w:rPr>
        <w:t>odkreśla</w:t>
      </w:r>
      <w:r w:rsidR="00355127">
        <w:rPr>
          <w:rFonts w:ascii="Arial" w:eastAsia="Calibri" w:hAnsi="Arial" w:cs="Arial"/>
          <w:color w:val="000000"/>
          <w:sz w:val="20"/>
          <w:szCs w:val="20"/>
          <w:lang w:eastAsia="pl-PL"/>
        </w:rPr>
        <w:t>jącego</w:t>
      </w:r>
      <w:r w:rsidR="00355127" w:rsidRPr="009E412F">
        <w:rPr>
          <w:rFonts w:ascii="Arial" w:eastAsia="Calibri" w:hAnsi="Arial" w:cs="Arial"/>
          <w:color w:val="000000"/>
          <w:sz w:val="20"/>
          <w:szCs w:val="20"/>
          <w:lang w:eastAsia="pl-PL"/>
        </w:rPr>
        <w:t xml:space="preserve"> potrzebę ochrony </w:t>
      </w:r>
      <w:r w:rsidR="003A778E">
        <w:rPr>
          <w:rFonts w:ascii="Arial" w:eastAsia="Calibri" w:hAnsi="Arial" w:cs="Arial"/>
          <w:color w:val="000000"/>
          <w:sz w:val="20"/>
          <w:szCs w:val="20"/>
          <w:lang w:eastAsia="pl-PL"/>
        </w:rPr>
        <w:t xml:space="preserve">oraz </w:t>
      </w:r>
      <w:r w:rsidR="00355127" w:rsidRPr="009E412F">
        <w:rPr>
          <w:rFonts w:ascii="Arial" w:eastAsia="Calibri" w:hAnsi="Arial" w:cs="Arial"/>
          <w:color w:val="000000"/>
          <w:sz w:val="20"/>
          <w:szCs w:val="20"/>
          <w:lang w:eastAsia="pl-PL"/>
        </w:rPr>
        <w:t>zrównoważonego wykorzystywania światowych oceanów, mórz i zasobów morskic</w:t>
      </w:r>
      <w:r w:rsidR="00355127">
        <w:rPr>
          <w:rFonts w:ascii="Arial" w:eastAsia="Calibri" w:hAnsi="Arial" w:cs="Arial"/>
          <w:color w:val="000000"/>
          <w:sz w:val="20"/>
          <w:szCs w:val="20"/>
          <w:lang w:eastAsia="pl-PL"/>
        </w:rPr>
        <w:t>h.</w:t>
      </w:r>
    </w:p>
    <w:p w14:paraId="437D5C15" w14:textId="62EF52D3" w:rsidR="0013653F" w:rsidRPr="0013653F" w:rsidRDefault="00D96016" w:rsidP="0013653F">
      <w:pPr>
        <w:tabs>
          <w:tab w:val="left" w:pos="4181"/>
          <w:tab w:val="left" w:pos="9212"/>
        </w:tabs>
        <w:spacing w:line="276" w:lineRule="auto"/>
        <w:jc w:val="both"/>
        <w:rPr>
          <w:rFonts w:ascii="Arial" w:hAnsi="Arial" w:cs="Arial"/>
          <w:sz w:val="20"/>
          <w:szCs w:val="20"/>
        </w:rPr>
      </w:pPr>
      <w:r w:rsidRPr="009B61BA">
        <w:rPr>
          <w:rFonts w:ascii="Arial" w:hAnsi="Arial" w:cs="Arial"/>
          <w:sz w:val="20"/>
          <w:szCs w:val="20"/>
        </w:rPr>
        <w:t xml:space="preserve">Tematem prac grupy był również projekt </w:t>
      </w:r>
      <w:r w:rsidR="00404503">
        <w:rPr>
          <w:rFonts w:ascii="Arial" w:hAnsi="Arial" w:cs="Arial"/>
          <w:sz w:val="20"/>
          <w:szCs w:val="20"/>
        </w:rPr>
        <w:t xml:space="preserve">porozumienia w sprawie </w:t>
      </w:r>
      <w:r w:rsidRPr="009B61BA">
        <w:rPr>
          <w:rFonts w:ascii="Arial" w:hAnsi="Arial" w:cs="Arial"/>
          <w:sz w:val="20"/>
          <w:szCs w:val="20"/>
        </w:rPr>
        <w:t xml:space="preserve">deklaracji </w:t>
      </w:r>
      <w:r w:rsidR="00404503">
        <w:rPr>
          <w:rFonts w:ascii="Arial" w:hAnsi="Arial" w:cs="Arial"/>
          <w:sz w:val="20"/>
          <w:szCs w:val="20"/>
        </w:rPr>
        <w:t>ustanawiającej strategiczne</w:t>
      </w:r>
      <w:r w:rsidRPr="009B61BA">
        <w:rPr>
          <w:rFonts w:ascii="Arial" w:hAnsi="Arial" w:cs="Arial"/>
          <w:sz w:val="20"/>
          <w:szCs w:val="20"/>
        </w:rPr>
        <w:t xml:space="preserve"> </w:t>
      </w:r>
      <w:r w:rsidR="000F1845">
        <w:rPr>
          <w:rFonts w:ascii="Arial" w:hAnsi="Arial" w:cs="Arial"/>
          <w:sz w:val="20"/>
          <w:szCs w:val="20"/>
        </w:rPr>
        <w:t>partnerstwo</w:t>
      </w:r>
      <w:r w:rsidRPr="009B61BA">
        <w:rPr>
          <w:rFonts w:ascii="Arial" w:hAnsi="Arial" w:cs="Arial"/>
          <w:sz w:val="20"/>
          <w:szCs w:val="20"/>
        </w:rPr>
        <w:t xml:space="preserve"> oceanic</w:t>
      </w:r>
      <w:r w:rsidR="000F1845">
        <w:rPr>
          <w:rFonts w:ascii="Arial" w:hAnsi="Arial" w:cs="Arial"/>
          <w:sz w:val="20"/>
          <w:szCs w:val="20"/>
        </w:rPr>
        <w:t>zne pomiędzy UE i Kanadą</w:t>
      </w:r>
      <w:r w:rsidR="0013653F">
        <w:rPr>
          <w:rFonts w:ascii="Arial" w:hAnsi="Arial" w:cs="Arial"/>
          <w:sz w:val="20"/>
          <w:szCs w:val="20"/>
        </w:rPr>
        <w:t xml:space="preserve">. Grupa </w:t>
      </w:r>
      <w:r w:rsidR="0013653F" w:rsidRPr="0013653F">
        <w:rPr>
          <w:rFonts w:ascii="Arial" w:hAnsi="Arial" w:cs="Arial"/>
          <w:sz w:val="20"/>
          <w:szCs w:val="20"/>
        </w:rPr>
        <w:t xml:space="preserve">otrzymała od Komisji </w:t>
      </w:r>
      <w:r w:rsidR="0013653F">
        <w:rPr>
          <w:rFonts w:ascii="Arial" w:hAnsi="Arial" w:cs="Arial"/>
          <w:sz w:val="20"/>
          <w:szCs w:val="20"/>
        </w:rPr>
        <w:t xml:space="preserve">Europejskiej </w:t>
      </w:r>
      <w:r w:rsidR="0013653F" w:rsidRPr="0013653F">
        <w:rPr>
          <w:rFonts w:ascii="Arial" w:hAnsi="Arial" w:cs="Arial"/>
          <w:sz w:val="20"/>
          <w:szCs w:val="20"/>
        </w:rPr>
        <w:t xml:space="preserve">informacje na </w:t>
      </w:r>
      <w:r w:rsidR="0013653F">
        <w:rPr>
          <w:rFonts w:ascii="Arial" w:hAnsi="Arial" w:cs="Arial"/>
          <w:sz w:val="20"/>
          <w:szCs w:val="20"/>
        </w:rPr>
        <w:t>temat stanu negocjacji p</w:t>
      </w:r>
      <w:r w:rsidRPr="009B61BA">
        <w:rPr>
          <w:rFonts w:ascii="Arial" w:hAnsi="Arial" w:cs="Arial"/>
          <w:sz w:val="20"/>
          <w:szCs w:val="20"/>
        </w:rPr>
        <w:t>artners</w:t>
      </w:r>
      <w:r w:rsidR="0013653F">
        <w:rPr>
          <w:rFonts w:ascii="Arial" w:hAnsi="Arial" w:cs="Arial"/>
          <w:sz w:val="20"/>
          <w:szCs w:val="20"/>
        </w:rPr>
        <w:t>twa, które</w:t>
      </w:r>
      <w:r w:rsidRPr="009B61BA">
        <w:rPr>
          <w:rFonts w:ascii="Arial" w:hAnsi="Arial" w:cs="Arial"/>
          <w:sz w:val="20"/>
          <w:szCs w:val="20"/>
        </w:rPr>
        <w:t xml:space="preserve"> jest efektem kilkuletnich dwustronnych rozmów między KE a Kanadą i ma na celu wzmocnienie współpracy w kluczowych obszarach zarządzania oceanami, takich jak realizacja celów zrównoważonego rozwoju w zakresie oceanów, promowanie ochrony środowiska morskiego i zrównoważonego „niebieskiego wzrostu”, badania morskie, międzynarodowe zarządzanie rybołówstwem</w:t>
      </w:r>
      <w:r w:rsidR="0013653F" w:rsidRPr="0013653F">
        <w:rPr>
          <w:rFonts w:ascii="Arial" w:eastAsia="Calibri" w:hAnsi="Arial" w:cs="Arial"/>
          <w:color w:val="000000"/>
          <w:sz w:val="20"/>
          <w:szCs w:val="20"/>
          <w:lang w:eastAsia="pl-PL"/>
        </w:rPr>
        <w:t xml:space="preserve"> oraz zwiększanie skuteczności systemów kontroli, inspekcji i egzekwowania</w:t>
      </w:r>
      <w:r w:rsidRPr="009B61BA">
        <w:rPr>
          <w:rFonts w:ascii="Arial" w:hAnsi="Arial" w:cs="Arial"/>
          <w:sz w:val="20"/>
          <w:szCs w:val="20"/>
        </w:rPr>
        <w:t xml:space="preserve">, godne warunki pracy, </w:t>
      </w:r>
      <w:r w:rsidR="0013653F" w:rsidRPr="0013653F">
        <w:rPr>
          <w:rFonts w:ascii="Arial" w:eastAsia="Calibri" w:hAnsi="Arial" w:cs="Arial"/>
          <w:color w:val="000000"/>
          <w:sz w:val="20"/>
          <w:szCs w:val="20"/>
          <w:lang w:eastAsia="pl-PL"/>
        </w:rPr>
        <w:t>wspólne wyzwania i możliwości związane z Oceanem Arktycznym i Oceanem Atlantyckim,</w:t>
      </w:r>
      <w:r w:rsidR="0013653F">
        <w:rPr>
          <w:rFonts w:ascii="Arial" w:eastAsia="Calibri" w:hAnsi="Arial" w:cs="Arial"/>
          <w:color w:val="000000"/>
          <w:sz w:val="20"/>
          <w:szCs w:val="20"/>
          <w:lang w:eastAsia="pl-PL"/>
        </w:rPr>
        <w:t xml:space="preserve"> </w:t>
      </w:r>
      <w:r w:rsidRPr="009B61BA">
        <w:rPr>
          <w:rFonts w:ascii="Arial" w:hAnsi="Arial" w:cs="Arial"/>
          <w:sz w:val="20"/>
          <w:szCs w:val="20"/>
        </w:rPr>
        <w:t xml:space="preserve">zwalczanie połowów NNN i bezpieczeństwo morskie. </w:t>
      </w:r>
    </w:p>
    <w:p w14:paraId="23410A3F" w14:textId="3AACFAD4" w:rsidR="001E7E87" w:rsidRPr="001E7E87" w:rsidRDefault="00D96016" w:rsidP="0048324A">
      <w:pPr>
        <w:spacing w:before="120" w:after="120" w:line="276" w:lineRule="auto"/>
        <w:jc w:val="both"/>
        <w:rPr>
          <w:rFonts w:ascii="Arial" w:hAnsi="Arial" w:cs="Arial"/>
          <w:sz w:val="20"/>
          <w:szCs w:val="20"/>
        </w:rPr>
      </w:pPr>
      <w:r w:rsidRPr="009B61BA">
        <w:rPr>
          <w:rFonts w:ascii="Arial" w:hAnsi="Arial" w:cs="Arial"/>
          <w:sz w:val="20"/>
          <w:szCs w:val="20"/>
        </w:rPr>
        <w:t xml:space="preserve">Podczas spotkań Grupy </w:t>
      </w:r>
      <w:r w:rsidR="001E7E87" w:rsidRPr="001E7E87">
        <w:rPr>
          <w:rFonts w:ascii="Arial" w:eastAsia="Times New Roman" w:hAnsi="Arial" w:cs="Arial"/>
          <w:sz w:val="20"/>
          <w:szCs w:val="20"/>
          <w:lang w:eastAsia="pl-PL"/>
        </w:rPr>
        <w:t>K</w:t>
      </w:r>
      <w:r w:rsidR="003C7E94">
        <w:rPr>
          <w:rFonts w:ascii="Arial" w:eastAsia="Times New Roman" w:hAnsi="Arial" w:cs="Arial"/>
          <w:sz w:val="20"/>
          <w:szCs w:val="20"/>
          <w:lang w:eastAsia="pl-PL"/>
        </w:rPr>
        <w:t xml:space="preserve">omisja </w:t>
      </w:r>
      <w:r w:rsidR="001E7E87" w:rsidRPr="001E7E87">
        <w:rPr>
          <w:rFonts w:ascii="Arial" w:eastAsia="Times New Roman" w:hAnsi="Arial" w:cs="Arial"/>
          <w:sz w:val="20"/>
          <w:szCs w:val="20"/>
          <w:lang w:eastAsia="pl-PL"/>
        </w:rPr>
        <w:t>E</w:t>
      </w:r>
      <w:r w:rsidR="003C7E94">
        <w:rPr>
          <w:rFonts w:ascii="Arial" w:eastAsia="Times New Roman" w:hAnsi="Arial" w:cs="Arial"/>
          <w:sz w:val="20"/>
          <w:szCs w:val="20"/>
          <w:lang w:eastAsia="pl-PL"/>
        </w:rPr>
        <w:t>uropejska</w:t>
      </w:r>
      <w:r w:rsidR="001E7E87" w:rsidRPr="001E7E87">
        <w:rPr>
          <w:rFonts w:ascii="Arial" w:eastAsia="Times New Roman" w:hAnsi="Arial" w:cs="Arial"/>
          <w:sz w:val="20"/>
          <w:szCs w:val="20"/>
          <w:lang w:eastAsia="pl-PL"/>
        </w:rPr>
        <w:t xml:space="preserve"> </w:t>
      </w:r>
      <w:r w:rsidR="00D8192D">
        <w:rPr>
          <w:rFonts w:ascii="Arial" w:eastAsia="Times New Roman" w:hAnsi="Arial" w:cs="Arial"/>
          <w:sz w:val="20"/>
          <w:szCs w:val="20"/>
          <w:lang w:eastAsia="pl-PL"/>
        </w:rPr>
        <w:t xml:space="preserve">zaprezentowała </w:t>
      </w:r>
      <w:r w:rsidR="007D0CDD">
        <w:rPr>
          <w:rFonts w:ascii="Arial" w:eastAsia="Times New Roman" w:hAnsi="Arial" w:cs="Arial"/>
          <w:sz w:val="20"/>
          <w:szCs w:val="20"/>
          <w:lang w:eastAsia="pl-PL"/>
        </w:rPr>
        <w:t xml:space="preserve">także </w:t>
      </w:r>
      <w:r w:rsidR="00D8192D">
        <w:rPr>
          <w:rFonts w:ascii="Arial" w:eastAsia="Times New Roman" w:hAnsi="Arial" w:cs="Arial"/>
          <w:sz w:val="20"/>
          <w:szCs w:val="20"/>
          <w:lang w:eastAsia="pl-PL"/>
        </w:rPr>
        <w:t>raport</w:t>
      </w:r>
      <w:r w:rsidR="001E7E87" w:rsidRPr="001E7E87">
        <w:rPr>
          <w:rFonts w:ascii="Arial" w:eastAsia="Times New Roman" w:hAnsi="Arial" w:cs="Arial"/>
          <w:sz w:val="20"/>
          <w:szCs w:val="20"/>
          <w:lang w:eastAsia="pl-PL"/>
        </w:rPr>
        <w:t xml:space="preserve"> </w:t>
      </w:r>
      <w:r w:rsidR="00D8192D">
        <w:rPr>
          <w:rFonts w:ascii="Arial" w:eastAsia="Times New Roman" w:hAnsi="Arial" w:cs="Arial"/>
          <w:sz w:val="20"/>
          <w:szCs w:val="20"/>
          <w:lang w:eastAsia="pl-PL"/>
        </w:rPr>
        <w:t>dotyczący</w:t>
      </w:r>
      <w:r w:rsidR="001E7E87" w:rsidRPr="001E7E87">
        <w:rPr>
          <w:rFonts w:ascii="Arial" w:eastAsia="Times New Roman" w:hAnsi="Arial" w:cs="Arial"/>
          <w:sz w:val="20"/>
          <w:szCs w:val="20"/>
          <w:lang w:eastAsia="pl-PL"/>
        </w:rPr>
        <w:t xml:space="preserve"> </w:t>
      </w:r>
      <w:r w:rsidR="001E7E87" w:rsidRPr="001E7E87">
        <w:rPr>
          <w:rFonts w:ascii="Arial" w:eastAsia="Calibri" w:hAnsi="Arial" w:cs="Arial"/>
          <w:sz w:val="20"/>
          <w:szCs w:val="20"/>
        </w:rPr>
        <w:t>Wspólnego sprawozdania dla Parlamentu Europejskiego i Rady: „Poprawa międzynarodowego zarządzani</w:t>
      </w:r>
      <w:r w:rsidR="00CE1A2F">
        <w:rPr>
          <w:rFonts w:ascii="Arial" w:eastAsia="Calibri" w:hAnsi="Arial" w:cs="Arial"/>
          <w:sz w:val="20"/>
          <w:szCs w:val="20"/>
        </w:rPr>
        <w:t>a oceanem - dwa lata postępów”, który o</w:t>
      </w:r>
      <w:r w:rsidR="001E7E87" w:rsidRPr="001E7E87">
        <w:rPr>
          <w:rFonts w:ascii="Arial" w:eastAsia="Calibri" w:hAnsi="Arial" w:cs="Arial"/>
          <w:sz w:val="20"/>
          <w:szCs w:val="20"/>
        </w:rPr>
        <w:t>bejmuje lata 2016-2018. KE poinformowała, że wszystkie 50 działań, które wymienia wspólny komunikat „Międzynarodowe zarządzanie oceanami - program działań na rzecz przyszłości oceanów” - (</w:t>
      </w:r>
      <w:hyperlink r:id="rId9" w:history="1">
        <w:r w:rsidR="001E7E87" w:rsidRPr="001E7E87">
          <w:rPr>
            <w:rFonts w:ascii="Arial" w:eastAsia="Calibri" w:hAnsi="Arial" w:cs="Arial"/>
            <w:sz w:val="20"/>
            <w:szCs w:val="20"/>
          </w:rPr>
          <w:t>JOIN(2016) 49</w:t>
        </w:r>
      </w:hyperlink>
      <w:r w:rsidR="001E7E87" w:rsidRPr="001E7E87">
        <w:rPr>
          <w:rFonts w:ascii="Arial" w:eastAsia="Calibri" w:hAnsi="Arial" w:cs="Arial"/>
          <w:sz w:val="20"/>
          <w:szCs w:val="20"/>
        </w:rPr>
        <w:t xml:space="preserve">) jest realizowanych lub zostało zrealizowanych. </w:t>
      </w:r>
      <w:r w:rsidR="001E7E87" w:rsidRPr="001E7E87">
        <w:rPr>
          <w:rFonts w:ascii="Arial" w:eastAsia="Times New Roman" w:hAnsi="Arial" w:cs="Arial"/>
          <w:sz w:val="20"/>
          <w:szCs w:val="20"/>
          <w:lang w:eastAsia="pl-PL"/>
        </w:rPr>
        <w:t xml:space="preserve">Zdaniem KE wszystkie te działania wzmocniły rolę UE jako wiarygodnego partnera w budowaniu systemu zarządzania oceanami opartego na </w:t>
      </w:r>
      <w:r w:rsidR="00456F69">
        <w:rPr>
          <w:rFonts w:ascii="Arial" w:eastAsia="Times New Roman" w:hAnsi="Arial" w:cs="Arial"/>
          <w:sz w:val="20"/>
          <w:szCs w:val="20"/>
          <w:lang w:eastAsia="pl-PL"/>
        </w:rPr>
        <w:t xml:space="preserve">Konwencji </w:t>
      </w:r>
      <w:r w:rsidR="001E7E87" w:rsidRPr="001E7E87">
        <w:rPr>
          <w:rFonts w:ascii="Arial" w:eastAsia="Times New Roman" w:hAnsi="Arial" w:cs="Arial"/>
          <w:sz w:val="20"/>
          <w:szCs w:val="20"/>
          <w:lang w:eastAsia="pl-PL"/>
        </w:rPr>
        <w:t>UNCLOS.</w:t>
      </w:r>
    </w:p>
    <w:p w14:paraId="1132CB29" w14:textId="37DDCA4C" w:rsidR="001E7E87" w:rsidRPr="001E7E87" w:rsidRDefault="002B1F79" w:rsidP="0020027E">
      <w:pPr>
        <w:spacing w:before="120" w:after="120" w:line="276" w:lineRule="auto"/>
        <w:jc w:val="both"/>
        <w:rPr>
          <w:rFonts w:ascii="Arial" w:eastAsia="Times New Roman" w:hAnsi="Arial" w:cs="Arial"/>
          <w:sz w:val="20"/>
          <w:szCs w:val="20"/>
          <w:lang w:eastAsia="pl-PL"/>
        </w:rPr>
      </w:pPr>
      <w:r w:rsidRPr="002B1F79">
        <w:rPr>
          <w:rFonts w:ascii="Arial" w:hAnsi="Arial" w:cs="Arial"/>
          <w:sz w:val="20"/>
          <w:szCs w:val="20"/>
        </w:rPr>
        <w:t>K</w:t>
      </w:r>
      <w:r w:rsidRPr="001F608A">
        <w:rPr>
          <w:rFonts w:ascii="Arial" w:hAnsi="Arial" w:cs="Arial"/>
          <w:sz w:val="20"/>
          <w:szCs w:val="20"/>
        </w:rPr>
        <w:t xml:space="preserve">omisja </w:t>
      </w:r>
      <w:r w:rsidRPr="002B1F79">
        <w:rPr>
          <w:rFonts w:ascii="Arial" w:hAnsi="Arial" w:cs="Arial"/>
          <w:sz w:val="20"/>
          <w:szCs w:val="20"/>
        </w:rPr>
        <w:t>E</w:t>
      </w:r>
      <w:r w:rsidRPr="001F608A">
        <w:rPr>
          <w:rFonts w:ascii="Arial" w:hAnsi="Arial" w:cs="Arial"/>
          <w:sz w:val="20"/>
          <w:szCs w:val="20"/>
        </w:rPr>
        <w:t>uropejska</w:t>
      </w:r>
      <w:r w:rsidRPr="002B1F79">
        <w:rPr>
          <w:rFonts w:ascii="Arial" w:hAnsi="Arial" w:cs="Arial"/>
          <w:sz w:val="20"/>
          <w:szCs w:val="20"/>
        </w:rPr>
        <w:t xml:space="preserve"> </w:t>
      </w:r>
      <w:r w:rsidRPr="001F608A">
        <w:rPr>
          <w:rFonts w:ascii="Arial" w:hAnsi="Arial" w:cs="Arial"/>
          <w:sz w:val="20"/>
          <w:szCs w:val="20"/>
        </w:rPr>
        <w:t xml:space="preserve">przedstawiła ponadto najnowszy raport KE dotyczący niebieskiej gospodarki, który został </w:t>
      </w:r>
      <w:r w:rsidRPr="002B1F79">
        <w:rPr>
          <w:rFonts w:ascii="Arial" w:hAnsi="Arial" w:cs="Arial"/>
          <w:sz w:val="20"/>
          <w:szCs w:val="20"/>
        </w:rPr>
        <w:t>oficjalnie zaprezentowany przez komisarza Karmenu Vellę podczas obc</w:t>
      </w:r>
      <w:r w:rsidR="00126A6E">
        <w:rPr>
          <w:rFonts w:ascii="Arial" w:hAnsi="Arial" w:cs="Arial"/>
          <w:sz w:val="20"/>
          <w:szCs w:val="20"/>
        </w:rPr>
        <w:t>hodów Europejskiego Dnia Morza</w:t>
      </w:r>
      <w:r w:rsidRPr="002B1F79">
        <w:rPr>
          <w:rFonts w:ascii="Arial" w:hAnsi="Arial" w:cs="Arial"/>
          <w:sz w:val="20"/>
          <w:szCs w:val="20"/>
        </w:rPr>
        <w:t xml:space="preserve"> 2019. W </w:t>
      </w:r>
      <w:r w:rsidR="001F608A" w:rsidRPr="001F608A">
        <w:rPr>
          <w:rFonts w:ascii="Arial" w:hAnsi="Arial" w:cs="Arial"/>
          <w:sz w:val="20"/>
          <w:szCs w:val="20"/>
        </w:rPr>
        <w:t>najnowszym raporcie</w:t>
      </w:r>
      <w:r w:rsidRPr="002B1F79">
        <w:rPr>
          <w:rFonts w:ascii="Arial" w:hAnsi="Arial" w:cs="Arial"/>
          <w:sz w:val="20"/>
          <w:szCs w:val="20"/>
        </w:rPr>
        <w:t xml:space="preserve"> </w:t>
      </w:r>
      <w:r w:rsidR="001F608A" w:rsidRPr="001F608A">
        <w:rPr>
          <w:rFonts w:ascii="Arial" w:hAnsi="Arial" w:cs="Arial"/>
          <w:sz w:val="20"/>
          <w:szCs w:val="20"/>
        </w:rPr>
        <w:t xml:space="preserve">pojawiły się </w:t>
      </w:r>
      <w:r w:rsidR="001F608A" w:rsidRPr="002B1F79">
        <w:rPr>
          <w:rFonts w:ascii="Arial" w:hAnsi="Arial" w:cs="Arial"/>
          <w:sz w:val="20"/>
          <w:szCs w:val="20"/>
        </w:rPr>
        <w:t xml:space="preserve">nowe elementy </w:t>
      </w:r>
      <w:r w:rsidR="001F608A" w:rsidRPr="001F608A">
        <w:rPr>
          <w:rFonts w:ascii="Arial" w:hAnsi="Arial" w:cs="Arial"/>
          <w:sz w:val="20"/>
          <w:szCs w:val="20"/>
        </w:rPr>
        <w:t>w stosunku do poprzednich</w:t>
      </w:r>
      <w:r w:rsidR="001F608A" w:rsidRPr="002B1F79">
        <w:rPr>
          <w:rFonts w:ascii="Arial" w:hAnsi="Arial" w:cs="Arial"/>
          <w:sz w:val="20"/>
          <w:szCs w:val="20"/>
        </w:rPr>
        <w:t xml:space="preserve"> edycji</w:t>
      </w:r>
      <w:r w:rsidR="001F608A" w:rsidRPr="001F608A">
        <w:rPr>
          <w:rFonts w:ascii="Arial" w:hAnsi="Arial" w:cs="Arial"/>
          <w:sz w:val="20"/>
          <w:szCs w:val="20"/>
        </w:rPr>
        <w:t xml:space="preserve"> - uwzględniono nowe sektory</w:t>
      </w:r>
      <w:r w:rsidR="001F608A" w:rsidRPr="002B1F79">
        <w:rPr>
          <w:rFonts w:ascii="Arial" w:hAnsi="Arial" w:cs="Arial"/>
          <w:sz w:val="20"/>
          <w:szCs w:val="20"/>
        </w:rPr>
        <w:t xml:space="preserve"> </w:t>
      </w:r>
      <w:r w:rsidR="001F608A" w:rsidRPr="001F608A">
        <w:rPr>
          <w:rFonts w:ascii="Arial" w:hAnsi="Arial" w:cs="Arial"/>
          <w:sz w:val="20"/>
          <w:szCs w:val="20"/>
        </w:rPr>
        <w:t>i</w:t>
      </w:r>
      <w:r w:rsidR="001F608A" w:rsidRPr="002B1F79">
        <w:rPr>
          <w:rFonts w:ascii="Arial" w:hAnsi="Arial" w:cs="Arial"/>
          <w:sz w:val="20"/>
          <w:szCs w:val="20"/>
        </w:rPr>
        <w:t xml:space="preserve"> aktywności</w:t>
      </w:r>
      <w:r w:rsidR="001F608A" w:rsidRPr="001F608A">
        <w:rPr>
          <w:rFonts w:ascii="Arial" w:hAnsi="Arial" w:cs="Arial"/>
          <w:sz w:val="20"/>
          <w:szCs w:val="20"/>
        </w:rPr>
        <w:t>, nowe sekcje</w:t>
      </w:r>
      <w:r w:rsidR="001F608A">
        <w:rPr>
          <w:rFonts w:ascii="Arial" w:hAnsi="Arial" w:cs="Arial"/>
          <w:sz w:val="20"/>
          <w:szCs w:val="20"/>
        </w:rPr>
        <w:t xml:space="preserve"> </w:t>
      </w:r>
      <w:r w:rsidR="001F608A" w:rsidRPr="001F608A">
        <w:rPr>
          <w:rFonts w:ascii="Arial" w:hAnsi="Arial" w:cs="Arial"/>
          <w:sz w:val="20"/>
          <w:szCs w:val="20"/>
        </w:rPr>
        <w:t>oraz nowe</w:t>
      </w:r>
      <w:r w:rsidR="001F608A" w:rsidRPr="002B1F79">
        <w:rPr>
          <w:rFonts w:ascii="Arial" w:hAnsi="Arial" w:cs="Arial"/>
          <w:sz w:val="20"/>
          <w:szCs w:val="20"/>
        </w:rPr>
        <w:t xml:space="preserve"> analiz</w:t>
      </w:r>
      <w:r w:rsidR="001F608A" w:rsidRPr="001F608A">
        <w:rPr>
          <w:rFonts w:ascii="Arial" w:hAnsi="Arial" w:cs="Arial"/>
          <w:sz w:val="20"/>
          <w:szCs w:val="20"/>
        </w:rPr>
        <w:t>y</w:t>
      </w:r>
      <w:r w:rsidR="001F608A">
        <w:rPr>
          <w:rFonts w:ascii="Arial" w:hAnsi="Arial" w:cs="Arial"/>
          <w:sz w:val="20"/>
          <w:szCs w:val="20"/>
        </w:rPr>
        <w:t xml:space="preserve"> (m.</w:t>
      </w:r>
      <w:r w:rsidR="001F608A" w:rsidRPr="002B1F79">
        <w:rPr>
          <w:rFonts w:ascii="Arial" w:hAnsi="Arial" w:cs="Arial"/>
          <w:sz w:val="20"/>
          <w:szCs w:val="20"/>
        </w:rPr>
        <w:t xml:space="preserve">in. kosztów łagodzenia zmian klimatycznych, finansowania niebieskiej </w:t>
      </w:r>
      <w:r w:rsidR="001F608A">
        <w:rPr>
          <w:rFonts w:ascii="Arial" w:hAnsi="Arial" w:cs="Arial"/>
          <w:sz w:val="20"/>
          <w:szCs w:val="20"/>
        </w:rPr>
        <w:t>gospodarki</w:t>
      </w:r>
      <w:r w:rsidR="001F608A" w:rsidRPr="002B1F79">
        <w:rPr>
          <w:rFonts w:ascii="Arial" w:hAnsi="Arial" w:cs="Arial"/>
          <w:sz w:val="20"/>
          <w:szCs w:val="20"/>
        </w:rPr>
        <w:t>, znaczenia s</w:t>
      </w:r>
      <w:r w:rsidR="0020027E">
        <w:rPr>
          <w:rFonts w:ascii="Arial" w:hAnsi="Arial" w:cs="Arial"/>
          <w:sz w:val="20"/>
          <w:szCs w:val="20"/>
        </w:rPr>
        <w:t>ektora badań</w:t>
      </w:r>
      <w:r w:rsidR="001F608A">
        <w:rPr>
          <w:rFonts w:ascii="Arial" w:hAnsi="Arial" w:cs="Arial"/>
          <w:sz w:val="20"/>
          <w:szCs w:val="20"/>
        </w:rPr>
        <w:t xml:space="preserve"> </w:t>
      </w:r>
      <w:r w:rsidR="00F40B18">
        <w:rPr>
          <w:rFonts w:ascii="Arial" w:hAnsi="Arial" w:cs="Arial"/>
          <w:sz w:val="20"/>
          <w:szCs w:val="20"/>
        </w:rPr>
        <w:br/>
      </w:r>
      <w:r w:rsidR="001F608A">
        <w:rPr>
          <w:rFonts w:ascii="Arial" w:hAnsi="Arial" w:cs="Arial"/>
          <w:sz w:val="20"/>
          <w:szCs w:val="20"/>
        </w:rPr>
        <w:t>i edukacji</w:t>
      </w:r>
      <w:r w:rsidR="001F608A" w:rsidRPr="002B1F79">
        <w:rPr>
          <w:rFonts w:ascii="Arial" w:hAnsi="Arial" w:cs="Arial"/>
          <w:sz w:val="20"/>
          <w:szCs w:val="20"/>
        </w:rPr>
        <w:t xml:space="preserve">). </w:t>
      </w:r>
      <w:r w:rsidR="001F608A" w:rsidRPr="001F608A">
        <w:rPr>
          <w:rFonts w:ascii="Arial" w:hAnsi="Arial" w:cs="Arial"/>
          <w:sz w:val="20"/>
          <w:szCs w:val="20"/>
        </w:rPr>
        <w:t>Raport koncentruje się</w:t>
      </w:r>
      <w:r w:rsidRPr="002B1F79">
        <w:rPr>
          <w:rFonts w:ascii="Arial" w:hAnsi="Arial" w:cs="Arial"/>
          <w:sz w:val="20"/>
          <w:szCs w:val="20"/>
        </w:rPr>
        <w:t xml:space="preserve"> na </w:t>
      </w:r>
      <w:r w:rsidR="001F608A" w:rsidRPr="001F608A">
        <w:rPr>
          <w:rFonts w:ascii="Arial" w:hAnsi="Arial" w:cs="Arial"/>
          <w:sz w:val="20"/>
          <w:szCs w:val="20"/>
        </w:rPr>
        <w:t xml:space="preserve">kwestiach związanych z </w:t>
      </w:r>
      <w:r w:rsidRPr="002B1F79">
        <w:rPr>
          <w:rFonts w:ascii="Arial" w:hAnsi="Arial" w:cs="Arial"/>
          <w:sz w:val="20"/>
          <w:szCs w:val="20"/>
        </w:rPr>
        <w:t>pobudzenie</w:t>
      </w:r>
      <w:r w:rsidR="001F608A" w:rsidRPr="001F608A">
        <w:rPr>
          <w:rFonts w:ascii="Arial" w:hAnsi="Arial" w:cs="Arial"/>
          <w:sz w:val="20"/>
          <w:szCs w:val="20"/>
        </w:rPr>
        <w:t>m</w:t>
      </w:r>
      <w:r w:rsidRPr="002B1F79">
        <w:rPr>
          <w:rFonts w:ascii="Arial" w:hAnsi="Arial" w:cs="Arial"/>
          <w:sz w:val="20"/>
          <w:szCs w:val="20"/>
        </w:rPr>
        <w:t xml:space="preserve"> „niebi</w:t>
      </w:r>
      <w:r w:rsidR="001F608A" w:rsidRPr="001F608A">
        <w:rPr>
          <w:rFonts w:ascii="Arial" w:hAnsi="Arial" w:cs="Arial"/>
          <w:sz w:val="20"/>
          <w:szCs w:val="20"/>
        </w:rPr>
        <w:t>eskiej” gospodarki, zrównoważonym</w:t>
      </w:r>
      <w:r w:rsidRPr="002B1F79">
        <w:rPr>
          <w:rFonts w:ascii="Arial" w:hAnsi="Arial" w:cs="Arial"/>
          <w:sz w:val="20"/>
          <w:szCs w:val="20"/>
        </w:rPr>
        <w:t xml:space="preserve"> wykorzystanie</w:t>
      </w:r>
      <w:r w:rsidR="001F608A" w:rsidRPr="001F608A">
        <w:rPr>
          <w:rFonts w:ascii="Arial" w:hAnsi="Arial" w:cs="Arial"/>
          <w:sz w:val="20"/>
          <w:szCs w:val="20"/>
        </w:rPr>
        <w:t>m</w:t>
      </w:r>
      <w:r w:rsidRPr="002B1F79">
        <w:rPr>
          <w:rFonts w:ascii="Arial" w:hAnsi="Arial" w:cs="Arial"/>
          <w:sz w:val="20"/>
          <w:szCs w:val="20"/>
        </w:rPr>
        <w:t xml:space="preserve"> zasobów oceanicznych dla wzrostu gospodarczego, poprzez przedsiębiorczość, inwestycje oraz badania i innowacje. </w:t>
      </w:r>
      <w:r w:rsidR="0020027E">
        <w:rPr>
          <w:rFonts w:ascii="Arial" w:hAnsi="Arial" w:cs="Arial"/>
          <w:sz w:val="20"/>
          <w:szCs w:val="20"/>
        </w:rPr>
        <w:t xml:space="preserve">Wskazuje też znaczenie </w:t>
      </w:r>
      <w:r w:rsidR="001F608A" w:rsidRPr="002B1F79">
        <w:rPr>
          <w:rFonts w:ascii="Arial" w:hAnsi="Arial" w:cs="Arial"/>
          <w:sz w:val="20"/>
          <w:szCs w:val="20"/>
        </w:rPr>
        <w:t xml:space="preserve">nowych sektorów niebieskiej gospodarki, </w:t>
      </w:r>
      <w:r w:rsidR="0020027E">
        <w:rPr>
          <w:rFonts w:ascii="Arial" w:hAnsi="Arial" w:cs="Arial"/>
          <w:sz w:val="20"/>
          <w:szCs w:val="20"/>
        </w:rPr>
        <w:t>które w</w:t>
      </w:r>
      <w:r w:rsidR="001F608A" w:rsidRPr="002B1F79">
        <w:rPr>
          <w:rFonts w:ascii="Arial" w:hAnsi="Arial" w:cs="Arial"/>
          <w:sz w:val="20"/>
          <w:szCs w:val="20"/>
        </w:rPr>
        <w:t xml:space="preserve"> </w:t>
      </w:r>
      <w:r w:rsidR="0020027E">
        <w:rPr>
          <w:rFonts w:ascii="Arial" w:hAnsi="Arial" w:cs="Arial"/>
          <w:sz w:val="20"/>
          <w:szCs w:val="20"/>
        </w:rPr>
        <w:t>perspektywie</w:t>
      </w:r>
      <w:r w:rsidR="0020027E" w:rsidRPr="002B1F79">
        <w:rPr>
          <w:rFonts w:ascii="Arial" w:hAnsi="Arial" w:cs="Arial"/>
          <w:sz w:val="20"/>
          <w:szCs w:val="20"/>
        </w:rPr>
        <w:t xml:space="preserve"> rozwoju w najbliższych latach </w:t>
      </w:r>
      <w:r w:rsidR="0020027E">
        <w:rPr>
          <w:rFonts w:ascii="Arial" w:hAnsi="Arial" w:cs="Arial"/>
          <w:sz w:val="20"/>
          <w:szCs w:val="20"/>
        </w:rPr>
        <w:t xml:space="preserve">odnotują </w:t>
      </w:r>
      <w:r w:rsidR="0020027E" w:rsidRPr="002B1F79">
        <w:rPr>
          <w:rFonts w:ascii="Arial" w:hAnsi="Arial" w:cs="Arial"/>
          <w:sz w:val="20"/>
          <w:szCs w:val="20"/>
        </w:rPr>
        <w:t xml:space="preserve">znaczny wzrost nakładów inwestycyjnych </w:t>
      </w:r>
      <w:r w:rsidR="0020027E">
        <w:rPr>
          <w:rFonts w:ascii="Arial" w:hAnsi="Arial" w:cs="Arial"/>
          <w:sz w:val="20"/>
          <w:szCs w:val="20"/>
        </w:rPr>
        <w:t xml:space="preserve">i będą miały </w:t>
      </w:r>
      <w:r w:rsidR="001F608A" w:rsidRPr="002B1F79">
        <w:rPr>
          <w:rFonts w:ascii="Arial" w:hAnsi="Arial" w:cs="Arial"/>
          <w:sz w:val="20"/>
          <w:szCs w:val="20"/>
        </w:rPr>
        <w:t xml:space="preserve">istotny wkład w </w:t>
      </w:r>
      <w:r w:rsidR="0020027E">
        <w:rPr>
          <w:rFonts w:ascii="Arial" w:eastAsia="Calibri" w:hAnsi="Arial" w:cs="Arial"/>
          <w:color w:val="000000"/>
          <w:sz w:val="20"/>
          <w:szCs w:val="20"/>
          <w:lang w:eastAsia="pl-PL"/>
        </w:rPr>
        <w:t>zwiększanie</w:t>
      </w:r>
      <w:r w:rsidR="0020027E" w:rsidRPr="002B1F79">
        <w:rPr>
          <w:rFonts w:ascii="Arial" w:eastAsia="Calibri" w:hAnsi="Arial" w:cs="Arial"/>
          <w:color w:val="000000"/>
          <w:sz w:val="20"/>
          <w:szCs w:val="20"/>
          <w:lang w:eastAsia="pl-PL"/>
        </w:rPr>
        <w:t xml:space="preserve"> zatrudnienia w niebieskiej gospodarce. </w:t>
      </w:r>
    </w:p>
    <w:p w14:paraId="72E4D038" w14:textId="66A4082F" w:rsidR="004D6457" w:rsidRDefault="00456F69" w:rsidP="009F2E3A">
      <w:pPr>
        <w:spacing w:before="120" w:after="120" w:line="276" w:lineRule="auto"/>
        <w:jc w:val="both"/>
        <w:rPr>
          <w:rFonts w:ascii="Arial" w:eastAsia="Calibri" w:hAnsi="Arial" w:cs="Arial"/>
          <w:sz w:val="20"/>
          <w:szCs w:val="20"/>
        </w:rPr>
      </w:pPr>
      <w:r w:rsidRPr="00FB15B3">
        <w:rPr>
          <w:rFonts w:ascii="Arial" w:hAnsi="Arial" w:cs="Arial"/>
          <w:sz w:val="20"/>
          <w:szCs w:val="20"/>
        </w:rPr>
        <w:t xml:space="preserve">Przedmiotem rozmów były również przygotowania do obchodów Europejskiego Dnia Morza 2019, które  odbyły się w dniach 15 </w:t>
      </w:r>
      <w:r w:rsidR="00FB15B3">
        <w:rPr>
          <w:rFonts w:ascii="Arial" w:hAnsi="Arial" w:cs="Arial"/>
          <w:sz w:val="20"/>
          <w:szCs w:val="20"/>
        </w:rPr>
        <w:t>-</w:t>
      </w:r>
      <w:r w:rsidRPr="00FB15B3">
        <w:rPr>
          <w:rFonts w:ascii="Arial" w:hAnsi="Arial" w:cs="Arial"/>
          <w:sz w:val="20"/>
          <w:szCs w:val="20"/>
        </w:rPr>
        <w:t xml:space="preserve"> 17 maja </w:t>
      </w:r>
      <w:r w:rsidR="00FB15B3">
        <w:rPr>
          <w:rFonts w:ascii="Arial" w:hAnsi="Arial" w:cs="Arial"/>
          <w:sz w:val="20"/>
          <w:szCs w:val="20"/>
        </w:rPr>
        <w:t xml:space="preserve">2019 r. </w:t>
      </w:r>
      <w:r w:rsidRPr="00FB15B3">
        <w:rPr>
          <w:rFonts w:ascii="Arial" w:hAnsi="Arial" w:cs="Arial"/>
          <w:sz w:val="20"/>
          <w:szCs w:val="20"/>
        </w:rPr>
        <w:t>w Lizbonie, a także przebieg</w:t>
      </w:r>
      <w:r w:rsidR="0010207B" w:rsidRPr="00FB15B3">
        <w:rPr>
          <w:rFonts w:ascii="Arial" w:hAnsi="Arial" w:cs="Arial"/>
          <w:sz w:val="20"/>
          <w:szCs w:val="20"/>
        </w:rPr>
        <w:t xml:space="preserve"> pierwszego </w:t>
      </w:r>
      <w:r w:rsidR="00FB15B3" w:rsidRPr="00FB15B3">
        <w:rPr>
          <w:rFonts w:ascii="Arial" w:hAnsi="Arial" w:cs="Arial"/>
          <w:sz w:val="20"/>
          <w:szCs w:val="20"/>
        </w:rPr>
        <w:t xml:space="preserve">forum interesariuszy UE - Chiny </w:t>
      </w:r>
      <w:r w:rsidR="003F0FE9">
        <w:rPr>
          <w:rFonts w:ascii="Arial" w:eastAsia="Calibri" w:hAnsi="Arial" w:cs="Arial"/>
          <w:sz w:val="20"/>
          <w:szCs w:val="20"/>
        </w:rPr>
        <w:t>(</w:t>
      </w:r>
      <w:r w:rsidR="003F0FE9" w:rsidRPr="00046BB3">
        <w:rPr>
          <w:rFonts w:ascii="Arial" w:eastAsia="Calibri" w:hAnsi="Arial" w:cs="Arial"/>
          <w:sz w:val="20"/>
          <w:szCs w:val="20"/>
        </w:rPr>
        <w:t xml:space="preserve">5 września </w:t>
      </w:r>
      <w:r w:rsidR="003F0FE9">
        <w:rPr>
          <w:rFonts w:ascii="Arial" w:eastAsia="Calibri" w:hAnsi="Arial" w:cs="Arial"/>
          <w:sz w:val="20"/>
          <w:szCs w:val="20"/>
        </w:rPr>
        <w:t xml:space="preserve">2019 r. w Brukseli) </w:t>
      </w:r>
      <w:r w:rsidR="00144397">
        <w:rPr>
          <w:rFonts w:ascii="Arial" w:hAnsi="Arial" w:cs="Arial"/>
          <w:sz w:val="20"/>
          <w:szCs w:val="20"/>
        </w:rPr>
        <w:t>poświęconego</w:t>
      </w:r>
      <w:r w:rsidR="00FB15B3" w:rsidRPr="00FB15B3">
        <w:rPr>
          <w:rFonts w:ascii="Arial" w:hAnsi="Arial" w:cs="Arial"/>
          <w:sz w:val="20"/>
          <w:szCs w:val="20"/>
        </w:rPr>
        <w:t xml:space="preserve"> </w:t>
      </w:r>
      <w:r w:rsidR="00FB15B3">
        <w:rPr>
          <w:rFonts w:ascii="Arial" w:hAnsi="Arial" w:cs="Arial"/>
          <w:sz w:val="20"/>
          <w:szCs w:val="20"/>
        </w:rPr>
        <w:t xml:space="preserve">realizacji </w:t>
      </w:r>
      <w:r w:rsidR="00FB15B3" w:rsidRPr="00FB15B3">
        <w:rPr>
          <w:rFonts w:ascii="Arial" w:hAnsi="Arial" w:cs="Arial"/>
          <w:sz w:val="20"/>
          <w:szCs w:val="20"/>
        </w:rPr>
        <w:t>stra</w:t>
      </w:r>
      <w:r w:rsidR="00FB15B3">
        <w:rPr>
          <w:rFonts w:ascii="Arial" w:hAnsi="Arial" w:cs="Arial"/>
          <w:sz w:val="20"/>
          <w:szCs w:val="20"/>
        </w:rPr>
        <w:t>tegicznego</w:t>
      </w:r>
      <w:r w:rsidR="00FB15B3" w:rsidRPr="00FB15B3">
        <w:rPr>
          <w:rFonts w:ascii="Arial" w:hAnsi="Arial" w:cs="Arial"/>
          <w:sz w:val="20"/>
          <w:szCs w:val="20"/>
        </w:rPr>
        <w:t xml:space="preserve"> </w:t>
      </w:r>
      <w:r w:rsidR="00FB15B3">
        <w:rPr>
          <w:rFonts w:ascii="Arial" w:hAnsi="Arial" w:cs="Arial"/>
          <w:sz w:val="20"/>
          <w:szCs w:val="20"/>
        </w:rPr>
        <w:t>partnerstwa</w:t>
      </w:r>
      <w:r w:rsidR="00FB15B3" w:rsidRPr="00FB15B3">
        <w:rPr>
          <w:rFonts w:ascii="Arial" w:hAnsi="Arial" w:cs="Arial"/>
          <w:sz w:val="20"/>
          <w:szCs w:val="20"/>
        </w:rPr>
        <w:t xml:space="preserve"> oceaniczne</w:t>
      </w:r>
      <w:r w:rsidR="00FB15B3">
        <w:rPr>
          <w:rFonts w:ascii="Arial" w:hAnsi="Arial" w:cs="Arial"/>
          <w:sz w:val="20"/>
          <w:szCs w:val="20"/>
        </w:rPr>
        <w:t>go</w:t>
      </w:r>
      <w:r w:rsidR="00FB15B3">
        <w:rPr>
          <w:rFonts w:ascii="Arial" w:eastAsia="Calibri" w:hAnsi="Arial" w:cs="Arial"/>
          <w:b/>
          <w:sz w:val="20"/>
          <w:szCs w:val="20"/>
          <w:lang w:val="en-US"/>
        </w:rPr>
        <w:t xml:space="preserve"> </w:t>
      </w:r>
      <w:r w:rsidR="00FB15B3">
        <w:rPr>
          <w:rFonts w:ascii="Arial" w:eastAsia="Calibri" w:hAnsi="Arial" w:cs="Arial"/>
          <w:sz w:val="20"/>
          <w:szCs w:val="20"/>
        </w:rPr>
        <w:t>między UE a</w:t>
      </w:r>
      <w:r w:rsidR="003F0FE9" w:rsidRPr="003F0FE9">
        <w:rPr>
          <w:rFonts w:ascii="Arial" w:eastAsia="Calibri" w:hAnsi="Arial" w:cs="Arial"/>
          <w:sz w:val="20"/>
          <w:szCs w:val="20"/>
        </w:rPr>
        <w:t xml:space="preserve"> </w:t>
      </w:r>
      <w:r w:rsidR="003F0FE9">
        <w:rPr>
          <w:rFonts w:ascii="Arial" w:eastAsia="Calibri" w:hAnsi="Arial" w:cs="Arial"/>
          <w:sz w:val="20"/>
          <w:szCs w:val="20"/>
        </w:rPr>
        <w:t>Chinami</w:t>
      </w:r>
      <w:r w:rsidR="00FB15B3">
        <w:rPr>
          <w:rFonts w:ascii="Arial" w:eastAsia="Calibri" w:hAnsi="Arial" w:cs="Arial"/>
          <w:sz w:val="20"/>
          <w:szCs w:val="20"/>
        </w:rPr>
        <w:t xml:space="preserve">, w którym </w:t>
      </w:r>
      <w:r w:rsidR="00293D52" w:rsidRPr="00046BB3">
        <w:rPr>
          <w:rFonts w:ascii="Arial" w:eastAsia="Calibri" w:hAnsi="Arial" w:cs="Arial"/>
          <w:sz w:val="20"/>
          <w:szCs w:val="20"/>
        </w:rPr>
        <w:t xml:space="preserve">wzięło udział 150 podmiotów z UE oraz Chin. </w:t>
      </w:r>
      <w:r w:rsidR="00293D52" w:rsidRPr="005A073C">
        <w:rPr>
          <w:rFonts w:ascii="Arial" w:eastAsia="Times New Roman" w:hAnsi="Arial" w:cs="Arial"/>
          <w:iCs/>
          <w:sz w:val="20"/>
          <w:szCs w:val="20"/>
          <w:lang w:eastAsia="pl-PL"/>
        </w:rPr>
        <w:t xml:space="preserve">KE poinformowała, że 9 kwietnia odbył się 21. Szczyt UE </w:t>
      </w:r>
      <w:r w:rsidR="00FB15B3">
        <w:rPr>
          <w:rFonts w:ascii="Arial" w:eastAsia="Times New Roman" w:hAnsi="Arial" w:cs="Arial"/>
          <w:iCs/>
          <w:sz w:val="20"/>
          <w:szCs w:val="20"/>
          <w:lang w:eastAsia="pl-PL"/>
        </w:rPr>
        <w:t>- Chiny, podczas którego</w:t>
      </w:r>
      <w:r w:rsidR="00293D52" w:rsidRPr="005A073C">
        <w:rPr>
          <w:rFonts w:ascii="Arial" w:eastAsia="Times New Roman" w:hAnsi="Arial" w:cs="Arial"/>
          <w:iCs/>
          <w:sz w:val="20"/>
          <w:szCs w:val="20"/>
          <w:lang w:eastAsia="pl-PL"/>
        </w:rPr>
        <w:t xml:space="preserve"> </w:t>
      </w:r>
      <w:r w:rsidR="00293D52" w:rsidRPr="005A073C">
        <w:rPr>
          <w:rFonts w:ascii="Arial" w:eastAsia="Calibri" w:hAnsi="Arial" w:cs="Arial"/>
          <w:sz w:val="20"/>
          <w:szCs w:val="20"/>
        </w:rPr>
        <w:t xml:space="preserve">strony zobowiązały się dalej zacieśniać </w:t>
      </w:r>
      <w:r w:rsidR="00293D52" w:rsidRPr="00FB15B3">
        <w:rPr>
          <w:rFonts w:ascii="Arial" w:eastAsia="Calibri" w:hAnsi="Arial" w:cs="Arial"/>
          <w:bCs/>
          <w:sz w:val="20"/>
          <w:szCs w:val="20"/>
        </w:rPr>
        <w:t>partnerstwo strategiczne</w:t>
      </w:r>
      <w:r w:rsidR="00293D52" w:rsidRPr="00FB15B3">
        <w:rPr>
          <w:rFonts w:ascii="Arial" w:eastAsia="Calibri" w:hAnsi="Arial" w:cs="Arial"/>
          <w:sz w:val="20"/>
          <w:szCs w:val="20"/>
        </w:rPr>
        <w:t>.</w:t>
      </w:r>
      <w:r w:rsidR="00293D52" w:rsidRPr="005A073C">
        <w:rPr>
          <w:rFonts w:ascii="Arial" w:eastAsia="Calibri" w:hAnsi="Arial" w:cs="Arial"/>
          <w:sz w:val="20"/>
          <w:szCs w:val="20"/>
        </w:rPr>
        <w:t xml:space="preserve"> </w:t>
      </w:r>
      <w:r w:rsidR="00AD106A">
        <w:rPr>
          <w:rFonts w:ascii="Arial" w:eastAsia="Calibri" w:hAnsi="Arial" w:cs="Arial"/>
          <w:sz w:val="20"/>
          <w:szCs w:val="20"/>
        </w:rPr>
        <w:t>Podczas Szczytu p</w:t>
      </w:r>
      <w:r w:rsidR="00293D52" w:rsidRPr="005A073C">
        <w:rPr>
          <w:rFonts w:ascii="Arial" w:eastAsia="Calibri" w:hAnsi="Arial" w:cs="Arial"/>
          <w:sz w:val="20"/>
          <w:szCs w:val="20"/>
        </w:rPr>
        <w:t xml:space="preserve">rzywódcy potwierdzili wagę walki ze </w:t>
      </w:r>
      <w:r w:rsidR="00293D52" w:rsidRPr="00FB15B3">
        <w:rPr>
          <w:rFonts w:ascii="Arial" w:eastAsia="Calibri" w:hAnsi="Arial" w:cs="Arial"/>
          <w:bCs/>
          <w:sz w:val="20"/>
          <w:szCs w:val="20"/>
        </w:rPr>
        <w:t>zmianą klimatu</w:t>
      </w:r>
      <w:r w:rsidR="00293D52" w:rsidRPr="00FB15B3">
        <w:rPr>
          <w:rFonts w:ascii="Arial" w:eastAsia="Calibri" w:hAnsi="Arial" w:cs="Arial"/>
          <w:sz w:val="20"/>
          <w:szCs w:val="20"/>
        </w:rPr>
        <w:t>.</w:t>
      </w:r>
      <w:r w:rsidR="00293D52" w:rsidRPr="005A073C">
        <w:rPr>
          <w:rFonts w:ascii="Arial" w:eastAsia="Calibri" w:hAnsi="Arial" w:cs="Arial"/>
          <w:sz w:val="20"/>
          <w:szCs w:val="20"/>
        </w:rPr>
        <w:t xml:space="preserve"> Strony zgodziły się zintensyfikować rea</w:t>
      </w:r>
      <w:r w:rsidR="00AD106A">
        <w:rPr>
          <w:rFonts w:ascii="Arial" w:eastAsia="Calibri" w:hAnsi="Arial" w:cs="Arial"/>
          <w:sz w:val="20"/>
          <w:szCs w:val="20"/>
        </w:rPr>
        <w:t>lizację porozumienia paryskiego, a także</w:t>
      </w:r>
      <w:r w:rsidR="00293D52" w:rsidRPr="005A073C">
        <w:rPr>
          <w:rFonts w:ascii="Arial" w:eastAsia="Calibri" w:hAnsi="Arial" w:cs="Arial"/>
          <w:sz w:val="20"/>
          <w:szCs w:val="20"/>
        </w:rPr>
        <w:t xml:space="preserve"> </w:t>
      </w:r>
      <w:r w:rsidR="00AD106A">
        <w:rPr>
          <w:rFonts w:ascii="Arial" w:eastAsia="Calibri" w:hAnsi="Arial" w:cs="Arial"/>
          <w:sz w:val="20"/>
          <w:szCs w:val="20"/>
        </w:rPr>
        <w:t>potwierdziły wolę</w:t>
      </w:r>
      <w:r w:rsidR="002C1F7C">
        <w:rPr>
          <w:rFonts w:ascii="Arial" w:eastAsia="Calibri" w:hAnsi="Arial" w:cs="Arial"/>
          <w:sz w:val="20"/>
          <w:szCs w:val="20"/>
        </w:rPr>
        <w:t xml:space="preserve"> współpra</w:t>
      </w:r>
      <w:r w:rsidR="00AD106A">
        <w:rPr>
          <w:rFonts w:ascii="Arial" w:eastAsia="Calibri" w:hAnsi="Arial" w:cs="Arial"/>
          <w:sz w:val="20"/>
          <w:szCs w:val="20"/>
        </w:rPr>
        <w:t>cy</w:t>
      </w:r>
      <w:r w:rsidR="002C1F7C">
        <w:rPr>
          <w:rFonts w:ascii="Arial" w:eastAsia="Calibri" w:hAnsi="Arial" w:cs="Arial"/>
          <w:sz w:val="20"/>
          <w:szCs w:val="20"/>
        </w:rPr>
        <w:t xml:space="preserve"> w innych kwestiach</w:t>
      </w:r>
      <w:r w:rsidR="00293D52" w:rsidRPr="005A073C">
        <w:rPr>
          <w:rFonts w:ascii="Arial" w:eastAsia="Calibri" w:hAnsi="Arial" w:cs="Arial"/>
          <w:sz w:val="20"/>
          <w:szCs w:val="20"/>
        </w:rPr>
        <w:t>, takich jak zanik bioróżnorodności</w:t>
      </w:r>
      <w:r w:rsidR="002C1F7C">
        <w:rPr>
          <w:rFonts w:ascii="Arial" w:eastAsia="Calibri" w:hAnsi="Arial" w:cs="Arial"/>
          <w:sz w:val="20"/>
          <w:szCs w:val="20"/>
        </w:rPr>
        <w:t>,</w:t>
      </w:r>
      <w:r w:rsidR="00293D52" w:rsidRPr="005A073C">
        <w:rPr>
          <w:rFonts w:ascii="Arial" w:eastAsia="Calibri" w:hAnsi="Arial" w:cs="Arial"/>
          <w:sz w:val="20"/>
          <w:szCs w:val="20"/>
        </w:rPr>
        <w:t xml:space="preserve"> czy zanieczyszczenie mórz.</w:t>
      </w:r>
    </w:p>
    <w:p w14:paraId="3DDAD3CF" w14:textId="6ABF287D" w:rsidR="00EF774A" w:rsidRDefault="00EF774A" w:rsidP="009F2E3A">
      <w:pPr>
        <w:spacing w:before="120" w:after="120" w:line="276" w:lineRule="auto"/>
        <w:jc w:val="both"/>
        <w:rPr>
          <w:rFonts w:ascii="Arial" w:eastAsia="Calibri" w:hAnsi="Arial" w:cs="Arial"/>
          <w:sz w:val="20"/>
          <w:szCs w:val="20"/>
        </w:rPr>
      </w:pPr>
    </w:p>
    <w:p w14:paraId="428134C7" w14:textId="77777777" w:rsidR="00EF774A" w:rsidRPr="00FB15B3" w:rsidRDefault="00EF774A" w:rsidP="009F2E3A">
      <w:pPr>
        <w:spacing w:before="120" w:after="120" w:line="276" w:lineRule="auto"/>
        <w:jc w:val="both"/>
        <w:rPr>
          <w:rFonts w:ascii="Arial" w:eastAsia="Calibri" w:hAnsi="Arial" w:cs="Arial"/>
          <w:b/>
          <w:sz w:val="20"/>
          <w:szCs w:val="20"/>
          <w:lang w:val="en-US"/>
        </w:rPr>
      </w:pPr>
    </w:p>
    <w:p w14:paraId="42A71358" w14:textId="77777777" w:rsidR="00B6687A" w:rsidRPr="004C6CC5" w:rsidRDefault="00B6687A" w:rsidP="003C6ECA">
      <w:pPr>
        <w:pStyle w:val="Akapitzlist"/>
        <w:numPr>
          <w:ilvl w:val="0"/>
          <w:numId w:val="27"/>
        </w:numPr>
        <w:spacing w:before="240" w:after="240"/>
        <w:jc w:val="both"/>
        <w:rPr>
          <w:rFonts w:ascii="Arial" w:hAnsi="Arial" w:cs="Arial"/>
          <w:sz w:val="20"/>
          <w:szCs w:val="20"/>
        </w:rPr>
      </w:pPr>
      <w:r w:rsidRPr="004C6CC5">
        <w:rPr>
          <w:rFonts w:ascii="Arial" w:hAnsi="Arial" w:cs="Arial"/>
          <w:b/>
          <w:sz w:val="20"/>
          <w:szCs w:val="20"/>
        </w:rPr>
        <w:lastRenderedPageBreak/>
        <w:t>Grupa Przyjaciół Prezydencji Rady UE do spraw Europejskiej Strategii Bezpieczeństwa na Morzu.</w:t>
      </w:r>
    </w:p>
    <w:p w14:paraId="3D43D070" w14:textId="011BB02E" w:rsidR="00BA58A4" w:rsidRPr="00E50827" w:rsidRDefault="00503C51" w:rsidP="00E50827">
      <w:pPr>
        <w:spacing w:before="120" w:after="120" w:line="276" w:lineRule="auto"/>
        <w:jc w:val="both"/>
        <w:rPr>
          <w:rFonts w:ascii="Arial" w:eastAsia="Times New Roman" w:hAnsi="Arial" w:cs="Arial"/>
          <w:iCs/>
          <w:sz w:val="20"/>
          <w:szCs w:val="20"/>
          <w:lang w:eastAsia="pl-PL"/>
        </w:rPr>
      </w:pPr>
      <w:r w:rsidRPr="00E50827">
        <w:rPr>
          <w:rFonts w:ascii="Arial" w:eastAsia="Times New Roman" w:hAnsi="Arial" w:cs="Arial"/>
          <w:iCs/>
          <w:sz w:val="20"/>
          <w:szCs w:val="20"/>
          <w:lang w:eastAsia="pl-PL"/>
        </w:rPr>
        <w:t>Podczas pierwszego posiedzenia Grupy zorganizowaneg</w:t>
      </w:r>
      <w:r w:rsidR="00330BD2">
        <w:rPr>
          <w:rFonts w:ascii="Arial" w:eastAsia="Times New Roman" w:hAnsi="Arial" w:cs="Arial"/>
          <w:iCs/>
          <w:sz w:val="20"/>
          <w:szCs w:val="20"/>
          <w:lang w:eastAsia="pl-PL"/>
        </w:rPr>
        <w:t>o w ramach prezydencji fińskiej</w:t>
      </w:r>
      <w:r w:rsidRPr="00E50827">
        <w:rPr>
          <w:rFonts w:ascii="Arial" w:eastAsia="Times New Roman" w:hAnsi="Arial" w:cs="Arial"/>
          <w:iCs/>
          <w:sz w:val="20"/>
          <w:szCs w:val="20"/>
          <w:lang w:eastAsia="pl-PL"/>
        </w:rPr>
        <w:t xml:space="preserve"> dyskutowano na temat dokumentu roboczego Komisji Europejskiej w sprawie implementacji i postępów we wdrażaniu </w:t>
      </w:r>
      <w:r w:rsidR="00E50827" w:rsidRPr="00E50827">
        <w:rPr>
          <w:rFonts w:ascii="Arial" w:eastAsia="Times New Roman" w:hAnsi="Arial" w:cs="Arial"/>
          <w:iCs/>
          <w:sz w:val="20"/>
          <w:szCs w:val="20"/>
          <w:lang w:eastAsia="pl-PL"/>
        </w:rPr>
        <w:t xml:space="preserve">wspólnego mechanizmu wymiany informacji </w:t>
      </w:r>
      <w:r w:rsidRPr="00E50827">
        <w:rPr>
          <w:rFonts w:ascii="Arial" w:eastAsia="Times New Roman" w:hAnsi="Arial" w:cs="Arial"/>
          <w:iCs/>
          <w:sz w:val="20"/>
          <w:szCs w:val="20"/>
          <w:lang w:eastAsia="pl-PL"/>
        </w:rPr>
        <w:t xml:space="preserve">CISE w poszczególnych </w:t>
      </w:r>
      <w:r w:rsidR="00BA58A4" w:rsidRPr="00E50827">
        <w:rPr>
          <w:rFonts w:ascii="Arial" w:eastAsia="Times New Roman" w:hAnsi="Arial" w:cs="Arial"/>
          <w:iCs/>
          <w:sz w:val="20"/>
          <w:szCs w:val="20"/>
          <w:lang w:eastAsia="pl-PL"/>
        </w:rPr>
        <w:t>państwach członkowskich UE</w:t>
      </w:r>
      <w:r w:rsidRPr="00E50827">
        <w:rPr>
          <w:rFonts w:ascii="Arial" w:eastAsia="Times New Roman" w:hAnsi="Arial" w:cs="Arial"/>
          <w:iCs/>
          <w:sz w:val="20"/>
          <w:szCs w:val="20"/>
          <w:lang w:eastAsia="pl-PL"/>
        </w:rPr>
        <w:t xml:space="preserve">. </w:t>
      </w:r>
      <w:r w:rsidR="00BA58A4" w:rsidRPr="00BA58A4">
        <w:rPr>
          <w:rFonts w:ascii="Arial" w:eastAsia="Times New Roman" w:hAnsi="Arial" w:cs="Arial"/>
          <w:iCs/>
          <w:sz w:val="20"/>
          <w:szCs w:val="20"/>
          <w:lang w:eastAsia="pl-PL"/>
        </w:rPr>
        <w:t>Poprawa procesu wymiany informacji między organami nadzoru morskiego jest jednym z klucz</w:t>
      </w:r>
      <w:r w:rsidR="00BA58A4" w:rsidRPr="00E50827">
        <w:rPr>
          <w:rFonts w:ascii="Arial" w:eastAsia="Times New Roman" w:hAnsi="Arial" w:cs="Arial"/>
          <w:iCs/>
          <w:sz w:val="20"/>
          <w:szCs w:val="20"/>
          <w:lang w:eastAsia="pl-PL"/>
        </w:rPr>
        <w:t>owych celów strategicznych UE</w:t>
      </w:r>
      <w:r w:rsidR="00BA58A4" w:rsidRPr="00BA58A4">
        <w:rPr>
          <w:rFonts w:ascii="Arial" w:eastAsia="Times New Roman" w:hAnsi="Arial" w:cs="Arial"/>
          <w:iCs/>
          <w:sz w:val="20"/>
          <w:szCs w:val="20"/>
          <w:lang w:eastAsia="pl-PL"/>
        </w:rPr>
        <w:t xml:space="preserve"> w ramach zintegrowanej polityki morskiej, która ma na celu zapewnienie bardziej spójnego podejścia do kwestii morskich, przy zwiększonej koordynacji między różnymi obszarami europejskich polityk (transport, ochrona środowiska, rybołówstwo, kontrola graniczna, ogólne egzekwowanie prawa, cła i obrona). </w:t>
      </w:r>
      <w:r w:rsidR="00E50827" w:rsidRPr="00E50827">
        <w:rPr>
          <w:rFonts w:ascii="Arial" w:eastAsia="Times New Roman" w:hAnsi="Arial" w:cs="Arial"/>
          <w:iCs/>
          <w:sz w:val="20"/>
          <w:szCs w:val="20"/>
          <w:lang w:eastAsia="pl-PL"/>
        </w:rPr>
        <w:t>KE wskazała, że głównym celem dokumentu roboczego ds. CISE jest przedstawi</w:t>
      </w:r>
      <w:r w:rsidR="00275ECC">
        <w:rPr>
          <w:rFonts w:ascii="Arial" w:eastAsia="Times New Roman" w:hAnsi="Arial" w:cs="Arial"/>
          <w:iCs/>
          <w:sz w:val="20"/>
          <w:szCs w:val="20"/>
          <w:lang w:eastAsia="pl-PL"/>
        </w:rPr>
        <w:t>enie działań podjętych przez państwa członkowskie</w:t>
      </w:r>
      <w:r w:rsidR="00E50827" w:rsidRPr="00E50827">
        <w:rPr>
          <w:rFonts w:ascii="Arial" w:eastAsia="Times New Roman" w:hAnsi="Arial" w:cs="Arial"/>
          <w:iCs/>
          <w:sz w:val="20"/>
          <w:szCs w:val="20"/>
          <w:lang w:eastAsia="pl-PL"/>
        </w:rPr>
        <w:t xml:space="preserve"> oraz instytucje uczestniczące we wdrażaniu wspólnego mechanizmu wymiany informacji od 2014 r., ze szczególnym uwzględnieniem współpracy EFCA, EMSA i F</w:t>
      </w:r>
      <w:r w:rsidR="00F173EC">
        <w:rPr>
          <w:rFonts w:ascii="Arial" w:eastAsia="Times New Roman" w:hAnsi="Arial" w:cs="Arial"/>
          <w:iCs/>
          <w:sz w:val="20"/>
          <w:szCs w:val="20"/>
          <w:lang w:eastAsia="pl-PL"/>
        </w:rPr>
        <w:t>rontex</w:t>
      </w:r>
      <w:r w:rsidR="00A77950">
        <w:rPr>
          <w:rFonts w:ascii="Arial" w:eastAsia="Times New Roman" w:hAnsi="Arial" w:cs="Arial"/>
          <w:iCs/>
          <w:sz w:val="20"/>
          <w:szCs w:val="20"/>
          <w:lang w:eastAsia="pl-PL"/>
        </w:rPr>
        <w:t>.</w:t>
      </w:r>
    </w:p>
    <w:p w14:paraId="53738C1A" w14:textId="4160CDAD" w:rsidR="00806C91" w:rsidRPr="00E50827" w:rsidRDefault="00503C51" w:rsidP="00E50827">
      <w:pPr>
        <w:spacing w:before="120" w:after="120" w:line="276" w:lineRule="auto"/>
        <w:jc w:val="both"/>
        <w:rPr>
          <w:rFonts w:ascii="Arial" w:eastAsia="Times New Roman" w:hAnsi="Arial" w:cs="Arial"/>
          <w:iCs/>
          <w:sz w:val="20"/>
          <w:szCs w:val="20"/>
          <w:lang w:eastAsia="pl-PL"/>
        </w:rPr>
      </w:pPr>
      <w:r w:rsidRPr="00E50827">
        <w:rPr>
          <w:rFonts w:ascii="Arial" w:eastAsia="Times New Roman" w:hAnsi="Arial" w:cs="Arial"/>
          <w:iCs/>
          <w:sz w:val="20"/>
          <w:szCs w:val="20"/>
          <w:lang w:eastAsia="pl-PL"/>
        </w:rPr>
        <w:t xml:space="preserve">W spotkaniu dyskutowano również o zagrożeniach wynikających z morskich ataków hybrydowych, jak również o obecnych problemach i wyzwaniach w </w:t>
      </w:r>
      <w:r w:rsidR="00E50827" w:rsidRPr="00E50827">
        <w:rPr>
          <w:rFonts w:ascii="Arial" w:eastAsia="Times New Roman" w:hAnsi="Arial" w:cs="Arial"/>
          <w:iCs/>
          <w:sz w:val="20"/>
          <w:szCs w:val="20"/>
          <w:lang w:eastAsia="pl-PL"/>
        </w:rPr>
        <w:t>odniesieniu do</w:t>
      </w:r>
      <w:r w:rsidRPr="00E50827">
        <w:rPr>
          <w:rFonts w:ascii="Arial" w:eastAsia="Times New Roman" w:hAnsi="Arial" w:cs="Arial"/>
          <w:iCs/>
          <w:sz w:val="20"/>
          <w:szCs w:val="20"/>
          <w:lang w:eastAsia="pl-PL"/>
        </w:rPr>
        <w:t xml:space="preserve"> Arktyki oraz współpracy między agencyjnej w kontekście bezpieczeństwa </w:t>
      </w:r>
      <w:sdt>
        <w:sdtPr>
          <w:rPr>
            <w:rFonts w:ascii="Arial" w:eastAsia="Times New Roman" w:hAnsi="Arial" w:cs="Arial"/>
            <w:iCs/>
            <w:sz w:val="20"/>
            <w:szCs w:val="20"/>
            <w:lang w:eastAsia="pl-PL"/>
          </w:rPr>
          <w:id w:val="1376187323"/>
          <w:placeholder>
            <w:docPart w:val="A3E011A53D23403A8BCF50E13730EA61"/>
          </w:placeholder>
        </w:sdtPr>
        <w:sdtEndPr/>
        <w:sdtContent>
          <w:r w:rsidRPr="00E50827">
            <w:rPr>
              <w:rFonts w:ascii="Arial" w:eastAsia="Times New Roman" w:hAnsi="Arial" w:cs="Arial"/>
              <w:iCs/>
              <w:sz w:val="20"/>
              <w:szCs w:val="20"/>
              <w:lang w:eastAsia="pl-PL"/>
            </w:rPr>
            <w:t xml:space="preserve">morskiego w UE. </w:t>
          </w:r>
        </w:sdtContent>
      </w:sdt>
      <w:r w:rsidR="007C2E0F" w:rsidRPr="00E50827">
        <w:rPr>
          <w:rFonts w:ascii="Arial" w:eastAsia="Times New Roman" w:hAnsi="Arial" w:cs="Arial"/>
          <w:iCs/>
          <w:sz w:val="20"/>
          <w:szCs w:val="20"/>
          <w:lang w:eastAsia="pl-PL"/>
        </w:rPr>
        <w:t>Podkreślano</w:t>
      </w:r>
      <w:r w:rsidR="00806C91" w:rsidRPr="00E50827">
        <w:rPr>
          <w:rFonts w:ascii="Arial" w:eastAsia="Times New Roman" w:hAnsi="Arial" w:cs="Arial"/>
          <w:iCs/>
          <w:sz w:val="20"/>
          <w:szCs w:val="20"/>
          <w:lang w:eastAsia="pl-PL"/>
        </w:rPr>
        <w:t xml:space="preserve">, że UE powinna dążyć, by Arktyka pozostała regionem pokojowej współpracy i strefą obniżonego napięcia międzynarodowego. </w:t>
      </w:r>
    </w:p>
    <w:p w14:paraId="389A4DD4" w14:textId="30E0CF46" w:rsidR="00275ECC" w:rsidRPr="006C5B8E" w:rsidRDefault="00275ECC" w:rsidP="00275ECC">
      <w:pPr>
        <w:spacing w:line="276" w:lineRule="auto"/>
        <w:jc w:val="both"/>
        <w:rPr>
          <w:rFonts w:ascii="Arial" w:hAnsi="Arial" w:cs="Arial"/>
          <w:sz w:val="20"/>
          <w:szCs w:val="20"/>
        </w:rPr>
      </w:pPr>
      <w:r w:rsidRPr="006C5B8E">
        <w:rPr>
          <w:rFonts w:ascii="Arial" w:hAnsi="Arial" w:cs="Arial"/>
          <w:sz w:val="20"/>
          <w:szCs w:val="20"/>
        </w:rPr>
        <w:t xml:space="preserve">Podczas dyskusji </w:t>
      </w:r>
      <w:r>
        <w:rPr>
          <w:rFonts w:ascii="Arial" w:hAnsi="Arial" w:cs="Arial"/>
          <w:sz w:val="20"/>
          <w:szCs w:val="20"/>
        </w:rPr>
        <w:t>w związku z prezentacją poświęconą</w:t>
      </w:r>
      <w:r w:rsidRPr="006C5B8E">
        <w:rPr>
          <w:rFonts w:ascii="Arial" w:hAnsi="Arial" w:cs="Arial"/>
          <w:sz w:val="20"/>
          <w:szCs w:val="20"/>
        </w:rPr>
        <w:t xml:space="preserve"> zagrożeniom związanym z</w:t>
      </w:r>
      <w:r>
        <w:rPr>
          <w:rFonts w:ascii="Arial" w:hAnsi="Arial" w:cs="Arial"/>
          <w:sz w:val="20"/>
          <w:szCs w:val="20"/>
        </w:rPr>
        <w:t xml:space="preserve"> atakami hybrydowymi na morzu p</w:t>
      </w:r>
      <w:r w:rsidRPr="006C5B8E">
        <w:rPr>
          <w:rFonts w:ascii="Arial" w:hAnsi="Arial" w:cs="Arial"/>
          <w:sz w:val="20"/>
          <w:szCs w:val="20"/>
        </w:rPr>
        <w:t xml:space="preserve">odkreślano, że </w:t>
      </w:r>
      <w:r>
        <w:rPr>
          <w:rFonts w:ascii="Arial" w:hAnsi="Arial" w:cs="Arial"/>
          <w:sz w:val="20"/>
          <w:szCs w:val="20"/>
        </w:rPr>
        <w:t>zagrożenia hybrydowe są atakami</w:t>
      </w:r>
      <w:r w:rsidRPr="006C5B8E">
        <w:rPr>
          <w:rFonts w:ascii="Arial" w:hAnsi="Arial" w:cs="Arial"/>
          <w:sz w:val="20"/>
          <w:szCs w:val="20"/>
        </w:rPr>
        <w:t xml:space="preserve"> przemyślanymi </w:t>
      </w:r>
      <w:r w:rsidR="00B27671">
        <w:rPr>
          <w:rFonts w:ascii="Arial" w:hAnsi="Arial" w:cs="Arial"/>
          <w:sz w:val="20"/>
          <w:szCs w:val="20"/>
        </w:rPr>
        <w:br/>
      </w:r>
      <w:r w:rsidRPr="006C5B8E">
        <w:rPr>
          <w:rFonts w:ascii="Arial" w:hAnsi="Arial" w:cs="Arial"/>
          <w:sz w:val="20"/>
          <w:szCs w:val="20"/>
        </w:rPr>
        <w:t xml:space="preserve">i ukierunkowanymi na zakłócenia konkretnych obszarów bezpieczeństwa, szczególnie w momentach kryzysowych. Głównym wyzwaniem w walce z atakami hybrydowymi jest identyfikacja źródła ataku, które w zamyśle od samego początku mają wprowadzić dezorientację. Zwracano uwagę, że zagrożenia hybrydowe stanowią ogromny problem w żegludze międzynarodowej generując ogromne straty ekonomiczne z powodu opóźnień dostaw ładunków. </w:t>
      </w:r>
    </w:p>
    <w:p w14:paraId="708FE0ED" w14:textId="79B6E39B" w:rsidR="00BE165C" w:rsidRPr="0012595B" w:rsidRDefault="00795904" w:rsidP="00D80057">
      <w:pPr>
        <w:spacing w:line="276" w:lineRule="auto"/>
        <w:jc w:val="both"/>
        <w:rPr>
          <w:rFonts w:ascii="Arial" w:eastAsia="Times New Roman" w:hAnsi="Arial" w:cs="Arial"/>
          <w:sz w:val="20"/>
          <w:szCs w:val="20"/>
          <w:lang w:eastAsia="pl-PL"/>
        </w:rPr>
      </w:pPr>
      <w:r>
        <w:rPr>
          <w:rFonts w:ascii="Arial" w:eastAsia="Times New Roman" w:hAnsi="Arial" w:cs="Arial"/>
          <w:bCs/>
          <w:sz w:val="20"/>
          <w:szCs w:val="20"/>
          <w:lang w:eastAsia="pl-PL"/>
        </w:rPr>
        <w:t>W trakcie spotkań Grupa omówiła także</w:t>
      </w:r>
      <w:r w:rsidRPr="00795904">
        <w:rPr>
          <w:rFonts w:ascii="Arial" w:eastAsia="Times New Roman" w:hAnsi="Arial" w:cs="Arial"/>
          <w:bCs/>
          <w:sz w:val="20"/>
          <w:szCs w:val="20"/>
          <w:lang w:eastAsia="pl-PL"/>
        </w:rPr>
        <w:t xml:space="preserve"> problem cyberbezpieczeństwa </w:t>
      </w:r>
      <w:r>
        <w:rPr>
          <w:rFonts w:ascii="Arial" w:eastAsia="Times New Roman" w:hAnsi="Arial" w:cs="Arial"/>
          <w:bCs/>
          <w:sz w:val="20"/>
          <w:szCs w:val="20"/>
          <w:lang w:eastAsia="pl-PL"/>
        </w:rPr>
        <w:t>w kontekście</w:t>
      </w:r>
      <w:r w:rsidRPr="00795904">
        <w:rPr>
          <w:rFonts w:ascii="Arial" w:eastAsia="Times New Roman" w:hAnsi="Arial" w:cs="Arial"/>
          <w:bCs/>
          <w:sz w:val="20"/>
          <w:szCs w:val="20"/>
          <w:lang w:eastAsia="pl-PL"/>
        </w:rPr>
        <w:t xml:space="preserve"> </w:t>
      </w:r>
      <w:r>
        <w:rPr>
          <w:rFonts w:ascii="Arial" w:eastAsia="Times New Roman" w:hAnsi="Arial" w:cs="Arial"/>
          <w:bCs/>
          <w:sz w:val="20"/>
          <w:szCs w:val="20"/>
          <w:lang w:eastAsia="pl-PL"/>
        </w:rPr>
        <w:t>współczesnych</w:t>
      </w:r>
      <w:r w:rsidR="00307B53">
        <w:rPr>
          <w:rFonts w:ascii="Arial" w:eastAsia="Times New Roman" w:hAnsi="Arial" w:cs="Arial"/>
          <w:bCs/>
          <w:sz w:val="20"/>
          <w:szCs w:val="20"/>
          <w:lang w:eastAsia="pl-PL"/>
        </w:rPr>
        <w:t xml:space="preserve"> wyzwań dla sektora morskiego, w tym</w:t>
      </w:r>
      <w:r w:rsidRPr="00795904">
        <w:rPr>
          <w:rFonts w:ascii="Arial" w:eastAsia="Times New Roman" w:hAnsi="Arial" w:cs="Arial"/>
          <w:bCs/>
          <w:sz w:val="20"/>
          <w:szCs w:val="20"/>
          <w:lang w:eastAsia="pl-PL"/>
        </w:rPr>
        <w:t xml:space="preserve"> </w:t>
      </w:r>
      <w:r w:rsidRPr="00795904">
        <w:rPr>
          <w:rFonts w:ascii="Arial" w:eastAsia="Times New Roman" w:hAnsi="Arial" w:cs="Arial"/>
          <w:sz w:val="20"/>
          <w:szCs w:val="20"/>
          <w:lang w:eastAsia="pl-PL"/>
        </w:rPr>
        <w:t>zak</w:t>
      </w:r>
      <w:r w:rsidRPr="00795904">
        <w:rPr>
          <w:rFonts w:ascii="Arial" w:eastAsia="Times New Roman" w:hAnsi="Arial" w:cs="Arial" w:hint="eastAsia"/>
          <w:sz w:val="20"/>
          <w:szCs w:val="20"/>
          <w:lang w:eastAsia="pl-PL"/>
        </w:rPr>
        <w:t>ł</w:t>
      </w:r>
      <w:r w:rsidR="00D80057">
        <w:rPr>
          <w:rFonts w:ascii="Arial" w:eastAsia="Times New Roman" w:hAnsi="Arial" w:cs="Arial"/>
          <w:sz w:val="20"/>
          <w:szCs w:val="20"/>
          <w:lang w:eastAsia="pl-PL"/>
        </w:rPr>
        <w:t>óceń</w:t>
      </w:r>
      <w:r w:rsidRPr="00795904">
        <w:rPr>
          <w:rFonts w:ascii="Arial" w:eastAsia="Times New Roman" w:hAnsi="Arial" w:cs="Arial"/>
          <w:sz w:val="20"/>
          <w:szCs w:val="20"/>
          <w:lang w:eastAsia="pl-PL"/>
        </w:rPr>
        <w:t xml:space="preserve"> w funkcjonowaniu bran</w:t>
      </w:r>
      <w:r w:rsidRPr="00795904">
        <w:rPr>
          <w:rFonts w:ascii="Arial" w:eastAsia="Times New Roman" w:hAnsi="Arial" w:cs="Arial" w:hint="eastAsia"/>
          <w:sz w:val="20"/>
          <w:szCs w:val="20"/>
          <w:lang w:eastAsia="pl-PL"/>
        </w:rPr>
        <w:t>ż</w:t>
      </w:r>
      <w:r w:rsidRPr="00795904">
        <w:rPr>
          <w:rFonts w:ascii="Arial" w:eastAsia="Times New Roman" w:hAnsi="Arial" w:cs="Arial"/>
          <w:sz w:val="20"/>
          <w:szCs w:val="20"/>
          <w:lang w:eastAsia="pl-PL"/>
        </w:rPr>
        <w:t xml:space="preserve">y morskiej, </w:t>
      </w:r>
      <w:r w:rsidR="00D80057">
        <w:rPr>
          <w:rFonts w:ascii="Arial" w:eastAsia="Times New Roman" w:hAnsi="Arial" w:cs="Arial"/>
          <w:sz w:val="20"/>
          <w:szCs w:val="20"/>
          <w:lang w:eastAsia="pl-PL"/>
        </w:rPr>
        <w:t xml:space="preserve">spowodowanych atakami w sieci. </w:t>
      </w:r>
      <w:r w:rsidR="00BE165C" w:rsidRPr="0012595B">
        <w:rPr>
          <w:rFonts w:ascii="Arial" w:eastAsia="Times New Roman" w:hAnsi="Arial" w:cs="Arial"/>
          <w:sz w:val="20"/>
          <w:szCs w:val="20"/>
          <w:lang w:eastAsia="pl-PL"/>
        </w:rPr>
        <w:t>Podmioty odpowiedzialne za żeglugę morską muszą być świadome zagrożeń występujących w cyberprze</w:t>
      </w:r>
      <w:r w:rsidR="00BE165C">
        <w:rPr>
          <w:rFonts w:ascii="Arial" w:eastAsia="Times New Roman" w:hAnsi="Arial" w:cs="Arial"/>
          <w:sz w:val="20"/>
          <w:szCs w:val="20"/>
          <w:lang w:eastAsia="pl-PL"/>
        </w:rPr>
        <w:t xml:space="preserve">strzeni, dlatego też kwestie cyberbezpieczeństwa muszą </w:t>
      </w:r>
      <w:r w:rsidR="00BE165C" w:rsidRPr="0012595B">
        <w:rPr>
          <w:rFonts w:ascii="Arial" w:eastAsia="Times New Roman" w:hAnsi="Arial" w:cs="Arial"/>
          <w:sz w:val="20"/>
          <w:szCs w:val="20"/>
          <w:lang w:eastAsia="pl-PL"/>
        </w:rPr>
        <w:t>stać się integralną częścią zarządzania bezpieczeństwem w branży morskiej.</w:t>
      </w:r>
    </w:p>
    <w:p w14:paraId="4A1EE984" w14:textId="50E07A17" w:rsidR="006C4667" w:rsidRDefault="00F921B6" w:rsidP="00981C68">
      <w:pPr>
        <w:spacing w:line="276" w:lineRule="auto"/>
        <w:jc w:val="both"/>
        <w:rPr>
          <w:rFonts w:ascii="Arial" w:eastAsia="Times New Roman" w:hAnsi="Arial" w:cs="Arial"/>
          <w:iCs/>
          <w:sz w:val="20"/>
          <w:szCs w:val="20"/>
          <w:lang w:eastAsia="pl-PL"/>
        </w:rPr>
      </w:pPr>
      <w:r w:rsidRPr="00F939F5">
        <w:rPr>
          <w:rFonts w:ascii="Arial" w:hAnsi="Arial" w:cs="Arial"/>
          <w:sz w:val="20"/>
          <w:szCs w:val="20"/>
        </w:rPr>
        <w:t xml:space="preserve">Ponadto przedmiotem prac grupy były ostatnio poczynione postępy we współpracy w regionie Morza Czarnego, </w:t>
      </w:r>
      <w:r w:rsidR="00EA4A5E">
        <w:rPr>
          <w:rFonts w:ascii="Arial" w:hAnsi="Arial" w:cs="Arial"/>
          <w:sz w:val="20"/>
          <w:szCs w:val="20"/>
        </w:rPr>
        <w:t>zwłaszcza w kontekście przyjętego</w:t>
      </w:r>
      <w:r w:rsidR="00046BB3" w:rsidRPr="00046BB3">
        <w:rPr>
          <w:rFonts w:ascii="Arial" w:hAnsi="Arial" w:cs="Arial"/>
          <w:sz w:val="20"/>
          <w:szCs w:val="20"/>
        </w:rPr>
        <w:t xml:space="preserve"> w dniu 8 maja </w:t>
      </w:r>
      <w:r w:rsidRPr="00F939F5">
        <w:rPr>
          <w:rFonts w:ascii="Arial" w:hAnsi="Arial" w:cs="Arial"/>
          <w:sz w:val="20"/>
          <w:szCs w:val="20"/>
        </w:rPr>
        <w:t>2019 r</w:t>
      </w:r>
      <w:r w:rsidR="007B72F1" w:rsidRPr="00F939F5">
        <w:rPr>
          <w:rFonts w:ascii="Arial" w:hAnsi="Arial" w:cs="Arial"/>
          <w:sz w:val="20"/>
          <w:szCs w:val="20"/>
        </w:rPr>
        <w:t xml:space="preserve">. </w:t>
      </w:r>
      <w:r w:rsidR="00BC0812">
        <w:rPr>
          <w:rFonts w:ascii="Arial" w:hAnsi="Arial" w:cs="Arial"/>
          <w:sz w:val="20"/>
          <w:szCs w:val="20"/>
        </w:rPr>
        <w:t>Strategicznego</w:t>
      </w:r>
      <w:r w:rsidR="00BC0812" w:rsidRPr="00BC0812">
        <w:rPr>
          <w:rFonts w:ascii="Arial" w:hAnsi="Arial" w:cs="Arial"/>
          <w:sz w:val="20"/>
          <w:szCs w:val="20"/>
        </w:rPr>
        <w:t xml:space="preserve"> program</w:t>
      </w:r>
      <w:r w:rsidR="00BC0812">
        <w:rPr>
          <w:rFonts w:ascii="Arial" w:hAnsi="Arial" w:cs="Arial"/>
          <w:sz w:val="20"/>
          <w:szCs w:val="20"/>
        </w:rPr>
        <w:t>u</w:t>
      </w:r>
      <w:r w:rsidR="00BC0812" w:rsidRPr="00BC0812">
        <w:rPr>
          <w:rFonts w:ascii="Arial" w:hAnsi="Arial" w:cs="Arial"/>
          <w:sz w:val="20"/>
          <w:szCs w:val="20"/>
        </w:rPr>
        <w:t xml:space="preserve"> badań </w:t>
      </w:r>
      <w:r w:rsidR="00EA4A5E">
        <w:rPr>
          <w:rFonts w:ascii="Arial" w:hAnsi="Arial" w:cs="Arial"/>
          <w:sz w:val="20"/>
          <w:szCs w:val="20"/>
        </w:rPr>
        <w:br/>
      </w:r>
      <w:r w:rsidR="00BC0812" w:rsidRPr="00BC0812">
        <w:rPr>
          <w:rFonts w:ascii="Arial" w:hAnsi="Arial" w:cs="Arial"/>
          <w:sz w:val="20"/>
          <w:szCs w:val="20"/>
        </w:rPr>
        <w:t xml:space="preserve">i innowacji w regionie Morza Czarnego </w:t>
      </w:r>
      <w:r w:rsidR="00BC0812">
        <w:rPr>
          <w:rFonts w:ascii="Arial" w:hAnsi="Arial" w:cs="Arial"/>
          <w:sz w:val="20"/>
          <w:szCs w:val="20"/>
        </w:rPr>
        <w:t>(</w:t>
      </w:r>
      <w:r w:rsidR="00046BB3" w:rsidRPr="00046BB3">
        <w:rPr>
          <w:rFonts w:ascii="Arial" w:hAnsi="Arial" w:cs="Arial"/>
          <w:sz w:val="20"/>
          <w:szCs w:val="20"/>
        </w:rPr>
        <w:t>Black Sea Strategic Research and Innovation Agenda</w:t>
      </w:r>
      <w:r w:rsidR="00BC0812">
        <w:rPr>
          <w:rFonts w:ascii="Arial" w:hAnsi="Arial" w:cs="Arial"/>
          <w:sz w:val="20"/>
          <w:szCs w:val="20"/>
        </w:rPr>
        <w:t>)</w:t>
      </w:r>
      <w:r w:rsidR="00F939F5">
        <w:rPr>
          <w:rFonts w:ascii="Arial" w:hAnsi="Arial" w:cs="Arial"/>
          <w:sz w:val="20"/>
          <w:szCs w:val="20"/>
        </w:rPr>
        <w:t xml:space="preserve"> </w:t>
      </w:r>
      <w:r w:rsidRPr="00F939F5">
        <w:rPr>
          <w:rFonts w:ascii="Arial" w:hAnsi="Arial" w:cs="Arial"/>
          <w:sz w:val="20"/>
          <w:szCs w:val="20"/>
        </w:rPr>
        <w:t>oraz przyjętej</w:t>
      </w:r>
      <w:r w:rsidR="00046BB3" w:rsidRPr="00046BB3">
        <w:rPr>
          <w:rFonts w:ascii="Arial" w:hAnsi="Arial" w:cs="Arial"/>
          <w:sz w:val="20"/>
          <w:szCs w:val="20"/>
        </w:rPr>
        <w:t xml:space="preserve"> w dniu 21 maja </w:t>
      </w:r>
      <w:r w:rsidRPr="00F939F5">
        <w:rPr>
          <w:rFonts w:ascii="Arial" w:hAnsi="Arial" w:cs="Arial"/>
          <w:sz w:val="20"/>
          <w:szCs w:val="20"/>
        </w:rPr>
        <w:t xml:space="preserve">2019 r. </w:t>
      </w:r>
      <w:r w:rsidR="00046BB3" w:rsidRPr="00046BB3">
        <w:rPr>
          <w:rFonts w:ascii="Arial" w:hAnsi="Arial" w:cs="Arial"/>
          <w:sz w:val="20"/>
          <w:szCs w:val="20"/>
        </w:rPr>
        <w:t>w Bukareszcie przez przedstawicieli 7 państw (tj. Rumunii, Bułgarii, Gruzji, Mołdo</w:t>
      </w:r>
      <w:r w:rsidRPr="00F939F5">
        <w:rPr>
          <w:rFonts w:ascii="Arial" w:hAnsi="Arial" w:cs="Arial"/>
          <w:sz w:val="20"/>
          <w:szCs w:val="20"/>
        </w:rPr>
        <w:t>wy, Rosji, Turcji oraz Ukrainy)</w:t>
      </w:r>
      <w:r w:rsidR="00046BB3" w:rsidRPr="00046BB3">
        <w:rPr>
          <w:rFonts w:ascii="Arial" w:hAnsi="Arial" w:cs="Arial"/>
          <w:sz w:val="20"/>
          <w:szCs w:val="20"/>
        </w:rPr>
        <w:t xml:space="preserve"> Deklaracji Ministrów </w:t>
      </w:r>
      <w:r w:rsidRPr="00F939F5">
        <w:rPr>
          <w:rFonts w:ascii="Arial" w:hAnsi="Arial" w:cs="Arial"/>
          <w:sz w:val="20"/>
          <w:szCs w:val="20"/>
        </w:rPr>
        <w:t>w sprawie</w:t>
      </w:r>
      <w:r w:rsidR="00046BB3" w:rsidRPr="00046BB3">
        <w:rPr>
          <w:rFonts w:ascii="Arial" w:hAnsi="Arial" w:cs="Arial"/>
          <w:sz w:val="20"/>
          <w:szCs w:val="20"/>
        </w:rPr>
        <w:t xml:space="preserve"> wspólnej agendy morskiej dla Morza Czarnego (Ministerial Declaration a Common Maritime Agenda for the Black Sea</w:t>
      </w:r>
      <w:r w:rsidRPr="00F939F5">
        <w:rPr>
          <w:rFonts w:ascii="Arial" w:hAnsi="Arial" w:cs="Arial"/>
          <w:sz w:val="20"/>
          <w:szCs w:val="20"/>
        </w:rPr>
        <w:t>).</w:t>
      </w:r>
      <w:r w:rsidR="00981C68">
        <w:rPr>
          <w:rFonts w:ascii="Arial" w:hAnsi="Arial" w:cs="Arial"/>
          <w:sz w:val="20"/>
          <w:szCs w:val="20"/>
        </w:rPr>
        <w:t xml:space="preserve"> </w:t>
      </w:r>
      <w:r w:rsidR="00981C68">
        <w:rPr>
          <w:rFonts w:ascii="Arial" w:eastAsia="Times New Roman" w:hAnsi="Arial" w:cs="Arial"/>
          <w:iCs/>
          <w:sz w:val="20"/>
          <w:szCs w:val="20"/>
          <w:lang w:eastAsia="pl-PL"/>
        </w:rPr>
        <w:t>Wzór</w:t>
      </w:r>
      <w:r w:rsidR="006C4667">
        <w:rPr>
          <w:rFonts w:ascii="Arial" w:eastAsia="Times New Roman" w:hAnsi="Arial" w:cs="Arial"/>
          <w:iCs/>
          <w:sz w:val="20"/>
          <w:szCs w:val="20"/>
          <w:lang w:eastAsia="pl-PL"/>
        </w:rPr>
        <w:t xml:space="preserve"> dla </w:t>
      </w:r>
      <w:r w:rsidR="00313BC1">
        <w:rPr>
          <w:rFonts w:ascii="Arial" w:eastAsia="Times New Roman" w:hAnsi="Arial" w:cs="Arial"/>
          <w:iCs/>
          <w:sz w:val="20"/>
          <w:szCs w:val="20"/>
          <w:lang w:eastAsia="pl-PL"/>
        </w:rPr>
        <w:t xml:space="preserve">podjęcia </w:t>
      </w:r>
      <w:r w:rsidR="004844A9">
        <w:rPr>
          <w:rFonts w:ascii="Arial" w:eastAsia="Times New Roman" w:hAnsi="Arial" w:cs="Arial"/>
          <w:iCs/>
          <w:sz w:val="20"/>
          <w:szCs w:val="20"/>
          <w:lang w:eastAsia="pl-PL"/>
        </w:rPr>
        <w:t xml:space="preserve">regionalnej </w:t>
      </w:r>
      <w:r w:rsidR="006C4667">
        <w:rPr>
          <w:rFonts w:ascii="Arial" w:eastAsia="Times New Roman" w:hAnsi="Arial" w:cs="Arial"/>
          <w:iCs/>
          <w:sz w:val="20"/>
          <w:szCs w:val="20"/>
          <w:lang w:eastAsia="pl-PL"/>
        </w:rPr>
        <w:t>w</w:t>
      </w:r>
      <w:r w:rsidR="006C4667" w:rsidRPr="00744E28">
        <w:rPr>
          <w:rFonts w:ascii="Arial" w:eastAsia="Times New Roman" w:hAnsi="Arial" w:cs="Arial"/>
          <w:iCs/>
          <w:sz w:val="20"/>
          <w:szCs w:val="20"/>
          <w:lang w:eastAsia="pl-PL"/>
        </w:rPr>
        <w:t>spółpracy</w:t>
      </w:r>
      <w:r w:rsidR="004844A9">
        <w:rPr>
          <w:rFonts w:ascii="Arial" w:eastAsia="Times New Roman" w:hAnsi="Arial" w:cs="Arial"/>
          <w:iCs/>
          <w:sz w:val="20"/>
          <w:szCs w:val="20"/>
          <w:lang w:eastAsia="pl-PL"/>
        </w:rPr>
        <w:t xml:space="preserve"> w basenie Morza Czarnego</w:t>
      </w:r>
      <w:r w:rsidR="006C4667" w:rsidRPr="00744E28">
        <w:rPr>
          <w:rFonts w:ascii="Arial" w:eastAsia="Times New Roman" w:hAnsi="Arial" w:cs="Arial"/>
          <w:iCs/>
          <w:sz w:val="20"/>
          <w:szCs w:val="20"/>
          <w:lang w:eastAsia="pl-PL"/>
        </w:rPr>
        <w:t xml:space="preserve"> </w:t>
      </w:r>
      <w:r w:rsidR="006C4667">
        <w:rPr>
          <w:rFonts w:ascii="Arial" w:eastAsia="Times New Roman" w:hAnsi="Arial" w:cs="Arial"/>
          <w:iCs/>
          <w:sz w:val="20"/>
          <w:szCs w:val="20"/>
          <w:lang w:eastAsia="pl-PL"/>
        </w:rPr>
        <w:t>stanowiły f</w:t>
      </w:r>
      <w:r w:rsidR="004844A9">
        <w:rPr>
          <w:rFonts w:ascii="Arial" w:eastAsia="Times New Roman" w:hAnsi="Arial" w:cs="Arial"/>
          <w:iCs/>
          <w:sz w:val="20"/>
          <w:szCs w:val="20"/>
          <w:lang w:eastAsia="pl-PL"/>
        </w:rPr>
        <w:t>unkcjonujące już inicjatywy dotyczące</w:t>
      </w:r>
      <w:r w:rsidR="006C4667">
        <w:rPr>
          <w:rFonts w:ascii="Arial" w:eastAsia="Times New Roman" w:hAnsi="Arial" w:cs="Arial"/>
          <w:iCs/>
          <w:sz w:val="20"/>
          <w:szCs w:val="20"/>
          <w:lang w:eastAsia="pl-PL"/>
        </w:rPr>
        <w:t xml:space="preserve"> innych akwenów europejskich (Morza Bałtyckiego, Morza Śródziemnego) oraz </w:t>
      </w:r>
      <w:r w:rsidR="004844A9">
        <w:rPr>
          <w:rFonts w:ascii="Arial" w:eastAsia="Times New Roman" w:hAnsi="Arial" w:cs="Arial"/>
          <w:iCs/>
          <w:sz w:val="20"/>
          <w:szCs w:val="20"/>
          <w:lang w:eastAsia="pl-PL"/>
        </w:rPr>
        <w:t>Oceanu Atlantyckiego</w:t>
      </w:r>
      <w:r w:rsidR="006C4667">
        <w:rPr>
          <w:rFonts w:ascii="Arial" w:eastAsia="Times New Roman" w:hAnsi="Arial" w:cs="Arial"/>
          <w:iCs/>
          <w:sz w:val="20"/>
          <w:szCs w:val="20"/>
          <w:lang w:eastAsia="pl-PL"/>
        </w:rPr>
        <w:t>.</w:t>
      </w:r>
    </w:p>
    <w:p w14:paraId="3AF04DED" w14:textId="10994BD9" w:rsidR="00046BB3" w:rsidRDefault="0008387B" w:rsidP="005E59FC">
      <w:pPr>
        <w:spacing w:before="120" w:after="120" w:line="276" w:lineRule="auto"/>
        <w:jc w:val="both"/>
        <w:rPr>
          <w:rFonts w:ascii="Arial" w:eastAsia="Times New Roman" w:hAnsi="Arial" w:cs="Arial"/>
          <w:bCs/>
          <w:sz w:val="20"/>
          <w:szCs w:val="20"/>
          <w:lang w:eastAsia="pl-PL"/>
        </w:rPr>
      </w:pPr>
      <w:r w:rsidRPr="00642796">
        <w:rPr>
          <w:rFonts w:ascii="Arial" w:hAnsi="Arial" w:cs="Arial"/>
          <w:sz w:val="20"/>
          <w:szCs w:val="20"/>
        </w:rPr>
        <w:t xml:space="preserve">Grupa dokonała przeglądu dotychczasowych działań w ramach Planu Działania </w:t>
      </w:r>
      <w:r w:rsidR="00642796" w:rsidRPr="00642796">
        <w:rPr>
          <w:rFonts w:ascii="Arial" w:hAnsi="Arial" w:cs="Arial"/>
          <w:sz w:val="20"/>
          <w:szCs w:val="20"/>
        </w:rPr>
        <w:t xml:space="preserve">Europejskiej Strategii Bezpieczeństwa na Morzu </w:t>
      </w:r>
      <w:r w:rsidR="00276B67">
        <w:rPr>
          <w:rFonts w:ascii="Arial" w:hAnsi="Arial" w:cs="Arial"/>
          <w:sz w:val="20"/>
          <w:szCs w:val="20"/>
        </w:rPr>
        <w:t>w kontekście</w:t>
      </w:r>
      <w:r w:rsidRPr="00642796">
        <w:rPr>
          <w:rFonts w:ascii="Arial" w:hAnsi="Arial" w:cs="Arial"/>
          <w:sz w:val="20"/>
          <w:szCs w:val="20"/>
        </w:rPr>
        <w:t xml:space="preserve"> współpracy oraz </w:t>
      </w:r>
      <w:r w:rsidR="00642796" w:rsidRPr="00642796">
        <w:rPr>
          <w:rFonts w:ascii="Arial" w:hAnsi="Arial" w:cs="Arial"/>
          <w:sz w:val="20"/>
          <w:szCs w:val="20"/>
        </w:rPr>
        <w:t xml:space="preserve">wymiany informacji </w:t>
      </w:r>
      <w:r w:rsidRPr="00642796">
        <w:rPr>
          <w:rFonts w:ascii="Arial" w:hAnsi="Arial" w:cs="Arial"/>
          <w:sz w:val="20"/>
          <w:szCs w:val="20"/>
        </w:rPr>
        <w:t>między</w:t>
      </w:r>
      <w:r w:rsidR="00276B67">
        <w:rPr>
          <w:rFonts w:ascii="Arial" w:hAnsi="Arial" w:cs="Arial"/>
          <w:sz w:val="20"/>
          <w:szCs w:val="20"/>
        </w:rPr>
        <w:t xml:space="preserve"> unijnymi</w:t>
      </w:r>
      <w:r w:rsidRPr="00642796">
        <w:rPr>
          <w:rFonts w:ascii="Arial" w:hAnsi="Arial" w:cs="Arial"/>
          <w:sz w:val="20"/>
          <w:szCs w:val="20"/>
        </w:rPr>
        <w:t xml:space="preserve"> a</w:t>
      </w:r>
      <w:r w:rsidR="00276B67">
        <w:rPr>
          <w:rFonts w:ascii="Arial" w:hAnsi="Arial" w:cs="Arial"/>
          <w:sz w:val="20"/>
          <w:szCs w:val="20"/>
        </w:rPr>
        <w:t xml:space="preserve">gencjami (EMSA, EFCA, Frontex), w tym </w:t>
      </w:r>
      <w:r w:rsidR="00642796">
        <w:rPr>
          <w:rFonts w:ascii="Arial" w:hAnsi="Arial" w:cs="Arial"/>
          <w:sz w:val="20"/>
          <w:szCs w:val="20"/>
        </w:rPr>
        <w:t>dotyczących</w:t>
      </w:r>
      <w:r w:rsidR="00642796" w:rsidRPr="00642796">
        <w:rPr>
          <w:rFonts w:ascii="Arial" w:hAnsi="Arial" w:cs="Arial"/>
          <w:sz w:val="20"/>
          <w:szCs w:val="20"/>
        </w:rPr>
        <w:t xml:space="preserve"> implementacji ram prawnych </w:t>
      </w:r>
      <w:r w:rsidR="00642796">
        <w:rPr>
          <w:rFonts w:ascii="Arial" w:hAnsi="Arial" w:cs="Arial"/>
          <w:sz w:val="20"/>
          <w:szCs w:val="20"/>
        </w:rPr>
        <w:t>w zakresie</w:t>
      </w:r>
      <w:r w:rsidR="00642796" w:rsidRPr="00642796">
        <w:rPr>
          <w:rFonts w:ascii="Arial" w:hAnsi="Arial" w:cs="Arial"/>
          <w:sz w:val="20"/>
          <w:szCs w:val="20"/>
        </w:rPr>
        <w:t xml:space="preserve"> współpracy pomiędzy agencjami w wykonywaniu funkcji straży przybrzeżnej (w sz</w:t>
      </w:r>
      <w:r w:rsidR="00642796">
        <w:rPr>
          <w:rFonts w:ascii="Arial" w:hAnsi="Arial" w:cs="Arial"/>
          <w:sz w:val="20"/>
          <w:szCs w:val="20"/>
        </w:rPr>
        <w:t>czególności poprzez współpracę z państwami c</w:t>
      </w:r>
      <w:r w:rsidR="00642796" w:rsidRPr="00642796">
        <w:rPr>
          <w:rFonts w:ascii="Arial" w:hAnsi="Arial" w:cs="Arial"/>
          <w:sz w:val="20"/>
          <w:szCs w:val="20"/>
        </w:rPr>
        <w:t>złonkow</w:t>
      </w:r>
      <w:r w:rsidR="00642796">
        <w:rPr>
          <w:rFonts w:ascii="Arial" w:hAnsi="Arial" w:cs="Arial"/>
          <w:sz w:val="20"/>
          <w:szCs w:val="20"/>
        </w:rPr>
        <w:t xml:space="preserve">skimi oraz innymi agencjami UE). </w:t>
      </w:r>
      <w:r w:rsidRPr="00642796">
        <w:rPr>
          <w:rFonts w:ascii="Arial" w:hAnsi="Arial" w:cs="Arial"/>
          <w:sz w:val="20"/>
          <w:szCs w:val="20"/>
        </w:rPr>
        <w:t xml:space="preserve">Przedstawiono </w:t>
      </w:r>
      <w:r w:rsidR="00642796" w:rsidRPr="00642796">
        <w:rPr>
          <w:rFonts w:ascii="Arial" w:hAnsi="Arial" w:cs="Arial"/>
          <w:sz w:val="20"/>
          <w:szCs w:val="20"/>
        </w:rPr>
        <w:t xml:space="preserve">również </w:t>
      </w:r>
      <w:r w:rsidR="00642796">
        <w:rPr>
          <w:rFonts w:ascii="Arial" w:hAnsi="Arial" w:cs="Arial"/>
          <w:sz w:val="20"/>
          <w:szCs w:val="20"/>
        </w:rPr>
        <w:t>priorytety Frontex</w:t>
      </w:r>
      <w:r w:rsidRPr="00642796">
        <w:rPr>
          <w:rFonts w:ascii="Arial" w:hAnsi="Arial" w:cs="Arial"/>
          <w:sz w:val="20"/>
          <w:szCs w:val="20"/>
        </w:rPr>
        <w:t xml:space="preserve"> i EMSA dla realizacji wskazanych działa</w:t>
      </w:r>
      <w:r w:rsidR="00642796" w:rsidRPr="00642796">
        <w:rPr>
          <w:rFonts w:ascii="Arial" w:hAnsi="Arial" w:cs="Arial"/>
          <w:sz w:val="20"/>
          <w:szCs w:val="20"/>
        </w:rPr>
        <w:t>ń horyzontalnych na rok 2020, w tym m.in.</w:t>
      </w:r>
      <w:r w:rsidRPr="00642796">
        <w:rPr>
          <w:rFonts w:ascii="Arial" w:hAnsi="Arial" w:cs="Arial"/>
          <w:sz w:val="20"/>
          <w:szCs w:val="20"/>
        </w:rPr>
        <w:t xml:space="preserve"> promocję współpracy z władzami państw UE </w:t>
      </w:r>
      <w:r w:rsidR="00642796" w:rsidRPr="00642796">
        <w:rPr>
          <w:rFonts w:ascii="Arial" w:hAnsi="Arial" w:cs="Arial"/>
          <w:sz w:val="20"/>
          <w:szCs w:val="20"/>
        </w:rPr>
        <w:t>w celu</w:t>
      </w:r>
      <w:r w:rsidRPr="00642796">
        <w:rPr>
          <w:rFonts w:ascii="Arial" w:hAnsi="Arial" w:cs="Arial"/>
          <w:sz w:val="20"/>
          <w:szCs w:val="20"/>
        </w:rPr>
        <w:t xml:space="preserve"> stwor</w:t>
      </w:r>
      <w:r w:rsidR="00642796">
        <w:rPr>
          <w:rFonts w:ascii="Arial" w:hAnsi="Arial" w:cs="Arial"/>
          <w:sz w:val="20"/>
          <w:szCs w:val="20"/>
        </w:rPr>
        <w:t xml:space="preserve">zenia </w:t>
      </w:r>
      <w:r w:rsidR="00977CE4">
        <w:rPr>
          <w:rFonts w:ascii="Arial" w:hAnsi="Arial" w:cs="Arial"/>
          <w:sz w:val="20"/>
          <w:szCs w:val="20"/>
        </w:rPr>
        <w:t xml:space="preserve">efektywnych </w:t>
      </w:r>
      <w:r w:rsidR="00642796">
        <w:rPr>
          <w:rFonts w:ascii="Arial" w:hAnsi="Arial" w:cs="Arial"/>
          <w:sz w:val="20"/>
          <w:szCs w:val="20"/>
        </w:rPr>
        <w:t xml:space="preserve">mechanizmów komunikacji. </w:t>
      </w:r>
      <w:r w:rsidR="006C4667" w:rsidRPr="006C4667">
        <w:rPr>
          <w:rFonts w:ascii="Arial" w:eastAsia="Times New Roman" w:hAnsi="Arial" w:cs="Arial"/>
          <w:bCs/>
          <w:sz w:val="20"/>
          <w:szCs w:val="20"/>
          <w:lang w:eastAsia="pl-PL"/>
        </w:rPr>
        <w:t xml:space="preserve">Jako przykład tego typu działań wskazano dotychczas </w:t>
      </w:r>
      <w:r w:rsidR="00977CE4">
        <w:rPr>
          <w:rFonts w:ascii="Arial" w:eastAsia="Times New Roman" w:hAnsi="Arial" w:cs="Arial"/>
          <w:bCs/>
          <w:sz w:val="20"/>
          <w:szCs w:val="20"/>
          <w:lang w:eastAsia="pl-PL"/>
        </w:rPr>
        <w:t>przeprowadzo</w:t>
      </w:r>
      <w:r w:rsidR="006C4667" w:rsidRPr="006C4667">
        <w:rPr>
          <w:rFonts w:ascii="Arial" w:eastAsia="Times New Roman" w:hAnsi="Arial" w:cs="Arial"/>
          <w:bCs/>
          <w:sz w:val="20"/>
          <w:szCs w:val="20"/>
          <w:lang w:eastAsia="pl-PL"/>
        </w:rPr>
        <w:t>ne wielofunkcyjne operacje morskie (</w:t>
      </w:r>
      <w:r w:rsidR="006C4667" w:rsidRPr="00D035E6">
        <w:rPr>
          <w:rFonts w:ascii="Arial" w:eastAsia="Times New Roman" w:hAnsi="Arial" w:cs="Arial"/>
          <w:bCs/>
          <w:sz w:val="20"/>
          <w:szCs w:val="20"/>
          <w:lang w:eastAsia="pl-PL"/>
        </w:rPr>
        <w:t>multipurpose maritime operations</w:t>
      </w:r>
      <w:r w:rsidR="00D035E6">
        <w:rPr>
          <w:rFonts w:ascii="Arial" w:eastAsia="Times New Roman" w:hAnsi="Arial" w:cs="Arial"/>
          <w:bCs/>
          <w:sz w:val="20"/>
          <w:szCs w:val="20"/>
          <w:lang w:eastAsia="pl-PL"/>
        </w:rPr>
        <w:t>).</w:t>
      </w:r>
    </w:p>
    <w:p w14:paraId="41D50182" w14:textId="632ED74E" w:rsidR="00302115" w:rsidRDefault="00302115" w:rsidP="005E59FC">
      <w:pPr>
        <w:spacing w:before="120" w:after="120" w:line="276" w:lineRule="auto"/>
        <w:jc w:val="both"/>
        <w:rPr>
          <w:rFonts w:ascii="Arial" w:eastAsia="Times New Roman" w:hAnsi="Arial" w:cs="Arial"/>
          <w:bCs/>
          <w:sz w:val="20"/>
          <w:szCs w:val="20"/>
          <w:lang w:eastAsia="pl-PL"/>
        </w:rPr>
      </w:pPr>
      <w:r w:rsidRPr="00302115">
        <w:rPr>
          <w:rFonts w:ascii="Arial" w:eastAsia="Calibri" w:hAnsi="Arial" w:cs="Arial"/>
          <w:sz w:val="20"/>
        </w:rPr>
        <w:t xml:space="preserve">Ponadto KE, ESDZ, EDA przekazały informacje na temat najważniejszych działań swoich instytucji prowadzonych w celu wdrożenia Planu Działania </w:t>
      </w:r>
      <w:r w:rsidR="005B216B" w:rsidRPr="00642796">
        <w:rPr>
          <w:rFonts w:ascii="Arial" w:hAnsi="Arial" w:cs="Arial"/>
          <w:sz w:val="20"/>
          <w:szCs w:val="20"/>
        </w:rPr>
        <w:t>Europejskiej Strategii Bezpieczeństwa na Morzu</w:t>
      </w:r>
      <w:r w:rsidRPr="00302115">
        <w:rPr>
          <w:rFonts w:ascii="Arial" w:eastAsia="Calibri" w:hAnsi="Arial" w:cs="Arial"/>
          <w:sz w:val="20"/>
        </w:rPr>
        <w:t xml:space="preserve"> </w:t>
      </w:r>
      <w:r w:rsidR="005B216B">
        <w:rPr>
          <w:rFonts w:ascii="Arial" w:eastAsia="Calibri" w:hAnsi="Arial" w:cs="Arial"/>
          <w:sz w:val="20"/>
        </w:rPr>
        <w:br/>
      </w:r>
      <w:r w:rsidRPr="00302115">
        <w:rPr>
          <w:rFonts w:ascii="Arial" w:eastAsia="Calibri" w:hAnsi="Arial" w:cs="Arial"/>
          <w:sz w:val="20"/>
        </w:rPr>
        <w:lastRenderedPageBreak/>
        <w:t xml:space="preserve">(m.in. CISE, MARSUR, współpraca z NATO, współpraca z państwami Azji, </w:t>
      </w:r>
      <w:r>
        <w:rPr>
          <w:rFonts w:ascii="Arial" w:eastAsia="Calibri" w:hAnsi="Arial" w:cs="Arial"/>
          <w:sz w:val="20"/>
        </w:rPr>
        <w:t>seminariu</w:t>
      </w:r>
      <w:r w:rsidRPr="00302115">
        <w:rPr>
          <w:rFonts w:ascii="Arial" w:eastAsia="Calibri" w:hAnsi="Arial" w:cs="Arial"/>
          <w:sz w:val="20"/>
        </w:rPr>
        <w:t xml:space="preserve">m w sprawie niewybuchów </w:t>
      </w:r>
      <w:r w:rsidRPr="00302115">
        <w:rPr>
          <w:rFonts w:ascii="Arial" w:eastAsia="Calibri" w:hAnsi="Arial" w:cs="Arial"/>
          <w:sz w:val="20"/>
          <w:szCs w:val="20"/>
        </w:rPr>
        <w:t xml:space="preserve">i innych </w:t>
      </w:r>
      <w:r>
        <w:rPr>
          <w:rFonts w:ascii="Arial" w:eastAsia="Calibri" w:hAnsi="Arial" w:cs="Arial"/>
          <w:sz w:val="20"/>
          <w:szCs w:val="20"/>
        </w:rPr>
        <w:t>niebezpiecznych materiałów</w:t>
      </w:r>
      <w:r w:rsidRPr="00302115">
        <w:rPr>
          <w:rFonts w:ascii="Arial" w:eastAsia="Calibri" w:hAnsi="Arial" w:cs="Arial"/>
          <w:sz w:val="20"/>
          <w:szCs w:val="20"/>
        </w:rPr>
        <w:t xml:space="preserve"> wojskowych porzuconych </w:t>
      </w:r>
      <w:r w:rsidRPr="00302115">
        <w:rPr>
          <w:rFonts w:ascii="Arial" w:eastAsia="Calibri" w:hAnsi="Arial" w:cs="Arial"/>
          <w:sz w:val="20"/>
        </w:rPr>
        <w:t>na dnie morza</w:t>
      </w:r>
      <w:r>
        <w:rPr>
          <w:rFonts w:ascii="Arial" w:eastAsia="Calibri" w:hAnsi="Arial" w:cs="Arial"/>
          <w:sz w:val="20"/>
        </w:rPr>
        <w:t>)</w:t>
      </w:r>
      <w:r w:rsidRPr="00302115">
        <w:rPr>
          <w:rFonts w:ascii="Arial" w:eastAsia="Calibri" w:hAnsi="Arial" w:cs="Arial"/>
          <w:sz w:val="20"/>
        </w:rPr>
        <w:t>.</w:t>
      </w:r>
      <w:r w:rsidRPr="00302115">
        <w:rPr>
          <w:rFonts w:ascii="Arial" w:eastAsia="Calibri" w:hAnsi="Arial" w:cs="Arial"/>
          <w:bCs/>
          <w:sz w:val="20"/>
          <w:szCs w:val="20"/>
        </w:rPr>
        <w:t xml:space="preserve"> </w:t>
      </w:r>
      <w:r w:rsidR="00667A2E">
        <w:rPr>
          <w:rFonts w:ascii="Arial" w:eastAsia="Calibri" w:hAnsi="Arial" w:cs="Arial"/>
          <w:bCs/>
          <w:sz w:val="20"/>
          <w:szCs w:val="20"/>
        </w:rPr>
        <w:br/>
      </w:r>
      <w:r w:rsidRPr="00302115">
        <w:rPr>
          <w:rFonts w:ascii="Arial" w:eastAsia="Calibri" w:hAnsi="Arial" w:cs="Arial"/>
          <w:bCs/>
          <w:sz w:val="20"/>
          <w:szCs w:val="20"/>
        </w:rPr>
        <w:t xml:space="preserve">KE poinformowała </w:t>
      </w:r>
      <w:r w:rsidR="003C548E">
        <w:rPr>
          <w:rFonts w:ascii="Arial" w:eastAsia="Calibri" w:hAnsi="Arial" w:cs="Arial"/>
          <w:bCs/>
          <w:sz w:val="20"/>
          <w:szCs w:val="20"/>
        </w:rPr>
        <w:t xml:space="preserve">też </w:t>
      </w:r>
      <w:r w:rsidRPr="00302115">
        <w:rPr>
          <w:rFonts w:ascii="Arial" w:eastAsia="Calibri" w:hAnsi="Arial" w:cs="Arial"/>
          <w:bCs/>
          <w:sz w:val="20"/>
          <w:szCs w:val="20"/>
        </w:rPr>
        <w:t xml:space="preserve">o </w:t>
      </w:r>
      <w:r w:rsidR="003C548E">
        <w:rPr>
          <w:rFonts w:ascii="Arial" w:eastAsia="Calibri" w:hAnsi="Arial" w:cs="Arial"/>
          <w:bCs/>
          <w:sz w:val="20"/>
          <w:szCs w:val="20"/>
        </w:rPr>
        <w:t xml:space="preserve">nowym </w:t>
      </w:r>
      <w:r w:rsidRPr="00302115">
        <w:rPr>
          <w:rFonts w:ascii="Arial" w:eastAsia="Calibri" w:hAnsi="Arial" w:cs="Arial"/>
          <w:bCs/>
          <w:sz w:val="20"/>
          <w:szCs w:val="20"/>
        </w:rPr>
        <w:t xml:space="preserve">narzędziu, przy pomocy którego zamierza monitorować postępy we wdrażaniu Planu Działania </w:t>
      </w:r>
      <w:r w:rsidR="005B216B" w:rsidRPr="00642796">
        <w:rPr>
          <w:rFonts w:ascii="Arial" w:hAnsi="Arial" w:cs="Arial"/>
          <w:sz w:val="20"/>
          <w:szCs w:val="20"/>
        </w:rPr>
        <w:t>Europejskiej Strategii Bezpieczeństwa na Morzu</w:t>
      </w:r>
      <w:r w:rsidRPr="00302115">
        <w:rPr>
          <w:rFonts w:ascii="Arial" w:eastAsia="Calibri" w:hAnsi="Arial" w:cs="Arial"/>
          <w:bCs/>
          <w:sz w:val="20"/>
          <w:szCs w:val="20"/>
        </w:rPr>
        <w:t xml:space="preserve"> w państwach członkowskich</w:t>
      </w:r>
      <w:r w:rsidR="00010652">
        <w:rPr>
          <w:rFonts w:ascii="Arial" w:eastAsia="Calibri" w:hAnsi="Arial" w:cs="Arial"/>
          <w:bCs/>
          <w:sz w:val="20"/>
          <w:szCs w:val="20"/>
        </w:rPr>
        <w:t>, którego</w:t>
      </w:r>
      <w:r>
        <w:rPr>
          <w:rFonts w:ascii="Arial" w:eastAsia="Calibri" w:hAnsi="Arial" w:cs="Arial"/>
          <w:bCs/>
          <w:sz w:val="20"/>
          <w:szCs w:val="20"/>
        </w:rPr>
        <w:t xml:space="preserve"> </w:t>
      </w:r>
      <w:r w:rsidR="00010652">
        <w:rPr>
          <w:rFonts w:ascii="Arial" w:eastAsia="Calibri" w:hAnsi="Arial" w:cs="Arial"/>
          <w:bCs/>
          <w:sz w:val="20"/>
          <w:szCs w:val="20"/>
        </w:rPr>
        <w:t>s</w:t>
      </w:r>
      <w:r w:rsidRPr="00302115">
        <w:rPr>
          <w:rFonts w:ascii="Arial" w:eastAsia="Calibri" w:hAnsi="Arial" w:cs="Arial"/>
          <w:bCs/>
          <w:sz w:val="20"/>
          <w:szCs w:val="20"/>
        </w:rPr>
        <w:t>truktura jest zgodna z Planem Działania EUMSS.</w:t>
      </w:r>
    </w:p>
    <w:p w14:paraId="56AC158A" w14:textId="22575554" w:rsidR="00BA4612" w:rsidRPr="00F92E1E" w:rsidRDefault="00ED3530" w:rsidP="005E59FC">
      <w:pPr>
        <w:spacing w:before="120" w:after="120" w:line="276"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Przedstawiono również informacje dotyczące aktywności</w:t>
      </w:r>
      <w:r w:rsidRPr="00ED3530">
        <w:rPr>
          <w:rFonts w:ascii="Arial" w:eastAsia="Times New Roman" w:hAnsi="Arial" w:cs="Arial"/>
          <w:bCs/>
          <w:sz w:val="20"/>
          <w:szCs w:val="20"/>
          <w:lang w:eastAsia="pl-PL"/>
        </w:rPr>
        <w:t xml:space="preserve"> Europejskie</w:t>
      </w:r>
      <w:r>
        <w:rPr>
          <w:rFonts w:ascii="Arial" w:eastAsia="Times New Roman" w:hAnsi="Arial" w:cs="Arial"/>
          <w:bCs/>
          <w:sz w:val="20"/>
          <w:szCs w:val="20"/>
          <w:lang w:eastAsia="pl-PL"/>
        </w:rPr>
        <w:t>go</w:t>
      </w:r>
      <w:r w:rsidRPr="00ED3530">
        <w:rPr>
          <w:rFonts w:ascii="Arial" w:eastAsia="Times New Roman" w:hAnsi="Arial" w:cs="Arial"/>
          <w:bCs/>
          <w:sz w:val="20"/>
          <w:szCs w:val="20"/>
          <w:lang w:eastAsia="pl-PL"/>
        </w:rPr>
        <w:t xml:space="preserve"> Forum Straży Przybrzeżnej (ECGFF)</w:t>
      </w:r>
      <w:r>
        <w:rPr>
          <w:rFonts w:ascii="Arial" w:eastAsia="Times New Roman" w:hAnsi="Arial" w:cs="Arial"/>
          <w:bCs/>
          <w:sz w:val="20"/>
          <w:szCs w:val="20"/>
          <w:lang w:eastAsia="pl-PL"/>
        </w:rPr>
        <w:t xml:space="preserve"> w latach 2019 </w:t>
      </w:r>
      <w:r w:rsidR="00276B67">
        <w:rPr>
          <w:rFonts w:ascii="Arial" w:eastAsia="Times New Roman" w:hAnsi="Arial" w:cs="Arial"/>
          <w:bCs/>
          <w:sz w:val="20"/>
          <w:szCs w:val="20"/>
          <w:lang w:eastAsia="pl-PL"/>
        </w:rPr>
        <w:t>-</w:t>
      </w:r>
      <w:r>
        <w:rPr>
          <w:rFonts w:ascii="Arial" w:eastAsia="Times New Roman" w:hAnsi="Arial" w:cs="Arial"/>
          <w:bCs/>
          <w:sz w:val="20"/>
          <w:szCs w:val="20"/>
          <w:lang w:eastAsia="pl-PL"/>
        </w:rPr>
        <w:t xml:space="preserve"> 2020, które </w:t>
      </w:r>
      <w:r w:rsidR="00276B67">
        <w:rPr>
          <w:rFonts w:ascii="Arial" w:eastAsia="Times New Roman" w:hAnsi="Arial" w:cs="Arial"/>
          <w:bCs/>
          <w:sz w:val="20"/>
          <w:szCs w:val="20"/>
          <w:lang w:eastAsia="pl-PL"/>
        </w:rPr>
        <w:t>o</w:t>
      </w:r>
      <w:r w:rsidRPr="00ED3530">
        <w:rPr>
          <w:rFonts w:ascii="Arial" w:eastAsia="Times New Roman" w:hAnsi="Arial" w:cs="Arial"/>
          <w:bCs/>
          <w:sz w:val="20"/>
          <w:szCs w:val="20"/>
          <w:lang w:eastAsia="pl-PL"/>
        </w:rPr>
        <w:t xml:space="preserve">becnie skupia ponad 30 krajowych organów straży przybrzeżnej z krajów UE oraz stowarzyszonych krajów Schengen </w:t>
      </w:r>
      <w:r w:rsidR="00F92E1E">
        <w:rPr>
          <w:rFonts w:ascii="Arial" w:eastAsia="Times New Roman" w:hAnsi="Arial" w:cs="Arial"/>
          <w:bCs/>
          <w:sz w:val="20"/>
          <w:szCs w:val="20"/>
          <w:lang w:eastAsia="pl-PL"/>
        </w:rPr>
        <w:t xml:space="preserve">zajmując się </w:t>
      </w:r>
      <w:r w:rsidRPr="00ED3530">
        <w:rPr>
          <w:rFonts w:ascii="Arial" w:eastAsia="Times New Roman" w:hAnsi="Arial" w:cs="Arial"/>
          <w:bCs/>
          <w:sz w:val="20"/>
          <w:szCs w:val="20"/>
          <w:lang w:eastAsia="pl-PL"/>
        </w:rPr>
        <w:t xml:space="preserve">kwestiami współpracy </w:t>
      </w:r>
      <w:r w:rsidR="00276B67">
        <w:rPr>
          <w:rFonts w:ascii="Arial" w:eastAsia="Times New Roman" w:hAnsi="Arial" w:cs="Arial"/>
          <w:bCs/>
          <w:sz w:val="20"/>
          <w:szCs w:val="20"/>
          <w:lang w:eastAsia="pl-PL"/>
        </w:rPr>
        <w:t>w ramach działań międzyagencyjnych</w:t>
      </w:r>
      <w:r w:rsidRPr="00ED3530">
        <w:rPr>
          <w:rFonts w:ascii="Arial" w:eastAsia="Times New Roman" w:hAnsi="Arial" w:cs="Arial"/>
          <w:bCs/>
          <w:sz w:val="20"/>
          <w:szCs w:val="20"/>
          <w:lang w:eastAsia="pl-PL"/>
        </w:rPr>
        <w:t xml:space="preserve">, </w:t>
      </w:r>
      <w:r w:rsidR="00276B67">
        <w:rPr>
          <w:rFonts w:ascii="Arial" w:eastAsia="Times New Roman" w:hAnsi="Arial" w:cs="Arial"/>
          <w:bCs/>
          <w:sz w:val="20"/>
          <w:szCs w:val="20"/>
          <w:lang w:eastAsia="pl-PL"/>
        </w:rPr>
        <w:t xml:space="preserve">czy </w:t>
      </w:r>
      <w:r w:rsidR="00F92E1E">
        <w:rPr>
          <w:rFonts w:ascii="Arial" w:eastAsia="Times New Roman" w:hAnsi="Arial" w:cs="Arial"/>
          <w:bCs/>
          <w:sz w:val="20"/>
          <w:szCs w:val="20"/>
          <w:lang w:eastAsia="pl-PL"/>
        </w:rPr>
        <w:t xml:space="preserve">morskich </w:t>
      </w:r>
      <w:r w:rsidR="00276B67">
        <w:rPr>
          <w:rFonts w:ascii="Arial" w:eastAsia="Times New Roman" w:hAnsi="Arial" w:cs="Arial"/>
          <w:bCs/>
          <w:sz w:val="20"/>
          <w:szCs w:val="20"/>
          <w:lang w:eastAsia="pl-PL"/>
        </w:rPr>
        <w:t xml:space="preserve">operacji międzynarodowych. </w:t>
      </w:r>
      <w:r w:rsidRPr="00ED3530">
        <w:rPr>
          <w:rFonts w:ascii="Arial" w:eastAsia="Times New Roman" w:hAnsi="Arial" w:cs="Arial"/>
          <w:bCs/>
          <w:sz w:val="20"/>
          <w:szCs w:val="20"/>
          <w:lang w:eastAsia="pl-PL"/>
        </w:rPr>
        <w:t xml:space="preserve">Podczas </w:t>
      </w:r>
      <w:r>
        <w:rPr>
          <w:rFonts w:ascii="Arial" w:eastAsia="Times New Roman" w:hAnsi="Arial" w:cs="Arial"/>
          <w:bCs/>
          <w:sz w:val="20"/>
          <w:szCs w:val="20"/>
          <w:lang w:eastAsia="pl-PL"/>
        </w:rPr>
        <w:t>spotkania</w:t>
      </w:r>
      <w:r w:rsidRPr="00ED3530">
        <w:rPr>
          <w:rFonts w:ascii="Arial" w:eastAsia="Times New Roman" w:hAnsi="Arial" w:cs="Arial"/>
          <w:bCs/>
          <w:sz w:val="20"/>
          <w:szCs w:val="20"/>
          <w:lang w:eastAsia="pl-PL"/>
        </w:rPr>
        <w:t xml:space="preserve"> </w:t>
      </w:r>
      <w:r w:rsidR="00133922">
        <w:rPr>
          <w:rFonts w:ascii="Arial" w:eastAsia="Times New Roman" w:hAnsi="Arial" w:cs="Arial"/>
          <w:bCs/>
          <w:sz w:val="20"/>
          <w:szCs w:val="20"/>
          <w:lang w:eastAsia="pl-PL"/>
        </w:rPr>
        <w:t>omawiano współpracę</w:t>
      </w:r>
      <w:r w:rsidRPr="00ED3530">
        <w:rPr>
          <w:rFonts w:ascii="Arial" w:eastAsia="Times New Roman" w:hAnsi="Arial" w:cs="Arial"/>
          <w:bCs/>
          <w:sz w:val="20"/>
          <w:szCs w:val="20"/>
          <w:lang w:eastAsia="pl-PL"/>
        </w:rPr>
        <w:t xml:space="preserve"> między organami pełniącymi funkcje straży przybrzeżnej, która prowadzi do zwiększenia ogólnego poziomu bezpieczeństwa na morzu. </w:t>
      </w:r>
      <w:r>
        <w:rPr>
          <w:rFonts w:ascii="Arial" w:eastAsia="Times New Roman" w:hAnsi="Arial" w:cs="Arial"/>
          <w:bCs/>
          <w:sz w:val="20"/>
          <w:szCs w:val="20"/>
          <w:lang w:eastAsia="pl-PL"/>
        </w:rPr>
        <w:t>ECGFF</w:t>
      </w:r>
      <w:r w:rsidRPr="00ED3530">
        <w:rPr>
          <w:rFonts w:ascii="Arial" w:eastAsia="Times New Roman" w:hAnsi="Arial" w:cs="Arial"/>
          <w:bCs/>
          <w:sz w:val="20"/>
          <w:szCs w:val="20"/>
          <w:lang w:eastAsia="pl-PL"/>
        </w:rPr>
        <w:t xml:space="preserve"> gromadząc zarówno cywilne, jak i wojskowe organy straży przybrzeżnej z całej Europy przyczynia się bezpośrednio do realizacji </w:t>
      </w:r>
      <w:r>
        <w:rPr>
          <w:rFonts w:ascii="Arial" w:eastAsia="Times New Roman" w:hAnsi="Arial" w:cs="Arial"/>
          <w:bCs/>
          <w:sz w:val="20"/>
          <w:szCs w:val="20"/>
          <w:lang w:eastAsia="pl-PL"/>
        </w:rPr>
        <w:t>Planu D</w:t>
      </w:r>
      <w:r w:rsidRPr="00ED3530">
        <w:rPr>
          <w:rFonts w:ascii="Arial" w:eastAsia="Times New Roman" w:hAnsi="Arial" w:cs="Arial"/>
          <w:bCs/>
          <w:sz w:val="20"/>
          <w:szCs w:val="20"/>
          <w:lang w:eastAsia="pl-PL"/>
        </w:rPr>
        <w:t xml:space="preserve">ziałania Europejskiej Strategii Bezpieczeństwa na Morzu. </w:t>
      </w:r>
    </w:p>
    <w:p w14:paraId="382E34EE" w14:textId="77777777" w:rsidR="00B6687A" w:rsidRDefault="00B6687A" w:rsidP="003C6ECA">
      <w:pPr>
        <w:pStyle w:val="Akapitzlist"/>
        <w:numPr>
          <w:ilvl w:val="0"/>
          <w:numId w:val="27"/>
        </w:numPr>
        <w:spacing w:before="120" w:after="120" w:line="276" w:lineRule="auto"/>
        <w:jc w:val="both"/>
        <w:rPr>
          <w:rFonts w:ascii="Arial" w:hAnsi="Arial" w:cs="Arial"/>
          <w:b/>
          <w:sz w:val="20"/>
          <w:szCs w:val="20"/>
        </w:rPr>
      </w:pPr>
      <w:r w:rsidRPr="004C6CC5">
        <w:rPr>
          <w:rFonts w:ascii="Arial" w:hAnsi="Arial" w:cs="Arial"/>
          <w:b/>
          <w:sz w:val="20"/>
          <w:szCs w:val="20"/>
        </w:rPr>
        <w:t>Grupa robocza Rady UE ds. żeglugi morskiej.</w:t>
      </w:r>
    </w:p>
    <w:p w14:paraId="1DC7D1CC" w14:textId="6279A5F4" w:rsidR="00451818" w:rsidRDefault="00B056FD" w:rsidP="0063567D">
      <w:pPr>
        <w:autoSpaceDE w:val="0"/>
        <w:autoSpaceDN w:val="0"/>
        <w:adjustRightInd w:val="0"/>
        <w:spacing w:before="120" w:after="120" w:line="276" w:lineRule="auto"/>
        <w:contextualSpacing/>
        <w:jc w:val="both"/>
        <w:rPr>
          <w:rFonts w:ascii="Arial" w:eastAsia="HiddenHorzOCR" w:hAnsi="Arial" w:cs="Arial"/>
          <w:sz w:val="20"/>
          <w:szCs w:val="20"/>
        </w:rPr>
      </w:pPr>
      <w:r>
        <w:rPr>
          <w:rFonts w:ascii="Arial" w:eastAsia="HiddenHorzOCR" w:hAnsi="Arial" w:cs="Arial"/>
          <w:sz w:val="20"/>
          <w:szCs w:val="20"/>
        </w:rPr>
        <w:t>W 2019 r. w ramach G</w:t>
      </w:r>
      <w:r w:rsidR="00451818" w:rsidRPr="00451818">
        <w:rPr>
          <w:rFonts w:ascii="Arial" w:eastAsia="HiddenHorzOCR" w:hAnsi="Arial" w:cs="Arial"/>
          <w:sz w:val="20"/>
          <w:szCs w:val="20"/>
        </w:rPr>
        <w:t xml:space="preserve">rupy roboczej Rady UE ds. żeglugi morskiej w obszarze transportu morskiego prowadzone były m.in. prace dotyczące wypracowania </w:t>
      </w:r>
      <w:r w:rsidR="00E1747F" w:rsidRPr="00451818">
        <w:rPr>
          <w:rFonts w:ascii="Arial" w:eastAsia="HiddenHorzOCR" w:hAnsi="Arial" w:cs="Arial"/>
          <w:sz w:val="20"/>
          <w:szCs w:val="20"/>
        </w:rPr>
        <w:t xml:space="preserve">skoordynowanych </w:t>
      </w:r>
      <w:r w:rsidR="00451818" w:rsidRPr="00451818">
        <w:rPr>
          <w:rFonts w:ascii="Arial" w:eastAsia="HiddenHorzOCR" w:hAnsi="Arial" w:cs="Arial"/>
          <w:sz w:val="20"/>
          <w:szCs w:val="20"/>
        </w:rPr>
        <w:t xml:space="preserve">stanowisk UE </w:t>
      </w:r>
      <w:r w:rsidR="00E1747F">
        <w:rPr>
          <w:rFonts w:ascii="Arial" w:eastAsia="HiddenHorzOCR" w:hAnsi="Arial" w:cs="Arial"/>
          <w:sz w:val="20"/>
          <w:szCs w:val="20"/>
        </w:rPr>
        <w:t>oraz</w:t>
      </w:r>
      <w:r w:rsidR="00451818" w:rsidRPr="00451818">
        <w:rPr>
          <w:rFonts w:ascii="Arial" w:eastAsia="HiddenHorzOCR" w:hAnsi="Arial" w:cs="Arial"/>
          <w:sz w:val="20"/>
          <w:szCs w:val="20"/>
        </w:rPr>
        <w:t xml:space="preserve"> dokumentów na posiedzenia Komitetu Ochrony Środowiska Morskiego (MEPC), Grupy Roboczej </w:t>
      </w:r>
      <w:r w:rsidR="000729FA">
        <w:rPr>
          <w:rFonts w:ascii="Arial" w:eastAsia="HiddenHorzOCR" w:hAnsi="Arial" w:cs="Arial"/>
          <w:sz w:val="20"/>
          <w:szCs w:val="20"/>
        </w:rPr>
        <w:br/>
      </w:r>
      <w:r w:rsidR="00451818" w:rsidRPr="00451818">
        <w:rPr>
          <w:rFonts w:ascii="Arial" w:eastAsia="HiddenHorzOCR" w:hAnsi="Arial" w:cs="Arial"/>
          <w:sz w:val="20"/>
          <w:szCs w:val="20"/>
        </w:rPr>
        <w:t xml:space="preserve">ds. Emisji Gazów Cieplarnianych z transportu morskiego (ISWG-GHG) oraz Podkomitetu </w:t>
      </w:r>
      <w:r w:rsidR="00CA66B4">
        <w:rPr>
          <w:rFonts w:ascii="Arial" w:eastAsia="HiddenHorzOCR" w:hAnsi="Arial" w:cs="Arial"/>
          <w:sz w:val="20"/>
          <w:szCs w:val="20"/>
        </w:rPr>
        <w:br/>
      </w:r>
      <w:r w:rsidR="00451818" w:rsidRPr="00451818">
        <w:rPr>
          <w:rFonts w:ascii="Arial" w:eastAsia="HiddenHorzOCR" w:hAnsi="Arial" w:cs="Arial"/>
          <w:sz w:val="20"/>
          <w:szCs w:val="20"/>
        </w:rPr>
        <w:t>ds. Zapobiegania Zanieczyszczaniu oraz Zwalczania Zanieczyszczeń Morza (PPR) Międzynarodowej Organizacji Morskiej (IMO).</w:t>
      </w:r>
    </w:p>
    <w:p w14:paraId="7E2D8655" w14:textId="77777777" w:rsidR="00451818" w:rsidRPr="00451818" w:rsidRDefault="00451818" w:rsidP="0063567D">
      <w:pPr>
        <w:autoSpaceDE w:val="0"/>
        <w:autoSpaceDN w:val="0"/>
        <w:adjustRightInd w:val="0"/>
        <w:spacing w:before="120" w:after="120" w:line="276" w:lineRule="auto"/>
        <w:contextualSpacing/>
        <w:jc w:val="both"/>
        <w:rPr>
          <w:rFonts w:ascii="Arial" w:eastAsia="HiddenHorzOCR" w:hAnsi="Arial" w:cs="Arial"/>
          <w:sz w:val="20"/>
          <w:szCs w:val="20"/>
        </w:rPr>
      </w:pPr>
    </w:p>
    <w:p w14:paraId="433BC88B" w14:textId="59523D9F" w:rsidR="006A5E37" w:rsidRPr="006A5E37" w:rsidRDefault="006A5E37" w:rsidP="00B21E90">
      <w:pPr>
        <w:spacing w:line="276" w:lineRule="auto"/>
        <w:jc w:val="both"/>
        <w:rPr>
          <w:rFonts w:ascii="Arial" w:hAnsi="Arial" w:cs="Arial"/>
          <w:sz w:val="20"/>
          <w:szCs w:val="20"/>
        </w:rPr>
      </w:pPr>
      <w:r w:rsidRPr="006A5E37">
        <w:rPr>
          <w:rFonts w:ascii="Arial" w:hAnsi="Arial" w:cs="Arial"/>
          <w:sz w:val="20"/>
          <w:szCs w:val="20"/>
        </w:rPr>
        <w:t xml:space="preserve">W 2019 r. </w:t>
      </w:r>
      <w:r w:rsidR="00922588">
        <w:rPr>
          <w:rFonts w:ascii="Arial" w:hAnsi="Arial" w:cs="Arial"/>
          <w:sz w:val="20"/>
          <w:szCs w:val="20"/>
        </w:rPr>
        <w:t xml:space="preserve">w </w:t>
      </w:r>
      <w:r w:rsidRPr="00B056FD">
        <w:rPr>
          <w:rFonts w:ascii="Arial" w:hAnsi="Arial" w:cs="Arial"/>
          <w:sz w:val="20"/>
          <w:szCs w:val="20"/>
        </w:rPr>
        <w:t xml:space="preserve">ramach </w:t>
      </w:r>
      <w:r w:rsidR="00B056FD" w:rsidRPr="00B056FD">
        <w:rPr>
          <w:rFonts w:ascii="Arial" w:hAnsi="Arial" w:cs="Arial"/>
          <w:sz w:val="20"/>
          <w:szCs w:val="20"/>
        </w:rPr>
        <w:t>prac G</w:t>
      </w:r>
      <w:r w:rsidRPr="00B056FD">
        <w:rPr>
          <w:rFonts w:ascii="Arial" w:hAnsi="Arial" w:cs="Arial"/>
          <w:sz w:val="20"/>
          <w:szCs w:val="20"/>
        </w:rPr>
        <w:t xml:space="preserve">rupy </w:t>
      </w:r>
      <w:r w:rsidRPr="006A5E37">
        <w:rPr>
          <w:rFonts w:ascii="Arial" w:hAnsi="Arial" w:cs="Arial"/>
          <w:sz w:val="20"/>
          <w:szCs w:val="20"/>
        </w:rPr>
        <w:t>prowadzone były m.in. prace nad projektem Rozporządzenia Parlamentu Europejskiego i Rady zmieniającego rozporządzenie (UE) 2015/757 w celu właściwego uwzględnienia globalnego systemu gromadzenia danych dotyczących zużycia paliwa olejowego prze</w:t>
      </w:r>
      <w:r w:rsidR="00922588">
        <w:rPr>
          <w:rFonts w:ascii="Arial" w:hAnsi="Arial" w:cs="Arial"/>
          <w:sz w:val="20"/>
          <w:szCs w:val="20"/>
        </w:rPr>
        <w:t xml:space="preserve">z statki. Procedowany w </w:t>
      </w:r>
      <w:r w:rsidR="003F24E7">
        <w:rPr>
          <w:rFonts w:ascii="Arial" w:hAnsi="Arial" w:cs="Arial"/>
          <w:sz w:val="20"/>
          <w:szCs w:val="20"/>
        </w:rPr>
        <w:t>ramach G</w:t>
      </w:r>
      <w:r w:rsidRPr="006A5E37">
        <w:rPr>
          <w:rFonts w:ascii="Arial" w:hAnsi="Arial" w:cs="Arial"/>
          <w:sz w:val="20"/>
          <w:szCs w:val="20"/>
        </w:rPr>
        <w:t>rupy roboczej wniosek Komisji Europejskiej COM(2019) 038 dotyczy monitorowania, raportowania i weryfikacji emisji dwutlenku</w:t>
      </w:r>
      <w:r w:rsidR="00922588">
        <w:rPr>
          <w:rFonts w:ascii="Arial" w:hAnsi="Arial" w:cs="Arial"/>
          <w:sz w:val="20"/>
          <w:szCs w:val="20"/>
        </w:rPr>
        <w:t xml:space="preserve"> węgla z transportu morskiego w </w:t>
      </w:r>
      <w:r w:rsidRPr="006A5E37">
        <w:rPr>
          <w:rFonts w:ascii="Arial" w:hAnsi="Arial" w:cs="Arial"/>
          <w:sz w:val="20"/>
          <w:szCs w:val="20"/>
        </w:rPr>
        <w:t>celu ograniczania wpływu sektora transportu morskiego na globalny klimat. Wniosek zawierał propozycję zmiany rozporządzenia UE 2015/757 z dnia 29 kwietnia 2015 r. w sprawie monitorowania, raportowania i weryfikacji emisji dwutlenku węgla z transportu morskiego, która ma na celu częściową harmonizacj</w:t>
      </w:r>
      <w:r w:rsidR="0005604D">
        <w:rPr>
          <w:rFonts w:ascii="Arial" w:hAnsi="Arial" w:cs="Arial"/>
          <w:sz w:val="20"/>
          <w:szCs w:val="20"/>
        </w:rPr>
        <w:t xml:space="preserve">ę wymagań tego rozporządzenia z </w:t>
      </w:r>
      <w:r w:rsidRPr="006A5E37">
        <w:rPr>
          <w:rFonts w:ascii="Arial" w:hAnsi="Arial" w:cs="Arial"/>
          <w:sz w:val="20"/>
          <w:szCs w:val="20"/>
        </w:rPr>
        <w:t>analogicznymi wymagan</w:t>
      </w:r>
      <w:r w:rsidR="0005604D">
        <w:rPr>
          <w:rFonts w:ascii="Arial" w:hAnsi="Arial" w:cs="Arial"/>
          <w:sz w:val="20"/>
          <w:szCs w:val="20"/>
        </w:rPr>
        <w:t xml:space="preserve">iami dotyczącymi monitorowania, </w:t>
      </w:r>
      <w:r w:rsidRPr="006A5E37">
        <w:rPr>
          <w:rFonts w:ascii="Arial" w:hAnsi="Arial" w:cs="Arial"/>
          <w:sz w:val="20"/>
          <w:szCs w:val="20"/>
        </w:rPr>
        <w:t>raportowania i weryfikacji, ustanowionymi w 2016 r. przez Międzynarodową Organizację Morską (IMO). Zmiana ma uprościć procedury administracyjne dla przedsiębiorstw i administracji związane z wymaganiami UE oraz IMO, jednocześnie zachowując cele rozporządzenia UE. Założeniem jest zmniejszenie obciążenia administracyjnego związanego</w:t>
      </w:r>
      <w:r w:rsidR="00E70168">
        <w:rPr>
          <w:rFonts w:ascii="Arial" w:hAnsi="Arial" w:cs="Arial"/>
          <w:sz w:val="20"/>
          <w:szCs w:val="20"/>
        </w:rPr>
        <w:t xml:space="preserve"> z </w:t>
      </w:r>
      <w:r w:rsidRPr="006A5E37">
        <w:rPr>
          <w:rFonts w:ascii="Arial" w:hAnsi="Arial" w:cs="Arial"/>
          <w:sz w:val="20"/>
          <w:szCs w:val="20"/>
        </w:rPr>
        <w:t>funkcjonowaniem dwóch odrębnych systemów monitorowania, raportowania i weryfikacji emisji dwutlenku węgla ze statków. Polska wyrażała poparcie dla wniosku Komisji COM(2019) 38 w celu zmniejszenia obciążenia administracyjnego przedsiębiorstw żeglugowych i organów krajowych stojąc jednocześnie na stanowisku, że przede wszystkim na poziomie globalnym należy kontynuować działania zmierzające do dalszej harm</w:t>
      </w:r>
      <w:r w:rsidR="00F638B7">
        <w:rPr>
          <w:rFonts w:ascii="Arial" w:hAnsi="Arial" w:cs="Arial"/>
          <w:sz w:val="20"/>
          <w:szCs w:val="20"/>
        </w:rPr>
        <w:t xml:space="preserve">onizacji wymagań wynikających z </w:t>
      </w:r>
      <w:r w:rsidRPr="006A5E37">
        <w:rPr>
          <w:rFonts w:ascii="Arial" w:hAnsi="Arial" w:cs="Arial"/>
          <w:sz w:val="20"/>
          <w:szCs w:val="20"/>
        </w:rPr>
        <w:t>dwóch systemów monitorowania, raportowania i weryfikacji, co w jeszcze większym stopniu pozwoliłoby na zmniejszenie obciążeń administracyjnych przedsiębiorstw żeglugowych i innych podmiotów zaangażowanych</w:t>
      </w:r>
      <w:r w:rsidR="00E70168">
        <w:rPr>
          <w:rFonts w:ascii="Arial" w:hAnsi="Arial" w:cs="Arial"/>
          <w:sz w:val="20"/>
          <w:szCs w:val="20"/>
        </w:rPr>
        <w:t xml:space="preserve"> w </w:t>
      </w:r>
      <w:r w:rsidRPr="006A5E37">
        <w:rPr>
          <w:rFonts w:ascii="Arial" w:hAnsi="Arial" w:cs="Arial"/>
          <w:sz w:val="20"/>
          <w:szCs w:val="20"/>
        </w:rPr>
        <w:t>proces weryfikacji emisji. Na posiedzeniu COREPER I w dniu 25 października 2019 r. przyjęto mandat do negocjacji projektu rozporządzenia z Parlamentem Europejskim.</w:t>
      </w:r>
    </w:p>
    <w:p w14:paraId="2F85FD94" w14:textId="77777777" w:rsidR="009C4D95" w:rsidRPr="00B21E90" w:rsidRDefault="00B6687A" w:rsidP="00EF66DE">
      <w:pPr>
        <w:pStyle w:val="Akapitzlist"/>
        <w:numPr>
          <w:ilvl w:val="0"/>
          <w:numId w:val="27"/>
        </w:numPr>
        <w:spacing w:after="120" w:line="276" w:lineRule="auto"/>
        <w:jc w:val="both"/>
        <w:rPr>
          <w:rFonts w:ascii="Arial" w:hAnsi="Arial" w:cs="Arial"/>
          <w:b/>
          <w:sz w:val="20"/>
          <w:szCs w:val="20"/>
        </w:rPr>
      </w:pPr>
      <w:r w:rsidRPr="00B21E90">
        <w:rPr>
          <w:rFonts w:ascii="Arial" w:hAnsi="Arial" w:cs="Arial"/>
          <w:b/>
          <w:sz w:val="20"/>
          <w:szCs w:val="20"/>
        </w:rPr>
        <w:t>Grupa robocza UE do spraw prawa morza (COMAR).</w:t>
      </w:r>
    </w:p>
    <w:p w14:paraId="1AC091F8" w14:textId="3DD4EF4B" w:rsidR="00DA7FED" w:rsidRPr="004C6CC5" w:rsidRDefault="009C4D95" w:rsidP="00B21E90">
      <w:pPr>
        <w:spacing w:line="276" w:lineRule="auto"/>
        <w:jc w:val="both"/>
        <w:rPr>
          <w:rFonts w:ascii="Arial" w:eastAsia="HiddenHorzOCR" w:hAnsi="Arial" w:cs="Arial"/>
          <w:sz w:val="20"/>
          <w:szCs w:val="20"/>
        </w:rPr>
      </w:pPr>
      <w:r w:rsidRPr="00B21E90">
        <w:rPr>
          <w:rFonts w:ascii="Arial" w:hAnsi="Arial" w:cs="Arial"/>
          <w:sz w:val="20"/>
          <w:szCs w:val="20"/>
        </w:rPr>
        <w:t>Przedstawiciele Polski regularnie uczestniczą</w:t>
      </w:r>
      <w:r w:rsidR="004C6CC5" w:rsidRPr="00B21E90">
        <w:rPr>
          <w:rFonts w:ascii="Arial" w:hAnsi="Arial" w:cs="Arial"/>
          <w:sz w:val="20"/>
          <w:szCs w:val="20"/>
        </w:rPr>
        <w:t xml:space="preserve"> w </w:t>
      </w:r>
      <w:r w:rsidRPr="00B21E90">
        <w:rPr>
          <w:rFonts w:ascii="Arial" w:hAnsi="Arial" w:cs="Arial"/>
          <w:sz w:val="20"/>
          <w:szCs w:val="20"/>
        </w:rPr>
        <w:t>pracach Grupy roboczej Rady ds. prawa morza (COMAR). Podczas spotkań Grupy omawiane są różnorodne</w:t>
      </w:r>
      <w:r w:rsidRPr="000F468A">
        <w:rPr>
          <w:rFonts w:ascii="Arial" w:eastAsia="HiddenHorzOCR" w:hAnsi="Arial" w:cs="Arial"/>
          <w:sz w:val="20"/>
          <w:szCs w:val="20"/>
        </w:rPr>
        <w:t xml:space="preserve"> zagadnienia dotyczące problematyki międzynarodowego prawa morza,</w:t>
      </w:r>
      <w:r w:rsidR="004C6CC5">
        <w:rPr>
          <w:rFonts w:ascii="Arial" w:eastAsia="HiddenHorzOCR" w:hAnsi="Arial" w:cs="Arial"/>
          <w:sz w:val="20"/>
          <w:szCs w:val="20"/>
        </w:rPr>
        <w:t xml:space="preserve"> w </w:t>
      </w:r>
      <w:r w:rsidRPr="000F468A">
        <w:rPr>
          <w:rFonts w:ascii="Arial" w:eastAsia="HiddenHorzOCR" w:hAnsi="Arial" w:cs="Arial"/>
          <w:sz w:val="20"/>
          <w:szCs w:val="20"/>
        </w:rPr>
        <w:t>szczególności wypracowywane jest stanowisko państw UE, które następnie prezentowane jest na forum Zgromadzenia Ogólnego ONZ.</w:t>
      </w:r>
      <w:r w:rsidR="00F10C93">
        <w:rPr>
          <w:rFonts w:ascii="Arial" w:eastAsia="HiddenHorzOCR" w:hAnsi="Arial" w:cs="Arial"/>
          <w:sz w:val="20"/>
          <w:szCs w:val="20"/>
        </w:rPr>
        <w:t xml:space="preserve"> W</w:t>
      </w:r>
      <w:r w:rsidR="004C6CC5">
        <w:rPr>
          <w:rFonts w:ascii="Arial" w:eastAsia="HiddenHorzOCR" w:hAnsi="Arial" w:cs="Arial"/>
          <w:sz w:val="20"/>
          <w:szCs w:val="20"/>
        </w:rPr>
        <w:t> </w:t>
      </w:r>
      <w:r w:rsidRPr="000F468A">
        <w:rPr>
          <w:rFonts w:ascii="Arial" w:eastAsia="HiddenHorzOCR" w:hAnsi="Arial" w:cs="Arial"/>
          <w:sz w:val="20"/>
          <w:szCs w:val="20"/>
        </w:rPr>
        <w:t>2019 r. lwia część prac COMAR związana była</w:t>
      </w:r>
      <w:r w:rsidR="004C6CC5">
        <w:rPr>
          <w:rFonts w:ascii="Arial" w:eastAsia="HiddenHorzOCR" w:hAnsi="Arial" w:cs="Arial"/>
          <w:sz w:val="20"/>
          <w:szCs w:val="20"/>
        </w:rPr>
        <w:t xml:space="preserve"> z </w:t>
      </w:r>
      <w:r w:rsidRPr="000F468A">
        <w:rPr>
          <w:rFonts w:ascii="Arial" w:eastAsia="HiddenHorzOCR" w:hAnsi="Arial" w:cs="Arial"/>
          <w:sz w:val="20"/>
          <w:szCs w:val="20"/>
        </w:rPr>
        <w:t xml:space="preserve">przygotowaniem stanowiska państw członkowskich UE oraz samej UE (Komisja Europejska) na kolejne tury negocjacji Porozumienia implementacyjnego do Konwencji </w:t>
      </w:r>
      <w:r w:rsidRPr="000F468A">
        <w:rPr>
          <w:rFonts w:ascii="Arial" w:eastAsia="HiddenHorzOCR" w:hAnsi="Arial" w:cs="Arial"/>
          <w:sz w:val="20"/>
          <w:szCs w:val="20"/>
        </w:rPr>
        <w:lastRenderedPageBreak/>
        <w:t>Narodów Zjednoczonych o prawie morza</w:t>
      </w:r>
      <w:r w:rsidR="004C6CC5">
        <w:rPr>
          <w:rFonts w:ascii="Arial" w:eastAsia="HiddenHorzOCR" w:hAnsi="Arial" w:cs="Arial"/>
          <w:sz w:val="20"/>
          <w:szCs w:val="20"/>
        </w:rPr>
        <w:t xml:space="preserve"> z </w:t>
      </w:r>
      <w:r w:rsidRPr="000F468A">
        <w:rPr>
          <w:rFonts w:ascii="Arial" w:eastAsia="HiddenHorzOCR" w:hAnsi="Arial" w:cs="Arial"/>
          <w:sz w:val="20"/>
          <w:szCs w:val="20"/>
        </w:rPr>
        <w:t>1982 r. (UNCLOS)</w:t>
      </w:r>
      <w:r w:rsidR="004C6CC5">
        <w:rPr>
          <w:rFonts w:ascii="Arial" w:eastAsia="HiddenHorzOCR" w:hAnsi="Arial" w:cs="Arial"/>
          <w:sz w:val="20"/>
          <w:szCs w:val="20"/>
        </w:rPr>
        <w:t xml:space="preserve"> w </w:t>
      </w:r>
      <w:r w:rsidRPr="000F468A">
        <w:rPr>
          <w:rFonts w:ascii="Arial" w:eastAsia="HiddenHorzOCR" w:hAnsi="Arial" w:cs="Arial"/>
          <w:sz w:val="20"/>
          <w:szCs w:val="20"/>
        </w:rPr>
        <w:t>sprawie ochrony</w:t>
      </w:r>
      <w:r w:rsidR="004C6CC5">
        <w:rPr>
          <w:rFonts w:ascii="Arial" w:eastAsia="HiddenHorzOCR" w:hAnsi="Arial" w:cs="Arial"/>
          <w:sz w:val="20"/>
          <w:szCs w:val="20"/>
        </w:rPr>
        <w:t xml:space="preserve"> i </w:t>
      </w:r>
      <w:r w:rsidRPr="000F468A">
        <w:rPr>
          <w:rFonts w:ascii="Arial" w:eastAsia="HiddenHorzOCR" w:hAnsi="Arial" w:cs="Arial"/>
          <w:sz w:val="20"/>
          <w:szCs w:val="20"/>
        </w:rPr>
        <w:t>zrównoważonego wykorzystania różnorodności biologicznej poza granicami jurysdykcji państw (w 2019 r. odbyły się dwie tury negocjacji Porozumienia).</w:t>
      </w:r>
    </w:p>
    <w:p w14:paraId="7D26D259" w14:textId="77777777" w:rsidR="00DA7FED" w:rsidRPr="000F468A" w:rsidRDefault="00DA7FED" w:rsidP="003C6ECA">
      <w:pPr>
        <w:pStyle w:val="Akapitzlist"/>
        <w:numPr>
          <w:ilvl w:val="0"/>
          <w:numId w:val="28"/>
        </w:numPr>
        <w:spacing w:line="276" w:lineRule="auto"/>
        <w:jc w:val="both"/>
        <w:rPr>
          <w:rFonts w:ascii="Arial" w:hAnsi="Arial" w:cs="Arial"/>
          <w:b/>
          <w:color w:val="000000" w:themeColor="text1"/>
          <w:sz w:val="20"/>
          <w:szCs w:val="20"/>
        </w:rPr>
      </w:pPr>
      <w:r w:rsidRPr="000F468A">
        <w:rPr>
          <w:rFonts w:ascii="Arial" w:hAnsi="Arial" w:cs="Arial"/>
          <w:b/>
          <w:bCs/>
          <w:color w:val="000000" w:themeColor="text1"/>
          <w:sz w:val="20"/>
          <w:szCs w:val="20"/>
        </w:rPr>
        <w:t>Podgrupa Ekspertów ds. Single Window</w:t>
      </w:r>
    </w:p>
    <w:p w14:paraId="5560AB8C" w14:textId="74A2F6F5" w:rsidR="00DA7FED" w:rsidRPr="004C6CC5" w:rsidRDefault="003F43E0" w:rsidP="00DA7FED">
      <w:pPr>
        <w:spacing w:line="276" w:lineRule="auto"/>
        <w:jc w:val="both"/>
        <w:rPr>
          <w:rFonts w:ascii="Arial" w:hAnsi="Arial" w:cs="Arial"/>
          <w:color w:val="000000" w:themeColor="text1"/>
          <w:sz w:val="20"/>
          <w:szCs w:val="20"/>
        </w:rPr>
      </w:pPr>
      <w:r>
        <w:rPr>
          <w:rFonts w:ascii="Arial" w:hAnsi="Arial" w:cs="Arial"/>
          <w:color w:val="000000" w:themeColor="text1"/>
          <w:sz w:val="20"/>
          <w:szCs w:val="20"/>
        </w:rPr>
        <w:t>W 2019 r.</w:t>
      </w:r>
      <w:r w:rsidR="00DA7FED" w:rsidRPr="004C6CC5">
        <w:rPr>
          <w:rFonts w:ascii="Arial" w:hAnsi="Arial" w:cs="Arial"/>
          <w:color w:val="000000" w:themeColor="text1"/>
          <w:sz w:val="20"/>
          <w:szCs w:val="20"/>
        </w:rPr>
        <w:t xml:space="preserve"> odbyły się dwa posiedzenia Podgrupy Ekspertów do Spraw Single Window. Posiedzenia odbyły się</w:t>
      </w:r>
      <w:r w:rsidR="004C6CC5">
        <w:rPr>
          <w:rFonts w:ascii="Arial" w:hAnsi="Arial" w:cs="Arial"/>
          <w:color w:val="000000" w:themeColor="text1"/>
          <w:sz w:val="20"/>
          <w:szCs w:val="20"/>
        </w:rPr>
        <w:t xml:space="preserve"> w </w:t>
      </w:r>
      <w:r w:rsidR="00DA7FED" w:rsidRPr="004C6CC5">
        <w:rPr>
          <w:rFonts w:ascii="Arial" w:hAnsi="Arial" w:cs="Arial"/>
          <w:color w:val="000000" w:themeColor="text1"/>
          <w:sz w:val="20"/>
          <w:szCs w:val="20"/>
        </w:rPr>
        <w:t>połączeniu</w:t>
      </w:r>
      <w:r w:rsidR="004C6CC5">
        <w:rPr>
          <w:rFonts w:ascii="Arial" w:hAnsi="Arial" w:cs="Arial"/>
          <w:color w:val="000000" w:themeColor="text1"/>
          <w:sz w:val="20"/>
          <w:szCs w:val="20"/>
        </w:rPr>
        <w:t xml:space="preserve"> z </w:t>
      </w:r>
      <w:r w:rsidR="00DA7FED" w:rsidRPr="004C6CC5">
        <w:rPr>
          <w:rFonts w:ascii="Arial" w:hAnsi="Arial" w:cs="Arial"/>
          <w:color w:val="000000" w:themeColor="text1"/>
          <w:sz w:val="20"/>
          <w:szCs w:val="20"/>
        </w:rPr>
        <w:t>posiedzeniami Grupy Celnej. Podczas spotkań dyskutowane były kwestie dotyczące nowego rozporządzenia Parlamentu Europejskiego</w:t>
      </w:r>
      <w:r w:rsidR="004C6CC5">
        <w:rPr>
          <w:rFonts w:ascii="Arial" w:hAnsi="Arial" w:cs="Arial"/>
          <w:color w:val="000000" w:themeColor="text1"/>
          <w:sz w:val="20"/>
          <w:szCs w:val="20"/>
        </w:rPr>
        <w:t xml:space="preserve"> i </w:t>
      </w:r>
      <w:r w:rsidR="00742604">
        <w:rPr>
          <w:rFonts w:ascii="Arial" w:hAnsi="Arial" w:cs="Arial"/>
          <w:color w:val="000000" w:themeColor="text1"/>
          <w:sz w:val="20"/>
          <w:szCs w:val="20"/>
        </w:rPr>
        <w:t xml:space="preserve">Rady (UE) 2019/1239 </w:t>
      </w:r>
      <w:r w:rsidR="00DA7FED" w:rsidRPr="004C6CC5">
        <w:rPr>
          <w:rFonts w:ascii="Arial" w:hAnsi="Arial" w:cs="Arial"/>
          <w:color w:val="000000" w:themeColor="text1"/>
          <w:sz w:val="20"/>
          <w:szCs w:val="20"/>
        </w:rPr>
        <w:t>z dnia 20 czerwca 2019 r. ustanawiającego europejski system morskich pojedynczych punktów kontaktowych</w:t>
      </w:r>
      <w:r w:rsidR="004C6CC5">
        <w:rPr>
          <w:rFonts w:ascii="Arial" w:hAnsi="Arial" w:cs="Arial"/>
          <w:color w:val="000000" w:themeColor="text1"/>
          <w:sz w:val="20"/>
          <w:szCs w:val="20"/>
        </w:rPr>
        <w:t xml:space="preserve"> i </w:t>
      </w:r>
      <w:r w:rsidR="00DA7FED" w:rsidRPr="004C6CC5">
        <w:rPr>
          <w:rFonts w:ascii="Arial" w:hAnsi="Arial" w:cs="Arial"/>
          <w:color w:val="000000" w:themeColor="text1"/>
          <w:sz w:val="20"/>
          <w:szCs w:val="20"/>
        </w:rPr>
        <w:t>uchylającego dyrektywę 2010/65/UE, mapowania danych przekazywanych do single window, wymogów krajowych</w:t>
      </w:r>
      <w:r w:rsidR="004C6CC5">
        <w:rPr>
          <w:rFonts w:ascii="Arial" w:hAnsi="Arial" w:cs="Arial"/>
          <w:color w:val="000000" w:themeColor="text1"/>
          <w:sz w:val="20"/>
          <w:szCs w:val="20"/>
        </w:rPr>
        <w:t xml:space="preserve"> w </w:t>
      </w:r>
      <w:r w:rsidR="00DA7FED" w:rsidRPr="004C6CC5">
        <w:rPr>
          <w:rFonts w:ascii="Arial" w:hAnsi="Arial" w:cs="Arial"/>
          <w:color w:val="000000" w:themeColor="text1"/>
          <w:sz w:val="20"/>
          <w:szCs w:val="20"/>
        </w:rPr>
        <w:t>zakresie formalności sprawozdawczych.</w:t>
      </w:r>
      <w:r w:rsidR="006E30FF">
        <w:rPr>
          <w:rFonts w:ascii="Arial" w:hAnsi="Arial" w:cs="Arial"/>
          <w:color w:val="000000" w:themeColor="text1"/>
          <w:sz w:val="20"/>
          <w:szCs w:val="20"/>
        </w:rPr>
        <w:t xml:space="preserve"> W </w:t>
      </w:r>
      <w:r w:rsidR="00DA7FED" w:rsidRPr="004C6CC5">
        <w:rPr>
          <w:rFonts w:ascii="Arial" w:hAnsi="Arial" w:cs="Arial"/>
          <w:color w:val="000000" w:themeColor="text1"/>
          <w:sz w:val="20"/>
          <w:szCs w:val="20"/>
        </w:rPr>
        <w:t>związku</w:t>
      </w:r>
      <w:r w:rsidR="006E30FF">
        <w:rPr>
          <w:rFonts w:ascii="Arial" w:hAnsi="Arial" w:cs="Arial"/>
          <w:color w:val="000000" w:themeColor="text1"/>
          <w:sz w:val="20"/>
          <w:szCs w:val="20"/>
        </w:rPr>
        <w:t xml:space="preserve"> z</w:t>
      </w:r>
      <w:r w:rsidR="00DA7FED" w:rsidRPr="004C6CC5">
        <w:rPr>
          <w:rFonts w:ascii="Arial" w:hAnsi="Arial" w:cs="Arial"/>
          <w:color w:val="000000" w:themeColor="text1"/>
          <w:sz w:val="20"/>
          <w:szCs w:val="20"/>
        </w:rPr>
        <w:t xml:space="preserve"> opublikowaniem rozporządzenia Parlamentu Europejskiego</w:t>
      </w:r>
      <w:r w:rsidR="004C6CC5">
        <w:rPr>
          <w:rFonts w:ascii="Arial" w:hAnsi="Arial" w:cs="Arial"/>
          <w:color w:val="000000" w:themeColor="text1"/>
          <w:sz w:val="20"/>
          <w:szCs w:val="20"/>
        </w:rPr>
        <w:t xml:space="preserve"> i </w:t>
      </w:r>
      <w:r w:rsidR="00DA7FED" w:rsidRPr="004C6CC5">
        <w:rPr>
          <w:rFonts w:ascii="Arial" w:hAnsi="Arial" w:cs="Arial"/>
          <w:color w:val="000000" w:themeColor="text1"/>
          <w:sz w:val="20"/>
          <w:szCs w:val="20"/>
        </w:rPr>
        <w:t>Rady (UE) 2019/1239</w:t>
      </w:r>
      <w:r w:rsidR="004C6CC5">
        <w:rPr>
          <w:rFonts w:ascii="Arial" w:hAnsi="Arial" w:cs="Arial"/>
          <w:color w:val="000000" w:themeColor="text1"/>
          <w:sz w:val="20"/>
          <w:szCs w:val="20"/>
        </w:rPr>
        <w:t xml:space="preserve"> z </w:t>
      </w:r>
      <w:r w:rsidR="00DA7FED" w:rsidRPr="004C6CC5">
        <w:rPr>
          <w:rFonts w:ascii="Arial" w:hAnsi="Arial" w:cs="Arial"/>
          <w:color w:val="000000" w:themeColor="text1"/>
          <w:sz w:val="20"/>
          <w:szCs w:val="20"/>
        </w:rPr>
        <w:t>dnia 20 czerwca 2019 r. ustanawiającego europejski system morskich pojedynczych punktów kontaktowych</w:t>
      </w:r>
      <w:r w:rsidR="006E30FF">
        <w:rPr>
          <w:rFonts w:ascii="Arial" w:hAnsi="Arial" w:cs="Arial"/>
          <w:color w:val="000000" w:themeColor="text1"/>
          <w:sz w:val="20"/>
          <w:szCs w:val="20"/>
        </w:rPr>
        <w:t xml:space="preserve"> i </w:t>
      </w:r>
      <w:r w:rsidR="00DA7FED" w:rsidRPr="004C6CC5">
        <w:rPr>
          <w:rFonts w:ascii="Arial" w:hAnsi="Arial" w:cs="Arial"/>
          <w:color w:val="000000" w:themeColor="text1"/>
          <w:sz w:val="20"/>
          <w:szCs w:val="20"/>
        </w:rPr>
        <w:t>uchylającego dyrektywę 2010/65/UE (Dz. Urz. UE L 198</w:t>
      </w:r>
      <w:r w:rsidR="004C6CC5">
        <w:rPr>
          <w:rFonts w:ascii="Arial" w:hAnsi="Arial" w:cs="Arial"/>
          <w:color w:val="000000" w:themeColor="text1"/>
          <w:sz w:val="20"/>
          <w:szCs w:val="20"/>
        </w:rPr>
        <w:t xml:space="preserve"> z </w:t>
      </w:r>
      <w:r w:rsidR="00DA7FED" w:rsidRPr="004C6CC5">
        <w:rPr>
          <w:rFonts w:ascii="Arial" w:hAnsi="Arial" w:cs="Arial"/>
          <w:color w:val="000000" w:themeColor="text1"/>
          <w:sz w:val="20"/>
          <w:szCs w:val="20"/>
        </w:rPr>
        <w:t>dnia 25.07.2019, s. 64) przedmiotowa podgrupa będzie dalej funkcjonow</w:t>
      </w:r>
      <w:r>
        <w:rPr>
          <w:rFonts w:ascii="Arial" w:hAnsi="Arial" w:cs="Arial"/>
          <w:color w:val="000000" w:themeColor="text1"/>
          <w:sz w:val="20"/>
          <w:szCs w:val="20"/>
        </w:rPr>
        <w:t>ać jako Podgrupa Ekspertów ds. Ś</w:t>
      </w:r>
      <w:r w:rsidR="00DA7FED" w:rsidRPr="004C6CC5">
        <w:rPr>
          <w:rFonts w:ascii="Arial" w:hAnsi="Arial" w:cs="Arial"/>
          <w:color w:val="000000" w:themeColor="text1"/>
          <w:sz w:val="20"/>
          <w:szCs w:val="20"/>
        </w:rPr>
        <w:t>rodowiska Europejskiego Morskiego Single Window (EMSWe).</w:t>
      </w:r>
      <w:r>
        <w:rPr>
          <w:rFonts w:ascii="Arial" w:hAnsi="Arial" w:cs="Arial"/>
          <w:color w:val="000000" w:themeColor="text1"/>
          <w:sz w:val="20"/>
          <w:szCs w:val="20"/>
        </w:rPr>
        <w:t xml:space="preserve"> W</w:t>
      </w:r>
      <w:r w:rsidR="004C6CC5">
        <w:rPr>
          <w:rFonts w:ascii="Arial" w:hAnsi="Arial" w:cs="Arial"/>
          <w:color w:val="000000" w:themeColor="text1"/>
          <w:sz w:val="20"/>
          <w:szCs w:val="20"/>
        </w:rPr>
        <w:t> </w:t>
      </w:r>
      <w:r w:rsidR="00DA7FED" w:rsidRPr="004C6CC5">
        <w:rPr>
          <w:rFonts w:ascii="Arial" w:hAnsi="Arial" w:cs="Arial"/>
          <w:color w:val="000000" w:themeColor="text1"/>
          <w:sz w:val="20"/>
          <w:szCs w:val="20"/>
        </w:rPr>
        <w:t>jej ramach został powołany Zespół ds. Danych</w:t>
      </w:r>
      <w:r w:rsidR="004C6CC5">
        <w:rPr>
          <w:rFonts w:ascii="Arial" w:hAnsi="Arial" w:cs="Arial"/>
          <w:color w:val="000000" w:themeColor="text1"/>
          <w:sz w:val="20"/>
          <w:szCs w:val="20"/>
        </w:rPr>
        <w:t xml:space="preserve"> i </w:t>
      </w:r>
      <w:r>
        <w:rPr>
          <w:rFonts w:ascii="Arial" w:hAnsi="Arial" w:cs="Arial"/>
          <w:color w:val="000000" w:themeColor="text1"/>
          <w:sz w:val="20"/>
          <w:szCs w:val="20"/>
        </w:rPr>
        <w:t>Zespół ds. Interfejsu</w:t>
      </w:r>
      <w:r w:rsidR="00DA7FED" w:rsidRPr="004C6CC5">
        <w:rPr>
          <w:rFonts w:ascii="Arial" w:hAnsi="Arial" w:cs="Arial"/>
          <w:color w:val="000000" w:themeColor="text1"/>
          <w:sz w:val="20"/>
          <w:szCs w:val="20"/>
        </w:rPr>
        <w:t>.</w:t>
      </w:r>
    </w:p>
    <w:p w14:paraId="78A20694" w14:textId="2DC75FA2" w:rsidR="00DA7FED" w:rsidRPr="00EC3D8B" w:rsidRDefault="00DA7FED" w:rsidP="003C6ECA">
      <w:pPr>
        <w:pStyle w:val="Akapitzlist"/>
        <w:numPr>
          <w:ilvl w:val="0"/>
          <w:numId w:val="28"/>
        </w:numPr>
        <w:spacing w:line="276" w:lineRule="auto"/>
        <w:jc w:val="both"/>
        <w:rPr>
          <w:rFonts w:ascii="Arial" w:hAnsi="Arial" w:cs="Arial"/>
          <w:sz w:val="20"/>
          <w:szCs w:val="20"/>
        </w:rPr>
      </w:pPr>
      <w:r w:rsidRPr="00EC3D8B">
        <w:rPr>
          <w:rFonts w:ascii="Arial" w:hAnsi="Arial" w:cs="Arial"/>
          <w:b/>
          <w:bCs/>
          <w:sz w:val="20"/>
          <w:szCs w:val="20"/>
        </w:rPr>
        <w:t>Forum ds. Cyfryzacji Transportu</w:t>
      </w:r>
      <w:r w:rsidR="004C6CC5" w:rsidRPr="00EC3D8B">
        <w:rPr>
          <w:rFonts w:ascii="Arial" w:hAnsi="Arial" w:cs="Arial"/>
          <w:b/>
          <w:bCs/>
          <w:sz w:val="20"/>
          <w:szCs w:val="20"/>
        </w:rPr>
        <w:t xml:space="preserve"> i </w:t>
      </w:r>
      <w:r w:rsidRPr="00EC3D8B">
        <w:rPr>
          <w:rFonts w:ascii="Arial" w:hAnsi="Arial" w:cs="Arial"/>
          <w:b/>
          <w:bCs/>
          <w:sz w:val="20"/>
          <w:szCs w:val="20"/>
        </w:rPr>
        <w:t xml:space="preserve">Logistyki (DTLF) </w:t>
      </w:r>
    </w:p>
    <w:p w14:paraId="7AE34B1B" w14:textId="735522F8" w:rsidR="00DA7FED" w:rsidRPr="004C6CC5" w:rsidRDefault="00DA7FED" w:rsidP="00DA7FED">
      <w:pPr>
        <w:spacing w:line="276" w:lineRule="auto"/>
        <w:jc w:val="both"/>
        <w:rPr>
          <w:rFonts w:ascii="Arial" w:hAnsi="Arial" w:cs="Arial"/>
          <w:sz w:val="20"/>
          <w:szCs w:val="20"/>
        </w:rPr>
      </w:pPr>
      <w:r w:rsidRPr="004C6CC5">
        <w:rPr>
          <w:rFonts w:ascii="Arial" w:hAnsi="Arial" w:cs="Arial"/>
          <w:sz w:val="20"/>
          <w:szCs w:val="20"/>
        </w:rPr>
        <w:t>W 2019 r. odbyły się trzy posiedzenia Forum ds. Cyfryzacji Transportu</w:t>
      </w:r>
      <w:r w:rsidR="004C6CC5">
        <w:rPr>
          <w:rFonts w:ascii="Arial" w:hAnsi="Arial" w:cs="Arial"/>
          <w:sz w:val="20"/>
          <w:szCs w:val="20"/>
        </w:rPr>
        <w:t xml:space="preserve"> i </w:t>
      </w:r>
      <w:r w:rsidRPr="004C6CC5">
        <w:rPr>
          <w:rFonts w:ascii="Arial" w:hAnsi="Arial" w:cs="Arial"/>
          <w:sz w:val="20"/>
          <w:szCs w:val="20"/>
        </w:rPr>
        <w:t>Logistyki. Forum ma charakter horyzontalny, gdyż dotyczy wszystkich gałęzi transportu. Forum zostało powołane celem wspomagania Komisji Europejskiej</w:t>
      </w:r>
      <w:r w:rsidR="004C6CC5">
        <w:rPr>
          <w:rFonts w:ascii="Arial" w:hAnsi="Arial" w:cs="Arial"/>
          <w:sz w:val="20"/>
          <w:szCs w:val="20"/>
        </w:rPr>
        <w:t xml:space="preserve"> w </w:t>
      </w:r>
      <w:r w:rsidRPr="004C6CC5">
        <w:rPr>
          <w:rFonts w:ascii="Arial" w:hAnsi="Arial" w:cs="Arial"/>
          <w:sz w:val="20"/>
          <w:szCs w:val="20"/>
        </w:rPr>
        <w:t>implementacji działań</w:t>
      </w:r>
      <w:r w:rsidR="004C6CC5">
        <w:rPr>
          <w:rFonts w:ascii="Arial" w:hAnsi="Arial" w:cs="Arial"/>
          <w:sz w:val="20"/>
          <w:szCs w:val="20"/>
        </w:rPr>
        <w:t xml:space="preserve"> i </w:t>
      </w:r>
      <w:r w:rsidR="00EC3D8B">
        <w:rPr>
          <w:rFonts w:ascii="Arial" w:hAnsi="Arial" w:cs="Arial"/>
          <w:sz w:val="20"/>
          <w:szCs w:val="20"/>
        </w:rPr>
        <w:t>programów UE</w:t>
      </w:r>
      <w:r w:rsidRPr="004C6CC5">
        <w:rPr>
          <w:rFonts w:ascii="Arial" w:hAnsi="Arial" w:cs="Arial"/>
          <w:sz w:val="20"/>
          <w:szCs w:val="20"/>
        </w:rPr>
        <w:t xml:space="preserve"> mających na celu cyfryzację sektora transportu</w:t>
      </w:r>
      <w:r w:rsidR="004C6CC5">
        <w:rPr>
          <w:rFonts w:ascii="Arial" w:hAnsi="Arial" w:cs="Arial"/>
          <w:sz w:val="20"/>
          <w:szCs w:val="20"/>
        </w:rPr>
        <w:t xml:space="preserve"> i </w:t>
      </w:r>
      <w:r w:rsidRPr="004C6CC5">
        <w:rPr>
          <w:rFonts w:ascii="Arial" w:hAnsi="Arial" w:cs="Arial"/>
          <w:sz w:val="20"/>
          <w:szCs w:val="20"/>
        </w:rPr>
        <w:t>logistyki oraz promujących elektroniczną wymianę informacji, co ma przyczynić się do usuwania barier technicznych, operacyjnych</w:t>
      </w:r>
      <w:r w:rsidR="004C6CC5">
        <w:rPr>
          <w:rFonts w:ascii="Arial" w:hAnsi="Arial" w:cs="Arial"/>
          <w:sz w:val="20"/>
          <w:szCs w:val="20"/>
        </w:rPr>
        <w:t xml:space="preserve"> i </w:t>
      </w:r>
      <w:r w:rsidRPr="004C6CC5">
        <w:rPr>
          <w:rFonts w:ascii="Arial" w:hAnsi="Arial" w:cs="Arial"/>
          <w:sz w:val="20"/>
          <w:szCs w:val="20"/>
        </w:rPr>
        <w:t>administracyjnych. Forum ma koordy</w:t>
      </w:r>
      <w:r w:rsidR="00EC3D8B">
        <w:rPr>
          <w:rFonts w:ascii="Arial" w:hAnsi="Arial" w:cs="Arial"/>
          <w:sz w:val="20"/>
          <w:szCs w:val="20"/>
        </w:rPr>
        <w:t xml:space="preserve">nować </w:t>
      </w:r>
      <w:r w:rsidR="00EC3D8B">
        <w:rPr>
          <w:rFonts w:ascii="Arial" w:hAnsi="Arial" w:cs="Arial"/>
          <w:sz w:val="20"/>
          <w:szCs w:val="20"/>
        </w:rPr>
        <w:br/>
        <w:t xml:space="preserve">m.in. inicjatywy związane z </w:t>
      </w:r>
      <w:r w:rsidRPr="004C6CC5">
        <w:rPr>
          <w:rFonts w:ascii="Arial" w:hAnsi="Arial" w:cs="Arial"/>
          <w:sz w:val="20"/>
          <w:szCs w:val="20"/>
        </w:rPr>
        <w:t>implementacją aplikacji usług ładunków</w:t>
      </w:r>
      <w:r w:rsidR="004C6CC5">
        <w:rPr>
          <w:rFonts w:ascii="Arial" w:hAnsi="Arial" w:cs="Arial"/>
          <w:sz w:val="20"/>
          <w:szCs w:val="20"/>
        </w:rPr>
        <w:t xml:space="preserve"> w </w:t>
      </w:r>
      <w:r w:rsidRPr="004C6CC5">
        <w:rPr>
          <w:rFonts w:ascii="Arial" w:hAnsi="Arial" w:cs="Arial"/>
          <w:sz w:val="20"/>
          <w:szCs w:val="20"/>
        </w:rPr>
        <w:t xml:space="preserve">transporcie kolejowym, </w:t>
      </w:r>
      <w:r w:rsidRPr="004C6CC5">
        <w:rPr>
          <w:rFonts w:ascii="Arial" w:hAnsi="Arial" w:cs="Arial"/>
          <w:sz w:val="20"/>
          <w:szCs w:val="20"/>
        </w:rPr>
        <w:br/>
        <w:t>w żegludze śródlądowej oraz</w:t>
      </w:r>
      <w:r w:rsidR="004C6CC5">
        <w:rPr>
          <w:rFonts w:ascii="Arial" w:hAnsi="Arial" w:cs="Arial"/>
          <w:sz w:val="20"/>
          <w:szCs w:val="20"/>
        </w:rPr>
        <w:t xml:space="preserve"> w </w:t>
      </w:r>
      <w:r w:rsidRPr="004C6CC5">
        <w:rPr>
          <w:rFonts w:ascii="Arial" w:hAnsi="Arial" w:cs="Arial"/>
          <w:sz w:val="20"/>
          <w:szCs w:val="20"/>
        </w:rPr>
        <w:t>transporcie morskim.</w:t>
      </w:r>
      <w:r w:rsidR="00EC3D8B">
        <w:rPr>
          <w:rFonts w:ascii="Arial" w:hAnsi="Arial" w:cs="Arial"/>
          <w:sz w:val="20"/>
          <w:szCs w:val="20"/>
        </w:rPr>
        <w:t xml:space="preserve"> W</w:t>
      </w:r>
      <w:r w:rsidR="004C6CC5">
        <w:rPr>
          <w:rFonts w:ascii="Arial" w:hAnsi="Arial" w:cs="Arial"/>
          <w:sz w:val="20"/>
          <w:szCs w:val="20"/>
        </w:rPr>
        <w:t> </w:t>
      </w:r>
      <w:r w:rsidR="00EC3D8B">
        <w:rPr>
          <w:rFonts w:ascii="Arial" w:hAnsi="Arial" w:cs="Arial"/>
          <w:sz w:val="20"/>
          <w:szCs w:val="20"/>
        </w:rPr>
        <w:t xml:space="preserve">pracach </w:t>
      </w:r>
      <w:r w:rsidRPr="004C6CC5">
        <w:rPr>
          <w:rFonts w:ascii="Arial" w:hAnsi="Arial" w:cs="Arial"/>
          <w:sz w:val="20"/>
          <w:szCs w:val="20"/>
        </w:rPr>
        <w:t>Forum uczestniczą zarówno przedstawiciele państw członkowskich</w:t>
      </w:r>
      <w:r w:rsidR="00EC3D8B">
        <w:rPr>
          <w:rFonts w:ascii="Arial" w:hAnsi="Arial" w:cs="Arial"/>
          <w:sz w:val="20"/>
          <w:szCs w:val="20"/>
        </w:rPr>
        <w:t xml:space="preserve"> UE</w:t>
      </w:r>
      <w:r w:rsidRPr="004C6CC5">
        <w:rPr>
          <w:rFonts w:ascii="Arial" w:hAnsi="Arial" w:cs="Arial"/>
          <w:sz w:val="20"/>
          <w:szCs w:val="20"/>
        </w:rPr>
        <w:t>, jak</w:t>
      </w:r>
      <w:r w:rsidR="004C6CC5">
        <w:rPr>
          <w:rFonts w:ascii="Arial" w:hAnsi="Arial" w:cs="Arial"/>
          <w:sz w:val="20"/>
          <w:szCs w:val="20"/>
        </w:rPr>
        <w:t xml:space="preserve"> i </w:t>
      </w:r>
      <w:r w:rsidRPr="004C6CC5">
        <w:rPr>
          <w:rFonts w:ascii="Arial" w:hAnsi="Arial" w:cs="Arial"/>
          <w:sz w:val="20"/>
          <w:szCs w:val="20"/>
        </w:rPr>
        <w:t>również przemysłu.</w:t>
      </w:r>
      <w:r w:rsidR="004C6CC5">
        <w:rPr>
          <w:rFonts w:ascii="Arial" w:hAnsi="Arial" w:cs="Arial"/>
          <w:sz w:val="20"/>
          <w:szCs w:val="20"/>
        </w:rPr>
        <w:t xml:space="preserve"> </w:t>
      </w:r>
      <w:r w:rsidR="00EC3D8B">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ramach F</w:t>
      </w:r>
      <w:r w:rsidR="00EC3D8B">
        <w:rPr>
          <w:rFonts w:ascii="Arial" w:hAnsi="Arial" w:cs="Arial"/>
          <w:sz w:val="20"/>
          <w:szCs w:val="20"/>
        </w:rPr>
        <w:t xml:space="preserve">orum funkcjonuje grupa robocza </w:t>
      </w:r>
      <w:r w:rsidRPr="004C6CC5">
        <w:rPr>
          <w:rFonts w:ascii="Arial" w:hAnsi="Arial" w:cs="Arial"/>
          <w:sz w:val="20"/>
          <w:szCs w:val="20"/>
        </w:rPr>
        <w:t>ds. transportowych dokumentów elektronicznych, która</w:t>
      </w:r>
      <w:r w:rsidR="004C6CC5">
        <w:rPr>
          <w:rFonts w:ascii="Arial" w:hAnsi="Arial" w:cs="Arial"/>
          <w:sz w:val="20"/>
          <w:szCs w:val="20"/>
        </w:rPr>
        <w:t xml:space="preserve"> w </w:t>
      </w:r>
      <w:r w:rsidRPr="004C6CC5">
        <w:rPr>
          <w:rFonts w:ascii="Arial" w:hAnsi="Arial" w:cs="Arial"/>
          <w:sz w:val="20"/>
          <w:szCs w:val="20"/>
        </w:rPr>
        <w:t xml:space="preserve">2019 r. odbyła cztery spotkania, </w:t>
      </w:r>
      <w:r w:rsidR="004B3571">
        <w:rPr>
          <w:rFonts w:ascii="Arial" w:hAnsi="Arial" w:cs="Arial"/>
          <w:sz w:val="20"/>
          <w:szCs w:val="20"/>
        </w:rPr>
        <w:br/>
      </w:r>
      <w:r w:rsidR="00BE222C">
        <w:rPr>
          <w:rFonts w:ascii="Arial" w:hAnsi="Arial" w:cs="Arial"/>
          <w:sz w:val="20"/>
          <w:szCs w:val="20"/>
        </w:rPr>
        <w:t>a także</w:t>
      </w:r>
      <w:r w:rsidRPr="004C6CC5">
        <w:rPr>
          <w:rFonts w:ascii="Arial" w:hAnsi="Arial" w:cs="Arial"/>
          <w:sz w:val="20"/>
          <w:szCs w:val="20"/>
        </w:rPr>
        <w:t xml:space="preserve"> grupa robocza ds. optymalizacji przepływu ładunku, która</w:t>
      </w:r>
      <w:r w:rsidR="004C6CC5">
        <w:rPr>
          <w:rFonts w:ascii="Arial" w:hAnsi="Arial" w:cs="Arial"/>
          <w:sz w:val="20"/>
          <w:szCs w:val="20"/>
        </w:rPr>
        <w:t xml:space="preserve"> w </w:t>
      </w:r>
      <w:r w:rsidR="00EC3D8B">
        <w:rPr>
          <w:rFonts w:ascii="Arial" w:hAnsi="Arial" w:cs="Arial"/>
          <w:sz w:val="20"/>
          <w:szCs w:val="20"/>
        </w:rPr>
        <w:t>2019 r. odbyła trzy spotkania</w:t>
      </w:r>
      <w:r w:rsidRPr="004C6CC5">
        <w:rPr>
          <w:rFonts w:ascii="Arial" w:hAnsi="Arial" w:cs="Arial"/>
          <w:sz w:val="20"/>
          <w:szCs w:val="20"/>
        </w:rPr>
        <w:t xml:space="preserve">. </w:t>
      </w:r>
    </w:p>
    <w:p w14:paraId="7CC54803" w14:textId="77777777" w:rsidR="00DA7FED" w:rsidRPr="00EC3D8B" w:rsidRDefault="00DA7FED" w:rsidP="003C6ECA">
      <w:pPr>
        <w:pStyle w:val="Akapitzlist"/>
        <w:numPr>
          <w:ilvl w:val="0"/>
          <w:numId w:val="28"/>
        </w:numPr>
        <w:spacing w:line="276" w:lineRule="auto"/>
        <w:jc w:val="both"/>
        <w:rPr>
          <w:rFonts w:ascii="Arial" w:hAnsi="Arial" w:cs="Arial"/>
          <w:sz w:val="20"/>
          <w:szCs w:val="20"/>
        </w:rPr>
      </w:pPr>
      <w:r w:rsidRPr="00EC3D8B">
        <w:rPr>
          <w:rFonts w:ascii="Arial" w:hAnsi="Arial" w:cs="Arial"/>
          <w:b/>
          <w:bCs/>
          <w:sz w:val="20"/>
          <w:szCs w:val="20"/>
        </w:rPr>
        <w:t>Europejskie Forum Portowe</w:t>
      </w:r>
    </w:p>
    <w:p w14:paraId="37688903" w14:textId="7D7F1661" w:rsidR="00DA7FED" w:rsidRPr="004C6CC5" w:rsidRDefault="00DA7FED" w:rsidP="00E1589E">
      <w:pPr>
        <w:spacing w:line="276" w:lineRule="auto"/>
        <w:jc w:val="both"/>
        <w:rPr>
          <w:rFonts w:ascii="Arial" w:hAnsi="Arial" w:cs="Arial"/>
          <w:sz w:val="20"/>
          <w:szCs w:val="20"/>
        </w:rPr>
      </w:pPr>
      <w:r w:rsidRPr="004C6CC5">
        <w:rPr>
          <w:rFonts w:ascii="Arial" w:hAnsi="Arial" w:cs="Arial"/>
          <w:sz w:val="20"/>
          <w:szCs w:val="20"/>
        </w:rPr>
        <w:t>W 2017 r. Komisja Europejska powołała Europejskie Forum Portowe.</w:t>
      </w:r>
      <w:r w:rsidR="004C6CC5">
        <w:rPr>
          <w:rFonts w:ascii="Arial" w:hAnsi="Arial" w:cs="Arial"/>
          <w:sz w:val="20"/>
          <w:szCs w:val="20"/>
        </w:rPr>
        <w:t xml:space="preserve"> w </w:t>
      </w:r>
      <w:r w:rsidRPr="004C6CC5">
        <w:rPr>
          <w:rFonts w:ascii="Arial" w:hAnsi="Arial" w:cs="Arial"/>
          <w:sz w:val="20"/>
          <w:szCs w:val="20"/>
        </w:rPr>
        <w:t>skład forum weszli przedstawiciele administracji rządowej państw członkowskich oraz przedstawiciele przemysłu,</w:t>
      </w:r>
      <w:r w:rsidR="004C6CC5">
        <w:rPr>
          <w:rFonts w:ascii="Arial" w:hAnsi="Arial" w:cs="Arial"/>
          <w:sz w:val="20"/>
          <w:szCs w:val="20"/>
        </w:rPr>
        <w:t xml:space="preserve"> w </w:t>
      </w:r>
      <w:r w:rsidRPr="004C6CC5">
        <w:rPr>
          <w:rFonts w:ascii="Arial" w:hAnsi="Arial" w:cs="Arial"/>
          <w:sz w:val="20"/>
          <w:szCs w:val="20"/>
        </w:rPr>
        <w:t>tym organizacje zrzeszające podmioty zarządzające portami, czy pracownicy portowi, użytkownicy portowi, pozarządowe organizacje ds. ochrony środowiska. Forum ma służyć wymianie informacji na temat inicjatyw Komisji Europejskiej, państw członkowskich oraz przedstawicieli branży portowej</w:t>
      </w:r>
      <w:r w:rsidR="004C6CC5">
        <w:rPr>
          <w:rFonts w:ascii="Arial" w:hAnsi="Arial" w:cs="Arial"/>
          <w:sz w:val="20"/>
          <w:szCs w:val="20"/>
        </w:rPr>
        <w:t xml:space="preserve"> w </w:t>
      </w:r>
      <w:r w:rsidRPr="004C6CC5">
        <w:rPr>
          <w:rFonts w:ascii="Arial" w:hAnsi="Arial" w:cs="Arial"/>
          <w:sz w:val="20"/>
          <w:szCs w:val="20"/>
        </w:rPr>
        <w:t>zakresie podejmowanych działań odnośnie portów morskich,</w:t>
      </w:r>
      <w:r w:rsidR="004C6CC5">
        <w:rPr>
          <w:rFonts w:ascii="Arial" w:hAnsi="Arial" w:cs="Arial"/>
          <w:sz w:val="20"/>
          <w:szCs w:val="20"/>
        </w:rPr>
        <w:t xml:space="preserve"> w </w:t>
      </w:r>
      <w:r w:rsidRPr="004C6CC5">
        <w:rPr>
          <w:rFonts w:ascii="Arial" w:hAnsi="Arial" w:cs="Arial"/>
          <w:sz w:val="20"/>
          <w:szCs w:val="20"/>
        </w:rPr>
        <w:t>tym</w:t>
      </w:r>
      <w:r w:rsidR="004C6CC5">
        <w:rPr>
          <w:rFonts w:ascii="Arial" w:hAnsi="Arial" w:cs="Arial"/>
          <w:sz w:val="20"/>
          <w:szCs w:val="20"/>
        </w:rPr>
        <w:t xml:space="preserve"> w </w:t>
      </w:r>
      <w:r w:rsidRPr="004C6CC5">
        <w:rPr>
          <w:rFonts w:ascii="Arial" w:hAnsi="Arial" w:cs="Arial"/>
          <w:sz w:val="20"/>
          <w:szCs w:val="20"/>
        </w:rPr>
        <w:t>celu przekazywania wskazówek</w:t>
      </w:r>
      <w:r w:rsidR="004C6CC5">
        <w:rPr>
          <w:rFonts w:ascii="Arial" w:hAnsi="Arial" w:cs="Arial"/>
          <w:sz w:val="20"/>
          <w:szCs w:val="20"/>
        </w:rPr>
        <w:t xml:space="preserve"> i </w:t>
      </w:r>
      <w:r w:rsidRPr="004C6CC5">
        <w:rPr>
          <w:rFonts w:ascii="Arial" w:hAnsi="Arial" w:cs="Arial"/>
          <w:sz w:val="20"/>
          <w:szCs w:val="20"/>
        </w:rPr>
        <w:t>wymiany doświadczeń</w:t>
      </w:r>
      <w:r w:rsidR="004C6CC5">
        <w:rPr>
          <w:rFonts w:ascii="Arial" w:hAnsi="Arial" w:cs="Arial"/>
          <w:sz w:val="20"/>
          <w:szCs w:val="20"/>
        </w:rPr>
        <w:t xml:space="preserve"> w </w:t>
      </w:r>
      <w:r w:rsidRPr="004C6CC5">
        <w:rPr>
          <w:rFonts w:ascii="Arial" w:hAnsi="Arial" w:cs="Arial"/>
          <w:sz w:val="20"/>
          <w:szCs w:val="20"/>
        </w:rPr>
        <w:t>zakresie promowania</w:t>
      </w:r>
      <w:r w:rsidR="004C6CC5">
        <w:rPr>
          <w:rFonts w:ascii="Arial" w:hAnsi="Arial" w:cs="Arial"/>
          <w:sz w:val="20"/>
          <w:szCs w:val="20"/>
        </w:rPr>
        <w:t xml:space="preserve"> i </w:t>
      </w:r>
      <w:r w:rsidRPr="004C6CC5">
        <w:rPr>
          <w:rFonts w:ascii="Arial" w:hAnsi="Arial" w:cs="Arial"/>
          <w:sz w:val="20"/>
          <w:szCs w:val="20"/>
        </w:rPr>
        <w:t>wspierania realizacji rozporządzenia Parlamentu Europejskiego</w:t>
      </w:r>
      <w:r w:rsidR="004C6CC5">
        <w:rPr>
          <w:rFonts w:ascii="Arial" w:hAnsi="Arial" w:cs="Arial"/>
          <w:sz w:val="20"/>
          <w:szCs w:val="20"/>
        </w:rPr>
        <w:t xml:space="preserve"> i </w:t>
      </w:r>
      <w:r w:rsidRPr="004C6CC5">
        <w:rPr>
          <w:rFonts w:ascii="Arial" w:hAnsi="Arial" w:cs="Arial"/>
          <w:sz w:val="20"/>
          <w:szCs w:val="20"/>
        </w:rPr>
        <w:t>Rady (UE) 2017/352</w:t>
      </w:r>
      <w:r w:rsidR="004C6CC5">
        <w:rPr>
          <w:rFonts w:ascii="Arial" w:hAnsi="Arial" w:cs="Arial"/>
          <w:sz w:val="20"/>
          <w:szCs w:val="20"/>
        </w:rPr>
        <w:t xml:space="preserve"> z </w:t>
      </w:r>
      <w:r w:rsidRPr="004C6CC5">
        <w:rPr>
          <w:rFonts w:ascii="Arial" w:hAnsi="Arial" w:cs="Arial"/>
          <w:sz w:val="20"/>
          <w:szCs w:val="20"/>
        </w:rPr>
        <w:t>dnia 15 lutego 2017 r. ustanawiającego ramy</w:t>
      </w:r>
      <w:r w:rsidR="004C6CC5">
        <w:rPr>
          <w:rFonts w:ascii="Arial" w:hAnsi="Arial" w:cs="Arial"/>
          <w:sz w:val="20"/>
          <w:szCs w:val="20"/>
        </w:rPr>
        <w:t xml:space="preserve"> w </w:t>
      </w:r>
      <w:r w:rsidRPr="004C6CC5">
        <w:rPr>
          <w:rFonts w:ascii="Arial" w:hAnsi="Arial" w:cs="Arial"/>
          <w:sz w:val="20"/>
          <w:szCs w:val="20"/>
        </w:rPr>
        <w:t xml:space="preserve">zakresie świadczenia usług portowych oraz wspólne zasady dotyczące przejrzystości finansowej portów (Dz. Urz. UE L 57 </w:t>
      </w:r>
      <w:r w:rsidRPr="004C6CC5">
        <w:rPr>
          <w:rFonts w:ascii="Arial" w:hAnsi="Arial" w:cs="Arial"/>
          <w:sz w:val="20"/>
          <w:szCs w:val="20"/>
        </w:rPr>
        <w:br/>
        <w:t>z 3.03.2017, str. 1).</w:t>
      </w:r>
      <w:r w:rsidR="0012658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2019 r. odbyło się posiedzenie podgrupy ds. zrównoważonego rozwoju portów powołanej</w:t>
      </w:r>
      <w:r w:rsidR="004C6CC5">
        <w:rPr>
          <w:rFonts w:ascii="Arial" w:hAnsi="Arial" w:cs="Arial"/>
          <w:sz w:val="20"/>
          <w:szCs w:val="20"/>
        </w:rPr>
        <w:t xml:space="preserve"> w </w:t>
      </w:r>
      <w:r w:rsidRPr="004C6CC5">
        <w:rPr>
          <w:rFonts w:ascii="Arial" w:hAnsi="Arial" w:cs="Arial"/>
          <w:sz w:val="20"/>
          <w:szCs w:val="20"/>
        </w:rPr>
        <w:t>ramach przedmiotowego forum, która ma za zadanie wypracować zalecenia</w:t>
      </w:r>
      <w:r w:rsidR="004C6CC5">
        <w:rPr>
          <w:rFonts w:ascii="Arial" w:hAnsi="Arial" w:cs="Arial"/>
          <w:sz w:val="20"/>
          <w:szCs w:val="20"/>
        </w:rPr>
        <w:t xml:space="preserve"> i </w:t>
      </w:r>
      <w:r w:rsidRPr="004C6CC5">
        <w:rPr>
          <w:rFonts w:ascii="Arial" w:hAnsi="Arial" w:cs="Arial"/>
          <w:sz w:val="20"/>
          <w:szCs w:val="20"/>
        </w:rPr>
        <w:t>środki dotyczące ekologizacji portów, dobrowolnych zróżnicowanych schematów opłat, sposobów poprawy gospodarki odpadami</w:t>
      </w:r>
      <w:r w:rsidR="004C6CC5">
        <w:rPr>
          <w:rFonts w:ascii="Arial" w:hAnsi="Arial" w:cs="Arial"/>
          <w:sz w:val="20"/>
          <w:szCs w:val="20"/>
        </w:rPr>
        <w:t xml:space="preserve"> i </w:t>
      </w:r>
      <w:r w:rsidRPr="004C6CC5">
        <w:rPr>
          <w:rFonts w:ascii="Arial" w:hAnsi="Arial" w:cs="Arial"/>
          <w:sz w:val="20"/>
          <w:szCs w:val="20"/>
        </w:rPr>
        <w:t>gospodarki wodnej</w:t>
      </w:r>
      <w:r w:rsidR="004C6CC5">
        <w:rPr>
          <w:rFonts w:ascii="Arial" w:hAnsi="Arial" w:cs="Arial"/>
          <w:sz w:val="20"/>
          <w:szCs w:val="20"/>
        </w:rPr>
        <w:t xml:space="preserve"> w </w:t>
      </w:r>
      <w:r w:rsidRPr="004C6CC5">
        <w:rPr>
          <w:rFonts w:ascii="Arial" w:hAnsi="Arial" w:cs="Arial"/>
          <w:sz w:val="20"/>
          <w:szCs w:val="20"/>
        </w:rPr>
        <w:t>portach.</w:t>
      </w:r>
    </w:p>
    <w:p w14:paraId="6D043459" w14:textId="268CCF54" w:rsidR="009C4D95" w:rsidRPr="000F468A" w:rsidRDefault="00B6687A" w:rsidP="003C6ECA">
      <w:pPr>
        <w:pStyle w:val="Akapitzlist"/>
        <w:numPr>
          <w:ilvl w:val="0"/>
          <w:numId w:val="27"/>
        </w:numPr>
        <w:spacing w:after="120" w:line="276" w:lineRule="auto"/>
        <w:jc w:val="both"/>
        <w:rPr>
          <w:rFonts w:ascii="Arial" w:hAnsi="Arial" w:cs="Arial"/>
          <w:sz w:val="20"/>
          <w:szCs w:val="20"/>
        </w:rPr>
      </w:pPr>
      <w:r w:rsidRPr="004C6CC5">
        <w:rPr>
          <w:rFonts w:ascii="Arial" w:hAnsi="Arial" w:cs="Arial"/>
          <w:b/>
          <w:sz w:val="20"/>
          <w:szCs w:val="20"/>
        </w:rPr>
        <w:t>Rada Państw Morza Bałtyckiego (Council of the Baltic Sea States</w:t>
      </w:r>
      <w:r w:rsidR="00BE222C">
        <w:rPr>
          <w:rFonts w:ascii="Arial" w:hAnsi="Arial" w:cs="Arial"/>
          <w:b/>
          <w:sz w:val="20"/>
          <w:szCs w:val="20"/>
        </w:rPr>
        <w:t xml:space="preserve"> </w:t>
      </w:r>
      <w:r w:rsidR="00D3092F">
        <w:rPr>
          <w:rFonts w:ascii="Arial" w:hAnsi="Arial" w:cs="Arial"/>
          <w:b/>
          <w:sz w:val="20"/>
          <w:szCs w:val="20"/>
        </w:rPr>
        <w:t>-</w:t>
      </w:r>
      <w:r w:rsidR="00BE222C">
        <w:rPr>
          <w:rFonts w:ascii="Arial" w:hAnsi="Arial" w:cs="Arial"/>
          <w:b/>
          <w:sz w:val="20"/>
          <w:szCs w:val="20"/>
        </w:rPr>
        <w:t xml:space="preserve"> CBSS</w:t>
      </w:r>
      <w:r w:rsidR="00800C14">
        <w:rPr>
          <w:rFonts w:ascii="Arial" w:hAnsi="Arial" w:cs="Arial"/>
          <w:b/>
          <w:sz w:val="20"/>
          <w:szCs w:val="20"/>
        </w:rPr>
        <w:t>)</w:t>
      </w:r>
    </w:p>
    <w:p w14:paraId="204499DF" w14:textId="7F8B2678" w:rsidR="00F9504F" w:rsidRPr="000F468A" w:rsidRDefault="00F9504F" w:rsidP="000F782B">
      <w:pPr>
        <w:spacing w:after="120" w:line="276" w:lineRule="auto"/>
        <w:jc w:val="both"/>
        <w:rPr>
          <w:rFonts w:ascii="Arial" w:hAnsi="Arial" w:cs="Arial"/>
          <w:sz w:val="20"/>
          <w:szCs w:val="20"/>
        </w:rPr>
      </w:pPr>
      <w:r w:rsidRPr="000F468A">
        <w:rPr>
          <w:rFonts w:ascii="Arial" w:hAnsi="Arial" w:cs="Arial"/>
          <w:sz w:val="20"/>
          <w:szCs w:val="20"/>
        </w:rPr>
        <w:t>Kierunek bałtycki pozostaje istotnym wektorem polskiej polityki zagranicznej.</w:t>
      </w:r>
      <w:r w:rsidR="004C6CC5">
        <w:rPr>
          <w:rFonts w:ascii="Arial" w:hAnsi="Arial" w:cs="Arial"/>
          <w:sz w:val="20"/>
          <w:szCs w:val="20"/>
        </w:rPr>
        <w:t xml:space="preserve"> </w:t>
      </w:r>
      <w:r w:rsidR="001D0BCB">
        <w:rPr>
          <w:rFonts w:ascii="Arial" w:hAnsi="Arial" w:cs="Arial"/>
          <w:sz w:val="20"/>
          <w:szCs w:val="20"/>
        </w:rPr>
        <w:t>W</w:t>
      </w:r>
      <w:r w:rsidR="004C6CC5">
        <w:rPr>
          <w:rFonts w:ascii="Arial" w:hAnsi="Arial" w:cs="Arial"/>
          <w:sz w:val="20"/>
          <w:szCs w:val="20"/>
        </w:rPr>
        <w:t> </w:t>
      </w:r>
      <w:r w:rsidRPr="000F468A">
        <w:rPr>
          <w:rFonts w:ascii="Arial" w:hAnsi="Arial" w:cs="Arial"/>
          <w:sz w:val="20"/>
          <w:szCs w:val="20"/>
        </w:rPr>
        <w:t>2019 r. Polska aktywnie uczestniczyła</w:t>
      </w:r>
      <w:r w:rsidR="004C6CC5">
        <w:rPr>
          <w:rFonts w:ascii="Arial" w:hAnsi="Arial" w:cs="Arial"/>
          <w:sz w:val="20"/>
          <w:szCs w:val="20"/>
        </w:rPr>
        <w:t xml:space="preserve"> w </w:t>
      </w:r>
      <w:r w:rsidRPr="000F468A">
        <w:rPr>
          <w:rFonts w:ascii="Arial" w:hAnsi="Arial" w:cs="Arial"/>
          <w:sz w:val="20"/>
          <w:szCs w:val="20"/>
        </w:rPr>
        <w:t>pracach reformującej się Rady Państw Morza Bałtyckiego</w:t>
      </w:r>
      <w:r w:rsidR="00C11881">
        <w:rPr>
          <w:rFonts w:ascii="Arial" w:hAnsi="Arial" w:cs="Arial"/>
          <w:sz w:val="20"/>
          <w:szCs w:val="20"/>
        </w:rPr>
        <w:t xml:space="preserve"> (RPMB)</w:t>
      </w:r>
      <w:r w:rsidRPr="000F468A">
        <w:rPr>
          <w:rFonts w:ascii="Arial" w:hAnsi="Arial" w:cs="Arial"/>
          <w:sz w:val="20"/>
          <w:szCs w:val="20"/>
        </w:rPr>
        <w:t xml:space="preserve">. </w:t>
      </w:r>
    </w:p>
    <w:p w14:paraId="4AFEE98E" w14:textId="538E657A" w:rsidR="005D250F" w:rsidRDefault="005D250F" w:rsidP="005D250F">
      <w:pPr>
        <w:spacing w:after="120" w:line="276" w:lineRule="auto"/>
        <w:jc w:val="both"/>
        <w:rPr>
          <w:rFonts w:ascii="Arial" w:hAnsi="Arial" w:cs="Arial"/>
          <w:sz w:val="20"/>
          <w:szCs w:val="20"/>
        </w:rPr>
      </w:pPr>
      <w:r>
        <w:rPr>
          <w:rFonts w:ascii="Arial" w:hAnsi="Arial" w:cs="Arial"/>
          <w:sz w:val="20"/>
          <w:szCs w:val="20"/>
        </w:rPr>
        <w:t xml:space="preserve">W dniach 3-4 kwietnia 2019 r. prezydencja łotewska zorganizowała w Jurmali konferencję pn. „Rozwój zrównoważonej gospodarki morskiej: szanse i wyzwania dla małych i średnich portów w regionie Morza Bałtyckiego” z udziałem państw członkowskich RPMB oraz KE. Tematami, wokół których koncentrowała się dyskusja podczas sesji panelowych był rozwój małych i średnich portów w regionie, ich rola </w:t>
      </w:r>
      <w:r w:rsidR="006E6450">
        <w:rPr>
          <w:rFonts w:ascii="Arial" w:hAnsi="Arial" w:cs="Arial"/>
          <w:sz w:val="20"/>
          <w:szCs w:val="20"/>
        </w:rPr>
        <w:br/>
      </w:r>
      <w:r>
        <w:rPr>
          <w:rFonts w:ascii="Arial" w:hAnsi="Arial" w:cs="Arial"/>
          <w:sz w:val="20"/>
          <w:szCs w:val="20"/>
        </w:rPr>
        <w:lastRenderedPageBreak/>
        <w:t>w rozwoju gospodarczym regionu bałtyckiego oraz społeczności nadmorskich, a także strategiczne planowanie na rzecz stymulowania „niebieskiego wzrostu</w:t>
      </w:r>
      <w:r w:rsidR="004C31C0">
        <w:rPr>
          <w:rFonts w:ascii="Arial" w:hAnsi="Arial" w:cs="Arial"/>
          <w:sz w:val="20"/>
          <w:szCs w:val="20"/>
        </w:rPr>
        <w:t>”</w:t>
      </w:r>
      <w:r>
        <w:rPr>
          <w:rFonts w:ascii="Arial" w:hAnsi="Arial" w:cs="Arial"/>
          <w:sz w:val="20"/>
          <w:szCs w:val="20"/>
        </w:rPr>
        <w:t xml:space="preserve"> w regionie w kontekście realizacji Strategii UE dla regionu Morza Bałtyckiego oraz innych formatów współpracy regionalnej. Dyskutowano także na temat dostępnych narzędzi finansowania rozwoju </w:t>
      </w:r>
      <w:r w:rsidR="00004E44">
        <w:rPr>
          <w:rFonts w:ascii="Arial" w:hAnsi="Arial" w:cs="Arial"/>
          <w:sz w:val="20"/>
          <w:szCs w:val="20"/>
        </w:rPr>
        <w:t xml:space="preserve">małych i średnich </w:t>
      </w:r>
      <w:r>
        <w:rPr>
          <w:rFonts w:ascii="Arial" w:hAnsi="Arial" w:cs="Arial"/>
          <w:sz w:val="20"/>
          <w:szCs w:val="20"/>
        </w:rPr>
        <w:t>portów oraz najlepszych praktyk w tym zakresie.</w:t>
      </w:r>
      <w:r w:rsidR="00105632" w:rsidRPr="00105632">
        <w:rPr>
          <w:rFonts w:ascii="Arial" w:hAnsi="Arial" w:cs="Arial"/>
          <w:sz w:val="20"/>
          <w:szCs w:val="20"/>
        </w:rPr>
        <w:t xml:space="preserve"> </w:t>
      </w:r>
      <w:r w:rsidR="00105632">
        <w:rPr>
          <w:rFonts w:ascii="Arial" w:hAnsi="Arial" w:cs="Arial"/>
          <w:sz w:val="20"/>
          <w:szCs w:val="20"/>
        </w:rPr>
        <w:t xml:space="preserve">Podczas konferencji odbyło się spotkanie Grupy Eksperckiej </w:t>
      </w:r>
      <w:r w:rsidR="00105632" w:rsidRPr="000F2C08">
        <w:rPr>
          <w:rFonts w:ascii="Arial" w:hAnsi="Arial" w:cs="Arial"/>
          <w:sz w:val="20"/>
          <w:szCs w:val="20"/>
        </w:rPr>
        <w:t>ds. Zrównoważonej Gospodarki Morskiej</w:t>
      </w:r>
      <w:r w:rsidR="005E6B44">
        <w:rPr>
          <w:rFonts w:ascii="Arial" w:hAnsi="Arial" w:cs="Arial"/>
          <w:sz w:val="20"/>
          <w:szCs w:val="20"/>
        </w:rPr>
        <w:t xml:space="preserve">, a także przedstawione zostały priorytety zbliżającej się duńskiej prezydencji </w:t>
      </w:r>
      <w:r w:rsidR="00004E44">
        <w:rPr>
          <w:rFonts w:ascii="Arial" w:hAnsi="Arial" w:cs="Arial"/>
          <w:sz w:val="20"/>
          <w:szCs w:val="20"/>
        </w:rPr>
        <w:br/>
      </w:r>
      <w:r w:rsidR="005E6B44">
        <w:rPr>
          <w:rFonts w:ascii="Arial" w:hAnsi="Arial" w:cs="Arial"/>
          <w:sz w:val="20"/>
          <w:szCs w:val="20"/>
        </w:rPr>
        <w:t>w Radzie.</w:t>
      </w:r>
    </w:p>
    <w:p w14:paraId="02CFBF7B" w14:textId="4D2DE6D4" w:rsidR="00F9504F" w:rsidRPr="000F468A" w:rsidRDefault="00C82224" w:rsidP="000F782B">
      <w:pPr>
        <w:spacing w:after="120" w:line="276" w:lineRule="auto"/>
        <w:jc w:val="both"/>
        <w:rPr>
          <w:rFonts w:ascii="Arial" w:hAnsi="Arial" w:cs="Arial"/>
          <w:sz w:val="20"/>
          <w:szCs w:val="20"/>
        </w:rPr>
      </w:pPr>
      <w:r>
        <w:rPr>
          <w:rFonts w:ascii="Arial" w:hAnsi="Arial" w:cs="Arial"/>
          <w:sz w:val="20"/>
          <w:szCs w:val="20"/>
        </w:rPr>
        <w:t xml:space="preserve">W dniu </w:t>
      </w:r>
      <w:r w:rsidR="00F9504F" w:rsidRPr="000F468A">
        <w:rPr>
          <w:rFonts w:ascii="Arial" w:hAnsi="Arial" w:cs="Arial"/>
          <w:sz w:val="20"/>
          <w:szCs w:val="20"/>
        </w:rPr>
        <w:t>3 czerwca 2019 r. minister spraw zagranicznych R</w:t>
      </w:r>
      <w:r>
        <w:rPr>
          <w:rFonts w:ascii="Arial" w:hAnsi="Arial" w:cs="Arial"/>
          <w:sz w:val="20"/>
          <w:szCs w:val="20"/>
        </w:rPr>
        <w:t xml:space="preserve">zeczypospolitej </w:t>
      </w:r>
      <w:r w:rsidR="00F9504F" w:rsidRPr="000F468A">
        <w:rPr>
          <w:rFonts w:ascii="Arial" w:hAnsi="Arial" w:cs="Arial"/>
          <w:sz w:val="20"/>
          <w:szCs w:val="20"/>
        </w:rPr>
        <w:t>P</w:t>
      </w:r>
      <w:r>
        <w:rPr>
          <w:rFonts w:ascii="Arial" w:hAnsi="Arial" w:cs="Arial"/>
          <w:sz w:val="20"/>
          <w:szCs w:val="20"/>
        </w:rPr>
        <w:t>olskiej</w:t>
      </w:r>
      <w:r w:rsidR="00F9504F" w:rsidRPr="000F468A">
        <w:rPr>
          <w:rFonts w:ascii="Arial" w:hAnsi="Arial" w:cs="Arial"/>
          <w:sz w:val="20"/>
          <w:szCs w:val="20"/>
        </w:rPr>
        <w:t xml:space="preserve"> wziął udział</w:t>
      </w:r>
      <w:r w:rsidR="004C6CC5">
        <w:rPr>
          <w:rFonts w:ascii="Arial" w:hAnsi="Arial" w:cs="Arial"/>
          <w:sz w:val="20"/>
          <w:szCs w:val="20"/>
        </w:rPr>
        <w:t xml:space="preserve"> w </w:t>
      </w:r>
      <w:r w:rsidR="00F9504F" w:rsidRPr="000F468A">
        <w:rPr>
          <w:rFonts w:ascii="Arial" w:hAnsi="Arial" w:cs="Arial"/>
          <w:sz w:val="20"/>
          <w:szCs w:val="20"/>
        </w:rPr>
        <w:t>kończącym prezydencję łotewską spotkaniu ministrów spraw zagranicznych Rady</w:t>
      </w:r>
      <w:r w:rsidR="004C6CC5">
        <w:rPr>
          <w:rFonts w:ascii="Arial" w:hAnsi="Arial" w:cs="Arial"/>
          <w:sz w:val="20"/>
          <w:szCs w:val="20"/>
        </w:rPr>
        <w:t xml:space="preserve"> w </w:t>
      </w:r>
      <w:r w:rsidR="00F9504F" w:rsidRPr="000F468A">
        <w:rPr>
          <w:rFonts w:ascii="Arial" w:hAnsi="Arial" w:cs="Arial"/>
          <w:sz w:val="20"/>
          <w:szCs w:val="20"/>
        </w:rPr>
        <w:t>Jurmali, podczas którego przyjęto tzw. Deklarację</w:t>
      </w:r>
      <w:r w:rsidR="004C6CC5">
        <w:rPr>
          <w:rFonts w:ascii="Arial" w:hAnsi="Arial" w:cs="Arial"/>
          <w:sz w:val="20"/>
          <w:szCs w:val="20"/>
        </w:rPr>
        <w:t xml:space="preserve"> z </w:t>
      </w:r>
      <w:r w:rsidR="00F9504F" w:rsidRPr="000F468A">
        <w:rPr>
          <w:rFonts w:ascii="Arial" w:hAnsi="Arial" w:cs="Arial"/>
          <w:sz w:val="20"/>
          <w:szCs w:val="20"/>
        </w:rPr>
        <w:t>Jurmali oraz mapę drogową w</w:t>
      </w:r>
      <w:r>
        <w:rPr>
          <w:rFonts w:ascii="Arial" w:hAnsi="Arial" w:cs="Arial"/>
          <w:sz w:val="20"/>
          <w:szCs w:val="20"/>
        </w:rPr>
        <w:t xml:space="preserve"> sprawie</w:t>
      </w:r>
      <w:r w:rsidR="00F9504F" w:rsidRPr="000F468A">
        <w:rPr>
          <w:rFonts w:ascii="Arial" w:hAnsi="Arial" w:cs="Arial"/>
          <w:sz w:val="20"/>
          <w:szCs w:val="20"/>
        </w:rPr>
        <w:t xml:space="preserve"> reformy RPMB</w:t>
      </w:r>
      <w:r w:rsidR="004C6CC5">
        <w:rPr>
          <w:rFonts w:ascii="Arial" w:hAnsi="Arial" w:cs="Arial"/>
          <w:sz w:val="20"/>
          <w:szCs w:val="20"/>
        </w:rPr>
        <w:t xml:space="preserve"> w </w:t>
      </w:r>
      <w:r w:rsidR="00F9504F" w:rsidRPr="000F468A">
        <w:rPr>
          <w:rFonts w:ascii="Arial" w:hAnsi="Arial" w:cs="Arial"/>
          <w:sz w:val="20"/>
          <w:szCs w:val="20"/>
        </w:rPr>
        <w:t>latach 2018-2020. Po raz pierwszy</w:t>
      </w:r>
      <w:r w:rsidR="004C6CC5">
        <w:rPr>
          <w:rFonts w:ascii="Arial" w:hAnsi="Arial" w:cs="Arial"/>
          <w:sz w:val="20"/>
          <w:szCs w:val="20"/>
        </w:rPr>
        <w:t xml:space="preserve"> w </w:t>
      </w:r>
      <w:r w:rsidR="00F9504F" w:rsidRPr="000F468A">
        <w:rPr>
          <w:rFonts w:ascii="Arial" w:hAnsi="Arial" w:cs="Arial"/>
          <w:sz w:val="20"/>
          <w:szCs w:val="20"/>
        </w:rPr>
        <w:t xml:space="preserve">spotkaniu Rady wziął udział przedstawiciel państwa </w:t>
      </w:r>
      <w:r w:rsidR="001D0BCB">
        <w:rPr>
          <w:rFonts w:ascii="Arial" w:hAnsi="Arial" w:cs="Arial"/>
          <w:sz w:val="20"/>
          <w:szCs w:val="20"/>
        </w:rPr>
        <w:t>-</w:t>
      </w:r>
      <w:r w:rsidR="00F9504F" w:rsidRPr="000F468A">
        <w:rPr>
          <w:rFonts w:ascii="Arial" w:hAnsi="Arial" w:cs="Arial"/>
          <w:sz w:val="20"/>
          <w:szCs w:val="20"/>
        </w:rPr>
        <w:t xml:space="preserve"> obserwatora (Białoruś). </w:t>
      </w:r>
    </w:p>
    <w:p w14:paraId="76F17F63" w14:textId="398768A2" w:rsidR="00F9504F" w:rsidRPr="000F468A" w:rsidRDefault="00F9504F" w:rsidP="000F782B">
      <w:pPr>
        <w:spacing w:after="120" w:line="276" w:lineRule="auto"/>
        <w:jc w:val="both"/>
        <w:rPr>
          <w:rFonts w:ascii="Arial" w:hAnsi="Arial" w:cs="Arial"/>
          <w:sz w:val="20"/>
          <w:szCs w:val="20"/>
        </w:rPr>
      </w:pPr>
      <w:r w:rsidRPr="000F468A">
        <w:rPr>
          <w:rFonts w:ascii="Arial" w:hAnsi="Arial" w:cs="Arial"/>
          <w:sz w:val="20"/>
          <w:szCs w:val="20"/>
        </w:rPr>
        <w:t>Najważniejszym wyzwaniem,</w:t>
      </w:r>
      <w:r w:rsidR="00C11881">
        <w:rPr>
          <w:rFonts w:ascii="Arial" w:hAnsi="Arial" w:cs="Arial"/>
          <w:sz w:val="20"/>
          <w:szCs w:val="20"/>
        </w:rPr>
        <w:t xml:space="preserve"> z </w:t>
      </w:r>
      <w:r w:rsidRPr="000F468A">
        <w:rPr>
          <w:rFonts w:ascii="Arial" w:hAnsi="Arial" w:cs="Arial"/>
          <w:sz w:val="20"/>
          <w:szCs w:val="20"/>
        </w:rPr>
        <w:t>jakim mierzyła się organizacja</w:t>
      </w:r>
      <w:r w:rsidR="004C6CC5">
        <w:rPr>
          <w:rFonts w:ascii="Arial" w:hAnsi="Arial" w:cs="Arial"/>
          <w:sz w:val="20"/>
          <w:szCs w:val="20"/>
        </w:rPr>
        <w:t xml:space="preserve"> w </w:t>
      </w:r>
      <w:r w:rsidR="000F782B">
        <w:rPr>
          <w:rFonts w:ascii="Arial" w:hAnsi="Arial" w:cs="Arial"/>
          <w:sz w:val="20"/>
          <w:szCs w:val="20"/>
        </w:rPr>
        <w:t>drugiej</w:t>
      </w:r>
      <w:r w:rsidRPr="000F468A">
        <w:rPr>
          <w:rFonts w:ascii="Arial" w:hAnsi="Arial" w:cs="Arial"/>
          <w:sz w:val="20"/>
          <w:szCs w:val="20"/>
        </w:rPr>
        <w:t xml:space="preserve"> połowie 2019 r. były prowadzone pod przewodnictwem prezydencji duńskiej prace nad finalizacją reformy RPMB</w:t>
      </w:r>
      <w:r w:rsidR="004C6CC5">
        <w:rPr>
          <w:rFonts w:ascii="Arial" w:hAnsi="Arial" w:cs="Arial"/>
          <w:sz w:val="20"/>
          <w:szCs w:val="20"/>
        </w:rPr>
        <w:t xml:space="preserve"> w </w:t>
      </w:r>
      <w:r w:rsidRPr="000F468A">
        <w:rPr>
          <w:rFonts w:ascii="Arial" w:hAnsi="Arial" w:cs="Arial"/>
          <w:sz w:val="20"/>
          <w:szCs w:val="20"/>
        </w:rPr>
        <w:t>kierunku wzmocnienia jej politycznego znaczenia, pogłębienia -</w:t>
      </w:r>
      <w:r w:rsidR="004C6CC5">
        <w:rPr>
          <w:rFonts w:ascii="Arial" w:hAnsi="Arial" w:cs="Arial"/>
          <w:sz w:val="20"/>
          <w:szCs w:val="20"/>
        </w:rPr>
        <w:t xml:space="preserve"> w </w:t>
      </w:r>
      <w:r w:rsidRPr="000F468A">
        <w:rPr>
          <w:rFonts w:ascii="Arial" w:hAnsi="Arial" w:cs="Arial"/>
          <w:sz w:val="20"/>
          <w:szCs w:val="20"/>
        </w:rPr>
        <w:t>duchu spójności</w:t>
      </w:r>
      <w:r w:rsidR="004C6CC5">
        <w:rPr>
          <w:rFonts w:ascii="Arial" w:hAnsi="Arial" w:cs="Arial"/>
          <w:sz w:val="20"/>
          <w:szCs w:val="20"/>
        </w:rPr>
        <w:t xml:space="preserve"> i </w:t>
      </w:r>
      <w:r w:rsidRPr="000F468A">
        <w:rPr>
          <w:rFonts w:ascii="Arial" w:hAnsi="Arial" w:cs="Arial"/>
          <w:sz w:val="20"/>
          <w:szCs w:val="20"/>
        </w:rPr>
        <w:t>synergii - jej współpracy</w:t>
      </w:r>
      <w:r w:rsidR="004C6CC5">
        <w:rPr>
          <w:rFonts w:ascii="Arial" w:hAnsi="Arial" w:cs="Arial"/>
          <w:sz w:val="20"/>
          <w:szCs w:val="20"/>
        </w:rPr>
        <w:t xml:space="preserve"> z </w:t>
      </w:r>
      <w:r w:rsidRPr="000F468A">
        <w:rPr>
          <w:rFonts w:ascii="Arial" w:hAnsi="Arial" w:cs="Arial"/>
          <w:sz w:val="20"/>
          <w:szCs w:val="20"/>
        </w:rPr>
        <w:t>pozostałymi formatami</w:t>
      </w:r>
      <w:r w:rsidR="004C6CC5">
        <w:rPr>
          <w:rFonts w:ascii="Arial" w:hAnsi="Arial" w:cs="Arial"/>
          <w:sz w:val="20"/>
          <w:szCs w:val="20"/>
        </w:rPr>
        <w:t xml:space="preserve"> w </w:t>
      </w:r>
      <w:r w:rsidRPr="000F468A">
        <w:rPr>
          <w:rFonts w:ascii="Arial" w:hAnsi="Arial" w:cs="Arial"/>
          <w:sz w:val="20"/>
          <w:szCs w:val="20"/>
        </w:rPr>
        <w:t>regionie oraz zwiększenia zdolności organizacji do realizacji konkretnych projektów. Polska wspierała prezydencję Danii</w:t>
      </w:r>
      <w:r w:rsidR="004C6CC5">
        <w:rPr>
          <w:rFonts w:ascii="Arial" w:hAnsi="Arial" w:cs="Arial"/>
          <w:sz w:val="20"/>
          <w:szCs w:val="20"/>
        </w:rPr>
        <w:t xml:space="preserve"> w </w:t>
      </w:r>
      <w:r w:rsidRPr="000F468A">
        <w:rPr>
          <w:rFonts w:ascii="Arial" w:hAnsi="Arial" w:cs="Arial"/>
          <w:sz w:val="20"/>
          <w:szCs w:val="20"/>
        </w:rPr>
        <w:t>jej działaniach na rzecz reformy or</w:t>
      </w:r>
      <w:r w:rsidR="000F782B">
        <w:rPr>
          <w:rFonts w:ascii="Arial" w:hAnsi="Arial" w:cs="Arial"/>
          <w:sz w:val="20"/>
          <w:szCs w:val="20"/>
        </w:rPr>
        <w:t xml:space="preserve">ganizacji, które wpisywały się </w:t>
      </w:r>
      <w:r w:rsidRPr="000F468A">
        <w:rPr>
          <w:rFonts w:ascii="Arial" w:hAnsi="Arial" w:cs="Arial"/>
          <w:sz w:val="20"/>
          <w:szCs w:val="20"/>
        </w:rPr>
        <w:t>w priorytety polskiego przewodnictwa</w:t>
      </w:r>
      <w:r w:rsidR="004C6CC5">
        <w:rPr>
          <w:rFonts w:ascii="Arial" w:hAnsi="Arial" w:cs="Arial"/>
          <w:sz w:val="20"/>
          <w:szCs w:val="20"/>
        </w:rPr>
        <w:t xml:space="preserve"> w </w:t>
      </w:r>
      <w:r w:rsidRPr="000F468A">
        <w:rPr>
          <w:rFonts w:ascii="Arial" w:hAnsi="Arial" w:cs="Arial"/>
          <w:sz w:val="20"/>
          <w:szCs w:val="20"/>
        </w:rPr>
        <w:t>RPMB</w:t>
      </w:r>
      <w:r w:rsidR="004C6CC5">
        <w:rPr>
          <w:rFonts w:ascii="Arial" w:hAnsi="Arial" w:cs="Arial"/>
          <w:sz w:val="20"/>
          <w:szCs w:val="20"/>
        </w:rPr>
        <w:t xml:space="preserve"> w </w:t>
      </w:r>
      <w:r w:rsidRPr="000F468A">
        <w:rPr>
          <w:rFonts w:ascii="Arial" w:hAnsi="Arial" w:cs="Arial"/>
          <w:sz w:val="20"/>
          <w:szCs w:val="20"/>
        </w:rPr>
        <w:t xml:space="preserve">latach 2015 </w:t>
      </w:r>
      <w:r w:rsidR="00B141B8">
        <w:rPr>
          <w:rFonts w:ascii="Arial" w:hAnsi="Arial" w:cs="Arial"/>
          <w:sz w:val="20"/>
          <w:szCs w:val="20"/>
        </w:rPr>
        <w:t>-</w:t>
      </w:r>
      <w:r w:rsidRPr="000F468A">
        <w:rPr>
          <w:rFonts w:ascii="Arial" w:hAnsi="Arial" w:cs="Arial"/>
          <w:sz w:val="20"/>
          <w:szCs w:val="20"/>
        </w:rPr>
        <w:t xml:space="preserve"> </w:t>
      </w:r>
      <w:r w:rsidR="00B141B8">
        <w:rPr>
          <w:rFonts w:ascii="Arial" w:hAnsi="Arial" w:cs="Arial"/>
          <w:sz w:val="20"/>
          <w:szCs w:val="20"/>
        </w:rPr>
        <w:t>20</w:t>
      </w:r>
      <w:r w:rsidRPr="000F468A">
        <w:rPr>
          <w:rFonts w:ascii="Arial" w:hAnsi="Arial" w:cs="Arial"/>
          <w:sz w:val="20"/>
          <w:szCs w:val="20"/>
        </w:rPr>
        <w:t xml:space="preserve">16. </w:t>
      </w:r>
    </w:p>
    <w:p w14:paraId="29B0F187" w14:textId="1F0C24A3" w:rsidR="00F9504F" w:rsidRDefault="00F9504F" w:rsidP="000F782B">
      <w:pPr>
        <w:spacing w:after="120" w:line="276" w:lineRule="auto"/>
        <w:jc w:val="both"/>
        <w:rPr>
          <w:rFonts w:ascii="Arial" w:hAnsi="Arial" w:cs="Arial"/>
          <w:sz w:val="20"/>
          <w:szCs w:val="20"/>
        </w:rPr>
      </w:pPr>
      <w:r w:rsidRPr="000F468A">
        <w:rPr>
          <w:rFonts w:ascii="Arial" w:hAnsi="Arial" w:cs="Arial"/>
          <w:sz w:val="20"/>
          <w:szCs w:val="20"/>
        </w:rPr>
        <w:t>Zaangażowanie</w:t>
      </w:r>
      <w:r w:rsidR="004C6CC5">
        <w:rPr>
          <w:rFonts w:ascii="Arial" w:hAnsi="Arial" w:cs="Arial"/>
          <w:sz w:val="20"/>
          <w:szCs w:val="20"/>
        </w:rPr>
        <w:t xml:space="preserve"> w </w:t>
      </w:r>
      <w:r w:rsidRPr="000F468A">
        <w:rPr>
          <w:rFonts w:ascii="Arial" w:hAnsi="Arial" w:cs="Arial"/>
          <w:sz w:val="20"/>
          <w:szCs w:val="20"/>
        </w:rPr>
        <w:t>prace RPMB może mieć bezpośrednie przełożenie na wzmacnianie polskiej polityki morskiej</w:t>
      </w:r>
      <w:r w:rsidR="000F2C08">
        <w:rPr>
          <w:rFonts w:ascii="Arial" w:hAnsi="Arial" w:cs="Arial"/>
          <w:sz w:val="20"/>
          <w:szCs w:val="20"/>
        </w:rPr>
        <w:t>,</w:t>
      </w:r>
      <w:r w:rsidRPr="000F468A">
        <w:rPr>
          <w:rFonts w:ascii="Arial" w:hAnsi="Arial" w:cs="Arial"/>
          <w:sz w:val="20"/>
          <w:szCs w:val="20"/>
        </w:rPr>
        <w:t xml:space="preserve"> m.in. poprzez pełne wykorzystanie szans, jakie daje możliwość aktywnego udziału</w:t>
      </w:r>
      <w:r w:rsidR="004C6CC5">
        <w:rPr>
          <w:rFonts w:ascii="Arial" w:hAnsi="Arial" w:cs="Arial"/>
          <w:sz w:val="20"/>
          <w:szCs w:val="20"/>
        </w:rPr>
        <w:t xml:space="preserve"> w </w:t>
      </w:r>
      <w:r w:rsidRPr="000F468A">
        <w:rPr>
          <w:rFonts w:ascii="Arial" w:hAnsi="Arial" w:cs="Arial"/>
          <w:sz w:val="20"/>
          <w:szCs w:val="20"/>
        </w:rPr>
        <w:t xml:space="preserve">pracach </w:t>
      </w:r>
      <w:r w:rsidR="000F2C08">
        <w:rPr>
          <w:rFonts w:ascii="Arial" w:hAnsi="Arial" w:cs="Arial"/>
          <w:sz w:val="20"/>
          <w:szCs w:val="20"/>
        </w:rPr>
        <w:t xml:space="preserve">Grupy Eksperckiej </w:t>
      </w:r>
      <w:r w:rsidRPr="000F2C08">
        <w:rPr>
          <w:rFonts w:ascii="Arial" w:hAnsi="Arial" w:cs="Arial"/>
          <w:sz w:val="20"/>
          <w:szCs w:val="20"/>
        </w:rPr>
        <w:t xml:space="preserve">ds. Zrównoważonej Gospodarki Morskiej. </w:t>
      </w:r>
    </w:p>
    <w:p w14:paraId="1EEC897B" w14:textId="3B6C1B8B" w:rsidR="00BE222C" w:rsidRPr="00BE222C" w:rsidRDefault="00250965" w:rsidP="000F782B">
      <w:pPr>
        <w:spacing w:after="120" w:line="276" w:lineRule="auto"/>
        <w:jc w:val="both"/>
        <w:rPr>
          <w:rFonts w:ascii="Arial" w:hAnsi="Arial" w:cs="Arial"/>
          <w:sz w:val="20"/>
          <w:szCs w:val="20"/>
        </w:rPr>
      </w:pPr>
      <w:r>
        <w:rPr>
          <w:rFonts w:ascii="Arial" w:hAnsi="Arial" w:cs="Arial"/>
          <w:sz w:val="20"/>
          <w:szCs w:val="20"/>
        </w:rPr>
        <w:t>W październiku 2019 r.</w:t>
      </w:r>
      <w:r w:rsidR="00BE222C" w:rsidRPr="00BE222C">
        <w:rPr>
          <w:rFonts w:ascii="Arial" w:hAnsi="Arial" w:cs="Arial"/>
          <w:sz w:val="20"/>
          <w:szCs w:val="20"/>
        </w:rPr>
        <w:t xml:space="preserve"> przedstawiciel Ministerstwa Środowiska wz</w:t>
      </w:r>
      <w:r w:rsidR="00BE222C">
        <w:rPr>
          <w:rFonts w:ascii="Arial" w:hAnsi="Arial" w:cs="Arial"/>
          <w:sz w:val="20"/>
          <w:szCs w:val="20"/>
        </w:rPr>
        <w:t xml:space="preserve">iął udział w 21 spotkaniu Grupy </w:t>
      </w:r>
      <w:r w:rsidR="00BE222C" w:rsidRPr="00BE222C">
        <w:rPr>
          <w:rFonts w:ascii="Arial" w:hAnsi="Arial" w:cs="Arial"/>
          <w:sz w:val="20"/>
          <w:szCs w:val="20"/>
        </w:rPr>
        <w:t xml:space="preserve">Ekspertów do Spraw Zrównoważonego Rozwoju </w:t>
      </w:r>
      <w:r>
        <w:rPr>
          <w:rFonts w:ascii="Arial" w:hAnsi="Arial" w:cs="Arial"/>
          <w:sz w:val="20"/>
          <w:szCs w:val="20"/>
        </w:rPr>
        <w:t>-</w:t>
      </w:r>
      <w:r w:rsidR="00BE222C" w:rsidRPr="00BE222C">
        <w:rPr>
          <w:rFonts w:ascii="Arial" w:hAnsi="Arial" w:cs="Arial"/>
          <w:sz w:val="20"/>
          <w:szCs w:val="20"/>
        </w:rPr>
        <w:t xml:space="preserve"> Bałtyk 2030 </w:t>
      </w:r>
      <w:r w:rsidR="00BE222C">
        <w:rPr>
          <w:rFonts w:ascii="Arial" w:hAnsi="Arial" w:cs="Arial"/>
          <w:sz w:val="20"/>
          <w:szCs w:val="20"/>
        </w:rPr>
        <w:t xml:space="preserve">(EGSD) w Helsinkach, dotyczącym </w:t>
      </w:r>
      <w:r w:rsidR="00BE222C" w:rsidRPr="00BE222C">
        <w:rPr>
          <w:rFonts w:ascii="Arial" w:hAnsi="Arial" w:cs="Arial"/>
          <w:sz w:val="20"/>
          <w:szCs w:val="20"/>
        </w:rPr>
        <w:t xml:space="preserve">przeglądu działania Horyzontalnego HA Climate, działań grupy </w:t>
      </w:r>
      <w:r w:rsidR="00BE222C">
        <w:rPr>
          <w:rFonts w:ascii="Arial" w:hAnsi="Arial" w:cs="Arial"/>
          <w:sz w:val="20"/>
          <w:szCs w:val="20"/>
        </w:rPr>
        <w:t xml:space="preserve">ekspertów EGSD, Nordyckiej Rady </w:t>
      </w:r>
      <w:r w:rsidR="00BE222C" w:rsidRPr="00BE222C">
        <w:rPr>
          <w:rFonts w:ascii="Arial" w:hAnsi="Arial" w:cs="Arial"/>
          <w:sz w:val="20"/>
          <w:szCs w:val="20"/>
        </w:rPr>
        <w:t>Ministrów oraz państw członkowskich, zorganizowanym podcza</w:t>
      </w:r>
      <w:r w:rsidR="00BE222C">
        <w:rPr>
          <w:rFonts w:ascii="Arial" w:hAnsi="Arial" w:cs="Arial"/>
          <w:sz w:val="20"/>
          <w:szCs w:val="20"/>
        </w:rPr>
        <w:t xml:space="preserve">s duńskiej prezydencji w Radzie </w:t>
      </w:r>
      <w:r w:rsidR="00BE222C" w:rsidRPr="00BE222C">
        <w:rPr>
          <w:rFonts w:ascii="Arial" w:hAnsi="Arial" w:cs="Arial"/>
          <w:sz w:val="20"/>
          <w:szCs w:val="20"/>
        </w:rPr>
        <w:t>Państw Morza Bałtycki</w:t>
      </w:r>
      <w:r w:rsidR="005F6714">
        <w:rPr>
          <w:rFonts w:ascii="Arial" w:hAnsi="Arial" w:cs="Arial"/>
          <w:sz w:val="20"/>
          <w:szCs w:val="20"/>
        </w:rPr>
        <w:t>ego.</w:t>
      </w:r>
    </w:p>
    <w:p w14:paraId="4B89355B" w14:textId="64E14126" w:rsidR="00BE222C" w:rsidRPr="00BE222C" w:rsidRDefault="00BE222C" w:rsidP="000F782B">
      <w:pPr>
        <w:spacing w:after="120" w:line="276" w:lineRule="auto"/>
        <w:jc w:val="both"/>
        <w:rPr>
          <w:rFonts w:ascii="Arial" w:hAnsi="Arial" w:cs="Arial"/>
          <w:sz w:val="20"/>
          <w:szCs w:val="20"/>
        </w:rPr>
      </w:pPr>
      <w:r w:rsidRPr="00BE222C">
        <w:rPr>
          <w:rFonts w:ascii="Arial" w:hAnsi="Arial" w:cs="Arial"/>
          <w:sz w:val="20"/>
          <w:szCs w:val="20"/>
        </w:rPr>
        <w:t>W ramach spotkania dokonano również wyboru tematów do seminar</w:t>
      </w:r>
      <w:r w:rsidR="005F6714">
        <w:rPr>
          <w:rFonts w:ascii="Arial" w:hAnsi="Arial" w:cs="Arial"/>
          <w:sz w:val="20"/>
          <w:szCs w:val="20"/>
        </w:rPr>
        <w:t xml:space="preserve">ium na temat adaptacji do zmian </w:t>
      </w:r>
      <w:r w:rsidRPr="00BE222C">
        <w:rPr>
          <w:rFonts w:ascii="Arial" w:hAnsi="Arial" w:cs="Arial"/>
          <w:sz w:val="20"/>
          <w:szCs w:val="20"/>
        </w:rPr>
        <w:t>klimatu, które odbędzie się w Kopenhadze wiosną 2020 r</w:t>
      </w:r>
      <w:r w:rsidR="005F6714">
        <w:rPr>
          <w:rFonts w:ascii="Arial" w:hAnsi="Arial" w:cs="Arial"/>
          <w:sz w:val="20"/>
          <w:szCs w:val="20"/>
        </w:rPr>
        <w:t xml:space="preserve">. Wśród wiodących propozycji </w:t>
      </w:r>
      <w:r w:rsidRPr="00BE222C">
        <w:rPr>
          <w:rFonts w:ascii="Arial" w:hAnsi="Arial" w:cs="Arial"/>
          <w:sz w:val="20"/>
          <w:szCs w:val="20"/>
        </w:rPr>
        <w:t>analizowano tematy w zakresie: „Ocena i mapowanie ryzyka erozji w</w:t>
      </w:r>
      <w:r w:rsidR="005F6714">
        <w:rPr>
          <w:rFonts w:ascii="Arial" w:hAnsi="Arial" w:cs="Arial"/>
          <w:sz w:val="20"/>
          <w:szCs w:val="20"/>
        </w:rPr>
        <w:t xml:space="preserve">ybrzeża”, „Innowacyjna i </w:t>
      </w:r>
      <w:r w:rsidRPr="00BE222C">
        <w:rPr>
          <w:rFonts w:ascii="Arial" w:hAnsi="Arial" w:cs="Arial"/>
          <w:sz w:val="20"/>
          <w:szCs w:val="20"/>
        </w:rPr>
        <w:t>całościowa adaptacja klimatu w strefie przybrzeżnej”, a także „Z</w:t>
      </w:r>
      <w:r w:rsidR="005F6714">
        <w:rPr>
          <w:rFonts w:ascii="Arial" w:hAnsi="Arial" w:cs="Arial"/>
          <w:sz w:val="20"/>
          <w:szCs w:val="20"/>
        </w:rPr>
        <w:t xml:space="preserve">arządzanie ryzykiem powodziowym </w:t>
      </w:r>
      <w:r w:rsidRPr="00BE222C">
        <w:rPr>
          <w:rFonts w:ascii="Arial" w:hAnsi="Arial" w:cs="Arial"/>
          <w:sz w:val="20"/>
          <w:szCs w:val="20"/>
        </w:rPr>
        <w:t>z uwzględnieniem elementów ochrony przyrody”.</w:t>
      </w:r>
    </w:p>
    <w:p w14:paraId="64A73472" w14:textId="54B534B1" w:rsidR="00BE222C" w:rsidRPr="00BE222C" w:rsidRDefault="00BE222C" w:rsidP="000F782B">
      <w:pPr>
        <w:spacing w:after="120" w:line="276" w:lineRule="auto"/>
        <w:jc w:val="both"/>
        <w:rPr>
          <w:rFonts w:ascii="Arial" w:hAnsi="Arial" w:cs="Arial"/>
          <w:sz w:val="20"/>
          <w:szCs w:val="20"/>
        </w:rPr>
      </w:pPr>
      <w:r w:rsidRPr="00BE222C">
        <w:rPr>
          <w:rFonts w:ascii="Arial" w:hAnsi="Arial" w:cs="Arial"/>
          <w:sz w:val="20"/>
          <w:szCs w:val="20"/>
        </w:rPr>
        <w:t>W wyniku dyskusji uznano, że propozycja dotycząca innowac</w:t>
      </w:r>
      <w:r w:rsidR="003167EC">
        <w:rPr>
          <w:rFonts w:ascii="Arial" w:hAnsi="Arial" w:cs="Arial"/>
          <w:sz w:val="20"/>
          <w:szCs w:val="20"/>
        </w:rPr>
        <w:t xml:space="preserve">yjnego i całościowego podejścia </w:t>
      </w:r>
      <w:r w:rsidRPr="00BE222C">
        <w:rPr>
          <w:rFonts w:ascii="Arial" w:hAnsi="Arial" w:cs="Arial"/>
          <w:sz w:val="20"/>
          <w:szCs w:val="20"/>
        </w:rPr>
        <w:t>do adaptacji do zmian klimatu w rejonie przybrzeżnym, będzie na</w:t>
      </w:r>
      <w:r w:rsidR="003167EC">
        <w:rPr>
          <w:rFonts w:ascii="Arial" w:hAnsi="Arial" w:cs="Arial"/>
          <w:sz w:val="20"/>
          <w:szCs w:val="20"/>
        </w:rPr>
        <w:t xml:space="preserve">jwłaściwszym tematem seminarium </w:t>
      </w:r>
      <w:r w:rsidRPr="00BE222C">
        <w:rPr>
          <w:rFonts w:ascii="Arial" w:hAnsi="Arial" w:cs="Arial"/>
          <w:sz w:val="20"/>
          <w:szCs w:val="20"/>
        </w:rPr>
        <w:t>na temat adaptacji do zmian klimatu, podczas trwającego wydarzenia.</w:t>
      </w:r>
    </w:p>
    <w:p w14:paraId="3C10416F" w14:textId="43F8499E" w:rsidR="00BE222C" w:rsidRPr="00BE222C" w:rsidRDefault="00BE222C" w:rsidP="006A1549">
      <w:pPr>
        <w:spacing w:after="120" w:line="276" w:lineRule="auto"/>
        <w:jc w:val="both"/>
        <w:rPr>
          <w:rFonts w:ascii="Arial" w:hAnsi="Arial" w:cs="Arial"/>
          <w:sz w:val="20"/>
          <w:szCs w:val="20"/>
        </w:rPr>
      </w:pPr>
      <w:r w:rsidRPr="00BE222C">
        <w:rPr>
          <w:rFonts w:ascii="Arial" w:hAnsi="Arial" w:cs="Arial"/>
          <w:sz w:val="20"/>
          <w:szCs w:val="20"/>
        </w:rPr>
        <w:t>Przedstawiciel Polski, zaprezentował również zrealizowany przez Ministerstwo Środowiska w lat</w:t>
      </w:r>
      <w:r w:rsidR="003167EC">
        <w:rPr>
          <w:rFonts w:ascii="Arial" w:hAnsi="Arial" w:cs="Arial"/>
          <w:sz w:val="20"/>
          <w:szCs w:val="20"/>
        </w:rPr>
        <w:t xml:space="preserve">ach </w:t>
      </w:r>
      <w:r w:rsidRPr="00BE222C">
        <w:rPr>
          <w:rFonts w:ascii="Arial" w:hAnsi="Arial" w:cs="Arial"/>
          <w:sz w:val="20"/>
          <w:szCs w:val="20"/>
        </w:rPr>
        <w:t>2017</w:t>
      </w:r>
      <w:r w:rsidR="003E1130">
        <w:rPr>
          <w:rFonts w:ascii="Arial" w:hAnsi="Arial" w:cs="Arial"/>
          <w:sz w:val="20"/>
          <w:szCs w:val="20"/>
        </w:rPr>
        <w:t xml:space="preserve"> - </w:t>
      </w:r>
      <w:r w:rsidRPr="00BE222C">
        <w:rPr>
          <w:rFonts w:ascii="Arial" w:hAnsi="Arial" w:cs="Arial"/>
          <w:sz w:val="20"/>
          <w:szCs w:val="20"/>
        </w:rPr>
        <w:t>2019, projekt pn. „Opracowanie planów adaptacji do zmian klim</w:t>
      </w:r>
      <w:r w:rsidR="003167EC">
        <w:rPr>
          <w:rFonts w:ascii="Arial" w:hAnsi="Arial" w:cs="Arial"/>
          <w:sz w:val="20"/>
          <w:szCs w:val="20"/>
        </w:rPr>
        <w:t xml:space="preserve">atu w miastach powyżej 100 tys. </w:t>
      </w:r>
      <w:r w:rsidRPr="00BE222C">
        <w:rPr>
          <w:rFonts w:ascii="Arial" w:hAnsi="Arial" w:cs="Arial"/>
          <w:sz w:val="20"/>
          <w:szCs w:val="20"/>
        </w:rPr>
        <w:t xml:space="preserve">mieszkańców”, w wyniku którego powstały dokumenty zawierające </w:t>
      </w:r>
      <w:r w:rsidR="003167EC">
        <w:rPr>
          <w:rFonts w:ascii="Arial" w:hAnsi="Arial" w:cs="Arial"/>
          <w:sz w:val="20"/>
          <w:szCs w:val="20"/>
        </w:rPr>
        <w:t xml:space="preserve">diagnozę zagrożeń klimatycznych </w:t>
      </w:r>
      <w:r w:rsidRPr="00BE222C">
        <w:rPr>
          <w:rFonts w:ascii="Arial" w:hAnsi="Arial" w:cs="Arial"/>
          <w:sz w:val="20"/>
          <w:szCs w:val="20"/>
        </w:rPr>
        <w:t xml:space="preserve">oraz ocenę wrażliwości dla poszczególnych miast </w:t>
      </w:r>
      <w:r w:rsidR="003E1130">
        <w:rPr>
          <w:rFonts w:ascii="Arial" w:hAnsi="Arial" w:cs="Arial"/>
          <w:sz w:val="20"/>
          <w:szCs w:val="20"/>
        </w:rPr>
        <w:t>-</w:t>
      </w:r>
      <w:r w:rsidRPr="00BE222C">
        <w:rPr>
          <w:rFonts w:ascii="Arial" w:hAnsi="Arial" w:cs="Arial"/>
          <w:sz w:val="20"/>
          <w:szCs w:val="20"/>
        </w:rPr>
        <w:t xml:space="preserve"> partnerów </w:t>
      </w:r>
      <w:r w:rsidR="003167EC">
        <w:rPr>
          <w:rFonts w:ascii="Arial" w:hAnsi="Arial" w:cs="Arial"/>
          <w:sz w:val="20"/>
          <w:szCs w:val="20"/>
        </w:rPr>
        <w:t xml:space="preserve">w Projekcie. Delegowany wskazał </w:t>
      </w:r>
      <w:r w:rsidRPr="00BE222C">
        <w:rPr>
          <w:rFonts w:ascii="Arial" w:hAnsi="Arial" w:cs="Arial"/>
          <w:sz w:val="20"/>
          <w:szCs w:val="20"/>
        </w:rPr>
        <w:t>również, że wśród 44 miast biorących udział w Projek</w:t>
      </w:r>
      <w:r w:rsidR="002E029E">
        <w:rPr>
          <w:rFonts w:ascii="Arial" w:hAnsi="Arial" w:cs="Arial"/>
          <w:sz w:val="20"/>
          <w:szCs w:val="20"/>
        </w:rPr>
        <w:t>cie</w:t>
      </w:r>
      <w:r w:rsidRPr="00BE222C">
        <w:rPr>
          <w:rFonts w:ascii="Arial" w:hAnsi="Arial" w:cs="Arial"/>
          <w:sz w:val="20"/>
          <w:szCs w:val="20"/>
        </w:rPr>
        <w:t xml:space="preserve"> </w:t>
      </w:r>
      <w:r w:rsidR="002E029E">
        <w:rPr>
          <w:rFonts w:ascii="Arial" w:hAnsi="Arial" w:cs="Arial"/>
          <w:sz w:val="20"/>
          <w:szCs w:val="20"/>
        </w:rPr>
        <w:t>były</w:t>
      </w:r>
      <w:r w:rsidR="003167EC">
        <w:rPr>
          <w:rFonts w:ascii="Arial" w:hAnsi="Arial" w:cs="Arial"/>
          <w:sz w:val="20"/>
          <w:szCs w:val="20"/>
        </w:rPr>
        <w:t xml:space="preserve"> miasta leżące na wybrzeżu </w:t>
      </w:r>
      <w:r w:rsidRPr="00BE222C">
        <w:rPr>
          <w:rFonts w:ascii="Arial" w:hAnsi="Arial" w:cs="Arial"/>
          <w:sz w:val="20"/>
          <w:szCs w:val="20"/>
        </w:rPr>
        <w:t>lub w bliskim sąsiedztwie Morza Bałtyckiego, takie jak: Gdańsk, Gdynia, Sopot, Szczecin i Słupsk.</w:t>
      </w:r>
    </w:p>
    <w:p w14:paraId="4FD91337" w14:textId="3FB2C8CB" w:rsidR="00040934" w:rsidRPr="004C6CC5" w:rsidRDefault="00BE222C" w:rsidP="006A1549">
      <w:pPr>
        <w:spacing w:after="120" w:line="276" w:lineRule="auto"/>
        <w:jc w:val="both"/>
        <w:rPr>
          <w:rFonts w:ascii="Arial" w:hAnsi="Arial" w:cs="Arial"/>
          <w:sz w:val="20"/>
          <w:szCs w:val="20"/>
        </w:rPr>
      </w:pPr>
      <w:r w:rsidRPr="00BE222C">
        <w:rPr>
          <w:rFonts w:ascii="Arial" w:hAnsi="Arial" w:cs="Arial"/>
          <w:sz w:val="20"/>
          <w:szCs w:val="20"/>
        </w:rPr>
        <w:t>W trakcie spotkania, przedstawiciel Nordyckiej Rady Minist</w:t>
      </w:r>
      <w:r w:rsidR="003167EC">
        <w:rPr>
          <w:rFonts w:ascii="Arial" w:hAnsi="Arial" w:cs="Arial"/>
          <w:sz w:val="20"/>
          <w:szCs w:val="20"/>
        </w:rPr>
        <w:t xml:space="preserve">rów poinformował zgromadzonych, </w:t>
      </w:r>
      <w:r w:rsidRPr="00BE222C">
        <w:rPr>
          <w:rFonts w:ascii="Arial" w:hAnsi="Arial" w:cs="Arial"/>
          <w:sz w:val="20"/>
          <w:szCs w:val="20"/>
        </w:rPr>
        <w:t>że Rada zamierza poszerzyć współpracę z innymi krajami regionu Morza Bałtyckiego. Ponadto</w:t>
      </w:r>
      <w:r w:rsidR="003167EC">
        <w:rPr>
          <w:rFonts w:ascii="Arial" w:hAnsi="Arial" w:cs="Arial"/>
          <w:sz w:val="20"/>
          <w:szCs w:val="20"/>
        </w:rPr>
        <w:t xml:space="preserve"> </w:t>
      </w:r>
      <w:r w:rsidRPr="00BE222C">
        <w:rPr>
          <w:rFonts w:ascii="Arial" w:hAnsi="Arial" w:cs="Arial"/>
          <w:sz w:val="20"/>
          <w:szCs w:val="20"/>
        </w:rPr>
        <w:t xml:space="preserve">przedstawiciel </w:t>
      </w:r>
      <w:r w:rsidR="006A1549">
        <w:rPr>
          <w:rFonts w:ascii="Arial" w:hAnsi="Arial" w:cs="Arial"/>
          <w:sz w:val="20"/>
          <w:szCs w:val="20"/>
        </w:rPr>
        <w:t>RPMB</w:t>
      </w:r>
      <w:r w:rsidRPr="00BE222C">
        <w:rPr>
          <w:rFonts w:ascii="Arial" w:hAnsi="Arial" w:cs="Arial"/>
          <w:sz w:val="20"/>
          <w:szCs w:val="20"/>
        </w:rPr>
        <w:t xml:space="preserve"> wskazał, że w planach jest również zaproszenie Białorusi do współpracy,</w:t>
      </w:r>
      <w:r w:rsidR="003167EC">
        <w:rPr>
          <w:rFonts w:ascii="Arial" w:hAnsi="Arial" w:cs="Arial"/>
          <w:sz w:val="20"/>
          <w:szCs w:val="20"/>
        </w:rPr>
        <w:t xml:space="preserve"> </w:t>
      </w:r>
      <w:r w:rsidRPr="00BE222C">
        <w:rPr>
          <w:rFonts w:ascii="Arial" w:hAnsi="Arial" w:cs="Arial"/>
          <w:sz w:val="20"/>
          <w:szCs w:val="20"/>
        </w:rPr>
        <w:t xml:space="preserve">w związku z jej zaangażowaniem we wdrażanie </w:t>
      </w:r>
      <w:r w:rsidR="009A15C7">
        <w:rPr>
          <w:rFonts w:ascii="Arial" w:hAnsi="Arial" w:cs="Arial"/>
          <w:sz w:val="20"/>
          <w:szCs w:val="20"/>
        </w:rPr>
        <w:t>celów zrównoważonego rozwoju - SDG</w:t>
      </w:r>
      <w:r w:rsidRPr="00BE222C">
        <w:rPr>
          <w:rFonts w:ascii="Arial" w:hAnsi="Arial" w:cs="Arial"/>
          <w:sz w:val="20"/>
          <w:szCs w:val="20"/>
        </w:rPr>
        <w:t xml:space="preserve"> (Białoruś </w:t>
      </w:r>
      <w:r w:rsidR="00797F46">
        <w:rPr>
          <w:rFonts w:ascii="Arial" w:hAnsi="Arial" w:cs="Arial"/>
          <w:sz w:val="20"/>
          <w:szCs w:val="20"/>
        </w:rPr>
        <w:t>zadeklarowała utworzenie grupy</w:t>
      </w:r>
      <w:r w:rsidR="003167EC">
        <w:rPr>
          <w:rFonts w:ascii="Arial" w:hAnsi="Arial" w:cs="Arial"/>
          <w:sz w:val="20"/>
          <w:szCs w:val="20"/>
        </w:rPr>
        <w:t xml:space="preserve"> ekspertów do tego zadania).</w:t>
      </w:r>
    </w:p>
    <w:p w14:paraId="5CAA5EB4" w14:textId="7DAEE86C" w:rsidR="002D5869" w:rsidRPr="00DE6690" w:rsidRDefault="009C4D95" w:rsidP="000F468A">
      <w:pPr>
        <w:pStyle w:val="Nagwek2"/>
        <w:rPr>
          <w:rFonts w:ascii="Arial" w:hAnsi="Arial" w:cs="Arial"/>
          <w:b/>
          <w:sz w:val="20"/>
          <w:szCs w:val="20"/>
        </w:rPr>
      </w:pPr>
      <w:bookmarkStart w:id="14" w:name="_Toc32492909"/>
      <w:bookmarkStart w:id="15" w:name="_Toc72745034"/>
      <w:r w:rsidRPr="00DE6690">
        <w:rPr>
          <w:rFonts w:ascii="Arial" w:hAnsi="Arial" w:cs="Arial"/>
          <w:b/>
          <w:color w:val="auto"/>
          <w:sz w:val="20"/>
          <w:szCs w:val="20"/>
        </w:rPr>
        <w:t>Zaangażowanie Rzeczypospolitej Polskiej na forum ONZ</w:t>
      </w:r>
      <w:r w:rsidR="004C6CC5" w:rsidRPr="00DE6690">
        <w:rPr>
          <w:rFonts w:ascii="Arial" w:hAnsi="Arial" w:cs="Arial"/>
          <w:b/>
          <w:color w:val="auto"/>
          <w:sz w:val="20"/>
          <w:szCs w:val="20"/>
        </w:rPr>
        <w:t xml:space="preserve"> w </w:t>
      </w:r>
      <w:r w:rsidRPr="00DE6690">
        <w:rPr>
          <w:rFonts w:ascii="Arial" w:hAnsi="Arial" w:cs="Arial"/>
          <w:b/>
          <w:color w:val="auto"/>
          <w:sz w:val="20"/>
          <w:szCs w:val="20"/>
        </w:rPr>
        <w:t>dziedzinie prawa morza.</w:t>
      </w:r>
      <w:bookmarkEnd w:id="14"/>
      <w:bookmarkEnd w:id="15"/>
    </w:p>
    <w:p w14:paraId="176B2A94" w14:textId="2365486B" w:rsidR="002D5869" w:rsidRPr="004C6CC5" w:rsidRDefault="002D5869" w:rsidP="00DB209A">
      <w:pPr>
        <w:autoSpaceDE w:val="0"/>
        <w:autoSpaceDN w:val="0"/>
        <w:adjustRightInd w:val="0"/>
        <w:spacing w:before="120" w:after="120" w:line="276" w:lineRule="auto"/>
        <w:jc w:val="both"/>
        <w:rPr>
          <w:rFonts w:ascii="Arial" w:eastAsia="HiddenHorzOCR" w:hAnsi="Arial" w:cs="Arial"/>
          <w:sz w:val="20"/>
          <w:szCs w:val="20"/>
        </w:rPr>
      </w:pPr>
      <w:r w:rsidRPr="004C6CC5">
        <w:rPr>
          <w:rFonts w:ascii="Arial" w:eastAsia="HiddenHorzOCR" w:hAnsi="Arial" w:cs="Arial"/>
          <w:sz w:val="20"/>
          <w:szCs w:val="20"/>
        </w:rPr>
        <w:t>Na forum ONZ dyskutowanych jest szereg zagadnień związanych</w:t>
      </w:r>
      <w:r w:rsidR="004C6CC5">
        <w:rPr>
          <w:rFonts w:ascii="Arial" w:eastAsia="HiddenHorzOCR" w:hAnsi="Arial" w:cs="Arial"/>
          <w:sz w:val="20"/>
          <w:szCs w:val="20"/>
        </w:rPr>
        <w:t xml:space="preserve"> z </w:t>
      </w:r>
      <w:r w:rsidRPr="004C6CC5">
        <w:rPr>
          <w:rFonts w:ascii="Arial" w:eastAsia="HiddenHorzOCR" w:hAnsi="Arial" w:cs="Arial"/>
          <w:sz w:val="20"/>
          <w:szCs w:val="20"/>
        </w:rPr>
        <w:t>międzynarodowym prawem morza</w:t>
      </w:r>
      <w:r w:rsidR="004C6CC5">
        <w:rPr>
          <w:rFonts w:ascii="Arial" w:eastAsia="HiddenHorzOCR" w:hAnsi="Arial" w:cs="Arial"/>
          <w:sz w:val="20"/>
          <w:szCs w:val="20"/>
        </w:rPr>
        <w:t xml:space="preserve"> i </w:t>
      </w:r>
      <w:r w:rsidRPr="004C6CC5">
        <w:rPr>
          <w:rFonts w:ascii="Arial" w:eastAsia="HiddenHorzOCR" w:hAnsi="Arial" w:cs="Arial"/>
          <w:sz w:val="20"/>
          <w:szCs w:val="20"/>
        </w:rPr>
        <w:t>polityką morską. Podstawowym dokumentem</w:t>
      </w:r>
      <w:r w:rsidR="002000B3">
        <w:rPr>
          <w:rFonts w:ascii="Arial" w:eastAsia="HiddenHorzOCR" w:hAnsi="Arial" w:cs="Arial"/>
          <w:sz w:val="20"/>
          <w:szCs w:val="20"/>
        </w:rPr>
        <w:t xml:space="preserve"> w </w:t>
      </w:r>
      <w:r w:rsidRPr="004C6CC5">
        <w:rPr>
          <w:rFonts w:ascii="Arial" w:eastAsia="HiddenHorzOCR" w:hAnsi="Arial" w:cs="Arial"/>
          <w:sz w:val="20"/>
          <w:szCs w:val="20"/>
        </w:rPr>
        <w:t>dziedzinie spraw morskich jest rezolucja Z</w:t>
      </w:r>
      <w:r w:rsidR="009B3D5B">
        <w:rPr>
          <w:rFonts w:ascii="Arial" w:eastAsia="HiddenHorzOCR" w:hAnsi="Arial" w:cs="Arial"/>
          <w:sz w:val="20"/>
          <w:szCs w:val="20"/>
        </w:rPr>
        <w:t xml:space="preserve">gromadzenia </w:t>
      </w:r>
      <w:r w:rsidRPr="004C6CC5">
        <w:rPr>
          <w:rFonts w:ascii="Arial" w:eastAsia="HiddenHorzOCR" w:hAnsi="Arial" w:cs="Arial"/>
          <w:sz w:val="20"/>
          <w:szCs w:val="20"/>
        </w:rPr>
        <w:t>O</w:t>
      </w:r>
      <w:r w:rsidR="009B3D5B">
        <w:rPr>
          <w:rFonts w:ascii="Arial" w:eastAsia="HiddenHorzOCR" w:hAnsi="Arial" w:cs="Arial"/>
          <w:sz w:val="20"/>
          <w:szCs w:val="20"/>
        </w:rPr>
        <w:t>gólnego</w:t>
      </w:r>
      <w:r w:rsidRPr="004C6CC5">
        <w:rPr>
          <w:rFonts w:ascii="Arial" w:eastAsia="HiddenHorzOCR" w:hAnsi="Arial" w:cs="Arial"/>
          <w:sz w:val="20"/>
          <w:szCs w:val="20"/>
        </w:rPr>
        <w:t xml:space="preserve"> N</w:t>
      </w:r>
      <w:r w:rsidR="009B3D5B">
        <w:rPr>
          <w:rFonts w:ascii="Arial" w:eastAsia="HiddenHorzOCR" w:hAnsi="Arial" w:cs="Arial"/>
          <w:sz w:val="20"/>
          <w:szCs w:val="20"/>
        </w:rPr>
        <w:t xml:space="preserve">arodów </w:t>
      </w:r>
      <w:r w:rsidRPr="004C6CC5">
        <w:rPr>
          <w:rFonts w:ascii="Arial" w:eastAsia="HiddenHorzOCR" w:hAnsi="Arial" w:cs="Arial"/>
          <w:sz w:val="20"/>
          <w:szCs w:val="20"/>
        </w:rPr>
        <w:t>Z</w:t>
      </w:r>
      <w:r w:rsidR="009B3D5B">
        <w:rPr>
          <w:rFonts w:ascii="Arial" w:eastAsia="HiddenHorzOCR" w:hAnsi="Arial" w:cs="Arial"/>
          <w:sz w:val="20"/>
          <w:szCs w:val="20"/>
        </w:rPr>
        <w:t>jednoczonych</w:t>
      </w:r>
      <w:r w:rsidRPr="004C6CC5">
        <w:rPr>
          <w:rFonts w:ascii="Arial" w:eastAsia="HiddenHorzOCR" w:hAnsi="Arial" w:cs="Arial"/>
          <w:sz w:val="20"/>
          <w:szCs w:val="20"/>
        </w:rPr>
        <w:t xml:space="preserve"> „Oceany</w:t>
      </w:r>
      <w:r w:rsidR="004C6CC5">
        <w:rPr>
          <w:rFonts w:ascii="Arial" w:eastAsia="HiddenHorzOCR" w:hAnsi="Arial" w:cs="Arial"/>
          <w:sz w:val="20"/>
          <w:szCs w:val="20"/>
        </w:rPr>
        <w:t xml:space="preserve"> i </w:t>
      </w:r>
      <w:r w:rsidRPr="004C6CC5">
        <w:rPr>
          <w:rFonts w:ascii="Arial" w:eastAsia="HiddenHorzOCR" w:hAnsi="Arial" w:cs="Arial"/>
          <w:sz w:val="20"/>
          <w:szCs w:val="20"/>
        </w:rPr>
        <w:t xml:space="preserve">prawo morza”. Jest ona przyjmowana </w:t>
      </w:r>
      <w:r w:rsidRPr="004C6CC5">
        <w:rPr>
          <w:rFonts w:ascii="Arial" w:eastAsia="HiddenHorzOCR" w:hAnsi="Arial" w:cs="Arial"/>
          <w:sz w:val="20"/>
          <w:szCs w:val="20"/>
        </w:rPr>
        <w:lastRenderedPageBreak/>
        <w:t>corocznie przez Zgromadzenie Ogólne</w:t>
      </w:r>
      <w:r w:rsidR="009B3D5B">
        <w:rPr>
          <w:rFonts w:ascii="Arial" w:eastAsia="HiddenHorzOCR" w:hAnsi="Arial" w:cs="Arial"/>
          <w:sz w:val="20"/>
          <w:szCs w:val="20"/>
        </w:rPr>
        <w:t xml:space="preserve"> i </w:t>
      </w:r>
      <w:r w:rsidRPr="004C6CC5">
        <w:rPr>
          <w:rFonts w:ascii="Arial" w:eastAsia="HiddenHorzOCR" w:hAnsi="Arial" w:cs="Arial"/>
          <w:sz w:val="20"/>
          <w:szCs w:val="20"/>
        </w:rPr>
        <w:t>ma charakter horyzontalny, odzwierciedla</w:t>
      </w:r>
      <w:r w:rsidR="009B3D5B">
        <w:rPr>
          <w:rFonts w:ascii="Arial" w:eastAsia="HiddenHorzOCR" w:hAnsi="Arial" w:cs="Arial"/>
          <w:sz w:val="20"/>
          <w:szCs w:val="20"/>
        </w:rPr>
        <w:t>jąc</w:t>
      </w:r>
      <w:r w:rsidR="004C6CC5">
        <w:rPr>
          <w:rFonts w:ascii="Arial" w:eastAsia="HiddenHorzOCR" w:hAnsi="Arial" w:cs="Arial"/>
          <w:sz w:val="20"/>
          <w:szCs w:val="20"/>
        </w:rPr>
        <w:t xml:space="preserve"> w </w:t>
      </w:r>
      <w:r w:rsidRPr="004C6CC5">
        <w:rPr>
          <w:rFonts w:ascii="Arial" w:eastAsia="HiddenHorzOCR" w:hAnsi="Arial" w:cs="Arial"/>
          <w:sz w:val="20"/>
          <w:szCs w:val="20"/>
        </w:rPr>
        <w:t>sposób kompleksowy szereg wydarzeń</w:t>
      </w:r>
      <w:r w:rsidR="004C6CC5">
        <w:rPr>
          <w:rFonts w:ascii="Arial" w:eastAsia="HiddenHorzOCR" w:hAnsi="Arial" w:cs="Arial"/>
          <w:sz w:val="20"/>
          <w:szCs w:val="20"/>
        </w:rPr>
        <w:t xml:space="preserve"> z </w:t>
      </w:r>
      <w:r w:rsidRPr="004C6CC5">
        <w:rPr>
          <w:rFonts w:ascii="Arial" w:eastAsia="HiddenHorzOCR" w:hAnsi="Arial" w:cs="Arial"/>
          <w:sz w:val="20"/>
          <w:szCs w:val="20"/>
        </w:rPr>
        <w:t>danego roku, które miały miejsce</w:t>
      </w:r>
      <w:r w:rsidR="004C6CC5">
        <w:rPr>
          <w:rFonts w:ascii="Arial" w:eastAsia="HiddenHorzOCR" w:hAnsi="Arial" w:cs="Arial"/>
          <w:sz w:val="20"/>
          <w:szCs w:val="20"/>
        </w:rPr>
        <w:t xml:space="preserve"> w </w:t>
      </w:r>
      <w:r w:rsidRPr="004C6CC5">
        <w:rPr>
          <w:rFonts w:ascii="Arial" w:eastAsia="HiddenHorzOCR" w:hAnsi="Arial" w:cs="Arial"/>
          <w:sz w:val="20"/>
          <w:szCs w:val="20"/>
        </w:rPr>
        <w:t>dziedzinie prawa</w:t>
      </w:r>
      <w:r w:rsidR="004C6CC5">
        <w:rPr>
          <w:rFonts w:ascii="Arial" w:eastAsia="HiddenHorzOCR" w:hAnsi="Arial" w:cs="Arial"/>
          <w:sz w:val="20"/>
          <w:szCs w:val="20"/>
        </w:rPr>
        <w:t xml:space="preserve"> i </w:t>
      </w:r>
      <w:r w:rsidRPr="004C6CC5">
        <w:rPr>
          <w:rFonts w:ascii="Arial" w:eastAsia="HiddenHorzOCR" w:hAnsi="Arial" w:cs="Arial"/>
          <w:sz w:val="20"/>
          <w:szCs w:val="20"/>
        </w:rPr>
        <w:t>polityki morskiej. Przegląd podejmowanych</w:t>
      </w:r>
      <w:r w:rsidR="004C6CC5">
        <w:rPr>
          <w:rFonts w:ascii="Arial" w:eastAsia="HiddenHorzOCR" w:hAnsi="Arial" w:cs="Arial"/>
          <w:sz w:val="20"/>
          <w:szCs w:val="20"/>
        </w:rPr>
        <w:t xml:space="preserve"> w </w:t>
      </w:r>
      <w:r w:rsidRPr="004C6CC5">
        <w:rPr>
          <w:rFonts w:ascii="Arial" w:eastAsia="HiddenHorzOCR" w:hAnsi="Arial" w:cs="Arial"/>
          <w:sz w:val="20"/>
          <w:szCs w:val="20"/>
        </w:rPr>
        <w:t>niej zagadnień daje wykaz poszczególnych jej rozdziałów, poświęconych m.in. implementacji Konwencji o prawie morza (UNCLOS)</w:t>
      </w:r>
      <w:r w:rsidR="004C6CC5">
        <w:rPr>
          <w:rFonts w:ascii="Arial" w:eastAsia="HiddenHorzOCR" w:hAnsi="Arial" w:cs="Arial"/>
          <w:sz w:val="20"/>
          <w:szCs w:val="20"/>
        </w:rPr>
        <w:t xml:space="preserve"> i </w:t>
      </w:r>
      <w:r w:rsidRPr="004C6CC5">
        <w:rPr>
          <w:rFonts w:ascii="Arial" w:eastAsia="HiddenHorzOCR" w:hAnsi="Arial" w:cs="Arial"/>
          <w:sz w:val="20"/>
          <w:szCs w:val="20"/>
        </w:rPr>
        <w:t>powiązanych umów międzynarodowych, spotkaniu Państw-Stron Konwencji o prawie morza, pokojowemu rozwiązywaniu sporów dotyczących prawa morza, efektywnemu funkcjonowaniu Międzynarodowej Organizacji Dna Morskiego oraz Międzynarodowego Trybunału Prawa Morza, szelfowi kontynentalnemu</w:t>
      </w:r>
      <w:r w:rsidR="004C6CC5">
        <w:rPr>
          <w:rFonts w:ascii="Arial" w:eastAsia="HiddenHorzOCR" w:hAnsi="Arial" w:cs="Arial"/>
          <w:sz w:val="20"/>
          <w:szCs w:val="20"/>
        </w:rPr>
        <w:t xml:space="preserve"> i </w:t>
      </w:r>
      <w:r w:rsidRPr="004C6CC5">
        <w:rPr>
          <w:rFonts w:ascii="Arial" w:eastAsia="HiddenHorzOCR" w:hAnsi="Arial" w:cs="Arial"/>
          <w:sz w:val="20"/>
          <w:szCs w:val="20"/>
        </w:rPr>
        <w:t>pracy Komisji Granic Szelfu Kontynentalnego, bezpieczeństwu morskiemu, środowisku morskiemu oraz zasobom morskim, biologicznej różnorodności morskiej, wiedzy na temat oceanów, procesowi raportowania</w:t>
      </w:r>
      <w:r w:rsidR="004C6CC5">
        <w:rPr>
          <w:rFonts w:ascii="Arial" w:eastAsia="HiddenHorzOCR" w:hAnsi="Arial" w:cs="Arial"/>
          <w:sz w:val="20"/>
          <w:szCs w:val="20"/>
        </w:rPr>
        <w:t xml:space="preserve"> i </w:t>
      </w:r>
      <w:r w:rsidRPr="004C6CC5">
        <w:rPr>
          <w:rFonts w:ascii="Arial" w:eastAsia="HiddenHorzOCR" w:hAnsi="Arial" w:cs="Arial"/>
          <w:sz w:val="20"/>
          <w:szCs w:val="20"/>
        </w:rPr>
        <w:t>oceny dotyczących stanu środowiska morskiego, współpracy regionalnej, a także koordynacji</w:t>
      </w:r>
      <w:r w:rsidR="004C6CC5">
        <w:rPr>
          <w:rFonts w:ascii="Arial" w:eastAsia="HiddenHorzOCR" w:hAnsi="Arial" w:cs="Arial"/>
          <w:sz w:val="20"/>
          <w:szCs w:val="20"/>
        </w:rPr>
        <w:t xml:space="preserve"> i </w:t>
      </w:r>
      <w:r w:rsidRPr="004C6CC5">
        <w:rPr>
          <w:rFonts w:ascii="Arial" w:eastAsia="HiddenHorzOCR" w:hAnsi="Arial" w:cs="Arial"/>
          <w:sz w:val="20"/>
          <w:szCs w:val="20"/>
        </w:rPr>
        <w:t>kooperacji. Zgromadzenie Ogólne N</w:t>
      </w:r>
      <w:r w:rsidR="00540DD7">
        <w:rPr>
          <w:rFonts w:ascii="Arial" w:eastAsia="HiddenHorzOCR" w:hAnsi="Arial" w:cs="Arial"/>
          <w:sz w:val="20"/>
          <w:szCs w:val="20"/>
        </w:rPr>
        <w:t xml:space="preserve">arodów </w:t>
      </w:r>
      <w:r w:rsidRPr="004C6CC5">
        <w:rPr>
          <w:rFonts w:ascii="Arial" w:eastAsia="HiddenHorzOCR" w:hAnsi="Arial" w:cs="Arial"/>
          <w:sz w:val="20"/>
          <w:szCs w:val="20"/>
        </w:rPr>
        <w:t>Z</w:t>
      </w:r>
      <w:r w:rsidR="00540DD7">
        <w:rPr>
          <w:rFonts w:ascii="Arial" w:eastAsia="HiddenHorzOCR" w:hAnsi="Arial" w:cs="Arial"/>
          <w:sz w:val="20"/>
          <w:szCs w:val="20"/>
        </w:rPr>
        <w:t>jednoczonych</w:t>
      </w:r>
      <w:r w:rsidRPr="004C6CC5">
        <w:rPr>
          <w:rFonts w:ascii="Arial" w:eastAsia="HiddenHorzOCR" w:hAnsi="Arial" w:cs="Arial"/>
          <w:sz w:val="20"/>
          <w:szCs w:val="20"/>
        </w:rPr>
        <w:t xml:space="preserve"> przyjmuje również corocznie rezolucję dotyczącą „Zrównoważonego rybołówstwa”.</w:t>
      </w:r>
      <w:r w:rsidR="004C6CC5">
        <w:rPr>
          <w:rFonts w:ascii="Arial" w:eastAsia="HiddenHorzOCR" w:hAnsi="Arial" w:cs="Arial"/>
          <w:sz w:val="20"/>
          <w:szCs w:val="20"/>
        </w:rPr>
        <w:t xml:space="preserve"> </w:t>
      </w:r>
      <w:r w:rsidR="00E36ADE">
        <w:rPr>
          <w:rFonts w:ascii="Arial" w:eastAsia="HiddenHorzOCR" w:hAnsi="Arial" w:cs="Arial"/>
          <w:sz w:val="20"/>
          <w:szCs w:val="20"/>
        </w:rPr>
        <w:t>W</w:t>
      </w:r>
      <w:r w:rsidR="004C6CC5">
        <w:rPr>
          <w:rFonts w:ascii="Arial" w:eastAsia="HiddenHorzOCR" w:hAnsi="Arial" w:cs="Arial"/>
          <w:sz w:val="20"/>
          <w:szCs w:val="20"/>
        </w:rPr>
        <w:t> </w:t>
      </w:r>
      <w:r w:rsidRPr="004C6CC5">
        <w:rPr>
          <w:rFonts w:ascii="Arial" w:eastAsia="HiddenHorzOCR" w:hAnsi="Arial" w:cs="Arial"/>
          <w:sz w:val="20"/>
          <w:szCs w:val="20"/>
        </w:rPr>
        <w:t>tym zakresie,</w:t>
      </w:r>
      <w:r w:rsidR="004C6CC5">
        <w:rPr>
          <w:rFonts w:ascii="Arial" w:eastAsia="HiddenHorzOCR" w:hAnsi="Arial" w:cs="Arial"/>
          <w:sz w:val="20"/>
          <w:szCs w:val="20"/>
        </w:rPr>
        <w:t xml:space="preserve"> z </w:t>
      </w:r>
      <w:r w:rsidRPr="004C6CC5">
        <w:rPr>
          <w:rFonts w:ascii="Arial" w:eastAsia="HiddenHorzOCR" w:hAnsi="Arial" w:cs="Arial"/>
          <w:sz w:val="20"/>
          <w:szCs w:val="20"/>
        </w:rPr>
        <w:t>uwagi na podział kompetencji między UE</w:t>
      </w:r>
      <w:r w:rsidR="004C6CC5">
        <w:rPr>
          <w:rFonts w:ascii="Arial" w:eastAsia="HiddenHorzOCR" w:hAnsi="Arial" w:cs="Arial"/>
          <w:sz w:val="20"/>
          <w:szCs w:val="20"/>
        </w:rPr>
        <w:t xml:space="preserve"> i </w:t>
      </w:r>
      <w:r w:rsidRPr="004C6CC5">
        <w:rPr>
          <w:rFonts w:ascii="Arial" w:eastAsia="HiddenHorzOCR" w:hAnsi="Arial" w:cs="Arial"/>
          <w:sz w:val="20"/>
          <w:szCs w:val="20"/>
        </w:rPr>
        <w:t>jej państwa członkowskie, konsultacje</w:t>
      </w:r>
      <w:r w:rsidR="00E36ADE">
        <w:rPr>
          <w:rFonts w:ascii="Arial" w:eastAsia="HiddenHorzOCR" w:hAnsi="Arial" w:cs="Arial"/>
          <w:sz w:val="20"/>
          <w:szCs w:val="20"/>
        </w:rPr>
        <w:t xml:space="preserve"> w </w:t>
      </w:r>
      <w:r w:rsidRPr="004C6CC5">
        <w:rPr>
          <w:rFonts w:ascii="Arial" w:eastAsia="HiddenHorzOCR" w:hAnsi="Arial" w:cs="Arial"/>
          <w:sz w:val="20"/>
          <w:szCs w:val="20"/>
        </w:rPr>
        <w:t>imieniu UE oraz państw członkowskich prowadzi Komisja Europejska.</w:t>
      </w:r>
    </w:p>
    <w:p w14:paraId="325AF12A" w14:textId="4469AAB0" w:rsidR="002D5869" w:rsidRPr="000F468A" w:rsidRDefault="002D5869" w:rsidP="00DB209A">
      <w:pPr>
        <w:autoSpaceDE w:val="0"/>
        <w:autoSpaceDN w:val="0"/>
        <w:adjustRightInd w:val="0"/>
        <w:spacing w:line="276" w:lineRule="auto"/>
        <w:jc w:val="both"/>
        <w:rPr>
          <w:rFonts w:ascii="Arial" w:eastAsia="HiddenHorzOCR" w:hAnsi="Arial" w:cs="Arial"/>
          <w:sz w:val="20"/>
          <w:szCs w:val="20"/>
        </w:rPr>
      </w:pPr>
      <w:r w:rsidRPr="000F468A">
        <w:rPr>
          <w:rFonts w:ascii="Arial" w:eastAsia="HiddenHorzOCR" w:hAnsi="Arial" w:cs="Arial"/>
          <w:sz w:val="20"/>
          <w:szCs w:val="20"/>
        </w:rPr>
        <w:t>W 2019 r. odbyły się dwa posiedzenia Międzyrządowej Konferencji odpowiedzialnej na forum ONZ za wypracowanie tekstu Porozumienia implementacyjnego Konwencji o prawie morza</w:t>
      </w:r>
      <w:r w:rsidR="004C6CC5">
        <w:rPr>
          <w:rFonts w:ascii="Arial" w:eastAsia="HiddenHorzOCR" w:hAnsi="Arial" w:cs="Arial"/>
          <w:sz w:val="20"/>
          <w:szCs w:val="20"/>
        </w:rPr>
        <w:t xml:space="preserve"> z </w:t>
      </w:r>
      <w:r w:rsidRPr="000F468A">
        <w:rPr>
          <w:rFonts w:ascii="Arial" w:eastAsia="HiddenHorzOCR" w:hAnsi="Arial" w:cs="Arial"/>
          <w:sz w:val="20"/>
          <w:szCs w:val="20"/>
        </w:rPr>
        <w:t>1982 r.</w:t>
      </w:r>
      <w:r w:rsidR="004C6CC5">
        <w:rPr>
          <w:rFonts w:ascii="Arial" w:eastAsia="HiddenHorzOCR" w:hAnsi="Arial" w:cs="Arial"/>
          <w:sz w:val="20"/>
          <w:szCs w:val="20"/>
        </w:rPr>
        <w:t xml:space="preserve"> w </w:t>
      </w:r>
      <w:r w:rsidRPr="000F468A">
        <w:rPr>
          <w:rFonts w:ascii="Arial" w:eastAsia="HiddenHorzOCR" w:hAnsi="Arial" w:cs="Arial"/>
          <w:sz w:val="20"/>
          <w:szCs w:val="20"/>
        </w:rPr>
        <w:t>sprawie ochrony</w:t>
      </w:r>
      <w:r w:rsidR="00E36ADE">
        <w:rPr>
          <w:rFonts w:ascii="Arial" w:eastAsia="HiddenHorzOCR" w:hAnsi="Arial" w:cs="Arial"/>
          <w:sz w:val="20"/>
          <w:szCs w:val="20"/>
        </w:rPr>
        <w:t xml:space="preserve"> i </w:t>
      </w:r>
      <w:r w:rsidRPr="000F468A">
        <w:rPr>
          <w:rFonts w:ascii="Arial" w:eastAsia="HiddenHorzOCR" w:hAnsi="Arial" w:cs="Arial"/>
          <w:sz w:val="20"/>
          <w:szCs w:val="20"/>
        </w:rPr>
        <w:t xml:space="preserve">zrównoważonego wykorzystania morskiej różnorodności biologicznej poza granicami </w:t>
      </w:r>
      <w:r w:rsidR="00E36ADE">
        <w:rPr>
          <w:rFonts w:ascii="Arial" w:eastAsia="HiddenHorzOCR" w:hAnsi="Arial" w:cs="Arial"/>
          <w:sz w:val="20"/>
          <w:szCs w:val="20"/>
        </w:rPr>
        <w:t>jurysdykcji państw. Z</w:t>
      </w:r>
      <w:r w:rsidRPr="000F468A">
        <w:rPr>
          <w:rFonts w:ascii="Arial" w:eastAsia="HiddenHorzOCR" w:hAnsi="Arial" w:cs="Arial"/>
          <w:sz w:val="20"/>
          <w:szCs w:val="20"/>
        </w:rPr>
        <w:t>aplanowane jest jeszcze jedno posiedzenie Konferencji</w:t>
      </w:r>
      <w:r w:rsidR="00E36ADE">
        <w:rPr>
          <w:rFonts w:ascii="Arial" w:eastAsia="HiddenHorzOCR" w:hAnsi="Arial" w:cs="Arial"/>
          <w:sz w:val="20"/>
          <w:szCs w:val="20"/>
        </w:rPr>
        <w:t>.</w:t>
      </w:r>
    </w:p>
    <w:p w14:paraId="65E2A7AF" w14:textId="71FFA0C7" w:rsidR="002D5869" w:rsidRPr="000F468A" w:rsidRDefault="002D5869" w:rsidP="00DB209A">
      <w:pPr>
        <w:autoSpaceDE w:val="0"/>
        <w:autoSpaceDN w:val="0"/>
        <w:adjustRightInd w:val="0"/>
        <w:spacing w:line="276" w:lineRule="auto"/>
        <w:jc w:val="both"/>
        <w:rPr>
          <w:rFonts w:ascii="Arial" w:eastAsia="HiddenHorzOCR" w:hAnsi="Arial" w:cs="Arial"/>
          <w:sz w:val="20"/>
          <w:szCs w:val="20"/>
        </w:rPr>
      </w:pPr>
      <w:r w:rsidRPr="000F468A">
        <w:rPr>
          <w:rFonts w:ascii="Arial" w:eastAsia="HiddenHorzOCR" w:hAnsi="Arial" w:cs="Arial"/>
          <w:sz w:val="20"/>
          <w:szCs w:val="20"/>
        </w:rPr>
        <w:t>Do innych spotkań na forum ONZ mających znaczenie dla reżimu prawnego mórz</w:t>
      </w:r>
      <w:r w:rsidR="004C6CC5">
        <w:rPr>
          <w:rFonts w:ascii="Arial" w:eastAsia="HiddenHorzOCR" w:hAnsi="Arial" w:cs="Arial"/>
          <w:sz w:val="20"/>
          <w:szCs w:val="20"/>
        </w:rPr>
        <w:t xml:space="preserve"> i </w:t>
      </w:r>
      <w:r w:rsidRPr="000F468A">
        <w:rPr>
          <w:rFonts w:ascii="Arial" w:eastAsia="HiddenHorzOCR" w:hAnsi="Arial" w:cs="Arial"/>
          <w:sz w:val="20"/>
          <w:szCs w:val="20"/>
        </w:rPr>
        <w:t>oceanów zaliczyć należy 29. spotkanie Państw-Stron Konwencji o prawie morza, które odbyło się</w:t>
      </w:r>
      <w:r w:rsidR="004C6CC5">
        <w:rPr>
          <w:rFonts w:ascii="Arial" w:eastAsia="HiddenHorzOCR" w:hAnsi="Arial" w:cs="Arial"/>
          <w:sz w:val="20"/>
          <w:szCs w:val="20"/>
        </w:rPr>
        <w:t xml:space="preserve"> w </w:t>
      </w:r>
      <w:r w:rsidRPr="000F468A">
        <w:rPr>
          <w:rFonts w:ascii="Arial" w:eastAsia="HiddenHorzOCR" w:hAnsi="Arial" w:cs="Arial"/>
          <w:sz w:val="20"/>
          <w:szCs w:val="20"/>
        </w:rPr>
        <w:t>dniach 17</w:t>
      </w:r>
      <w:r w:rsidR="00B9199B">
        <w:rPr>
          <w:rFonts w:ascii="Arial" w:eastAsia="HiddenHorzOCR" w:hAnsi="Arial" w:cs="Arial"/>
          <w:sz w:val="20"/>
          <w:szCs w:val="20"/>
        </w:rPr>
        <w:t xml:space="preserve"> </w:t>
      </w:r>
      <w:r w:rsidRPr="000F468A">
        <w:rPr>
          <w:rFonts w:ascii="Arial" w:eastAsia="HiddenHorzOCR" w:hAnsi="Arial" w:cs="Arial"/>
          <w:sz w:val="20"/>
          <w:szCs w:val="20"/>
        </w:rPr>
        <w:t>-</w:t>
      </w:r>
      <w:r w:rsidR="00B9199B">
        <w:rPr>
          <w:rFonts w:ascii="Arial" w:eastAsia="HiddenHorzOCR" w:hAnsi="Arial" w:cs="Arial"/>
          <w:sz w:val="20"/>
          <w:szCs w:val="20"/>
        </w:rPr>
        <w:t xml:space="preserve"> </w:t>
      </w:r>
      <w:r w:rsidRPr="000F468A">
        <w:rPr>
          <w:rFonts w:ascii="Arial" w:eastAsia="HiddenHorzOCR" w:hAnsi="Arial" w:cs="Arial"/>
          <w:sz w:val="20"/>
          <w:szCs w:val="20"/>
        </w:rPr>
        <w:t>19 czerwca 2019 r.</w:t>
      </w:r>
    </w:p>
    <w:p w14:paraId="7842A8D5" w14:textId="13B25B7A" w:rsidR="001532AE" w:rsidRPr="00646A84" w:rsidRDefault="00970639" w:rsidP="00646A84">
      <w:pPr>
        <w:pStyle w:val="Nagwek2"/>
        <w:spacing w:before="120" w:after="120"/>
        <w:jc w:val="both"/>
        <w:rPr>
          <w:rFonts w:ascii="Arial" w:hAnsi="Arial" w:cs="Arial"/>
          <w:b/>
          <w:color w:val="auto"/>
          <w:sz w:val="20"/>
          <w:szCs w:val="20"/>
        </w:rPr>
      </w:pPr>
      <w:bookmarkStart w:id="16" w:name="_Toc32492910"/>
      <w:bookmarkStart w:id="17" w:name="_Toc72745035"/>
      <w:r w:rsidRPr="001532AE">
        <w:rPr>
          <w:rFonts w:ascii="Arial" w:hAnsi="Arial" w:cs="Arial"/>
          <w:b/>
          <w:color w:val="auto"/>
          <w:sz w:val="20"/>
          <w:szCs w:val="20"/>
        </w:rPr>
        <w:t>Ważniejsze wydarzenia 201</w:t>
      </w:r>
      <w:r w:rsidR="00071C36" w:rsidRPr="001532AE">
        <w:rPr>
          <w:rFonts w:ascii="Arial" w:hAnsi="Arial" w:cs="Arial"/>
          <w:b/>
          <w:color w:val="auto"/>
          <w:sz w:val="20"/>
          <w:szCs w:val="20"/>
        </w:rPr>
        <w:t>9</w:t>
      </w:r>
      <w:r w:rsidRPr="001532AE">
        <w:rPr>
          <w:rFonts w:ascii="Arial" w:hAnsi="Arial" w:cs="Arial"/>
          <w:b/>
          <w:color w:val="auto"/>
          <w:sz w:val="20"/>
          <w:szCs w:val="20"/>
        </w:rPr>
        <w:t xml:space="preserve"> roku związane</w:t>
      </w:r>
      <w:r w:rsidR="004C6CC5" w:rsidRPr="001532AE">
        <w:rPr>
          <w:rFonts w:ascii="Arial" w:hAnsi="Arial" w:cs="Arial"/>
          <w:b/>
          <w:color w:val="auto"/>
          <w:sz w:val="20"/>
          <w:szCs w:val="20"/>
        </w:rPr>
        <w:t xml:space="preserve"> z </w:t>
      </w:r>
      <w:r w:rsidRPr="001532AE">
        <w:rPr>
          <w:rFonts w:ascii="Arial" w:hAnsi="Arial" w:cs="Arial"/>
          <w:b/>
          <w:color w:val="auto"/>
          <w:sz w:val="20"/>
          <w:szCs w:val="20"/>
        </w:rPr>
        <w:t>tematyką morską.</w:t>
      </w:r>
      <w:bookmarkEnd w:id="16"/>
      <w:bookmarkEnd w:id="17"/>
    </w:p>
    <w:p w14:paraId="3016C89D" w14:textId="77777777" w:rsidR="00E63889" w:rsidRPr="000F468A" w:rsidRDefault="00E63889" w:rsidP="003C6ECA">
      <w:pPr>
        <w:pStyle w:val="Akapitzlist"/>
        <w:numPr>
          <w:ilvl w:val="0"/>
          <w:numId w:val="27"/>
        </w:numPr>
        <w:spacing w:before="120" w:after="120" w:line="276" w:lineRule="auto"/>
        <w:jc w:val="both"/>
        <w:rPr>
          <w:rFonts w:ascii="Arial" w:hAnsi="Arial" w:cs="Arial"/>
          <w:b/>
          <w:sz w:val="20"/>
          <w:szCs w:val="20"/>
        </w:rPr>
      </w:pPr>
      <w:r w:rsidRPr="000F468A">
        <w:rPr>
          <w:rFonts w:ascii="Arial" w:hAnsi="Arial" w:cs="Arial"/>
          <w:b/>
          <w:sz w:val="20"/>
          <w:szCs w:val="20"/>
        </w:rPr>
        <w:t>Rejs Niepodległości</w:t>
      </w:r>
    </w:p>
    <w:p w14:paraId="751AEBE0" w14:textId="569E1741" w:rsidR="00E63889" w:rsidRPr="004C6CC5" w:rsidRDefault="00E63889" w:rsidP="00646A84">
      <w:pPr>
        <w:spacing w:before="120" w:after="120" w:line="276" w:lineRule="auto"/>
        <w:jc w:val="both"/>
        <w:rPr>
          <w:rFonts w:ascii="Arial" w:hAnsi="Arial" w:cs="Arial"/>
          <w:sz w:val="20"/>
          <w:szCs w:val="20"/>
        </w:rPr>
      </w:pPr>
      <w:r w:rsidRPr="004C6CC5">
        <w:rPr>
          <w:rFonts w:ascii="Arial" w:hAnsi="Arial" w:cs="Arial"/>
          <w:sz w:val="20"/>
          <w:szCs w:val="20"/>
        </w:rPr>
        <w:t xml:space="preserve">W 2019 r. zakończył się zainagurowany </w:t>
      </w:r>
      <w:r w:rsidR="001F1C49">
        <w:rPr>
          <w:rFonts w:ascii="Arial" w:hAnsi="Arial" w:cs="Arial"/>
          <w:sz w:val="20"/>
          <w:szCs w:val="20"/>
        </w:rPr>
        <w:t xml:space="preserve">w dniu </w:t>
      </w:r>
      <w:r w:rsidRPr="004C6CC5">
        <w:rPr>
          <w:rFonts w:ascii="Arial" w:hAnsi="Arial" w:cs="Arial"/>
          <w:sz w:val="20"/>
          <w:szCs w:val="20"/>
        </w:rPr>
        <w:t>20 maja 2018 r.</w:t>
      </w:r>
      <w:r w:rsidR="004C6CC5">
        <w:rPr>
          <w:rFonts w:ascii="Arial" w:hAnsi="Arial" w:cs="Arial"/>
          <w:sz w:val="20"/>
          <w:szCs w:val="20"/>
        </w:rPr>
        <w:t xml:space="preserve"> </w:t>
      </w:r>
      <w:r w:rsidR="00716B56">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Gdyni</w:t>
      </w:r>
      <w:r w:rsidR="001F1C49">
        <w:rPr>
          <w:rFonts w:ascii="Arial" w:hAnsi="Arial" w:cs="Arial"/>
          <w:sz w:val="20"/>
          <w:szCs w:val="20"/>
        </w:rPr>
        <w:t xml:space="preserve"> Rejs Niepodległości. Żaglowiec </w:t>
      </w:r>
      <w:r w:rsidR="00335F36">
        <w:rPr>
          <w:rFonts w:ascii="Arial" w:hAnsi="Arial" w:cs="Arial"/>
          <w:sz w:val="20"/>
          <w:szCs w:val="20"/>
        </w:rPr>
        <w:t xml:space="preserve">„Dar Młodzieży” </w:t>
      </w:r>
      <w:r w:rsidR="001F1C49">
        <w:rPr>
          <w:rFonts w:ascii="Arial" w:hAnsi="Arial" w:cs="Arial"/>
          <w:sz w:val="20"/>
          <w:szCs w:val="20"/>
        </w:rPr>
        <w:t>podczas całej trasy</w:t>
      </w:r>
      <w:r w:rsidRPr="004C6CC5">
        <w:rPr>
          <w:rFonts w:ascii="Arial" w:hAnsi="Arial" w:cs="Arial"/>
          <w:sz w:val="20"/>
          <w:szCs w:val="20"/>
        </w:rPr>
        <w:t xml:space="preserve"> był obecny</w:t>
      </w:r>
      <w:r w:rsidR="004C6CC5">
        <w:rPr>
          <w:rFonts w:ascii="Arial" w:hAnsi="Arial" w:cs="Arial"/>
          <w:sz w:val="20"/>
          <w:szCs w:val="20"/>
        </w:rPr>
        <w:t xml:space="preserve"> w </w:t>
      </w:r>
      <w:r w:rsidRPr="004C6CC5">
        <w:rPr>
          <w:rFonts w:ascii="Arial" w:hAnsi="Arial" w:cs="Arial"/>
          <w:sz w:val="20"/>
          <w:szCs w:val="20"/>
        </w:rPr>
        <w:t>23 portach rozsianych po całej kuli ziemskiej, a</w:t>
      </w:r>
      <w:r w:rsidR="004C6CC5">
        <w:rPr>
          <w:rFonts w:ascii="Arial" w:hAnsi="Arial" w:cs="Arial"/>
          <w:sz w:val="20"/>
          <w:szCs w:val="20"/>
        </w:rPr>
        <w:t xml:space="preserve"> w </w:t>
      </w:r>
      <w:r w:rsidR="001F1C49">
        <w:rPr>
          <w:rFonts w:ascii="Arial" w:hAnsi="Arial" w:cs="Arial"/>
          <w:sz w:val="20"/>
          <w:szCs w:val="20"/>
        </w:rPr>
        <w:t>roku 2019</w:t>
      </w:r>
      <w:r w:rsidRPr="004C6CC5">
        <w:rPr>
          <w:rFonts w:ascii="Arial" w:hAnsi="Arial" w:cs="Arial"/>
          <w:sz w:val="20"/>
          <w:szCs w:val="20"/>
        </w:rPr>
        <w:t xml:space="preserve"> zawinął do portów w: Acapulco (9-11</w:t>
      </w:r>
      <w:r w:rsidR="00C201E9">
        <w:rPr>
          <w:rFonts w:ascii="Arial" w:hAnsi="Arial" w:cs="Arial"/>
          <w:sz w:val="20"/>
          <w:szCs w:val="20"/>
        </w:rPr>
        <w:t xml:space="preserve"> stycznia</w:t>
      </w:r>
      <w:r w:rsidRPr="004C6CC5">
        <w:rPr>
          <w:rFonts w:ascii="Arial" w:hAnsi="Arial" w:cs="Arial"/>
          <w:sz w:val="20"/>
          <w:szCs w:val="20"/>
        </w:rPr>
        <w:t>), Panamie (22-28</w:t>
      </w:r>
      <w:r w:rsidR="00C201E9">
        <w:rPr>
          <w:rFonts w:ascii="Arial" w:hAnsi="Arial" w:cs="Arial"/>
          <w:sz w:val="20"/>
          <w:szCs w:val="20"/>
        </w:rPr>
        <w:t xml:space="preserve"> stycznia</w:t>
      </w:r>
      <w:r w:rsidRPr="004C6CC5">
        <w:rPr>
          <w:rFonts w:ascii="Arial" w:hAnsi="Arial" w:cs="Arial"/>
          <w:sz w:val="20"/>
          <w:szCs w:val="20"/>
        </w:rPr>
        <w:t>), Kartagenie (30</w:t>
      </w:r>
      <w:r w:rsidR="00571300">
        <w:rPr>
          <w:rFonts w:ascii="Arial" w:hAnsi="Arial" w:cs="Arial"/>
          <w:sz w:val="20"/>
          <w:szCs w:val="20"/>
        </w:rPr>
        <w:t xml:space="preserve"> stycznia-</w:t>
      </w:r>
      <w:r w:rsidRPr="004C6CC5">
        <w:rPr>
          <w:rFonts w:ascii="Arial" w:hAnsi="Arial" w:cs="Arial"/>
          <w:sz w:val="20"/>
          <w:szCs w:val="20"/>
        </w:rPr>
        <w:t>1</w:t>
      </w:r>
      <w:r w:rsidR="00C201E9">
        <w:rPr>
          <w:rFonts w:ascii="Arial" w:hAnsi="Arial" w:cs="Arial"/>
          <w:sz w:val="20"/>
          <w:szCs w:val="20"/>
        </w:rPr>
        <w:t xml:space="preserve"> lutego</w:t>
      </w:r>
      <w:r w:rsidRPr="004C6CC5">
        <w:rPr>
          <w:rFonts w:ascii="Arial" w:hAnsi="Arial" w:cs="Arial"/>
          <w:sz w:val="20"/>
          <w:szCs w:val="20"/>
        </w:rPr>
        <w:t>), Miami (9-11</w:t>
      </w:r>
      <w:r w:rsidR="00C201E9">
        <w:rPr>
          <w:rFonts w:ascii="Arial" w:hAnsi="Arial" w:cs="Arial"/>
          <w:sz w:val="20"/>
          <w:szCs w:val="20"/>
        </w:rPr>
        <w:t xml:space="preserve"> lutego</w:t>
      </w:r>
      <w:r w:rsidR="00571300">
        <w:rPr>
          <w:rFonts w:ascii="Arial" w:hAnsi="Arial" w:cs="Arial"/>
          <w:sz w:val="20"/>
          <w:szCs w:val="20"/>
        </w:rPr>
        <w:t>), Ponta Delgada (4-</w:t>
      </w:r>
      <w:r w:rsidRPr="004C6CC5">
        <w:rPr>
          <w:rFonts w:ascii="Arial" w:hAnsi="Arial" w:cs="Arial"/>
          <w:sz w:val="20"/>
          <w:szCs w:val="20"/>
        </w:rPr>
        <w:t>6</w:t>
      </w:r>
      <w:r w:rsidR="00571300">
        <w:rPr>
          <w:rFonts w:ascii="Arial" w:hAnsi="Arial" w:cs="Arial"/>
          <w:sz w:val="20"/>
          <w:szCs w:val="20"/>
        </w:rPr>
        <w:t xml:space="preserve"> marca</w:t>
      </w:r>
      <w:r w:rsidRPr="004C6CC5">
        <w:rPr>
          <w:rFonts w:ascii="Arial" w:hAnsi="Arial" w:cs="Arial"/>
          <w:sz w:val="20"/>
          <w:szCs w:val="20"/>
        </w:rPr>
        <w:t>), Londynie (18-20</w:t>
      </w:r>
      <w:r w:rsidR="00571300">
        <w:rPr>
          <w:rFonts w:ascii="Arial" w:hAnsi="Arial" w:cs="Arial"/>
          <w:sz w:val="20"/>
          <w:szCs w:val="20"/>
        </w:rPr>
        <w:t xml:space="preserve"> marca</w:t>
      </w:r>
      <w:r w:rsidRPr="004C6CC5">
        <w:rPr>
          <w:rFonts w:ascii="Arial" w:hAnsi="Arial" w:cs="Arial"/>
          <w:sz w:val="20"/>
          <w:szCs w:val="20"/>
        </w:rPr>
        <w:t>)</w:t>
      </w:r>
      <w:r w:rsidR="004C6CC5">
        <w:rPr>
          <w:rFonts w:ascii="Arial" w:hAnsi="Arial" w:cs="Arial"/>
          <w:sz w:val="20"/>
          <w:szCs w:val="20"/>
        </w:rPr>
        <w:t xml:space="preserve"> i </w:t>
      </w:r>
      <w:r w:rsidR="00571300">
        <w:rPr>
          <w:rFonts w:ascii="Arial" w:hAnsi="Arial" w:cs="Arial"/>
          <w:sz w:val="20"/>
          <w:szCs w:val="20"/>
        </w:rPr>
        <w:t>Gdyni (28 marca</w:t>
      </w:r>
      <w:r w:rsidRPr="004C6CC5">
        <w:rPr>
          <w:rFonts w:ascii="Arial" w:hAnsi="Arial" w:cs="Arial"/>
          <w:sz w:val="20"/>
          <w:szCs w:val="20"/>
        </w:rPr>
        <w:t xml:space="preserve">). </w:t>
      </w:r>
    </w:p>
    <w:p w14:paraId="24D7DD19" w14:textId="52445422" w:rsidR="00E63889" w:rsidRPr="004C6CC5" w:rsidRDefault="00E63889" w:rsidP="00E63889">
      <w:pPr>
        <w:spacing w:before="120" w:after="120" w:line="276" w:lineRule="auto"/>
        <w:jc w:val="both"/>
        <w:rPr>
          <w:rFonts w:ascii="Arial" w:hAnsi="Arial" w:cs="Arial"/>
          <w:sz w:val="20"/>
          <w:szCs w:val="20"/>
        </w:rPr>
      </w:pPr>
      <w:r w:rsidRPr="004C6CC5">
        <w:rPr>
          <w:rFonts w:ascii="Arial" w:hAnsi="Arial" w:cs="Arial"/>
          <w:sz w:val="20"/>
          <w:szCs w:val="20"/>
        </w:rPr>
        <w:t xml:space="preserve">Przedsięwzięcie zrealizowało </w:t>
      </w:r>
      <w:r w:rsidR="00A527A7">
        <w:rPr>
          <w:rFonts w:ascii="Arial" w:hAnsi="Arial" w:cs="Arial"/>
          <w:sz w:val="20"/>
          <w:szCs w:val="20"/>
        </w:rPr>
        <w:t>założone cele</w:t>
      </w:r>
      <w:r w:rsidRPr="004C6CC5">
        <w:rPr>
          <w:rFonts w:ascii="Arial" w:hAnsi="Arial" w:cs="Arial"/>
          <w:sz w:val="20"/>
          <w:szCs w:val="20"/>
        </w:rPr>
        <w:t xml:space="preserve"> polityczne, promocyjne, kulturalne, gospodarcze</w:t>
      </w:r>
      <w:r w:rsidR="004C6CC5">
        <w:rPr>
          <w:rFonts w:ascii="Arial" w:hAnsi="Arial" w:cs="Arial"/>
          <w:sz w:val="20"/>
          <w:szCs w:val="20"/>
        </w:rPr>
        <w:t xml:space="preserve"> </w:t>
      </w:r>
      <w:r w:rsidR="006625C7">
        <w:rPr>
          <w:rFonts w:ascii="Arial" w:hAnsi="Arial" w:cs="Arial"/>
          <w:sz w:val="20"/>
          <w:szCs w:val="20"/>
        </w:rPr>
        <w:t>oraz</w:t>
      </w:r>
      <w:r w:rsidR="000C2ABF">
        <w:rPr>
          <w:rFonts w:ascii="Arial" w:hAnsi="Arial" w:cs="Arial"/>
          <w:sz w:val="20"/>
          <w:szCs w:val="20"/>
        </w:rPr>
        <w:t xml:space="preserve"> </w:t>
      </w:r>
      <w:r w:rsidRPr="004C6CC5">
        <w:rPr>
          <w:rFonts w:ascii="Arial" w:hAnsi="Arial" w:cs="Arial"/>
          <w:sz w:val="20"/>
          <w:szCs w:val="20"/>
        </w:rPr>
        <w:t>dyplomatyczne. Każde wpłynięcie do portu było organizowane</w:t>
      </w:r>
      <w:r w:rsidR="004C6CC5">
        <w:rPr>
          <w:rFonts w:ascii="Arial" w:hAnsi="Arial" w:cs="Arial"/>
          <w:sz w:val="20"/>
          <w:szCs w:val="20"/>
        </w:rPr>
        <w:t xml:space="preserve"> w </w:t>
      </w:r>
      <w:r w:rsidRPr="004C6CC5">
        <w:rPr>
          <w:rFonts w:ascii="Arial" w:hAnsi="Arial" w:cs="Arial"/>
          <w:sz w:val="20"/>
          <w:szCs w:val="20"/>
        </w:rPr>
        <w:t xml:space="preserve">szczególny sposób, aby możliwie jak najlepiej propagować ideę przewodnią całego przedsięwzięcia - „Pokaż światu jaka piękna jest Polska”. </w:t>
      </w:r>
    </w:p>
    <w:p w14:paraId="0849D124" w14:textId="4D5C597D" w:rsidR="00E63889" w:rsidRPr="004C6CC5" w:rsidRDefault="00E63889" w:rsidP="00E63889">
      <w:pPr>
        <w:spacing w:before="120" w:after="120" w:line="276" w:lineRule="auto"/>
        <w:jc w:val="both"/>
        <w:rPr>
          <w:rFonts w:ascii="Arial" w:hAnsi="Arial" w:cs="Arial"/>
          <w:sz w:val="20"/>
          <w:szCs w:val="20"/>
        </w:rPr>
      </w:pPr>
      <w:r w:rsidRPr="004C6CC5">
        <w:rPr>
          <w:rFonts w:ascii="Arial" w:hAnsi="Arial" w:cs="Arial"/>
          <w:sz w:val="20"/>
          <w:szCs w:val="20"/>
        </w:rPr>
        <w:t>W każdym</w:t>
      </w:r>
      <w:r w:rsidR="004C6CC5">
        <w:rPr>
          <w:rFonts w:ascii="Arial" w:hAnsi="Arial" w:cs="Arial"/>
          <w:sz w:val="20"/>
          <w:szCs w:val="20"/>
        </w:rPr>
        <w:t xml:space="preserve"> z </w:t>
      </w:r>
      <w:r w:rsidRPr="004C6CC5">
        <w:rPr>
          <w:rFonts w:ascii="Arial" w:hAnsi="Arial" w:cs="Arial"/>
          <w:sz w:val="20"/>
          <w:szCs w:val="20"/>
        </w:rPr>
        <w:t>odwiedzanych portów istniała możliwość zaprezentowania polskiej kultury</w:t>
      </w:r>
      <w:r w:rsidR="004C6CC5">
        <w:rPr>
          <w:rFonts w:ascii="Arial" w:hAnsi="Arial" w:cs="Arial"/>
          <w:sz w:val="20"/>
          <w:szCs w:val="20"/>
        </w:rPr>
        <w:t xml:space="preserve"> i </w:t>
      </w:r>
      <w:r w:rsidRPr="004C6CC5">
        <w:rPr>
          <w:rFonts w:ascii="Arial" w:hAnsi="Arial" w:cs="Arial"/>
          <w:sz w:val="20"/>
          <w:szCs w:val="20"/>
        </w:rPr>
        <w:t>gospodarki oraz zorganizowania rozmów o charakterze dyplomatycznym</w:t>
      </w:r>
      <w:r w:rsidR="00916603">
        <w:rPr>
          <w:rFonts w:ascii="Arial" w:hAnsi="Arial" w:cs="Arial"/>
          <w:sz w:val="20"/>
          <w:szCs w:val="20"/>
        </w:rPr>
        <w:t>,</w:t>
      </w:r>
      <w:r w:rsidRPr="004C6CC5">
        <w:rPr>
          <w:rFonts w:ascii="Arial" w:hAnsi="Arial" w:cs="Arial"/>
          <w:sz w:val="20"/>
          <w:szCs w:val="20"/>
        </w:rPr>
        <w:t xml:space="preserve"> czy biznesowym. Każdorazowo statek udostępniano do zwiedzania społeczności lokalnej, promując przy tym Polskę</w:t>
      </w:r>
      <w:r w:rsidR="00916603">
        <w:rPr>
          <w:rFonts w:ascii="Arial" w:hAnsi="Arial" w:cs="Arial"/>
          <w:sz w:val="20"/>
          <w:szCs w:val="20"/>
        </w:rPr>
        <w:t xml:space="preserve"> i polskie tradycje morskie</w:t>
      </w:r>
      <w:r w:rsidRPr="004C6CC5">
        <w:rPr>
          <w:rFonts w:ascii="Arial" w:hAnsi="Arial" w:cs="Arial"/>
          <w:sz w:val="20"/>
          <w:szCs w:val="20"/>
        </w:rPr>
        <w:t>. Na pokładzie statku organizowano również spotkania</w:t>
      </w:r>
      <w:r w:rsidR="004C6CC5">
        <w:rPr>
          <w:rFonts w:ascii="Arial" w:hAnsi="Arial" w:cs="Arial"/>
          <w:sz w:val="20"/>
          <w:szCs w:val="20"/>
        </w:rPr>
        <w:t xml:space="preserve"> z </w:t>
      </w:r>
      <w:r w:rsidRPr="004C6CC5">
        <w:rPr>
          <w:rFonts w:ascii="Arial" w:hAnsi="Arial" w:cs="Arial"/>
          <w:sz w:val="20"/>
          <w:szCs w:val="20"/>
        </w:rPr>
        <w:t>miejscową Polonią oraz</w:t>
      </w:r>
      <w:r w:rsidR="004C6CC5">
        <w:rPr>
          <w:rFonts w:ascii="Arial" w:hAnsi="Arial" w:cs="Arial"/>
          <w:sz w:val="20"/>
          <w:szCs w:val="20"/>
        </w:rPr>
        <w:t xml:space="preserve"> z </w:t>
      </w:r>
      <w:r w:rsidRPr="004C6CC5">
        <w:rPr>
          <w:rFonts w:ascii="Arial" w:hAnsi="Arial" w:cs="Arial"/>
          <w:sz w:val="20"/>
          <w:szCs w:val="20"/>
        </w:rPr>
        <w:t xml:space="preserve">lokalnymi władzami. </w:t>
      </w:r>
    </w:p>
    <w:p w14:paraId="12E90961" w14:textId="242B79F5" w:rsidR="00E63889" w:rsidRPr="004C6CC5" w:rsidRDefault="00E63889" w:rsidP="00E63889">
      <w:pPr>
        <w:spacing w:before="120" w:after="120" w:line="276" w:lineRule="auto"/>
        <w:jc w:val="both"/>
        <w:rPr>
          <w:rFonts w:ascii="Arial" w:hAnsi="Arial" w:cs="Arial"/>
          <w:sz w:val="20"/>
          <w:szCs w:val="20"/>
        </w:rPr>
      </w:pPr>
      <w:r w:rsidRPr="004C6CC5">
        <w:rPr>
          <w:rFonts w:ascii="Arial" w:hAnsi="Arial" w:cs="Arial"/>
          <w:sz w:val="20"/>
          <w:szCs w:val="20"/>
        </w:rPr>
        <w:t xml:space="preserve">Wizyty </w:t>
      </w:r>
      <w:r w:rsidR="00335F36">
        <w:rPr>
          <w:rFonts w:ascii="Arial" w:hAnsi="Arial" w:cs="Arial"/>
          <w:sz w:val="20"/>
          <w:szCs w:val="20"/>
        </w:rPr>
        <w:t>„</w:t>
      </w:r>
      <w:r w:rsidRPr="004C6CC5">
        <w:rPr>
          <w:rFonts w:ascii="Arial" w:hAnsi="Arial" w:cs="Arial"/>
          <w:sz w:val="20"/>
          <w:szCs w:val="20"/>
        </w:rPr>
        <w:t>Daru Młodzieży</w:t>
      </w:r>
      <w:r w:rsidR="00335F36">
        <w:rPr>
          <w:rFonts w:ascii="Arial" w:hAnsi="Arial" w:cs="Arial"/>
          <w:sz w:val="20"/>
          <w:szCs w:val="20"/>
        </w:rPr>
        <w:t>”</w:t>
      </w:r>
      <w:r w:rsidRPr="004C6CC5">
        <w:rPr>
          <w:rFonts w:ascii="Arial" w:hAnsi="Arial" w:cs="Arial"/>
          <w:sz w:val="20"/>
          <w:szCs w:val="20"/>
        </w:rPr>
        <w:t xml:space="preserve"> były okazją do spotkań politycznych najwyżs</w:t>
      </w:r>
      <w:r w:rsidR="00916603">
        <w:rPr>
          <w:rFonts w:ascii="Arial" w:hAnsi="Arial" w:cs="Arial"/>
          <w:sz w:val="20"/>
          <w:szCs w:val="20"/>
        </w:rPr>
        <w:t>zego szczebla. Przedstawiciele k</w:t>
      </w:r>
      <w:r w:rsidRPr="004C6CC5">
        <w:rPr>
          <w:rFonts w:ascii="Arial" w:hAnsi="Arial" w:cs="Arial"/>
          <w:sz w:val="20"/>
          <w:szCs w:val="20"/>
        </w:rPr>
        <w:t xml:space="preserve">ierownictwa </w:t>
      </w:r>
      <w:r w:rsidR="00916603">
        <w:rPr>
          <w:rFonts w:ascii="Arial" w:hAnsi="Arial" w:cs="Arial"/>
          <w:sz w:val="20"/>
          <w:szCs w:val="20"/>
        </w:rPr>
        <w:t>Ministerstwa Gospodarki Morskiej i Żeglugi Śródlądowej</w:t>
      </w:r>
      <w:r w:rsidRPr="004C6CC5">
        <w:rPr>
          <w:rFonts w:ascii="Arial" w:hAnsi="Arial" w:cs="Arial"/>
          <w:sz w:val="20"/>
          <w:szCs w:val="20"/>
        </w:rPr>
        <w:t xml:space="preserve"> spotkali się</w:t>
      </w:r>
      <w:r w:rsidR="004C6CC5">
        <w:rPr>
          <w:rFonts w:ascii="Arial" w:hAnsi="Arial" w:cs="Arial"/>
          <w:sz w:val="20"/>
          <w:szCs w:val="20"/>
        </w:rPr>
        <w:t xml:space="preserve"> z </w:t>
      </w:r>
      <w:r w:rsidRPr="004C6CC5">
        <w:rPr>
          <w:rFonts w:ascii="Arial" w:hAnsi="Arial" w:cs="Arial"/>
          <w:sz w:val="20"/>
          <w:szCs w:val="20"/>
        </w:rPr>
        <w:t xml:space="preserve">Ministrem </w:t>
      </w:r>
      <w:r w:rsidR="004B3571">
        <w:rPr>
          <w:rFonts w:ascii="Arial" w:hAnsi="Arial" w:cs="Arial"/>
          <w:sz w:val="20"/>
          <w:szCs w:val="20"/>
        </w:rPr>
        <w:br/>
      </w:r>
      <w:r w:rsidRPr="004C6CC5">
        <w:rPr>
          <w:rFonts w:ascii="Arial" w:hAnsi="Arial" w:cs="Arial"/>
          <w:sz w:val="20"/>
          <w:szCs w:val="20"/>
        </w:rPr>
        <w:t>ds. Morskich Panamy Panem Jorge Barakatem Pitty, Ministrem ds. Morskich Meksyku Admirałem Jose Rafaelem Ojedą Duranem oraz Ministrem Transportu Wielkiej Brytanii Panem Chrisem Graylingiem.</w:t>
      </w:r>
    </w:p>
    <w:p w14:paraId="111983AA" w14:textId="46AA0E84" w:rsidR="00E63889" w:rsidRDefault="00E63889" w:rsidP="00E63889">
      <w:pPr>
        <w:spacing w:before="120" w:after="120" w:line="276" w:lineRule="auto"/>
        <w:jc w:val="both"/>
        <w:rPr>
          <w:rFonts w:ascii="Arial" w:hAnsi="Arial" w:cs="Arial"/>
          <w:sz w:val="20"/>
          <w:szCs w:val="20"/>
        </w:rPr>
      </w:pPr>
      <w:r w:rsidRPr="004C6CC5">
        <w:rPr>
          <w:rFonts w:ascii="Arial" w:hAnsi="Arial" w:cs="Arial"/>
          <w:sz w:val="20"/>
          <w:szCs w:val="20"/>
        </w:rPr>
        <w:t xml:space="preserve">Wizyty </w:t>
      </w:r>
      <w:r w:rsidR="000C2ABF">
        <w:rPr>
          <w:rFonts w:ascii="Arial" w:hAnsi="Arial" w:cs="Arial"/>
          <w:sz w:val="20"/>
          <w:szCs w:val="20"/>
        </w:rPr>
        <w:t>„</w:t>
      </w:r>
      <w:r w:rsidRPr="004C6CC5">
        <w:rPr>
          <w:rFonts w:ascii="Arial" w:hAnsi="Arial" w:cs="Arial"/>
          <w:sz w:val="20"/>
          <w:szCs w:val="20"/>
        </w:rPr>
        <w:t>Daru Młodzieży</w:t>
      </w:r>
      <w:r w:rsidR="000C2ABF">
        <w:rPr>
          <w:rFonts w:ascii="Arial" w:hAnsi="Arial" w:cs="Arial"/>
          <w:sz w:val="20"/>
          <w:szCs w:val="20"/>
        </w:rPr>
        <w:t>”</w:t>
      </w:r>
      <w:r w:rsidRPr="004C6CC5">
        <w:rPr>
          <w:rFonts w:ascii="Arial" w:hAnsi="Arial" w:cs="Arial"/>
          <w:sz w:val="20"/>
          <w:szCs w:val="20"/>
        </w:rPr>
        <w:t xml:space="preserve"> uwzględniały również aspekt biznesowe.</w:t>
      </w:r>
      <w:r w:rsidR="004C6CC5">
        <w:rPr>
          <w:rFonts w:ascii="Arial" w:hAnsi="Arial" w:cs="Arial"/>
          <w:sz w:val="20"/>
          <w:szCs w:val="20"/>
        </w:rPr>
        <w:t xml:space="preserve"> w </w:t>
      </w:r>
      <w:r w:rsidRPr="004C6CC5">
        <w:rPr>
          <w:rFonts w:ascii="Arial" w:hAnsi="Arial" w:cs="Arial"/>
          <w:sz w:val="20"/>
          <w:szCs w:val="20"/>
        </w:rPr>
        <w:t>każdym</w:t>
      </w:r>
      <w:r w:rsidR="004C6CC5">
        <w:rPr>
          <w:rFonts w:ascii="Arial" w:hAnsi="Arial" w:cs="Arial"/>
          <w:sz w:val="20"/>
          <w:szCs w:val="20"/>
        </w:rPr>
        <w:t xml:space="preserve"> z </w:t>
      </w:r>
      <w:r w:rsidRPr="004C6CC5">
        <w:rPr>
          <w:rFonts w:ascii="Arial" w:hAnsi="Arial" w:cs="Arial"/>
          <w:sz w:val="20"/>
          <w:szCs w:val="20"/>
        </w:rPr>
        <w:t>portów organizowane były seminaria biznesowe lub bankiety</w:t>
      </w:r>
      <w:r w:rsidR="004C6CC5">
        <w:rPr>
          <w:rFonts w:ascii="Arial" w:hAnsi="Arial" w:cs="Arial"/>
          <w:sz w:val="20"/>
          <w:szCs w:val="20"/>
        </w:rPr>
        <w:t xml:space="preserve"> z </w:t>
      </w:r>
      <w:r w:rsidRPr="004C6CC5">
        <w:rPr>
          <w:rFonts w:ascii="Arial" w:hAnsi="Arial" w:cs="Arial"/>
          <w:sz w:val="20"/>
          <w:szCs w:val="20"/>
        </w:rPr>
        <w:t>udziałem lokalnych przedsiębiorców. Szczególne zainteresowanie wzbudziło seminarium organizowane</w:t>
      </w:r>
      <w:r w:rsidR="004C6CC5">
        <w:rPr>
          <w:rFonts w:ascii="Arial" w:hAnsi="Arial" w:cs="Arial"/>
          <w:sz w:val="20"/>
          <w:szCs w:val="20"/>
        </w:rPr>
        <w:t xml:space="preserve"> w </w:t>
      </w:r>
      <w:r w:rsidRPr="004C6CC5">
        <w:rPr>
          <w:rFonts w:ascii="Arial" w:hAnsi="Arial" w:cs="Arial"/>
          <w:sz w:val="20"/>
          <w:szCs w:val="20"/>
        </w:rPr>
        <w:t>Londynie pn. „Polskie porty bramą do Europy Środ</w:t>
      </w:r>
      <w:r w:rsidR="000C2ABF">
        <w:rPr>
          <w:rFonts w:ascii="Arial" w:hAnsi="Arial" w:cs="Arial"/>
          <w:sz w:val="20"/>
          <w:szCs w:val="20"/>
        </w:rPr>
        <w:t>k</w:t>
      </w:r>
      <w:r w:rsidRPr="004C6CC5">
        <w:rPr>
          <w:rFonts w:ascii="Arial" w:hAnsi="Arial" w:cs="Arial"/>
          <w:sz w:val="20"/>
          <w:szCs w:val="20"/>
        </w:rPr>
        <w:t>owo-Wschodniej</w:t>
      </w:r>
      <w:r w:rsidR="004C6CC5">
        <w:rPr>
          <w:rFonts w:ascii="Arial" w:hAnsi="Arial" w:cs="Arial"/>
          <w:sz w:val="20"/>
          <w:szCs w:val="20"/>
        </w:rPr>
        <w:t xml:space="preserve"> w </w:t>
      </w:r>
      <w:r w:rsidRPr="004C6CC5">
        <w:rPr>
          <w:rFonts w:ascii="Arial" w:hAnsi="Arial" w:cs="Arial"/>
          <w:sz w:val="20"/>
          <w:szCs w:val="20"/>
        </w:rPr>
        <w:t>dobie Brexitu”.</w:t>
      </w:r>
    </w:p>
    <w:p w14:paraId="7E921363" w14:textId="54B4430E" w:rsidR="00ED4A6F" w:rsidRPr="000F468A" w:rsidRDefault="00ED4A6F" w:rsidP="003C6ECA">
      <w:pPr>
        <w:pStyle w:val="Akapitzlist"/>
        <w:numPr>
          <w:ilvl w:val="0"/>
          <w:numId w:val="27"/>
        </w:numPr>
        <w:rPr>
          <w:rFonts w:ascii="Arial" w:hAnsi="Arial" w:cs="Arial"/>
          <w:b/>
          <w:sz w:val="20"/>
          <w:szCs w:val="20"/>
        </w:rPr>
      </w:pPr>
      <w:r w:rsidRPr="000F468A">
        <w:rPr>
          <w:rFonts w:ascii="Arial" w:hAnsi="Arial" w:cs="Arial"/>
          <w:b/>
          <w:sz w:val="20"/>
          <w:szCs w:val="20"/>
        </w:rPr>
        <w:t>VII Międzynarodowy Kongres Morski</w:t>
      </w:r>
      <w:r w:rsidR="004C6CC5">
        <w:rPr>
          <w:rFonts w:ascii="Arial" w:hAnsi="Arial" w:cs="Arial"/>
          <w:b/>
          <w:sz w:val="20"/>
          <w:szCs w:val="20"/>
        </w:rPr>
        <w:t xml:space="preserve"> w </w:t>
      </w:r>
      <w:r w:rsidRPr="000F468A">
        <w:rPr>
          <w:rFonts w:ascii="Arial" w:hAnsi="Arial" w:cs="Arial"/>
          <w:b/>
          <w:sz w:val="20"/>
          <w:szCs w:val="20"/>
        </w:rPr>
        <w:t>Szczecinie</w:t>
      </w:r>
    </w:p>
    <w:p w14:paraId="4B67D054" w14:textId="30FCFE44" w:rsidR="001C6122" w:rsidRPr="004E3D13" w:rsidRDefault="00616649" w:rsidP="001532AE">
      <w:pPr>
        <w:spacing w:before="120" w:after="120" w:line="276" w:lineRule="auto"/>
        <w:jc w:val="both"/>
        <w:rPr>
          <w:rFonts w:ascii="Arial" w:hAnsi="Arial" w:cs="Arial"/>
          <w:sz w:val="20"/>
          <w:szCs w:val="20"/>
        </w:rPr>
      </w:pPr>
      <w:r w:rsidRPr="004E3D13">
        <w:rPr>
          <w:rFonts w:ascii="Arial" w:hAnsi="Arial" w:cs="Arial"/>
          <w:sz w:val="20"/>
          <w:szCs w:val="20"/>
        </w:rPr>
        <w:t xml:space="preserve">W dniach </w:t>
      </w:r>
      <w:r w:rsidR="001C6122" w:rsidRPr="004E3D13">
        <w:rPr>
          <w:rFonts w:ascii="Arial" w:hAnsi="Arial" w:cs="Arial"/>
          <w:sz w:val="20"/>
          <w:szCs w:val="20"/>
        </w:rPr>
        <w:t>5</w:t>
      </w:r>
      <w:r w:rsidR="004C6CC5" w:rsidRPr="004E3D13">
        <w:rPr>
          <w:rFonts w:ascii="Arial" w:hAnsi="Arial" w:cs="Arial"/>
          <w:sz w:val="20"/>
          <w:szCs w:val="20"/>
        </w:rPr>
        <w:t xml:space="preserve"> i </w:t>
      </w:r>
      <w:r w:rsidR="001C6122" w:rsidRPr="004E3D13">
        <w:rPr>
          <w:rFonts w:ascii="Arial" w:hAnsi="Arial" w:cs="Arial"/>
          <w:sz w:val="20"/>
          <w:szCs w:val="20"/>
        </w:rPr>
        <w:t>6 września 2019 r.</w:t>
      </w:r>
      <w:r w:rsidR="004C6CC5" w:rsidRPr="004E3D13">
        <w:rPr>
          <w:rFonts w:ascii="Arial" w:hAnsi="Arial" w:cs="Arial"/>
          <w:sz w:val="20"/>
          <w:szCs w:val="20"/>
        </w:rPr>
        <w:t xml:space="preserve"> w </w:t>
      </w:r>
      <w:r w:rsidR="001C6122" w:rsidRPr="004E3D13">
        <w:rPr>
          <w:rFonts w:ascii="Arial" w:hAnsi="Arial" w:cs="Arial"/>
          <w:sz w:val="20"/>
          <w:szCs w:val="20"/>
        </w:rPr>
        <w:t xml:space="preserve">Szczecinie po raz </w:t>
      </w:r>
      <w:r w:rsidR="000C2ABF" w:rsidRPr="004E3D13">
        <w:rPr>
          <w:rFonts w:ascii="Arial" w:hAnsi="Arial" w:cs="Arial"/>
          <w:sz w:val="20"/>
          <w:szCs w:val="20"/>
        </w:rPr>
        <w:t>siódmy</w:t>
      </w:r>
      <w:r w:rsidR="001C6122" w:rsidRPr="004E3D13">
        <w:rPr>
          <w:rFonts w:ascii="Arial" w:hAnsi="Arial" w:cs="Arial"/>
          <w:sz w:val="20"/>
          <w:szCs w:val="20"/>
        </w:rPr>
        <w:t xml:space="preserve"> odbył się Międzynarodowy Kongres Morski. </w:t>
      </w:r>
      <w:r w:rsidR="00EB1A21" w:rsidRPr="004E3D13">
        <w:rPr>
          <w:rFonts w:ascii="Arial" w:hAnsi="Arial" w:cs="Arial"/>
          <w:sz w:val="20"/>
          <w:szCs w:val="20"/>
        </w:rPr>
        <w:t>Kolejna edycja tego ważnego wydarzenia dla</w:t>
      </w:r>
      <w:r w:rsidR="001C6122" w:rsidRPr="004E3D13">
        <w:rPr>
          <w:rFonts w:ascii="Arial" w:hAnsi="Arial" w:cs="Arial"/>
          <w:sz w:val="20"/>
          <w:szCs w:val="20"/>
        </w:rPr>
        <w:t xml:space="preserve"> branży morskiej</w:t>
      </w:r>
      <w:r w:rsidR="004C6CC5" w:rsidRPr="004E3D13">
        <w:rPr>
          <w:rFonts w:ascii="Arial" w:hAnsi="Arial" w:cs="Arial"/>
          <w:sz w:val="20"/>
          <w:szCs w:val="20"/>
        </w:rPr>
        <w:t xml:space="preserve"> w </w:t>
      </w:r>
      <w:r w:rsidR="00F678B1" w:rsidRPr="004E3D13">
        <w:rPr>
          <w:rFonts w:ascii="Arial" w:hAnsi="Arial" w:cs="Arial"/>
          <w:sz w:val="20"/>
          <w:szCs w:val="20"/>
        </w:rPr>
        <w:t xml:space="preserve">Polsce </w:t>
      </w:r>
      <w:r w:rsidR="00EB1A21" w:rsidRPr="004E3D13">
        <w:rPr>
          <w:rFonts w:ascii="Arial" w:hAnsi="Arial" w:cs="Arial"/>
          <w:sz w:val="20"/>
          <w:szCs w:val="20"/>
        </w:rPr>
        <w:t>zgromadziła</w:t>
      </w:r>
      <w:r w:rsidR="001C6122" w:rsidRPr="004E3D13">
        <w:rPr>
          <w:rFonts w:ascii="Arial" w:hAnsi="Arial" w:cs="Arial"/>
          <w:sz w:val="20"/>
          <w:szCs w:val="20"/>
        </w:rPr>
        <w:t xml:space="preserve"> ponad 600 uczestników </w:t>
      </w:r>
      <w:r w:rsidR="000C2ABF" w:rsidRPr="004E3D13">
        <w:rPr>
          <w:rFonts w:ascii="Arial" w:hAnsi="Arial" w:cs="Arial"/>
          <w:sz w:val="20"/>
          <w:szCs w:val="20"/>
        </w:rPr>
        <w:t>-</w:t>
      </w:r>
      <w:r w:rsidR="001C6122" w:rsidRPr="004E3D13">
        <w:rPr>
          <w:rFonts w:ascii="Arial" w:hAnsi="Arial" w:cs="Arial"/>
          <w:sz w:val="20"/>
          <w:szCs w:val="20"/>
        </w:rPr>
        <w:t xml:space="preserve"> ministrów, parlamentarzystów, dyplomatów, </w:t>
      </w:r>
      <w:r w:rsidR="005D4688">
        <w:rPr>
          <w:rFonts w:ascii="Arial" w:hAnsi="Arial" w:cs="Arial"/>
          <w:sz w:val="20"/>
          <w:szCs w:val="20"/>
        </w:rPr>
        <w:t xml:space="preserve">przedstawicieli władz lokalnych, </w:t>
      </w:r>
      <w:r w:rsidR="001C6122" w:rsidRPr="004E3D13">
        <w:rPr>
          <w:rFonts w:ascii="Arial" w:hAnsi="Arial" w:cs="Arial"/>
          <w:sz w:val="20"/>
          <w:szCs w:val="20"/>
        </w:rPr>
        <w:t xml:space="preserve">prezesów </w:t>
      </w:r>
      <w:r w:rsidR="001C6122" w:rsidRPr="004E3D13">
        <w:rPr>
          <w:rFonts w:ascii="Arial" w:hAnsi="Arial" w:cs="Arial"/>
          <w:sz w:val="20"/>
          <w:szCs w:val="20"/>
        </w:rPr>
        <w:lastRenderedPageBreak/>
        <w:t>portów, szefów</w:t>
      </w:r>
      <w:r w:rsidR="000C2ABF" w:rsidRPr="004E3D13">
        <w:rPr>
          <w:rFonts w:ascii="Arial" w:hAnsi="Arial" w:cs="Arial"/>
          <w:sz w:val="20"/>
          <w:szCs w:val="20"/>
        </w:rPr>
        <w:t xml:space="preserve"> i </w:t>
      </w:r>
      <w:r w:rsidR="001C6122" w:rsidRPr="004E3D13">
        <w:rPr>
          <w:rFonts w:ascii="Arial" w:hAnsi="Arial" w:cs="Arial"/>
          <w:sz w:val="20"/>
          <w:szCs w:val="20"/>
        </w:rPr>
        <w:t xml:space="preserve">menedżerów firm stoczniowych, żeglugowych oraz wielu </w:t>
      </w:r>
      <w:r w:rsidR="00BF6303">
        <w:rPr>
          <w:rFonts w:ascii="Arial" w:hAnsi="Arial" w:cs="Arial"/>
          <w:sz w:val="20"/>
          <w:szCs w:val="20"/>
        </w:rPr>
        <w:t xml:space="preserve">innych </w:t>
      </w:r>
      <w:r w:rsidR="001C6122" w:rsidRPr="004E3D13">
        <w:rPr>
          <w:rFonts w:ascii="Arial" w:hAnsi="Arial" w:cs="Arial"/>
          <w:sz w:val="20"/>
          <w:szCs w:val="20"/>
        </w:rPr>
        <w:t>przedsiębiorstw kooperujących</w:t>
      </w:r>
      <w:r w:rsidR="004C6CC5" w:rsidRPr="004E3D13">
        <w:rPr>
          <w:rFonts w:ascii="Arial" w:hAnsi="Arial" w:cs="Arial"/>
          <w:sz w:val="20"/>
          <w:szCs w:val="20"/>
        </w:rPr>
        <w:t xml:space="preserve"> z </w:t>
      </w:r>
      <w:r w:rsidR="001C6122" w:rsidRPr="004E3D13">
        <w:rPr>
          <w:rFonts w:ascii="Arial" w:hAnsi="Arial" w:cs="Arial"/>
          <w:sz w:val="20"/>
          <w:szCs w:val="20"/>
        </w:rPr>
        <w:t>branżą morską.</w:t>
      </w:r>
    </w:p>
    <w:p w14:paraId="17CD829B" w14:textId="4D64E85D" w:rsidR="001C78DB" w:rsidRPr="004E3D13" w:rsidRDefault="001C78DB" w:rsidP="00F678B1">
      <w:pPr>
        <w:spacing w:before="120" w:after="120" w:line="276" w:lineRule="auto"/>
        <w:jc w:val="both"/>
        <w:rPr>
          <w:rFonts w:ascii="Arial" w:hAnsi="Arial" w:cs="Arial"/>
          <w:sz w:val="20"/>
          <w:szCs w:val="20"/>
        </w:rPr>
      </w:pPr>
      <w:r w:rsidRPr="004E3D13">
        <w:rPr>
          <w:rFonts w:ascii="Arial" w:hAnsi="Arial" w:cs="Arial"/>
          <w:sz w:val="20"/>
          <w:szCs w:val="20"/>
        </w:rPr>
        <w:t>W trakcie oficjalnej inauguracji Kongresu podpisane zostało</w:t>
      </w:r>
      <w:r w:rsidR="00F678B1" w:rsidRPr="004E3D13">
        <w:rPr>
          <w:rFonts w:ascii="Arial" w:hAnsi="Arial" w:cs="Arial"/>
          <w:sz w:val="20"/>
          <w:szCs w:val="20"/>
        </w:rPr>
        <w:t xml:space="preserve"> porozumienie </w:t>
      </w:r>
      <w:r w:rsidRPr="004E3D13">
        <w:rPr>
          <w:rFonts w:ascii="Arial" w:hAnsi="Arial" w:cs="Arial"/>
          <w:sz w:val="20"/>
          <w:szCs w:val="20"/>
        </w:rPr>
        <w:t xml:space="preserve">o współpracy pomiędzy portami w Szczecinie i Świnoujściu a włoskim portem Triest. Porozumienie zakłada </w:t>
      </w:r>
      <w:r w:rsidR="00F678B1" w:rsidRPr="004E3D13">
        <w:rPr>
          <w:rFonts w:ascii="Arial" w:hAnsi="Arial" w:cs="Arial"/>
          <w:sz w:val="20"/>
          <w:szCs w:val="20"/>
        </w:rPr>
        <w:t>poszerzenie dwustronnej współ</w:t>
      </w:r>
      <w:r w:rsidR="00C0515A">
        <w:rPr>
          <w:rFonts w:ascii="Arial" w:hAnsi="Arial" w:cs="Arial"/>
          <w:sz w:val="20"/>
          <w:szCs w:val="20"/>
        </w:rPr>
        <w:t xml:space="preserve">pracy pomiędzy portami Triest </w:t>
      </w:r>
      <w:r w:rsidR="009E67C3">
        <w:rPr>
          <w:rFonts w:ascii="Arial" w:hAnsi="Arial" w:cs="Arial"/>
          <w:sz w:val="20"/>
          <w:szCs w:val="20"/>
        </w:rPr>
        <w:t>oraz</w:t>
      </w:r>
      <w:r w:rsidR="00C0515A">
        <w:rPr>
          <w:rFonts w:ascii="Arial" w:hAnsi="Arial" w:cs="Arial"/>
          <w:sz w:val="20"/>
          <w:szCs w:val="20"/>
        </w:rPr>
        <w:t xml:space="preserve"> </w:t>
      </w:r>
      <w:r w:rsidR="009E67C3">
        <w:rPr>
          <w:rFonts w:ascii="Arial" w:hAnsi="Arial" w:cs="Arial"/>
          <w:sz w:val="20"/>
          <w:szCs w:val="20"/>
        </w:rPr>
        <w:t xml:space="preserve">Szczecin i </w:t>
      </w:r>
      <w:r w:rsidR="00F678B1" w:rsidRPr="004E3D13">
        <w:rPr>
          <w:rFonts w:ascii="Arial" w:hAnsi="Arial" w:cs="Arial"/>
          <w:sz w:val="20"/>
          <w:szCs w:val="20"/>
        </w:rPr>
        <w:t xml:space="preserve">Świnoujście, w tym podejmowanie </w:t>
      </w:r>
      <w:r w:rsidRPr="004E3D13">
        <w:rPr>
          <w:rFonts w:ascii="Arial" w:hAnsi="Arial" w:cs="Arial"/>
          <w:sz w:val="20"/>
          <w:szCs w:val="20"/>
        </w:rPr>
        <w:t xml:space="preserve">wspólnych działań zarządów obu portów w </w:t>
      </w:r>
      <w:r w:rsidR="00F678B1" w:rsidRPr="004E3D13">
        <w:rPr>
          <w:rFonts w:ascii="Arial" w:hAnsi="Arial" w:cs="Arial"/>
          <w:sz w:val="20"/>
          <w:szCs w:val="20"/>
        </w:rPr>
        <w:t>obszarze</w:t>
      </w:r>
      <w:r w:rsidRPr="004E3D13">
        <w:rPr>
          <w:rFonts w:ascii="Arial" w:hAnsi="Arial" w:cs="Arial"/>
          <w:sz w:val="20"/>
          <w:szCs w:val="20"/>
        </w:rPr>
        <w:t xml:space="preserve"> transport</w:t>
      </w:r>
      <w:r w:rsidR="00F678B1" w:rsidRPr="004E3D13">
        <w:rPr>
          <w:rFonts w:ascii="Arial" w:hAnsi="Arial" w:cs="Arial"/>
          <w:sz w:val="20"/>
          <w:szCs w:val="20"/>
        </w:rPr>
        <w:t>u</w:t>
      </w:r>
      <w:r w:rsidRPr="004E3D13">
        <w:rPr>
          <w:rFonts w:ascii="Arial" w:hAnsi="Arial" w:cs="Arial"/>
          <w:sz w:val="20"/>
          <w:szCs w:val="20"/>
        </w:rPr>
        <w:t xml:space="preserve"> morski</w:t>
      </w:r>
      <w:r w:rsidR="00F678B1" w:rsidRPr="004E3D13">
        <w:rPr>
          <w:rFonts w:ascii="Arial" w:hAnsi="Arial" w:cs="Arial"/>
          <w:sz w:val="20"/>
          <w:szCs w:val="20"/>
        </w:rPr>
        <w:t>ego</w:t>
      </w:r>
      <w:r w:rsidRPr="004E3D13">
        <w:rPr>
          <w:rFonts w:ascii="Arial" w:hAnsi="Arial" w:cs="Arial"/>
          <w:sz w:val="20"/>
          <w:szCs w:val="20"/>
        </w:rPr>
        <w:t>, ze szczególnym uwzględnieniem transportu intermodalnego, przemysł</w:t>
      </w:r>
      <w:r w:rsidR="00F678B1" w:rsidRPr="004E3D13">
        <w:rPr>
          <w:rFonts w:ascii="Arial" w:hAnsi="Arial" w:cs="Arial"/>
          <w:sz w:val="20"/>
          <w:szCs w:val="20"/>
        </w:rPr>
        <w:t>u</w:t>
      </w:r>
      <w:r w:rsidRPr="004E3D13">
        <w:rPr>
          <w:rFonts w:ascii="Arial" w:hAnsi="Arial" w:cs="Arial"/>
          <w:sz w:val="20"/>
          <w:szCs w:val="20"/>
        </w:rPr>
        <w:t xml:space="preserve"> portow</w:t>
      </w:r>
      <w:r w:rsidR="00F678B1" w:rsidRPr="004E3D13">
        <w:rPr>
          <w:rFonts w:ascii="Arial" w:hAnsi="Arial" w:cs="Arial"/>
          <w:sz w:val="20"/>
          <w:szCs w:val="20"/>
        </w:rPr>
        <w:t>ego, promocji i wymiany</w:t>
      </w:r>
      <w:r w:rsidRPr="004E3D13">
        <w:rPr>
          <w:rFonts w:ascii="Arial" w:hAnsi="Arial" w:cs="Arial"/>
          <w:sz w:val="20"/>
          <w:szCs w:val="20"/>
        </w:rPr>
        <w:t xml:space="preserve"> informacji. P</w:t>
      </w:r>
      <w:r w:rsidR="00F678B1" w:rsidRPr="004E3D13">
        <w:rPr>
          <w:rFonts w:ascii="Arial" w:hAnsi="Arial" w:cs="Arial"/>
          <w:sz w:val="20"/>
          <w:szCs w:val="20"/>
        </w:rPr>
        <w:t xml:space="preserve">orozumienie przewiduje ponadto </w:t>
      </w:r>
      <w:r w:rsidRPr="004E3D13">
        <w:rPr>
          <w:rFonts w:ascii="Arial" w:hAnsi="Arial" w:cs="Arial"/>
          <w:sz w:val="20"/>
          <w:szCs w:val="20"/>
        </w:rPr>
        <w:t>wizyty stu</w:t>
      </w:r>
      <w:r w:rsidR="00F678B1" w:rsidRPr="004E3D13">
        <w:rPr>
          <w:rFonts w:ascii="Arial" w:hAnsi="Arial" w:cs="Arial"/>
          <w:sz w:val="20"/>
          <w:szCs w:val="20"/>
        </w:rPr>
        <w:t>dyjne specjalistów z obu portów</w:t>
      </w:r>
      <w:r w:rsidRPr="004E3D13">
        <w:rPr>
          <w:rFonts w:ascii="Arial" w:hAnsi="Arial" w:cs="Arial"/>
          <w:sz w:val="20"/>
          <w:szCs w:val="20"/>
        </w:rPr>
        <w:t xml:space="preserve"> ukierunkowane na wymianę dobrych praktyk i wzajemnych doświadczeń. Możliwe </w:t>
      </w:r>
      <w:r w:rsidR="005868A3">
        <w:rPr>
          <w:rFonts w:ascii="Arial" w:hAnsi="Arial" w:cs="Arial"/>
          <w:sz w:val="20"/>
          <w:szCs w:val="20"/>
        </w:rPr>
        <w:t>będzie</w:t>
      </w:r>
      <w:r w:rsidRPr="004E3D13">
        <w:rPr>
          <w:rFonts w:ascii="Arial" w:hAnsi="Arial" w:cs="Arial"/>
          <w:sz w:val="20"/>
          <w:szCs w:val="20"/>
        </w:rPr>
        <w:t xml:space="preserve"> także utworzenie dwustronnych zespołów eksperckich, które zajmą się wdrażaniem postanowień podpisanego aktu.</w:t>
      </w:r>
    </w:p>
    <w:p w14:paraId="4218302D" w14:textId="256B3096" w:rsidR="001C78DB" w:rsidRPr="004E3D13" w:rsidRDefault="001C78DB" w:rsidP="00F678B1">
      <w:pPr>
        <w:spacing w:before="120" w:after="120" w:line="276" w:lineRule="auto"/>
        <w:jc w:val="both"/>
        <w:rPr>
          <w:rFonts w:ascii="Arial" w:hAnsi="Arial" w:cs="Arial"/>
          <w:sz w:val="20"/>
          <w:szCs w:val="20"/>
        </w:rPr>
      </w:pPr>
      <w:r w:rsidRPr="004E3D13">
        <w:rPr>
          <w:rFonts w:ascii="Arial" w:hAnsi="Arial" w:cs="Arial"/>
          <w:sz w:val="20"/>
          <w:szCs w:val="20"/>
        </w:rPr>
        <w:t xml:space="preserve">Pierwszy dzień Kongresu upłynął pod znakiem trzech międzynarodowych debat plenarnych, podczas których rozmawiano m.in. o inicjatywie Trójmorza, jako gospodarczym impulsie rozwoju Europy. </w:t>
      </w:r>
      <w:r w:rsidR="00F678B1" w:rsidRPr="004E3D13">
        <w:rPr>
          <w:rFonts w:ascii="Arial" w:hAnsi="Arial" w:cs="Arial"/>
          <w:sz w:val="20"/>
          <w:szCs w:val="20"/>
        </w:rPr>
        <w:t>P</w:t>
      </w:r>
      <w:r w:rsidRPr="004E3D13">
        <w:rPr>
          <w:rFonts w:ascii="Arial" w:hAnsi="Arial" w:cs="Arial"/>
          <w:sz w:val="20"/>
          <w:szCs w:val="20"/>
        </w:rPr>
        <w:t>odkr</w:t>
      </w:r>
      <w:r w:rsidR="00F678B1" w:rsidRPr="004E3D13">
        <w:rPr>
          <w:rFonts w:ascii="Arial" w:hAnsi="Arial" w:cs="Arial"/>
          <w:sz w:val="20"/>
          <w:szCs w:val="20"/>
        </w:rPr>
        <w:t>eślano</w:t>
      </w:r>
      <w:r w:rsidRPr="004E3D13">
        <w:rPr>
          <w:rFonts w:ascii="Arial" w:hAnsi="Arial" w:cs="Arial"/>
          <w:sz w:val="20"/>
          <w:szCs w:val="20"/>
        </w:rPr>
        <w:t xml:space="preserve">, że koncepcja Trójmorza </w:t>
      </w:r>
      <w:r w:rsidR="00BE1457">
        <w:rPr>
          <w:rFonts w:ascii="Arial" w:hAnsi="Arial" w:cs="Arial"/>
          <w:sz w:val="20"/>
          <w:szCs w:val="20"/>
        </w:rPr>
        <w:t xml:space="preserve">łączy wszystkie kwestie </w:t>
      </w:r>
      <w:r w:rsidRPr="004E3D13">
        <w:rPr>
          <w:rFonts w:ascii="Arial" w:hAnsi="Arial" w:cs="Arial"/>
          <w:sz w:val="20"/>
          <w:szCs w:val="20"/>
        </w:rPr>
        <w:t>związan</w:t>
      </w:r>
      <w:r w:rsidR="00BE1457">
        <w:rPr>
          <w:rFonts w:ascii="Arial" w:hAnsi="Arial" w:cs="Arial"/>
          <w:sz w:val="20"/>
          <w:szCs w:val="20"/>
        </w:rPr>
        <w:t>e</w:t>
      </w:r>
      <w:r w:rsidRPr="004E3D13">
        <w:rPr>
          <w:rFonts w:ascii="Arial" w:hAnsi="Arial" w:cs="Arial"/>
          <w:sz w:val="20"/>
          <w:szCs w:val="20"/>
        </w:rPr>
        <w:t xml:space="preserve"> z budową trwałych połączeń północ-południe, </w:t>
      </w:r>
      <w:r w:rsidR="006C6613">
        <w:rPr>
          <w:rFonts w:ascii="Arial" w:hAnsi="Arial" w:cs="Arial"/>
          <w:sz w:val="20"/>
          <w:szCs w:val="20"/>
        </w:rPr>
        <w:t xml:space="preserve">czyli </w:t>
      </w:r>
      <w:r w:rsidRPr="004E3D13">
        <w:rPr>
          <w:rFonts w:ascii="Arial" w:hAnsi="Arial" w:cs="Arial"/>
          <w:sz w:val="20"/>
          <w:szCs w:val="20"/>
        </w:rPr>
        <w:t>infrastru</w:t>
      </w:r>
      <w:r w:rsidR="006C6613">
        <w:rPr>
          <w:rFonts w:ascii="Arial" w:hAnsi="Arial" w:cs="Arial"/>
          <w:sz w:val="20"/>
          <w:szCs w:val="20"/>
        </w:rPr>
        <w:t>ktury drogowej, kolejowej</w:t>
      </w:r>
      <w:r w:rsidRPr="004E3D13">
        <w:rPr>
          <w:rFonts w:ascii="Arial" w:hAnsi="Arial" w:cs="Arial"/>
          <w:sz w:val="20"/>
          <w:szCs w:val="20"/>
        </w:rPr>
        <w:t xml:space="preserve"> </w:t>
      </w:r>
      <w:r w:rsidR="006C6613">
        <w:rPr>
          <w:rFonts w:ascii="Arial" w:hAnsi="Arial" w:cs="Arial"/>
          <w:sz w:val="20"/>
          <w:szCs w:val="20"/>
        </w:rPr>
        <w:t>i wodnej.</w:t>
      </w:r>
      <w:r w:rsidRPr="004E3D13">
        <w:rPr>
          <w:rFonts w:ascii="Arial" w:hAnsi="Arial" w:cs="Arial"/>
          <w:sz w:val="20"/>
          <w:szCs w:val="20"/>
        </w:rPr>
        <w:t xml:space="preserve"> Ma to ogromne znaczenie dla rozwoju wszystkich gałęzi transportu, rozwoju międzynarodowych szlaków handlowych i przyszłej współpracy gospodarczej w ramach Trójmorza. </w:t>
      </w:r>
    </w:p>
    <w:p w14:paraId="34FD0D35" w14:textId="5BDB3562" w:rsidR="001C78DB" w:rsidRPr="004E3D13" w:rsidRDefault="001C78DB" w:rsidP="00F678B1">
      <w:pPr>
        <w:spacing w:before="120" w:after="120" w:line="276" w:lineRule="auto"/>
        <w:jc w:val="both"/>
        <w:rPr>
          <w:rFonts w:ascii="Arial" w:hAnsi="Arial" w:cs="Arial"/>
          <w:sz w:val="20"/>
          <w:szCs w:val="20"/>
        </w:rPr>
      </w:pPr>
      <w:r w:rsidRPr="004E3D13">
        <w:rPr>
          <w:rFonts w:ascii="Arial" w:hAnsi="Arial" w:cs="Arial"/>
          <w:sz w:val="20"/>
          <w:szCs w:val="20"/>
        </w:rPr>
        <w:t>Kolejna międzynarodowa debata była okazją do przeanalizowania obszarów współpracy europejskich portów w świetle globalnych wyzwań. Podkreślano, że we wszystkich państwach morskich to porty są motorem rozwoju całej gospodarki generując ogromne przepływy finansowe</w:t>
      </w:r>
      <w:r w:rsidR="00D64253">
        <w:rPr>
          <w:rFonts w:ascii="Arial" w:hAnsi="Arial" w:cs="Arial"/>
          <w:sz w:val="20"/>
          <w:szCs w:val="20"/>
        </w:rPr>
        <w:t xml:space="preserve"> </w:t>
      </w:r>
      <w:r w:rsidRPr="004E3D13">
        <w:rPr>
          <w:rFonts w:ascii="Arial" w:hAnsi="Arial" w:cs="Arial"/>
          <w:sz w:val="20"/>
          <w:szCs w:val="20"/>
        </w:rPr>
        <w:t>i zapewniając istotne wpływy do budżet</w:t>
      </w:r>
      <w:r w:rsidR="00D64253">
        <w:rPr>
          <w:rFonts w:ascii="Arial" w:hAnsi="Arial" w:cs="Arial"/>
          <w:sz w:val="20"/>
          <w:szCs w:val="20"/>
        </w:rPr>
        <w:t>ów państw</w:t>
      </w:r>
      <w:r w:rsidRPr="004E3D13">
        <w:rPr>
          <w:rFonts w:ascii="Arial" w:hAnsi="Arial" w:cs="Arial"/>
          <w:sz w:val="20"/>
          <w:szCs w:val="20"/>
        </w:rPr>
        <w:t xml:space="preserve">. W ujęciu międzynarodowym </w:t>
      </w:r>
      <w:r w:rsidR="00D64253">
        <w:rPr>
          <w:rFonts w:ascii="Arial" w:hAnsi="Arial" w:cs="Arial"/>
          <w:sz w:val="20"/>
          <w:szCs w:val="20"/>
        </w:rPr>
        <w:t>rozważano kwestie strategicznych</w:t>
      </w:r>
      <w:r w:rsidR="00D64253" w:rsidRPr="004E3D13">
        <w:rPr>
          <w:rFonts w:ascii="Arial" w:hAnsi="Arial" w:cs="Arial"/>
          <w:sz w:val="20"/>
          <w:szCs w:val="20"/>
        </w:rPr>
        <w:t xml:space="preserve"> </w:t>
      </w:r>
      <w:r w:rsidRPr="004E3D13">
        <w:rPr>
          <w:rFonts w:ascii="Arial" w:hAnsi="Arial" w:cs="Arial"/>
          <w:sz w:val="20"/>
          <w:szCs w:val="20"/>
        </w:rPr>
        <w:t>alians</w:t>
      </w:r>
      <w:r w:rsidR="00D64253">
        <w:rPr>
          <w:rFonts w:ascii="Arial" w:hAnsi="Arial" w:cs="Arial"/>
          <w:sz w:val="20"/>
          <w:szCs w:val="20"/>
        </w:rPr>
        <w:t xml:space="preserve">ów, które </w:t>
      </w:r>
      <w:r w:rsidRPr="004E3D13">
        <w:rPr>
          <w:rFonts w:ascii="Arial" w:hAnsi="Arial" w:cs="Arial"/>
          <w:sz w:val="20"/>
          <w:szCs w:val="20"/>
        </w:rPr>
        <w:t xml:space="preserve">są odpowiedzią na wciąż zmieniające się warunki </w:t>
      </w:r>
      <w:r w:rsidR="00D64253">
        <w:rPr>
          <w:rFonts w:ascii="Arial" w:hAnsi="Arial" w:cs="Arial"/>
          <w:sz w:val="20"/>
          <w:szCs w:val="20"/>
        </w:rPr>
        <w:t>w biznesie portowym</w:t>
      </w:r>
      <w:r w:rsidRPr="004E3D13">
        <w:rPr>
          <w:rFonts w:ascii="Arial" w:hAnsi="Arial" w:cs="Arial"/>
          <w:sz w:val="20"/>
          <w:szCs w:val="20"/>
        </w:rPr>
        <w:t>, który musi reagować na zmiany koniunktury i szukać szans na ciągły rozwój.</w:t>
      </w:r>
    </w:p>
    <w:p w14:paraId="15224732" w14:textId="524C413B" w:rsidR="00F678B1" w:rsidRPr="004E3D13" w:rsidRDefault="00F678B1" w:rsidP="00D64253">
      <w:pPr>
        <w:spacing w:before="120" w:after="120" w:line="276" w:lineRule="auto"/>
        <w:jc w:val="both"/>
        <w:rPr>
          <w:rFonts w:ascii="Arial" w:hAnsi="Arial" w:cs="Arial"/>
          <w:sz w:val="20"/>
          <w:szCs w:val="20"/>
        </w:rPr>
      </w:pPr>
      <w:r w:rsidRPr="004E3D13">
        <w:rPr>
          <w:rFonts w:ascii="Arial" w:hAnsi="Arial" w:cs="Arial"/>
          <w:sz w:val="20"/>
          <w:szCs w:val="20"/>
        </w:rPr>
        <w:t>Trzecia debata poświęcona była szeroko rozumianemu bezpieczeństwu w branży morskiej. Uczestnicy debaty rozważali kwestie bezpieczeństwa ludzi i towarów w żegludze międzynarodowej w kontekście zagrożeń zarówno w postaci katastrof naturalnych, jak też ze strony m.in. ataków hakerskich. Odpowiedzią na stale pojawiające się zagrożenia związane m.in. z postępem technologicznym, które mogą skutkować zakłóceniami w funkcjonowaniu branży morskiej jest ścisła współpraca wszystkich podmiotów biorących udział w międzynarodowym obrocie morskim.</w:t>
      </w:r>
    </w:p>
    <w:p w14:paraId="5F12010F" w14:textId="29E09FA3" w:rsidR="00F678B1" w:rsidRPr="004E3D13" w:rsidRDefault="006D5588" w:rsidP="00F77525">
      <w:pPr>
        <w:spacing w:before="120" w:after="120" w:line="276" w:lineRule="auto"/>
        <w:jc w:val="both"/>
        <w:rPr>
          <w:rFonts w:ascii="Arial" w:hAnsi="Arial" w:cs="Arial"/>
          <w:sz w:val="20"/>
          <w:szCs w:val="20"/>
        </w:rPr>
      </w:pPr>
      <w:r>
        <w:rPr>
          <w:rFonts w:ascii="Arial" w:hAnsi="Arial" w:cs="Arial"/>
          <w:sz w:val="20"/>
          <w:szCs w:val="20"/>
        </w:rPr>
        <w:t>W 2019 r. p</w:t>
      </w:r>
      <w:r w:rsidR="00F678B1" w:rsidRPr="004E3D13">
        <w:rPr>
          <w:rFonts w:ascii="Arial" w:hAnsi="Arial" w:cs="Arial"/>
          <w:sz w:val="20"/>
          <w:szCs w:val="20"/>
        </w:rPr>
        <w:t xml:space="preserve">rogram kongresu w dużej mierze koncentrował się na tematach związanych </w:t>
      </w:r>
      <w:r>
        <w:rPr>
          <w:rFonts w:ascii="Arial" w:hAnsi="Arial" w:cs="Arial"/>
          <w:sz w:val="20"/>
          <w:szCs w:val="20"/>
        </w:rPr>
        <w:br/>
      </w:r>
      <w:r w:rsidR="00F678B1" w:rsidRPr="004E3D13">
        <w:rPr>
          <w:rFonts w:ascii="Arial" w:hAnsi="Arial" w:cs="Arial"/>
          <w:sz w:val="20"/>
          <w:szCs w:val="20"/>
        </w:rPr>
        <w:t xml:space="preserve">z wykorzystaniem nowych technologii w gospodarce morskiej. Po trzech debatach pierwszego dnia </w:t>
      </w:r>
      <w:r>
        <w:rPr>
          <w:rFonts w:ascii="Arial" w:hAnsi="Arial" w:cs="Arial"/>
          <w:sz w:val="20"/>
          <w:szCs w:val="20"/>
        </w:rPr>
        <w:t>k</w:t>
      </w:r>
      <w:r w:rsidR="00F678B1" w:rsidRPr="004E3D13">
        <w:rPr>
          <w:rFonts w:ascii="Arial" w:hAnsi="Arial" w:cs="Arial"/>
          <w:sz w:val="20"/>
          <w:szCs w:val="20"/>
        </w:rPr>
        <w:t xml:space="preserve">ongresu, drugi dzień upłynął pod znakiem dyskusji w ramach 18 paneli eksperckich ujętych w bloki tematyczne: żegluga, porty i stocznie, innowacje oraz edukacja. Wśród poruszanych tematów znalazły się kwestie paliw alternatywnych w transporcie morskim w świetle ograniczania emisji, przyszłość autonomicznych jednostek pływających, sztuczna inteligencja, rzeczywistość wirtualna i nowoczesne techniki multimedialne wykorzystywane w szkoleniach załóg oraz edukacji studentów uczelni morskich, a także digitalizacja i wykorzystanie nowych technologii w działalności portowej oraz branży produkcji stoczniowej i konstrukcji stalowych. </w:t>
      </w:r>
    </w:p>
    <w:p w14:paraId="544E9C5C" w14:textId="77777777" w:rsidR="00507E4D" w:rsidRPr="004C6CC5" w:rsidRDefault="00507E4D" w:rsidP="003C6ECA">
      <w:pPr>
        <w:pStyle w:val="Akapitzlist"/>
        <w:numPr>
          <w:ilvl w:val="0"/>
          <w:numId w:val="29"/>
        </w:numPr>
        <w:spacing w:before="120" w:after="120" w:line="276" w:lineRule="auto"/>
        <w:jc w:val="both"/>
        <w:rPr>
          <w:rFonts w:ascii="Arial" w:hAnsi="Arial" w:cs="Arial"/>
          <w:b/>
          <w:sz w:val="20"/>
          <w:szCs w:val="20"/>
        </w:rPr>
      </w:pPr>
      <w:r w:rsidRPr="004C6CC5">
        <w:rPr>
          <w:rFonts w:ascii="Arial" w:hAnsi="Arial" w:cs="Arial"/>
          <w:b/>
          <w:sz w:val="20"/>
          <w:szCs w:val="20"/>
        </w:rPr>
        <w:t>Konwent Morski</w:t>
      </w:r>
    </w:p>
    <w:p w14:paraId="66D15866" w14:textId="77955CC6" w:rsidR="00507E4D" w:rsidRPr="004C6CC5" w:rsidRDefault="00507E4D" w:rsidP="007E62C4">
      <w:pPr>
        <w:spacing w:before="120" w:after="120" w:line="276" w:lineRule="auto"/>
        <w:jc w:val="both"/>
        <w:rPr>
          <w:rFonts w:ascii="Arial" w:hAnsi="Arial" w:cs="Arial"/>
          <w:sz w:val="20"/>
          <w:szCs w:val="20"/>
        </w:rPr>
      </w:pPr>
      <w:r w:rsidRPr="004C6CC5">
        <w:rPr>
          <w:rFonts w:ascii="Arial" w:hAnsi="Arial" w:cs="Arial"/>
          <w:sz w:val="20"/>
          <w:szCs w:val="20"/>
        </w:rPr>
        <w:t>Konwent Morski jest organem doradczym ministra właściwego do spraw gospodarki morskiej oraz opiniotwórczym</w:t>
      </w:r>
      <w:r w:rsidR="004C6CC5">
        <w:rPr>
          <w:rFonts w:ascii="Arial" w:hAnsi="Arial" w:cs="Arial"/>
          <w:sz w:val="20"/>
          <w:szCs w:val="20"/>
        </w:rPr>
        <w:t xml:space="preserve"> w </w:t>
      </w:r>
      <w:r w:rsidRPr="004C6CC5">
        <w:rPr>
          <w:rFonts w:ascii="Arial" w:hAnsi="Arial" w:cs="Arial"/>
          <w:sz w:val="20"/>
          <w:szCs w:val="20"/>
        </w:rPr>
        <w:t>obszarze gospodarki morskiej. Zadaniem Konwentu powołanego</w:t>
      </w:r>
      <w:r w:rsidR="004C6CC5">
        <w:rPr>
          <w:rFonts w:ascii="Arial" w:hAnsi="Arial" w:cs="Arial"/>
          <w:sz w:val="20"/>
          <w:szCs w:val="20"/>
        </w:rPr>
        <w:t xml:space="preserve"> z </w:t>
      </w:r>
      <w:r w:rsidRPr="004C6CC5">
        <w:rPr>
          <w:rFonts w:ascii="Arial" w:hAnsi="Arial" w:cs="Arial"/>
          <w:sz w:val="20"/>
          <w:szCs w:val="20"/>
        </w:rPr>
        <w:t>inicjatywy ministra gospodarki morskiej</w:t>
      </w:r>
      <w:r w:rsidR="004C6CC5">
        <w:rPr>
          <w:rFonts w:ascii="Arial" w:hAnsi="Arial" w:cs="Arial"/>
          <w:sz w:val="20"/>
          <w:szCs w:val="20"/>
        </w:rPr>
        <w:t xml:space="preserve"> i </w:t>
      </w:r>
      <w:r w:rsidRPr="004C6CC5">
        <w:rPr>
          <w:rFonts w:ascii="Arial" w:hAnsi="Arial" w:cs="Arial"/>
          <w:sz w:val="20"/>
          <w:szCs w:val="20"/>
        </w:rPr>
        <w:t>żeglugi śródlądowej Marka Gróbarczyka jest rekomendowanie inicjatyw oraz przedkładanie projektów założeń</w:t>
      </w:r>
      <w:r w:rsidR="004C6CC5">
        <w:rPr>
          <w:rFonts w:ascii="Arial" w:hAnsi="Arial" w:cs="Arial"/>
          <w:sz w:val="20"/>
          <w:szCs w:val="20"/>
        </w:rPr>
        <w:t xml:space="preserve"> i </w:t>
      </w:r>
      <w:r w:rsidRPr="004C6CC5">
        <w:rPr>
          <w:rFonts w:ascii="Arial" w:hAnsi="Arial" w:cs="Arial"/>
          <w:sz w:val="20"/>
          <w:szCs w:val="20"/>
        </w:rPr>
        <w:t>koncepcji rozwoju gospodarki morskiej oraz żeglugi śródlądowej. Wśród zagadnień, na które Konwent Morski kładzie nacisk jest m.in. przywrócenie żeglowności polskich rzek, ożywienie polskiego przemysłu stoczniowego, rozwój edukacji morskiej oraz powrót narodowej bandery.</w:t>
      </w:r>
      <w:r w:rsidR="00A62C48">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 xml:space="preserve">skład </w:t>
      </w:r>
      <w:r w:rsidR="00523754">
        <w:rPr>
          <w:rFonts w:ascii="Arial" w:hAnsi="Arial" w:cs="Arial"/>
          <w:sz w:val="20"/>
          <w:szCs w:val="20"/>
        </w:rPr>
        <w:t xml:space="preserve">tego </w:t>
      </w:r>
      <w:r w:rsidRPr="004C6CC5">
        <w:rPr>
          <w:rFonts w:ascii="Arial" w:hAnsi="Arial" w:cs="Arial"/>
          <w:sz w:val="20"/>
          <w:szCs w:val="20"/>
        </w:rPr>
        <w:t>forum eksperckiego zrzeszającego ludzi morza wchodzą przedstawiciele szeroko pojętego środowiska specjalistów</w:t>
      </w:r>
      <w:r w:rsidR="004C6CC5">
        <w:rPr>
          <w:rFonts w:ascii="Arial" w:hAnsi="Arial" w:cs="Arial"/>
          <w:sz w:val="20"/>
          <w:szCs w:val="20"/>
        </w:rPr>
        <w:t xml:space="preserve"> i </w:t>
      </w:r>
      <w:r w:rsidRPr="004C6CC5">
        <w:rPr>
          <w:rFonts w:ascii="Arial" w:hAnsi="Arial" w:cs="Arial"/>
          <w:sz w:val="20"/>
          <w:szCs w:val="20"/>
        </w:rPr>
        <w:t>ekspertów wielu morskich branż, m.in. prezesów spółek morskich, wykładowców</w:t>
      </w:r>
      <w:r w:rsidR="004C6CC5">
        <w:rPr>
          <w:rFonts w:ascii="Arial" w:hAnsi="Arial" w:cs="Arial"/>
          <w:sz w:val="20"/>
          <w:szCs w:val="20"/>
        </w:rPr>
        <w:t xml:space="preserve"> </w:t>
      </w:r>
      <w:r w:rsidR="00523754">
        <w:rPr>
          <w:rFonts w:ascii="Arial" w:hAnsi="Arial" w:cs="Arial"/>
          <w:sz w:val="20"/>
          <w:szCs w:val="20"/>
        </w:rPr>
        <w:t>akademickich oraz</w:t>
      </w:r>
      <w:r w:rsidR="004C6CC5">
        <w:rPr>
          <w:rFonts w:ascii="Arial" w:hAnsi="Arial" w:cs="Arial"/>
          <w:sz w:val="20"/>
          <w:szCs w:val="20"/>
        </w:rPr>
        <w:t> </w:t>
      </w:r>
      <w:r w:rsidRPr="004C6CC5">
        <w:rPr>
          <w:rFonts w:ascii="Arial" w:hAnsi="Arial" w:cs="Arial"/>
          <w:sz w:val="20"/>
          <w:szCs w:val="20"/>
        </w:rPr>
        <w:t xml:space="preserve">kapitanów. </w:t>
      </w:r>
    </w:p>
    <w:p w14:paraId="4BD643F7" w14:textId="691DF23F" w:rsidR="004A1593" w:rsidRPr="007E62C4" w:rsidRDefault="00E22898" w:rsidP="007E62C4">
      <w:pPr>
        <w:spacing w:before="120" w:after="120" w:line="276" w:lineRule="auto"/>
        <w:jc w:val="both"/>
        <w:rPr>
          <w:rFonts w:ascii="Arial" w:hAnsi="Arial" w:cs="Arial"/>
          <w:sz w:val="20"/>
          <w:szCs w:val="20"/>
        </w:rPr>
      </w:pPr>
      <w:r w:rsidRPr="000F468A">
        <w:rPr>
          <w:rFonts w:ascii="Arial" w:hAnsi="Arial" w:cs="Arial"/>
          <w:sz w:val="20"/>
          <w:szCs w:val="20"/>
        </w:rPr>
        <w:t xml:space="preserve">W </w:t>
      </w:r>
      <w:r w:rsidR="001C359D">
        <w:rPr>
          <w:rFonts w:ascii="Arial" w:hAnsi="Arial" w:cs="Arial"/>
          <w:sz w:val="20"/>
          <w:szCs w:val="20"/>
        </w:rPr>
        <w:t>dniu</w:t>
      </w:r>
      <w:r w:rsidRPr="000F468A">
        <w:rPr>
          <w:rFonts w:ascii="Arial" w:hAnsi="Arial" w:cs="Arial"/>
          <w:sz w:val="20"/>
          <w:szCs w:val="20"/>
        </w:rPr>
        <w:t xml:space="preserve"> 9 lutego 2019 r.</w:t>
      </w:r>
      <w:r w:rsidR="004C6CC5">
        <w:rPr>
          <w:rFonts w:ascii="Arial" w:hAnsi="Arial" w:cs="Arial"/>
          <w:sz w:val="20"/>
          <w:szCs w:val="20"/>
        </w:rPr>
        <w:t xml:space="preserve"> w </w:t>
      </w:r>
      <w:r w:rsidRPr="000F468A">
        <w:rPr>
          <w:rFonts w:ascii="Arial" w:hAnsi="Arial" w:cs="Arial"/>
          <w:sz w:val="20"/>
          <w:szCs w:val="20"/>
        </w:rPr>
        <w:t xml:space="preserve">auli Politechniki Gdańskiej po raz siódmy obradował Konwent Morski. </w:t>
      </w:r>
      <w:r w:rsidR="004A1593" w:rsidRPr="004C6CC5">
        <w:rPr>
          <w:rFonts w:ascii="Arial" w:hAnsi="Arial" w:cs="Arial"/>
          <w:sz w:val="20"/>
          <w:szCs w:val="20"/>
        </w:rPr>
        <w:t xml:space="preserve">Posiedzenie poświęcone było </w:t>
      </w:r>
      <w:r w:rsidR="004A1593" w:rsidRPr="007E62C4">
        <w:rPr>
          <w:rFonts w:ascii="Arial" w:hAnsi="Arial" w:cs="Arial"/>
          <w:sz w:val="20"/>
          <w:szCs w:val="20"/>
        </w:rPr>
        <w:t xml:space="preserve">perspektywom rozwoju przemysłu stoczniowego na przykładzie </w:t>
      </w:r>
      <w:r w:rsidR="00F26A8F">
        <w:rPr>
          <w:rFonts w:ascii="Arial" w:hAnsi="Arial" w:cs="Arial"/>
          <w:sz w:val="20"/>
          <w:szCs w:val="20"/>
        </w:rPr>
        <w:lastRenderedPageBreak/>
        <w:t xml:space="preserve">działalności </w:t>
      </w:r>
      <w:r w:rsidR="004A1593" w:rsidRPr="007E62C4">
        <w:rPr>
          <w:rFonts w:ascii="Arial" w:hAnsi="Arial" w:cs="Arial"/>
          <w:sz w:val="20"/>
          <w:szCs w:val="20"/>
        </w:rPr>
        <w:t>Remontowa Holding S</w:t>
      </w:r>
      <w:r w:rsidR="001C359D">
        <w:rPr>
          <w:rFonts w:ascii="Arial" w:hAnsi="Arial" w:cs="Arial"/>
          <w:sz w:val="20"/>
          <w:szCs w:val="20"/>
        </w:rPr>
        <w:t>.</w:t>
      </w:r>
      <w:r w:rsidR="004A1593" w:rsidRPr="007E62C4">
        <w:rPr>
          <w:rFonts w:ascii="Arial" w:hAnsi="Arial" w:cs="Arial"/>
          <w:sz w:val="20"/>
          <w:szCs w:val="20"/>
        </w:rPr>
        <w:t>A</w:t>
      </w:r>
      <w:r w:rsidR="001C359D">
        <w:rPr>
          <w:rFonts w:ascii="Arial" w:hAnsi="Arial" w:cs="Arial"/>
          <w:sz w:val="20"/>
          <w:szCs w:val="20"/>
        </w:rPr>
        <w:t>.</w:t>
      </w:r>
      <w:r w:rsidR="004A1593" w:rsidRPr="007E62C4">
        <w:rPr>
          <w:rFonts w:ascii="Arial" w:hAnsi="Arial" w:cs="Arial"/>
          <w:sz w:val="20"/>
          <w:szCs w:val="20"/>
        </w:rPr>
        <w:t xml:space="preserve"> </w:t>
      </w:r>
      <w:r w:rsidR="00F26A8F">
        <w:rPr>
          <w:rFonts w:ascii="Arial" w:hAnsi="Arial" w:cs="Arial"/>
          <w:sz w:val="20"/>
          <w:szCs w:val="20"/>
        </w:rPr>
        <w:t>Podczas spotkania przedstawiono prezentację poświęconą</w:t>
      </w:r>
      <w:r w:rsidR="004A1593" w:rsidRPr="007E62C4">
        <w:rPr>
          <w:rFonts w:ascii="Arial" w:hAnsi="Arial" w:cs="Arial"/>
          <w:sz w:val="20"/>
          <w:szCs w:val="20"/>
        </w:rPr>
        <w:t xml:space="preserve"> Morskiej Stoczni Remontowej </w:t>
      </w:r>
      <w:r w:rsidR="00EF16BA">
        <w:rPr>
          <w:rFonts w:ascii="Arial" w:hAnsi="Arial" w:cs="Arial"/>
          <w:sz w:val="20"/>
          <w:szCs w:val="20"/>
        </w:rPr>
        <w:t>„</w:t>
      </w:r>
      <w:r w:rsidR="004A1593" w:rsidRPr="007E62C4">
        <w:rPr>
          <w:rFonts w:ascii="Arial" w:hAnsi="Arial" w:cs="Arial"/>
          <w:sz w:val="20"/>
          <w:szCs w:val="20"/>
        </w:rPr>
        <w:t>Gryfia</w:t>
      </w:r>
      <w:r w:rsidR="00EF16BA">
        <w:rPr>
          <w:rFonts w:ascii="Arial" w:hAnsi="Arial" w:cs="Arial"/>
          <w:sz w:val="20"/>
          <w:szCs w:val="20"/>
        </w:rPr>
        <w:t>”</w:t>
      </w:r>
      <w:r w:rsidR="004C6CC5" w:rsidRPr="007E62C4">
        <w:rPr>
          <w:rFonts w:ascii="Arial" w:hAnsi="Arial" w:cs="Arial"/>
          <w:sz w:val="20"/>
          <w:szCs w:val="20"/>
        </w:rPr>
        <w:t xml:space="preserve"> </w:t>
      </w:r>
      <w:r w:rsidR="00F26A8F">
        <w:rPr>
          <w:rFonts w:ascii="Arial" w:hAnsi="Arial" w:cs="Arial"/>
          <w:sz w:val="20"/>
          <w:szCs w:val="20"/>
        </w:rPr>
        <w:t>oraz</w:t>
      </w:r>
      <w:r w:rsidR="004C6CC5" w:rsidRPr="007E62C4">
        <w:rPr>
          <w:rFonts w:ascii="Arial" w:hAnsi="Arial" w:cs="Arial"/>
          <w:sz w:val="20"/>
          <w:szCs w:val="20"/>
        </w:rPr>
        <w:t> </w:t>
      </w:r>
      <w:r w:rsidR="00130FBD">
        <w:rPr>
          <w:rFonts w:ascii="Arial" w:hAnsi="Arial" w:cs="Arial"/>
          <w:sz w:val="20"/>
          <w:szCs w:val="20"/>
        </w:rPr>
        <w:t xml:space="preserve">zaprezentowano referat na temat </w:t>
      </w:r>
      <w:r w:rsidR="00F26A8F">
        <w:rPr>
          <w:rFonts w:ascii="Arial" w:hAnsi="Arial" w:cs="Arial"/>
          <w:sz w:val="20"/>
          <w:szCs w:val="20"/>
        </w:rPr>
        <w:t>wkład</w:t>
      </w:r>
      <w:r w:rsidR="00130FBD">
        <w:rPr>
          <w:rFonts w:ascii="Arial" w:hAnsi="Arial" w:cs="Arial"/>
          <w:sz w:val="20"/>
          <w:szCs w:val="20"/>
        </w:rPr>
        <w:t>u</w:t>
      </w:r>
      <w:r w:rsidR="00F26A8F">
        <w:rPr>
          <w:rFonts w:ascii="Arial" w:hAnsi="Arial" w:cs="Arial"/>
          <w:sz w:val="20"/>
          <w:szCs w:val="20"/>
        </w:rPr>
        <w:t xml:space="preserve"> </w:t>
      </w:r>
      <w:r w:rsidR="004A1593" w:rsidRPr="007E62C4">
        <w:rPr>
          <w:rFonts w:ascii="Arial" w:hAnsi="Arial" w:cs="Arial"/>
          <w:sz w:val="20"/>
          <w:szCs w:val="20"/>
        </w:rPr>
        <w:t>Politechniki Gdańskiej</w:t>
      </w:r>
      <w:r w:rsidR="00130FBD">
        <w:rPr>
          <w:rFonts w:ascii="Arial" w:hAnsi="Arial" w:cs="Arial"/>
          <w:sz w:val="20"/>
          <w:szCs w:val="20"/>
        </w:rPr>
        <w:t xml:space="preserve"> w </w:t>
      </w:r>
      <w:r w:rsidR="004A1593" w:rsidRPr="007E62C4">
        <w:rPr>
          <w:rFonts w:ascii="Arial" w:hAnsi="Arial" w:cs="Arial"/>
          <w:sz w:val="20"/>
          <w:szCs w:val="20"/>
        </w:rPr>
        <w:t>rozwój gospodarki morskiej</w:t>
      </w:r>
      <w:r w:rsidR="00130FBD">
        <w:rPr>
          <w:rFonts w:ascii="Arial" w:hAnsi="Arial" w:cs="Arial"/>
          <w:sz w:val="20"/>
          <w:szCs w:val="20"/>
        </w:rPr>
        <w:t>.</w:t>
      </w:r>
    </w:p>
    <w:p w14:paraId="19556702" w14:textId="10D58750" w:rsidR="004A1593" w:rsidRDefault="004A1593" w:rsidP="007E62C4">
      <w:pPr>
        <w:spacing w:before="120" w:after="120" w:line="276" w:lineRule="auto"/>
        <w:jc w:val="both"/>
        <w:rPr>
          <w:rFonts w:ascii="Arial" w:hAnsi="Arial" w:cs="Arial"/>
          <w:sz w:val="20"/>
          <w:szCs w:val="20"/>
        </w:rPr>
      </w:pPr>
      <w:r w:rsidRPr="007E62C4">
        <w:rPr>
          <w:rFonts w:ascii="Arial" w:hAnsi="Arial" w:cs="Arial"/>
          <w:sz w:val="20"/>
          <w:szCs w:val="20"/>
        </w:rPr>
        <w:t>Podczas spotkania wręczono odznaczenia państwowe osobom zasłużonym</w:t>
      </w:r>
      <w:r w:rsidR="004C6CC5" w:rsidRPr="007E62C4">
        <w:rPr>
          <w:rFonts w:ascii="Arial" w:hAnsi="Arial" w:cs="Arial"/>
          <w:sz w:val="20"/>
          <w:szCs w:val="20"/>
        </w:rPr>
        <w:t xml:space="preserve"> w </w:t>
      </w:r>
      <w:r w:rsidRPr="007E62C4">
        <w:rPr>
          <w:rFonts w:ascii="Arial" w:hAnsi="Arial" w:cs="Arial"/>
          <w:sz w:val="20"/>
          <w:szCs w:val="20"/>
        </w:rPr>
        <w:t>działalności publicznej</w:t>
      </w:r>
      <w:r w:rsidR="004C6CC5" w:rsidRPr="007E62C4">
        <w:rPr>
          <w:rFonts w:ascii="Arial" w:hAnsi="Arial" w:cs="Arial"/>
          <w:sz w:val="20"/>
          <w:szCs w:val="20"/>
        </w:rPr>
        <w:t xml:space="preserve"> i </w:t>
      </w:r>
      <w:r w:rsidRPr="007E62C4">
        <w:rPr>
          <w:rFonts w:ascii="Arial" w:hAnsi="Arial" w:cs="Arial"/>
          <w:sz w:val="20"/>
          <w:szCs w:val="20"/>
        </w:rPr>
        <w:t>społecznej</w:t>
      </w:r>
      <w:r w:rsidR="001C359D">
        <w:rPr>
          <w:rFonts w:ascii="Arial" w:hAnsi="Arial" w:cs="Arial"/>
          <w:sz w:val="20"/>
          <w:szCs w:val="20"/>
        </w:rPr>
        <w:t xml:space="preserve"> </w:t>
      </w:r>
      <w:r w:rsidR="00423DEB" w:rsidRPr="007E62C4">
        <w:rPr>
          <w:rFonts w:ascii="Arial" w:hAnsi="Arial" w:cs="Arial"/>
          <w:sz w:val="20"/>
          <w:szCs w:val="20"/>
        </w:rPr>
        <w:t>- Krzyż Kawaler</w:t>
      </w:r>
      <w:r w:rsidR="001C359D">
        <w:rPr>
          <w:rFonts w:ascii="Arial" w:hAnsi="Arial" w:cs="Arial"/>
          <w:sz w:val="20"/>
          <w:szCs w:val="20"/>
        </w:rPr>
        <w:t>ski Orderu Odrodzenia Polski</w:t>
      </w:r>
      <w:r w:rsidR="00423DEB" w:rsidRPr="007E62C4">
        <w:rPr>
          <w:rFonts w:ascii="Arial" w:hAnsi="Arial" w:cs="Arial"/>
          <w:sz w:val="20"/>
          <w:szCs w:val="20"/>
        </w:rPr>
        <w:t xml:space="preserve"> za wybitne zasługi</w:t>
      </w:r>
      <w:r w:rsidR="004C6CC5" w:rsidRPr="007E62C4">
        <w:rPr>
          <w:rFonts w:ascii="Arial" w:hAnsi="Arial" w:cs="Arial"/>
          <w:sz w:val="20"/>
          <w:szCs w:val="20"/>
        </w:rPr>
        <w:t xml:space="preserve"> w </w:t>
      </w:r>
      <w:r w:rsidR="00423DEB" w:rsidRPr="007E62C4">
        <w:rPr>
          <w:rFonts w:ascii="Arial" w:hAnsi="Arial" w:cs="Arial"/>
          <w:sz w:val="20"/>
          <w:szCs w:val="20"/>
        </w:rPr>
        <w:t>działalności publicznej</w:t>
      </w:r>
      <w:r w:rsidR="004C6CC5" w:rsidRPr="007E62C4">
        <w:rPr>
          <w:rFonts w:ascii="Arial" w:hAnsi="Arial" w:cs="Arial"/>
          <w:sz w:val="20"/>
          <w:szCs w:val="20"/>
        </w:rPr>
        <w:t xml:space="preserve"> i </w:t>
      </w:r>
      <w:r w:rsidR="00423DEB" w:rsidRPr="007E62C4">
        <w:rPr>
          <w:rFonts w:ascii="Arial" w:hAnsi="Arial" w:cs="Arial"/>
          <w:sz w:val="20"/>
          <w:szCs w:val="20"/>
        </w:rPr>
        <w:t>społecznej oraz za propagowanie wartości patriotycznych oraz</w:t>
      </w:r>
      <w:r w:rsidRPr="007E62C4">
        <w:rPr>
          <w:rFonts w:ascii="Arial" w:hAnsi="Arial" w:cs="Arial"/>
          <w:sz w:val="20"/>
          <w:szCs w:val="20"/>
        </w:rPr>
        <w:t xml:space="preserve"> Złoty Krzyż Zasługi - za działalność społeczną na rzecz rozwoju gospodarki morskiej.</w:t>
      </w:r>
    </w:p>
    <w:p w14:paraId="6947854C" w14:textId="44FAF697" w:rsidR="00F33127" w:rsidRPr="00F33127" w:rsidRDefault="00C87393" w:rsidP="003C6ECA">
      <w:pPr>
        <w:pStyle w:val="Akapitzlist"/>
        <w:numPr>
          <w:ilvl w:val="0"/>
          <w:numId w:val="29"/>
        </w:numPr>
        <w:spacing w:before="100" w:beforeAutospacing="1" w:after="100" w:afterAutospacing="1" w:line="240" w:lineRule="auto"/>
        <w:jc w:val="both"/>
        <w:rPr>
          <w:rFonts w:ascii="Arial" w:eastAsia="Times New Roman" w:hAnsi="Arial" w:cs="Arial"/>
          <w:b/>
          <w:sz w:val="20"/>
          <w:szCs w:val="20"/>
          <w:lang w:eastAsia="pl-PL"/>
        </w:rPr>
      </w:pPr>
      <w:r>
        <w:rPr>
          <w:rFonts w:ascii="Arial" w:hAnsi="Arial" w:cs="Arial"/>
          <w:b/>
          <w:sz w:val="20"/>
          <w:szCs w:val="20"/>
        </w:rPr>
        <w:t xml:space="preserve">XX </w:t>
      </w:r>
      <w:r w:rsidR="00F33127" w:rsidRPr="00F33127">
        <w:rPr>
          <w:rFonts w:ascii="Arial" w:hAnsi="Arial" w:cs="Arial"/>
          <w:b/>
          <w:sz w:val="20"/>
          <w:szCs w:val="20"/>
        </w:rPr>
        <w:t>Międzynarodowe Targi Morskie BALTEXPO w Gdańsku</w:t>
      </w:r>
    </w:p>
    <w:p w14:paraId="7F316134" w14:textId="677700B1" w:rsidR="00295A7C" w:rsidRPr="00295A7C" w:rsidRDefault="00C87393" w:rsidP="00295A7C">
      <w:pPr>
        <w:spacing w:before="120" w:after="120" w:line="276" w:lineRule="auto"/>
        <w:jc w:val="both"/>
        <w:rPr>
          <w:rFonts w:ascii="Arial" w:hAnsi="Arial" w:cs="Arial"/>
          <w:sz w:val="20"/>
          <w:szCs w:val="20"/>
        </w:rPr>
      </w:pPr>
      <w:r w:rsidRPr="00C87393">
        <w:rPr>
          <w:rFonts w:ascii="Arial" w:hAnsi="Arial" w:cs="Arial"/>
          <w:sz w:val="20"/>
          <w:szCs w:val="20"/>
        </w:rPr>
        <w:t xml:space="preserve">Ponad 250 firm i organizacji z 23 krajów </w:t>
      </w:r>
      <w:r w:rsidR="00295A7C">
        <w:rPr>
          <w:rFonts w:ascii="Arial" w:hAnsi="Arial" w:cs="Arial"/>
          <w:sz w:val="20"/>
          <w:szCs w:val="20"/>
        </w:rPr>
        <w:t>wzięło</w:t>
      </w:r>
      <w:r w:rsidRPr="00C87393">
        <w:rPr>
          <w:rFonts w:ascii="Arial" w:hAnsi="Arial" w:cs="Arial"/>
          <w:sz w:val="20"/>
          <w:szCs w:val="20"/>
        </w:rPr>
        <w:t xml:space="preserve"> udział w 20. </w:t>
      </w:r>
      <w:r w:rsidR="00295A7C">
        <w:rPr>
          <w:rFonts w:ascii="Arial" w:hAnsi="Arial" w:cs="Arial"/>
          <w:sz w:val="20"/>
          <w:szCs w:val="20"/>
        </w:rPr>
        <w:t>j</w:t>
      </w:r>
      <w:r w:rsidRPr="00C87393">
        <w:rPr>
          <w:rFonts w:ascii="Arial" w:hAnsi="Arial" w:cs="Arial"/>
          <w:sz w:val="20"/>
          <w:szCs w:val="20"/>
        </w:rPr>
        <w:t xml:space="preserve">ubileuszowej edycji Międzynarodowych Targów </w:t>
      </w:r>
      <w:r w:rsidR="00295A7C">
        <w:rPr>
          <w:rFonts w:ascii="Arial" w:hAnsi="Arial" w:cs="Arial"/>
          <w:sz w:val="20"/>
          <w:szCs w:val="20"/>
        </w:rPr>
        <w:t>Morskich i Konferencji BALTEXPO, które odbyły</w:t>
      </w:r>
      <w:r w:rsidRPr="00C87393">
        <w:rPr>
          <w:rFonts w:ascii="Arial" w:hAnsi="Arial" w:cs="Arial"/>
          <w:sz w:val="20"/>
          <w:szCs w:val="20"/>
        </w:rPr>
        <w:t xml:space="preserve"> się w dniach </w:t>
      </w:r>
      <w:r w:rsidR="00B5018D">
        <w:rPr>
          <w:rFonts w:ascii="Arial" w:hAnsi="Arial" w:cs="Arial"/>
          <w:sz w:val="20"/>
          <w:szCs w:val="20"/>
        </w:rPr>
        <w:t xml:space="preserve">9 </w:t>
      </w:r>
      <w:r w:rsidR="000F2CD5">
        <w:rPr>
          <w:rFonts w:ascii="Arial" w:hAnsi="Arial" w:cs="Arial"/>
          <w:sz w:val="20"/>
          <w:szCs w:val="20"/>
        </w:rPr>
        <w:t>-</w:t>
      </w:r>
      <w:r w:rsidR="00B5018D">
        <w:rPr>
          <w:rFonts w:ascii="Arial" w:hAnsi="Arial" w:cs="Arial"/>
          <w:sz w:val="20"/>
          <w:szCs w:val="20"/>
        </w:rPr>
        <w:t xml:space="preserve"> </w:t>
      </w:r>
      <w:r w:rsidR="004140F0">
        <w:rPr>
          <w:rFonts w:ascii="Arial" w:hAnsi="Arial" w:cs="Arial"/>
          <w:sz w:val="20"/>
          <w:szCs w:val="20"/>
        </w:rPr>
        <w:t>11</w:t>
      </w:r>
      <w:r w:rsidR="00B5018D">
        <w:rPr>
          <w:rFonts w:ascii="Arial" w:hAnsi="Arial" w:cs="Arial"/>
          <w:sz w:val="20"/>
          <w:szCs w:val="20"/>
        </w:rPr>
        <w:t xml:space="preserve"> września 2019 r. </w:t>
      </w:r>
      <w:r w:rsidRPr="00C87393">
        <w:rPr>
          <w:rFonts w:ascii="Arial" w:hAnsi="Arial" w:cs="Arial"/>
          <w:sz w:val="20"/>
          <w:szCs w:val="20"/>
        </w:rPr>
        <w:t xml:space="preserve">To jedno z największych w Polsce wydarzeń </w:t>
      </w:r>
      <w:r w:rsidR="00295A7C" w:rsidRPr="00295A7C">
        <w:rPr>
          <w:rFonts w:ascii="Arial" w:hAnsi="Arial" w:cs="Arial"/>
          <w:sz w:val="20"/>
          <w:szCs w:val="20"/>
        </w:rPr>
        <w:t xml:space="preserve">poświęconych technologiom i rozwojowi różnorodnych aspektów gospodarki morskiej, takich jak: przemysł okrętowy, offshore, infrastruktura portów i przemysłu morskiego, logistyka w transporcie morskim, żegluga morska i przybrzeżna, żegluga śródlądowa </w:t>
      </w:r>
      <w:r w:rsidR="000F2CD5">
        <w:rPr>
          <w:rFonts w:ascii="Arial" w:hAnsi="Arial" w:cs="Arial"/>
          <w:sz w:val="20"/>
          <w:szCs w:val="20"/>
        </w:rPr>
        <w:br/>
      </w:r>
      <w:r w:rsidR="00295A7C" w:rsidRPr="00295A7C">
        <w:rPr>
          <w:rFonts w:ascii="Arial" w:hAnsi="Arial" w:cs="Arial"/>
          <w:sz w:val="20"/>
          <w:szCs w:val="20"/>
        </w:rPr>
        <w:t>i gospodarka wodna, bezpieczeńst</w:t>
      </w:r>
      <w:r w:rsidR="000F2CD5">
        <w:rPr>
          <w:rFonts w:ascii="Arial" w:hAnsi="Arial" w:cs="Arial"/>
          <w:sz w:val="20"/>
          <w:szCs w:val="20"/>
        </w:rPr>
        <w:t>wo i ochrona portów i żeglugi, </w:t>
      </w:r>
      <w:r w:rsidR="00295A7C" w:rsidRPr="00295A7C">
        <w:rPr>
          <w:rFonts w:ascii="Arial" w:hAnsi="Arial" w:cs="Arial"/>
          <w:sz w:val="20"/>
          <w:szCs w:val="20"/>
        </w:rPr>
        <w:t>ochrona środowiska</w:t>
      </w:r>
      <w:r w:rsidR="000F2CD5">
        <w:rPr>
          <w:rFonts w:ascii="Arial" w:hAnsi="Arial" w:cs="Arial"/>
          <w:sz w:val="20"/>
          <w:szCs w:val="20"/>
        </w:rPr>
        <w:t xml:space="preserve"> morskiego oraz edukacja morska</w:t>
      </w:r>
      <w:r w:rsidR="00295A7C" w:rsidRPr="00295A7C">
        <w:rPr>
          <w:rFonts w:ascii="Arial" w:hAnsi="Arial" w:cs="Arial"/>
          <w:sz w:val="20"/>
          <w:szCs w:val="20"/>
        </w:rPr>
        <w:t>.</w:t>
      </w:r>
    </w:p>
    <w:p w14:paraId="246AF177" w14:textId="700359E9" w:rsidR="00295A7C" w:rsidRPr="00295A7C" w:rsidRDefault="00295A7C" w:rsidP="00295A7C">
      <w:pPr>
        <w:spacing w:before="120" w:after="120" w:line="276" w:lineRule="auto"/>
        <w:jc w:val="both"/>
        <w:rPr>
          <w:rFonts w:ascii="Arial" w:hAnsi="Arial" w:cs="Arial"/>
          <w:sz w:val="20"/>
          <w:szCs w:val="20"/>
        </w:rPr>
      </w:pPr>
      <w:r w:rsidRPr="00295A7C">
        <w:rPr>
          <w:rFonts w:ascii="Arial" w:hAnsi="Arial" w:cs="Arial"/>
          <w:sz w:val="20"/>
          <w:szCs w:val="20"/>
        </w:rPr>
        <w:t xml:space="preserve">Każda edycja targów spotyka się z dużym zainteresowaniem przedstawicieli przemysłu oraz administracji z Polski i zagranicy, służąc jako wizytówka polskiej gospodarki morskiej. </w:t>
      </w:r>
      <w:r w:rsidR="00EE6214">
        <w:rPr>
          <w:rFonts w:ascii="Arial" w:hAnsi="Arial" w:cs="Arial"/>
          <w:sz w:val="20"/>
          <w:szCs w:val="20"/>
        </w:rPr>
        <w:t>M</w:t>
      </w:r>
      <w:r w:rsidRPr="00295A7C">
        <w:rPr>
          <w:rFonts w:ascii="Arial" w:hAnsi="Arial" w:cs="Arial"/>
          <w:sz w:val="20"/>
          <w:szCs w:val="20"/>
        </w:rPr>
        <w:t xml:space="preserve">iędzynarodowy charakter tego wydarzenia oraz udział wystawców i gości z zagranicy, </w:t>
      </w:r>
      <w:r w:rsidR="00EE6214">
        <w:rPr>
          <w:rFonts w:ascii="Arial" w:hAnsi="Arial" w:cs="Arial"/>
          <w:sz w:val="20"/>
          <w:szCs w:val="20"/>
        </w:rPr>
        <w:t>organizowane</w:t>
      </w:r>
      <w:r w:rsidRPr="00295A7C">
        <w:rPr>
          <w:rFonts w:ascii="Arial" w:hAnsi="Arial" w:cs="Arial"/>
          <w:sz w:val="20"/>
          <w:szCs w:val="20"/>
        </w:rPr>
        <w:t xml:space="preserve"> podczas </w:t>
      </w:r>
      <w:r w:rsidR="00CE0262" w:rsidRPr="00CE0262">
        <w:rPr>
          <w:rFonts w:ascii="Arial" w:hAnsi="Arial" w:cs="Arial"/>
          <w:bCs/>
          <w:sz w:val="20"/>
          <w:szCs w:val="20"/>
        </w:rPr>
        <w:t>targów</w:t>
      </w:r>
      <w:r w:rsidRPr="00295A7C">
        <w:rPr>
          <w:rFonts w:ascii="Arial" w:hAnsi="Arial" w:cs="Arial"/>
          <w:sz w:val="20"/>
          <w:szCs w:val="20"/>
        </w:rPr>
        <w:t xml:space="preserve"> </w:t>
      </w:r>
      <w:r w:rsidR="00EE6214">
        <w:rPr>
          <w:rFonts w:ascii="Arial" w:hAnsi="Arial" w:cs="Arial"/>
          <w:sz w:val="20"/>
          <w:szCs w:val="20"/>
        </w:rPr>
        <w:t>międzynarodowe seminaria i warsztaty</w:t>
      </w:r>
      <w:r w:rsidRPr="00295A7C">
        <w:rPr>
          <w:rFonts w:ascii="Arial" w:hAnsi="Arial" w:cs="Arial"/>
          <w:sz w:val="20"/>
          <w:szCs w:val="20"/>
        </w:rPr>
        <w:t>, przyczynia</w:t>
      </w:r>
      <w:r w:rsidR="00EE6214">
        <w:rPr>
          <w:rFonts w:ascii="Arial" w:hAnsi="Arial" w:cs="Arial"/>
          <w:sz w:val="20"/>
          <w:szCs w:val="20"/>
        </w:rPr>
        <w:t>ją</w:t>
      </w:r>
      <w:r w:rsidRPr="00295A7C">
        <w:rPr>
          <w:rFonts w:ascii="Arial" w:hAnsi="Arial" w:cs="Arial"/>
          <w:sz w:val="20"/>
          <w:szCs w:val="20"/>
        </w:rPr>
        <w:t xml:space="preserve"> się do promocji polskich przemysłów morskich za granicą i ułatwia</w:t>
      </w:r>
      <w:r w:rsidR="00EE6214">
        <w:rPr>
          <w:rFonts w:ascii="Arial" w:hAnsi="Arial" w:cs="Arial"/>
          <w:sz w:val="20"/>
          <w:szCs w:val="20"/>
        </w:rPr>
        <w:t>ją</w:t>
      </w:r>
      <w:r w:rsidRPr="00295A7C">
        <w:rPr>
          <w:rFonts w:ascii="Arial" w:hAnsi="Arial" w:cs="Arial"/>
          <w:sz w:val="20"/>
          <w:szCs w:val="20"/>
        </w:rPr>
        <w:t xml:space="preserve"> nawiązywanie współpracy kooperacyjnej pomiędzy polskimi i zagranicznymi przedsiębiorstwami.</w:t>
      </w:r>
    </w:p>
    <w:p w14:paraId="05C5F807" w14:textId="0C60E279" w:rsidR="00295A7C" w:rsidRDefault="00295A7C" w:rsidP="00767702">
      <w:pPr>
        <w:spacing w:before="120" w:after="120" w:line="276" w:lineRule="auto"/>
        <w:jc w:val="both"/>
        <w:rPr>
          <w:rFonts w:ascii="Arial" w:hAnsi="Arial" w:cs="Arial"/>
          <w:sz w:val="20"/>
          <w:szCs w:val="20"/>
        </w:rPr>
      </w:pPr>
      <w:r w:rsidRPr="00767702">
        <w:rPr>
          <w:rFonts w:ascii="Arial" w:hAnsi="Arial" w:cs="Arial"/>
          <w:sz w:val="20"/>
          <w:szCs w:val="20"/>
        </w:rPr>
        <w:t xml:space="preserve">Podczas ceremonii otwarcia targów podpisano umowę pomiędzy Centrum Unijnych Projektów Transportowych a Zarządem Morskiego Portu Gdynia na dofinansowanie projektu „Rozbudowa dostępu kolejowego do zachodniej części Portu Gdynia </w:t>
      </w:r>
      <w:r w:rsidR="00EE6214">
        <w:rPr>
          <w:rFonts w:ascii="Arial" w:hAnsi="Arial" w:cs="Arial"/>
          <w:sz w:val="20"/>
          <w:szCs w:val="20"/>
        </w:rPr>
        <w:t>-</w:t>
      </w:r>
      <w:r w:rsidRPr="00767702">
        <w:rPr>
          <w:rFonts w:ascii="Arial" w:hAnsi="Arial" w:cs="Arial"/>
          <w:sz w:val="20"/>
          <w:szCs w:val="20"/>
        </w:rPr>
        <w:t xml:space="preserve"> </w:t>
      </w:r>
      <w:r w:rsidR="00F83F50" w:rsidRPr="00767702">
        <w:rPr>
          <w:rFonts w:ascii="Arial" w:hAnsi="Arial" w:cs="Arial"/>
          <w:sz w:val="20"/>
          <w:szCs w:val="20"/>
        </w:rPr>
        <w:t>przebudowa i elektryfikacja</w:t>
      </w:r>
      <w:r w:rsidR="00767702">
        <w:rPr>
          <w:rFonts w:ascii="Arial" w:hAnsi="Arial" w:cs="Arial"/>
          <w:sz w:val="20"/>
          <w:szCs w:val="20"/>
        </w:rPr>
        <w:t>”</w:t>
      </w:r>
      <w:r w:rsidR="00F83F50" w:rsidRPr="00767702">
        <w:rPr>
          <w:rFonts w:ascii="Arial" w:hAnsi="Arial" w:cs="Arial"/>
          <w:sz w:val="20"/>
          <w:szCs w:val="20"/>
        </w:rPr>
        <w:t>.</w:t>
      </w:r>
      <w:r w:rsidR="00767702">
        <w:rPr>
          <w:rFonts w:ascii="Arial" w:hAnsi="Arial" w:cs="Arial"/>
          <w:sz w:val="20"/>
          <w:szCs w:val="20"/>
        </w:rPr>
        <w:t xml:space="preserve"> Projekt jest </w:t>
      </w:r>
      <w:r w:rsidR="00767702" w:rsidRPr="00767702">
        <w:rPr>
          <w:rFonts w:ascii="Arial" w:hAnsi="Arial" w:cs="Arial"/>
          <w:sz w:val="20"/>
          <w:szCs w:val="20"/>
        </w:rPr>
        <w:t>element</w:t>
      </w:r>
      <w:r w:rsidR="00767702">
        <w:rPr>
          <w:rFonts w:ascii="Arial" w:hAnsi="Arial" w:cs="Arial"/>
          <w:sz w:val="20"/>
          <w:szCs w:val="20"/>
        </w:rPr>
        <w:t>em</w:t>
      </w:r>
      <w:r w:rsidR="00767702" w:rsidRPr="00767702">
        <w:rPr>
          <w:rFonts w:ascii="Arial" w:hAnsi="Arial" w:cs="Arial"/>
          <w:sz w:val="20"/>
          <w:szCs w:val="20"/>
        </w:rPr>
        <w:t xml:space="preserve"> realizacji dostępu kolejowego </w:t>
      </w:r>
      <w:r w:rsidR="00767702">
        <w:rPr>
          <w:rFonts w:ascii="Arial" w:hAnsi="Arial" w:cs="Arial"/>
          <w:sz w:val="20"/>
          <w:szCs w:val="20"/>
        </w:rPr>
        <w:t xml:space="preserve">od strony lądu </w:t>
      </w:r>
      <w:r w:rsidR="00767702" w:rsidRPr="00767702">
        <w:rPr>
          <w:rFonts w:ascii="Arial" w:hAnsi="Arial" w:cs="Arial"/>
          <w:sz w:val="20"/>
          <w:szCs w:val="20"/>
        </w:rPr>
        <w:t xml:space="preserve">do Portu Gdynia </w:t>
      </w:r>
      <w:r w:rsidR="00767702">
        <w:rPr>
          <w:rFonts w:ascii="Arial" w:hAnsi="Arial" w:cs="Arial"/>
          <w:sz w:val="20"/>
          <w:szCs w:val="20"/>
        </w:rPr>
        <w:t>w celu</w:t>
      </w:r>
      <w:r w:rsidRPr="00767702">
        <w:rPr>
          <w:rFonts w:ascii="Arial" w:hAnsi="Arial" w:cs="Arial"/>
          <w:sz w:val="20"/>
          <w:szCs w:val="20"/>
        </w:rPr>
        <w:t xml:space="preserve"> </w:t>
      </w:r>
      <w:r w:rsidR="00767702">
        <w:rPr>
          <w:rFonts w:ascii="Arial" w:hAnsi="Arial" w:cs="Arial"/>
          <w:sz w:val="20"/>
          <w:szCs w:val="20"/>
        </w:rPr>
        <w:t>zwiększenia</w:t>
      </w:r>
      <w:r w:rsidRPr="00767702">
        <w:rPr>
          <w:rFonts w:ascii="Arial" w:hAnsi="Arial" w:cs="Arial"/>
          <w:sz w:val="20"/>
          <w:szCs w:val="20"/>
        </w:rPr>
        <w:t xml:space="preserve"> potencjał</w:t>
      </w:r>
      <w:r w:rsidR="00767702">
        <w:rPr>
          <w:rFonts w:ascii="Arial" w:hAnsi="Arial" w:cs="Arial"/>
          <w:sz w:val="20"/>
          <w:szCs w:val="20"/>
        </w:rPr>
        <w:t>u przeładunkowego portu</w:t>
      </w:r>
      <w:r w:rsidRPr="00767702">
        <w:rPr>
          <w:rFonts w:ascii="Arial" w:hAnsi="Arial" w:cs="Arial"/>
          <w:sz w:val="20"/>
          <w:szCs w:val="20"/>
        </w:rPr>
        <w:t xml:space="preserve">, szczególnie w obszarze terminali kontenerowych. </w:t>
      </w:r>
    </w:p>
    <w:p w14:paraId="7D063FA0" w14:textId="361B31BB" w:rsidR="00315209" w:rsidRPr="004140F0" w:rsidRDefault="00315209" w:rsidP="00315209">
      <w:pPr>
        <w:spacing w:before="120" w:after="120" w:line="276" w:lineRule="auto"/>
        <w:jc w:val="both"/>
        <w:rPr>
          <w:rFonts w:ascii="Arial" w:hAnsi="Arial" w:cs="Arial"/>
          <w:sz w:val="20"/>
          <w:szCs w:val="20"/>
        </w:rPr>
      </w:pPr>
      <w:r w:rsidRPr="00C87393">
        <w:rPr>
          <w:rFonts w:ascii="Arial" w:hAnsi="Arial" w:cs="Arial"/>
          <w:sz w:val="20"/>
          <w:szCs w:val="20"/>
        </w:rPr>
        <w:t xml:space="preserve">Podczas uroczystego otwarcia targów tradycyjnie przyznano </w:t>
      </w:r>
      <w:r>
        <w:rPr>
          <w:rFonts w:ascii="Arial" w:hAnsi="Arial" w:cs="Arial"/>
          <w:sz w:val="20"/>
          <w:szCs w:val="20"/>
        </w:rPr>
        <w:t xml:space="preserve">również „Złote Kotwice” - </w:t>
      </w:r>
      <w:r w:rsidRPr="00C87393">
        <w:rPr>
          <w:rFonts w:ascii="Arial" w:hAnsi="Arial" w:cs="Arial"/>
          <w:sz w:val="20"/>
          <w:szCs w:val="20"/>
        </w:rPr>
        <w:t xml:space="preserve">nagrody dla </w:t>
      </w:r>
      <w:r>
        <w:rPr>
          <w:rFonts w:ascii="Arial" w:hAnsi="Arial" w:cs="Arial"/>
          <w:sz w:val="20"/>
          <w:szCs w:val="20"/>
        </w:rPr>
        <w:t>wyróżniających się</w:t>
      </w:r>
      <w:r w:rsidRPr="00C87393">
        <w:rPr>
          <w:rFonts w:ascii="Arial" w:hAnsi="Arial" w:cs="Arial"/>
          <w:sz w:val="20"/>
          <w:szCs w:val="20"/>
        </w:rPr>
        <w:t xml:space="preserve"> podmiotów i osób związanych z branżą morską. Kapituła konkursu, w skład której wchodzą eksperci gospodarki morskiej i przemysłu okrętowego, przyznaje „Złote Kotwice” </w:t>
      </w:r>
      <w:r w:rsidR="00293429">
        <w:rPr>
          <w:rFonts w:ascii="Arial" w:hAnsi="Arial" w:cs="Arial"/>
          <w:sz w:val="20"/>
          <w:szCs w:val="20"/>
        </w:rPr>
        <w:br/>
      </w:r>
      <w:r w:rsidRPr="00C87393">
        <w:rPr>
          <w:rFonts w:ascii="Arial" w:hAnsi="Arial" w:cs="Arial"/>
          <w:sz w:val="20"/>
          <w:szCs w:val="20"/>
        </w:rPr>
        <w:t xml:space="preserve">w kategoriach: „Produkt”, „Usługa” oraz „Osobowość Roku Gospodarki Morskiej”. W </w:t>
      </w:r>
      <w:r>
        <w:rPr>
          <w:rFonts w:ascii="Arial" w:hAnsi="Arial" w:cs="Arial"/>
          <w:sz w:val="20"/>
          <w:szCs w:val="20"/>
        </w:rPr>
        <w:t>2019 r.</w:t>
      </w:r>
      <w:r w:rsidRPr="00C87393">
        <w:rPr>
          <w:rFonts w:ascii="Arial" w:hAnsi="Arial" w:cs="Arial"/>
          <w:sz w:val="20"/>
          <w:szCs w:val="20"/>
        </w:rPr>
        <w:t xml:space="preserve"> Złotą Kotwicę w kategorii „Produkt” otrzymała stocznia Remontowa Shipbuilding za dwa promy pasażersko-samochodowe o napędzie hybrydowym. </w:t>
      </w:r>
    </w:p>
    <w:p w14:paraId="6C05A7A4" w14:textId="4C4FA01C" w:rsidR="00492CB1" w:rsidRDefault="00510167" w:rsidP="00510167">
      <w:pPr>
        <w:spacing w:before="120" w:after="120" w:line="276" w:lineRule="auto"/>
        <w:jc w:val="both"/>
        <w:rPr>
          <w:rFonts w:ascii="Arial" w:hAnsi="Arial" w:cs="Arial"/>
          <w:sz w:val="20"/>
          <w:szCs w:val="20"/>
        </w:rPr>
      </w:pPr>
      <w:r w:rsidRPr="00510167">
        <w:rPr>
          <w:rFonts w:ascii="Arial" w:hAnsi="Arial" w:cs="Arial"/>
          <w:sz w:val="20"/>
          <w:szCs w:val="20"/>
        </w:rPr>
        <w:t xml:space="preserve">Pierwszego dnia BALTEXPO </w:t>
      </w:r>
      <w:r>
        <w:rPr>
          <w:rFonts w:ascii="Arial" w:hAnsi="Arial" w:cs="Arial"/>
          <w:sz w:val="20"/>
          <w:szCs w:val="20"/>
        </w:rPr>
        <w:t xml:space="preserve">2019 </w:t>
      </w:r>
      <w:r w:rsidR="00EE6214">
        <w:rPr>
          <w:rFonts w:ascii="Arial" w:hAnsi="Arial" w:cs="Arial"/>
          <w:sz w:val="20"/>
          <w:szCs w:val="20"/>
        </w:rPr>
        <w:t>podczas debaty</w:t>
      </w:r>
      <w:r>
        <w:rPr>
          <w:rFonts w:ascii="Arial" w:hAnsi="Arial" w:cs="Arial"/>
          <w:sz w:val="20"/>
          <w:szCs w:val="20"/>
        </w:rPr>
        <w:t xml:space="preserve"> otwarcia pn. </w:t>
      </w:r>
      <w:r w:rsidRPr="00510167">
        <w:rPr>
          <w:rFonts w:ascii="Arial" w:hAnsi="Arial" w:cs="Arial"/>
          <w:sz w:val="20"/>
          <w:szCs w:val="20"/>
        </w:rPr>
        <w:t xml:space="preserve">„Przemysł stoczniowy </w:t>
      </w:r>
      <w:r>
        <w:rPr>
          <w:rFonts w:ascii="Arial" w:hAnsi="Arial" w:cs="Arial"/>
          <w:sz w:val="20"/>
          <w:szCs w:val="20"/>
        </w:rPr>
        <w:t xml:space="preserve">i porty: Jaka rola dla państwa”, </w:t>
      </w:r>
      <w:r w:rsidRPr="00510167">
        <w:rPr>
          <w:rFonts w:ascii="Arial" w:hAnsi="Arial" w:cs="Arial"/>
          <w:sz w:val="20"/>
          <w:szCs w:val="20"/>
        </w:rPr>
        <w:t xml:space="preserve">rozmawiano o roli Funduszu </w:t>
      </w:r>
      <w:r w:rsidR="00492CB1">
        <w:rPr>
          <w:rFonts w:ascii="Arial" w:hAnsi="Arial" w:cs="Arial"/>
          <w:sz w:val="20"/>
          <w:szCs w:val="20"/>
        </w:rPr>
        <w:t xml:space="preserve">Rozwoju Spółek w </w:t>
      </w:r>
      <w:r w:rsidRPr="00510167">
        <w:rPr>
          <w:rFonts w:ascii="Arial" w:hAnsi="Arial" w:cs="Arial"/>
          <w:sz w:val="20"/>
          <w:szCs w:val="20"/>
        </w:rPr>
        <w:t>restrukt</w:t>
      </w:r>
      <w:r w:rsidR="00492CB1">
        <w:rPr>
          <w:rFonts w:ascii="Arial" w:hAnsi="Arial" w:cs="Arial"/>
          <w:sz w:val="20"/>
          <w:szCs w:val="20"/>
        </w:rPr>
        <w:t>uryzacji i wsparciu kapitałowym dla</w:t>
      </w:r>
      <w:r w:rsidRPr="00510167">
        <w:rPr>
          <w:rFonts w:ascii="Arial" w:hAnsi="Arial" w:cs="Arial"/>
          <w:sz w:val="20"/>
          <w:szCs w:val="20"/>
        </w:rPr>
        <w:t xml:space="preserve"> polskiego przemysłu stoczniowego i w odnowie floty polskich armatorów. Omówiono także zaangażowanie w pomoc dla producentów jednostek pływających w dobie światowej dekoniunktury </w:t>
      </w:r>
      <w:r w:rsidR="00293429">
        <w:rPr>
          <w:rFonts w:ascii="Arial" w:hAnsi="Arial" w:cs="Arial"/>
          <w:sz w:val="20"/>
          <w:szCs w:val="20"/>
        </w:rPr>
        <w:br/>
      </w:r>
      <w:r w:rsidRPr="00510167">
        <w:rPr>
          <w:rFonts w:ascii="Arial" w:hAnsi="Arial" w:cs="Arial"/>
          <w:sz w:val="20"/>
          <w:szCs w:val="20"/>
        </w:rPr>
        <w:t>w budownictwie okrętowym, jak również wspieranie sektora okrętowego poprzez finansowanie prac badawczo-rozwojowych w dziedzinie nowych technologii okrętowych. Uczestnicy debaty omawiali również wielkie inwestycje infrastrukturalne i plany ekspansji polskich portów jako szanse na rozwój regionów nadmorskich i gospodarki kraju.</w:t>
      </w:r>
    </w:p>
    <w:p w14:paraId="74BC933B" w14:textId="4971D2B6" w:rsidR="00510167" w:rsidRDefault="00492CB1" w:rsidP="006D2B21">
      <w:pPr>
        <w:spacing w:before="120" w:after="120" w:line="276" w:lineRule="auto"/>
        <w:jc w:val="both"/>
        <w:rPr>
          <w:rFonts w:ascii="Arial" w:hAnsi="Arial" w:cs="Arial"/>
          <w:sz w:val="20"/>
          <w:szCs w:val="20"/>
        </w:rPr>
      </w:pPr>
      <w:r>
        <w:rPr>
          <w:rFonts w:ascii="Arial" w:hAnsi="Arial" w:cs="Arial"/>
          <w:sz w:val="20"/>
          <w:szCs w:val="20"/>
        </w:rPr>
        <w:t xml:space="preserve">Oprócz debaty otwarcia </w:t>
      </w:r>
      <w:r w:rsidR="00510167" w:rsidRPr="00510167">
        <w:rPr>
          <w:rFonts w:ascii="Arial" w:hAnsi="Arial" w:cs="Arial"/>
          <w:sz w:val="20"/>
          <w:szCs w:val="20"/>
        </w:rPr>
        <w:t xml:space="preserve">odbyły się także: Debata XX edycji BALTEXPO „Dwadzieścia razy dookoła BALTEXPO </w:t>
      </w:r>
      <w:r w:rsidR="009B022A">
        <w:rPr>
          <w:rFonts w:ascii="Arial" w:hAnsi="Arial" w:cs="Arial"/>
          <w:sz w:val="20"/>
          <w:szCs w:val="20"/>
        </w:rPr>
        <w:t>-</w:t>
      </w:r>
      <w:r w:rsidR="00510167" w:rsidRPr="00510167">
        <w:rPr>
          <w:rFonts w:ascii="Arial" w:hAnsi="Arial" w:cs="Arial"/>
          <w:sz w:val="20"/>
          <w:szCs w:val="20"/>
        </w:rPr>
        <w:t xml:space="preserve"> debata premierów”; konferencja „Nowy Jedwabny Szlak </w:t>
      </w:r>
      <w:r w:rsidR="009B022A">
        <w:rPr>
          <w:rFonts w:ascii="Arial" w:hAnsi="Arial" w:cs="Arial"/>
          <w:sz w:val="20"/>
          <w:szCs w:val="20"/>
        </w:rPr>
        <w:t>-</w:t>
      </w:r>
      <w:r w:rsidR="00510167" w:rsidRPr="00510167">
        <w:rPr>
          <w:rFonts w:ascii="Arial" w:hAnsi="Arial" w:cs="Arial"/>
          <w:sz w:val="20"/>
          <w:szCs w:val="20"/>
        </w:rPr>
        <w:t xml:space="preserve"> szansa czy z</w:t>
      </w:r>
      <w:r w:rsidR="00EE6214">
        <w:rPr>
          <w:rFonts w:ascii="Arial" w:hAnsi="Arial" w:cs="Arial"/>
          <w:sz w:val="20"/>
          <w:szCs w:val="20"/>
        </w:rPr>
        <w:t>agrożenie dla polskich portów?”,</w:t>
      </w:r>
      <w:r w:rsidR="00510167" w:rsidRPr="00510167">
        <w:rPr>
          <w:rFonts w:ascii="Arial" w:hAnsi="Arial" w:cs="Arial"/>
          <w:sz w:val="20"/>
          <w:szCs w:val="20"/>
        </w:rPr>
        <w:t xml:space="preserve"> seminarium informacyjne „Granty norweskie dla branży morsk</w:t>
      </w:r>
      <w:r w:rsidR="00EE6214">
        <w:rPr>
          <w:rFonts w:ascii="Arial" w:hAnsi="Arial" w:cs="Arial"/>
          <w:sz w:val="20"/>
          <w:szCs w:val="20"/>
        </w:rPr>
        <w:t xml:space="preserve">iej – finansowanie inwestycji” </w:t>
      </w:r>
      <w:r w:rsidR="00510167" w:rsidRPr="00510167">
        <w:rPr>
          <w:rFonts w:ascii="Arial" w:hAnsi="Arial" w:cs="Arial"/>
          <w:sz w:val="20"/>
          <w:szCs w:val="20"/>
        </w:rPr>
        <w:t>oraz konferencja pt.</w:t>
      </w:r>
      <w:r w:rsidR="00EE6214">
        <w:rPr>
          <w:rFonts w:ascii="Arial" w:hAnsi="Arial" w:cs="Arial"/>
          <w:sz w:val="20"/>
          <w:szCs w:val="20"/>
        </w:rPr>
        <w:t>:</w:t>
      </w:r>
      <w:r w:rsidR="00510167" w:rsidRPr="00510167">
        <w:rPr>
          <w:rFonts w:ascii="Arial" w:hAnsi="Arial" w:cs="Arial"/>
          <w:sz w:val="20"/>
          <w:szCs w:val="20"/>
        </w:rPr>
        <w:t xml:space="preserve"> „Okręt nawodny nowego typu”.</w:t>
      </w:r>
    </w:p>
    <w:p w14:paraId="2EAD6949" w14:textId="0CB10853" w:rsidR="00CA4F07" w:rsidRDefault="00CA4F07" w:rsidP="006D2B21">
      <w:pPr>
        <w:spacing w:before="120" w:after="120" w:line="276" w:lineRule="auto"/>
        <w:jc w:val="both"/>
        <w:rPr>
          <w:rFonts w:ascii="Arial" w:hAnsi="Arial" w:cs="Arial"/>
          <w:sz w:val="20"/>
          <w:szCs w:val="20"/>
        </w:rPr>
      </w:pPr>
    </w:p>
    <w:p w14:paraId="7E991763" w14:textId="77777777" w:rsidR="00CA4F07" w:rsidRDefault="00CA4F07" w:rsidP="006D2B21">
      <w:pPr>
        <w:spacing w:before="120" w:after="120" w:line="276" w:lineRule="auto"/>
        <w:jc w:val="both"/>
        <w:rPr>
          <w:rFonts w:ascii="Arial" w:hAnsi="Arial" w:cs="Arial"/>
          <w:sz w:val="20"/>
          <w:szCs w:val="20"/>
        </w:rPr>
      </w:pPr>
    </w:p>
    <w:p w14:paraId="0CB983B2" w14:textId="77D1A36D" w:rsidR="007470E1" w:rsidRPr="00F33127" w:rsidRDefault="007470E1" w:rsidP="006D2B21">
      <w:pPr>
        <w:pStyle w:val="Akapitzlist"/>
        <w:numPr>
          <w:ilvl w:val="0"/>
          <w:numId w:val="29"/>
        </w:numPr>
        <w:spacing w:before="120" w:after="120" w:line="276" w:lineRule="auto"/>
        <w:jc w:val="both"/>
        <w:rPr>
          <w:rFonts w:ascii="Arial" w:eastAsia="Times New Roman" w:hAnsi="Arial" w:cs="Arial"/>
          <w:b/>
          <w:sz w:val="20"/>
          <w:szCs w:val="20"/>
          <w:lang w:eastAsia="pl-PL"/>
        </w:rPr>
      </w:pPr>
      <w:r w:rsidRPr="00F33127">
        <w:rPr>
          <w:rFonts w:ascii="Arial" w:eastAsia="Times New Roman" w:hAnsi="Arial" w:cs="Arial"/>
          <w:b/>
          <w:sz w:val="20"/>
          <w:szCs w:val="20"/>
          <w:lang w:eastAsia="pl-PL"/>
        </w:rPr>
        <w:lastRenderedPageBreak/>
        <w:t xml:space="preserve">Podpisanie umowy między Rządem Rzeczypospolitej Polskiej a Rządem Państwa Zjednoczonych Emiratów Arabskich o transporcie morskim </w:t>
      </w:r>
    </w:p>
    <w:p w14:paraId="45FE79C5" w14:textId="49B085A6" w:rsidR="00AB689D" w:rsidRPr="003C14F2" w:rsidRDefault="00AB689D" w:rsidP="006D2B21">
      <w:pPr>
        <w:spacing w:before="120" w:after="120" w:line="276" w:lineRule="auto"/>
        <w:jc w:val="both"/>
        <w:rPr>
          <w:rFonts w:ascii="Arial" w:hAnsi="Arial" w:cs="Arial"/>
          <w:sz w:val="20"/>
          <w:szCs w:val="20"/>
        </w:rPr>
      </w:pPr>
      <w:r w:rsidRPr="003C14F2">
        <w:rPr>
          <w:rFonts w:ascii="Arial" w:hAnsi="Arial" w:cs="Arial"/>
          <w:sz w:val="20"/>
          <w:szCs w:val="20"/>
        </w:rPr>
        <w:t>W dniu 20 listopada 2019</w:t>
      </w:r>
      <w:r w:rsidR="009D01B9" w:rsidRPr="003C14F2">
        <w:rPr>
          <w:rFonts w:ascii="Arial" w:hAnsi="Arial" w:cs="Arial"/>
          <w:sz w:val="20"/>
          <w:szCs w:val="20"/>
        </w:rPr>
        <w:t xml:space="preserve"> r. </w:t>
      </w:r>
      <w:r w:rsidRPr="003C14F2">
        <w:rPr>
          <w:rFonts w:ascii="Arial" w:hAnsi="Arial" w:cs="Arial"/>
          <w:sz w:val="20"/>
          <w:szCs w:val="20"/>
        </w:rPr>
        <w:t>Marek Gróbarczyk, Minister Gospodarki Morskiej</w:t>
      </w:r>
      <w:r w:rsidR="004C6CC5" w:rsidRPr="003C14F2">
        <w:rPr>
          <w:rFonts w:ascii="Arial" w:hAnsi="Arial" w:cs="Arial"/>
          <w:sz w:val="20"/>
          <w:szCs w:val="20"/>
        </w:rPr>
        <w:t xml:space="preserve"> i </w:t>
      </w:r>
      <w:r w:rsidRPr="003C14F2">
        <w:rPr>
          <w:rFonts w:ascii="Arial" w:hAnsi="Arial" w:cs="Arial"/>
          <w:sz w:val="20"/>
          <w:szCs w:val="20"/>
        </w:rPr>
        <w:t>Żeglugi Śródlądowej oraz Abdullah Belhaif Al Nuaimi, Minister Infrastruktury</w:t>
      </w:r>
      <w:r w:rsidR="00664731">
        <w:rPr>
          <w:rFonts w:ascii="Arial" w:hAnsi="Arial" w:cs="Arial"/>
          <w:sz w:val="20"/>
          <w:szCs w:val="20"/>
        </w:rPr>
        <w:t xml:space="preserve"> i </w:t>
      </w:r>
      <w:r w:rsidRPr="003C14F2">
        <w:rPr>
          <w:rFonts w:ascii="Arial" w:hAnsi="Arial" w:cs="Arial"/>
          <w:sz w:val="20"/>
          <w:szCs w:val="20"/>
        </w:rPr>
        <w:t>Rozwoju Zjednoczonych Emiratów Arabskich podpisali umowę o współpracy</w:t>
      </w:r>
      <w:r w:rsidR="004C6CC5" w:rsidRPr="003C14F2">
        <w:rPr>
          <w:rFonts w:ascii="Arial" w:hAnsi="Arial" w:cs="Arial"/>
          <w:sz w:val="20"/>
          <w:szCs w:val="20"/>
        </w:rPr>
        <w:t xml:space="preserve"> w </w:t>
      </w:r>
      <w:r w:rsidRPr="003C14F2">
        <w:rPr>
          <w:rFonts w:ascii="Arial" w:hAnsi="Arial" w:cs="Arial"/>
          <w:sz w:val="20"/>
          <w:szCs w:val="20"/>
        </w:rPr>
        <w:t xml:space="preserve">zakresie transportu morskiego. </w:t>
      </w:r>
      <w:r w:rsidR="005A3286" w:rsidRPr="003C14F2">
        <w:rPr>
          <w:rFonts w:ascii="Arial" w:eastAsia="Calibri" w:hAnsi="Arial" w:cs="Arial"/>
          <w:sz w:val="20"/>
          <w:szCs w:val="20"/>
        </w:rPr>
        <w:t>Podpisana umowa przyczyni się do rozwoju współpracy handlowej pomiędzy Polską a ZEA.</w:t>
      </w:r>
      <w:r w:rsidR="003C14F2" w:rsidRPr="003C14F2">
        <w:rPr>
          <w:rFonts w:ascii="Arial" w:eastAsia="Calibri" w:hAnsi="Arial" w:cs="Arial"/>
          <w:sz w:val="20"/>
          <w:szCs w:val="20"/>
        </w:rPr>
        <w:t xml:space="preserve"> Przy okazji wizyty odbyło się Polsko-Emirackie Gospodarcze Seminarium Morskie.</w:t>
      </w:r>
    </w:p>
    <w:p w14:paraId="4E925E72" w14:textId="700EFEAA" w:rsidR="00AB689D" w:rsidRPr="004C6CC5" w:rsidRDefault="00AB689D" w:rsidP="008D2321">
      <w:pPr>
        <w:spacing w:line="276" w:lineRule="auto"/>
        <w:jc w:val="both"/>
        <w:rPr>
          <w:rFonts w:ascii="Arial" w:hAnsi="Arial" w:cs="Arial"/>
          <w:sz w:val="20"/>
          <w:szCs w:val="20"/>
        </w:rPr>
      </w:pPr>
      <w:r w:rsidRPr="004C6CC5">
        <w:rPr>
          <w:rFonts w:ascii="Arial" w:hAnsi="Arial" w:cs="Arial"/>
          <w:sz w:val="20"/>
          <w:szCs w:val="20"/>
        </w:rPr>
        <w:t>Celem Umowy jest rozwój współpracy</w:t>
      </w:r>
      <w:r w:rsidR="004C6CC5">
        <w:rPr>
          <w:rFonts w:ascii="Arial" w:hAnsi="Arial" w:cs="Arial"/>
          <w:sz w:val="20"/>
          <w:szCs w:val="20"/>
        </w:rPr>
        <w:t xml:space="preserve"> w </w:t>
      </w:r>
      <w:r w:rsidRPr="004C6CC5">
        <w:rPr>
          <w:rFonts w:ascii="Arial" w:hAnsi="Arial" w:cs="Arial"/>
          <w:sz w:val="20"/>
          <w:szCs w:val="20"/>
        </w:rPr>
        <w:t>dziedzinie żeglugi morskiej pomiędzy Polską a ZEA, wspólne przyczynianie się do rozwoju żeglugi międzynarodowej oraz przestrzegania zasad bezpieczeństwa morskiego</w:t>
      </w:r>
      <w:r w:rsidR="004C6CC5">
        <w:rPr>
          <w:rFonts w:ascii="Arial" w:hAnsi="Arial" w:cs="Arial"/>
          <w:sz w:val="20"/>
          <w:szCs w:val="20"/>
        </w:rPr>
        <w:t xml:space="preserve"> i </w:t>
      </w:r>
      <w:r w:rsidRPr="004C6CC5">
        <w:rPr>
          <w:rFonts w:ascii="Arial" w:hAnsi="Arial" w:cs="Arial"/>
          <w:sz w:val="20"/>
          <w:szCs w:val="20"/>
        </w:rPr>
        <w:t>ochrony środowiska morskiego. Umowa stanowi podstawę prawno-traktatową do rozwoju dwustronnego handlu</w:t>
      </w:r>
      <w:r w:rsidR="00BA0308">
        <w:rPr>
          <w:rFonts w:ascii="Arial" w:hAnsi="Arial" w:cs="Arial"/>
          <w:sz w:val="20"/>
          <w:szCs w:val="20"/>
        </w:rPr>
        <w:t xml:space="preserve"> i </w:t>
      </w:r>
      <w:r w:rsidRPr="004C6CC5">
        <w:rPr>
          <w:rFonts w:ascii="Arial" w:hAnsi="Arial" w:cs="Arial"/>
          <w:sz w:val="20"/>
          <w:szCs w:val="20"/>
        </w:rPr>
        <w:t>współpracy gospodarczej pomiędzy oboma krajami, jak również krajami Bliskiego Wschodu.</w:t>
      </w:r>
    </w:p>
    <w:p w14:paraId="603E1A1F" w14:textId="689981DA" w:rsidR="00AB689D" w:rsidRPr="004C6CC5" w:rsidRDefault="00AB689D" w:rsidP="008D2321">
      <w:pPr>
        <w:spacing w:line="276" w:lineRule="auto"/>
        <w:jc w:val="both"/>
        <w:rPr>
          <w:rFonts w:ascii="Arial" w:hAnsi="Arial" w:cs="Arial"/>
          <w:sz w:val="20"/>
          <w:szCs w:val="20"/>
        </w:rPr>
      </w:pPr>
      <w:r w:rsidRPr="004C6CC5">
        <w:rPr>
          <w:rFonts w:ascii="Arial" w:hAnsi="Arial" w:cs="Arial"/>
          <w:sz w:val="20"/>
          <w:szCs w:val="20"/>
        </w:rPr>
        <w:t>Umowa między Rządem Rzeczypospolitej Polskiej a Rządem ZEA o transporcie morskim oparta jest na zasadach przyjętych</w:t>
      </w:r>
      <w:r w:rsidR="00BA0308">
        <w:rPr>
          <w:rFonts w:ascii="Arial" w:hAnsi="Arial" w:cs="Arial"/>
          <w:sz w:val="20"/>
          <w:szCs w:val="20"/>
        </w:rPr>
        <w:t xml:space="preserve"> w </w:t>
      </w:r>
      <w:r w:rsidRPr="004C6CC5">
        <w:rPr>
          <w:rFonts w:ascii="Arial" w:hAnsi="Arial" w:cs="Arial"/>
          <w:sz w:val="20"/>
          <w:szCs w:val="20"/>
        </w:rPr>
        <w:t>żegludze międzynarodowej, tj</w:t>
      </w:r>
      <w:r w:rsidR="00664731">
        <w:rPr>
          <w:rFonts w:ascii="Arial" w:hAnsi="Arial" w:cs="Arial"/>
          <w:sz w:val="20"/>
          <w:szCs w:val="20"/>
        </w:rPr>
        <w:t xml:space="preserve">. na zasadach wolności żeglugi </w:t>
      </w:r>
      <w:r w:rsidR="00664731">
        <w:rPr>
          <w:rFonts w:ascii="Arial" w:hAnsi="Arial" w:cs="Arial"/>
          <w:sz w:val="20"/>
          <w:szCs w:val="20"/>
        </w:rPr>
        <w:br/>
      </w:r>
      <w:r w:rsidRPr="004C6CC5">
        <w:rPr>
          <w:rFonts w:ascii="Arial" w:hAnsi="Arial" w:cs="Arial"/>
          <w:sz w:val="20"/>
          <w:szCs w:val="20"/>
        </w:rPr>
        <w:t>i niedyskryminacji. Jej podstawowym elementem jest przyznanie przez każdą ze Stron statkom drugiej Strony</w:t>
      </w:r>
      <w:r w:rsidR="004C6CC5">
        <w:rPr>
          <w:rFonts w:ascii="Arial" w:hAnsi="Arial" w:cs="Arial"/>
          <w:sz w:val="20"/>
          <w:szCs w:val="20"/>
        </w:rPr>
        <w:t xml:space="preserve"> w </w:t>
      </w:r>
      <w:r w:rsidRPr="004C6CC5">
        <w:rPr>
          <w:rFonts w:ascii="Arial" w:hAnsi="Arial" w:cs="Arial"/>
          <w:sz w:val="20"/>
          <w:szCs w:val="20"/>
        </w:rPr>
        <w:t>swoich portach, na morzu terytorialnym</w:t>
      </w:r>
      <w:r w:rsidR="00BA0308">
        <w:rPr>
          <w:rFonts w:ascii="Arial" w:hAnsi="Arial" w:cs="Arial"/>
          <w:sz w:val="20"/>
          <w:szCs w:val="20"/>
        </w:rPr>
        <w:t xml:space="preserve"> i </w:t>
      </w:r>
      <w:r w:rsidRPr="004C6CC5">
        <w:rPr>
          <w:rFonts w:ascii="Arial" w:hAnsi="Arial" w:cs="Arial"/>
          <w:sz w:val="20"/>
          <w:szCs w:val="20"/>
        </w:rPr>
        <w:t xml:space="preserve">innych obszarach morskich podlegających jej suwerennym prawom takiego samego traktowania, jakie jest przyznawane statkom państwa najbardziej uprzywilejowanego (klauzula najwyższego uprzywilejowania). </w:t>
      </w:r>
    </w:p>
    <w:p w14:paraId="497D07E1" w14:textId="30A03679" w:rsidR="00AB689D" w:rsidRDefault="00AB689D" w:rsidP="008D2321">
      <w:pPr>
        <w:spacing w:line="276" w:lineRule="auto"/>
        <w:jc w:val="both"/>
        <w:rPr>
          <w:rFonts w:ascii="Arial" w:hAnsi="Arial" w:cs="Arial"/>
          <w:sz w:val="20"/>
          <w:szCs w:val="20"/>
        </w:rPr>
      </w:pPr>
      <w:r w:rsidRPr="004C6CC5">
        <w:rPr>
          <w:rFonts w:ascii="Arial" w:hAnsi="Arial" w:cs="Arial"/>
          <w:sz w:val="20"/>
          <w:szCs w:val="20"/>
        </w:rPr>
        <w:t>Umowa zawiera postanowienia dotyczące m.in. nieograniczonego udziału przedsiębiorstw żeglugi morskiej Stron</w:t>
      </w:r>
      <w:r w:rsidR="00BA0308">
        <w:rPr>
          <w:rFonts w:ascii="Arial" w:hAnsi="Arial" w:cs="Arial"/>
          <w:sz w:val="20"/>
          <w:szCs w:val="20"/>
        </w:rPr>
        <w:t xml:space="preserve"> w </w:t>
      </w:r>
      <w:r w:rsidRPr="004C6CC5">
        <w:rPr>
          <w:rFonts w:ascii="Arial" w:hAnsi="Arial" w:cs="Arial"/>
          <w:sz w:val="20"/>
          <w:szCs w:val="20"/>
        </w:rPr>
        <w:t>przewozie towarów</w:t>
      </w:r>
      <w:r w:rsidR="006452D0">
        <w:rPr>
          <w:rFonts w:ascii="Arial" w:hAnsi="Arial" w:cs="Arial"/>
          <w:sz w:val="20"/>
          <w:szCs w:val="20"/>
        </w:rPr>
        <w:t xml:space="preserve"> i </w:t>
      </w:r>
      <w:r w:rsidRPr="004C6CC5">
        <w:rPr>
          <w:rFonts w:ascii="Arial" w:hAnsi="Arial" w:cs="Arial"/>
          <w:sz w:val="20"/>
          <w:szCs w:val="20"/>
        </w:rPr>
        <w:t>pasażerów, a także wzajemnego uznawania dokumentów tożsamości członków załóg upoważniających do przekraczania granicy państwowej. P</w:t>
      </w:r>
      <w:r w:rsidR="0081367D">
        <w:rPr>
          <w:rFonts w:ascii="Arial" w:hAnsi="Arial" w:cs="Arial"/>
          <w:sz w:val="20"/>
          <w:szCs w:val="20"/>
        </w:rPr>
        <w:t>onadto p</w:t>
      </w:r>
      <w:r w:rsidRPr="004C6CC5">
        <w:rPr>
          <w:rFonts w:ascii="Arial" w:hAnsi="Arial" w:cs="Arial"/>
          <w:sz w:val="20"/>
          <w:szCs w:val="20"/>
        </w:rPr>
        <w:t xml:space="preserve">ozwala </w:t>
      </w:r>
      <w:r w:rsidRPr="004C6CC5">
        <w:rPr>
          <w:rFonts w:ascii="Arial" w:hAnsi="Arial" w:cs="Arial"/>
          <w:sz w:val="20"/>
          <w:szCs w:val="20"/>
        </w:rPr>
        <w:br/>
        <w:t>na tworzenie przedstawicielstw</w:t>
      </w:r>
      <w:r w:rsidR="004C6CC5">
        <w:rPr>
          <w:rFonts w:ascii="Arial" w:hAnsi="Arial" w:cs="Arial"/>
          <w:sz w:val="20"/>
          <w:szCs w:val="20"/>
        </w:rPr>
        <w:t xml:space="preserve"> i </w:t>
      </w:r>
      <w:r w:rsidRPr="004C6CC5">
        <w:rPr>
          <w:rFonts w:ascii="Arial" w:hAnsi="Arial" w:cs="Arial"/>
          <w:sz w:val="20"/>
          <w:szCs w:val="20"/>
        </w:rPr>
        <w:t>oddziałów handlowych przedsiębiorstw żeglugi na terytorium drugiego państwa, wzajemne uznanie dokumentów statków, gwa</w:t>
      </w:r>
      <w:r w:rsidR="00664731">
        <w:rPr>
          <w:rFonts w:ascii="Arial" w:hAnsi="Arial" w:cs="Arial"/>
          <w:sz w:val="20"/>
          <w:szCs w:val="20"/>
        </w:rPr>
        <w:t xml:space="preserve">rantuje opiekę członkom załogi </w:t>
      </w:r>
      <w:r w:rsidRPr="004C6CC5">
        <w:rPr>
          <w:rFonts w:ascii="Arial" w:hAnsi="Arial" w:cs="Arial"/>
          <w:sz w:val="20"/>
          <w:szCs w:val="20"/>
        </w:rPr>
        <w:t>i pasażerom oraz pomoc statkom</w:t>
      </w:r>
      <w:r w:rsidR="004C6CC5">
        <w:rPr>
          <w:rFonts w:ascii="Arial" w:hAnsi="Arial" w:cs="Arial"/>
          <w:sz w:val="20"/>
          <w:szCs w:val="20"/>
        </w:rPr>
        <w:t xml:space="preserve"> w </w:t>
      </w:r>
      <w:r w:rsidRPr="004C6CC5">
        <w:rPr>
          <w:rFonts w:ascii="Arial" w:hAnsi="Arial" w:cs="Arial"/>
          <w:sz w:val="20"/>
          <w:szCs w:val="20"/>
        </w:rPr>
        <w:t xml:space="preserve">razie wypadku morskiego na </w:t>
      </w:r>
      <w:r w:rsidR="00664731">
        <w:rPr>
          <w:rFonts w:ascii="Arial" w:hAnsi="Arial" w:cs="Arial"/>
          <w:sz w:val="20"/>
          <w:szCs w:val="20"/>
        </w:rPr>
        <w:t xml:space="preserve">wodach terytorialnych któregoś </w:t>
      </w:r>
      <w:r w:rsidRPr="004C6CC5">
        <w:rPr>
          <w:rFonts w:ascii="Arial" w:hAnsi="Arial" w:cs="Arial"/>
          <w:sz w:val="20"/>
          <w:szCs w:val="20"/>
        </w:rPr>
        <w:t xml:space="preserve">z państw. </w:t>
      </w:r>
    </w:p>
    <w:p w14:paraId="3E8165CF" w14:textId="549DD7CF" w:rsidR="005532C1" w:rsidRDefault="005532C1" w:rsidP="005532C1">
      <w:pPr>
        <w:pStyle w:val="Nagwek1"/>
        <w:spacing w:before="120" w:after="120"/>
        <w:jc w:val="both"/>
        <w:rPr>
          <w:rFonts w:ascii="Arial" w:hAnsi="Arial" w:cs="Arial"/>
          <w:b/>
          <w:color w:val="auto"/>
          <w:sz w:val="20"/>
          <w:szCs w:val="20"/>
        </w:rPr>
      </w:pPr>
      <w:bookmarkStart w:id="18" w:name="_Toc32492911"/>
      <w:bookmarkStart w:id="19" w:name="_Toc72745036"/>
      <w:r w:rsidRPr="009240D6">
        <w:rPr>
          <w:rFonts w:ascii="Arial" w:hAnsi="Arial" w:cs="Arial"/>
          <w:b/>
          <w:color w:val="auto"/>
          <w:sz w:val="20"/>
          <w:szCs w:val="20"/>
        </w:rPr>
        <w:t>DZIAŁANIA NA RZECZ UPROSZCZENIA PROCEDUR</w:t>
      </w:r>
      <w:r w:rsidR="00BA5B1E" w:rsidRPr="009240D6">
        <w:rPr>
          <w:rFonts w:ascii="Arial" w:hAnsi="Arial" w:cs="Arial"/>
          <w:b/>
          <w:color w:val="auto"/>
          <w:sz w:val="20"/>
          <w:szCs w:val="20"/>
        </w:rPr>
        <w:t xml:space="preserve"> W </w:t>
      </w:r>
      <w:r w:rsidRPr="009240D6">
        <w:rPr>
          <w:rFonts w:ascii="Arial" w:hAnsi="Arial" w:cs="Arial"/>
          <w:b/>
          <w:color w:val="auto"/>
          <w:sz w:val="20"/>
          <w:szCs w:val="20"/>
        </w:rPr>
        <w:t>ZAKRESIE ODPRAW TOWARÓW</w:t>
      </w:r>
      <w:r w:rsidR="004C6CC5" w:rsidRPr="009240D6">
        <w:rPr>
          <w:rFonts w:ascii="Arial" w:hAnsi="Arial" w:cs="Arial"/>
          <w:b/>
          <w:color w:val="auto"/>
          <w:sz w:val="20"/>
          <w:szCs w:val="20"/>
        </w:rPr>
        <w:t xml:space="preserve"> </w:t>
      </w:r>
      <w:r w:rsidR="00BA5B1E" w:rsidRPr="009240D6">
        <w:rPr>
          <w:rFonts w:ascii="Arial" w:hAnsi="Arial" w:cs="Arial"/>
          <w:b/>
          <w:color w:val="auto"/>
          <w:sz w:val="20"/>
          <w:szCs w:val="20"/>
        </w:rPr>
        <w:t>W</w:t>
      </w:r>
      <w:r w:rsidR="004C6CC5" w:rsidRPr="009240D6">
        <w:rPr>
          <w:rFonts w:ascii="Arial" w:hAnsi="Arial" w:cs="Arial"/>
          <w:b/>
          <w:color w:val="auto"/>
          <w:sz w:val="20"/>
          <w:szCs w:val="20"/>
        </w:rPr>
        <w:t> </w:t>
      </w:r>
      <w:r w:rsidRPr="009240D6">
        <w:rPr>
          <w:rFonts w:ascii="Arial" w:hAnsi="Arial" w:cs="Arial"/>
          <w:b/>
          <w:color w:val="auto"/>
          <w:sz w:val="20"/>
          <w:szCs w:val="20"/>
        </w:rPr>
        <w:t>POLSKICH PORTACH MORSKICH.</w:t>
      </w:r>
      <w:bookmarkEnd w:id="18"/>
      <w:bookmarkEnd w:id="19"/>
    </w:p>
    <w:p w14:paraId="3CA0C89F" w14:textId="765A1197" w:rsidR="0027150F" w:rsidRPr="0027150F" w:rsidRDefault="0027150F" w:rsidP="0027150F">
      <w:pPr>
        <w:pStyle w:val="Nagwek2"/>
        <w:spacing w:before="120" w:after="120"/>
        <w:jc w:val="both"/>
        <w:rPr>
          <w:rFonts w:ascii="Arial" w:hAnsi="Arial" w:cs="Arial"/>
          <w:b/>
          <w:color w:val="auto"/>
          <w:sz w:val="20"/>
          <w:szCs w:val="20"/>
        </w:rPr>
      </w:pPr>
      <w:bookmarkStart w:id="20" w:name="_Toc72745037"/>
      <w:r w:rsidRPr="0027150F">
        <w:rPr>
          <w:rFonts w:ascii="Arial" w:hAnsi="Arial" w:cs="Arial"/>
          <w:b/>
          <w:color w:val="auto"/>
          <w:sz w:val="20"/>
          <w:szCs w:val="20"/>
        </w:rPr>
        <w:t>Realizacja działań podejmowanych w 2019 r. w zakresie zwiększenia efektywności obrotu towarowego w portach.</w:t>
      </w:r>
      <w:bookmarkEnd w:id="20"/>
    </w:p>
    <w:p w14:paraId="3C08E39B" w14:textId="0FE5D3EF" w:rsidR="00A95A53" w:rsidRPr="004C6CC5" w:rsidRDefault="00A95A53" w:rsidP="00A95A53">
      <w:pPr>
        <w:jc w:val="both"/>
        <w:rPr>
          <w:rFonts w:ascii="Arial" w:hAnsi="Arial" w:cs="Arial"/>
          <w:sz w:val="20"/>
          <w:szCs w:val="20"/>
        </w:rPr>
      </w:pPr>
      <w:r w:rsidRPr="004C6CC5">
        <w:rPr>
          <w:rFonts w:ascii="Arial" w:hAnsi="Arial" w:cs="Arial"/>
          <w:sz w:val="20"/>
          <w:szCs w:val="20"/>
        </w:rPr>
        <w:t>W 2019 r. zostały wprowadzone u</w:t>
      </w:r>
      <w:r w:rsidRPr="000F468A">
        <w:rPr>
          <w:rFonts w:ascii="Arial" w:hAnsi="Arial" w:cs="Arial"/>
          <w:sz w:val="20"/>
          <w:szCs w:val="20"/>
        </w:rPr>
        <w:t>łatwienia dla podatników</w:t>
      </w:r>
      <w:r w:rsidR="00155DE6">
        <w:rPr>
          <w:rFonts w:ascii="Arial" w:hAnsi="Arial" w:cs="Arial"/>
          <w:sz w:val="20"/>
          <w:szCs w:val="20"/>
        </w:rPr>
        <w:t>, w tym</w:t>
      </w:r>
      <w:r w:rsidRPr="000F468A">
        <w:rPr>
          <w:rFonts w:ascii="Arial" w:hAnsi="Arial" w:cs="Arial"/>
          <w:sz w:val="20"/>
          <w:szCs w:val="20"/>
        </w:rPr>
        <w:t xml:space="preserve"> dokonujących imp</w:t>
      </w:r>
      <w:r w:rsidRPr="004C6CC5">
        <w:rPr>
          <w:rFonts w:ascii="Arial" w:hAnsi="Arial" w:cs="Arial"/>
          <w:sz w:val="20"/>
          <w:szCs w:val="20"/>
        </w:rPr>
        <w:t>ortu towarów</w:t>
      </w:r>
      <w:r>
        <w:rPr>
          <w:rFonts w:ascii="Arial" w:hAnsi="Arial" w:cs="Arial"/>
          <w:sz w:val="20"/>
          <w:szCs w:val="20"/>
        </w:rPr>
        <w:t xml:space="preserve"> w </w:t>
      </w:r>
      <w:r w:rsidRPr="004C6CC5">
        <w:rPr>
          <w:rFonts w:ascii="Arial" w:hAnsi="Arial" w:cs="Arial"/>
          <w:sz w:val="20"/>
          <w:szCs w:val="20"/>
        </w:rPr>
        <w:t xml:space="preserve">portach morskich </w:t>
      </w:r>
      <w:r w:rsidR="000C4EA4">
        <w:rPr>
          <w:rFonts w:ascii="Arial" w:hAnsi="Arial" w:cs="Arial"/>
          <w:sz w:val="20"/>
          <w:szCs w:val="20"/>
        </w:rPr>
        <w:t>w zakresie</w:t>
      </w:r>
      <w:r w:rsidRPr="004C6CC5">
        <w:rPr>
          <w:rFonts w:ascii="Arial" w:hAnsi="Arial" w:cs="Arial"/>
          <w:sz w:val="20"/>
          <w:szCs w:val="20"/>
        </w:rPr>
        <w:t>:</w:t>
      </w:r>
    </w:p>
    <w:p w14:paraId="3C1075F2" w14:textId="009537E2" w:rsidR="00A95A53" w:rsidRPr="00160FE5" w:rsidRDefault="000C4EA4" w:rsidP="003C6ECA">
      <w:pPr>
        <w:pStyle w:val="Akapitzlist"/>
        <w:numPr>
          <w:ilvl w:val="0"/>
          <w:numId w:val="29"/>
        </w:numPr>
        <w:spacing w:line="276" w:lineRule="auto"/>
        <w:jc w:val="both"/>
        <w:rPr>
          <w:rFonts w:ascii="Arial" w:hAnsi="Arial" w:cs="Arial"/>
          <w:sz w:val="20"/>
          <w:szCs w:val="20"/>
        </w:rPr>
      </w:pPr>
      <w:r w:rsidRPr="00160FE5">
        <w:rPr>
          <w:rFonts w:ascii="Arial" w:hAnsi="Arial" w:cs="Arial"/>
          <w:sz w:val="20"/>
          <w:szCs w:val="20"/>
        </w:rPr>
        <w:t>rozliczania</w:t>
      </w:r>
      <w:r w:rsidR="00A95A53" w:rsidRPr="00160FE5">
        <w:rPr>
          <w:rFonts w:ascii="Arial" w:hAnsi="Arial" w:cs="Arial"/>
          <w:sz w:val="20"/>
          <w:szCs w:val="20"/>
        </w:rPr>
        <w:t xml:space="preserve"> podatku VAT z tytułu importu towarów bezpośrednio w deklaracji podatkowej poprzez: </w:t>
      </w:r>
    </w:p>
    <w:p w14:paraId="5E898713" w14:textId="1399A496" w:rsidR="00A95A53" w:rsidRPr="00160FE5" w:rsidRDefault="00A95A53" w:rsidP="003C6ECA">
      <w:pPr>
        <w:pStyle w:val="Akapitzlist"/>
        <w:numPr>
          <w:ilvl w:val="0"/>
          <w:numId w:val="34"/>
        </w:numPr>
        <w:spacing w:line="276" w:lineRule="auto"/>
        <w:jc w:val="both"/>
        <w:rPr>
          <w:rFonts w:ascii="Arial" w:hAnsi="Arial" w:cs="Arial"/>
          <w:sz w:val="20"/>
          <w:szCs w:val="20"/>
        </w:rPr>
      </w:pPr>
      <w:r w:rsidRPr="00160FE5">
        <w:rPr>
          <w:rFonts w:ascii="Arial" w:hAnsi="Arial" w:cs="Arial"/>
          <w:sz w:val="20"/>
          <w:szCs w:val="20"/>
        </w:rPr>
        <w:t xml:space="preserve">wyznaczenie jednego naczelnika urzędu celno-skarbowego do przedkładania zaświadczeń </w:t>
      </w:r>
      <w:r w:rsidR="00C77F54">
        <w:rPr>
          <w:rFonts w:ascii="Arial" w:hAnsi="Arial" w:cs="Arial"/>
          <w:sz w:val="20"/>
          <w:szCs w:val="20"/>
        </w:rPr>
        <w:br/>
      </w:r>
      <w:r w:rsidRPr="00160FE5">
        <w:rPr>
          <w:rFonts w:ascii="Arial" w:hAnsi="Arial" w:cs="Arial"/>
          <w:sz w:val="20"/>
          <w:szCs w:val="20"/>
        </w:rPr>
        <w:t xml:space="preserve">o braku zaległości we wpłatach należnych składek na ubezpieczenie społeczne oraz we wpłatach poszczególnych podatków stanowiących dochód budżetu państwa, a także potwierdzenia zarejestrowania podatnika jako podatnika VAT czynnego </w:t>
      </w:r>
      <w:r w:rsidR="005B163C">
        <w:rPr>
          <w:rFonts w:ascii="Arial" w:hAnsi="Arial" w:cs="Arial"/>
          <w:sz w:val="20"/>
          <w:szCs w:val="20"/>
        </w:rPr>
        <w:t>-</w:t>
      </w:r>
      <w:r w:rsidRPr="00160FE5">
        <w:rPr>
          <w:rFonts w:ascii="Arial" w:hAnsi="Arial" w:cs="Arial"/>
          <w:sz w:val="20"/>
          <w:szCs w:val="20"/>
        </w:rPr>
        <w:t xml:space="preserve"> art. 33 pkt 2 lit. c ustawy z dnia 31 lipca 2019 r. o zmianie niektórych ustaw w celu ogra</w:t>
      </w:r>
      <w:r w:rsidR="005B163C">
        <w:rPr>
          <w:rFonts w:ascii="Arial" w:hAnsi="Arial" w:cs="Arial"/>
          <w:sz w:val="20"/>
          <w:szCs w:val="20"/>
        </w:rPr>
        <w:t>niczenia obciążeń regulacyjnych</w:t>
      </w:r>
      <w:r w:rsidRPr="00160FE5">
        <w:rPr>
          <w:rFonts w:ascii="Arial" w:hAnsi="Arial" w:cs="Arial"/>
          <w:sz w:val="20"/>
          <w:szCs w:val="20"/>
        </w:rPr>
        <w:t xml:space="preserve">, który wejdzie w życie 1 lipca 2020 r.; </w:t>
      </w:r>
    </w:p>
    <w:p w14:paraId="5D0FCCA7" w14:textId="1AFAC8F8" w:rsidR="00A95A53" w:rsidRPr="00160FE5" w:rsidRDefault="00A95A53" w:rsidP="003C6ECA">
      <w:pPr>
        <w:pStyle w:val="Akapitzlist"/>
        <w:numPr>
          <w:ilvl w:val="0"/>
          <w:numId w:val="35"/>
        </w:numPr>
        <w:spacing w:line="276" w:lineRule="auto"/>
        <w:jc w:val="both"/>
        <w:rPr>
          <w:rFonts w:ascii="Arial" w:hAnsi="Arial" w:cs="Arial"/>
          <w:sz w:val="20"/>
          <w:szCs w:val="20"/>
        </w:rPr>
      </w:pPr>
      <w:r w:rsidRPr="00160FE5">
        <w:rPr>
          <w:rFonts w:ascii="Arial" w:hAnsi="Arial" w:cs="Arial"/>
          <w:sz w:val="20"/>
          <w:szCs w:val="20"/>
        </w:rPr>
        <w:t>zniesi</w:t>
      </w:r>
      <w:r w:rsidR="00160FE5">
        <w:rPr>
          <w:rFonts w:ascii="Arial" w:hAnsi="Arial" w:cs="Arial"/>
          <w:sz w:val="20"/>
          <w:szCs w:val="20"/>
        </w:rPr>
        <w:t>enie</w:t>
      </w:r>
      <w:r w:rsidRPr="00160FE5">
        <w:rPr>
          <w:rFonts w:ascii="Arial" w:hAnsi="Arial" w:cs="Arial"/>
          <w:sz w:val="20"/>
          <w:szCs w:val="20"/>
        </w:rPr>
        <w:t xml:space="preserve"> obowiązku zawiadomienia naczelnika urzędu celno-skarbowego i naczelnika urzędu skarbowego o zamiarze rozliczania podatku VAT</w:t>
      </w:r>
      <w:r w:rsidR="005B163C">
        <w:rPr>
          <w:rFonts w:ascii="Arial" w:hAnsi="Arial" w:cs="Arial"/>
          <w:sz w:val="20"/>
          <w:szCs w:val="20"/>
        </w:rPr>
        <w:t xml:space="preserve"> z </w:t>
      </w:r>
      <w:r w:rsidRPr="00160FE5">
        <w:rPr>
          <w:rFonts w:ascii="Arial" w:hAnsi="Arial" w:cs="Arial"/>
          <w:sz w:val="20"/>
          <w:szCs w:val="20"/>
        </w:rPr>
        <w:t xml:space="preserve">tytułu importu towarów w deklaracji podatkowej oraz o rezygnacji z rozliczania podatku w deklaracji podatkowej </w:t>
      </w:r>
      <w:r w:rsidR="005B163C">
        <w:rPr>
          <w:rFonts w:ascii="Arial" w:hAnsi="Arial" w:cs="Arial"/>
          <w:sz w:val="20"/>
          <w:szCs w:val="20"/>
        </w:rPr>
        <w:t>-</w:t>
      </w:r>
      <w:r w:rsidRPr="00160FE5">
        <w:rPr>
          <w:rFonts w:ascii="Arial" w:hAnsi="Arial" w:cs="Arial"/>
          <w:sz w:val="20"/>
          <w:szCs w:val="20"/>
        </w:rPr>
        <w:t xml:space="preserve"> art. 33 pkt 2 lit. d ustawy z dnia 31 lipca 2019 r. o zmianie niektórych ustaw w celu ograniczenia obciążeń regulacyjnych, który wejdzie w życie 1 lipca 2020 r.; </w:t>
      </w:r>
    </w:p>
    <w:p w14:paraId="422AF9F6" w14:textId="20F7D80A" w:rsidR="00A95A53" w:rsidRPr="00160FE5" w:rsidRDefault="000C4EA4" w:rsidP="003C6ECA">
      <w:pPr>
        <w:pStyle w:val="Akapitzlist"/>
        <w:numPr>
          <w:ilvl w:val="0"/>
          <w:numId w:val="36"/>
        </w:numPr>
        <w:spacing w:line="276" w:lineRule="auto"/>
        <w:jc w:val="both"/>
        <w:rPr>
          <w:rFonts w:ascii="Arial" w:hAnsi="Arial" w:cs="Arial"/>
          <w:sz w:val="20"/>
          <w:szCs w:val="20"/>
        </w:rPr>
      </w:pPr>
      <w:r w:rsidRPr="00160FE5">
        <w:rPr>
          <w:rFonts w:ascii="Arial" w:hAnsi="Arial" w:cs="Arial"/>
          <w:sz w:val="20"/>
          <w:szCs w:val="20"/>
        </w:rPr>
        <w:t>odstąpieni</w:t>
      </w:r>
      <w:r w:rsidR="00160FE5">
        <w:rPr>
          <w:rFonts w:ascii="Arial" w:hAnsi="Arial" w:cs="Arial"/>
          <w:sz w:val="20"/>
          <w:szCs w:val="20"/>
        </w:rPr>
        <w:t>e</w:t>
      </w:r>
      <w:r w:rsidR="00A95A53" w:rsidRPr="00160FE5">
        <w:rPr>
          <w:rFonts w:ascii="Arial" w:hAnsi="Arial" w:cs="Arial"/>
          <w:sz w:val="20"/>
          <w:szCs w:val="20"/>
        </w:rPr>
        <w:t xml:space="preserve"> od obowiązku przedstawiania dokumentów potwierdzających rozliczenie kwoty podatku należnego z tytułu takiego importu </w:t>
      </w:r>
      <w:r w:rsidR="005B163C">
        <w:rPr>
          <w:rFonts w:ascii="Arial" w:hAnsi="Arial" w:cs="Arial"/>
          <w:sz w:val="20"/>
          <w:szCs w:val="20"/>
        </w:rPr>
        <w:t>-</w:t>
      </w:r>
      <w:r w:rsidR="00A95A53" w:rsidRPr="00160FE5">
        <w:rPr>
          <w:rFonts w:ascii="Arial" w:hAnsi="Arial" w:cs="Arial"/>
          <w:sz w:val="20"/>
          <w:szCs w:val="20"/>
        </w:rPr>
        <w:t xml:space="preserve"> art. 1 pkt 7 ustawy z dnia 4 lipca 2019 r. o zmianie ustawy o podatku od towarów i usług oraz niektórych innych ustaw</w:t>
      </w:r>
      <w:r w:rsidR="003D6793">
        <w:rPr>
          <w:rFonts w:ascii="Arial" w:hAnsi="Arial" w:cs="Arial"/>
          <w:sz w:val="20"/>
          <w:szCs w:val="20"/>
        </w:rPr>
        <w:t xml:space="preserve"> </w:t>
      </w:r>
      <w:r w:rsidR="003D6793" w:rsidRPr="003D6793">
        <w:rPr>
          <w:rFonts w:ascii="Arial" w:hAnsi="Arial" w:cs="Arial"/>
          <w:sz w:val="20"/>
          <w:szCs w:val="20"/>
        </w:rPr>
        <w:t>(</w:t>
      </w:r>
      <w:r w:rsidR="003D6793" w:rsidRPr="001F71ED">
        <w:rPr>
          <w:rFonts w:ascii="Arial" w:hAnsi="Arial" w:cs="Arial"/>
          <w:sz w:val="20"/>
          <w:szCs w:val="20"/>
        </w:rPr>
        <w:t>Dz. U. z 2019 r. poz. 1520)</w:t>
      </w:r>
      <w:r w:rsidR="00A95A53" w:rsidRPr="001F71ED">
        <w:rPr>
          <w:rFonts w:ascii="Arial" w:hAnsi="Arial" w:cs="Arial"/>
          <w:sz w:val="20"/>
          <w:szCs w:val="20"/>
        </w:rPr>
        <w:t>,</w:t>
      </w:r>
      <w:r w:rsidR="00A95A53" w:rsidRPr="003D6793">
        <w:rPr>
          <w:rFonts w:ascii="Arial" w:hAnsi="Arial" w:cs="Arial"/>
          <w:sz w:val="20"/>
          <w:szCs w:val="20"/>
        </w:rPr>
        <w:t xml:space="preserve"> </w:t>
      </w:r>
      <w:r w:rsidR="00A95A53" w:rsidRPr="00160FE5">
        <w:rPr>
          <w:rFonts w:ascii="Arial" w:hAnsi="Arial" w:cs="Arial"/>
          <w:sz w:val="20"/>
          <w:szCs w:val="20"/>
        </w:rPr>
        <w:t xml:space="preserve">który wejdzie w życie 1 </w:t>
      </w:r>
      <w:r w:rsidR="001016F3">
        <w:rPr>
          <w:rFonts w:ascii="Arial" w:hAnsi="Arial" w:cs="Arial"/>
          <w:sz w:val="20"/>
          <w:szCs w:val="20"/>
        </w:rPr>
        <w:t xml:space="preserve">października </w:t>
      </w:r>
      <w:r w:rsidR="00A95A53" w:rsidRPr="00160FE5">
        <w:rPr>
          <w:rFonts w:ascii="Arial" w:hAnsi="Arial" w:cs="Arial"/>
          <w:sz w:val="20"/>
          <w:szCs w:val="20"/>
        </w:rPr>
        <w:t>2020 r.;</w:t>
      </w:r>
    </w:p>
    <w:p w14:paraId="6065CA25" w14:textId="4ACC7BE0" w:rsidR="00A95A53" w:rsidRPr="00160FE5" w:rsidRDefault="00A95A53" w:rsidP="003C6ECA">
      <w:pPr>
        <w:pStyle w:val="Akapitzlist"/>
        <w:numPr>
          <w:ilvl w:val="0"/>
          <w:numId w:val="29"/>
        </w:numPr>
        <w:spacing w:after="120" w:line="276" w:lineRule="auto"/>
        <w:jc w:val="both"/>
        <w:rPr>
          <w:rFonts w:ascii="Arial" w:hAnsi="Arial" w:cs="Arial"/>
          <w:sz w:val="20"/>
          <w:szCs w:val="20"/>
        </w:rPr>
      </w:pPr>
      <w:r w:rsidRPr="00160FE5">
        <w:rPr>
          <w:rFonts w:ascii="Arial" w:hAnsi="Arial" w:cs="Arial"/>
          <w:sz w:val="20"/>
          <w:szCs w:val="20"/>
        </w:rPr>
        <w:t>uznania rozliczenia zamknięcia, o którym mowa w art. 175 rozporządzenia delegowanego Komisji (UE) 2015/2446 z dnia 28 lipca 2015 r. uzupełniającego rozporządzenie Parlamentu Europejskiego i Rady (UE) nr 952/2013 w odniesieniu do szczegółowych zasad dotyczących niektórych prz</w:t>
      </w:r>
      <w:r w:rsidR="00956540">
        <w:rPr>
          <w:rFonts w:ascii="Arial" w:hAnsi="Arial" w:cs="Arial"/>
          <w:sz w:val="20"/>
          <w:szCs w:val="20"/>
        </w:rPr>
        <w:t xml:space="preserve">episów </w:t>
      </w:r>
      <w:r w:rsidR="00956540">
        <w:rPr>
          <w:rFonts w:ascii="Arial" w:hAnsi="Arial" w:cs="Arial"/>
          <w:sz w:val="20"/>
          <w:szCs w:val="20"/>
        </w:rPr>
        <w:lastRenderedPageBreak/>
        <w:t>unijnego kodeksu celnego</w:t>
      </w:r>
      <w:r w:rsidRPr="00160FE5">
        <w:rPr>
          <w:rFonts w:ascii="Arial" w:hAnsi="Arial" w:cs="Arial"/>
          <w:sz w:val="20"/>
          <w:szCs w:val="20"/>
        </w:rPr>
        <w:t xml:space="preserve"> jako dokumentu, w którym podatnik obowiązany będzie do obliczenia i wykazania kwoty podatku VAT</w:t>
      </w:r>
      <w:r w:rsidR="00A14BF0" w:rsidRPr="00160FE5">
        <w:rPr>
          <w:rFonts w:ascii="Arial" w:hAnsi="Arial" w:cs="Arial"/>
          <w:sz w:val="20"/>
          <w:szCs w:val="20"/>
        </w:rPr>
        <w:t xml:space="preserve"> z </w:t>
      </w:r>
      <w:r w:rsidRPr="00160FE5">
        <w:rPr>
          <w:rFonts w:ascii="Arial" w:hAnsi="Arial" w:cs="Arial"/>
          <w:sz w:val="20"/>
          <w:szCs w:val="20"/>
        </w:rPr>
        <w:t>tytułu importu towarów w przypadkach określonych w art. 324 i art. 325 rozporządzenia wykonawczego Komisji (UE) 2015/2447 z dnia 24 listopada 2015 r. ustanawiającego szczegółowe zasady wykonania niektórych przepisów rozporządz</w:t>
      </w:r>
      <w:r w:rsidR="00570E88">
        <w:rPr>
          <w:rFonts w:ascii="Arial" w:hAnsi="Arial" w:cs="Arial"/>
          <w:sz w:val="20"/>
          <w:szCs w:val="20"/>
        </w:rPr>
        <w:t xml:space="preserve">enia Parlamentu Europejskiego i </w:t>
      </w:r>
      <w:r w:rsidRPr="00160FE5">
        <w:rPr>
          <w:rFonts w:ascii="Arial" w:hAnsi="Arial" w:cs="Arial"/>
          <w:sz w:val="20"/>
          <w:szCs w:val="20"/>
        </w:rPr>
        <w:t>Rady (UE) nr 952/2013 ustanawiającego unijny kodeks celny (Dz. Urz. UE L 343 z 29.</w:t>
      </w:r>
      <w:r w:rsidR="00800C37">
        <w:rPr>
          <w:rFonts w:ascii="Arial" w:hAnsi="Arial" w:cs="Arial"/>
          <w:sz w:val="20"/>
          <w:szCs w:val="20"/>
        </w:rPr>
        <w:t>12.2015, str. 558, z późn. zm.)</w:t>
      </w:r>
      <w:r w:rsidRPr="00160FE5">
        <w:rPr>
          <w:rFonts w:ascii="Arial" w:hAnsi="Arial" w:cs="Arial"/>
          <w:sz w:val="20"/>
          <w:szCs w:val="20"/>
        </w:rPr>
        <w:t xml:space="preserve"> </w:t>
      </w:r>
      <w:r w:rsidR="00800C37">
        <w:rPr>
          <w:rFonts w:ascii="Arial" w:hAnsi="Arial" w:cs="Arial"/>
          <w:sz w:val="20"/>
          <w:szCs w:val="20"/>
        </w:rPr>
        <w:t xml:space="preserve">- </w:t>
      </w:r>
      <w:r w:rsidRPr="00160FE5">
        <w:rPr>
          <w:rFonts w:ascii="Arial" w:hAnsi="Arial" w:cs="Arial"/>
          <w:sz w:val="20"/>
          <w:szCs w:val="20"/>
        </w:rPr>
        <w:t xml:space="preserve">art. 1 pkt 6 ustawy z dnia 4 lipca 2019 r. o zmianie ustawy </w:t>
      </w:r>
      <w:r w:rsidR="00800C37">
        <w:rPr>
          <w:rFonts w:ascii="Arial" w:hAnsi="Arial" w:cs="Arial"/>
          <w:sz w:val="20"/>
          <w:szCs w:val="20"/>
        </w:rPr>
        <w:br/>
      </w:r>
      <w:r w:rsidRPr="00160FE5">
        <w:rPr>
          <w:rFonts w:ascii="Arial" w:hAnsi="Arial" w:cs="Arial"/>
          <w:sz w:val="20"/>
          <w:szCs w:val="20"/>
        </w:rPr>
        <w:t xml:space="preserve">o podatku od towarów i usług oraz niektórych innych ustaw, który wszedł w życie 1 września </w:t>
      </w:r>
      <w:r w:rsidR="00800C37">
        <w:rPr>
          <w:rFonts w:ascii="Arial" w:hAnsi="Arial" w:cs="Arial"/>
          <w:sz w:val="20"/>
          <w:szCs w:val="20"/>
        </w:rPr>
        <w:br/>
      </w:r>
      <w:r w:rsidRPr="00160FE5">
        <w:rPr>
          <w:rFonts w:ascii="Arial" w:hAnsi="Arial" w:cs="Arial"/>
          <w:sz w:val="20"/>
          <w:szCs w:val="20"/>
        </w:rPr>
        <w:t>2019 r.</w:t>
      </w:r>
    </w:p>
    <w:p w14:paraId="34BFEFDD" w14:textId="77777777" w:rsidR="00160FE5" w:rsidRPr="00160FE5" w:rsidRDefault="00160FE5" w:rsidP="00160FE5">
      <w:pPr>
        <w:pStyle w:val="Akapitzlist"/>
        <w:ind w:left="360"/>
        <w:jc w:val="both"/>
        <w:rPr>
          <w:rFonts w:ascii="Arial" w:hAnsi="Arial" w:cs="Arial"/>
          <w:sz w:val="20"/>
          <w:szCs w:val="20"/>
          <w:lang w:eastAsia="pl-PL"/>
        </w:rPr>
      </w:pPr>
    </w:p>
    <w:p w14:paraId="270B4CD9" w14:textId="15B8BFCE" w:rsidR="005532C1" w:rsidRPr="000F468A" w:rsidRDefault="005532C1" w:rsidP="003C6ECA">
      <w:pPr>
        <w:pStyle w:val="Akapitzlist"/>
        <w:numPr>
          <w:ilvl w:val="0"/>
          <w:numId w:val="29"/>
        </w:numPr>
        <w:rPr>
          <w:rFonts w:ascii="Arial" w:hAnsi="Arial" w:cs="Arial"/>
          <w:b/>
          <w:sz w:val="20"/>
          <w:szCs w:val="20"/>
        </w:rPr>
      </w:pPr>
      <w:r w:rsidRPr="000F468A">
        <w:rPr>
          <w:rFonts w:ascii="Arial" w:hAnsi="Arial" w:cs="Arial"/>
          <w:b/>
          <w:sz w:val="20"/>
          <w:szCs w:val="20"/>
        </w:rPr>
        <w:t>Centrum Urzędowego Dokonywania Odpraw (CUDO) wewnętrzne</w:t>
      </w:r>
      <w:r w:rsidR="004C6CC5">
        <w:rPr>
          <w:rFonts w:ascii="Arial" w:hAnsi="Arial" w:cs="Arial"/>
          <w:b/>
          <w:sz w:val="20"/>
          <w:szCs w:val="20"/>
        </w:rPr>
        <w:t xml:space="preserve"> i </w:t>
      </w:r>
      <w:r w:rsidRPr="000F468A">
        <w:rPr>
          <w:rFonts w:ascii="Arial" w:hAnsi="Arial" w:cs="Arial"/>
          <w:b/>
          <w:sz w:val="20"/>
          <w:szCs w:val="20"/>
        </w:rPr>
        <w:t xml:space="preserve">graniczne. </w:t>
      </w:r>
    </w:p>
    <w:p w14:paraId="562DD5A7" w14:textId="7E1145E4" w:rsidR="008339C1" w:rsidRPr="004C6CC5" w:rsidRDefault="0050578A" w:rsidP="008D2321">
      <w:pPr>
        <w:spacing w:after="120" w:line="276" w:lineRule="auto"/>
        <w:jc w:val="both"/>
        <w:rPr>
          <w:rFonts w:ascii="Arial" w:hAnsi="Arial" w:cs="Arial"/>
          <w:sz w:val="20"/>
          <w:szCs w:val="20"/>
          <w:lang w:eastAsia="pl-PL"/>
        </w:rPr>
      </w:pPr>
      <w:r w:rsidRPr="0050578A">
        <w:rPr>
          <w:rFonts w:ascii="Arial" w:hAnsi="Arial" w:cs="Arial"/>
          <w:sz w:val="20"/>
          <w:szCs w:val="20"/>
        </w:rPr>
        <w:t>Centrum Urzędowego Dokonywania Odpraw</w:t>
      </w:r>
      <w:r w:rsidRPr="000F468A">
        <w:rPr>
          <w:rFonts w:ascii="Arial" w:hAnsi="Arial" w:cs="Arial"/>
          <w:b/>
          <w:sz w:val="20"/>
          <w:szCs w:val="20"/>
        </w:rPr>
        <w:t xml:space="preserve"> </w:t>
      </w:r>
      <w:r w:rsidRPr="00A729CC">
        <w:rPr>
          <w:rFonts w:ascii="Arial" w:hAnsi="Arial" w:cs="Arial"/>
          <w:sz w:val="20"/>
          <w:szCs w:val="20"/>
        </w:rPr>
        <w:t>(</w:t>
      </w:r>
      <w:r w:rsidR="008339C1" w:rsidRPr="004C6CC5">
        <w:rPr>
          <w:rFonts w:ascii="Arial" w:hAnsi="Arial" w:cs="Arial"/>
          <w:sz w:val="20"/>
          <w:szCs w:val="20"/>
          <w:lang w:eastAsia="pl-PL"/>
        </w:rPr>
        <w:t>CUDO</w:t>
      </w:r>
      <w:r>
        <w:rPr>
          <w:rFonts w:ascii="Arial" w:hAnsi="Arial" w:cs="Arial"/>
          <w:sz w:val="20"/>
          <w:szCs w:val="20"/>
          <w:lang w:eastAsia="pl-PL"/>
        </w:rPr>
        <w:t>)</w:t>
      </w:r>
      <w:r w:rsidR="008339C1" w:rsidRPr="004C6CC5">
        <w:rPr>
          <w:rFonts w:ascii="Arial" w:hAnsi="Arial" w:cs="Arial"/>
          <w:sz w:val="20"/>
          <w:szCs w:val="20"/>
          <w:lang w:eastAsia="pl-PL"/>
        </w:rPr>
        <w:t xml:space="preserve"> wyodrębnione zostało na podstawie zaakceptowanej przez Szefa Krajowej Administracji Skarbowej </w:t>
      </w:r>
      <w:r w:rsidR="00B067C6">
        <w:rPr>
          <w:rFonts w:ascii="Arial" w:hAnsi="Arial" w:cs="Arial"/>
          <w:sz w:val="20"/>
          <w:szCs w:val="20"/>
          <w:lang w:eastAsia="pl-PL"/>
        </w:rPr>
        <w:t xml:space="preserve">(KAS) </w:t>
      </w:r>
      <w:r w:rsidR="00CF101A">
        <w:rPr>
          <w:rFonts w:ascii="Arial" w:hAnsi="Arial" w:cs="Arial"/>
          <w:sz w:val="20"/>
          <w:szCs w:val="20"/>
          <w:lang w:eastAsia="pl-PL"/>
        </w:rPr>
        <w:t>„</w:t>
      </w:r>
      <w:r w:rsidR="008339C1" w:rsidRPr="004C6CC5">
        <w:rPr>
          <w:rFonts w:ascii="Arial" w:hAnsi="Arial" w:cs="Arial"/>
          <w:sz w:val="20"/>
          <w:szCs w:val="20"/>
          <w:lang w:eastAsia="pl-PL"/>
        </w:rPr>
        <w:t>Koncepcji konsolidacji odpraw celnych”</w:t>
      </w:r>
      <w:r w:rsidR="00CF101A">
        <w:rPr>
          <w:rFonts w:ascii="Arial" w:hAnsi="Arial" w:cs="Arial"/>
          <w:sz w:val="20"/>
          <w:szCs w:val="20"/>
          <w:lang w:eastAsia="pl-PL"/>
        </w:rPr>
        <w:t xml:space="preserve"> w </w:t>
      </w:r>
      <w:r w:rsidR="008339C1" w:rsidRPr="004C6CC5">
        <w:rPr>
          <w:rFonts w:ascii="Arial" w:hAnsi="Arial" w:cs="Arial"/>
          <w:sz w:val="20"/>
          <w:szCs w:val="20"/>
          <w:lang w:eastAsia="pl-PL"/>
        </w:rPr>
        <w:t>granicznych</w:t>
      </w:r>
      <w:r w:rsidR="004C6CC5">
        <w:rPr>
          <w:rFonts w:ascii="Arial" w:hAnsi="Arial" w:cs="Arial"/>
          <w:sz w:val="20"/>
          <w:szCs w:val="20"/>
          <w:lang w:eastAsia="pl-PL"/>
        </w:rPr>
        <w:t xml:space="preserve"> i </w:t>
      </w:r>
      <w:r w:rsidR="008339C1" w:rsidRPr="004C6CC5">
        <w:rPr>
          <w:rFonts w:ascii="Arial" w:hAnsi="Arial" w:cs="Arial"/>
          <w:sz w:val="20"/>
          <w:szCs w:val="20"/>
          <w:lang w:eastAsia="pl-PL"/>
        </w:rPr>
        <w:t>wewnętrznych oddziałach celnych Delegatur</w:t>
      </w:r>
      <w:r w:rsidR="00CF101A">
        <w:rPr>
          <w:rFonts w:ascii="Arial" w:hAnsi="Arial" w:cs="Arial"/>
          <w:sz w:val="20"/>
          <w:szCs w:val="20"/>
          <w:lang w:eastAsia="pl-PL"/>
        </w:rPr>
        <w:t xml:space="preserve"> w </w:t>
      </w:r>
      <w:r w:rsidR="008339C1" w:rsidRPr="004C6CC5">
        <w:rPr>
          <w:rFonts w:ascii="Arial" w:hAnsi="Arial" w:cs="Arial"/>
          <w:sz w:val="20"/>
          <w:szCs w:val="20"/>
          <w:lang w:eastAsia="pl-PL"/>
        </w:rPr>
        <w:t>Gdyni</w:t>
      </w:r>
      <w:r w:rsidR="004C6CC5">
        <w:rPr>
          <w:rFonts w:ascii="Arial" w:hAnsi="Arial" w:cs="Arial"/>
          <w:sz w:val="20"/>
          <w:szCs w:val="20"/>
          <w:lang w:eastAsia="pl-PL"/>
        </w:rPr>
        <w:t xml:space="preserve"> i </w:t>
      </w:r>
      <w:r w:rsidR="008339C1" w:rsidRPr="004C6CC5">
        <w:rPr>
          <w:rFonts w:ascii="Arial" w:hAnsi="Arial" w:cs="Arial"/>
          <w:sz w:val="20"/>
          <w:szCs w:val="20"/>
          <w:lang w:eastAsia="pl-PL"/>
        </w:rPr>
        <w:t xml:space="preserve">Gdańsku. </w:t>
      </w:r>
      <w:r w:rsidR="00E166B8">
        <w:rPr>
          <w:rFonts w:ascii="Arial" w:hAnsi="Arial" w:cs="Arial"/>
          <w:sz w:val="20"/>
          <w:szCs w:val="20"/>
          <w:lang w:eastAsia="pl-PL"/>
        </w:rPr>
        <w:br/>
      </w:r>
      <w:r w:rsidR="008339C1" w:rsidRPr="004C6CC5">
        <w:rPr>
          <w:rFonts w:ascii="Arial" w:hAnsi="Arial" w:cs="Arial"/>
          <w:sz w:val="20"/>
          <w:szCs w:val="20"/>
          <w:lang w:eastAsia="pl-PL"/>
        </w:rPr>
        <w:t>To wyspecjalizowana komórka analityczno-merytoryczna do elektronicznej obsługi zgłoszeń celnych.</w:t>
      </w:r>
      <w:r w:rsidR="004C6CC5">
        <w:rPr>
          <w:rFonts w:ascii="Arial" w:hAnsi="Arial" w:cs="Arial"/>
          <w:sz w:val="20"/>
          <w:szCs w:val="20"/>
          <w:lang w:eastAsia="pl-PL"/>
        </w:rPr>
        <w:t xml:space="preserve"> w </w:t>
      </w:r>
      <w:r w:rsidR="008339C1" w:rsidRPr="004C6CC5">
        <w:rPr>
          <w:rFonts w:ascii="Arial" w:hAnsi="Arial" w:cs="Arial"/>
          <w:sz w:val="20"/>
          <w:szCs w:val="20"/>
          <w:lang w:eastAsia="pl-PL"/>
        </w:rPr>
        <w:t>ramach przyjętej koncepcji, poza CUDO wyodrębnione zostały również oddziały satelickie wykonujące czynności związane</w:t>
      </w:r>
      <w:r w:rsidR="004C6CC5">
        <w:rPr>
          <w:rFonts w:ascii="Arial" w:hAnsi="Arial" w:cs="Arial"/>
          <w:sz w:val="20"/>
          <w:szCs w:val="20"/>
          <w:lang w:eastAsia="pl-PL"/>
        </w:rPr>
        <w:t xml:space="preserve"> z </w:t>
      </w:r>
      <w:r w:rsidR="008339C1" w:rsidRPr="004C6CC5">
        <w:rPr>
          <w:rFonts w:ascii="Arial" w:hAnsi="Arial" w:cs="Arial"/>
          <w:sz w:val="20"/>
          <w:szCs w:val="20"/>
          <w:lang w:eastAsia="pl-PL"/>
        </w:rPr>
        <w:t>bezpośrednią obsługą klienta (przyjmowanie dokumentów papierowych)</w:t>
      </w:r>
      <w:r w:rsidR="004C6CC5">
        <w:rPr>
          <w:rFonts w:ascii="Arial" w:hAnsi="Arial" w:cs="Arial"/>
          <w:sz w:val="20"/>
          <w:szCs w:val="20"/>
          <w:lang w:eastAsia="pl-PL"/>
        </w:rPr>
        <w:t xml:space="preserve"> i </w:t>
      </w:r>
      <w:r w:rsidR="008339C1" w:rsidRPr="004C6CC5">
        <w:rPr>
          <w:rFonts w:ascii="Arial" w:hAnsi="Arial" w:cs="Arial"/>
          <w:sz w:val="20"/>
          <w:szCs w:val="20"/>
          <w:lang w:eastAsia="pl-PL"/>
        </w:rPr>
        <w:t>czynności kontrolne dotyczące towarów. Wdrożone rozwiązanie wpływa na poprawę jakości obsługi interesantów, ujednolicenie procedur oraz skracanie czasu obsługi zgłoszeń celnych.</w:t>
      </w:r>
    </w:p>
    <w:p w14:paraId="376A59EF" w14:textId="77777777" w:rsidR="008339C1" w:rsidRPr="000F468A" w:rsidRDefault="008339C1" w:rsidP="003C6ECA">
      <w:pPr>
        <w:pStyle w:val="Akapitzlist"/>
        <w:numPr>
          <w:ilvl w:val="0"/>
          <w:numId w:val="29"/>
        </w:numPr>
        <w:spacing w:after="120" w:line="276" w:lineRule="auto"/>
        <w:jc w:val="both"/>
        <w:rPr>
          <w:rFonts w:ascii="Arial" w:hAnsi="Arial" w:cs="Arial"/>
          <w:b/>
          <w:sz w:val="20"/>
          <w:szCs w:val="20"/>
          <w:lang w:eastAsia="pl-PL"/>
        </w:rPr>
      </w:pPr>
      <w:r w:rsidRPr="000F468A">
        <w:rPr>
          <w:rFonts w:ascii="Arial" w:hAnsi="Arial" w:cs="Arial"/>
          <w:b/>
          <w:bCs/>
          <w:sz w:val="20"/>
          <w:szCs w:val="20"/>
          <w:lang w:eastAsia="pl-PL"/>
        </w:rPr>
        <w:t>System Koordynacji Kontroli Porty 24 h.</w:t>
      </w:r>
    </w:p>
    <w:p w14:paraId="0608FFBE" w14:textId="0F110B2D"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Wraz</w:t>
      </w:r>
      <w:r w:rsidR="004C6CC5">
        <w:rPr>
          <w:rFonts w:ascii="Arial" w:hAnsi="Arial" w:cs="Arial"/>
          <w:sz w:val="20"/>
          <w:szCs w:val="20"/>
          <w:lang w:eastAsia="pl-PL"/>
        </w:rPr>
        <w:t xml:space="preserve"> z </w:t>
      </w:r>
      <w:r w:rsidRPr="004C6CC5">
        <w:rPr>
          <w:rFonts w:ascii="Arial" w:hAnsi="Arial" w:cs="Arial"/>
          <w:sz w:val="20"/>
          <w:szCs w:val="20"/>
          <w:lang w:eastAsia="pl-PL"/>
        </w:rPr>
        <w:t>wejściem</w:t>
      </w:r>
      <w:r w:rsidR="004C6CC5">
        <w:rPr>
          <w:rFonts w:ascii="Arial" w:hAnsi="Arial" w:cs="Arial"/>
          <w:sz w:val="20"/>
          <w:szCs w:val="20"/>
          <w:lang w:eastAsia="pl-PL"/>
        </w:rPr>
        <w:t xml:space="preserve"> w </w:t>
      </w:r>
      <w:r w:rsidRPr="004C6CC5">
        <w:rPr>
          <w:rFonts w:ascii="Arial" w:hAnsi="Arial" w:cs="Arial"/>
          <w:sz w:val="20"/>
          <w:szCs w:val="20"/>
          <w:lang w:eastAsia="pl-PL"/>
        </w:rPr>
        <w:t>życie</w:t>
      </w:r>
      <w:r w:rsidR="004C6CC5">
        <w:rPr>
          <w:rFonts w:ascii="Arial" w:hAnsi="Arial" w:cs="Arial"/>
          <w:sz w:val="20"/>
          <w:szCs w:val="20"/>
          <w:lang w:eastAsia="pl-PL"/>
        </w:rPr>
        <w:t xml:space="preserve"> z </w:t>
      </w:r>
      <w:r w:rsidRPr="004C6CC5">
        <w:rPr>
          <w:rFonts w:ascii="Arial" w:hAnsi="Arial" w:cs="Arial"/>
          <w:sz w:val="20"/>
          <w:szCs w:val="20"/>
          <w:lang w:eastAsia="pl-PL"/>
        </w:rPr>
        <w:t>dniem</w:t>
      </w:r>
      <w:r w:rsidR="00B66FCE" w:rsidRPr="004C6CC5">
        <w:rPr>
          <w:rFonts w:ascii="Arial" w:hAnsi="Arial" w:cs="Arial"/>
          <w:sz w:val="20"/>
          <w:szCs w:val="20"/>
          <w:lang w:eastAsia="pl-PL"/>
        </w:rPr>
        <w:t xml:space="preserve"> 1 </w:t>
      </w:r>
      <w:r w:rsidRPr="000C4EA4">
        <w:rPr>
          <w:rFonts w:ascii="Arial" w:hAnsi="Arial" w:cs="Arial"/>
          <w:sz w:val="20"/>
          <w:szCs w:val="20"/>
          <w:lang w:eastAsia="pl-PL"/>
        </w:rPr>
        <w:t>stycznia 2015</w:t>
      </w:r>
      <w:r w:rsidR="009D01B9" w:rsidRPr="000C4EA4">
        <w:rPr>
          <w:rFonts w:ascii="Arial" w:hAnsi="Arial" w:cs="Arial"/>
          <w:sz w:val="20"/>
          <w:szCs w:val="20"/>
          <w:lang w:eastAsia="pl-PL"/>
        </w:rPr>
        <w:t xml:space="preserve"> r. </w:t>
      </w:r>
      <w:r w:rsidRPr="000C4EA4">
        <w:rPr>
          <w:rFonts w:ascii="Arial" w:hAnsi="Arial" w:cs="Arial"/>
          <w:sz w:val="20"/>
          <w:szCs w:val="20"/>
          <w:lang w:eastAsia="pl-PL"/>
        </w:rPr>
        <w:t>ustawy o ułatwieniu wykonywania działalności gospodarczej (Dz. U.</w:t>
      </w:r>
      <w:r w:rsidR="004C6CC5" w:rsidRPr="000C4EA4">
        <w:rPr>
          <w:rFonts w:ascii="Arial" w:hAnsi="Arial" w:cs="Arial"/>
          <w:sz w:val="20"/>
          <w:szCs w:val="20"/>
          <w:lang w:eastAsia="pl-PL"/>
        </w:rPr>
        <w:t xml:space="preserve"> z </w:t>
      </w:r>
      <w:r w:rsidRPr="000C4EA4">
        <w:rPr>
          <w:rFonts w:ascii="Arial" w:hAnsi="Arial" w:cs="Arial"/>
          <w:sz w:val="20"/>
          <w:szCs w:val="20"/>
          <w:lang w:eastAsia="pl-PL"/>
        </w:rPr>
        <w:t>2014</w:t>
      </w:r>
      <w:r w:rsidR="009D01B9" w:rsidRPr="000C4EA4">
        <w:rPr>
          <w:rFonts w:ascii="Arial" w:hAnsi="Arial" w:cs="Arial"/>
          <w:sz w:val="20"/>
          <w:szCs w:val="20"/>
          <w:lang w:eastAsia="pl-PL"/>
        </w:rPr>
        <w:t xml:space="preserve"> r. </w:t>
      </w:r>
      <w:r w:rsidRPr="000C4EA4">
        <w:rPr>
          <w:rFonts w:ascii="Arial" w:hAnsi="Arial" w:cs="Arial"/>
          <w:sz w:val="20"/>
          <w:szCs w:val="20"/>
          <w:lang w:eastAsia="pl-PL"/>
        </w:rPr>
        <w:t>poz. 1662),</w:t>
      </w:r>
      <w:r w:rsidRPr="004C6CC5">
        <w:rPr>
          <w:rFonts w:ascii="Arial" w:hAnsi="Arial" w:cs="Arial"/>
          <w:sz w:val="20"/>
          <w:szCs w:val="20"/>
          <w:lang w:eastAsia="pl-PL"/>
        </w:rPr>
        <w:t xml:space="preserve"> zawierającej m.in. „pakiet morski”, została wprowadzona zasada przeprowadzenia wszystkich czynności urzędowych niezbędnych do dopuszczenia towaru do obrotu</w:t>
      </w:r>
      <w:r w:rsidR="004C6CC5">
        <w:rPr>
          <w:rFonts w:ascii="Arial" w:hAnsi="Arial" w:cs="Arial"/>
          <w:sz w:val="20"/>
          <w:szCs w:val="20"/>
          <w:lang w:eastAsia="pl-PL"/>
        </w:rPr>
        <w:t xml:space="preserve"> w </w:t>
      </w:r>
      <w:r w:rsidRPr="004C6CC5">
        <w:rPr>
          <w:rFonts w:ascii="Arial" w:hAnsi="Arial" w:cs="Arial"/>
          <w:sz w:val="20"/>
          <w:szCs w:val="20"/>
          <w:lang w:eastAsia="pl-PL"/>
        </w:rPr>
        <w:t xml:space="preserve">ciągu 24 godzin od momentu przedstawienia towaru do kontroli granicznej. Zadanie koordynacji kontroli nałożone zostało na Naczelnika Urzędu Celno-Skarbowego właściwego dla portu morskiego. </w:t>
      </w:r>
    </w:p>
    <w:p w14:paraId="2247CE4D" w14:textId="688EC3B6"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W tym celu wdrożona została platforma informatyczna „System Koordynacji Kontroli - Porty 24h”. System ten</w:t>
      </w:r>
      <w:r w:rsidR="004C6CC5">
        <w:rPr>
          <w:rFonts w:ascii="Arial" w:hAnsi="Arial" w:cs="Arial"/>
          <w:sz w:val="20"/>
          <w:szCs w:val="20"/>
          <w:lang w:eastAsia="pl-PL"/>
        </w:rPr>
        <w:t xml:space="preserve"> w </w:t>
      </w:r>
      <w:r w:rsidRPr="004C6CC5">
        <w:rPr>
          <w:rFonts w:ascii="Arial" w:hAnsi="Arial" w:cs="Arial"/>
          <w:sz w:val="20"/>
          <w:szCs w:val="20"/>
          <w:lang w:eastAsia="pl-PL"/>
        </w:rPr>
        <w:t>pełnej wersji funkcjonuje od 2016</w:t>
      </w:r>
      <w:r w:rsidR="00065836" w:rsidRPr="004C6CC5">
        <w:rPr>
          <w:rFonts w:ascii="Arial" w:hAnsi="Arial" w:cs="Arial"/>
          <w:sz w:val="20"/>
          <w:szCs w:val="20"/>
          <w:lang w:eastAsia="pl-PL"/>
        </w:rPr>
        <w:t xml:space="preserve"> r.</w:t>
      </w:r>
      <w:r w:rsidR="004C6CC5">
        <w:rPr>
          <w:rFonts w:ascii="Arial" w:hAnsi="Arial" w:cs="Arial"/>
          <w:sz w:val="20"/>
          <w:szCs w:val="20"/>
          <w:lang w:eastAsia="pl-PL"/>
        </w:rPr>
        <w:t xml:space="preserve"> i </w:t>
      </w:r>
      <w:r w:rsidRPr="004C6CC5">
        <w:rPr>
          <w:rFonts w:ascii="Arial" w:hAnsi="Arial" w:cs="Arial"/>
          <w:sz w:val="20"/>
          <w:szCs w:val="20"/>
          <w:lang w:eastAsia="pl-PL"/>
        </w:rPr>
        <w:t>może być użytkowany we wszystkich polskich portach morskich. Koordynacja obejmuje działania dysponenta towaru, operatora portowego, inspekcji granicznych oraz samej Służby Celno-Skarbowej, co umożliwia przeprowadzenie kontroli</w:t>
      </w:r>
      <w:r w:rsidR="004C6CC5">
        <w:rPr>
          <w:rFonts w:ascii="Arial" w:hAnsi="Arial" w:cs="Arial"/>
          <w:sz w:val="20"/>
          <w:szCs w:val="20"/>
          <w:lang w:eastAsia="pl-PL"/>
        </w:rPr>
        <w:t xml:space="preserve"> w </w:t>
      </w:r>
      <w:r w:rsidRPr="004C6CC5">
        <w:rPr>
          <w:rFonts w:ascii="Arial" w:hAnsi="Arial" w:cs="Arial"/>
          <w:sz w:val="20"/>
          <w:szCs w:val="20"/>
          <w:lang w:eastAsia="pl-PL"/>
        </w:rPr>
        <w:t>określonym miejscu</w:t>
      </w:r>
      <w:r w:rsidR="004C6CC5">
        <w:rPr>
          <w:rFonts w:ascii="Arial" w:hAnsi="Arial" w:cs="Arial"/>
          <w:sz w:val="20"/>
          <w:szCs w:val="20"/>
          <w:lang w:eastAsia="pl-PL"/>
        </w:rPr>
        <w:t xml:space="preserve"> i </w:t>
      </w:r>
      <w:r w:rsidRPr="004C6CC5">
        <w:rPr>
          <w:rFonts w:ascii="Arial" w:hAnsi="Arial" w:cs="Arial"/>
          <w:sz w:val="20"/>
          <w:szCs w:val="20"/>
          <w:lang w:eastAsia="pl-PL"/>
        </w:rPr>
        <w:t>terminie (wraz</w:t>
      </w:r>
      <w:r w:rsidR="004C6CC5">
        <w:rPr>
          <w:rFonts w:ascii="Arial" w:hAnsi="Arial" w:cs="Arial"/>
          <w:sz w:val="20"/>
          <w:szCs w:val="20"/>
          <w:lang w:eastAsia="pl-PL"/>
        </w:rPr>
        <w:t xml:space="preserve"> z </w:t>
      </w:r>
      <w:r w:rsidRPr="004C6CC5">
        <w:rPr>
          <w:rFonts w:ascii="Arial" w:hAnsi="Arial" w:cs="Arial"/>
          <w:sz w:val="20"/>
          <w:szCs w:val="20"/>
          <w:lang w:eastAsia="pl-PL"/>
        </w:rPr>
        <w:t>dokładną godziną). Czas trwania kontroli liczony jest od chwili przedstawienia towaru do kontroli (złożenia kompletnego wniosku o dokonanie kontroli do właściwych organów oraz przekazania informacji o godzinie</w:t>
      </w:r>
      <w:r w:rsidR="004C6CC5">
        <w:rPr>
          <w:rFonts w:ascii="Arial" w:hAnsi="Arial" w:cs="Arial"/>
          <w:sz w:val="20"/>
          <w:szCs w:val="20"/>
          <w:lang w:eastAsia="pl-PL"/>
        </w:rPr>
        <w:t xml:space="preserve"> i </w:t>
      </w:r>
      <w:r w:rsidRPr="004C6CC5">
        <w:rPr>
          <w:rFonts w:ascii="Arial" w:hAnsi="Arial" w:cs="Arial"/>
          <w:sz w:val="20"/>
          <w:szCs w:val="20"/>
          <w:lang w:eastAsia="pl-PL"/>
        </w:rPr>
        <w:t xml:space="preserve">miejscu kontroli) do zwolnienia towaru do procedury celnej. Poniższe zestawienie obrazuje średni czas przeprowadzania kontroli przez wszystkie służby: </w:t>
      </w:r>
    </w:p>
    <w:tbl>
      <w:tblPr>
        <w:tblStyle w:val="Tabela-Siatka"/>
        <w:tblW w:w="8789" w:type="dxa"/>
        <w:tblInd w:w="137" w:type="dxa"/>
        <w:tblLook w:val="04A0" w:firstRow="1" w:lastRow="0" w:firstColumn="1" w:lastColumn="0" w:noHBand="0" w:noVBand="1"/>
      </w:tblPr>
      <w:tblGrid>
        <w:gridCol w:w="1418"/>
        <w:gridCol w:w="7371"/>
      </w:tblGrid>
      <w:tr w:rsidR="008339C1" w:rsidRPr="004C6CC5" w14:paraId="4763C04B" w14:textId="77777777" w:rsidTr="006D2C18">
        <w:tc>
          <w:tcPr>
            <w:tcW w:w="1418" w:type="dxa"/>
          </w:tcPr>
          <w:p w14:paraId="37C2353E" w14:textId="77777777" w:rsidR="008339C1" w:rsidRPr="00300726" w:rsidRDefault="008339C1" w:rsidP="008D2321">
            <w:pPr>
              <w:spacing w:after="120" w:line="276" w:lineRule="auto"/>
              <w:jc w:val="both"/>
              <w:rPr>
                <w:rFonts w:ascii="Arial" w:hAnsi="Arial" w:cs="Arial"/>
                <w:iCs/>
                <w:sz w:val="16"/>
                <w:szCs w:val="16"/>
                <w:lang w:eastAsia="pl-PL"/>
              </w:rPr>
            </w:pPr>
            <w:r w:rsidRPr="00300726">
              <w:rPr>
                <w:rFonts w:ascii="Arial" w:hAnsi="Arial" w:cs="Arial"/>
                <w:iCs/>
                <w:sz w:val="16"/>
                <w:szCs w:val="16"/>
                <w:lang w:eastAsia="pl-PL"/>
              </w:rPr>
              <w:t>Rok</w:t>
            </w:r>
          </w:p>
          <w:p w14:paraId="30815A20" w14:textId="77777777" w:rsidR="008339C1" w:rsidRPr="00300726" w:rsidRDefault="008339C1" w:rsidP="008D2321">
            <w:pPr>
              <w:spacing w:after="120" w:line="276" w:lineRule="auto"/>
              <w:jc w:val="both"/>
              <w:rPr>
                <w:rFonts w:ascii="Arial" w:hAnsi="Arial" w:cs="Arial"/>
                <w:sz w:val="16"/>
                <w:szCs w:val="16"/>
                <w:lang w:eastAsia="pl-PL"/>
              </w:rPr>
            </w:pPr>
          </w:p>
        </w:tc>
        <w:tc>
          <w:tcPr>
            <w:tcW w:w="7371" w:type="dxa"/>
          </w:tcPr>
          <w:p w14:paraId="6D6B45DA" w14:textId="47F70A83" w:rsidR="008339C1" w:rsidRPr="00300726" w:rsidRDefault="008339C1" w:rsidP="008D2321">
            <w:pPr>
              <w:spacing w:after="120" w:line="276" w:lineRule="auto"/>
              <w:jc w:val="both"/>
              <w:rPr>
                <w:rFonts w:ascii="Arial" w:hAnsi="Arial" w:cs="Arial"/>
                <w:sz w:val="16"/>
                <w:szCs w:val="16"/>
                <w:lang w:eastAsia="pl-PL"/>
              </w:rPr>
            </w:pPr>
            <w:r w:rsidRPr="00300726">
              <w:rPr>
                <w:rFonts w:ascii="Arial" w:hAnsi="Arial" w:cs="Arial"/>
                <w:iCs/>
                <w:sz w:val="16"/>
                <w:szCs w:val="16"/>
                <w:lang w:eastAsia="pl-PL"/>
              </w:rPr>
              <w:t>Średni efektywny czas przeprowadzania czynności kontrolnych przez wszystkie inspekcje</w:t>
            </w:r>
            <w:r w:rsidR="004C6CC5" w:rsidRPr="00300726">
              <w:rPr>
                <w:rFonts w:ascii="Arial" w:hAnsi="Arial" w:cs="Arial"/>
                <w:iCs/>
                <w:sz w:val="16"/>
                <w:szCs w:val="16"/>
                <w:lang w:eastAsia="pl-PL"/>
              </w:rPr>
              <w:t xml:space="preserve"> i </w:t>
            </w:r>
            <w:r w:rsidRPr="00300726">
              <w:rPr>
                <w:rFonts w:ascii="Arial" w:hAnsi="Arial" w:cs="Arial"/>
                <w:iCs/>
                <w:sz w:val="16"/>
                <w:szCs w:val="16"/>
                <w:lang w:eastAsia="pl-PL"/>
              </w:rPr>
              <w:t>funkcjonariuszy celno-skarbowych (bez czasu oczekiwania na złożenie zgłoszenia celnego przez dysponenta):</w:t>
            </w:r>
          </w:p>
        </w:tc>
      </w:tr>
      <w:tr w:rsidR="008339C1" w:rsidRPr="004C6CC5" w14:paraId="50284E07" w14:textId="77777777" w:rsidTr="006D2C18">
        <w:tc>
          <w:tcPr>
            <w:tcW w:w="1418" w:type="dxa"/>
          </w:tcPr>
          <w:p w14:paraId="58D4E013" w14:textId="77777777" w:rsidR="008339C1" w:rsidRPr="00300726" w:rsidRDefault="008339C1" w:rsidP="008D2321">
            <w:pPr>
              <w:spacing w:after="120" w:line="276" w:lineRule="auto"/>
              <w:jc w:val="both"/>
              <w:rPr>
                <w:rFonts w:ascii="Arial" w:hAnsi="Arial" w:cs="Arial"/>
                <w:sz w:val="16"/>
                <w:szCs w:val="16"/>
                <w:lang w:eastAsia="pl-PL"/>
              </w:rPr>
            </w:pPr>
            <w:r w:rsidRPr="00300726">
              <w:rPr>
                <w:rFonts w:ascii="Arial" w:hAnsi="Arial" w:cs="Arial"/>
                <w:iCs/>
                <w:sz w:val="16"/>
                <w:szCs w:val="16"/>
                <w:lang w:eastAsia="pl-PL"/>
              </w:rPr>
              <w:t>2016</w:t>
            </w:r>
          </w:p>
        </w:tc>
        <w:tc>
          <w:tcPr>
            <w:tcW w:w="7371" w:type="dxa"/>
          </w:tcPr>
          <w:p w14:paraId="79A52924" w14:textId="77777777" w:rsidR="008339C1" w:rsidRPr="00300726" w:rsidRDefault="008339C1" w:rsidP="008D2321">
            <w:pPr>
              <w:spacing w:after="120" w:line="276" w:lineRule="auto"/>
              <w:jc w:val="both"/>
              <w:rPr>
                <w:rFonts w:ascii="Arial" w:hAnsi="Arial" w:cs="Arial"/>
                <w:sz w:val="16"/>
                <w:szCs w:val="16"/>
                <w:lang w:eastAsia="pl-PL"/>
              </w:rPr>
            </w:pPr>
            <w:r w:rsidRPr="00300726">
              <w:rPr>
                <w:rFonts w:ascii="Arial" w:hAnsi="Arial" w:cs="Arial"/>
                <w:sz w:val="16"/>
                <w:szCs w:val="16"/>
                <w:lang w:eastAsia="pl-PL"/>
              </w:rPr>
              <w:t>7 h 11 min.</w:t>
            </w:r>
          </w:p>
        </w:tc>
      </w:tr>
      <w:tr w:rsidR="008339C1" w:rsidRPr="004C6CC5" w14:paraId="0D85030A" w14:textId="77777777" w:rsidTr="006D2C18">
        <w:tc>
          <w:tcPr>
            <w:tcW w:w="1418" w:type="dxa"/>
          </w:tcPr>
          <w:p w14:paraId="35463770" w14:textId="77777777" w:rsidR="008339C1" w:rsidRPr="00300726" w:rsidRDefault="008339C1" w:rsidP="008D2321">
            <w:pPr>
              <w:spacing w:after="120" w:line="276" w:lineRule="auto"/>
              <w:jc w:val="both"/>
              <w:rPr>
                <w:rFonts w:ascii="Arial" w:hAnsi="Arial" w:cs="Arial"/>
                <w:sz w:val="16"/>
                <w:szCs w:val="16"/>
                <w:lang w:eastAsia="pl-PL"/>
              </w:rPr>
            </w:pPr>
            <w:r w:rsidRPr="00300726">
              <w:rPr>
                <w:rFonts w:ascii="Arial" w:hAnsi="Arial" w:cs="Arial"/>
                <w:iCs/>
                <w:sz w:val="16"/>
                <w:szCs w:val="16"/>
                <w:lang w:eastAsia="pl-PL"/>
              </w:rPr>
              <w:t>2017</w:t>
            </w:r>
          </w:p>
        </w:tc>
        <w:tc>
          <w:tcPr>
            <w:tcW w:w="7371" w:type="dxa"/>
          </w:tcPr>
          <w:p w14:paraId="61C995CF" w14:textId="77542A41" w:rsidR="008339C1" w:rsidRPr="00300726" w:rsidRDefault="008339C1" w:rsidP="008D2321">
            <w:pPr>
              <w:spacing w:after="120" w:line="276" w:lineRule="auto"/>
              <w:jc w:val="both"/>
              <w:rPr>
                <w:rFonts w:ascii="Arial" w:hAnsi="Arial" w:cs="Arial"/>
                <w:sz w:val="16"/>
                <w:szCs w:val="16"/>
                <w:lang w:eastAsia="pl-PL"/>
              </w:rPr>
            </w:pPr>
            <w:r w:rsidRPr="00300726">
              <w:rPr>
                <w:rFonts w:ascii="Arial" w:hAnsi="Arial" w:cs="Arial"/>
                <w:sz w:val="16"/>
                <w:szCs w:val="16"/>
                <w:lang w:eastAsia="pl-PL"/>
              </w:rPr>
              <w:t>6</w:t>
            </w:r>
            <w:r w:rsidR="00B8414D">
              <w:rPr>
                <w:rFonts w:ascii="Arial" w:hAnsi="Arial" w:cs="Arial"/>
                <w:sz w:val="16"/>
                <w:szCs w:val="16"/>
                <w:lang w:eastAsia="pl-PL"/>
              </w:rPr>
              <w:t xml:space="preserve"> </w:t>
            </w:r>
            <w:r w:rsidRPr="00300726">
              <w:rPr>
                <w:rFonts w:ascii="Arial" w:hAnsi="Arial" w:cs="Arial"/>
                <w:sz w:val="16"/>
                <w:szCs w:val="16"/>
                <w:lang w:eastAsia="pl-PL"/>
              </w:rPr>
              <w:t>h 36 min.</w:t>
            </w:r>
          </w:p>
        </w:tc>
      </w:tr>
      <w:tr w:rsidR="008339C1" w:rsidRPr="004C6CC5" w14:paraId="05F893E9" w14:textId="77777777" w:rsidTr="006D2C18">
        <w:tc>
          <w:tcPr>
            <w:tcW w:w="1418" w:type="dxa"/>
          </w:tcPr>
          <w:p w14:paraId="42D24C22" w14:textId="77777777" w:rsidR="008339C1" w:rsidRPr="00300726" w:rsidRDefault="008339C1" w:rsidP="008D2321">
            <w:pPr>
              <w:spacing w:after="120" w:line="276" w:lineRule="auto"/>
              <w:jc w:val="both"/>
              <w:rPr>
                <w:rFonts w:ascii="Arial" w:hAnsi="Arial" w:cs="Arial"/>
                <w:sz w:val="16"/>
                <w:szCs w:val="16"/>
                <w:lang w:eastAsia="pl-PL"/>
              </w:rPr>
            </w:pPr>
            <w:r w:rsidRPr="00300726">
              <w:rPr>
                <w:rFonts w:ascii="Arial" w:hAnsi="Arial" w:cs="Arial"/>
                <w:iCs/>
                <w:sz w:val="16"/>
                <w:szCs w:val="16"/>
                <w:lang w:eastAsia="pl-PL"/>
              </w:rPr>
              <w:t>2018</w:t>
            </w:r>
          </w:p>
        </w:tc>
        <w:tc>
          <w:tcPr>
            <w:tcW w:w="7371" w:type="dxa"/>
          </w:tcPr>
          <w:p w14:paraId="18BF825B" w14:textId="72E5E5BD" w:rsidR="008339C1" w:rsidRPr="00300726" w:rsidRDefault="008339C1" w:rsidP="008D2321">
            <w:pPr>
              <w:spacing w:after="120" w:line="276" w:lineRule="auto"/>
              <w:jc w:val="both"/>
              <w:rPr>
                <w:rFonts w:ascii="Arial" w:hAnsi="Arial" w:cs="Arial"/>
                <w:sz w:val="16"/>
                <w:szCs w:val="16"/>
                <w:lang w:eastAsia="pl-PL"/>
              </w:rPr>
            </w:pPr>
            <w:r w:rsidRPr="00300726">
              <w:rPr>
                <w:rFonts w:ascii="Arial" w:hAnsi="Arial" w:cs="Arial"/>
                <w:sz w:val="16"/>
                <w:szCs w:val="16"/>
                <w:lang w:eastAsia="pl-PL"/>
              </w:rPr>
              <w:t>11</w:t>
            </w:r>
            <w:r w:rsidR="00B8414D">
              <w:rPr>
                <w:rFonts w:ascii="Arial" w:hAnsi="Arial" w:cs="Arial"/>
                <w:sz w:val="16"/>
                <w:szCs w:val="16"/>
                <w:lang w:eastAsia="pl-PL"/>
              </w:rPr>
              <w:t xml:space="preserve"> </w:t>
            </w:r>
            <w:r w:rsidRPr="00300726">
              <w:rPr>
                <w:rFonts w:ascii="Arial" w:hAnsi="Arial" w:cs="Arial"/>
                <w:sz w:val="16"/>
                <w:szCs w:val="16"/>
                <w:lang w:eastAsia="pl-PL"/>
              </w:rPr>
              <w:t>h 24</w:t>
            </w:r>
            <w:r w:rsidR="00B8414D">
              <w:rPr>
                <w:rFonts w:ascii="Arial" w:hAnsi="Arial" w:cs="Arial"/>
                <w:sz w:val="16"/>
                <w:szCs w:val="16"/>
                <w:lang w:eastAsia="pl-PL"/>
              </w:rPr>
              <w:t xml:space="preserve"> </w:t>
            </w:r>
            <w:r w:rsidRPr="00300726">
              <w:rPr>
                <w:rFonts w:ascii="Arial" w:hAnsi="Arial" w:cs="Arial"/>
                <w:sz w:val="16"/>
                <w:szCs w:val="16"/>
                <w:lang w:eastAsia="pl-PL"/>
              </w:rPr>
              <w:t>min.</w:t>
            </w:r>
          </w:p>
        </w:tc>
      </w:tr>
      <w:tr w:rsidR="008339C1" w:rsidRPr="004C6CC5" w14:paraId="46482F66" w14:textId="77777777" w:rsidTr="006D2C18">
        <w:tc>
          <w:tcPr>
            <w:tcW w:w="1418" w:type="dxa"/>
          </w:tcPr>
          <w:p w14:paraId="2C4F03A0" w14:textId="77777777" w:rsidR="008339C1" w:rsidRPr="00300726" w:rsidRDefault="008339C1" w:rsidP="008D2321">
            <w:pPr>
              <w:spacing w:after="120" w:line="276" w:lineRule="auto"/>
              <w:jc w:val="both"/>
              <w:rPr>
                <w:rFonts w:ascii="Arial" w:hAnsi="Arial" w:cs="Arial"/>
                <w:iCs/>
                <w:sz w:val="16"/>
                <w:szCs w:val="16"/>
                <w:lang w:eastAsia="pl-PL"/>
              </w:rPr>
            </w:pPr>
            <w:r w:rsidRPr="00300726">
              <w:rPr>
                <w:rFonts w:ascii="Arial" w:hAnsi="Arial" w:cs="Arial"/>
                <w:iCs/>
                <w:sz w:val="16"/>
                <w:szCs w:val="16"/>
                <w:lang w:eastAsia="pl-PL"/>
              </w:rPr>
              <w:t>2019</w:t>
            </w:r>
          </w:p>
        </w:tc>
        <w:tc>
          <w:tcPr>
            <w:tcW w:w="7371" w:type="dxa"/>
          </w:tcPr>
          <w:p w14:paraId="6E4ACA84" w14:textId="78AB73AD" w:rsidR="008339C1" w:rsidRPr="00300726" w:rsidRDefault="008339C1" w:rsidP="008D2321">
            <w:pPr>
              <w:spacing w:after="120" w:line="276" w:lineRule="auto"/>
              <w:jc w:val="both"/>
              <w:rPr>
                <w:rFonts w:ascii="Arial" w:hAnsi="Arial" w:cs="Arial"/>
                <w:sz w:val="16"/>
                <w:szCs w:val="16"/>
                <w:lang w:eastAsia="pl-PL"/>
              </w:rPr>
            </w:pPr>
            <w:r w:rsidRPr="00300726">
              <w:rPr>
                <w:rFonts w:ascii="Arial" w:hAnsi="Arial" w:cs="Arial"/>
                <w:sz w:val="16"/>
                <w:szCs w:val="16"/>
                <w:lang w:eastAsia="pl-PL"/>
              </w:rPr>
              <w:t>8</w:t>
            </w:r>
            <w:r w:rsidR="00B8414D">
              <w:rPr>
                <w:rFonts w:ascii="Arial" w:hAnsi="Arial" w:cs="Arial"/>
                <w:sz w:val="16"/>
                <w:szCs w:val="16"/>
                <w:lang w:eastAsia="pl-PL"/>
              </w:rPr>
              <w:t xml:space="preserve"> </w:t>
            </w:r>
            <w:r w:rsidRPr="00300726">
              <w:rPr>
                <w:rFonts w:ascii="Arial" w:hAnsi="Arial" w:cs="Arial"/>
                <w:sz w:val="16"/>
                <w:szCs w:val="16"/>
                <w:lang w:eastAsia="pl-PL"/>
              </w:rPr>
              <w:t>h 25 min.</w:t>
            </w:r>
          </w:p>
        </w:tc>
      </w:tr>
    </w:tbl>
    <w:p w14:paraId="5A4F4939" w14:textId="77777777" w:rsidR="008339C1" w:rsidRPr="004C6CC5" w:rsidRDefault="008339C1" w:rsidP="008D2321">
      <w:pPr>
        <w:spacing w:after="120" w:line="276" w:lineRule="auto"/>
        <w:jc w:val="both"/>
        <w:rPr>
          <w:rFonts w:ascii="Arial" w:hAnsi="Arial" w:cs="Arial"/>
          <w:sz w:val="20"/>
          <w:szCs w:val="20"/>
          <w:lang w:eastAsia="pl-PL"/>
        </w:rPr>
      </w:pPr>
    </w:p>
    <w:p w14:paraId="2EB90280" w14:textId="5BF3F9A5"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Ustawowy termin maksymalnie 24 godzin odpraw towarów</w:t>
      </w:r>
      <w:r w:rsidR="004C6CC5">
        <w:rPr>
          <w:rFonts w:ascii="Arial" w:hAnsi="Arial" w:cs="Arial"/>
          <w:sz w:val="20"/>
          <w:szCs w:val="20"/>
          <w:lang w:eastAsia="pl-PL"/>
        </w:rPr>
        <w:t xml:space="preserve"> w </w:t>
      </w:r>
      <w:r w:rsidRPr="004C6CC5">
        <w:rPr>
          <w:rFonts w:ascii="Arial" w:hAnsi="Arial" w:cs="Arial"/>
          <w:sz w:val="20"/>
          <w:szCs w:val="20"/>
          <w:lang w:eastAsia="pl-PL"/>
        </w:rPr>
        <w:t>praktyce jest znacznie krótszy, choć może ulec wydłużeniu do 48 godzin</w:t>
      </w:r>
      <w:r w:rsidR="004C6CC5">
        <w:rPr>
          <w:rFonts w:ascii="Arial" w:hAnsi="Arial" w:cs="Arial"/>
          <w:sz w:val="20"/>
          <w:szCs w:val="20"/>
          <w:lang w:eastAsia="pl-PL"/>
        </w:rPr>
        <w:t xml:space="preserve"> w </w:t>
      </w:r>
      <w:r w:rsidRPr="004C6CC5">
        <w:rPr>
          <w:rFonts w:ascii="Arial" w:hAnsi="Arial" w:cs="Arial"/>
          <w:sz w:val="20"/>
          <w:szCs w:val="20"/>
          <w:lang w:eastAsia="pl-PL"/>
        </w:rPr>
        <w:t>przypadkach uzasadnionych względami bezpieczeństwa publicznego, ochroną życia zdrowia ludzi</w:t>
      </w:r>
      <w:r w:rsidR="004C6CC5">
        <w:rPr>
          <w:rFonts w:ascii="Arial" w:hAnsi="Arial" w:cs="Arial"/>
          <w:sz w:val="20"/>
          <w:szCs w:val="20"/>
          <w:lang w:eastAsia="pl-PL"/>
        </w:rPr>
        <w:t xml:space="preserve"> i </w:t>
      </w:r>
      <w:r w:rsidRPr="004C6CC5">
        <w:rPr>
          <w:rFonts w:ascii="Arial" w:hAnsi="Arial" w:cs="Arial"/>
          <w:sz w:val="20"/>
          <w:szCs w:val="20"/>
          <w:lang w:eastAsia="pl-PL"/>
        </w:rPr>
        <w:t>zwierząt lub ochroną środowiska. Termin ten nie dotyczy odpraw, do przeprowadzenia których niezbędne jest poddanie towaru badaniom laboratoryjnym, a</w:t>
      </w:r>
      <w:r w:rsidR="004C6CC5">
        <w:rPr>
          <w:rFonts w:ascii="Arial" w:hAnsi="Arial" w:cs="Arial"/>
          <w:sz w:val="20"/>
          <w:szCs w:val="20"/>
          <w:lang w:eastAsia="pl-PL"/>
        </w:rPr>
        <w:t xml:space="preserve"> w </w:t>
      </w:r>
      <w:r w:rsidR="001963BC">
        <w:rPr>
          <w:rFonts w:ascii="Arial" w:hAnsi="Arial" w:cs="Arial"/>
          <w:sz w:val="20"/>
          <w:szCs w:val="20"/>
          <w:lang w:eastAsia="pl-PL"/>
        </w:rPr>
        <w:t xml:space="preserve">przypadku żywych zwierząt </w:t>
      </w:r>
      <w:r w:rsidRPr="004C6CC5">
        <w:rPr>
          <w:rFonts w:ascii="Arial" w:hAnsi="Arial" w:cs="Arial"/>
          <w:sz w:val="20"/>
          <w:szCs w:val="20"/>
          <w:lang w:eastAsia="pl-PL"/>
        </w:rPr>
        <w:t>poddania kwarantannie. Wprowadzenie ww. systemu ułatwia</w:t>
      </w:r>
      <w:r w:rsidR="004C6CC5">
        <w:rPr>
          <w:rFonts w:ascii="Arial" w:hAnsi="Arial" w:cs="Arial"/>
          <w:sz w:val="20"/>
          <w:szCs w:val="20"/>
          <w:lang w:eastAsia="pl-PL"/>
        </w:rPr>
        <w:t xml:space="preserve"> i </w:t>
      </w:r>
      <w:r w:rsidRPr="004C6CC5">
        <w:rPr>
          <w:rFonts w:ascii="Arial" w:hAnsi="Arial" w:cs="Arial"/>
          <w:sz w:val="20"/>
          <w:szCs w:val="20"/>
          <w:lang w:eastAsia="pl-PL"/>
        </w:rPr>
        <w:t>przyspiesza obrót towarem przez przedsiębiorcę dzięki skróceniu czasu przeprowadzania wszystkich czynności urzędowych</w:t>
      </w:r>
      <w:r w:rsidR="004C6CC5">
        <w:rPr>
          <w:rFonts w:ascii="Arial" w:hAnsi="Arial" w:cs="Arial"/>
          <w:sz w:val="20"/>
          <w:szCs w:val="20"/>
          <w:lang w:eastAsia="pl-PL"/>
        </w:rPr>
        <w:t xml:space="preserve"> i </w:t>
      </w:r>
      <w:r w:rsidRPr="004C6CC5">
        <w:rPr>
          <w:rFonts w:ascii="Arial" w:hAnsi="Arial" w:cs="Arial"/>
          <w:sz w:val="20"/>
          <w:szCs w:val="20"/>
          <w:lang w:eastAsia="pl-PL"/>
        </w:rPr>
        <w:t xml:space="preserve">kontrolnych niezbędnych do dopuszczenia towarów do obrotu. </w:t>
      </w:r>
    </w:p>
    <w:p w14:paraId="0AA1A678" w14:textId="18FB524A" w:rsidR="008339C1" w:rsidRPr="000F468A" w:rsidRDefault="008339C1" w:rsidP="003C6ECA">
      <w:pPr>
        <w:pStyle w:val="Akapitzlist"/>
        <w:numPr>
          <w:ilvl w:val="0"/>
          <w:numId w:val="29"/>
        </w:numPr>
        <w:spacing w:after="120" w:line="276" w:lineRule="auto"/>
        <w:jc w:val="both"/>
        <w:rPr>
          <w:rFonts w:ascii="Arial" w:hAnsi="Arial" w:cs="Arial"/>
          <w:sz w:val="20"/>
          <w:szCs w:val="20"/>
          <w:lang w:eastAsia="pl-PL"/>
        </w:rPr>
      </w:pPr>
      <w:r w:rsidRPr="000F468A">
        <w:rPr>
          <w:rFonts w:ascii="Arial" w:hAnsi="Arial" w:cs="Arial"/>
          <w:b/>
          <w:bCs/>
          <w:sz w:val="20"/>
          <w:szCs w:val="20"/>
          <w:lang w:eastAsia="pl-PL"/>
        </w:rPr>
        <w:lastRenderedPageBreak/>
        <w:t>Projekt Single Window – Pojedyncze okno</w:t>
      </w:r>
      <w:r w:rsidR="004C6CC5">
        <w:rPr>
          <w:rFonts w:ascii="Arial" w:hAnsi="Arial" w:cs="Arial"/>
          <w:b/>
          <w:bCs/>
          <w:sz w:val="20"/>
          <w:szCs w:val="20"/>
          <w:lang w:eastAsia="pl-PL"/>
        </w:rPr>
        <w:t xml:space="preserve"> w </w:t>
      </w:r>
      <w:r w:rsidRPr="000F468A">
        <w:rPr>
          <w:rFonts w:ascii="Arial" w:hAnsi="Arial" w:cs="Arial"/>
          <w:b/>
          <w:bCs/>
          <w:sz w:val="20"/>
          <w:szCs w:val="20"/>
          <w:lang w:eastAsia="pl-PL"/>
        </w:rPr>
        <w:t>obrocie towarowym</w:t>
      </w:r>
      <w:r w:rsidR="004C6CC5">
        <w:rPr>
          <w:rFonts w:ascii="Arial" w:hAnsi="Arial" w:cs="Arial"/>
          <w:b/>
          <w:bCs/>
          <w:sz w:val="20"/>
          <w:szCs w:val="20"/>
          <w:lang w:eastAsia="pl-PL"/>
        </w:rPr>
        <w:t xml:space="preserve"> z </w:t>
      </w:r>
      <w:r w:rsidRPr="000F468A">
        <w:rPr>
          <w:rFonts w:ascii="Arial" w:hAnsi="Arial" w:cs="Arial"/>
          <w:b/>
          <w:bCs/>
          <w:sz w:val="20"/>
          <w:szCs w:val="20"/>
          <w:lang w:eastAsia="pl-PL"/>
        </w:rPr>
        <w:t>zagranicą.</w:t>
      </w:r>
    </w:p>
    <w:p w14:paraId="767C0562" w14:textId="127D2E33"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KAS realizuje Program „Platforma Usług Elektronicznych Skarbowo-Celnych - PUESC”, którego głównym celem jest usprawnienie procesów realizowanych przez klientów Krajowej Administracji Skarbowej</w:t>
      </w:r>
      <w:r w:rsidR="004C6CC5">
        <w:rPr>
          <w:rFonts w:ascii="Arial" w:hAnsi="Arial" w:cs="Arial"/>
          <w:sz w:val="20"/>
          <w:szCs w:val="20"/>
          <w:lang w:eastAsia="pl-PL"/>
        </w:rPr>
        <w:t xml:space="preserve"> w </w:t>
      </w:r>
      <w:r w:rsidRPr="004C6CC5">
        <w:rPr>
          <w:rFonts w:ascii="Arial" w:hAnsi="Arial" w:cs="Arial"/>
          <w:sz w:val="20"/>
          <w:szCs w:val="20"/>
          <w:lang w:eastAsia="pl-PL"/>
        </w:rPr>
        <w:t>obszarze granicznym, celnym</w:t>
      </w:r>
      <w:r w:rsidR="004C6CC5">
        <w:rPr>
          <w:rFonts w:ascii="Arial" w:hAnsi="Arial" w:cs="Arial"/>
          <w:sz w:val="20"/>
          <w:szCs w:val="20"/>
          <w:lang w:eastAsia="pl-PL"/>
        </w:rPr>
        <w:t xml:space="preserve"> i </w:t>
      </w:r>
      <w:r w:rsidRPr="004C6CC5">
        <w:rPr>
          <w:rFonts w:ascii="Arial" w:hAnsi="Arial" w:cs="Arial"/>
          <w:sz w:val="20"/>
          <w:szCs w:val="20"/>
          <w:lang w:eastAsia="pl-PL"/>
        </w:rPr>
        <w:t>akcyzowym oraz poszerzenie zakresu spraw, które mogłyby być obsłużone</w:t>
      </w:r>
      <w:r w:rsidR="004C6CC5">
        <w:rPr>
          <w:rFonts w:ascii="Arial" w:hAnsi="Arial" w:cs="Arial"/>
          <w:sz w:val="20"/>
          <w:szCs w:val="20"/>
          <w:lang w:eastAsia="pl-PL"/>
        </w:rPr>
        <w:t xml:space="preserve"> w </w:t>
      </w:r>
      <w:r w:rsidRPr="004C6CC5">
        <w:rPr>
          <w:rFonts w:ascii="Arial" w:hAnsi="Arial" w:cs="Arial"/>
          <w:sz w:val="20"/>
          <w:szCs w:val="20"/>
          <w:lang w:eastAsia="pl-PL"/>
        </w:rPr>
        <w:t>drodze elektronicznej. Zakres Programu przewiduje m.in. budowę</w:t>
      </w:r>
      <w:r w:rsidR="004C6CC5">
        <w:rPr>
          <w:rFonts w:ascii="Arial" w:hAnsi="Arial" w:cs="Arial"/>
          <w:sz w:val="20"/>
          <w:szCs w:val="20"/>
          <w:lang w:eastAsia="pl-PL"/>
        </w:rPr>
        <w:t xml:space="preserve"> i </w:t>
      </w:r>
      <w:r w:rsidRPr="004C6CC5">
        <w:rPr>
          <w:rFonts w:ascii="Arial" w:hAnsi="Arial" w:cs="Arial"/>
          <w:sz w:val="20"/>
          <w:szCs w:val="20"/>
          <w:lang w:eastAsia="pl-PL"/>
        </w:rPr>
        <w:t>modernizację szeregu komponentów Systemu Informacyjnego Skarbowo-Celnego (SISC). Jednym</w:t>
      </w:r>
      <w:r w:rsidR="004C6CC5">
        <w:rPr>
          <w:rFonts w:ascii="Arial" w:hAnsi="Arial" w:cs="Arial"/>
          <w:sz w:val="20"/>
          <w:szCs w:val="20"/>
          <w:lang w:eastAsia="pl-PL"/>
        </w:rPr>
        <w:t xml:space="preserve"> z </w:t>
      </w:r>
      <w:r w:rsidRPr="004C6CC5">
        <w:rPr>
          <w:rFonts w:ascii="Arial" w:hAnsi="Arial" w:cs="Arial"/>
          <w:sz w:val="20"/>
          <w:szCs w:val="20"/>
          <w:lang w:eastAsia="pl-PL"/>
        </w:rPr>
        <w:t>systemów budowanych</w:t>
      </w:r>
      <w:r w:rsidR="004C6CC5">
        <w:rPr>
          <w:rFonts w:ascii="Arial" w:hAnsi="Arial" w:cs="Arial"/>
          <w:sz w:val="20"/>
          <w:szCs w:val="20"/>
          <w:lang w:eastAsia="pl-PL"/>
        </w:rPr>
        <w:t xml:space="preserve"> w </w:t>
      </w:r>
      <w:r w:rsidRPr="004C6CC5">
        <w:rPr>
          <w:rFonts w:ascii="Arial" w:hAnsi="Arial" w:cs="Arial"/>
          <w:sz w:val="20"/>
          <w:szCs w:val="20"/>
          <w:lang w:eastAsia="pl-PL"/>
        </w:rPr>
        <w:t>ramach</w:t>
      </w:r>
      <w:r w:rsidR="004C6CC5">
        <w:rPr>
          <w:rFonts w:ascii="Arial" w:hAnsi="Arial" w:cs="Arial"/>
          <w:sz w:val="20"/>
          <w:szCs w:val="20"/>
          <w:lang w:eastAsia="pl-PL"/>
        </w:rPr>
        <w:t xml:space="preserve"> w </w:t>
      </w:r>
      <w:r w:rsidRPr="004C6CC5">
        <w:rPr>
          <w:rFonts w:ascii="Arial" w:hAnsi="Arial" w:cs="Arial"/>
          <w:sz w:val="20"/>
          <w:szCs w:val="20"/>
          <w:lang w:eastAsia="pl-PL"/>
        </w:rPr>
        <w:t xml:space="preserve">ramach PUESC jest „PKWD </w:t>
      </w:r>
      <w:r w:rsidR="00124A21">
        <w:rPr>
          <w:rFonts w:ascii="Arial" w:hAnsi="Arial" w:cs="Arial"/>
          <w:sz w:val="20"/>
          <w:szCs w:val="20"/>
          <w:lang w:eastAsia="pl-PL"/>
        </w:rPr>
        <w:t>-</w:t>
      </w:r>
      <w:r w:rsidRPr="004C6CC5">
        <w:rPr>
          <w:rFonts w:ascii="Arial" w:hAnsi="Arial" w:cs="Arial"/>
          <w:sz w:val="20"/>
          <w:szCs w:val="20"/>
          <w:lang w:eastAsia="pl-PL"/>
        </w:rPr>
        <w:t xml:space="preserve"> SINGLE WINDOW (Platforma Koordynacji</w:t>
      </w:r>
      <w:r w:rsidR="004C6CC5">
        <w:rPr>
          <w:rFonts w:ascii="Arial" w:hAnsi="Arial" w:cs="Arial"/>
          <w:sz w:val="20"/>
          <w:szCs w:val="20"/>
          <w:lang w:eastAsia="pl-PL"/>
        </w:rPr>
        <w:t xml:space="preserve"> i </w:t>
      </w:r>
      <w:r w:rsidRPr="004C6CC5">
        <w:rPr>
          <w:rFonts w:ascii="Arial" w:hAnsi="Arial" w:cs="Arial"/>
          <w:sz w:val="20"/>
          <w:szCs w:val="20"/>
          <w:lang w:eastAsia="pl-PL"/>
        </w:rPr>
        <w:t>Wymiany Danych - Single Window), który świadczyć będzie usługę określaną jako „Pojedyncze okno</w:t>
      </w:r>
      <w:r w:rsidR="004C6CC5">
        <w:rPr>
          <w:rFonts w:ascii="Arial" w:hAnsi="Arial" w:cs="Arial"/>
          <w:sz w:val="20"/>
          <w:szCs w:val="20"/>
          <w:lang w:eastAsia="pl-PL"/>
        </w:rPr>
        <w:t xml:space="preserve"> w </w:t>
      </w:r>
      <w:r w:rsidRPr="004C6CC5">
        <w:rPr>
          <w:rFonts w:ascii="Arial" w:hAnsi="Arial" w:cs="Arial"/>
          <w:sz w:val="20"/>
          <w:szCs w:val="20"/>
          <w:lang w:eastAsia="pl-PL"/>
        </w:rPr>
        <w:t>obrocie towarowym</w:t>
      </w:r>
      <w:r w:rsidR="004C6CC5">
        <w:rPr>
          <w:rFonts w:ascii="Arial" w:hAnsi="Arial" w:cs="Arial"/>
          <w:sz w:val="20"/>
          <w:szCs w:val="20"/>
          <w:lang w:eastAsia="pl-PL"/>
        </w:rPr>
        <w:t xml:space="preserve"> z </w:t>
      </w:r>
      <w:r w:rsidRPr="004C6CC5">
        <w:rPr>
          <w:rFonts w:ascii="Arial" w:hAnsi="Arial" w:cs="Arial"/>
          <w:sz w:val="20"/>
          <w:szCs w:val="20"/>
          <w:lang w:eastAsia="pl-PL"/>
        </w:rPr>
        <w:t>zagranicą”. Usługa umożliwi sprawną obsługę transportu</w:t>
      </w:r>
      <w:r w:rsidR="004C6CC5">
        <w:rPr>
          <w:rFonts w:ascii="Arial" w:hAnsi="Arial" w:cs="Arial"/>
          <w:sz w:val="20"/>
          <w:szCs w:val="20"/>
          <w:lang w:eastAsia="pl-PL"/>
        </w:rPr>
        <w:t xml:space="preserve"> w </w:t>
      </w:r>
      <w:r w:rsidRPr="004C6CC5">
        <w:rPr>
          <w:rFonts w:ascii="Arial" w:hAnsi="Arial" w:cs="Arial"/>
          <w:sz w:val="20"/>
          <w:szCs w:val="20"/>
          <w:lang w:eastAsia="pl-PL"/>
        </w:rPr>
        <w:t>ruchu morskim m.in. poprzez elektroniczną wymianę informacji</w:t>
      </w:r>
      <w:r w:rsidR="004C6CC5">
        <w:rPr>
          <w:rFonts w:ascii="Arial" w:hAnsi="Arial" w:cs="Arial"/>
          <w:sz w:val="20"/>
          <w:szCs w:val="20"/>
          <w:lang w:eastAsia="pl-PL"/>
        </w:rPr>
        <w:t xml:space="preserve"> i </w:t>
      </w:r>
      <w:r w:rsidRPr="004C6CC5">
        <w:rPr>
          <w:rFonts w:ascii="Arial" w:hAnsi="Arial" w:cs="Arial"/>
          <w:sz w:val="20"/>
          <w:szCs w:val="20"/>
          <w:lang w:eastAsia="pl-PL"/>
        </w:rPr>
        <w:t>dokumentów między różnymi jednostkami administracji publicznej zaangażowanymi</w:t>
      </w:r>
      <w:r w:rsidR="004C6CC5">
        <w:rPr>
          <w:rFonts w:ascii="Arial" w:hAnsi="Arial" w:cs="Arial"/>
          <w:sz w:val="20"/>
          <w:szCs w:val="20"/>
          <w:lang w:eastAsia="pl-PL"/>
        </w:rPr>
        <w:t xml:space="preserve"> w </w:t>
      </w:r>
      <w:r w:rsidRPr="004C6CC5">
        <w:rPr>
          <w:rFonts w:ascii="Arial" w:hAnsi="Arial" w:cs="Arial"/>
          <w:sz w:val="20"/>
          <w:szCs w:val="20"/>
          <w:lang w:eastAsia="pl-PL"/>
        </w:rPr>
        <w:t>odprawę towarów oraz przedsiębiorcami. Tego rodzaju działanie wpisuje się</w:t>
      </w:r>
      <w:r w:rsidR="004C6CC5">
        <w:rPr>
          <w:rFonts w:ascii="Arial" w:hAnsi="Arial" w:cs="Arial"/>
          <w:sz w:val="20"/>
          <w:szCs w:val="20"/>
          <w:lang w:eastAsia="pl-PL"/>
        </w:rPr>
        <w:t xml:space="preserve"> w </w:t>
      </w:r>
      <w:r w:rsidRPr="004C6CC5">
        <w:rPr>
          <w:rFonts w:ascii="Arial" w:hAnsi="Arial" w:cs="Arial"/>
          <w:sz w:val="20"/>
          <w:szCs w:val="20"/>
          <w:lang w:eastAsia="pl-PL"/>
        </w:rPr>
        <w:t>ideę uproszczenia działalności gospodarczej</w:t>
      </w:r>
      <w:r w:rsidR="004C6CC5">
        <w:rPr>
          <w:rFonts w:ascii="Arial" w:hAnsi="Arial" w:cs="Arial"/>
          <w:sz w:val="20"/>
          <w:szCs w:val="20"/>
          <w:lang w:eastAsia="pl-PL"/>
        </w:rPr>
        <w:t xml:space="preserve"> w </w:t>
      </w:r>
      <w:r w:rsidRPr="004C6CC5">
        <w:rPr>
          <w:rFonts w:ascii="Arial" w:hAnsi="Arial" w:cs="Arial"/>
          <w:sz w:val="20"/>
          <w:szCs w:val="20"/>
          <w:lang w:eastAsia="pl-PL"/>
        </w:rPr>
        <w:t>obrocie towarowym</w:t>
      </w:r>
      <w:r w:rsidR="004C6CC5">
        <w:rPr>
          <w:rFonts w:ascii="Arial" w:hAnsi="Arial" w:cs="Arial"/>
          <w:sz w:val="20"/>
          <w:szCs w:val="20"/>
          <w:lang w:eastAsia="pl-PL"/>
        </w:rPr>
        <w:t xml:space="preserve"> z </w:t>
      </w:r>
      <w:r w:rsidRPr="004C6CC5">
        <w:rPr>
          <w:rFonts w:ascii="Arial" w:hAnsi="Arial" w:cs="Arial"/>
          <w:sz w:val="20"/>
          <w:szCs w:val="20"/>
          <w:lang w:eastAsia="pl-PL"/>
        </w:rPr>
        <w:t>zagranicą oraz ułatwia przedsiębiorcom działalność międzynarodową.</w:t>
      </w:r>
    </w:p>
    <w:p w14:paraId="0EE77EDC" w14:textId="2E41946C" w:rsidR="008339C1" w:rsidRPr="000F468A" w:rsidRDefault="008339C1" w:rsidP="003C6ECA">
      <w:pPr>
        <w:pStyle w:val="Akapitzlist"/>
        <w:numPr>
          <w:ilvl w:val="0"/>
          <w:numId w:val="29"/>
        </w:numPr>
        <w:spacing w:after="120" w:line="276" w:lineRule="auto"/>
        <w:jc w:val="both"/>
        <w:rPr>
          <w:rFonts w:ascii="Arial" w:hAnsi="Arial" w:cs="Arial"/>
          <w:sz w:val="20"/>
          <w:szCs w:val="20"/>
          <w:lang w:eastAsia="pl-PL"/>
        </w:rPr>
      </w:pPr>
      <w:r w:rsidRPr="000F468A">
        <w:rPr>
          <w:rFonts w:ascii="Arial" w:hAnsi="Arial" w:cs="Arial"/>
          <w:b/>
          <w:sz w:val="20"/>
          <w:szCs w:val="20"/>
          <w:lang w:eastAsia="pl-PL"/>
        </w:rPr>
        <w:t>System SATOS (System Awizacji Towarów</w:t>
      </w:r>
      <w:r w:rsidR="004C6CC5">
        <w:rPr>
          <w:rFonts w:ascii="Arial" w:hAnsi="Arial" w:cs="Arial"/>
          <w:b/>
          <w:sz w:val="20"/>
          <w:szCs w:val="20"/>
          <w:lang w:eastAsia="pl-PL"/>
        </w:rPr>
        <w:t xml:space="preserve"> i </w:t>
      </w:r>
      <w:r w:rsidRPr="000F468A">
        <w:rPr>
          <w:rFonts w:ascii="Arial" w:hAnsi="Arial" w:cs="Arial"/>
          <w:b/>
          <w:sz w:val="20"/>
          <w:szCs w:val="20"/>
          <w:lang w:eastAsia="pl-PL"/>
        </w:rPr>
        <w:t>Osób)</w:t>
      </w:r>
      <w:r w:rsidR="005532C1" w:rsidRPr="000F468A">
        <w:rPr>
          <w:rFonts w:ascii="Arial" w:hAnsi="Arial" w:cs="Arial"/>
          <w:b/>
          <w:sz w:val="20"/>
          <w:szCs w:val="20"/>
          <w:lang w:eastAsia="pl-PL"/>
        </w:rPr>
        <w:t>.</w:t>
      </w:r>
    </w:p>
    <w:p w14:paraId="61FA73F2" w14:textId="24E7D1F2" w:rsidR="008339C1" w:rsidRPr="004C6CC5" w:rsidRDefault="008339C1" w:rsidP="008D2321">
      <w:pPr>
        <w:spacing w:after="120" w:line="276" w:lineRule="auto"/>
        <w:jc w:val="both"/>
        <w:rPr>
          <w:rFonts w:ascii="Arial" w:hAnsi="Arial" w:cs="Arial"/>
          <w:b/>
          <w:sz w:val="20"/>
          <w:szCs w:val="20"/>
          <w:lang w:eastAsia="pl-PL"/>
        </w:rPr>
      </w:pPr>
      <w:r w:rsidRPr="004C6CC5">
        <w:rPr>
          <w:rFonts w:ascii="Arial" w:hAnsi="Arial" w:cs="Arial"/>
          <w:sz w:val="20"/>
          <w:szCs w:val="20"/>
          <w:lang w:eastAsia="pl-PL"/>
        </w:rPr>
        <w:t>Projektowana usługa/system awizacji, dotycząca międzynarodowego transportu drogowego, lotniczego, kolejowego</w:t>
      </w:r>
      <w:r w:rsidR="004C6CC5">
        <w:rPr>
          <w:rFonts w:ascii="Arial" w:hAnsi="Arial" w:cs="Arial"/>
          <w:sz w:val="20"/>
          <w:szCs w:val="20"/>
          <w:lang w:eastAsia="pl-PL"/>
        </w:rPr>
        <w:t xml:space="preserve"> i </w:t>
      </w:r>
      <w:r w:rsidRPr="004C6CC5">
        <w:rPr>
          <w:rFonts w:ascii="Arial" w:hAnsi="Arial" w:cs="Arial"/>
          <w:sz w:val="20"/>
          <w:szCs w:val="20"/>
          <w:lang w:eastAsia="pl-PL"/>
        </w:rPr>
        <w:t>morskiego, zapewni:</w:t>
      </w:r>
    </w:p>
    <w:p w14:paraId="603EE354" w14:textId="52497AAF"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 systemowe podejście do operatorów dokonujących obrotu towarowego</w:t>
      </w:r>
      <w:r w:rsidR="004C6CC5">
        <w:rPr>
          <w:rFonts w:ascii="Arial" w:hAnsi="Arial" w:cs="Arial"/>
          <w:sz w:val="20"/>
          <w:szCs w:val="20"/>
          <w:lang w:eastAsia="pl-PL"/>
        </w:rPr>
        <w:t xml:space="preserve"> w </w:t>
      </w:r>
      <w:r w:rsidRPr="004C6CC5">
        <w:rPr>
          <w:rFonts w:ascii="Arial" w:hAnsi="Arial" w:cs="Arial"/>
          <w:sz w:val="20"/>
          <w:szCs w:val="20"/>
          <w:lang w:eastAsia="pl-PL"/>
        </w:rPr>
        <w:t>zakresie wyprzedzającej kontroli</w:t>
      </w:r>
      <w:r w:rsidR="004C6CC5">
        <w:rPr>
          <w:rFonts w:ascii="Arial" w:hAnsi="Arial" w:cs="Arial"/>
          <w:sz w:val="20"/>
          <w:szCs w:val="20"/>
          <w:lang w:eastAsia="pl-PL"/>
        </w:rPr>
        <w:t xml:space="preserve"> i </w:t>
      </w:r>
      <w:r w:rsidRPr="004C6CC5">
        <w:rPr>
          <w:rFonts w:ascii="Arial" w:hAnsi="Arial" w:cs="Arial"/>
          <w:sz w:val="20"/>
          <w:szCs w:val="20"/>
          <w:lang w:eastAsia="pl-PL"/>
        </w:rPr>
        <w:t>obsługi przesyłek,</w:t>
      </w:r>
    </w:p>
    <w:p w14:paraId="67A3F43D" w14:textId="3AAB6C69"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 korzyści</w:t>
      </w:r>
      <w:r w:rsidR="004C6CC5">
        <w:rPr>
          <w:rFonts w:ascii="Arial" w:hAnsi="Arial" w:cs="Arial"/>
          <w:sz w:val="20"/>
          <w:szCs w:val="20"/>
          <w:lang w:eastAsia="pl-PL"/>
        </w:rPr>
        <w:t xml:space="preserve"> i </w:t>
      </w:r>
      <w:r w:rsidRPr="004C6CC5">
        <w:rPr>
          <w:rFonts w:ascii="Arial" w:hAnsi="Arial" w:cs="Arial"/>
          <w:sz w:val="20"/>
          <w:szCs w:val="20"/>
          <w:lang w:eastAsia="pl-PL"/>
        </w:rPr>
        <w:t>ułatwienia dla operatorów</w:t>
      </w:r>
      <w:r w:rsidR="00124A21">
        <w:rPr>
          <w:rFonts w:ascii="Arial" w:hAnsi="Arial" w:cs="Arial"/>
          <w:sz w:val="20"/>
          <w:szCs w:val="20"/>
          <w:lang w:eastAsia="pl-PL"/>
        </w:rPr>
        <w:t xml:space="preserve"> w </w:t>
      </w:r>
      <w:r w:rsidRPr="004C6CC5">
        <w:rPr>
          <w:rFonts w:ascii="Arial" w:hAnsi="Arial" w:cs="Arial"/>
          <w:sz w:val="20"/>
          <w:szCs w:val="20"/>
          <w:lang w:eastAsia="pl-PL"/>
        </w:rPr>
        <w:t>zakresie jakości tego obrotu, poprzez elektronizację dokumentów papierowych,</w:t>
      </w:r>
    </w:p>
    <w:p w14:paraId="17DDC97D" w14:textId="12D1E98D"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 wyprzedzającą wstępną</w:t>
      </w:r>
      <w:r w:rsidR="004C6CC5">
        <w:rPr>
          <w:rFonts w:ascii="Arial" w:hAnsi="Arial" w:cs="Arial"/>
          <w:sz w:val="20"/>
          <w:szCs w:val="20"/>
          <w:lang w:eastAsia="pl-PL"/>
        </w:rPr>
        <w:t xml:space="preserve"> i </w:t>
      </w:r>
      <w:r w:rsidRPr="004C6CC5">
        <w:rPr>
          <w:rFonts w:ascii="Arial" w:hAnsi="Arial" w:cs="Arial"/>
          <w:sz w:val="20"/>
          <w:szCs w:val="20"/>
          <w:lang w:eastAsia="pl-PL"/>
        </w:rPr>
        <w:t>automatyczną analizę ryzyka</w:t>
      </w:r>
      <w:r w:rsidR="004C6CC5">
        <w:rPr>
          <w:rFonts w:ascii="Arial" w:hAnsi="Arial" w:cs="Arial"/>
          <w:sz w:val="20"/>
          <w:szCs w:val="20"/>
          <w:lang w:eastAsia="pl-PL"/>
        </w:rPr>
        <w:t xml:space="preserve"> w </w:t>
      </w:r>
      <w:r w:rsidRPr="004C6CC5">
        <w:rPr>
          <w:rFonts w:ascii="Arial" w:hAnsi="Arial" w:cs="Arial"/>
          <w:sz w:val="20"/>
          <w:szCs w:val="20"/>
          <w:lang w:eastAsia="pl-PL"/>
        </w:rPr>
        <w:t xml:space="preserve">stosunku do wszystkich transportowanych towarów, </w:t>
      </w:r>
    </w:p>
    <w:p w14:paraId="32878785" w14:textId="3F1A2A2A"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 redystrybucję raz pozyskanych</w:t>
      </w:r>
      <w:r w:rsidR="004C6CC5">
        <w:rPr>
          <w:rFonts w:ascii="Arial" w:hAnsi="Arial" w:cs="Arial"/>
          <w:sz w:val="20"/>
          <w:szCs w:val="20"/>
          <w:lang w:eastAsia="pl-PL"/>
        </w:rPr>
        <w:t xml:space="preserve"> w </w:t>
      </w:r>
      <w:r w:rsidRPr="004C6CC5">
        <w:rPr>
          <w:rFonts w:ascii="Arial" w:hAnsi="Arial" w:cs="Arial"/>
          <w:sz w:val="20"/>
          <w:szCs w:val="20"/>
          <w:lang w:eastAsia="pl-PL"/>
        </w:rPr>
        <w:t>ramach awizacji danych,</w:t>
      </w:r>
      <w:r w:rsidR="004C6CC5">
        <w:rPr>
          <w:rFonts w:ascii="Arial" w:hAnsi="Arial" w:cs="Arial"/>
          <w:sz w:val="20"/>
          <w:szCs w:val="20"/>
          <w:lang w:eastAsia="pl-PL"/>
        </w:rPr>
        <w:t xml:space="preserve"> w </w:t>
      </w:r>
      <w:r w:rsidRPr="004C6CC5">
        <w:rPr>
          <w:rFonts w:ascii="Arial" w:hAnsi="Arial" w:cs="Arial"/>
          <w:sz w:val="20"/>
          <w:szCs w:val="20"/>
          <w:lang w:eastAsia="pl-PL"/>
        </w:rPr>
        <w:t>kolejnych etapach procesu obsługi celnej towaru</w:t>
      </w:r>
      <w:r w:rsidR="004C6CC5">
        <w:rPr>
          <w:rFonts w:ascii="Arial" w:hAnsi="Arial" w:cs="Arial"/>
          <w:sz w:val="20"/>
          <w:szCs w:val="20"/>
          <w:lang w:eastAsia="pl-PL"/>
        </w:rPr>
        <w:t xml:space="preserve"> w </w:t>
      </w:r>
      <w:r w:rsidRPr="004C6CC5">
        <w:rPr>
          <w:rFonts w:ascii="Arial" w:hAnsi="Arial" w:cs="Arial"/>
          <w:sz w:val="20"/>
          <w:szCs w:val="20"/>
          <w:lang w:eastAsia="pl-PL"/>
        </w:rPr>
        <w:t>oparciu o matrycę danych,</w:t>
      </w:r>
    </w:p>
    <w:p w14:paraId="1466BB42" w14:textId="29662B35"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 tworzenie wydajnych mechanizmów wymiany, udostępniania</w:t>
      </w:r>
      <w:r w:rsidR="004C6CC5">
        <w:rPr>
          <w:rFonts w:ascii="Arial" w:hAnsi="Arial" w:cs="Arial"/>
          <w:sz w:val="20"/>
          <w:szCs w:val="20"/>
          <w:lang w:eastAsia="pl-PL"/>
        </w:rPr>
        <w:t xml:space="preserve"> i </w:t>
      </w:r>
      <w:r w:rsidRPr="004C6CC5">
        <w:rPr>
          <w:rFonts w:ascii="Arial" w:hAnsi="Arial" w:cs="Arial"/>
          <w:sz w:val="20"/>
          <w:szCs w:val="20"/>
          <w:lang w:eastAsia="pl-PL"/>
        </w:rPr>
        <w:t>składowania dokumentów elektronicznych</w:t>
      </w:r>
      <w:r w:rsidR="004C6CC5">
        <w:rPr>
          <w:rFonts w:ascii="Arial" w:hAnsi="Arial" w:cs="Arial"/>
          <w:sz w:val="20"/>
          <w:szCs w:val="20"/>
          <w:lang w:eastAsia="pl-PL"/>
        </w:rPr>
        <w:t xml:space="preserve"> w </w:t>
      </w:r>
      <w:r w:rsidRPr="004C6CC5">
        <w:rPr>
          <w:rFonts w:ascii="Arial" w:hAnsi="Arial" w:cs="Arial"/>
          <w:sz w:val="20"/>
          <w:szCs w:val="20"/>
          <w:lang w:eastAsia="pl-PL"/>
        </w:rPr>
        <w:t>sposób zapewniający re-używalność informacji</w:t>
      </w:r>
      <w:r w:rsidR="004C6CC5">
        <w:rPr>
          <w:rFonts w:ascii="Arial" w:hAnsi="Arial" w:cs="Arial"/>
          <w:sz w:val="20"/>
          <w:szCs w:val="20"/>
          <w:lang w:eastAsia="pl-PL"/>
        </w:rPr>
        <w:t xml:space="preserve"> w </w:t>
      </w:r>
      <w:r w:rsidRPr="004C6CC5">
        <w:rPr>
          <w:rFonts w:ascii="Arial" w:hAnsi="Arial" w:cs="Arial"/>
          <w:sz w:val="20"/>
          <w:szCs w:val="20"/>
          <w:lang w:eastAsia="pl-PL"/>
        </w:rPr>
        <w:t>nich zawartych.</w:t>
      </w:r>
    </w:p>
    <w:p w14:paraId="2D8EEC29" w14:textId="5C0A2FB0"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System zapewni działanie proc</w:t>
      </w:r>
      <w:r w:rsidR="0093462B">
        <w:rPr>
          <w:rFonts w:ascii="Arial" w:hAnsi="Arial" w:cs="Arial"/>
          <w:sz w:val="20"/>
          <w:szCs w:val="20"/>
          <w:lang w:eastAsia="pl-PL"/>
        </w:rPr>
        <w:t>esu poprzez sekwencję zdarzeń: a</w:t>
      </w:r>
      <w:r w:rsidRPr="004C6CC5">
        <w:rPr>
          <w:rFonts w:ascii="Arial" w:hAnsi="Arial" w:cs="Arial"/>
          <w:sz w:val="20"/>
          <w:szCs w:val="20"/>
          <w:lang w:eastAsia="pl-PL"/>
        </w:rPr>
        <w:t xml:space="preserve">wizacji → automatycznej AR→ manualnej AR → </w:t>
      </w:r>
      <w:r w:rsidR="0093462B">
        <w:rPr>
          <w:rFonts w:ascii="Arial" w:hAnsi="Arial" w:cs="Arial"/>
          <w:sz w:val="20"/>
          <w:szCs w:val="20"/>
          <w:lang w:eastAsia="pl-PL"/>
        </w:rPr>
        <w:t>p</w:t>
      </w:r>
      <w:r w:rsidRPr="004C6CC5">
        <w:rPr>
          <w:rFonts w:ascii="Arial" w:hAnsi="Arial" w:cs="Arial"/>
          <w:sz w:val="20"/>
          <w:szCs w:val="20"/>
          <w:lang w:eastAsia="pl-PL"/>
        </w:rPr>
        <w:t>rzesłania wyniku analizy ryzyka do systemu obsługi zgłoszeń</w:t>
      </w:r>
      <w:r w:rsidR="004C6CC5">
        <w:rPr>
          <w:rFonts w:ascii="Arial" w:hAnsi="Arial" w:cs="Arial"/>
          <w:sz w:val="20"/>
          <w:szCs w:val="20"/>
          <w:lang w:eastAsia="pl-PL"/>
        </w:rPr>
        <w:t xml:space="preserve"> w </w:t>
      </w:r>
      <w:r w:rsidRPr="004C6CC5">
        <w:rPr>
          <w:rFonts w:ascii="Arial" w:hAnsi="Arial" w:cs="Arial"/>
          <w:sz w:val="20"/>
          <w:szCs w:val="20"/>
          <w:lang w:eastAsia="pl-PL"/>
        </w:rPr>
        <w:t>momencie przedstawienia towaru</w:t>
      </w:r>
      <w:r w:rsidR="004C6CC5">
        <w:rPr>
          <w:rFonts w:ascii="Arial" w:hAnsi="Arial" w:cs="Arial"/>
          <w:sz w:val="20"/>
          <w:szCs w:val="20"/>
          <w:lang w:eastAsia="pl-PL"/>
        </w:rPr>
        <w:t xml:space="preserve"> i </w:t>
      </w:r>
      <w:r w:rsidRPr="004C6CC5">
        <w:rPr>
          <w:rFonts w:ascii="Arial" w:hAnsi="Arial" w:cs="Arial"/>
          <w:sz w:val="20"/>
          <w:szCs w:val="20"/>
          <w:lang w:eastAsia="pl-PL"/>
        </w:rPr>
        <w:t>wysłania zgłoszen</w:t>
      </w:r>
      <w:r w:rsidR="0093462B">
        <w:rPr>
          <w:rFonts w:ascii="Arial" w:hAnsi="Arial" w:cs="Arial"/>
          <w:sz w:val="20"/>
          <w:szCs w:val="20"/>
          <w:lang w:eastAsia="pl-PL"/>
        </w:rPr>
        <w:t>ia/deklaracji/powiadomienia do „odprawowych”</w:t>
      </w:r>
      <w:r w:rsidRPr="004C6CC5">
        <w:rPr>
          <w:rFonts w:ascii="Arial" w:hAnsi="Arial" w:cs="Arial"/>
          <w:sz w:val="20"/>
          <w:szCs w:val="20"/>
          <w:lang w:eastAsia="pl-PL"/>
        </w:rPr>
        <w:t xml:space="preserve"> systemów operacyjnych, za pośrednictwem systemu analizy ryzyka ZISAR.</w:t>
      </w:r>
    </w:p>
    <w:p w14:paraId="5F06AAB3" w14:textId="665CBE56"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System awizacyjny zapewni integrację m.in.</w:t>
      </w:r>
      <w:r w:rsidR="00124A21">
        <w:rPr>
          <w:rFonts w:ascii="Arial" w:hAnsi="Arial" w:cs="Arial"/>
          <w:sz w:val="20"/>
          <w:szCs w:val="20"/>
          <w:lang w:eastAsia="pl-PL"/>
        </w:rPr>
        <w:t xml:space="preserve"> z </w:t>
      </w:r>
      <w:r w:rsidRPr="004C6CC5">
        <w:rPr>
          <w:rFonts w:ascii="Arial" w:hAnsi="Arial" w:cs="Arial"/>
          <w:sz w:val="20"/>
          <w:szCs w:val="20"/>
          <w:lang w:eastAsia="pl-PL"/>
        </w:rPr>
        <w:t>systemami terminalowymi operatorów</w:t>
      </w:r>
      <w:r w:rsidR="004C6CC5">
        <w:rPr>
          <w:rFonts w:ascii="Arial" w:hAnsi="Arial" w:cs="Arial"/>
          <w:sz w:val="20"/>
          <w:szCs w:val="20"/>
          <w:lang w:eastAsia="pl-PL"/>
        </w:rPr>
        <w:t xml:space="preserve"> w </w:t>
      </w:r>
      <w:r w:rsidRPr="004C6CC5">
        <w:rPr>
          <w:rFonts w:ascii="Arial" w:hAnsi="Arial" w:cs="Arial"/>
          <w:sz w:val="20"/>
          <w:szCs w:val="20"/>
          <w:lang w:eastAsia="pl-PL"/>
        </w:rPr>
        <w:t>portach morskich. System będzie wdrożony do końca 2020 r.</w:t>
      </w:r>
    </w:p>
    <w:p w14:paraId="1DCF6BA6" w14:textId="56F8FC80" w:rsidR="008339C1" w:rsidRPr="000F468A" w:rsidRDefault="008339C1" w:rsidP="003C6ECA">
      <w:pPr>
        <w:pStyle w:val="Akapitzlist"/>
        <w:numPr>
          <w:ilvl w:val="0"/>
          <w:numId w:val="29"/>
        </w:numPr>
        <w:spacing w:after="120" w:line="276" w:lineRule="auto"/>
        <w:jc w:val="both"/>
        <w:rPr>
          <w:rFonts w:ascii="Arial" w:hAnsi="Arial" w:cs="Arial"/>
          <w:sz w:val="20"/>
          <w:szCs w:val="20"/>
          <w:lang w:eastAsia="pl-PL"/>
        </w:rPr>
      </w:pPr>
      <w:r w:rsidRPr="000F468A">
        <w:rPr>
          <w:rFonts w:ascii="Arial" w:hAnsi="Arial" w:cs="Arial"/>
          <w:b/>
          <w:sz w:val="20"/>
          <w:szCs w:val="20"/>
          <w:lang w:eastAsia="pl-PL"/>
        </w:rPr>
        <w:t>System AWIPRO (Awizacja Prototyp)</w:t>
      </w:r>
      <w:r w:rsidR="005532C1" w:rsidRPr="000F468A">
        <w:rPr>
          <w:rFonts w:ascii="Arial" w:hAnsi="Arial" w:cs="Arial"/>
          <w:b/>
          <w:sz w:val="20"/>
          <w:szCs w:val="20"/>
          <w:lang w:eastAsia="pl-PL"/>
        </w:rPr>
        <w:t>.</w:t>
      </w:r>
    </w:p>
    <w:p w14:paraId="396171E2" w14:textId="0EFEE075"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System wdrożony został</w:t>
      </w:r>
      <w:r w:rsidR="004C6CC5">
        <w:rPr>
          <w:rFonts w:ascii="Arial" w:hAnsi="Arial" w:cs="Arial"/>
          <w:sz w:val="20"/>
          <w:szCs w:val="20"/>
          <w:lang w:eastAsia="pl-PL"/>
        </w:rPr>
        <w:t xml:space="preserve"> w </w:t>
      </w:r>
      <w:r w:rsidRPr="004C6CC5">
        <w:rPr>
          <w:rFonts w:ascii="Arial" w:hAnsi="Arial" w:cs="Arial"/>
          <w:sz w:val="20"/>
          <w:szCs w:val="20"/>
          <w:lang w:eastAsia="pl-PL"/>
        </w:rPr>
        <w:t>maju 2018</w:t>
      </w:r>
      <w:r w:rsidR="00065836" w:rsidRPr="004C6CC5">
        <w:rPr>
          <w:rFonts w:ascii="Arial" w:hAnsi="Arial" w:cs="Arial"/>
          <w:sz w:val="20"/>
          <w:szCs w:val="20"/>
          <w:lang w:eastAsia="pl-PL"/>
        </w:rPr>
        <w:t xml:space="preserve"> r.</w:t>
      </w:r>
      <w:r w:rsidR="004C6CC5">
        <w:rPr>
          <w:rFonts w:ascii="Arial" w:hAnsi="Arial" w:cs="Arial"/>
          <w:sz w:val="20"/>
          <w:szCs w:val="20"/>
          <w:lang w:eastAsia="pl-PL"/>
        </w:rPr>
        <w:t xml:space="preserve"> i </w:t>
      </w:r>
      <w:r w:rsidRPr="004C6CC5">
        <w:rPr>
          <w:rFonts w:ascii="Arial" w:hAnsi="Arial" w:cs="Arial"/>
          <w:sz w:val="20"/>
          <w:szCs w:val="20"/>
          <w:lang w:eastAsia="pl-PL"/>
        </w:rPr>
        <w:t>rozwijany był</w:t>
      </w:r>
      <w:r w:rsidR="004C6CC5">
        <w:rPr>
          <w:rFonts w:ascii="Arial" w:hAnsi="Arial" w:cs="Arial"/>
          <w:sz w:val="20"/>
          <w:szCs w:val="20"/>
          <w:lang w:eastAsia="pl-PL"/>
        </w:rPr>
        <w:t xml:space="preserve"> w </w:t>
      </w:r>
      <w:r w:rsidRPr="004C6CC5">
        <w:rPr>
          <w:rFonts w:ascii="Arial" w:hAnsi="Arial" w:cs="Arial"/>
          <w:sz w:val="20"/>
          <w:szCs w:val="20"/>
          <w:lang w:eastAsia="pl-PL"/>
        </w:rPr>
        <w:t>2019</w:t>
      </w:r>
      <w:r w:rsidR="009D01B9" w:rsidRPr="004C6CC5">
        <w:rPr>
          <w:rFonts w:ascii="Arial" w:hAnsi="Arial" w:cs="Arial"/>
          <w:sz w:val="20"/>
          <w:szCs w:val="20"/>
          <w:lang w:eastAsia="pl-PL"/>
        </w:rPr>
        <w:t xml:space="preserve"> r. </w:t>
      </w:r>
      <w:r w:rsidRPr="004C6CC5">
        <w:rPr>
          <w:rFonts w:ascii="Arial" w:hAnsi="Arial" w:cs="Arial"/>
          <w:sz w:val="20"/>
          <w:szCs w:val="20"/>
          <w:lang w:eastAsia="pl-PL"/>
        </w:rPr>
        <w:t>Podstawowym przeznaczeniem systemu AWIPRO jest pozyskanie oraz przetwarzanie danych awizacyjnych wejść/wyjść statków gromadzonych przez Administrację Morską</w:t>
      </w:r>
      <w:r w:rsidR="004C6CC5">
        <w:rPr>
          <w:rFonts w:ascii="Arial" w:hAnsi="Arial" w:cs="Arial"/>
          <w:sz w:val="20"/>
          <w:szCs w:val="20"/>
          <w:lang w:eastAsia="pl-PL"/>
        </w:rPr>
        <w:t xml:space="preserve"> w </w:t>
      </w:r>
      <w:r w:rsidRPr="004C6CC5">
        <w:rPr>
          <w:rFonts w:ascii="Arial" w:hAnsi="Arial" w:cs="Arial"/>
          <w:sz w:val="20"/>
          <w:szCs w:val="20"/>
          <w:lang w:eastAsia="pl-PL"/>
        </w:rPr>
        <w:t>ramach Maritime National Single Window na potrzeby planowania</w:t>
      </w:r>
      <w:r w:rsidR="004C6CC5">
        <w:rPr>
          <w:rFonts w:ascii="Arial" w:hAnsi="Arial" w:cs="Arial"/>
          <w:sz w:val="20"/>
          <w:szCs w:val="20"/>
          <w:lang w:eastAsia="pl-PL"/>
        </w:rPr>
        <w:t xml:space="preserve"> i </w:t>
      </w:r>
      <w:r w:rsidRPr="004C6CC5">
        <w:rPr>
          <w:rFonts w:ascii="Arial" w:hAnsi="Arial" w:cs="Arial"/>
          <w:sz w:val="20"/>
          <w:szCs w:val="20"/>
          <w:lang w:eastAsia="pl-PL"/>
        </w:rPr>
        <w:t>realizacji kontroli jednostek pływających przez organy Krajowej Administracji Skarbowej. System informatyczny AWIPRO spełnia jednocześnie funkcję prototypu dla projektowanego systemu awizacyjnego SATOS. Dzięki Systemowi właściwe jednostki Krajowej Administracji Skarbowej uzyskały dostęp do danych sprawozdawczych dotyczących wejść</w:t>
      </w:r>
      <w:r w:rsidR="004C6CC5">
        <w:rPr>
          <w:rFonts w:ascii="Arial" w:hAnsi="Arial" w:cs="Arial"/>
          <w:sz w:val="20"/>
          <w:szCs w:val="20"/>
          <w:lang w:eastAsia="pl-PL"/>
        </w:rPr>
        <w:t xml:space="preserve"> i </w:t>
      </w:r>
      <w:r w:rsidRPr="004C6CC5">
        <w:rPr>
          <w:rFonts w:ascii="Arial" w:hAnsi="Arial" w:cs="Arial"/>
          <w:sz w:val="20"/>
          <w:szCs w:val="20"/>
          <w:lang w:eastAsia="pl-PL"/>
        </w:rPr>
        <w:t>wyjść statków, gromadzonych przez Administrację Morską,</w:t>
      </w:r>
      <w:r w:rsidR="004C6CC5">
        <w:rPr>
          <w:rFonts w:ascii="Arial" w:hAnsi="Arial" w:cs="Arial"/>
          <w:sz w:val="20"/>
          <w:szCs w:val="20"/>
          <w:lang w:eastAsia="pl-PL"/>
        </w:rPr>
        <w:t xml:space="preserve"> w </w:t>
      </w:r>
      <w:r w:rsidRPr="004C6CC5">
        <w:rPr>
          <w:rFonts w:ascii="Arial" w:hAnsi="Arial" w:cs="Arial"/>
          <w:sz w:val="20"/>
          <w:szCs w:val="20"/>
          <w:lang w:eastAsia="pl-PL"/>
        </w:rPr>
        <w:t xml:space="preserve">ramach własnego zasobu. Jednocześnie zapewniło to możliwość swobodnego przetwarzania tego zasobu na potrzeby typowania statków do kontroli oraz gromadzenie informacji </w:t>
      </w:r>
      <w:r w:rsidR="00124A21">
        <w:rPr>
          <w:rFonts w:ascii="Arial" w:hAnsi="Arial" w:cs="Arial"/>
          <w:sz w:val="20"/>
          <w:szCs w:val="20"/>
          <w:lang w:eastAsia="pl-PL"/>
        </w:rPr>
        <w:br/>
      </w:r>
      <w:r w:rsidRPr="004C6CC5">
        <w:rPr>
          <w:rFonts w:ascii="Arial" w:hAnsi="Arial" w:cs="Arial"/>
          <w:sz w:val="20"/>
          <w:szCs w:val="20"/>
          <w:lang w:eastAsia="pl-PL"/>
        </w:rPr>
        <w:t>o czynnościach kontrolnych. Proces typowania jest wspierany predefiniowanymi mechanizmami analizy ryzyka.</w:t>
      </w:r>
    </w:p>
    <w:p w14:paraId="6A5AB5E1" w14:textId="44EDB5AE" w:rsidR="008339C1" w:rsidRPr="00221808" w:rsidRDefault="008339C1" w:rsidP="00221808">
      <w:pPr>
        <w:pStyle w:val="Nagwek2"/>
        <w:spacing w:before="120" w:after="120"/>
        <w:jc w:val="both"/>
        <w:rPr>
          <w:rFonts w:ascii="Arial" w:hAnsi="Arial" w:cs="Arial"/>
          <w:b/>
          <w:color w:val="auto"/>
          <w:sz w:val="20"/>
          <w:szCs w:val="20"/>
        </w:rPr>
      </w:pPr>
      <w:bookmarkStart w:id="21" w:name="_Toc72745038"/>
      <w:r w:rsidRPr="00221808">
        <w:rPr>
          <w:rFonts w:ascii="Arial" w:hAnsi="Arial" w:cs="Arial"/>
          <w:b/>
          <w:color w:val="auto"/>
          <w:sz w:val="20"/>
          <w:szCs w:val="20"/>
        </w:rPr>
        <w:lastRenderedPageBreak/>
        <w:t>Uczestnictwo Krajowej Administracji Skarbowej</w:t>
      </w:r>
      <w:r w:rsidR="004C6CC5" w:rsidRPr="00221808">
        <w:rPr>
          <w:rFonts w:ascii="Arial" w:hAnsi="Arial" w:cs="Arial"/>
          <w:b/>
          <w:color w:val="auto"/>
          <w:sz w:val="20"/>
          <w:szCs w:val="20"/>
        </w:rPr>
        <w:t xml:space="preserve"> w </w:t>
      </w:r>
      <w:r w:rsidRPr="00221808">
        <w:rPr>
          <w:rFonts w:ascii="Arial" w:hAnsi="Arial" w:cs="Arial"/>
          <w:b/>
          <w:color w:val="auto"/>
          <w:sz w:val="20"/>
          <w:szCs w:val="20"/>
        </w:rPr>
        <w:t>pracach międzynarodowych grup roboczych</w:t>
      </w:r>
      <w:r w:rsidR="004C6CC5" w:rsidRPr="00221808">
        <w:rPr>
          <w:rFonts w:ascii="Arial" w:hAnsi="Arial" w:cs="Arial"/>
          <w:b/>
          <w:color w:val="auto"/>
          <w:sz w:val="20"/>
          <w:szCs w:val="20"/>
        </w:rPr>
        <w:t xml:space="preserve"> i </w:t>
      </w:r>
      <w:r w:rsidRPr="00221808">
        <w:rPr>
          <w:rFonts w:ascii="Arial" w:hAnsi="Arial" w:cs="Arial"/>
          <w:b/>
          <w:color w:val="auto"/>
          <w:sz w:val="20"/>
          <w:szCs w:val="20"/>
        </w:rPr>
        <w:t>projektach UE.</w:t>
      </w:r>
      <w:bookmarkEnd w:id="21"/>
    </w:p>
    <w:p w14:paraId="35005D38" w14:textId="08BF4810"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Służba Celno-Skarbowa</w:t>
      </w:r>
      <w:r w:rsidR="004C6CC5">
        <w:rPr>
          <w:rFonts w:ascii="Arial" w:hAnsi="Arial" w:cs="Arial"/>
          <w:sz w:val="20"/>
          <w:szCs w:val="20"/>
          <w:lang w:eastAsia="pl-PL"/>
        </w:rPr>
        <w:t xml:space="preserve"> w </w:t>
      </w:r>
      <w:r w:rsidRPr="004C6CC5">
        <w:rPr>
          <w:rFonts w:ascii="Arial" w:hAnsi="Arial" w:cs="Arial"/>
          <w:sz w:val="20"/>
          <w:szCs w:val="20"/>
          <w:lang w:eastAsia="pl-PL"/>
        </w:rPr>
        <w:t>portach morskich jest istotnym elementem systemu ochrony granicy zewnętrznej UE. Odgrywa ważną rolę</w:t>
      </w:r>
      <w:r w:rsidR="004C6CC5">
        <w:rPr>
          <w:rFonts w:ascii="Arial" w:hAnsi="Arial" w:cs="Arial"/>
          <w:sz w:val="20"/>
          <w:szCs w:val="20"/>
          <w:lang w:eastAsia="pl-PL"/>
        </w:rPr>
        <w:t xml:space="preserve"> w </w:t>
      </w:r>
      <w:r w:rsidRPr="004C6CC5">
        <w:rPr>
          <w:rFonts w:ascii="Arial" w:hAnsi="Arial" w:cs="Arial"/>
          <w:sz w:val="20"/>
          <w:szCs w:val="20"/>
          <w:lang w:eastAsia="pl-PL"/>
        </w:rPr>
        <w:t>monitorowaniu</w:t>
      </w:r>
      <w:r w:rsidR="004C6CC5">
        <w:rPr>
          <w:rFonts w:ascii="Arial" w:hAnsi="Arial" w:cs="Arial"/>
          <w:sz w:val="20"/>
          <w:szCs w:val="20"/>
          <w:lang w:eastAsia="pl-PL"/>
        </w:rPr>
        <w:t xml:space="preserve"> i </w:t>
      </w:r>
      <w:r w:rsidRPr="004C6CC5">
        <w:rPr>
          <w:rFonts w:ascii="Arial" w:hAnsi="Arial" w:cs="Arial"/>
          <w:sz w:val="20"/>
          <w:szCs w:val="20"/>
          <w:lang w:eastAsia="pl-PL"/>
        </w:rPr>
        <w:t>zarządzaniu wymianą towarową oraz</w:t>
      </w:r>
      <w:r w:rsidR="004C6CC5">
        <w:rPr>
          <w:rFonts w:ascii="Arial" w:hAnsi="Arial" w:cs="Arial"/>
          <w:sz w:val="20"/>
          <w:szCs w:val="20"/>
          <w:lang w:eastAsia="pl-PL"/>
        </w:rPr>
        <w:t xml:space="preserve"> w </w:t>
      </w:r>
      <w:r w:rsidRPr="004C6CC5">
        <w:rPr>
          <w:rFonts w:ascii="Arial" w:hAnsi="Arial" w:cs="Arial"/>
          <w:sz w:val="20"/>
          <w:szCs w:val="20"/>
          <w:lang w:eastAsia="pl-PL"/>
        </w:rPr>
        <w:t>procesie zapewnienia bezpieczeństwa łańcucha dostaw. Współpraca</w:t>
      </w:r>
      <w:r w:rsidR="004C6CC5">
        <w:rPr>
          <w:rFonts w:ascii="Arial" w:hAnsi="Arial" w:cs="Arial"/>
          <w:sz w:val="20"/>
          <w:szCs w:val="20"/>
          <w:lang w:eastAsia="pl-PL"/>
        </w:rPr>
        <w:t xml:space="preserve"> w </w:t>
      </w:r>
      <w:r w:rsidRPr="004C6CC5">
        <w:rPr>
          <w:rFonts w:ascii="Arial" w:hAnsi="Arial" w:cs="Arial"/>
          <w:sz w:val="20"/>
          <w:szCs w:val="20"/>
          <w:lang w:eastAsia="pl-PL"/>
        </w:rPr>
        <w:t>skali międzynarodowej, rozwijana</w:t>
      </w:r>
      <w:r w:rsidR="004C6CC5">
        <w:rPr>
          <w:rFonts w:ascii="Arial" w:hAnsi="Arial" w:cs="Arial"/>
          <w:sz w:val="20"/>
          <w:szCs w:val="20"/>
          <w:lang w:eastAsia="pl-PL"/>
        </w:rPr>
        <w:t xml:space="preserve"> i </w:t>
      </w:r>
      <w:r w:rsidRPr="004C6CC5">
        <w:rPr>
          <w:rFonts w:ascii="Arial" w:hAnsi="Arial" w:cs="Arial"/>
          <w:sz w:val="20"/>
          <w:szCs w:val="20"/>
          <w:lang w:eastAsia="pl-PL"/>
        </w:rPr>
        <w:t>realizowana</w:t>
      </w:r>
      <w:r w:rsidR="004C6CC5">
        <w:rPr>
          <w:rFonts w:ascii="Arial" w:hAnsi="Arial" w:cs="Arial"/>
          <w:sz w:val="20"/>
          <w:szCs w:val="20"/>
          <w:lang w:eastAsia="pl-PL"/>
        </w:rPr>
        <w:t xml:space="preserve"> w </w:t>
      </w:r>
      <w:r w:rsidRPr="004C6CC5">
        <w:rPr>
          <w:rFonts w:ascii="Arial" w:hAnsi="Arial" w:cs="Arial"/>
          <w:sz w:val="20"/>
          <w:szCs w:val="20"/>
          <w:lang w:eastAsia="pl-PL"/>
        </w:rPr>
        <w:t>ramach grup funkcjonujących pomiędzy administracjami celnymi krajów UE a operatorami portowymi ułatwia legalny obrót towarowy. Dobra współpraca przedsiębiorców</w:t>
      </w:r>
      <w:r w:rsidR="004C6CC5">
        <w:rPr>
          <w:rFonts w:ascii="Arial" w:hAnsi="Arial" w:cs="Arial"/>
          <w:sz w:val="20"/>
          <w:szCs w:val="20"/>
          <w:lang w:eastAsia="pl-PL"/>
        </w:rPr>
        <w:t xml:space="preserve"> z </w:t>
      </w:r>
      <w:r w:rsidRPr="004C6CC5">
        <w:rPr>
          <w:rFonts w:ascii="Arial" w:hAnsi="Arial" w:cs="Arial"/>
          <w:sz w:val="20"/>
          <w:szCs w:val="20"/>
          <w:lang w:eastAsia="pl-PL"/>
        </w:rPr>
        <w:t>administracjami celnymi powoduje, że relatywnie wzrasta szybkość obsługi przez funkcjonariuszy poprzez zmniejszenie liczby kontroli. Ułatwia to przedsiębiorcom współpracującym</w:t>
      </w:r>
      <w:r w:rsidR="004C6CC5">
        <w:rPr>
          <w:rFonts w:ascii="Arial" w:hAnsi="Arial" w:cs="Arial"/>
          <w:sz w:val="20"/>
          <w:szCs w:val="20"/>
          <w:lang w:eastAsia="pl-PL"/>
        </w:rPr>
        <w:t xml:space="preserve"> z </w:t>
      </w:r>
      <w:r w:rsidRPr="004C6CC5">
        <w:rPr>
          <w:rFonts w:ascii="Arial" w:hAnsi="Arial" w:cs="Arial"/>
          <w:sz w:val="20"/>
          <w:szCs w:val="20"/>
          <w:lang w:eastAsia="pl-PL"/>
        </w:rPr>
        <w:t>operatorami skuteczne konkurowanie na wspólnym rynku. Funkcjonariusze Krajowej Administracji Skarbowej, analogicznie jak</w:t>
      </w:r>
      <w:r w:rsidR="004C6CC5">
        <w:rPr>
          <w:rFonts w:ascii="Arial" w:hAnsi="Arial" w:cs="Arial"/>
          <w:sz w:val="20"/>
          <w:szCs w:val="20"/>
          <w:lang w:eastAsia="pl-PL"/>
        </w:rPr>
        <w:t xml:space="preserve"> w </w:t>
      </w:r>
      <w:r w:rsidRPr="004C6CC5">
        <w:rPr>
          <w:rFonts w:ascii="Arial" w:hAnsi="Arial" w:cs="Arial"/>
          <w:sz w:val="20"/>
          <w:szCs w:val="20"/>
          <w:lang w:eastAsia="pl-PL"/>
        </w:rPr>
        <w:t>latach ubiegłych, brali również udział</w:t>
      </w:r>
      <w:r w:rsidR="004C6CC5">
        <w:rPr>
          <w:rFonts w:ascii="Arial" w:hAnsi="Arial" w:cs="Arial"/>
          <w:sz w:val="20"/>
          <w:szCs w:val="20"/>
          <w:lang w:eastAsia="pl-PL"/>
        </w:rPr>
        <w:t xml:space="preserve"> w </w:t>
      </w:r>
      <w:r w:rsidRPr="004C6CC5">
        <w:rPr>
          <w:rFonts w:ascii="Arial" w:hAnsi="Arial" w:cs="Arial"/>
          <w:sz w:val="20"/>
          <w:szCs w:val="20"/>
          <w:lang w:eastAsia="pl-PL"/>
        </w:rPr>
        <w:t>wielu projektach międzynarodowych:</w:t>
      </w:r>
    </w:p>
    <w:p w14:paraId="6A04F712" w14:textId="5A09E4BD"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b/>
          <w:bCs/>
          <w:sz w:val="20"/>
          <w:szCs w:val="20"/>
          <w:lang w:eastAsia="pl-PL"/>
        </w:rPr>
        <w:t xml:space="preserve">SSTL </w:t>
      </w:r>
      <w:r w:rsidR="005200BE">
        <w:rPr>
          <w:rFonts w:ascii="Arial" w:hAnsi="Arial" w:cs="Arial"/>
          <w:sz w:val="20"/>
          <w:szCs w:val="20"/>
          <w:lang w:eastAsia="pl-PL"/>
        </w:rPr>
        <w:t>-</w:t>
      </w:r>
      <w:r w:rsidRPr="004C6CC5">
        <w:rPr>
          <w:rFonts w:ascii="Arial" w:hAnsi="Arial" w:cs="Arial"/>
          <w:sz w:val="20"/>
          <w:szCs w:val="20"/>
          <w:lang w:eastAsia="pl-PL"/>
        </w:rPr>
        <w:t xml:space="preserve"> KAS aktywnie uczestniczy</w:t>
      </w:r>
      <w:r w:rsidR="004C6CC5">
        <w:rPr>
          <w:rFonts w:ascii="Arial" w:hAnsi="Arial" w:cs="Arial"/>
          <w:sz w:val="20"/>
          <w:szCs w:val="20"/>
          <w:lang w:eastAsia="pl-PL"/>
        </w:rPr>
        <w:t xml:space="preserve"> w </w:t>
      </w:r>
      <w:r w:rsidRPr="004C6CC5">
        <w:rPr>
          <w:rFonts w:ascii="Arial" w:hAnsi="Arial" w:cs="Arial"/>
          <w:sz w:val="20"/>
          <w:szCs w:val="20"/>
          <w:lang w:eastAsia="pl-PL"/>
        </w:rPr>
        <w:t>projekcie SSTL (Smart and Secure Trade Lanes) mającym na celu wypracowanie standardów kontroli celnej ułatwiających wymianę handlową</w:t>
      </w:r>
      <w:r w:rsidR="00283F33">
        <w:rPr>
          <w:rFonts w:ascii="Arial" w:hAnsi="Arial" w:cs="Arial"/>
          <w:sz w:val="20"/>
          <w:szCs w:val="20"/>
          <w:lang w:eastAsia="pl-PL"/>
        </w:rPr>
        <w:t xml:space="preserve"> w </w:t>
      </w:r>
      <w:r w:rsidRPr="004C6CC5">
        <w:rPr>
          <w:rFonts w:ascii="Arial" w:hAnsi="Arial" w:cs="Arial"/>
          <w:sz w:val="20"/>
          <w:szCs w:val="20"/>
          <w:lang w:eastAsia="pl-PL"/>
        </w:rPr>
        <w:t xml:space="preserve">morskim </w:t>
      </w:r>
      <w:r w:rsidR="003E19A2">
        <w:rPr>
          <w:rFonts w:ascii="Arial" w:hAnsi="Arial" w:cs="Arial"/>
          <w:sz w:val="20"/>
          <w:szCs w:val="20"/>
          <w:lang w:eastAsia="pl-PL"/>
        </w:rPr>
        <w:t>obrocie towarowym pomiędzy UE</w:t>
      </w:r>
      <w:r w:rsidR="005B35AF">
        <w:rPr>
          <w:rFonts w:ascii="Arial" w:hAnsi="Arial" w:cs="Arial"/>
          <w:sz w:val="20"/>
          <w:szCs w:val="20"/>
          <w:lang w:eastAsia="pl-PL"/>
        </w:rPr>
        <w:t xml:space="preserve"> i </w:t>
      </w:r>
      <w:r w:rsidRPr="004C6CC5">
        <w:rPr>
          <w:rFonts w:ascii="Arial" w:hAnsi="Arial" w:cs="Arial"/>
          <w:sz w:val="20"/>
          <w:szCs w:val="20"/>
          <w:lang w:eastAsia="pl-PL"/>
        </w:rPr>
        <w:t>Chinami.</w:t>
      </w:r>
      <w:r w:rsidR="003E19A2">
        <w:rPr>
          <w:rFonts w:ascii="Arial" w:hAnsi="Arial" w:cs="Arial"/>
          <w:sz w:val="20"/>
          <w:szCs w:val="20"/>
          <w:lang w:eastAsia="pl-PL"/>
        </w:rPr>
        <w:t xml:space="preserve"> W</w:t>
      </w:r>
      <w:r w:rsidR="004C6CC5">
        <w:rPr>
          <w:rFonts w:ascii="Arial" w:hAnsi="Arial" w:cs="Arial"/>
          <w:sz w:val="20"/>
          <w:szCs w:val="20"/>
          <w:lang w:eastAsia="pl-PL"/>
        </w:rPr>
        <w:t> </w:t>
      </w:r>
      <w:r w:rsidRPr="004C6CC5">
        <w:rPr>
          <w:rFonts w:ascii="Arial" w:hAnsi="Arial" w:cs="Arial"/>
          <w:sz w:val="20"/>
          <w:szCs w:val="20"/>
          <w:lang w:eastAsia="pl-PL"/>
        </w:rPr>
        <w:t>projekcie od 2008</w:t>
      </w:r>
      <w:r w:rsidR="009D01B9" w:rsidRPr="004C6CC5">
        <w:rPr>
          <w:rFonts w:ascii="Arial" w:hAnsi="Arial" w:cs="Arial"/>
          <w:sz w:val="20"/>
          <w:szCs w:val="20"/>
          <w:lang w:eastAsia="pl-PL"/>
        </w:rPr>
        <w:t xml:space="preserve"> r. </w:t>
      </w:r>
      <w:r w:rsidR="00283F33">
        <w:rPr>
          <w:rFonts w:ascii="Arial" w:hAnsi="Arial" w:cs="Arial"/>
          <w:sz w:val="20"/>
          <w:szCs w:val="20"/>
          <w:lang w:eastAsia="pl-PL"/>
        </w:rPr>
        <w:t>uczestniczy P</w:t>
      </w:r>
      <w:r w:rsidRPr="004C6CC5">
        <w:rPr>
          <w:rFonts w:ascii="Arial" w:hAnsi="Arial" w:cs="Arial"/>
          <w:sz w:val="20"/>
          <w:szCs w:val="20"/>
          <w:lang w:eastAsia="pl-PL"/>
        </w:rPr>
        <w:t>ort</w:t>
      </w:r>
      <w:r w:rsidR="00283F33">
        <w:rPr>
          <w:rFonts w:ascii="Arial" w:hAnsi="Arial" w:cs="Arial"/>
          <w:sz w:val="20"/>
          <w:szCs w:val="20"/>
          <w:lang w:eastAsia="pl-PL"/>
        </w:rPr>
        <w:t xml:space="preserve"> Gdańsk</w:t>
      </w:r>
      <w:r w:rsidRPr="004C6CC5">
        <w:rPr>
          <w:rFonts w:ascii="Arial" w:hAnsi="Arial" w:cs="Arial"/>
          <w:sz w:val="20"/>
          <w:szCs w:val="20"/>
          <w:lang w:eastAsia="pl-PL"/>
        </w:rPr>
        <w:t>. Działania</w:t>
      </w:r>
      <w:r w:rsidR="004C6CC5">
        <w:rPr>
          <w:rFonts w:ascii="Arial" w:hAnsi="Arial" w:cs="Arial"/>
          <w:sz w:val="20"/>
          <w:szCs w:val="20"/>
          <w:lang w:eastAsia="pl-PL"/>
        </w:rPr>
        <w:t xml:space="preserve"> w </w:t>
      </w:r>
      <w:r w:rsidRPr="004C6CC5">
        <w:rPr>
          <w:rFonts w:ascii="Arial" w:hAnsi="Arial" w:cs="Arial"/>
          <w:sz w:val="20"/>
          <w:szCs w:val="20"/>
          <w:lang w:eastAsia="pl-PL"/>
        </w:rPr>
        <w:t>ramach projektu dotyczą</w:t>
      </w:r>
      <w:r w:rsidR="004C6CC5">
        <w:rPr>
          <w:rFonts w:ascii="Arial" w:hAnsi="Arial" w:cs="Arial"/>
          <w:sz w:val="20"/>
          <w:szCs w:val="20"/>
          <w:lang w:eastAsia="pl-PL"/>
        </w:rPr>
        <w:t xml:space="preserve"> w </w:t>
      </w:r>
      <w:r w:rsidRPr="004C6CC5">
        <w:rPr>
          <w:rFonts w:ascii="Arial" w:hAnsi="Arial" w:cs="Arial"/>
          <w:sz w:val="20"/>
          <w:szCs w:val="20"/>
          <w:lang w:eastAsia="pl-PL"/>
        </w:rPr>
        <w:t>szczególności zapewnienia bezpiecznego łańcucha dostaw od miejsca załadunku do docelowego miejsca rozładunku, jak również skutecznego funkcjonowania uzgodnionych profili ryzyka.</w:t>
      </w:r>
      <w:r w:rsidR="003E19A2">
        <w:rPr>
          <w:rFonts w:ascii="Arial" w:hAnsi="Arial" w:cs="Arial"/>
          <w:sz w:val="20"/>
          <w:szCs w:val="20"/>
          <w:lang w:eastAsia="pl-PL"/>
        </w:rPr>
        <w:t xml:space="preserve"> W </w:t>
      </w:r>
      <w:r w:rsidRPr="004C6CC5">
        <w:rPr>
          <w:rFonts w:ascii="Arial" w:hAnsi="Arial" w:cs="Arial"/>
          <w:sz w:val="20"/>
          <w:szCs w:val="20"/>
          <w:lang w:eastAsia="pl-PL"/>
        </w:rPr>
        <w:t>ramach programu przy aktywnym uczestnictwie przedstawicieli Polski, trwały intensywne prace mające na celu zbudowanie nowej platformy wymiany informacji pomiędzy portami uczestniczącymi</w:t>
      </w:r>
      <w:r w:rsidR="004C6CC5">
        <w:rPr>
          <w:rFonts w:ascii="Arial" w:hAnsi="Arial" w:cs="Arial"/>
          <w:sz w:val="20"/>
          <w:szCs w:val="20"/>
          <w:lang w:eastAsia="pl-PL"/>
        </w:rPr>
        <w:t xml:space="preserve"> w </w:t>
      </w:r>
      <w:r w:rsidRPr="004C6CC5">
        <w:rPr>
          <w:rFonts w:ascii="Arial" w:hAnsi="Arial" w:cs="Arial"/>
          <w:sz w:val="20"/>
          <w:szCs w:val="20"/>
          <w:lang w:eastAsia="pl-PL"/>
        </w:rPr>
        <w:t>projekcie. Obecnie Pomorski Urząd Celno-Skarbowy</w:t>
      </w:r>
      <w:r w:rsidR="00BD37F5">
        <w:rPr>
          <w:rFonts w:ascii="Arial" w:hAnsi="Arial" w:cs="Arial"/>
          <w:sz w:val="20"/>
          <w:szCs w:val="20"/>
          <w:lang w:eastAsia="pl-PL"/>
        </w:rPr>
        <w:t xml:space="preserve"> w </w:t>
      </w:r>
      <w:r w:rsidRPr="004C6CC5">
        <w:rPr>
          <w:rFonts w:ascii="Arial" w:hAnsi="Arial" w:cs="Arial"/>
          <w:sz w:val="20"/>
          <w:szCs w:val="20"/>
          <w:lang w:eastAsia="pl-PL"/>
        </w:rPr>
        <w:t>Gdyni jest na etapie dokonywania uzgodnień</w:t>
      </w:r>
      <w:r w:rsidR="0016580A">
        <w:rPr>
          <w:rFonts w:ascii="Arial" w:hAnsi="Arial" w:cs="Arial"/>
          <w:sz w:val="20"/>
          <w:szCs w:val="20"/>
          <w:lang w:eastAsia="pl-PL"/>
        </w:rPr>
        <w:t xml:space="preserve"> z </w:t>
      </w:r>
      <w:r w:rsidRPr="004C6CC5">
        <w:rPr>
          <w:rFonts w:ascii="Arial" w:hAnsi="Arial" w:cs="Arial"/>
          <w:sz w:val="20"/>
          <w:szCs w:val="20"/>
          <w:lang w:eastAsia="pl-PL"/>
        </w:rPr>
        <w:t>kolejnymi podmiotami dokonującymi obrotu towarowego</w:t>
      </w:r>
      <w:r w:rsidR="004C6CC5">
        <w:rPr>
          <w:rFonts w:ascii="Arial" w:hAnsi="Arial" w:cs="Arial"/>
          <w:sz w:val="20"/>
          <w:szCs w:val="20"/>
          <w:lang w:eastAsia="pl-PL"/>
        </w:rPr>
        <w:t xml:space="preserve"> z </w:t>
      </w:r>
      <w:r w:rsidRPr="004C6CC5">
        <w:rPr>
          <w:rFonts w:ascii="Arial" w:hAnsi="Arial" w:cs="Arial"/>
          <w:sz w:val="20"/>
          <w:szCs w:val="20"/>
          <w:lang w:eastAsia="pl-PL"/>
        </w:rPr>
        <w:t>Chinami</w:t>
      </w:r>
      <w:r w:rsidR="004C6CC5">
        <w:rPr>
          <w:rFonts w:ascii="Arial" w:hAnsi="Arial" w:cs="Arial"/>
          <w:sz w:val="20"/>
          <w:szCs w:val="20"/>
          <w:lang w:eastAsia="pl-PL"/>
        </w:rPr>
        <w:t xml:space="preserve"> w </w:t>
      </w:r>
      <w:r w:rsidRPr="004C6CC5">
        <w:rPr>
          <w:rFonts w:ascii="Arial" w:hAnsi="Arial" w:cs="Arial"/>
          <w:sz w:val="20"/>
          <w:szCs w:val="20"/>
          <w:lang w:eastAsia="pl-PL"/>
        </w:rPr>
        <w:t xml:space="preserve">zakresie ich ewentualnego przystąpienia do projektu SSTL. </w:t>
      </w:r>
    </w:p>
    <w:p w14:paraId="5B87638D" w14:textId="3EE10230"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b/>
          <w:bCs/>
          <w:sz w:val="20"/>
          <w:szCs w:val="20"/>
          <w:lang w:eastAsia="pl-PL"/>
        </w:rPr>
        <w:t xml:space="preserve">MAR-Info Północ </w:t>
      </w:r>
      <w:r w:rsidR="005200BE">
        <w:rPr>
          <w:rFonts w:ascii="Arial" w:hAnsi="Arial" w:cs="Arial"/>
          <w:sz w:val="20"/>
          <w:szCs w:val="20"/>
          <w:lang w:eastAsia="pl-PL"/>
        </w:rPr>
        <w:t>-</w:t>
      </w:r>
      <w:r w:rsidRPr="004C6CC5">
        <w:rPr>
          <w:rFonts w:ascii="Arial" w:hAnsi="Arial" w:cs="Arial"/>
          <w:sz w:val="20"/>
          <w:szCs w:val="20"/>
          <w:lang w:eastAsia="pl-PL"/>
        </w:rPr>
        <w:t xml:space="preserve"> kontynuacja aktywnego uczestnictwa funkcjonariuszy KAS</w:t>
      </w:r>
      <w:r w:rsidR="004C6CC5">
        <w:rPr>
          <w:rFonts w:ascii="Arial" w:hAnsi="Arial" w:cs="Arial"/>
          <w:sz w:val="20"/>
          <w:szCs w:val="20"/>
          <w:lang w:eastAsia="pl-PL"/>
        </w:rPr>
        <w:t xml:space="preserve"> w </w:t>
      </w:r>
      <w:r w:rsidRPr="004C6CC5">
        <w:rPr>
          <w:rFonts w:ascii="Arial" w:hAnsi="Arial" w:cs="Arial"/>
          <w:sz w:val="20"/>
          <w:szCs w:val="20"/>
          <w:lang w:eastAsia="pl-PL"/>
        </w:rPr>
        <w:t>działaniach Grupy MAR-Info Północ</w:t>
      </w:r>
      <w:r w:rsidR="004C6CC5">
        <w:rPr>
          <w:rFonts w:ascii="Arial" w:hAnsi="Arial" w:cs="Arial"/>
          <w:sz w:val="20"/>
          <w:szCs w:val="20"/>
          <w:lang w:eastAsia="pl-PL"/>
        </w:rPr>
        <w:t xml:space="preserve"> w </w:t>
      </w:r>
      <w:r w:rsidRPr="004C6CC5">
        <w:rPr>
          <w:rFonts w:ascii="Arial" w:hAnsi="Arial" w:cs="Arial"/>
          <w:sz w:val="20"/>
          <w:szCs w:val="20"/>
          <w:lang w:eastAsia="pl-PL"/>
        </w:rPr>
        <w:t>ramach zapoczątkowanego</w:t>
      </w:r>
      <w:r w:rsidR="004C6CC5">
        <w:rPr>
          <w:rFonts w:ascii="Arial" w:hAnsi="Arial" w:cs="Arial"/>
          <w:sz w:val="20"/>
          <w:szCs w:val="20"/>
          <w:lang w:eastAsia="pl-PL"/>
        </w:rPr>
        <w:t xml:space="preserve"> w </w:t>
      </w:r>
      <w:r w:rsidRPr="004C6CC5">
        <w:rPr>
          <w:rFonts w:ascii="Arial" w:hAnsi="Arial" w:cs="Arial"/>
          <w:sz w:val="20"/>
          <w:szCs w:val="20"/>
          <w:lang w:eastAsia="pl-PL"/>
        </w:rPr>
        <w:t>1986</w:t>
      </w:r>
      <w:r w:rsidR="009D01B9" w:rsidRPr="004C6CC5">
        <w:rPr>
          <w:rFonts w:ascii="Arial" w:hAnsi="Arial" w:cs="Arial"/>
          <w:sz w:val="20"/>
          <w:szCs w:val="20"/>
          <w:lang w:eastAsia="pl-PL"/>
        </w:rPr>
        <w:t xml:space="preserve"> r. </w:t>
      </w:r>
      <w:r w:rsidRPr="004C6CC5">
        <w:rPr>
          <w:rFonts w:ascii="Arial" w:hAnsi="Arial" w:cs="Arial"/>
          <w:sz w:val="20"/>
          <w:szCs w:val="20"/>
          <w:lang w:eastAsia="pl-PL"/>
        </w:rPr>
        <w:t>systemu MAR-Info. System ten służy do przesyłania informacji pomiędzy administracjami celnymi krajów europejskich basenu północnego Atlantyku, Morza Północnego</w:t>
      </w:r>
      <w:r w:rsidR="004C6CC5">
        <w:rPr>
          <w:rFonts w:ascii="Arial" w:hAnsi="Arial" w:cs="Arial"/>
          <w:sz w:val="20"/>
          <w:szCs w:val="20"/>
          <w:lang w:eastAsia="pl-PL"/>
        </w:rPr>
        <w:t xml:space="preserve"> i </w:t>
      </w:r>
      <w:r w:rsidRPr="004C6CC5">
        <w:rPr>
          <w:rFonts w:ascii="Arial" w:hAnsi="Arial" w:cs="Arial"/>
          <w:sz w:val="20"/>
          <w:szCs w:val="20"/>
          <w:lang w:eastAsia="pl-PL"/>
        </w:rPr>
        <w:t>Bałtyku. Przesyłane</w:t>
      </w:r>
      <w:r w:rsidR="004C6CC5">
        <w:rPr>
          <w:rFonts w:ascii="Arial" w:hAnsi="Arial" w:cs="Arial"/>
          <w:sz w:val="20"/>
          <w:szCs w:val="20"/>
          <w:lang w:eastAsia="pl-PL"/>
        </w:rPr>
        <w:t xml:space="preserve"> w </w:t>
      </w:r>
      <w:r w:rsidRPr="004C6CC5">
        <w:rPr>
          <w:rFonts w:ascii="Arial" w:hAnsi="Arial" w:cs="Arial"/>
          <w:sz w:val="20"/>
          <w:szCs w:val="20"/>
          <w:lang w:eastAsia="pl-PL"/>
        </w:rPr>
        <w:t xml:space="preserve">ramach tego systemu informacje o ujawnieniach narkotyków, prekursorów, towarów wysokoakcyzowych oraz towarów naruszających przepisy </w:t>
      </w:r>
      <w:r w:rsidR="00283F33">
        <w:rPr>
          <w:rFonts w:ascii="Arial" w:hAnsi="Arial" w:cs="Arial"/>
          <w:sz w:val="20"/>
          <w:szCs w:val="20"/>
          <w:lang w:eastAsia="pl-PL"/>
        </w:rPr>
        <w:br/>
      </w:r>
      <w:r w:rsidRPr="004C6CC5">
        <w:rPr>
          <w:rFonts w:ascii="Arial" w:hAnsi="Arial" w:cs="Arial"/>
          <w:sz w:val="20"/>
          <w:szCs w:val="20"/>
          <w:lang w:eastAsia="pl-PL"/>
        </w:rPr>
        <w:t>o znakach towarowych</w:t>
      </w:r>
      <w:r w:rsidR="003E19A2">
        <w:rPr>
          <w:rFonts w:ascii="Arial" w:hAnsi="Arial" w:cs="Arial"/>
          <w:sz w:val="20"/>
          <w:szCs w:val="20"/>
          <w:lang w:eastAsia="pl-PL"/>
        </w:rPr>
        <w:t xml:space="preserve"> i własności intelektualnej</w:t>
      </w:r>
      <w:r w:rsidRPr="004C6CC5">
        <w:rPr>
          <w:rFonts w:ascii="Arial" w:hAnsi="Arial" w:cs="Arial"/>
          <w:sz w:val="20"/>
          <w:szCs w:val="20"/>
          <w:lang w:eastAsia="pl-PL"/>
        </w:rPr>
        <w:t xml:space="preserve"> transportowanych drogą morską, mają na celu zapobieganie naruszeniom przepisów celnych</w:t>
      </w:r>
      <w:r w:rsidR="004C6CC5">
        <w:rPr>
          <w:rFonts w:ascii="Arial" w:hAnsi="Arial" w:cs="Arial"/>
          <w:sz w:val="20"/>
          <w:szCs w:val="20"/>
          <w:lang w:eastAsia="pl-PL"/>
        </w:rPr>
        <w:t xml:space="preserve"> i </w:t>
      </w:r>
      <w:r w:rsidRPr="004C6CC5">
        <w:rPr>
          <w:rFonts w:ascii="Arial" w:hAnsi="Arial" w:cs="Arial"/>
          <w:sz w:val="20"/>
          <w:szCs w:val="20"/>
          <w:lang w:eastAsia="pl-PL"/>
        </w:rPr>
        <w:t xml:space="preserve">podatkowych oraz realizację działań operacyjnych na wyżej wymienionym obszarze. </w:t>
      </w:r>
    </w:p>
    <w:p w14:paraId="7402F548" w14:textId="48308BB5"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b/>
          <w:bCs/>
          <w:sz w:val="20"/>
          <w:szCs w:val="20"/>
          <w:lang w:eastAsia="pl-PL"/>
        </w:rPr>
        <w:t xml:space="preserve">RALFH - </w:t>
      </w:r>
      <w:r w:rsidRPr="004C6CC5">
        <w:rPr>
          <w:rFonts w:ascii="Arial" w:hAnsi="Arial" w:cs="Arial"/>
          <w:sz w:val="20"/>
          <w:szCs w:val="20"/>
          <w:lang w:eastAsia="pl-PL"/>
        </w:rPr>
        <w:t>kontynuacja uczestnictwa przedstawicieli KAS</w:t>
      </w:r>
      <w:r w:rsidR="004C6CC5">
        <w:rPr>
          <w:rFonts w:ascii="Arial" w:hAnsi="Arial" w:cs="Arial"/>
          <w:sz w:val="20"/>
          <w:szCs w:val="20"/>
          <w:lang w:eastAsia="pl-PL"/>
        </w:rPr>
        <w:t xml:space="preserve"> w </w:t>
      </w:r>
      <w:r w:rsidRPr="004C6CC5">
        <w:rPr>
          <w:rFonts w:ascii="Arial" w:hAnsi="Arial" w:cs="Arial"/>
          <w:sz w:val="20"/>
          <w:szCs w:val="20"/>
          <w:lang w:eastAsia="pl-PL"/>
        </w:rPr>
        <w:t>pracach Grupy Kontaktowej Portów Morskich RALFH. Podczas spotkań grupy formułuje się inicjatywy dotyczące dalszej harmonizacji obsługi celnej oraz ujednolicenia podejścia do analizy ryzyka</w:t>
      </w:r>
      <w:r w:rsidR="00887602">
        <w:rPr>
          <w:rFonts w:ascii="Arial" w:hAnsi="Arial" w:cs="Arial"/>
          <w:sz w:val="20"/>
          <w:szCs w:val="20"/>
          <w:lang w:eastAsia="pl-PL"/>
        </w:rPr>
        <w:t xml:space="preserve"> i </w:t>
      </w:r>
      <w:r w:rsidRPr="004C6CC5">
        <w:rPr>
          <w:rFonts w:ascii="Arial" w:hAnsi="Arial" w:cs="Arial"/>
          <w:sz w:val="20"/>
          <w:szCs w:val="20"/>
          <w:lang w:eastAsia="pl-PL"/>
        </w:rPr>
        <w:t>kontroli. Grupa realizuje m.</w:t>
      </w:r>
      <w:r w:rsidR="00035066">
        <w:rPr>
          <w:rFonts w:ascii="Arial" w:hAnsi="Arial" w:cs="Arial"/>
          <w:sz w:val="20"/>
          <w:szCs w:val="20"/>
          <w:lang w:eastAsia="pl-PL"/>
        </w:rPr>
        <w:t>in.</w:t>
      </w:r>
      <w:r w:rsidRPr="004C6CC5">
        <w:rPr>
          <w:rFonts w:ascii="Arial" w:hAnsi="Arial" w:cs="Arial"/>
          <w:sz w:val="20"/>
          <w:szCs w:val="20"/>
          <w:lang w:eastAsia="pl-PL"/>
        </w:rPr>
        <w:t xml:space="preserve"> projekt „RALFH Rummage” (wymiana doświadczeń</w:t>
      </w:r>
      <w:r w:rsidR="00887602">
        <w:rPr>
          <w:rFonts w:ascii="Arial" w:hAnsi="Arial" w:cs="Arial"/>
          <w:sz w:val="20"/>
          <w:szCs w:val="20"/>
          <w:lang w:eastAsia="pl-PL"/>
        </w:rPr>
        <w:t xml:space="preserve"> i </w:t>
      </w:r>
      <w:r w:rsidRPr="004C6CC5">
        <w:rPr>
          <w:rFonts w:ascii="Arial" w:hAnsi="Arial" w:cs="Arial"/>
          <w:sz w:val="20"/>
          <w:szCs w:val="20"/>
          <w:lang w:eastAsia="pl-PL"/>
        </w:rPr>
        <w:t>doskonalenie umiejętności funkcjonariuszy celnych zaangażowanych</w:t>
      </w:r>
      <w:r w:rsidR="004C6CC5">
        <w:rPr>
          <w:rFonts w:ascii="Arial" w:hAnsi="Arial" w:cs="Arial"/>
          <w:sz w:val="20"/>
          <w:szCs w:val="20"/>
          <w:lang w:eastAsia="pl-PL"/>
        </w:rPr>
        <w:t xml:space="preserve"> w </w:t>
      </w:r>
      <w:r w:rsidRPr="004C6CC5">
        <w:rPr>
          <w:rFonts w:ascii="Arial" w:hAnsi="Arial" w:cs="Arial"/>
          <w:sz w:val="20"/>
          <w:szCs w:val="20"/>
          <w:lang w:eastAsia="pl-PL"/>
        </w:rPr>
        <w:t>portach morskich RALFH</w:t>
      </w:r>
      <w:r w:rsidR="004C6CC5">
        <w:rPr>
          <w:rFonts w:ascii="Arial" w:hAnsi="Arial" w:cs="Arial"/>
          <w:sz w:val="20"/>
          <w:szCs w:val="20"/>
          <w:lang w:eastAsia="pl-PL"/>
        </w:rPr>
        <w:t xml:space="preserve"> w </w:t>
      </w:r>
      <w:r w:rsidRPr="004C6CC5">
        <w:rPr>
          <w:rFonts w:ascii="Arial" w:hAnsi="Arial" w:cs="Arial"/>
          <w:sz w:val="20"/>
          <w:szCs w:val="20"/>
          <w:lang w:eastAsia="pl-PL"/>
        </w:rPr>
        <w:t>rewizje</w:t>
      </w:r>
      <w:r w:rsidR="004C6CC5">
        <w:rPr>
          <w:rFonts w:ascii="Arial" w:hAnsi="Arial" w:cs="Arial"/>
          <w:sz w:val="20"/>
          <w:szCs w:val="20"/>
          <w:lang w:eastAsia="pl-PL"/>
        </w:rPr>
        <w:t xml:space="preserve"> i </w:t>
      </w:r>
      <w:r w:rsidRPr="004C6CC5">
        <w:rPr>
          <w:rFonts w:ascii="Arial" w:hAnsi="Arial" w:cs="Arial"/>
          <w:sz w:val="20"/>
          <w:szCs w:val="20"/>
          <w:lang w:eastAsia="pl-PL"/>
        </w:rPr>
        <w:t>przeszu</w:t>
      </w:r>
      <w:r w:rsidR="00035066">
        <w:rPr>
          <w:rFonts w:ascii="Arial" w:hAnsi="Arial" w:cs="Arial"/>
          <w:sz w:val="20"/>
          <w:szCs w:val="20"/>
          <w:lang w:eastAsia="pl-PL"/>
        </w:rPr>
        <w:t xml:space="preserve">kania jednostek pływających), a </w:t>
      </w:r>
      <w:r w:rsidRPr="004C6CC5">
        <w:rPr>
          <w:rFonts w:ascii="Arial" w:hAnsi="Arial" w:cs="Arial"/>
          <w:sz w:val="20"/>
          <w:szCs w:val="20"/>
          <w:lang w:eastAsia="pl-PL"/>
        </w:rPr>
        <w:t>także projekt „RALFH Scan Group Meeting” (wymiana doświadczeń</w:t>
      </w:r>
      <w:r w:rsidR="003E19A2">
        <w:rPr>
          <w:rFonts w:ascii="Arial" w:hAnsi="Arial" w:cs="Arial"/>
          <w:sz w:val="20"/>
          <w:szCs w:val="20"/>
          <w:lang w:eastAsia="pl-PL"/>
        </w:rPr>
        <w:t xml:space="preserve"> i </w:t>
      </w:r>
      <w:r w:rsidRPr="004C6CC5">
        <w:rPr>
          <w:rFonts w:ascii="Arial" w:hAnsi="Arial" w:cs="Arial"/>
          <w:sz w:val="20"/>
          <w:szCs w:val="20"/>
          <w:lang w:eastAsia="pl-PL"/>
        </w:rPr>
        <w:t>doskonalenie umiejętności funkcjonariuszy celnych odpowiedzialnych za obsługę skanerów działających</w:t>
      </w:r>
      <w:r w:rsidR="00887602">
        <w:rPr>
          <w:rFonts w:ascii="Arial" w:hAnsi="Arial" w:cs="Arial"/>
          <w:sz w:val="20"/>
          <w:szCs w:val="20"/>
          <w:lang w:eastAsia="pl-PL"/>
        </w:rPr>
        <w:t xml:space="preserve"> w </w:t>
      </w:r>
      <w:r w:rsidRPr="004C6CC5">
        <w:rPr>
          <w:rFonts w:ascii="Arial" w:hAnsi="Arial" w:cs="Arial"/>
          <w:sz w:val="20"/>
          <w:szCs w:val="20"/>
          <w:lang w:eastAsia="pl-PL"/>
        </w:rPr>
        <w:t>portach RALFH</w:t>
      </w:r>
      <w:r w:rsidR="004C6CC5">
        <w:rPr>
          <w:rFonts w:ascii="Arial" w:hAnsi="Arial" w:cs="Arial"/>
          <w:sz w:val="20"/>
          <w:szCs w:val="20"/>
          <w:lang w:eastAsia="pl-PL"/>
        </w:rPr>
        <w:t xml:space="preserve"> i </w:t>
      </w:r>
      <w:r w:rsidRPr="004C6CC5">
        <w:rPr>
          <w:rFonts w:ascii="Arial" w:hAnsi="Arial" w:cs="Arial"/>
          <w:sz w:val="20"/>
          <w:szCs w:val="20"/>
          <w:lang w:eastAsia="pl-PL"/>
        </w:rPr>
        <w:t>ODYSSUD - południowe porty UE oraz osób odpowiedzialnych za koordynację ich pracy).</w:t>
      </w:r>
    </w:p>
    <w:p w14:paraId="3088BBED" w14:textId="1F592C87" w:rsidR="008339C1" w:rsidRPr="00221808" w:rsidRDefault="008339C1" w:rsidP="00221808">
      <w:pPr>
        <w:pStyle w:val="Nagwek2"/>
        <w:spacing w:before="120" w:after="120"/>
        <w:jc w:val="both"/>
        <w:rPr>
          <w:rFonts w:ascii="Arial" w:hAnsi="Arial" w:cs="Arial"/>
          <w:b/>
          <w:color w:val="auto"/>
          <w:sz w:val="20"/>
          <w:szCs w:val="20"/>
        </w:rPr>
      </w:pPr>
      <w:bookmarkStart w:id="22" w:name="_Toc72745039"/>
      <w:r w:rsidRPr="00221808">
        <w:rPr>
          <w:rFonts w:ascii="Arial" w:hAnsi="Arial" w:cs="Arial"/>
          <w:b/>
          <w:color w:val="auto"/>
          <w:sz w:val="20"/>
          <w:szCs w:val="20"/>
        </w:rPr>
        <w:t>Działania Krajowej Administracji Skarbowej</w:t>
      </w:r>
      <w:r w:rsidR="004C6CC5" w:rsidRPr="00221808">
        <w:rPr>
          <w:rFonts w:ascii="Arial" w:hAnsi="Arial" w:cs="Arial"/>
          <w:b/>
          <w:color w:val="auto"/>
          <w:sz w:val="20"/>
          <w:szCs w:val="20"/>
        </w:rPr>
        <w:t xml:space="preserve"> w </w:t>
      </w:r>
      <w:r w:rsidRPr="00221808">
        <w:rPr>
          <w:rFonts w:ascii="Arial" w:hAnsi="Arial" w:cs="Arial"/>
          <w:b/>
          <w:color w:val="auto"/>
          <w:sz w:val="20"/>
          <w:szCs w:val="20"/>
        </w:rPr>
        <w:t>zakresie bezpieczeństwa granicy morskiej.</w:t>
      </w:r>
      <w:bookmarkEnd w:id="22"/>
    </w:p>
    <w:p w14:paraId="089E34D0" w14:textId="464A85CE" w:rsidR="008339C1" w:rsidRPr="004C6CC5" w:rsidRDefault="008339C1" w:rsidP="008D2321">
      <w:pPr>
        <w:spacing w:after="120" w:line="276" w:lineRule="auto"/>
        <w:jc w:val="both"/>
        <w:rPr>
          <w:rFonts w:ascii="Arial" w:hAnsi="Arial" w:cs="Arial"/>
          <w:sz w:val="20"/>
          <w:szCs w:val="20"/>
          <w:lang w:eastAsia="pl-PL"/>
        </w:rPr>
      </w:pPr>
      <w:r w:rsidRPr="004C6CC5">
        <w:rPr>
          <w:rFonts w:ascii="Arial" w:hAnsi="Arial" w:cs="Arial"/>
          <w:sz w:val="20"/>
          <w:szCs w:val="20"/>
          <w:lang w:eastAsia="pl-PL"/>
        </w:rPr>
        <w:t>Funkcjonariusze Krajowej Administracji Skarbowej wykonują działania związane</w:t>
      </w:r>
      <w:r w:rsidR="004C6CC5">
        <w:rPr>
          <w:rFonts w:ascii="Arial" w:hAnsi="Arial" w:cs="Arial"/>
          <w:sz w:val="20"/>
          <w:szCs w:val="20"/>
          <w:lang w:eastAsia="pl-PL"/>
        </w:rPr>
        <w:t xml:space="preserve"> z </w:t>
      </w:r>
      <w:r w:rsidR="003E19A2">
        <w:rPr>
          <w:rFonts w:ascii="Arial" w:hAnsi="Arial" w:cs="Arial"/>
          <w:sz w:val="20"/>
          <w:szCs w:val="20"/>
          <w:lang w:eastAsia="pl-PL"/>
        </w:rPr>
        <w:t>ochroną rynku UE</w:t>
      </w:r>
      <w:r w:rsidRPr="004C6CC5">
        <w:rPr>
          <w:rFonts w:ascii="Arial" w:hAnsi="Arial" w:cs="Arial"/>
          <w:sz w:val="20"/>
          <w:szCs w:val="20"/>
          <w:lang w:eastAsia="pl-PL"/>
        </w:rPr>
        <w:t xml:space="preserve"> na morskiej granicy państwowej wykorzystując</w:t>
      </w:r>
      <w:r w:rsidR="004C6CC5">
        <w:rPr>
          <w:rFonts w:ascii="Arial" w:hAnsi="Arial" w:cs="Arial"/>
          <w:sz w:val="20"/>
          <w:szCs w:val="20"/>
          <w:lang w:eastAsia="pl-PL"/>
        </w:rPr>
        <w:t xml:space="preserve"> w </w:t>
      </w:r>
      <w:r w:rsidRPr="004C6CC5">
        <w:rPr>
          <w:rFonts w:ascii="Arial" w:hAnsi="Arial" w:cs="Arial"/>
          <w:sz w:val="20"/>
          <w:szCs w:val="20"/>
          <w:lang w:eastAsia="pl-PL"/>
        </w:rPr>
        <w:t>codziennej pracy m.in. łodzie patrolowe.</w:t>
      </w:r>
      <w:r w:rsidR="003E19A2">
        <w:rPr>
          <w:rFonts w:ascii="Arial" w:hAnsi="Arial" w:cs="Arial"/>
          <w:sz w:val="20"/>
          <w:szCs w:val="20"/>
          <w:lang w:eastAsia="pl-PL"/>
        </w:rPr>
        <w:t xml:space="preserve"> W</w:t>
      </w:r>
      <w:r w:rsidR="004C6CC5">
        <w:rPr>
          <w:rFonts w:ascii="Arial" w:hAnsi="Arial" w:cs="Arial"/>
          <w:sz w:val="20"/>
          <w:szCs w:val="20"/>
          <w:lang w:eastAsia="pl-PL"/>
        </w:rPr>
        <w:t> </w:t>
      </w:r>
      <w:r w:rsidRPr="004C6CC5">
        <w:rPr>
          <w:rFonts w:ascii="Arial" w:hAnsi="Arial" w:cs="Arial"/>
          <w:sz w:val="20"/>
          <w:szCs w:val="20"/>
          <w:lang w:eastAsia="pl-PL"/>
        </w:rPr>
        <w:t>2019</w:t>
      </w:r>
      <w:r w:rsidR="009D01B9" w:rsidRPr="004C6CC5">
        <w:rPr>
          <w:rFonts w:ascii="Arial" w:hAnsi="Arial" w:cs="Arial"/>
          <w:sz w:val="20"/>
          <w:szCs w:val="20"/>
          <w:lang w:eastAsia="pl-PL"/>
        </w:rPr>
        <w:t xml:space="preserve"> r. </w:t>
      </w:r>
      <w:r w:rsidRPr="004C6CC5">
        <w:rPr>
          <w:rFonts w:ascii="Arial" w:hAnsi="Arial" w:cs="Arial"/>
          <w:sz w:val="20"/>
          <w:szCs w:val="20"/>
          <w:lang w:eastAsia="pl-PL"/>
        </w:rPr>
        <w:t>do floty jednostek pływających KAS dołączyły dwie 15 metrowe łodzie patrolowe zakupione ze środków</w:t>
      </w:r>
      <w:r w:rsidR="00001E42">
        <w:rPr>
          <w:rFonts w:ascii="Arial" w:hAnsi="Arial" w:cs="Arial"/>
          <w:sz w:val="20"/>
          <w:szCs w:val="20"/>
          <w:lang w:eastAsia="pl-PL"/>
        </w:rPr>
        <w:t xml:space="preserve"> </w:t>
      </w:r>
      <w:r w:rsidRPr="004C6CC5">
        <w:rPr>
          <w:rFonts w:ascii="Arial" w:hAnsi="Arial" w:cs="Arial"/>
          <w:sz w:val="20"/>
          <w:szCs w:val="20"/>
          <w:lang w:eastAsia="pl-PL"/>
        </w:rPr>
        <w:t>Funduszu Bezpieczeństwa Wewnętrznego</w:t>
      </w:r>
      <w:r w:rsidR="00001E42">
        <w:rPr>
          <w:rFonts w:ascii="Arial" w:hAnsi="Arial" w:cs="Arial"/>
          <w:sz w:val="20"/>
          <w:szCs w:val="20"/>
          <w:lang w:eastAsia="pl-PL"/>
        </w:rPr>
        <w:t xml:space="preserve"> w </w:t>
      </w:r>
      <w:r w:rsidRPr="004C6CC5">
        <w:rPr>
          <w:rFonts w:ascii="Arial" w:hAnsi="Arial" w:cs="Arial"/>
          <w:sz w:val="20"/>
          <w:szCs w:val="20"/>
          <w:lang w:eastAsia="pl-PL"/>
        </w:rPr>
        <w:t xml:space="preserve">ramach porozumienia </w:t>
      </w:r>
      <w:r w:rsidR="00001E42">
        <w:rPr>
          <w:rFonts w:ascii="Arial" w:hAnsi="Arial" w:cs="Arial"/>
          <w:sz w:val="20"/>
          <w:szCs w:val="20"/>
          <w:lang w:eastAsia="pl-PL"/>
        </w:rPr>
        <w:t xml:space="preserve">zawartego </w:t>
      </w:r>
      <w:r w:rsidRPr="004C6CC5">
        <w:rPr>
          <w:rFonts w:ascii="Arial" w:hAnsi="Arial" w:cs="Arial"/>
          <w:sz w:val="20"/>
          <w:szCs w:val="20"/>
          <w:lang w:eastAsia="pl-PL"/>
        </w:rPr>
        <w:t>pomiędzy Ministerstwem Finansów a Ministerstwem Spraw Wewnętrznych</w:t>
      </w:r>
      <w:r w:rsidR="003A4C77">
        <w:rPr>
          <w:rFonts w:ascii="Arial" w:hAnsi="Arial" w:cs="Arial"/>
          <w:sz w:val="20"/>
          <w:szCs w:val="20"/>
          <w:lang w:eastAsia="pl-PL"/>
        </w:rPr>
        <w:t xml:space="preserve"> i </w:t>
      </w:r>
      <w:r w:rsidRPr="004C6CC5">
        <w:rPr>
          <w:rFonts w:ascii="Arial" w:hAnsi="Arial" w:cs="Arial"/>
          <w:sz w:val="20"/>
          <w:szCs w:val="20"/>
          <w:lang w:eastAsia="pl-PL"/>
        </w:rPr>
        <w:t>Administracji.</w:t>
      </w:r>
      <w:r w:rsidR="00001E42">
        <w:rPr>
          <w:rFonts w:ascii="Arial" w:hAnsi="Arial" w:cs="Arial"/>
          <w:sz w:val="20"/>
          <w:szCs w:val="20"/>
          <w:lang w:eastAsia="pl-PL"/>
        </w:rPr>
        <w:t xml:space="preserve"> W</w:t>
      </w:r>
      <w:r w:rsidR="004C6CC5">
        <w:rPr>
          <w:rFonts w:ascii="Arial" w:hAnsi="Arial" w:cs="Arial"/>
          <w:sz w:val="20"/>
          <w:szCs w:val="20"/>
          <w:lang w:eastAsia="pl-PL"/>
        </w:rPr>
        <w:t> </w:t>
      </w:r>
      <w:r w:rsidRPr="004C6CC5">
        <w:rPr>
          <w:rFonts w:ascii="Arial" w:hAnsi="Arial" w:cs="Arial"/>
          <w:sz w:val="20"/>
          <w:szCs w:val="20"/>
          <w:lang w:eastAsia="pl-PL"/>
        </w:rPr>
        <w:t>ramach działań kontrolnych</w:t>
      </w:r>
      <w:r w:rsidR="004C6CC5">
        <w:rPr>
          <w:rFonts w:ascii="Arial" w:hAnsi="Arial" w:cs="Arial"/>
          <w:sz w:val="20"/>
          <w:szCs w:val="20"/>
          <w:lang w:eastAsia="pl-PL"/>
        </w:rPr>
        <w:t xml:space="preserve"> </w:t>
      </w:r>
      <w:r w:rsidR="002259B1">
        <w:rPr>
          <w:rFonts w:ascii="Arial" w:hAnsi="Arial" w:cs="Arial"/>
          <w:sz w:val="20"/>
          <w:szCs w:val="20"/>
          <w:lang w:eastAsia="pl-PL"/>
        </w:rPr>
        <w:br/>
      </w:r>
      <w:r w:rsidR="004C6CC5">
        <w:rPr>
          <w:rFonts w:ascii="Arial" w:hAnsi="Arial" w:cs="Arial"/>
          <w:sz w:val="20"/>
          <w:szCs w:val="20"/>
          <w:lang w:eastAsia="pl-PL"/>
        </w:rPr>
        <w:t>w </w:t>
      </w:r>
      <w:r w:rsidRPr="004C6CC5">
        <w:rPr>
          <w:rFonts w:ascii="Arial" w:hAnsi="Arial" w:cs="Arial"/>
          <w:sz w:val="20"/>
          <w:szCs w:val="20"/>
          <w:lang w:eastAsia="pl-PL"/>
        </w:rPr>
        <w:t>2019</w:t>
      </w:r>
      <w:r w:rsidR="009D01B9" w:rsidRPr="004C6CC5">
        <w:rPr>
          <w:rFonts w:ascii="Arial" w:hAnsi="Arial" w:cs="Arial"/>
          <w:sz w:val="20"/>
          <w:szCs w:val="20"/>
          <w:lang w:eastAsia="pl-PL"/>
        </w:rPr>
        <w:t xml:space="preserve"> r. </w:t>
      </w:r>
      <w:r w:rsidRPr="004C6CC5">
        <w:rPr>
          <w:rFonts w:ascii="Arial" w:hAnsi="Arial" w:cs="Arial"/>
          <w:sz w:val="20"/>
          <w:szCs w:val="20"/>
          <w:lang w:eastAsia="pl-PL"/>
        </w:rPr>
        <w:t>jednostki pływające KAS przeprowadziły 255 patroli, podczas których stwierdzono 70 przypadków naruszeń prawa.</w:t>
      </w:r>
      <w:r w:rsidR="00001E42">
        <w:rPr>
          <w:rFonts w:ascii="Arial" w:hAnsi="Arial" w:cs="Arial"/>
          <w:sz w:val="20"/>
          <w:szCs w:val="20"/>
          <w:lang w:eastAsia="pl-PL"/>
        </w:rPr>
        <w:t xml:space="preserve"> W</w:t>
      </w:r>
      <w:r w:rsidR="004C6CC5">
        <w:rPr>
          <w:rFonts w:ascii="Arial" w:hAnsi="Arial" w:cs="Arial"/>
          <w:sz w:val="20"/>
          <w:szCs w:val="20"/>
          <w:lang w:eastAsia="pl-PL"/>
        </w:rPr>
        <w:t> </w:t>
      </w:r>
      <w:r w:rsidRPr="004C6CC5">
        <w:rPr>
          <w:rFonts w:ascii="Arial" w:hAnsi="Arial" w:cs="Arial"/>
          <w:sz w:val="20"/>
          <w:szCs w:val="20"/>
          <w:lang w:eastAsia="pl-PL"/>
        </w:rPr>
        <w:t>czasie realizacji czynności służbowych na polskich obszarach morskich</w:t>
      </w:r>
      <w:r w:rsidR="004C6CC5">
        <w:rPr>
          <w:rFonts w:ascii="Arial" w:hAnsi="Arial" w:cs="Arial"/>
          <w:sz w:val="20"/>
          <w:szCs w:val="20"/>
          <w:lang w:eastAsia="pl-PL"/>
        </w:rPr>
        <w:t xml:space="preserve"> i w </w:t>
      </w:r>
      <w:r w:rsidRPr="004C6CC5">
        <w:rPr>
          <w:rFonts w:ascii="Arial" w:hAnsi="Arial" w:cs="Arial"/>
          <w:sz w:val="20"/>
          <w:szCs w:val="20"/>
          <w:lang w:eastAsia="pl-PL"/>
        </w:rPr>
        <w:t>portach funkcjonariusze PUCS</w:t>
      </w:r>
      <w:r w:rsidR="004C6CC5">
        <w:rPr>
          <w:rFonts w:ascii="Arial" w:hAnsi="Arial" w:cs="Arial"/>
          <w:sz w:val="20"/>
          <w:szCs w:val="20"/>
          <w:lang w:eastAsia="pl-PL"/>
        </w:rPr>
        <w:t xml:space="preserve"> w </w:t>
      </w:r>
      <w:r w:rsidRPr="004C6CC5">
        <w:rPr>
          <w:rFonts w:ascii="Arial" w:hAnsi="Arial" w:cs="Arial"/>
          <w:sz w:val="20"/>
          <w:szCs w:val="20"/>
          <w:lang w:eastAsia="pl-PL"/>
        </w:rPr>
        <w:t>Gdyni stwierdzili</w:t>
      </w:r>
      <w:r w:rsidR="004C6CC5">
        <w:rPr>
          <w:rFonts w:ascii="Arial" w:hAnsi="Arial" w:cs="Arial"/>
          <w:sz w:val="20"/>
          <w:szCs w:val="20"/>
          <w:lang w:eastAsia="pl-PL"/>
        </w:rPr>
        <w:t xml:space="preserve"> w </w:t>
      </w:r>
      <w:r w:rsidRPr="004C6CC5">
        <w:rPr>
          <w:rFonts w:ascii="Arial" w:hAnsi="Arial" w:cs="Arial"/>
          <w:sz w:val="20"/>
          <w:szCs w:val="20"/>
          <w:lang w:eastAsia="pl-PL"/>
        </w:rPr>
        <w:t>23 przypadkach naruszenie przepisów. Dodatkowo, funkcjonariusze celno-skarbowi cyklicznie uczestniczą</w:t>
      </w:r>
      <w:r w:rsidR="004C6CC5">
        <w:rPr>
          <w:rFonts w:ascii="Arial" w:hAnsi="Arial" w:cs="Arial"/>
          <w:sz w:val="20"/>
          <w:szCs w:val="20"/>
          <w:lang w:eastAsia="pl-PL"/>
        </w:rPr>
        <w:t xml:space="preserve"> w </w:t>
      </w:r>
      <w:r w:rsidRPr="004C6CC5">
        <w:rPr>
          <w:rFonts w:ascii="Arial" w:hAnsi="Arial" w:cs="Arial"/>
          <w:sz w:val="20"/>
          <w:szCs w:val="20"/>
          <w:lang w:eastAsia="pl-PL"/>
        </w:rPr>
        <w:t>ćwiczeniach</w:t>
      </w:r>
      <w:r w:rsidR="004C6CC5">
        <w:rPr>
          <w:rFonts w:ascii="Arial" w:hAnsi="Arial" w:cs="Arial"/>
          <w:sz w:val="20"/>
          <w:szCs w:val="20"/>
          <w:lang w:eastAsia="pl-PL"/>
        </w:rPr>
        <w:t xml:space="preserve"> z </w:t>
      </w:r>
      <w:r w:rsidRPr="004C6CC5">
        <w:rPr>
          <w:rFonts w:ascii="Arial" w:hAnsi="Arial" w:cs="Arial"/>
          <w:sz w:val="20"/>
          <w:szCs w:val="20"/>
          <w:lang w:eastAsia="pl-PL"/>
        </w:rPr>
        <w:t>innymi formacjami</w:t>
      </w:r>
      <w:r w:rsidR="00B27214">
        <w:rPr>
          <w:rFonts w:ascii="Arial" w:hAnsi="Arial" w:cs="Arial"/>
          <w:sz w:val="20"/>
          <w:szCs w:val="20"/>
          <w:lang w:eastAsia="pl-PL"/>
        </w:rPr>
        <w:t xml:space="preserve"> z </w:t>
      </w:r>
      <w:r w:rsidRPr="004C6CC5">
        <w:rPr>
          <w:rFonts w:ascii="Arial" w:hAnsi="Arial" w:cs="Arial"/>
          <w:sz w:val="20"/>
          <w:szCs w:val="20"/>
          <w:lang w:eastAsia="pl-PL"/>
        </w:rPr>
        <w:t>MSWiA lub MON,</w:t>
      </w:r>
      <w:r w:rsidR="004C6CC5">
        <w:rPr>
          <w:rFonts w:ascii="Arial" w:hAnsi="Arial" w:cs="Arial"/>
          <w:sz w:val="20"/>
          <w:szCs w:val="20"/>
          <w:lang w:eastAsia="pl-PL"/>
        </w:rPr>
        <w:t xml:space="preserve"> w </w:t>
      </w:r>
      <w:r w:rsidRPr="004C6CC5">
        <w:rPr>
          <w:rFonts w:ascii="Arial" w:hAnsi="Arial" w:cs="Arial"/>
          <w:sz w:val="20"/>
          <w:szCs w:val="20"/>
          <w:lang w:eastAsia="pl-PL"/>
        </w:rPr>
        <w:t xml:space="preserve">których wykorzystywane są możliwości posiadanych łodzi patrolowych oraz ich załóg. Funkcjonariusze Krajowej Administracji Skarbowej brali </w:t>
      </w:r>
      <w:r w:rsidR="00001E42">
        <w:rPr>
          <w:rFonts w:ascii="Arial" w:hAnsi="Arial" w:cs="Arial"/>
          <w:sz w:val="20"/>
          <w:szCs w:val="20"/>
          <w:lang w:eastAsia="pl-PL"/>
        </w:rPr>
        <w:t xml:space="preserve">także </w:t>
      </w:r>
      <w:r w:rsidRPr="004C6CC5">
        <w:rPr>
          <w:rFonts w:ascii="Arial" w:hAnsi="Arial" w:cs="Arial"/>
          <w:sz w:val="20"/>
          <w:szCs w:val="20"/>
          <w:lang w:eastAsia="pl-PL"/>
        </w:rPr>
        <w:t>czynny udział</w:t>
      </w:r>
      <w:r w:rsidR="004C6CC5">
        <w:rPr>
          <w:rFonts w:ascii="Arial" w:hAnsi="Arial" w:cs="Arial"/>
          <w:sz w:val="20"/>
          <w:szCs w:val="20"/>
          <w:lang w:eastAsia="pl-PL"/>
        </w:rPr>
        <w:t xml:space="preserve"> w </w:t>
      </w:r>
      <w:r w:rsidRPr="004C6CC5">
        <w:rPr>
          <w:rFonts w:ascii="Arial" w:hAnsi="Arial" w:cs="Arial"/>
          <w:sz w:val="20"/>
          <w:szCs w:val="20"/>
          <w:lang w:eastAsia="pl-PL"/>
        </w:rPr>
        <w:t>ćwiczeniach antyterrorystycznych</w:t>
      </w:r>
      <w:r w:rsidR="004C6CC5">
        <w:rPr>
          <w:rFonts w:ascii="Arial" w:hAnsi="Arial" w:cs="Arial"/>
          <w:sz w:val="20"/>
          <w:szCs w:val="20"/>
          <w:lang w:eastAsia="pl-PL"/>
        </w:rPr>
        <w:t xml:space="preserve"> i </w:t>
      </w:r>
      <w:r w:rsidRPr="004C6CC5">
        <w:rPr>
          <w:rFonts w:ascii="Arial" w:hAnsi="Arial" w:cs="Arial"/>
          <w:sz w:val="20"/>
          <w:szCs w:val="20"/>
          <w:lang w:eastAsia="pl-PL"/>
        </w:rPr>
        <w:t xml:space="preserve">ratowniczych, które odbywały się na wodach Zatoki Gdańskiej. </w:t>
      </w:r>
    </w:p>
    <w:p w14:paraId="385CCE81" w14:textId="30E25C77" w:rsidR="008339C1" w:rsidRPr="004C6CC5" w:rsidRDefault="00001E42" w:rsidP="008D2321">
      <w:pPr>
        <w:spacing w:after="120" w:line="276" w:lineRule="auto"/>
        <w:jc w:val="both"/>
        <w:rPr>
          <w:rFonts w:ascii="Arial" w:hAnsi="Arial" w:cs="Arial"/>
          <w:sz w:val="20"/>
          <w:szCs w:val="20"/>
          <w:lang w:eastAsia="pl-PL"/>
        </w:rPr>
      </w:pPr>
      <w:r>
        <w:rPr>
          <w:rFonts w:ascii="Arial" w:hAnsi="Arial" w:cs="Arial"/>
          <w:sz w:val="20"/>
          <w:szCs w:val="20"/>
          <w:lang w:eastAsia="pl-PL"/>
        </w:rPr>
        <w:lastRenderedPageBreak/>
        <w:t xml:space="preserve">Funkcjonariusze KAS </w:t>
      </w:r>
      <w:r w:rsidR="004C6CC5">
        <w:rPr>
          <w:rFonts w:ascii="Arial" w:hAnsi="Arial" w:cs="Arial"/>
          <w:sz w:val="20"/>
          <w:szCs w:val="20"/>
          <w:lang w:eastAsia="pl-PL"/>
        </w:rPr>
        <w:t>w </w:t>
      </w:r>
      <w:r w:rsidR="008339C1" w:rsidRPr="004C6CC5">
        <w:rPr>
          <w:rFonts w:ascii="Arial" w:hAnsi="Arial" w:cs="Arial"/>
          <w:sz w:val="20"/>
          <w:szCs w:val="20"/>
          <w:lang w:eastAsia="pl-PL"/>
        </w:rPr>
        <w:t>ramach międzynarodowych</w:t>
      </w:r>
      <w:r>
        <w:rPr>
          <w:rFonts w:ascii="Arial" w:hAnsi="Arial" w:cs="Arial"/>
          <w:sz w:val="20"/>
          <w:szCs w:val="20"/>
          <w:lang w:eastAsia="pl-PL"/>
        </w:rPr>
        <w:t xml:space="preserve"> i krajowych operacji celnych </w:t>
      </w:r>
      <w:r w:rsidR="008339C1" w:rsidRPr="004C6CC5">
        <w:rPr>
          <w:rFonts w:ascii="Arial" w:hAnsi="Arial" w:cs="Arial"/>
          <w:sz w:val="20"/>
          <w:szCs w:val="20"/>
          <w:lang w:eastAsia="pl-PL"/>
        </w:rPr>
        <w:t>aktywnie uczestniczyli</w:t>
      </w:r>
      <w:r w:rsidR="004C6CC5">
        <w:rPr>
          <w:rFonts w:ascii="Arial" w:hAnsi="Arial" w:cs="Arial"/>
          <w:sz w:val="20"/>
          <w:szCs w:val="20"/>
          <w:lang w:eastAsia="pl-PL"/>
        </w:rPr>
        <w:t xml:space="preserve"> w </w:t>
      </w:r>
      <w:r w:rsidR="008339C1" w:rsidRPr="004C6CC5">
        <w:rPr>
          <w:rFonts w:ascii="Arial" w:hAnsi="Arial" w:cs="Arial"/>
          <w:sz w:val="20"/>
          <w:szCs w:val="20"/>
          <w:lang w:eastAsia="pl-PL"/>
        </w:rPr>
        <w:t xml:space="preserve">następujących akcjach kontrolnych: </w:t>
      </w:r>
    </w:p>
    <w:p w14:paraId="5B6AF484" w14:textId="2867BCA7" w:rsidR="008339C1" w:rsidRPr="004C6CC5" w:rsidRDefault="008339C1" w:rsidP="008D2321">
      <w:pPr>
        <w:numPr>
          <w:ilvl w:val="0"/>
          <w:numId w:val="1"/>
        </w:numPr>
        <w:spacing w:after="120" w:line="276" w:lineRule="auto"/>
        <w:jc w:val="both"/>
        <w:rPr>
          <w:rFonts w:ascii="Arial" w:hAnsi="Arial" w:cs="Arial"/>
          <w:sz w:val="20"/>
          <w:szCs w:val="20"/>
          <w:lang w:eastAsia="pl-PL"/>
        </w:rPr>
      </w:pPr>
      <w:r w:rsidRPr="004C6CC5">
        <w:rPr>
          <w:rFonts w:ascii="Arial" w:hAnsi="Arial" w:cs="Arial"/>
          <w:sz w:val="20"/>
          <w:szCs w:val="20"/>
          <w:lang w:eastAsia="pl-PL"/>
        </w:rPr>
        <w:t>„30 Days sea Phase II”, pod patronatem I</w:t>
      </w:r>
      <w:r w:rsidR="00077D45">
        <w:rPr>
          <w:rFonts w:ascii="Arial" w:hAnsi="Arial" w:cs="Arial"/>
          <w:sz w:val="20"/>
          <w:szCs w:val="20"/>
          <w:lang w:eastAsia="pl-PL"/>
        </w:rPr>
        <w:t>nterpolu</w:t>
      </w:r>
      <w:r w:rsidRPr="004C6CC5">
        <w:rPr>
          <w:rFonts w:ascii="Arial" w:hAnsi="Arial" w:cs="Arial"/>
          <w:sz w:val="20"/>
          <w:szCs w:val="20"/>
          <w:lang w:eastAsia="pl-PL"/>
        </w:rPr>
        <w:t xml:space="preserve"> przy współpracy</w:t>
      </w:r>
      <w:r w:rsidR="005200BE">
        <w:rPr>
          <w:rFonts w:ascii="Arial" w:hAnsi="Arial" w:cs="Arial"/>
          <w:sz w:val="20"/>
          <w:szCs w:val="20"/>
          <w:lang w:eastAsia="pl-PL"/>
        </w:rPr>
        <w:t xml:space="preserve"> z </w:t>
      </w:r>
      <w:r w:rsidRPr="004C6CC5">
        <w:rPr>
          <w:rFonts w:ascii="Arial" w:hAnsi="Arial" w:cs="Arial"/>
          <w:sz w:val="20"/>
          <w:szCs w:val="20"/>
          <w:lang w:eastAsia="pl-PL"/>
        </w:rPr>
        <w:t>E</w:t>
      </w:r>
      <w:r w:rsidR="00077D45">
        <w:rPr>
          <w:rFonts w:ascii="Arial" w:hAnsi="Arial" w:cs="Arial"/>
          <w:sz w:val="20"/>
          <w:szCs w:val="20"/>
          <w:lang w:eastAsia="pl-PL"/>
        </w:rPr>
        <w:t>uropolem</w:t>
      </w:r>
      <w:r w:rsidR="004C6CC5">
        <w:rPr>
          <w:rFonts w:ascii="Arial" w:hAnsi="Arial" w:cs="Arial"/>
          <w:sz w:val="20"/>
          <w:szCs w:val="20"/>
          <w:lang w:eastAsia="pl-PL"/>
        </w:rPr>
        <w:t xml:space="preserve"> i </w:t>
      </w:r>
      <w:r w:rsidR="00077D45">
        <w:rPr>
          <w:rFonts w:ascii="Arial" w:hAnsi="Arial" w:cs="Arial"/>
          <w:sz w:val="20"/>
          <w:szCs w:val="20"/>
          <w:lang w:eastAsia="pl-PL"/>
        </w:rPr>
        <w:t>Agencją Frontex</w:t>
      </w:r>
      <w:r w:rsidRPr="004C6CC5">
        <w:rPr>
          <w:rFonts w:ascii="Arial" w:hAnsi="Arial" w:cs="Arial"/>
          <w:sz w:val="20"/>
          <w:szCs w:val="20"/>
          <w:lang w:eastAsia="pl-PL"/>
        </w:rPr>
        <w:t>, ukierunkowanej na zwalczanie nielegalnego transgranicznego przemieszczania odpadów drogą morską oraz przeciwdziałanie zanieczyszczeniu morza</w:t>
      </w:r>
      <w:r w:rsidR="004C6CC5">
        <w:rPr>
          <w:rFonts w:ascii="Arial" w:hAnsi="Arial" w:cs="Arial"/>
          <w:sz w:val="20"/>
          <w:szCs w:val="20"/>
          <w:lang w:eastAsia="pl-PL"/>
        </w:rPr>
        <w:t xml:space="preserve"> i </w:t>
      </w:r>
      <w:r w:rsidRPr="004C6CC5">
        <w:rPr>
          <w:rFonts w:ascii="Arial" w:hAnsi="Arial" w:cs="Arial"/>
          <w:sz w:val="20"/>
          <w:szCs w:val="20"/>
          <w:lang w:eastAsia="pl-PL"/>
        </w:rPr>
        <w:t>terenów przybrzeżnych</w:t>
      </w:r>
      <w:r w:rsidR="00500CFD">
        <w:rPr>
          <w:rFonts w:ascii="Arial" w:hAnsi="Arial" w:cs="Arial"/>
          <w:sz w:val="20"/>
          <w:szCs w:val="20"/>
          <w:lang w:eastAsia="pl-PL"/>
        </w:rPr>
        <w:t>;</w:t>
      </w:r>
      <w:r w:rsidRPr="004C6CC5">
        <w:rPr>
          <w:rFonts w:ascii="Arial" w:hAnsi="Arial" w:cs="Arial"/>
          <w:sz w:val="20"/>
          <w:szCs w:val="20"/>
          <w:lang w:eastAsia="pl-PL"/>
        </w:rPr>
        <w:t xml:space="preserve"> </w:t>
      </w:r>
    </w:p>
    <w:p w14:paraId="31335B00" w14:textId="479BA68C" w:rsidR="008339C1" w:rsidRPr="004C6CC5" w:rsidRDefault="008339C1" w:rsidP="008D2321">
      <w:pPr>
        <w:numPr>
          <w:ilvl w:val="0"/>
          <w:numId w:val="1"/>
        </w:numPr>
        <w:spacing w:after="120" w:line="276" w:lineRule="auto"/>
        <w:jc w:val="both"/>
        <w:rPr>
          <w:rFonts w:ascii="Arial" w:hAnsi="Arial" w:cs="Arial"/>
          <w:sz w:val="20"/>
          <w:szCs w:val="20"/>
          <w:lang w:eastAsia="pl-PL"/>
        </w:rPr>
      </w:pPr>
      <w:r w:rsidRPr="004C6CC5">
        <w:rPr>
          <w:rFonts w:ascii="Arial" w:hAnsi="Arial" w:cs="Arial"/>
          <w:sz w:val="20"/>
          <w:szCs w:val="20"/>
          <w:lang w:eastAsia="pl-PL"/>
        </w:rPr>
        <w:t xml:space="preserve"> „DEMETER” </w:t>
      </w:r>
      <w:r w:rsidR="007A5B79">
        <w:rPr>
          <w:rFonts w:ascii="Arial" w:hAnsi="Arial" w:cs="Arial"/>
          <w:sz w:val="20"/>
          <w:szCs w:val="20"/>
          <w:lang w:eastAsia="pl-PL"/>
        </w:rPr>
        <w:t xml:space="preserve">- </w:t>
      </w:r>
      <w:r w:rsidR="00E51DAE">
        <w:rPr>
          <w:rFonts w:ascii="Arial" w:hAnsi="Arial" w:cs="Arial"/>
          <w:sz w:val="20"/>
          <w:szCs w:val="20"/>
          <w:lang w:eastAsia="pl-PL"/>
        </w:rPr>
        <w:t>organizowanej przez WCO i</w:t>
      </w:r>
      <w:r w:rsidRPr="004C6CC5">
        <w:rPr>
          <w:rFonts w:ascii="Arial" w:hAnsi="Arial" w:cs="Arial"/>
          <w:sz w:val="20"/>
          <w:szCs w:val="20"/>
          <w:lang w:eastAsia="pl-PL"/>
        </w:rPr>
        <w:t xml:space="preserve"> polegającej na kontroli transgranicznego przemieszczania odpadów (tym również substancji zubożających warstw</w:t>
      </w:r>
      <w:r w:rsidR="00162869">
        <w:rPr>
          <w:rFonts w:ascii="Arial" w:hAnsi="Arial" w:cs="Arial"/>
          <w:sz w:val="20"/>
          <w:szCs w:val="20"/>
          <w:lang w:eastAsia="pl-PL"/>
        </w:rPr>
        <w:t>ę ozonową - ODS)</w:t>
      </w:r>
      <w:r w:rsidR="00500CFD">
        <w:rPr>
          <w:rFonts w:ascii="Arial" w:hAnsi="Arial" w:cs="Arial"/>
          <w:sz w:val="20"/>
          <w:szCs w:val="20"/>
          <w:lang w:eastAsia="pl-PL"/>
        </w:rPr>
        <w:t xml:space="preserve"> </w:t>
      </w:r>
      <w:r w:rsidR="007A5B79">
        <w:rPr>
          <w:rFonts w:ascii="Arial" w:hAnsi="Arial" w:cs="Arial"/>
          <w:sz w:val="20"/>
          <w:szCs w:val="20"/>
          <w:lang w:eastAsia="pl-PL"/>
        </w:rPr>
        <w:br/>
      </w:r>
      <w:r w:rsidR="00162869">
        <w:rPr>
          <w:rFonts w:ascii="Arial" w:hAnsi="Arial" w:cs="Arial"/>
          <w:sz w:val="20"/>
          <w:szCs w:val="20"/>
          <w:lang w:eastAsia="pl-PL"/>
        </w:rPr>
        <w:t>m.in.</w:t>
      </w:r>
      <w:r w:rsidR="004C6CC5">
        <w:rPr>
          <w:rFonts w:ascii="Arial" w:hAnsi="Arial" w:cs="Arial"/>
          <w:sz w:val="20"/>
          <w:szCs w:val="20"/>
          <w:lang w:eastAsia="pl-PL"/>
        </w:rPr>
        <w:t xml:space="preserve"> w </w:t>
      </w:r>
      <w:r w:rsidRPr="004C6CC5">
        <w:rPr>
          <w:rFonts w:ascii="Arial" w:hAnsi="Arial" w:cs="Arial"/>
          <w:sz w:val="20"/>
          <w:szCs w:val="20"/>
          <w:lang w:eastAsia="pl-PL"/>
        </w:rPr>
        <w:t>obrocie mo</w:t>
      </w:r>
      <w:r w:rsidR="00162869">
        <w:rPr>
          <w:rFonts w:ascii="Arial" w:hAnsi="Arial" w:cs="Arial"/>
          <w:sz w:val="20"/>
          <w:szCs w:val="20"/>
          <w:lang w:eastAsia="pl-PL"/>
        </w:rPr>
        <w:t>rskim</w:t>
      </w:r>
      <w:r w:rsidR="00500CFD">
        <w:rPr>
          <w:rFonts w:ascii="Arial" w:hAnsi="Arial" w:cs="Arial"/>
          <w:sz w:val="20"/>
          <w:szCs w:val="20"/>
          <w:lang w:eastAsia="pl-PL"/>
        </w:rPr>
        <w:t>;</w:t>
      </w:r>
    </w:p>
    <w:p w14:paraId="1A36C9D2" w14:textId="5607F901" w:rsidR="008339C1" w:rsidRPr="004C6CC5" w:rsidRDefault="00E51DAE" w:rsidP="008D2321">
      <w:pPr>
        <w:numPr>
          <w:ilvl w:val="0"/>
          <w:numId w:val="1"/>
        </w:numPr>
        <w:spacing w:after="120" w:line="276" w:lineRule="auto"/>
        <w:jc w:val="both"/>
        <w:rPr>
          <w:rFonts w:ascii="Arial" w:hAnsi="Arial" w:cs="Arial"/>
          <w:sz w:val="20"/>
          <w:szCs w:val="20"/>
          <w:lang w:eastAsia="pl-PL"/>
        </w:rPr>
      </w:pPr>
      <w:r>
        <w:rPr>
          <w:rFonts w:ascii="Arial" w:hAnsi="Arial" w:cs="Arial"/>
          <w:sz w:val="20"/>
          <w:szCs w:val="20"/>
          <w:lang w:eastAsia="pl-PL"/>
        </w:rPr>
        <w:t>„SILVER AXE”</w:t>
      </w:r>
      <w:r w:rsidR="008339C1" w:rsidRPr="004C6CC5">
        <w:rPr>
          <w:rFonts w:ascii="Arial" w:hAnsi="Arial" w:cs="Arial"/>
          <w:sz w:val="20"/>
          <w:szCs w:val="20"/>
          <w:lang w:eastAsia="pl-PL"/>
        </w:rPr>
        <w:t xml:space="preserve"> -</w:t>
      </w:r>
      <w:r w:rsidR="004C6CC5">
        <w:rPr>
          <w:rFonts w:ascii="Arial" w:hAnsi="Arial" w:cs="Arial"/>
          <w:sz w:val="20"/>
          <w:szCs w:val="20"/>
          <w:lang w:eastAsia="pl-PL"/>
        </w:rPr>
        <w:t xml:space="preserve"> w </w:t>
      </w:r>
      <w:r w:rsidR="008339C1" w:rsidRPr="004C6CC5">
        <w:rPr>
          <w:rFonts w:ascii="Arial" w:hAnsi="Arial" w:cs="Arial"/>
          <w:sz w:val="20"/>
          <w:szCs w:val="20"/>
          <w:lang w:eastAsia="pl-PL"/>
        </w:rPr>
        <w:t>zakresie nielegalnego handlu środkami ochrony roślin</w:t>
      </w:r>
      <w:r w:rsidR="004C6CC5">
        <w:rPr>
          <w:rFonts w:ascii="Arial" w:hAnsi="Arial" w:cs="Arial"/>
          <w:sz w:val="20"/>
          <w:szCs w:val="20"/>
          <w:lang w:eastAsia="pl-PL"/>
        </w:rPr>
        <w:t xml:space="preserve"> i </w:t>
      </w:r>
      <w:r w:rsidR="00500CFD">
        <w:rPr>
          <w:rFonts w:ascii="Arial" w:hAnsi="Arial" w:cs="Arial"/>
          <w:sz w:val="20"/>
          <w:szCs w:val="20"/>
          <w:lang w:eastAsia="pl-PL"/>
        </w:rPr>
        <w:t>substancjami czynnymi;</w:t>
      </w:r>
      <w:r w:rsidR="008339C1" w:rsidRPr="004C6CC5">
        <w:rPr>
          <w:rFonts w:ascii="Arial" w:hAnsi="Arial" w:cs="Arial"/>
          <w:sz w:val="20"/>
          <w:szCs w:val="20"/>
          <w:lang w:eastAsia="pl-PL"/>
        </w:rPr>
        <w:t xml:space="preserve"> </w:t>
      </w:r>
    </w:p>
    <w:p w14:paraId="42E94752" w14:textId="6F16D318" w:rsidR="008339C1" w:rsidRPr="004C6CC5" w:rsidRDefault="008339C1" w:rsidP="008D2321">
      <w:pPr>
        <w:numPr>
          <w:ilvl w:val="0"/>
          <w:numId w:val="1"/>
        </w:numPr>
        <w:spacing w:after="120" w:line="276" w:lineRule="auto"/>
        <w:jc w:val="both"/>
        <w:rPr>
          <w:rFonts w:ascii="Arial" w:hAnsi="Arial" w:cs="Arial"/>
          <w:sz w:val="20"/>
          <w:szCs w:val="20"/>
          <w:lang w:eastAsia="pl-PL"/>
        </w:rPr>
      </w:pPr>
      <w:r w:rsidRPr="004C6CC5">
        <w:rPr>
          <w:rFonts w:ascii="Arial" w:hAnsi="Arial" w:cs="Arial"/>
          <w:sz w:val="20"/>
          <w:szCs w:val="20"/>
          <w:lang w:eastAsia="pl-PL"/>
        </w:rPr>
        <w:t>„EU LARGE SCALE JOINT ACTION DAY” -</w:t>
      </w:r>
      <w:r w:rsidR="004C6CC5">
        <w:rPr>
          <w:rFonts w:ascii="Arial" w:hAnsi="Arial" w:cs="Arial"/>
          <w:sz w:val="20"/>
          <w:szCs w:val="20"/>
          <w:lang w:eastAsia="pl-PL"/>
        </w:rPr>
        <w:t xml:space="preserve"> w </w:t>
      </w:r>
      <w:r w:rsidRPr="004C6CC5">
        <w:rPr>
          <w:rFonts w:ascii="Arial" w:hAnsi="Arial" w:cs="Arial"/>
          <w:sz w:val="20"/>
          <w:szCs w:val="20"/>
          <w:lang w:eastAsia="pl-PL"/>
        </w:rPr>
        <w:t>zakresie zwalczania przemytu prekursorów, środków odurzających</w:t>
      </w:r>
      <w:r w:rsidR="00500CFD">
        <w:rPr>
          <w:rFonts w:ascii="Arial" w:hAnsi="Arial" w:cs="Arial"/>
          <w:sz w:val="20"/>
          <w:szCs w:val="20"/>
          <w:lang w:eastAsia="pl-PL"/>
        </w:rPr>
        <w:t xml:space="preserve"> i </w:t>
      </w:r>
      <w:r w:rsidRPr="004C6CC5">
        <w:rPr>
          <w:rFonts w:ascii="Arial" w:hAnsi="Arial" w:cs="Arial"/>
          <w:sz w:val="20"/>
          <w:szCs w:val="20"/>
          <w:lang w:eastAsia="pl-PL"/>
        </w:rPr>
        <w:t>substancji psychoaktywnych, narkotyków syntetyczny</w:t>
      </w:r>
      <w:r w:rsidR="00343B8B">
        <w:rPr>
          <w:rFonts w:ascii="Arial" w:hAnsi="Arial" w:cs="Arial"/>
          <w:sz w:val="20"/>
          <w:szCs w:val="20"/>
          <w:lang w:eastAsia="pl-PL"/>
        </w:rPr>
        <w:t>ch, m.in.</w:t>
      </w:r>
      <w:r w:rsidR="004C6CC5">
        <w:rPr>
          <w:rFonts w:ascii="Arial" w:hAnsi="Arial" w:cs="Arial"/>
          <w:sz w:val="20"/>
          <w:szCs w:val="20"/>
          <w:lang w:eastAsia="pl-PL"/>
        </w:rPr>
        <w:t xml:space="preserve"> w </w:t>
      </w:r>
      <w:r w:rsidRPr="004C6CC5">
        <w:rPr>
          <w:rFonts w:ascii="Arial" w:hAnsi="Arial" w:cs="Arial"/>
          <w:sz w:val="20"/>
          <w:szCs w:val="20"/>
          <w:lang w:eastAsia="pl-PL"/>
        </w:rPr>
        <w:t>kontenerach oraz środkach transportu</w:t>
      </w:r>
      <w:r w:rsidR="004C6CC5">
        <w:rPr>
          <w:rFonts w:ascii="Arial" w:hAnsi="Arial" w:cs="Arial"/>
          <w:sz w:val="20"/>
          <w:szCs w:val="20"/>
          <w:lang w:eastAsia="pl-PL"/>
        </w:rPr>
        <w:t xml:space="preserve"> z </w:t>
      </w:r>
      <w:r w:rsidRPr="004C6CC5">
        <w:rPr>
          <w:rFonts w:ascii="Arial" w:hAnsi="Arial" w:cs="Arial"/>
          <w:sz w:val="20"/>
          <w:szCs w:val="20"/>
          <w:lang w:eastAsia="pl-PL"/>
        </w:rPr>
        <w:t>krajów azjatyckic</w:t>
      </w:r>
      <w:r w:rsidR="00500CFD">
        <w:rPr>
          <w:rFonts w:ascii="Arial" w:hAnsi="Arial" w:cs="Arial"/>
          <w:sz w:val="20"/>
          <w:szCs w:val="20"/>
          <w:lang w:eastAsia="pl-PL"/>
        </w:rPr>
        <w:t>h oraz innych krajów źródłowych;</w:t>
      </w:r>
    </w:p>
    <w:p w14:paraId="0A61D9F4" w14:textId="64664A7B" w:rsidR="008339C1" w:rsidRPr="004C6CC5" w:rsidRDefault="008339C1" w:rsidP="008D2321">
      <w:pPr>
        <w:numPr>
          <w:ilvl w:val="0"/>
          <w:numId w:val="1"/>
        </w:numPr>
        <w:spacing w:after="120" w:line="276" w:lineRule="auto"/>
        <w:jc w:val="both"/>
        <w:rPr>
          <w:rFonts w:ascii="Arial" w:hAnsi="Arial" w:cs="Arial"/>
          <w:sz w:val="20"/>
          <w:szCs w:val="20"/>
          <w:lang w:eastAsia="pl-PL"/>
        </w:rPr>
      </w:pPr>
      <w:r w:rsidRPr="004C6CC5">
        <w:rPr>
          <w:rFonts w:ascii="Arial" w:hAnsi="Arial" w:cs="Arial"/>
          <w:sz w:val="20"/>
          <w:szCs w:val="20"/>
          <w:lang w:eastAsia="pl-PL"/>
        </w:rPr>
        <w:t>EEL-LICIT TRADE2” -</w:t>
      </w:r>
      <w:r w:rsidR="004C6CC5">
        <w:rPr>
          <w:rFonts w:ascii="Arial" w:hAnsi="Arial" w:cs="Arial"/>
          <w:sz w:val="20"/>
          <w:szCs w:val="20"/>
          <w:lang w:eastAsia="pl-PL"/>
        </w:rPr>
        <w:t xml:space="preserve"> w </w:t>
      </w:r>
      <w:r w:rsidRPr="004C6CC5">
        <w:rPr>
          <w:rFonts w:ascii="Arial" w:hAnsi="Arial" w:cs="Arial"/>
          <w:sz w:val="20"/>
          <w:szCs w:val="20"/>
          <w:lang w:eastAsia="pl-PL"/>
        </w:rPr>
        <w:t>zakresie nielegalnego handlu produktami</w:t>
      </w:r>
      <w:r w:rsidR="004C6CC5">
        <w:rPr>
          <w:rFonts w:ascii="Arial" w:hAnsi="Arial" w:cs="Arial"/>
          <w:sz w:val="20"/>
          <w:szCs w:val="20"/>
          <w:lang w:eastAsia="pl-PL"/>
        </w:rPr>
        <w:t xml:space="preserve"> z </w:t>
      </w:r>
      <w:r w:rsidRPr="004C6CC5">
        <w:rPr>
          <w:rFonts w:ascii="Arial" w:hAnsi="Arial" w:cs="Arial"/>
          <w:sz w:val="20"/>
          <w:szCs w:val="20"/>
          <w:lang w:eastAsia="pl-PL"/>
        </w:rPr>
        <w:t xml:space="preserve">węgorza europejskiego </w:t>
      </w:r>
      <w:r w:rsidRPr="005C341D">
        <w:rPr>
          <w:rFonts w:ascii="Arial" w:hAnsi="Arial" w:cs="Arial"/>
          <w:iCs/>
          <w:sz w:val="20"/>
          <w:szCs w:val="20"/>
          <w:lang w:eastAsia="pl-PL"/>
        </w:rPr>
        <w:t>(Anguilla anguilla</w:t>
      </w:r>
      <w:r w:rsidRPr="004C6CC5">
        <w:rPr>
          <w:rFonts w:ascii="Arial" w:hAnsi="Arial" w:cs="Arial"/>
          <w:sz w:val="20"/>
          <w:szCs w:val="20"/>
          <w:lang w:eastAsia="pl-PL"/>
        </w:rPr>
        <w:t>) gatunku zagrożonego wyginięciem, objętego ochroną postan</w:t>
      </w:r>
      <w:r w:rsidR="00343B8B">
        <w:rPr>
          <w:rFonts w:ascii="Arial" w:hAnsi="Arial" w:cs="Arial"/>
          <w:sz w:val="20"/>
          <w:szCs w:val="20"/>
          <w:lang w:eastAsia="pl-PL"/>
        </w:rPr>
        <w:t>owień Konwencji Waszyngtońskiej;</w:t>
      </w:r>
      <w:r w:rsidRPr="004C6CC5">
        <w:rPr>
          <w:rFonts w:ascii="Arial" w:hAnsi="Arial" w:cs="Arial"/>
          <w:sz w:val="20"/>
          <w:szCs w:val="20"/>
          <w:lang w:eastAsia="pl-PL"/>
        </w:rPr>
        <w:t xml:space="preserve"> </w:t>
      </w:r>
    </w:p>
    <w:p w14:paraId="66F30BDA" w14:textId="2A6AB97B" w:rsidR="008339C1" w:rsidRPr="004C6CC5" w:rsidRDefault="008339C1" w:rsidP="008D2321">
      <w:pPr>
        <w:numPr>
          <w:ilvl w:val="0"/>
          <w:numId w:val="1"/>
        </w:numPr>
        <w:spacing w:after="120" w:line="276" w:lineRule="auto"/>
        <w:jc w:val="both"/>
        <w:rPr>
          <w:rFonts w:ascii="Arial" w:hAnsi="Arial" w:cs="Arial"/>
          <w:sz w:val="20"/>
          <w:szCs w:val="20"/>
          <w:lang w:eastAsia="pl-PL"/>
        </w:rPr>
      </w:pPr>
      <w:r w:rsidRPr="004C6CC5">
        <w:rPr>
          <w:rFonts w:ascii="Arial" w:hAnsi="Arial" w:cs="Arial"/>
          <w:sz w:val="20"/>
          <w:szCs w:val="20"/>
          <w:lang w:eastAsia="pl-PL"/>
        </w:rPr>
        <w:t>HYGIEA, koordynowanej przez OLAF a ukierunkowanej na produkty łatwo zbywalne mogące naruszać prawa własności intelektualnej, przywożone</w:t>
      </w:r>
      <w:r w:rsidR="004C6CC5">
        <w:rPr>
          <w:rFonts w:ascii="Arial" w:hAnsi="Arial" w:cs="Arial"/>
          <w:sz w:val="20"/>
          <w:szCs w:val="20"/>
          <w:lang w:eastAsia="pl-PL"/>
        </w:rPr>
        <w:t xml:space="preserve"> w </w:t>
      </w:r>
      <w:r w:rsidR="00343B8B">
        <w:rPr>
          <w:rFonts w:ascii="Arial" w:hAnsi="Arial" w:cs="Arial"/>
          <w:sz w:val="20"/>
          <w:szCs w:val="20"/>
          <w:lang w:eastAsia="pl-PL"/>
        </w:rPr>
        <w:t>kontenerach drogą morską;</w:t>
      </w:r>
    </w:p>
    <w:p w14:paraId="178D082E" w14:textId="45070336" w:rsidR="009B37F7" w:rsidRPr="001A4BC6" w:rsidRDefault="008339C1" w:rsidP="008D2321">
      <w:pPr>
        <w:numPr>
          <w:ilvl w:val="0"/>
          <w:numId w:val="1"/>
        </w:numPr>
        <w:spacing w:after="120" w:line="276" w:lineRule="auto"/>
        <w:jc w:val="both"/>
        <w:rPr>
          <w:rFonts w:ascii="Arial" w:hAnsi="Arial" w:cs="Arial"/>
          <w:sz w:val="20"/>
          <w:szCs w:val="20"/>
          <w:lang w:eastAsia="pl-PL"/>
        </w:rPr>
      </w:pPr>
      <w:r w:rsidRPr="004C6CC5">
        <w:rPr>
          <w:rFonts w:ascii="Arial" w:hAnsi="Arial" w:cs="Arial"/>
          <w:sz w:val="20"/>
          <w:szCs w:val="20"/>
          <w:lang w:eastAsia="pl-PL"/>
        </w:rPr>
        <w:t xml:space="preserve">Wartownik </w:t>
      </w:r>
      <w:r w:rsidR="00343B8B">
        <w:rPr>
          <w:rFonts w:ascii="Arial" w:hAnsi="Arial" w:cs="Arial"/>
          <w:sz w:val="20"/>
          <w:szCs w:val="20"/>
          <w:lang w:eastAsia="pl-PL"/>
        </w:rPr>
        <w:t>-</w:t>
      </w:r>
      <w:r w:rsidRPr="004C6CC5">
        <w:rPr>
          <w:rFonts w:ascii="Arial" w:hAnsi="Arial" w:cs="Arial"/>
          <w:sz w:val="20"/>
          <w:szCs w:val="20"/>
          <w:lang w:eastAsia="pl-PL"/>
        </w:rPr>
        <w:t xml:space="preserve"> organizowanej przez Federalną Służbę Celną Federacji Rosyjskiej, której celem jest ujawnianie</w:t>
      </w:r>
      <w:r w:rsidR="004C6CC5">
        <w:rPr>
          <w:rFonts w:ascii="Arial" w:hAnsi="Arial" w:cs="Arial"/>
          <w:sz w:val="20"/>
          <w:szCs w:val="20"/>
          <w:lang w:eastAsia="pl-PL"/>
        </w:rPr>
        <w:t xml:space="preserve"> i </w:t>
      </w:r>
      <w:r w:rsidRPr="004C6CC5">
        <w:rPr>
          <w:rFonts w:ascii="Arial" w:hAnsi="Arial" w:cs="Arial"/>
          <w:sz w:val="20"/>
          <w:szCs w:val="20"/>
          <w:lang w:eastAsia="pl-PL"/>
        </w:rPr>
        <w:t>przeciwdziałanie przestępstwom związanym</w:t>
      </w:r>
      <w:r w:rsidR="00343B8B">
        <w:rPr>
          <w:rFonts w:ascii="Arial" w:hAnsi="Arial" w:cs="Arial"/>
          <w:sz w:val="20"/>
          <w:szCs w:val="20"/>
          <w:lang w:eastAsia="pl-PL"/>
        </w:rPr>
        <w:t xml:space="preserve"> z </w:t>
      </w:r>
      <w:r w:rsidRPr="004C6CC5">
        <w:rPr>
          <w:rFonts w:ascii="Arial" w:hAnsi="Arial" w:cs="Arial"/>
          <w:sz w:val="20"/>
          <w:szCs w:val="20"/>
          <w:lang w:eastAsia="pl-PL"/>
        </w:rPr>
        <w:t>nielegalnym przemieszczaniem środków odurzają</w:t>
      </w:r>
      <w:r w:rsidR="00343B8B">
        <w:rPr>
          <w:rFonts w:ascii="Arial" w:hAnsi="Arial" w:cs="Arial"/>
          <w:sz w:val="20"/>
          <w:szCs w:val="20"/>
          <w:lang w:eastAsia="pl-PL"/>
        </w:rPr>
        <w:t xml:space="preserve">cych, substancji psychotropowych i </w:t>
      </w:r>
      <w:r w:rsidRPr="004C6CC5">
        <w:rPr>
          <w:rFonts w:ascii="Arial" w:hAnsi="Arial" w:cs="Arial"/>
          <w:sz w:val="20"/>
          <w:szCs w:val="20"/>
          <w:lang w:eastAsia="pl-PL"/>
        </w:rPr>
        <w:t>ich prekursorów ora</w:t>
      </w:r>
      <w:r w:rsidR="006F6EEB">
        <w:rPr>
          <w:rFonts w:ascii="Arial" w:hAnsi="Arial" w:cs="Arial"/>
          <w:sz w:val="20"/>
          <w:szCs w:val="20"/>
          <w:lang w:eastAsia="pl-PL"/>
        </w:rPr>
        <w:t xml:space="preserve">z nowych środków psychoaktywnych w </w:t>
      </w:r>
      <w:r w:rsidRPr="004C6CC5">
        <w:rPr>
          <w:rFonts w:ascii="Arial" w:hAnsi="Arial" w:cs="Arial"/>
          <w:sz w:val="20"/>
          <w:szCs w:val="20"/>
          <w:lang w:eastAsia="pl-PL"/>
        </w:rPr>
        <w:t>ramach towarowych</w:t>
      </w:r>
      <w:r w:rsidR="00343B8B">
        <w:rPr>
          <w:rFonts w:ascii="Arial" w:hAnsi="Arial" w:cs="Arial"/>
          <w:sz w:val="20"/>
          <w:szCs w:val="20"/>
          <w:lang w:eastAsia="pl-PL"/>
        </w:rPr>
        <w:t xml:space="preserve"> i </w:t>
      </w:r>
      <w:r w:rsidRPr="004C6CC5">
        <w:rPr>
          <w:rFonts w:ascii="Arial" w:hAnsi="Arial" w:cs="Arial"/>
          <w:sz w:val="20"/>
          <w:szCs w:val="20"/>
          <w:lang w:eastAsia="pl-PL"/>
        </w:rPr>
        <w:t xml:space="preserve">pasażerskich przewozów międzynarodowych, </w:t>
      </w:r>
      <w:r w:rsidR="007A5B79">
        <w:rPr>
          <w:rFonts w:ascii="Arial" w:hAnsi="Arial" w:cs="Arial"/>
          <w:sz w:val="20"/>
          <w:szCs w:val="20"/>
          <w:lang w:eastAsia="pl-PL"/>
        </w:rPr>
        <w:br/>
      </w:r>
      <w:r w:rsidR="00343B8B">
        <w:rPr>
          <w:rFonts w:ascii="Arial" w:hAnsi="Arial" w:cs="Arial"/>
          <w:sz w:val="20"/>
          <w:szCs w:val="20"/>
          <w:lang w:eastAsia="pl-PL"/>
        </w:rPr>
        <w:t xml:space="preserve">m.in. </w:t>
      </w:r>
      <w:r w:rsidR="004C6CC5">
        <w:rPr>
          <w:rFonts w:ascii="Arial" w:hAnsi="Arial" w:cs="Arial"/>
          <w:sz w:val="20"/>
          <w:szCs w:val="20"/>
          <w:lang w:eastAsia="pl-PL"/>
        </w:rPr>
        <w:t>w </w:t>
      </w:r>
      <w:r w:rsidRPr="004C6CC5">
        <w:rPr>
          <w:rFonts w:ascii="Arial" w:hAnsi="Arial" w:cs="Arial"/>
          <w:sz w:val="20"/>
          <w:szCs w:val="20"/>
          <w:lang w:eastAsia="pl-PL"/>
        </w:rPr>
        <w:t>ruchu morskim.</w:t>
      </w:r>
    </w:p>
    <w:p w14:paraId="187F880F" w14:textId="0EA7742E" w:rsidR="000C06CE" w:rsidRPr="006A0F85" w:rsidRDefault="000C06CE" w:rsidP="001A4BC6">
      <w:pPr>
        <w:pStyle w:val="Nagwek1"/>
        <w:spacing w:before="120" w:after="120"/>
        <w:jc w:val="both"/>
        <w:rPr>
          <w:rFonts w:ascii="Arial" w:hAnsi="Arial" w:cs="Arial"/>
          <w:b/>
          <w:sz w:val="20"/>
          <w:szCs w:val="20"/>
        </w:rPr>
      </w:pPr>
      <w:bookmarkStart w:id="23" w:name="_Toc72745040"/>
      <w:r w:rsidRPr="006A0F85">
        <w:rPr>
          <w:rFonts w:ascii="Arial" w:hAnsi="Arial" w:cs="Arial"/>
          <w:b/>
          <w:color w:val="auto"/>
          <w:sz w:val="20"/>
          <w:szCs w:val="20"/>
        </w:rPr>
        <w:t>NAUKA</w:t>
      </w:r>
      <w:r w:rsidR="006B66C1">
        <w:rPr>
          <w:rFonts w:ascii="Arial" w:hAnsi="Arial" w:cs="Arial"/>
          <w:b/>
          <w:color w:val="auto"/>
          <w:sz w:val="20"/>
          <w:szCs w:val="20"/>
        </w:rPr>
        <w:t xml:space="preserve"> I</w:t>
      </w:r>
      <w:r w:rsidR="004C6CC5" w:rsidRPr="006A0F85">
        <w:rPr>
          <w:rFonts w:ascii="Arial" w:hAnsi="Arial" w:cs="Arial"/>
          <w:b/>
          <w:color w:val="auto"/>
          <w:sz w:val="20"/>
          <w:szCs w:val="20"/>
        </w:rPr>
        <w:t> </w:t>
      </w:r>
      <w:r w:rsidRPr="006A0F85">
        <w:rPr>
          <w:rFonts w:ascii="Arial" w:hAnsi="Arial" w:cs="Arial"/>
          <w:b/>
          <w:color w:val="auto"/>
          <w:sz w:val="20"/>
          <w:szCs w:val="20"/>
        </w:rPr>
        <w:t>BADANIA MORSKIE</w:t>
      </w:r>
      <w:r w:rsidR="004B75A7">
        <w:rPr>
          <w:rFonts w:ascii="Arial" w:hAnsi="Arial" w:cs="Arial"/>
          <w:b/>
          <w:color w:val="auto"/>
          <w:sz w:val="20"/>
          <w:szCs w:val="20"/>
        </w:rPr>
        <w:t>.</w:t>
      </w:r>
      <w:bookmarkEnd w:id="23"/>
    </w:p>
    <w:p w14:paraId="6F935587" w14:textId="308E5749" w:rsidR="000C06CE" w:rsidRPr="006A0F85" w:rsidRDefault="000C06CE" w:rsidP="001A4BC6">
      <w:pPr>
        <w:pStyle w:val="Nagwek2"/>
        <w:spacing w:before="120" w:after="120"/>
        <w:jc w:val="both"/>
        <w:rPr>
          <w:rFonts w:ascii="Arial" w:hAnsi="Arial" w:cs="Arial"/>
          <w:b/>
          <w:sz w:val="20"/>
          <w:szCs w:val="20"/>
        </w:rPr>
      </w:pPr>
      <w:bookmarkStart w:id="24" w:name="_Toc72745041"/>
      <w:r w:rsidRPr="006A0F85">
        <w:rPr>
          <w:rFonts w:ascii="Arial" w:hAnsi="Arial" w:cs="Arial"/>
          <w:b/>
          <w:color w:val="auto"/>
          <w:sz w:val="20"/>
          <w:szCs w:val="20"/>
        </w:rPr>
        <w:t>Działalność akademii morskich oraz uczelni prowadzących kierunki związane</w:t>
      </w:r>
      <w:r w:rsidR="004C6CC5" w:rsidRPr="006A0F85">
        <w:rPr>
          <w:rFonts w:ascii="Arial" w:hAnsi="Arial" w:cs="Arial"/>
          <w:b/>
          <w:color w:val="auto"/>
          <w:sz w:val="20"/>
          <w:szCs w:val="20"/>
        </w:rPr>
        <w:t xml:space="preserve"> z </w:t>
      </w:r>
      <w:r w:rsidRPr="006A0F85">
        <w:rPr>
          <w:rFonts w:ascii="Arial" w:hAnsi="Arial" w:cs="Arial"/>
          <w:b/>
          <w:color w:val="auto"/>
          <w:sz w:val="20"/>
          <w:szCs w:val="20"/>
        </w:rPr>
        <w:t>realizacją polityki morskiej RP.</w:t>
      </w:r>
      <w:bookmarkEnd w:id="24"/>
    </w:p>
    <w:p w14:paraId="02451116" w14:textId="332886E0" w:rsidR="007050BA" w:rsidRPr="004C6CC5" w:rsidRDefault="007050BA" w:rsidP="001A4BC6">
      <w:pPr>
        <w:spacing w:before="120" w:after="120" w:line="276" w:lineRule="auto"/>
        <w:jc w:val="both"/>
        <w:rPr>
          <w:rFonts w:ascii="Arial" w:hAnsi="Arial" w:cs="Arial"/>
          <w:sz w:val="20"/>
          <w:szCs w:val="20"/>
        </w:rPr>
      </w:pPr>
      <w:r w:rsidRPr="004C6CC5">
        <w:rPr>
          <w:rFonts w:ascii="Arial" w:hAnsi="Arial" w:cs="Arial"/>
          <w:sz w:val="20"/>
          <w:szCs w:val="20"/>
        </w:rPr>
        <w:t>Prace związane</w:t>
      </w:r>
      <w:r w:rsidR="004C6CC5">
        <w:rPr>
          <w:rFonts w:ascii="Arial" w:hAnsi="Arial" w:cs="Arial"/>
          <w:sz w:val="20"/>
          <w:szCs w:val="20"/>
        </w:rPr>
        <w:t xml:space="preserve"> z </w:t>
      </w:r>
      <w:r w:rsidRPr="004C6CC5">
        <w:rPr>
          <w:rFonts w:ascii="Arial" w:hAnsi="Arial" w:cs="Arial"/>
          <w:sz w:val="20"/>
          <w:szCs w:val="20"/>
        </w:rPr>
        <w:t>działalnością badawczo-rozwojową uczelni prowadzących działalność</w:t>
      </w:r>
      <w:r w:rsidR="004C6CC5">
        <w:rPr>
          <w:rFonts w:ascii="Arial" w:hAnsi="Arial" w:cs="Arial"/>
          <w:sz w:val="20"/>
          <w:szCs w:val="20"/>
        </w:rPr>
        <w:t xml:space="preserve"> w </w:t>
      </w:r>
      <w:r w:rsidRPr="004C6CC5">
        <w:rPr>
          <w:rFonts w:ascii="Arial" w:hAnsi="Arial" w:cs="Arial"/>
          <w:sz w:val="20"/>
          <w:szCs w:val="20"/>
        </w:rPr>
        <w:t>obszarze gospodarki morskiej finansowane są ze środków Ministerstwa Nauki</w:t>
      </w:r>
      <w:r w:rsidR="004C6CC5">
        <w:rPr>
          <w:rFonts w:ascii="Arial" w:hAnsi="Arial" w:cs="Arial"/>
          <w:sz w:val="20"/>
          <w:szCs w:val="20"/>
        </w:rPr>
        <w:t xml:space="preserve"> i </w:t>
      </w:r>
      <w:r w:rsidRPr="004C6CC5">
        <w:rPr>
          <w:rFonts w:ascii="Arial" w:hAnsi="Arial" w:cs="Arial"/>
          <w:sz w:val="20"/>
          <w:szCs w:val="20"/>
        </w:rPr>
        <w:t>Szkolnictwa Wyższego, Narodowego Centrum Nauki</w:t>
      </w:r>
      <w:r w:rsidR="004C6CC5">
        <w:rPr>
          <w:rFonts w:ascii="Arial" w:hAnsi="Arial" w:cs="Arial"/>
          <w:sz w:val="20"/>
          <w:szCs w:val="20"/>
        </w:rPr>
        <w:t xml:space="preserve"> w </w:t>
      </w:r>
      <w:r w:rsidRPr="004C6CC5">
        <w:rPr>
          <w:rFonts w:ascii="Arial" w:hAnsi="Arial" w:cs="Arial"/>
          <w:sz w:val="20"/>
          <w:szCs w:val="20"/>
        </w:rPr>
        <w:t>Krakowie oraz Narodowego Centrum Badań</w:t>
      </w:r>
      <w:r w:rsidR="004C6CC5">
        <w:rPr>
          <w:rFonts w:ascii="Arial" w:hAnsi="Arial" w:cs="Arial"/>
          <w:sz w:val="20"/>
          <w:szCs w:val="20"/>
        </w:rPr>
        <w:t xml:space="preserve"> i </w:t>
      </w:r>
      <w:r w:rsidRPr="004C6CC5">
        <w:rPr>
          <w:rFonts w:ascii="Arial" w:hAnsi="Arial" w:cs="Arial"/>
          <w:sz w:val="20"/>
          <w:szCs w:val="20"/>
        </w:rPr>
        <w:t>Rozwoju</w:t>
      </w:r>
      <w:r w:rsidR="004C6CC5">
        <w:rPr>
          <w:rFonts w:ascii="Arial" w:hAnsi="Arial" w:cs="Arial"/>
          <w:sz w:val="20"/>
          <w:szCs w:val="20"/>
        </w:rPr>
        <w:t xml:space="preserve"> w </w:t>
      </w:r>
      <w:r w:rsidRPr="004C6CC5">
        <w:rPr>
          <w:rFonts w:ascii="Arial" w:hAnsi="Arial" w:cs="Arial"/>
          <w:sz w:val="20"/>
          <w:szCs w:val="20"/>
        </w:rPr>
        <w:t>Warszawie. Szczegółowy wykaz projektów naukowo-badawczych</w:t>
      </w:r>
      <w:r w:rsidR="004C6CC5">
        <w:rPr>
          <w:rFonts w:ascii="Arial" w:hAnsi="Arial" w:cs="Arial"/>
          <w:sz w:val="20"/>
          <w:szCs w:val="20"/>
        </w:rPr>
        <w:t xml:space="preserve"> z </w:t>
      </w:r>
      <w:r w:rsidRPr="004C6CC5">
        <w:rPr>
          <w:rFonts w:ascii="Arial" w:hAnsi="Arial" w:cs="Arial"/>
          <w:sz w:val="20"/>
          <w:szCs w:val="20"/>
        </w:rPr>
        <w:t xml:space="preserve">obszaru polityki morskiej realizowanych </w:t>
      </w:r>
      <w:r w:rsidRPr="004C6CC5">
        <w:rPr>
          <w:rFonts w:ascii="Arial" w:hAnsi="Arial" w:cs="Arial"/>
          <w:sz w:val="20"/>
          <w:szCs w:val="20"/>
        </w:rPr>
        <w:br/>
        <w:t>w 2019</w:t>
      </w:r>
      <w:r w:rsidR="009D01B9" w:rsidRPr="004C6CC5">
        <w:rPr>
          <w:rFonts w:ascii="Arial" w:hAnsi="Arial" w:cs="Arial"/>
          <w:sz w:val="20"/>
          <w:szCs w:val="20"/>
        </w:rPr>
        <w:t xml:space="preserve"> r. </w:t>
      </w:r>
      <w:r w:rsidRPr="004C6CC5">
        <w:rPr>
          <w:rFonts w:ascii="Arial" w:hAnsi="Arial" w:cs="Arial"/>
          <w:sz w:val="20"/>
          <w:szCs w:val="20"/>
        </w:rPr>
        <w:t>przez uczelnie oraz jednostki naukowe według obowiązującej ustawowo klasyfikacji przedstawia załącznik nr 3 do sprawozdania.</w:t>
      </w:r>
    </w:p>
    <w:p w14:paraId="2EAD21FB" w14:textId="6FD8F4CF" w:rsidR="000C06CE" w:rsidRPr="00053997" w:rsidRDefault="007050BA" w:rsidP="009C021E">
      <w:pPr>
        <w:pStyle w:val="Nagwek3"/>
        <w:jc w:val="both"/>
        <w:rPr>
          <w:rFonts w:ascii="Arial" w:hAnsi="Arial" w:cs="Arial"/>
          <w:b/>
          <w:sz w:val="20"/>
          <w:szCs w:val="20"/>
        </w:rPr>
      </w:pPr>
      <w:bookmarkStart w:id="25" w:name="_Toc72745042"/>
      <w:r w:rsidRPr="00053997">
        <w:rPr>
          <w:rFonts w:ascii="Arial" w:hAnsi="Arial" w:cs="Arial"/>
          <w:b/>
          <w:color w:val="auto"/>
          <w:sz w:val="20"/>
          <w:szCs w:val="20"/>
        </w:rPr>
        <w:t>Uniwersytet Morski</w:t>
      </w:r>
      <w:r w:rsidR="004C6CC5" w:rsidRPr="00053997">
        <w:rPr>
          <w:rFonts w:ascii="Arial" w:hAnsi="Arial" w:cs="Arial"/>
          <w:b/>
          <w:color w:val="auto"/>
          <w:sz w:val="20"/>
          <w:szCs w:val="20"/>
        </w:rPr>
        <w:t xml:space="preserve"> w </w:t>
      </w:r>
      <w:r w:rsidRPr="00053997">
        <w:rPr>
          <w:rFonts w:ascii="Arial" w:hAnsi="Arial" w:cs="Arial"/>
          <w:b/>
          <w:color w:val="auto"/>
          <w:sz w:val="20"/>
          <w:szCs w:val="20"/>
        </w:rPr>
        <w:t>Gdyni</w:t>
      </w:r>
      <w:r w:rsidR="008D7BBA">
        <w:rPr>
          <w:rFonts w:ascii="Arial" w:hAnsi="Arial" w:cs="Arial"/>
          <w:b/>
          <w:color w:val="auto"/>
          <w:sz w:val="20"/>
          <w:szCs w:val="20"/>
        </w:rPr>
        <w:t>.</w:t>
      </w:r>
      <w:bookmarkEnd w:id="25"/>
    </w:p>
    <w:p w14:paraId="1B07F98B" w14:textId="77777777" w:rsidR="00021CB2" w:rsidRDefault="007050BA" w:rsidP="009C021E">
      <w:pPr>
        <w:spacing w:before="120" w:after="120" w:line="276" w:lineRule="auto"/>
        <w:jc w:val="both"/>
        <w:rPr>
          <w:rFonts w:ascii="Arial" w:hAnsi="Arial" w:cs="Arial"/>
          <w:sz w:val="20"/>
          <w:szCs w:val="20"/>
        </w:rPr>
      </w:pPr>
      <w:r w:rsidRPr="004C6CC5">
        <w:rPr>
          <w:rFonts w:ascii="Arial" w:hAnsi="Arial" w:cs="Arial"/>
          <w:sz w:val="20"/>
          <w:szCs w:val="20"/>
        </w:rPr>
        <w:t>Uniwersytet Morski</w:t>
      </w:r>
      <w:r w:rsidR="004C6CC5">
        <w:rPr>
          <w:rFonts w:ascii="Arial" w:hAnsi="Arial" w:cs="Arial"/>
          <w:sz w:val="20"/>
          <w:szCs w:val="20"/>
        </w:rPr>
        <w:t xml:space="preserve"> w </w:t>
      </w:r>
      <w:r w:rsidRPr="004C6CC5">
        <w:rPr>
          <w:rFonts w:ascii="Arial" w:hAnsi="Arial" w:cs="Arial"/>
          <w:sz w:val="20"/>
          <w:szCs w:val="20"/>
        </w:rPr>
        <w:t>Gdyni kształci specjalistów zgodnie ze strategią rozwoju szkolnictwa wyższego</w:t>
      </w:r>
      <w:r w:rsidR="004C6CC5">
        <w:rPr>
          <w:rFonts w:ascii="Arial" w:hAnsi="Arial" w:cs="Arial"/>
          <w:sz w:val="20"/>
          <w:szCs w:val="20"/>
        </w:rPr>
        <w:t xml:space="preserve"> w </w:t>
      </w:r>
      <w:r w:rsidRPr="004C6CC5">
        <w:rPr>
          <w:rFonts w:ascii="Arial" w:hAnsi="Arial" w:cs="Arial"/>
          <w:sz w:val="20"/>
          <w:szCs w:val="20"/>
        </w:rPr>
        <w:t>Polsce</w:t>
      </w:r>
      <w:r w:rsidR="00021CB2">
        <w:rPr>
          <w:rFonts w:ascii="Arial" w:hAnsi="Arial" w:cs="Arial"/>
          <w:sz w:val="20"/>
          <w:szCs w:val="20"/>
        </w:rPr>
        <w:t>,</w:t>
      </w:r>
      <w:r w:rsidRPr="004C6CC5">
        <w:rPr>
          <w:rFonts w:ascii="Arial" w:hAnsi="Arial" w:cs="Arial"/>
          <w:sz w:val="20"/>
          <w:szCs w:val="20"/>
        </w:rPr>
        <w:t xml:space="preserve"> jak</w:t>
      </w:r>
      <w:r w:rsidR="004C6CC5">
        <w:rPr>
          <w:rFonts w:ascii="Arial" w:hAnsi="Arial" w:cs="Arial"/>
          <w:sz w:val="20"/>
          <w:szCs w:val="20"/>
        </w:rPr>
        <w:t xml:space="preserve"> i z </w:t>
      </w:r>
      <w:r w:rsidRPr="004C6CC5">
        <w:rPr>
          <w:rFonts w:ascii="Arial" w:hAnsi="Arial" w:cs="Arial"/>
          <w:sz w:val="20"/>
          <w:szCs w:val="20"/>
        </w:rPr>
        <w:t xml:space="preserve">założeniami polityki morskiej RP. Oferowane programy nauczania spełniają krajowe </w:t>
      </w:r>
      <w:r w:rsidRPr="004C6CC5">
        <w:rPr>
          <w:rFonts w:ascii="Arial" w:hAnsi="Arial" w:cs="Arial"/>
          <w:sz w:val="20"/>
          <w:szCs w:val="20"/>
        </w:rPr>
        <w:br/>
        <w:t xml:space="preserve">i międzynarodowe standardy oraz pozwalają absolwentom skutecznie konkurować na rynku pracy. </w:t>
      </w:r>
      <w:r w:rsidR="00021CB2">
        <w:rPr>
          <w:rFonts w:ascii="Arial" w:hAnsi="Arial" w:cs="Arial"/>
          <w:sz w:val="20"/>
          <w:szCs w:val="20"/>
        </w:rPr>
        <w:t>Uczelnia</w:t>
      </w:r>
      <w:r w:rsidRPr="004C6CC5">
        <w:rPr>
          <w:rFonts w:ascii="Arial" w:hAnsi="Arial" w:cs="Arial"/>
          <w:sz w:val="20"/>
          <w:szCs w:val="20"/>
        </w:rPr>
        <w:t xml:space="preserve"> kształci studentów na czterech wydziałach: Nawigacyjnym, Mechanicznym, Elektrycznym oraz Przedsiębiorczości</w:t>
      </w:r>
      <w:r w:rsidR="004C6CC5">
        <w:rPr>
          <w:rFonts w:ascii="Arial" w:hAnsi="Arial" w:cs="Arial"/>
          <w:sz w:val="20"/>
          <w:szCs w:val="20"/>
        </w:rPr>
        <w:t xml:space="preserve"> i </w:t>
      </w:r>
      <w:r w:rsidRPr="004C6CC5">
        <w:rPr>
          <w:rFonts w:ascii="Arial" w:hAnsi="Arial" w:cs="Arial"/>
          <w:sz w:val="20"/>
          <w:szCs w:val="20"/>
        </w:rPr>
        <w:t xml:space="preserve">Towaroznawstwa. </w:t>
      </w:r>
    </w:p>
    <w:p w14:paraId="21897F59" w14:textId="77777777" w:rsidR="00376FC1" w:rsidRPr="004C6CC5" w:rsidRDefault="00376FC1" w:rsidP="00376FC1">
      <w:pPr>
        <w:spacing w:after="120" w:line="276" w:lineRule="auto"/>
        <w:jc w:val="both"/>
        <w:rPr>
          <w:rFonts w:ascii="Arial" w:hAnsi="Arial" w:cs="Arial"/>
          <w:sz w:val="20"/>
          <w:szCs w:val="20"/>
        </w:rPr>
      </w:pPr>
      <w:r w:rsidRPr="004C6CC5">
        <w:rPr>
          <w:rFonts w:ascii="Arial" w:hAnsi="Arial" w:cs="Arial"/>
          <w:sz w:val="20"/>
          <w:szCs w:val="20"/>
        </w:rPr>
        <w:t>W 2019 r. na Uniwersytecie Morskim</w:t>
      </w:r>
      <w:r>
        <w:rPr>
          <w:rFonts w:ascii="Arial" w:hAnsi="Arial" w:cs="Arial"/>
          <w:sz w:val="20"/>
          <w:szCs w:val="20"/>
        </w:rPr>
        <w:t xml:space="preserve"> w </w:t>
      </w:r>
      <w:r w:rsidRPr="004C6CC5">
        <w:rPr>
          <w:rFonts w:ascii="Arial" w:hAnsi="Arial" w:cs="Arial"/>
          <w:sz w:val="20"/>
          <w:szCs w:val="20"/>
        </w:rPr>
        <w:t>Gdyni łącznie na wszystkich rodzajach studiów zdobywało wiedzę 4074 studentów,</w:t>
      </w:r>
      <w:r>
        <w:rPr>
          <w:rFonts w:ascii="Arial" w:hAnsi="Arial" w:cs="Arial"/>
          <w:sz w:val="20"/>
          <w:szCs w:val="20"/>
        </w:rPr>
        <w:t xml:space="preserve"> w </w:t>
      </w:r>
      <w:r w:rsidRPr="004C6CC5">
        <w:rPr>
          <w:rFonts w:ascii="Arial" w:hAnsi="Arial" w:cs="Arial"/>
          <w:sz w:val="20"/>
          <w:szCs w:val="20"/>
        </w:rPr>
        <w:t xml:space="preserve">tym 1527 studentów kształciło się zgodnie z wymaganiami Konwencji STCW. </w:t>
      </w:r>
    </w:p>
    <w:p w14:paraId="5023E971" w14:textId="245BFA6E" w:rsidR="00376FC1" w:rsidRPr="00376FC1" w:rsidRDefault="007050BA" w:rsidP="00376FC1">
      <w:pPr>
        <w:spacing w:before="120" w:after="120" w:line="276" w:lineRule="auto"/>
        <w:jc w:val="both"/>
        <w:rPr>
          <w:rFonts w:ascii="Arial" w:hAnsi="Arial" w:cs="Arial"/>
          <w:sz w:val="20"/>
          <w:szCs w:val="20"/>
        </w:rPr>
      </w:pPr>
      <w:r w:rsidRPr="00376FC1">
        <w:rPr>
          <w:rFonts w:ascii="Arial" w:hAnsi="Arial" w:cs="Arial"/>
          <w:sz w:val="20"/>
          <w:szCs w:val="20"/>
        </w:rPr>
        <w:t>Zgodnie</w:t>
      </w:r>
      <w:r w:rsidR="004C6CC5" w:rsidRPr="00376FC1">
        <w:rPr>
          <w:rFonts w:ascii="Arial" w:hAnsi="Arial" w:cs="Arial"/>
          <w:sz w:val="20"/>
          <w:szCs w:val="20"/>
        </w:rPr>
        <w:t xml:space="preserve"> z </w:t>
      </w:r>
      <w:r w:rsidRPr="00376FC1">
        <w:rPr>
          <w:rFonts w:ascii="Arial" w:hAnsi="Arial" w:cs="Arial"/>
          <w:sz w:val="20"/>
          <w:szCs w:val="20"/>
        </w:rPr>
        <w:t>rozporządzeniem określającym nową klasyfikację dziedzin</w:t>
      </w:r>
      <w:r w:rsidR="002A45AB">
        <w:rPr>
          <w:rFonts w:ascii="Arial" w:hAnsi="Arial" w:cs="Arial"/>
          <w:sz w:val="20"/>
          <w:szCs w:val="20"/>
        </w:rPr>
        <w:t xml:space="preserve"> i </w:t>
      </w:r>
      <w:r w:rsidRPr="00376FC1">
        <w:rPr>
          <w:rFonts w:ascii="Arial" w:hAnsi="Arial" w:cs="Arial"/>
          <w:sz w:val="20"/>
          <w:szCs w:val="20"/>
        </w:rPr>
        <w:t>dyscyplin oraz zgodnie</w:t>
      </w:r>
      <w:r w:rsidR="002A45AB">
        <w:rPr>
          <w:rFonts w:ascii="Arial" w:hAnsi="Arial" w:cs="Arial"/>
          <w:sz w:val="20"/>
          <w:szCs w:val="20"/>
        </w:rPr>
        <w:t xml:space="preserve"> </w:t>
      </w:r>
      <w:r w:rsidR="004C6CC5" w:rsidRPr="00376FC1">
        <w:rPr>
          <w:rFonts w:ascii="Arial" w:hAnsi="Arial" w:cs="Arial"/>
          <w:sz w:val="20"/>
          <w:szCs w:val="20"/>
        </w:rPr>
        <w:t>z </w:t>
      </w:r>
      <w:r w:rsidRPr="00376FC1">
        <w:rPr>
          <w:rFonts w:ascii="Arial" w:hAnsi="Arial" w:cs="Arial"/>
          <w:sz w:val="20"/>
          <w:szCs w:val="20"/>
        </w:rPr>
        <w:t xml:space="preserve">Komunikatem Centralnej Komisji ds. </w:t>
      </w:r>
      <w:r w:rsidR="002A45AB">
        <w:rPr>
          <w:rFonts w:ascii="Arial" w:hAnsi="Arial" w:cs="Arial"/>
          <w:sz w:val="20"/>
          <w:szCs w:val="20"/>
        </w:rPr>
        <w:t xml:space="preserve">Tytułów, </w:t>
      </w:r>
      <w:r w:rsidRPr="00376FC1">
        <w:rPr>
          <w:rFonts w:ascii="Arial" w:hAnsi="Arial" w:cs="Arial"/>
          <w:sz w:val="20"/>
          <w:szCs w:val="20"/>
        </w:rPr>
        <w:t>Uniwersytet Morski</w:t>
      </w:r>
      <w:r w:rsidR="004C6CC5" w:rsidRPr="00376FC1">
        <w:rPr>
          <w:rFonts w:ascii="Arial" w:hAnsi="Arial" w:cs="Arial"/>
          <w:sz w:val="20"/>
          <w:szCs w:val="20"/>
        </w:rPr>
        <w:t xml:space="preserve"> w </w:t>
      </w:r>
      <w:r w:rsidRPr="00376FC1">
        <w:rPr>
          <w:rFonts w:ascii="Arial" w:hAnsi="Arial" w:cs="Arial"/>
          <w:sz w:val="20"/>
          <w:szCs w:val="20"/>
        </w:rPr>
        <w:t>Gdyni posiada uprawnienia do nadawania stopnia naukowego</w:t>
      </w:r>
      <w:r w:rsidR="00376FC1" w:rsidRPr="00376FC1">
        <w:rPr>
          <w:rFonts w:ascii="Arial" w:hAnsi="Arial" w:cs="Arial"/>
          <w:sz w:val="20"/>
          <w:szCs w:val="20"/>
        </w:rPr>
        <w:t>:</w:t>
      </w:r>
    </w:p>
    <w:p w14:paraId="297233AC" w14:textId="6EB2B01C" w:rsidR="00376FC1" w:rsidRPr="00376FC1" w:rsidRDefault="000B3D97" w:rsidP="000B3D97">
      <w:pPr>
        <w:spacing w:before="120" w:after="120" w:line="276" w:lineRule="auto"/>
        <w:jc w:val="both"/>
        <w:rPr>
          <w:rFonts w:ascii="Arial" w:hAnsi="Arial" w:cs="Arial"/>
          <w:sz w:val="20"/>
          <w:szCs w:val="20"/>
        </w:rPr>
      </w:pPr>
      <w:r>
        <w:rPr>
          <w:rFonts w:ascii="Arial" w:hAnsi="Arial" w:cs="Arial"/>
          <w:sz w:val="20"/>
          <w:szCs w:val="20"/>
        </w:rPr>
        <w:t xml:space="preserve">- stopień doktora habilitowanego </w:t>
      </w:r>
      <w:r w:rsidR="00376FC1" w:rsidRPr="00376FC1">
        <w:rPr>
          <w:rFonts w:ascii="Arial" w:hAnsi="Arial" w:cs="Arial"/>
          <w:sz w:val="20"/>
          <w:szCs w:val="20"/>
        </w:rPr>
        <w:t>w dziedzinie nauk inżyniery</w:t>
      </w:r>
      <w:r w:rsidR="00183FB6">
        <w:rPr>
          <w:rFonts w:ascii="Arial" w:hAnsi="Arial" w:cs="Arial"/>
          <w:sz w:val="20"/>
          <w:szCs w:val="20"/>
        </w:rPr>
        <w:t xml:space="preserve">jno-technicznych, w dyscyplinie </w:t>
      </w:r>
      <w:r>
        <w:rPr>
          <w:rFonts w:ascii="Arial" w:hAnsi="Arial" w:cs="Arial"/>
          <w:bCs/>
          <w:sz w:val="20"/>
          <w:szCs w:val="20"/>
        </w:rPr>
        <w:t xml:space="preserve">Automatyka, elektronika </w:t>
      </w:r>
      <w:r w:rsidR="00376FC1" w:rsidRPr="00376FC1">
        <w:rPr>
          <w:rFonts w:ascii="Arial" w:hAnsi="Arial" w:cs="Arial"/>
          <w:bCs/>
          <w:sz w:val="20"/>
          <w:szCs w:val="20"/>
        </w:rPr>
        <w:t>i elektrotechnika</w:t>
      </w:r>
      <w:r>
        <w:rPr>
          <w:rFonts w:ascii="Arial" w:hAnsi="Arial" w:cs="Arial"/>
          <w:bCs/>
          <w:sz w:val="20"/>
          <w:szCs w:val="20"/>
        </w:rPr>
        <w:t xml:space="preserve"> oraz </w:t>
      </w:r>
      <w:r w:rsidR="00376FC1" w:rsidRPr="00376FC1">
        <w:rPr>
          <w:rFonts w:ascii="Arial" w:hAnsi="Arial" w:cs="Arial"/>
          <w:sz w:val="20"/>
          <w:szCs w:val="20"/>
        </w:rPr>
        <w:t>w dziedzinie nauk społecznych, w dyscyplinie </w:t>
      </w:r>
      <w:r w:rsidR="00376FC1" w:rsidRPr="00376FC1">
        <w:rPr>
          <w:rFonts w:ascii="Arial" w:hAnsi="Arial" w:cs="Arial"/>
          <w:bCs/>
          <w:sz w:val="20"/>
          <w:szCs w:val="20"/>
        </w:rPr>
        <w:t xml:space="preserve">Nauki </w:t>
      </w:r>
      <w:r w:rsidR="0065459E">
        <w:rPr>
          <w:rFonts w:ascii="Arial" w:hAnsi="Arial" w:cs="Arial"/>
          <w:bCs/>
          <w:sz w:val="20"/>
          <w:szCs w:val="20"/>
        </w:rPr>
        <w:br/>
      </w:r>
      <w:r w:rsidR="00376FC1" w:rsidRPr="00376FC1">
        <w:rPr>
          <w:rFonts w:ascii="Arial" w:hAnsi="Arial" w:cs="Arial"/>
          <w:bCs/>
          <w:sz w:val="20"/>
          <w:szCs w:val="20"/>
        </w:rPr>
        <w:t>o zarządzaniu i jakości</w:t>
      </w:r>
      <w:r w:rsidR="00376FC1">
        <w:rPr>
          <w:rFonts w:ascii="Arial" w:hAnsi="Arial" w:cs="Arial"/>
          <w:bCs/>
          <w:sz w:val="20"/>
          <w:szCs w:val="20"/>
        </w:rPr>
        <w:t>;</w:t>
      </w:r>
    </w:p>
    <w:p w14:paraId="1D35041C" w14:textId="16D44864" w:rsidR="00376FC1" w:rsidRPr="000B3D97" w:rsidRDefault="000B3D97" w:rsidP="000B3D97">
      <w:pPr>
        <w:spacing w:before="120" w:after="120" w:line="240" w:lineRule="auto"/>
        <w:jc w:val="both"/>
        <w:rPr>
          <w:rFonts w:ascii="Arial" w:hAnsi="Arial" w:cs="Arial"/>
          <w:sz w:val="20"/>
          <w:szCs w:val="20"/>
        </w:rPr>
      </w:pPr>
      <w:r>
        <w:rPr>
          <w:rFonts w:ascii="Arial" w:hAnsi="Arial" w:cs="Arial"/>
          <w:sz w:val="20"/>
          <w:szCs w:val="20"/>
        </w:rPr>
        <w:lastRenderedPageBreak/>
        <w:t xml:space="preserve">- </w:t>
      </w:r>
      <w:r w:rsidR="00376FC1" w:rsidRPr="000B3D97">
        <w:rPr>
          <w:rFonts w:ascii="Arial" w:hAnsi="Arial" w:cs="Arial"/>
          <w:sz w:val="20"/>
          <w:szCs w:val="20"/>
        </w:rPr>
        <w:t>stopień doktora:</w:t>
      </w:r>
    </w:p>
    <w:p w14:paraId="15EB699C" w14:textId="22BDEDE6" w:rsidR="00376FC1" w:rsidRPr="00376FC1" w:rsidRDefault="00376FC1" w:rsidP="00376FC1">
      <w:pPr>
        <w:spacing w:before="120" w:after="120" w:line="240" w:lineRule="auto"/>
        <w:jc w:val="both"/>
        <w:rPr>
          <w:rFonts w:ascii="Arial" w:hAnsi="Arial" w:cs="Arial"/>
          <w:sz w:val="20"/>
          <w:szCs w:val="20"/>
        </w:rPr>
      </w:pPr>
      <w:r>
        <w:rPr>
          <w:rFonts w:ascii="Arial" w:hAnsi="Arial" w:cs="Arial"/>
          <w:sz w:val="20"/>
          <w:szCs w:val="20"/>
        </w:rPr>
        <w:t xml:space="preserve">- </w:t>
      </w:r>
      <w:r w:rsidRPr="00376FC1">
        <w:rPr>
          <w:rFonts w:ascii="Arial" w:hAnsi="Arial" w:cs="Arial"/>
          <w:sz w:val="20"/>
          <w:szCs w:val="20"/>
        </w:rPr>
        <w:t>w dziedzinie nauk inżynieryjno-technicznych, w dyscyplinie </w:t>
      </w:r>
      <w:r w:rsidRPr="00376FC1">
        <w:rPr>
          <w:rFonts w:ascii="Arial" w:hAnsi="Arial" w:cs="Arial"/>
          <w:bCs/>
          <w:sz w:val="20"/>
          <w:szCs w:val="20"/>
        </w:rPr>
        <w:t>Automatyka, elektronika i elektrotechnika</w:t>
      </w:r>
      <w:r>
        <w:rPr>
          <w:rFonts w:ascii="Arial" w:hAnsi="Arial" w:cs="Arial"/>
          <w:bCs/>
          <w:sz w:val="20"/>
          <w:szCs w:val="20"/>
        </w:rPr>
        <w:t>;</w:t>
      </w:r>
    </w:p>
    <w:p w14:paraId="033F4B6F" w14:textId="6B5C538A" w:rsidR="00376FC1" w:rsidRPr="00376FC1" w:rsidRDefault="00376FC1" w:rsidP="00376FC1">
      <w:pPr>
        <w:spacing w:before="120" w:after="120" w:line="240" w:lineRule="auto"/>
        <w:jc w:val="both"/>
        <w:rPr>
          <w:rFonts w:ascii="Arial" w:hAnsi="Arial" w:cs="Arial"/>
          <w:sz w:val="20"/>
          <w:szCs w:val="20"/>
        </w:rPr>
      </w:pPr>
      <w:r>
        <w:rPr>
          <w:rFonts w:ascii="Arial" w:hAnsi="Arial" w:cs="Arial"/>
          <w:sz w:val="20"/>
          <w:szCs w:val="20"/>
        </w:rPr>
        <w:t xml:space="preserve">- </w:t>
      </w:r>
      <w:r w:rsidRPr="00376FC1">
        <w:rPr>
          <w:rFonts w:ascii="Arial" w:hAnsi="Arial" w:cs="Arial"/>
          <w:sz w:val="20"/>
          <w:szCs w:val="20"/>
        </w:rPr>
        <w:t>w dziedzinie nauk inżynieryjno-technicznych, w dyscyplinie </w:t>
      </w:r>
      <w:r w:rsidRPr="00376FC1">
        <w:rPr>
          <w:rFonts w:ascii="Arial" w:hAnsi="Arial" w:cs="Arial"/>
          <w:bCs/>
          <w:sz w:val="20"/>
          <w:szCs w:val="20"/>
        </w:rPr>
        <w:t>Inżynieria lądowa i transport</w:t>
      </w:r>
      <w:r>
        <w:rPr>
          <w:rFonts w:ascii="Arial" w:hAnsi="Arial" w:cs="Arial"/>
          <w:bCs/>
          <w:sz w:val="20"/>
          <w:szCs w:val="20"/>
        </w:rPr>
        <w:t>;</w:t>
      </w:r>
    </w:p>
    <w:p w14:paraId="2E3D98EC" w14:textId="4FFDBDCF" w:rsidR="00376FC1" w:rsidRPr="00376FC1" w:rsidRDefault="00376FC1" w:rsidP="00376FC1">
      <w:pPr>
        <w:spacing w:before="120" w:after="120" w:line="240" w:lineRule="auto"/>
        <w:jc w:val="both"/>
        <w:rPr>
          <w:rFonts w:ascii="Arial" w:hAnsi="Arial" w:cs="Arial"/>
          <w:sz w:val="20"/>
          <w:szCs w:val="20"/>
        </w:rPr>
      </w:pPr>
      <w:r>
        <w:rPr>
          <w:rFonts w:ascii="Arial" w:hAnsi="Arial" w:cs="Arial"/>
          <w:sz w:val="20"/>
          <w:szCs w:val="20"/>
        </w:rPr>
        <w:t xml:space="preserve">- </w:t>
      </w:r>
      <w:r w:rsidRPr="00376FC1">
        <w:rPr>
          <w:rFonts w:ascii="Arial" w:hAnsi="Arial" w:cs="Arial"/>
          <w:sz w:val="20"/>
          <w:szCs w:val="20"/>
        </w:rPr>
        <w:t>w dziedzinie nauk inżynieryjno-technicznych, w dyscyplinie </w:t>
      </w:r>
      <w:r w:rsidRPr="00376FC1">
        <w:rPr>
          <w:rFonts w:ascii="Arial" w:hAnsi="Arial" w:cs="Arial"/>
          <w:bCs/>
          <w:sz w:val="20"/>
          <w:szCs w:val="20"/>
        </w:rPr>
        <w:t>Inżynieria mechaniczna</w:t>
      </w:r>
      <w:r>
        <w:rPr>
          <w:rFonts w:ascii="Arial" w:hAnsi="Arial" w:cs="Arial"/>
          <w:bCs/>
          <w:sz w:val="20"/>
          <w:szCs w:val="20"/>
        </w:rPr>
        <w:t>;</w:t>
      </w:r>
    </w:p>
    <w:p w14:paraId="0C20670A" w14:textId="54677E99" w:rsidR="00376FC1" w:rsidRPr="00376FC1" w:rsidRDefault="00376FC1" w:rsidP="00376FC1">
      <w:pPr>
        <w:spacing w:before="120" w:after="120" w:line="240" w:lineRule="auto"/>
        <w:jc w:val="both"/>
        <w:rPr>
          <w:rFonts w:ascii="Arial" w:hAnsi="Arial" w:cs="Arial"/>
          <w:sz w:val="20"/>
          <w:szCs w:val="20"/>
        </w:rPr>
      </w:pPr>
      <w:r>
        <w:rPr>
          <w:rFonts w:ascii="Arial" w:hAnsi="Arial" w:cs="Arial"/>
          <w:sz w:val="20"/>
          <w:szCs w:val="20"/>
        </w:rPr>
        <w:t xml:space="preserve">- </w:t>
      </w:r>
      <w:r w:rsidRPr="00376FC1">
        <w:rPr>
          <w:rFonts w:ascii="Arial" w:hAnsi="Arial" w:cs="Arial"/>
          <w:sz w:val="20"/>
          <w:szCs w:val="20"/>
        </w:rPr>
        <w:t>w dziedzinie nauk społecznych, w dyscyplinie </w:t>
      </w:r>
      <w:r w:rsidRPr="00376FC1">
        <w:rPr>
          <w:rFonts w:ascii="Arial" w:hAnsi="Arial" w:cs="Arial"/>
          <w:bCs/>
          <w:sz w:val="20"/>
          <w:szCs w:val="20"/>
        </w:rPr>
        <w:t>Nauki i zarządzaniu i jakości</w:t>
      </w:r>
      <w:r>
        <w:rPr>
          <w:rFonts w:ascii="Arial" w:hAnsi="Arial" w:cs="Arial"/>
          <w:bCs/>
          <w:sz w:val="20"/>
          <w:szCs w:val="20"/>
        </w:rPr>
        <w:t>.</w:t>
      </w:r>
    </w:p>
    <w:p w14:paraId="068DF873" w14:textId="71DAA792" w:rsidR="00376FC1" w:rsidRPr="004C6CC5" w:rsidRDefault="00376FC1" w:rsidP="00376FC1">
      <w:pPr>
        <w:spacing w:after="120" w:line="276" w:lineRule="auto"/>
        <w:jc w:val="both"/>
        <w:rPr>
          <w:rFonts w:ascii="Arial" w:hAnsi="Arial" w:cs="Arial"/>
          <w:sz w:val="20"/>
          <w:szCs w:val="20"/>
        </w:rPr>
      </w:pPr>
      <w:r>
        <w:rPr>
          <w:rFonts w:ascii="Arial" w:hAnsi="Arial" w:cs="Arial"/>
          <w:sz w:val="20"/>
          <w:szCs w:val="20"/>
        </w:rPr>
        <w:t>W </w:t>
      </w:r>
      <w:r w:rsidR="0096539A">
        <w:rPr>
          <w:rFonts w:ascii="Arial" w:hAnsi="Arial" w:cs="Arial"/>
          <w:sz w:val="20"/>
          <w:szCs w:val="20"/>
        </w:rPr>
        <w:t>2019 r.</w:t>
      </w:r>
      <w:r w:rsidRPr="004C6CC5">
        <w:rPr>
          <w:rFonts w:ascii="Arial" w:hAnsi="Arial" w:cs="Arial"/>
          <w:sz w:val="20"/>
          <w:szCs w:val="20"/>
        </w:rPr>
        <w:t xml:space="preserve"> sześciu pracowników kadry naukowej uzyskało stopień naukowy doktora habilitowanego, </w:t>
      </w:r>
      <w:r w:rsidR="0096539A">
        <w:rPr>
          <w:rFonts w:ascii="Arial" w:hAnsi="Arial" w:cs="Arial"/>
          <w:sz w:val="20"/>
          <w:szCs w:val="20"/>
        </w:rPr>
        <w:br/>
      </w:r>
      <w:r w:rsidRPr="004C6CC5">
        <w:rPr>
          <w:rFonts w:ascii="Arial" w:hAnsi="Arial" w:cs="Arial"/>
          <w:sz w:val="20"/>
          <w:szCs w:val="20"/>
        </w:rPr>
        <w:t xml:space="preserve">a siedemnastu asystentów otrzymało stopień naukowy doktora. </w:t>
      </w:r>
    </w:p>
    <w:p w14:paraId="48840D8C" w14:textId="1C0AE70A" w:rsidR="00376FC1"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Obok kształcenia przyszłych kadr morskich ważnym obszarem działalności Uniwersytetu Morskiego </w:t>
      </w:r>
      <w:r w:rsidRPr="004C6CC5">
        <w:rPr>
          <w:rFonts w:ascii="Arial" w:hAnsi="Arial" w:cs="Arial"/>
          <w:sz w:val="20"/>
          <w:szCs w:val="20"/>
        </w:rPr>
        <w:br/>
        <w:t>w Gdyni jest działalność naukowo-badawcza</w:t>
      </w:r>
      <w:r w:rsidR="00376FC1">
        <w:rPr>
          <w:rFonts w:ascii="Arial" w:hAnsi="Arial" w:cs="Arial"/>
          <w:sz w:val="20"/>
          <w:szCs w:val="20"/>
        </w:rPr>
        <w:t xml:space="preserve"> i </w:t>
      </w:r>
      <w:r w:rsidRPr="004C6CC5">
        <w:rPr>
          <w:rFonts w:ascii="Arial" w:hAnsi="Arial" w:cs="Arial"/>
          <w:sz w:val="20"/>
          <w:szCs w:val="20"/>
        </w:rPr>
        <w:t xml:space="preserve">badawczo-rozwojowa. Na czterech wydziałach prowadzone są prace badawcze finansowane ze środków przeznaczonych na działalność statutową </w:t>
      </w:r>
      <w:r w:rsidRPr="004C6CC5">
        <w:rPr>
          <w:rFonts w:ascii="Arial" w:hAnsi="Arial" w:cs="Arial"/>
          <w:sz w:val="20"/>
          <w:szCs w:val="20"/>
        </w:rPr>
        <w:br/>
        <w:t>w ramach subwencji budżetowej. Ze środków przyznanych wydziałom na działalność badawczą finansowane są projekty zespołowe</w:t>
      </w:r>
      <w:r w:rsidR="004C6CC5">
        <w:rPr>
          <w:rFonts w:ascii="Arial" w:hAnsi="Arial" w:cs="Arial"/>
          <w:sz w:val="20"/>
          <w:szCs w:val="20"/>
        </w:rPr>
        <w:t xml:space="preserve"> i </w:t>
      </w:r>
      <w:r w:rsidR="00376FC1">
        <w:rPr>
          <w:rFonts w:ascii="Arial" w:hAnsi="Arial" w:cs="Arial"/>
          <w:sz w:val="20"/>
          <w:szCs w:val="20"/>
        </w:rPr>
        <w:t>indywidu</w:t>
      </w:r>
      <w:r w:rsidRPr="004C6CC5">
        <w:rPr>
          <w:rFonts w:ascii="Arial" w:hAnsi="Arial" w:cs="Arial"/>
          <w:sz w:val="20"/>
          <w:szCs w:val="20"/>
        </w:rPr>
        <w:t>a</w:t>
      </w:r>
      <w:r w:rsidR="00376FC1">
        <w:rPr>
          <w:rFonts w:ascii="Arial" w:hAnsi="Arial" w:cs="Arial"/>
          <w:sz w:val="20"/>
          <w:szCs w:val="20"/>
        </w:rPr>
        <w:t>l</w:t>
      </w:r>
      <w:r w:rsidRPr="004C6CC5">
        <w:rPr>
          <w:rFonts w:ascii="Arial" w:hAnsi="Arial" w:cs="Arial"/>
          <w:sz w:val="20"/>
          <w:szCs w:val="20"/>
        </w:rPr>
        <w:t xml:space="preserve">ne. Ponadto środki finansowe na realizację projektów </w:t>
      </w:r>
      <w:r w:rsidR="00121CDE">
        <w:rPr>
          <w:rFonts w:ascii="Arial" w:hAnsi="Arial" w:cs="Arial"/>
          <w:sz w:val="20"/>
          <w:szCs w:val="20"/>
        </w:rPr>
        <w:br/>
      </w:r>
      <w:r w:rsidRPr="004C6CC5">
        <w:rPr>
          <w:rFonts w:ascii="Arial" w:hAnsi="Arial" w:cs="Arial"/>
          <w:sz w:val="20"/>
          <w:szCs w:val="20"/>
        </w:rPr>
        <w:t>o charakterze badawczym</w:t>
      </w:r>
      <w:r w:rsidR="004C6CC5">
        <w:rPr>
          <w:rFonts w:ascii="Arial" w:hAnsi="Arial" w:cs="Arial"/>
          <w:sz w:val="20"/>
          <w:szCs w:val="20"/>
        </w:rPr>
        <w:t xml:space="preserve"> i </w:t>
      </w:r>
      <w:r w:rsidRPr="004C6CC5">
        <w:rPr>
          <w:rFonts w:ascii="Arial" w:hAnsi="Arial" w:cs="Arial"/>
          <w:sz w:val="20"/>
          <w:szCs w:val="20"/>
        </w:rPr>
        <w:t>badawczo-rozwojowym Uniwersytet Morski</w:t>
      </w:r>
      <w:r w:rsidR="004C6CC5">
        <w:rPr>
          <w:rFonts w:ascii="Arial" w:hAnsi="Arial" w:cs="Arial"/>
          <w:sz w:val="20"/>
          <w:szCs w:val="20"/>
        </w:rPr>
        <w:t xml:space="preserve"> w </w:t>
      </w:r>
      <w:r w:rsidRPr="004C6CC5">
        <w:rPr>
          <w:rFonts w:ascii="Arial" w:hAnsi="Arial" w:cs="Arial"/>
          <w:sz w:val="20"/>
          <w:szCs w:val="20"/>
        </w:rPr>
        <w:t>Gdyni pozyskuje również</w:t>
      </w:r>
      <w:r w:rsidR="004C6CC5">
        <w:rPr>
          <w:rFonts w:ascii="Arial" w:hAnsi="Arial" w:cs="Arial"/>
          <w:sz w:val="20"/>
          <w:szCs w:val="20"/>
        </w:rPr>
        <w:t xml:space="preserve"> z </w:t>
      </w:r>
      <w:r w:rsidRPr="004C6CC5">
        <w:rPr>
          <w:rFonts w:ascii="Arial" w:hAnsi="Arial" w:cs="Arial"/>
          <w:sz w:val="20"/>
          <w:szCs w:val="20"/>
        </w:rPr>
        <w:t>Narodowego Centrum Nauki</w:t>
      </w:r>
      <w:r w:rsidR="004C6CC5">
        <w:rPr>
          <w:rFonts w:ascii="Arial" w:hAnsi="Arial" w:cs="Arial"/>
          <w:sz w:val="20"/>
          <w:szCs w:val="20"/>
        </w:rPr>
        <w:t xml:space="preserve"> w </w:t>
      </w:r>
      <w:r w:rsidRPr="004C6CC5">
        <w:rPr>
          <w:rFonts w:ascii="Arial" w:hAnsi="Arial" w:cs="Arial"/>
          <w:sz w:val="20"/>
          <w:szCs w:val="20"/>
        </w:rPr>
        <w:t>Krakowie, Narodowego Centrum Badań</w:t>
      </w:r>
      <w:r w:rsidR="004C6CC5">
        <w:rPr>
          <w:rFonts w:ascii="Arial" w:hAnsi="Arial" w:cs="Arial"/>
          <w:sz w:val="20"/>
          <w:szCs w:val="20"/>
        </w:rPr>
        <w:t xml:space="preserve"> i </w:t>
      </w:r>
      <w:r w:rsidRPr="004C6CC5">
        <w:rPr>
          <w:rFonts w:ascii="Arial" w:hAnsi="Arial" w:cs="Arial"/>
          <w:sz w:val="20"/>
          <w:szCs w:val="20"/>
        </w:rPr>
        <w:t>Rozwoju</w:t>
      </w:r>
      <w:r w:rsidR="004C6CC5">
        <w:rPr>
          <w:rFonts w:ascii="Arial" w:hAnsi="Arial" w:cs="Arial"/>
          <w:sz w:val="20"/>
          <w:szCs w:val="20"/>
        </w:rPr>
        <w:t xml:space="preserve"> w </w:t>
      </w:r>
      <w:r w:rsidRPr="004C6CC5">
        <w:rPr>
          <w:rFonts w:ascii="Arial" w:hAnsi="Arial" w:cs="Arial"/>
          <w:sz w:val="20"/>
          <w:szCs w:val="20"/>
        </w:rPr>
        <w:t>Warszawie, Ministerstwa Nauki</w:t>
      </w:r>
      <w:r w:rsidR="004C6CC5">
        <w:rPr>
          <w:rFonts w:ascii="Arial" w:hAnsi="Arial" w:cs="Arial"/>
          <w:sz w:val="20"/>
          <w:szCs w:val="20"/>
        </w:rPr>
        <w:t xml:space="preserve"> i </w:t>
      </w:r>
      <w:r w:rsidRPr="004C6CC5">
        <w:rPr>
          <w:rFonts w:ascii="Arial" w:hAnsi="Arial" w:cs="Arial"/>
          <w:sz w:val="20"/>
          <w:szCs w:val="20"/>
        </w:rPr>
        <w:t>Szkolnictw</w:t>
      </w:r>
      <w:r w:rsidR="00B51231">
        <w:rPr>
          <w:rFonts w:ascii="Arial" w:hAnsi="Arial" w:cs="Arial"/>
          <w:sz w:val="20"/>
          <w:szCs w:val="20"/>
        </w:rPr>
        <w:t xml:space="preserve">a Wyższego oraz instytucji UE i </w:t>
      </w:r>
      <w:r w:rsidRPr="004C6CC5">
        <w:rPr>
          <w:rFonts w:ascii="Arial" w:hAnsi="Arial" w:cs="Arial"/>
          <w:sz w:val="20"/>
          <w:szCs w:val="20"/>
        </w:rPr>
        <w:t>organizacji międzynarodowych. Prowadzone badania naukowe, liczne publikacje oraz uczestnictwo</w:t>
      </w:r>
      <w:r w:rsidR="004C6CC5">
        <w:rPr>
          <w:rFonts w:ascii="Arial" w:hAnsi="Arial" w:cs="Arial"/>
          <w:sz w:val="20"/>
          <w:szCs w:val="20"/>
        </w:rPr>
        <w:t xml:space="preserve"> w </w:t>
      </w:r>
      <w:r w:rsidRPr="004C6CC5">
        <w:rPr>
          <w:rFonts w:ascii="Arial" w:hAnsi="Arial" w:cs="Arial"/>
          <w:sz w:val="20"/>
          <w:szCs w:val="20"/>
        </w:rPr>
        <w:t>krajowych</w:t>
      </w:r>
      <w:r w:rsidR="004C6CC5">
        <w:rPr>
          <w:rFonts w:ascii="Arial" w:hAnsi="Arial" w:cs="Arial"/>
          <w:sz w:val="20"/>
          <w:szCs w:val="20"/>
        </w:rPr>
        <w:t xml:space="preserve"> i </w:t>
      </w:r>
      <w:r w:rsidRPr="004C6CC5">
        <w:rPr>
          <w:rFonts w:ascii="Arial" w:hAnsi="Arial" w:cs="Arial"/>
          <w:sz w:val="20"/>
          <w:szCs w:val="20"/>
        </w:rPr>
        <w:t>zagranicznych konferencjach naukowych przyczyniają się do rozwoju kadry badawczo-dydaktycznej uczelni.</w:t>
      </w:r>
      <w:r w:rsidR="004C6CC5">
        <w:rPr>
          <w:rFonts w:ascii="Arial" w:hAnsi="Arial" w:cs="Arial"/>
          <w:sz w:val="20"/>
          <w:szCs w:val="20"/>
        </w:rPr>
        <w:t xml:space="preserve"> </w:t>
      </w:r>
    </w:p>
    <w:p w14:paraId="1BADA55D" w14:textId="77777777" w:rsidR="00A6527E" w:rsidRPr="00A6527E" w:rsidRDefault="00A6527E" w:rsidP="00A6527E">
      <w:pPr>
        <w:spacing w:after="120" w:line="276" w:lineRule="auto"/>
        <w:jc w:val="both"/>
        <w:rPr>
          <w:rFonts w:ascii="Arial" w:hAnsi="Arial" w:cs="Arial"/>
          <w:sz w:val="20"/>
          <w:szCs w:val="20"/>
        </w:rPr>
      </w:pPr>
      <w:r w:rsidRPr="00A6527E">
        <w:rPr>
          <w:rFonts w:ascii="Arial" w:hAnsi="Arial" w:cs="Arial"/>
          <w:sz w:val="20"/>
          <w:szCs w:val="20"/>
        </w:rPr>
        <w:t>W 2019 r. w struktury Uniwersytetu Morskiego w Gdyni włączony został Instytut Morski w Gdańsku, który również realizuje projekty badawczo-rozwojowe finansowane przez wyżej wymienione instytucje.</w:t>
      </w:r>
    </w:p>
    <w:p w14:paraId="12151972" w14:textId="635187EE"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Pracownicy Uniwersytetu Morskiego</w:t>
      </w:r>
      <w:r w:rsidR="004C6CC5">
        <w:rPr>
          <w:rFonts w:ascii="Arial" w:hAnsi="Arial" w:cs="Arial"/>
          <w:sz w:val="20"/>
          <w:szCs w:val="20"/>
        </w:rPr>
        <w:t xml:space="preserve"> w </w:t>
      </w:r>
      <w:r w:rsidRPr="004C6CC5">
        <w:rPr>
          <w:rFonts w:ascii="Arial" w:hAnsi="Arial" w:cs="Arial"/>
          <w:sz w:val="20"/>
          <w:szCs w:val="20"/>
        </w:rPr>
        <w:t>Gdyni biorą także udział</w:t>
      </w:r>
      <w:r w:rsidR="004C6CC5">
        <w:rPr>
          <w:rFonts w:ascii="Arial" w:hAnsi="Arial" w:cs="Arial"/>
          <w:sz w:val="20"/>
          <w:szCs w:val="20"/>
        </w:rPr>
        <w:t xml:space="preserve"> w </w:t>
      </w:r>
      <w:r w:rsidRPr="004C6CC5">
        <w:rPr>
          <w:rFonts w:ascii="Arial" w:hAnsi="Arial" w:cs="Arial"/>
          <w:sz w:val="20"/>
          <w:szCs w:val="20"/>
        </w:rPr>
        <w:t>pracach naukowo-badawczych</w:t>
      </w:r>
      <w:r w:rsidRPr="004C6CC5">
        <w:rPr>
          <w:rFonts w:ascii="Arial" w:hAnsi="Arial" w:cs="Arial"/>
          <w:sz w:val="20"/>
          <w:szCs w:val="20"/>
        </w:rPr>
        <w:br/>
        <w:t xml:space="preserve">i badawczo-rozwojowych wykonywanych na zlecenie krajowych oraz międzynarodowych przedsiębiorstw. </w:t>
      </w:r>
    </w:p>
    <w:p w14:paraId="4CBF109F" w14:textId="5C296D29"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ramach programów bądź konkursów badawczych</w:t>
      </w:r>
      <w:r w:rsidR="004C6CC5">
        <w:rPr>
          <w:rFonts w:ascii="Arial" w:hAnsi="Arial" w:cs="Arial"/>
          <w:sz w:val="20"/>
          <w:szCs w:val="20"/>
        </w:rPr>
        <w:t xml:space="preserve"> w </w:t>
      </w:r>
      <w:r w:rsidRPr="004C6CC5">
        <w:rPr>
          <w:rFonts w:ascii="Arial" w:hAnsi="Arial" w:cs="Arial"/>
          <w:sz w:val="20"/>
          <w:szCs w:val="20"/>
        </w:rPr>
        <w:t>Uniwersytecie Morskim</w:t>
      </w:r>
      <w:r w:rsidR="004C6CC5">
        <w:rPr>
          <w:rFonts w:ascii="Arial" w:hAnsi="Arial" w:cs="Arial"/>
          <w:sz w:val="20"/>
          <w:szCs w:val="20"/>
        </w:rPr>
        <w:t xml:space="preserve"> w </w:t>
      </w:r>
      <w:r w:rsidRPr="004C6CC5">
        <w:rPr>
          <w:rFonts w:ascii="Arial" w:hAnsi="Arial" w:cs="Arial"/>
          <w:sz w:val="20"/>
          <w:szCs w:val="20"/>
        </w:rPr>
        <w:t xml:space="preserve">Gdyni realizowano następujące projekty: </w:t>
      </w:r>
    </w:p>
    <w:p w14:paraId="58ED864B" w14:textId="0989048A"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- 3 projekty</w:t>
      </w:r>
      <w:r w:rsidR="004C6CC5">
        <w:rPr>
          <w:rFonts w:ascii="Arial" w:hAnsi="Arial" w:cs="Arial"/>
          <w:sz w:val="20"/>
          <w:szCs w:val="20"/>
        </w:rPr>
        <w:t xml:space="preserve"> z </w:t>
      </w:r>
      <w:r w:rsidRPr="004C6CC5">
        <w:rPr>
          <w:rFonts w:ascii="Arial" w:hAnsi="Arial" w:cs="Arial"/>
          <w:sz w:val="20"/>
          <w:szCs w:val="20"/>
        </w:rPr>
        <w:t>zakresu badań podstawowych finansowane</w:t>
      </w:r>
      <w:r w:rsidR="004C6CC5">
        <w:rPr>
          <w:rFonts w:ascii="Arial" w:hAnsi="Arial" w:cs="Arial"/>
          <w:sz w:val="20"/>
          <w:szCs w:val="20"/>
        </w:rPr>
        <w:t xml:space="preserve"> z </w:t>
      </w:r>
      <w:r w:rsidRPr="004C6CC5">
        <w:rPr>
          <w:rFonts w:ascii="Arial" w:hAnsi="Arial" w:cs="Arial"/>
          <w:sz w:val="20"/>
          <w:szCs w:val="20"/>
        </w:rPr>
        <w:t xml:space="preserve">Narodowego Centrum Nauki; </w:t>
      </w:r>
    </w:p>
    <w:p w14:paraId="2B45BF9E" w14:textId="29E82323"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eastAsia="Calibri" w:hAnsi="Arial" w:cs="Arial"/>
          <w:sz w:val="20"/>
          <w:szCs w:val="20"/>
        </w:rPr>
        <w:t>3 projekty finansowane przez Ministerstwo Nauki</w:t>
      </w:r>
      <w:r w:rsidR="004C6CC5">
        <w:rPr>
          <w:rFonts w:ascii="Arial" w:eastAsia="Calibri" w:hAnsi="Arial" w:cs="Arial"/>
          <w:sz w:val="20"/>
          <w:szCs w:val="20"/>
        </w:rPr>
        <w:t xml:space="preserve"> i </w:t>
      </w:r>
      <w:r w:rsidRPr="004C6CC5">
        <w:rPr>
          <w:rFonts w:ascii="Arial" w:eastAsia="Calibri" w:hAnsi="Arial" w:cs="Arial"/>
          <w:sz w:val="20"/>
          <w:szCs w:val="20"/>
        </w:rPr>
        <w:t>Szkolnictwa Wyższego,</w:t>
      </w:r>
      <w:r w:rsidR="004C6CC5">
        <w:rPr>
          <w:rFonts w:ascii="Arial" w:eastAsia="Calibri" w:hAnsi="Arial" w:cs="Arial"/>
          <w:sz w:val="20"/>
          <w:szCs w:val="20"/>
        </w:rPr>
        <w:t xml:space="preserve"> w </w:t>
      </w:r>
      <w:r w:rsidRPr="004C6CC5">
        <w:rPr>
          <w:rFonts w:ascii="Arial" w:eastAsia="Calibri" w:hAnsi="Arial" w:cs="Arial"/>
          <w:sz w:val="20"/>
          <w:szCs w:val="20"/>
        </w:rPr>
        <w:t>tym jeden projekt związany</w:t>
      </w:r>
      <w:r w:rsidR="004C6CC5">
        <w:rPr>
          <w:rFonts w:ascii="Arial" w:eastAsia="Calibri" w:hAnsi="Arial" w:cs="Arial"/>
          <w:sz w:val="20"/>
          <w:szCs w:val="20"/>
        </w:rPr>
        <w:t xml:space="preserve"> z </w:t>
      </w:r>
      <w:r w:rsidRPr="004C6CC5">
        <w:rPr>
          <w:rFonts w:ascii="Arial" w:eastAsia="Calibri" w:hAnsi="Arial" w:cs="Arial"/>
          <w:sz w:val="20"/>
          <w:szCs w:val="20"/>
        </w:rPr>
        <w:t>rozwojem badań oraz realizowany</w:t>
      </w:r>
      <w:r w:rsidR="004C6CC5">
        <w:rPr>
          <w:rFonts w:ascii="Arial" w:eastAsia="Calibri" w:hAnsi="Arial" w:cs="Arial"/>
          <w:sz w:val="20"/>
          <w:szCs w:val="20"/>
        </w:rPr>
        <w:t xml:space="preserve"> w </w:t>
      </w:r>
      <w:r w:rsidRPr="004C6CC5">
        <w:rPr>
          <w:rFonts w:ascii="Arial" w:eastAsia="Calibri" w:hAnsi="Arial" w:cs="Arial"/>
          <w:sz w:val="20"/>
          <w:szCs w:val="20"/>
        </w:rPr>
        <w:t>ramach Regio</w:t>
      </w:r>
      <w:r w:rsidR="00D53141">
        <w:rPr>
          <w:rFonts w:ascii="Arial" w:eastAsia="Calibri" w:hAnsi="Arial" w:cs="Arial"/>
          <w:sz w:val="20"/>
          <w:szCs w:val="20"/>
        </w:rPr>
        <w:t>nalnej Inicjatywy Doskonałości</w:t>
      </w:r>
      <w:r w:rsidRPr="004C6CC5">
        <w:rPr>
          <w:rFonts w:ascii="Arial" w:eastAsia="Calibri" w:hAnsi="Arial" w:cs="Arial"/>
          <w:sz w:val="20"/>
          <w:szCs w:val="20"/>
        </w:rPr>
        <w:t xml:space="preserve"> oraz </w:t>
      </w:r>
      <w:r w:rsidR="00D53141">
        <w:rPr>
          <w:rFonts w:ascii="Arial" w:eastAsia="Calibri" w:hAnsi="Arial" w:cs="Arial"/>
          <w:sz w:val="20"/>
          <w:szCs w:val="20"/>
        </w:rPr>
        <w:t xml:space="preserve">dwa </w:t>
      </w:r>
      <w:r w:rsidRPr="004C6CC5">
        <w:rPr>
          <w:rFonts w:ascii="Arial" w:eastAsia="Calibri" w:hAnsi="Arial" w:cs="Arial"/>
          <w:sz w:val="20"/>
          <w:szCs w:val="20"/>
        </w:rPr>
        <w:t>projekty o charakterze badawczym</w:t>
      </w:r>
      <w:r w:rsidRPr="004C6CC5">
        <w:rPr>
          <w:rFonts w:ascii="Arial" w:hAnsi="Arial" w:cs="Arial"/>
          <w:sz w:val="20"/>
          <w:szCs w:val="20"/>
        </w:rPr>
        <w:t>;</w:t>
      </w:r>
    </w:p>
    <w:p w14:paraId="2DD4D81B" w14:textId="7E5D1669"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w:t>
      </w:r>
      <w:r w:rsidR="00B66FCE" w:rsidRPr="004C6CC5">
        <w:rPr>
          <w:rFonts w:ascii="Arial" w:hAnsi="Arial" w:cs="Arial"/>
          <w:sz w:val="20"/>
          <w:szCs w:val="20"/>
        </w:rPr>
        <w:t xml:space="preserve"> 1 </w:t>
      </w:r>
      <w:r w:rsidRPr="004C6CC5">
        <w:rPr>
          <w:rFonts w:ascii="Arial" w:eastAsia="Calibri" w:hAnsi="Arial" w:cs="Arial"/>
          <w:sz w:val="20"/>
          <w:szCs w:val="20"/>
        </w:rPr>
        <w:t>projekt badawczy realizowany</w:t>
      </w:r>
      <w:r w:rsidR="004C6CC5">
        <w:rPr>
          <w:rFonts w:ascii="Arial" w:eastAsia="Calibri" w:hAnsi="Arial" w:cs="Arial"/>
          <w:sz w:val="20"/>
          <w:szCs w:val="20"/>
        </w:rPr>
        <w:t xml:space="preserve"> w </w:t>
      </w:r>
      <w:r w:rsidRPr="004C6CC5">
        <w:rPr>
          <w:rFonts w:ascii="Arial" w:eastAsia="Calibri" w:hAnsi="Arial" w:cs="Arial"/>
          <w:sz w:val="20"/>
          <w:szCs w:val="20"/>
        </w:rPr>
        <w:t>ramach programów strategicznych</w:t>
      </w:r>
      <w:r w:rsidR="00D53141">
        <w:rPr>
          <w:rFonts w:ascii="Arial" w:eastAsia="Calibri" w:hAnsi="Arial" w:cs="Arial"/>
          <w:sz w:val="20"/>
          <w:szCs w:val="20"/>
        </w:rPr>
        <w:t xml:space="preserve"> </w:t>
      </w:r>
      <w:r w:rsidR="00D53141" w:rsidRPr="00D53141">
        <w:rPr>
          <w:rFonts w:ascii="Arial" w:eastAsia="Calibri" w:hAnsi="Arial" w:cs="Arial"/>
          <w:sz w:val="20"/>
          <w:szCs w:val="20"/>
        </w:rPr>
        <w:t>- WaterPUCK - modelowanie wpływu gospodarstw rolnych i struktur użytkowania terenu zlewni na Przykładzie Gminy Puck na jakość wód lądowych i morskich zlokalizowanych w strefie przybrzeżnej Mor</w:t>
      </w:r>
      <w:r w:rsidR="00D53141">
        <w:rPr>
          <w:rFonts w:ascii="Arial" w:eastAsia="Calibri" w:hAnsi="Arial" w:cs="Arial"/>
          <w:sz w:val="20"/>
          <w:szCs w:val="20"/>
        </w:rPr>
        <w:t>za Bałtyckiego – BIOSTRATEG III</w:t>
      </w:r>
      <w:r w:rsidRPr="004C6CC5">
        <w:rPr>
          <w:rFonts w:ascii="Arial" w:eastAsia="Calibri" w:hAnsi="Arial" w:cs="Arial"/>
          <w:sz w:val="20"/>
          <w:szCs w:val="20"/>
        </w:rPr>
        <w:t>;</w:t>
      </w:r>
    </w:p>
    <w:p w14:paraId="59735721" w14:textId="0BCD5DAE"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eastAsia="Calibri" w:hAnsi="Arial" w:cs="Arial"/>
          <w:sz w:val="20"/>
          <w:szCs w:val="20"/>
        </w:rPr>
        <w:t>2 projekty badawczo-rozwojowe finansowane przez Narodowe Centrum Badań</w:t>
      </w:r>
      <w:r w:rsidR="004C6CC5">
        <w:rPr>
          <w:rFonts w:ascii="Arial" w:eastAsia="Calibri" w:hAnsi="Arial" w:cs="Arial"/>
          <w:sz w:val="20"/>
          <w:szCs w:val="20"/>
        </w:rPr>
        <w:t xml:space="preserve"> i </w:t>
      </w:r>
      <w:r w:rsidRPr="004C6CC5">
        <w:rPr>
          <w:rFonts w:ascii="Arial" w:eastAsia="Calibri" w:hAnsi="Arial" w:cs="Arial"/>
          <w:sz w:val="20"/>
          <w:szCs w:val="20"/>
        </w:rPr>
        <w:t>Rozwoju</w:t>
      </w:r>
      <w:r w:rsidRPr="004C6CC5">
        <w:rPr>
          <w:rFonts w:ascii="Arial" w:hAnsi="Arial" w:cs="Arial"/>
          <w:sz w:val="20"/>
          <w:szCs w:val="20"/>
        </w:rPr>
        <w:t>;</w:t>
      </w:r>
    </w:p>
    <w:p w14:paraId="38E2663B" w14:textId="03E05C52"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eastAsia="Calibri" w:hAnsi="Arial" w:cs="Arial"/>
          <w:sz w:val="20"/>
          <w:szCs w:val="20"/>
        </w:rPr>
        <w:t>2 projekty współfinansowane przez Narodowe Centrum Badań</w:t>
      </w:r>
      <w:r w:rsidR="004C6CC5">
        <w:rPr>
          <w:rFonts w:ascii="Arial" w:eastAsia="Calibri" w:hAnsi="Arial" w:cs="Arial"/>
          <w:sz w:val="20"/>
          <w:szCs w:val="20"/>
        </w:rPr>
        <w:t xml:space="preserve"> i </w:t>
      </w:r>
      <w:r w:rsidRPr="004C6CC5">
        <w:rPr>
          <w:rFonts w:ascii="Arial" w:eastAsia="Calibri" w:hAnsi="Arial" w:cs="Arial"/>
          <w:sz w:val="20"/>
          <w:szCs w:val="20"/>
        </w:rPr>
        <w:t>Rozwoju o</w:t>
      </w:r>
      <w:r w:rsidR="00D53141">
        <w:rPr>
          <w:rFonts w:ascii="Arial" w:eastAsia="Calibri" w:hAnsi="Arial" w:cs="Arial"/>
          <w:sz w:val="20"/>
          <w:szCs w:val="20"/>
        </w:rPr>
        <w:t>raz ze środków UE</w:t>
      </w:r>
      <w:r w:rsidRPr="004C6CC5">
        <w:rPr>
          <w:rFonts w:ascii="Arial" w:hAnsi="Arial" w:cs="Arial"/>
          <w:sz w:val="20"/>
          <w:szCs w:val="20"/>
        </w:rPr>
        <w:t>;</w:t>
      </w:r>
    </w:p>
    <w:p w14:paraId="6078A5B8" w14:textId="01D53E97"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w:t>
      </w:r>
      <w:r w:rsidR="00B66FCE" w:rsidRPr="004C6CC5">
        <w:rPr>
          <w:rFonts w:ascii="Arial" w:hAnsi="Arial" w:cs="Arial"/>
          <w:sz w:val="20"/>
          <w:szCs w:val="20"/>
        </w:rPr>
        <w:t xml:space="preserve"> 1 </w:t>
      </w:r>
      <w:r w:rsidRPr="004C6CC5">
        <w:rPr>
          <w:rFonts w:ascii="Arial" w:eastAsia="Calibri" w:hAnsi="Arial" w:cs="Arial"/>
          <w:sz w:val="20"/>
          <w:szCs w:val="20"/>
        </w:rPr>
        <w:t>projekt współfinansowany</w:t>
      </w:r>
      <w:r w:rsidR="004C6CC5">
        <w:rPr>
          <w:rFonts w:ascii="Arial" w:eastAsia="Calibri" w:hAnsi="Arial" w:cs="Arial"/>
          <w:sz w:val="20"/>
          <w:szCs w:val="20"/>
        </w:rPr>
        <w:t xml:space="preserve"> w </w:t>
      </w:r>
      <w:r w:rsidRPr="004C6CC5">
        <w:rPr>
          <w:rFonts w:ascii="Arial" w:eastAsia="Calibri" w:hAnsi="Arial" w:cs="Arial"/>
          <w:sz w:val="20"/>
          <w:szCs w:val="20"/>
        </w:rPr>
        <w:t>ramach Programu Operacyjnego Polska Cyfrowa;</w:t>
      </w:r>
    </w:p>
    <w:p w14:paraId="0F7A7E34" w14:textId="6E7BAF5D"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eastAsia="Calibri" w:hAnsi="Arial" w:cs="Arial"/>
          <w:sz w:val="20"/>
          <w:szCs w:val="20"/>
        </w:rPr>
        <w:t>2 projekty krajowe finansowane ze środków U</w:t>
      </w:r>
      <w:r w:rsidR="00D53141">
        <w:rPr>
          <w:rFonts w:ascii="Arial" w:eastAsia="Calibri" w:hAnsi="Arial" w:cs="Arial"/>
          <w:sz w:val="20"/>
          <w:szCs w:val="20"/>
        </w:rPr>
        <w:t>E</w:t>
      </w:r>
      <w:r w:rsidR="004C6CC5">
        <w:rPr>
          <w:rFonts w:ascii="Arial" w:eastAsia="Calibri" w:hAnsi="Arial" w:cs="Arial"/>
          <w:sz w:val="20"/>
          <w:szCs w:val="20"/>
        </w:rPr>
        <w:t xml:space="preserve"> w </w:t>
      </w:r>
      <w:r w:rsidRPr="004C6CC5">
        <w:rPr>
          <w:rFonts w:ascii="Arial" w:eastAsia="Calibri" w:hAnsi="Arial" w:cs="Arial"/>
          <w:sz w:val="20"/>
          <w:szCs w:val="20"/>
        </w:rPr>
        <w:t>ramach programu regionalnego Województwa Pomorskiego</w:t>
      </w:r>
      <w:r w:rsidRPr="004C6CC5">
        <w:rPr>
          <w:rFonts w:ascii="Arial" w:hAnsi="Arial" w:cs="Arial"/>
          <w:sz w:val="20"/>
          <w:szCs w:val="20"/>
        </w:rPr>
        <w:t>;</w:t>
      </w:r>
    </w:p>
    <w:p w14:paraId="69485C1E" w14:textId="145A33B2"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eastAsia="Calibri" w:hAnsi="Arial" w:cs="Arial"/>
          <w:sz w:val="20"/>
          <w:szCs w:val="20"/>
        </w:rPr>
        <w:t>6 projektów międzynarodowyc</w:t>
      </w:r>
      <w:r w:rsidR="00D53141">
        <w:rPr>
          <w:rFonts w:ascii="Arial" w:eastAsia="Calibri" w:hAnsi="Arial" w:cs="Arial"/>
          <w:sz w:val="20"/>
          <w:szCs w:val="20"/>
        </w:rPr>
        <w:t>h finansowanych ze środków U</w:t>
      </w:r>
      <w:r w:rsidRPr="004C6CC5">
        <w:rPr>
          <w:rFonts w:ascii="Arial" w:eastAsia="Calibri" w:hAnsi="Arial" w:cs="Arial"/>
          <w:sz w:val="20"/>
          <w:szCs w:val="20"/>
        </w:rPr>
        <w:t>E</w:t>
      </w:r>
      <w:r w:rsidRPr="004C6CC5">
        <w:rPr>
          <w:rFonts w:ascii="Arial" w:hAnsi="Arial" w:cs="Arial"/>
          <w:sz w:val="20"/>
          <w:szCs w:val="20"/>
        </w:rPr>
        <w:t>;</w:t>
      </w:r>
    </w:p>
    <w:p w14:paraId="1802D2D4" w14:textId="2EC72268" w:rsidR="007050BA" w:rsidRPr="004C6CC5" w:rsidRDefault="007050BA" w:rsidP="008D2321">
      <w:pPr>
        <w:spacing w:after="120" w:line="276" w:lineRule="auto"/>
        <w:jc w:val="both"/>
        <w:rPr>
          <w:rFonts w:ascii="Arial" w:eastAsia="Calibri" w:hAnsi="Arial" w:cs="Arial"/>
          <w:sz w:val="20"/>
          <w:szCs w:val="20"/>
        </w:rPr>
      </w:pPr>
      <w:r w:rsidRPr="004C6CC5">
        <w:rPr>
          <w:rFonts w:ascii="Arial" w:hAnsi="Arial" w:cs="Arial"/>
          <w:sz w:val="20"/>
          <w:szCs w:val="20"/>
        </w:rPr>
        <w:t xml:space="preserve">- </w:t>
      </w:r>
      <w:r w:rsidRPr="004C6CC5">
        <w:rPr>
          <w:rFonts w:ascii="Arial" w:eastAsia="Calibri" w:hAnsi="Arial" w:cs="Arial"/>
          <w:sz w:val="20"/>
          <w:szCs w:val="20"/>
        </w:rPr>
        <w:t>2 projekty międzynarodowe finansowane ze środków U</w:t>
      </w:r>
      <w:r w:rsidR="001168F0">
        <w:rPr>
          <w:rFonts w:ascii="Arial" w:eastAsia="Calibri" w:hAnsi="Arial" w:cs="Arial"/>
          <w:sz w:val="20"/>
          <w:szCs w:val="20"/>
        </w:rPr>
        <w:t>E</w:t>
      </w:r>
      <w:r w:rsidR="004C6CC5">
        <w:rPr>
          <w:rFonts w:ascii="Arial" w:eastAsia="Calibri" w:hAnsi="Arial" w:cs="Arial"/>
          <w:sz w:val="20"/>
          <w:szCs w:val="20"/>
        </w:rPr>
        <w:t xml:space="preserve"> w </w:t>
      </w:r>
      <w:r w:rsidRPr="004C6CC5">
        <w:rPr>
          <w:rFonts w:ascii="Arial" w:eastAsia="Calibri" w:hAnsi="Arial" w:cs="Arial"/>
          <w:sz w:val="20"/>
          <w:szCs w:val="20"/>
        </w:rPr>
        <w:t xml:space="preserve">ramach Seed Money at the Swedish Institiute; </w:t>
      </w:r>
    </w:p>
    <w:p w14:paraId="3F5EC005" w14:textId="77777777"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sz w:val="20"/>
          <w:szCs w:val="20"/>
          <w:lang w:val="en-GB"/>
        </w:rPr>
        <w:t xml:space="preserve">3 projekty międzynarodowe finansowane przez International Association of Maritime Universities (IAMU). </w:t>
      </w:r>
    </w:p>
    <w:p w14:paraId="30F951B7" w14:textId="6AEAAF05" w:rsidR="007050BA"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Uniwersytet Morski</w:t>
      </w:r>
      <w:r w:rsidR="004C6CC5">
        <w:rPr>
          <w:rFonts w:ascii="Arial" w:hAnsi="Arial" w:cs="Arial"/>
          <w:sz w:val="20"/>
          <w:szCs w:val="20"/>
        </w:rPr>
        <w:t xml:space="preserve"> w </w:t>
      </w:r>
      <w:r w:rsidRPr="004C6CC5">
        <w:rPr>
          <w:rFonts w:ascii="Arial" w:hAnsi="Arial" w:cs="Arial"/>
          <w:sz w:val="20"/>
          <w:szCs w:val="20"/>
        </w:rPr>
        <w:t>Gdyni realizując założenia polityki morskiej RP oraz kierując się prioryt</w:t>
      </w:r>
      <w:r w:rsidR="00B51231">
        <w:rPr>
          <w:rFonts w:ascii="Arial" w:hAnsi="Arial" w:cs="Arial"/>
          <w:sz w:val="20"/>
          <w:szCs w:val="20"/>
        </w:rPr>
        <w:t>etami strategii rozwoju uczelni</w:t>
      </w:r>
      <w:r w:rsidRPr="004C6CC5">
        <w:rPr>
          <w:rFonts w:ascii="Arial" w:hAnsi="Arial" w:cs="Arial"/>
          <w:sz w:val="20"/>
          <w:szCs w:val="20"/>
        </w:rPr>
        <w:t xml:space="preserve"> prowadził</w:t>
      </w:r>
      <w:r w:rsidR="004C6CC5">
        <w:rPr>
          <w:rFonts w:ascii="Arial" w:hAnsi="Arial" w:cs="Arial"/>
          <w:sz w:val="20"/>
          <w:szCs w:val="20"/>
        </w:rPr>
        <w:t xml:space="preserve"> w </w:t>
      </w:r>
      <w:r w:rsidR="00A93FE1">
        <w:rPr>
          <w:rFonts w:ascii="Arial" w:hAnsi="Arial" w:cs="Arial"/>
          <w:sz w:val="20"/>
          <w:szCs w:val="20"/>
        </w:rPr>
        <w:t>2019 r.</w:t>
      </w:r>
      <w:r w:rsidRPr="004C6CC5">
        <w:rPr>
          <w:rFonts w:ascii="Arial" w:hAnsi="Arial" w:cs="Arial"/>
          <w:sz w:val="20"/>
          <w:szCs w:val="20"/>
        </w:rPr>
        <w:t xml:space="preserve"> współpracę</w:t>
      </w:r>
      <w:r w:rsidR="004C6CC5">
        <w:rPr>
          <w:rFonts w:ascii="Arial" w:hAnsi="Arial" w:cs="Arial"/>
          <w:sz w:val="20"/>
          <w:szCs w:val="20"/>
        </w:rPr>
        <w:t xml:space="preserve"> z </w:t>
      </w:r>
      <w:r w:rsidRPr="004C6CC5">
        <w:rPr>
          <w:rFonts w:ascii="Arial" w:hAnsi="Arial" w:cs="Arial"/>
          <w:sz w:val="20"/>
          <w:szCs w:val="20"/>
        </w:rPr>
        <w:t>instytucjami międzynarodowymi oraz</w:t>
      </w:r>
      <w:r w:rsidR="004C6CC5">
        <w:rPr>
          <w:rFonts w:ascii="Arial" w:hAnsi="Arial" w:cs="Arial"/>
          <w:sz w:val="20"/>
          <w:szCs w:val="20"/>
        </w:rPr>
        <w:t xml:space="preserve"> </w:t>
      </w:r>
      <w:r w:rsidR="004C6CC5">
        <w:rPr>
          <w:rFonts w:ascii="Arial" w:hAnsi="Arial" w:cs="Arial"/>
          <w:sz w:val="20"/>
          <w:szCs w:val="20"/>
        </w:rPr>
        <w:lastRenderedPageBreak/>
        <w:t>z </w:t>
      </w:r>
      <w:r w:rsidRPr="004C6CC5">
        <w:rPr>
          <w:rFonts w:ascii="Arial" w:hAnsi="Arial" w:cs="Arial"/>
          <w:sz w:val="20"/>
          <w:szCs w:val="20"/>
        </w:rPr>
        <w:t xml:space="preserve"> zagranicznymi uczelniami. Przedstawiciele Uniwersytetu Morskiego</w:t>
      </w:r>
      <w:r w:rsidR="004C6CC5">
        <w:rPr>
          <w:rFonts w:ascii="Arial" w:hAnsi="Arial" w:cs="Arial"/>
          <w:sz w:val="20"/>
          <w:szCs w:val="20"/>
        </w:rPr>
        <w:t xml:space="preserve"> w </w:t>
      </w:r>
      <w:r w:rsidRPr="004C6CC5">
        <w:rPr>
          <w:rFonts w:ascii="Arial" w:hAnsi="Arial" w:cs="Arial"/>
          <w:sz w:val="20"/>
          <w:szCs w:val="20"/>
        </w:rPr>
        <w:t>Gdyni</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uczestniczyli</w:t>
      </w:r>
      <w:r w:rsidR="004C6CC5">
        <w:rPr>
          <w:rFonts w:ascii="Arial" w:hAnsi="Arial" w:cs="Arial"/>
          <w:sz w:val="20"/>
          <w:szCs w:val="20"/>
        </w:rPr>
        <w:t xml:space="preserve"> w </w:t>
      </w:r>
      <w:r w:rsidRPr="004C6CC5">
        <w:rPr>
          <w:rFonts w:ascii="Arial" w:hAnsi="Arial" w:cs="Arial"/>
          <w:sz w:val="20"/>
          <w:szCs w:val="20"/>
        </w:rPr>
        <w:t xml:space="preserve">charakterze ekspertów rządu RP na forum </w:t>
      </w:r>
      <w:r w:rsidR="00A93FE1">
        <w:rPr>
          <w:rFonts w:ascii="Arial" w:hAnsi="Arial" w:cs="Arial"/>
          <w:sz w:val="20"/>
          <w:szCs w:val="20"/>
        </w:rPr>
        <w:t>Międzynarodowej Organizacji Morskiej</w:t>
      </w:r>
      <w:r w:rsidRPr="004C6CC5">
        <w:rPr>
          <w:rFonts w:ascii="Arial" w:hAnsi="Arial" w:cs="Arial"/>
          <w:sz w:val="20"/>
          <w:szCs w:val="20"/>
        </w:rPr>
        <w:t xml:space="preserve"> (IMO) podczas 6. sesji Podkomitetu ds. bezpieczeństwa żeglugi, radiokomunikacji oraz poszukiwań</w:t>
      </w:r>
      <w:r w:rsidR="004C6CC5">
        <w:rPr>
          <w:rFonts w:ascii="Arial" w:hAnsi="Arial" w:cs="Arial"/>
          <w:sz w:val="20"/>
          <w:szCs w:val="20"/>
        </w:rPr>
        <w:t xml:space="preserve"> i </w:t>
      </w:r>
      <w:r w:rsidRPr="004C6CC5">
        <w:rPr>
          <w:rFonts w:ascii="Arial" w:hAnsi="Arial" w:cs="Arial"/>
          <w:sz w:val="20"/>
          <w:szCs w:val="20"/>
        </w:rPr>
        <w:t>ratownictwa (NCSR), 6. sesji Podkomitetu ds. przewozu ładunków</w:t>
      </w:r>
      <w:r w:rsidR="004C6CC5">
        <w:rPr>
          <w:rFonts w:ascii="Arial" w:hAnsi="Arial" w:cs="Arial"/>
          <w:sz w:val="20"/>
          <w:szCs w:val="20"/>
        </w:rPr>
        <w:t xml:space="preserve"> i </w:t>
      </w:r>
      <w:r w:rsidRPr="004C6CC5">
        <w:rPr>
          <w:rFonts w:ascii="Arial" w:hAnsi="Arial" w:cs="Arial"/>
          <w:sz w:val="20"/>
          <w:szCs w:val="20"/>
        </w:rPr>
        <w:t xml:space="preserve">kontenerów (CCC) oraz 6. sesji Podkomitetu </w:t>
      </w:r>
      <w:r w:rsidR="00123B87">
        <w:rPr>
          <w:rFonts w:ascii="Arial" w:hAnsi="Arial" w:cs="Arial"/>
          <w:sz w:val="20"/>
          <w:szCs w:val="20"/>
        </w:rPr>
        <w:br/>
      </w:r>
      <w:r w:rsidRPr="004C6CC5">
        <w:rPr>
          <w:rFonts w:ascii="Arial" w:hAnsi="Arial" w:cs="Arial"/>
          <w:sz w:val="20"/>
          <w:szCs w:val="20"/>
        </w:rPr>
        <w:t>ds. Projektowania</w:t>
      </w:r>
      <w:r w:rsidR="004C6CC5">
        <w:rPr>
          <w:rFonts w:ascii="Arial" w:hAnsi="Arial" w:cs="Arial"/>
          <w:sz w:val="20"/>
          <w:szCs w:val="20"/>
        </w:rPr>
        <w:t xml:space="preserve"> i </w:t>
      </w:r>
      <w:r w:rsidRPr="004C6CC5">
        <w:rPr>
          <w:rFonts w:ascii="Arial" w:hAnsi="Arial" w:cs="Arial"/>
          <w:sz w:val="20"/>
          <w:szCs w:val="20"/>
        </w:rPr>
        <w:t>Konstrukcji Statku (SDC). Ponadto na zaproszenie Ministra Gospodarki Morskiej</w:t>
      </w:r>
      <w:r w:rsidR="004C6CC5">
        <w:rPr>
          <w:rFonts w:ascii="Arial" w:hAnsi="Arial" w:cs="Arial"/>
          <w:sz w:val="20"/>
          <w:szCs w:val="20"/>
        </w:rPr>
        <w:t xml:space="preserve"> i </w:t>
      </w:r>
      <w:r w:rsidRPr="004C6CC5">
        <w:rPr>
          <w:rFonts w:ascii="Arial" w:hAnsi="Arial" w:cs="Arial"/>
          <w:sz w:val="20"/>
          <w:szCs w:val="20"/>
        </w:rPr>
        <w:t xml:space="preserve">Żeglugi Śródlądowej przedstawiciel </w:t>
      </w:r>
      <w:r w:rsidR="00F92A8C">
        <w:rPr>
          <w:rFonts w:ascii="Arial" w:hAnsi="Arial" w:cs="Arial"/>
          <w:sz w:val="20"/>
          <w:szCs w:val="20"/>
        </w:rPr>
        <w:t>uczelni</w:t>
      </w:r>
      <w:r w:rsidRPr="004C6CC5">
        <w:rPr>
          <w:rFonts w:ascii="Arial" w:hAnsi="Arial" w:cs="Arial"/>
          <w:sz w:val="20"/>
          <w:szCs w:val="20"/>
        </w:rPr>
        <w:t xml:space="preserve"> uczestniczył</w:t>
      </w:r>
      <w:r w:rsidR="004C6CC5">
        <w:rPr>
          <w:rFonts w:ascii="Arial" w:hAnsi="Arial" w:cs="Arial"/>
          <w:sz w:val="20"/>
          <w:szCs w:val="20"/>
        </w:rPr>
        <w:t xml:space="preserve"> w </w:t>
      </w:r>
      <w:r w:rsidRPr="004C6CC5">
        <w:rPr>
          <w:rFonts w:ascii="Arial" w:hAnsi="Arial" w:cs="Arial"/>
          <w:sz w:val="20"/>
          <w:szCs w:val="20"/>
        </w:rPr>
        <w:t>ramach delegacji polskiej</w:t>
      </w:r>
      <w:r w:rsidR="004C6CC5">
        <w:rPr>
          <w:rFonts w:ascii="Arial" w:hAnsi="Arial" w:cs="Arial"/>
          <w:sz w:val="20"/>
          <w:szCs w:val="20"/>
        </w:rPr>
        <w:t xml:space="preserve"> w </w:t>
      </w:r>
      <w:r w:rsidRPr="004C6CC5">
        <w:rPr>
          <w:rFonts w:ascii="Arial" w:hAnsi="Arial" w:cs="Arial"/>
          <w:sz w:val="20"/>
          <w:szCs w:val="20"/>
        </w:rPr>
        <w:t>Zgromadzeniu Ogólnym IMO, mającej na celu promocję Polski kandydującej do Rady IMO. Wieloletnia współpraca</w:t>
      </w:r>
      <w:r w:rsidR="004C6CC5">
        <w:rPr>
          <w:rFonts w:ascii="Arial" w:hAnsi="Arial" w:cs="Arial"/>
          <w:sz w:val="20"/>
          <w:szCs w:val="20"/>
        </w:rPr>
        <w:t xml:space="preserve"> z </w:t>
      </w:r>
      <w:r w:rsidRPr="004C6CC5">
        <w:rPr>
          <w:rFonts w:ascii="Arial" w:hAnsi="Arial" w:cs="Arial"/>
          <w:sz w:val="20"/>
          <w:szCs w:val="20"/>
        </w:rPr>
        <w:t>IMO, a także uczestnictwo</w:t>
      </w:r>
      <w:r w:rsidR="004C6CC5">
        <w:rPr>
          <w:rFonts w:ascii="Arial" w:hAnsi="Arial" w:cs="Arial"/>
          <w:sz w:val="20"/>
          <w:szCs w:val="20"/>
        </w:rPr>
        <w:t xml:space="preserve"> w </w:t>
      </w:r>
      <w:r w:rsidRPr="004C6CC5">
        <w:rPr>
          <w:rFonts w:ascii="Arial" w:hAnsi="Arial" w:cs="Arial"/>
          <w:sz w:val="20"/>
          <w:szCs w:val="20"/>
        </w:rPr>
        <w:t>spotkaniach poszczegól</w:t>
      </w:r>
      <w:r w:rsidR="00B51231">
        <w:rPr>
          <w:rFonts w:ascii="Arial" w:hAnsi="Arial" w:cs="Arial"/>
          <w:sz w:val="20"/>
          <w:szCs w:val="20"/>
        </w:rPr>
        <w:t>nych grup ekspertów przynosi u</w:t>
      </w:r>
      <w:r w:rsidRPr="004C6CC5">
        <w:rPr>
          <w:rFonts w:ascii="Arial" w:hAnsi="Arial" w:cs="Arial"/>
          <w:sz w:val="20"/>
          <w:szCs w:val="20"/>
        </w:rPr>
        <w:t>czelni wymierne korzyści</w:t>
      </w:r>
      <w:r w:rsidR="00920ADB">
        <w:rPr>
          <w:rFonts w:ascii="Arial" w:hAnsi="Arial" w:cs="Arial"/>
          <w:sz w:val="20"/>
          <w:szCs w:val="20"/>
        </w:rPr>
        <w:t xml:space="preserve"> w </w:t>
      </w:r>
      <w:r w:rsidRPr="004C6CC5">
        <w:rPr>
          <w:rFonts w:ascii="Arial" w:hAnsi="Arial" w:cs="Arial"/>
          <w:sz w:val="20"/>
          <w:szCs w:val="20"/>
        </w:rPr>
        <w:t xml:space="preserve">zakresie budowania kompetencji profesjonalnych oraz doskonalenia procesu dydaktycznego, zwłaszcza na prowadzonych specjalnościach morskich. </w:t>
      </w:r>
    </w:p>
    <w:p w14:paraId="484941A3" w14:textId="0032817F" w:rsidR="00920ADB" w:rsidRPr="004C6CC5" w:rsidRDefault="00920ADB" w:rsidP="008D2321">
      <w:pPr>
        <w:spacing w:before="120" w:after="120" w:line="276" w:lineRule="auto"/>
        <w:jc w:val="both"/>
        <w:rPr>
          <w:rFonts w:ascii="Arial" w:hAnsi="Arial" w:cs="Arial"/>
          <w:sz w:val="20"/>
          <w:szCs w:val="20"/>
        </w:rPr>
      </w:pPr>
      <w:r>
        <w:rPr>
          <w:rFonts w:ascii="Arial" w:hAnsi="Arial" w:cs="Arial"/>
          <w:sz w:val="20"/>
          <w:szCs w:val="20"/>
        </w:rPr>
        <w:t>Warto podkreślić, że uczelnia uczestniczyła w przygoto</w:t>
      </w:r>
      <w:r w:rsidR="00F555E5">
        <w:rPr>
          <w:rFonts w:ascii="Arial" w:hAnsi="Arial" w:cs="Arial"/>
          <w:sz w:val="20"/>
          <w:szCs w:val="20"/>
        </w:rPr>
        <w:t>waniu</w:t>
      </w:r>
      <w:r>
        <w:rPr>
          <w:rFonts w:ascii="Arial" w:hAnsi="Arial" w:cs="Arial"/>
          <w:sz w:val="20"/>
          <w:szCs w:val="20"/>
        </w:rPr>
        <w:t xml:space="preserve"> przez Minister</w:t>
      </w:r>
      <w:r w:rsidR="00B224DC">
        <w:rPr>
          <w:rFonts w:ascii="Arial" w:hAnsi="Arial" w:cs="Arial"/>
          <w:sz w:val="20"/>
          <w:szCs w:val="20"/>
        </w:rPr>
        <w:t>stwo Cyfryzacji, jako instytucji wiodącej, stanowiska RP na Światową K</w:t>
      </w:r>
      <w:r>
        <w:rPr>
          <w:rFonts w:ascii="Arial" w:hAnsi="Arial" w:cs="Arial"/>
          <w:sz w:val="20"/>
          <w:szCs w:val="20"/>
        </w:rPr>
        <w:t>o</w:t>
      </w:r>
      <w:r w:rsidR="00500DD9">
        <w:rPr>
          <w:rFonts w:ascii="Arial" w:hAnsi="Arial" w:cs="Arial"/>
          <w:sz w:val="20"/>
          <w:szCs w:val="20"/>
        </w:rPr>
        <w:t>nferencję Radiokomunikacyj</w:t>
      </w:r>
      <w:r>
        <w:rPr>
          <w:rFonts w:ascii="Arial" w:hAnsi="Arial" w:cs="Arial"/>
          <w:sz w:val="20"/>
          <w:szCs w:val="20"/>
        </w:rPr>
        <w:t>ną 2019 (WRC-19), które uwzględniał</w:t>
      </w:r>
      <w:r w:rsidR="00500DD9">
        <w:rPr>
          <w:rFonts w:ascii="Arial" w:hAnsi="Arial" w:cs="Arial"/>
          <w:sz w:val="20"/>
          <w:szCs w:val="20"/>
        </w:rPr>
        <w:t>o</w:t>
      </w:r>
      <w:r>
        <w:rPr>
          <w:rFonts w:ascii="Arial" w:hAnsi="Arial" w:cs="Arial"/>
          <w:sz w:val="20"/>
          <w:szCs w:val="20"/>
        </w:rPr>
        <w:t xml:space="preserve"> zagadnienia związane ze służbą ruchomą morską</w:t>
      </w:r>
      <w:r w:rsidR="00D82B0D">
        <w:rPr>
          <w:rFonts w:ascii="Arial" w:hAnsi="Arial" w:cs="Arial"/>
          <w:sz w:val="20"/>
          <w:szCs w:val="20"/>
        </w:rPr>
        <w:t>,</w:t>
      </w:r>
      <w:r>
        <w:rPr>
          <w:rFonts w:ascii="Arial" w:hAnsi="Arial" w:cs="Arial"/>
          <w:sz w:val="20"/>
          <w:szCs w:val="20"/>
        </w:rPr>
        <w:t xml:space="preserve"> m.in. Earth Stations In Motion</w:t>
      </w:r>
      <w:r w:rsidR="00500DD9">
        <w:rPr>
          <w:rFonts w:ascii="Arial" w:hAnsi="Arial" w:cs="Arial"/>
          <w:sz w:val="20"/>
          <w:szCs w:val="20"/>
        </w:rPr>
        <w:t xml:space="preserve"> -</w:t>
      </w:r>
      <w:r>
        <w:rPr>
          <w:rFonts w:ascii="Arial" w:hAnsi="Arial" w:cs="Arial"/>
          <w:sz w:val="20"/>
          <w:szCs w:val="20"/>
        </w:rPr>
        <w:t xml:space="preserve"> stacje ziemskie w ruchu oraz Global Maritime Distress and Safety System </w:t>
      </w:r>
      <w:r w:rsidR="00500DD9">
        <w:rPr>
          <w:rFonts w:ascii="Arial" w:hAnsi="Arial" w:cs="Arial"/>
          <w:sz w:val="20"/>
          <w:szCs w:val="20"/>
        </w:rPr>
        <w:t>-</w:t>
      </w:r>
      <w:r>
        <w:rPr>
          <w:rFonts w:ascii="Arial" w:hAnsi="Arial" w:cs="Arial"/>
          <w:sz w:val="20"/>
          <w:szCs w:val="20"/>
        </w:rPr>
        <w:t xml:space="preserve"> Ogólnoświatowy Morski System Bezpieczeństwa i Alarmowania.</w:t>
      </w:r>
      <w:r w:rsidR="00F555E5">
        <w:rPr>
          <w:rFonts w:ascii="Arial" w:hAnsi="Arial" w:cs="Arial"/>
          <w:sz w:val="20"/>
          <w:szCs w:val="20"/>
        </w:rPr>
        <w:t xml:space="preserve"> Zatwierdzone przez Prezesa Rady Ministrów stanowisko Polski zaprezentowane podczas WRC-19 było w tej kwestii zbieżne ze stanowiskiem Europejskiej Konferencji Administracji Poczty i Telekomunikacji (European Conference of Postal and Telecommunications Administrations - CEPT).</w:t>
      </w:r>
    </w:p>
    <w:p w14:paraId="67C0A169" w14:textId="4312D5A0" w:rsidR="007050BA" w:rsidRPr="004C6CC5" w:rsidRDefault="007050BA" w:rsidP="00F32AE9">
      <w:pPr>
        <w:spacing w:before="120" w:after="120" w:line="276" w:lineRule="auto"/>
        <w:jc w:val="both"/>
        <w:rPr>
          <w:rFonts w:ascii="Arial" w:hAnsi="Arial" w:cs="Arial"/>
          <w:sz w:val="20"/>
          <w:szCs w:val="20"/>
        </w:rPr>
      </w:pPr>
      <w:r w:rsidRPr="004C6CC5">
        <w:rPr>
          <w:rFonts w:ascii="Arial" w:hAnsi="Arial" w:cs="Arial"/>
          <w:sz w:val="20"/>
          <w:szCs w:val="20"/>
        </w:rPr>
        <w:t>Uniwersytet Morski</w:t>
      </w:r>
      <w:r w:rsidR="004C6CC5">
        <w:rPr>
          <w:rFonts w:ascii="Arial" w:hAnsi="Arial" w:cs="Arial"/>
          <w:sz w:val="20"/>
          <w:szCs w:val="20"/>
        </w:rPr>
        <w:t xml:space="preserve"> w </w:t>
      </w:r>
      <w:r w:rsidR="00F92A8C">
        <w:rPr>
          <w:rFonts w:ascii="Arial" w:hAnsi="Arial" w:cs="Arial"/>
          <w:sz w:val="20"/>
          <w:szCs w:val="20"/>
        </w:rPr>
        <w:t>Gdyni od 2000 r.</w:t>
      </w:r>
      <w:r w:rsidRPr="004C6CC5">
        <w:rPr>
          <w:rFonts w:ascii="Arial" w:hAnsi="Arial" w:cs="Arial"/>
          <w:sz w:val="20"/>
          <w:szCs w:val="20"/>
        </w:rPr>
        <w:t xml:space="preserve"> aktywnie współpracuje</w:t>
      </w:r>
      <w:r w:rsidR="004C6CC5">
        <w:rPr>
          <w:rFonts w:ascii="Arial" w:hAnsi="Arial" w:cs="Arial"/>
          <w:sz w:val="20"/>
          <w:szCs w:val="20"/>
        </w:rPr>
        <w:t xml:space="preserve"> z </w:t>
      </w:r>
      <w:r w:rsidRPr="004C6CC5">
        <w:rPr>
          <w:rFonts w:ascii="Arial" w:hAnsi="Arial" w:cs="Arial"/>
          <w:sz w:val="20"/>
          <w:szCs w:val="20"/>
        </w:rPr>
        <w:t xml:space="preserve">International Association of Maritime Universities (IAMU). Przedstawiciele </w:t>
      </w:r>
      <w:r w:rsidR="00F92A8C">
        <w:rPr>
          <w:rFonts w:ascii="Arial" w:hAnsi="Arial" w:cs="Arial"/>
          <w:sz w:val="20"/>
          <w:szCs w:val="20"/>
        </w:rPr>
        <w:t xml:space="preserve">uczelni wzięli udział </w:t>
      </w:r>
      <w:r w:rsidRPr="004C6CC5">
        <w:rPr>
          <w:rFonts w:ascii="Arial" w:hAnsi="Arial" w:cs="Arial"/>
          <w:sz w:val="20"/>
          <w:szCs w:val="20"/>
        </w:rPr>
        <w:t xml:space="preserve">w jubileuszowym 20-tym Zgromadzeniu Ogólnym IAMU - 20th Annual General Assembly of IAMU </w:t>
      </w:r>
      <w:r w:rsidR="004C6CC5">
        <w:rPr>
          <w:rFonts w:ascii="Arial" w:hAnsi="Arial" w:cs="Arial"/>
          <w:sz w:val="20"/>
          <w:szCs w:val="20"/>
        </w:rPr>
        <w:t>w </w:t>
      </w:r>
      <w:r w:rsidRPr="004C6CC5">
        <w:rPr>
          <w:rFonts w:ascii="Arial" w:hAnsi="Arial" w:cs="Arial"/>
          <w:sz w:val="20"/>
          <w:szCs w:val="20"/>
        </w:rPr>
        <w:t>Japonii. Przedstawiciele uczelni złożyli także sprawozdania</w:t>
      </w:r>
      <w:r w:rsidR="004C6CC5">
        <w:rPr>
          <w:rFonts w:ascii="Arial" w:hAnsi="Arial" w:cs="Arial"/>
          <w:sz w:val="20"/>
          <w:szCs w:val="20"/>
        </w:rPr>
        <w:t xml:space="preserve"> z </w:t>
      </w:r>
      <w:r w:rsidRPr="004C6CC5">
        <w:rPr>
          <w:rFonts w:ascii="Arial" w:hAnsi="Arial" w:cs="Arial"/>
          <w:sz w:val="20"/>
          <w:szCs w:val="20"/>
        </w:rPr>
        <w:t>realizacji projektów badawczych: CYMET (IAMU FY 2018) oraz CoeffVoltEff (IAMU FY 2019). Natomiast</w:t>
      </w:r>
      <w:r w:rsidR="004C6CC5">
        <w:rPr>
          <w:rFonts w:ascii="Arial" w:hAnsi="Arial" w:cs="Arial"/>
          <w:sz w:val="20"/>
          <w:szCs w:val="20"/>
        </w:rPr>
        <w:t xml:space="preserve"> w </w:t>
      </w:r>
      <w:r w:rsidRPr="004C6CC5">
        <w:rPr>
          <w:rFonts w:ascii="Arial" w:hAnsi="Arial" w:cs="Arial"/>
          <w:sz w:val="20"/>
          <w:szCs w:val="20"/>
        </w:rPr>
        <w:t xml:space="preserve">części naukowej </w:t>
      </w:r>
      <w:r w:rsidR="00F92A8C">
        <w:rPr>
          <w:rFonts w:ascii="Arial" w:hAnsi="Arial" w:cs="Arial"/>
          <w:sz w:val="20"/>
          <w:szCs w:val="20"/>
        </w:rPr>
        <w:t>tego wydarzenia</w:t>
      </w:r>
      <w:r w:rsidRPr="004C6CC5">
        <w:rPr>
          <w:rFonts w:ascii="Arial" w:hAnsi="Arial" w:cs="Arial"/>
          <w:sz w:val="20"/>
          <w:szCs w:val="20"/>
        </w:rPr>
        <w:t xml:space="preserve"> </w:t>
      </w:r>
      <w:r w:rsidR="00F92A8C">
        <w:rPr>
          <w:rFonts w:ascii="Arial" w:hAnsi="Arial" w:cs="Arial"/>
          <w:sz w:val="20"/>
          <w:szCs w:val="20"/>
        </w:rPr>
        <w:t>zaprezentowano</w:t>
      </w:r>
      <w:r w:rsidRPr="004C6CC5">
        <w:rPr>
          <w:rFonts w:ascii="Arial" w:hAnsi="Arial" w:cs="Arial"/>
          <w:sz w:val="20"/>
          <w:szCs w:val="20"/>
        </w:rPr>
        <w:t xml:space="preserve"> </w:t>
      </w:r>
      <w:r w:rsidR="00F92A8C">
        <w:rPr>
          <w:rFonts w:ascii="Arial" w:hAnsi="Arial" w:cs="Arial"/>
          <w:sz w:val="20"/>
          <w:szCs w:val="20"/>
        </w:rPr>
        <w:t>trzy</w:t>
      </w:r>
      <w:r w:rsidRPr="004C6CC5">
        <w:rPr>
          <w:rFonts w:ascii="Arial" w:hAnsi="Arial" w:cs="Arial"/>
          <w:sz w:val="20"/>
          <w:szCs w:val="20"/>
        </w:rPr>
        <w:t xml:space="preserve"> referaty, których autorami lub współautorami byli pracownicy Uniwersytetu Morskiego. Dwoje studentów Wydziału Nawigacyjnego reprezentowało społeczność studencką uczelni podczas konferencji IAMU dedykowanej studentom. Warto podkreślić, że</w:t>
      </w:r>
      <w:r w:rsidR="004C6CC5">
        <w:rPr>
          <w:rFonts w:ascii="Arial" w:hAnsi="Arial" w:cs="Arial"/>
          <w:sz w:val="20"/>
          <w:szCs w:val="20"/>
        </w:rPr>
        <w:t xml:space="preserve"> w </w:t>
      </w:r>
      <w:r w:rsidRPr="004C6CC5">
        <w:rPr>
          <w:rFonts w:ascii="Arial" w:hAnsi="Arial" w:cs="Arial"/>
          <w:sz w:val="20"/>
          <w:szCs w:val="20"/>
        </w:rPr>
        <w:t>wyniku decyzji, które zapadły na forum IAMU, Uniwersytet Morski</w:t>
      </w:r>
      <w:r w:rsidR="004C6CC5">
        <w:rPr>
          <w:rFonts w:ascii="Arial" w:hAnsi="Arial" w:cs="Arial"/>
          <w:sz w:val="20"/>
          <w:szCs w:val="20"/>
        </w:rPr>
        <w:t xml:space="preserve"> w </w:t>
      </w:r>
      <w:r w:rsidRPr="004C6CC5">
        <w:rPr>
          <w:rFonts w:ascii="Arial" w:hAnsi="Arial" w:cs="Arial"/>
          <w:sz w:val="20"/>
          <w:szCs w:val="20"/>
        </w:rPr>
        <w:t>Gdyni ponownie został członkiem International Executive Board (IEB) IAMU</w:t>
      </w:r>
      <w:r w:rsidR="004C6CC5">
        <w:rPr>
          <w:rFonts w:ascii="Arial" w:hAnsi="Arial" w:cs="Arial"/>
          <w:sz w:val="20"/>
          <w:szCs w:val="20"/>
        </w:rPr>
        <w:t xml:space="preserve"> </w:t>
      </w:r>
      <w:r w:rsidR="0005604D">
        <w:rPr>
          <w:rFonts w:ascii="Arial" w:hAnsi="Arial" w:cs="Arial"/>
          <w:sz w:val="20"/>
          <w:szCs w:val="20"/>
        </w:rPr>
        <w:br/>
      </w:r>
      <w:r w:rsidR="004C6CC5">
        <w:rPr>
          <w:rFonts w:ascii="Arial" w:hAnsi="Arial" w:cs="Arial"/>
          <w:sz w:val="20"/>
          <w:szCs w:val="20"/>
        </w:rPr>
        <w:t>i w </w:t>
      </w:r>
      <w:r w:rsidRPr="004C6CC5">
        <w:rPr>
          <w:rFonts w:ascii="Arial" w:hAnsi="Arial" w:cs="Arial"/>
          <w:sz w:val="20"/>
          <w:szCs w:val="20"/>
        </w:rPr>
        <w:t xml:space="preserve">latach 2020-2022 będzie przewodniczył komisji ds. akademickich </w:t>
      </w:r>
      <w:r w:rsidR="00982FB0">
        <w:rPr>
          <w:rFonts w:ascii="Arial" w:hAnsi="Arial" w:cs="Arial"/>
          <w:sz w:val="20"/>
          <w:szCs w:val="20"/>
        </w:rPr>
        <w:t>-</w:t>
      </w:r>
      <w:r w:rsidRPr="004C6CC5">
        <w:rPr>
          <w:rFonts w:ascii="Arial" w:hAnsi="Arial" w:cs="Arial"/>
          <w:sz w:val="20"/>
          <w:szCs w:val="20"/>
        </w:rPr>
        <w:t xml:space="preserve"> Academic Affairs Committee (AAC).</w:t>
      </w:r>
    </w:p>
    <w:p w14:paraId="63FD215E" w14:textId="30AC0C72" w:rsidR="007050BA" w:rsidRPr="004C6CC5" w:rsidRDefault="00EC3E7F" w:rsidP="00F32AE9">
      <w:pPr>
        <w:spacing w:before="120" w:after="120" w:line="276" w:lineRule="auto"/>
        <w:jc w:val="both"/>
        <w:rPr>
          <w:rFonts w:ascii="Arial" w:hAnsi="Arial" w:cs="Arial"/>
          <w:sz w:val="20"/>
          <w:szCs w:val="20"/>
        </w:rPr>
      </w:pPr>
      <w:r>
        <w:rPr>
          <w:rFonts w:ascii="Arial" w:hAnsi="Arial" w:cs="Arial"/>
          <w:sz w:val="20"/>
          <w:szCs w:val="20"/>
        </w:rPr>
        <w:t>W 2019 r.</w:t>
      </w:r>
      <w:r w:rsidR="007050BA" w:rsidRPr="004C6CC5">
        <w:rPr>
          <w:rFonts w:ascii="Arial" w:hAnsi="Arial" w:cs="Arial"/>
          <w:sz w:val="20"/>
          <w:szCs w:val="20"/>
        </w:rPr>
        <w:t xml:space="preserve"> Uniwersytet Morski</w:t>
      </w:r>
      <w:r w:rsidR="004C6CC5">
        <w:rPr>
          <w:rFonts w:ascii="Arial" w:hAnsi="Arial" w:cs="Arial"/>
          <w:sz w:val="20"/>
          <w:szCs w:val="20"/>
        </w:rPr>
        <w:t xml:space="preserve"> w </w:t>
      </w:r>
      <w:r w:rsidR="007050BA" w:rsidRPr="004C6CC5">
        <w:rPr>
          <w:rFonts w:ascii="Arial" w:hAnsi="Arial" w:cs="Arial"/>
          <w:sz w:val="20"/>
          <w:szCs w:val="20"/>
        </w:rPr>
        <w:t>Gdyni</w:t>
      </w:r>
      <w:r w:rsidR="004C6CC5">
        <w:rPr>
          <w:rFonts w:ascii="Arial" w:hAnsi="Arial" w:cs="Arial"/>
          <w:sz w:val="20"/>
          <w:szCs w:val="20"/>
        </w:rPr>
        <w:t xml:space="preserve"> i </w:t>
      </w:r>
      <w:r w:rsidR="007050BA" w:rsidRPr="004C6CC5">
        <w:rPr>
          <w:rFonts w:ascii="Arial" w:hAnsi="Arial" w:cs="Arial"/>
          <w:sz w:val="20"/>
          <w:szCs w:val="20"/>
        </w:rPr>
        <w:t>Shanghai Maritime University obchodziły 35-lecie współpracy naukowo-dydaktycznej. Dzięki tej współpracy dwóch s</w:t>
      </w:r>
      <w:r w:rsidR="003C775A">
        <w:rPr>
          <w:rFonts w:ascii="Arial" w:hAnsi="Arial" w:cs="Arial"/>
          <w:sz w:val="20"/>
          <w:szCs w:val="20"/>
        </w:rPr>
        <w:t xml:space="preserve">tudentów Wydziału Nawigacyjnego </w:t>
      </w:r>
      <w:r w:rsidR="007050BA" w:rsidRPr="004C6CC5">
        <w:rPr>
          <w:rFonts w:ascii="Arial" w:hAnsi="Arial" w:cs="Arial"/>
          <w:sz w:val="20"/>
          <w:szCs w:val="20"/>
        </w:rPr>
        <w:t>odbyło</w:t>
      </w:r>
      <w:r w:rsidR="004C6CC5">
        <w:rPr>
          <w:rFonts w:ascii="Arial" w:hAnsi="Arial" w:cs="Arial"/>
          <w:sz w:val="20"/>
          <w:szCs w:val="20"/>
        </w:rPr>
        <w:t xml:space="preserve"> w </w:t>
      </w:r>
      <w:r w:rsidR="007050BA" w:rsidRPr="004C6CC5">
        <w:rPr>
          <w:rFonts w:ascii="Arial" w:hAnsi="Arial" w:cs="Arial"/>
          <w:sz w:val="20"/>
          <w:szCs w:val="20"/>
        </w:rPr>
        <w:t>Shanghai Maritime University semestralne studia</w:t>
      </w:r>
      <w:r w:rsidR="004C6CC5">
        <w:rPr>
          <w:rFonts w:ascii="Arial" w:hAnsi="Arial" w:cs="Arial"/>
          <w:sz w:val="20"/>
          <w:szCs w:val="20"/>
        </w:rPr>
        <w:t xml:space="preserve"> w </w:t>
      </w:r>
      <w:r w:rsidR="00702C50">
        <w:rPr>
          <w:rFonts w:ascii="Arial" w:hAnsi="Arial" w:cs="Arial"/>
          <w:sz w:val="20"/>
          <w:szCs w:val="20"/>
        </w:rPr>
        <w:t>ramach Programu „</w:t>
      </w:r>
      <w:r w:rsidR="007050BA" w:rsidRPr="004C6CC5">
        <w:rPr>
          <w:rFonts w:ascii="Arial" w:hAnsi="Arial" w:cs="Arial"/>
          <w:sz w:val="20"/>
          <w:szCs w:val="20"/>
        </w:rPr>
        <w:t xml:space="preserve">The Exchange Program </w:t>
      </w:r>
      <w:r w:rsidR="003C775A">
        <w:rPr>
          <w:rFonts w:ascii="Arial" w:hAnsi="Arial" w:cs="Arial"/>
          <w:sz w:val="20"/>
          <w:szCs w:val="20"/>
        </w:rPr>
        <w:br/>
      </w:r>
      <w:r w:rsidR="007050BA" w:rsidRPr="004C6CC5">
        <w:rPr>
          <w:rFonts w:ascii="Arial" w:hAnsi="Arial" w:cs="Arial"/>
          <w:sz w:val="20"/>
          <w:szCs w:val="20"/>
        </w:rPr>
        <w:t>of Internati</w:t>
      </w:r>
      <w:r w:rsidR="00702C50">
        <w:rPr>
          <w:rFonts w:ascii="Arial" w:hAnsi="Arial" w:cs="Arial"/>
          <w:sz w:val="20"/>
          <w:szCs w:val="20"/>
        </w:rPr>
        <w:t>onal Class for Maritime Studies”. W</w:t>
      </w:r>
      <w:r w:rsidR="004C6CC5">
        <w:rPr>
          <w:rFonts w:ascii="Arial" w:hAnsi="Arial" w:cs="Arial"/>
          <w:sz w:val="20"/>
          <w:szCs w:val="20"/>
        </w:rPr>
        <w:t> </w:t>
      </w:r>
      <w:r w:rsidR="007050BA" w:rsidRPr="004C6CC5">
        <w:rPr>
          <w:rFonts w:ascii="Arial" w:hAnsi="Arial" w:cs="Arial"/>
          <w:sz w:val="20"/>
          <w:szCs w:val="20"/>
        </w:rPr>
        <w:t>ramach tej wymiany do Gdyni przyjechały po raz pierwszy cztery studentki</w:t>
      </w:r>
      <w:r w:rsidR="004C6CC5">
        <w:rPr>
          <w:rFonts w:ascii="Arial" w:hAnsi="Arial" w:cs="Arial"/>
          <w:sz w:val="20"/>
          <w:szCs w:val="20"/>
        </w:rPr>
        <w:t xml:space="preserve"> z </w:t>
      </w:r>
      <w:r w:rsidR="007050BA" w:rsidRPr="004C6CC5">
        <w:rPr>
          <w:rFonts w:ascii="Arial" w:hAnsi="Arial" w:cs="Arial"/>
          <w:sz w:val="20"/>
          <w:szCs w:val="20"/>
        </w:rPr>
        <w:t xml:space="preserve">Shanghai Maritime University na jeden semestr studiów. </w:t>
      </w:r>
    </w:p>
    <w:p w14:paraId="00F60664" w14:textId="2D165AEF" w:rsidR="007050BA" w:rsidRPr="004C6CC5" w:rsidRDefault="00EC3E7F" w:rsidP="00F32AE9">
      <w:pPr>
        <w:spacing w:before="120" w:after="120" w:line="276" w:lineRule="auto"/>
        <w:jc w:val="both"/>
        <w:rPr>
          <w:rFonts w:ascii="Arial" w:hAnsi="Arial" w:cs="Arial"/>
          <w:sz w:val="20"/>
          <w:szCs w:val="20"/>
        </w:rPr>
      </w:pPr>
      <w:r>
        <w:rPr>
          <w:rFonts w:ascii="Arial" w:hAnsi="Arial" w:cs="Arial"/>
          <w:sz w:val="20"/>
          <w:szCs w:val="20"/>
        </w:rPr>
        <w:t>W 2019 r.</w:t>
      </w:r>
      <w:r w:rsidR="007050BA" w:rsidRPr="004C6CC5">
        <w:rPr>
          <w:rFonts w:ascii="Arial" w:hAnsi="Arial" w:cs="Arial"/>
          <w:sz w:val="20"/>
          <w:szCs w:val="20"/>
        </w:rPr>
        <w:t xml:space="preserve"> odbyło się również XVI Polsko-Ni</w:t>
      </w:r>
      <w:r w:rsidR="00AC43B6">
        <w:rPr>
          <w:rFonts w:ascii="Arial" w:hAnsi="Arial" w:cs="Arial"/>
          <w:sz w:val="20"/>
          <w:szCs w:val="20"/>
        </w:rPr>
        <w:t>emieckie Seminarium Studenckie „</w:t>
      </w:r>
      <w:r w:rsidR="007050BA" w:rsidRPr="004C6CC5">
        <w:rPr>
          <w:rFonts w:ascii="Arial" w:hAnsi="Arial" w:cs="Arial"/>
          <w:sz w:val="20"/>
          <w:szCs w:val="20"/>
        </w:rPr>
        <w:t>Manag</w:t>
      </w:r>
      <w:r w:rsidR="00AC43B6">
        <w:rPr>
          <w:rFonts w:ascii="Arial" w:hAnsi="Arial" w:cs="Arial"/>
          <w:sz w:val="20"/>
          <w:szCs w:val="20"/>
        </w:rPr>
        <w:t>ing Cultral Diversity in Europe”</w:t>
      </w:r>
      <w:r w:rsidR="004C6CC5">
        <w:rPr>
          <w:rFonts w:ascii="Arial" w:hAnsi="Arial" w:cs="Arial"/>
          <w:sz w:val="20"/>
          <w:szCs w:val="20"/>
        </w:rPr>
        <w:t xml:space="preserve"> w </w:t>
      </w:r>
      <w:r w:rsidR="007050BA" w:rsidRPr="004C6CC5">
        <w:rPr>
          <w:rFonts w:ascii="Arial" w:hAnsi="Arial" w:cs="Arial"/>
          <w:sz w:val="20"/>
          <w:szCs w:val="20"/>
        </w:rPr>
        <w:t>Bremerhaven</w:t>
      </w:r>
      <w:r w:rsidR="004C6CC5">
        <w:rPr>
          <w:rFonts w:ascii="Arial" w:hAnsi="Arial" w:cs="Arial"/>
          <w:sz w:val="20"/>
          <w:szCs w:val="20"/>
        </w:rPr>
        <w:t xml:space="preserve"> i w </w:t>
      </w:r>
      <w:r w:rsidR="007050BA" w:rsidRPr="004C6CC5">
        <w:rPr>
          <w:rFonts w:ascii="Arial" w:hAnsi="Arial" w:cs="Arial"/>
          <w:sz w:val="20"/>
          <w:szCs w:val="20"/>
        </w:rPr>
        <w:t>Gdyni,</w:t>
      </w:r>
      <w:r w:rsidR="00AC43B6">
        <w:rPr>
          <w:rFonts w:ascii="Arial" w:hAnsi="Arial" w:cs="Arial"/>
          <w:sz w:val="20"/>
          <w:szCs w:val="20"/>
        </w:rPr>
        <w:t xml:space="preserve"> w </w:t>
      </w:r>
      <w:r w:rsidR="007050BA" w:rsidRPr="004C6CC5">
        <w:rPr>
          <w:rFonts w:ascii="Arial" w:hAnsi="Arial" w:cs="Arial"/>
          <w:sz w:val="20"/>
          <w:szCs w:val="20"/>
        </w:rPr>
        <w:t>którym uczestniczyli studenci</w:t>
      </w:r>
      <w:r w:rsidR="00AC43B6">
        <w:rPr>
          <w:rFonts w:ascii="Arial" w:hAnsi="Arial" w:cs="Arial"/>
          <w:sz w:val="20"/>
          <w:szCs w:val="20"/>
        </w:rPr>
        <w:t xml:space="preserve"> i </w:t>
      </w:r>
      <w:r w:rsidR="007050BA" w:rsidRPr="004C6CC5">
        <w:rPr>
          <w:rFonts w:ascii="Arial" w:hAnsi="Arial" w:cs="Arial"/>
          <w:sz w:val="20"/>
          <w:szCs w:val="20"/>
        </w:rPr>
        <w:t>nauczyciele akademiccy Hochschule Bremerhaven</w:t>
      </w:r>
      <w:r w:rsidR="004C6CC5">
        <w:rPr>
          <w:rFonts w:ascii="Arial" w:hAnsi="Arial" w:cs="Arial"/>
          <w:sz w:val="20"/>
          <w:szCs w:val="20"/>
        </w:rPr>
        <w:t xml:space="preserve"> i </w:t>
      </w:r>
      <w:r w:rsidR="007050BA" w:rsidRPr="004C6CC5">
        <w:rPr>
          <w:rFonts w:ascii="Arial" w:hAnsi="Arial" w:cs="Arial"/>
          <w:sz w:val="20"/>
          <w:szCs w:val="20"/>
        </w:rPr>
        <w:t xml:space="preserve">Uniwersytetu Morskiego. </w:t>
      </w:r>
    </w:p>
    <w:p w14:paraId="435FF3AF" w14:textId="716D6C0F" w:rsidR="003E7466" w:rsidRPr="003E7466" w:rsidRDefault="007050BA" w:rsidP="00F32AE9">
      <w:pPr>
        <w:pStyle w:val="CALIBRI2"/>
        <w:spacing w:before="120" w:line="276" w:lineRule="auto"/>
        <w:jc w:val="both"/>
        <w:rPr>
          <w:rFonts w:cs="Calibri"/>
          <w:b w:val="0"/>
          <w:sz w:val="22"/>
          <w:szCs w:val="22"/>
        </w:rPr>
      </w:pPr>
      <w:r w:rsidRPr="004C6CC5">
        <w:rPr>
          <w:rFonts w:ascii="Arial" w:hAnsi="Arial" w:cs="Arial"/>
          <w:b w:val="0"/>
          <w:sz w:val="20"/>
          <w:szCs w:val="20"/>
        </w:rPr>
        <w:t>W oparciu o przyznaną na lata 2014-2020 Erasmus Charter for Higher Education, Uniwersytet Morski kontynuował wymianę studentów</w:t>
      </w:r>
      <w:r w:rsidR="003E7466">
        <w:rPr>
          <w:rFonts w:ascii="Arial" w:hAnsi="Arial" w:cs="Arial"/>
          <w:b w:val="0"/>
          <w:sz w:val="20"/>
          <w:szCs w:val="20"/>
        </w:rPr>
        <w:t xml:space="preserve"> i </w:t>
      </w:r>
      <w:r w:rsidRPr="004C6CC5">
        <w:rPr>
          <w:rFonts w:ascii="Arial" w:hAnsi="Arial" w:cs="Arial"/>
          <w:b w:val="0"/>
          <w:sz w:val="20"/>
          <w:szCs w:val="20"/>
        </w:rPr>
        <w:t>pracowników</w:t>
      </w:r>
      <w:r w:rsidR="004C6CC5">
        <w:rPr>
          <w:rFonts w:ascii="Arial" w:hAnsi="Arial" w:cs="Arial"/>
          <w:b w:val="0"/>
          <w:sz w:val="20"/>
          <w:szCs w:val="20"/>
        </w:rPr>
        <w:t xml:space="preserve"> w </w:t>
      </w:r>
      <w:r w:rsidR="003E7466">
        <w:rPr>
          <w:rFonts w:ascii="Arial" w:hAnsi="Arial" w:cs="Arial"/>
          <w:b w:val="0"/>
          <w:sz w:val="20"/>
          <w:szCs w:val="20"/>
        </w:rPr>
        <w:t>ramach p</w:t>
      </w:r>
      <w:r w:rsidRPr="004C6CC5">
        <w:rPr>
          <w:rFonts w:ascii="Arial" w:hAnsi="Arial" w:cs="Arial"/>
          <w:b w:val="0"/>
          <w:sz w:val="20"/>
          <w:szCs w:val="20"/>
        </w:rPr>
        <w:t>rogram</w:t>
      </w:r>
      <w:r w:rsidR="003E7466">
        <w:rPr>
          <w:rFonts w:ascii="Arial" w:hAnsi="Arial" w:cs="Arial"/>
          <w:b w:val="0"/>
          <w:sz w:val="20"/>
          <w:szCs w:val="20"/>
        </w:rPr>
        <w:t>u</w:t>
      </w:r>
      <w:r w:rsidRPr="004C6CC5">
        <w:rPr>
          <w:rFonts w:ascii="Arial" w:hAnsi="Arial" w:cs="Arial"/>
          <w:b w:val="0"/>
          <w:sz w:val="20"/>
          <w:szCs w:val="20"/>
        </w:rPr>
        <w:t xml:space="preserve"> Erasmus+</w:t>
      </w:r>
      <w:r w:rsidR="00DB01E3">
        <w:rPr>
          <w:rFonts w:ascii="Arial" w:hAnsi="Arial" w:cs="Arial"/>
          <w:b w:val="0"/>
          <w:sz w:val="20"/>
          <w:szCs w:val="20"/>
        </w:rPr>
        <w:t xml:space="preserve"> z </w:t>
      </w:r>
      <w:r w:rsidRPr="004C6CC5">
        <w:rPr>
          <w:rFonts w:ascii="Arial" w:hAnsi="Arial" w:cs="Arial"/>
          <w:b w:val="0"/>
          <w:sz w:val="20"/>
          <w:szCs w:val="20"/>
        </w:rPr>
        <w:t>45 uczelniami partnerskimi</w:t>
      </w:r>
      <w:r w:rsidR="004C6CC5">
        <w:rPr>
          <w:rFonts w:ascii="Arial" w:hAnsi="Arial" w:cs="Arial"/>
          <w:b w:val="0"/>
          <w:sz w:val="20"/>
          <w:szCs w:val="20"/>
        </w:rPr>
        <w:t xml:space="preserve"> z </w:t>
      </w:r>
      <w:r w:rsidRPr="004C6CC5">
        <w:rPr>
          <w:rFonts w:ascii="Arial" w:hAnsi="Arial" w:cs="Arial"/>
          <w:b w:val="0"/>
          <w:sz w:val="20"/>
          <w:szCs w:val="20"/>
        </w:rPr>
        <w:t>17 państw. Łącznie na część studiów wyjechało 42 studentów, natomiast do Gdyni przyje</w:t>
      </w:r>
      <w:r w:rsidR="003E7466">
        <w:rPr>
          <w:rFonts w:ascii="Arial" w:hAnsi="Arial" w:cs="Arial"/>
          <w:b w:val="0"/>
          <w:sz w:val="20"/>
          <w:szCs w:val="20"/>
        </w:rPr>
        <w:t>chało 48 studentów. Pracownicy u</w:t>
      </w:r>
      <w:r w:rsidRPr="004C6CC5">
        <w:rPr>
          <w:rFonts w:ascii="Arial" w:hAnsi="Arial" w:cs="Arial"/>
          <w:b w:val="0"/>
          <w:sz w:val="20"/>
          <w:szCs w:val="20"/>
        </w:rPr>
        <w:t>czelni zrealizowali łącznie 9 wyjazdów</w:t>
      </w:r>
      <w:r w:rsidR="004C6CC5">
        <w:rPr>
          <w:rFonts w:ascii="Arial" w:hAnsi="Arial" w:cs="Arial"/>
          <w:b w:val="0"/>
          <w:sz w:val="20"/>
          <w:szCs w:val="20"/>
        </w:rPr>
        <w:t xml:space="preserve"> w </w:t>
      </w:r>
      <w:r w:rsidRPr="004C6CC5">
        <w:rPr>
          <w:rFonts w:ascii="Arial" w:hAnsi="Arial" w:cs="Arial"/>
          <w:b w:val="0"/>
          <w:sz w:val="20"/>
          <w:szCs w:val="20"/>
        </w:rPr>
        <w:t>celu prowadzenia zajęć dydaktycznych oraz szkoleniowych.</w:t>
      </w:r>
      <w:r w:rsidR="003E7466">
        <w:rPr>
          <w:rFonts w:ascii="Arial" w:hAnsi="Arial" w:cs="Arial"/>
          <w:b w:val="0"/>
          <w:sz w:val="20"/>
          <w:szCs w:val="20"/>
        </w:rPr>
        <w:t xml:space="preserve"> W</w:t>
      </w:r>
      <w:r w:rsidR="004C6CC5">
        <w:rPr>
          <w:rFonts w:ascii="Arial" w:hAnsi="Arial" w:cs="Arial"/>
          <w:b w:val="0"/>
          <w:sz w:val="20"/>
          <w:szCs w:val="20"/>
        </w:rPr>
        <w:t> </w:t>
      </w:r>
      <w:r w:rsidRPr="004C6CC5">
        <w:rPr>
          <w:rFonts w:ascii="Arial" w:hAnsi="Arial" w:cs="Arial"/>
          <w:b w:val="0"/>
          <w:sz w:val="20"/>
          <w:szCs w:val="20"/>
        </w:rPr>
        <w:t>ra</w:t>
      </w:r>
      <w:r w:rsidR="003E7466">
        <w:rPr>
          <w:rFonts w:ascii="Arial" w:hAnsi="Arial" w:cs="Arial"/>
          <w:b w:val="0"/>
          <w:sz w:val="20"/>
          <w:szCs w:val="20"/>
        </w:rPr>
        <w:t>mach wymiany kadry dydaktycznej</w:t>
      </w:r>
      <w:r w:rsidRPr="004C6CC5">
        <w:rPr>
          <w:rFonts w:ascii="Arial" w:hAnsi="Arial" w:cs="Arial"/>
          <w:b w:val="0"/>
          <w:sz w:val="20"/>
          <w:szCs w:val="20"/>
        </w:rPr>
        <w:t xml:space="preserve"> Uniwersytet Morski gościł</w:t>
      </w:r>
      <w:r w:rsidR="004C6CC5">
        <w:rPr>
          <w:rFonts w:ascii="Arial" w:hAnsi="Arial" w:cs="Arial"/>
          <w:b w:val="0"/>
          <w:sz w:val="20"/>
          <w:szCs w:val="20"/>
        </w:rPr>
        <w:t xml:space="preserve"> w </w:t>
      </w:r>
      <w:r w:rsidR="003E7466">
        <w:rPr>
          <w:rFonts w:ascii="Arial" w:hAnsi="Arial" w:cs="Arial"/>
          <w:b w:val="0"/>
          <w:sz w:val="20"/>
          <w:szCs w:val="20"/>
        </w:rPr>
        <w:t xml:space="preserve">2019 r. </w:t>
      </w:r>
      <w:r w:rsidRPr="004C6CC5">
        <w:rPr>
          <w:rFonts w:ascii="Arial" w:hAnsi="Arial" w:cs="Arial"/>
          <w:b w:val="0"/>
          <w:sz w:val="20"/>
          <w:szCs w:val="20"/>
        </w:rPr>
        <w:t>dwóch nauczycieli akademickich</w:t>
      </w:r>
      <w:r w:rsidR="004C6CC5">
        <w:rPr>
          <w:rFonts w:ascii="Arial" w:hAnsi="Arial" w:cs="Arial"/>
          <w:b w:val="0"/>
          <w:sz w:val="20"/>
          <w:szCs w:val="20"/>
        </w:rPr>
        <w:t xml:space="preserve"> z </w:t>
      </w:r>
      <w:r w:rsidRPr="004C6CC5">
        <w:rPr>
          <w:rFonts w:ascii="Arial" w:hAnsi="Arial" w:cs="Arial"/>
          <w:b w:val="0"/>
          <w:sz w:val="20"/>
          <w:szCs w:val="20"/>
        </w:rPr>
        <w:t>uczelni partnerskich</w:t>
      </w:r>
      <w:r w:rsidR="004C6CC5">
        <w:rPr>
          <w:rFonts w:ascii="Arial" w:hAnsi="Arial" w:cs="Arial"/>
          <w:b w:val="0"/>
          <w:sz w:val="20"/>
          <w:szCs w:val="20"/>
        </w:rPr>
        <w:t xml:space="preserve"> w </w:t>
      </w:r>
      <w:r w:rsidRPr="004C6CC5">
        <w:rPr>
          <w:rFonts w:ascii="Arial" w:hAnsi="Arial" w:cs="Arial"/>
          <w:b w:val="0"/>
          <w:sz w:val="20"/>
          <w:szCs w:val="20"/>
        </w:rPr>
        <w:t xml:space="preserve">celu prowadzenia zajęć dydaktycznych oraz </w:t>
      </w:r>
      <w:r w:rsidR="004C6CC5">
        <w:rPr>
          <w:rFonts w:ascii="Arial" w:hAnsi="Arial" w:cs="Arial"/>
          <w:b w:val="0"/>
          <w:sz w:val="20"/>
          <w:szCs w:val="20"/>
        </w:rPr>
        <w:t>w </w:t>
      </w:r>
      <w:r w:rsidRPr="004C6CC5">
        <w:rPr>
          <w:rFonts w:ascii="Arial" w:hAnsi="Arial" w:cs="Arial"/>
          <w:b w:val="0"/>
          <w:sz w:val="20"/>
          <w:szCs w:val="20"/>
        </w:rPr>
        <w:t>celach szkoleniowych.</w:t>
      </w:r>
      <w:r w:rsidR="003E7466" w:rsidRPr="003E7466">
        <w:rPr>
          <w:rFonts w:cs="Calibri"/>
          <w:b w:val="0"/>
          <w:sz w:val="22"/>
          <w:szCs w:val="22"/>
        </w:rPr>
        <w:t xml:space="preserve"> </w:t>
      </w:r>
    </w:p>
    <w:p w14:paraId="7A4C727E" w14:textId="4D5A0145" w:rsidR="007050BA" w:rsidRPr="004C6CC5" w:rsidRDefault="007050BA" w:rsidP="00F32AE9">
      <w:pPr>
        <w:pStyle w:val="CALIBRI2"/>
        <w:spacing w:before="120" w:line="276" w:lineRule="auto"/>
        <w:jc w:val="both"/>
        <w:rPr>
          <w:rFonts w:ascii="Arial" w:hAnsi="Arial" w:cs="Arial"/>
          <w:sz w:val="20"/>
          <w:szCs w:val="20"/>
        </w:rPr>
      </w:pPr>
      <w:r w:rsidRPr="004C6CC5">
        <w:rPr>
          <w:rFonts w:ascii="Arial" w:hAnsi="Arial" w:cs="Arial"/>
          <w:b w:val="0"/>
          <w:sz w:val="20"/>
          <w:szCs w:val="20"/>
        </w:rPr>
        <w:t>Nową inicjatywą uczelni</w:t>
      </w:r>
      <w:r w:rsidR="004C6CC5">
        <w:rPr>
          <w:rFonts w:ascii="Arial" w:hAnsi="Arial" w:cs="Arial"/>
          <w:b w:val="0"/>
          <w:sz w:val="20"/>
          <w:szCs w:val="20"/>
        </w:rPr>
        <w:t xml:space="preserve"> w </w:t>
      </w:r>
      <w:r w:rsidRPr="004C6CC5">
        <w:rPr>
          <w:rFonts w:ascii="Arial" w:hAnsi="Arial" w:cs="Arial"/>
          <w:b w:val="0"/>
          <w:sz w:val="20"/>
          <w:szCs w:val="20"/>
        </w:rPr>
        <w:t>2019</w:t>
      </w:r>
      <w:r w:rsidR="009D01B9" w:rsidRPr="004C6CC5">
        <w:rPr>
          <w:rFonts w:ascii="Arial" w:hAnsi="Arial" w:cs="Arial"/>
          <w:b w:val="0"/>
          <w:sz w:val="20"/>
          <w:szCs w:val="20"/>
        </w:rPr>
        <w:t xml:space="preserve"> r. </w:t>
      </w:r>
      <w:r w:rsidRPr="004C6CC5">
        <w:rPr>
          <w:rFonts w:ascii="Arial" w:hAnsi="Arial" w:cs="Arial"/>
          <w:b w:val="0"/>
          <w:sz w:val="20"/>
          <w:szCs w:val="20"/>
        </w:rPr>
        <w:t>był</w:t>
      </w:r>
      <w:r w:rsidR="00E73D81">
        <w:rPr>
          <w:rFonts w:ascii="Arial" w:hAnsi="Arial" w:cs="Arial"/>
          <w:b w:val="0"/>
          <w:sz w:val="20"/>
          <w:szCs w:val="20"/>
        </w:rPr>
        <w:t xml:space="preserve"> I</w:t>
      </w:r>
      <w:r w:rsidR="004C6CC5">
        <w:rPr>
          <w:rFonts w:ascii="Arial" w:hAnsi="Arial" w:cs="Arial"/>
          <w:b w:val="0"/>
          <w:sz w:val="20"/>
          <w:szCs w:val="20"/>
        </w:rPr>
        <w:t> </w:t>
      </w:r>
      <w:r w:rsidRPr="004C6CC5">
        <w:rPr>
          <w:rFonts w:ascii="Arial" w:hAnsi="Arial" w:cs="Arial"/>
          <w:b w:val="0"/>
          <w:sz w:val="20"/>
          <w:szCs w:val="20"/>
        </w:rPr>
        <w:t>Pomorski „Staff Week”,</w:t>
      </w:r>
      <w:r w:rsidR="004C6CC5">
        <w:rPr>
          <w:rFonts w:ascii="Arial" w:hAnsi="Arial" w:cs="Arial"/>
          <w:b w:val="0"/>
          <w:sz w:val="20"/>
          <w:szCs w:val="20"/>
        </w:rPr>
        <w:t xml:space="preserve"> w </w:t>
      </w:r>
      <w:r w:rsidRPr="004C6CC5">
        <w:rPr>
          <w:rFonts w:ascii="Arial" w:hAnsi="Arial" w:cs="Arial"/>
          <w:b w:val="0"/>
          <w:sz w:val="20"/>
          <w:szCs w:val="20"/>
        </w:rPr>
        <w:t>którym uczestniczyło 26 osób</w:t>
      </w:r>
      <w:r w:rsidR="004C6CC5">
        <w:rPr>
          <w:rFonts w:ascii="Arial" w:hAnsi="Arial" w:cs="Arial"/>
          <w:b w:val="0"/>
          <w:sz w:val="20"/>
          <w:szCs w:val="20"/>
        </w:rPr>
        <w:t xml:space="preserve"> z </w:t>
      </w:r>
      <w:r w:rsidRPr="004C6CC5">
        <w:rPr>
          <w:rFonts w:ascii="Arial" w:hAnsi="Arial" w:cs="Arial"/>
          <w:b w:val="0"/>
          <w:sz w:val="20"/>
          <w:szCs w:val="20"/>
        </w:rPr>
        <w:t xml:space="preserve">15 różnych uczelni. </w:t>
      </w:r>
      <w:r w:rsidR="005C0BEF">
        <w:rPr>
          <w:rFonts w:ascii="Arial" w:hAnsi="Arial" w:cs="Arial"/>
          <w:b w:val="0"/>
          <w:sz w:val="20"/>
          <w:szCs w:val="20"/>
        </w:rPr>
        <w:t>I</w:t>
      </w:r>
      <w:r w:rsidR="005C0BEF" w:rsidRPr="004C6CC5">
        <w:rPr>
          <w:rFonts w:ascii="Arial" w:hAnsi="Arial" w:cs="Arial"/>
          <w:b w:val="0"/>
          <w:sz w:val="20"/>
          <w:szCs w:val="20"/>
        </w:rPr>
        <w:t xml:space="preserve">nicjatywa </w:t>
      </w:r>
      <w:r w:rsidR="005C0BEF">
        <w:rPr>
          <w:rFonts w:ascii="Arial" w:hAnsi="Arial" w:cs="Arial"/>
          <w:b w:val="0"/>
          <w:sz w:val="20"/>
          <w:szCs w:val="20"/>
        </w:rPr>
        <w:t xml:space="preserve">narodziła się dzięki współpracy </w:t>
      </w:r>
      <w:r w:rsidR="005C0BEF" w:rsidRPr="004C6CC5">
        <w:rPr>
          <w:rFonts w:ascii="Arial" w:hAnsi="Arial" w:cs="Arial"/>
          <w:b w:val="0"/>
          <w:sz w:val="20"/>
          <w:szCs w:val="20"/>
        </w:rPr>
        <w:t>Uniwersytetu Morskiego</w:t>
      </w:r>
      <w:r w:rsidR="005C0BEF">
        <w:rPr>
          <w:rFonts w:ascii="Arial" w:hAnsi="Arial" w:cs="Arial"/>
          <w:b w:val="0"/>
          <w:sz w:val="20"/>
          <w:szCs w:val="20"/>
        </w:rPr>
        <w:t xml:space="preserve"> z </w:t>
      </w:r>
      <w:r w:rsidR="005C0BEF" w:rsidRPr="004C6CC5">
        <w:rPr>
          <w:rFonts w:ascii="Arial" w:hAnsi="Arial" w:cs="Arial"/>
          <w:b w:val="0"/>
          <w:sz w:val="20"/>
          <w:szCs w:val="20"/>
        </w:rPr>
        <w:t>Politechniką Gdańską, Uniwersytetem Gdańskim, Gdańskim Uniwersytetem Medycznym, Akademią Sztuk Pięknych, Akademią Muzyczną, Wyższą Szkołą Administracji</w:t>
      </w:r>
      <w:r w:rsidR="004A377F">
        <w:rPr>
          <w:rFonts w:ascii="Arial" w:hAnsi="Arial" w:cs="Arial"/>
          <w:b w:val="0"/>
          <w:sz w:val="20"/>
          <w:szCs w:val="20"/>
        </w:rPr>
        <w:t xml:space="preserve"> i </w:t>
      </w:r>
      <w:r w:rsidR="005C0BEF" w:rsidRPr="004C6CC5">
        <w:rPr>
          <w:rFonts w:ascii="Arial" w:hAnsi="Arial" w:cs="Arial"/>
          <w:b w:val="0"/>
          <w:sz w:val="20"/>
          <w:szCs w:val="20"/>
        </w:rPr>
        <w:t>Biz</w:t>
      </w:r>
      <w:r w:rsidR="005C0BEF">
        <w:rPr>
          <w:rFonts w:ascii="Arial" w:hAnsi="Arial" w:cs="Arial"/>
          <w:b w:val="0"/>
          <w:sz w:val="20"/>
          <w:szCs w:val="20"/>
        </w:rPr>
        <w:t xml:space="preserve">nesu im. E. Kwiatkowskiego, </w:t>
      </w:r>
      <w:r w:rsidR="005C0BEF" w:rsidRPr="004C6CC5">
        <w:rPr>
          <w:rFonts w:ascii="Arial" w:hAnsi="Arial" w:cs="Arial"/>
          <w:b w:val="0"/>
          <w:sz w:val="20"/>
          <w:szCs w:val="20"/>
        </w:rPr>
        <w:t>Urzędem Marszałkowskim Województwa Pomorskiego, Urzędem Miejskim</w:t>
      </w:r>
      <w:r w:rsidR="005C0BEF">
        <w:rPr>
          <w:rFonts w:ascii="Arial" w:hAnsi="Arial" w:cs="Arial"/>
          <w:b w:val="0"/>
          <w:sz w:val="20"/>
          <w:szCs w:val="20"/>
        </w:rPr>
        <w:t xml:space="preserve"> w </w:t>
      </w:r>
      <w:r w:rsidR="005C0BEF" w:rsidRPr="004C6CC5">
        <w:rPr>
          <w:rFonts w:ascii="Arial" w:hAnsi="Arial" w:cs="Arial"/>
          <w:b w:val="0"/>
          <w:sz w:val="20"/>
          <w:szCs w:val="20"/>
        </w:rPr>
        <w:t xml:space="preserve">Gdańsku, Agencją Rozwoju </w:t>
      </w:r>
      <w:r w:rsidR="005C0BEF" w:rsidRPr="004C6CC5">
        <w:rPr>
          <w:rFonts w:ascii="Arial" w:hAnsi="Arial" w:cs="Arial"/>
          <w:b w:val="0"/>
          <w:sz w:val="20"/>
          <w:szCs w:val="20"/>
        </w:rPr>
        <w:lastRenderedPageBreak/>
        <w:t>Pomorza oraz Centrum Wsparcia Imigrantów</w:t>
      </w:r>
      <w:r w:rsidR="005C0BEF">
        <w:rPr>
          <w:rFonts w:ascii="Arial" w:hAnsi="Arial" w:cs="Arial"/>
          <w:b w:val="0"/>
          <w:sz w:val="20"/>
          <w:szCs w:val="20"/>
        </w:rPr>
        <w:t xml:space="preserve"> i </w:t>
      </w:r>
      <w:r w:rsidR="005C0BEF" w:rsidRPr="004C6CC5">
        <w:rPr>
          <w:rFonts w:ascii="Arial" w:hAnsi="Arial" w:cs="Arial"/>
          <w:b w:val="0"/>
          <w:sz w:val="20"/>
          <w:szCs w:val="20"/>
        </w:rPr>
        <w:t xml:space="preserve">Imigrantek. </w:t>
      </w:r>
      <w:r w:rsidRPr="004C6CC5">
        <w:rPr>
          <w:rFonts w:ascii="Arial" w:hAnsi="Arial" w:cs="Arial"/>
          <w:b w:val="0"/>
          <w:sz w:val="20"/>
          <w:szCs w:val="20"/>
        </w:rPr>
        <w:t xml:space="preserve">Tematem wydarzenia było „University </w:t>
      </w:r>
      <w:r w:rsidR="00E73D81">
        <w:rPr>
          <w:rFonts w:ascii="Arial" w:hAnsi="Arial" w:cs="Arial"/>
          <w:b w:val="0"/>
          <w:sz w:val="20"/>
          <w:szCs w:val="20"/>
        </w:rPr>
        <w:t>-</w:t>
      </w:r>
      <w:r w:rsidRPr="004C6CC5">
        <w:rPr>
          <w:rFonts w:ascii="Arial" w:hAnsi="Arial" w:cs="Arial"/>
          <w:b w:val="0"/>
          <w:sz w:val="20"/>
          <w:szCs w:val="20"/>
        </w:rPr>
        <w:t xml:space="preserve"> City </w:t>
      </w:r>
      <w:r w:rsidR="00E73D81">
        <w:rPr>
          <w:rFonts w:ascii="Arial" w:hAnsi="Arial" w:cs="Arial"/>
          <w:b w:val="0"/>
          <w:sz w:val="20"/>
          <w:szCs w:val="20"/>
        </w:rPr>
        <w:t>-</w:t>
      </w:r>
      <w:r w:rsidR="004A377F">
        <w:rPr>
          <w:rFonts w:ascii="Arial" w:hAnsi="Arial" w:cs="Arial"/>
          <w:b w:val="0"/>
          <w:sz w:val="20"/>
          <w:szCs w:val="20"/>
        </w:rPr>
        <w:t xml:space="preserve"> Region Cooperation”.</w:t>
      </w:r>
      <w:r w:rsidRPr="004C6CC5">
        <w:rPr>
          <w:rFonts w:ascii="Arial" w:hAnsi="Arial" w:cs="Arial"/>
          <w:b w:val="0"/>
          <w:sz w:val="20"/>
          <w:szCs w:val="20"/>
        </w:rPr>
        <w:t xml:space="preserve"> </w:t>
      </w:r>
    </w:p>
    <w:p w14:paraId="61D1538B" w14:textId="1141B75F" w:rsidR="007050BA" w:rsidRPr="004C6CC5" w:rsidRDefault="007050BA" w:rsidP="00F32AE9">
      <w:pPr>
        <w:pStyle w:val="Akapitzlist"/>
        <w:spacing w:before="120" w:after="120" w:line="276" w:lineRule="auto"/>
        <w:ind w:left="0"/>
        <w:jc w:val="both"/>
        <w:rPr>
          <w:rFonts w:ascii="Arial" w:eastAsia="Times New Roman" w:hAnsi="Arial" w:cs="Arial"/>
          <w:bCs/>
          <w:sz w:val="20"/>
          <w:szCs w:val="20"/>
        </w:rPr>
      </w:pPr>
      <w:r w:rsidRPr="004C6CC5">
        <w:rPr>
          <w:rFonts w:ascii="Arial" w:eastAsia="Times New Roman" w:hAnsi="Arial" w:cs="Arial"/>
          <w:bCs/>
          <w:sz w:val="20"/>
          <w:szCs w:val="20"/>
        </w:rPr>
        <w:t>Ponadto, Uniwersytet Morski</w:t>
      </w:r>
      <w:r w:rsidR="004C6CC5">
        <w:rPr>
          <w:rFonts w:ascii="Arial" w:eastAsia="Times New Roman" w:hAnsi="Arial" w:cs="Arial"/>
          <w:bCs/>
          <w:sz w:val="20"/>
          <w:szCs w:val="20"/>
        </w:rPr>
        <w:t xml:space="preserve"> w </w:t>
      </w:r>
      <w:r w:rsidRPr="004C6CC5">
        <w:rPr>
          <w:rFonts w:ascii="Arial" w:eastAsia="Times New Roman" w:hAnsi="Arial" w:cs="Arial"/>
          <w:bCs/>
          <w:sz w:val="20"/>
          <w:szCs w:val="20"/>
        </w:rPr>
        <w:t>Gdyni</w:t>
      </w:r>
      <w:r w:rsidR="004C6CC5">
        <w:rPr>
          <w:rFonts w:ascii="Arial" w:eastAsia="Times New Roman" w:hAnsi="Arial" w:cs="Arial"/>
          <w:bCs/>
          <w:sz w:val="20"/>
          <w:szCs w:val="20"/>
        </w:rPr>
        <w:t xml:space="preserve"> w </w:t>
      </w:r>
      <w:r w:rsidRPr="004C6CC5">
        <w:rPr>
          <w:rFonts w:ascii="Arial" w:eastAsia="Times New Roman" w:hAnsi="Arial" w:cs="Arial"/>
          <w:bCs/>
          <w:sz w:val="20"/>
          <w:szCs w:val="20"/>
        </w:rPr>
        <w:t>2019</w:t>
      </w:r>
      <w:r w:rsidR="009D01B9" w:rsidRPr="004C6CC5">
        <w:rPr>
          <w:rFonts w:ascii="Arial" w:eastAsia="Times New Roman" w:hAnsi="Arial" w:cs="Arial"/>
          <w:bCs/>
          <w:sz w:val="20"/>
          <w:szCs w:val="20"/>
        </w:rPr>
        <w:t xml:space="preserve"> r. </w:t>
      </w:r>
      <w:r w:rsidRPr="004C6CC5">
        <w:rPr>
          <w:rFonts w:ascii="Arial" w:eastAsia="Times New Roman" w:hAnsi="Arial" w:cs="Arial"/>
          <w:bCs/>
          <w:sz w:val="20"/>
          <w:szCs w:val="20"/>
        </w:rPr>
        <w:t>był organizatorem lub współorganizatorem trzech naukowych konferencji międzynarodowych:</w:t>
      </w:r>
    </w:p>
    <w:p w14:paraId="367EDA6E" w14:textId="6C201AC0" w:rsidR="007050BA" w:rsidRPr="004C6CC5" w:rsidRDefault="007050BA" w:rsidP="00F32AE9">
      <w:pPr>
        <w:pStyle w:val="Akapitzlist"/>
        <w:numPr>
          <w:ilvl w:val="0"/>
          <w:numId w:val="2"/>
        </w:numPr>
        <w:spacing w:before="120" w:after="120" w:line="276" w:lineRule="auto"/>
        <w:jc w:val="both"/>
        <w:rPr>
          <w:rFonts w:ascii="Arial" w:eastAsia="Times New Roman" w:hAnsi="Arial" w:cs="Arial"/>
          <w:sz w:val="20"/>
          <w:szCs w:val="20"/>
          <w:lang w:val="en-GB" w:eastAsia="pl-PL"/>
        </w:rPr>
      </w:pPr>
      <w:r w:rsidRPr="004C6CC5">
        <w:rPr>
          <w:rFonts w:ascii="Arial" w:eastAsia="Times New Roman" w:hAnsi="Arial" w:cs="Arial"/>
          <w:sz w:val="20"/>
          <w:szCs w:val="20"/>
          <w:lang w:val="en-GB" w:eastAsia="pl-PL"/>
        </w:rPr>
        <w:t>45th International Scientific Congress on Powertrain</w:t>
      </w:r>
      <w:r w:rsidR="002D5F94">
        <w:rPr>
          <w:rFonts w:ascii="Arial" w:eastAsia="Times New Roman" w:hAnsi="Arial" w:cs="Arial"/>
          <w:sz w:val="20"/>
          <w:szCs w:val="20"/>
          <w:lang w:val="en-GB" w:eastAsia="pl-PL"/>
        </w:rPr>
        <w:t xml:space="preserve"> and Transport Means;</w:t>
      </w:r>
    </w:p>
    <w:p w14:paraId="3B8E8D1F" w14:textId="260616CF" w:rsidR="007050BA" w:rsidRPr="004C6CC5" w:rsidRDefault="007050BA" w:rsidP="00F32AE9">
      <w:pPr>
        <w:pStyle w:val="Akapitzlist"/>
        <w:numPr>
          <w:ilvl w:val="0"/>
          <w:numId w:val="2"/>
        </w:numPr>
        <w:spacing w:before="120" w:after="120" w:line="276" w:lineRule="auto"/>
        <w:jc w:val="both"/>
        <w:rPr>
          <w:rFonts w:ascii="Arial" w:eastAsia="Times New Roman" w:hAnsi="Arial" w:cs="Arial"/>
          <w:bCs/>
          <w:sz w:val="20"/>
          <w:szCs w:val="20"/>
        </w:rPr>
      </w:pPr>
      <w:r w:rsidRPr="004C6CC5">
        <w:rPr>
          <w:rFonts w:ascii="Arial" w:hAnsi="Arial" w:cs="Arial"/>
          <w:sz w:val="20"/>
          <w:szCs w:val="20"/>
        </w:rPr>
        <w:t>Turystyka</w:t>
      </w:r>
      <w:r w:rsidR="004C6CC5">
        <w:rPr>
          <w:rFonts w:ascii="Arial" w:hAnsi="Arial" w:cs="Arial"/>
          <w:sz w:val="20"/>
          <w:szCs w:val="20"/>
        </w:rPr>
        <w:t xml:space="preserve"> i </w:t>
      </w:r>
      <w:r w:rsidRPr="004C6CC5">
        <w:rPr>
          <w:rFonts w:ascii="Arial" w:hAnsi="Arial" w:cs="Arial"/>
          <w:sz w:val="20"/>
          <w:szCs w:val="20"/>
        </w:rPr>
        <w:t>praca - l</w:t>
      </w:r>
      <w:r w:rsidR="002D5F94">
        <w:rPr>
          <w:rFonts w:ascii="Arial" w:hAnsi="Arial" w:cs="Arial"/>
          <w:sz w:val="20"/>
          <w:szCs w:val="20"/>
        </w:rPr>
        <w:t>epsza przyszłość dla wszystkich;</w:t>
      </w:r>
    </w:p>
    <w:p w14:paraId="66C8ABF6" w14:textId="77777777" w:rsidR="007050BA" w:rsidRPr="004C6CC5" w:rsidRDefault="007050BA" w:rsidP="00F32AE9">
      <w:pPr>
        <w:pStyle w:val="Akapitzlist"/>
        <w:numPr>
          <w:ilvl w:val="0"/>
          <w:numId w:val="2"/>
        </w:numPr>
        <w:spacing w:before="120" w:after="120" w:line="276" w:lineRule="auto"/>
        <w:jc w:val="both"/>
        <w:rPr>
          <w:rFonts w:ascii="Arial" w:eastAsia="Times New Roman" w:hAnsi="Arial" w:cs="Arial"/>
          <w:bCs/>
          <w:sz w:val="20"/>
          <w:szCs w:val="20"/>
          <w:lang w:val="en-GB"/>
        </w:rPr>
      </w:pPr>
      <w:r w:rsidRPr="004C6CC5">
        <w:rPr>
          <w:rFonts w:ascii="Arial" w:hAnsi="Arial" w:cs="Arial"/>
          <w:sz w:val="20"/>
          <w:szCs w:val="20"/>
          <w:lang w:val="en-GB"/>
        </w:rPr>
        <w:t>13th International Conference on Marine Navigation and Safety of Sea Transportation TransNav 2019</w:t>
      </w:r>
      <w:r w:rsidRPr="004C6CC5">
        <w:rPr>
          <w:rFonts w:ascii="Arial" w:eastAsia="Times New Roman" w:hAnsi="Arial" w:cs="Arial"/>
          <w:sz w:val="20"/>
          <w:szCs w:val="20"/>
          <w:lang w:val="en-GB" w:eastAsia="pl-PL"/>
        </w:rPr>
        <w:t>.</w:t>
      </w:r>
    </w:p>
    <w:p w14:paraId="3B79E412" w14:textId="3BD86763" w:rsidR="007050BA" w:rsidRPr="004C6CC5" w:rsidRDefault="007F5666" w:rsidP="00F32AE9">
      <w:pPr>
        <w:shd w:val="clear" w:color="auto" w:fill="FFFFFF"/>
        <w:spacing w:before="120" w:after="120" w:line="276" w:lineRule="auto"/>
        <w:jc w:val="both"/>
        <w:rPr>
          <w:rFonts w:ascii="Arial" w:hAnsi="Arial" w:cs="Arial"/>
          <w:color w:val="1D1D1D"/>
          <w:sz w:val="20"/>
          <w:szCs w:val="20"/>
        </w:rPr>
      </w:pPr>
      <w:r w:rsidRPr="004C6CC5">
        <w:rPr>
          <w:rFonts w:ascii="Arial" w:hAnsi="Arial" w:cs="Arial"/>
          <w:color w:val="1D1D1D"/>
          <w:sz w:val="20"/>
          <w:szCs w:val="20"/>
        </w:rPr>
        <w:t xml:space="preserve">Międzynarodową Konferencję </w:t>
      </w:r>
      <w:r>
        <w:rPr>
          <w:rFonts w:ascii="Arial" w:hAnsi="Arial" w:cs="Arial"/>
          <w:color w:val="1D1D1D"/>
          <w:sz w:val="20"/>
          <w:szCs w:val="20"/>
        </w:rPr>
        <w:t>„</w:t>
      </w:r>
      <w:r w:rsidRPr="004C6CC5">
        <w:rPr>
          <w:rFonts w:ascii="Arial" w:hAnsi="Arial" w:cs="Arial"/>
          <w:color w:val="1D1D1D"/>
          <w:sz w:val="20"/>
          <w:szCs w:val="20"/>
        </w:rPr>
        <w:t>TransNav 2019 on Marine Navigation and Safety of Sea Transportion</w:t>
      </w:r>
      <w:r>
        <w:rPr>
          <w:rFonts w:ascii="Arial" w:hAnsi="Arial" w:cs="Arial"/>
          <w:color w:val="1D1D1D"/>
          <w:sz w:val="20"/>
          <w:szCs w:val="20"/>
        </w:rPr>
        <w:t>”</w:t>
      </w:r>
      <w:r w:rsidRPr="004C6CC5">
        <w:rPr>
          <w:rFonts w:ascii="Arial" w:hAnsi="Arial" w:cs="Arial"/>
          <w:color w:val="1D1D1D"/>
          <w:sz w:val="20"/>
          <w:szCs w:val="20"/>
        </w:rPr>
        <w:t>. zorganizował</w:t>
      </w:r>
      <w:r>
        <w:rPr>
          <w:rFonts w:ascii="Arial" w:hAnsi="Arial" w:cs="Arial"/>
          <w:color w:val="1D1D1D"/>
          <w:sz w:val="20"/>
          <w:szCs w:val="20"/>
        </w:rPr>
        <w:t xml:space="preserve"> </w:t>
      </w:r>
      <w:r w:rsidR="007050BA" w:rsidRPr="004C6CC5">
        <w:rPr>
          <w:rFonts w:ascii="Arial" w:hAnsi="Arial" w:cs="Arial"/>
          <w:color w:val="1D1D1D"/>
          <w:sz w:val="20"/>
          <w:szCs w:val="20"/>
        </w:rPr>
        <w:t>Wydział Nawigacyjny Uniwersytetu Morskiego</w:t>
      </w:r>
      <w:r w:rsidR="004C6CC5">
        <w:rPr>
          <w:rFonts w:ascii="Arial" w:hAnsi="Arial" w:cs="Arial"/>
          <w:color w:val="1D1D1D"/>
          <w:sz w:val="20"/>
          <w:szCs w:val="20"/>
        </w:rPr>
        <w:t xml:space="preserve"> w </w:t>
      </w:r>
      <w:r>
        <w:rPr>
          <w:rFonts w:ascii="Arial" w:hAnsi="Arial" w:cs="Arial"/>
          <w:color w:val="1D1D1D"/>
          <w:sz w:val="20"/>
          <w:szCs w:val="20"/>
        </w:rPr>
        <w:t>Gdyni</w:t>
      </w:r>
      <w:r w:rsidR="007050BA" w:rsidRPr="004C6CC5">
        <w:rPr>
          <w:rFonts w:ascii="Arial" w:hAnsi="Arial" w:cs="Arial"/>
          <w:color w:val="1D1D1D"/>
          <w:sz w:val="20"/>
          <w:szCs w:val="20"/>
        </w:rPr>
        <w:t xml:space="preserve"> wspólnie</w:t>
      </w:r>
      <w:r w:rsidR="004C6CC5">
        <w:rPr>
          <w:rFonts w:ascii="Arial" w:hAnsi="Arial" w:cs="Arial"/>
          <w:color w:val="1D1D1D"/>
          <w:sz w:val="20"/>
          <w:szCs w:val="20"/>
        </w:rPr>
        <w:t xml:space="preserve"> z </w:t>
      </w:r>
      <w:r w:rsidR="007050BA" w:rsidRPr="004C6CC5">
        <w:rPr>
          <w:rFonts w:ascii="Arial" w:hAnsi="Arial" w:cs="Arial"/>
          <w:color w:val="1D1D1D"/>
          <w:sz w:val="20"/>
          <w:szCs w:val="20"/>
        </w:rPr>
        <w:t>prestiżowym brytyj</w:t>
      </w:r>
      <w:r>
        <w:rPr>
          <w:rFonts w:ascii="Arial" w:hAnsi="Arial" w:cs="Arial"/>
          <w:color w:val="1D1D1D"/>
          <w:sz w:val="20"/>
          <w:szCs w:val="20"/>
        </w:rPr>
        <w:t>skim The Nautical Institute</w:t>
      </w:r>
      <w:r w:rsidR="007050BA" w:rsidRPr="004C6CC5">
        <w:rPr>
          <w:rFonts w:ascii="Arial" w:hAnsi="Arial" w:cs="Arial"/>
          <w:color w:val="1D1D1D"/>
          <w:sz w:val="20"/>
          <w:szCs w:val="20"/>
        </w:rPr>
        <w:t xml:space="preserve"> </w:t>
      </w:r>
      <w:r w:rsidR="004C6CC5">
        <w:rPr>
          <w:rFonts w:ascii="Arial" w:hAnsi="Arial" w:cs="Arial"/>
          <w:color w:val="1D1D1D"/>
          <w:sz w:val="20"/>
          <w:szCs w:val="20"/>
        </w:rPr>
        <w:t>w </w:t>
      </w:r>
      <w:r w:rsidR="007050BA" w:rsidRPr="004C6CC5">
        <w:rPr>
          <w:rFonts w:ascii="Arial" w:hAnsi="Arial" w:cs="Arial"/>
          <w:color w:val="1D1D1D"/>
          <w:sz w:val="20"/>
          <w:szCs w:val="20"/>
        </w:rPr>
        <w:t>dniach 12 - 14 czerwca 2019</w:t>
      </w:r>
      <w:r w:rsidR="009D01B9" w:rsidRPr="004C6CC5">
        <w:rPr>
          <w:rFonts w:ascii="Arial" w:hAnsi="Arial" w:cs="Arial"/>
          <w:color w:val="1D1D1D"/>
          <w:sz w:val="20"/>
          <w:szCs w:val="20"/>
        </w:rPr>
        <w:t xml:space="preserve"> r. </w:t>
      </w:r>
      <w:r w:rsidR="007050BA" w:rsidRPr="004C6CC5">
        <w:rPr>
          <w:rFonts w:ascii="Arial" w:hAnsi="Arial" w:cs="Arial"/>
          <w:color w:val="1D1D1D"/>
          <w:sz w:val="20"/>
          <w:szCs w:val="20"/>
        </w:rPr>
        <w:t xml:space="preserve">Było to już trzynaste tego typu spotkanie, </w:t>
      </w:r>
      <w:r w:rsidR="000C3B2F">
        <w:rPr>
          <w:rFonts w:ascii="Arial" w:hAnsi="Arial" w:cs="Arial"/>
          <w:color w:val="1D1D1D"/>
          <w:sz w:val="20"/>
          <w:szCs w:val="20"/>
        </w:rPr>
        <w:br/>
      </w:r>
      <w:r w:rsidR="007050BA" w:rsidRPr="004C6CC5">
        <w:rPr>
          <w:rFonts w:ascii="Arial" w:hAnsi="Arial" w:cs="Arial"/>
          <w:color w:val="1D1D1D"/>
          <w:sz w:val="20"/>
          <w:szCs w:val="20"/>
        </w:rPr>
        <w:t>a siódme od czasu, gdy nadany mu został szerszy wymiar międzynarodowy.</w:t>
      </w:r>
      <w:r w:rsidR="004C6CC5">
        <w:rPr>
          <w:rFonts w:ascii="Arial" w:hAnsi="Arial" w:cs="Arial"/>
          <w:color w:val="1D1D1D"/>
          <w:sz w:val="20"/>
          <w:szCs w:val="20"/>
        </w:rPr>
        <w:t xml:space="preserve"> </w:t>
      </w:r>
      <w:r w:rsidR="007F3A08">
        <w:rPr>
          <w:rFonts w:ascii="Arial" w:hAnsi="Arial" w:cs="Arial"/>
          <w:color w:val="1D1D1D"/>
          <w:sz w:val="20"/>
          <w:szCs w:val="20"/>
        </w:rPr>
        <w:t>U</w:t>
      </w:r>
      <w:r w:rsidR="007050BA" w:rsidRPr="004C6CC5">
        <w:rPr>
          <w:rFonts w:ascii="Arial" w:hAnsi="Arial" w:cs="Arial"/>
          <w:color w:val="1D1D1D"/>
          <w:sz w:val="20"/>
          <w:szCs w:val="20"/>
        </w:rPr>
        <w:t>czelnia gościła praktyków</w:t>
      </w:r>
      <w:r w:rsidR="00A91ED5">
        <w:rPr>
          <w:rFonts w:ascii="Arial" w:hAnsi="Arial" w:cs="Arial"/>
          <w:color w:val="1D1D1D"/>
          <w:sz w:val="20"/>
          <w:szCs w:val="20"/>
        </w:rPr>
        <w:t xml:space="preserve"> i </w:t>
      </w:r>
      <w:r w:rsidR="007050BA" w:rsidRPr="004C6CC5">
        <w:rPr>
          <w:rFonts w:ascii="Arial" w:hAnsi="Arial" w:cs="Arial"/>
          <w:color w:val="1D1D1D"/>
          <w:sz w:val="20"/>
          <w:szCs w:val="20"/>
        </w:rPr>
        <w:t>teoretyków nawigacji</w:t>
      </w:r>
      <w:r w:rsidR="00A91ED5">
        <w:rPr>
          <w:rFonts w:ascii="Arial" w:hAnsi="Arial" w:cs="Arial"/>
          <w:color w:val="1D1D1D"/>
          <w:sz w:val="20"/>
          <w:szCs w:val="20"/>
        </w:rPr>
        <w:t xml:space="preserve"> i </w:t>
      </w:r>
      <w:r w:rsidR="007050BA" w:rsidRPr="004C6CC5">
        <w:rPr>
          <w:rFonts w:ascii="Arial" w:hAnsi="Arial" w:cs="Arial"/>
          <w:color w:val="1D1D1D"/>
          <w:sz w:val="20"/>
          <w:szCs w:val="20"/>
        </w:rPr>
        <w:t>transportu morskiego, marynarzy, żeglarzy, transportowców, badaczy morza, rektorów, dziekanów, dyrektorów instytutów, profesorów</w:t>
      </w:r>
      <w:r w:rsidR="000C3B2F">
        <w:rPr>
          <w:rFonts w:ascii="Arial" w:hAnsi="Arial" w:cs="Arial"/>
          <w:color w:val="1D1D1D"/>
          <w:sz w:val="20"/>
          <w:szCs w:val="20"/>
        </w:rPr>
        <w:t xml:space="preserve"> i </w:t>
      </w:r>
      <w:r w:rsidR="007050BA" w:rsidRPr="004C6CC5">
        <w:rPr>
          <w:rFonts w:ascii="Arial" w:hAnsi="Arial" w:cs="Arial"/>
          <w:color w:val="1D1D1D"/>
          <w:sz w:val="20"/>
          <w:szCs w:val="20"/>
        </w:rPr>
        <w:t>członków ich zespołów badawczych, przedstawicieli stowarzyszeń naukowych</w:t>
      </w:r>
      <w:r w:rsidR="004C6CC5">
        <w:rPr>
          <w:rFonts w:ascii="Arial" w:hAnsi="Arial" w:cs="Arial"/>
          <w:color w:val="1D1D1D"/>
          <w:sz w:val="20"/>
          <w:szCs w:val="20"/>
        </w:rPr>
        <w:t xml:space="preserve"> i </w:t>
      </w:r>
      <w:r w:rsidR="007050BA" w:rsidRPr="004C6CC5">
        <w:rPr>
          <w:rFonts w:ascii="Arial" w:hAnsi="Arial" w:cs="Arial"/>
          <w:color w:val="1D1D1D"/>
          <w:sz w:val="20"/>
          <w:szCs w:val="20"/>
        </w:rPr>
        <w:t>zawodowych, administracji morskiej, portów, armatorów, firm żeglugowych</w:t>
      </w:r>
      <w:r w:rsidR="004C6CC5">
        <w:rPr>
          <w:rFonts w:ascii="Arial" w:hAnsi="Arial" w:cs="Arial"/>
          <w:color w:val="1D1D1D"/>
          <w:sz w:val="20"/>
          <w:szCs w:val="20"/>
        </w:rPr>
        <w:t xml:space="preserve"> i </w:t>
      </w:r>
      <w:r w:rsidR="007050BA" w:rsidRPr="004C6CC5">
        <w:rPr>
          <w:rFonts w:ascii="Arial" w:hAnsi="Arial" w:cs="Arial"/>
          <w:color w:val="1D1D1D"/>
          <w:sz w:val="20"/>
          <w:szCs w:val="20"/>
        </w:rPr>
        <w:t>transportowych oraz producentów urządzeń nawigacyjnych niemal</w:t>
      </w:r>
      <w:r w:rsidR="004C6CC5">
        <w:rPr>
          <w:rFonts w:ascii="Arial" w:hAnsi="Arial" w:cs="Arial"/>
          <w:color w:val="1D1D1D"/>
          <w:sz w:val="20"/>
          <w:szCs w:val="20"/>
        </w:rPr>
        <w:t xml:space="preserve"> z </w:t>
      </w:r>
      <w:r w:rsidR="007050BA" w:rsidRPr="004C6CC5">
        <w:rPr>
          <w:rFonts w:ascii="Arial" w:hAnsi="Arial" w:cs="Arial"/>
          <w:color w:val="1D1D1D"/>
          <w:sz w:val="20"/>
          <w:szCs w:val="20"/>
        </w:rPr>
        <w:t>całego świata. Uczestnikami tej edycji konferencji, czynnymi</w:t>
      </w:r>
      <w:r w:rsidR="004C6CC5">
        <w:rPr>
          <w:rFonts w:ascii="Arial" w:hAnsi="Arial" w:cs="Arial"/>
          <w:color w:val="1D1D1D"/>
          <w:sz w:val="20"/>
          <w:szCs w:val="20"/>
        </w:rPr>
        <w:t xml:space="preserve"> i </w:t>
      </w:r>
      <w:r w:rsidR="007050BA" w:rsidRPr="004C6CC5">
        <w:rPr>
          <w:rFonts w:ascii="Arial" w:hAnsi="Arial" w:cs="Arial"/>
          <w:color w:val="1D1D1D"/>
          <w:sz w:val="20"/>
          <w:szCs w:val="20"/>
        </w:rPr>
        <w:t>biernymi, było około 300 osób</w:t>
      </w:r>
      <w:r w:rsidR="004C6CC5">
        <w:rPr>
          <w:rFonts w:ascii="Arial" w:hAnsi="Arial" w:cs="Arial"/>
          <w:color w:val="1D1D1D"/>
          <w:sz w:val="20"/>
          <w:szCs w:val="20"/>
        </w:rPr>
        <w:t xml:space="preserve"> z </w:t>
      </w:r>
      <w:r w:rsidR="007050BA" w:rsidRPr="004C6CC5">
        <w:rPr>
          <w:rFonts w:ascii="Arial" w:hAnsi="Arial" w:cs="Arial"/>
          <w:color w:val="1D1D1D"/>
          <w:sz w:val="20"/>
          <w:szCs w:val="20"/>
        </w:rPr>
        <w:t xml:space="preserve">66 państw. Na 42 sesjach tematycznych wygłoszono 202 referaty. </w:t>
      </w:r>
    </w:p>
    <w:p w14:paraId="4E2F4900" w14:textId="58E8FA56" w:rsidR="007050BA" w:rsidRPr="004C6CC5" w:rsidRDefault="007050BA" w:rsidP="00F32AE9">
      <w:pPr>
        <w:spacing w:before="120" w:after="120" w:line="276" w:lineRule="auto"/>
        <w:jc w:val="both"/>
        <w:rPr>
          <w:rFonts w:ascii="Arial" w:hAnsi="Arial" w:cs="Arial"/>
          <w:sz w:val="20"/>
          <w:szCs w:val="20"/>
        </w:rPr>
      </w:pPr>
      <w:r w:rsidRPr="004C6CC5">
        <w:rPr>
          <w:rFonts w:ascii="Arial" w:hAnsi="Arial" w:cs="Arial"/>
          <w:sz w:val="20"/>
          <w:szCs w:val="20"/>
          <w:lang w:val="en-GB"/>
        </w:rPr>
        <w:t>W 2019</w:t>
      </w:r>
      <w:r w:rsidR="009D01B9" w:rsidRPr="004C6CC5">
        <w:rPr>
          <w:rFonts w:ascii="Arial" w:hAnsi="Arial" w:cs="Arial"/>
          <w:sz w:val="20"/>
          <w:szCs w:val="20"/>
          <w:lang w:val="en-GB"/>
        </w:rPr>
        <w:t xml:space="preserve"> r. </w:t>
      </w:r>
      <w:r w:rsidRPr="004C6CC5">
        <w:rPr>
          <w:rFonts w:ascii="Arial" w:hAnsi="Arial" w:cs="Arial"/>
          <w:sz w:val="20"/>
          <w:szCs w:val="20"/>
          <w:lang w:val="en-GB"/>
        </w:rPr>
        <w:t>uczelnia podpisała umowy o współpracy</w:t>
      </w:r>
      <w:r w:rsidR="004C6CC5">
        <w:rPr>
          <w:rFonts w:ascii="Arial" w:hAnsi="Arial" w:cs="Arial"/>
          <w:sz w:val="20"/>
          <w:szCs w:val="20"/>
          <w:lang w:val="en-GB"/>
        </w:rPr>
        <w:t xml:space="preserve"> z </w:t>
      </w:r>
      <w:r w:rsidRPr="004C6CC5">
        <w:rPr>
          <w:rFonts w:ascii="Arial" w:hAnsi="Arial" w:cs="Arial"/>
          <w:sz w:val="20"/>
          <w:szCs w:val="20"/>
          <w:lang w:val="en-GB"/>
        </w:rPr>
        <w:t>Kherson State Maritime Academy (Ukraina)</w:t>
      </w:r>
      <w:r w:rsidR="0044201B">
        <w:rPr>
          <w:rFonts w:ascii="Arial" w:hAnsi="Arial" w:cs="Arial"/>
          <w:sz w:val="20"/>
          <w:szCs w:val="20"/>
          <w:lang w:val="en-GB"/>
        </w:rPr>
        <w:t xml:space="preserve">, </w:t>
      </w:r>
      <w:r w:rsidRPr="004C6CC5">
        <w:rPr>
          <w:rFonts w:ascii="Arial" w:hAnsi="Arial" w:cs="Arial"/>
          <w:sz w:val="20"/>
          <w:szCs w:val="20"/>
          <w:lang w:val="en-GB"/>
        </w:rPr>
        <w:t>Kaliningrad State Maritime University (Rosja) oraz PhD Training Mobility Agreement</w:t>
      </w:r>
      <w:r w:rsidR="004C6CC5">
        <w:rPr>
          <w:rFonts w:ascii="Arial" w:hAnsi="Arial" w:cs="Arial"/>
          <w:sz w:val="20"/>
          <w:szCs w:val="20"/>
          <w:lang w:val="en-GB"/>
        </w:rPr>
        <w:t xml:space="preserve"> z </w:t>
      </w:r>
      <w:r w:rsidRPr="004C6CC5">
        <w:rPr>
          <w:rFonts w:ascii="Arial" w:hAnsi="Arial" w:cs="Arial"/>
          <w:sz w:val="20"/>
          <w:szCs w:val="20"/>
          <w:lang w:val="en-GB"/>
        </w:rPr>
        <w:t>Wuhan University of Technology (Chiny), a także Addendum do umowy</w:t>
      </w:r>
      <w:r w:rsidR="004C6CC5">
        <w:rPr>
          <w:rFonts w:ascii="Arial" w:hAnsi="Arial" w:cs="Arial"/>
          <w:sz w:val="20"/>
          <w:szCs w:val="20"/>
          <w:lang w:val="en-GB"/>
        </w:rPr>
        <w:t xml:space="preserve"> z </w:t>
      </w:r>
      <w:r w:rsidRPr="004C6CC5">
        <w:rPr>
          <w:rFonts w:ascii="Arial" w:hAnsi="Arial" w:cs="Arial"/>
          <w:sz w:val="20"/>
          <w:szCs w:val="20"/>
          <w:lang w:val="en-GB"/>
        </w:rPr>
        <w:t>Australian Maritime College podpisanej</w:t>
      </w:r>
      <w:r w:rsidR="004C6CC5">
        <w:rPr>
          <w:rFonts w:ascii="Arial" w:hAnsi="Arial" w:cs="Arial"/>
          <w:sz w:val="20"/>
          <w:szCs w:val="20"/>
          <w:lang w:val="en-GB"/>
        </w:rPr>
        <w:t xml:space="preserve"> </w:t>
      </w:r>
      <w:r w:rsidR="000C2277">
        <w:rPr>
          <w:rFonts w:ascii="Arial" w:hAnsi="Arial" w:cs="Arial"/>
          <w:sz w:val="20"/>
          <w:szCs w:val="20"/>
          <w:lang w:val="en-GB"/>
        </w:rPr>
        <w:br/>
      </w:r>
      <w:r w:rsidR="004C6CC5">
        <w:rPr>
          <w:rFonts w:ascii="Arial" w:hAnsi="Arial" w:cs="Arial"/>
          <w:sz w:val="20"/>
          <w:szCs w:val="20"/>
          <w:lang w:val="en-GB"/>
        </w:rPr>
        <w:t>w </w:t>
      </w:r>
      <w:r w:rsidRPr="004C6CC5">
        <w:rPr>
          <w:rFonts w:ascii="Arial" w:hAnsi="Arial" w:cs="Arial"/>
          <w:sz w:val="20"/>
          <w:szCs w:val="20"/>
          <w:lang w:val="en-GB"/>
        </w:rPr>
        <w:t>1992</w:t>
      </w:r>
      <w:r w:rsidR="009D01B9" w:rsidRPr="004C6CC5">
        <w:rPr>
          <w:rFonts w:ascii="Arial" w:hAnsi="Arial" w:cs="Arial"/>
          <w:sz w:val="20"/>
          <w:szCs w:val="20"/>
          <w:lang w:val="en-GB"/>
        </w:rPr>
        <w:t xml:space="preserve"> r. </w:t>
      </w:r>
      <w:r w:rsidRPr="004C6CC5">
        <w:rPr>
          <w:rFonts w:ascii="Arial" w:hAnsi="Arial" w:cs="Arial"/>
          <w:sz w:val="20"/>
          <w:szCs w:val="20"/>
        </w:rPr>
        <w:t>Podpisano także list intencyjny</w:t>
      </w:r>
      <w:r w:rsidR="004C6CC5">
        <w:rPr>
          <w:rFonts w:ascii="Arial" w:hAnsi="Arial" w:cs="Arial"/>
          <w:sz w:val="20"/>
          <w:szCs w:val="20"/>
        </w:rPr>
        <w:t xml:space="preserve"> z </w:t>
      </w:r>
      <w:r w:rsidRPr="004C6CC5">
        <w:rPr>
          <w:rFonts w:ascii="Arial" w:hAnsi="Arial" w:cs="Arial"/>
          <w:sz w:val="20"/>
          <w:szCs w:val="20"/>
        </w:rPr>
        <w:t>International Maritime University of Panama podczas wizyty</w:t>
      </w:r>
      <w:r w:rsidR="004C6CC5">
        <w:rPr>
          <w:rFonts w:ascii="Arial" w:hAnsi="Arial" w:cs="Arial"/>
          <w:sz w:val="20"/>
          <w:szCs w:val="20"/>
        </w:rPr>
        <w:t xml:space="preserve"> w </w:t>
      </w:r>
      <w:r w:rsidRPr="004C6CC5">
        <w:rPr>
          <w:rFonts w:ascii="Arial" w:hAnsi="Arial" w:cs="Arial"/>
          <w:sz w:val="20"/>
          <w:szCs w:val="20"/>
        </w:rPr>
        <w:t>Panamie „Daru Młodzieży”</w:t>
      </w:r>
      <w:r w:rsidR="004C6CC5">
        <w:rPr>
          <w:rFonts w:ascii="Arial" w:hAnsi="Arial" w:cs="Arial"/>
          <w:sz w:val="20"/>
          <w:szCs w:val="20"/>
        </w:rPr>
        <w:t xml:space="preserve"> w </w:t>
      </w:r>
      <w:r w:rsidRPr="004C6CC5">
        <w:rPr>
          <w:rFonts w:ascii="Arial" w:hAnsi="Arial" w:cs="Arial"/>
          <w:sz w:val="20"/>
          <w:szCs w:val="20"/>
        </w:rPr>
        <w:t>ramach „Rejsu Niepodległości”.</w:t>
      </w:r>
    </w:p>
    <w:p w14:paraId="07106343" w14:textId="4E16467D" w:rsidR="007050BA" w:rsidRPr="004C6CC5" w:rsidRDefault="007050BA" w:rsidP="00F32AE9">
      <w:pPr>
        <w:pStyle w:val="Akapitzlist"/>
        <w:spacing w:before="120" w:after="120" w:line="276" w:lineRule="auto"/>
        <w:ind w:left="0"/>
        <w:jc w:val="both"/>
        <w:rPr>
          <w:rFonts w:ascii="Arial" w:eastAsia="Times New Roman" w:hAnsi="Arial" w:cs="Arial"/>
          <w:bCs/>
          <w:sz w:val="20"/>
          <w:szCs w:val="20"/>
        </w:rPr>
      </w:pPr>
      <w:r w:rsidRPr="004C6CC5">
        <w:rPr>
          <w:rFonts w:ascii="Arial" w:eastAsia="Times New Roman" w:hAnsi="Arial" w:cs="Arial"/>
          <w:bCs/>
          <w:sz w:val="20"/>
          <w:szCs w:val="20"/>
        </w:rPr>
        <w:t>Minister Spraw Wewnętrznych</w:t>
      </w:r>
      <w:r w:rsidR="004C6CC5">
        <w:rPr>
          <w:rFonts w:ascii="Arial" w:eastAsia="Times New Roman" w:hAnsi="Arial" w:cs="Arial"/>
          <w:bCs/>
          <w:sz w:val="20"/>
          <w:szCs w:val="20"/>
        </w:rPr>
        <w:t xml:space="preserve"> i </w:t>
      </w:r>
      <w:r w:rsidRPr="004C6CC5">
        <w:rPr>
          <w:rFonts w:ascii="Arial" w:eastAsia="Times New Roman" w:hAnsi="Arial" w:cs="Arial"/>
          <w:bCs/>
          <w:sz w:val="20"/>
          <w:szCs w:val="20"/>
        </w:rPr>
        <w:t>Administracji pozytywnie zweryfikował wniosek</w:t>
      </w:r>
      <w:r w:rsidRPr="004C6CC5">
        <w:rPr>
          <w:rFonts w:ascii="Arial" w:eastAsia="Times New Roman" w:hAnsi="Arial" w:cs="Arial"/>
          <w:b/>
          <w:bCs/>
          <w:sz w:val="20"/>
          <w:szCs w:val="20"/>
        </w:rPr>
        <w:t xml:space="preserve"> </w:t>
      </w:r>
      <w:r w:rsidRPr="004C6CC5">
        <w:rPr>
          <w:rFonts w:ascii="Arial" w:eastAsia="Times New Roman" w:hAnsi="Arial" w:cs="Arial"/>
          <w:bCs/>
          <w:sz w:val="20"/>
          <w:szCs w:val="20"/>
        </w:rPr>
        <w:t>Uniwersytetu Morskiego</w:t>
      </w:r>
      <w:r w:rsidR="004C6CC5">
        <w:rPr>
          <w:rFonts w:ascii="Arial" w:eastAsia="Times New Roman" w:hAnsi="Arial" w:cs="Arial"/>
          <w:bCs/>
          <w:sz w:val="20"/>
          <w:szCs w:val="20"/>
        </w:rPr>
        <w:t xml:space="preserve"> w </w:t>
      </w:r>
      <w:r w:rsidRPr="004C6CC5">
        <w:rPr>
          <w:rFonts w:ascii="Arial" w:eastAsia="Times New Roman" w:hAnsi="Arial" w:cs="Arial"/>
          <w:bCs/>
          <w:sz w:val="20"/>
          <w:szCs w:val="20"/>
        </w:rPr>
        <w:t>Gdyni</w:t>
      </w:r>
      <w:r w:rsidR="004C6CC5">
        <w:rPr>
          <w:rFonts w:ascii="Arial" w:eastAsia="Times New Roman" w:hAnsi="Arial" w:cs="Arial"/>
          <w:bCs/>
          <w:sz w:val="20"/>
          <w:szCs w:val="20"/>
        </w:rPr>
        <w:t xml:space="preserve"> i </w:t>
      </w:r>
      <w:r w:rsidRPr="004C6CC5">
        <w:rPr>
          <w:rFonts w:ascii="Arial" w:eastAsia="Times New Roman" w:hAnsi="Arial" w:cs="Arial"/>
          <w:bCs/>
          <w:sz w:val="20"/>
          <w:szCs w:val="20"/>
        </w:rPr>
        <w:t xml:space="preserve">na mocy decyzji </w:t>
      </w:r>
      <w:r w:rsidR="004C6CC5">
        <w:rPr>
          <w:rFonts w:ascii="Arial" w:eastAsia="Times New Roman" w:hAnsi="Arial" w:cs="Arial"/>
          <w:bCs/>
          <w:sz w:val="20"/>
          <w:szCs w:val="20"/>
        </w:rPr>
        <w:t>z </w:t>
      </w:r>
      <w:r w:rsidRPr="004C6CC5">
        <w:rPr>
          <w:rFonts w:ascii="Arial" w:eastAsia="Times New Roman" w:hAnsi="Arial" w:cs="Arial"/>
          <w:bCs/>
          <w:sz w:val="20"/>
          <w:szCs w:val="20"/>
        </w:rPr>
        <w:t xml:space="preserve">dnia 23 </w:t>
      </w:r>
      <w:r w:rsidR="00925057">
        <w:rPr>
          <w:rFonts w:ascii="Arial" w:eastAsia="Times New Roman" w:hAnsi="Arial" w:cs="Arial"/>
          <w:bCs/>
          <w:sz w:val="20"/>
          <w:szCs w:val="20"/>
        </w:rPr>
        <w:t>września 2019 r.</w:t>
      </w:r>
      <w:r w:rsidRPr="004C6CC5">
        <w:rPr>
          <w:rFonts w:ascii="Arial" w:eastAsia="Times New Roman" w:hAnsi="Arial" w:cs="Arial"/>
          <w:bCs/>
          <w:sz w:val="20"/>
          <w:szCs w:val="20"/>
        </w:rPr>
        <w:t xml:space="preserve"> zatwierdził potrzeby przyjmowania cudzoziemców</w:t>
      </w:r>
      <w:r w:rsidR="004C6CC5">
        <w:rPr>
          <w:rFonts w:ascii="Arial" w:eastAsia="Times New Roman" w:hAnsi="Arial" w:cs="Arial"/>
          <w:bCs/>
          <w:sz w:val="20"/>
          <w:szCs w:val="20"/>
        </w:rPr>
        <w:t xml:space="preserve"> w </w:t>
      </w:r>
      <w:r w:rsidRPr="004C6CC5">
        <w:rPr>
          <w:rFonts w:ascii="Arial" w:eastAsia="Times New Roman" w:hAnsi="Arial" w:cs="Arial"/>
          <w:bCs/>
          <w:sz w:val="20"/>
          <w:szCs w:val="20"/>
        </w:rPr>
        <w:t>celu prowadzenia badań naukowych lub prac rozwojowych na okres 5 lat oraz na potrzeby przyjmowania cudzoziemców</w:t>
      </w:r>
      <w:r w:rsidR="004C6CC5">
        <w:rPr>
          <w:rFonts w:ascii="Arial" w:eastAsia="Times New Roman" w:hAnsi="Arial" w:cs="Arial"/>
          <w:bCs/>
          <w:sz w:val="20"/>
          <w:szCs w:val="20"/>
        </w:rPr>
        <w:t xml:space="preserve"> w </w:t>
      </w:r>
      <w:r w:rsidRPr="004C6CC5">
        <w:rPr>
          <w:rFonts w:ascii="Arial" w:eastAsia="Times New Roman" w:hAnsi="Arial" w:cs="Arial"/>
          <w:bCs/>
          <w:sz w:val="20"/>
          <w:szCs w:val="20"/>
        </w:rPr>
        <w:t xml:space="preserve">celu podjęcia stażu na okres 2 lat. </w:t>
      </w:r>
    </w:p>
    <w:p w14:paraId="1ABCC826" w14:textId="178F110F" w:rsidR="007050BA" w:rsidRPr="004C6CC5" w:rsidRDefault="00674B0E" w:rsidP="00F32AE9">
      <w:pPr>
        <w:spacing w:before="120" w:after="120" w:line="276" w:lineRule="auto"/>
        <w:jc w:val="both"/>
        <w:rPr>
          <w:rFonts w:ascii="Arial" w:hAnsi="Arial" w:cs="Arial"/>
          <w:sz w:val="20"/>
          <w:szCs w:val="20"/>
        </w:rPr>
      </w:pPr>
      <w:r>
        <w:rPr>
          <w:rFonts w:ascii="Arial" w:hAnsi="Arial" w:cs="Arial"/>
          <w:sz w:val="20"/>
          <w:szCs w:val="20"/>
        </w:rPr>
        <w:t xml:space="preserve">Ponadto </w:t>
      </w:r>
      <w:r w:rsidR="007050BA" w:rsidRPr="004C6CC5">
        <w:rPr>
          <w:rFonts w:ascii="Arial" w:hAnsi="Arial" w:cs="Arial"/>
          <w:sz w:val="20"/>
          <w:szCs w:val="20"/>
        </w:rPr>
        <w:t>Uniwersytet Morski</w:t>
      </w:r>
      <w:r w:rsidR="004C6CC5">
        <w:rPr>
          <w:rFonts w:ascii="Arial" w:hAnsi="Arial" w:cs="Arial"/>
          <w:sz w:val="20"/>
          <w:szCs w:val="20"/>
        </w:rPr>
        <w:t xml:space="preserve"> w </w:t>
      </w:r>
      <w:r w:rsidR="007050BA" w:rsidRPr="004C6CC5">
        <w:rPr>
          <w:rFonts w:ascii="Arial" w:hAnsi="Arial" w:cs="Arial"/>
          <w:sz w:val="20"/>
          <w:szCs w:val="20"/>
        </w:rPr>
        <w:t>Gdyni prowadził</w:t>
      </w:r>
      <w:r w:rsidR="004C6CC5">
        <w:rPr>
          <w:rFonts w:ascii="Arial" w:hAnsi="Arial" w:cs="Arial"/>
          <w:sz w:val="20"/>
          <w:szCs w:val="20"/>
        </w:rPr>
        <w:t xml:space="preserve"> w </w:t>
      </w:r>
      <w:r w:rsidR="00293C7E">
        <w:rPr>
          <w:rFonts w:ascii="Arial" w:hAnsi="Arial" w:cs="Arial"/>
          <w:sz w:val="20"/>
          <w:szCs w:val="20"/>
        </w:rPr>
        <w:t>2019 r.</w:t>
      </w:r>
      <w:r w:rsidR="007050BA" w:rsidRPr="004C6CC5">
        <w:rPr>
          <w:rFonts w:ascii="Arial" w:hAnsi="Arial" w:cs="Arial"/>
          <w:sz w:val="20"/>
          <w:szCs w:val="20"/>
        </w:rPr>
        <w:t xml:space="preserve"> działania, które zainicjowały szereg spotkań </w:t>
      </w:r>
      <w:r w:rsidR="007050BA" w:rsidRPr="004C6CC5">
        <w:rPr>
          <w:rFonts w:ascii="Arial" w:hAnsi="Arial" w:cs="Arial"/>
          <w:sz w:val="20"/>
          <w:szCs w:val="20"/>
        </w:rPr>
        <w:br/>
      </w:r>
      <w:r w:rsidR="00925057">
        <w:rPr>
          <w:rFonts w:ascii="Arial" w:hAnsi="Arial" w:cs="Arial"/>
          <w:sz w:val="20"/>
          <w:szCs w:val="20"/>
        </w:rPr>
        <w:t>poświęconych</w:t>
      </w:r>
      <w:r w:rsidR="007050BA" w:rsidRPr="004C6CC5">
        <w:rPr>
          <w:rFonts w:ascii="Arial" w:hAnsi="Arial" w:cs="Arial"/>
          <w:sz w:val="20"/>
          <w:szCs w:val="20"/>
        </w:rPr>
        <w:t xml:space="preserve"> podjęciu współpracy</w:t>
      </w:r>
      <w:r w:rsidR="00925057">
        <w:rPr>
          <w:rFonts w:ascii="Arial" w:hAnsi="Arial" w:cs="Arial"/>
          <w:sz w:val="20"/>
          <w:szCs w:val="20"/>
        </w:rPr>
        <w:t xml:space="preserve"> w </w:t>
      </w:r>
      <w:r w:rsidR="007050BA" w:rsidRPr="004C6CC5">
        <w:rPr>
          <w:rFonts w:ascii="Arial" w:hAnsi="Arial" w:cs="Arial"/>
          <w:sz w:val="20"/>
          <w:szCs w:val="20"/>
        </w:rPr>
        <w:t>ramach realizacji projektów badawczo-rozwojowych finansowanych ze źródeł zewnętrznych planowanych na rok 2020. Uczelnia mając na celu określenie obszarów współpracy, wzmocnienia wzajemnych relacji oraz wymiany doświadczeń na wspólnych płaszczyznach działalności,</w:t>
      </w:r>
      <w:r>
        <w:rPr>
          <w:rFonts w:ascii="Arial" w:hAnsi="Arial" w:cs="Arial"/>
          <w:sz w:val="20"/>
          <w:szCs w:val="20"/>
        </w:rPr>
        <w:t xml:space="preserve"> w </w:t>
      </w:r>
      <w:r w:rsidR="007050BA" w:rsidRPr="004C6CC5">
        <w:rPr>
          <w:rFonts w:ascii="Arial" w:hAnsi="Arial" w:cs="Arial"/>
          <w:sz w:val="20"/>
          <w:szCs w:val="20"/>
        </w:rPr>
        <w:t>tym badawczych</w:t>
      </w:r>
      <w:r>
        <w:rPr>
          <w:rFonts w:ascii="Arial" w:hAnsi="Arial" w:cs="Arial"/>
          <w:sz w:val="20"/>
          <w:szCs w:val="20"/>
        </w:rPr>
        <w:t xml:space="preserve"> i </w:t>
      </w:r>
      <w:r w:rsidR="007050BA" w:rsidRPr="004C6CC5">
        <w:rPr>
          <w:rFonts w:ascii="Arial" w:hAnsi="Arial" w:cs="Arial"/>
          <w:sz w:val="20"/>
          <w:szCs w:val="20"/>
        </w:rPr>
        <w:t xml:space="preserve">edukacyjnych podpisała </w:t>
      </w:r>
      <w:r w:rsidR="00925057">
        <w:rPr>
          <w:rFonts w:ascii="Arial" w:hAnsi="Arial" w:cs="Arial"/>
          <w:sz w:val="20"/>
          <w:szCs w:val="20"/>
        </w:rPr>
        <w:t>dwa</w:t>
      </w:r>
      <w:r w:rsidR="007050BA" w:rsidRPr="004C6CC5">
        <w:rPr>
          <w:rFonts w:ascii="Arial" w:hAnsi="Arial" w:cs="Arial"/>
          <w:sz w:val="20"/>
          <w:szCs w:val="20"/>
        </w:rPr>
        <w:t xml:space="preserve"> porozumienia</w:t>
      </w:r>
      <w:r w:rsidR="004C6CC5">
        <w:rPr>
          <w:rFonts w:ascii="Arial" w:hAnsi="Arial" w:cs="Arial"/>
          <w:sz w:val="20"/>
          <w:szCs w:val="20"/>
        </w:rPr>
        <w:t xml:space="preserve"> z </w:t>
      </w:r>
      <w:r w:rsidR="007050BA" w:rsidRPr="004C6CC5">
        <w:rPr>
          <w:rFonts w:ascii="Arial" w:hAnsi="Arial" w:cs="Arial"/>
          <w:sz w:val="20"/>
          <w:szCs w:val="20"/>
        </w:rPr>
        <w:t>podmiotami gospodarczymi</w:t>
      </w:r>
      <w:r w:rsidR="004C6CC5">
        <w:rPr>
          <w:rFonts w:ascii="Arial" w:hAnsi="Arial" w:cs="Arial"/>
          <w:sz w:val="20"/>
          <w:szCs w:val="20"/>
        </w:rPr>
        <w:t xml:space="preserve"> z </w:t>
      </w:r>
      <w:r w:rsidR="00925057">
        <w:rPr>
          <w:rFonts w:ascii="Arial" w:hAnsi="Arial" w:cs="Arial"/>
          <w:sz w:val="20"/>
          <w:szCs w:val="20"/>
        </w:rPr>
        <w:t xml:space="preserve">branży morskiej  - </w:t>
      </w:r>
      <w:r w:rsidR="007050BA" w:rsidRPr="004C6CC5">
        <w:rPr>
          <w:rFonts w:ascii="Arial" w:hAnsi="Arial" w:cs="Arial"/>
          <w:sz w:val="20"/>
          <w:szCs w:val="20"/>
        </w:rPr>
        <w:t>Ocean Network Express (Europe) Ltd. Sp.</w:t>
      </w:r>
      <w:r w:rsidR="004C6CC5">
        <w:rPr>
          <w:rFonts w:ascii="Arial" w:hAnsi="Arial" w:cs="Arial"/>
          <w:sz w:val="20"/>
          <w:szCs w:val="20"/>
        </w:rPr>
        <w:t xml:space="preserve"> z </w:t>
      </w:r>
      <w:r w:rsidR="007050BA" w:rsidRPr="004C6CC5">
        <w:rPr>
          <w:rFonts w:ascii="Arial" w:hAnsi="Arial" w:cs="Arial"/>
          <w:sz w:val="20"/>
          <w:szCs w:val="20"/>
        </w:rPr>
        <w:t>o.o. oraz STBU Brokerzy ubezpieczeniowi Sp.</w:t>
      </w:r>
      <w:r w:rsidR="004C6CC5">
        <w:rPr>
          <w:rFonts w:ascii="Arial" w:hAnsi="Arial" w:cs="Arial"/>
          <w:sz w:val="20"/>
          <w:szCs w:val="20"/>
        </w:rPr>
        <w:t xml:space="preserve"> z </w:t>
      </w:r>
      <w:r w:rsidR="00925057">
        <w:rPr>
          <w:rFonts w:ascii="Arial" w:hAnsi="Arial" w:cs="Arial"/>
          <w:sz w:val="20"/>
          <w:szCs w:val="20"/>
        </w:rPr>
        <w:t>o.o.</w:t>
      </w:r>
    </w:p>
    <w:p w14:paraId="5757263B" w14:textId="3F03CDC1" w:rsidR="007050BA" w:rsidRPr="004C6CC5" w:rsidRDefault="00293C7E" w:rsidP="00F32AE9">
      <w:pPr>
        <w:spacing w:before="120" w:after="120" w:line="276" w:lineRule="auto"/>
        <w:jc w:val="both"/>
        <w:rPr>
          <w:rFonts w:ascii="Arial" w:hAnsi="Arial" w:cs="Arial"/>
          <w:sz w:val="20"/>
          <w:szCs w:val="20"/>
        </w:rPr>
      </w:pPr>
      <w:r>
        <w:rPr>
          <w:rFonts w:ascii="Arial" w:hAnsi="Arial" w:cs="Arial"/>
          <w:sz w:val="20"/>
          <w:szCs w:val="20"/>
        </w:rPr>
        <w:t>W</w:t>
      </w:r>
      <w:r w:rsidR="004C6CC5">
        <w:rPr>
          <w:rFonts w:ascii="Arial" w:hAnsi="Arial" w:cs="Arial"/>
          <w:sz w:val="20"/>
          <w:szCs w:val="20"/>
        </w:rPr>
        <w:t> </w:t>
      </w:r>
      <w:r>
        <w:rPr>
          <w:rFonts w:ascii="Arial" w:hAnsi="Arial" w:cs="Arial"/>
          <w:sz w:val="20"/>
          <w:szCs w:val="20"/>
        </w:rPr>
        <w:t>2019 r.</w:t>
      </w:r>
      <w:r w:rsidR="007050BA" w:rsidRPr="004C6CC5">
        <w:rPr>
          <w:rFonts w:ascii="Arial" w:hAnsi="Arial" w:cs="Arial"/>
          <w:sz w:val="20"/>
          <w:szCs w:val="20"/>
        </w:rPr>
        <w:t xml:space="preserve"> Uniwersytet Morski</w:t>
      </w:r>
      <w:r w:rsidR="004C6CC5">
        <w:rPr>
          <w:rFonts w:ascii="Arial" w:hAnsi="Arial" w:cs="Arial"/>
          <w:sz w:val="20"/>
          <w:szCs w:val="20"/>
        </w:rPr>
        <w:t xml:space="preserve"> w </w:t>
      </w:r>
      <w:r>
        <w:rPr>
          <w:rFonts w:ascii="Arial" w:hAnsi="Arial" w:cs="Arial"/>
          <w:sz w:val="20"/>
          <w:szCs w:val="20"/>
        </w:rPr>
        <w:t>Gdyni</w:t>
      </w:r>
      <w:r w:rsidR="007050BA" w:rsidRPr="004C6CC5">
        <w:rPr>
          <w:rFonts w:ascii="Arial" w:hAnsi="Arial" w:cs="Arial"/>
          <w:sz w:val="20"/>
          <w:szCs w:val="20"/>
        </w:rPr>
        <w:t xml:space="preserve"> kontynuował współpracę</w:t>
      </w:r>
      <w:r w:rsidR="004C6CC5">
        <w:rPr>
          <w:rFonts w:ascii="Arial" w:hAnsi="Arial" w:cs="Arial"/>
          <w:sz w:val="20"/>
          <w:szCs w:val="20"/>
        </w:rPr>
        <w:t xml:space="preserve"> z </w:t>
      </w:r>
      <w:r w:rsidR="007050BA" w:rsidRPr="004C6CC5">
        <w:rPr>
          <w:rFonts w:ascii="Arial" w:hAnsi="Arial" w:cs="Arial"/>
          <w:sz w:val="20"/>
          <w:szCs w:val="20"/>
        </w:rPr>
        <w:t>Zarządem Morskiego Portu Gdańsk S.A.</w:t>
      </w:r>
      <w:r w:rsidR="004C6CC5">
        <w:rPr>
          <w:rFonts w:ascii="Arial" w:hAnsi="Arial" w:cs="Arial"/>
          <w:sz w:val="20"/>
          <w:szCs w:val="20"/>
        </w:rPr>
        <w:t xml:space="preserve"> w </w:t>
      </w:r>
      <w:r w:rsidR="007050BA" w:rsidRPr="004C6CC5">
        <w:rPr>
          <w:rFonts w:ascii="Arial" w:hAnsi="Arial" w:cs="Arial"/>
          <w:sz w:val="20"/>
          <w:szCs w:val="20"/>
        </w:rPr>
        <w:t xml:space="preserve">ramach uruchomionego wspólnie konkursu grantowego </w:t>
      </w:r>
      <w:r w:rsidR="007050BA" w:rsidRPr="00925057">
        <w:rPr>
          <w:rFonts w:ascii="Arial" w:hAnsi="Arial" w:cs="Arial"/>
          <w:sz w:val="20"/>
          <w:szCs w:val="20"/>
        </w:rPr>
        <w:t>„Kierunek Port - morze możliwości”</w:t>
      </w:r>
      <w:r w:rsidR="007050BA" w:rsidRPr="004C6CC5">
        <w:rPr>
          <w:rFonts w:ascii="Arial" w:hAnsi="Arial" w:cs="Arial"/>
          <w:sz w:val="20"/>
          <w:szCs w:val="20"/>
        </w:rPr>
        <w:t xml:space="preserve"> dedykowanego </w:t>
      </w:r>
      <w:r w:rsidR="00925057">
        <w:rPr>
          <w:rFonts w:ascii="Arial" w:hAnsi="Arial" w:cs="Arial"/>
          <w:sz w:val="20"/>
          <w:szCs w:val="20"/>
        </w:rPr>
        <w:t>studentom</w:t>
      </w:r>
      <w:r w:rsidR="007050BA" w:rsidRPr="004C6CC5">
        <w:rPr>
          <w:rFonts w:ascii="Arial" w:hAnsi="Arial" w:cs="Arial"/>
          <w:sz w:val="20"/>
          <w:szCs w:val="20"/>
        </w:rPr>
        <w:t xml:space="preserve"> uczelni celem zaangażowania ich</w:t>
      </w:r>
      <w:r w:rsidR="004C6CC5">
        <w:rPr>
          <w:rFonts w:ascii="Arial" w:hAnsi="Arial" w:cs="Arial"/>
          <w:sz w:val="20"/>
          <w:szCs w:val="20"/>
        </w:rPr>
        <w:t xml:space="preserve"> w </w:t>
      </w:r>
      <w:r w:rsidR="007050BA" w:rsidRPr="004C6CC5">
        <w:rPr>
          <w:rFonts w:ascii="Arial" w:hAnsi="Arial" w:cs="Arial"/>
          <w:sz w:val="20"/>
          <w:szCs w:val="20"/>
        </w:rPr>
        <w:t xml:space="preserve">prace badawcze oraz transfer technologii ze świata nauki do biznesu.  </w:t>
      </w:r>
    </w:p>
    <w:p w14:paraId="456289C3" w14:textId="40F757DE" w:rsidR="007050BA" w:rsidRPr="004C6CC5" w:rsidRDefault="007050BA" w:rsidP="00F32AE9">
      <w:pPr>
        <w:spacing w:before="120" w:after="120" w:line="276" w:lineRule="auto"/>
        <w:jc w:val="both"/>
        <w:rPr>
          <w:rFonts w:ascii="Arial" w:hAnsi="Arial" w:cs="Arial"/>
          <w:sz w:val="20"/>
          <w:szCs w:val="20"/>
        </w:rPr>
      </w:pPr>
      <w:r w:rsidRPr="004C6CC5">
        <w:rPr>
          <w:rFonts w:ascii="Arial" w:hAnsi="Arial" w:cs="Arial"/>
          <w:sz w:val="20"/>
          <w:szCs w:val="20"/>
        </w:rPr>
        <w:t xml:space="preserve">W ramach oferty współpracy dedykowanej dla otoczenia gospodarczego uczelnia zawarła umowę na udostępnienie na rzecz </w:t>
      </w:r>
      <w:r w:rsidR="00293C7E">
        <w:rPr>
          <w:rFonts w:ascii="Arial" w:hAnsi="Arial" w:cs="Arial"/>
          <w:sz w:val="20"/>
          <w:szCs w:val="20"/>
        </w:rPr>
        <w:t>Remontowa Electrical Solutions S</w:t>
      </w:r>
      <w:r w:rsidRPr="004C6CC5">
        <w:rPr>
          <w:rFonts w:ascii="Arial" w:hAnsi="Arial" w:cs="Arial"/>
          <w:sz w:val="20"/>
          <w:szCs w:val="20"/>
        </w:rPr>
        <w:t>p.</w:t>
      </w:r>
      <w:r w:rsidR="004C6CC5">
        <w:rPr>
          <w:rFonts w:ascii="Arial" w:hAnsi="Arial" w:cs="Arial"/>
          <w:sz w:val="20"/>
          <w:szCs w:val="20"/>
        </w:rPr>
        <w:t xml:space="preserve"> z </w:t>
      </w:r>
      <w:r w:rsidRPr="004C6CC5">
        <w:rPr>
          <w:rFonts w:ascii="Arial" w:hAnsi="Arial" w:cs="Arial"/>
          <w:sz w:val="20"/>
          <w:szCs w:val="20"/>
        </w:rPr>
        <w:t xml:space="preserve">o.o. urządzeń należących do infrastruktury badawczej uczelni. </w:t>
      </w:r>
    </w:p>
    <w:p w14:paraId="704BDFFE" w14:textId="5C9AD04D" w:rsidR="007050BA" w:rsidRPr="004C6CC5" w:rsidRDefault="007050BA" w:rsidP="00F32AE9">
      <w:pPr>
        <w:spacing w:before="120" w:after="120" w:line="276" w:lineRule="auto"/>
        <w:jc w:val="both"/>
        <w:rPr>
          <w:rFonts w:ascii="Arial" w:hAnsi="Arial" w:cs="Arial"/>
          <w:sz w:val="20"/>
          <w:szCs w:val="20"/>
        </w:rPr>
      </w:pPr>
      <w:r w:rsidRPr="004C6CC5">
        <w:rPr>
          <w:rFonts w:ascii="Arial" w:hAnsi="Arial" w:cs="Arial"/>
          <w:sz w:val="20"/>
          <w:szCs w:val="20"/>
        </w:rPr>
        <w:t>Uczelnia jako jeden</w:t>
      </w:r>
      <w:r w:rsidR="004C6CC5">
        <w:rPr>
          <w:rFonts w:ascii="Arial" w:hAnsi="Arial" w:cs="Arial"/>
          <w:sz w:val="20"/>
          <w:szCs w:val="20"/>
        </w:rPr>
        <w:t xml:space="preserve"> z </w:t>
      </w:r>
      <w:r w:rsidRPr="004C6CC5">
        <w:rPr>
          <w:rFonts w:ascii="Arial" w:hAnsi="Arial" w:cs="Arial"/>
          <w:sz w:val="20"/>
          <w:szCs w:val="20"/>
        </w:rPr>
        <w:t xml:space="preserve">wielu członków konsorcjum Narodowego Centrum Badań Bałtyckich włączała się </w:t>
      </w:r>
      <w:r w:rsidR="00E859C3">
        <w:rPr>
          <w:rFonts w:ascii="Arial" w:hAnsi="Arial" w:cs="Arial"/>
          <w:sz w:val="20"/>
          <w:szCs w:val="20"/>
        </w:rPr>
        <w:t>również</w:t>
      </w:r>
      <w:r w:rsidR="004C6CC5">
        <w:rPr>
          <w:rFonts w:ascii="Arial" w:hAnsi="Arial" w:cs="Arial"/>
          <w:sz w:val="20"/>
          <w:szCs w:val="20"/>
        </w:rPr>
        <w:t xml:space="preserve"> w </w:t>
      </w:r>
      <w:r w:rsidRPr="004C6CC5">
        <w:rPr>
          <w:rFonts w:ascii="Arial" w:hAnsi="Arial" w:cs="Arial"/>
          <w:sz w:val="20"/>
          <w:szCs w:val="20"/>
        </w:rPr>
        <w:t>integrację</w:t>
      </w:r>
      <w:r w:rsidR="004C6CC5">
        <w:rPr>
          <w:rFonts w:ascii="Arial" w:hAnsi="Arial" w:cs="Arial"/>
          <w:sz w:val="20"/>
          <w:szCs w:val="20"/>
        </w:rPr>
        <w:t xml:space="preserve"> i </w:t>
      </w:r>
      <w:r w:rsidRPr="004C6CC5">
        <w:rPr>
          <w:rFonts w:ascii="Arial" w:hAnsi="Arial" w:cs="Arial"/>
          <w:sz w:val="20"/>
          <w:szCs w:val="20"/>
        </w:rPr>
        <w:t>wzmacnianie potencjału środowiska naukowego</w:t>
      </w:r>
      <w:r w:rsidR="004C6CC5">
        <w:rPr>
          <w:rFonts w:ascii="Arial" w:hAnsi="Arial" w:cs="Arial"/>
          <w:sz w:val="20"/>
          <w:szCs w:val="20"/>
        </w:rPr>
        <w:t xml:space="preserve"> w </w:t>
      </w:r>
      <w:r w:rsidRPr="004C6CC5">
        <w:rPr>
          <w:rFonts w:ascii="Arial" w:hAnsi="Arial" w:cs="Arial"/>
          <w:sz w:val="20"/>
          <w:szCs w:val="20"/>
        </w:rPr>
        <w:t xml:space="preserve">zakresie inicjatyw związanych </w:t>
      </w:r>
      <w:r w:rsidRPr="004C6CC5">
        <w:rPr>
          <w:rFonts w:ascii="Arial" w:hAnsi="Arial" w:cs="Arial"/>
          <w:sz w:val="20"/>
          <w:szCs w:val="20"/>
        </w:rPr>
        <w:br/>
        <w:t xml:space="preserve">z badaniami Morza Bałtyckiego.  </w:t>
      </w:r>
    </w:p>
    <w:p w14:paraId="29DD1187" w14:textId="56FD07D7" w:rsidR="007050BA" w:rsidRPr="004C6CC5" w:rsidRDefault="00293C7E" w:rsidP="00F32AE9">
      <w:pPr>
        <w:spacing w:before="120" w:after="120" w:line="276" w:lineRule="auto"/>
        <w:jc w:val="both"/>
        <w:rPr>
          <w:rFonts w:ascii="Arial" w:hAnsi="Arial" w:cs="Arial"/>
          <w:sz w:val="20"/>
          <w:szCs w:val="20"/>
        </w:rPr>
      </w:pPr>
      <w:r>
        <w:rPr>
          <w:rFonts w:ascii="Arial" w:eastAsia="Calibri" w:hAnsi="Arial" w:cs="Arial"/>
          <w:sz w:val="20"/>
          <w:szCs w:val="20"/>
        </w:rPr>
        <w:t>W 2019 r.</w:t>
      </w:r>
      <w:r w:rsidR="007050BA" w:rsidRPr="004C6CC5">
        <w:rPr>
          <w:rFonts w:ascii="Arial" w:eastAsia="Calibri" w:hAnsi="Arial" w:cs="Arial"/>
          <w:sz w:val="20"/>
          <w:szCs w:val="20"/>
        </w:rPr>
        <w:t xml:space="preserve"> Uniwersytet Morski</w:t>
      </w:r>
      <w:r w:rsidR="004C6CC5">
        <w:rPr>
          <w:rFonts w:ascii="Arial" w:eastAsia="Calibri" w:hAnsi="Arial" w:cs="Arial"/>
          <w:sz w:val="20"/>
          <w:szCs w:val="20"/>
        </w:rPr>
        <w:t xml:space="preserve"> w </w:t>
      </w:r>
      <w:r w:rsidR="007050BA" w:rsidRPr="004C6CC5">
        <w:rPr>
          <w:rFonts w:ascii="Arial" w:eastAsia="Calibri" w:hAnsi="Arial" w:cs="Arial"/>
          <w:sz w:val="20"/>
          <w:szCs w:val="20"/>
        </w:rPr>
        <w:t xml:space="preserve">Gdyni kontynuował </w:t>
      </w:r>
      <w:r w:rsidR="00FF6883">
        <w:rPr>
          <w:rFonts w:ascii="Arial" w:eastAsia="Calibri" w:hAnsi="Arial" w:cs="Arial"/>
          <w:sz w:val="20"/>
          <w:szCs w:val="20"/>
        </w:rPr>
        <w:t xml:space="preserve">także </w:t>
      </w:r>
      <w:r w:rsidR="007050BA" w:rsidRPr="004C6CC5">
        <w:rPr>
          <w:rFonts w:ascii="Arial" w:eastAsia="Calibri" w:hAnsi="Arial" w:cs="Arial"/>
          <w:sz w:val="20"/>
          <w:szCs w:val="20"/>
        </w:rPr>
        <w:t>działalność wynalazczą, a powstające rozwiązania nakierowane były na rozwój innowacji</w:t>
      </w:r>
      <w:r w:rsidR="004C6CC5">
        <w:rPr>
          <w:rFonts w:ascii="Arial" w:eastAsia="Calibri" w:hAnsi="Arial" w:cs="Arial"/>
          <w:sz w:val="20"/>
          <w:szCs w:val="20"/>
        </w:rPr>
        <w:t xml:space="preserve"> w </w:t>
      </w:r>
      <w:r w:rsidR="007050BA" w:rsidRPr="004C6CC5">
        <w:rPr>
          <w:rFonts w:ascii="Arial" w:eastAsia="Calibri" w:hAnsi="Arial" w:cs="Arial"/>
          <w:sz w:val="20"/>
          <w:szCs w:val="20"/>
        </w:rPr>
        <w:t>branży morskiej.</w:t>
      </w:r>
      <w:r w:rsidR="00925057">
        <w:rPr>
          <w:rFonts w:ascii="Arial" w:eastAsia="Calibri" w:hAnsi="Arial" w:cs="Arial"/>
          <w:sz w:val="20"/>
          <w:szCs w:val="20"/>
        </w:rPr>
        <w:t xml:space="preserve"> W</w:t>
      </w:r>
      <w:r w:rsidR="004C6CC5">
        <w:rPr>
          <w:rFonts w:ascii="Arial" w:eastAsia="Calibri" w:hAnsi="Arial" w:cs="Arial"/>
          <w:sz w:val="20"/>
          <w:szCs w:val="20"/>
        </w:rPr>
        <w:t> </w:t>
      </w:r>
      <w:r w:rsidR="007050BA" w:rsidRPr="004C6CC5">
        <w:rPr>
          <w:rFonts w:ascii="Arial" w:eastAsia="Calibri" w:hAnsi="Arial" w:cs="Arial"/>
          <w:sz w:val="20"/>
          <w:szCs w:val="20"/>
        </w:rPr>
        <w:t>tym celu uczelnia</w:t>
      </w:r>
      <w:r w:rsidR="007050BA" w:rsidRPr="004C6CC5">
        <w:rPr>
          <w:rFonts w:ascii="Arial" w:hAnsi="Arial" w:cs="Arial"/>
          <w:sz w:val="20"/>
          <w:szCs w:val="20"/>
        </w:rPr>
        <w:t xml:space="preserve"> dokonała komercjalizacji bezpośredniej dwóch rozwiązań (wynalazek</w:t>
      </w:r>
      <w:r w:rsidR="00D72A0B">
        <w:rPr>
          <w:rFonts w:ascii="Arial" w:hAnsi="Arial" w:cs="Arial"/>
          <w:sz w:val="20"/>
          <w:szCs w:val="20"/>
        </w:rPr>
        <w:t>,</w:t>
      </w:r>
      <w:r w:rsidR="00925057">
        <w:rPr>
          <w:rFonts w:ascii="Arial" w:hAnsi="Arial" w:cs="Arial"/>
          <w:sz w:val="20"/>
          <w:szCs w:val="20"/>
        </w:rPr>
        <w:t xml:space="preserve"> </w:t>
      </w:r>
      <w:r w:rsidR="007050BA" w:rsidRPr="004C6CC5">
        <w:rPr>
          <w:rFonts w:ascii="Arial" w:hAnsi="Arial" w:cs="Arial"/>
          <w:sz w:val="20"/>
          <w:szCs w:val="20"/>
        </w:rPr>
        <w:t>baza danych) powstałych</w:t>
      </w:r>
      <w:r w:rsidR="004C6CC5">
        <w:rPr>
          <w:rFonts w:ascii="Arial" w:hAnsi="Arial" w:cs="Arial"/>
          <w:sz w:val="20"/>
          <w:szCs w:val="20"/>
        </w:rPr>
        <w:t xml:space="preserve"> w </w:t>
      </w:r>
      <w:r w:rsidR="007050BA" w:rsidRPr="004C6CC5">
        <w:rPr>
          <w:rFonts w:ascii="Arial" w:hAnsi="Arial" w:cs="Arial"/>
          <w:sz w:val="20"/>
          <w:szCs w:val="20"/>
        </w:rPr>
        <w:t xml:space="preserve">wyników działalności naukowej pracowników uczelni. Uczelnia udostępniła bazy danych </w:t>
      </w:r>
      <w:r w:rsidR="00D72A0B">
        <w:rPr>
          <w:rFonts w:ascii="Arial" w:hAnsi="Arial" w:cs="Arial"/>
          <w:sz w:val="20"/>
          <w:szCs w:val="20"/>
        </w:rPr>
        <w:t xml:space="preserve">na rzecz Remontowa </w:t>
      </w:r>
      <w:r w:rsidR="00925057">
        <w:rPr>
          <w:rFonts w:ascii="Arial" w:hAnsi="Arial" w:cs="Arial"/>
          <w:sz w:val="20"/>
          <w:szCs w:val="20"/>
        </w:rPr>
        <w:lastRenderedPageBreak/>
        <w:t>Electrical Solution S</w:t>
      </w:r>
      <w:r w:rsidR="007050BA" w:rsidRPr="004C6CC5">
        <w:rPr>
          <w:rFonts w:ascii="Arial" w:hAnsi="Arial" w:cs="Arial"/>
          <w:sz w:val="20"/>
          <w:szCs w:val="20"/>
        </w:rPr>
        <w:t>p.</w:t>
      </w:r>
      <w:r w:rsidR="004C6CC5">
        <w:rPr>
          <w:rFonts w:ascii="Arial" w:hAnsi="Arial" w:cs="Arial"/>
          <w:sz w:val="20"/>
          <w:szCs w:val="20"/>
        </w:rPr>
        <w:t xml:space="preserve"> z </w:t>
      </w:r>
      <w:r w:rsidR="007050BA" w:rsidRPr="004C6CC5">
        <w:rPr>
          <w:rFonts w:ascii="Arial" w:hAnsi="Arial" w:cs="Arial"/>
          <w:sz w:val="20"/>
          <w:szCs w:val="20"/>
        </w:rPr>
        <w:t>o.o. zawierające wyniki pomiarów napięć na szynach rozdzielnic głównych statków oraz prądów prądnic okrętowych</w:t>
      </w:r>
      <w:r w:rsidR="00D72A0B">
        <w:rPr>
          <w:rFonts w:ascii="Arial" w:hAnsi="Arial" w:cs="Arial"/>
          <w:sz w:val="20"/>
          <w:szCs w:val="20"/>
        </w:rPr>
        <w:t xml:space="preserve"> i </w:t>
      </w:r>
      <w:r w:rsidR="007050BA" w:rsidRPr="004C6CC5">
        <w:rPr>
          <w:rFonts w:ascii="Arial" w:hAnsi="Arial" w:cs="Arial"/>
          <w:sz w:val="20"/>
          <w:szCs w:val="20"/>
        </w:rPr>
        <w:t>wybranych odbiorników zgromadzonych</w:t>
      </w:r>
      <w:r w:rsidR="00D72A0B">
        <w:rPr>
          <w:rFonts w:ascii="Arial" w:hAnsi="Arial" w:cs="Arial"/>
          <w:sz w:val="20"/>
          <w:szCs w:val="20"/>
        </w:rPr>
        <w:t xml:space="preserve"> w </w:t>
      </w:r>
      <w:r w:rsidR="007050BA" w:rsidRPr="004C6CC5">
        <w:rPr>
          <w:rFonts w:ascii="Arial" w:hAnsi="Arial" w:cs="Arial"/>
          <w:sz w:val="20"/>
          <w:szCs w:val="20"/>
        </w:rPr>
        <w:t>wyniku prowadzonej</w:t>
      </w:r>
      <w:r w:rsidR="004C6CC5">
        <w:rPr>
          <w:rFonts w:ascii="Arial" w:hAnsi="Arial" w:cs="Arial"/>
          <w:sz w:val="20"/>
          <w:szCs w:val="20"/>
        </w:rPr>
        <w:t xml:space="preserve"> w </w:t>
      </w:r>
      <w:r w:rsidR="007050BA" w:rsidRPr="004C6CC5">
        <w:rPr>
          <w:rFonts w:ascii="Arial" w:hAnsi="Arial" w:cs="Arial"/>
          <w:sz w:val="20"/>
          <w:szCs w:val="20"/>
        </w:rPr>
        <w:t>uczelni działalności naukowej</w:t>
      </w:r>
      <w:r w:rsidR="004C6CC5">
        <w:rPr>
          <w:rFonts w:ascii="Arial" w:hAnsi="Arial" w:cs="Arial"/>
          <w:sz w:val="20"/>
          <w:szCs w:val="20"/>
        </w:rPr>
        <w:t xml:space="preserve"> w </w:t>
      </w:r>
      <w:r w:rsidR="007050BA" w:rsidRPr="004C6CC5">
        <w:rPr>
          <w:rFonts w:ascii="Arial" w:hAnsi="Arial" w:cs="Arial"/>
          <w:sz w:val="20"/>
          <w:szCs w:val="20"/>
        </w:rPr>
        <w:t xml:space="preserve">latach 1999-2019. </w:t>
      </w:r>
    </w:p>
    <w:p w14:paraId="1E6E6574" w14:textId="77777777" w:rsidR="001B2375" w:rsidRDefault="007050BA" w:rsidP="00F32AE9">
      <w:pPr>
        <w:spacing w:before="120" w:after="120" w:line="276" w:lineRule="auto"/>
        <w:jc w:val="both"/>
        <w:rPr>
          <w:rFonts w:ascii="Arial" w:hAnsi="Arial" w:cs="Arial"/>
          <w:sz w:val="20"/>
          <w:szCs w:val="20"/>
        </w:rPr>
      </w:pPr>
      <w:r w:rsidRPr="004C6CC5">
        <w:rPr>
          <w:rFonts w:ascii="Arial" w:hAnsi="Arial" w:cs="Arial"/>
          <w:sz w:val="20"/>
          <w:szCs w:val="20"/>
        </w:rPr>
        <w:t>Uniwersytet Morski</w:t>
      </w:r>
      <w:r w:rsidR="004C6CC5">
        <w:rPr>
          <w:rFonts w:ascii="Arial" w:hAnsi="Arial" w:cs="Arial"/>
          <w:sz w:val="20"/>
          <w:szCs w:val="20"/>
        </w:rPr>
        <w:t xml:space="preserve"> w </w:t>
      </w:r>
      <w:r w:rsidRPr="004C6CC5">
        <w:rPr>
          <w:rFonts w:ascii="Arial" w:hAnsi="Arial" w:cs="Arial"/>
          <w:sz w:val="20"/>
          <w:szCs w:val="20"/>
        </w:rPr>
        <w:t>Gdyni od kilku lat prowadzi działalność badawczą ukierunkowaną na rozwój wielu dziedzin gospodarki krajowej</w:t>
      </w:r>
      <w:r w:rsidR="004C6CC5">
        <w:rPr>
          <w:rFonts w:ascii="Arial" w:hAnsi="Arial" w:cs="Arial"/>
          <w:sz w:val="20"/>
          <w:szCs w:val="20"/>
        </w:rPr>
        <w:t xml:space="preserve"> i </w:t>
      </w:r>
      <w:r w:rsidRPr="004C6CC5">
        <w:rPr>
          <w:rFonts w:ascii="Arial" w:hAnsi="Arial" w:cs="Arial"/>
          <w:sz w:val="20"/>
          <w:szCs w:val="20"/>
        </w:rPr>
        <w:t>europejskiej, a prowadzone prace badawczo-rozwojowe są zgodne</w:t>
      </w:r>
      <w:r w:rsidR="004C6CC5">
        <w:rPr>
          <w:rFonts w:ascii="Arial" w:hAnsi="Arial" w:cs="Arial"/>
          <w:sz w:val="20"/>
          <w:szCs w:val="20"/>
        </w:rPr>
        <w:t xml:space="preserve"> z </w:t>
      </w:r>
      <w:r w:rsidRPr="004C6CC5">
        <w:rPr>
          <w:rFonts w:ascii="Arial" w:hAnsi="Arial" w:cs="Arial"/>
          <w:sz w:val="20"/>
          <w:szCs w:val="20"/>
        </w:rPr>
        <w:t>wieloma priorytetowymi kierunkami badań</w:t>
      </w:r>
      <w:r w:rsidR="004C6CC5">
        <w:rPr>
          <w:rFonts w:ascii="Arial" w:hAnsi="Arial" w:cs="Arial"/>
          <w:sz w:val="20"/>
          <w:szCs w:val="20"/>
        </w:rPr>
        <w:t xml:space="preserve"> w </w:t>
      </w:r>
      <w:r w:rsidRPr="004C6CC5">
        <w:rPr>
          <w:rFonts w:ascii="Arial" w:hAnsi="Arial" w:cs="Arial"/>
          <w:sz w:val="20"/>
          <w:szCs w:val="20"/>
        </w:rPr>
        <w:t>ramach</w:t>
      </w:r>
      <w:hyperlink r:id="rId10" w:history="1"/>
      <w:r w:rsidRPr="004C6CC5">
        <w:rPr>
          <w:rFonts w:ascii="Arial" w:hAnsi="Arial" w:cs="Arial"/>
          <w:sz w:val="20"/>
          <w:szCs w:val="20"/>
        </w:rPr>
        <w:t xml:space="preserve"> Inteligentnych Specjalizacji Regionów oraz Krajowych Inteligentnych Specjalizacji.</w:t>
      </w:r>
      <w:r w:rsidR="00925057">
        <w:rPr>
          <w:rFonts w:ascii="Arial" w:hAnsi="Arial" w:cs="Arial"/>
          <w:sz w:val="20"/>
          <w:szCs w:val="20"/>
        </w:rPr>
        <w:t xml:space="preserve"> </w:t>
      </w:r>
    </w:p>
    <w:p w14:paraId="217C72DD" w14:textId="71BC301C" w:rsidR="001B2375" w:rsidRPr="001B2375" w:rsidRDefault="001B2375" w:rsidP="001B2375">
      <w:pPr>
        <w:spacing w:before="120" w:after="120" w:line="276" w:lineRule="auto"/>
        <w:jc w:val="both"/>
        <w:rPr>
          <w:rFonts w:ascii="Arial" w:hAnsi="Arial" w:cs="Arial"/>
          <w:sz w:val="20"/>
          <w:szCs w:val="20"/>
        </w:rPr>
      </w:pPr>
      <w:r w:rsidRPr="001B2375">
        <w:rPr>
          <w:rFonts w:ascii="Arial" w:hAnsi="Arial" w:cs="Arial"/>
          <w:sz w:val="20"/>
          <w:szCs w:val="20"/>
        </w:rPr>
        <w:t>W roku 2016 zawiązano porozumienie na rzecz inteligentnych specjalizacji woj. pomorskiego (ISP), którego jednym z sygnatariuszy była Akademia Morska w Gdyni (</w:t>
      </w:r>
      <w:r w:rsidR="00745553">
        <w:rPr>
          <w:rFonts w:ascii="Arial" w:hAnsi="Arial" w:cs="Arial"/>
          <w:sz w:val="20"/>
          <w:szCs w:val="20"/>
        </w:rPr>
        <w:t>obecnie</w:t>
      </w:r>
      <w:r w:rsidRPr="001B2375">
        <w:rPr>
          <w:rFonts w:ascii="Arial" w:hAnsi="Arial" w:cs="Arial"/>
          <w:sz w:val="20"/>
          <w:szCs w:val="20"/>
        </w:rPr>
        <w:t xml:space="preserve"> Uniwersytet Morski w Gdyni). Wówczas uczelnia wzięła udział w formułowaniu założeń, strategii i r</w:t>
      </w:r>
      <w:r w:rsidR="00745553">
        <w:rPr>
          <w:rFonts w:ascii="Arial" w:hAnsi="Arial" w:cs="Arial"/>
          <w:sz w:val="20"/>
          <w:szCs w:val="20"/>
        </w:rPr>
        <w:t>ozwoju dla wiodących obszarów: „</w:t>
      </w:r>
      <w:r w:rsidRPr="001B2375">
        <w:rPr>
          <w:rFonts w:ascii="Arial" w:hAnsi="Arial" w:cs="Arial"/>
          <w:sz w:val="20"/>
          <w:szCs w:val="20"/>
        </w:rPr>
        <w:t xml:space="preserve">Technologie offshore i portowo-logistyczne”, „Technologie ekoefektywne w produkcji, przemyśle, dystrybucji i zużyciu energii i paliw oraz w budownictwie” oraz „Technologie medyczne w zakresie chorób cywilizacyjnych i okresu starzenia”. </w:t>
      </w:r>
    </w:p>
    <w:p w14:paraId="00ED2713" w14:textId="2296D77F" w:rsidR="00925057" w:rsidRDefault="001B2375" w:rsidP="00F32AE9">
      <w:pPr>
        <w:spacing w:before="120" w:after="120" w:line="276" w:lineRule="auto"/>
        <w:jc w:val="both"/>
        <w:rPr>
          <w:rFonts w:ascii="Arial" w:hAnsi="Arial" w:cs="Arial"/>
          <w:sz w:val="20"/>
          <w:szCs w:val="20"/>
        </w:rPr>
      </w:pPr>
      <w:r>
        <w:rPr>
          <w:rFonts w:ascii="Arial" w:hAnsi="Arial" w:cs="Arial"/>
          <w:sz w:val="20"/>
          <w:szCs w:val="20"/>
        </w:rPr>
        <w:t xml:space="preserve">Dziś </w:t>
      </w:r>
      <w:r w:rsidR="00925057" w:rsidRPr="004C6CC5">
        <w:rPr>
          <w:rFonts w:ascii="Arial" w:hAnsi="Arial" w:cs="Arial"/>
          <w:sz w:val="20"/>
          <w:szCs w:val="20"/>
        </w:rPr>
        <w:t>Uniwersytet Morski</w:t>
      </w:r>
      <w:r w:rsidR="00925057">
        <w:rPr>
          <w:rFonts w:ascii="Arial" w:hAnsi="Arial" w:cs="Arial"/>
          <w:sz w:val="20"/>
          <w:szCs w:val="20"/>
        </w:rPr>
        <w:t xml:space="preserve"> w </w:t>
      </w:r>
      <w:r w:rsidR="00925057" w:rsidRPr="004C6CC5">
        <w:rPr>
          <w:rFonts w:ascii="Arial" w:hAnsi="Arial" w:cs="Arial"/>
          <w:sz w:val="20"/>
          <w:szCs w:val="20"/>
        </w:rPr>
        <w:t>Gdyni jest podmiotem identyfikującym swoją działalność</w:t>
      </w:r>
      <w:r w:rsidR="00925057">
        <w:rPr>
          <w:rFonts w:ascii="Arial" w:hAnsi="Arial" w:cs="Arial"/>
          <w:sz w:val="20"/>
          <w:szCs w:val="20"/>
        </w:rPr>
        <w:t xml:space="preserve"> z </w:t>
      </w:r>
      <w:r w:rsidR="00925057" w:rsidRPr="004C6CC5">
        <w:rPr>
          <w:rFonts w:ascii="Arial" w:hAnsi="Arial" w:cs="Arial"/>
          <w:sz w:val="20"/>
          <w:szCs w:val="20"/>
        </w:rPr>
        <w:t>IS</w:t>
      </w:r>
      <w:r>
        <w:rPr>
          <w:rFonts w:ascii="Arial" w:hAnsi="Arial" w:cs="Arial"/>
          <w:sz w:val="20"/>
          <w:szCs w:val="20"/>
        </w:rPr>
        <w:t xml:space="preserve">P dotyczącymi w </w:t>
      </w:r>
      <w:r w:rsidR="00925057" w:rsidRPr="004C6CC5">
        <w:rPr>
          <w:rFonts w:ascii="Arial" w:hAnsi="Arial" w:cs="Arial"/>
          <w:sz w:val="20"/>
          <w:szCs w:val="20"/>
        </w:rPr>
        <w:t>szczególności</w:t>
      </w:r>
      <w:r>
        <w:rPr>
          <w:rFonts w:ascii="Arial" w:hAnsi="Arial" w:cs="Arial"/>
          <w:sz w:val="20"/>
          <w:szCs w:val="20"/>
        </w:rPr>
        <w:t xml:space="preserve"> </w:t>
      </w:r>
      <w:r w:rsidR="00925057" w:rsidRPr="004C6CC5">
        <w:rPr>
          <w:rFonts w:ascii="Arial" w:hAnsi="Arial" w:cs="Arial"/>
          <w:sz w:val="20"/>
          <w:szCs w:val="20"/>
        </w:rPr>
        <w:t>obszaru „Technologie offshore</w:t>
      </w:r>
      <w:r w:rsidR="00925057">
        <w:rPr>
          <w:rFonts w:ascii="Arial" w:hAnsi="Arial" w:cs="Arial"/>
          <w:sz w:val="20"/>
          <w:szCs w:val="20"/>
        </w:rPr>
        <w:t xml:space="preserve"> i </w:t>
      </w:r>
      <w:r w:rsidR="00925057" w:rsidRPr="004C6CC5">
        <w:rPr>
          <w:rFonts w:ascii="Arial" w:hAnsi="Arial" w:cs="Arial"/>
          <w:sz w:val="20"/>
          <w:szCs w:val="20"/>
        </w:rPr>
        <w:t>portowo-logistyczne”</w:t>
      </w:r>
      <w:r w:rsidR="00925057">
        <w:rPr>
          <w:rFonts w:ascii="Arial" w:hAnsi="Arial" w:cs="Arial"/>
          <w:sz w:val="20"/>
          <w:szCs w:val="20"/>
        </w:rPr>
        <w:t xml:space="preserve"> oraz </w:t>
      </w:r>
      <w:r w:rsidR="00925057" w:rsidRPr="004C6CC5">
        <w:rPr>
          <w:rFonts w:ascii="Arial" w:hAnsi="Arial" w:cs="Arial"/>
          <w:sz w:val="20"/>
          <w:szCs w:val="20"/>
        </w:rPr>
        <w:t>„Technologie interaktywne</w:t>
      </w:r>
      <w:r w:rsidR="00925057">
        <w:rPr>
          <w:rFonts w:ascii="Arial" w:hAnsi="Arial" w:cs="Arial"/>
          <w:sz w:val="20"/>
          <w:szCs w:val="20"/>
        </w:rPr>
        <w:t xml:space="preserve"> w </w:t>
      </w:r>
      <w:r w:rsidR="00925057" w:rsidRPr="004C6CC5">
        <w:rPr>
          <w:rFonts w:ascii="Arial" w:hAnsi="Arial" w:cs="Arial"/>
          <w:sz w:val="20"/>
          <w:szCs w:val="20"/>
        </w:rPr>
        <w:t xml:space="preserve">środowisku nasyconym informacyjnie”. </w:t>
      </w:r>
    </w:p>
    <w:p w14:paraId="20F6446F" w14:textId="1C8DD3C2" w:rsidR="007050BA" w:rsidRPr="004C6CC5" w:rsidRDefault="00925057" w:rsidP="00F32AE9">
      <w:pPr>
        <w:spacing w:before="120" w:after="120" w:line="276" w:lineRule="auto"/>
        <w:jc w:val="both"/>
        <w:rPr>
          <w:rFonts w:ascii="Arial" w:hAnsi="Arial" w:cs="Arial"/>
          <w:sz w:val="20"/>
          <w:szCs w:val="20"/>
        </w:rPr>
      </w:pPr>
      <w:r>
        <w:rPr>
          <w:rFonts w:ascii="Arial" w:hAnsi="Arial" w:cs="Arial"/>
          <w:sz w:val="20"/>
          <w:szCs w:val="20"/>
        </w:rPr>
        <w:t>W</w:t>
      </w:r>
      <w:r w:rsidR="004C6CC5">
        <w:rPr>
          <w:rFonts w:ascii="Arial" w:hAnsi="Arial" w:cs="Arial"/>
          <w:sz w:val="20"/>
          <w:szCs w:val="20"/>
        </w:rPr>
        <w:t> </w:t>
      </w:r>
      <w:r w:rsidR="007050BA" w:rsidRPr="004C6CC5">
        <w:rPr>
          <w:rFonts w:ascii="Arial" w:hAnsi="Arial" w:cs="Arial"/>
          <w:sz w:val="20"/>
          <w:szCs w:val="20"/>
        </w:rPr>
        <w:t>2019</w:t>
      </w:r>
      <w:r w:rsidR="009D01B9" w:rsidRPr="004C6CC5">
        <w:rPr>
          <w:rFonts w:ascii="Arial" w:hAnsi="Arial" w:cs="Arial"/>
          <w:sz w:val="20"/>
          <w:szCs w:val="20"/>
        </w:rPr>
        <w:t xml:space="preserve"> r. </w:t>
      </w:r>
      <w:r w:rsidR="007050BA" w:rsidRPr="004C6CC5">
        <w:rPr>
          <w:rFonts w:ascii="Arial" w:hAnsi="Arial" w:cs="Arial"/>
          <w:sz w:val="20"/>
          <w:szCs w:val="20"/>
        </w:rPr>
        <w:t>Uniwersytet Morski</w:t>
      </w:r>
      <w:r w:rsidR="004C6CC5">
        <w:rPr>
          <w:rFonts w:ascii="Arial" w:hAnsi="Arial" w:cs="Arial"/>
          <w:sz w:val="20"/>
          <w:szCs w:val="20"/>
        </w:rPr>
        <w:t xml:space="preserve"> w </w:t>
      </w:r>
      <w:r w:rsidR="007050BA" w:rsidRPr="004C6CC5">
        <w:rPr>
          <w:rFonts w:ascii="Arial" w:hAnsi="Arial" w:cs="Arial"/>
          <w:sz w:val="20"/>
          <w:szCs w:val="20"/>
        </w:rPr>
        <w:t>Gdyni podpisał II Porozumienie na rzecz I</w:t>
      </w:r>
      <w:r>
        <w:rPr>
          <w:rFonts w:ascii="Arial" w:hAnsi="Arial" w:cs="Arial"/>
          <w:sz w:val="20"/>
          <w:szCs w:val="20"/>
        </w:rPr>
        <w:t xml:space="preserve">nteligentnych </w:t>
      </w:r>
      <w:r w:rsidR="007050BA" w:rsidRPr="004C6CC5">
        <w:rPr>
          <w:rFonts w:ascii="Arial" w:hAnsi="Arial" w:cs="Arial"/>
          <w:sz w:val="20"/>
          <w:szCs w:val="20"/>
        </w:rPr>
        <w:t>S</w:t>
      </w:r>
      <w:r>
        <w:rPr>
          <w:rFonts w:ascii="Arial" w:hAnsi="Arial" w:cs="Arial"/>
          <w:sz w:val="20"/>
          <w:szCs w:val="20"/>
        </w:rPr>
        <w:t xml:space="preserve">pecjalizacji </w:t>
      </w:r>
      <w:r w:rsidR="007050BA" w:rsidRPr="004C6CC5">
        <w:rPr>
          <w:rFonts w:ascii="Arial" w:hAnsi="Arial" w:cs="Arial"/>
          <w:sz w:val="20"/>
          <w:szCs w:val="20"/>
        </w:rPr>
        <w:t>P</w:t>
      </w:r>
      <w:r>
        <w:rPr>
          <w:rFonts w:ascii="Arial" w:hAnsi="Arial" w:cs="Arial"/>
          <w:sz w:val="20"/>
          <w:szCs w:val="20"/>
        </w:rPr>
        <w:t>omorza</w:t>
      </w:r>
      <w:r w:rsidR="004C6CC5">
        <w:rPr>
          <w:rFonts w:ascii="Arial" w:hAnsi="Arial" w:cs="Arial"/>
          <w:sz w:val="20"/>
          <w:szCs w:val="20"/>
        </w:rPr>
        <w:t xml:space="preserve"> </w:t>
      </w:r>
      <w:r w:rsidRPr="004C6CC5">
        <w:rPr>
          <w:rFonts w:ascii="Arial" w:hAnsi="Arial" w:cs="Arial"/>
          <w:sz w:val="20"/>
          <w:szCs w:val="20"/>
        </w:rPr>
        <w:t>(ISP</w:t>
      </w:r>
      <w:r w:rsidR="00AE2DC3">
        <w:rPr>
          <w:rFonts w:ascii="Arial" w:hAnsi="Arial" w:cs="Arial"/>
          <w:sz w:val="20"/>
          <w:szCs w:val="20"/>
        </w:rPr>
        <w:t xml:space="preserve">) z </w:t>
      </w:r>
      <w:r w:rsidR="007050BA" w:rsidRPr="004C6CC5">
        <w:rPr>
          <w:rFonts w:ascii="Arial" w:hAnsi="Arial" w:cs="Arial"/>
          <w:sz w:val="20"/>
          <w:szCs w:val="20"/>
        </w:rPr>
        <w:t>obszaru „Technologie interaktywne</w:t>
      </w:r>
      <w:r w:rsidR="004C6CC5">
        <w:rPr>
          <w:rFonts w:ascii="Arial" w:hAnsi="Arial" w:cs="Arial"/>
          <w:sz w:val="20"/>
          <w:szCs w:val="20"/>
        </w:rPr>
        <w:t xml:space="preserve"> w </w:t>
      </w:r>
      <w:r w:rsidR="007050BA" w:rsidRPr="004C6CC5">
        <w:rPr>
          <w:rFonts w:ascii="Arial" w:hAnsi="Arial" w:cs="Arial"/>
          <w:sz w:val="20"/>
          <w:szCs w:val="20"/>
        </w:rPr>
        <w:t>środowisku nasyconym informacyjnie”. Głównym celem tego działania jest budowanie</w:t>
      </w:r>
      <w:r>
        <w:rPr>
          <w:rFonts w:ascii="Arial" w:hAnsi="Arial" w:cs="Arial"/>
          <w:sz w:val="20"/>
          <w:szCs w:val="20"/>
        </w:rPr>
        <w:t xml:space="preserve"> i </w:t>
      </w:r>
      <w:r w:rsidR="007050BA" w:rsidRPr="004C6CC5">
        <w:rPr>
          <w:rFonts w:ascii="Arial" w:hAnsi="Arial" w:cs="Arial"/>
          <w:sz w:val="20"/>
          <w:szCs w:val="20"/>
        </w:rPr>
        <w:t>wzmacnianie konkurencyjności przedsiębiorstw sektora ICT woj. pomorskiego. Cele te są</w:t>
      </w:r>
      <w:r w:rsidR="00414009">
        <w:rPr>
          <w:rFonts w:ascii="Arial" w:hAnsi="Arial" w:cs="Arial"/>
          <w:sz w:val="20"/>
          <w:szCs w:val="20"/>
        </w:rPr>
        <w:t xml:space="preserve"> i </w:t>
      </w:r>
      <w:r w:rsidR="007050BA" w:rsidRPr="004C6CC5">
        <w:rPr>
          <w:rFonts w:ascii="Arial" w:hAnsi="Arial" w:cs="Arial"/>
          <w:sz w:val="20"/>
          <w:szCs w:val="20"/>
        </w:rPr>
        <w:t>będą realizowane poprzez prace badawczo-rozwojowe na rzecz przedsiębiorstw oraz budowanie potencjału intelektualnego służącego kreowaniu innowacyjnych rozwiązań</w:t>
      </w:r>
      <w:r w:rsidR="004C6CC5">
        <w:rPr>
          <w:rFonts w:ascii="Arial" w:hAnsi="Arial" w:cs="Arial"/>
          <w:sz w:val="20"/>
          <w:szCs w:val="20"/>
        </w:rPr>
        <w:t xml:space="preserve"> w </w:t>
      </w:r>
      <w:r w:rsidR="007050BA" w:rsidRPr="004C6CC5">
        <w:rPr>
          <w:rFonts w:ascii="Arial" w:hAnsi="Arial" w:cs="Arial"/>
          <w:sz w:val="20"/>
          <w:szCs w:val="20"/>
        </w:rPr>
        <w:t>obszarze technologii interaktywnych</w:t>
      </w:r>
      <w:r w:rsidR="004C6CC5">
        <w:rPr>
          <w:rFonts w:ascii="Arial" w:hAnsi="Arial" w:cs="Arial"/>
          <w:sz w:val="20"/>
          <w:szCs w:val="20"/>
        </w:rPr>
        <w:t xml:space="preserve"> w </w:t>
      </w:r>
      <w:r w:rsidR="007050BA" w:rsidRPr="004C6CC5">
        <w:rPr>
          <w:rFonts w:ascii="Arial" w:hAnsi="Arial" w:cs="Arial"/>
          <w:sz w:val="20"/>
          <w:szCs w:val="20"/>
        </w:rPr>
        <w:t xml:space="preserve">środowisku nasyconym informacyjnie. </w:t>
      </w:r>
    </w:p>
    <w:p w14:paraId="22AC0861" w14:textId="6A2F361D" w:rsidR="007050BA" w:rsidRPr="004C6CC5" w:rsidRDefault="007050BA" w:rsidP="00F32AE9">
      <w:pPr>
        <w:spacing w:before="120" w:after="120" w:line="276" w:lineRule="auto"/>
        <w:jc w:val="both"/>
        <w:rPr>
          <w:rFonts w:ascii="Arial" w:hAnsi="Arial" w:cs="Arial"/>
          <w:sz w:val="20"/>
          <w:szCs w:val="20"/>
        </w:rPr>
      </w:pPr>
      <w:r w:rsidRPr="004C6CC5">
        <w:rPr>
          <w:rFonts w:ascii="Arial" w:hAnsi="Arial" w:cs="Arial"/>
          <w:sz w:val="20"/>
          <w:szCs w:val="20"/>
        </w:rPr>
        <w:t>Porozumienia na rzecz ISP to dla uczelni również współpraca związana ze wzrostem poziomu nauczania</w:t>
      </w:r>
      <w:r w:rsidR="004C6CC5">
        <w:rPr>
          <w:rFonts w:ascii="Arial" w:hAnsi="Arial" w:cs="Arial"/>
          <w:sz w:val="20"/>
          <w:szCs w:val="20"/>
        </w:rPr>
        <w:t xml:space="preserve"> w </w:t>
      </w:r>
      <w:r w:rsidRPr="004C6CC5">
        <w:rPr>
          <w:rFonts w:ascii="Arial" w:hAnsi="Arial" w:cs="Arial"/>
          <w:sz w:val="20"/>
          <w:szCs w:val="20"/>
        </w:rPr>
        <w:t xml:space="preserve">zakresie logistyki morskiej, podnoszeniem kompetencji kadry oraz szkoleniem wysokiej jakości specjalistów </w:t>
      </w:r>
      <w:r w:rsidR="00F3475A">
        <w:rPr>
          <w:rFonts w:ascii="Arial" w:hAnsi="Arial" w:cs="Arial"/>
          <w:sz w:val="20"/>
          <w:szCs w:val="20"/>
        </w:rPr>
        <w:t>w kierunku pobudzania</w:t>
      </w:r>
      <w:r w:rsidRPr="004C6CC5">
        <w:rPr>
          <w:rFonts w:ascii="Arial" w:hAnsi="Arial" w:cs="Arial"/>
          <w:sz w:val="20"/>
          <w:szCs w:val="20"/>
        </w:rPr>
        <w:t xml:space="preserve"> innowacji</w:t>
      </w:r>
      <w:r w:rsidR="004C6CC5">
        <w:rPr>
          <w:rFonts w:ascii="Arial" w:hAnsi="Arial" w:cs="Arial"/>
          <w:sz w:val="20"/>
          <w:szCs w:val="20"/>
        </w:rPr>
        <w:t xml:space="preserve"> i </w:t>
      </w:r>
      <w:r w:rsidR="00F3475A">
        <w:rPr>
          <w:rFonts w:ascii="Arial" w:hAnsi="Arial" w:cs="Arial"/>
          <w:sz w:val="20"/>
          <w:szCs w:val="20"/>
        </w:rPr>
        <w:t>tworzenia</w:t>
      </w:r>
      <w:r w:rsidRPr="004C6CC5">
        <w:rPr>
          <w:rFonts w:ascii="Arial" w:hAnsi="Arial" w:cs="Arial"/>
          <w:sz w:val="20"/>
          <w:szCs w:val="20"/>
        </w:rPr>
        <w:t xml:space="preserve"> nowych rozwiązań technologicznych służących gos</w:t>
      </w:r>
      <w:r w:rsidR="00F3475A">
        <w:rPr>
          <w:rFonts w:ascii="Arial" w:hAnsi="Arial" w:cs="Arial"/>
          <w:sz w:val="20"/>
          <w:szCs w:val="20"/>
        </w:rPr>
        <w:t>podarce, jak również zwiększania</w:t>
      </w:r>
      <w:r w:rsidRPr="004C6CC5">
        <w:rPr>
          <w:rFonts w:ascii="Arial" w:hAnsi="Arial" w:cs="Arial"/>
          <w:sz w:val="20"/>
          <w:szCs w:val="20"/>
        </w:rPr>
        <w:t xml:space="preserve"> pozycji przedsiębiorstw na rynkach światowych.</w:t>
      </w:r>
      <w:r w:rsidR="00EE5381">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w:t>
      </w:r>
      <w:r w:rsidR="00F3475A">
        <w:rPr>
          <w:rFonts w:ascii="Arial" w:hAnsi="Arial" w:cs="Arial"/>
          <w:sz w:val="20"/>
          <w:szCs w:val="20"/>
        </w:rPr>
        <w:t>amach działalności na rzecz ISP</w:t>
      </w:r>
      <w:r w:rsidR="004C6CC5">
        <w:rPr>
          <w:rFonts w:ascii="Arial" w:hAnsi="Arial" w:cs="Arial"/>
          <w:sz w:val="20"/>
          <w:szCs w:val="20"/>
        </w:rPr>
        <w:t xml:space="preserve"> w </w:t>
      </w:r>
      <w:r w:rsidRPr="004C6CC5">
        <w:rPr>
          <w:rFonts w:ascii="Arial" w:hAnsi="Arial" w:cs="Arial"/>
          <w:sz w:val="20"/>
          <w:szCs w:val="20"/>
        </w:rPr>
        <w:t xml:space="preserve">2019 </w:t>
      </w:r>
      <w:r w:rsidR="00F3475A">
        <w:rPr>
          <w:rFonts w:ascii="Arial" w:hAnsi="Arial" w:cs="Arial"/>
          <w:sz w:val="20"/>
          <w:szCs w:val="20"/>
        </w:rPr>
        <w:t>r.</w:t>
      </w:r>
      <w:r w:rsidRPr="004C6CC5">
        <w:rPr>
          <w:rFonts w:ascii="Arial" w:hAnsi="Arial" w:cs="Arial"/>
          <w:sz w:val="20"/>
          <w:szCs w:val="20"/>
        </w:rPr>
        <w:t xml:space="preserve"> przedstawiciele uczelni uczestniczyli</w:t>
      </w:r>
      <w:r w:rsidR="004C6CC5">
        <w:rPr>
          <w:rFonts w:ascii="Arial" w:hAnsi="Arial" w:cs="Arial"/>
          <w:sz w:val="20"/>
          <w:szCs w:val="20"/>
        </w:rPr>
        <w:t xml:space="preserve"> w </w:t>
      </w:r>
      <w:r w:rsidRPr="004C6CC5">
        <w:rPr>
          <w:rFonts w:ascii="Arial" w:hAnsi="Arial" w:cs="Arial"/>
          <w:sz w:val="20"/>
          <w:szCs w:val="20"/>
        </w:rPr>
        <w:t>spotkaniach Rady ISP aktywnie włączając się</w:t>
      </w:r>
      <w:r w:rsidR="004C6CC5">
        <w:rPr>
          <w:rFonts w:ascii="Arial" w:hAnsi="Arial" w:cs="Arial"/>
          <w:sz w:val="20"/>
          <w:szCs w:val="20"/>
        </w:rPr>
        <w:t xml:space="preserve"> w </w:t>
      </w:r>
      <w:r w:rsidRPr="004C6CC5">
        <w:rPr>
          <w:rFonts w:ascii="Arial" w:hAnsi="Arial" w:cs="Arial"/>
          <w:sz w:val="20"/>
          <w:szCs w:val="20"/>
        </w:rPr>
        <w:t>monitorowanie</w:t>
      </w:r>
      <w:r w:rsidR="00640B24">
        <w:rPr>
          <w:rFonts w:ascii="Arial" w:hAnsi="Arial" w:cs="Arial"/>
          <w:sz w:val="20"/>
          <w:szCs w:val="20"/>
        </w:rPr>
        <w:t xml:space="preserve"> i </w:t>
      </w:r>
      <w:r w:rsidRPr="004C6CC5">
        <w:rPr>
          <w:rFonts w:ascii="Arial" w:hAnsi="Arial" w:cs="Arial"/>
          <w:sz w:val="20"/>
          <w:szCs w:val="20"/>
        </w:rPr>
        <w:t>poszukiwania kierunków współpracy oraz kreowania wspólnych innowacji</w:t>
      </w:r>
      <w:r w:rsidR="004C6CC5">
        <w:rPr>
          <w:rFonts w:ascii="Arial" w:hAnsi="Arial" w:cs="Arial"/>
          <w:sz w:val="20"/>
          <w:szCs w:val="20"/>
        </w:rPr>
        <w:t xml:space="preserve"> w </w:t>
      </w:r>
      <w:r w:rsidRPr="004C6CC5">
        <w:rPr>
          <w:rFonts w:ascii="Arial" w:hAnsi="Arial" w:cs="Arial"/>
          <w:sz w:val="20"/>
          <w:szCs w:val="20"/>
        </w:rPr>
        <w:t>regionie. Uczelnia przygotowała ofertę usług B+R wpisujących się m.in.</w:t>
      </w:r>
      <w:r w:rsidR="004C6CC5">
        <w:rPr>
          <w:rFonts w:ascii="Arial" w:hAnsi="Arial" w:cs="Arial"/>
          <w:sz w:val="20"/>
          <w:szCs w:val="20"/>
        </w:rPr>
        <w:t xml:space="preserve"> w </w:t>
      </w:r>
      <w:r w:rsidRPr="004C6CC5">
        <w:rPr>
          <w:rFonts w:ascii="Arial" w:hAnsi="Arial" w:cs="Arial"/>
          <w:sz w:val="20"/>
          <w:szCs w:val="20"/>
        </w:rPr>
        <w:t>obszary ISP</w:t>
      </w:r>
      <w:r w:rsidR="004C6CC5">
        <w:rPr>
          <w:rFonts w:ascii="Arial" w:hAnsi="Arial" w:cs="Arial"/>
          <w:sz w:val="20"/>
          <w:szCs w:val="20"/>
        </w:rPr>
        <w:t xml:space="preserve"> i </w:t>
      </w:r>
      <w:r w:rsidRPr="004C6CC5">
        <w:rPr>
          <w:rFonts w:ascii="Arial" w:hAnsi="Arial" w:cs="Arial"/>
          <w:sz w:val="20"/>
          <w:szCs w:val="20"/>
        </w:rPr>
        <w:t>realizowanych przez uczelnię poprzez wydział elektryczny, mechaniczny, nawigacyjny oraz przedsiębiorczości</w:t>
      </w:r>
      <w:r w:rsidR="004C6CC5">
        <w:rPr>
          <w:rFonts w:ascii="Arial" w:hAnsi="Arial" w:cs="Arial"/>
          <w:sz w:val="20"/>
          <w:szCs w:val="20"/>
        </w:rPr>
        <w:t xml:space="preserve"> i </w:t>
      </w:r>
      <w:r w:rsidRPr="004C6CC5">
        <w:rPr>
          <w:rFonts w:ascii="Arial" w:hAnsi="Arial" w:cs="Arial"/>
          <w:sz w:val="20"/>
          <w:szCs w:val="20"/>
        </w:rPr>
        <w:t>towaroznawstwa. Nowa oferta B+R została zaprezentowana na stronie internetowej uczelni oraz przedstawiona</w:t>
      </w:r>
      <w:r w:rsidR="00F3475A">
        <w:rPr>
          <w:rFonts w:ascii="Arial" w:hAnsi="Arial" w:cs="Arial"/>
          <w:sz w:val="20"/>
          <w:szCs w:val="20"/>
        </w:rPr>
        <w:t xml:space="preserve"> i </w:t>
      </w:r>
      <w:r w:rsidRPr="004C6CC5">
        <w:rPr>
          <w:rFonts w:ascii="Arial" w:hAnsi="Arial" w:cs="Arial"/>
          <w:sz w:val="20"/>
          <w:szCs w:val="20"/>
        </w:rPr>
        <w:t xml:space="preserve">udostępniona uczestnikom podczas </w:t>
      </w:r>
      <w:r w:rsidR="00425F54">
        <w:rPr>
          <w:rFonts w:ascii="Arial" w:hAnsi="Arial" w:cs="Arial"/>
          <w:sz w:val="20"/>
          <w:szCs w:val="20"/>
        </w:rPr>
        <w:t xml:space="preserve">XX </w:t>
      </w:r>
      <w:r w:rsidRPr="00BF4845">
        <w:rPr>
          <w:rFonts w:ascii="Arial" w:hAnsi="Arial" w:cs="Arial"/>
          <w:sz w:val="20"/>
          <w:szCs w:val="20"/>
        </w:rPr>
        <w:t>edycji Międzynarodowych Targów Morskich BALTEXPO</w:t>
      </w:r>
      <w:r w:rsidR="004C6CC5" w:rsidRPr="00BF4845">
        <w:rPr>
          <w:rFonts w:ascii="Arial" w:hAnsi="Arial" w:cs="Arial"/>
          <w:sz w:val="20"/>
          <w:szCs w:val="20"/>
        </w:rPr>
        <w:t xml:space="preserve"> w </w:t>
      </w:r>
      <w:r w:rsidRPr="004C6CC5">
        <w:rPr>
          <w:rFonts w:ascii="Arial" w:hAnsi="Arial" w:cs="Arial"/>
          <w:sz w:val="20"/>
          <w:szCs w:val="20"/>
        </w:rPr>
        <w:t>Gdańsku</w:t>
      </w:r>
      <w:r w:rsidR="004C6CC5">
        <w:rPr>
          <w:rFonts w:ascii="Arial" w:hAnsi="Arial" w:cs="Arial"/>
          <w:sz w:val="20"/>
          <w:szCs w:val="20"/>
        </w:rPr>
        <w:t xml:space="preserve"> w </w:t>
      </w:r>
      <w:r w:rsidR="00F3475A">
        <w:rPr>
          <w:rFonts w:ascii="Arial" w:hAnsi="Arial" w:cs="Arial"/>
          <w:sz w:val="20"/>
          <w:szCs w:val="20"/>
        </w:rPr>
        <w:t>dniach</w:t>
      </w:r>
      <w:r w:rsidRPr="004C6CC5">
        <w:rPr>
          <w:rFonts w:ascii="Arial" w:hAnsi="Arial" w:cs="Arial"/>
          <w:sz w:val="20"/>
          <w:szCs w:val="20"/>
        </w:rPr>
        <w:t xml:space="preserve"> 9</w:t>
      </w:r>
      <w:r w:rsidRPr="004C6CC5">
        <w:rPr>
          <w:rFonts w:ascii="Arial" w:hAnsi="Arial" w:cs="Arial"/>
          <w:sz w:val="20"/>
          <w:szCs w:val="20"/>
        </w:rPr>
        <w:noBreakHyphen/>
        <w:t>11 września 2019</w:t>
      </w:r>
      <w:r w:rsidR="009D01B9" w:rsidRPr="004C6CC5">
        <w:rPr>
          <w:rFonts w:ascii="Arial" w:hAnsi="Arial" w:cs="Arial"/>
          <w:sz w:val="20"/>
          <w:szCs w:val="20"/>
        </w:rPr>
        <w:t xml:space="preserve"> r. </w:t>
      </w:r>
    </w:p>
    <w:p w14:paraId="3CCA319A" w14:textId="67D39A20" w:rsidR="007050BA" w:rsidRPr="004C6CC5" w:rsidRDefault="007050BA" w:rsidP="00F32AE9">
      <w:pPr>
        <w:spacing w:before="120" w:after="120" w:line="276" w:lineRule="auto"/>
        <w:jc w:val="both"/>
        <w:rPr>
          <w:rFonts w:ascii="Arial" w:hAnsi="Arial" w:cs="Arial"/>
          <w:sz w:val="20"/>
          <w:szCs w:val="20"/>
        </w:rPr>
      </w:pPr>
      <w:r w:rsidRPr="004C6CC5">
        <w:rPr>
          <w:rFonts w:ascii="Arial" w:hAnsi="Arial" w:cs="Arial"/>
          <w:sz w:val="20"/>
          <w:szCs w:val="20"/>
        </w:rPr>
        <w:t>W  2019</w:t>
      </w:r>
      <w:r w:rsidR="00053997">
        <w:rPr>
          <w:rFonts w:ascii="Arial" w:hAnsi="Arial" w:cs="Arial"/>
          <w:sz w:val="20"/>
          <w:szCs w:val="20"/>
        </w:rPr>
        <w:t xml:space="preserve"> </w:t>
      </w:r>
      <w:r w:rsidRPr="004C6CC5">
        <w:rPr>
          <w:rFonts w:ascii="Arial" w:hAnsi="Arial" w:cs="Arial"/>
          <w:sz w:val="20"/>
          <w:szCs w:val="20"/>
        </w:rPr>
        <w:t>r. uczelnia podejmowała liczne działania związane</w:t>
      </w:r>
      <w:r w:rsidR="004C6CC5">
        <w:rPr>
          <w:rFonts w:ascii="Arial" w:hAnsi="Arial" w:cs="Arial"/>
          <w:sz w:val="20"/>
          <w:szCs w:val="20"/>
        </w:rPr>
        <w:t xml:space="preserve"> z </w:t>
      </w:r>
      <w:r w:rsidRPr="004C6CC5">
        <w:rPr>
          <w:rFonts w:ascii="Arial" w:hAnsi="Arial" w:cs="Arial"/>
          <w:sz w:val="20"/>
          <w:szCs w:val="20"/>
        </w:rPr>
        <w:t>budowaniem sieci relacji partnerskich mających na celu wzmocnienie współpracy</w:t>
      </w:r>
      <w:r w:rsidR="004C6CC5">
        <w:rPr>
          <w:rFonts w:ascii="Arial" w:hAnsi="Arial" w:cs="Arial"/>
          <w:sz w:val="20"/>
          <w:szCs w:val="20"/>
        </w:rPr>
        <w:t xml:space="preserve"> z </w:t>
      </w:r>
      <w:r w:rsidRPr="004C6CC5">
        <w:rPr>
          <w:rFonts w:ascii="Arial" w:hAnsi="Arial" w:cs="Arial"/>
          <w:sz w:val="20"/>
          <w:szCs w:val="20"/>
        </w:rPr>
        <w:t>otoczeniem biznesowym</w:t>
      </w:r>
      <w:r w:rsidR="004C6CC5">
        <w:rPr>
          <w:rFonts w:ascii="Arial" w:hAnsi="Arial" w:cs="Arial"/>
          <w:sz w:val="20"/>
          <w:szCs w:val="20"/>
        </w:rPr>
        <w:t xml:space="preserve"> i </w:t>
      </w:r>
      <w:r w:rsidRPr="004C6CC5">
        <w:rPr>
          <w:rFonts w:ascii="Arial" w:hAnsi="Arial" w:cs="Arial"/>
          <w:sz w:val="20"/>
          <w:szCs w:val="20"/>
        </w:rPr>
        <w:t>społeczno-gospodarczym,</w:t>
      </w:r>
      <w:r w:rsidR="004C6CC5">
        <w:rPr>
          <w:rFonts w:ascii="Arial" w:hAnsi="Arial" w:cs="Arial"/>
          <w:sz w:val="20"/>
          <w:szCs w:val="20"/>
        </w:rPr>
        <w:t xml:space="preserve"> w </w:t>
      </w:r>
      <w:r w:rsidRPr="004C6CC5">
        <w:rPr>
          <w:rFonts w:ascii="Arial" w:hAnsi="Arial" w:cs="Arial"/>
          <w:sz w:val="20"/>
          <w:szCs w:val="20"/>
        </w:rPr>
        <w:t>tym działań wpisujących się</w:t>
      </w:r>
      <w:r w:rsidR="004C6CC5">
        <w:rPr>
          <w:rFonts w:ascii="Arial" w:hAnsi="Arial" w:cs="Arial"/>
          <w:sz w:val="20"/>
          <w:szCs w:val="20"/>
        </w:rPr>
        <w:t xml:space="preserve"> w </w:t>
      </w:r>
      <w:r w:rsidRPr="004C6CC5">
        <w:rPr>
          <w:rFonts w:ascii="Arial" w:hAnsi="Arial" w:cs="Arial"/>
          <w:sz w:val="20"/>
          <w:szCs w:val="20"/>
        </w:rPr>
        <w:t>obszar ISP.</w:t>
      </w:r>
      <w:r w:rsidR="00F3475A">
        <w:rPr>
          <w:rFonts w:ascii="Arial" w:hAnsi="Arial" w:cs="Arial"/>
          <w:sz w:val="20"/>
          <w:szCs w:val="20"/>
        </w:rPr>
        <w:t xml:space="preserve"> W</w:t>
      </w:r>
      <w:r w:rsidR="004C6CC5">
        <w:rPr>
          <w:rFonts w:ascii="Arial" w:hAnsi="Arial" w:cs="Arial"/>
          <w:sz w:val="20"/>
          <w:szCs w:val="20"/>
        </w:rPr>
        <w:t> </w:t>
      </w:r>
      <w:r w:rsidR="00F3475A">
        <w:rPr>
          <w:rFonts w:ascii="Arial" w:hAnsi="Arial" w:cs="Arial"/>
          <w:sz w:val="20"/>
          <w:szCs w:val="20"/>
        </w:rPr>
        <w:t>konsekwencji</w:t>
      </w:r>
      <w:r w:rsidRPr="004C6CC5">
        <w:rPr>
          <w:rFonts w:ascii="Arial" w:hAnsi="Arial" w:cs="Arial"/>
          <w:sz w:val="20"/>
          <w:szCs w:val="20"/>
        </w:rPr>
        <w:t xml:space="preserve"> </w:t>
      </w:r>
      <w:r w:rsidR="00F3475A">
        <w:rPr>
          <w:rFonts w:ascii="Arial" w:hAnsi="Arial" w:cs="Arial"/>
          <w:sz w:val="20"/>
          <w:szCs w:val="20"/>
        </w:rPr>
        <w:t>uczelnia</w:t>
      </w:r>
      <w:r w:rsidRPr="004C6CC5">
        <w:rPr>
          <w:rFonts w:ascii="Arial" w:hAnsi="Arial" w:cs="Arial"/>
          <w:sz w:val="20"/>
          <w:szCs w:val="20"/>
        </w:rPr>
        <w:t xml:space="preserve"> podpisał</w:t>
      </w:r>
      <w:r w:rsidR="00F3475A">
        <w:rPr>
          <w:rFonts w:ascii="Arial" w:hAnsi="Arial" w:cs="Arial"/>
          <w:sz w:val="20"/>
          <w:szCs w:val="20"/>
        </w:rPr>
        <w:t>a</w:t>
      </w:r>
      <w:r w:rsidRPr="004C6CC5">
        <w:rPr>
          <w:rFonts w:ascii="Arial" w:hAnsi="Arial" w:cs="Arial"/>
          <w:sz w:val="20"/>
          <w:szCs w:val="20"/>
        </w:rPr>
        <w:t xml:space="preserve"> </w:t>
      </w:r>
      <w:r w:rsidR="00F3475A" w:rsidRPr="004C6CC5">
        <w:rPr>
          <w:rFonts w:ascii="Arial" w:hAnsi="Arial" w:cs="Arial"/>
          <w:sz w:val="20"/>
          <w:szCs w:val="20"/>
        </w:rPr>
        <w:t xml:space="preserve">łącznie </w:t>
      </w:r>
      <w:r w:rsidRPr="004C6CC5">
        <w:rPr>
          <w:rFonts w:ascii="Arial" w:hAnsi="Arial" w:cs="Arial"/>
          <w:sz w:val="20"/>
          <w:szCs w:val="20"/>
        </w:rPr>
        <w:t>15 umów</w:t>
      </w:r>
      <w:r w:rsidR="004C6CC5">
        <w:rPr>
          <w:rFonts w:ascii="Arial" w:hAnsi="Arial" w:cs="Arial"/>
          <w:sz w:val="20"/>
          <w:szCs w:val="20"/>
        </w:rPr>
        <w:t xml:space="preserve"> z </w:t>
      </w:r>
      <w:r w:rsidRPr="004C6CC5">
        <w:rPr>
          <w:rFonts w:ascii="Arial" w:hAnsi="Arial" w:cs="Arial"/>
          <w:sz w:val="20"/>
          <w:szCs w:val="20"/>
        </w:rPr>
        <w:t>podmiotami gospodarczymi,</w:t>
      </w:r>
      <w:r w:rsidR="004C6CC5">
        <w:rPr>
          <w:rFonts w:ascii="Arial" w:hAnsi="Arial" w:cs="Arial"/>
          <w:sz w:val="20"/>
          <w:szCs w:val="20"/>
        </w:rPr>
        <w:t xml:space="preserve"> z </w:t>
      </w:r>
      <w:r w:rsidRPr="004C6CC5">
        <w:rPr>
          <w:rFonts w:ascii="Arial" w:hAnsi="Arial" w:cs="Arial"/>
          <w:sz w:val="20"/>
          <w:szCs w:val="20"/>
        </w:rPr>
        <w:t>czego 6 porozumień o współpracy</w:t>
      </w:r>
      <w:r w:rsidR="004C6CC5">
        <w:rPr>
          <w:rFonts w:ascii="Arial" w:hAnsi="Arial" w:cs="Arial"/>
          <w:sz w:val="20"/>
          <w:szCs w:val="20"/>
        </w:rPr>
        <w:t xml:space="preserve"> w </w:t>
      </w:r>
      <w:r w:rsidRPr="004C6CC5">
        <w:rPr>
          <w:rFonts w:ascii="Arial" w:hAnsi="Arial" w:cs="Arial"/>
          <w:sz w:val="20"/>
          <w:szCs w:val="20"/>
        </w:rPr>
        <w:t>zakresie prac badawczych</w:t>
      </w:r>
      <w:r w:rsidR="004C6CC5">
        <w:rPr>
          <w:rFonts w:ascii="Arial" w:hAnsi="Arial" w:cs="Arial"/>
          <w:sz w:val="20"/>
          <w:szCs w:val="20"/>
        </w:rPr>
        <w:t xml:space="preserve"> i </w:t>
      </w:r>
      <w:r w:rsidRPr="004C6CC5">
        <w:rPr>
          <w:rFonts w:ascii="Arial" w:hAnsi="Arial" w:cs="Arial"/>
          <w:sz w:val="20"/>
          <w:szCs w:val="20"/>
        </w:rPr>
        <w:t>szeroko pojętego kształcenia.</w:t>
      </w:r>
    </w:p>
    <w:p w14:paraId="33DDBBE9" w14:textId="5AF52BDD" w:rsidR="007050BA" w:rsidRPr="005454E0" w:rsidRDefault="007050BA" w:rsidP="00F32AE9">
      <w:pPr>
        <w:pStyle w:val="Default"/>
        <w:spacing w:before="120" w:after="120" w:line="276" w:lineRule="auto"/>
        <w:jc w:val="both"/>
        <w:rPr>
          <w:color w:val="auto"/>
          <w:sz w:val="20"/>
          <w:szCs w:val="20"/>
        </w:rPr>
      </w:pPr>
      <w:r w:rsidRPr="004C6CC5">
        <w:rPr>
          <w:color w:val="auto"/>
          <w:sz w:val="20"/>
          <w:szCs w:val="20"/>
        </w:rPr>
        <w:t>Pracownicy Uniwersytetu Morskiego</w:t>
      </w:r>
      <w:r w:rsidR="004C6CC5">
        <w:rPr>
          <w:color w:val="auto"/>
          <w:sz w:val="20"/>
          <w:szCs w:val="20"/>
        </w:rPr>
        <w:t xml:space="preserve"> w </w:t>
      </w:r>
      <w:r w:rsidRPr="004C6CC5">
        <w:rPr>
          <w:color w:val="auto"/>
          <w:sz w:val="20"/>
          <w:szCs w:val="20"/>
        </w:rPr>
        <w:t>Gdyni aktywnie uczestniczy</w:t>
      </w:r>
      <w:r w:rsidR="006B0B63">
        <w:rPr>
          <w:color w:val="auto"/>
          <w:sz w:val="20"/>
          <w:szCs w:val="20"/>
        </w:rPr>
        <w:t>li</w:t>
      </w:r>
      <w:r w:rsidR="004C6CC5">
        <w:rPr>
          <w:color w:val="auto"/>
          <w:sz w:val="20"/>
          <w:szCs w:val="20"/>
        </w:rPr>
        <w:t xml:space="preserve"> w </w:t>
      </w:r>
      <w:r w:rsidRPr="004C6CC5">
        <w:rPr>
          <w:color w:val="auto"/>
          <w:sz w:val="20"/>
          <w:szCs w:val="20"/>
        </w:rPr>
        <w:t>roli organizatora, inicjatora</w:t>
      </w:r>
      <w:r w:rsidR="006B0B63">
        <w:rPr>
          <w:color w:val="auto"/>
          <w:sz w:val="20"/>
          <w:szCs w:val="20"/>
        </w:rPr>
        <w:t>, panelisty</w:t>
      </w:r>
      <w:r w:rsidRPr="004C6CC5">
        <w:rPr>
          <w:color w:val="auto"/>
          <w:sz w:val="20"/>
          <w:szCs w:val="20"/>
        </w:rPr>
        <w:t xml:space="preserve"> lub moderatora</w:t>
      </w:r>
      <w:r w:rsidR="00B44F48">
        <w:rPr>
          <w:color w:val="auto"/>
          <w:sz w:val="20"/>
          <w:szCs w:val="20"/>
        </w:rPr>
        <w:t xml:space="preserve"> w </w:t>
      </w:r>
      <w:r w:rsidRPr="004C6CC5">
        <w:rPr>
          <w:color w:val="auto"/>
          <w:sz w:val="20"/>
          <w:szCs w:val="20"/>
        </w:rPr>
        <w:t>licznych przedsięwzięciach</w:t>
      </w:r>
      <w:r w:rsidR="006B0B63">
        <w:rPr>
          <w:color w:val="auto"/>
          <w:sz w:val="20"/>
          <w:szCs w:val="20"/>
        </w:rPr>
        <w:t xml:space="preserve"> i wydarzeniach</w:t>
      </w:r>
      <w:r w:rsidRPr="004C6CC5">
        <w:rPr>
          <w:color w:val="auto"/>
          <w:sz w:val="20"/>
          <w:szCs w:val="20"/>
        </w:rPr>
        <w:t xml:space="preserve"> mających na celu budowanie właściwego dialogu</w:t>
      </w:r>
      <w:r w:rsidR="004C6CC5">
        <w:rPr>
          <w:color w:val="auto"/>
          <w:sz w:val="20"/>
          <w:szCs w:val="20"/>
        </w:rPr>
        <w:t xml:space="preserve"> w </w:t>
      </w:r>
      <w:r w:rsidRPr="004C6CC5">
        <w:rPr>
          <w:color w:val="auto"/>
          <w:sz w:val="20"/>
          <w:szCs w:val="20"/>
        </w:rPr>
        <w:t>środowisku społeczno-gospodarczym.</w:t>
      </w:r>
      <w:r w:rsidR="007373BF">
        <w:rPr>
          <w:color w:val="auto"/>
          <w:sz w:val="20"/>
          <w:szCs w:val="20"/>
        </w:rPr>
        <w:t xml:space="preserve"> W </w:t>
      </w:r>
      <w:r w:rsidRPr="004C6CC5">
        <w:rPr>
          <w:color w:val="auto"/>
          <w:sz w:val="20"/>
          <w:szCs w:val="20"/>
        </w:rPr>
        <w:t>2019</w:t>
      </w:r>
      <w:r w:rsidR="009D01B9" w:rsidRPr="004C6CC5">
        <w:rPr>
          <w:color w:val="auto"/>
          <w:sz w:val="20"/>
          <w:szCs w:val="20"/>
        </w:rPr>
        <w:t xml:space="preserve"> r. </w:t>
      </w:r>
      <w:r w:rsidRPr="004C6CC5">
        <w:rPr>
          <w:color w:val="auto"/>
          <w:sz w:val="20"/>
          <w:szCs w:val="20"/>
        </w:rPr>
        <w:t xml:space="preserve">pracownicy uczelni uczestniczyli jako moderatorzy lub paneliści podczas Forum Gospodarki Morskiej Gdynia 2020, Forum Wizja Rozwoju 2019, </w:t>
      </w:r>
      <w:r w:rsidR="00B44F48">
        <w:rPr>
          <w:color w:val="auto"/>
          <w:sz w:val="20"/>
          <w:szCs w:val="20"/>
        </w:rPr>
        <w:t xml:space="preserve">Międzynarodowego </w:t>
      </w:r>
      <w:r w:rsidRPr="004C6CC5">
        <w:rPr>
          <w:color w:val="auto"/>
          <w:sz w:val="20"/>
          <w:szCs w:val="20"/>
        </w:rPr>
        <w:t>Kongresu Morskiego</w:t>
      </w:r>
      <w:r w:rsidR="004C6CC5">
        <w:rPr>
          <w:color w:val="auto"/>
          <w:sz w:val="20"/>
          <w:szCs w:val="20"/>
        </w:rPr>
        <w:t xml:space="preserve"> w </w:t>
      </w:r>
      <w:r w:rsidRPr="004C6CC5">
        <w:rPr>
          <w:color w:val="auto"/>
          <w:sz w:val="20"/>
          <w:szCs w:val="20"/>
        </w:rPr>
        <w:t xml:space="preserve">Szczecinie, czy Międzynarodowych </w:t>
      </w:r>
      <w:r w:rsidRPr="005454E0">
        <w:rPr>
          <w:color w:val="auto"/>
          <w:sz w:val="20"/>
          <w:szCs w:val="20"/>
        </w:rPr>
        <w:t>Targów Morskich BALTEXPO 2019.</w:t>
      </w:r>
    </w:p>
    <w:p w14:paraId="5C7EA0C0" w14:textId="5CC487B1" w:rsidR="007050BA" w:rsidRPr="005454E0" w:rsidRDefault="007050BA" w:rsidP="00F32AE9">
      <w:pPr>
        <w:shd w:val="clear" w:color="auto" w:fill="FFFFFF"/>
        <w:spacing w:before="120" w:after="120" w:line="276" w:lineRule="auto"/>
        <w:jc w:val="both"/>
        <w:rPr>
          <w:rFonts w:ascii="Arial" w:hAnsi="Arial" w:cs="Arial"/>
          <w:sz w:val="20"/>
          <w:szCs w:val="20"/>
          <w:shd w:val="clear" w:color="auto" w:fill="FFFFFF"/>
        </w:rPr>
      </w:pPr>
      <w:r w:rsidRPr="005454E0">
        <w:rPr>
          <w:rFonts w:ascii="Arial" w:hAnsi="Arial" w:cs="Arial"/>
          <w:sz w:val="20"/>
          <w:szCs w:val="20"/>
          <w:shd w:val="clear" w:color="auto" w:fill="FFFFFF"/>
        </w:rPr>
        <w:t xml:space="preserve">W ramach </w:t>
      </w:r>
      <w:r w:rsidR="00B44F48" w:rsidRPr="005454E0">
        <w:rPr>
          <w:rFonts w:ascii="Arial" w:hAnsi="Arial" w:cs="Arial"/>
          <w:sz w:val="20"/>
          <w:szCs w:val="20"/>
          <w:shd w:val="clear" w:color="auto" w:fill="FFFFFF"/>
        </w:rPr>
        <w:t>realizacji polityki morskiej RP</w:t>
      </w:r>
      <w:r w:rsidRPr="005454E0">
        <w:rPr>
          <w:rFonts w:ascii="Arial" w:hAnsi="Arial" w:cs="Arial"/>
          <w:sz w:val="20"/>
          <w:szCs w:val="20"/>
          <w:shd w:val="clear" w:color="auto" w:fill="FFFFFF"/>
        </w:rPr>
        <w:t xml:space="preserve"> Dział Armatorski podjął</w:t>
      </w:r>
      <w:r w:rsidR="004C6CC5" w:rsidRPr="005454E0">
        <w:rPr>
          <w:rFonts w:ascii="Arial" w:hAnsi="Arial" w:cs="Arial"/>
          <w:sz w:val="20"/>
          <w:szCs w:val="20"/>
          <w:shd w:val="clear" w:color="auto" w:fill="FFFFFF"/>
        </w:rPr>
        <w:t xml:space="preserve"> w </w:t>
      </w:r>
      <w:r w:rsidRPr="005454E0">
        <w:rPr>
          <w:rFonts w:ascii="Arial" w:hAnsi="Arial" w:cs="Arial"/>
          <w:sz w:val="20"/>
          <w:szCs w:val="20"/>
          <w:shd w:val="clear" w:color="auto" w:fill="FFFFFF"/>
        </w:rPr>
        <w:t>2019</w:t>
      </w:r>
      <w:r w:rsidR="009D01B9" w:rsidRPr="005454E0">
        <w:rPr>
          <w:rFonts w:ascii="Arial" w:hAnsi="Arial" w:cs="Arial"/>
          <w:sz w:val="20"/>
          <w:szCs w:val="20"/>
          <w:shd w:val="clear" w:color="auto" w:fill="FFFFFF"/>
        </w:rPr>
        <w:t xml:space="preserve"> r. </w:t>
      </w:r>
      <w:r w:rsidRPr="005454E0">
        <w:rPr>
          <w:rFonts w:ascii="Arial" w:hAnsi="Arial" w:cs="Arial"/>
          <w:sz w:val="20"/>
          <w:szCs w:val="20"/>
          <w:shd w:val="clear" w:color="auto" w:fill="FFFFFF"/>
        </w:rPr>
        <w:t xml:space="preserve">następujące działania: </w:t>
      </w:r>
    </w:p>
    <w:p w14:paraId="00E9CE0E" w14:textId="5B1A61F1" w:rsidR="007050BA" w:rsidRPr="005454E0" w:rsidRDefault="007050BA" w:rsidP="00B44F48">
      <w:pPr>
        <w:shd w:val="clear" w:color="auto" w:fill="FFFFFF"/>
        <w:spacing w:before="120" w:after="120" w:line="276" w:lineRule="auto"/>
        <w:jc w:val="both"/>
        <w:rPr>
          <w:rFonts w:ascii="Arial" w:hAnsi="Arial" w:cs="Arial"/>
          <w:sz w:val="20"/>
          <w:szCs w:val="20"/>
          <w:shd w:val="clear" w:color="auto" w:fill="FFFFFF"/>
        </w:rPr>
      </w:pPr>
      <w:r w:rsidRPr="005454E0">
        <w:rPr>
          <w:rFonts w:ascii="Arial" w:hAnsi="Arial" w:cs="Arial"/>
          <w:sz w:val="20"/>
          <w:szCs w:val="20"/>
        </w:rPr>
        <w:t xml:space="preserve">- </w:t>
      </w:r>
      <w:r w:rsidRPr="005454E0">
        <w:rPr>
          <w:rFonts w:ascii="Arial" w:hAnsi="Arial" w:cs="Arial"/>
          <w:sz w:val="20"/>
          <w:szCs w:val="20"/>
          <w:shd w:val="clear" w:color="auto" w:fill="FFFFFF"/>
        </w:rPr>
        <w:t>współpraca</w:t>
      </w:r>
      <w:r w:rsidR="004C6CC5" w:rsidRPr="005454E0">
        <w:rPr>
          <w:rFonts w:ascii="Arial" w:hAnsi="Arial" w:cs="Arial"/>
          <w:sz w:val="20"/>
          <w:szCs w:val="20"/>
          <w:shd w:val="clear" w:color="auto" w:fill="FFFFFF"/>
        </w:rPr>
        <w:t xml:space="preserve"> z </w:t>
      </w:r>
      <w:r w:rsidRPr="005454E0">
        <w:rPr>
          <w:rFonts w:ascii="Arial" w:hAnsi="Arial" w:cs="Arial"/>
          <w:sz w:val="20"/>
          <w:szCs w:val="20"/>
          <w:shd w:val="clear" w:color="auto" w:fill="FFFFFF"/>
        </w:rPr>
        <w:t>HZS (Hogere Zeevaartschool Antwerpen)</w:t>
      </w:r>
      <w:r w:rsidR="004C6CC5" w:rsidRPr="005454E0">
        <w:rPr>
          <w:rFonts w:ascii="Arial" w:hAnsi="Arial" w:cs="Arial"/>
          <w:sz w:val="20"/>
          <w:szCs w:val="20"/>
          <w:shd w:val="clear" w:color="auto" w:fill="FFFFFF"/>
        </w:rPr>
        <w:t xml:space="preserve"> w </w:t>
      </w:r>
      <w:r w:rsidRPr="005454E0">
        <w:rPr>
          <w:rFonts w:ascii="Arial" w:hAnsi="Arial" w:cs="Arial"/>
          <w:sz w:val="20"/>
          <w:szCs w:val="20"/>
          <w:shd w:val="clear" w:color="auto" w:fill="FFFFFF"/>
        </w:rPr>
        <w:t>zakresie realiza</w:t>
      </w:r>
      <w:r w:rsidR="00B44F48" w:rsidRPr="005454E0">
        <w:rPr>
          <w:rFonts w:ascii="Arial" w:hAnsi="Arial" w:cs="Arial"/>
          <w:sz w:val="20"/>
          <w:szCs w:val="20"/>
          <w:shd w:val="clear" w:color="auto" w:fill="FFFFFF"/>
        </w:rPr>
        <w:t>cji praktyk morskich na statku „Dar Młodzieży”</w:t>
      </w:r>
      <w:r w:rsidRPr="005454E0">
        <w:rPr>
          <w:rFonts w:ascii="Arial" w:hAnsi="Arial" w:cs="Arial"/>
          <w:sz w:val="20"/>
          <w:szCs w:val="20"/>
          <w:shd w:val="clear" w:color="auto" w:fill="FFFFFF"/>
        </w:rPr>
        <w:t>;</w:t>
      </w:r>
    </w:p>
    <w:p w14:paraId="24929C92" w14:textId="3F1995B8" w:rsidR="007050BA" w:rsidRPr="005454E0" w:rsidRDefault="007050BA" w:rsidP="00B44F48">
      <w:pPr>
        <w:shd w:val="clear" w:color="auto" w:fill="FFFFFF"/>
        <w:spacing w:before="120" w:after="120" w:line="276" w:lineRule="auto"/>
        <w:jc w:val="both"/>
        <w:rPr>
          <w:rFonts w:ascii="Arial" w:hAnsi="Arial" w:cs="Arial"/>
          <w:sz w:val="20"/>
          <w:szCs w:val="20"/>
          <w:shd w:val="clear" w:color="auto" w:fill="FFFFFF"/>
        </w:rPr>
      </w:pPr>
      <w:r w:rsidRPr="005454E0">
        <w:rPr>
          <w:rFonts w:ascii="Arial" w:hAnsi="Arial" w:cs="Arial"/>
          <w:sz w:val="20"/>
          <w:szCs w:val="20"/>
        </w:rPr>
        <w:lastRenderedPageBreak/>
        <w:t xml:space="preserve">- </w:t>
      </w:r>
      <w:r w:rsidRPr="005454E0">
        <w:rPr>
          <w:rFonts w:ascii="Arial" w:hAnsi="Arial" w:cs="Arial"/>
          <w:sz w:val="20"/>
          <w:szCs w:val="20"/>
          <w:shd w:val="clear" w:color="auto" w:fill="FFFFFF"/>
        </w:rPr>
        <w:t>nawiązanie współpracy</w:t>
      </w:r>
      <w:r w:rsidR="004C6CC5" w:rsidRPr="005454E0">
        <w:rPr>
          <w:rFonts w:ascii="Arial" w:hAnsi="Arial" w:cs="Arial"/>
          <w:sz w:val="20"/>
          <w:szCs w:val="20"/>
          <w:shd w:val="clear" w:color="auto" w:fill="FFFFFF"/>
        </w:rPr>
        <w:t xml:space="preserve"> z </w:t>
      </w:r>
      <w:r w:rsidRPr="005454E0">
        <w:rPr>
          <w:rFonts w:ascii="Arial" w:hAnsi="Arial" w:cs="Arial"/>
          <w:sz w:val="20"/>
          <w:szCs w:val="20"/>
          <w:shd w:val="clear" w:color="auto" w:fill="FFFFFF"/>
        </w:rPr>
        <w:t>Uniwersytetem Morskim</w:t>
      </w:r>
      <w:r w:rsidR="004C6CC5" w:rsidRPr="005454E0">
        <w:rPr>
          <w:rFonts w:ascii="Arial" w:hAnsi="Arial" w:cs="Arial"/>
          <w:sz w:val="20"/>
          <w:szCs w:val="20"/>
          <w:shd w:val="clear" w:color="auto" w:fill="FFFFFF"/>
        </w:rPr>
        <w:t xml:space="preserve"> w </w:t>
      </w:r>
      <w:r w:rsidRPr="005454E0">
        <w:rPr>
          <w:rFonts w:ascii="Arial" w:hAnsi="Arial" w:cs="Arial"/>
          <w:sz w:val="20"/>
          <w:szCs w:val="20"/>
          <w:shd w:val="clear" w:color="auto" w:fill="FFFFFF"/>
        </w:rPr>
        <w:t>Panamie</w:t>
      </w:r>
      <w:r w:rsidR="004C6CC5" w:rsidRPr="005454E0">
        <w:rPr>
          <w:rFonts w:ascii="Arial" w:hAnsi="Arial" w:cs="Arial"/>
          <w:sz w:val="20"/>
          <w:szCs w:val="20"/>
          <w:shd w:val="clear" w:color="auto" w:fill="FFFFFF"/>
        </w:rPr>
        <w:t xml:space="preserve"> i </w:t>
      </w:r>
      <w:r w:rsidRPr="005454E0">
        <w:rPr>
          <w:rFonts w:ascii="Arial" w:hAnsi="Arial" w:cs="Arial"/>
          <w:sz w:val="20"/>
          <w:szCs w:val="20"/>
          <w:shd w:val="clear" w:color="auto" w:fill="FFFFFF"/>
        </w:rPr>
        <w:t xml:space="preserve">realizacja praktyk morskich na statku </w:t>
      </w:r>
      <w:r w:rsidR="00B44F48" w:rsidRPr="005454E0">
        <w:rPr>
          <w:rFonts w:ascii="Arial" w:hAnsi="Arial" w:cs="Arial"/>
          <w:sz w:val="20"/>
          <w:szCs w:val="20"/>
          <w:shd w:val="clear" w:color="auto" w:fill="FFFFFF"/>
        </w:rPr>
        <w:t>„Dar Młodzieży”</w:t>
      </w:r>
      <w:r w:rsidR="004C6CC5" w:rsidRPr="005454E0">
        <w:rPr>
          <w:rFonts w:ascii="Arial" w:hAnsi="Arial" w:cs="Arial"/>
          <w:sz w:val="20"/>
          <w:szCs w:val="20"/>
          <w:shd w:val="clear" w:color="auto" w:fill="FFFFFF"/>
        </w:rPr>
        <w:t xml:space="preserve"> w </w:t>
      </w:r>
      <w:r w:rsidRPr="005454E0">
        <w:rPr>
          <w:rFonts w:ascii="Arial" w:hAnsi="Arial" w:cs="Arial"/>
          <w:sz w:val="20"/>
          <w:szCs w:val="20"/>
          <w:shd w:val="clear" w:color="auto" w:fill="FFFFFF"/>
        </w:rPr>
        <w:t>czasie Rejsu Niepodległości;</w:t>
      </w:r>
    </w:p>
    <w:p w14:paraId="278D4A55" w14:textId="5F5D66FC" w:rsidR="007050BA" w:rsidRPr="005454E0" w:rsidRDefault="007050BA" w:rsidP="00B44F48">
      <w:pPr>
        <w:shd w:val="clear" w:color="auto" w:fill="FFFFFF"/>
        <w:spacing w:before="120" w:after="120" w:line="276" w:lineRule="auto"/>
        <w:jc w:val="both"/>
        <w:rPr>
          <w:rFonts w:ascii="Arial" w:hAnsi="Arial" w:cs="Arial"/>
          <w:sz w:val="20"/>
          <w:szCs w:val="20"/>
          <w:shd w:val="clear" w:color="auto" w:fill="FFFFFF"/>
        </w:rPr>
      </w:pPr>
      <w:r w:rsidRPr="005454E0">
        <w:rPr>
          <w:rFonts w:ascii="Arial" w:hAnsi="Arial" w:cs="Arial"/>
          <w:sz w:val="20"/>
          <w:szCs w:val="20"/>
        </w:rPr>
        <w:t xml:space="preserve">- </w:t>
      </w:r>
      <w:r w:rsidR="00B44F48" w:rsidRPr="005454E0">
        <w:rPr>
          <w:rFonts w:ascii="Arial" w:hAnsi="Arial" w:cs="Arial"/>
          <w:sz w:val="20"/>
          <w:szCs w:val="20"/>
          <w:shd w:val="clear" w:color="auto" w:fill="FFFFFF"/>
        </w:rPr>
        <w:t>Rejs Niepodległości statku „Dar Młodzieży”</w:t>
      </w:r>
      <w:r w:rsidRPr="005454E0">
        <w:rPr>
          <w:rFonts w:ascii="Arial" w:hAnsi="Arial" w:cs="Arial"/>
          <w:sz w:val="20"/>
          <w:szCs w:val="20"/>
          <w:shd w:val="clear" w:color="auto" w:fill="FFFFFF"/>
        </w:rPr>
        <w:t xml:space="preserve"> dla uczczenia setnej rocznicy odzyskania niepodległości przez Polskę;</w:t>
      </w:r>
    </w:p>
    <w:p w14:paraId="7269742F" w14:textId="0A332A20" w:rsidR="007050BA" w:rsidRPr="005454E0" w:rsidRDefault="007050BA" w:rsidP="00B44F48">
      <w:pPr>
        <w:shd w:val="clear" w:color="auto" w:fill="FFFFFF"/>
        <w:spacing w:before="120" w:after="120" w:line="276" w:lineRule="auto"/>
        <w:jc w:val="both"/>
        <w:rPr>
          <w:rFonts w:ascii="Arial" w:hAnsi="Arial" w:cs="Arial"/>
          <w:sz w:val="20"/>
          <w:szCs w:val="20"/>
          <w:shd w:val="clear" w:color="auto" w:fill="FFFFFF"/>
        </w:rPr>
      </w:pPr>
      <w:r w:rsidRPr="005454E0">
        <w:rPr>
          <w:rFonts w:ascii="Arial" w:hAnsi="Arial" w:cs="Arial"/>
          <w:sz w:val="20"/>
          <w:szCs w:val="20"/>
        </w:rPr>
        <w:t xml:space="preserve">- </w:t>
      </w:r>
      <w:r w:rsidR="00B44F48" w:rsidRPr="005454E0">
        <w:rPr>
          <w:rFonts w:ascii="Arial" w:hAnsi="Arial" w:cs="Arial"/>
          <w:sz w:val="20"/>
          <w:szCs w:val="20"/>
          <w:shd w:val="clear" w:color="auto" w:fill="FFFFFF"/>
        </w:rPr>
        <w:t>dwa rejsy statku „Horyzont II”</w:t>
      </w:r>
      <w:r w:rsidRPr="005454E0">
        <w:rPr>
          <w:rFonts w:ascii="Arial" w:hAnsi="Arial" w:cs="Arial"/>
          <w:sz w:val="20"/>
          <w:szCs w:val="20"/>
          <w:shd w:val="clear" w:color="auto" w:fill="FFFFFF"/>
        </w:rPr>
        <w:t xml:space="preserve"> na Spitsbergen</w:t>
      </w:r>
      <w:r w:rsidR="004C6CC5" w:rsidRPr="005454E0">
        <w:rPr>
          <w:rFonts w:ascii="Arial" w:hAnsi="Arial" w:cs="Arial"/>
          <w:sz w:val="20"/>
          <w:szCs w:val="20"/>
          <w:shd w:val="clear" w:color="auto" w:fill="FFFFFF"/>
        </w:rPr>
        <w:t xml:space="preserve"> w </w:t>
      </w:r>
      <w:r w:rsidRPr="005454E0">
        <w:rPr>
          <w:rFonts w:ascii="Arial" w:hAnsi="Arial" w:cs="Arial"/>
          <w:sz w:val="20"/>
          <w:szCs w:val="20"/>
          <w:shd w:val="clear" w:color="auto" w:fill="FFFFFF"/>
        </w:rPr>
        <w:t>celu przetransportowania polskich naukowców</w:t>
      </w:r>
      <w:r w:rsidR="004C6CC5" w:rsidRPr="005454E0">
        <w:rPr>
          <w:rFonts w:ascii="Arial" w:hAnsi="Arial" w:cs="Arial"/>
          <w:sz w:val="20"/>
          <w:szCs w:val="20"/>
          <w:shd w:val="clear" w:color="auto" w:fill="FFFFFF"/>
        </w:rPr>
        <w:t xml:space="preserve"> i </w:t>
      </w:r>
      <w:r w:rsidRPr="005454E0">
        <w:rPr>
          <w:rFonts w:ascii="Arial" w:hAnsi="Arial" w:cs="Arial"/>
          <w:sz w:val="20"/>
          <w:szCs w:val="20"/>
          <w:shd w:val="clear" w:color="auto" w:fill="FFFFFF"/>
        </w:rPr>
        <w:t>zaopatrzenia Polskiej Stacji Polarnej</w:t>
      </w:r>
      <w:r w:rsidR="004C6CC5" w:rsidRPr="005454E0">
        <w:rPr>
          <w:rFonts w:ascii="Arial" w:hAnsi="Arial" w:cs="Arial"/>
          <w:sz w:val="20"/>
          <w:szCs w:val="20"/>
          <w:shd w:val="clear" w:color="auto" w:fill="FFFFFF"/>
        </w:rPr>
        <w:t xml:space="preserve"> w </w:t>
      </w:r>
      <w:r w:rsidRPr="005454E0">
        <w:rPr>
          <w:rFonts w:ascii="Arial" w:hAnsi="Arial" w:cs="Arial"/>
          <w:sz w:val="20"/>
          <w:szCs w:val="20"/>
          <w:shd w:val="clear" w:color="auto" w:fill="FFFFFF"/>
        </w:rPr>
        <w:t>Hornsund;</w:t>
      </w:r>
    </w:p>
    <w:p w14:paraId="4D58B999" w14:textId="77777777" w:rsidR="00B44F48" w:rsidRPr="005454E0" w:rsidRDefault="007050BA" w:rsidP="00B44F48">
      <w:pPr>
        <w:shd w:val="clear" w:color="auto" w:fill="FFFFFF"/>
        <w:spacing w:before="120" w:after="120" w:line="276" w:lineRule="auto"/>
        <w:jc w:val="both"/>
        <w:rPr>
          <w:rFonts w:ascii="Arial" w:hAnsi="Arial" w:cs="Arial"/>
          <w:sz w:val="20"/>
          <w:szCs w:val="20"/>
          <w:shd w:val="clear" w:color="auto" w:fill="FFFFFF"/>
        </w:rPr>
      </w:pPr>
      <w:r w:rsidRPr="005454E0">
        <w:rPr>
          <w:rFonts w:ascii="Arial" w:hAnsi="Arial" w:cs="Arial"/>
          <w:sz w:val="20"/>
          <w:szCs w:val="20"/>
        </w:rPr>
        <w:t xml:space="preserve">- </w:t>
      </w:r>
      <w:r w:rsidRPr="005454E0">
        <w:rPr>
          <w:rFonts w:ascii="Arial" w:hAnsi="Arial" w:cs="Arial"/>
          <w:sz w:val="20"/>
          <w:szCs w:val="20"/>
          <w:shd w:val="clear" w:color="auto" w:fill="FFFFFF"/>
        </w:rPr>
        <w:t>współpraca</w:t>
      </w:r>
      <w:r w:rsidR="004C6CC5" w:rsidRPr="005454E0">
        <w:rPr>
          <w:rFonts w:ascii="Arial" w:hAnsi="Arial" w:cs="Arial"/>
          <w:sz w:val="20"/>
          <w:szCs w:val="20"/>
          <w:shd w:val="clear" w:color="auto" w:fill="FFFFFF"/>
        </w:rPr>
        <w:t xml:space="preserve"> w </w:t>
      </w:r>
      <w:r w:rsidRPr="005454E0">
        <w:rPr>
          <w:rFonts w:ascii="Arial" w:hAnsi="Arial" w:cs="Arial"/>
          <w:sz w:val="20"/>
          <w:szCs w:val="20"/>
          <w:shd w:val="clear" w:color="auto" w:fill="FFFFFF"/>
        </w:rPr>
        <w:t>zakresie realizacj</w:t>
      </w:r>
      <w:r w:rsidR="00B44F48" w:rsidRPr="005454E0">
        <w:rPr>
          <w:rFonts w:ascii="Arial" w:hAnsi="Arial" w:cs="Arial"/>
          <w:sz w:val="20"/>
          <w:szCs w:val="20"/>
          <w:shd w:val="clear" w:color="auto" w:fill="FFFFFF"/>
        </w:rPr>
        <w:t>i praktyk morskich na statkach „Dar Młodzieży”</w:t>
      </w:r>
      <w:r w:rsidR="004C6CC5" w:rsidRPr="005454E0">
        <w:rPr>
          <w:rFonts w:ascii="Arial" w:hAnsi="Arial" w:cs="Arial"/>
          <w:sz w:val="20"/>
          <w:szCs w:val="20"/>
          <w:shd w:val="clear" w:color="auto" w:fill="FFFFFF"/>
        </w:rPr>
        <w:t xml:space="preserve"> i </w:t>
      </w:r>
      <w:r w:rsidR="00B44F48" w:rsidRPr="005454E0">
        <w:rPr>
          <w:rFonts w:ascii="Arial" w:hAnsi="Arial" w:cs="Arial"/>
          <w:sz w:val="20"/>
          <w:szCs w:val="20"/>
          <w:shd w:val="clear" w:color="auto" w:fill="FFFFFF"/>
        </w:rPr>
        <w:t>„Horyzont II”</w:t>
      </w:r>
      <w:r w:rsidRPr="005454E0">
        <w:rPr>
          <w:rFonts w:ascii="Arial" w:hAnsi="Arial" w:cs="Arial"/>
          <w:sz w:val="20"/>
          <w:szCs w:val="20"/>
          <w:shd w:val="clear" w:color="auto" w:fill="FFFFFF"/>
        </w:rPr>
        <w:t xml:space="preserve"> </w:t>
      </w:r>
      <w:r w:rsidRPr="005454E0">
        <w:rPr>
          <w:rFonts w:ascii="Arial" w:hAnsi="Arial" w:cs="Arial"/>
          <w:sz w:val="20"/>
          <w:szCs w:val="20"/>
          <w:shd w:val="clear" w:color="auto" w:fill="FFFFFF"/>
        </w:rPr>
        <w:br/>
        <w:t>z następującymi szkołami morskimi: Zespół Szkół Morskich</w:t>
      </w:r>
      <w:r w:rsidR="004C6CC5" w:rsidRPr="005454E0">
        <w:rPr>
          <w:rFonts w:ascii="Arial" w:hAnsi="Arial" w:cs="Arial"/>
          <w:sz w:val="20"/>
          <w:szCs w:val="20"/>
          <w:shd w:val="clear" w:color="auto" w:fill="FFFFFF"/>
        </w:rPr>
        <w:t xml:space="preserve"> w </w:t>
      </w:r>
      <w:r w:rsidRPr="005454E0">
        <w:rPr>
          <w:rFonts w:ascii="Arial" w:hAnsi="Arial" w:cs="Arial"/>
          <w:sz w:val="20"/>
          <w:szCs w:val="20"/>
          <w:shd w:val="clear" w:color="auto" w:fill="FFFFFF"/>
        </w:rPr>
        <w:t xml:space="preserve">Gdańsku, Zespół Szkół Morskich </w:t>
      </w:r>
      <w:r w:rsidRPr="005454E0">
        <w:rPr>
          <w:rFonts w:ascii="Arial" w:hAnsi="Arial" w:cs="Arial"/>
          <w:sz w:val="20"/>
          <w:szCs w:val="20"/>
          <w:shd w:val="clear" w:color="auto" w:fill="FFFFFF"/>
        </w:rPr>
        <w:br/>
        <w:t>w Świnoujściu, Zachodniopomorskie Centrum Edukacji Morskiej</w:t>
      </w:r>
      <w:r w:rsidR="004C6CC5" w:rsidRPr="005454E0">
        <w:rPr>
          <w:rFonts w:ascii="Arial" w:hAnsi="Arial" w:cs="Arial"/>
          <w:sz w:val="20"/>
          <w:szCs w:val="20"/>
          <w:shd w:val="clear" w:color="auto" w:fill="FFFFFF"/>
        </w:rPr>
        <w:t xml:space="preserve"> i </w:t>
      </w:r>
      <w:r w:rsidRPr="005454E0">
        <w:rPr>
          <w:rFonts w:ascii="Arial" w:hAnsi="Arial" w:cs="Arial"/>
          <w:sz w:val="20"/>
          <w:szCs w:val="20"/>
          <w:shd w:val="clear" w:color="auto" w:fill="FFFFFF"/>
        </w:rPr>
        <w:t xml:space="preserve">Politechnicznej ze Szczecina;   </w:t>
      </w:r>
    </w:p>
    <w:p w14:paraId="529B1457" w14:textId="0C986785" w:rsidR="007050BA" w:rsidRPr="005454E0" w:rsidRDefault="00B44F48" w:rsidP="00B44F48">
      <w:pPr>
        <w:shd w:val="clear" w:color="auto" w:fill="FFFFFF"/>
        <w:spacing w:before="120" w:after="120" w:line="276" w:lineRule="auto"/>
        <w:jc w:val="both"/>
        <w:rPr>
          <w:rFonts w:ascii="Arial" w:hAnsi="Arial" w:cs="Arial"/>
          <w:sz w:val="20"/>
          <w:szCs w:val="20"/>
          <w:shd w:val="clear" w:color="auto" w:fill="FFFFFF"/>
        </w:rPr>
      </w:pPr>
      <w:r w:rsidRPr="005454E0">
        <w:rPr>
          <w:rFonts w:ascii="Arial" w:hAnsi="Arial" w:cs="Arial"/>
          <w:sz w:val="20"/>
          <w:szCs w:val="20"/>
          <w:shd w:val="clear" w:color="auto" w:fill="FFFFFF"/>
        </w:rPr>
        <w:t xml:space="preserve">- </w:t>
      </w:r>
      <w:r w:rsidR="007050BA" w:rsidRPr="005454E0">
        <w:rPr>
          <w:rFonts w:ascii="Arial" w:hAnsi="Arial" w:cs="Arial"/>
          <w:sz w:val="20"/>
          <w:szCs w:val="20"/>
          <w:shd w:val="clear" w:color="auto" w:fill="FFFFFF"/>
        </w:rPr>
        <w:t>współpraca</w:t>
      </w:r>
      <w:r w:rsidR="004C6CC5" w:rsidRPr="005454E0">
        <w:rPr>
          <w:rFonts w:ascii="Arial" w:hAnsi="Arial" w:cs="Arial"/>
          <w:sz w:val="20"/>
          <w:szCs w:val="20"/>
          <w:shd w:val="clear" w:color="auto" w:fill="FFFFFF"/>
        </w:rPr>
        <w:t xml:space="preserve"> z </w:t>
      </w:r>
      <w:r w:rsidR="007050BA" w:rsidRPr="005454E0">
        <w:rPr>
          <w:rFonts w:ascii="Arial" w:hAnsi="Arial" w:cs="Arial"/>
          <w:sz w:val="20"/>
          <w:szCs w:val="20"/>
          <w:shd w:val="clear" w:color="auto" w:fill="FFFFFF"/>
        </w:rPr>
        <w:t>przedsiębiorstwami gospodarki morskiej.</w:t>
      </w:r>
    </w:p>
    <w:p w14:paraId="6E1D2CA9" w14:textId="77F9B29A" w:rsidR="00053997" w:rsidRPr="00053997" w:rsidRDefault="007050BA" w:rsidP="00B44F48">
      <w:pPr>
        <w:pStyle w:val="Nagwek3"/>
        <w:spacing w:before="120" w:after="120"/>
        <w:rPr>
          <w:rFonts w:ascii="Arial" w:hAnsi="Arial" w:cs="Arial"/>
          <w:b/>
          <w:color w:val="auto"/>
          <w:sz w:val="20"/>
          <w:szCs w:val="20"/>
          <w:shd w:val="clear" w:color="auto" w:fill="FFFFFF"/>
        </w:rPr>
      </w:pPr>
      <w:bookmarkStart w:id="26" w:name="_Toc72745043"/>
      <w:r w:rsidRPr="00053997">
        <w:rPr>
          <w:rFonts w:ascii="Arial" w:hAnsi="Arial" w:cs="Arial"/>
          <w:b/>
          <w:color w:val="auto"/>
          <w:sz w:val="20"/>
          <w:szCs w:val="20"/>
          <w:shd w:val="clear" w:color="auto" w:fill="FFFFFF"/>
        </w:rPr>
        <w:t>Akademia Morska</w:t>
      </w:r>
      <w:r w:rsidR="004C6CC5" w:rsidRPr="00053997">
        <w:rPr>
          <w:rFonts w:ascii="Arial" w:hAnsi="Arial" w:cs="Arial"/>
          <w:b/>
          <w:color w:val="auto"/>
          <w:sz w:val="20"/>
          <w:szCs w:val="20"/>
          <w:shd w:val="clear" w:color="auto" w:fill="FFFFFF"/>
        </w:rPr>
        <w:t xml:space="preserve"> w </w:t>
      </w:r>
      <w:r w:rsidRPr="00053997">
        <w:rPr>
          <w:rFonts w:ascii="Arial" w:hAnsi="Arial" w:cs="Arial"/>
          <w:b/>
          <w:color w:val="auto"/>
          <w:sz w:val="20"/>
          <w:szCs w:val="20"/>
          <w:shd w:val="clear" w:color="auto" w:fill="FFFFFF"/>
        </w:rPr>
        <w:t>Szczecinie</w:t>
      </w:r>
      <w:r w:rsidR="00053997">
        <w:rPr>
          <w:rFonts w:ascii="Arial" w:hAnsi="Arial" w:cs="Arial"/>
          <w:b/>
          <w:color w:val="auto"/>
          <w:sz w:val="20"/>
          <w:szCs w:val="20"/>
          <w:shd w:val="clear" w:color="auto" w:fill="FFFFFF"/>
        </w:rPr>
        <w:t>.</w:t>
      </w:r>
      <w:bookmarkEnd w:id="26"/>
    </w:p>
    <w:p w14:paraId="10ACD2DD" w14:textId="6F2C922B" w:rsidR="007050BA" w:rsidRPr="004C6CC5" w:rsidRDefault="007050BA" w:rsidP="0040404D">
      <w:pPr>
        <w:spacing w:after="120" w:line="276" w:lineRule="auto"/>
        <w:jc w:val="both"/>
        <w:rPr>
          <w:rFonts w:ascii="Arial" w:hAnsi="Arial" w:cs="Arial"/>
          <w:sz w:val="20"/>
          <w:szCs w:val="20"/>
        </w:rPr>
      </w:pPr>
      <w:r w:rsidRPr="004C6CC5">
        <w:rPr>
          <w:rFonts w:ascii="Arial" w:hAnsi="Arial" w:cs="Arial"/>
          <w:sz w:val="20"/>
          <w:szCs w:val="20"/>
        </w:rPr>
        <w:t>Akademia Morska</w:t>
      </w:r>
      <w:r w:rsidR="004C6CC5">
        <w:rPr>
          <w:rFonts w:ascii="Arial" w:hAnsi="Arial" w:cs="Arial"/>
          <w:sz w:val="20"/>
          <w:szCs w:val="20"/>
        </w:rPr>
        <w:t xml:space="preserve"> w </w:t>
      </w:r>
      <w:r w:rsidRPr="004C6CC5">
        <w:rPr>
          <w:rFonts w:ascii="Arial" w:hAnsi="Arial" w:cs="Arial"/>
          <w:sz w:val="20"/>
          <w:szCs w:val="20"/>
        </w:rPr>
        <w:t>Szczecinie, jako innowacyjny</w:t>
      </w:r>
      <w:r w:rsidR="00E51D18">
        <w:rPr>
          <w:rFonts w:ascii="Arial" w:hAnsi="Arial" w:cs="Arial"/>
          <w:sz w:val="20"/>
          <w:szCs w:val="20"/>
        </w:rPr>
        <w:t xml:space="preserve"> i </w:t>
      </w:r>
      <w:r w:rsidRPr="004C6CC5">
        <w:rPr>
          <w:rFonts w:ascii="Arial" w:hAnsi="Arial" w:cs="Arial"/>
          <w:sz w:val="20"/>
          <w:szCs w:val="20"/>
        </w:rPr>
        <w:t>nowoczesny ośrodek naukowo-dydaktyczny prowadzi badania</w:t>
      </w:r>
      <w:r w:rsidR="004C6CC5">
        <w:rPr>
          <w:rFonts w:ascii="Arial" w:hAnsi="Arial" w:cs="Arial"/>
          <w:sz w:val="20"/>
          <w:szCs w:val="20"/>
        </w:rPr>
        <w:t xml:space="preserve"> w </w:t>
      </w:r>
      <w:r w:rsidRPr="004C6CC5">
        <w:rPr>
          <w:rFonts w:ascii="Arial" w:hAnsi="Arial" w:cs="Arial"/>
          <w:sz w:val="20"/>
          <w:szCs w:val="20"/>
        </w:rPr>
        <w:t>odpowiedzi na aktualne potrzeby gospodarki morskiej, wynikające ze światowych trendów wskazujących kierunki rozwoju branży. Są to badania</w:t>
      </w:r>
      <w:r w:rsidR="004C6CC5">
        <w:rPr>
          <w:rFonts w:ascii="Arial" w:hAnsi="Arial" w:cs="Arial"/>
          <w:sz w:val="20"/>
          <w:szCs w:val="20"/>
        </w:rPr>
        <w:t xml:space="preserve"> i </w:t>
      </w:r>
      <w:r w:rsidRPr="004C6CC5">
        <w:rPr>
          <w:rFonts w:ascii="Arial" w:hAnsi="Arial" w:cs="Arial"/>
          <w:sz w:val="20"/>
          <w:szCs w:val="20"/>
        </w:rPr>
        <w:t>innowacje m.in.</w:t>
      </w:r>
      <w:r w:rsidR="004C6CC5">
        <w:rPr>
          <w:rFonts w:ascii="Arial" w:hAnsi="Arial" w:cs="Arial"/>
          <w:sz w:val="20"/>
          <w:szCs w:val="20"/>
        </w:rPr>
        <w:t xml:space="preserve"> w </w:t>
      </w:r>
      <w:r w:rsidR="00590675">
        <w:rPr>
          <w:rFonts w:ascii="Arial" w:hAnsi="Arial" w:cs="Arial"/>
          <w:sz w:val="20"/>
          <w:szCs w:val="20"/>
        </w:rPr>
        <w:t>zakresie</w:t>
      </w:r>
      <w:r w:rsidRPr="004C6CC5">
        <w:rPr>
          <w:rFonts w:ascii="Arial" w:hAnsi="Arial" w:cs="Arial"/>
          <w:sz w:val="20"/>
          <w:szCs w:val="20"/>
        </w:rPr>
        <w:t xml:space="preserve"> inżynierii ruchu morskiego, energii odnawialnej, żeglugi śródlądowej, logistyki</w:t>
      </w:r>
      <w:r w:rsidR="004C6CC5">
        <w:rPr>
          <w:rFonts w:ascii="Arial" w:hAnsi="Arial" w:cs="Arial"/>
          <w:sz w:val="20"/>
          <w:szCs w:val="20"/>
        </w:rPr>
        <w:t xml:space="preserve"> i </w:t>
      </w:r>
      <w:r w:rsidRPr="004C6CC5">
        <w:rPr>
          <w:rFonts w:ascii="Arial" w:hAnsi="Arial" w:cs="Arial"/>
          <w:sz w:val="20"/>
          <w:szCs w:val="20"/>
        </w:rPr>
        <w:t>transportu intermodalnego, e</w:t>
      </w:r>
      <w:r w:rsidR="00590675">
        <w:rPr>
          <w:rFonts w:ascii="Arial" w:hAnsi="Arial" w:cs="Arial"/>
          <w:sz w:val="20"/>
          <w:szCs w:val="20"/>
        </w:rPr>
        <w:t xml:space="preserve">ksploatacji obiektów pływających i </w:t>
      </w:r>
      <w:r w:rsidRPr="004C6CC5">
        <w:rPr>
          <w:rFonts w:ascii="Arial" w:hAnsi="Arial" w:cs="Arial"/>
          <w:sz w:val="20"/>
          <w:szCs w:val="20"/>
        </w:rPr>
        <w:t>urządzeń portowych oraz nowoczesnych technologii informatycznych.</w:t>
      </w:r>
    </w:p>
    <w:p w14:paraId="0DC3F25C" w14:textId="337BA627" w:rsidR="00EB6C40" w:rsidRPr="00EB6C40" w:rsidRDefault="00EB6C40" w:rsidP="0040404D">
      <w:pPr>
        <w:spacing w:after="120" w:line="276" w:lineRule="auto"/>
        <w:jc w:val="both"/>
        <w:rPr>
          <w:rFonts w:ascii="Arial" w:hAnsi="Arial" w:cs="Arial"/>
          <w:sz w:val="20"/>
          <w:szCs w:val="20"/>
        </w:rPr>
      </w:pPr>
      <w:r w:rsidRPr="00EB6C40">
        <w:rPr>
          <w:rFonts w:ascii="Arial" w:hAnsi="Arial" w:cs="Arial"/>
          <w:sz w:val="20"/>
          <w:szCs w:val="20"/>
        </w:rPr>
        <w:t>Akadem</w:t>
      </w:r>
      <w:r>
        <w:rPr>
          <w:rFonts w:ascii="Arial" w:hAnsi="Arial" w:cs="Arial"/>
          <w:sz w:val="20"/>
          <w:szCs w:val="20"/>
        </w:rPr>
        <w:t xml:space="preserve">ia Morska w Szczecinie do 30 września </w:t>
      </w:r>
      <w:r w:rsidRPr="00EB6C40">
        <w:rPr>
          <w:rFonts w:ascii="Arial" w:hAnsi="Arial" w:cs="Arial"/>
          <w:sz w:val="20"/>
          <w:szCs w:val="20"/>
        </w:rPr>
        <w:t>2019 r. kształciła studentów na trzech wydziałach: Nawigacyjnym, Mechanicznym i Inżynieryjno-Ekonomicznym Transport</w:t>
      </w:r>
      <w:r>
        <w:rPr>
          <w:rFonts w:ascii="Arial" w:hAnsi="Arial" w:cs="Arial"/>
          <w:sz w:val="20"/>
          <w:szCs w:val="20"/>
        </w:rPr>
        <w:t xml:space="preserve">u, a od 1 października </w:t>
      </w:r>
      <w:r w:rsidRPr="00EB6C40">
        <w:rPr>
          <w:rFonts w:ascii="Arial" w:hAnsi="Arial" w:cs="Arial"/>
          <w:sz w:val="20"/>
          <w:szCs w:val="20"/>
        </w:rPr>
        <w:t>2019 r. kształci studentów na pięciu Wydziałach: Nawigacyjnym, Mechanicznym, Inżynieryjno-Ekonomicznym Transportu, Mechatroniki i Elektrotechniki oraz Informatyki i Telekomunikacji. Na Wydziale Nawigacyjnym kształcenie odbywa się na kierunkach: Nawigacja, Transport, Geodezja i kartografia, Geoinformatyka, Oceanotechnika; na Wydziale Informatyki i Telekomunikacji na </w:t>
      </w:r>
      <w:r>
        <w:rPr>
          <w:rFonts w:ascii="Arial" w:hAnsi="Arial" w:cs="Arial"/>
          <w:sz w:val="20"/>
          <w:szCs w:val="20"/>
        </w:rPr>
        <w:t xml:space="preserve">kierunku: Informatyka (do 30 września </w:t>
      </w:r>
      <w:r w:rsidRPr="00EB6C40">
        <w:rPr>
          <w:rFonts w:ascii="Arial" w:hAnsi="Arial" w:cs="Arial"/>
          <w:sz w:val="20"/>
          <w:szCs w:val="20"/>
        </w:rPr>
        <w:t>2019</w:t>
      </w:r>
      <w:r>
        <w:rPr>
          <w:rFonts w:ascii="Arial" w:hAnsi="Arial" w:cs="Arial"/>
          <w:sz w:val="20"/>
          <w:szCs w:val="20"/>
        </w:rPr>
        <w:t xml:space="preserve"> </w:t>
      </w:r>
      <w:r w:rsidRPr="00EB6C40">
        <w:rPr>
          <w:rFonts w:ascii="Arial" w:hAnsi="Arial" w:cs="Arial"/>
          <w:sz w:val="20"/>
          <w:szCs w:val="20"/>
        </w:rPr>
        <w:t>r. kierunek realizowany w ramach Wydziału Nawigacyjnego); na Wydziale Mechanicznym na kierunku: Mechanika i budowa maszyn; na Wydziale Mechatroniki i Elektrotechniki na kierunku Mechatronika (do 30</w:t>
      </w:r>
      <w:r>
        <w:rPr>
          <w:rFonts w:ascii="Arial" w:hAnsi="Arial" w:cs="Arial"/>
          <w:sz w:val="20"/>
          <w:szCs w:val="20"/>
        </w:rPr>
        <w:t xml:space="preserve"> września </w:t>
      </w:r>
      <w:r w:rsidRPr="00EB6C40">
        <w:rPr>
          <w:rFonts w:ascii="Arial" w:hAnsi="Arial" w:cs="Arial"/>
          <w:sz w:val="20"/>
          <w:szCs w:val="20"/>
        </w:rPr>
        <w:t>2019</w:t>
      </w:r>
      <w:r>
        <w:rPr>
          <w:rFonts w:ascii="Arial" w:hAnsi="Arial" w:cs="Arial"/>
          <w:sz w:val="20"/>
          <w:szCs w:val="20"/>
        </w:rPr>
        <w:t xml:space="preserve"> </w:t>
      </w:r>
      <w:r w:rsidRPr="00EB6C40">
        <w:rPr>
          <w:rFonts w:ascii="Arial" w:hAnsi="Arial" w:cs="Arial"/>
          <w:sz w:val="20"/>
          <w:szCs w:val="20"/>
        </w:rPr>
        <w:t xml:space="preserve">r. kierunek realizowany w ramach Wydziału Mechanicznego); na Wydziale Inżynieryjno-Ekonomicznym Transportu na kierunkach: Logistyka, Transport, Zarządzanie i Inżynieria Produkcji. </w:t>
      </w:r>
    </w:p>
    <w:p w14:paraId="28332F9D" w14:textId="1EFB4D2F" w:rsidR="007050BA" w:rsidRPr="004C6CC5" w:rsidRDefault="00EB6C40" w:rsidP="0040404D">
      <w:pPr>
        <w:spacing w:after="120" w:line="276" w:lineRule="auto"/>
        <w:jc w:val="both"/>
        <w:rPr>
          <w:rFonts w:ascii="Arial" w:hAnsi="Arial" w:cs="Arial"/>
          <w:sz w:val="20"/>
          <w:szCs w:val="20"/>
        </w:rPr>
      </w:pPr>
      <w:r w:rsidRPr="00EB6C40">
        <w:rPr>
          <w:rFonts w:ascii="Arial" w:hAnsi="Arial" w:cs="Arial"/>
          <w:sz w:val="20"/>
          <w:szCs w:val="20"/>
        </w:rPr>
        <w:t>Akademia Morska w Szczecinie na potrzeby gospodarki morskiej, w zależności od wydziału i kierunku, kształci studentów na pierwszym, drugim lub trzecim stopniu studiów.</w:t>
      </w:r>
      <w:r w:rsidR="0040404D">
        <w:rPr>
          <w:rFonts w:ascii="Arial" w:hAnsi="Arial" w:cs="Arial"/>
          <w:sz w:val="20"/>
          <w:szCs w:val="20"/>
        </w:rPr>
        <w:t xml:space="preserve"> </w:t>
      </w:r>
      <w:r w:rsidR="007050BA" w:rsidRPr="004C6CC5">
        <w:rPr>
          <w:rFonts w:ascii="Arial" w:hAnsi="Arial" w:cs="Arial"/>
          <w:sz w:val="20"/>
          <w:szCs w:val="20"/>
        </w:rPr>
        <w:t>W 2019</w:t>
      </w:r>
      <w:r w:rsidR="009D01B9" w:rsidRPr="004C6CC5">
        <w:rPr>
          <w:rFonts w:ascii="Arial" w:hAnsi="Arial" w:cs="Arial"/>
          <w:sz w:val="20"/>
          <w:szCs w:val="20"/>
        </w:rPr>
        <w:t xml:space="preserve"> r.</w:t>
      </w:r>
      <w:r w:rsidR="004C6CC5">
        <w:rPr>
          <w:rFonts w:ascii="Arial" w:hAnsi="Arial" w:cs="Arial"/>
          <w:sz w:val="20"/>
          <w:szCs w:val="20"/>
        </w:rPr>
        <w:t xml:space="preserve"> w </w:t>
      </w:r>
      <w:r w:rsidR="007050BA" w:rsidRPr="004C6CC5">
        <w:rPr>
          <w:rFonts w:ascii="Arial" w:hAnsi="Arial" w:cs="Arial"/>
          <w:sz w:val="20"/>
          <w:szCs w:val="20"/>
        </w:rPr>
        <w:t>Akademii Morskiej</w:t>
      </w:r>
      <w:r w:rsidR="004C6CC5">
        <w:rPr>
          <w:rFonts w:ascii="Arial" w:hAnsi="Arial" w:cs="Arial"/>
          <w:sz w:val="20"/>
          <w:szCs w:val="20"/>
        </w:rPr>
        <w:t xml:space="preserve"> w </w:t>
      </w:r>
      <w:r w:rsidR="007050BA" w:rsidRPr="004C6CC5">
        <w:rPr>
          <w:rFonts w:ascii="Arial" w:hAnsi="Arial" w:cs="Arial"/>
          <w:sz w:val="20"/>
          <w:szCs w:val="20"/>
        </w:rPr>
        <w:t>Szczecinie zdobywało wiedzę łącznie 2 5</w:t>
      </w:r>
      <w:r w:rsidR="00534325">
        <w:rPr>
          <w:rFonts w:ascii="Arial" w:hAnsi="Arial" w:cs="Arial"/>
          <w:sz w:val="20"/>
          <w:szCs w:val="20"/>
        </w:rPr>
        <w:t>70</w:t>
      </w:r>
      <w:r w:rsidR="007050BA" w:rsidRPr="004C6CC5">
        <w:rPr>
          <w:rFonts w:ascii="Arial" w:hAnsi="Arial" w:cs="Arial"/>
          <w:sz w:val="20"/>
          <w:szCs w:val="20"/>
        </w:rPr>
        <w:t xml:space="preserve"> studentów,</w:t>
      </w:r>
      <w:r w:rsidR="004C6CC5">
        <w:rPr>
          <w:rFonts w:ascii="Arial" w:hAnsi="Arial" w:cs="Arial"/>
          <w:sz w:val="20"/>
          <w:szCs w:val="20"/>
        </w:rPr>
        <w:t xml:space="preserve"> w </w:t>
      </w:r>
      <w:r w:rsidR="007050BA" w:rsidRPr="004C6CC5">
        <w:rPr>
          <w:rFonts w:ascii="Arial" w:hAnsi="Arial" w:cs="Arial"/>
          <w:sz w:val="20"/>
          <w:szCs w:val="20"/>
        </w:rPr>
        <w:t>tym na studiach stacjonarnych pierwszego</w:t>
      </w:r>
      <w:r w:rsidR="004C6CC5">
        <w:rPr>
          <w:rFonts w:ascii="Arial" w:hAnsi="Arial" w:cs="Arial"/>
          <w:sz w:val="20"/>
          <w:szCs w:val="20"/>
        </w:rPr>
        <w:t xml:space="preserve"> i </w:t>
      </w:r>
      <w:r w:rsidR="007050BA" w:rsidRPr="004C6CC5">
        <w:rPr>
          <w:rFonts w:ascii="Arial" w:hAnsi="Arial" w:cs="Arial"/>
          <w:sz w:val="20"/>
          <w:szCs w:val="20"/>
        </w:rPr>
        <w:t>drugiego stopnia</w:t>
      </w:r>
      <w:r w:rsidR="00B66FCE" w:rsidRPr="004C6CC5">
        <w:rPr>
          <w:rFonts w:ascii="Arial" w:hAnsi="Arial" w:cs="Arial"/>
          <w:sz w:val="20"/>
          <w:szCs w:val="20"/>
        </w:rPr>
        <w:t xml:space="preserve"> 1 </w:t>
      </w:r>
      <w:r w:rsidR="007050BA" w:rsidRPr="004C6CC5">
        <w:rPr>
          <w:rFonts w:ascii="Arial" w:hAnsi="Arial" w:cs="Arial"/>
          <w:sz w:val="20"/>
          <w:szCs w:val="20"/>
        </w:rPr>
        <w:t>9</w:t>
      </w:r>
      <w:r w:rsidR="00534325">
        <w:rPr>
          <w:rFonts w:ascii="Arial" w:hAnsi="Arial" w:cs="Arial"/>
          <w:sz w:val="20"/>
          <w:szCs w:val="20"/>
        </w:rPr>
        <w:t>49</w:t>
      </w:r>
      <w:r w:rsidR="007050BA" w:rsidRPr="004C6CC5">
        <w:rPr>
          <w:rFonts w:ascii="Arial" w:hAnsi="Arial" w:cs="Arial"/>
          <w:sz w:val="20"/>
          <w:szCs w:val="20"/>
        </w:rPr>
        <w:t>, niestacjonarnych pierwszego</w:t>
      </w:r>
      <w:r w:rsidR="004C6CC5">
        <w:rPr>
          <w:rFonts w:ascii="Arial" w:hAnsi="Arial" w:cs="Arial"/>
          <w:sz w:val="20"/>
          <w:szCs w:val="20"/>
        </w:rPr>
        <w:t xml:space="preserve"> i </w:t>
      </w:r>
      <w:r w:rsidR="007050BA" w:rsidRPr="004C6CC5">
        <w:rPr>
          <w:rFonts w:ascii="Arial" w:hAnsi="Arial" w:cs="Arial"/>
          <w:sz w:val="20"/>
          <w:szCs w:val="20"/>
        </w:rPr>
        <w:t>drugiego stopnia 62</w:t>
      </w:r>
      <w:r w:rsidR="00534325">
        <w:rPr>
          <w:rFonts w:ascii="Arial" w:hAnsi="Arial" w:cs="Arial"/>
          <w:sz w:val="20"/>
          <w:szCs w:val="20"/>
        </w:rPr>
        <w:t>2</w:t>
      </w:r>
      <w:r w:rsidR="007050BA" w:rsidRPr="004C6CC5">
        <w:rPr>
          <w:rFonts w:ascii="Arial" w:hAnsi="Arial" w:cs="Arial"/>
          <w:sz w:val="20"/>
          <w:szCs w:val="20"/>
        </w:rPr>
        <w:t>, trzeciego stopnia 24.</w:t>
      </w:r>
    </w:p>
    <w:p w14:paraId="2C85E20D" w14:textId="3F917AA8" w:rsidR="0040404D" w:rsidRPr="0040404D" w:rsidRDefault="0040404D" w:rsidP="0040404D">
      <w:pPr>
        <w:spacing w:after="120" w:line="276" w:lineRule="auto"/>
        <w:jc w:val="both"/>
        <w:rPr>
          <w:rFonts w:ascii="Arial" w:hAnsi="Arial" w:cs="Arial"/>
          <w:sz w:val="20"/>
          <w:szCs w:val="20"/>
        </w:rPr>
      </w:pPr>
      <w:r w:rsidRPr="0040404D">
        <w:rPr>
          <w:rFonts w:ascii="Arial" w:hAnsi="Arial" w:cs="Arial"/>
          <w:sz w:val="20"/>
          <w:szCs w:val="20"/>
        </w:rPr>
        <w:t xml:space="preserve">Rozwijając stopień umiędzynarodowienia Uczelni Akademia Morska w Szczecinie dba o to, by przygotować absolwentów kierunków morskich do pracy w międzynarodowym środowisku. </w:t>
      </w:r>
      <w:r w:rsidR="00A92195">
        <w:rPr>
          <w:rFonts w:ascii="Arial" w:hAnsi="Arial" w:cs="Arial"/>
          <w:sz w:val="20"/>
          <w:szCs w:val="20"/>
        </w:rPr>
        <w:br/>
        <w:t>W związku z tym u</w:t>
      </w:r>
      <w:r w:rsidRPr="0040404D">
        <w:rPr>
          <w:rFonts w:ascii="Arial" w:hAnsi="Arial" w:cs="Arial"/>
          <w:sz w:val="20"/>
          <w:szCs w:val="20"/>
        </w:rPr>
        <w:t>czelnia zwiększa udz</w:t>
      </w:r>
      <w:r w:rsidR="00A92195">
        <w:rPr>
          <w:rFonts w:ascii="Arial" w:hAnsi="Arial" w:cs="Arial"/>
          <w:sz w:val="20"/>
          <w:szCs w:val="20"/>
        </w:rPr>
        <w:t>iał studentów zagranicznych: wg</w:t>
      </w:r>
      <w:r w:rsidRPr="0040404D">
        <w:rPr>
          <w:rFonts w:ascii="Arial" w:hAnsi="Arial" w:cs="Arial"/>
          <w:sz w:val="20"/>
          <w:szCs w:val="20"/>
        </w:rPr>
        <w:t xml:space="preserve"> stanu na 31.12.2019 </w:t>
      </w:r>
      <w:r w:rsidR="00A92195">
        <w:rPr>
          <w:rFonts w:ascii="Arial" w:hAnsi="Arial" w:cs="Arial"/>
          <w:sz w:val="20"/>
          <w:szCs w:val="20"/>
        </w:rPr>
        <w:t xml:space="preserve">r. </w:t>
      </w:r>
      <w:r w:rsidRPr="0040404D">
        <w:rPr>
          <w:rFonts w:ascii="Arial" w:hAnsi="Arial" w:cs="Arial"/>
          <w:sz w:val="20"/>
          <w:szCs w:val="20"/>
        </w:rPr>
        <w:t xml:space="preserve">w AMS studiowało 2792 studentów w tym 320 cudzoziemców </w:t>
      </w:r>
      <w:r w:rsidR="00105AF0">
        <w:rPr>
          <w:rFonts w:ascii="Arial" w:hAnsi="Arial" w:cs="Arial"/>
          <w:sz w:val="20"/>
          <w:szCs w:val="20"/>
        </w:rPr>
        <w:t xml:space="preserve">czyli 11,5% ich łącznej liczby. </w:t>
      </w:r>
      <w:r w:rsidRPr="0040404D">
        <w:rPr>
          <w:rFonts w:ascii="Arial" w:hAnsi="Arial" w:cs="Arial"/>
          <w:sz w:val="20"/>
          <w:szCs w:val="20"/>
        </w:rPr>
        <w:t>Najwięcej cudzoziemców studiuje na Wydziale Nawigacyjnym – 162 osoby, na Wydziale Mechanicznym 64 osób, a na </w:t>
      </w:r>
      <w:r w:rsidR="00105AF0" w:rsidRPr="00EB6C40">
        <w:rPr>
          <w:rFonts w:ascii="Arial" w:hAnsi="Arial" w:cs="Arial"/>
          <w:sz w:val="20"/>
          <w:szCs w:val="20"/>
        </w:rPr>
        <w:t>Wydziale Inżynieryjno-Ekonomicznym Transportu</w:t>
      </w:r>
      <w:r w:rsidR="002C0697">
        <w:rPr>
          <w:rFonts w:ascii="Arial" w:hAnsi="Arial" w:cs="Arial"/>
          <w:sz w:val="20"/>
          <w:szCs w:val="20"/>
        </w:rPr>
        <w:t xml:space="preserve"> - </w:t>
      </w:r>
      <w:r w:rsidRPr="0040404D">
        <w:rPr>
          <w:rFonts w:ascii="Arial" w:hAnsi="Arial" w:cs="Arial"/>
          <w:sz w:val="20"/>
          <w:szCs w:val="20"/>
        </w:rPr>
        <w:t xml:space="preserve">80 osób, na Wydziale Informatyki </w:t>
      </w:r>
      <w:r w:rsidR="00105AF0">
        <w:rPr>
          <w:rFonts w:ascii="Arial" w:hAnsi="Arial" w:cs="Arial"/>
          <w:sz w:val="20"/>
          <w:szCs w:val="20"/>
        </w:rPr>
        <w:br/>
      </w:r>
      <w:r w:rsidRPr="0040404D">
        <w:rPr>
          <w:rFonts w:ascii="Arial" w:hAnsi="Arial" w:cs="Arial"/>
          <w:sz w:val="20"/>
          <w:szCs w:val="20"/>
        </w:rPr>
        <w:t>i Telekomunikacji – 6 osób (nowy wydział utworzony od 1.10.2019</w:t>
      </w:r>
      <w:r w:rsidR="00105AF0">
        <w:rPr>
          <w:rFonts w:ascii="Arial" w:hAnsi="Arial" w:cs="Arial"/>
          <w:sz w:val="20"/>
          <w:szCs w:val="20"/>
        </w:rPr>
        <w:t xml:space="preserve"> </w:t>
      </w:r>
      <w:r w:rsidRPr="0040404D">
        <w:rPr>
          <w:rFonts w:ascii="Arial" w:hAnsi="Arial" w:cs="Arial"/>
          <w:sz w:val="20"/>
          <w:szCs w:val="20"/>
        </w:rPr>
        <w:t xml:space="preserve">r.), na Wydziale Mechatroniki </w:t>
      </w:r>
      <w:r w:rsidR="00105AF0">
        <w:rPr>
          <w:rFonts w:ascii="Arial" w:hAnsi="Arial" w:cs="Arial"/>
          <w:sz w:val="20"/>
          <w:szCs w:val="20"/>
        </w:rPr>
        <w:br/>
      </w:r>
      <w:r w:rsidRPr="0040404D">
        <w:rPr>
          <w:rFonts w:ascii="Arial" w:hAnsi="Arial" w:cs="Arial"/>
          <w:sz w:val="20"/>
          <w:szCs w:val="20"/>
        </w:rPr>
        <w:t>i Elektrotechniki – 8 osób (nowy wydział utworzony 1.10.2019</w:t>
      </w:r>
      <w:r w:rsidR="00105AF0">
        <w:rPr>
          <w:rFonts w:ascii="Arial" w:hAnsi="Arial" w:cs="Arial"/>
          <w:sz w:val="20"/>
          <w:szCs w:val="20"/>
        </w:rPr>
        <w:t xml:space="preserve"> </w:t>
      </w:r>
      <w:r w:rsidRPr="0040404D">
        <w:rPr>
          <w:rFonts w:ascii="Arial" w:hAnsi="Arial" w:cs="Arial"/>
          <w:sz w:val="20"/>
          <w:szCs w:val="20"/>
        </w:rPr>
        <w:t>r.). W </w:t>
      </w:r>
      <w:r w:rsidR="00F15658">
        <w:rPr>
          <w:rFonts w:ascii="Arial" w:hAnsi="Arial" w:cs="Arial"/>
          <w:sz w:val="20"/>
          <w:szCs w:val="20"/>
        </w:rPr>
        <w:t>roku 2019 u</w:t>
      </w:r>
      <w:r w:rsidRPr="0040404D">
        <w:rPr>
          <w:rFonts w:ascii="Arial" w:hAnsi="Arial" w:cs="Arial"/>
          <w:sz w:val="20"/>
          <w:szCs w:val="20"/>
        </w:rPr>
        <w:t>czelnia przyjęła na kierunek Nawigacja prowadzony w pełni w języku angielskim 18 studentów z 10 krajów (kierunek ten został</w:t>
      </w:r>
      <w:r w:rsidR="00F15658">
        <w:rPr>
          <w:rFonts w:ascii="Arial" w:hAnsi="Arial" w:cs="Arial"/>
          <w:sz w:val="20"/>
          <w:szCs w:val="20"/>
        </w:rPr>
        <w:t xml:space="preserve"> otwarty w 2017 r.). W 2019 r.</w:t>
      </w:r>
      <w:r w:rsidRPr="0040404D">
        <w:rPr>
          <w:rFonts w:ascii="Arial" w:hAnsi="Arial" w:cs="Arial"/>
          <w:sz w:val="20"/>
          <w:szCs w:val="20"/>
        </w:rPr>
        <w:t xml:space="preserve"> na bieżąco modernizowano i aktualizowano trzyjęzyczną stronę poświęconą rekrutacji studentów zagranicznych (pod adresem </w:t>
      </w:r>
      <w:hyperlink r:id="rId11" w:history="1">
        <w:r w:rsidRPr="0040404D">
          <w:rPr>
            <w:rFonts w:ascii="Arial" w:hAnsi="Arial" w:cs="Arial"/>
            <w:sz w:val="20"/>
            <w:szCs w:val="20"/>
          </w:rPr>
          <w:t>www.marine-edu.com</w:t>
        </w:r>
      </w:hyperlink>
      <w:r w:rsidRPr="0040404D">
        <w:rPr>
          <w:rFonts w:ascii="Arial" w:hAnsi="Arial" w:cs="Arial"/>
          <w:sz w:val="20"/>
          <w:szCs w:val="20"/>
        </w:rPr>
        <w:t>).</w:t>
      </w:r>
    </w:p>
    <w:p w14:paraId="273DD7CD" w14:textId="7FC29F82" w:rsidR="0040404D" w:rsidRPr="0040404D" w:rsidRDefault="0040404D" w:rsidP="0040404D">
      <w:pPr>
        <w:spacing w:after="120" w:line="276" w:lineRule="auto"/>
        <w:jc w:val="both"/>
        <w:rPr>
          <w:rFonts w:ascii="Arial" w:hAnsi="Arial" w:cs="Arial"/>
          <w:sz w:val="20"/>
          <w:szCs w:val="20"/>
        </w:rPr>
      </w:pPr>
      <w:r w:rsidRPr="0040404D">
        <w:rPr>
          <w:rFonts w:ascii="Arial" w:hAnsi="Arial" w:cs="Arial"/>
          <w:sz w:val="20"/>
          <w:szCs w:val="20"/>
        </w:rPr>
        <w:t xml:space="preserve">Akademia współpracowała z uczelniami oraz instytucjami zagranicznymi z 18 krajów w ramach 41 aktywnych umów lub porozumień o współpracy. W ramach jednej z umów z Batumi State Maritime Academy w Gruzji zorganizowano również </w:t>
      </w:r>
      <w:r w:rsidR="00F15658">
        <w:rPr>
          <w:rFonts w:ascii="Arial" w:hAnsi="Arial" w:cs="Arial"/>
          <w:sz w:val="20"/>
          <w:szCs w:val="20"/>
        </w:rPr>
        <w:t>dwa</w:t>
      </w:r>
      <w:r w:rsidRPr="0040404D">
        <w:rPr>
          <w:rFonts w:ascii="Arial" w:hAnsi="Arial" w:cs="Arial"/>
          <w:sz w:val="20"/>
          <w:szCs w:val="20"/>
        </w:rPr>
        <w:t xml:space="preserve"> przyjazdy studentów z Gruzji na semestr nauki na Wydziale Nawigacyjnym.  </w:t>
      </w:r>
    </w:p>
    <w:p w14:paraId="7732DA54" w14:textId="60DD38EC" w:rsidR="00EB6C40" w:rsidRPr="00312919" w:rsidRDefault="007050BA" w:rsidP="00312919">
      <w:pPr>
        <w:spacing w:after="120" w:line="276" w:lineRule="auto"/>
        <w:jc w:val="both"/>
        <w:rPr>
          <w:rFonts w:ascii="Arial" w:hAnsi="Arial" w:cs="Arial"/>
          <w:sz w:val="20"/>
          <w:szCs w:val="20"/>
        </w:rPr>
      </w:pPr>
      <w:r w:rsidRPr="004C6CC5">
        <w:rPr>
          <w:rFonts w:ascii="Arial" w:hAnsi="Arial" w:cs="Arial"/>
          <w:sz w:val="20"/>
          <w:szCs w:val="20"/>
        </w:rPr>
        <w:lastRenderedPageBreak/>
        <w:t>Obecnie uczelnia posiada 23 umowy dotyczące wymiany</w:t>
      </w:r>
      <w:r w:rsidR="004C6CC5">
        <w:rPr>
          <w:rFonts w:ascii="Arial" w:hAnsi="Arial" w:cs="Arial"/>
          <w:sz w:val="20"/>
          <w:szCs w:val="20"/>
        </w:rPr>
        <w:t xml:space="preserve"> w </w:t>
      </w:r>
      <w:r w:rsidRPr="004C6CC5">
        <w:rPr>
          <w:rFonts w:ascii="Arial" w:hAnsi="Arial" w:cs="Arial"/>
          <w:sz w:val="20"/>
          <w:szCs w:val="20"/>
        </w:rPr>
        <w:t>ramach programu Erasmus+,</w:t>
      </w:r>
      <w:r w:rsidR="004C6CC5">
        <w:rPr>
          <w:rFonts w:ascii="Arial" w:hAnsi="Arial" w:cs="Arial"/>
          <w:sz w:val="20"/>
          <w:szCs w:val="20"/>
        </w:rPr>
        <w:t xml:space="preserve"> w </w:t>
      </w:r>
      <w:r w:rsidRPr="004C6CC5">
        <w:rPr>
          <w:rFonts w:ascii="Arial" w:hAnsi="Arial" w:cs="Arial"/>
          <w:sz w:val="20"/>
          <w:szCs w:val="20"/>
        </w:rPr>
        <w:t>tym pięć</w:t>
      </w:r>
      <w:r w:rsidR="004C6CC5">
        <w:rPr>
          <w:rFonts w:ascii="Arial" w:hAnsi="Arial" w:cs="Arial"/>
          <w:sz w:val="20"/>
          <w:szCs w:val="20"/>
        </w:rPr>
        <w:t xml:space="preserve"> z </w:t>
      </w:r>
      <w:r w:rsidRPr="004C6CC5">
        <w:rPr>
          <w:rFonts w:ascii="Arial" w:hAnsi="Arial" w:cs="Arial"/>
          <w:sz w:val="20"/>
          <w:szCs w:val="20"/>
        </w:rPr>
        <w:t>krajami partnerskimi (Rosja, Gruzja, Indonezja, Szwajcaria</w:t>
      </w:r>
      <w:r w:rsidR="004C6CC5">
        <w:rPr>
          <w:rFonts w:ascii="Arial" w:hAnsi="Arial" w:cs="Arial"/>
          <w:sz w:val="20"/>
          <w:szCs w:val="20"/>
        </w:rPr>
        <w:t xml:space="preserve"> i </w:t>
      </w:r>
      <w:r w:rsidRPr="004C6CC5">
        <w:rPr>
          <w:rFonts w:ascii="Arial" w:hAnsi="Arial" w:cs="Arial"/>
          <w:sz w:val="20"/>
          <w:szCs w:val="20"/>
        </w:rPr>
        <w:t>Ukraina).</w:t>
      </w:r>
    </w:p>
    <w:p w14:paraId="1BC90174" w14:textId="7E88D7C5"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bCs/>
          <w:sz w:val="20"/>
          <w:szCs w:val="20"/>
        </w:rPr>
        <w:t>W 2019</w:t>
      </w:r>
      <w:r w:rsidR="009D01B9" w:rsidRPr="004C6CC5">
        <w:rPr>
          <w:rFonts w:ascii="Arial" w:hAnsi="Arial" w:cs="Arial"/>
          <w:bCs/>
          <w:sz w:val="20"/>
          <w:szCs w:val="20"/>
        </w:rPr>
        <w:t xml:space="preserve"> r.</w:t>
      </w:r>
      <w:r w:rsidR="004C6CC5">
        <w:rPr>
          <w:rFonts w:ascii="Arial" w:hAnsi="Arial" w:cs="Arial"/>
          <w:bCs/>
          <w:sz w:val="20"/>
          <w:szCs w:val="20"/>
        </w:rPr>
        <w:t xml:space="preserve"> w </w:t>
      </w:r>
      <w:r w:rsidRPr="004C6CC5">
        <w:rPr>
          <w:rFonts w:ascii="Arial" w:hAnsi="Arial" w:cs="Arial"/>
          <w:bCs/>
          <w:sz w:val="20"/>
          <w:szCs w:val="20"/>
        </w:rPr>
        <w:t>Akademii Morskiej</w:t>
      </w:r>
      <w:r w:rsidR="004C6CC5">
        <w:rPr>
          <w:rFonts w:ascii="Arial" w:hAnsi="Arial" w:cs="Arial"/>
          <w:bCs/>
          <w:sz w:val="20"/>
          <w:szCs w:val="20"/>
        </w:rPr>
        <w:t xml:space="preserve"> w </w:t>
      </w:r>
      <w:r w:rsidRPr="004C6CC5">
        <w:rPr>
          <w:rFonts w:ascii="Arial" w:hAnsi="Arial" w:cs="Arial"/>
          <w:bCs/>
          <w:sz w:val="20"/>
          <w:szCs w:val="20"/>
        </w:rPr>
        <w:t xml:space="preserve">Szczecinie </w:t>
      </w:r>
      <w:r w:rsidRPr="004C6CC5">
        <w:rPr>
          <w:rFonts w:ascii="Arial" w:hAnsi="Arial" w:cs="Arial"/>
          <w:sz w:val="20"/>
          <w:szCs w:val="20"/>
        </w:rPr>
        <w:t>realizowane były następujące projekty badawcze:</w:t>
      </w:r>
    </w:p>
    <w:p w14:paraId="09498A39" w14:textId="4CCEA43A"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Projekt GOSPOSTRATEG </w:t>
      </w:r>
      <w:r w:rsidR="00E33A54">
        <w:rPr>
          <w:rFonts w:ascii="Arial" w:hAnsi="Arial" w:cs="Arial"/>
          <w:sz w:val="20"/>
          <w:szCs w:val="20"/>
        </w:rPr>
        <w:t>–</w:t>
      </w:r>
      <w:r w:rsidRPr="004C6CC5">
        <w:rPr>
          <w:rFonts w:ascii="Arial" w:hAnsi="Arial" w:cs="Arial"/>
          <w:sz w:val="20"/>
          <w:szCs w:val="20"/>
        </w:rPr>
        <w:t xml:space="preserve"> </w:t>
      </w:r>
      <w:r w:rsidR="00E33A54">
        <w:rPr>
          <w:rFonts w:ascii="Arial" w:hAnsi="Arial" w:cs="Arial"/>
          <w:sz w:val="20"/>
          <w:szCs w:val="20"/>
        </w:rPr>
        <w:t>Inteligentny system produkcji statystyk transportu drogowego i morskiego z wykorzystaniem wielkich wolumenów danych na rzecz kształtowania polityki transportowej kraju.</w:t>
      </w:r>
      <w:r w:rsidR="002E557B">
        <w:rPr>
          <w:rFonts w:ascii="Arial" w:hAnsi="Arial" w:cs="Arial"/>
          <w:sz w:val="20"/>
          <w:szCs w:val="20"/>
        </w:rPr>
        <w:t xml:space="preserve"> C</w:t>
      </w:r>
      <w:r w:rsidRPr="004C6CC5">
        <w:rPr>
          <w:rFonts w:ascii="Arial" w:hAnsi="Arial" w:cs="Arial"/>
          <w:sz w:val="20"/>
          <w:szCs w:val="20"/>
        </w:rPr>
        <w:t>elem projektu jest unowocześnienie systemu produkcji statystyk transportu drogowego</w:t>
      </w:r>
      <w:r w:rsidR="004C6CC5">
        <w:rPr>
          <w:rFonts w:ascii="Arial" w:hAnsi="Arial" w:cs="Arial"/>
          <w:sz w:val="20"/>
          <w:szCs w:val="20"/>
        </w:rPr>
        <w:t xml:space="preserve"> i </w:t>
      </w:r>
      <w:r w:rsidRPr="004C6CC5">
        <w:rPr>
          <w:rFonts w:ascii="Arial" w:hAnsi="Arial" w:cs="Arial"/>
          <w:sz w:val="20"/>
          <w:szCs w:val="20"/>
        </w:rPr>
        <w:t>morskiego poprzez wykorzystanie wielkich zbiorów danych, wprowadzenie nowych produktów oraz stworzenie warunków do prowadzenia analiz funkcjonowania oraz zarządzania systemami transportowymi do nowoczesnego planowania</w:t>
      </w:r>
      <w:r w:rsidR="004C6CC5">
        <w:rPr>
          <w:rFonts w:ascii="Arial" w:hAnsi="Arial" w:cs="Arial"/>
          <w:sz w:val="20"/>
          <w:szCs w:val="20"/>
        </w:rPr>
        <w:t xml:space="preserve"> i </w:t>
      </w:r>
      <w:r w:rsidRPr="004C6CC5">
        <w:rPr>
          <w:rFonts w:ascii="Arial" w:hAnsi="Arial" w:cs="Arial"/>
          <w:sz w:val="20"/>
          <w:szCs w:val="20"/>
        </w:rPr>
        <w:t>kształtowania polityki transportowej kraju.</w:t>
      </w:r>
      <w:r w:rsidR="002842F9" w:rsidRPr="002842F9">
        <w:rPr>
          <w:rFonts w:ascii="Fira Sans" w:hAnsi="Fira Sans"/>
          <w:sz w:val="19"/>
          <w:szCs w:val="19"/>
        </w:rPr>
        <w:t xml:space="preserve"> </w:t>
      </w:r>
      <w:r w:rsidR="002842F9" w:rsidRPr="002842F9">
        <w:rPr>
          <w:rFonts w:ascii="Arial" w:hAnsi="Arial" w:cs="Arial"/>
          <w:sz w:val="20"/>
          <w:szCs w:val="20"/>
        </w:rPr>
        <w:t>Projekt prowadzony jest w ramach Kon</w:t>
      </w:r>
      <w:r w:rsidR="002842F9">
        <w:rPr>
          <w:rFonts w:ascii="Arial" w:hAnsi="Arial" w:cs="Arial"/>
          <w:sz w:val="20"/>
          <w:szCs w:val="20"/>
        </w:rPr>
        <w:t>sorcjum z Politechniką Krakowską</w:t>
      </w:r>
      <w:r w:rsidR="002842F9" w:rsidRPr="002842F9">
        <w:rPr>
          <w:rFonts w:ascii="Arial" w:hAnsi="Arial" w:cs="Arial"/>
          <w:sz w:val="20"/>
          <w:szCs w:val="20"/>
        </w:rPr>
        <w:t xml:space="preserve"> oraz Głównym Urzędem Statystycznym, który jest liderem Konsorcjum</w:t>
      </w:r>
      <w:r w:rsidR="002842F9">
        <w:rPr>
          <w:rFonts w:ascii="Arial" w:hAnsi="Arial" w:cs="Arial"/>
          <w:sz w:val="20"/>
          <w:szCs w:val="20"/>
        </w:rPr>
        <w:t>.</w:t>
      </w:r>
    </w:p>
    <w:p w14:paraId="65486055" w14:textId="6C31638B"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Projekt EUFAL </w:t>
      </w:r>
      <w:r w:rsidRPr="004C6CC5">
        <w:rPr>
          <w:rFonts w:ascii="Arial" w:hAnsi="Arial" w:cs="Arial"/>
          <w:i/>
          <w:sz w:val="20"/>
          <w:szCs w:val="20"/>
        </w:rPr>
        <w:t xml:space="preserve">- </w:t>
      </w:r>
      <w:r w:rsidRPr="004C6CC5">
        <w:rPr>
          <w:rFonts w:ascii="Arial" w:hAnsi="Arial" w:cs="Arial"/>
          <w:sz w:val="20"/>
          <w:szCs w:val="20"/>
        </w:rPr>
        <w:t>Electric urban freight and Logistics – celem projektu jest ocena efektywności zastosowania pojazdów elektrycznych</w:t>
      </w:r>
      <w:r w:rsidR="004C6CC5">
        <w:rPr>
          <w:rFonts w:ascii="Arial" w:hAnsi="Arial" w:cs="Arial"/>
          <w:sz w:val="20"/>
          <w:szCs w:val="20"/>
        </w:rPr>
        <w:t xml:space="preserve"> w </w:t>
      </w:r>
      <w:r w:rsidRPr="004C6CC5">
        <w:rPr>
          <w:rFonts w:ascii="Arial" w:hAnsi="Arial" w:cs="Arial"/>
          <w:sz w:val="20"/>
          <w:szCs w:val="20"/>
        </w:rPr>
        <w:t>systemach logistyki miejskiej</w:t>
      </w:r>
      <w:r w:rsidR="004C6CC5">
        <w:rPr>
          <w:rFonts w:ascii="Arial" w:hAnsi="Arial" w:cs="Arial"/>
          <w:sz w:val="20"/>
          <w:szCs w:val="20"/>
        </w:rPr>
        <w:t xml:space="preserve"> w </w:t>
      </w:r>
      <w:r w:rsidRPr="004C6CC5">
        <w:rPr>
          <w:rFonts w:ascii="Arial" w:hAnsi="Arial" w:cs="Arial"/>
          <w:sz w:val="20"/>
          <w:szCs w:val="20"/>
        </w:rPr>
        <w:t>oparciu o wybrane dobre praktyki oraz określenie zaleceń dla wdrażania elektromobilności</w:t>
      </w:r>
      <w:r w:rsidR="004C6CC5">
        <w:rPr>
          <w:rFonts w:ascii="Arial" w:hAnsi="Arial" w:cs="Arial"/>
          <w:sz w:val="20"/>
          <w:szCs w:val="20"/>
        </w:rPr>
        <w:t xml:space="preserve"> w </w:t>
      </w:r>
      <w:r w:rsidRPr="004C6CC5">
        <w:rPr>
          <w:rFonts w:ascii="Arial" w:hAnsi="Arial" w:cs="Arial"/>
          <w:sz w:val="20"/>
          <w:szCs w:val="20"/>
        </w:rPr>
        <w:t>tym obszarze.</w:t>
      </w:r>
    </w:p>
    <w:p w14:paraId="24A47C7D" w14:textId="7CFF9EFF"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SARA - Wspomaganie Morskiej Służby Poszukiwania</w:t>
      </w:r>
      <w:r w:rsidR="004C6CC5">
        <w:rPr>
          <w:rFonts w:ascii="Arial" w:hAnsi="Arial" w:cs="Arial"/>
          <w:sz w:val="20"/>
          <w:szCs w:val="20"/>
        </w:rPr>
        <w:t xml:space="preserve"> i </w:t>
      </w:r>
      <w:r w:rsidRPr="004C6CC5">
        <w:rPr>
          <w:rFonts w:ascii="Arial" w:hAnsi="Arial" w:cs="Arial"/>
          <w:sz w:val="20"/>
          <w:szCs w:val="20"/>
        </w:rPr>
        <w:t>Ratownictwa</w:t>
      </w:r>
      <w:r w:rsidR="004C6CC5">
        <w:rPr>
          <w:rFonts w:ascii="Arial" w:hAnsi="Arial" w:cs="Arial"/>
          <w:sz w:val="20"/>
          <w:szCs w:val="20"/>
        </w:rPr>
        <w:t xml:space="preserve"> i </w:t>
      </w:r>
      <w:r w:rsidRPr="004C6CC5">
        <w:rPr>
          <w:rFonts w:ascii="Arial" w:hAnsi="Arial" w:cs="Arial"/>
          <w:sz w:val="20"/>
          <w:szCs w:val="20"/>
        </w:rPr>
        <w:t>Obserwacji Morskiej przy użyciu systemu EGNSS wysokiej dokładności –</w:t>
      </w:r>
      <w:r w:rsidR="00BF42B8">
        <w:rPr>
          <w:rFonts w:ascii="Arial" w:hAnsi="Arial" w:cs="Arial"/>
          <w:sz w:val="20"/>
          <w:szCs w:val="20"/>
        </w:rPr>
        <w:t xml:space="preserve"> </w:t>
      </w:r>
      <w:r w:rsidRPr="004C6CC5">
        <w:rPr>
          <w:rFonts w:ascii="Arial" w:hAnsi="Arial" w:cs="Arial"/>
          <w:sz w:val="20"/>
          <w:szCs w:val="20"/>
        </w:rPr>
        <w:t>celem projektu jest zaprojektowanie</w:t>
      </w:r>
      <w:r w:rsidR="004C6CC5">
        <w:rPr>
          <w:rFonts w:ascii="Arial" w:hAnsi="Arial" w:cs="Arial"/>
          <w:sz w:val="20"/>
          <w:szCs w:val="20"/>
        </w:rPr>
        <w:t xml:space="preserve"> i </w:t>
      </w:r>
      <w:r w:rsidRPr="004C6CC5">
        <w:rPr>
          <w:rFonts w:ascii="Arial" w:hAnsi="Arial" w:cs="Arial"/>
          <w:sz w:val="20"/>
          <w:szCs w:val="20"/>
        </w:rPr>
        <w:t>rozpoczęcie wdrożenia specja</w:t>
      </w:r>
      <w:r w:rsidR="002E557B">
        <w:rPr>
          <w:rFonts w:ascii="Arial" w:hAnsi="Arial" w:cs="Arial"/>
          <w:sz w:val="20"/>
          <w:szCs w:val="20"/>
        </w:rPr>
        <w:t>listycznego rozwiązania</w:t>
      </w:r>
      <w:r w:rsidRPr="004C6CC5">
        <w:rPr>
          <w:rFonts w:ascii="Arial" w:hAnsi="Arial" w:cs="Arial"/>
          <w:sz w:val="20"/>
          <w:szCs w:val="20"/>
        </w:rPr>
        <w:t xml:space="preserve"> opartego</w:t>
      </w:r>
      <w:r w:rsidR="002E557B">
        <w:rPr>
          <w:rFonts w:ascii="Arial" w:hAnsi="Arial" w:cs="Arial"/>
          <w:sz w:val="20"/>
          <w:szCs w:val="20"/>
        </w:rPr>
        <w:t xml:space="preserve"> na już istniejącym prototypie </w:t>
      </w:r>
      <w:r w:rsidRPr="004C6CC5">
        <w:rPr>
          <w:rFonts w:ascii="Arial" w:hAnsi="Arial" w:cs="Arial"/>
          <w:sz w:val="20"/>
          <w:szCs w:val="20"/>
        </w:rPr>
        <w:t>do wykorzystania</w:t>
      </w:r>
      <w:r w:rsidR="004C6CC5">
        <w:rPr>
          <w:rFonts w:ascii="Arial" w:hAnsi="Arial" w:cs="Arial"/>
          <w:sz w:val="20"/>
          <w:szCs w:val="20"/>
        </w:rPr>
        <w:t xml:space="preserve"> w </w:t>
      </w:r>
      <w:r w:rsidRPr="004C6CC5">
        <w:rPr>
          <w:rFonts w:ascii="Arial" w:hAnsi="Arial" w:cs="Arial"/>
          <w:sz w:val="20"/>
          <w:szCs w:val="20"/>
        </w:rPr>
        <w:t>ramach działalności Morskiej Służby Poszukiwania</w:t>
      </w:r>
      <w:r w:rsidR="004C6CC5">
        <w:rPr>
          <w:rFonts w:ascii="Arial" w:hAnsi="Arial" w:cs="Arial"/>
          <w:sz w:val="20"/>
          <w:szCs w:val="20"/>
        </w:rPr>
        <w:t xml:space="preserve"> i </w:t>
      </w:r>
      <w:r w:rsidRPr="004C6CC5">
        <w:rPr>
          <w:rFonts w:ascii="Arial" w:hAnsi="Arial" w:cs="Arial"/>
          <w:sz w:val="20"/>
          <w:szCs w:val="20"/>
        </w:rPr>
        <w:t>Ratownictwa (SAR)</w:t>
      </w:r>
      <w:r w:rsidR="004C6CC5">
        <w:rPr>
          <w:rFonts w:ascii="Arial" w:hAnsi="Arial" w:cs="Arial"/>
          <w:sz w:val="20"/>
          <w:szCs w:val="20"/>
        </w:rPr>
        <w:t xml:space="preserve"> i </w:t>
      </w:r>
      <w:r w:rsidRPr="004C6CC5">
        <w:rPr>
          <w:rFonts w:ascii="Arial" w:hAnsi="Arial" w:cs="Arial"/>
          <w:sz w:val="20"/>
          <w:szCs w:val="20"/>
        </w:rPr>
        <w:t>obserwacji obszarów morskich. Technologia wytworzona</w:t>
      </w:r>
      <w:r w:rsidR="004C6CC5">
        <w:rPr>
          <w:rFonts w:ascii="Arial" w:hAnsi="Arial" w:cs="Arial"/>
          <w:sz w:val="20"/>
          <w:szCs w:val="20"/>
        </w:rPr>
        <w:t xml:space="preserve"> w </w:t>
      </w:r>
      <w:r w:rsidRPr="004C6CC5">
        <w:rPr>
          <w:rFonts w:ascii="Arial" w:hAnsi="Arial" w:cs="Arial"/>
          <w:sz w:val="20"/>
          <w:szCs w:val="20"/>
        </w:rPr>
        <w:t>ramach projektu SARA ma na celu zbudowanie półautomatycznego systemu wykorzystującego dane</w:t>
      </w:r>
      <w:r w:rsidR="004C6CC5">
        <w:rPr>
          <w:rFonts w:ascii="Arial" w:hAnsi="Arial" w:cs="Arial"/>
          <w:sz w:val="20"/>
          <w:szCs w:val="20"/>
        </w:rPr>
        <w:t xml:space="preserve"> z </w:t>
      </w:r>
      <w:r w:rsidRPr="004C6CC5">
        <w:rPr>
          <w:rFonts w:ascii="Arial" w:hAnsi="Arial" w:cs="Arial"/>
          <w:sz w:val="20"/>
          <w:szCs w:val="20"/>
        </w:rPr>
        <w:t>obserwacji Ziemi do wstępnego wykrywania trajektorii podejrzanych pontonów (obserwacja</w:t>
      </w:r>
      <w:r w:rsidR="004C6CC5">
        <w:rPr>
          <w:rFonts w:ascii="Arial" w:hAnsi="Arial" w:cs="Arial"/>
          <w:sz w:val="20"/>
          <w:szCs w:val="20"/>
        </w:rPr>
        <w:t xml:space="preserve"> i </w:t>
      </w:r>
      <w:r w:rsidRPr="004C6CC5">
        <w:rPr>
          <w:rFonts w:ascii="Arial" w:hAnsi="Arial" w:cs="Arial"/>
          <w:sz w:val="20"/>
          <w:szCs w:val="20"/>
        </w:rPr>
        <w:t>nadzór)</w:t>
      </w:r>
      <w:r w:rsidR="004C6CC5">
        <w:rPr>
          <w:rFonts w:ascii="Arial" w:hAnsi="Arial" w:cs="Arial"/>
          <w:sz w:val="20"/>
          <w:szCs w:val="20"/>
        </w:rPr>
        <w:t xml:space="preserve"> i </w:t>
      </w:r>
      <w:r w:rsidRPr="004C6CC5">
        <w:rPr>
          <w:rFonts w:ascii="Arial" w:hAnsi="Arial" w:cs="Arial"/>
          <w:sz w:val="20"/>
          <w:szCs w:val="20"/>
        </w:rPr>
        <w:t>wspieranie operacji Morskiej Służby Poszukiwania</w:t>
      </w:r>
      <w:r w:rsidR="004C6CC5">
        <w:rPr>
          <w:rFonts w:ascii="Arial" w:hAnsi="Arial" w:cs="Arial"/>
          <w:sz w:val="20"/>
          <w:szCs w:val="20"/>
        </w:rPr>
        <w:t xml:space="preserve"> i </w:t>
      </w:r>
      <w:r w:rsidRPr="004C6CC5">
        <w:rPr>
          <w:rFonts w:ascii="Arial" w:hAnsi="Arial" w:cs="Arial"/>
          <w:sz w:val="20"/>
          <w:szCs w:val="20"/>
        </w:rPr>
        <w:t>Ratownictwa (SAR)</w:t>
      </w:r>
      <w:r w:rsidR="004C6CC5">
        <w:rPr>
          <w:rFonts w:ascii="Arial" w:hAnsi="Arial" w:cs="Arial"/>
          <w:sz w:val="20"/>
          <w:szCs w:val="20"/>
        </w:rPr>
        <w:t xml:space="preserve"> w </w:t>
      </w:r>
      <w:r w:rsidRPr="004C6CC5">
        <w:rPr>
          <w:rFonts w:ascii="Arial" w:hAnsi="Arial" w:cs="Arial"/>
          <w:sz w:val="20"/>
          <w:szCs w:val="20"/>
        </w:rPr>
        <w:t>oparciu o wdrożony system RPAS (zdalnie sterowany system lotniczy), który jest ściśle sprzężona</w:t>
      </w:r>
      <w:r w:rsidR="004C6CC5">
        <w:rPr>
          <w:rFonts w:ascii="Arial" w:hAnsi="Arial" w:cs="Arial"/>
          <w:sz w:val="20"/>
          <w:szCs w:val="20"/>
        </w:rPr>
        <w:t xml:space="preserve"> z </w:t>
      </w:r>
      <w:r w:rsidRPr="004C6CC5">
        <w:rPr>
          <w:rFonts w:ascii="Arial" w:hAnsi="Arial" w:cs="Arial"/>
          <w:sz w:val="20"/>
          <w:szCs w:val="20"/>
        </w:rPr>
        <w:t>architekturą statku poprzez kabel (uwiązany lot): gdy tylko potrzebne jest jego użycie, samolot opuszcza specjalny hangar na szczycie statku</w:t>
      </w:r>
      <w:r w:rsidR="004C6CC5">
        <w:rPr>
          <w:rFonts w:ascii="Arial" w:hAnsi="Arial" w:cs="Arial"/>
          <w:sz w:val="20"/>
          <w:szCs w:val="20"/>
        </w:rPr>
        <w:t xml:space="preserve"> i </w:t>
      </w:r>
      <w:r w:rsidR="00814B98">
        <w:rPr>
          <w:rFonts w:ascii="Arial" w:hAnsi="Arial" w:cs="Arial"/>
          <w:sz w:val="20"/>
          <w:szCs w:val="20"/>
        </w:rPr>
        <w:t>staje się „wirtualnym pylonem”</w:t>
      </w:r>
      <w:r w:rsidRPr="004C6CC5">
        <w:rPr>
          <w:rFonts w:ascii="Arial" w:hAnsi="Arial" w:cs="Arial"/>
          <w:sz w:val="20"/>
          <w:szCs w:val="20"/>
        </w:rPr>
        <w:t>, który przemieszcza czujnik VIS-TIR (Visual Spectrum and Thermal Infrared); uchwycone obrazy są przetwarzane</w:t>
      </w:r>
      <w:r w:rsidR="004C6CC5">
        <w:rPr>
          <w:rFonts w:ascii="Arial" w:hAnsi="Arial" w:cs="Arial"/>
          <w:sz w:val="20"/>
          <w:szCs w:val="20"/>
        </w:rPr>
        <w:t xml:space="preserve"> w </w:t>
      </w:r>
      <w:r w:rsidRPr="004C6CC5">
        <w:rPr>
          <w:rFonts w:ascii="Arial" w:hAnsi="Arial" w:cs="Arial"/>
          <w:sz w:val="20"/>
          <w:szCs w:val="20"/>
        </w:rPr>
        <w:t>czasie rzeczywistym przez lokalny komputer.</w:t>
      </w:r>
    </w:p>
    <w:p w14:paraId="5548988E" w14:textId="682920D5"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Projekt CSHIPP Clean Shipping Project Platform – celem projektu jest połączenie ponadnarodowych projektów</w:t>
      </w:r>
      <w:r w:rsidR="004C6CC5">
        <w:rPr>
          <w:rFonts w:ascii="Arial" w:hAnsi="Arial" w:cs="Arial"/>
          <w:sz w:val="20"/>
          <w:szCs w:val="20"/>
        </w:rPr>
        <w:t xml:space="preserve"> i </w:t>
      </w:r>
      <w:r w:rsidRPr="004C6CC5">
        <w:rPr>
          <w:rFonts w:ascii="Arial" w:hAnsi="Arial" w:cs="Arial"/>
          <w:sz w:val="20"/>
          <w:szCs w:val="20"/>
        </w:rPr>
        <w:t>ich kluczowych uczestników celem zapewnienia efektywnego wykorzystania, większej trwałości</w:t>
      </w:r>
      <w:r w:rsidR="004C6CC5">
        <w:rPr>
          <w:rFonts w:ascii="Arial" w:hAnsi="Arial" w:cs="Arial"/>
          <w:sz w:val="20"/>
          <w:szCs w:val="20"/>
        </w:rPr>
        <w:t xml:space="preserve"> i </w:t>
      </w:r>
      <w:r w:rsidRPr="004C6CC5">
        <w:rPr>
          <w:rFonts w:ascii="Arial" w:hAnsi="Arial" w:cs="Arial"/>
          <w:sz w:val="20"/>
          <w:szCs w:val="20"/>
        </w:rPr>
        <w:t>możliwości przenoszenia wyników projektów. Działania CSHIPP koncentrują się wok</w:t>
      </w:r>
      <w:r w:rsidR="00F5440C">
        <w:rPr>
          <w:rFonts w:ascii="Arial" w:hAnsi="Arial" w:cs="Arial"/>
          <w:sz w:val="20"/>
          <w:szCs w:val="20"/>
        </w:rPr>
        <w:t xml:space="preserve">ół dwóch kluczowych tematów: </w:t>
      </w:r>
      <w:r w:rsidRPr="004C6CC5">
        <w:rPr>
          <w:rFonts w:ascii="Arial" w:hAnsi="Arial" w:cs="Arial"/>
          <w:sz w:val="20"/>
          <w:szCs w:val="20"/>
        </w:rPr>
        <w:t>wpływ na środowisko</w:t>
      </w:r>
      <w:r w:rsidR="004C6CC5">
        <w:rPr>
          <w:rFonts w:ascii="Arial" w:hAnsi="Arial" w:cs="Arial"/>
          <w:sz w:val="20"/>
          <w:szCs w:val="20"/>
        </w:rPr>
        <w:t xml:space="preserve"> i </w:t>
      </w:r>
      <w:r w:rsidRPr="004C6CC5">
        <w:rPr>
          <w:rFonts w:ascii="Arial" w:hAnsi="Arial" w:cs="Arial"/>
          <w:sz w:val="20"/>
          <w:szCs w:val="20"/>
        </w:rPr>
        <w:t>wydajność żeglugi</w:t>
      </w:r>
      <w:r w:rsidR="004C6CC5">
        <w:rPr>
          <w:rFonts w:ascii="Arial" w:hAnsi="Arial" w:cs="Arial"/>
          <w:sz w:val="20"/>
          <w:szCs w:val="20"/>
        </w:rPr>
        <w:t xml:space="preserve"> w </w:t>
      </w:r>
      <w:r w:rsidR="00F5440C">
        <w:rPr>
          <w:rFonts w:ascii="Arial" w:hAnsi="Arial" w:cs="Arial"/>
          <w:sz w:val="20"/>
          <w:szCs w:val="20"/>
        </w:rPr>
        <w:t>r</w:t>
      </w:r>
      <w:r w:rsidRPr="004C6CC5">
        <w:rPr>
          <w:rFonts w:ascii="Arial" w:hAnsi="Arial" w:cs="Arial"/>
          <w:sz w:val="20"/>
          <w:szCs w:val="20"/>
        </w:rPr>
        <w:t>egionie Morza Bałtyckie</w:t>
      </w:r>
      <w:r w:rsidR="00F5440C">
        <w:rPr>
          <w:rFonts w:ascii="Arial" w:hAnsi="Arial" w:cs="Arial"/>
          <w:sz w:val="20"/>
          <w:szCs w:val="20"/>
        </w:rPr>
        <w:t xml:space="preserve">go oraz </w:t>
      </w:r>
      <w:r w:rsidRPr="004C6CC5">
        <w:rPr>
          <w:rFonts w:ascii="Arial" w:hAnsi="Arial" w:cs="Arial"/>
          <w:sz w:val="20"/>
          <w:szCs w:val="20"/>
        </w:rPr>
        <w:t>synteza dostępnych analiz naukowych</w:t>
      </w:r>
      <w:r w:rsidR="004C6CC5">
        <w:rPr>
          <w:rFonts w:ascii="Arial" w:hAnsi="Arial" w:cs="Arial"/>
          <w:sz w:val="20"/>
          <w:szCs w:val="20"/>
        </w:rPr>
        <w:t xml:space="preserve"> i </w:t>
      </w:r>
      <w:r w:rsidRPr="004C6CC5">
        <w:rPr>
          <w:rFonts w:ascii="Arial" w:hAnsi="Arial" w:cs="Arial"/>
          <w:sz w:val="20"/>
          <w:szCs w:val="20"/>
        </w:rPr>
        <w:t>badań przeprowadzonych</w:t>
      </w:r>
      <w:r w:rsidR="004C6CC5">
        <w:rPr>
          <w:rFonts w:ascii="Arial" w:hAnsi="Arial" w:cs="Arial"/>
          <w:sz w:val="20"/>
          <w:szCs w:val="20"/>
        </w:rPr>
        <w:t xml:space="preserve"> w </w:t>
      </w:r>
      <w:r w:rsidR="00F5440C">
        <w:rPr>
          <w:rFonts w:ascii="Arial" w:hAnsi="Arial" w:cs="Arial"/>
          <w:sz w:val="20"/>
          <w:szCs w:val="20"/>
        </w:rPr>
        <w:t xml:space="preserve">ramach projektów </w:t>
      </w:r>
      <w:r w:rsidRPr="004C6CC5">
        <w:rPr>
          <w:rFonts w:ascii="Arial" w:hAnsi="Arial" w:cs="Arial"/>
          <w:sz w:val="20"/>
          <w:szCs w:val="20"/>
        </w:rPr>
        <w:t>oraz ich dostępność dla kluczowych grup docelowych: organizacji rządowych, przedsiębiorców</w:t>
      </w:r>
      <w:r w:rsidR="004C6CC5">
        <w:rPr>
          <w:rFonts w:ascii="Arial" w:hAnsi="Arial" w:cs="Arial"/>
          <w:sz w:val="20"/>
          <w:szCs w:val="20"/>
        </w:rPr>
        <w:t xml:space="preserve"> i </w:t>
      </w:r>
      <w:r w:rsidRPr="004C6CC5">
        <w:rPr>
          <w:rFonts w:ascii="Arial" w:hAnsi="Arial" w:cs="Arial"/>
          <w:sz w:val="20"/>
          <w:szCs w:val="20"/>
        </w:rPr>
        <w:t>decydentów.</w:t>
      </w:r>
    </w:p>
    <w:p w14:paraId="5D1174EC" w14:textId="213967F6"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Projekt DORSZE 2 – celem projektu jest poprawa własności selektywnych bałtyckich worków dorszowych poprzez wprowadzenie istotnych, innowacyjnych zmian</w:t>
      </w:r>
      <w:r w:rsidR="004C6CC5">
        <w:rPr>
          <w:rFonts w:ascii="Arial" w:hAnsi="Arial" w:cs="Arial"/>
          <w:sz w:val="20"/>
          <w:szCs w:val="20"/>
        </w:rPr>
        <w:t xml:space="preserve"> w </w:t>
      </w:r>
      <w:r w:rsidRPr="004C6CC5">
        <w:rPr>
          <w:rFonts w:ascii="Arial" w:hAnsi="Arial" w:cs="Arial"/>
          <w:sz w:val="20"/>
          <w:szCs w:val="20"/>
        </w:rPr>
        <w:t>ich konstrukcjach. Opracowane nowe rozwiązania korzystnie wpłyną na zmianę struktury śmiertelności połowowej dorszy bałtyckich, zmniejszając tym samym negatywną presję rybołówstwa na środowisko morskie. Zakłada się, że</w:t>
      </w:r>
      <w:r w:rsidR="004C6CC5">
        <w:rPr>
          <w:rFonts w:ascii="Arial" w:hAnsi="Arial" w:cs="Arial"/>
          <w:sz w:val="20"/>
          <w:szCs w:val="20"/>
        </w:rPr>
        <w:t xml:space="preserve"> w </w:t>
      </w:r>
      <w:r w:rsidRPr="004C6CC5">
        <w:rPr>
          <w:rFonts w:ascii="Arial" w:hAnsi="Arial" w:cs="Arial"/>
          <w:sz w:val="20"/>
          <w:szCs w:val="20"/>
        </w:rPr>
        <w:t>wyniku realizacji projektu powstaną innowacyjne rozwiązania techniczne, które po wdrożeniu do praktyki wpłyną korzystnie na stan zasobów dorsza bałtyckiego poprzez redukcję tzw. nieujawnionego odrzutu.</w:t>
      </w:r>
    </w:p>
    <w:p w14:paraId="01BF6CD0" w14:textId="0E01220D"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Projekt MORGAV – celem projektu jest opracowanie technologii pozyskiwania</w:t>
      </w:r>
      <w:r w:rsidR="004C6CC5">
        <w:rPr>
          <w:rFonts w:ascii="Arial" w:hAnsi="Arial" w:cs="Arial"/>
          <w:sz w:val="20"/>
          <w:szCs w:val="20"/>
        </w:rPr>
        <w:t xml:space="preserve"> i </w:t>
      </w:r>
      <w:r w:rsidRPr="004C6CC5">
        <w:rPr>
          <w:rFonts w:ascii="Arial" w:hAnsi="Arial" w:cs="Arial"/>
          <w:sz w:val="20"/>
          <w:szCs w:val="20"/>
        </w:rPr>
        <w:t>eksploracji danych grawimetrycznych</w:t>
      </w:r>
      <w:r w:rsidR="004C6CC5">
        <w:rPr>
          <w:rFonts w:ascii="Arial" w:hAnsi="Arial" w:cs="Arial"/>
          <w:sz w:val="20"/>
          <w:szCs w:val="20"/>
        </w:rPr>
        <w:t xml:space="preserve"> z </w:t>
      </w:r>
      <w:r w:rsidRPr="004C6CC5">
        <w:rPr>
          <w:rFonts w:ascii="Arial" w:hAnsi="Arial" w:cs="Arial"/>
          <w:sz w:val="20"/>
          <w:szCs w:val="20"/>
        </w:rPr>
        <w:t>przybrzeża polskich obszarów morskich oraz jego pobrzeża. Projekt zakłada harmonizację morskich pomiarów wysokościowych</w:t>
      </w:r>
      <w:r w:rsidR="004C6CC5">
        <w:rPr>
          <w:rFonts w:ascii="Arial" w:hAnsi="Arial" w:cs="Arial"/>
          <w:sz w:val="20"/>
          <w:szCs w:val="20"/>
        </w:rPr>
        <w:t xml:space="preserve"> z </w:t>
      </w:r>
      <w:r w:rsidRPr="004C6CC5">
        <w:rPr>
          <w:rFonts w:ascii="Arial" w:hAnsi="Arial" w:cs="Arial"/>
          <w:sz w:val="20"/>
          <w:szCs w:val="20"/>
        </w:rPr>
        <w:t>Systemem EVRS poprzez wykorzystanie różnic potencjału siły ciężkości do poziomu odniesienia Normaal Amsterdams Peil.</w:t>
      </w:r>
    </w:p>
    <w:p w14:paraId="27BE0A55" w14:textId="1FF6484D"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Projekt WECANet – A pan-European Network for Marine Renewable Energy – celem projektu jest umożliwienie współpracy</w:t>
      </w:r>
      <w:r w:rsidR="004C6CC5">
        <w:rPr>
          <w:rFonts w:ascii="Arial" w:hAnsi="Arial" w:cs="Arial"/>
          <w:sz w:val="20"/>
          <w:szCs w:val="20"/>
        </w:rPr>
        <w:t xml:space="preserve"> w </w:t>
      </w:r>
      <w:r w:rsidRPr="004C6CC5">
        <w:rPr>
          <w:rFonts w:ascii="Arial" w:hAnsi="Arial" w:cs="Arial"/>
          <w:sz w:val="20"/>
          <w:szCs w:val="20"/>
        </w:rPr>
        <w:t>zakresie pozyskiwania energii</w:t>
      </w:r>
      <w:r w:rsidR="00C33A78">
        <w:rPr>
          <w:rFonts w:ascii="Arial" w:hAnsi="Arial" w:cs="Arial"/>
          <w:sz w:val="20"/>
          <w:szCs w:val="20"/>
        </w:rPr>
        <w:t xml:space="preserve"> z </w:t>
      </w:r>
      <w:r w:rsidRPr="004C6CC5">
        <w:rPr>
          <w:rFonts w:ascii="Arial" w:hAnsi="Arial" w:cs="Arial"/>
          <w:sz w:val="20"/>
          <w:szCs w:val="20"/>
        </w:rPr>
        <w:t>fal morskich</w:t>
      </w:r>
      <w:r w:rsidR="00C33A78">
        <w:rPr>
          <w:rFonts w:ascii="Arial" w:hAnsi="Arial" w:cs="Arial"/>
          <w:sz w:val="20"/>
          <w:szCs w:val="20"/>
        </w:rPr>
        <w:t xml:space="preserve"> i </w:t>
      </w:r>
      <w:r w:rsidRPr="004C6CC5">
        <w:rPr>
          <w:rFonts w:ascii="Arial" w:hAnsi="Arial" w:cs="Arial"/>
          <w:sz w:val="20"/>
          <w:szCs w:val="20"/>
        </w:rPr>
        <w:t>oceanicznych oraz identyfikacji kluczowych zatorów. Obszar energii odnawialnej pozyskiwanej</w:t>
      </w:r>
      <w:r w:rsidR="00C33A78">
        <w:rPr>
          <w:rFonts w:ascii="Arial" w:hAnsi="Arial" w:cs="Arial"/>
          <w:sz w:val="20"/>
          <w:szCs w:val="20"/>
        </w:rPr>
        <w:t xml:space="preserve"> z </w:t>
      </w:r>
      <w:r w:rsidRPr="004C6CC5">
        <w:rPr>
          <w:rFonts w:ascii="Arial" w:hAnsi="Arial" w:cs="Arial"/>
          <w:sz w:val="20"/>
          <w:szCs w:val="20"/>
        </w:rPr>
        <w:t>fal morskich</w:t>
      </w:r>
      <w:r w:rsidR="004C6CC5">
        <w:rPr>
          <w:rFonts w:ascii="Arial" w:hAnsi="Arial" w:cs="Arial"/>
          <w:sz w:val="20"/>
          <w:szCs w:val="20"/>
        </w:rPr>
        <w:t xml:space="preserve"> i </w:t>
      </w:r>
      <w:r w:rsidRPr="004C6CC5">
        <w:rPr>
          <w:rFonts w:ascii="Arial" w:hAnsi="Arial" w:cs="Arial"/>
          <w:sz w:val="20"/>
          <w:szCs w:val="20"/>
        </w:rPr>
        <w:t>oceanicznych zmaga się</w:t>
      </w:r>
      <w:r w:rsidR="004C6CC5">
        <w:rPr>
          <w:rFonts w:ascii="Arial" w:hAnsi="Arial" w:cs="Arial"/>
          <w:sz w:val="20"/>
          <w:szCs w:val="20"/>
        </w:rPr>
        <w:t xml:space="preserve"> z </w:t>
      </w:r>
      <w:r w:rsidRPr="004C6CC5">
        <w:rPr>
          <w:rFonts w:ascii="Arial" w:hAnsi="Arial" w:cs="Arial"/>
          <w:sz w:val="20"/>
          <w:szCs w:val="20"/>
        </w:rPr>
        <w:t>wyzwaniami, które wymagają podjęcia szerokich badań naukowych, szczególnie dotyczących aspektów technicznych</w:t>
      </w:r>
      <w:r w:rsidR="004C6CC5">
        <w:rPr>
          <w:rFonts w:ascii="Arial" w:hAnsi="Arial" w:cs="Arial"/>
          <w:sz w:val="20"/>
          <w:szCs w:val="20"/>
        </w:rPr>
        <w:t xml:space="preserve"> i </w:t>
      </w:r>
      <w:r w:rsidRPr="004C6CC5">
        <w:rPr>
          <w:rFonts w:ascii="Arial" w:hAnsi="Arial" w:cs="Arial"/>
          <w:sz w:val="20"/>
          <w:szCs w:val="20"/>
        </w:rPr>
        <w:t>ekonomicznych związanych</w:t>
      </w:r>
      <w:r w:rsidR="004C6CC5">
        <w:rPr>
          <w:rFonts w:ascii="Arial" w:hAnsi="Arial" w:cs="Arial"/>
          <w:sz w:val="20"/>
          <w:szCs w:val="20"/>
        </w:rPr>
        <w:t xml:space="preserve"> z </w:t>
      </w:r>
      <w:r w:rsidRPr="004C6CC5">
        <w:rPr>
          <w:rFonts w:ascii="Arial" w:hAnsi="Arial" w:cs="Arial"/>
          <w:sz w:val="20"/>
          <w:szCs w:val="20"/>
        </w:rPr>
        <w:t>uzyskiem energii</w:t>
      </w:r>
      <w:r w:rsidR="004C6CC5">
        <w:rPr>
          <w:rFonts w:ascii="Arial" w:hAnsi="Arial" w:cs="Arial"/>
          <w:sz w:val="20"/>
          <w:szCs w:val="20"/>
        </w:rPr>
        <w:t xml:space="preserve"> z </w:t>
      </w:r>
      <w:r w:rsidRPr="004C6CC5">
        <w:rPr>
          <w:rFonts w:ascii="Arial" w:hAnsi="Arial" w:cs="Arial"/>
          <w:sz w:val="20"/>
          <w:szCs w:val="20"/>
        </w:rPr>
        <w:t>fal.</w:t>
      </w:r>
      <w:r w:rsidR="00C33A78">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Europie występują znaczące nierówności</w:t>
      </w:r>
      <w:r w:rsidR="004C6CC5">
        <w:rPr>
          <w:rFonts w:ascii="Arial" w:hAnsi="Arial" w:cs="Arial"/>
          <w:sz w:val="20"/>
          <w:szCs w:val="20"/>
        </w:rPr>
        <w:t xml:space="preserve"> w </w:t>
      </w:r>
      <w:r w:rsidRPr="004C6CC5">
        <w:rPr>
          <w:rFonts w:ascii="Arial" w:hAnsi="Arial" w:cs="Arial"/>
          <w:sz w:val="20"/>
          <w:szCs w:val="20"/>
        </w:rPr>
        <w:t>zakresie zasobów energii pochodzącej</w:t>
      </w:r>
      <w:r w:rsidR="00C33A78">
        <w:rPr>
          <w:rFonts w:ascii="Arial" w:hAnsi="Arial" w:cs="Arial"/>
          <w:sz w:val="20"/>
          <w:szCs w:val="20"/>
        </w:rPr>
        <w:t xml:space="preserve"> z </w:t>
      </w:r>
      <w:r w:rsidRPr="004C6CC5">
        <w:rPr>
          <w:rFonts w:ascii="Arial" w:hAnsi="Arial" w:cs="Arial"/>
          <w:sz w:val="20"/>
          <w:szCs w:val="20"/>
        </w:rPr>
        <w:t xml:space="preserve">fal, </w:t>
      </w:r>
      <w:r w:rsidRPr="004C6CC5">
        <w:rPr>
          <w:rFonts w:ascii="Arial" w:hAnsi="Arial" w:cs="Arial"/>
          <w:sz w:val="20"/>
          <w:szCs w:val="20"/>
        </w:rPr>
        <w:lastRenderedPageBreak/>
        <w:t>przedsiębiorstw zajmujących się tym obszarem, jak również krajowych programów</w:t>
      </w:r>
      <w:r w:rsidR="00C33A78">
        <w:rPr>
          <w:rFonts w:ascii="Arial" w:hAnsi="Arial" w:cs="Arial"/>
          <w:sz w:val="20"/>
          <w:szCs w:val="20"/>
        </w:rPr>
        <w:t xml:space="preserve"> i inwestycji. Dodatkowo</w:t>
      </w:r>
      <w:r w:rsidRPr="004C6CC5">
        <w:rPr>
          <w:rFonts w:ascii="Arial" w:hAnsi="Arial" w:cs="Arial"/>
          <w:sz w:val="20"/>
          <w:szCs w:val="20"/>
        </w:rPr>
        <w:t xml:space="preserve"> ten sektor energetyczny musi pozyskać zaufanie inwestorów poparte m.in. redukcją ryzyka technologicznego</w:t>
      </w:r>
      <w:r w:rsidR="00C33A78">
        <w:rPr>
          <w:rFonts w:ascii="Arial" w:hAnsi="Arial" w:cs="Arial"/>
          <w:sz w:val="20"/>
          <w:szCs w:val="20"/>
        </w:rPr>
        <w:t xml:space="preserve"> i </w:t>
      </w:r>
      <w:r w:rsidRPr="004C6CC5">
        <w:rPr>
          <w:rFonts w:ascii="Arial" w:hAnsi="Arial" w:cs="Arial"/>
          <w:sz w:val="20"/>
          <w:szCs w:val="20"/>
        </w:rPr>
        <w:t>nie-technologicznego. Wymienione wyzwania wymagają pan-europejskiej współpracy inżynierów, ekonomistów, naukowców, decydentów, ekspertów itd.</w:t>
      </w:r>
    </w:p>
    <w:p w14:paraId="409F1D26" w14:textId="4303C26D"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EUROfusion – Implementation of activities described in the Roadmap to Fusion during Horizon 2020 through a Joint programme of the members of the EUROfusion consortium – celem projektu jest wspólne prowadzenie badań</w:t>
      </w:r>
      <w:r w:rsidR="004C6CC5">
        <w:rPr>
          <w:rFonts w:ascii="Arial" w:hAnsi="Arial" w:cs="Arial"/>
          <w:sz w:val="20"/>
          <w:szCs w:val="20"/>
        </w:rPr>
        <w:t xml:space="preserve"> w </w:t>
      </w:r>
      <w:r w:rsidRPr="004C6CC5">
        <w:rPr>
          <w:rFonts w:ascii="Arial" w:hAnsi="Arial" w:cs="Arial"/>
          <w:sz w:val="20"/>
          <w:szCs w:val="20"/>
        </w:rPr>
        <w:t>ramach prac realizowanych przez konsorcjum EUROfusion</w:t>
      </w:r>
      <w:r w:rsidR="004C6CC5">
        <w:rPr>
          <w:rFonts w:ascii="Arial" w:hAnsi="Arial" w:cs="Arial"/>
          <w:sz w:val="20"/>
          <w:szCs w:val="20"/>
        </w:rPr>
        <w:t xml:space="preserve"> z </w:t>
      </w:r>
      <w:r w:rsidRPr="004C6CC5">
        <w:rPr>
          <w:rFonts w:ascii="Arial" w:hAnsi="Arial" w:cs="Arial"/>
          <w:sz w:val="20"/>
          <w:szCs w:val="20"/>
        </w:rPr>
        <w:t>zakresu fuzji jądrowej.</w:t>
      </w:r>
    </w:p>
    <w:p w14:paraId="332E031D" w14:textId="018DB390"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Projekt SOUTH COAST BALTIC – celem projektu jest utworzenie trwałego transgranicznego zarządzania marinami</w:t>
      </w:r>
      <w:r w:rsidR="004C6CC5">
        <w:rPr>
          <w:rFonts w:ascii="Arial" w:hAnsi="Arial" w:cs="Arial"/>
          <w:sz w:val="20"/>
          <w:szCs w:val="20"/>
        </w:rPr>
        <w:t xml:space="preserve"> w </w:t>
      </w:r>
      <w:r w:rsidRPr="004C6CC5">
        <w:rPr>
          <w:rFonts w:ascii="Arial" w:hAnsi="Arial" w:cs="Arial"/>
          <w:sz w:val="20"/>
          <w:szCs w:val="20"/>
        </w:rPr>
        <w:t>oparciu o sieć współpracy MARRIAGE. Projekt ma pozwolić na dalszą promocję regionu Południowego Bałtyku jako tętniącego życiem transgranicznego obszaru dla uprawiania turystyki żeglarskiej, który zapewnia wysokie standardy jakości. Zostanie to osiągnięte poprzez kampanie informacyjne, wymianę wiedzy</w:t>
      </w:r>
      <w:r w:rsidR="004C6CC5">
        <w:rPr>
          <w:rFonts w:ascii="Arial" w:hAnsi="Arial" w:cs="Arial"/>
          <w:sz w:val="20"/>
          <w:szCs w:val="20"/>
        </w:rPr>
        <w:t xml:space="preserve"> i </w:t>
      </w:r>
      <w:r w:rsidRPr="004C6CC5">
        <w:rPr>
          <w:rFonts w:ascii="Arial" w:hAnsi="Arial" w:cs="Arial"/>
          <w:sz w:val="20"/>
          <w:szCs w:val="20"/>
        </w:rPr>
        <w:t>kompetencji pomiędzy marinami, stowarzyszeniami żeglarskimi oraz innymi interesariuszami, poprawę jakości usług skierowanych do żeglarzy</w:t>
      </w:r>
      <w:r w:rsidR="004C6CC5">
        <w:rPr>
          <w:rFonts w:ascii="Arial" w:hAnsi="Arial" w:cs="Arial"/>
          <w:sz w:val="20"/>
          <w:szCs w:val="20"/>
        </w:rPr>
        <w:t xml:space="preserve"> w </w:t>
      </w:r>
      <w:r w:rsidRPr="004C6CC5">
        <w:rPr>
          <w:rFonts w:ascii="Arial" w:hAnsi="Arial" w:cs="Arial"/>
          <w:sz w:val="20"/>
          <w:szCs w:val="20"/>
        </w:rPr>
        <w:t xml:space="preserve">oparciu </w:t>
      </w:r>
      <w:r w:rsidR="00A96F92">
        <w:rPr>
          <w:rFonts w:ascii="Arial" w:hAnsi="Arial" w:cs="Arial"/>
          <w:sz w:val="20"/>
          <w:szCs w:val="20"/>
        </w:rPr>
        <w:br/>
      </w:r>
      <w:r w:rsidRPr="004C6CC5">
        <w:rPr>
          <w:rFonts w:ascii="Arial" w:hAnsi="Arial" w:cs="Arial"/>
          <w:sz w:val="20"/>
          <w:szCs w:val="20"/>
        </w:rPr>
        <w:t>o badania</w:t>
      </w:r>
      <w:r w:rsidR="004C6CC5">
        <w:rPr>
          <w:rFonts w:ascii="Arial" w:hAnsi="Arial" w:cs="Arial"/>
          <w:sz w:val="20"/>
          <w:szCs w:val="20"/>
        </w:rPr>
        <w:t xml:space="preserve"> i </w:t>
      </w:r>
      <w:r w:rsidRPr="004C6CC5">
        <w:rPr>
          <w:rFonts w:ascii="Arial" w:hAnsi="Arial" w:cs="Arial"/>
          <w:sz w:val="20"/>
          <w:szCs w:val="20"/>
        </w:rPr>
        <w:t>analizę potrzeb, a także rozwój kształcenia</w:t>
      </w:r>
      <w:r w:rsidR="004C6CC5">
        <w:rPr>
          <w:rFonts w:ascii="Arial" w:hAnsi="Arial" w:cs="Arial"/>
          <w:sz w:val="20"/>
          <w:szCs w:val="20"/>
        </w:rPr>
        <w:t xml:space="preserve"> w </w:t>
      </w:r>
      <w:r w:rsidRPr="004C6CC5">
        <w:rPr>
          <w:rFonts w:ascii="Arial" w:hAnsi="Arial" w:cs="Arial"/>
          <w:sz w:val="20"/>
          <w:szCs w:val="20"/>
        </w:rPr>
        <w:t>zakresie zarządzania marinami.</w:t>
      </w:r>
    </w:p>
    <w:p w14:paraId="073A2DE1" w14:textId="3A7A9EC9"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Projekt SBOIL – South Baltic Oil Spill Response through clean-up with Biogenic Oil Binders – celem projektu jest usprawnienie systemu szybkiego reagowania na wyciek ropy</w:t>
      </w:r>
      <w:r w:rsidR="005E7AC4">
        <w:rPr>
          <w:rFonts w:ascii="Arial" w:hAnsi="Arial" w:cs="Arial"/>
          <w:sz w:val="20"/>
          <w:szCs w:val="20"/>
        </w:rPr>
        <w:t xml:space="preserve"> w </w:t>
      </w:r>
      <w:r w:rsidRPr="004C6CC5">
        <w:rPr>
          <w:rFonts w:ascii="Arial" w:hAnsi="Arial" w:cs="Arial"/>
          <w:sz w:val="20"/>
          <w:szCs w:val="20"/>
        </w:rPr>
        <w:t>niesprzyjających warunkach pogodowych</w:t>
      </w:r>
      <w:r w:rsidR="005E7AC4">
        <w:rPr>
          <w:rFonts w:ascii="Arial" w:hAnsi="Arial" w:cs="Arial"/>
          <w:sz w:val="20"/>
          <w:szCs w:val="20"/>
        </w:rPr>
        <w:t xml:space="preserve"> i </w:t>
      </w:r>
      <w:r w:rsidRPr="004C6CC5">
        <w:rPr>
          <w:rFonts w:ascii="Arial" w:hAnsi="Arial" w:cs="Arial"/>
          <w:sz w:val="20"/>
          <w:szCs w:val="20"/>
        </w:rPr>
        <w:t>płytkich wodach. Zostanie to zrealizowane poprzez wdrożenie nowej koncepcji reakcji na wyciek ropy naftowej</w:t>
      </w:r>
      <w:r w:rsidR="004C6CC5">
        <w:rPr>
          <w:rFonts w:ascii="Arial" w:hAnsi="Arial" w:cs="Arial"/>
          <w:sz w:val="20"/>
          <w:szCs w:val="20"/>
        </w:rPr>
        <w:t xml:space="preserve"> z </w:t>
      </w:r>
      <w:r w:rsidRPr="004C6CC5">
        <w:rPr>
          <w:rFonts w:ascii="Arial" w:hAnsi="Arial" w:cs="Arial"/>
          <w:sz w:val="20"/>
          <w:szCs w:val="20"/>
        </w:rPr>
        <w:t>wykorzystaniem absorbentów o nowych możliwościach aplikacji. Sprzęt do reakcji na wyciek ropy będzie stacjonował</w:t>
      </w:r>
      <w:r w:rsidR="004C6CC5">
        <w:rPr>
          <w:rFonts w:ascii="Arial" w:hAnsi="Arial" w:cs="Arial"/>
          <w:sz w:val="20"/>
          <w:szCs w:val="20"/>
        </w:rPr>
        <w:t xml:space="preserve"> w </w:t>
      </w:r>
      <w:r w:rsidRPr="004C6CC5">
        <w:rPr>
          <w:rFonts w:ascii="Arial" w:hAnsi="Arial" w:cs="Arial"/>
          <w:sz w:val="20"/>
          <w:szCs w:val="20"/>
        </w:rPr>
        <w:t>gotowości</w:t>
      </w:r>
      <w:r w:rsidR="004C6CC5">
        <w:rPr>
          <w:rFonts w:ascii="Arial" w:hAnsi="Arial" w:cs="Arial"/>
          <w:sz w:val="20"/>
          <w:szCs w:val="20"/>
        </w:rPr>
        <w:t xml:space="preserve"> w </w:t>
      </w:r>
      <w:r w:rsidRPr="004C6CC5">
        <w:rPr>
          <w:rFonts w:ascii="Arial" w:hAnsi="Arial" w:cs="Arial"/>
          <w:sz w:val="20"/>
          <w:szCs w:val="20"/>
        </w:rPr>
        <w:t>regionie Bałtyku Południowego</w:t>
      </w:r>
      <w:r w:rsidR="005E7AC4">
        <w:rPr>
          <w:rFonts w:ascii="Arial" w:hAnsi="Arial" w:cs="Arial"/>
          <w:sz w:val="20"/>
          <w:szCs w:val="20"/>
        </w:rPr>
        <w:t>,</w:t>
      </w:r>
      <w:r w:rsidRPr="004C6CC5">
        <w:rPr>
          <w:rFonts w:ascii="Arial" w:hAnsi="Arial" w:cs="Arial"/>
          <w:sz w:val="20"/>
          <w:szCs w:val="20"/>
        </w:rPr>
        <w:t xml:space="preserve"> przez co ogólna zdolność do reagowania na wycieki ropy naftowej wzrośnie, a potencjalny wpływ zrzutów zanieczyszczeń oleju zostanie znacznie zmniejszony. Inwestycja powinna poprawić zdolności reagowania na wyciek</w:t>
      </w:r>
      <w:r w:rsidR="004C6CC5">
        <w:rPr>
          <w:rFonts w:ascii="Arial" w:hAnsi="Arial" w:cs="Arial"/>
          <w:sz w:val="20"/>
          <w:szCs w:val="20"/>
        </w:rPr>
        <w:t xml:space="preserve"> i </w:t>
      </w:r>
      <w:r w:rsidRPr="004C6CC5">
        <w:rPr>
          <w:rFonts w:ascii="Arial" w:hAnsi="Arial" w:cs="Arial"/>
          <w:sz w:val="20"/>
          <w:szCs w:val="20"/>
        </w:rPr>
        <w:t>działać jako demonstrator promowania tego rodzaju koncepcji. Krajowe</w:t>
      </w:r>
      <w:r w:rsidR="004C6CC5">
        <w:rPr>
          <w:rFonts w:ascii="Arial" w:hAnsi="Arial" w:cs="Arial"/>
          <w:sz w:val="20"/>
          <w:szCs w:val="20"/>
        </w:rPr>
        <w:t xml:space="preserve"> i </w:t>
      </w:r>
      <w:r w:rsidRPr="004C6CC5">
        <w:rPr>
          <w:rFonts w:ascii="Arial" w:hAnsi="Arial" w:cs="Arial"/>
          <w:sz w:val="20"/>
          <w:szCs w:val="20"/>
        </w:rPr>
        <w:t>międzynarodowe warsztaty podniosą poziom świadomości na różnych poziomach operacji reagowania na wyciek oleju, nowej koncepcji</w:t>
      </w:r>
      <w:r w:rsidR="004C6CC5">
        <w:rPr>
          <w:rFonts w:ascii="Arial" w:hAnsi="Arial" w:cs="Arial"/>
          <w:sz w:val="20"/>
          <w:szCs w:val="20"/>
        </w:rPr>
        <w:t xml:space="preserve"> i </w:t>
      </w:r>
      <w:r w:rsidRPr="004C6CC5">
        <w:rPr>
          <w:rFonts w:ascii="Arial" w:hAnsi="Arial" w:cs="Arial"/>
          <w:sz w:val="20"/>
          <w:szCs w:val="20"/>
        </w:rPr>
        <w:t>odpowiadających im obowiązków</w:t>
      </w:r>
      <w:r w:rsidR="004C6CC5">
        <w:rPr>
          <w:rFonts w:ascii="Arial" w:hAnsi="Arial" w:cs="Arial"/>
          <w:sz w:val="20"/>
          <w:szCs w:val="20"/>
        </w:rPr>
        <w:t xml:space="preserve"> i </w:t>
      </w:r>
      <w:r w:rsidRPr="004C6CC5">
        <w:rPr>
          <w:rFonts w:ascii="Arial" w:hAnsi="Arial" w:cs="Arial"/>
          <w:sz w:val="20"/>
          <w:szCs w:val="20"/>
        </w:rPr>
        <w:t>możliwości różnych interesariuszy.</w:t>
      </w:r>
    </w:p>
    <w:p w14:paraId="12723B61" w14:textId="0F0CAC5D"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Projekt Low Carbon Logistics – celem projektu jest przedstawienie najlepszych dobrych praktyk</w:t>
      </w:r>
      <w:r w:rsidR="004C6CC5">
        <w:rPr>
          <w:rFonts w:ascii="Arial" w:hAnsi="Arial" w:cs="Arial"/>
          <w:sz w:val="20"/>
          <w:szCs w:val="20"/>
        </w:rPr>
        <w:t xml:space="preserve"> w </w:t>
      </w:r>
      <w:r w:rsidRPr="004C6CC5">
        <w:rPr>
          <w:rFonts w:ascii="Arial" w:hAnsi="Arial" w:cs="Arial"/>
          <w:sz w:val="20"/>
          <w:szCs w:val="20"/>
        </w:rPr>
        <w:t>zakresie miejskiego transportu towarowego</w:t>
      </w:r>
      <w:r w:rsidR="004C6CC5">
        <w:rPr>
          <w:rFonts w:ascii="Arial" w:hAnsi="Arial" w:cs="Arial"/>
          <w:sz w:val="20"/>
          <w:szCs w:val="20"/>
        </w:rPr>
        <w:t xml:space="preserve"> w </w:t>
      </w:r>
      <w:r w:rsidRPr="004C6CC5">
        <w:rPr>
          <w:rFonts w:ascii="Arial" w:hAnsi="Arial" w:cs="Arial"/>
          <w:sz w:val="20"/>
          <w:szCs w:val="20"/>
        </w:rPr>
        <w:t>czterech wybranych miastach regionu Południowego Bałtyku. Przedsięwzięcie obejmuje: analizę funkcjonowania miejskiego transportu towarowego</w:t>
      </w:r>
      <w:r w:rsidR="004C6CC5">
        <w:rPr>
          <w:rFonts w:ascii="Arial" w:hAnsi="Arial" w:cs="Arial"/>
          <w:sz w:val="20"/>
          <w:szCs w:val="20"/>
        </w:rPr>
        <w:t xml:space="preserve"> w </w:t>
      </w:r>
      <w:r w:rsidRPr="004C6CC5">
        <w:rPr>
          <w:rFonts w:ascii="Arial" w:hAnsi="Arial" w:cs="Arial"/>
          <w:sz w:val="20"/>
          <w:szCs w:val="20"/>
        </w:rPr>
        <w:t>badanych miastach, opracowanie wspólnej koncepcji rozwoju logistyki opartej na niskiej emisji dwutlenku węgla dla regionu Południowego Bałtyku oraz wdrażanie rozwiązań pilotażowych</w:t>
      </w:r>
      <w:r w:rsidR="004C6CC5">
        <w:rPr>
          <w:rFonts w:ascii="Arial" w:hAnsi="Arial" w:cs="Arial"/>
          <w:sz w:val="20"/>
          <w:szCs w:val="20"/>
        </w:rPr>
        <w:t xml:space="preserve"> w </w:t>
      </w:r>
      <w:r w:rsidRPr="004C6CC5">
        <w:rPr>
          <w:rFonts w:ascii="Arial" w:hAnsi="Arial" w:cs="Arial"/>
          <w:sz w:val="20"/>
          <w:szCs w:val="20"/>
        </w:rPr>
        <w:t>wybranych miastach.</w:t>
      </w:r>
    </w:p>
    <w:p w14:paraId="435CB00F" w14:textId="743D337D"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Projekt Go LNG – Value chain for clean shipping, green ports and Blue growth in Baltic Sea Region – celem projektu jest zlikwidowanie przeszkód, które blokują rozwój technologii LNG na obszarze Morza Bałtyckiego poprzez: zmniejszenie ceny</w:t>
      </w:r>
      <w:r w:rsidR="004C6CC5">
        <w:rPr>
          <w:rFonts w:ascii="Arial" w:hAnsi="Arial" w:cs="Arial"/>
          <w:sz w:val="20"/>
          <w:szCs w:val="20"/>
        </w:rPr>
        <w:t xml:space="preserve"> i </w:t>
      </w:r>
      <w:r w:rsidRPr="004C6CC5">
        <w:rPr>
          <w:rFonts w:ascii="Arial" w:hAnsi="Arial" w:cs="Arial"/>
          <w:sz w:val="20"/>
          <w:szCs w:val="20"/>
        </w:rPr>
        <w:t>zwiększenie dostępności LNG;  rozwój czystych technologii; szkolenie personelu; zapewnienie trwałości rozwiązań LNG.</w:t>
      </w:r>
    </w:p>
    <w:p w14:paraId="55DB15A7" w14:textId="30CEA570"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Projekt MARELITT Baltic – </w:t>
      </w:r>
      <w:r w:rsidR="007A0436">
        <w:rPr>
          <w:rFonts w:ascii="Arial" w:hAnsi="Arial" w:cs="Arial"/>
          <w:sz w:val="20"/>
          <w:szCs w:val="20"/>
        </w:rPr>
        <w:t>Z</w:t>
      </w:r>
      <w:r w:rsidR="007A0436" w:rsidRPr="004C6CC5">
        <w:rPr>
          <w:rFonts w:ascii="Arial" w:hAnsi="Arial" w:cs="Arial"/>
          <w:sz w:val="20"/>
          <w:szCs w:val="20"/>
        </w:rPr>
        <w:t>mniejszenie wpływu śmieci morskich</w:t>
      </w:r>
      <w:r w:rsidR="007A0436">
        <w:rPr>
          <w:rFonts w:ascii="Arial" w:hAnsi="Arial" w:cs="Arial"/>
          <w:sz w:val="20"/>
          <w:szCs w:val="20"/>
        </w:rPr>
        <w:t xml:space="preserve"> w </w:t>
      </w:r>
      <w:r w:rsidR="007A0436" w:rsidRPr="004C6CC5">
        <w:rPr>
          <w:rFonts w:ascii="Arial" w:hAnsi="Arial" w:cs="Arial"/>
          <w:sz w:val="20"/>
          <w:szCs w:val="20"/>
        </w:rPr>
        <w:t>postaci porzucony</w:t>
      </w:r>
      <w:r w:rsidR="002D56D1">
        <w:rPr>
          <w:rFonts w:ascii="Arial" w:hAnsi="Arial" w:cs="Arial"/>
          <w:sz w:val="20"/>
          <w:szCs w:val="20"/>
        </w:rPr>
        <w:t>ch narzędzi połowu na środowisko</w:t>
      </w:r>
      <w:r w:rsidR="007A0436" w:rsidRPr="004C6CC5">
        <w:rPr>
          <w:rFonts w:ascii="Arial" w:hAnsi="Arial" w:cs="Arial"/>
          <w:sz w:val="20"/>
          <w:szCs w:val="20"/>
        </w:rPr>
        <w:t xml:space="preserve"> Morza Bałtyckiego</w:t>
      </w:r>
      <w:r w:rsidRPr="004C6CC5">
        <w:rPr>
          <w:rFonts w:ascii="Arial" w:hAnsi="Arial" w:cs="Arial"/>
          <w:sz w:val="20"/>
          <w:szCs w:val="20"/>
        </w:rPr>
        <w:t>. Projekt MARELITT jest międzynarodową inicjatywą poszukiwania</w:t>
      </w:r>
      <w:r w:rsidR="006168AA">
        <w:rPr>
          <w:rFonts w:ascii="Arial" w:hAnsi="Arial" w:cs="Arial"/>
          <w:sz w:val="20"/>
          <w:szCs w:val="20"/>
        </w:rPr>
        <w:t xml:space="preserve"> i </w:t>
      </w:r>
      <w:r w:rsidRPr="004C6CC5">
        <w:rPr>
          <w:rFonts w:ascii="Arial" w:hAnsi="Arial" w:cs="Arial"/>
          <w:sz w:val="20"/>
          <w:szCs w:val="20"/>
        </w:rPr>
        <w:t>wyławiania zagubionych narzędzi połowowych</w:t>
      </w:r>
      <w:r w:rsidR="004C6CC5">
        <w:rPr>
          <w:rFonts w:ascii="Arial" w:hAnsi="Arial" w:cs="Arial"/>
          <w:sz w:val="20"/>
          <w:szCs w:val="20"/>
        </w:rPr>
        <w:t xml:space="preserve"> z </w:t>
      </w:r>
      <w:r w:rsidRPr="004C6CC5">
        <w:rPr>
          <w:rFonts w:ascii="Arial" w:hAnsi="Arial" w:cs="Arial"/>
          <w:sz w:val="20"/>
          <w:szCs w:val="20"/>
        </w:rPr>
        <w:t>dna Bałtyku. Zagubione sieci bowiem nadal łowią ryby, ptaki</w:t>
      </w:r>
      <w:r w:rsidR="004C6CC5">
        <w:rPr>
          <w:rFonts w:ascii="Arial" w:hAnsi="Arial" w:cs="Arial"/>
          <w:sz w:val="20"/>
          <w:szCs w:val="20"/>
        </w:rPr>
        <w:t xml:space="preserve"> i </w:t>
      </w:r>
      <w:r w:rsidRPr="004C6CC5">
        <w:rPr>
          <w:rFonts w:ascii="Arial" w:hAnsi="Arial" w:cs="Arial"/>
          <w:sz w:val="20"/>
          <w:szCs w:val="20"/>
        </w:rPr>
        <w:t xml:space="preserve">ssaki morskie. Mogą być też źródłem </w:t>
      </w:r>
      <w:r w:rsidR="009000B6">
        <w:rPr>
          <w:rFonts w:ascii="Arial" w:hAnsi="Arial" w:cs="Arial"/>
          <w:sz w:val="20"/>
          <w:szCs w:val="20"/>
        </w:rPr>
        <w:t>mikrodrobin tworzyw sztucznych</w:t>
      </w:r>
      <w:r w:rsidRPr="004C6CC5">
        <w:rPr>
          <w:rFonts w:ascii="Arial" w:hAnsi="Arial" w:cs="Arial"/>
          <w:sz w:val="20"/>
          <w:szCs w:val="20"/>
        </w:rPr>
        <w:t>, wpływając tym samym negatywnie na stan ekosystemu morskiego. Celem Projektu MARELITT jest opracowanie prostych, efektywnych kosztowo</w:t>
      </w:r>
      <w:r w:rsidR="002D56D1">
        <w:rPr>
          <w:rFonts w:ascii="Arial" w:hAnsi="Arial" w:cs="Arial"/>
          <w:sz w:val="20"/>
          <w:szCs w:val="20"/>
        </w:rPr>
        <w:t xml:space="preserve"> i </w:t>
      </w:r>
      <w:r w:rsidRPr="004C6CC5">
        <w:rPr>
          <w:rFonts w:ascii="Arial" w:hAnsi="Arial" w:cs="Arial"/>
          <w:sz w:val="20"/>
          <w:szCs w:val="20"/>
        </w:rPr>
        <w:t>bezpiecznych dla środowiska metod wyławiania</w:t>
      </w:r>
      <w:r w:rsidR="006231FE">
        <w:rPr>
          <w:rFonts w:ascii="Arial" w:hAnsi="Arial" w:cs="Arial"/>
          <w:sz w:val="20"/>
          <w:szCs w:val="20"/>
        </w:rPr>
        <w:t xml:space="preserve"> z </w:t>
      </w:r>
      <w:r w:rsidRPr="004C6CC5">
        <w:rPr>
          <w:rFonts w:ascii="Arial" w:hAnsi="Arial" w:cs="Arial"/>
          <w:sz w:val="20"/>
          <w:szCs w:val="20"/>
        </w:rPr>
        <w:t>dna Bałtyku zagubionych sieci, dostosowanych do różnych warunków geograficznych oraz znalezienie systemowego rozwiązania problemu środowiskowego związanego</w:t>
      </w:r>
      <w:r w:rsidR="004C6CC5">
        <w:rPr>
          <w:rFonts w:ascii="Arial" w:hAnsi="Arial" w:cs="Arial"/>
          <w:sz w:val="20"/>
          <w:szCs w:val="20"/>
        </w:rPr>
        <w:t xml:space="preserve"> z </w:t>
      </w:r>
      <w:r w:rsidRPr="004C6CC5">
        <w:rPr>
          <w:rFonts w:ascii="Arial" w:hAnsi="Arial" w:cs="Arial"/>
          <w:sz w:val="20"/>
          <w:szCs w:val="20"/>
        </w:rPr>
        <w:t>zagubionym sprzętem połowowym.</w:t>
      </w:r>
    </w:p>
    <w:p w14:paraId="50DA7837" w14:textId="571FA4ED"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Projekt ENVISUM – </w:t>
      </w:r>
      <w:r w:rsidR="00307A0D">
        <w:rPr>
          <w:rFonts w:ascii="Arial" w:hAnsi="Arial" w:cs="Arial"/>
          <w:sz w:val="20"/>
          <w:szCs w:val="20"/>
        </w:rPr>
        <w:t>Oddziaływanie na środowisko paliwa o niskiej zawartości siarki: pomiary i strategie modelowania. C</w:t>
      </w:r>
      <w:r w:rsidRPr="004C6CC5">
        <w:rPr>
          <w:rFonts w:ascii="Arial" w:hAnsi="Arial" w:cs="Arial"/>
          <w:sz w:val="20"/>
          <w:szCs w:val="20"/>
        </w:rPr>
        <w:t>elem projektu jest opracowanie sposobu mierzenia</w:t>
      </w:r>
      <w:r w:rsidR="004C6CC5">
        <w:rPr>
          <w:rFonts w:ascii="Arial" w:hAnsi="Arial" w:cs="Arial"/>
          <w:sz w:val="20"/>
          <w:szCs w:val="20"/>
        </w:rPr>
        <w:t xml:space="preserve"> i </w:t>
      </w:r>
      <w:r w:rsidRPr="004C6CC5">
        <w:rPr>
          <w:rFonts w:ascii="Arial" w:hAnsi="Arial" w:cs="Arial"/>
          <w:sz w:val="20"/>
          <w:szCs w:val="20"/>
        </w:rPr>
        <w:t>oceny wpływu emisji siarki ze statków na środowisko</w:t>
      </w:r>
      <w:r w:rsidR="004C6CC5">
        <w:rPr>
          <w:rFonts w:ascii="Arial" w:hAnsi="Arial" w:cs="Arial"/>
          <w:sz w:val="20"/>
          <w:szCs w:val="20"/>
        </w:rPr>
        <w:t xml:space="preserve"> i </w:t>
      </w:r>
      <w:r w:rsidRPr="004C6CC5">
        <w:rPr>
          <w:rFonts w:ascii="Arial" w:hAnsi="Arial" w:cs="Arial"/>
          <w:sz w:val="20"/>
          <w:szCs w:val="20"/>
        </w:rPr>
        <w:t>jakość powietrza</w:t>
      </w:r>
      <w:r w:rsidR="004C6CC5">
        <w:rPr>
          <w:rFonts w:ascii="Arial" w:hAnsi="Arial" w:cs="Arial"/>
          <w:sz w:val="20"/>
          <w:szCs w:val="20"/>
        </w:rPr>
        <w:t xml:space="preserve"> w </w:t>
      </w:r>
      <w:r w:rsidRPr="004C6CC5">
        <w:rPr>
          <w:rFonts w:ascii="Arial" w:hAnsi="Arial" w:cs="Arial"/>
          <w:sz w:val="20"/>
          <w:szCs w:val="20"/>
        </w:rPr>
        <w:t xml:space="preserve">regionie Morza Bałtyckiego. Wyniki mają dostarczyć </w:t>
      </w:r>
      <w:r w:rsidRPr="004C6CC5">
        <w:rPr>
          <w:rFonts w:ascii="Arial" w:hAnsi="Arial" w:cs="Arial"/>
          <w:sz w:val="20"/>
          <w:szCs w:val="20"/>
        </w:rPr>
        <w:lastRenderedPageBreak/>
        <w:t>nowych informacji na temat sposobu dalszej poprawy stanu powietrza</w:t>
      </w:r>
      <w:r w:rsidR="004C6CC5">
        <w:rPr>
          <w:rFonts w:ascii="Arial" w:hAnsi="Arial" w:cs="Arial"/>
          <w:sz w:val="20"/>
          <w:szCs w:val="20"/>
        </w:rPr>
        <w:t xml:space="preserve"> w </w:t>
      </w:r>
      <w:r w:rsidRPr="004C6CC5">
        <w:rPr>
          <w:rFonts w:ascii="Arial" w:hAnsi="Arial" w:cs="Arial"/>
          <w:sz w:val="20"/>
          <w:szCs w:val="20"/>
        </w:rPr>
        <w:t>jak najbardziej opłacalny</w:t>
      </w:r>
      <w:r w:rsidR="004C6CC5">
        <w:rPr>
          <w:rFonts w:ascii="Arial" w:hAnsi="Arial" w:cs="Arial"/>
          <w:sz w:val="20"/>
          <w:szCs w:val="20"/>
        </w:rPr>
        <w:t xml:space="preserve"> i </w:t>
      </w:r>
      <w:r w:rsidRPr="004C6CC5">
        <w:rPr>
          <w:rFonts w:ascii="Arial" w:hAnsi="Arial" w:cs="Arial"/>
          <w:sz w:val="20"/>
          <w:szCs w:val="20"/>
        </w:rPr>
        <w:t>ekonomiczny sposób.</w:t>
      </w:r>
    </w:p>
    <w:p w14:paraId="6842B9EF" w14:textId="20299BE1"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ml:space="preserve">- Projekt DIAMENTOWY GRANT – </w:t>
      </w:r>
      <w:r w:rsidR="008C0D38">
        <w:rPr>
          <w:rFonts w:ascii="Arial" w:hAnsi="Arial" w:cs="Arial"/>
          <w:sz w:val="20"/>
          <w:szCs w:val="20"/>
        </w:rPr>
        <w:t>Model systemu synchronizacji manewru ostatniej chwili dwóch pełnomorskich  statków autonomicznych w celu unikania kolizji i minimalizacji szkód. C</w:t>
      </w:r>
      <w:r w:rsidRPr="004C6CC5">
        <w:rPr>
          <w:rFonts w:ascii="Arial" w:hAnsi="Arial" w:cs="Arial"/>
          <w:sz w:val="20"/>
          <w:szCs w:val="20"/>
        </w:rPr>
        <w:t>elem projektu jest opracowanie podstaw teoretycznych dotyczących minimalizowania szkód kolizji statków morskich oraz opracowanie technologii pozwalającej na wspomaganie decyzji operatora statku</w:t>
      </w:r>
      <w:r w:rsidR="004C6CC5">
        <w:rPr>
          <w:rFonts w:ascii="Arial" w:hAnsi="Arial" w:cs="Arial"/>
          <w:sz w:val="20"/>
          <w:szCs w:val="20"/>
        </w:rPr>
        <w:t xml:space="preserve"> w </w:t>
      </w:r>
      <w:r w:rsidRPr="004C6CC5">
        <w:rPr>
          <w:rFonts w:ascii="Arial" w:hAnsi="Arial" w:cs="Arial"/>
          <w:sz w:val="20"/>
          <w:szCs w:val="20"/>
        </w:rPr>
        <w:t>sytuacjach nadmiernego zbliżenia.</w:t>
      </w:r>
    </w:p>
    <w:p w14:paraId="5CCE79FF" w14:textId="44C0F5D0"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Akademia Morska</w:t>
      </w:r>
      <w:r w:rsidR="004C6CC5">
        <w:rPr>
          <w:rFonts w:ascii="Arial" w:hAnsi="Arial" w:cs="Arial"/>
          <w:sz w:val="20"/>
          <w:szCs w:val="20"/>
        </w:rPr>
        <w:t xml:space="preserve"> w </w:t>
      </w:r>
      <w:r w:rsidRPr="004C6CC5">
        <w:rPr>
          <w:rFonts w:ascii="Arial" w:hAnsi="Arial" w:cs="Arial"/>
          <w:sz w:val="20"/>
          <w:szCs w:val="20"/>
        </w:rPr>
        <w:t xml:space="preserve">Szczecinie kontynuowała realizację kilku projektów dydaktycznych, </w:t>
      </w:r>
      <w:r w:rsidRPr="004C6CC5">
        <w:rPr>
          <w:rFonts w:ascii="Arial" w:hAnsi="Arial" w:cs="Arial"/>
          <w:sz w:val="20"/>
          <w:szCs w:val="20"/>
        </w:rPr>
        <w:br/>
        <w:t xml:space="preserve">m.in. projektu Academic Business Coach </w:t>
      </w:r>
      <w:r w:rsidR="00780C13">
        <w:rPr>
          <w:rFonts w:ascii="Arial" w:hAnsi="Arial" w:cs="Arial"/>
          <w:sz w:val="20"/>
          <w:szCs w:val="20"/>
        </w:rPr>
        <w:t>-</w:t>
      </w:r>
      <w:r w:rsidRPr="004C6CC5">
        <w:rPr>
          <w:rFonts w:ascii="Arial" w:hAnsi="Arial" w:cs="Arial"/>
          <w:sz w:val="20"/>
          <w:szCs w:val="20"/>
        </w:rPr>
        <w:t xml:space="preserve"> MELES 2.0</w:t>
      </w:r>
      <w:r w:rsidR="004C6CC5">
        <w:rPr>
          <w:rFonts w:ascii="Arial" w:hAnsi="Arial" w:cs="Arial"/>
          <w:sz w:val="20"/>
          <w:szCs w:val="20"/>
        </w:rPr>
        <w:t xml:space="preserve"> w </w:t>
      </w:r>
      <w:r w:rsidRPr="004C6CC5">
        <w:rPr>
          <w:rFonts w:ascii="Arial" w:hAnsi="Arial" w:cs="Arial"/>
          <w:sz w:val="20"/>
          <w:szCs w:val="20"/>
        </w:rPr>
        <w:t xml:space="preserve">ramach partnerstwa strategicznego na rzecz szkolnictwa wyższego </w:t>
      </w:r>
      <w:r w:rsidR="006A6C6C">
        <w:rPr>
          <w:rFonts w:ascii="Arial" w:hAnsi="Arial" w:cs="Arial"/>
          <w:sz w:val="20"/>
          <w:szCs w:val="20"/>
        </w:rPr>
        <w:t>Erasmus+</w:t>
      </w:r>
      <w:r w:rsidRPr="004C6CC5">
        <w:rPr>
          <w:rFonts w:ascii="Arial" w:hAnsi="Arial" w:cs="Arial"/>
          <w:sz w:val="20"/>
          <w:szCs w:val="20"/>
        </w:rPr>
        <w:t>. Program realizowany jest od 01.09.2017</w:t>
      </w:r>
      <w:r w:rsidR="006A6C6C">
        <w:rPr>
          <w:rFonts w:ascii="Arial" w:hAnsi="Arial" w:cs="Arial"/>
          <w:sz w:val="20"/>
          <w:szCs w:val="20"/>
        </w:rPr>
        <w:t xml:space="preserve"> r.</w:t>
      </w:r>
      <w:r w:rsidRPr="004C6CC5">
        <w:rPr>
          <w:rFonts w:ascii="Arial" w:hAnsi="Arial" w:cs="Arial"/>
          <w:sz w:val="20"/>
          <w:szCs w:val="20"/>
        </w:rPr>
        <w:t xml:space="preserve"> do 31.05.2020</w:t>
      </w:r>
      <w:r w:rsidR="006A6C6C">
        <w:rPr>
          <w:rFonts w:ascii="Arial" w:hAnsi="Arial" w:cs="Arial"/>
          <w:sz w:val="20"/>
          <w:szCs w:val="20"/>
        </w:rPr>
        <w:t xml:space="preserve"> r.</w:t>
      </w:r>
      <w:r w:rsidRPr="004C6CC5">
        <w:rPr>
          <w:rFonts w:ascii="Arial" w:hAnsi="Arial" w:cs="Arial"/>
          <w:sz w:val="20"/>
          <w:szCs w:val="20"/>
        </w:rPr>
        <w:t>, a jego liderem jest Akademia Morska</w:t>
      </w:r>
      <w:r w:rsidR="00A64B50">
        <w:rPr>
          <w:rFonts w:ascii="Arial" w:hAnsi="Arial" w:cs="Arial"/>
          <w:sz w:val="20"/>
          <w:szCs w:val="20"/>
        </w:rPr>
        <w:t xml:space="preserve"> w </w:t>
      </w:r>
      <w:r w:rsidRPr="004C6CC5">
        <w:rPr>
          <w:rFonts w:ascii="Arial" w:hAnsi="Arial" w:cs="Arial"/>
          <w:sz w:val="20"/>
          <w:szCs w:val="20"/>
        </w:rPr>
        <w:t>Szczecinie. Partnerami projektu są Politechnika Białostocka, Uniwersytet</w:t>
      </w:r>
      <w:r w:rsidR="00A34A1C">
        <w:rPr>
          <w:rFonts w:ascii="Arial" w:hAnsi="Arial" w:cs="Arial"/>
          <w:sz w:val="20"/>
          <w:szCs w:val="20"/>
        </w:rPr>
        <w:t xml:space="preserve"> w </w:t>
      </w:r>
      <w:r w:rsidRPr="004C6CC5">
        <w:rPr>
          <w:rFonts w:ascii="Arial" w:hAnsi="Arial" w:cs="Arial"/>
          <w:sz w:val="20"/>
          <w:szCs w:val="20"/>
        </w:rPr>
        <w:t>Lipsku (Niemcy), Uniwersytet Egejski (Grecja)</w:t>
      </w:r>
      <w:r w:rsidR="004C6CC5">
        <w:rPr>
          <w:rFonts w:ascii="Arial" w:hAnsi="Arial" w:cs="Arial"/>
          <w:sz w:val="20"/>
          <w:szCs w:val="20"/>
        </w:rPr>
        <w:t xml:space="preserve"> i </w:t>
      </w:r>
      <w:r w:rsidRPr="004C6CC5">
        <w:rPr>
          <w:rFonts w:ascii="Arial" w:hAnsi="Arial" w:cs="Arial"/>
          <w:sz w:val="20"/>
          <w:szCs w:val="20"/>
        </w:rPr>
        <w:t>Uniwersytet</w:t>
      </w:r>
      <w:r w:rsidR="004C6CC5">
        <w:rPr>
          <w:rFonts w:ascii="Arial" w:hAnsi="Arial" w:cs="Arial"/>
          <w:sz w:val="20"/>
          <w:szCs w:val="20"/>
        </w:rPr>
        <w:t xml:space="preserve"> w </w:t>
      </w:r>
      <w:r w:rsidRPr="004C6CC5">
        <w:rPr>
          <w:rFonts w:ascii="Arial" w:hAnsi="Arial" w:cs="Arial"/>
          <w:sz w:val="20"/>
          <w:szCs w:val="20"/>
        </w:rPr>
        <w:t xml:space="preserve">Aveiro (Portugalia). Projekt “Academic Business Coach </w:t>
      </w:r>
      <w:r w:rsidR="00780C13">
        <w:rPr>
          <w:rFonts w:ascii="Arial" w:hAnsi="Arial" w:cs="Arial"/>
          <w:sz w:val="20"/>
          <w:szCs w:val="20"/>
        </w:rPr>
        <w:t>-</w:t>
      </w:r>
      <w:r w:rsidRPr="004C6CC5">
        <w:rPr>
          <w:rFonts w:ascii="Arial" w:hAnsi="Arial" w:cs="Arial"/>
          <w:sz w:val="20"/>
          <w:szCs w:val="20"/>
        </w:rPr>
        <w:t xml:space="preserve"> MELES 2.0” jest kontynuacją projektu MELES </w:t>
      </w:r>
      <w:r w:rsidR="00131459">
        <w:rPr>
          <w:rFonts w:ascii="Arial" w:hAnsi="Arial" w:cs="Arial"/>
          <w:sz w:val="20"/>
          <w:szCs w:val="20"/>
        </w:rPr>
        <w:t xml:space="preserve">- “More Entrepreneurial Life at </w:t>
      </w:r>
      <w:r w:rsidRPr="004C6CC5">
        <w:rPr>
          <w:rFonts w:ascii="Arial" w:hAnsi="Arial" w:cs="Arial"/>
          <w:sz w:val="20"/>
          <w:szCs w:val="20"/>
        </w:rPr>
        <w:t>European Schools”, którego celem było opracowanie, przetestowanie oraz wdrożenie nauczania na ucze</w:t>
      </w:r>
      <w:r w:rsidR="00131459">
        <w:rPr>
          <w:rFonts w:ascii="Arial" w:hAnsi="Arial" w:cs="Arial"/>
          <w:sz w:val="20"/>
          <w:szCs w:val="20"/>
        </w:rPr>
        <w:t>lniach technicznych przedmiotu „przedsiębiorczość”</w:t>
      </w:r>
      <w:r w:rsidRPr="004C6CC5">
        <w:rPr>
          <w:rFonts w:ascii="Arial" w:hAnsi="Arial" w:cs="Arial"/>
          <w:sz w:val="20"/>
          <w:szCs w:val="20"/>
        </w:rPr>
        <w:t>. Efektem jest wiele studenckich przedsięwzięć biznesowych, które wymagają dalszego wsparcia na różnych etapach rozwoju. Systematycznej pomocy potrzebują również pracownicy naukowi zaangażowani</w:t>
      </w:r>
      <w:r w:rsidR="004C6CC5">
        <w:rPr>
          <w:rFonts w:ascii="Arial" w:hAnsi="Arial" w:cs="Arial"/>
          <w:sz w:val="20"/>
          <w:szCs w:val="20"/>
        </w:rPr>
        <w:t xml:space="preserve"> w </w:t>
      </w:r>
      <w:r w:rsidRPr="004C6CC5">
        <w:rPr>
          <w:rFonts w:ascii="Arial" w:hAnsi="Arial" w:cs="Arial"/>
          <w:sz w:val="20"/>
          <w:szCs w:val="20"/>
        </w:rPr>
        <w:t>projekty B+R o wysokim potencjale komercjali</w:t>
      </w:r>
      <w:r w:rsidR="00131459">
        <w:rPr>
          <w:rFonts w:ascii="Arial" w:hAnsi="Arial" w:cs="Arial"/>
          <w:sz w:val="20"/>
          <w:szCs w:val="20"/>
        </w:rPr>
        <w:t>zacji. Dlatego powstał projekt „</w:t>
      </w:r>
      <w:r w:rsidRPr="004C6CC5">
        <w:rPr>
          <w:rFonts w:ascii="Arial" w:hAnsi="Arial" w:cs="Arial"/>
          <w:sz w:val="20"/>
          <w:szCs w:val="20"/>
        </w:rPr>
        <w:t>Acad</w:t>
      </w:r>
      <w:r w:rsidR="00131459">
        <w:rPr>
          <w:rFonts w:ascii="Arial" w:hAnsi="Arial" w:cs="Arial"/>
          <w:sz w:val="20"/>
          <w:szCs w:val="20"/>
        </w:rPr>
        <w:t xml:space="preserve">emic Business Coach </w:t>
      </w:r>
      <w:r w:rsidR="003D244B">
        <w:rPr>
          <w:rFonts w:ascii="Arial" w:hAnsi="Arial" w:cs="Arial"/>
          <w:sz w:val="20"/>
          <w:szCs w:val="20"/>
        </w:rPr>
        <w:t>-</w:t>
      </w:r>
      <w:r w:rsidR="00131459">
        <w:rPr>
          <w:rFonts w:ascii="Arial" w:hAnsi="Arial" w:cs="Arial"/>
          <w:sz w:val="20"/>
          <w:szCs w:val="20"/>
        </w:rPr>
        <w:t xml:space="preserve"> MELES 2.0”</w:t>
      </w:r>
      <w:r w:rsidRPr="004C6CC5">
        <w:rPr>
          <w:rFonts w:ascii="Arial" w:hAnsi="Arial" w:cs="Arial"/>
          <w:sz w:val="20"/>
          <w:szCs w:val="20"/>
        </w:rPr>
        <w:t>, którego celem  jest opracowanie, przetestowanie</w:t>
      </w:r>
      <w:r w:rsidR="004C6CC5">
        <w:rPr>
          <w:rFonts w:ascii="Arial" w:hAnsi="Arial" w:cs="Arial"/>
          <w:sz w:val="20"/>
          <w:szCs w:val="20"/>
        </w:rPr>
        <w:t xml:space="preserve"> i </w:t>
      </w:r>
      <w:r w:rsidRPr="004C6CC5">
        <w:rPr>
          <w:rFonts w:ascii="Arial" w:hAnsi="Arial" w:cs="Arial"/>
          <w:sz w:val="20"/>
          <w:szCs w:val="20"/>
        </w:rPr>
        <w:t>wdrożenie programu kształcenia akademickich trenerów biznesu.</w:t>
      </w:r>
    </w:p>
    <w:p w14:paraId="782B0612" w14:textId="01CCAF4F"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Kontynuowano równi</w:t>
      </w:r>
      <w:r w:rsidR="00A879ED">
        <w:rPr>
          <w:rFonts w:ascii="Arial" w:hAnsi="Arial" w:cs="Arial"/>
          <w:sz w:val="20"/>
          <w:szCs w:val="20"/>
        </w:rPr>
        <w:t>eż realizację projektu „CZAS na STAŻ II”</w:t>
      </w:r>
      <w:r w:rsidRPr="004C6CC5">
        <w:rPr>
          <w:rFonts w:ascii="Arial" w:hAnsi="Arial" w:cs="Arial"/>
          <w:sz w:val="20"/>
          <w:szCs w:val="20"/>
        </w:rPr>
        <w:t xml:space="preserve"> (wartość 2 mln zł). Projekt realizowany był</w:t>
      </w:r>
      <w:r w:rsidR="004C6CC5">
        <w:rPr>
          <w:rFonts w:ascii="Arial" w:hAnsi="Arial" w:cs="Arial"/>
          <w:sz w:val="20"/>
          <w:szCs w:val="20"/>
        </w:rPr>
        <w:t xml:space="preserve"> w </w:t>
      </w:r>
      <w:r w:rsidRPr="004C6CC5">
        <w:rPr>
          <w:rFonts w:ascii="Arial" w:hAnsi="Arial" w:cs="Arial"/>
          <w:sz w:val="20"/>
          <w:szCs w:val="20"/>
        </w:rPr>
        <w:t>okresie od 01.01.2018</w:t>
      </w:r>
      <w:r w:rsidR="00F330EF">
        <w:rPr>
          <w:rFonts w:ascii="Arial" w:hAnsi="Arial" w:cs="Arial"/>
          <w:sz w:val="20"/>
          <w:szCs w:val="20"/>
        </w:rPr>
        <w:t xml:space="preserve"> r.</w:t>
      </w:r>
      <w:r w:rsidRPr="004C6CC5">
        <w:rPr>
          <w:rFonts w:ascii="Arial" w:hAnsi="Arial" w:cs="Arial"/>
          <w:sz w:val="20"/>
          <w:szCs w:val="20"/>
        </w:rPr>
        <w:t xml:space="preserve"> do 30.09.2019</w:t>
      </w:r>
      <w:r w:rsidR="00F330EF">
        <w:rPr>
          <w:rFonts w:ascii="Arial" w:hAnsi="Arial" w:cs="Arial"/>
          <w:sz w:val="20"/>
          <w:szCs w:val="20"/>
        </w:rPr>
        <w:t xml:space="preserve"> r</w:t>
      </w:r>
      <w:r w:rsidRPr="004C6CC5">
        <w:rPr>
          <w:rFonts w:ascii="Arial" w:hAnsi="Arial" w:cs="Arial"/>
          <w:sz w:val="20"/>
          <w:szCs w:val="20"/>
        </w:rPr>
        <w:t>., a</w:t>
      </w:r>
      <w:r w:rsidR="004C6CC5">
        <w:rPr>
          <w:rFonts w:ascii="Arial" w:hAnsi="Arial" w:cs="Arial"/>
          <w:sz w:val="20"/>
          <w:szCs w:val="20"/>
        </w:rPr>
        <w:t xml:space="preserve"> w </w:t>
      </w:r>
      <w:r w:rsidRPr="004C6CC5">
        <w:rPr>
          <w:rFonts w:ascii="Arial" w:hAnsi="Arial" w:cs="Arial"/>
          <w:sz w:val="20"/>
          <w:szCs w:val="20"/>
        </w:rPr>
        <w:t>ramach projektu 64 studentów kierunków logistyka, zarządzanie</w:t>
      </w:r>
      <w:r w:rsidR="002E4FD3">
        <w:rPr>
          <w:rFonts w:ascii="Arial" w:hAnsi="Arial" w:cs="Arial"/>
          <w:sz w:val="20"/>
          <w:szCs w:val="20"/>
        </w:rPr>
        <w:t xml:space="preserve"> i </w:t>
      </w:r>
      <w:r w:rsidRPr="004C6CC5">
        <w:rPr>
          <w:rFonts w:ascii="Arial" w:hAnsi="Arial" w:cs="Arial"/>
          <w:sz w:val="20"/>
          <w:szCs w:val="20"/>
        </w:rPr>
        <w:t>inżynieria produkcji, transport oraz geodezja</w:t>
      </w:r>
      <w:r w:rsidR="004C6CC5">
        <w:rPr>
          <w:rFonts w:ascii="Arial" w:hAnsi="Arial" w:cs="Arial"/>
          <w:sz w:val="20"/>
          <w:szCs w:val="20"/>
        </w:rPr>
        <w:t xml:space="preserve"> i </w:t>
      </w:r>
      <w:r w:rsidRPr="004C6CC5">
        <w:rPr>
          <w:rFonts w:ascii="Arial" w:hAnsi="Arial" w:cs="Arial"/>
          <w:sz w:val="20"/>
          <w:szCs w:val="20"/>
        </w:rPr>
        <w:t>kartografia zrealizowało czteromiesięczne staże głównie</w:t>
      </w:r>
      <w:r w:rsidR="00A879ED">
        <w:rPr>
          <w:rFonts w:ascii="Arial" w:hAnsi="Arial" w:cs="Arial"/>
          <w:sz w:val="20"/>
          <w:szCs w:val="20"/>
        </w:rPr>
        <w:t xml:space="preserve"> w </w:t>
      </w:r>
      <w:r w:rsidRPr="004C6CC5">
        <w:rPr>
          <w:rFonts w:ascii="Arial" w:hAnsi="Arial" w:cs="Arial"/>
          <w:sz w:val="20"/>
          <w:szCs w:val="20"/>
        </w:rPr>
        <w:t>przedsiębiorstwach</w:t>
      </w:r>
      <w:r w:rsidR="004C6CC5">
        <w:rPr>
          <w:rFonts w:ascii="Arial" w:hAnsi="Arial" w:cs="Arial"/>
          <w:sz w:val="20"/>
          <w:szCs w:val="20"/>
        </w:rPr>
        <w:t xml:space="preserve"> z </w:t>
      </w:r>
      <w:r w:rsidRPr="004C6CC5">
        <w:rPr>
          <w:rFonts w:ascii="Arial" w:hAnsi="Arial" w:cs="Arial"/>
          <w:sz w:val="20"/>
          <w:szCs w:val="20"/>
        </w:rPr>
        <w:t>branży geodezyjnej, TSL oraz branży morskiej. Projekt skierowany był łącznie do 146 studentów.</w:t>
      </w:r>
    </w:p>
    <w:p w14:paraId="2594E9F6" w14:textId="247FDE23"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Kolejnym pro</w:t>
      </w:r>
      <w:r w:rsidR="00A879ED">
        <w:rPr>
          <w:rFonts w:ascii="Arial" w:hAnsi="Arial" w:cs="Arial"/>
          <w:sz w:val="20"/>
          <w:szCs w:val="20"/>
        </w:rPr>
        <w:t>jektem</w:t>
      </w:r>
      <w:r w:rsidRPr="004C6CC5">
        <w:rPr>
          <w:rFonts w:ascii="Arial" w:hAnsi="Arial" w:cs="Arial"/>
          <w:sz w:val="20"/>
          <w:szCs w:val="20"/>
        </w:rPr>
        <w:t xml:space="preserve"> realizowanym przez Akademię Morską</w:t>
      </w:r>
      <w:r w:rsidR="004C6CC5">
        <w:rPr>
          <w:rFonts w:ascii="Arial" w:hAnsi="Arial" w:cs="Arial"/>
          <w:sz w:val="20"/>
          <w:szCs w:val="20"/>
        </w:rPr>
        <w:t xml:space="preserve"> w </w:t>
      </w:r>
      <w:r w:rsidRPr="004C6CC5">
        <w:rPr>
          <w:rFonts w:ascii="Arial" w:hAnsi="Arial" w:cs="Arial"/>
          <w:sz w:val="20"/>
          <w:szCs w:val="20"/>
        </w:rPr>
        <w:t>Szczecinie jest program Nowe Horyzonty (wartość 7,2 mln zł), który obejmuje szeroki wachlarz działań. Projekt realizowany</w:t>
      </w:r>
      <w:r w:rsidR="00A879ED">
        <w:rPr>
          <w:rFonts w:ascii="Arial" w:hAnsi="Arial" w:cs="Arial"/>
          <w:sz w:val="20"/>
          <w:szCs w:val="20"/>
        </w:rPr>
        <w:t xml:space="preserve"> jest </w:t>
      </w:r>
      <w:r w:rsidR="004C6CC5">
        <w:rPr>
          <w:rFonts w:ascii="Arial" w:hAnsi="Arial" w:cs="Arial"/>
          <w:sz w:val="20"/>
          <w:szCs w:val="20"/>
        </w:rPr>
        <w:t>w </w:t>
      </w:r>
      <w:r w:rsidRPr="004C6CC5">
        <w:rPr>
          <w:rFonts w:ascii="Arial" w:hAnsi="Arial" w:cs="Arial"/>
          <w:sz w:val="20"/>
          <w:szCs w:val="20"/>
        </w:rPr>
        <w:t>okresie od</w:t>
      </w:r>
      <w:r w:rsidR="00B66FCE" w:rsidRPr="004C6CC5">
        <w:rPr>
          <w:rFonts w:ascii="Arial" w:hAnsi="Arial" w:cs="Arial"/>
          <w:sz w:val="20"/>
          <w:szCs w:val="20"/>
        </w:rPr>
        <w:t xml:space="preserve"> 1 </w:t>
      </w:r>
      <w:r w:rsidRPr="004C6CC5">
        <w:rPr>
          <w:rFonts w:ascii="Arial" w:hAnsi="Arial" w:cs="Arial"/>
          <w:sz w:val="20"/>
          <w:szCs w:val="20"/>
        </w:rPr>
        <w:t>września 2018</w:t>
      </w:r>
      <w:r w:rsidR="009D01B9" w:rsidRPr="004C6CC5">
        <w:rPr>
          <w:rFonts w:ascii="Arial" w:hAnsi="Arial" w:cs="Arial"/>
          <w:sz w:val="20"/>
          <w:szCs w:val="20"/>
        </w:rPr>
        <w:t xml:space="preserve"> r. </w:t>
      </w:r>
      <w:r w:rsidRPr="004C6CC5">
        <w:rPr>
          <w:rFonts w:ascii="Arial" w:hAnsi="Arial" w:cs="Arial"/>
          <w:sz w:val="20"/>
          <w:szCs w:val="20"/>
        </w:rPr>
        <w:t>do 31 września 2022</w:t>
      </w:r>
      <w:r w:rsidR="009D01B9" w:rsidRPr="004C6CC5">
        <w:rPr>
          <w:rFonts w:ascii="Arial" w:hAnsi="Arial" w:cs="Arial"/>
          <w:sz w:val="20"/>
          <w:szCs w:val="20"/>
        </w:rPr>
        <w:t xml:space="preserve"> r. </w:t>
      </w:r>
      <w:r w:rsidR="00A879ED">
        <w:rPr>
          <w:rFonts w:ascii="Arial" w:hAnsi="Arial" w:cs="Arial"/>
          <w:sz w:val="20"/>
          <w:szCs w:val="20"/>
        </w:rPr>
        <w:t xml:space="preserve">i </w:t>
      </w:r>
      <w:r w:rsidRPr="004C6CC5">
        <w:rPr>
          <w:rFonts w:ascii="Arial" w:hAnsi="Arial" w:cs="Arial"/>
          <w:sz w:val="20"/>
          <w:szCs w:val="20"/>
        </w:rPr>
        <w:t>składa się</w:t>
      </w:r>
      <w:r w:rsidR="004C6CC5">
        <w:rPr>
          <w:rFonts w:ascii="Arial" w:hAnsi="Arial" w:cs="Arial"/>
          <w:sz w:val="20"/>
          <w:szCs w:val="20"/>
        </w:rPr>
        <w:t xml:space="preserve"> z </w:t>
      </w:r>
      <w:r w:rsidRPr="004C6CC5">
        <w:rPr>
          <w:rFonts w:ascii="Arial" w:hAnsi="Arial" w:cs="Arial"/>
          <w:sz w:val="20"/>
          <w:szCs w:val="20"/>
        </w:rPr>
        <w:t>8 zadań:</w:t>
      </w:r>
    </w:p>
    <w:p w14:paraId="5CE03AF0" w14:textId="77777777"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utworzenie nowego kierunku studiów Oceanotechnika;</w:t>
      </w:r>
    </w:p>
    <w:p w14:paraId="2141E859" w14:textId="77777777"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xml:space="preserve">- utworzenie nowego kierunku studiów Geoinformatyka; </w:t>
      </w:r>
    </w:p>
    <w:p w14:paraId="787B6C08" w14:textId="769E7085"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realizacja zajęć przez wykładowców</w:t>
      </w:r>
      <w:r w:rsidR="004C6CC5">
        <w:rPr>
          <w:rFonts w:ascii="Arial" w:hAnsi="Arial" w:cs="Arial"/>
          <w:sz w:val="20"/>
          <w:szCs w:val="20"/>
        </w:rPr>
        <w:t xml:space="preserve"> z </w:t>
      </w:r>
      <w:r w:rsidRPr="004C6CC5">
        <w:rPr>
          <w:rFonts w:ascii="Arial" w:hAnsi="Arial" w:cs="Arial"/>
          <w:sz w:val="20"/>
          <w:szCs w:val="20"/>
        </w:rPr>
        <w:t>zagranicy;</w:t>
      </w:r>
    </w:p>
    <w:p w14:paraId="31EC569C" w14:textId="77777777"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xml:space="preserve">- podnoszenie kompetencji studentów; </w:t>
      </w:r>
    </w:p>
    <w:p w14:paraId="52C36122" w14:textId="77777777"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xml:space="preserve">- realizacja staży; </w:t>
      </w:r>
    </w:p>
    <w:p w14:paraId="2C72339D" w14:textId="77777777"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xml:space="preserve">- podnoszenie kompetencji kadry dydaktycznej; </w:t>
      </w:r>
    </w:p>
    <w:p w14:paraId="3432D4D8" w14:textId="77777777"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xml:space="preserve">- podniesienie jakości narzędzi informatycznych służących do zarządzania uczelnią; </w:t>
      </w:r>
    </w:p>
    <w:p w14:paraId="1D1C2EE6" w14:textId="77777777"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podnoszenie kompetencji kadry kierowniczej.</w:t>
      </w:r>
    </w:p>
    <w:p w14:paraId="5D3FEB85" w14:textId="043C292C"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Głównym celem projektu jest podniesienie do 31 lipca 2022</w:t>
      </w:r>
      <w:r w:rsidR="009D01B9" w:rsidRPr="004C6CC5">
        <w:rPr>
          <w:rFonts w:ascii="Arial" w:hAnsi="Arial" w:cs="Arial"/>
          <w:sz w:val="20"/>
          <w:szCs w:val="20"/>
        </w:rPr>
        <w:t xml:space="preserve"> r. </w:t>
      </w:r>
      <w:r w:rsidRPr="004C6CC5">
        <w:rPr>
          <w:rFonts w:ascii="Arial" w:hAnsi="Arial" w:cs="Arial"/>
          <w:sz w:val="20"/>
          <w:szCs w:val="20"/>
        </w:rPr>
        <w:t xml:space="preserve">jakości kształcenia oraz zarządzania </w:t>
      </w:r>
      <w:r w:rsidRPr="004C6CC5">
        <w:rPr>
          <w:rFonts w:ascii="Arial" w:hAnsi="Arial" w:cs="Arial"/>
          <w:sz w:val="20"/>
          <w:szCs w:val="20"/>
        </w:rPr>
        <w:br/>
        <w:t>w Akademii Morskiej</w:t>
      </w:r>
      <w:r w:rsidR="004C6CC5">
        <w:rPr>
          <w:rFonts w:ascii="Arial" w:hAnsi="Arial" w:cs="Arial"/>
          <w:sz w:val="20"/>
          <w:szCs w:val="20"/>
        </w:rPr>
        <w:t xml:space="preserve"> w </w:t>
      </w:r>
      <w:r w:rsidRPr="004C6CC5">
        <w:rPr>
          <w:rFonts w:ascii="Arial" w:hAnsi="Arial" w:cs="Arial"/>
          <w:sz w:val="20"/>
          <w:szCs w:val="20"/>
        </w:rPr>
        <w:t xml:space="preserve">Szczecinie poprzez: </w:t>
      </w:r>
    </w:p>
    <w:p w14:paraId="783B2F78" w14:textId="77777777"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xml:space="preserve">- wykształcenie na nowych kierunkach 48 absolwentów (z 80 osób przyjętych), na których jest zapotrzebowanie rynku pracy; </w:t>
      </w:r>
    </w:p>
    <w:p w14:paraId="11990CDA" w14:textId="130426CC"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podniesienie kompetencji (w tym zawodowych, poprzez zdobycie doświadczenia</w:t>
      </w:r>
      <w:r w:rsidR="004C6CC5">
        <w:rPr>
          <w:rFonts w:ascii="Arial" w:hAnsi="Arial" w:cs="Arial"/>
          <w:sz w:val="20"/>
          <w:szCs w:val="20"/>
        </w:rPr>
        <w:t xml:space="preserve"> w </w:t>
      </w:r>
      <w:r w:rsidRPr="004C6CC5">
        <w:rPr>
          <w:rFonts w:ascii="Arial" w:hAnsi="Arial" w:cs="Arial"/>
          <w:sz w:val="20"/>
          <w:szCs w:val="20"/>
        </w:rPr>
        <w:t>pracy) 372 studentów AM wszystkich kierunków;</w:t>
      </w:r>
    </w:p>
    <w:p w14:paraId="378EBD38" w14:textId="58F2D26F"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podniesienie jakości dydaktyki</w:t>
      </w:r>
      <w:r w:rsidR="004C6CC5">
        <w:rPr>
          <w:rFonts w:ascii="Arial" w:hAnsi="Arial" w:cs="Arial"/>
          <w:sz w:val="20"/>
          <w:szCs w:val="20"/>
        </w:rPr>
        <w:t xml:space="preserve"> w </w:t>
      </w:r>
      <w:r w:rsidRPr="004C6CC5">
        <w:rPr>
          <w:rFonts w:ascii="Arial" w:hAnsi="Arial" w:cs="Arial"/>
          <w:sz w:val="20"/>
          <w:szCs w:val="20"/>
        </w:rPr>
        <w:t>uczelni poprzez podniesienie kompetencji 54 osób</w:t>
      </w:r>
      <w:r w:rsidR="004C6CC5">
        <w:rPr>
          <w:rFonts w:ascii="Arial" w:hAnsi="Arial" w:cs="Arial"/>
          <w:sz w:val="20"/>
          <w:szCs w:val="20"/>
        </w:rPr>
        <w:t xml:space="preserve"> z </w:t>
      </w:r>
      <w:r w:rsidRPr="004C6CC5">
        <w:rPr>
          <w:rFonts w:ascii="Arial" w:hAnsi="Arial" w:cs="Arial"/>
          <w:sz w:val="20"/>
          <w:szCs w:val="20"/>
        </w:rPr>
        <w:t>własnej kadry dydaktycznej</w:t>
      </w:r>
      <w:r w:rsidR="004C6CC5">
        <w:rPr>
          <w:rFonts w:ascii="Arial" w:hAnsi="Arial" w:cs="Arial"/>
          <w:sz w:val="20"/>
          <w:szCs w:val="20"/>
        </w:rPr>
        <w:t xml:space="preserve"> i </w:t>
      </w:r>
      <w:r w:rsidRPr="004C6CC5">
        <w:rPr>
          <w:rFonts w:ascii="Arial" w:hAnsi="Arial" w:cs="Arial"/>
          <w:sz w:val="20"/>
          <w:szCs w:val="20"/>
        </w:rPr>
        <w:t>przyjęcie 20 uznanych dydaktyków</w:t>
      </w:r>
      <w:r w:rsidR="004C6CC5">
        <w:rPr>
          <w:rFonts w:ascii="Arial" w:hAnsi="Arial" w:cs="Arial"/>
          <w:sz w:val="20"/>
          <w:szCs w:val="20"/>
        </w:rPr>
        <w:t xml:space="preserve"> z </w:t>
      </w:r>
      <w:r w:rsidRPr="004C6CC5">
        <w:rPr>
          <w:rFonts w:ascii="Arial" w:hAnsi="Arial" w:cs="Arial"/>
          <w:sz w:val="20"/>
          <w:szCs w:val="20"/>
        </w:rPr>
        <w:t>zagranicy;</w:t>
      </w:r>
    </w:p>
    <w:p w14:paraId="79FDE5C2" w14:textId="1E74CFD9"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lastRenderedPageBreak/>
        <w:t>- podniesienie kompetencji 50 osób</w:t>
      </w:r>
      <w:r w:rsidR="004C6CC5">
        <w:rPr>
          <w:rFonts w:ascii="Arial" w:hAnsi="Arial" w:cs="Arial"/>
          <w:sz w:val="20"/>
          <w:szCs w:val="20"/>
        </w:rPr>
        <w:t xml:space="preserve"> z </w:t>
      </w:r>
      <w:r w:rsidRPr="004C6CC5">
        <w:rPr>
          <w:rFonts w:ascii="Arial" w:hAnsi="Arial" w:cs="Arial"/>
          <w:sz w:val="20"/>
          <w:szCs w:val="20"/>
        </w:rPr>
        <w:t>kadry zarządzającej oraz wdrożenie narzędzi IT usprawniających zarządzenie uczelnią oraz informacjami o uczelni</w:t>
      </w:r>
      <w:r w:rsidR="004C6CC5">
        <w:rPr>
          <w:rFonts w:ascii="Arial" w:hAnsi="Arial" w:cs="Arial"/>
          <w:sz w:val="20"/>
          <w:szCs w:val="20"/>
        </w:rPr>
        <w:t xml:space="preserve"> i </w:t>
      </w:r>
      <w:r w:rsidRPr="004C6CC5">
        <w:rPr>
          <w:rFonts w:ascii="Arial" w:hAnsi="Arial" w:cs="Arial"/>
          <w:sz w:val="20"/>
          <w:szCs w:val="20"/>
        </w:rPr>
        <w:t>jej ofercie.</w:t>
      </w:r>
    </w:p>
    <w:p w14:paraId="49B3E7EE" w14:textId="32E8B4EF" w:rsidR="007050BA" w:rsidRPr="004C6CC5" w:rsidRDefault="00E10102" w:rsidP="00E10102">
      <w:pPr>
        <w:spacing w:after="120" w:line="276" w:lineRule="auto"/>
        <w:jc w:val="both"/>
        <w:rPr>
          <w:rFonts w:ascii="Arial" w:hAnsi="Arial" w:cs="Arial"/>
          <w:sz w:val="20"/>
          <w:szCs w:val="20"/>
        </w:rPr>
      </w:pPr>
      <w:r>
        <w:rPr>
          <w:rFonts w:ascii="Arial" w:hAnsi="Arial" w:cs="Arial"/>
          <w:sz w:val="20"/>
          <w:szCs w:val="20"/>
        </w:rPr>
        <w:t>Akademia Morska</w:t>
      </w:r>
      <w:r w:rsidR="004C6CC5">
        <w:rPr>
          <w:rFonts w:ascii="Arial" w:hAnsi="Arial" w:cs="Arial"/>
          <w:sz w:val="20"/>
          <w:szCs w:val="20"/>
        </w:rPr>
        <w:t xml:space="preserve"> w </w:t>
      </w:r>
      <w:r w:rsidR="007050BA" w:rsidRPr="004C6CC5">
        <w:rPr>
          <w:rFonts w:ascii="Arial" w:hAnsi="Arial" w:cs="Arial"/>
          <w:sz w:val="20"/>
          <w:szCs w:val="20"/>
        </w:rPr>
        <w:t>Szczecinie</w:t>
      </w:r>
      <w:r>
        <w:rPr>
          <w:rFonts w:ascii="Arial" w:hAnsi="Arial" w:cs="Arial"/>
          <w:sz w:val="20"/>
          <w:szCs w:val="20"/>
        </w:rPr>
        <w:t xml:space="preserve"> w 2019 r. realizowała umowę z dnia 11 lipca 2018 r., której przedmiotem jest finansowanie, realizacja i rozliczanie kosztów procedury uzyskiwania zagranicznych akredytacji/reakredytacji/certyfikatów jakości kształcenia wymienionych w </w:t>
      </w:r>
      <w:r w:rsidR="008D74F9">
        <w:rPr>
          <w:rFonts w:ascii="Arial" w:hAnsi="Arial" w:cs="Arial"/>
          <w:sz w:val="20"/>
          <w:szCs w:val="20"/>
        </w:rPr>
        <w:t>„</w:t>
      </w:r>
      <w:r>
        <w:rPr>
          <w:rFonts w:ascii="Arial" w:hAnsi="Arial" w:cs="Arial"/>
          <w:sz w:val="20"/>
          <w:szCs w:val="20"/>
        </w:rPr>
        <w:t>Katalogu akredytacji kwalifikowalnych zagranicznych akredytacji i certyfikatów jakości</w:t>
      </w:r>
      <w:r w:rsidR="008D74F9">
        <w:rPr>
          <w:rFonts w:ascii="Arial" w:hAnsi="Arial" w:cs="Arial"/>
          <w:sz w:val="20"/>
          <w:szCs w:val="20"/>
        </w:rPr>
        <w:t>”</w:t>
      </w:r>
      <w:r>
        <w:rPr>
          <w:rFonts w:ascii="Arial" w:hAnsi="Arial" w:cs="Arial"/>
          <w:sz w:val="20"/>
          <w:szCs w:val="20"/>
        </w:rPr>
        <w:t xml:space="preserve"> Nautical Institute Accreditation – NIA. </w:t>
      </w:r>
      <w:r w:rsidR="007050BA" w:rsidRPr="004C6CC5">
        <w:rPr>
          <w:rFonts w:ascii="Arial" w:hAnsi="Arial" w:cs="Arial"/>
          <w:sz w:val="20"/>
          <w:szCs w:val="20"/>
        </w:rPr>
        <w:t>W lipcu 2019</w:t>
      </w:r>
      <w:r w:rsidR="009D01B9" w:rsidRPr="004C6CC5">
        <w:rPr>
          <w:rFonts w:ascii="Arial" w:hAnsi="Arial" w:cs="Arial"/>
          <w:sz w:val="20"/>
          <w:szCs w:val="20"/>
        </w:rPr>
        <w:t xml:space="preserve"> r. </w:t>
      </w:r>
      <w:r w:rsidR="007050BA" w:rsidRPr="004C6CC5">
        <w:rPr>
          <w:rFonts w:ascii="Arial" w:hAnsi="Arial" w:cs="Arial"/>
          <w:sz w:val="20"/>
          <w:szCs w:val="20"/>
        </w:rPr>
        <w:t>Akademia Morska</w:t>
      </w:r>
      <w:r w:rsidR="004C6CC5">
        <w:rPr>
          <w:rFonts w:ascii="Arial" w:hAnsi="Arial" w:cs="Arial"/>
          <w:sz w:val="20"/>
          <w:szCs w:val="20"/>
        </w:rPr>
        <w:t xml:space="preserve"> w </w:t>
      </w:r>
      <w:r w:rsidR="007050BA" w:rsidRPr="004C6CC5">
        <w:rPr>
          <w:rFonts w:ascii="Arial" w:hAnsi="Arial" w:cs="Arial"/>
          <w:sz w:val="20"/>
          <w:szCs w:val="20"/>
        </w:rPr>
        <w:t>Szczecinie jako jedyna publiczna morska jednostka edukacyjna</w:t>
      </w:r>
      <w:r w:rsidR="004C6CC5">
        <w:rPr>
          <w:rFonts w:ascii="Arial" w:hAnsi="Arial" w:cs="Arial"/>
          <w:sz w:val="20"/>
          <w:szCs w:val="20"/>
        </w:rPr>
        <w:t xml:space="preserve"> w </w:t>
      </w:r>
      <w:r w:rsidR="007050BA" w:rsidRPr="004C6CC5">
        <w:rPr>
          <w:rFonts w:ascii="Arial" w:hAnsi="Arial" w:cs="Arial"/>
          <w:sz w:val="20"/>
          <w:szCs w:val="20"/>
        </w:rPr>
        <w:t>Polsce uzyskała reakredytację NIA jakości kształcenia</w:t>
      </w:r>
      <w:r w:rsidR="004C6CC5">
        <w:rPr>
          <w:rFonts w:ascii="Arial" w:hAnsi="Arial" w:cs="Arial"/>
          <w:sz w:val="20"/>
          <w:szCs w:val="20"/>
        </w:rPr>
        <w:t xml:space="preserve"> w </w:t>
      </w:r>
      <w:r w:rsidR="007050BA" w:rsidRPr="004C6CC5">
        <w:rPr>
          <w:rFonts w:ascii="Arial" w:hAnsi="Arial" w:cs="Arial"/>
          <w:sz w:val="20"/>
          <w:szCs w:val="20"/>
        </w:rPr>
        <w:t>zakresie dynamicznego pozycjonowania statków, której czas trwania przewidziany jest do 4 kwietnia 2022</w:t>
      </w:r>
      <w:r>
        <w:rPr>
          <w:rFonts w:ascii="Arial" w:hAnsi="Arial" w:cs="Arial"/>
          <w:sz w:val="20"/>
          <w:szCs w:val="20"/>
        </w:rPr>
        <w:t xml:space="preserve"> r</w:t>
      </w:r>
      <w:r w:rsidR="007050BA" w:rsidRPr="004C6CC5">
        <w:rPr>
          <w:rFonts w:ascii="Arial" w:hAnsi="Arial" w:cs="Arial"/>
          <w:sz w:val="20"/>
          <w:szCs w:val="20"/>
        </w:rPr>
        <w:t>.</w:t>
      </w:r>
    </w:p>
    <w:p w14:paraId="15D5638A" w14:textId="03C07523"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Akademia Morska</w:t>
      </w:r>
      <w:r w:rsidR="004C6CC5">
        <w:rPr>
          <w:rFonts w:ascii="Arial" w:hAnsi="Arial" w:cs="Arial"/>
          <w:sz w:val="20"/>
          <w:szCs w:val="20"/>
        </w:rPr>
        <w:t xml:space="preserve"> w </w:t>
      </w:r>
      <w:r w:rsidRPr="004C6CC5">
        <w:rPr>
          <w:rFonts w:ascii="Arial" w:hAnsi="Arial" w:cs="Arial"/>
          <w:sz w:val="20"/>
          <w:szCs w:val="20"/>
        </w:rPr>
        <w:t>Szczecinie</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była organizatorem lub współorganizatorem m.in. takich konferencji naukowych jak:</w:t>
      </w:r>
    </w:p>
    <w:p w14:paraId="365862F3" w14:textId="598C9EC4"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Konferencja Naukowa „INLAND SHIPPING 2019” - organizator: Instytut Zarządzania Transportem (WI-ET); współorganizatorzy zewnętrzni: Urząd Marszałkowski Województwa Zachodniopomor</w:t>
      </w:r>
      <w:r w:rsidRPr="004C6CC5">
        <w:rPr>
          <w:rFonts w:ascii="Arial" w:hAnsi="Arial" w:cs="Arial"/>
          <w:sz w:val="20"/>
          <w:szCs w:val="20"/>
        </w:rPr>
        <w:softHyphen/>
        <w:t xml:space="preserve">skiego oraz </w:t>
      </w:r>
      <w:r w:rsidR="001B2824">
        <w:rPr>
          <w:rFonts w:ascii="Arial" w:hAnsi="Arial" w:cs="Arial"/>
          <w:sz w:val="20"/>
          <w:szCs w:val="20"/>
        </w:rPr>
        <w:t>Zachodniopomorski Klaser Morski;</w:t>
      </w:r>
    </w:p>
    <w:p w14:paraId="77D8D87E" w14:textId="03F64A95"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Konferencja Naukowa „TECHNOLOGIE EDUKACYJNE 201</w:t>
      </w:r>
      <w:r w:rsidR="001B2824">
        <w:rPr>
          <w:rFonts w:ascii="Arial" w:hAnsi="Arial" w:cs="Arial"/>
          <w:sz w:val="20"/>
          <w:szCs w:val="20"/>
        </w:rPr>
        <w:t xml:space="preserve">9” - organizator: firma ADVSEO </w:t>
      </w:r>
      <w:r w:rsidR="00E25EED">
        <w:rPr>
          <w:rFonts w:ascii="Arial" w:hAnsi="Arial" w:cs="Arial"/>
          <w:sz w:val="20"/>
          <w:szCs w:val="20"/>
        </w:rPr>
        <w:br/>
      </w:r>
      <w:r w:rsidR="001B2824">
        <w:rPr>
          <w:rFonts w:ascii="Arial" w:hAnsi="Arial" w:cs="Arial"/>
          <w:sz w:val="20"/>
          <w:szCs w:val="20"/>
        </w:rPr>
        <w:t>S</w:t>
      </w:r>
      <w:r w:rsidRPr="004C6CC5">
        <w:rPr>
          <w:rFonts w:ascii="Arial" w:hAnsi="Arial" w:cs="Arial"/>
          <w:sz w:val="20"/>
          <w:szCs w:val="20"/>
        </w:rPr>
        <w:t>p.</w:t>
      </w:r>
      <w:r w:rsidR="004C6CC5">
        <w:rPr>
          <w:rFonts w:ascii="Arial" w:hAnsi="Arial" w:cs="Arial"/>
          <w:sz w:val="20"/>
          <w:szCs w:val="20"/>
        </w:rPr>
        <w:t xml:space="preserve"> z </w:t>
      </w:r>
      <w:r w:rsidRPr="004C6CC5">
        <w:rPr>
          <w:rFonts w:ascii="Arial" w:hAnsi="Arial" w:cs="Arial"/>
          <w:sz w:val="20"/>
          <w:szCs w:val="20"/>
        </w:rPr>
        <w:t>o. o., współorganizator: Instytut Eksploatacji Siłowni Okrę</w:t>
      </w:r>
      <w:r w:rsidR="001B2824">
        <w:rPr>
          <w:rFonts w:ascii="Arial" w:hAnsi="Arial" w:cs="Arial"/>
          <w:sz w:val="20"/>
          <w:szCs w:val="20"/>
        </w:rPr>
        <w:t>towych Wydział Mechaniczny (WM);</w:t>
      </w:r>
      <w:r w:rsidRPr="004C6CC5">
        <w:rPr>
          <w:rFonts w:ascii="Arial" w:hAnsi="Arial" w:cs="Arial"/>
          <w:sz w:val="20"/>
          <w:szCs w:val="20"/>
        </w:rPr>
        <w:t xml:space="preserve"> </w:t>
      </w:r>
    </w:p>
    <w:p w14:paraId="54F66045" w14:textId="112E1ED1"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XVIII/XV Międzynarodowa Konferencja Naukowo-Techniczna „Ochrona Człowieka</w:t>
      </w:r>
      <w:r w:rsidR="004C6CC5">
        <w:rPr>
          <w:rFonts w:ascii="Arial" w:hAnsi="Arial" w:cs="Arial"/>
          <w:sz w:val="20"/>
          <w:szCs w:val="20"/>
        </w:rPr>
        <w:t xml:space="preserve"> w </w:t>
      </w:r>
      <w:r w:rsidRPr="004C6CC5">
        <w:rPr>
          <w:rFonts w:ascii="Arial" w:hAnsi="Arial" w:cs="Arial"/>
          <w:sz w:val="20"/>
          <w:szCs w:val="20"/>
        </w:rPr>
        <w:t>Środowisku Pracy. Obsługiwanie Maszyn</w:t>
      </w:r>
      <w:r w:rsidR="004C6CC5">
        <w:rPr>
          <w:rFonts w:ascii="Arial" w:hAnsi="Arial" w:cs="Arial"/>
          <w:sz w:val="20"/>
          <w:szCs w:val="20"/>
        </w:rPr>
        <w:t xml:space="preserve"> i </w:t>
      </w:r>
      <w:r w:rsidRPr="004C6CC5">
        <w:rPr>
          <w:rFonts w:ascii="Arial" w:hAnsi="Arial" w:cs="Arial"/>
          <w:sz w:val="20"/>
          <w:szCs w:val="20"/>
        </w:rPr>
        <w:t>Urządzeń. Zintegrowane Systemy Zarządzania: Jakość-Środowisko-Bezpieczeństwo-Technologia” – OMiU 2019 - organizator: Instytut Eksploatacji Siłowni Okrętowych Wydział Mechaniczny oraz Wydział Inżynieryjno-Ekonomiczny Transportu (WM/WIET), współorganizatorzy zewnętrzni: Instytut Inżynierii Produkcji Politechniki Śląskiej, Morskie Biuro Podróż</w:t>
      </w:r>
      <w:r w:rsidR="001B2824">
        <w:rPr>
          <w:rFonts w:ascii="Arial" w:hAnsi="Arial" w:cs="Arial"/>
          <w:sz w:val="20"/>
          <w:szCs w:val="20"/>
        </w:rPr>
        <w:t>y Szczecin, PŻB S.A. Polferries;</w:t>
      </w:r>
      <w:r w:rsidRPr="004C6CC5">
        <w:rPr>
          <w:rFonts w:ascii="Arial" w:hAnsi="Arial" w:cs="Arial"/>
          <w:sz w:val="20"/>
          <w:szCs w:val="20"/>
        </w:rPr>
        <w:t xml:space="preserve"> </w:t>
      </w:r>
    </w:p>
    <w:p w14:paraId="0AD812B5" w14:textId="77777777" w:rsidR="007050BA" w:rsidRPr="004C6CC5" w:rsidRDefault="007050BA" w:rsidP="008D2321">
      <w:pPr>
        <w:spacing w:after="120" w:line="276" w:lineRule="auto"/>
        <w:jc w:val="both"/>
        <w:rPr>
          <w:rFonts w:ascii="Arial" w:hAnsi="Arial" w:cs="Arial"/>
          <w:sz w:val="20"/>
          <w:szCs w:val="20"/>
        </w:rPr>
      </w:pPr>
      <w:r w:rsidRPr="004C6CC5">
        <w:rPr>
          <w:rFonts w:ascii="Arial" w:hAnsi="Arial" w:cs="Arial"/>
          <w:sz w:val="20"/>
          <w:szCs w:val="20"/>
        </w:rPr>
        <w:t>- XVIII Międzynarodowa Konferencja Naukowo-Techniczna „Inżynieria Ruchu Morskiego” MTE - ISIS’2019 - organizator: Instytut Inżynierii Ruchu Morskiego (WN), współorganizator zewnętrzny:  Niemiecki Instytut Nawigacji (DGON).</w:t>
      </w:r>
    </w:p>
    <w:p w14:paraId="1E5262DA" w14:textId="7F59FF26" w:rsidR="007050BA" w:rsidRPr="004C6CC5" w:rsidRDefault="007050BA" w:rsidP="00F2632E">
      <w:pPr>
        <w:pStyle w:val="Akapitzlist"/>
        <w:spacing w:before="120" w:after="120" w:line="276" w:lineRule="auto"/>
        <w:ind w:left="0"/>
        <w:jc w:val="both"/>
        <w:rPr>
          <w:rFonts w:ascii="Arial" w:hAnsi="Arial" w:cs="Arial"/>
          <w:sz w:val="20"/>
          <w:szCs w:val="20"/>
        </w:rPr>
      </w:pPr>
      <w:r w:rsidRPr="004C6CC5">
        <w:rPr>
          <w:rFonts w:ascii="Arial" w:hAnsi="Arial" w:cs="Arial"/>
          <w:sz w:val="20"/>
          <w:szCs w:val="20"/>
        </w:rPr>
        <w:t>Ośrodki szkoleniowe Akademii Morskiej</w:t>
      </w:r>
      <w:r w:rsidR="004C6CC5">
        <w:rPr>
          <w:rFonts w:ascii="Arial" w:hAnsi="Arial" w:cs="Arial"/>
          <w:sz w:val="20"/>
          <w:szCs w:val="20"/>
        </w:rPr>
        <w:t xml:space="preserve"> w </w:t>
      </w:r>
      <w:r w:rsidRPr="004C6CC5">
        <w:rPr>
          <w:rFonts w:ascii="Arial" w:hAnsi="Arial" w:cs="Arial"/>
          <w:sz w:val="20"/>
          <w:szCs w:val="20"/>
        </w:rPr>
        <w:t>Szczecinie (Ośrodek Szkoleniowy Ratownictwa Morskiego, Studium Doskonalenia Kadr Oficerskich, Morski Ośrodek Szkoleniowy</w:t>
      </w:r>
      <w:r w:rsidR="004C6CC5">
        <w:rPr>
          <w:rFonts w:ascii="Arial" w:hAnsi="Arial" w:cs="Arial"/>
          <w:sz w:val="20"/>
          <w:szCs w:val="20"/>
        </w:rPr>
        <w:t xml:space="preserve"> w </w:t>
      </w:r>
      <w:r w:rsidRPr="004C6CC5">
        <w:rPr>
          <w:rFonts w:ascii="Arial" w:hAnsi="Arial" w:cs="Arial"/>
          <w:sz w:val="20"/>
          <w:szCs w:val="20"/>
        </w:rPr>
        <w:t>Świnoujściu, Ośrodek Szkoleniowy Rybołówstwa Bałtyckiego</w:t>
      </w:r>
      <w:r w:rsidR="00D975EB">
        <w:rPr>
          <w:rFonts w:ascii="Arial" w:hAnsi="Arial" w:cs="Arial"/>
          <w:sz w:val="20"/>
          <w:szCs w:val="20"/>
        </w:rPr>
        <w:t xml:space="preserve"> w </w:t>
      </w:r>
      <w:r w:rsidRPr="004C6CC5">
        <w:rPr>
          <w:rFonts w:ascii="Arial" w:hAnsi="Arial" w:cs="Arial"/>
          <w:sz w:val="20"/>
          <w:szCs w:val="20"/>
        </w:rPr>
        <w:t>Kołobrzegu/Morski Ośrodek Szkoleniowy</w:t>
      </w:r>
      <w:r w:rsidR="00D975EB">
        <w:rPr>
          <w:rFonts w:ascii="Arial" w:hAnsi="Arial" w:cs="Arial"/>
          <w:sz w:val="20"/>
          <w:szCs w:val="20"/>
        </w:rPr>
        <w:t xml:space="preserve"> w </w:t>
      </w:r>
      <w:r w:rsidRPr="004C6CC5">
        <w:rPr>
          <w:rFonts w:ascii="Arial" w:hAnsi="Arial" w:cs="Arial"/>
          <w:sz w:val="20"/>
          <w:szCs w:val="20"/>
        </w:rPr>
        <w:t>Kołobrzegu) prowadzą szkolenia</w:t>
      </w:r>
      <w:r w:rsidR="004C6CC5">
        <w:rPr>
          <w:rFonts w:ascii="Arial" w:hAnsi="Arial" w:cs="Arial"/>
          <w:sz w:val="20"/>
          <w:szCs w:val="20"/>
        </w:rPr>
        <w:t xml:space="preserve"> i </w:t>
      </w:r>
      <w:r w:rsidRPr="004C6CC5">
        <w:rPr>
          <w:rFonts w:ascii="Arial" w:hAnsi="Arial" w:cs="Arial"/>
          <w:sz w:val="20"/>
          <w:szCs w:val="20"/>
        </w:rPr>
        <w:t>przeszkolenia dla szeroko pojętej kadry gospodarki morskiej</w:t>
      </w:r>
      <w:r w:rsidR="004C6CC5">
        <w:rPr>
          <w:rFonts w:ascii="Arial" w:hAnsi="Arial" w:cs="Arial"/>
          <w:sz w:val="20"/>
          <w:szCs w:val="20"/>
        </w:rPr>
        <w:t xml:space="preserve"> w </w:t>
      </w:r>
      <w:r w:rsidRPr="004C6CC5">
        <w:rPr>
          <w:rFonts w:ascii="Arial" w:hAnsi="Arial" w:cs="Arial"/>
          <w:sz w:val="20"/>
          <w:szCs w:val="20"/>
        </w:rPr>
        <w:t>celu uzyskania wymaganych kwalifikacji zawodowych</w:t>
      </w:r>
      <w:r w:rsidR="00D975EB">
        <w:rPr>
          <w:rFonts w:ascii="Arial" w:hAnsi="Arial" w:cs="Arial"/>
          <w:sz w:val="20"/>
          <w:szCs w:val="20"/>
        </w:rPr>
        <w:t>, a także</w:t>
      </w:r>
      <w:r w:rsidR="004C6CC5">
        <w:rPr>
          <w:rFonts w:ascii="Arial" w:hAnsi="Arial" w:cs="Arial"/>
          <w:sz w:val="20"/>
          <w:szCs w:val="20"/>
        </w:rPr>
        <w:t xml:space="preserve"> w </w:t>
      </w:r>
      <w:r w:rsidRPr="004C6CC5">
        <w:rPr>
          <w:rFonts w:ascii="Arial" w:hAnsi="Arial" w:cs="Arial"/>
          <w:sz w:val="20"/>
          <w:szCs w:val="20"/>
        </w:rPr>
        <w:t>istotny sposób przyczyniają się do rozwoju gospodarki morskiej</w:t>
      </w:r>
      <w:r w:rsidR="004C6CC5">
        <w:rPr>
          <w:rFonts w:ascii="Arial" w:hAnsi="Arial" w:cs="Arial"/>
          <w:sz w:val="20"/>
          <w:szCs w:val="20"/>
        </w:rPr>
        <w:t xml:space="preserve"> w </w:t>
      </w:r>
      <w:r w:rsidRPr="004C6CC5">
        <w:rPr>
          <w:rFonts w:ascii="Arial" w:hAnsi="Arial" w:cs="Arial"/>
          <w:sz w:val="20"/>
          <w:szCs w:val="20"/>
        </w:rPr>
        <w:t>regionie. Ośrodki prowadziły również kursy dla pracowników instytucji</w:t>
      </w:r>
      <w:r w:rsidR="004C6CC5">
        <w:rPr>
          <w:rFonts w:ascii="Arial" w:hAnsi="Arial" w:cs="Arial"/>
          <w:sz w:val="20"/>
          <w:szCs w:val="20"/>
        </w:rPr>
        <w:t xml:space="preserve"> i </w:t>
      </w:r>
      <w:r w:rsidRPr="004C6CC5">
        <w:rPr>
          <w:rFonts w:ascii="Arial" w:hAnsi="Arial" w:cs="Arial"/>
          <w:sz w:val="20"/>
          <w:szCs w:val="20"/>
        </w:rPr>
        <w:t>organów nadzoru morskiego, służb ratowniczych oraz instytucji</w:t>
      </w:r>
      <w:r w:rsidR="004C6CC5">
        <w:rPr>
          <w:rFonts w:ascii="Arial" w:hAnsi="Arial" w:cs="Arial"/>
          <w:sz w:val="20"/>
          <w:szCs w:val="20"/>
        </w:rPr>
        <w:t xml:space="preserve"> i </w:t>
      </w:r>
      <w:r w:rsidRPr="004C6CC5">
        <w:rPr>
          <w:rFonts w:ascii="Arial" w:hAnsi="Arial" w:cs="Arial"/>
          <w:sz w:val="20"/>
          <w:szCs w:val="20"/>
        </w:rPr>
        <w:t>urzędów zajmujących się eksploracją</w:t>
      </w:r>
      <w:r w:rsidR="004C6CC5">
        <w:rPr>
          <w:rFonts w:ascii="Arial" w:hAnsi="Arial" w:cs="Arial"/>
          <w:sz w:val="20"/>
          <w:szCs w:val="20"/>
        </w:rPr>
        <w:t xml:space="preserve"> i </w:t>
      </w:r>
      <w:r w:rsidRPr="004C6CC5">
        <w:rPr>
          <w:rFonts w:ascii="Arial" w:hAnsi="Arial" w:cs="Arial"/>
          <w:sz w:val="20"/>
          <w:szCs w:val="20"/>
        </w:rPr>
        <w:t>ochroną zasobów morskich. Zapewnianie przez Ośrodki Akademii Morskiej wysokiego poziomu nauczania kadr ratowniczych</w:t>
      </w:r>
      <w:r w:rsidR="004C6CC5">
        <w:rPr>
          <w:rFonts w:ascii="Arial" w:hAnsi="Arial" w:cs="Arial"/>
          <w:sz w:val="20"/>
          <w:szCs w:val="20"/>
        </w:rPr>
        <w:t xml:space="preserve"> i </w:t>
      </w:r>
      <w:r w:rsidRPr="004C6CC5">
        <w:rPr>
          <w:rFonts w:ascii="Arial" w:hAnsi="Arial" w:cs="Arial"/>
          <w:sz w:val="20"/>
          <w:szCs w:val="20"/>
        </w:rPr>
        <w:t>porządkowych państwa wpływa na zapewnienie ładu publicznego</w:t>
      </w:r>
      <w:r w:rsidR="00F36CE9">
        <w:rPr>
          <w:rFonts w:ascii="Arial" w:hAnsi="Arial" w:cs="Arial"/>
          <w:sz w:val="20"/>
          <w:szCs w:val="20"/>
        </w:rPr>
        <w:t xml:space="preserve"> i </w:t>
      </w:r>
      <w:r w:rsidRPr="004C6CC5">
        <w:rPr>
          <w:rFonts w:ascii="Arial" w:hAnsi="Arial" w:cs="Arial"/>
          <w:sz w:val="20"/>
          <w:szCs w:val="20"/>
        </w:rPr>
        <w:t>bezpieczeństwa mieszkańców regionu. Szkolenia organizowane</w:t>
      </w:r>
      <w:r w:rsidR="004C6CC5">
        <w:rPr>
          <w:rFonts w:ascii="Arial" w:hAnsi="Arial" w:cs="Arial"/>
          <w:sz w:val="20"/>
          <w:szCs w:val="20"/>
        </w:rPr>
        <w:t xml:space="preserve"> w </w:t>
      </w:r>
      <w:r w:rsidRPr="004C6CC5">
        <w:rPr>
          <w:rFonts w:ascii="Arial" w:hAnsi="Arial" w:cs="Arial"/>
          <w:sz w:val="20"/>
          <w:szCs w:val="20"/>
        </w:rPr>
        <w:t>Ośrodkach prowadzone są na podstawie programów szkoleń przez wykwalifikowaną kadrę dydaktyczną</w:t>
      </w:r>
      <w:r w:rsidR="004C6CC5">
        <w:rPr>
          <w:rFonts w:ascii="Arial" w:hAnsi="Arial" w:cs="Arial"/>
          <w:sz w:val="20"/>
          <w:szCs w:val="20"/>
        </w:rPr>
        <w:t xml:space="preserve"> w </w:t>
      </w:r>
      <w:r w:rsidRPr="004C6CC5">
        <w:rPr>
          <w:rFonts w:ascii="Arial" w:hAnsi="Arial" w:cs="Arial"/>
          <w:sz w:val="20"/>
          <w:szCs w:val="20"/>
        </w:rPr>
        <w:t>odpowiednio wyposażonych salach</w:t>
      </w:r>
      <w:r w:rsidR="004C6CC5">
        <w:rPr>
          <w:rFonts w:ascii="Arial" w:hAnsi="Arial" w:cs="Arial"/>
          <w:sz w:val="20"/>
          <w:szCs w:val="20"/>
        </w:rPr>
        <w:t xml:space="preserve"> i </w:t>
      </w:r>
      <w:r w:rsidRPr="004C6CC5">
        <w:rPr>
          <w:rFonts w:ascii="Arial" w:hAnsi="Arial" w:cs="Arial"/>
          <w:sz w:val="20"/>
          <w:szCs w:val="20"/>
        </w:rPr>
        <w:t xml:space="preserve">na sprzęcie zapewniającym właściwe przeprowadzenia szkolenia. </w:t>
      </w:r>
    </w:p>
    <w:p w14:paraId="59A70868" w14:textId="1FA4DF0B" w:rsidR="007050BA" w:rsidRPr="004C6CC5" w:rsidRDefault="002E4FD3" w:rsidP="00F2632E">
      <w:pPr>
        <w:spacing w:before="120" w:after="120" w:line="276" w:lineRule="auto"/>
        <w:jc w:val="both"/>
        <w:rPr>
          <w:rFonts w:ascii="Arial" w:hAnsi="Arial" w:cs="Arial"/>
          <w:sz w:val="20"/>
          <w:szCs w:val="20"/>
        </w:rPr>
      </w:pPr>
      <w:r>
        <w:rPr>
          <w:rFonts w:ascii="Arial" w:hAnsi="Arial" w:cs="Arial"/>
          <w:sz w:val="20"/>
          <w:szCs w:val="20"/>
        </w:rPr>
        <w:t>W 2019 r.</w:t>
      </w:r>
      <w:r w:rsidR="007050BA" w:rsidRPr="004C6CC5">
        <w:rPr>
          <w:rFonts w:ascii="Arial" w:hAnsi="Arial" w:cs="Arial"/>
          <w:sz w:val="20"/>
          <w:szCs w:val="20"/>
        </w:rPr>
        <w:t xml:space="preserve"> ośrodki szkoleniowe AMS przeszkoliły 5 531 osób podczas 566 kursów. Wymierny wpływ na wysokie kwalifikacje zawodowe kadr morskich miało również praktyczne szkolenie studentów</w:t>
      </w:r>
      <w:r w:rsidR="004C6CC5">
        <w:rPr>
          <w:rFonts w:ascii="Arial" w:hAnsi="Arial" w:cs="Arial"/>
          <w:sz w:val="20"/>
          <w:szCs w:val="20"/>
        </w:rPr>
        <w:t xml:space="preserve"> i </w:t>
      </w:r>
      <w:r w:rsidR="007050BA" w:rsidRPr="004C6CC5">
        <w:rPr>
          <w:rFonts w:ascii="Arial" w:hAnsi="Arial" w:cs="Arial"/>
          <w:sz w:val="20"/>
          <w:szCs w:val="20"/>
        </w:rPr>
        <w:t>absolwentów Akademii. Obowiązek zapewnienia praktyk morskich</w:t>
      </w:r>
      <w:r w:rsidR="004C6CC5">
        <w:rPr>
          <w:rFonts w:ascii="Arial" w:hAnsi="Arial" w:cs="Arial"/>
          <w:sz w:val="20"/>
          <w:szCs w:val="20"/>
        </w:rPr>
        <w:t xml:space="preserve"> i </w:t>
      </w:r>
      <w:r w:rsidR="007050BA" w:rsidRPr="004C6CC5">
        <w:rPr>
          <w:rFonts w:ascii="Arial" w:hAnsi="Arial" w:cs="Arial"/>
          <w:sz w:val="20"/>
          <w:szCs w:val="20"/>
        </w:rPr>
        <w:t>lądowych s</w:t>
      </w:r>
      <w:r>
        <w:rPr>
          <w:rFonts w:ascii="Arial" w:hAnsi="Arial" w:cs="Arial"/>
          <w:sz w:val="20"/>
          <w:szCs w:val="20"/>
        </w:rPr>
        <w:t xml:space="preserve">poczywa na Dziale Spraw Morskich i </w:t>
      </w:r>
      <w:r w:rsidR="007050BA" w:rsidRPr="004C6CC5">
        <w:rPr>
          <w:rFonts w:ascii="Arial" w:hAnsi="Arial" w:cs="Arial"/>
          <w:sz w:val="20"/>
          <w:szCs w:val="20"/>
        </w:rPr>
        <w:t>Praktyk.</w:t>
      </w:r>
      <w:r>
        <w:rPr>
          <w:rFonts w:ascii="Arial" w:hAnsi="Arial" w:cs="Arial"/>
          <w:sz w:val="20"/>
          <w:szCs w:val="20"/>
        </w:rPr>
        <w:t xml:space="preserve"> W</w:t>
      </w:r>
      <w:r w:rsidR="004C6CC5">
        <w:rPr>
          <w:rFonts w:ascii="Arial" w:hAnsi="Arial" w:cs="Arial"/>
          <w:sz w:val="20"/>
          <w:szCs w:val="20"/>
        </w:rPr>
        <w:t> </w:t>
      </w:r>
      <w:r w:rsidR="007050BA" w:rsidRPr="004C6CC5">
        <w:rPr>
          <w:rFonts w:ascii="Arial" w:hAnsi="Arial" w:cs="Arial"/>
          <w:sz w:val="20"/>
          <w:szCs w:val="20"/>
        </w:rPr>
        <w:t>2019 roku praktyki studenckie zrealizowało</w:t>
      </w:r>
      <w:r w:rsidR="00B66FCE" w:rsidRPr="004C6CC5">
        <w:rPr>
          <w:rFonts w:ascii="Arial" w:hAnsi="Arial" w:cs="Arial"/>
          <w:sz w:val="20"/>
          <w:szCs w:val="20"/>
        </w:rPr>
        <w:t xml:space="preserve"> 1 </w:t>
      </w:r>
      <w:r w:rsidR="007050BA" w:rsidRPr="004C6CC5">
        <w:rPr>
          <w:rFonts w:ascii="Arial" w:hAnsi="Arial" w:cs="Arial"/>
          <w:sz w:val="20"/>
          <w:szCs w:val="20"/>
        </w:rPr>
        <w:t>313 studentów</w:t>
      </w:r>
      <w:r w:rsidR="004C6CC5">
        <w:rPr>
          <w:rFonts w:ascii="Arial" w:hAnsi="Arial" w:cs="Arial"/>
          <w:sz w:val="20"/>
          <w:szCs w:val="20"/>
        </w:rPr>
        <w:t xml:space="preserve"> i </w:t>
      </w:r>
      <w:r w:rsidR="007050BA" w:rsidRPr="004C6CC5">
        <w:rPr>
          <w:rFonts w:ascii="Arial" w:hAnsi="Arial" w:cs="Arial"/>
          <w:sz w:val="20"/>
          <w:szCs w:val="20"/>
        </w:rPr>
        <w:t>absolwentów.</w:t>
      </w:r>
    </w:p>
    <w:p w14:paraId="77FA54FF" w14:textId="6990D2FE" w:rsidR="007050BA" w:rsidRPr="004C6CC5" w:rsidRDefault="007050BA" w:rsidP="00F2632E">
      <w:pPr>
        <w:spacing w:before="120" w:after="120" w:line="276" w:lineRule="auto"/>
        <w:jc w:val="both"/>
        <w:rPr>
          <w:rFonts w:ascii="Arial" w:hAnsi="Arial" w:cs="Arial"/>
          <w:sz w:val="20"/>
          <w:szCs w:val="20"/>
        </w:rPr>
      </w:pPr>
      <w:r w:rsidRPr="004C6CC5">
        <w:rPr>
          <w:rFonts w:ascii="Arial" w:hAnsi="Arial" w:cs="Arial"/>
          <w:sz w:val="20"/>
          <w:szCs w:val="20"/>
        </w:rPr>
        <w:t>Studium Nauki Języków Obcych prowadziło kursy doszkalające</w:t>
      </w:r>
      <w:r w:rsidR="004C6CC5">
        <w:rPr>
          <w:rFonts w:ascii="Arial" w:hAnsi="Arial" w:cs="Arial"/>
          <w:sz w:val="20"/>
          <w:szCs w:val="20"/>
        </w:rPr>
        <w:t xml:space="preserve"> z </w:t>
      </w:r>
      <w:r w:rsidRPr="004C6CC5">
        <w:rPr>
          <w:rFonts w:ascii="Arial" w:hAnsi="Arial" w:cs="Arial"/>
          <w:sz w:val="20"/>
          <w:szCs w:val="20"/>
        </w:rPr>
        <w:t>morskiego języka angielskiego dla pracowników sektora gospodarki morskiej.</w:t>
      </w:r>
      <w:r w:rsidR="00543AD3">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uczelni działa również Maritime English Center, które jest akredytowanym Centrum Egzaminacyjnym Marlins, weryfikującym znajomość rejestru morskiego języka angielskiego oraz wydającym certyfikaty językowe zgodne</w:t>
      </w:r>
      <w:r w:rsidR="004C6CC5">
        <w:rPr>
          <w:rFonts w:ascii="Arial" w:hAnsi="Arial" w:cs="Arial"/>
          <w:sz w:val="20"/>
          <w:szCs w:val="20"/>
        </w:rPr>
        <w:t xml:space="preserve"> z </w:t>
      </w:r>
      <w:r w:rsidRPr="004C6CC5">
        <w:rPr>
          <w:rFonts w:ascii="Arial" w:hAnsi="Arial" w:cs="Arial"/>
          <w:sz w:val="20"/>
          <w:szCs w:val="20"/>
        </w:rPr>
        <w:t>wymogami MCA.</w:t>
      </w:r>
    </w:p>
    <w:p w14:paraId="201E6FA2" w14:textId="77777777" w:rsidR="00F2632E" w:rsidRDefault="007050BA" w:rsidP="00D04571">
      <w:pPr>
        <w:pStyle w:val="Akapitzlist"/>
        <w:spacing w:before="120" w:after="120" w:line="276" w:lineRule="auto"/>
        <w:ind w:left="0"/>
        <w:jc w:val="both"/>
        <w:rPr>
          <w:rFonts w:ascii="Arial" w:hAnsi="Arial" w:cs="Arial"/>
          <w:sz w:val="20"/>
          <w:szCs w:val="20"/>
        </w:rPr>
      </w:pPr>
      <w:r w:rsidRPr="004C6CC5">
        <w:rPr>
          <w:rFonts w:ascii="Arial" w:hAnsi="Arial" w:cs="Arial"/>
          <w:sz w:val="20"/>
          <w:szCs w:val="20"/>
        </w:rPr>
        <w:t>Biuro Karier Akademii Morskiej</w:t>
      </w:r>
      <w:r w:rsidR="004C6CC5">
        <w:rPr>
          <w:rFonts w:ascii="Arial" w:hAnsi="Arial" w:cs="Arial"/>
          <w:sz w:val="20"/>
          <w:szCs w:val="20"/>
        </w:rPr>
        <w:t xml:space="preserve"> w </w:t>
      </w:r>
      <w:r w:rsidRPr="004C6CC5">
        <w:rPr>
          <w:rFonts w:ascii="Arial" w:hAnsi="Arial" w:cs="Arial"/>
          <w:sz w:val="20"/>
          <w:szCs w:val="20"/>
        </w:rPr>
        <w:t>Szczecinie wzięło także udział</w:t>
      </w:r>
      <w:r w:rsidR="004C6CC5">
        <w:rPr>
          <w:rFonts w:ascii="Arial" w:hAnsi="Arial" w:cs="Arial"/>
          <w:sz w:val="20"/>
          <w:szCs w:val="20"/>
        </w:rPr>
        <w:t xml:space="preserve"> w </w:t>
      </w:r>
      <w:r w:rsidRPr="004C6CC5">
        <w:rPr>
          <w:rFonts w:ascii="Arial" w:hAnsi="Arial" w:cs="Arial"/>
          <w:sz w:val="20"/>
          <w:szCs w:val="20"/>
        </w:rPr>
        <w:t xml:space="preserve">IV </w:t>
      </w:r>
      <w:r w:rsidR="00A62571">
        <w:rPr>
          <w:rFonts w:ascii="Arial" w:hAnsi="Arial" w:cs="Arial"/>
          <w:sz w:val="20"/>
          <w:szCs w:val="20"/>
        </w:rPr>
        <w:t>Ogólnopolskiej Konferencji ABK „</w:t>
      </w:r>
      <w:r w:rsidRPr="004C6CC5">
        <w:rPr>
          <w:rFonts w:ascii="Arial" w:hAnsi="Arial" w:cs="Arial"/>
          <w:sz w:val="20"/>
          <w:szCs w:val="20"/>
        </w:rPr>
        <w:t>Biura Karier 2.0 - moc współpr</w:t>
      </w:r>
      <w:r w:rsidR="00A62571">
        <w:rPr>
          <w:rFonts w:ascii="Arial" w:hAnsi="Arial" w:cs="Arial"/>
          <w:sz w:val="20"/>
          <w:szCs w:val="20"/>
        </w:rPr>
        <w:t>acy na współczesnym rynku pracy”</w:t>
      </w:r>
      <w:r w:rsidRPr="004C6CC5">
        <w:rPr>
          <w:rFonts w:ascii="Arial" w:hAnsi="Arial" w:cs="Arial"/>
          <w:sz w:val="20"/>
          <w:szCs w:val="20"/>
        </w:rPr>
        <w:t xml:space="preserve"> jako współorganizator</w:t>
      </w:r>
      <w:r w:rsidR="004C6CC5">
        <w:rPr>
          <w:rFonts w:ascii="Arial" w:hAnsi="Arial" w:cs="Arial"/>
          <w:sz w:val="20"/>
          <w:szCs w:val="20"/>
        </w:rPr>
        <w:t xml:space="preserve"> w </w:t>
      </w:r>
      <w:r w:rsidRPr="004C6CC5">
        <w:rPr>
          <w:rFonts w:ascii="Arial" w:hAnsi="Arial" w:cs="Arial"/>
          <w:sz w:val="20"/>
          <w:szCs w:val="20"/>
        </w:rPr>
        <w:t xml:space="preserve">ramach </w:t>
      </w:r>
      <w:r w:rsidRPr="004C6CC5">
        <w:rPr>
          <w:rFonts w:ascii="Arial" w:hAnsi="Arial" w:cs="Arial"/>
          <w:sz w:val="20"/>
          <w:szCs w:val="20"/>
        </w:rPr>
        <w:lastRenderedPageBreak/>
        <w:t>Zachodniopomorskiej Sieci Biur Karier oraz</w:t>
      </w:r>
      <w:r w:rsidR="004C6CC5">
        <w:rPr>
          <w:rFonts w:ascii="Arial" w:hAnsi="Arial" w:cs="Arial"/>
          <w:sz w:val="20"/>
          <w:szCs w:val="20"/>
        </w:rPr>
        <w:t xml:space="preserve"> w </w:t>
      </w:r>
      <w:r w:rsidRPr="004C6CC5">
        <w:rPr>
          <w:rFonts w:ascii="Arial" w:hAnsi="Arial" w:cs="Arial"/>
          <w:sz w:val="20"/>
          <w:szCs w:val="20"/>
        </w:rPr>
        <w:t>targach Ocean Business</w:t>
      </w:r>
      <w:r w:rsidR="004C6CC5">
        <w:rPr>
          <w:rFonts w:ascii="Arial" w:hAnsi="Arial" w:cs="Arial"/>
          <w:sz w:val="20"/>
          <w:szCs w:val="20"/>
        </w:rPr>
        <w:t xml:space="preserve"> w </w:t>
      </w:r>
      <w:r w:rsidRPr="004C6CC5">
        <w:rPr>
          <w:rFonts w:ascii="Arial" w:hAnsi="Arial" w:cs="Arial"/>
          <w:sz w:val="20"/>
          <w:szCs w:val="20"/>
        </w:rPr>
        <w:t>Southampton. Uczelnia prezentowała swój potencjał podczas spotkań</w:t>
      </w:r>
      <w:r w:rsidR="004C6CC5">
        <w:rPr>
          <w:rFonts w:ascii="Arial" w:hAnsi="Arial" w:cs="Arial"/>
          <w:sz w:val="20"/>
          <w:szCs w:val="20"/>
        </w:rPr>
        <w:t xml:space="preserve"> z </w:t>
      </w:r>
      <w:r w:rsidRPr="004C6CC5">
        <w:rPr>
          <w:rFonts w:ascii="Arial" w:hAnsi="Arial" w:cs="Arial"/>
          <w:sz w:val="20"/>
          <w:szCs w:val="20"/>
        </w:rPr>
        <w:t>delegacjami</w:t>
      </w:r>
      <w:r w:rsidR="004C6CC5">
        <w:rPr>
          <w:rFonts w:ascii="Arial" w:hAnsi="Arial" w:cs="Arial"/>
          <w:sz w:val="20"/>
          <w:szCs w:val="20"/>
        </w:rPr>
        <w:t xml:space="preserve"> z </w:t>
      </w:r>
      <w:r w:rsidRPr="004C6CC5">
        <w:rPr>
          <w:rFonts w:ascii="Arial" w:hAnsi="Arial" w:cs="Arial"/>
          <w:sz w:val="20"/>
          <w:szCs w:val="20"/>
        </w:rPr>
        <w:t>różnych państw, m.</w:t>
      </w:r>
      <w:r w:rsidR="00A62571">
        <w:rPr>
          <w:rFonts w:ascii="Arial" w:hAnsi="Arial" w:cs="Arial"/>
          <w:sz w:val="20"/>
          <w:szCs w:val="20"/>
        </w:rPr>
        <w:t>in.</w:t>
      </w:r>
      <w:r w:rsidRPr="004C6CC5">
        <w:rPr>
          <w:rFonts w:ascii="Arial" w:hAnsi="Arial" w:cs="Arial"/>
          <w:sz w:val="20"/>
          <w:szCs w:val="20"/>
        </w:rPr>
        <w:t xml:space="preserve"> Chin, Hiszpanii, Belgii, Niemiec oraz podczas spotkań branży morskiej np. Herring 2019 oraz Dni Morza. </w:t>
      </w:r>
    </w:p>
    <w:p w14:paraId="101A9027" w14:textId="77777777" w:rsidR="009014D0" w:rsidRDefault="009014D0" w:rsidP="00D04571">
      <w:pPr>
        <w:pStyle w:val="Akapitzlist"/>
        <w:spacing w:before="120" w:after="120" w:line="276" w:lineRule="auto"/>
        <w:ind w:left="0"/>
        <w:jc w:val="both"/>
        <w:rPr>
          <w:rFonts w:ascii="Arial" w:hAnsi="Arial" w:cs="Arial"/>
          <w:sz w:val="20"/>
          <w:szCs w:val="20"/>
        </w:rPr>
      </w:pPr>
    </w:p>
    <w:p w14:paraId="599BA4F5" w14:textId="4AAD5F76" w:rsidR="007050BA" w:rsidRPr="004C6CC5" w:rsidRDefault="007050BA" w:rsidP="00D04571">
      <w:pPr>
        <w:pStyle w:val="Akapitzlist"/>
        <w:spacing w:before="120" w:after="120" w:line="276" w:lineRule="auto"/>
        <w:ind w:left="0"/>
        <w:jc w:val="both"/>
        <w:rPr>
          <w:rFonts w:ascii="Arial" w:hAnsi="Arial" w:cs="Arial"/>
          <w:sz w:val="20"/>
          <w:szCs w:val="20"/>
        </w:rPr>
      </w:pPr>
      <w:r w:rsidRPr="004C6CC5">
        <w:rPr>
          <w:rFonts w:ascii="Arial" w:hAnsi="Arial" w:cs="Arial"/>
          <w:sz w:val="20"/>
          <w:szCs w:val="20"/>
        </w:rPr>
        <w:t>Uczelnia</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współpracowała</w:t>
      </w:r>
      <w:r w:rsidR="004C6CC5">
        <w:rPr>
          <w:rFonts w:ascii="Arial" w:hAnsi="Arial" w:cs="Arial"/>
          <w:sz w:val="20"/>
          <w:szCs w:val="20"/>
        </w:rPr>
        <w:t xml:space="preserve"> z </w:t>
      </w:r>
      <w:r w:rsidRPr="004C6CC5">
        <w:rPr>
          <w:rFonts w:ascii="Arial" w:hAnsi="Arial" w:cs="Arial"/>
          <w:sz w:val="20"/>
          <w:szCs w:val="20"/>
        </w:rPr>
        <w:t>firmami działającymi</w:t>
      </w:r>
      <w:r w:rsidR="004C6CC5">
        <w:rPr>
          <w:rFonts w:ascii="Arial" w:hAnsi="Arial" w:cs="Arial"/>
          <w:sz w:val="20"/>
          <w:szCs w:val="20"/>
        </w:rPr>
        <w:t xml:space="preserve"> w </w:t>
      </w:r>
      <w:r w:rsidRPr="004C6CC5">
        <w:rPr>
          <w:rFonts w:ascii="Arial" w:hAnsi="Arial" w:cs="Arial"/>
          <w:sz w:val="20"/>
          <w:szCs w:val="20"/>
        </w:rPr>
        <w:t>branży morskiej, obsługującej technicznie</w:t>
      </w:r>
      <w:r w:rsidR="004C6CC5">
        <w:rPr>
          <w:rFonts w:ascii="Arial" w:hAnsi="Arial" w:cs="Arial"/>
          <w:sz w:val="20"/>
          <w:szCs w:val="20"/>
        </w:rPr>
        <w:t xml:space="preserve"> i </w:t>
      </w:r>
      <w:r w:rsidRPr="004C6CC5">
        <w:rPr>
          <w:rFonts w:ascii="Arial" w:hAnsi="Arial" w:cs="Arial"/>
          <w:sz w:val="20"/>
          <w:szCs w:val="20"/>
        </w:rPr>
        <w:t>sprzętowo, np. statki, symulatory, itp.: Enamor, Alphatron, Kongsberg.</w:t>
      </w:r>
      <w:r w:rsidR="00543AD3">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tym samym roku podpisano również porozumienia o współpracy m.in.</w:t>
      </w:r>
      <w:r w:rsidR="004C6CC5">
        <w:rPr>
          <w:rFonts w:ascii="Arial" w:hAnsi="Arial" w:cs="Arial"/>
          <w:sz w:val="20"/>
          <w:szCs w:val="20"/>
        </w:rPr>
        <w:t xml:space="preserve"> z </w:t>
      </w:r>
      <w:r w:rsidRPr="004C6CC5">
        <w:rPr>
          <w:rFonts w:ascii="Arial" w:hAnsi="Arial" w:cs="Arial"/>
          <w:sz w:val="20"/>
          <w:szCs w:val="20"/>
        </w:rPr>
        <w:t>Urzędem Żeglugi Śródlądowej, RZGW Wody Polskie, InterOceanMetal, Mevo S.A. oraz Państwowym Instytutem Geologicznym</w:t>
      </w:r>
      <w:r w:rsidR="000A509D">
        <w:rPr>
          <w:rFonts w:ascii="Arial" w:hAnsi="Arial" w:cs="Arial"/>
          <w:sz w:val="20"/>
          <w:szCs w:val="20"/>
        </w:rPr>
        <w:t xml:space="preserve"> </w:t>
      </w:r>
      <w:r w:rsidR="00531D0A">
        <w:rPr>
          <w:rFonts w:ascii="Arial" w:hAnsi="Arial" w:cs="Arial"/>
          <w:sz w:val="20"/>
          <w:szCs w:val="20"/>
        </w:rPr>
        <w:t>–</w:t>
      </w:r>
      <w:r w:rsidR="000A509D">
        <w:rPr>
          <w:rFonts w:ascii="Arial" w:hAnsi="Arial" w:cs="Arial"/>
          <w:sz w:val="20"/>
          <w:szCs w:val="20"/>
        </w:rPr>
        <w:t xml:space="preserve"> P</w:t>
      </w:r>
      <w:r w:rsidR="00531D0A">
        <w:rPr>
          <w:rFonts w:ascii="Arial" w:hAnsi="Arial" w:cs="Arial"/>
          <w:sz w:val="20"/>
          <w:szCs w:val="20"/>
        </w:rPr>
        <w:t xml:space="preserve">aństwowym </w:t>
      </w:r>
      <w:r w:rsidR="000A509D">
        <w:rPr>
          <w:rFonts w:ascii="Arial" w:hAnsi="Arial" w:cs="Arial"/>
          <w:sz w:val="20"/>
          <w:szCs w:val="20"/>
        </w:rPr>
        <w:t>I</w:t>
      </w:r>
      <w:r w:rsidR="00531D0A">
        <w:rPr>
          <w:rFonts w:ascii="Arial" w:hAnsi="Arial" w:cs="Arial"/>
          <w:sz w:val="20"/>
          <w:szCs w:val="20"/>
        </w:rPr>
        <w:t xml:space="preserve">nstytutem </w:t>
      </w:r>
      <w:r w:rsidR="000A509D">
        <w:rPr>
          <w:rFonts w:ascii="Arial" w:hAnsi="Arial" w:cs="Arial"/>
          <w:sz w:val="20"/>
          <w:szCs w:val="20"/>
        </w:rPr>
        <w:t>B</w:t>
      </w:r>
      <w:r w:rsidR="00531D0A">
        <w:rPr>
          <w:rFonts w:ascii="Arial" w:hAnsi="Arial" w:cs="Arial"/>
          <w:sz w:val="20"/>
          <w:szCs w:val="20"/>
        </w:rPr>
        <w:t>adawczym</w:t>
      </w:r>
      <w:r w:rsidRPr="004C6CC5">
        <w:rPr>
          <w:rFonts w:ascii="Arial" w:hAnsi="Arial" w:cs="Arial"/>
          <w:sz w:val="20"/>
          <w:szCs w:val="20"/>
        </w:rPr>
        <w:t xml:space="preserve">. </w:t>
      </w:r>
    </w:p>
    <w:p w14:paraId="7B26127A" w14:textId="00097A27" w:rsidR="007050BA" w:rsidRPr="004C6CC5" w:rsidRDefault="007050BA" w:rsidP="00D04571">
      <w:pPr>
        <w:pStyle w:val="Akapitzlist"/>
        <w:spacing w:before="120" w:after="120" w:line="276" w:lineRule="auto"/>
        <w:ind w:left="0"/>
        <w:jc w:val="both"/>
        <w:rPr>
          <w:rFonts w:ascii="Arial" w:hAnsi="Arial" w:cs="Arial"/>
          <w:sz w:val="20"/>
          <w:szCs w:val="20"/>
        </w:rPr>
      </w:pPr>
      <w:r w:rsidRPr="004C6CC5">
        <w:rPr>
          <w:rFonts w:ascii="Arial" w:hAnsi="Arial" w:cs="Arial"/>
          <w:sz w:val="20"/>
          <w:szCs w:val="20"/>
        </w:rPr>
        <w:t>Celem promocji swoich osiągnięć technicznych, Akademia Morska</w:t>
      </w:r>
      <w:r w:rsidR="004C6CC5">
        <w:rPr>
          <w:rFonts w:ascii="Arial" w:hAnsi="Arial" w:cs="Arial"/>
          <w:sz w:val="20"/>
          <w:szCs w:val="20"/>
        </w:rPr>
        <w:t xml:space="preserve"> w </w:t>
      </w:r>
      <w:r w:rsidRPr="004C6CC5">
        <w:rPr>
          <w:rFonts w:ascii="Arial" w:hAnsi="Arial" w:cs="Arial"/>
          <w:sz w:val="20"/>
          <w:szCs w:val="20"/>
        </w:rPr>
        <w:t>Szczecinie wzięła udział</w:t>
      </w:r>
      <w:r w:rsidR="004C6CC5">
        <w:rPr>
          <w:rFonts w:ascii="Arial" w:hAnsi="Arial" w:cs="Arial"/>
          <w:sz w:val="20"/>
          <w:szCs w:val="20"/>
        </w:rPr>
        <w:t xml:space="preserve"> w </w:t>
      </w:r>
      <w:r w:rsidRPr="004C6CC5">
        <w:rPr>
          <w:rFonts w:ascii="Arial" w:hAnsi="Arial" w:cs="Arial"/>
          <w:sz w:val="20"/>
          <w:szCs w:val="20"/>
        </w:rPr>
        <w:t>Międzynarodowych targach morskich BALTEXPO 2019, które odbyły się</w:t>
      </w:r>
      <w:r w:rsidR="004C6CC5">
        <w:rPr>
          <w:rFonts w:ascii="Arial" w:hAnsi="Arial" w:cs="Arial"/>
          <w:sz w:val="20"/>
          <w:szCs w:val="20"/>
        </w:rPr>
        <w:t xml:space="preserve"> w </w:t>
      </w:r>
      <w:r w:rsidR="00F2632E">
        <w:rPr>
          <w:rFonts w:ascii="Arial" w:hAnsi="Arial" w:cs="Arial"/>
          <w:sz w:val="20"/>
          <w:szCs w:val="20"/>
        </w:rPr>
        <w:t>dniach</w:t>
      </w:r>
      <w:r w:rsidRPr="004C6CC5">
        <w:rPr>
          <w:rFonts w:ascii="Arial" w:hAnsi="Arial" w:cs="Arial"/>
          <w:sz w:val="20"/>
          <w:szCs w:val="20"/>
        </w:rPr>
        <w:t xml:space="preserve"> 8-11 września 2019</w:t>
      </w:r>
      <w:r w:rsidR="009D01B9" w:rsidRPr="004C6CC5">
        <w:rPr>
          <w:rFonts w:ascii="Arial" w:hAnsi="Arial" w:cs="Arial"/>
          <w:sz w:val="20"/>
          <w:szCs w:val="20"/>
        </w:rPr>
        <w:t xml:space="preserve"> r.</w:t>
      </w:r>
      <w:r w:rsidR="004C6CC5">
        <w:rPr>
          <w:rFonts w:ascii="Arial" w:hAnsi="Arial" w:cs="Arial"/>
          <w:sz w:val="20"/>
          <w:szCs w:val="20"/>
        </w:rPr>
        <w:t xml:space="preserve"> w </w:t>
      </w:r>
      <w:r w:rsidR="006F1214">
        <w:rPr>
          <w:rFonts w:ascii="Arial" w:hAnsi="Arial" w:cs="Arial"/>
          <w:sz w:val="20"/>
          <w:szCs w:val="20"/>
        </w:rPr>
        <w:t xml:space="preserve">Gdańsku. </w:t>
      </w:r>
      <w:r w:rsidRPr="004C6CC5">
        <w:rPr>
          <w:rFonts w:ascii="Arial" w:hAnsi="Arial" w:cs="Arial"/>
          <w:sz w:val="20"/>
          <w:szCs w:val="20"/>
        </w:rPr>
        <w:t>Promując edukację</w:t>
      </w:r>
      <w:r w:rsidR="004C6CC5">
        <w:rPr>
          <w:rFonts w:ascii="Arial" w:hAnsi="Arial" w:cs="Arial"/>
          <w:sz w:val="20"/>
          <w:szCs w:val="20"/>
        </w:rPr>
        <w:t xml:space="preserve"> i </w:t>
      </w:r>
      <w:r w:rsidRPr="004C6CC5">
        <w:rPr>
          <w:rFonts w:ascii="Arial" w:hAnsi="Arial" w:cs="Arial"/>
          <w:sz w:val="20"/>
          <w:szCs w:val="20"/>
        </w:rPr>
        <w:t>naukę morską</w:t>
      </w:r>
      <w:r w:rsidR="004C6CC5">
        <w:rPr>
          <w:rFonts w:ascii="Arial" w:hAnsi="Arial" w:cs="Arial"/>
          <w:sz w:val="20"/>
          <w:szCs w:val="20"/>
        </w:rPr>
        <w:t xml:space="preserve"> w </w:t>
      </w:r>
      <w:r w:rsidRPr="004C6CC5">
        <w:rPr>
          <w:rFonts w:ascii="Arial" w:hAnsi="Arial" w:cs="Arial"/>
          <w:sz w:val="20"/>
          <w:szCs w:val="20"/>
        </w:rPr>
        <w:t>społeczeństwie (w szczególności dla dzieci</w:t>
      </w:r>
      <w:r w:rsidR="004C6CC5">
        <w:rPr>
          <w:rFonts w:ascii="Arial" w:hAnsi="Arial" w:cs="Arial"/>
          <w:sz w:val="20"/>
          <w:szCs w:val="20"/>
        </w:rPr>
        <w:t xml:space="preserve"> i </w:t>
      </w:r>
      <w:r w:rsidRPr="004C6CC5">
        <w:rPr>
          <w:rFonts w:ascii="Arial" w:hAnsi="Arial" w:cs="Arial"/>
          <w:sz w:val="20"/>
          <w:szCs w:val="20"/>
        </w:rPr>
        <w:t>młodzieży) uczelnia aktywnie uczestniczyła</w:t>
      </w:r>
      <w:r w:rsidR="004C6CC5">
        <w:rPr>
          <w:rFonts w:ascii="Arial" w:hAnsi="Arial" w:cs="Arial"/>
          <w:sz w:val="20"/>
          <w:szCs w:val="20"/>
        </w:rPr>
        <w:t xml:space="preserve"> w </w:t>
      </w:r>
      <w:r w:rsidRPr="004C6CC5">
        <w:rPr>
          <w:rFonts w:ascii="Arial" w:hAnsi="Arial" w:cs="Arial"/>
          <w:sz w:val="20"/>
          <w:szCs w:val="20"/>
        </w:rPr>
        <w:t>realizacji Morskiego Centrum Nauki im. prof. Jerzego Stelmacha</w:t>
      </w:r>
      <w:r w:rsidR="004C6CC5">
        <w:rPr>
          <w:rFonts w:ascii="Arial" w:hAnsi="Arial" w:cs="Arial"/>
          <w:sz w:val="20"/>
          <w:szCs w:val="20"/>
        </w:rPr>
        <w:t xml:space="preserve"> w </w:t>
      </w:r>
      <w:r w:rsidRPr="004C6CC5">
        <w:rPr>
          <w:rFonts w:ascii="Arial" w:hAnsi="Arial" w:cs="Arial"/>
          <w:sz w:val="20"/>
          <w:szCs w:val="20"/>
        </w:rPr>
        <w:t>Szczecinie budowanego ze środków samorządu województwa Zachodniopomorskiego (rola opiniodawcy</w:t>
      </w:r>
      <w:r w:rsidR="004C6CC5">
        <w:rPr>
          <w:rFonts w:ascii="Arial" w:hAnsi="Arial" w:cs="Arial"/>
          <w:sz w:val="20"/>
          <w:szCs w:val="20"/>
        </w:rPr>
        <w:t xml:space="preserve"> w </w:t>
      </w:r>
      <w:r w:rsidRPr="004C6CC5">
        <w:rPr>
          <w:rFonts w:ascii="Arial" w:hAnsi="Arial" w:cs="Arial"/>
          <w:sz w:val="20"/>
          <w:szCs w:val="20"/>
        </w:rPr>
        <w:t>Radzie Programowej, prowadzenie zajęć</w:t>
      </w:r>
      <w:r w:rsidR="004C6CC5">
        <w:rPr>
          <w:rFonts w:ascii="Arial" w:hAnsi="Arial" w:cs="Arial"/>
          <w:sz w:val="20"/>
          <w:szCs w:val="20"/>
        </w:rPr>
        <w:t xml:space="preserve"> w </w:t>
      </w:r>
      <w:r w:rsidRPr="004C6CC5">
        <w:rPr>
          <w:rFonts w:ascii="Arial" w:hAnsi="Arial" w:cs="Arial"/>
          <w:sz w:val="20"/>
          <w:szCs w:val="20"/>
        </w:rPr>
        <w:t>Uniwersytecie Jungów).</w:t>
      </w:r>
    </w:p>
    <w:p w14:paraId="7E9FC87B" w14:textId="62287105" w:rsidR="007050BA" w:rsidRPr="004C6CC5" w:rsidRDefault="007050BA" w:rsidP="00D04571">
      <w:pPr>
        <w:pStyle w:val="Akapitzlist"/>
        <w:spacing w:before="120" w:after="120" w:line="276" w:lineRule="auto"/>
        <w:ind w:left="0"/>
        <w:jc w:val="both"/>
        <w:rPr>
          <w:rFonts w:ascii="Arial" w:hAnsi="Arial" w:cs="Arial"/>
          <w:sz w:val="20"/>
          <w:szCs w:val="20"/>
        </w:rPr>
      </w:pPr>
      <w:r w:rsidRPr="004C6CC5">
        <w:rPr>
          <w:rFonts w:ascii="Arial" w:hAnsi="Arial" w:cs="Arial"/>
          <w:sz w:val="20"/>
          <w:szCs w:val="20"/>
        </w:rPr>
        <w:t>Akademia Morska</w:t>
      </w:r>
      <w:r w:rsidR="004C6CC5">
        <w:rPr>
          <w:rFonts w:ascii="Arial" w:hAnsi="Arial" w:cs="Arial"/>
          <w:sz w:val="20"/>
          <w:szCs w:val="20"/>
        </w:rPr>
        <w:t xml:space="preserve"> w </w:t>
      </w:r>
      <w:r w:rsidRPr="004C6CC5">
        <w:rPr>
          <w:rFonts w:ascii="Arial" w:hAnsi="Arial" w:cs="Arial"/>
          <w:sz w:val="20"/>
          <w:szCs w:val="20"/>
        </w:rPr>
        <w:t>Szczecinie każdego roku dokonuje wynalazków</w:t>
      </w:r>
      <w:r w:rsidR="004C6CC5">
        <w:rPr>
          <w:rFonts w:ascii="Arial" w:hAnsi="Arial" w:cs="Arial"/>
          <w:sz w:val="20"/>
          <w:szCs w:val="20"/>
        </w:rPr>
        <w:t xml:space="preserve"> w </w:t>
      </w:r>
      <w:r w:rsidR="00D04571">
        <w:rPr>
          <w:rFonts w:ascii="Arial" w:hAnsi="Arial" w:cs="Arial"/>
          <w:sz w:val="20"/>
          <w:szCs w:val="20"/>
        </w:rPr>
        <w:t>dziedzinie nauk technicznych, a</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uczelnia otrzymała patenty na:</w:t>
      </w:r>
    </w:p>
    <w:p w14:paraId="52DB01C1" w14:textId="6A8F00DA" w:rsidR="007050BA" w:rsidRPr="004C6CC5" w:rsidRDefault="00D10F5C" w:rsidP="00D04571">
      <w:pPr>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7050BA" w:rsidRPr="004C6CC5">
        <w:rPr>
          <w:rFonts w:ascii="Arial" w:hAnsi="Arial" w:cs="Arial"/>
          <w:sz w:val="20"/>
          <w:szCs w:val="20"/>
        </w:rPr>
        <w:t>Sposób wzorcowania układu sensorów do pomiaru mimośrodowości wirującego wału zwłaszcza wału łożyska ślizgowego</w:t>
      </w:r>
      <w:r w:rsidR="004C6CC5">
        <w:rPr>
          <w:rFonts w:ascii="Arial" w:hAnsi="Arial" w:cs="Arial"/>
          <w:sz w:val="20"/>
          <w:szCs w:val="20"/>
        </w:rPr>
        <w:t xml:space="preserve"> z </w:t>
      </w:r>
      <w:r w:rsidR="007050BA" w:rsidRPr="004C6CC5">
        <w:rPr>
          <w:rFonts w:ascii="Arial" w:hAnsi="Arial" w:cs="Arial"/>
          <w:sz w:val="20"/>
          <w:szCs w:val="20"/>
        </w:rPr>
        <w:t>uszczelnieniem promieniowym (patent krajowy);</w:t>
      </w:r>
    </w:p>
    <w:p w14:paraId="36DF38AF" w14:textId="0B20A4E2" w:rsidR="007050BA" w:rsidRPr="004C6CC5" w:rsidRDefault="00D10F5C" w:rsidP="00D04571">
      <w:pPr>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7050BA" w:rsidRPr="004C6CC5">
        <w:rPr>
          <w:rFonts w:ascii="Arial" w:hAnsi="Arial" w:cs="Arial"/>
          <w:sz w:val="20"/>
          <w:szCs w:val="20"/>
        </w:rPr>
        <w:t>Sposób separacji składników kompozytów opakowaniowych zawierających celulozę, aluminium</w:t>
      </w:r>
      <w:r w:rsidR="004C6CC5">
        <w:rPr>
          <w:rFonts w:ascii="Arial" w:hAnsi="Arial" w:cs="Arial"/>
          <w:sz w:val="20"/>
          <w:szCs w:val="20"/>
        </w:rPr>
        <w:t xml:space="preserve"> i </w:t>
      </w:r>
      <w:r w:rsidR="007050BA" w:rsidRPr="004C6CC5">
        <w:rPr>
          <w:rFonts w:ascii="Arial" w:hAnsi="Arial" w:cs="Arial"/>
          <w:sz w:val="20"/>
          <w:szCs w:val="20"/>
        </w:rPr>
        <w:t>polietylen lub inne składniki nieorganiczne (patent krajowy);</w:t>
      </w:r>
    </w:p>
    <w:p w14:paraId="2C8E56CF" w14:textId="7E6224F9" w:rsidR="007050BA" w:rsidRPr="004C6CC5" w:rsidRDefault="00D10F5C" w:rsidP="00D04571">
      <w:pPr>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7050BA" w:rsidRPr="004C6CC5">
        <w:rPr>
          <w:rFonts w:ascii="Arial" w:hAnsi="Arial" w:cs="Arial"/>
          <w:sz w:val="20"/>
          <w:szCs w:val="20"/>
        </w:rPr>
        <w:t>Sposób</w:t>
      </w:r>
      <w:r w:rsidR="004C6CC5">
        <w:rPr>
          <w:rFonts w:ascii="Arial" w:hAnsi="Arial" w:cs="Arial"/>
          <w:sz w:val="20"/>
          <w:szCs w:val="20"/>
        </w:rPr>
        <w:t xml:space="preserve"> i </w:t>
      </w:r>
      <w:r w:rsidR="007050BA" w:rsidRPr="004C6CC5">
        <w:rPr>
          <w:rFonts w:ascii="Arial" w:hAnsi="Arial" w:cs="Arial"/>
          <w:sz w:val="20"/>
          <w:szCs w:val="20"/>
        </w:rPr>
        <w:t>urządzenie do klejenia elementów pian metalicznych</w:t>
      </w:r>
      <w:r w:rsidR="004C6CC5">
        <w:rPr>
          <w:rFonts w:ascii="Arial" w:hAnsi="Arial" w:cs="Arial"/>
          <w:sz w:val="20"/>
          <w:szCs w:val="20"/>
        </w:rPr>
        <w:t xml:space="preserve"> i </w:t>
      </w:r>
      <w:r w:rsidR="007050BA" w:rsidRPr="004C6CC5">
        <w:rPr>
          <w:rFonts w:ascii="Arial" w:hAnsi="Arial" w:cs="Arial"/>
          <w:sz w:val="20"/>
          <w:szCs w:val="20"/>
        </w:rPr>
        <w:t>niemetalicznych (patent krajowy);</w:t>
      </w:r>
    </w:p>
    <w:p w14:paraId="6BA516BE" w14:textId="4A12D59C" w:rsidR="007050BA" w:rsidRPr="004C6CC5" w:rsidRDefault="00D10F5C" w:rsidP="00D04571">
      <w:pPr>
        <w:spacing w:before="120" w:after="120" w:line="276" w:lineRule="auto"/>
        <w:contextualSpacing/>
        <w:jc w:val="both"/>
        <w:rPr>
          <w:rFonts w:ascii="Arial" w:hAnsi="Arial" w:cs="Arial"/>
          <w:sz w:val="20"/>
          <w:szCs w:val="20"/>
        </w:rPr>
      </w:pPr>
      <w:r>
        <w:rPr>
          <w:rFonts w:ascii="Arial" w:hAnsi="Arial" w:cs="Arial"/>
          <w:sz w:val="20"/>
          <w:szCs w:val="20"/>
        </w:rPr>
        <w:t xml:space="preserve">- </w:t>
      </w:r>
      <w:r w:rsidR="007050BA" w:rsidRPr="004C6CC5">
        <w:rPr>
          <w:rFonts w:ascii="Arial" w:hAnsi="Arial" w:cs="Arial"/>
          <w:sz w:val="20"/>
          <w:szCs w:val="20"/>
        </w:rPr>
        <w:t>Homogeniz</w:t>
      </w:r>
      <w:r>
        <w:rPr>
          <w:rFonts w:ascii="Arial" w:hAnsi="Arial" w:cs="Arial"/>
          <w:sz w:val="20"/>
          <w:szCs w:val="20"/>
        </w:rPr>
        <w:t>ator statyczny (patent krajowy).</w:t>
      </w:r>
    </w:p>
    <w:p w14:paraId="3766652B" w14:textId="77777777" w:rsidR="007050BA" w:rsidRPr="004C6CC5" w:rsidRDefault="007050BA" w:rsidP="00D04571">
      <w:pPr>
        <w:spacing w:before="120" w:after="120" w:line="276" w:lineRule="auto"/>
        <w:contextualSpacing/>
        <w:jc w:val="both"/>
        <w:rPr>
          <w:rFonts w:ascii="Arial" w:hAnsi="Arial" w:cs="Arial"/>
          <w:sz w:val="20"/>
          <w:szCs w:val="20"/>
        </w:rPr>
      </w:pPr>
    </w:p>
    <w:p w14:paraId="6E43FD0F" w14:textId="0FB46E14" w:rsidR="007050BA" w:rsidRPr="004C6CC5" w:rsidRDefault="007050BA" w:rsidP="00D04571">
      <w:pPr>
        <w:spacing w:before="120" w:after="120" w:line="276" w:lineRule="auto"/>
        <w:jc w:val="both"/>
        <w:rPr>
          <w:rFonts w:ascii="Arial" w:hAnsi="Arial" w:cs="Arial"/>
          <w:sz w:val="20"/>
          <w:szCs w:val="20"/>
        </w:rPr>
      </w:pPr>
      <w:r w:rsidRPr="004C6CC5">
        <w:rPr>
          <w:rFonts w:ascii="Arial" w:hAnsi="Arial" w:cs="Arial"/>
          <w:sz w:val="20"/>
          <w:szCs w:val="20"/>
        </w:rPr>
        <w:t>Ponadto uczelnia zgłosiła do ochrony</w:t>
      </w:r>
      <w:r w:rsidR="004C6CC5">
        <w:rPr>
          <w:rFonts w:ascii="Arial" w:hAnsi="Arial" w:cs="Arial"/>
          <w:sz w:val="20"/>
          <w:szCs w:val="20"/>
        </w:rPr>
        <w:t xml:space="preserve"> w </w:t>
      </w:r>
      <w:r w:rsidRPr="004C6CC5">
        <w:rPr>
          <w:rFonts w:ascii="Arial" w:hAnsi="Arial" w:cs="Arial"/>
          <w:sz w:val="20"/>
          <w:szCs w:val="20"/>
        </w:rPr>
        <w:t>Urzędzie Patentowym RP</w:t>
      </w:r>
      <w:r w:rsidR="007D5AB8">
        <w:rPr>
          <w:rFonts w:ascii="Arial" w:hAnsi="Arial" w:cs="Arial"/>
          <w:sz w:val="20"/>
          <w:szCs w:val="20"/>
        </w:rPr>
        <w:t xml:space="preserve"> następujące wynalazki</w:t>
      </w:r>
      <w:r w:rsidRPr="004C6CC5">
        <w:rPr>
          <w:rFonts w:ascii="Arial" w:hAnsi="Arial" w:cs="Arial"/>
          <w:sz w:val="20"/>
          <w:szCs w:val="20"/>
        </w:rPr>
        <w:t>:</w:t>
      </w:r>
    </w:p>
    <w:p w14:paraId="41500B81" w14:textId="3CF9B17D" w:rsidR="007050BA" w:rsidRPr="004C6CC5" w:rsidRDefault="007050BA" w:rsidP="00F2632E">
      <w:pPr>
        <w:spacing w:after="0" w:line="276" w:lineRule="auto"/>
        <w:jc w:val="both"/>
        <w:rPr>
          <w:rFonts w:ascii="Arial" w:hAnsi="Arial" w:cs="Arial"/>
          <w:sz w:val="20"/>
          <w:szCs w:val="20"/>
        </w:rPr>
      </w:pPr>
      <w:r w:rsidRPr="004C6CC5">
        <w:rPr>
          <w:rFonts w:ascii="Arial" w:hAnsi="Arial" w:cs="Arial"/>
          <w:sz w:val="20"/>
          <w:szCs w:val="20"/>
        </w:rPr>
        <w:t xml:space="preserve">- </w:t>
      </w:r>
      <w:r w:rsidRPr="004C6CC5">
        <w:rPr>
          <w:rFonts w:ascii="Arial" w:hAnsi="Arial" w:cs="Arial"/>
          <w:sz w:val="20"/>
          <w:szCs w:val="20"/>
          <w:lang w:val="en-US"/>
        </w:rPr>
        <w:t>Samonastawna, toczna podpora pryzmowa wału oraz sposób sterowania podporą</w:t>
      </w:r>
      <w:r w:rsidRPr="004C6CC5">
        <w:rPr>
          <w:rFonts w:ascii="Arial" w:hAnsi="Arial" w:cs="Arial"/>
          <w:sz w:val="20"/>
          <w:szCs w:val="20"/>
        </w:rPr>
        <w:t xml:space="preserve"> - Klej do łączenia przygotowanych elementów pian metalicznych</w:t>
      </w:r>
      <w:r w:rsidR="004C6CC5">
        <w:rPr>
          <w:rFonts w:ascii="Arial" w:hAnsi="Arial" w:cs="Arial"/>
          <w:sz w:val="20"/>
          <w:szCs w:val="20"/>
        </w:rPr>
        <w:t xml:space="preserve"> i </w:t>
      </w:r>
      <w:r w:rsidRPr="004C6CC5">
        <w:rPr>
          <w:rFonts w:ascii="Arial" w:hAnsi="Arial" w:cs="Arial"/>
          <w:sz w:val="20"/>
          <w:szCs w:val="20"/>
        </w:rPr>
        <w:t>niemetalicznych</w:t>
      </w:r>
      <w:r w:rsidR="004C6CC5">
        <w:rPr>
          <w:rFonts w:ascii="Arial" w:hAnsi="Arial" w:cs="Arial"/>
          <w:sz w:val="20"/>
          <w:szCs w:val="20"/>
        </w:rPr>
        <w:t xml:space="preserve"> z </w:t>
      </w:r>
      <w:r w:rsidRPr="004C6CC5">
        <w:rPr>
          <w:rFonts w:ascii="Arial" w:hAnsi="Arial" w:cs="Arial"/>
          <w:sz w:val="20"/>
          <w:szCs w:val="20"/>
        </w:rPr>
        <w:t>usytuowanym prepregiem;</w:t>
      </w:r>
    </w:p>
    <w:p w14:paraId="36D632CC" w14:textId="6B10724F" w:rsidR="007050BA" w:rsidRPr="004C6CC5" w:rsidRDefault="007050BA" w:rsidP="00F2632E">
      <w:pPr>
        <w:spacing w:after="0" w:line="276" w:lineRule="auto"/>
        <w:jc w:val="both"/>
        <w:rPr>
          <w:rFonts w:ascii="Arial" w:hAnsi="Arial" w:cs="Arial"/>
          <w:sz w:val="20"/>
          <w:szCs w:val="20"/>
        </w:rPr>
      </w:pPr>
      <w:r w:rsidRPr="004C6CC5">
        <w:rPr>
          <w:rFonts w:ascii="Arial" w:hAnsi="Arial" w:cs="Arial"/>
          <w:sz w:val="20"/>
          <w:szCs w:val="20"/>
        </w:rPr>
        <w:t>- Urządzenie</w:t>
      </w:r>
      <w:r w:rsidR="004C6CC5">
        <w:rPr>
          <w:rFonts w:ascii="Arial" w:hAnsi="Arial" w:cs="Arial"/>
          <w:sz w:val="20"/>
          <w:szCs w:val="20"/>
        </w:rPr>
        <w:t xml:space="preserve"> i </w:t>
      </w:r>
      <w:r w:rsidRPr="004C6CC5">
        <w:rPr>
          <w:rFonts w:ascii="Arial" w:hAnsi="Arial" w:cs="Arial"/>
          <w:sz w:val="20"/>
          <w:szCs w:val="20"/>
        </w:rPr>
        <w:t>sposób do diagnozowania aparatury wtryskowej tłokowych silników spalinowych</w:t>
      </w:r>
      <w:r w:rsidR="004C6CC5">
        <w:rPr>
          <w:rFonts w:ascii="Arial" w:hAnsi="Arial" w:cs="Arial"/>
          <w:sz w:val="20"/>
          <w:szCs w:val="20"/>
        </w:rPr>
        <w:t xml:space="preserve"> z </w:t>
      </w:r>
      <w:r w:rsidRPr="004C6CC5">
        <w:rPr>
          <w:rFonts w:ascii="Arial" w:hAnsi="Arial" w:cs="Arial"/>
          <w:sz w:val="20"/>
          <w:szCs w:val="20"/>
        </w:rPr>
        <w:t>zastosowaniem symptomów sygnału przyśpieszeń drgań;</w:t>
      </w:r>
    </w:p>
    <w:p w14:paraId="52679B44" w14:textId="77777777" w:rsidR="007050BA" w:rsidRPr="004C6CC5" w:rsidRDefault="007050BA" w:rsidP="00F2632E">
      <w:pPr>
        <w:spacing w:after="0" w:line="276" w:lineRule="auto"/>
        <w:jc w:val="both"/>
        <w:rPr>
          <w:rFonts w:ascii="Arial" w:hAnsi="Arial" w:cs="Arial"/>
          <w:sz w:val="20"/>
          <w:szCs w:val="20"/>
        </w:rPr>
      </w:pPr>
      <w:r w:rsidRPr="004C6CC5">
        <w:rPr>
          <w:rFonts w:ascii="Arial" w:hAnsi="Arial" w:cs="Arial"/>
          <w:sz w:val="20"/>
          <w:szCs w:val="20"/>
        </w:rPr>
        <w:t>- Ruchoma platforma samowykładowcza;</w:t>
      </w:r>
    </w:p>
    <w:p w14:paraId="6BBC73C4" w14:textId="77777777" w:rsidR="007050BA" w:rsidRPr="004C6CC5" w:rsidRDefault="007050BA" w:rsidP="00F2632E">
      <w:pPr>
        <w:spacing w:after="0" w:line="276" w:lineRule="auto"/>
        <w:jc w:val="both"/>
        <w:rPr>
          <w:rFonts w:ascii="Arial" w:hAnsi="Arial" w:cs="Arial"/>
          <w:sz w:val="20"/>
          <w:szCs w:val="20"/>
        </w:rPr>
      </w:pPr>
      <w:r w:rsidRPr="004C6CC5">
        <w:rPr>
          <w:rFonts w:ascii="Arial" w:hAnsi="Arial" w:cs="Arial"/>
          <w:sz w:val="20"/>
          <w:szCs w:val="20"/>
        </w:rPr>
        <w:t>- Telemetryczne urządzenie pomiarowe;</w:t>
      </w:r>
    </w:p>
    <w:p w14:paraId="37B20DE8" w14:textId="63BC5EDE" w:rsidR="007050BA" w:rsidRPr="004C6CC5" w:rsidRDefault="007050BA" w:rsidP="00F2632E">
      <w:pPr>
        <w:spacing w:after="0" w:line="276" w:lineRule="auto"/>
        <w:jc w:val="both"/>
        <w:rPr>
          <w:rFonts w:ascii="Arial" w:hAnsi="Arial" w:cs="Arial"/>
          <w:sz w:val="20"/>
          <w:szCs w:val="20"/>
        </w:rPr>
      </w:pPr>
      <w:r w:rsidRPr="004C6CC5">
        <w:rPr>
          <w:rFonts w:ascii="Arial" w:hAnsi="Arial" w:cs="Arial"/>
          <w:sz w:val="20"/>
          <w:szCs w:val="20"/>
        </w:rPr>
        <w:t>- Sposób</w:t>
      </w:r>
      <w:r w:rsidR="004C6CC5">
        <w:rPr>
          <w:rFonts w:ascii="Arial" w:hAnsi="Arial" w:cs="Arial"/>
          <w:sz w:val="20"/>
          <w:szCs w:val="20"/>
        </w:rPr>
        <w:t xml:space="preserve"> i </w:t>
      </w:r>
      <w:r w:rsidRPr="004C6CC5">
        <w:rPr>
          <w:rFonts w:ascii="Arial" w:hAnsi="Arial" w:cs="Arial"/>
          <w:sz w:val="20"/>
          <w:szCs w:val="20"/>
        </w:rPr>
        <w:t>układ stabilizacji częstotliwości</w:t>
      </w:r>
      <w:r w:rsidR="004C6CC5">
        <w:rPr>
          <w:rFonts w:ascii="Arial" w:hAnsi="Arial" w:cs="Arial"/>
          <w:sz w:val="20"/>
          <w:szCs w:val="20"/>
        </w:rPr>
        <w:t xml:space="preserve"> i </w:t>
      </w:r>
      <w:r w:rsidRPr="004C6CC5">
        <w:rPr>
          <w:rFonts w:ascii="Arial" w:hAnsi="Arial" w:cs="Arial"/>
          <w:sz w:val="20"/>
          <w:szCs w:val="20"/>
        </w:rPr>
        <w:t>napięcia autonomicznych zespołów prądotwórczych;</w:t>
      </w:r>
    </w:p>
    <w:p w14:paraId="44CC3FBE" w14:textId="4C9067DA" w:rsidR="007050BA" w:rsidRPr="004C6CC5" w:rsidRDefault="007050BA" w:rsidP="00F2632E">
      <w:pPr>
        <w:spacing w:after="0" w:line="276" w:lineRule="auto"/>
        <w:jc w:val="both"/>
        <w:rPr>
          <w:rFonts w:ascii="Arial" w:hAnsi="Arial" w:cs="Arial"/>
          <w:sz w:val="20"/>
          <w:szCs w:val="20"/>
        </w:rPr>
      </w:pPr>
      <w:r w:rsidRPr="004C6CC5">
        <w:rPr>
          <w:rFonts w:ascii="Arial" w:hAnsi="Arial" w:cs="Arial"/>
          <w:sz w:val="20"/>
          <w:szCs w:val="20"/>
        </w:rPr>
        <w:t>- Uniwersalny oporowy układ wspomagający kalibrację czujników rezystancyjnych</w:t>
      </w:r>
      <w:r w:rsidR="004C6CC5">
        <w:rPr>
          <w:rFonts w:ascii="Arial" w:hAnsi="Arial" w:cs="Arial"/>
          <w:sz w:val="20"/>
          <w:szCs w:val="20"/>
        </w:rPr>
        <w:t xml:space="preserve"> w </w:t>
      </w:r>
      <w:r w:rsidRPr="004C6CC5">
        <w:rPr>
          <w:rFonts w:ascii="Arial" w:hAnsi="Arial" w:cs="Arial"/>
          <w:sz w:val="20"/>
          <w:szCs w:val="20"/>
        </w:rPr>
        <w:t>systemach nadzoru maszyn energetycznych, zwłaszcza silników spalinowych;</w:t>
      </w:r>
    </w:p>
    <w:p w14:paraId="6AB63A48" w14:textId="5AED040A" w:rsidR="007050BA" w:rsidRPr="004C6CC5" w:rsidRDefault="007050BA" w:rsidP="001D50CB">
      <w:pPr>
        <w:spacing w:after="0" w:line="276" w:lineRule="auto"/>
        <w:jc w:val="both"/>
        <w:rPr>
          <w:rFonts w:ascii="Arial" w:hAnsi="Arial" w:cs="Arial"/>
          <w:sz w:val="20"/>
          <w:szCs w:val="20"/>
        </w:rPr>
      </w:pPr>
      <w:r w:rsidRPr="004C6CC5">
        <w:rPr>
          <w:rFonts w:ascii="Arial" w:hAnsi="Arial" w:cs="Arial"/>
          <w:sz w:val="20"/>
          <w:szCs w:val="20"/>
        </w:rPr>
        <w:t>- Zmodyfikowany metakrylan metalu</w:t>
      </w:r>
      <w:r w:rsidR="004C6CC5">
        <w:rPr>
          <w:rFonts w:ascii="Arial" w:hAnsi="Arial" w:cs="Arial"/>
          <w:sz w:val="20"/>
          <w:szCs w:val="20"/>
        </w:rPr>
        <w:t xml:space="preserve"> z </w:t>
      </w:r>
      <w:r w:rsidRPr="004C6CC5">
        <w:rPr>
          <w:rFonts w:ascii="Arial" w:hAnsi="Arial" w:cs="Arial"/>
          <w:sz w:val="20"/>
          <w:szCs w:val="20"/>
        </w:rPr>
        <w:t xml:space="preserve">monomerem metakrylanu metylowego; </w:t>
      </w:r>
    </w:p>
    <w:p w14:paraId="33E3D09F" w14:textId="370D281D" w:rsidR="008E518F" w:rsidRPr="008E518F" w:rsidRDefault="007050BA" w:rsidP="001D50CB">
      <w:pPr>
        <w:shd w:val="clear" w:color="auto" w:fill="FFFFFF"/>
        <w:spacing w:after="0" w:line="276" w:lineRule="auto"/>
        <w:jc w:val="both"/>
        <w:rPr>
          <w:rFonts w:ascii="Arial" w:hAnsi="Arial" w:cs="Arial"/>
          <w:sz w:val="20"/>
          <w:szCs w:val="20"/>
        </w:rPr>
      </w:pPr>
      <w:r w:rsidRPr="004C6CC5">
        <w:rPr>
          <w:rFonts w:ascii="Arial" w:hAnsi="Arial" w:cs="Arial"/>
          <w:sz w:val="20"/>
          <w:szCs w:val="20"/>
        </w:rPr>
        <w:t>- Adaptacyjny</w:t>
      </w:r>
      <w:r w:rsidR="004C6CC5">
        <w:rPr>
          <w:rFonts w:ascii="Arial" w:hAnsi="Arial" w:cs="Arial"/>
          <w:sz w:val="20"/>
          <w:szCs w:val="20"/>
        </w:rPr>
        <w:t xml:space="preserve"> i </w:t>
      </w:r>
      <w:r w:rsidRPr="004C6CC5">
        <w:rPr>
          <w:rFonts w:ascii="Arial" w:hAnsi="Arial" w:cs="Arial"/>
          <w:sz w:val="20"/>
          <w:szCs w:val="20"/>
        </w:rPr>
        <w:t>odporny system automatycznej stabilizacji kursu statku.</w:t>
      </w:r>
    </w:p>
    <w:p w14:paraId="19EFBEE7" w14:textId="4174C097" w:rsidR="00B247DF" w:rsidRPr="005925BF" w:rsidRDefault="00B01BC0" w:rsidP="005925BF">
      <w:pPr>
        <w:pStyle w:val="Nagwek3"/>
        <w:spacing w:before="120" w:after="120"/>
        <w:rPr>
          <w:rFonts w:ascii="Arial" w:hAnsi="Arial" w:cs="Arial"/>
          <w:b/>
          <w:color w:val="auto"/>
          <w:sz w:val="20"/>
          <w:szCs w:val="20"/>
          <w:shd w:val="clear" w:color="auto" w:fill="FFFFFF"/>
        </w:rPr>
      </w:pPr>
      <w:bookmarkStart w:id="27" w:name="_Toc72745044"/>
      <w:r w:rsidRPr="005925BF">
        <w:rPr>
          <w:rFonts w:ascii="Arial" w:hAnsi="Arial" w:cs="Arial"/>
          <w:b/>
          <w:color w:val="auto"/>
          <w:sz w:val="20"/>
          <w:szCs w:val="20"/>
          <w:shd w:val="clear" w:color="auto" w:fill="FFFFFF"/>
        </w:rPr>
        <w:t>Uniwersytet Gdański</w:t>
      </w:r>
      <w:r w:rsidR="00D06A9C" w:rsidRPr="005925BF">
        <w:rPr>
          <w:rFonts w:ascii="Arial" w:hAnsi="Arial" w:cs="Arial"/>
          <w:b/>
          <w:color w:val="auto"/>
          <w:sz w:val="20"/>
          <w:szCs w:val="20"/>
          <w:shd w:val="clear" w:color="auto" w:fill="FFFFFF"/>
        </w:rPr>
        <w:t>.</w:t>
      </w:r>
      <w:bookmarkEnd w:id="27"/>
    </w:p>
    <w:p w14:paraId="0C396F14" w14:textId="77777777" w:rsidR="00ED574E" w:rsidRPr="00C07B57" w:rsidRDefault="00ED574E" w:rsidP="001D50CB">
      <w:pPr>
        <w:spacing w:before="120" w:after="120" w:line="276" w:lineRule="auto"/>
        <w:jc w:val="both"/>
        <w:rPr>
          <w:rFonts w:ascii="Arial" w:hAnsi="Arial" w:cs="Arial"/>
          <w:sz w:val="20"/>
          <w:szCs w:val="20"/>
        </w:rPr>
      </w:pPr>
      <w:r w:rsidRPr="00C07B57">
        <w:rPr>
          <w:rFonts w:ascii="Arial" w:hAnsi="Arial" w:cs="Arial"/>
          <w:sz w:val="20"/>
          <w:szCs w:val="20"/>
        </w:rPr>
        <w:t>Uniwersytet Gdański to dynamicznie rozwijająca się uczelnia, która łączy tradycję z nowoczesnością. Uniwersytet Gdański realizuje dewizę „in mari via tua” (</w:t>
      </w:r>
      <w:r w:rsidRPr="00C07B57">
        <w:rPr>
          <w:rFonts w:ascii="Arial" w:hAnsi="Arial" w:cs="Arial"/>
          <w:i/>
          <w:sz w:val="20"/>
          <w:szCs w:val="20"/>
        </w:rPr>
        <w:t>w morzu droga twoja</w:t>
      </w:r>
      <w:r w:rsidRPr="00C07B57">
        <w:rPr>
          <w:rFonts w:ascii="Arial" w:hAnsi="Arial" w:cs="Arial"/>
          <w:sz w:val="20"/>
          <w:szCs w:val="20"/>
        </w:rPr>
        <w:t>), służąc rozwojowi regionu pomorskiego, którego bogactwem jest morze. Kształcenie we wszystkich niemal dziedzinach wiedzy akademickiej oraz zawodach poszukiwanych na rynku pracy połączone jest z nowoczesnymi warunkami studiowania w jednym z największych na Pomorzu uniwersyteckich ośrodków, który jest rozbudowywany w ramach Bałtyckiego Kampus Uniwersytetu Gdańskiego.</w:t>
      </w:r>
    </w:p>
    <w:p w14:paraId="126717E1" w14:textId="00431DC3"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Uniwersytet Gdański to 11 wydziałów i dwie międzynarodowe agendy badawcze, 87 kierunków studiów, 205 specjalności i blisko 22 tysiące studentów. Na uczelni </w:t>
      </w:r>
      <w:r w:rsidR="001E216A">
        <w:rPr>
          <w:rFonts w:ascii="Arial" w:hAnsi="Arial" w:cs="Arial"/>
          <w:sz w:val="20"/>
          <w:szCs w:val="20"/>
        </w:rPr>
        <w:t>realizowane są studia doktoranckie w 26 dyscyplinach nauki</w:t>
      </w:r>
      <w:r w:rsidRPr="00C07B57">
        <w:rPr>
          <w:rFonts w:ascii="Arial" w:hAnsi="Arial" w:cs="Arial"/>
          <w:sz w:val="20"/>
          <w:szCs w:val="20"/>
        </w:rPr>
        <w:t xml:space="preserve">, </w:t>
      </w:r>
      <w:r w:rsidR="0062111B">
        <w:rPr>
          <w:rFonts w:ascii="Arial" w:hAnsi="Arial" w:cs="Arial"/>
          <w:sz w:val="20"/>
          <w:szCs w:val="20"/>
        </w:rPr>
        <w:t>na których kształci się 929 doktorantów. O</w:t>
      </w:r>
      <w:r w:rsidRPr="00C07B57">
        <w:rPr>
          <w:rFonts w:ascii="Arial" w:hAnsi="Arial" w:cs="Arial"/>
          <w:sz w:val="20"/>
          <w:szCs w:val="20"/>
        </w:rPr>
        <w:t xml:space="preserve">d nowego roku akademickiego 2019/2020 </w:t>
      </w:r>
      <w:r w:rsidR="001E216A">
        <w:rPr>
          <w:rFonts w:ascii="Arial" w:hAnsi="Arial" w:cs="Arial"/>
          <w:sz w:val="20"/>
          <w:szCs w:val="20"/>
        </w:rPr>
        <w:t xml:space="preserve">funkcjonują </w:t>
      </w:r>
      <w:r w:rsidR="0062111B">
        <w:rPr>
          <w:rFonts w:ascii="Arial" w:hAnsi="Arial" w:cs="Arial"/>
          <w:sz w:val="20"/>
          <w:szCs w:val="20"/>
        </w:rPr>
        <w:t>również trzy Szkoły Doktorskie.</w:t>
      </w:r>
      <w:r w:rsidRPr="00C07B57">
        <w:rPr>
          <w:rFonts w:ascii="Arial" w:hAnsi="Arial" w:cs="Arial"/>
          <w:sz w:val="20"/>
          <w:szCs w:val="20"/>
        </w:rPr>
        <w:t xml:space="preserve"> Na uczelni studiuje 5</w:t>
      </w:r>
      <w:r w:rsidR="0062111B">
        <w:rPr>
          <w:rFonts w:ascii="Arial" w:hAnsi="Arial" w:cs="Arial"/>
          <w:sz w:val="20"/>
          <w:szCs w:val="20"/>
        </w:rPr>
        <w:t>40</w:t>
      </w:r>
      <w:r w:rsidRPr="00C07B57">
        <w:rPr>
          <w:rFonts w:ascii="Arial" w:hAnsi="Arial" w:cs="Arial"/>
          <w:sz w:val="20"/>
          <w:szCs w:val="20"/>
        </w:rPr>
        <w:t xml:space="preserve"> studentów</w:t>
      </w:r>
      <w:r w:rsidR="0062111B">
        <w:rPr>
          <w:rFonts w:ascii="Arial" w:hAnsi="Arial" w:cs="Arial"/>
          <w:sz w:val="20"/>
          <w:szCs w:val="20"/>
        </w:rPr>
        <w:t xml:space="preserve"> cudzoziemców</w:t>
      </w:r>
      <w:r w:rsidRPr="00C07B57">
        <w:rPr>
          <w:rFonts w:ascii="Arial" w:hAnsi="Arial" w:cs="Arial"/>
          <w:sz w:val="20"/>
          <w:szCs w:val="20"/>
        </w:rPr>
        <w:t xml:space="preserve">, </w:t>
      </w:r>
      <w:r w:rsidR="00747415">
        <w:rPr>
          <w:rFonts w:ascii="Arial" w:hAnsi="Arial" w:cs="Arial"/>
          <w:sz w:val="20"/>
          <w:szCs w:val="20"/>
        </w:rPr>
        <w:t xml:space="preserve">37 </w:t>
      </w:r>
      <w:r w:rsidRPr="00C07B57">
        <w:rPr>
          <w:rFonts w:ascii="Arial" w:hAnsi="Arial" w:cs="Arial"/>
          <w:sz w:val="20"/>
          <w:szCs w:val="20"/>
        </w:rPr>
        <w:t xml:space="preserve">doktorantów </w:t>
      </w:r>
      <w:r w:rsidR="00747415">
        <w:rPr>
          <w:rFonts w:ascii="Arial" w:hAnsi="Arial" w:cs="Arial"/>
          <w:sz w:val="20"/>
          <w:szCs w:val="20"/>
        </w:rPr>
        <w:t>z zagranicy oraz</w:t>
      </w:r>
      <w:r w:rsidRPr="00C07B57">
        <w:rPr>
          <w:rFonts w:ascii="Arial" w:hAnsi="Arial" w:cs="Arial"/>
          <w:sz w:val="20"/>
          <w:szCs w:val="20"/>
        </w:rPr>
        <w:t xml:space="preserve"> </w:t>
      </w:r>
      <w:r w:rsidR="00747415">
        <w:rPr>
          <w:rFonts w:ascii="Arial" w:hAnsi="Arial" w:cs="Arial"/>
          <w:sz w:val="20"/>
          <w:szCs w:val="20"/>
        </w:rPr>
        <w:t xml:space="preserve">62 </w:t>
      </w:r>
      <w:r w:rsidRPr="00C07B57">
        <w:rPr>
          <w:rFonts w:ascii="Arial" w:hAnsi="Arial" w:cs="Arial"/>
          <w:sz w:val="20"/>
          <w:szCs w:val="20"/>
        </w:rPr>
        <w:t>słuchaczy studiów podyplomowych z zagranicy.</w:t>
      </w:r>
    </w:p>
    <w:p w14:paraId="180BBC67"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Morski autorytet uczelni budują znakomite stacje badawcze o międzynarodowej renomie, takie jak Stacja Morska Instytutu Oceanografii w Helu, Stacja Badania Wędrówek Ptaków, czy Stacja </w:t>
      </w:r>
      <w:r w:rsidRPr="00C07B57">
        <w:rPr>
          <w:rFonts w:ascii="Arial" w:hAnsi="Arial" w:cs="Arial"/>
          <w:sz w:val="20"/>
          <w:szCs w:val="20"/>
        </w:rPr>
        <w:lastRenderedPageBreak/>
        <w:t xml:space="preserve">Biologiczna. Morski wizerunek uczelni to także kierunki studiów, specjalności i badania naukowe związane z morzem, zwłaszcza pobrzeżem Bałtyku. Dotyczy to przede wszystkim Wydziału Oceanografii i Geografii, Wydziału Biologii, czy Wydziału Chemii i takich kierunków jak oceanografia, geografia, geologia, gospodarka wodna i ochrona zasobów wód, biologia i ochrona środowiska czy akwakultura - biznes i technologia. </w:t>
      </w:r>
    </w:p>
    <w:p w14:paraId="15476E99"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Również na innych wydziałach realizowana jest tematyka morska. Na Wydziale Prawa i Administracji prace skupione są na badaniach prawa morskiego, międzynarodowego prawa morza, prawa i ustroju miast pomorskich, czy kryminalistyki morskiej. Na Wydziale Ekonomicznym funkcjonuje Instytut Transportu i Handlu Morskiego, którego pracownicy prowadzą badania dotyczące ekonomicznych aspektów funkcjonowania transportu i handlu morskiego oraz prowadzą specjalność: międzynarodowy transport i handel morski, kształcąc specjalistów w tym zakresie. Zainteresowania literaturoznawców koncentrują się na mieście i regionie. Kontynuowane są długofalowe projekty badania związków literatury różnych epok z marynistyczną problematyką Pomorza. Trwają prace nad folklorystyką Polski północno-wschodniej i mitologią bałtosłowiańską. W badaniach historyków dominuje problematyka regionu Morza Bałtyckiego, historia Gdańska i Pomorza.</w:t>
      </w:r>
    </w:p>
    <w:p w14:paraId="706A9961"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Uniwersytet Gdański osiąga znaczące sukcesy naukowe umacniając pozycję lidera, szczególnie w zakresie aktywności i badań związanych z morzem. Uczelnia współpracuje w tym zakresie z ośrodkami badawczo-naukowymi ze wszystkich niemal krajów świata. Jako jedna z pięciu polskich uczelni Uniwersytet Gdański tworzy sieć uniwersytetów europejskich, wybranych w konkursie Komisji Europejskiej - European Universities. Uczelnia dwukrotnie została laureatem specjalnego Programu Fundacji na Rzecz Nauki Polskiej - Międzynarodowe Agendy Badawcze, który zakłada tworzenie w Polsce innowacyjnych centrów doskonałości z udziałem najlepszych naukowców z całego świata. Uniwersytet Gdański uzyskał 76 mln zł na stworzenie dwóch agend: Międzynarodowego Centrum Badań nad Szczepionkami Przeciwnowotworowymi (International Centre for Cancer Vaccine Science), które prowadzi dwóch światowej klasy naukowców - prof. Ted Hupp oraz prof. Robin Fahraeus oraz Międzynarodowego Centrum Teorii Technologii Kwantowych (International Centre for Theory of Quantum Technologies, ICTQT), którego dyrektorem jest prof. Marek Żukowski.</w:t>
      </w:r>
    </w:p>
    <w:p w14:paraId="448B081D"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Uczelnia cały czas prowadzi intensywne działania zmierzające do podniesienia jakości prowadzonych badań naukowych i uzyskała na ten cel dofinansowanie w ramach programu Ministra Nauki i Szkolnictwa Wyższego - „Strategia Doskonałości - Uczelnia Badawcza”.</w:t>
      </w:r>
    </w:p>
    <w:p w14:paraId="24C30D57"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Uniwersytet Gdański aktywnie uczestniczy we współpracy bałtyckiej poprzez realizację międzynarodowych projektów naukowych, m.in. w ramach programów Horyzont 2020 (projekt Assamble Plus) oraz Interreg Południowy Bałtyk (projekt Seaplanspace – unikatowa sieć współpracy europejskiej w zakresie zrównoważonego zarządzania morzem). Jest także liderem Konsorcjum Narodowego Centrum Badań Bałtyckich, w skład którego wchodzą uczelnie wyższe z Pomorza oraz instytuty badawcze. Jako jedyna polska uczelnia posiada nowoczesny statek naukowo-badawczy, katamaran r/v „Oceanograf”, przeznaczony do prowadzenia interdyscyplinarnych badań środowiska i przyrody Morza Bałtyckiego oraz prowadzenia zajęć dydaktycznych dla studentów.</w:t>
      </w:r>
    </w:p>
    <w:p w14:paraId="69E37D0C"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Uniwersytet proponuje zróżnicowane formy kształcenia - część z nich ma charakter interdyscyplinarny, niektóre są realizowane we współpracy z innymi ośrodkami akademickimi, krajowymi i zagranicznymi, w tym poprzez programy wymiany studentów, takie jak Most, czy Erasmus Plus oraz w ramach bilateralnych umów. Oferta jest skierowana do bardzo szerokiego kręgu odbiorców niezależnie od ich wieku, sytuacji zawodowej, miejsca zamieszkania oraz dotychczasowego wykształcenia.</w:t>
      </w:r>
    </w:p>
    <w:p w14:paraId="57412946"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Na Uniwersytecie Gdańskim prowadzone są liczne kierunki oraz specjalności pozwalające na kształcenie specjalistów niezbędnych dla rozwoju gospodarki morskiej, czy realizacji polityki morskiej państwa. Zajęcia o tematyce morskiej prowadzone są głównie przez Wydział Oceanografii i Geografii, Wydział Biologii, Wydział Chemii, Wydział Ekonomiczny oraz Wydział Prawa i Administracji. Kształcenie studentów w zakresie morskim odbywa się przede wszystkim na kierunku Oceanografia na I </w:t>
      </w:r>
      <w:r w:rsidRPr="00C07B57">
        <w:rPr>
          <w:rFonts w:ascii="Arial" w:hAnsi="Arial" w:cs="Arial"/>
          <w:sz w:val="20"/>
          <w:szCs w:val="20"/>
        </w:rPr>
        <w:br/>
        <w:t xml:space="preserve">(specjalności biologiczna, geologiczno-chemiczna, fizyczna) i II (specjalności Biologia morza, Ochrona </w:t>
      </w:r>
      <w:r w:rsidRPr="00C07B57">
        <w:rPr>
          <w:rFonts w:ascii="Arial" w:hAnsi="Arial" w:cs="Arial"/>
          <w:sz w:val="20"/>
          <w:szCs w:val="20"/>
        </w:rPr>
        <w:lastRenderedPageBreak/>
        <w:t xml:space="preserve">i zarządzanie zasobami morza, Chemia morza i atmosfery, Geologia morza, Fizyka morza, Ekobiotechnologia morska) stopniu studiów stacjonarnych. Do kierunków, które realizują treści nauczania w zakresie wiedzy o środowisku morskim należą również Geografia i Geografia przestrzenna. Do obszarów tematycznych objętych zajęciami kursowymi na tych kierunkach należą m.in. hydrologia, meteorologia i klimatologia, geografia fizyczna i kształtowanie środowiska, czy planowanie przestrzenne na morzu. Geologia (studia I stopnia) to kolejny kierunek, który podejmuje tematykę funkcjonowania środowiska morskiego, w szczególności strefy brzegowej i dna morskiego. Poruszana w ramach wykładów i ćwiczeń tematyka to m.in.: metody badań geologicznych dna morskiego, geologia dna morskiego, hydrogeologia i ochrona wód podziemnych, surowce mineralne mórz i oceanów, bezinwazyjne metody badań dna morskiego czy ochrona brzegów morskich. </w:t>
      </w:r>
    </w:p>
    <w:p w14:paraId="79D93C31"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W roku akademickim 2019/2020 uruchomiony został na Wydziale Oceanografii i Geografii nowy kierunek Akwakultura - Biznes i Technologia. Jest to kierunek praktyczny, poruszający m.in. zagadnienia: rybactwo morskie i śródlądowe, akwarystyka i wędkarstwo, hydroekologia, systematyka i podstawy biologii organizmów hodowlanych,  technologia oczyszczania wód i odpadów poprodukcyjnych, ekotoksykologia w akwakulturze, choroby i dobrostan ryb, podstawy fizjologii bezkręgowców hodowlanych, choroby bezkręgowców hodowlanych, czy podstawy prawne akwakultury.</w:t>
      </w:r>
    </w:p>
    <w:p w14:paraId="1DE714DF"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Wydział Ekonomiczny to miejsce kształcenia studentów w ramach kierunku Międzynarodowe stosunki gospodarcze ze specjalnością poświęconą Międzynarodowemu transportowi i handlowi morskiemu, który realizowany jest na I i II stopniu studiów stacjonarnych i niestacjonarnych. Na Uniwersytecie Gdańskim istnieje interdyscyplinarny kierunek Ochrona Środowiska prowadzony wspólnie przez Wydziały Chemii, Biologii oraz Oceanografii i Geografii. Kształcenie odbywa się na studiach I i II stopnia w trybie stacjonarnym i niestacjonarnym. Wśród zajęć kursowych znajdują się m.in. Funkcjonowanie ekosystemów morskich, Antropogeniczne przekształcanie środowiska morskiego, Polityka ochrony środowiska, Globalny system hydroklimatyczny, Zasoby morza, ich ochrona i wykorzystanie, Cywilizacyjne problemy stanu środowiska morskiego czy Teledetekcja środowiska morskiego. Pracownicy Wydziału Prawa i Administracji prowadzą wykłady i seminaria dotyczące aspektów morskich na różnych kierunkach, specjalnościach i stopniach studiów m.in. na kierunku:  Administracja, I stopnia- specjalność Samorząd terytorialny i terenowa administracja rządowa (Obszary morskie </w:t>
      </w:r>
      <w:r w:rsidRPr="00C07B57">
        <w:rPr>
          <w:rFonts w:ascii="Arial" w:hAnsi="Arial" w:cs="Arial"/>
          <w:sz w:val="20"/>
          <w:szCs w:val="20"/>
        </w:rPr>
        <w:br/>
        <w:t xml:space="preserve">i administracja morska), European Business Administration, I stopnia (European Maritime Policy), Prawo, Oceanografia, II stopnia (Prawo morskie, Prawo morza), Gospodarka wodna i ochrona środowiska wodnego, I stopnia (Podstawy prawne w ochronie środowiska i gospodarce wodnej). Ten ostatni kierunek powadzony jest na Wydziale Oceanografii i Geografii od roku akademickiego 2014/2015 jako kierunek praktyczny. Oprócz oferty zajęć praktycznych (zajęcia terenowe, laboratoria, warsztaty i konwersatoria) studenci odbywają pełny semestr praktyki zawodowej w przedsiębiorstwach i instytucjach związanych z gospodarką wodną/morską. </w:t>
      </w:r>
    </w:p>
    <w:p w14:paraId="4518663C" w14:textId="52A6ACAA"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Wydział Oceanografii i Geografii UG jest jedyną placówką uniwersytecką w Polsce kształcącą studentów oceanografii na wszystkich stopniach kształcenia (studia I stopnia, studia II stopnia, studia III stopnia). Przy Wydziale Oceanografii i Geografii od lat działają Środowiskowe Studia Doktoranckie - morskie, interdyscyplinarne studia czteroletnie (stacjonarne i niestacjonarne). Od 2019 roku równolegle obecni na wydziale są słuchacze szkół doktorskich, którzy przygotowują się do uzyskania stopnia naukowego doktora w dziedzinie: Nauk ścisłych i przyrodniczych w dyscyplinie Nauki o Ziemi </w:t>
      </w:r>
      <w:r w:rsidR="00E92367">
        <w:rPr>
          <w:rFonts w:ascii="Arial" w:hAnsi="Arial" w:cs="Arial"/>
          <w:sz w:val="20"/>
          <w:szCs w:val="20"/>
        </w:rPr>
        <w:br/>
      </w:r>
      <w:r w:rsidRPr="00C07B57">
        <w:rPr>
          <w:rFonts w:ascii="Arial" w:hAnsi="Arial" w:cs="Arial"/>
          <w:sz w:val="20"/>
          <w:szCs w:val="20"/>
        </w:rPr>
        <w:t xml:space="preserve">i środowisku. Wydział posiada bogatą ofertę edukacyjną oraz doskonale wyposażoną bazę dydaktyczną, w tym laboratoria specjalistyczne, stację morską i statek badawczy Oceanograf, wysoki poziom badań naukowych, aktywną współpracę krajową i międzynarodową oraz dobrze przygotowaną, specjalistyczną  kadrę. </w:t>
      </w:r>
    </w:p>
    <w:p w14:paraId="5416E09D"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Na Wydziale Oceanografii i Geografii realizowane są liczne działania zmierzające do stałego podnoszenia jakości kształcenia. Jednym z takich sposobów jest tutoring, innowacyjna metoda dydaktyczno-wychowawcza, służącą rozwijaniu potencjału i motywowaniu do samorozwoju. Tutoriale rozwijają wiedzę studentów oraz ich kompetencje miękkie w zakresie zarządzania czasem, wyznaczania celów, ustalania priorytetów, rozwoju zawodowego, a także uczenia się przez całe życie. </w:t>
      </w:r>
      <w:r w:rsidRPr="00C07B57">
        <w:rPr>
          <w:rFonts w:ascii="Arial" w:hAnsi="Arial" w:cs="Arial"/>
          <w:sz w:val="20"/>
          <w:szCs w:val="20"/>
        </w:rPr>
        <w:lastRenderedPageBreak/>
        <w:t>W roku 2019 zrealizowano 14 tutoriali związanych z tematyką morską. Studenci przygotowali 8 tekstów opublikowanych w czasopiśmie Tutoring Gedanensis, gdzie publikowane są teksty studentów, które powstały podczas spotkań tutorskich oraz teksty będące zbiorem doświadczeń tutorskich nauczycieli akademickich.</w:t>
      </w:r>
    </w:p>
    <w:p w14:paraId="6A877A2D" w14:textId="51ADDA36"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Mistrzowie dydaktyki – to działanie w ramach kolejnego projektu Programu Operacyjnego Wiedza Edukacja Rozwój - POWER na Uniwersytecie Gdańskim. Celem projektu dofinansowanego ze środków Europejskiego Funduszu Społecznego w ramach Programu Operacyjnego Wiedza Edukacja Rozwój jest rozwijanie tutoringu akademickiego i innych innowacyjnych metod dydaktycznych w Uniwersytecie Gdańskim. Uczestniczący w nim wykładowcy UG biorą udział w kilkudniowych wizytach studyjnych </w:t>
      </w:r>
      <w:r w:rsidRPr="00C07B57">
        <w:rPr>
          <w:rFonts w:ascii="Arial" w:hAnsi="Arial" w:cs="Arial"/>
          <w:sz w:val="20"/>
          <w:szCs w:val="20"/>
        </w:rPr>
        <w:br/>
        <w:t xml:space="preserve">i szkoleniach na renomowanych uczelniach europejskich, plasujących się w pierwszej setce rankingu szanghajskiego. Zdobyte umiejętności wykorzystają obejmując opieką tutorską studentów. W projekcie bierze udział 38 nauczycieli ze wszystkich Wydziałów UG oraz 114 studentów (budżet projektu wynosi 328 776 zł.). W roku 2019 szkolenia tutorskie odbywały się w ośrodku akademickim w Uniwersytecie w Groningen (Holandia). Podczas szkolenia </w:t>
      </w:r>
      <w:r w:rsidR="0002346D">
        <w:rPr>
          <w:rFonts w:ascii="Arial" w:hAnsi="Arial" w:cs="Arial"/>
          <w:sz w:val="20"/>
          <w:szCs w:val="20"/>
        </w:rPr>
        <w:t>wykorzystywane były innowacyjne</w:t>
      </w:r>
      <w:r w:rsidRPr="00C07B57">
        <w:rPr>
          <w:rFonts w:ascii="Arial" w:hAnsi="Arial" w:cs="Arial"/>
          <w:sz w:val="20"/>
          <w:szCs w:val="20"/>
        </w:rPr>
        <w:t xml:space="preserve"> metod</w:t>
      </w:r>
      <w:r w:rsidR="0002346D">
        <w:rPr>
          <w:rFonts w:ascii="Arial" w:hAnsi="Arial" w:cs="Arial"/>
          <w:sz w:val="20"/>
          <w:szCs w:val="20"/>
        </w:rPr>
        <w:t>y dydaktyczne</w:t>
      </w:r>
      <w:r w:rsidRPr="00C07B57">
        <w:rPr>
          <w:rFonts w:ascii="Arial" w:hAnsi="Arial" w:cs="Arial"/>
          <w:sz w:val="20"/>
          <w:szCs w:val="20"/>
        </w:rPr>
        <w:t xml:space="preserve">, tj. Course design, Active Learning, Microstructure of a Lesson, Video observation, Micro-teaching (with camera) i oczywiście Tutoring. </w:t>
      </w:r>
    </w:p>
    <w:p w14:paraId="6A671232"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 2018 r. rozpoczęła się współpraca Wydziału Oceanografii i Geografii z Islandią (umowa dotycząca mobilności studentów Erasmus+ pomiędzy Wydziałem Oceanografii i Geografii  UG a Uniwersytetem </w:t>
      </w:r>
      <w:r w:rsidRPr="00C07B57">
        <w:rPr>
          <w:rFonts w:ascii="Arial" w:hAnsi="Arial" w:cs="Arial"/>
          <w:sz w:val="20"/>
          <w:szCs w:val="20"/>
        </w:rPr>
        <w:br/>
        <w:t xml:space="preserve">w Akureyri School of Business in Science). W 2019 r. Wydział dołączył do konkursu stypendialnego PISCES (Polish Icelandic Scholarship - Exchange Studies) realizowanego przez Północnoatlantycką Organizację Producentów wraz z Wydziałem Zarządzania Uniwersytetu Gdańskiego i Uniwersytetem </w:t>
      </w:r>
      <w:r w:rsidRPr="00C07B57">
        <w:rPr>
          <w:rFonts w:ascii="Arial" w:hAnsi="Arial" w:cs="Arial"/>
          <w:sz w:val="20"/>
          <w:szCs w:val="20"/>
        </w:rPr>
        <w:br/>
        <w:t xml:space="preserve">w Akureyri oraz School of Business in Science w Islandii. Konkurs wspiera polskich studentów zamierzających studiować na Uniwersytecie w Akureyri w ramach Programu Stypendialnego Erasmus. W ramach programu studenci I roku kierunku Akwakultura Biznes i Technologia uczestniczyli w cyklu wykładów dotyczących: historii rybołówstwa i przetwórstwa ryb w Islandii, nowoczesnych technologii </w:t>
      </w:r>
      <w:r w:rsidRPr="00C07B57">
        <w:rPr>
          <w:rFonts w:ascii="Arial" w:hAnsi="Arial" w:cs="Arial"/>
          <w:sz w:val="20"/>
          <w:szCs w:val="20"/>
        </w:rPr>
        <w:br/>
        <w:t xml:space="preserve">w przetwórstwie ryb, ochrony populacji ryb przed przełowieniem i certyfikacji produktów zrównoważonego rybołówstwa. Studenci odwiedzili także chłodnie magazynowo - przeładunkowe </w:t>
      </w:r>
      <w:r w:rsidRPr="00C07B57">
        <w:rPr>
          <w:rFonts w:ascii="Arial" w:hAnsi="Arial" w:cs="Arial"/>
          <w:sz w:val="20"/>
          <w:szCs w:val="20"/>
        </w:rPr>
        <w:br/>
        <w:t xml:space="preserve">w Dalekomorskim Porcie Rybackim w Gdańsku. </w:t>
      </w:r>
    </w:p>
    <w:p w14:paraId="0F32000D"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Projekt NoZ na Staż 2.0 - to kolejny program stażowy dla studentów Nauk o Ziemi (dofinansowanie </w:t>
      </w:r>
      <w:r w:rsidRPr="00C07B57">
        <w:rPr>
          <w:rFonts w:ascii="Arial" w:hAnsi="Arial" w:cs="Arial"/>
          <w:sz w:val="20"/>
          <w:szCs w:val="20"/>
        </w:rPr>
        <w:br/>
        <w:t xml:space="preserve">w ramach Programu Operacyjnego Wiedza Edukacja Rozwój). Główny cel projektu to podniesienie praktycznych kompetencji odpowiadających potrzebom gospodarki, w tym gospodarki morskiej, rynku pracy i społeczeństwa przez studentów studiów II stopnia kierunków: oceanografia, geografia, gospodarka przestrzenna oraz studiów I stopnia na kierunku geologia na Wydziale Oceanografii </w:t>
      </w:r>
      <w:r w:rsidRPr="00C07B57">
        <w:rPr>
          <w:rFonts w:ascii="Arial" w:hAnsi="Arial" w:cs="Arial"/>
          <w:sz w:val="20"/>
          <w:szCs w:val="20"/>
        </w:rPr>
        <w:br/>
        <w:t>i Geografii w zakresach: GIS (System Informacji Geograficznej) i analiza przestrzenna, Monitoring środowiska i zrównoważony rozwój, Gospodarka morska, Geologia w praktyce. Jedyną formą wsparcia dla studentów w ramach tego projektu są staże zawodowe.</w:t>
      </w:r>
    </w:p>
    <w:p w14:paraId="0C38BE2E"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Kolejnym realizowanym działaniem związanym z podnoszeniem jakości kształcenia jest projekt PROgram Rozwoju Uniwersytetu Gdańskiego (ProUG), który został dofinansowany w ramach Programu Operacyjnego Wiedza Edukacja Rozwój ze środków Europejskiego Funduszu Społecznego  (01.10.2018-30.09.2022). Zakłada on wdrożenie innowacyjnego podejścia do procesu kształcenia, polegającego m.in. na wprowadzeniu do modyfikowanych programów kształcenia wspólnych przedmiotów: fizyka, statystyka, ABC IT, przedsiębiorczości i prawa oraz odpowiedzialność społeczna. Podjęte działania w ramach modyfikacji programów kształcenia kładą nacisk na rozwój kompetencji, które mogą być uznane za potrzebne w rozwoju gospodarki morskiej. </w:t>
      </w:r>
    </w:p>
    <w:p w14:paraId="77E49AD0"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 ramach projektu dla studentów studiów licencjackich jak i uzupełniających studiów magisterskich  na Oceanografii wprowadzone zostały nowe przedmioty obowiązkowe, zajęcia warsztatowe i laboratoryjne realizowane w pełnym wymiarze na nowoczesnym statku naukowo-badawczym r/v Oceanograf,  m.in. podstawy interdyscyplinarnych badań Morza Bałtyckiego oraz zaawansowane metody interdyscyplinarnych badań Morza Bałtyckiego. Przedmioty te realizowane są w oparciu o specjalnie przygotowane skrypty dla studentów, które pozwolą na skuteczną naukę oraz sprawny przebieg </w:t>
      </w:r>
      <w:r w:rsidRPr="00C07B57">
        <w:rPr>
          <w:rFonts w:ascii="Arial" w:hAnsi="Arial" w:cs="Arial"/>
          <w:sz w:val="20"/>
          <w:szCs w:val="20"/>
        </w:rPr>
        <w:lastRenderedPageBreak/>
        <w:t xml:space="preserve">projektów badawczych realizowanych na statku. Dodatkowo każdy student uczestniczący w tych zajęciach przejdzie również certyfikowane przeszkolenie w zakresie indywidualnych technik ratunkowych (ITR). </w:t>
      </w:r>
    </w:p>
    <w:p w14:paraId="18140EEF"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Kolejny nowy przedmiot obowiązkowy w języku angielskim wspólny dla licencjatu oraz MSU  to Recent findings in ocean research, który będzie prowadzony przez wykładowców z zagranicy. Dzięki kontaktowi z najlepszymi oceanografami na świecie studenci poznają najnowsze trendy w badaniach oceanów, co pomoże zaplanować ich ścieżki kariery zawodowej. Wśród przedmiotów do wyboru znalazły się:</w:t>
      </w:r>
    </w:p>
    <w:p w14:paraId="548D938E"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Innowacje w oceanografii - spojrzenie w przyszłość - do poprowadzenia tego wykładu zaproszeni zostaną praktycy i przedstawiciele pracodawców;</w:t>
      </w:r>
    </w:p>
    <w:p w14:paraId="56629948"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Interdyscyplinarne warsztaty/zadania praktyczne oparte na technikach Case Study Solving. Warsztaty powadzone będą przez pracodawców oraz pracowników naukowych Wydziału w oparciu o 18 Case Studies bazujących na rzeczywistych przypadkach. Studenci Oceanografii rozwiązujący Case Studies wraz ze studentami Gospodarki przestrzennej będą objęci superwizją przez prowadzących;</w:t>
      </w:r>
    </w:p>
    <w:p w14:paraId="1F9F522C"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Płatne staże zawodowe - 20 studentów studiów licencjackich z Wydziału OiG weźmie udział w stażach i otrzyma stypendium, zwrot za dojazdy, dofinansowanie do zakwaterowania i ubezpieczenie na czas stażu.</w:t>
      </w:r>
    </w:p>
    <w:p w14:paraId="3E2034DB"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Na kierunku Gospodarka przestrzenna dodatkowo pojawią się przedmioty obowiązkowe w języku angielskim Recent findings in urban socio-economic development oraz Innowacyjna gospodarka przestrzenna – spojrzenie w przyszłość.</w:t>
      </w:r>
    </w:p>
    <w:p w14:paraId="74988B59"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Ważną częścią rozwoju przyszłych naukowców, pracowników morza, administracji morskiej i innych dziedzin gospodarki morskiej jest zaangażowanie studentów w działania realizowane na Uniwersytecie. Na Wydziale Oceanografii i Geografii działa 6 kół naukowych: Studenckie Koło Naukowe Oceanografów (SKNO), Studenckie Koło Naukowe Oceanografii Operacyjnej (SKNOO), Studenckie Koło Naukowe GIS „Gisoteka”, Studenckie Koło Naukowe Geologów (SKNG), Studenckie Koło Naukowe Geografów oraz Studenckie Koło Naukowe Geomorfologów (PINGO). Morskie aspekty są również obecne </w:t>
      </w:r>
      <w:r w:rsidRPr="00C07B57">
        <w:rPr>
          <w:rFonts w:ascii="Arial" w:hAnsi="Arial" w:cs="Arial"/>
          <w:sz w:val="20"/>
          <w:szCs w:val="20"/>
        </w:rPr>
        <w:br/>
        <w:t>w działaniach: Morskiego Koła Naukowego (MKN) przy Instytucie Transportu i Handlu Morskiego (ITiHM), a na Wydziale Historycznym aktywną działalność, związaną z regionem Morza Bałtyckiego, prowadzi Studenckie Koło Naukowe Etnologów. Koła naukowe aktywnie uczestniczą w prowadzeniu badań naukowych, działaniach popularyzujących.</w:t>
      </w:r>
    </w:p>
    <w:p w14:paraId="1B26D4B6"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Instytut Oceanografii Uniwersytetu Gdańskiego (IO UG) jest jednym z jedenastu głównych partnerów (full partner) projektu MARES (Doctoral Programme on Marine Ecosystem Health and Conservation). Jest to projekt międzynarodowych studiów doktoranckich finansowany przez Komisję Europejską </w:t>
      </w:r>
      <w:r w:rsidRPr="00C07B57">
        <w:rPr>
          <w:rFonts w:ascii="Arial" w:hAnsi="Arial" w:cs="Arial"/>
          <w:sz w:val="20"/>
          <w:szCs w:val="20"/>
        </w:rPr>
        <w:br/>
        <w:t xml:space="preserve">w ramach programu ERASMUS MUNDUS. W projekcie bierze udział 24 partnerów (uniwersytety oraz instytuty naukowo-badawcze) z Europy, USA i Australii. Poszczególne rozprawy doktorskie są realizowane jednocześnie w co najmniej dwóch placówkach naukowo-dydaktycznych w ramach wspólnych projektów badawczych.  </w:t>
      </w:r>
    </w:p>
    <w:p w14:paraId="3BBB1BDD"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 2019 r. Uniwersytet Gdański znalazł się w elitarnym gronie 17 międzynarodowych konsorcjów – laureatów konkursu Komisji Europejskiej „European Universities”. Konkurs jest finansowany w ramach Programu Erasmus+. Uniwersytet Gdański tworzy konsorcjum Europejskiego Uniwersytetu Nadmorskiego (European University of the Seas - SEA-EU) wraz z partnerami: Uniwersytetem w Kadyksie (Hiszpania), Uniwersytetem w Splicie (Chorwacja), Uniwersytetem Zachodniej Bretanii (Francja), Uniwersytetem Christiana-Albrechta w Kilonii (Niemcy) i Uniwersytetem Maltańskim (Malta). Grant jest przeznaczony na rozwój współpracy m.in. w dziedzinie kształcenia, badań i wymiany akademickiej. Możliwe będzie powoływanie wspólnych kierunków studiów, wymiana kadry akademickiej i studentów, wspólne projekty badawcze, a w przyszłości także wspólny dyplom wszystkich sześciu uczelni. Uczelnia w ramach otrzymanych środków wdrażać będzie zupełnie nowy model kształcenia i wymiany akademickiej z uniwersytetami partnerskimi. </w:t>
      </w:r>
    </w:p>
    <w:p w14:paraId="1428CDA5"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lastRenderedPageBreak/>
        <w:t>Sektor morski ma strategiczne znaczenie dla gospodarek sześciu regionów nadmorskich, z których pochodzą partnerzy projektu. Stanowi on jeden z głównych celów edukacji i badań naukowych prowadzonych przez uczelnie tworzące konsorcjum SEA-EU. W uniwersytetach SEA-EU, a więc m.in. na Uniwersytecie Gdańskim kształci się studentów na wielu kierunków studiów związanych z dyscyplinami morskimi, wiele grup badawczych pracuje nad tematyką związaną z morzem, a  społeczność biznesowa dynamicznie rozwija się w sektorze produkcji i usług dedykowanych gospodarce morskiej. Uczelnie zaangażowane w SEA-EU zobowiązały się do wspólnej realizacji tego projektu, we współpracy z partnerami stowarzyszonymi (w przypadku Uniwersytetu Gdańskiego są nimi: Instytut Oceanologii PAN w Sopocie, Instytut Morski w Gdańsku i Stowarzyszenie Erasmus Student Network UG), kluczowymi publicznymi agencjami badawczymi, administracją krajową i regionalną oraz firmami zaangażowanymi w badania i działalność gospodarczą związaną z morzami i oceanem.</w:t>
      </w:r>
    </w:p>
    <w:p w14:paraId="7C65FD0B"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Uniwersytet Gdański realizuje dwa projekty związane z cyfrowym udostępnieniami zasobów nauki,  </w:t>
      </w:r>
      <w:r w:rsidRPr="00C07B57">
        <w:rPr>
          <w:rFonts w:ascii="Arial" w:hAnsi="Arial" w:cs="Arial"/>
          <w:sz w:val="20"/>
          <w:szCs w:val="20"/>
        </w:rPr>
        <w:br/>
        <w:t xml:space="preserve">w tym wiedzy z zakresu oceanologii. MOST DANYCH (Multidyscyplinarny Otwarty System Transferu Wiedzy etap II: Open Research Data) realizowany jest przez Uniwersytet Gdański (Wydział Oceanografii i Geografii) w partnerstwie z Gdańskim Uniwersytetem Medycznym i Politechniką Gdańską (lider). Projekt zakłada budowę repozytorium nauki, pozwalającego na łatwe i intuicyjne wyszukiwanie oraz uzyskiwanie dostępu do zasobów nauki, adresowanych do szerokiego grona odbiorców - nie tylko dla środowiska naukowego, ale również przedsiębiorców i społeczeństwa, </w:t>
      </w:r>
      <w:r w:rsidRPr="00C07B57">
        <w:rPr>
          <w:rFonts w:ascii="Arial" w:hAnsi="Arial" w:cs="Arial"/>
          <w:sz w:val="20"/>
          <w:szCs w:val="20"/>
        </w:rPr>
        <w:br/>
        <w:t xml:space="preserve">w szczególności nauczycieli i uczniów różnych szczebli edukacji. Budżet projektu to ponad 26,7 mln zł, w tym UG 2,7 mln zł. </w:t>
      </w:r>
    </w:p>
    <w:p w14:paraId="6FA9817C"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Kolejny projekt realizowany przez Wydział Oceanografii i Geografii UG to Elektroniczne Centrum Udostępniania Danych Oceanograficznych eCUDO.pl” (Program Operacyjny Polska Cyfrowa). Liderem jest Instytut Oceanologii Polskiej Akademii Nauk, a obok Uniwersytetu Gdańskiego partnerami są: Uniwersytet Morski w Gdyni (Instytut Morski), Morski Instytut Rybacki - PIB, Państwowy Instytut Geologiczny - PIB, Uniwersytet Szczeciński oraz Akademia Pomorska w Słupsku. Budżet projektu to ok. 15 mln zł, w tym budżet UG to blisko 1,8 mln zł. W ramach projektu eCUDO.pl utworzony zostanie system informatyczny zapewniający zunifikowany dostęp do krajowych zasobów nauki z zakresu oceanografii.  System eCUDO.pl składać się będzie z systemu centralnego, modułu wyszukiwania i pozyskiwania metadanych z instytucji zewnętrznych oraz integracja systemów sfederowanych. Realizacja projektu przyczyni się do odblokowania potencjału społeczno-gospodarczego zasobów nauki z zakresu oceanologii, co będzie szczególnie istotne dla takiej grupy interesariuszy, jak administracja rządowa i samorządowa wraz z podległymi im jednostkami zaangażowanymi w eksploatację bądź ochronę Bałtyku. Efektami zainteresowani będą także pracownicy jednostek naukowo-badawczych i uczelni oraz studenci i doktoranci związani z badaniami morskimi. Przedsiębiorcy działający w obrębie wielu branż, różne organizacje działające w obszarze ochrony środowiska oraz szersze grono odbiorców (nie tylko instytucjonalnych) również będzie mogło odnieść szereg korzyści społeczno-gospodarczych w związku z realizacją celu głównego projektu. </w:t>
      </w:r>
    </w:p>
    <w:p w14:paraId="54D960DD"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Uniwersytet Gdański w 2019 r. realizował szereg projektów finansowanych ze środków międzynarodowych: Programu Interreg  - Region Morza Bałtyckiego oraz Południowy Bałtyk, BONUS-185, Horizon 2020, kontynuowano SEAPLANSPACE (Wydział Prawa i Administracji), Baltic Pride, Baltic Heritage Routes (Wydział Ekonomii), Blue Platform, ECOMAP, ASSEMBLE+, COMPLETE </w:t>
      </w:r>
      <w:r w:rsidRPr="00C07B57">
        <w:rPr>
          <w:rFonts w:ascii="Arial" w:hAnsi="Arial" w:cs="Arial"/>
          <w:sz w:val="20"/>
          <w:szCs w:val="20"/>
        </w:rPr>
        <w:br/>
        <w:t xml:space="preserve">i zakończono projekt InnoAquaTech (Wydział Oceanografii i Geografii). </w:t>
      </w:r>
    </w:p>
    <w:p w14:paraId="3265F100"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 ramach projektu Blue Platform (Bioekonomia na rzecz „błękitnego wzrostu” w regionie Morza Bałtyckiego) odbywała się głównie wymiana międzynarodowa i współpraca z krajami nadbałtyckimi. Projekt Blue Platform wykorzystywać będzie wyniki z siedmiu już realizowanych lub zakończonych projektów współpracy terytorialnej Interreg oraz trzech projektów finansowanych przez UE z innych źródeł, dotyczących promocji niebieskiej biogospodarki (m.in. Smart Blue Regions, Baltic Blue Biotechnology Alliance, Baltic Blue Growth, InnoAquaTech, MUSES, AquaBest, Plan4Blue, BlueWEBS, BIOCAS, BalticRIM) realizowanych przez sieć Submariner, w której uczestniczy również UG. Pozwoli </w:t>
      </w:r>
      <w:r w:rsidRPr="00C07B57">
        <w:rPr>
          <w:rFonts w:ascii="Arial" w:hAnsi="Arial" w:cs="Arial"/>
          <w:sz w:val="20"/>
          <w:szCs w:val="20"/>
        </w:rPr>
        <w:lastRenderedPageBreak/>
        <w:t>to w pełni wykorzystać możliwości związane z opracowanymi i pokrewnymi rozwiązaniami dla niebieskiej biogospodarki wokół Morza Bałtyckiego, a także z innowacjami w tej dziedzinie. Ponadto projekt przyczyni się do: stworzenia platformy pozwalającej na wymianę rezultatów pomiędzy partnerami i pozostałymi interesariuszami oraz integrację wiedzy i ekspertyz w całym regionie Morza Bałtyckiego. Projekt będzie realizowany w konsorcjum składającym się z dziewięciu partnerów Całkowity budżet projektu to ponad 1 mln euro, natomiast budżet UG to blisko 100 tys. euro. </w:t>
      </w:r>
    </w:p>
    <w:p w14:paraId="0BDB6A5D"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Projekt „AquaVIP” (Platforma rozwoju kariery w akwakulturze w regionie Południowego Bałtyku) to kolejny projekt w ramach Programu Interreg Południowy Bałtyk realizowany rzez Wydział Oceanografii i Geografii (Uniwersytet Gdański - lider, partnerzy: Uniwersytet w Rostocku, Uniwersytet w Kłajpedzie, Park Naukowo-Technologiczny w Kłajpedzie). Podejmuje on aspekt budowania kariery w akwakulturze. Działania projektu obejmują rozpowszechnianie wizerunku nowoczesnej akwakultury jako dostępnego obecnie źródła produkcji białka, kreowania rynku zarówno dla produktów z hodowli, jak i nowoczesnych technologii oraz profesjonalnej edukacji w krajach regionu Południowego Bałtyku. Głównym celem projektu jest wzmocnienie rynku pracy w sektorze akwakultury poprzez rozwój transgranicznych szkoleń, budowanie sieci kontaktów i wzmacnianie zdolności biznesowych. W rezultacie powstanie oferta rozwoju kariery dla studentów i młodych profesjonalistów (AquaYouth), sieć szkolenia zawodowego (AquaProfi) dla profesjonalistów oraz wirtualna platforma z modułami e-learningowymi (AquaTION). Grupy docelowe projektu to: MŚP, studenci, hodowcy, stowarzyszenia rolników, instytucje badawcze i edukacyjne, ośrodki kariery, władze lokalne/regionalne. Całkowity budżet projektu dla konsorcjum to ponad 1 mln euro. </w:t>
      </w:r>
    </w:p>
    <w:p w14:paraId="7B8C31B2"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W roku 2019 realizowane były szkolenia w ramach projektu SEAPLANSPACE, którego liderem jest Uniwersytet Gdański. Pierwszy etap zaplanowanych w tym działaniu szkoleń prowadzony był równocześnie przez partnerów projektu, m.in.  z Danii, Szwecji i Litwy. W pierwszej polskiej edycji szkoleń wzięło udział 83 uczestników. Zajęcia prowadzone były przez polskich i zagranicznych specjalistów, zajmujących się problematyką morskiego planowania przestrzennego. Druga edycja szkoleń planowana jest na kwiecień - czerwiec 2020 r. i obejmuje kolejne grupy uczestników (ok. 60 osób). Uruchomiona zostanie równolegle w Gdańsku i w Szczecinie.</w:t>
      </w:r>
    </w:p>
    <w:p w14:paraId="4C5B778B"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W 2019 r. na Uniwersytecie realizowanych było 20 (z czego 19 w Instytucie Oceanografii, Wydział Oceanografii i Geografii) projektów Narodowego Centrum Nauki dotyczących środowiska morskiego (Preludium, Sonatina, Miniatura, Opus). Wśród tematów wiodących znajdują się:</w:t>
      </w:r>
    </w:p>
    <w:p w14:paraId="6C05EF54"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„Transfer troficzny labilnej rtęci w organizmach bentosowych w ekosystemie morskim strefy umiarkowanej”. Projekt podejmuje ważne temat globalnych zanieczyszczeń środowiska, spośród których rtęć jest jednym z najbardziej niebezpiecznych. Głównym źródłem rtęci w organizmie człowieka jest spożywanie ryb i owoców morza. Celem projektu jest rozpoznanie udziału poszczególnych form rtęci w organizmach bentosowych, jak również oszacowanie wielkości transferu rtęci w łańcuchu pokarmowym oraz wskazanie czynników, które na niego wpływają. Organizmy bentosowe, czyli rośliny i zwierzęta żyjące na dnie, stanowią aż 98% gatunków występujących w morzach i oceanach. Stanowią cenne źródło pożywienia ryb i narybku, a także człowieka. Zwierzęta bentosowe przyczyniają się także do oczyszczania wody morskiej, poprzez jej filtrowanie. Może skutkować to jednak podwyższonym stężeniem substancji toksycznych w tych organizmach, szczególnie w rejonach zanieczyszczonych. Badania transferu labilnych form rtęci w organizmach bentosowych zostaną przeprowadzone w Zatoce Puckiej, cechującej się największą bioróżnorodnością spośród obszarów morskich południowego Bałtyku. Rezultaty projektu pozwolą na ocenę potencjalnego ryzyka dla zdrowia człowieka, wynikającego ze wzmożonej konsumpcji morskich bezkręgowców.</w:t>
      </w:r>
    </w:p>
    <w:p w14:paraId="3ABB4F92"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 „Obserwacje i modelowanie interakcji lodu morskiego z warstwą graniczną atmosfery i oceanu”. Globalne zmiany klimatu obejmują całą Ziemię, lecz poprzez szereg sprzężeń zwrotnych manifestują się szczególnie wyraźnie w rejonach polarnych obydwu półkul. Jednym z objawów tych zmian jest obserwowany w ostatnich latach trend całkowitego zasięgu, będący przedmiotem ożywionych dyskusji zarówno wśród naukowców, jak i opinii publicznej. Bardzo ważne – i niezwykle trudne – pytanie brzmi, czy i w jaki sposób procesy drobnoskalowe mają wpływ na to, co dzieje się w skali regionalnej, a nawet </w:t>
      </w:r>
      <w:r w:rsidRPr="00C07B57">
        <w:rPr>
          <w:rFonts w:ascii="Arial" w:hAnsi="Arial" w:cs="Arial"/>
          <w:sz w:val="20"/>
          <w:szCs w:val="20"/>
        </w:rPr>
        <w:lastRenderedPageBreak/>
        <w:t>globalnej. Celem tego projektu jest pogłębienie naszej wiedzy o oddziaływaniach lodu morskiego z oceanem i atmosferą, zachodzących w skali porównywalnej z wielkością kier lodowych. Ogólnie, identyfikacja tych efektów procesów drobnoskalowych, które są znaczące w większej skali oraz ich uwzględnienie w modelach klimatu pozwoli na sporządzanie lepszych, bardziej wiarygodnych prognoz, zarówno globalnych jak i regionalnych. Wyniki tego projektu powinny przybliżyć nas o parę kroków do tego celu.</w:t>
      </w:r>
    </w:p>
    <w:p w14:paraId="3EE856CD"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Wśród tematów, które zostały podjęte w 2019 r. znalazły się również: Różnorodność genetyczna pasożytów ssaków morskich - badania na przykładzie ekto- i endopasożytów wybranych gatunków fok; Galaretowaty zooplankton w Oceanie Arktycznym - ekologia, różnorodność i rozmieszczenie w dobie zmian klimatu; Submezoskalowe procesy w warstwie granicznej atmosfery nad niejednorodną pokrywą lodową; Badania nad mechanizmem przeciwgrzybiczego działania związków produkowanych przez cyjanobakterie bałtyckie - poszukiwanie inhibitorów proteaz aspartylowych Sap; BATLANTIC - Czy istnieje uniwersalne narzędzie do oceny stanu przybrzeżnych stref środowiska morskiego; Rozpoznanie wpływu kolonii ptaków morskich na strefę płytkiego litoralu Wyspy Niedźwiedziej (Svalbard),  Morskie, mikrobialne endolity: bioróżnorodność i funkcja, Organizmy bentosowe jako wskaźnik źródeł rtęci w strefie brzegowej Antarktyki (Zatoka Admiralicji), „Metabolity bałtyckich cyjanobakterii jako naturalna biblioteka związków wyjściowych w poszukiwaniu nowych leków antywirusowych; Czy sinice i mikroglony w powietrzu strefy brzegowej Bałtyku mogą stanowić potencjalne zagrożenie dla zdrowia ludzkiego.</w:t>
      </w:r>
    </w:p>
    <w:p w14:paraId="7256CA3D"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 2019 r. pracownicy Uniwersytetu Gdańskiego organizowali lub współorganizowali konferencje, sympozja naukowe, spotkania grup roboczych, warsztaty, szkoły letnie oraz rejsy. Wśród najważniejszych konferencji i seminariów należy wymienić: </w:t>
      </w:r>
    </w:p>
    <w:p w14:paraId="06998937"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„II Konferencję Naukową Polskich Badaczy Morza” - Wydział Oceanografii i Geografii Uniwersytetu Gdańskiego wraz z Komitetem Badań Morza Polskiej Akademii Nauk w dniach 24-25 września 2019 r. zorganizował II Konferencję Naukową Polskich Badaczy Morza. Podstawowym celem konferencji była integracja środowiska polskich badaczy mórz i oceanów reprezentujących wszystkie aspekty badań oceanograficznych (biologia, chemia, fizyka i geologia morza, zagadnienia hydrotechniki morskiej, ochrony środowiska morskiego oraz aspektów społeczno-prawnych). Zagadnienia te są przedmiotem badań kilkudziesięciu polskich instytucji badawczych rozproszonych po całym kraju. Wiodąca tematyka konferencji koncentrowała się wokół szeroko rozumianej wiedzy o stanie i trendach zmian w środowisku morskim. Konferencja dedykowana była również przedstawicielom administracji wszystkich szczebli zarządzających zrównoważonym rozwojem środowiska morskiego. Konferencja zgromadziła ponad 300 badaczy morza z całego kraju. To znakomita większość wszystkich polskich badaczy mórz i oceanów. W jej trakcie wygłoszono 93 referaty oraz przedstawiono 112 prezentacji posterowych. W ramach konferencji odbyła się również plenarna sesja Młodych Badaczy Morza, którzy walczyli o nagrodę Przewodniczącego Komitetu Badań Morza PAN. Wzięło w niej udział 10 uczestników. Dopełnieniem było zwiedzanie ekspozycji Muzeum Emigracji oraz zacumowanego przy Nabrzeżu Francuskim statku badawczego Uniwersytetu Gdańskiego r/v Oceanograf;</w:t>
      </w:r>
    </w:p>
    <w:p w14:paraId="4B31AA9E"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VIII Seminarium Naukowe „Najnowsze osiągnięcia młodych geologów morza” (Instytut Oceanografii Gdynia), organizator: Zakład Geologii Morza IO UG i Sekcję Geologii Morza KBM PAN;</w:t>
      </w:r>
    </w:p>
    <w:p w14:paraId="4B6B4C9C"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XVIII „Sympozjum Młodych Oceanografów” zorganizowane przez Instytut Oceanografii UG, mający na celu przegląd najlepszych prac z zakresu środowiska morskiego (konkurs na najlepszą pracę z zakresu badań biologicznych i abiotycznych w środowisku morskim);</w:t>
      </w:r>
    </w:p>
    <w:p w14:paraId="6E66D503"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 Seminarium pt.: „Wody balastowe i kadłuby statków - spójne procedury dla regionu Morza Bałtyckiego” służące zmniejszeniu ryzyka wprowadzania gatunków inwazyjnych przez transport morski zorganizowane w dniu 12 września 2019 r. w siedzibie Instytutu Oceanografii Uniwersytetu Gdańskiego w Gdyni dla interesariuszy związanych z gospodarką morską, ochroną środowiska i żeglarstwem rekreacyjnym. Celem seminarium była wymiana wiedzy i kompetencji w zakresie zagadnień związanych przede wszystkim z Międzynarodową Konwencją o Kontroli i Postępowaniu z Wodami Balastowymi </w:t>
      </w:r>
      <w:r w:rsidRPr="00C07B57">
        <w:rPr>
          <w:rFonts w:ascii="Arial" w:hAnsi="Arial" w:cs="Arial"/>
          <w:sz w:val="20"/>
          <w:szCs w:val="20"/>
        </w:rPr>
        <w:br/>
      </w:r>
      <w:r w:rsidRPr="00C07B57">
        <w:rPr>
          <w:rFonts w:ascii="Arial" w:hAnsi="Arial" w:cs="Arial"/>
          <w:sz w:val="20"/>
          <w:szCs w:val="20"/>
        </w:rPr>
        <w:lastRenderedPageBreak/>
        <w:t>i Osadami ze Statków, jej ratyfikacją przez Polskę i procedurą udzielania zwolnień w ramach prawidła A-4, jak również z wytycznymi Międzynarodowej Organizacji Morskiej w/s porastania kadłubów statków (MEPC.207(62)) i łodzi rekreacyjnych (MEPC.1/Circ. 792). Seminarium jest organizowane w ramach projektu COMPLETE;</w:t>
      </w:r>
    </w:p>
    <w:p w14:paraId="7A06B3D8"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 Druga Letnia Szkoła BONUS ECOMAP (27-31.08.2019) - zorganizowana w ramach projektu ECOMAP w Stacji Morskiej Instytutu Oceanografii Uniwersytetu Gdańskiego w Helu. Wzięło w nim udział 14 uczestników z Niemiec, Polski, Holandii, Albanii, Nigerii, Indii i Turcji. Byli to głównie doktoranci </w:t>
      </w:r>
      <w:r w:rsidRPr="00C07B57">
        <w:rPr>
          <w:rFonts w:ascii="Arial" w:hAnsi="Arial" w:cs="Arial"/>
          <w:sz w:val="20"/>
          <w:szCs w:val="20"/>
        </w:rPr>
        <w:br/>
        <w:t xml:space="preserve">i magistranci oraz stażyści z firm zajmujących się nieinwazyjnymi pomiarami morskimi i lądowymi. Głównym celem szkoły było zapoznanie uczestników z nowoczesnymi metodami nieinwazyjnej teledetekcji dna morskiego i jego siedlisk z wykorzystaniem różnych technik hydroakustycznych </w:t>
      </w:r>
      <w:r w:rsidRPr="00C07B57">
        <w:rPr>
          <w:rFonts w:ascii="Arial" w:hAnsi="Arial" w:cs="Arial"/>
          <w:sz w:val="20"/>
          <w:szCs w:val="20"/>
        </w:rPr>
        <w:br/>
        <w:t xml:space="preserve">i LiDAR. Wykładowcami w szkole byli uznani specjaliści z zakresu oceanografii fizycznej i oceanografii akustycznej, pomiarów hydroakustycznych i pomiarów LiDAR, informatyki oraz oprogramowania do gromadzenia i przetwarzania danych. Główne tematy omawiane podczas kursu to: podstawowe zjawiska akustyczne, struktura i właściwości osadów dennych, budowa geologiczna Morza Bałtyckiego, pęcherzyki gazu w dnie morskim i słupie wody, siedlisko dna, budowa urządzeń hydroakustycznych </w:t>
      </w:r>
      <w:r w:rsidRPr="00C07B57">
        <w:rPr>
          <w:rFonts w:ascii="Arial" w:hAnsi="Arial" w:cs="Arial"/>
          <w:sz w:val="20"/>
          <w:szCs w:val="20"/>
        </w:rPr>
        <w:br/>
        <w:t xml:space="preserve">i LiDAR, przygotowanie do pomiarów i zbieranie danych akustycznych i LiDAR, oprogramowanie do gromadzenia, przetwarzania i klasyfikacji danych, klasyfikacja akustyczna osadów dennych i siedlisk. Kolejnym bardzo ważnym elementem Szkoły był jednodniowy rejs badawczy na statku Oceanograf należącym do Instytutu Oceanografii Uniwersytetu Gdańskiego, podczas którego uczestnicy poznali użycie urządzeń hydroakustycznych, konfigurację oprogramowania Quinsy, zastosowali nowoczesną echosondę płytkich wód i wykonali mapowanie wraku t/s Franken. Wykazano również metody pobierania próbek osadów dennych. Kurs obejmował wykłady, pokazy polowe na morzu i post-przetwarzanie danych prowadzone przez kadrę naukową z Uniwersytetu Gdańskiego, Uniwersytetu </w:t>
      </w:r>
      <w:r w:rsidRPr="00C07B57">
        <w:rPr>
          <w:rFonts w:ascii="Arial" w:hAnsi="Arial" w:cs="Arial"/>
          <w:sz w:val="20"/>
          <w:szCs w:val="20"/>
        </w:rPr>
        <w:br/>
        <w:t>w Kilonii, Uniwersytetu w Kopenhadze oraz wielu specjalistów;</w:t>
      </w:r>
    </w:p>
    <w:p w14:paraId="6E2E6B10"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 „Warsztaty oceanograficzne - biotopy bentosowe strefy przybrzeżnej i głębokowodnej Morza Bałtyckiego” (wrzesień/październik 2019 r.). Uczestniczyli w nich studenci z Instytutu Oceanografii </w:t>
      </w:r>
      <w:r w:rsidRPr="00C07B57">
        <w:rPr>
          <w:rFonts w:ascii="Arial" w:hAnsi="Arial" w:cs="Arial"/>
          <w:sz w:val="20"/>
          <w:szCs w:val="20"/>
        </w:rPr>
        <w:br/>
        <w:t>(11 osób) i Uniwersytetu w Rostoku (9 osób). W trakcie trwania warsztatów studenci uczestniczyli w dwudniowym rejsie na niemieckim statku badawczym Elisabeth Mann Borgese, badaniach terenowych w strefie brzegowej Zatoki Puckiej oraz analizach odbywających się na Stacji Morskiej w Helu;</w:t>
      </w:r>
    </w:p>
    <w:p w14:paraId="05CE3FEC" w14:textId="239987CA"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 W ramach realizacji projektu ASSEMBLE Plus (pakiet roboczy GENOMIC OBSERVATORIES), Instytut Oceanografii UG uczestniczył w ogólnoświatowej kampanii jednoczesnego pobierania próbek </w:t>
      </w:r>
      <w:r w:rsidR="00E74CA5">
        <w:rPr>
          <w:rFonts w:ascii="Arial" w:hAnsi="Arial" w:cs="Arial"/>
          <w:sz w:val="20"/>
          <w:szCs w:val="20"/>
        </w:rPr>
        <w:br/>
      </w:r>
      <w:r w:rsidRPr="00C07B57">
        <w:rPr>
          <w:rFonts w:ascii="Arial" w:hAnsi="Arial" w:cs="Arial"/>
          <w:sz w:val="20"/>
          <w:szCs w:val="20"/>
        </w:rPr>
        <w:t>z mórz i oceanów (Ocean Sampling Day 2019). Kampania ma na celu poznanie różnorodności biologicznej organizmów jednokomórkowych w Oceanie Światowym w oparciu o sekwencjonowanie DNA środowiskowego. Koordynatorem OSD 2019 jest Institute of Marine Biology, Biotechnology and Aquaculture of the Hellenic Center for Marine Research, Grecja.</w:t>
      </w:r>
    </w:p>
    <w:p w14:paraId="547704FE"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Statek naukowo-badawczy Uniwersytetu Gdańskiego „Oceanograf” odbył pierwszy zagraniczny rejs. Celem rejsu do Kłajpedy było podpisanie umowy o współpracy naukowej i dydaktycznej pomiędzy Uniwersytetem Gdańskim a Uniwersytetem w Kłajpedzie. Umowa została podpisana przez Prorektora ds. Rozwoju i Współpracy z Gospodarką Uniwersytetu Gdańskiego i Rektora Uniwersytetu w Kłajpedzie. Umowę podpisano na pokładzie w dniu 17 października 2019 r. Obie strony liczą na owocną współpracę i wspólną realizację licznych projektów naukowych i dydaktycznych.</w:t>
      </w:r>
    </w:p>
    <w:p w14:paraId="75077051"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 Rejs naukowy we pracowników Instytutu Oceanografii UG w ramach współpracy z Uniwersytetem </w:t>
      </w:r>
      <w:r w:rsidRPr="00C07B57">
        <w:rPr>
          <w:rFonts w:ascii="Arial" w:hAnsi="Arial" w:cs="Arial"/>
          <w:sz w:val="20"/>
          <w:szCs w:val="20"/>
        </w:rPr>
        <w:br/>
        <w:t xml:space="preserve">w Kłajpedzie dotyczący hydroakustycznych badań makrofauny dennej oraz oszacowanie zasobów dla potrzeb The Environmental Protection Agency. </w:t>
      </w:r>
    </w:p>
    <w:p w14:paraId="396CD0C8"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W ramach działań Narodowego Centrum Badań Bałtyku (NCBB) w 2019 r. odbyły się spotkania dotyczące działań, które zainicjowane zostały przez NCBB:</w:t>
      </w:r>
    </w:p>
    <w:p w14:paraId="1E925E27"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lastRenderedPageBreak/>
        <w:t>- udział w XVII Sympozjum Stowarzyszenia Krajowej Rady Koordynatorów Projektów Badawczych EU (KRAB): Projekt NARODOWE CENTRUM BADAŃ BAŁTYCKICH jako punkt Polskiej Mapy Drogowej Infrastruktury Badawczej (13.05.2019, Gdańsk)</w:t>
      </w:r>
    </w:p>
    <w:p w14:paraId="7032BB4F"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Seminarium NCBB: Zalew Wiślany w badaniach i analizach – stan obecny i perspektywy. Otwarty panel dyskusyjny związany z tym przedsięwzięciem oraz jego wpływem na środowisko (28.06.2019, Gdańsk).</w:t>
      </w:r>
    </w:p>
    <w:p w14:paraId="6548A7EE"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Ponadto w ramach konsorcjum NCBB podjęto działania zmierzające do stworzenia programu „Zatoka Wiedzy”, jako narzędzia umożliwiającego zwiększenie bezpieczeństwa środowiskowego obszarów morskich i nadmorskich Zatoki Gdańskiej. Jest to program pilotażowy, który w nieodległej przyszłości powinien objąć swoim zasięgiem całe polskie wybrzeże. „Zatoka Wiedzy” to system pozyskiwania, analizowania i udostępniania informacji o stanie środowiska w Zatoce Gdańskiej zasilany danymi przez instytucje naukowe zrzeszone w NCBB, instytucje realizujące program monitoringu środowiska (WIOŚ, GIOŚ, IMGW), SANEPID, urzędy morskie, porty, nadmorskie zakłady przemysłowe, instytucje użyteczności publicznej (uzdrowiska, sanatoria itp.) oraz mieszkańców nadmorskich obszarów </w:t>
      </w:r>
      <w:r w:rsidRPr="00C07B57">
        <w:rPr>
          <w:rFonts w:ascii="Arial" w:hAnsi="Arial" w:cs="Arial"/>
          <w:sz w:val="20"/>
          <w:szCs w:val="20"/>
        </w:rPr>
        <w:br/>
        <w:t xml:space="preserve">i turystów. </w:t>
      </w:r>
    </w:p>
    <w:p w14:paraId="2F5F3465"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Współpraca naukowa Uniwersytetu Gdańskiego z gospodarką morską odbywa się na wielu płaszczyznach, w tym m.in. w ramach udziału przedstawicieli uczelni jako ekspertów w wielu przedsięwzięciach lub realizując projekty, których partnerami lub beneficjentami są różne gałęzie gospodarki morskiej i administracja różnego szczebla związana z morzem. Wśród realizowanych </w:t>
      </w:r>
      <w:r w:rsidRPr="00C07B57">
        <w:rPr>
          <w:rFonts w:ascii="Arial" w:hAnsi="Arial" w:cs="Arial"/>
          <w:sz w:val="20"/>
          <w:szCs w:val="20"/>
        </w:rPr>
        <w:br/>
        <w:t>w 2019 r. działań można wymienić:</w:t>
      </w:r>
    </w:p>
    <w:p w14:paraId="7269E5D9"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badania środowiskowe (rozpoczęte w grudniu): wpływ hałasu na ssaki morskie w akwenach zaplanowanych w projekcie pod budowę morskiej farmy wiatrowej realizowane przez Instytut Oceanografii UG (Baltic Trade &amp; Invest);</w:t>
      </w:r>
    </w:p>
    <w:p w14:paraId="63A3A9E5"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badania środowiskowe (marzec): Badania ichtiofauny na potrzeby oceny oddziaływania na środowisko w rejonie planowanej elektrowni wiatrowej Baltic II oraz w rejonie infrastruktury przyłączeniowej (zmienność czasowa i przestrzenna ichtiofauny i form larwalnych w rejonie północnego stoku Ławicy Słupskiej (Baltic Trade &amp; Invest);</w:t>
      </w:r>
    </w:p>
    <w:p w14:paraId="18B99DF8"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badania środowiskowe (wiosna-lato zmienność czasowa ichtiofauny w rejonie planowanej inwestycji rozbudowy Portu w Gdyni (Zarządu Portu Morskiego Gdynia);</w:t>
      </w:r>
    </w:p>
    <w:p w14:paraId="23EDFC87"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w maju 2019 r. Instytut Oceanografii UG w ramach projektu </w:t>
      </w:r>
      <w:hyperlink r:id="rId12" w:tgtFrame="_blank" w:history="1">
        <w:r w:rsidRPr="00C07B57">
          <w:rPr>
            <w:rStyle w:val="Hipercze"/>
            <w:rFonts w:ascii="Arial" w:hAnsi="Arial" w:cs="Arial"/>
            <w:color w:val="auto"/>
            <w:sz w:val="20"/>
            <w:szCs w:val="20"/>
            <w:u w:val="none"/>
          </w:rPr>
          <w:t xml:space="preserve">Interreg BSR COMPLETE </w:t>
        </w:r>
      </w:hyperlink>
      <w:r w:rsidRPr="00C07B57">
        <w:rPr>
          <w:rFonts w:ascii="Arial" w:hAnsi="Arial" w:cs="Arial"/>
          <w:sz w:val="20"/>
          <w:szCs w:val="20"/>
        </w:rPr>
        <w:t xml:space="preserve">rozpoczął badania gatunków obcych w czterech polskich marinach i portach jachtowych, tj. Krynicy Morskiej, Gdańsku, Gdyni i Kołobrzegu (uzyskane w ich trakcie wyniki posłużą do określenia potencjalnego ryzyka introdukcji i rozprzestrzeniania gatunków obcych przez łodzie rekreacyjne i przyczepy do ich transportu w regionie Morza Bałtyckiego). Badania oparte są na opracowanym w ramach ww. projektu i przetestowanym wcześniej w Finlandii protokole zbioru organizmów bentosowych porastających zanurzone powierzchnie w marinach i portach jachtowych oraz na oszacowaniu stopnia porośnięcia kadłubów łodzi tam cumujących. Oprócz Polski analogiczne badania są prowadzone na Łotwie. Dodatkowo wśród żeglarzy przypływających do polskich marin i portów jachtowych prowadzone są badania ankietowe, których wyniki umożliwią oszacowanie prawdopodobieństwa pojawiania się i rozprzestrzeniania gatunków obcych; </w:t>
      </w:r>
    </w:p>
    <w:p w14:paraId="7BFD7AD1"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w ramach InnoAquaTech udział w Konferencji Producentów Ryb Łososiowatych połączonych z Technologicznymi Targami Akwakultury, Organizatorem było Stowarzyszenie Producentów Ryb Łososiowatych;</w:t>
      </w:r>
    </w:p>
    <w:p w14:paraId="465D9179"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 udział w Konferencji Aquaculture Europe 2019, pod tytułem „Our Future – growing from water”. Aquaculture Europe to co roczne największe wydarzenie w branży akwakultury w Europie. Konferencja zgromadziła ponad 2700 uczestników z 85 krajów, odbyło się 56 sesji tematycznych oraz ponad 1000 abstraktów przedstawionych w formie prezentacji i posterów na tematy dotyczące hodowli ryb, </w:t>
      </w:r>
      <w:r w:rsidRPr="00C07B57">
        <w:rPr>
          <w:rFonts w:ascii="Arial" w:hAnsi="Arial" w:cs="Arial"/>
          <w:sz w:val="20"/>
          <w:szCs w:val="20"/>
        </w:rPr>
        <w:lastRenderedPageBreak/>
        <w:t xml:space="preserve">skorupiaków, glonów, mięczaków, systemów zintegrowanych, recyrkulacyjnych, akwaponiki, różnorodnych rozwiązań technologicznych, energetyki, pasz, dobrostanu zwierząt, chorób, rozrodu, genetyki, modelowania, zmian klimatycznych, polityki, prawodawstwa, zarządzania, przetwórstwa, rynku, marketingu produktów, certyfikacji i wielu, wielu innych. Ponadto udział w wydarzeniach branżowych towarzszących konferencji, takich jak warsztaty EuroShrimp, na których prezentowano doświadczenia związane ze zrównoważoną hodowlą krewetek i  jej rozwojem oraz strony poświęconej polskiemu pilotażowi i hodowli krewetki białej. </w:t>
      </w:r>
    </w:p>
    <w:p w14:paraId="0EA29804" w14:textId="2D83B45F"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prof. dr hab. Hanna Mazur-Marzec kierownik Zakładu Biotechnologii Morskiej, pracownik Instytutu Oceanografii, Wydziału Oceanografii i Geografii UG została laureatką Polskiej Nagrody Inteligentnego Rozwoju 2019 w kategorii „Naukowiec przyszłości” za realizację projektów „Peptydy produkowane przez bałtyckie cyj</w:t>
      </w:r>
      <w:r w:rsidR="00ED46D9">
        <w:rPr>
          <w:rFonts w:ascii="Arial" w:hAnsi="Arial" w:cs="Arial"/>
          <w:sz w:val="20"/>
          <w:szCs w:val="20"/>
        </w:rPr>
        <w:t>an</w:t>
      </w:r>
      <w:r w:rsidRPr="00C07B57">
        <w:rPr>
          <w:rFonts w:ascii="Arial" w:hAnsi="Arial" w:cs="Arial"/>
          <w:sz w:val="20"/>
          <w:szCs w:val="20"/>
        </w:rPr>
        <w:t>obakterie - od identyfikacji do wyboru związku wiodącego (from hits to leads H2L), „Oligopeptydy produkowane przez cyj</w:t>
      </w:r>
      <w:r w:rsidR="00ED46D9">
        <w:rPr>
          <w:rFonts w:ascii="Arial" w:hAnsi="Arial" w:cs="Arial"/>
          <w:sz w:val="20"/>
          <w:szCs w:val="20"/>
        </w:rPr>
        <w:t>an</w:t>
      </w:r>
      <w:r w:rsidRPr="00C07B57">
        <w:rPr>
          <w:rFonts w:ascii="Arial" w:hAnsi="Arial" w:cs="Arial"/>
          <w:sz w:val="20"/>
          <w:szCs w:val="20"/>
        </w:rPr>
        <w:t xml:space="preserve">obakterie - od ekologii do biotechnologii” oraz „Małocząsteczkowe metabolity cyjanobakterii Morza Bałtyckiego jako potencjalne inhibitory funkcji mikroRNA”. Laureatami tego prestiżowego wyróżnienia zostają od czterech lat podmioty i osoby, które w swej pracy wykazują się nieustannym ukierunkowaniem na przyszłość, stanowiąc podstawę zrównoważonego rozwoju gospodarczego kraju. Partnerem merytorycznym Nagrody jest Śląskie Centrum Etyki Biznesu i Zrównoważonego Rozwoju przy Politechnice Śląskiej, a organizatorem Centrum Inteligentnego Rozwoju. </w:t>
      </w:r>
    </w:p>
    <w:p w14:paraId="0EAE88C1"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Ponadto Uniwersytet Gdański realizuje szereg działań ukierunkowanych na poszerzanie wiedzy społeczeństwa o środowisku morskim, jego zasobach żywych, bogactwach naturalnych, potencjale turystycznym i gospodarczym. Wiedza o zmianach tego środowiska wynikających z działalności człowieka, ale też niezależnych od niego w istotny sposób wpływa na bezpieczeństwo pojedynczego człowieka, jak i całego społeczeństwa. Niezmiernie istotne są edukacja proekologiczna oraz dostarczanie informacji i wiedzy dla różnych grup wiekowych oraz warstw społeczeństwa na temat Morza Bałtyckiego, m.in. stanu jego środowiska oraz obserwowanych i potencjalnych zagrożeń.</w:t>
      </w:r>
    </w:p>
    <w:p w14:paraId="58C10989" w14:textId="77777777"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 roku 2019 Uniwersytet Gdański był zaangażowany w działania edukacyjne i informacyjne upowszechniające wiedzę naukową w społeczeństwie, w działania na rzecz ochrony i rozważnej eksploatacji zasobów przyrodniczych morza, a także w promowanie zasad zrównoważonego i trwałego rozwoju cywilizacyjnego społeczności nad Bałtykiem. W ramach umowy o współpracę pomiędzy UG </w:t>
      </w:r>
      <w:r w:rsidRPr="00C07B57">
        <w:rPr>
          <w:rFonts w:ascii="Arial" w:hAnsi="Arial" w:cs="Arial"/>
          <w:sz w:val="20"/>
          <w:szCs w:val="20"/>
        </w:rPr>
        <w:br/>
        <w:t>i Centrum Nauki Experyment w Gdyni w marcu odbyło się wydarzenie pn. Zawód NAUKOWIEC - OCENOGRAF, czyli spotkanie z pasjonatami nauki. W maju 2019 r. odbyła się w weekend majowy Majówka z Oceanografią i  w ramach tego działania Instytut Oceanografii przygotował warsztaty, wykłady oraz pokazy (około 500 do 1000 osób).</w:t>
      </w:r>
    </w:p>
    <w:p w14:paraId="57CDBE97" w14:textId="0B157ED3" w:rsidR="00ED574E" w:rsidRPr="00C07B57" w:rsidRDefault="00ED574E" w:rsidP="00ED574E">
      <w:pPr>
        <w:spacing w:line="276" w:lineRule="auto"/>
        <w:jc w:val="both"/>
        <w:rPr>
          <w:rFonts w:ascii="Arial" w:hAnsi="Arial" w:cs="Arial"/>
          <w:sz w:val="20"/>
          <w:szCs w:val="20"/>
        </w:rPr>
      </w:pPr>
      <w:r w:rsidRPr="00C07B57">
        <w:rPr>
          <w:rFonts w:ascii="Arial" w:hAnsi="Arial" w:cs="Arial"/>
          <w:sz w:val="20"/>
          <w:szCs w:val="20"/>
        </w:rPr>
        <w:t xml:space="preserve">W lipcu 2019 r. po raz piętnasty odbył się Dzień Ryby w Helu. Pomysłodawcą i jednym z organizatorów jest Stacja Morska Uniwersytetu Gdańskiego im. Profesora Krzysztofa Skóry w Helu we współpracy z organizacjami pozarządowymi, przy wsparciu Wojewódzkiego Funduszu Ochrony Środowiska i Gospodarki Wodnej w Gdańsku oraz Grupy LOTOS. Głównym założeniem Dnia Ryby w Helu jest zwiększenie świadomości społecznej dotyczącej roli ryb w ekosystemie Morza Bałtyckiego oraz zwrócenie uwagi na gatunki chronione i ich siedliska. Gatunkami przewodnimi Dnia Ryby w Helu były ryby babkowate, zarówno rodzime, jak i inwazyjne. W Zatoce Puckiej żyją cztery rdzenne gatunki babek (czarna, czarnoplamka, piaskowa i  mała) i jeden inwazyjny (babka śniadogłowa, zwana także byczą). Wszystkie rodzime babki podlegają ochronie częściowej obejmującej m.in. zakaz umyślnego zabijania, ale także zabierania ze środowiska naturalnego do domowych akwariów oraz posiadania żywych lub martwych okazów. </w:t>
      </w:r>
    </w:p>
    <w:p w14:paraId="62FB9324" w14:textId="6848AEE8" w:rsidR="00C4324A" w:rsidRPr="00C4324A" w:rsidRDefault="007050BA" w:rsidP="00C4324A">
      <w:pPr>
        <w:pStyle w:val="Nagwek3"/>
        <w:spacing w:before="120" w:after="120"/>
        <w:rPr>
          <w:rFonts w:ascii="Arial" w:hAnsi="Arial" w:cs="Arial"/>
          <w:b/>
          <w:color w:val="auto"/>
          <w:sz w:val="20"/>
          <w:szCs w:val="20"/>
        </w:rPr>
      </w:pPr>
      <w:bookmarkStart w:id="28" w:name="_Toc72745045"/>
      <w:r w:rsidRPr="004868D2">
        <w:rPr>
          <w:rFonts w:ascii="Arial" w:hAnsi="Arial" w:cs="Arial"/>
          <w:b/>
          <w:color w:val="auto"/>
          <w:sz w:val="20"/>
          <w:szCs w:val="20"/>
        </w:rPr>
        <w:t>Akademia Marynarki Wojennej im. Bohaterów Westerplatte</w:t>
      </w:r>
      <w:r w:rsidR="004C6CC5" w:rsidRPr="004868D2">
        <w:rPr>
          <w:rFonts w:ascii="Arial" w:hAnsi="Arial" w:cs="Arial"/>
          <w:b/>
          <w:color w:val="auto"/>
          <w:sz w:val="20"/>
          <w:szCs w:val="20"/>
        </w:rPr>
        <w:t xml:space="preserve"> w </w:t>
      </w:r>
      <w:r w:rsidRPr="004868D2">
        <w:rPr>
          <w:rFonts w:ascii="Arial" w:hAnsi="Arial" w:cs="Arial"/>
          <w:b/>
          <w:color w:val="auto"/>
          <w:sz w:val="20"/>
          <w:szCs w:val="20"/>
        </w:rPr>
        <w:t>Gdyni</w:t>
      </w:r>
      <w:r w:rsidR="004868D2">
        <w:rPr>
          <w:rFonts w:ascii="Arial" w:hAnsi="Arial" w:cs="Arial"/>
          <w:b/>
          <w:color w:val="auto"/>
          <w:sz w:val="20"/>
          <w:szCs w:val="20"/>
        </w:rPr>
        <w:t>.</w:t>
      </w:r>
      <w:bookmarkEnd w:id="28"/>
    </w:p>
    <w:p w14:paraId="6F7B0C5C" w14:textId="54A38B06" w:rsidR="009A5963" w:rsidRPr="004C6CC5" w:rsidRDefault="00290466" w:rsidP="009A5963">
      <w:pPr>
        <w:spacing w:after="120" w:line="276" w:lineRule="auto"/>
        <w:jc w:val="both"/>
        <w:rPr>
          <w:rFonts w:ascii="Arial" w:hAnsi="Arial" w:cs="Arial"/>
          <w:sz w:val="20"/>
          <w:szCs w:val="20"/>
        </w:rPr>
      </w:pPr>
      <w:r>
        <w:rPr>
          <w:rFonts w:ascii="Arial" w:hAnsi="Arial" w:cs="Arial"/>
          <w:sz w:val="20"/>
          <w:szCs w:val="20"/>
        </w:rPr>
        <w:t xml:space="preserve">Akademia Marynarki Wojennej im. Bohaterów Westerplatte w Gdyni ze względu na wieloletnią tradycję oraz swój morski charakter realizuje zadania </w:t>
      </w:r>
      <w:r w:rsidRPr="004C6CC5">
        <w:rPr>
          <w:rFonts w:ascii="Arial" w:hAnsi="Arial" w:cs="Arial"/>
          <w:sz w:val="20"/>
          <w:szCs w:val="20"/>
        </w:rPr>
        <w:t>wpisują</w:t>
      </w:r>
      <w:r>
        <w:rPr>
          <w:rFonts w:ascii="Arial" w:hAnsi="Arial" w:cs="Arial"/>
          <w:sz w:val="20"/>
          <w:szCs w:val="20"/>
        </w:rPr>
        <w:t>ce</w:t>
      </w:r>
      <w:r w:rsidRPr="004C6CC5">
        <w:rPr>
          <w:rFonts w:ascii="Arial" w:hAnsi="Arial" w:cs="Arial"/>
          <w:sz w:val="20"/>
          <w:szCs w:val="20"/>
        </w:rPr>
        <w:t xml:space="preserve"> się </w:t>
      </w:r>
      <w:r>
        <w:rPr>
          <w:rFonts w:ascii="Arial" w:hAnsi="Arial" w:cs="Arial"/>
          <w:sz w:val="20"/>
          <w:szCs w:val="20"/>
        </w:rPr>
        <w:t>w </w:t>
      </w:r>
      <w:r w:rsidRPr="004C6CC5">
        <w:rPr>
          <w:rFonts w:ascii="Arial" w:hAnsi="Arial" w:cs="Arial"/>
          <w:sz w:val="20"/>
          <w:szCs w:val="20"/>
        </w:rPr>
        <w:t>realizację priorytetowych kierunków polityki morskiej RP</w:t>
      </w:r>
      <w:r>
        <w:rPr>
          <w:rFonts w:ascii="Arial" w:hAnsi="Arial" w:cs="Arial"/>
          <w:sz w:val="20"/>
          <w:szCs w:val="20"/>
        </w:rPr>
        <w:t xml:space="preserve"> zarówno w obszarze prowadzenia badań naukowych, jak i dydaktyki. </w:t>
      </w:r>
      <w:r w:rsidR="009A5963" w:rsidRPr="004C6CC5">
        <w:rPr>
          <w:rFonts w:ascii="Arial" w:hAnsi="Arial" w:cs="Arial"/>
          <w:sz w:val="20"/>
          <w:szCs w:val="20"/>
        </w:rPr>
        <w:t>Uczelnia kształci studentów na czterech wydziałach,</w:t>
      </w:r>
      <w:r w:rsidR="003A539E">
        <w:rPr>
          <w:rFonts w:ascii="Arial" w:hAnsi="Arial" w:cs="Arial"/>
          <w:sz w:val="20"/>
          <w:szCs w:val="20"/>
        </w:rPr>
        <w:t xml:space="preserve"> z </w:t>
      </w:r>
      <w:r w:rsidR="009A5963" w:rsidRPr="004C6CC5">
        <w:rPr>
          <w:rFonts w:ascii="Arial" w:hAnsi="Arial" w:cs="Arial"/>
          <w:sz w:val="20"/>
          <w:szCs w:val="20"/>
        </w:rPr>
        <w:t>czego</w:t>
      </w:r>
      <w:r w:rsidR="009A5963">
        <w:rPr>
          <w:rFonts w:ascii="Arial" w:hAnsi="Arial" w:cs="Arial"/>
          <w:sz w:val="20"/>
          <w:szCs w:val="20"/>
        </w:rPr>
        <w:t xml:space="preserve"> w </w:t>
      </w:r>
      <w:r w:rsidR="009A5963" w:rsidRPr="004C6CC5">
        <w:rPr>
          <w:rFonts w:ascii="Arial" w:hAnsi="Arial" w:cs="Arial"/>
          <w:sz w:val="20"/>
          <w:szCs w:val="20"/>
        </w:rPr>
        <w:t xml:space="preserve">2019 r. </w:t>
      </w:r>
      <w:r w:rsidR="003A539E">
        <w:rPr>
          <w:rFonts w:ascii="Arial" w:hAnsi="Arial" w:cs="Arial"/>
          <w:sz w:val="20"/>
          <w:szCs w:val="20"/>
        </w:rPr>
        <w:t>na Wydziale</w:t>
      </w:r>
      <w:r w:rsidR="009A5963" w:rsidRPr="004C6CC5">
        <w:rPr>
          <w:rFonts w:ascii="Arial" w:hAnsi="Arial" w:cs="Arial"/>
          <w:sz w:val="20"/>
          <w:szCs w:val="20"/>
        </w:rPr>
        <w:t xml:space="preserve"> Nawigacji</w:t>
      </w:r>
      <w:r w:rsidR="009A5963">
        <w:rPr>
          <w:rFonts w:ascii="Arial" w:hAnsi="Arial" w:cs="Arial"/>
          <w:sz w:val="20"/>
          <w:szCs w:val="20"/>
        </w:rPr>
        <w:t xml:space="preserve"> i </w:t>
      </w:r>
      <w:r w:rsidR="009A5963" w:rsidRPr="004C6CC5">
        <w:rPr>
          <w:rFonts w:ascii="Arial" w:hAnsi="Arial" w:cs="Arial"/>
          <w:sz w:val="20"/>
          <w:szCs w:val="20"/>
        </w:rPr>
        <w:t xml:space="preserve">Uzbrojenia </w:t>
      </w:r>
      <w:r w:rsidR="009A5963" w:rsidRPr="004C6CC5">
        <w:rPr>
          <w:rFonts w:ascii="Arial" w:hAnsi="Arial" w:cs="Arial"/>
          <w:sz w:val="20"/>
          <w:szCs w:val="20"/>
        </w:rPr>
        <w:lastRenderedPageBreak/>
        <w:t>Okrętowego wiedzę zdobywało 395 studentów, na Wydziale Mechaniczno-Elektryczny</w:t>
      </w:r>
      <w:r w:rsidR="003A539E">
        <w:rPr>
          <w:rFonts w:ascii="Arial" w:hAnsi="Arial" w:cs="Arial"/>
          <w:sz w:val="20"/>
          <w:szCs w:val="20"/>
        </w:rPr>
        <w:t>m</w:t>
      </w:r>
      <w:r w:rsidR="009A5963" w:rsidRPr="004C6CC5">
        <w:rPr>
          <w:rFonts w:ascii="Arial" w:hAnsi="Arial" w:cs="Arial"/>
          <w:sz w:val="20"/>
          <w:szCs w:val="20"/>
        </w:rPr>
        <w:t xml:space="preserve"> 466 studentów, na Wydziale Nauk Humanistycznych</w:t>
      </w:r>
      <w:r w:rsidR="009A5963">
        <w:rPr>
          <w:rFonts w:ascii="Arial" w:hAnsi="Arial" w:cs="Arial"/>
          <w:sz w:val="20"/>
          <w:szCs w:val="20"/>
        </w:rPr>
        <w:t xml:space="preserve"> i </w:t>
      </w:r>
      <w:r w:rsidR="009A5963" w:rsidRPr="004C6CC5">
        <w:rPr>
          <w:rFonts w:ascii="Arial" w:hAnsi="Arial" w:cs="Arial"/>
          <w:sz w:val="20"/>
          <w:szCs w:val="20"/>
        </w:rPr>
        <w:t>Społecznych 457 studentów, zaś na Wydziale Dowodzenia</w:t>
      </w:r>
      <w:r w:rsidR="009A5963">
        <w:rPr>
          <w:rFonts w:ascii="Arial" w:hAnsi="Arial" w:cs="Arial"/>
          <w:sz w:val="20"/>
          <w:szCs w:val="20"/>
        </w:rPr>
        <w:t xml:space="preserve"> i </w:t>
      </w:r>
      <w:r w:rsidR="009A5963" w:rsidRPr="004C6CC5">
        <w:rPr>
          <w:rFonts w:ascii="Arial" w:hAnsi="Arial" w:cs="Arial"/>
          <w:sz w:val="20"/>
          <w:szCs w:val="20"/>
        </w:rPr>
        <w:t>Operacji Morskich 905 studentów.</w:t>
      </w:r>
    </w:p>
    <w:p w14:paraId="1B566606" w14:textId="3D14C39F" w:rsidR="002D486B" w:rsidRDefault="007050BA" w:rsidP="002D486B">
      <w:pPr>
        <w:spacing w:before="120" w:after="120" w:line="276" w:lineRule="auto"/>
        <w:jc w:val="both"/>
        <w:rPr>
          <w:rFonts w:ascii="Arial" w:hAnsi="Arial" w:cs="Arial"/>
          <w:sz w:val="20"/>
          <w:szCs w:val="20"/>
        </w:rPr>
      </w:pPr>
      <w:r w:rsidRPr="004C6CC5">
        <w:rPr>
          <w:rFonts w:ascii="Arial" w:hAnsi="Arial" w:cs="Arial"/>
          <w:sz w:val="20"/>
          <w:szCs w:val="20"/>
        </w:rPr>
        <w:t>Akademia Marynarki Wojennej jako uczelnia wojskowa, prow</w:t>
      </w:r>
      <w:r w:rsidR="00290466">
        <w:rPr>
          <w:rFonts w:ascii="Arial" w:hAnsi="Arial" w:cs="Arial"/>
          <w:sz w:val="20"/>
          <w:szCs w:val="20"/>
        </w:rPr>
        <w:t>adzi działalność naukową</w:t>
      </w:r>
      <w:r w:rsidRPr="004C6CC5">
        <w:rPr>
          <w:rFonts w:ascii="Arial" w:hAnsi="Arial" w:cs="Arial"/>
          <w:sz w:val="20"/>
          <w:szCs w:val="20"/>
        </w:rPr>
        <w:t xml:space="preserve"> na potrzeby resortu obro</w:t>
      </w:r>
      <w:r w:rsidR="00662C37">
        <w:rPr>
          <w:rFonts w:ascii="Arial" w:hAnsi="Arial" w:cs="Arial"/>
          <w:sz w:val="20"/>
          <w:szCs w:val="20"/>
        </w:rPr>
        <w:t xml:space="preserve">ny narodowej, która wpisuje się w </w:t>
      </w:r>
      <w:r w:rsidRPr="004C6CC5">
        <w:rPr>
          <w:rFonts w:ascii="Arial" w:hAnsi="Arial" w:cs="Arial"/>
          <w:sz w:val="20"/>
          <w:szCs w:val="20"/>
        </w:rPr>
        <w:t>kluczowe obszary badawcze zdefiniowane</w:t>
      </w:r>
      <w:r w:rsidR="00D12019">
        <w:rPr>
          <w:rFonts w:ascii="Arial" w:hAnsi="Arial" w:cs="Arial"/>
          <w:sz w:val="20"/>
          <w:szCs w:val="20"/>
        </w:rPr>
        <w:t xml:space="preserve"> w </w:t>
      </w:r>
      <w:r w:rsidR="00290466">
        <w:rPr>
          <w:rFonts w:ascii="Arial" w:hAnsi="Arial" w:cs="Arial"/>
          <w:sz w:val="20"/>
          <w:szCs w:val="20"/>
        </w:rPr>
        <w:t xml:space="preserve">dokumencie </w:t>
      </w:r>
      <w:r w:rsidR="00F743A0">
        <w:rPr>
          <w:rFonts w:ascii="Arial" w:hAnsi="Arial" w:cs="Arial"/>
          <w:sz w:val="20"/>
          <w:szCs w:val="20"/>
        </w:rPr>
        <w:br/>
      </w:r>
      <w:r w:rsidR="00290466">
        <w:rPr>
          <w:rFonts w:ascii="Arial" w:hAnsi="Arial" w:cs="Arial"/>
          <w:sz w:val="20"/>
          <w:szCs w:val="20"/>
        </w:rPr>
        <w:t>pn.</w:t>
      </w:r>
      <w:r w:rsidRPr="004C6CC5">
        <w:rPr>
          <w:rFonts w:ascii="Arial" w:hAnsi="Arial" w:cs="Arial"/>
          <w:sz w:val="20"/>
          <w:szCs w:val="20"/>
        </w:rPr>
        <w:t xml:space="preserve"> „Priorytetowe kierunki badań</w:t>
      </w:r>
      <w:r w:rsidR="004C6CC5">
        <w:rPr>
          <w:rFonts w:ascii="Arial" w:hAnsi="Arial" w:cs="Arial"/>
          <w:sz w:val="20"/>
          <w:szCs w:val="20"/>
        </w:rPr>
        <w:t xml:space="preserve"> w </w:t>
      </w:r>
      <w:r w:rsidRPr="004C6CC5">
        <w:rPr>
          <w:rFonts w:ascii="Arial" w:hAnsi="Arial" w:cs="Arial"/>
          <w:sz w:val="20"/>
          <w:szCs w:val="20"/>
        </w:rPr>
        <w:t>resorcie obrony narodowej na lata 2017-2026”. W ramach tych właśnie kierunków badań realiz</w:t>
      </w:r>
      <w:r w:rsidR="004868D2">
        <w:rPr>
          <w:rFonts w:ascii="Arial" w:hAnsi="Arial" w:cs="Arial"/>
          <w:sz w:val="20"/>
          <w:szCs w:val="20"/>
        </w:rPr>
        <w:t xml:space="preserve">owana jest działalność naukowa </w:t>
      </w:r>
      <w:r w:rsidRPr="004C6CC5">
        <w:rPr>
          <w:rFonts w:ascii="Arial" w:hAnsi="Arial" w:cs="Arial"/>
          <w:sz w:val="20"/>
          <w:szCs w:val="20"/>
        </w:rPr>
        <w:t>uczelni, która ukierunkowana jest</w:t>
      </w:r>
      <w:r w:rsidR="004C6CC5">
        <w:rPr>
          <w:rFonts w:ascii="Arial" w:hAnsi="Arial" w:cs="Arial"/>
          <w:sz w:val="20"/>
          <w:szCs w:val="20"/>
        </w:rPr>
        <w:t xml:space="preserve"> w </w:t>
      </w:r>
      <w:r w:rsidRPr="004C6CC5">
        <w:rPr>
          <w:rFonts w:ascii="Arial" w:hAnsi="Arial" w:cs="Arial"/>
          <w:sz w:val="20"/>
          <w:szCs w:val="20"/>
        </w:rPr>
        <w:t xml:space="preserve">dużej mierze na projekty o charakterze </w:t>
      </w:r>
      <w:r w:rsidR="00662C37">
        <w:rPr>
          <w:rFonts w:ascii="Arial" w:hAnsi="Arial" w:cs="Arial"/>
          <w:sz w:val="20"/>
          <w:szCs w:val="20"/>
        </w:rPr>
        <w:t xml:space="preserve">związanym z </w:t>
      </w:r>
      <w:r w:rsidRPr="004C6CC5">
        <w:rPr>
          <w:rFonts w:ascii="Arial" w:hAnsi="Arial" w:cs="Arial"/>
          <w:sz w:val="20"/>
          <w:szCs w:val="20"/>
        </w:rPr>
        <w:t>obronności</w:t>
      </w:r>
      <w:r w:rsidR="00662C37">
        <w:rPr>
          <w:rFonts w:ascii="Arial" w:hAnsi="Arial" w:cs="Arial"/>
          <w:sz w:val="20"/>
          <w:szCs w:val="20"/>
        </w:rPr>
        <w:t>ą</w:t>
      </w:r>
      <w:r w:rsidR="004C6CC5">
        <w:rPr>
          <w:rFonts w:ascii="Arial" w:hAnsi="Arial" w:cs="Arial"/>
          <w:sz w:val="20"/>
          <w:szCs w:val="20"/>
        </w:rPr>
        <w:t xml:space="preserve"> i </w:t>
      </w:r>
      <w:r w:rsidR="00662C37">
        <w:rPr>
          <w:rFonts w:ascii="Arial" w:hAnsi="Arial" w:cs="Arial"/>
          <w:sz w:val="20"/>
          <w:szCs w:val="20"/>
        </w:rPr>
        <w:t>bezpieczeństwem</w:t>
      </w:r>
      <w:r w:rsidR="00033FE4">
        <w:rPr>
          <w:rFonts w:ascii="Arial" w:hAnsi="Arial" w:cs="Arial"/>
          <w:sz w:val="20"/>
          <w:szCs w:val="20"/>
        </w:rPr>
        <w:t xml:space="preserve"> p</w:t>
      </w:r>
      <w:r w:rsidRPr="004C6CC5">
        <w:rPr>
          <w:rFonts w:ascii="Arial" w:hAnsi="Arial" w:cs="Arial"/>
          <w:sz w:val="20"/>
          <w:szCs w:val="20"/>
        </w:rPr>
        <w:t xml:space="preserve">aństwa. </w:t>
      </w:r>
    </w:p>
    <w:p w14:paraId="77F3D5E4" w14:textId="09407481" w:rsidR="007050BA" w:rsidRPr="004C6CC5" w:rsidRDefault="007050BA" w:rsidP="002D486B">
      <w:pPr>
        <w:spacing w:before="120" w:after="120" w:line="276" w:lineRule="auto"/>
        <w:jc w:val="both"/>
        <w:rPr>
          <w:rFonts w:ascii="Arial" w:hAnsi="Arial" w:cs="Arial"/>
          <w:sz w:val="20"/>
          <w:szCs w:val="20"/>
        </w:rPr>
      </w:pPr>
      <w:r w:rsidRPr="004C6CC5">
        <w:rPr>
          <w:rFonts w:ascii="Arial" w:hAnsi="Arial" w:cs="Arial"/>
          <w:sz w:val="20"/>
          <w:szCs w:val="20"/>
        </w:rPr>
        <w:t>Rok 2019 był kolejnym rokiem realizacji</w:t>
      </w:r>
      <w:r w:rsidR="004C6CC5">
        <w:rPr>
          <w:rFonts w:ascii="Arial" w:hAnsi="Arial" w:cs="Arial"/>
          <w:sz w:val="20"/>
          <w:szCs w:val="20"/>
        </w:rPr>
        <w:t xml:space="preserve"> w </w:t>
      </w:r>
      <w:r w:rsidRPr="004C6CC5">
        <w:rPr>
          <w:rFonts w:ascii="Arial" w:hAnsi="Arial" w:cs="Arial"/>
          <w:sz w:val="20"/>
          <w:szCs w:val="20"/>
        </w:rPr>
        <w:t xml:space="preserve">konsorcjum krajowym projektu </w:t>
      </w:r>
      <w:r w:rsidR="005427A8">
        <w:rPr>
          <w:rFonts w:ascii="Arial" w:hAnsi="Arial" w:cs="Arial"/>
          <w:sz w:val="20"/>
          <w:szCs w:val="20"/>
        </w:rPr>
        <w:t xml:space="preserve">pn. </w:t>
      </w:r>
      <w:r w:rsidRPr="004C6CC5">
        <w:rPr>
          <w:rFonts w:ascii="Arial" w:hAnsi="Arial" w:cs="Arial"/>
          <w:sz w:val="20"/>
          <w:szCs w:val="20"/>
        </w:rPr>
        <w:t>„Badania</w:t>
      </w:r>
      <w:r w:rsidR="004C6CC5">
        <w:rPr>
          <w:rFonts w:ascii="Arial" w:hAnsi="Arial" w:cs="Arial"/>
          <w:sz w:val="20"/>
          <w:szCs w:val="20"/>
        </w:rPr>
        <w:t xml:space="preserve"> i </w:t>
      </w:r>
      <w:r w:rsidRPr="004C6CC5">
        <w:rPr>
          <w:rFonts w:ascii="Arial" w:hAnsi="Arial" w:cs="Arial"/>
          <w:sz w:val="20"/>
          <w:szCs w:val="20"/>
        </w:rPr>
        <w:t>symulacje skutków oddziaływania impulsów HPM” realizowanego</w:t>
      </w:r>
      <w:r w:rsidR="004C6CC5">
        <w:rPr>
          <w:rFonts w:ascii="Arial" w:hAnsi="Arial" w:cs="Arial"/>
          <w:sz w:val="20"/>
          <w:szCs w:val="20"/>
        </w:rPr>
        <w:t xml:space="preserve"> w </w:t>
      </w:r>
      <w:r w:rsidRPr="004C6CC5">
        <w:rPr>
          <w:rFonts w:ascii="Arial" w:hAnsi="Arial" w:cs="Arial"/>
          <w:sz w:val="20"/>
          <w:szCs w:val="20"/>
        </w:rPr>
        <w:t>ramach strategicznego programu badań naukowych</w:t>
      </w:r>
      <w:r w:rsidR="004C6CC5">
        <w:rPr>
          <w:rFonts w:ascii="Arial" w:hAnsi="Arial" w:cs="Arial"/>
          <w:sz w:val="20"/>
          <w:szCs w:val="20"/>
        </w:rPr>
        <w:t xml:space="preserve"> i </w:t>
      </w:r>
      <w:r w:rsidRPr="004C6CC5">
        <w:rPr>
          <w:rFonts w:ascii="Arial" w:hAnsi="Arial" w:cs="Arial"/>
          <w:sz w:val="20"/>
          <w:szCs w:val="20"/>
        </w:rPr>
        <w:t>prac rozwojowych na rzecz obronności</w:t>
      </w:r>
      <w:r w:rsidR="004C6CC5">
        <w:rPr>
          <w:rFonts w:ascii="Arial" w:hAnsi="Arial" w:cs="Arial"/>
          <w:sz w:val="20"/>
          <w:szCs w:val="20"/>
        </w:rPr>
        <w:t xml:space="preserve"> i </w:t>
      </w:r>
      <w:r w:rsidR="005427A8">
        <w:rPr>
          <w:rFonts w:ascii="Arial" w:hAnsi="Arial" w:cs="Arial"/>
          <w:sz w:val="20"/>
          <w:szCs w:val="20"/>
        </w:rPr>
        <w:t>bezpieczeństwa państwa pn. „</w:t>
      </w:r>
      <w:r w:rsidRPr="004C6CC5">
        <w:rPr>
          <w:rFonts w:ascii="Arial" w:hAnsi="Arial" w:cs="Arial"/>
          <w:sz w:val="20"/>
          <w:szCs w:val="20"/>
        </w:rPr>
        <w:t>Nowe systemy uzbrojenia</w:t>
      </w:r>
      <w:r w:rsidR="004C6CC5">
        <w:rPr>
          <w:rFonts w:ascii="Arial" w:hAnsi="Arial" w:cs="Arial"/>
          <w:sz w:val="20"/>
          <w:szCs w:val="20"/>
        </w:rPr>
        <w:t xml:space="preserve"> i </w:t>
      </w:r>
      <w:r w:rsidRPr="004C6CC5">
        <w:rPr>
          <w:rFonts w:ascii="Arial" w:hAnsi="Arial" w:cs="Arial"/>
          <w:sz w:val="20"/>
          <w:szCs w:val="20"/>
        </w:rPr>
        <w:t>obrony</w:t>
      </w:r>
      <w:r w:rsidR="004C6CC5">
        <w:rPr>
          <w:rFonts w:ascii="Arial" w:hAnsi="Arial" w:cs="Arial"/>
          <w:sz w:val="20"/>
          <w:szCs w:val="20"/>
        </w:rPr>
        <w:t xml:space="preserve"> w </w:t>
      </w:r>
      <w:r w:rsidR="005427A8">
        <w:rPr>
          <w:rFonts w:ascii="Arial" w:hAnsi="Arial" w:cs="Arial"/>
          <w:sz w:val="20"/>
          <w:szCs w:val="20"/>
        </w:rPr>
        <w:t>zakresie energii skierowanej”</w:t>
      </w:r>
      <w:r w:rsidRPr="004C6CC5">
        <w:rPr>
          <w:rFonts w:ascii="Arial" w:hAnsi="Arial" w:cs="Arial"/>
          <w:sz w:val="20"/>
          <w:szCs w:val="20"/>
        </w:rPr>
        <w:t>.</w:t>
      </w:r>
    </w:p>
    <w:p w14:paraId="0C676ED2" w14:textId="08F9AB4E" w:rsidR="00511D84" w:rsidRPr="004C6CC5" w:rsidRDefault="00511D84" w:rsidP="00511D84">
      <w:pPr>
        <w:spacing w:after="120" w:line="276" w:lineRule="auto"/>
        <w:jc w:val="both"/>
        <w:rPr>
          <w:rFonts w:ascii="Arial" w:hAnsi="Arial" w:cs="Arial"/>
          <w:bCs/>
          <w:sz w:val="20"/>
          <w:szCs w:val="20"/>
        </w:rPr>
      </w:pPr>
      <w:r w:rsidRPr="004C6CC5">
        <w:rPr>
          <w:rFonts w:ascii="Arial" w:hAnsi="Arial" w:cs="Arial"/>
          <w:sz w:val="20"/>
          <w:szCs w:val="20"/>
        </w:rPr>
        <w:t>W ramach międzynarodowego konsorcjum naukowego składającego się</w:t>
      </w:r>
      <w:r>
        <w:rPr>
          <w:rFonts w:ascii="Arial" w:hAnsi="Arial" w:cs="Arial"/>
          <w:sz w:val="20"/>
          <w:szCs w:val="20"/>
        </w:rPr>
        <w:t xml:space="preserve"> z państw: Holandia, Norwegia</w:t>
      </w:r>
      <w:r w:rsidRPr="004C6CC5">
        <w:rPr>
          <w:rFonts w:ascii="Arial" w:hAnsi="Arial" w:cs="Arial"/>
          <w:sz w:val="20"/>
          <w:szCs w:val="20"/>
        </w:rPr>
        <w:t>,</w:t>
      </w:r>
      <w:r>
        <w:rPr>
          <w:rFonts w:ascii="Arial" w:hAnsi="Arial" w:cs="Arial"/>
          <w:sz w:val="20"/>
          <w:szCs w:val="20"/>
        </w:rPr>
        <w:t xml:space="preserve"> </w:t>
      </w:r>
      <w:r w:rsidRPr="004C6CC5">
        <w:rPr>
          <w:rFonts w:ascii="Arial" w:hAnsi="Arial" w:cs="Arial"/>
          <w:sz w:val="20"/>
          <w:szCs w:val="20"/>
        </w:rPr>
        <w:t>Hiszpania oraz Polska (Akad</w:t>
      </w:r>
      <w:r>
        <w:rPr>
          <w:rFonts w:ascii="Arial" w:hAnsi="Arial" w:cs="Arial"/>
          <w:sz w:val="20"/>
          <w:szCs w:val="20"/>
        </w:rPr>
        <w:t>emia Marynarki Wojennej)</w:t>
      </w:r>
      <w:r w:rsidRPr="004C6CC5">
        <w:rPr>
          <w:rFonts w:ascii="Arial" w:hAnsi="Arial" w:cs="Arial"/>
          <w:sz w:val="20"/>
          <w:szCs w:val="20"/>
        </w:rPr>
        <w:t xml:space="preserve"> uczelnia realizuje kolejny etap badań na potrzeby Eur</w:t>
      </w:r>
      <w:r>
        <w:rPr>
          <w:rFonts w:ascii="Arial" w:hAnsi="Arial" w:cs="Arial"/>
          <w:sz w:val="20"/>
          <w:szCs w:val="20"/>
        </w:rPr>
        <w:t>opejskiej Agencji Obrony (EDA) pn. „</w:t>
      </w:r>
      <w:r w:rsidR="001518EF">
        <w:rPr>
          <w:rFonts w:ascii="Arial" w:hAnsi="Arial" w:cs="Arial"/>
          <w:sz w:val="20"/>
          <w:szCs w:val="20"/>
        </w:rPr>
        <w:t>Analiza wpływu pól fizycznych okrętów na sensory min morskich faza 2” (</w:t>
      </w:r>
      <w:r w:rsidRPr="004C6CC5">
        <w:rPr>
          <w:rFonts w:ascii="Arial" w:hAnsi="Arial" w:cs="Arial"/>
          <w:bCs/>
          <w:sz w:val="20"/>
          <w:szCs w:val="20"/>
        </w:rPr>
        <w:t>Signature Response Analysi</w:t>
      </w:r>
      <w:r>
        <w:rPr>
          <w:rFonts w:ascii="Arial" w:hAnsi="Arial" w:cs="Arial"/>
          <w:bCs/>
          <w:sz w:val="20"/>
          <w:szCs w:val="20"/>
        </w:rPr>
        <w:t>s on Multi Influence Sen</w:t>
      </w:r>
      <w:r w:rsidR="001518EF">
        <w:rPr>
          <w:rFonts w:ascii="Arial" w:hAnsi="Arial" w:cs="Arial"/>
          <w:bCs/>
          <w:sz w:val="20"/>
          <w:szCs w:val="20"/>
        </w:rPr>
        <w:t>sors II – SIRAMIS II)</w:t>
      </w:r>
      <w:r w:rsidRPr="004C6CC5">
        <w:rPr>
          <w:rFonts w:ascii="Arial" w:hAnsi="Arial" w:cs="Arial"/>
          <w:bCs/>
          <w:sz w:val="20"/>
          <w:szCs w:val="20"/>
        </w:rPr>
        <w:t>.</w:t>
      </w:r>
      <w:r w:rsidR="001518EF">
        <w:rPr>
          <w:rFonts w:ascii="Arial" w:hAnsi="Arial" w:cs="Arial"/>
          <w:bCs/>
          <w:sz w:val="20"/>
          <w:szCs w:val="20"/>
        </w:rPr>
        <w:t xml:space="preserve"> Celem badania jest modelowanie i</w:t>
      </w:r>
      <w:r w:rsidR="00D41014">
        <w:rPr>
          <w:rFonts w:ascii="Arial" w:hAnsi="Arial" w:cs="Arial"/>
          <w:bCs/>
          <w:sz w:val="20"/>
          <w:szCs w:val="20"/>
        </w:rPr>
        <w:t xml:space="preserve"> </w:t>
      </w:r>
      <w:r w:rsidR="001518EF">
        <w:rPr>
          <w:rFonts w:ascii="Arial" w:hAnsi="Arial" w:cs="Arial"/>
          <w:bCs/>
          <w:sz w:val="20"/>
          <w:szCs w:val="20"/>
        </w:rPr>
        <w:t>symulacja oddziaływania pól fizycznych (sygnatur) jednostek pływających na sensory wielokanałowych min morskich.</w:t>
      </w:r>
    </w:p>
    <w:p w14:paraId="18FB2405" w14:textId="0B68D04F" w:rsidR="007050BA" w:rsidRPr="004C6CC5" w:rsidRDefault="007050BA" w:rsidP="008D2321">
      <w:pPr>
        <w:spacing w:after="120" w:line="276" w:lineRule="auto"/>
        <w:jc w:val="both"/>
        <w:rPr>
          <w:rFonts w:ascii="Arial" w:hAnsi="Arial" w:cs="Arial"/>
          <w:bCs/>
          <w:sz w:val="20"/>
          <w:szCs w:val="20"/>
        </w:rPr>
      </w:pPr>
      <w:r w:rsidRPr="004C6CC5">
        <w:rPr>
          <w:rFonts w:ascii="Arial" w:hAnsi="Arial" w:cs="Arial"/>
          <w:bCs/>
          <w:sz w:val="20"/>
          <w:szCs w:val="20"/>
        </w:rPr>
        <w:t>Obszarem badań istotnym</w:t>
      </w:r>
      <w:r w:rsidR="004C6CC5">
        <w:rPr>
          <w:rFonts w:ascii="Arial" w:hAnsi="Arial" w:cs="Arial"/>
          <w:bCs/>
          <w:sz w:val="20"/>
          <w:szCs w:val="20"/>
        </w:rPr>
        <w:t xml:space="preserve"> z </w:t>
      </w:r>
      <w:r w:rsidRPr="004C6CC5">
        <w:rPr>
          <w:rFonts w:ascii="Arial" w:hAnsi="Arial" w:cs="Arial"/>
          <w:bCs/>
          <w:sz w:val="20"/>
          <w:szCs w:val="20"/>
        </w:rPr>
        <w:t>punktu widzenia realizacji polskiej polityki morskiej jest obszar ratownictwa morskiego</w:t>
      </w:r>
      <w:r w:rsidR="00927EE9">
        <w:rPr>
          <w:rFonts w:ascii="Arial" w:hAnsi="Arial" w:cs="Arial"/>
          <w:bCs/>
          <w:sz w:val="20"/>
          <w:szCs w:val="20"/>
        </w:rPr>
        <w:t>,</w:t>
      </w:r>
      <w:r w:rsidR="004C6CC5">
        <w:rPr>
          <w:rFonts w:ascii="Arial" w:hAnsi="Arial" w:cs="Arial"/>
          <w:bCs/>
          <w:sz w:val="20"/>
          <w:szCs w:val="20"/>
        </w:rPr>
        <w:t xml:space="preserve"> w </w:t>
      </w:r>
      <w:r w:rsidRPr="004C6CC5">
        <w:rPr>
          <w:rFonts w:ascii="Arial" w:hAnsi="Arial" w:cs="Arial"/>
          <w:bCs/>
          <w:sz w:val="20"/>
          <w:szCs w:val="20"/>
        </w:rPr>
        <w:t>którym od ponad 10 lat uczelnia kontynuuje swoje badania. Przykładem tych badań jest realizowany</w:t>
      </w:r>
      <w:r w:rsidR="004C6CC5">
        <w:rPr>
          <w:rFonts w:ascii="Arial" w:hAnsi="Arial" w:cs="Arial"/>
          <w:bCs/>
          <w:sz w:val="20"/>
          <w:szCs w:val="20"/>
        </w:rPr>
        <w:t xml:space="preserve"> w </w:t>
      </w:r>
      <w:r w:rsidR="001529B6">
        <w:rPr>
          <w:rFonts w:ascii="Arial" w:hAnsi="Arial" w:cs="Arial"/>
          <w:bCs/>
          <w:sz w:val="20"/>
          <w:szCs w:val="20"/>
        </w:rPr>
        <w:t>2019 r.</w:t>
      </w:r>
      <w:r w:rsidRPr="004C6CC5">
        <w:rPr>
          <w:rFonts w:ascii="Arial" w:hAnsi="Arial" w:cs="Arial"/>
          <w:bCs/>
          <w:sz w:val="20"/>
          <w:szCs w:val="20"/>
        </w:rPr>
        <w:t xml:space="preserve"> projekt „Zwiększenie trwałości doświadczeń zdobytych</w:t>
      </w:r>
      <w:r w:rsidR="004C6CC5">
        <w:rPr>
          <w:rFonts w:ascii="Arial" w:hAnsi="Arial" w:cs="Arial"/>
          <w:bCs/>
          <w:sz w:val="20"/>
          <w:szCs w:val="20"/>
        </w:rPr>
        <w:t xml:space="preserve"> w </w:t>
      </w:r>
      <w:r w:rsidRPr="004C6CC5">
        <w:rPr>
          <w:rFonts w:ascii="Arial" w:hAnsi="Arial" w:cs="Arial"/>
          <w:bCs/>
          <w:sz w:val="20"/>
          <w:szCs w:val="20"/>
        </w:rPr>
        <w:t>projektach ChemSAR, Hazard, DiveSmart Baltic</w:t>
      </w:r>
      <w:r w:rsidR="004C6CC5">
        <w:rPr>
          <w:rFonts w:ascii="Arial" w:hAnsi="Arial" w:cs="Arial"/>
          <w:bCs/>
          <w:sz w:val="20"/>
          <w:szCs w:val="20"/>
        </w:rPr>
        <w:t xml:space="preserve"> i </w:t>
      </w:r>
      <w:r w:rsidRPr="004C6CC5">
        <w:rPr>
          <w:rFonts w:ascii="Arial" w:hAnsi="Arial" w:cs="Arial"/>
          <w:bCs/>
          <w:sz w:val="20"/>
          <w:szCs w:val="20"/>
        </w:rPr>
        <w:t>MIg-Ex dotyczących wytycznych, planów operacyjnych</w:t>
      </w:r>
      <w:r w:rsidR="004C6CC5">
        <w:rPr>
          <w:rFonts w:ascii="Arial" w:hAnsi="Arial" w:cs="Arial"/>
          <w:bCs/>
          <w:sz w:val="20"/>
          <w:szCs w:val="20"/>
        </w:rPr>
        <w:t xml:space="preserve"> i </w:t>
      </w:r>
      <w:r w:rsidRPr="004C6CC5">
        <w:rPr>
          <w:rFonts w:ascii="Arial" w:hAnsi="Arial" w:cs="Arial"/>
          <w:bCs/>
          <w:sz w:val="20"/>
          <w:szCs w:val="20"/>
        </w:rPr>
        <w:t>procedur oraz ćwiczeń związanych</w:t>
      </w:r>
      <w:r w:rsidR="004C6CC5">
        <w:rPr>
          <w:rFonts w:ascii="Arial" w:hAnsi="Arial" w:cs="Arial"/>
          <w:bCs/>
          <w:sz w:val="20"/>
          <w:szCs w:val="20"/>
        </w:rPr>
        <w:t xml:space="preserve"> z </w:t>
      </w:r>
      <w:r w:rsidRPr="004C6CC5">
        <w:rPr>
          <w:rFonts w:ascii="Arial" w:hAnsi="Arial" w:cs="Arial"/>
          <w:bCs/>
          <w:sz w:val="20"/>
          <w:szCs w:val="20"/>
        </w:rPr>
        <w:t>incydentami na morzu</w:t>
      </w:r>
      <w:r w:rsidR="004C6CC5">
        <w:rPr>
          <w:rFonts w:ascii="Arial" w:hAnsi="Arial" w:cs="Arial"/>
          <w:bCs/>
          <w:sz w:val="20"/>
          <w:szCs w:val="20"/>
        </w:rPr>
        <w:t xml:space="preserve"> i w </w:t>
      </w:r>
      <w:r w:rsidRPr="004C6CC5">
        <w:rPr>
          <w:rFonts w:ascii="Arial" w:hAnsi="Arial" w:cs="Arial"/>
          <w:bCs/>
          <w:sz w:val="20"/>
          <w:szCs w:val="20"/>
        </w:rPr>
        <w:t xml:space="preserve">portach”.   </w:t>
      </w:r>
    </w:p>
    <w:p w14:paraId="75A185DE" w14:textId="1E3E030E" w:rsidR="007050BA" w:rsidRPr="004C6CC5" w:rsidRDefault="007050BA" w:rsidP="008D2321">
      <w:pPr>
        <w:spacing w:after="120" w:line="276" w:lineRule="auto"/>
        <w:jc w:val="both"/>
        <w:rPr>
          <w:rFonts w:ascii="Arial" w:hAnsi="Arial" w:cs="Arial"/>
          <w:bCs/>
          <w:sz w:val="20"/>
          <w:szCs w:val="20"/>
        </w:rPr>
      </w:pPr>
      <w:r w:rsidRPr="004C6CC5">
        <w:rPr>
          <w:rFonts w:ascii="Arial" w:hAnsi="Arial" w:cs="Arial"/>
          <w:bCs/>
          <w:sz w:val="20"/>
          <w:szCs w:val="20"/>
        </w:rPr>
        <w:t>Projektem równie istotnym</w:t>
      </w:r>
      <w:r w:rsidR="004C6CC5">
        <w:rPr>
          <w:rFonts w:ascii="Arial" w:hAnsi="Arial" w:cs="Arial"/>
          <w:bCs/>
          <w:sz w:val="20"/>
          <w:szCs w:val="20"/>
        </w:rPr>
        <w:t xml:space="preserve"> z </w:t>
      </w:r>
      <w:r w:rsidRPr="004C6CC5">
        <w:rPr>
          <w:rFonts w:ascii="Arial" w:hAnsi="Arial" w:cs="Arial"/>
          <w:bCs/>
          <w:sz w:val="20"/>
          <w:szCs w:val="20"/>
        </w:rPr>
        <w:t>uwagi na wdrożen</w:t>
      </w:r>
      <w:r w:rsidR="004868D2">
        <w:rPr>
          <w:rFonts w:ascii="Arial" w:hAnsi="Arial" w:cs="Arial"/>
          <w:bCs/>
          <w:sz w:val="20"/>
          <w:szCs w:val="20"/>
        </w:rPr>
        <w:t xml:space="preserve">ie systemu wspomagania decyzji </w:t>
      </w:r>
      <w:r w:rsidRPr="004C6CC5">
        <w:rPr>
          <w:rFonts w:ascii="Arial" w:hAnsi="Arial" w:cs="Arial"/>
          <w:bCs/>
          <w:sz w:val="20"/>
          <w:szCs w:val="20"/>
        </w:rPr>
        <w:t>i bezpieczeństwa są badania naukowe realizowane we współpracy międzynarodowej „Wsparcie decyzyjne</w:t>
      </w:r>
      <w:r w:rsidR="004C6CC5">
        <w:rPr>
          <w:rFonts w:ascii="Arial" w:hAnsi="Arial" w:cs="Arial"/>
          <w:bCs/>
          <w:sz w:val="20"/>
          <w:szCs w:val="20"/>
        </w:rPr>
        <w:t xml:space="preserve"> w </w:t>
      </w:r>
      <w:r w:rsidRPr="004C6CC5">
        <w:rPr>
          <w:rFonts w:ascii="Arial" w:hAnsi="Arial" w:cs="Arial"/>
          <w:bCs/>
          <w:sz w:val="20"/>
          <w:szCs w:val="20"/>
        </w:rPr>
        <w:t>zakresie zatopionej amunicji</w:t>
      </w:r>
      <w:r w:rsidR="00927EE9">
        <w:rPr>
          <w:rFonts w:ascii="Arial" w:hAnsi="Arial" w:cs="Arial"/>
          <w:bCs/>
          <w:sz w:val="20"/>
          <w:szCs w:val="20"/>
        </w:rPr>
        <w:t xml:space="preserve"> </w:t>
      </w:r>
      <w:r w:rsidRPr="004C6CC5">
        <w:rPr>
          <w:rFonts w:ascii="Arial" w:hAnsi="Arial" w:cs="Arial"/>
          <w:bCs/>
          <w:sz w:val="20"/>
          <w:szCs w:val="20"/>
        </w:rPr>
        <w:t>-</w:t>
      </w:r>
      <w:r w:rsidR="00927EE9">
        <w:rPr>
          <w:rFonts w:ascii="Arial" w:hAnsi="Arial" w:cs="Arial"/>
          <w:bCs/>
          <w:sz w:val="20"/>
          <w:szCs w:val="20"/>
        </w:rPr>
        <w:t xml:space="preserve"> </w:t>
      </w:r>
      <w:r w:rsidRPr="004C6CC5">
        <w:rPr>
          <w:rFonts w:ascii="Arial" w:hAnsi="Arial" w:cs="Arial"/>
          <w:bCs/>
          <w:sz w:val="20"/>
          <w:szCs w:val="20"/>
        </w:rPr>
        <w:t>praktyczne zastosowanie”.</w:t>
      </w:r>
    </w:p>
    <w:p w14:paraId="50997C60" w14:textId="0C48E54A" w:rsidR="007050BA" w:rsidRPr="004C6CC5" w:rsidRDefault="007050BA" w:rsidP="008D2321">
      <w:pPr>
        <w:spacing w:after="120" w:line="276" w:lineRule="auto"/>
        <w:jc w:val="both"/>
        <w:rPr>
          <w:rFonts w:ascii="Arial" w:hAnsi="Arial" w:cs="Arial"/>
          <w:bCs/>
          <w:sz w:val="20"/>
          <w:szCs w:val="20"/>
        </w:rPr>
      </w:pPr>
      <w:r w:rsidRPr="004C6CC5">
        <w:rPr>
          <w:rFonts w:ascii="Arial" w:hAnsi="Arial" w:cs="Arial"/>
          <w:bCs/>
          <w:sz w:val="20"/>
          <w:szCs w:val="20"/>
        </w:rPr>
        <w:t>W 2019</w:t>
      </w:r>
      <w:r w:rsidR="009D01B9" w:rsidRPr="004C6CC5">
        <w:rPr>
          <w:rFonts w:ascii="Arial" w:hAnsi="Arial" w:cs="Arial"/>
          <w:bCs/>
          <w:sz w:val="20"/>
          <w:szCs w:val="20"/>
        </w:rPr>
        <w:t xml:space="preserve"> r. </w:t>
      </w:r>
      <w:r w:rsidRPr="004C6CC5">
        <w:rPr>
          <w:rFonts w:ascii="Arial" w:hAnsi="Arial" w:cs="Arial"/>
          <w:bCs/>
          <w:sz w:val="20"/>
          <w:szCs w:val="20"/>
        </w:rPr>
        <w:t>Akademia Marynarki Wojennej zrealizowała również szereg badań aplikacyjnych służących potrzebom przemysłu stoczniowego oraz instytucji współpracujących</w:t>
      </w:r>
      <w:r w:rsidR="004C6CC5">
        <w:rPr>
          <w:rFonts w:ascii="Arial" w:hAnsi="Arial" w:cs="Arial"/>
          <w:bCs/>
          <w:sz w:val="20"/>
          <w:szCs w:val="20"/>
        </w:rPr>
        <w:t xml:space="preserve"> z </w:t>
      </w:r>
      <w:r w:rsidRPr="004C6CC5">
        <w:rPr>
          <w:rFonts w:ascii="Arial" w:hAnsi="Arial" w:cs="Arial"/>
          <w:bCs/>
          <w:sz w:val="20"/>
          <w:szCs w:val="20"/>
        </w:rPr>
        <w:t>przemysłem morskim takich jak: „Wykonanie badań wytrzymałościowych, modułu Younga laminatu poliestrowo szklanego wykonanego</w:t>
      </w:r>
      <w:r w:rsidR="004C6CC5">
        <w:rPr>
          <w:rFonts w:ascii="Arial" w:hAnsi="Arial" w:cs="Arial"/>
          <w:bCs/>
          <w:sz w:val="20"/>
          <w:szCs w:val="20"/>
        </w:rPr>
        <w:t xml:space="preserve"> w </w:t>
      </w:r>
      <w:r w:rsidRPr="004C6CC5">
        <w:rPr>
          <w:rFonts w:ascii="Arial" w:hAnsi="Arial" w:cs="Arial"/>
          <w:bCs/>
          <w:sz w:val="20"/>
          <w:szCs w:val="20"/>
        </w:rPr>
        <w:t>technologii L-RTM” lub „Naprawa (odtworzenie stanu technicznego) sprzętu stacji kontrolno- pomiarowych pól fizycznych, stacji demagnetyzacji</w:t>
      </w:r>
      <w:r w:rsidR="004C6CC5">
        <w:rPr>
          <w:rFonts w:ascii="Arial" w:hAnsi="Arial" w:cs="Arial"/>
          <w:bCs/>
          <w:sz w:val="20"/>
          <w:szCs w:val="20"/>
        </w:rPr>
        <w:t xml:space="preserve"> w </w:t>
      </w:r>
      <w:r w:rsidRPr="004C6CC5">
        <w:rPr>
          <w:rFonts w:ascii="Arial" w:hAnsi="Arial" w:cs="Arial"/>
          <w:bCs/>
          <w:sz w:val="20"/>
          <w:szCs w:val="20"/>
        </w:rPr>
        <w:t xml:space="preserve">latach 2019-2021”. </w:t>
      </w:r>
    </w:p>
    <w:p w14:paraId="2B4549EA" w14:textId="00B7E684" w:rsidR="007050BA" w:rsidRPr="004C6CC5" w:rsidRDefault="007050BA" w:rsidP="008D2321">
      <w:pPr>
        <w:spacing w:after="120" w:line="276" w:lineRule="auto"/>
        <w:jc w:val="both"/>
        <w:rPr>
          <w:rFonts w:ascii="Arial" w:hAnsi="Arial" w:cs="Arial"/>
          <w:bCs/>
          <w:sz w:val="20"/>
          <w:szCs w:val="20"/>
        </w:rPr>
      </w:pPr>
      <w:r w:rsidRPr="004C6CC5">
        <w:rPr>
          <w:rFonts w:ascii="Arial" w:hAnsi="Arial" w:cs="Arial"/>
          <w:bCs/>
          <w:sz w:val="20"/>
          <w:szCs w:val="20"/>
        </w:rPr>
        <w:t>Niejednokrotnie na potrzeby instytucji cywilnych zespoły badawcze Akademii Marynarki Wojennej wykonywały ekspertyzy niezbędne do re</w:t>
      </w:r>
      <w:r w:rsidR="004868D2">
        <w:rPr>
          <w:rFonts w:ascii="Arial" w:hAnsi="Arial" w:cs="Arial"/>
          <w:bCs/>
          <w:sz w:val="20"/>
          <w:szCs w:val="20"/>
        </w:rPr>
        <w:t xml:space="preserve">alizacji projektów. Przykładem </w:t>
      </w:r>
      <w:r w:rsidRPr="004C6CC5">
        <w:rPr>
          <w:rFonts w:ascii="Arial" w:hAnsi="Arial" w:cs="Arial"/>
          <w:bCs/>
          <w:sz w:val="20"/>
          <w:szCs w:val="20"/>
        </w:rPr>
        <w:t>jest projekt realizowany</w:t>
      </w:r>
      <w:r w:rsidR="004C6CC5">
        <w:rPr>
          <w:rFonts w:ascii="Arial" w:hAnsi="Arial" w:cs="Arial"/>
          <w:bCs/>
          <w:sz w:val="20"/>
          <w:szCs w:val="20"/>
        </w:rPr>
        <w:t xml:space="preserve"> w </w:t>
      </w:r>
      <w:r w:rsidR="00B12599">
        <w:rPr>
          <w:rFonts w:ascii="Arial" w:hAnsi="Arial" w:cs="Arial"/>
          <w:bCs/>
          <w:sz w:val="20"/>
          <w:szCs w:val="20"/>
        </w:rPr>
        <w:t xml:space="preserve">roku 2019 </w:t>
      </w:r>
      <w:r w:rsidR="00511D84">
        <w:rPr>
          <w:rFonts w:ascii="Arial" w:hAnsi="Arial" w:cs="Arial"/>
          <w:bCs/>
          <w:sz w:val="20"/>
          <w:szCs w:val="20"/>
        </w:rPr>
        <w:t xml:space="preserve">pn. </w:t>
      </w:r>
      <w:r w:rsidRPr="004C6CC5">
        <w:rPr>
          <w:rFonts w:ascii="Arial" w:hAnsi="Arial" w:cs="Arial"/>
          <w:bCs/>
          <w:sz w:val="20"/>
          <w:szCs w:val="20"/>
        </w:rPr>
        <w:t>„An</w:t>
      </w:r>
      <w:r w:rsidR="004868D2">
        <w:rPr>
          <w:rFonts w:ascii="Arial" w:hAnsi="Arial" w:cs="Arial"/>
          <w:bCs/>
          <w:sz w:val="20"/>
          <w:szCs w:val="20"/>
        </w:rPr>
        <w:t xml:space="preserve">aliza wpływu pracy planowanego </w:t>
      </w:r>
      <w:r w:rsidRPr="004C6CC5">
        <w:rPr>
          <w:rFonts w:ascii="Arial" w:hAnsi="Arial" w:cs="Arial"/>
          <w:bCs/>
          <w:sz w:val="20"/>
          <w:szCs w:val="20"/>
        </w:rPr>
        <w:t>w miejscowości Wyczechowo (gmina Somonino, woj. pomorskie) parku elektrowni wiatrowych na urządzenia radarowe oraz systemy komunikacji”.</w:t>
      </w:r>
    </w:p>
    <w:p w14:paraId="2DD95DCF" w14:textId="7287D4DD" w:rsidR="007050BA" w:rsidRPr="004C6CC5" w:rsidRDefault="007050BA" w:rsidP="008D2321">
      <w:pPr>
        <w:spacing w:after="120" w:line="276" w:lineRule="auto"/>
        <w:jc w:val="both"/>
        <w:rPr>
          <w:rFonts w:ascii="Arial" w:hAnsi="Arial" w:cs="Arial"/>
          <w:bCs/>
          <w:sz w:val="20"/>
          <w:szCs w:val="20"/>
        </w:rPr>
      </w:pPr>
      <w:r w:rsidRPr="004C6CC5">
        <w:rPr>
          <w:rFonts w:ascii="Arial" w:hAnsi="Arial" w:cs="Arial"/>
          <w:bCs/>
          <w:sz w:val="20"/>
          <w:szCs w:val="20"/>
        </w:rPr>
        <w:t>Badania naukowe nie są jedynym obszarem</w:t>
      </w:r>
      <w:r w:rsidR="00746877">
        <w:rPr>
          <w:rFonts w:ascii="Arial" w:hAnsi="Arial" w:cs="Arial"/>
          <w:bCs/>
          <w:sz w:val="20"/>
          <w:szCs w:val="20"/>
        </w:rPr>
        <w:t>,</w:t>
      </w:r>
      <w:r w:rsidR="004C6CC5">
        <w:rPr>
          <w:rFonts w:ascii="Arial" w:hAnsi="Arial" w:cs="Arial"/>
          <w:bCs/>
          <w:sz w:val="20"/>
          <w:szCs w:val="20"/>
        </w:rPr>
        <w:t xml:space="preserve"> w </w:t>
      </w:r>
      <w:r w:rsidRPr="004C6CC5">
        <w:rPr>
          <w:rFonts w:ascii="Arial" w:hAnsi="Arial" w:cs="Arial"/>
          <w:bCs/>
          <w:sz w:val="20"/>
          <w:szCs w:val="20"/>
        </w:rPr>
        <w:t>ramach którego uczelnia inicjuje działania</w:t>
      </w:r>
      <w:r w:rsidR="004C6CC5">
        <w:rPr>
          <w:rFonts w:ascii="Arial" w:hAnsi="Arial" w:cs="Arial"/>
          <w:bCs/>
          <w:sz w:val="20"/>
          <w:szCs w:val="20"/>
        </w:rPr>
        <w:t xml:space="preserve"> i </w:t>
      </w:r>
      <w:r w:rsidRPr="004C6CC5">
        <w:rPr>
          <w:rFonts w:ascii="Arial" w:hAnsi="Arial" w:cs="Arial"/>
          <w:bCs/>
          <w:sz w:val="20"/>
          <w:szCs w:val="20"/>
        </w:rPr>
        <w:t>aktywność międzynarodową. Akademia Marynarki Wojennej realizuje wszechstronną współpracę międzynarodową</w:t>
      </w:r>
      <w:r w:rsidR="004C6CC5">
        <w:rPr>
          <w:rFonts w:ascii="Arial" w:hAnsi="Arial" w:cs="Arial"/>
          <w:bCs/>
          <w:sz w:val="20"/>
          <w:szCs w:val="20"/>
        </w:rPr>
        <w:t xml:space="preserve"> w </w:t>
      </w:r>
      <w:r w:rsidRPr="004C6CC5">
        <w:rPr>
          <w:rFonts w:ascii="Arial" w:hAnsi="Arial" w:cs="Arial"/>
          <w:bCs/>
          <w:sz w:val="20"/>
          <w:szCs w:val="20"/>
        </w:rPr>
        <w:t>wielu dziedzinach,</w:t>
      </w:r>
      <w:r w:rsidR="004C6CC5">
        <w:rPr>
          <w:rFonts w:ascii="Arial" w:hAnsi="Arial" w:cs="Arial"/>
          <w:bCs/>
          <w:sz w:val="20"/>
          <w:szCs w:val="20"/>
        </w:rPr>
        <w:t xml:space="preserve"> w </w:t>
      </w:r>
      <w:r w:rsidRPr="004C6CC5">
        <w:rPr>
          <w:rFonts w:ascii="Arial" w:hAnsi="Arial" w:cs="Arial"/>
          <w:bCs/>
          <w:sz w:val="20"/>
          <w:szCs w:val="20"/>
        </w:rPr>
        <w:t>tym utrzymuje bliskie kontakty</w:t>
      </w:r>
      <w:r w:rsidR="004C6CC5">
        <w:rPr>
          <w:rFonts w:ascii="Arial" w:hAnsi="Arial" w:cs="Arial"/>
          <w:bCs/>
          <w:sz w:val="20"/>
          <w:szCs w:val="20"/>
        </w:rPr>
        <w:t xml:space="preserve"> z </w:t>
      </w:r>
      <w:r w:rsidRPr="004C6CC5">
        <w:rPr>
          <w:rFonts w:ascii="Arial" w:hAnsi="Arial" w:cs="Arial"/>
          <w:bCs/>
          <w:sz w:val="20"/>
          <w:szCs w:val="20"/>
        </w:rPr>
        <w:t>uczelniami morskimi innych państw. Zasadnicze cele współpracy międzynarodowej uczelni to:</w:t>
      </w:r>
    </w:p>
    <w:p w14:paraId="06F0A26C" w14:textId="77777777" w:rsidR="007050BA" w:rsidRPr="004C6CC5" w:rsidRDefault="007050BA" w:rsidP="00746877">
      <w:pPr>
        <w:spacing w:after="0" w:line="276" w:lineRule="auto"/>
        <w:jc w:val="both"/>
        <w:rPr>
          <w:rFonts w:ascii="Arial" w:hAnsi="Arial" w:cs="Arial"/>
          <w:bCs/>
          <w:sz w:val="20"/>
          <w:szCs w:val="20"/>
        </w:rPr>
      </w:pPr>
      <w:r w:rsidRPr="004C6CC5">
        <w:rPr>
          <w:rFonts w:ascii="Arial" w:hAnsi="Arial" w:cs="Arial"/>
          <w:bCs/>
          <w:sz w:val="20"/>
          <w:szCs w:val="20"/>
        </w:rPr>
        <w:t>- poszerzenie współpracy o kolejnych partnerów zagranicznych;</w:t>
      </w:r>
    </w:p>
    <w:p w14:paraId="5893C301" w14:textId="03AC4AE8" w:rsidR="007050BA" w:rsidRPr="004C6CC5" w:rsidRDefault="007050BA" w:rsidP="00746877">
      <w:pPr>
        <w:spacing w:after="0" w:line="276" w:lineRule="auto"/>
        <w:jc w:val="both"/>
        <w:rPr>
          <w:rFonts w:ascii="Arial" w:hAnsi="Arial" w:cs="Arial"/>
          <w:bCs/>
          <w:sz w:val="20"/>
          <w:szCs w:val="20"/>
        </w:rPr>
      </w:pPr>
      <w:r w:rsidRPr="004C6CC5">
        <w:rPr>
          <w:rFonts w:ascii="Arial" w:hAnsi="Arial" w:cs="Arial"/>
          <w:bCs/>
          <w:sz w:val="20"/>
          <w:szCs w:val="20"/>
        </w:rPr>
        <w:t>- zapoznanie się</w:t>
      </w:r>
      <w:r w:rsidR="004C6CC5">
        <w:rPr>
          <w:rFonts w:ascii="Arial" w:hAnsi="Arial" w:cs="Arial"/>
          <w:bCs/>
          <w:sz w:val="20"/>
          <w:szCs w:val="20"/>
        </w:rPr>
        <w:t xml:space="preserve"> z </w:t>
      </w:r>
      <w:r w:rsidRPr="004C6CC5">
        <w:rPr>
          <w:rFonts w:ascii="Arial" w:hAnsi="Arial" w:cs="Arial"/>
          <w:bCs/>
          <w:sz w:val="20"/>
          <w:szCs w:val="20"/>
        </w:rPr>
        <w:t>zagranicznymi systemami kształceni</w:t>
      </w:r>
      <w:r w:rsidR="00DB11E7">
        <w:rPr>
          <w:rFonts w:ascii="Arial" w:hAnsi="Arial" w:cs="Arial"/>
          <w:bCs/>
          <w:sz w:val="20"/>
          <w:szCs w:val="20"/>
        </w:rPr>
        <w:t>a</w:t>
      </w:r>
      <w:r w:rsidRPr="004C6CC5">
        <w:rPr>
          <w:rFonts w:ascii="Arial" w:hAnsi="Arial" w:cs="Arial"/>
          <w:bCs/>
          <w:sz w:val="20"/>
          <w:szCs w:val="20"/>
        </w:rPr>
        <w:t>;</w:t>
      </w:r>
    </w:p>
    <w:p w14:paraId="37ACD8ED" w14:textId="63C301FD" w:rsidR="007050BA" w:rsidRPr="004C6CC5" w:rsidRDefault="007050BA" w:rsidP="00746877">
      <w:pPr>
        <w:spacing w:after="0" w:line="276" w:lineRule="auto"/>
        <w:jc w:val="both"/>
        <w:rPr>
          <w:rFonts w:ascii="Arial" w:hAnsi="Arial" w:cs="Arial"/>
          <w:bCs/>
          <w:sz w:val="20"/>
          <w:szCs w:val="20"/>
        </w:rPr>
      </w:pPr>
      <w:r w:rsidRPr="004C6CC5">
        <w:rPr>
          <w:rFonts w:ascii="Arial" w:hAnsi="Arial" w:cs="Arial"/>
          <w:bCs/>
          <w:sz w:val="20"/>
          <w:szCs w:val="20"/>
        </w:rPr>
        <w:t>- wymiana podchorążych</w:t>
      </w:r>
      <w:r w:rsidR="004C6CC5">
        <w:rPr>
          <w:rFonts w:ascii="Arial" w:hAnsi="Arial" w:cs="Arial"/>
          <w:bCs/>
          <w:sz w:val="20"/>
          <w:szCs w:val="20"/>
        </w:rPr>
        <w:t xml:space="preserve"> i </w:t>
      </w:r>
      <w:r w:rsidRPr="004C6CC5">
        <w:rPr>
          <w:rFonts w:ascii="Arial" w:hAnsi="Arial" w:cs="Arial"/>
          <w:bCs/>
          <w:sz w:val="20"/>
          <w:szCs w:val="20"/>
        </w:rPr>
        <w:t>studentów cywilnych na praktykach;</w:t>
      </w:r>
    </w:p>
    <w:p w14:paraId="7D0AD496" w14:textId="4B304517" w:rsidR="007050BA" w:rsidRPr="004C6CC5" w:rsidRDefault="007050BA" w:rsidP="00746877">
      <w:pPr>
        <w:spacing w:after="0" w:line="276" w:lineRule="auto"/>
        <w:jc w:val="both"/>
        <w:rPr>
          <w:rFonts w:ascii="Arial" w:hAnsi="Arial" w:cs="Arial"/>
          <w:bCs/>
          <w:sz w:val="20"/>
          <w:szCs w:val="20"/>
        </w:rPr>
      </w:pPr>
      <w:r w:rsidRPr="004C6CC5">
        <w:rPr>
          <w:rFonts w:ascii="Arial" w:hAnsi="Arial" w:cs="Arial"/>
          <w:bCs/>
          <w:sz w:val="20"/>
          <w:szCs w:val="20"/>
        </w:rPr>
        <w:t>- zintensyfikowanie spotkań nauczycieli akademickich</w:t>
      </w:r>
      <w:r w:rsidR="004C6CC5">
        <w:rPr>
          <w:rFonts w:ascii="Arial" w:hAnsi="Arial" w:cs="Arial"/>
          <w:bCs/>
          <w:sz w:val="20"/>
          <w:szCs w:val="20"/>
        </w:rPr>
        <w:t xml:space="preserve"> i </w:t>
      </w:r>
      <w:r w:rsidRPr="004C6CC5">
        <w:rPr>
          <w:rFonts w:ascii="Arial" w:hAnsi="Arial" w:cs="Arial"/>
          <w:bCs/>
          <w:sz w:val="20"/>
          <w:szCs w:val="20"/>
        </w:rPr>
        <w:t>słuchaczy;</w:t>
      </w:r>
    </w:p>
    <w:p w14:paraId="238A6C30" w14:textId="15D758B4" w:rsidR="007050BA" w:rsidRPr="004C6CC5" w:rsidRDefault="007050BA" w:rsidP="00746877">
      <w:pPr>
        <w:spacing w:after="0" w:line="276" w:lineRule="auto"/>
        <w:jc w:val="both"/>
        <w:rPr>
          <w:rFonts w:ascii="Arial" w:hAnsi="Arial" w:cs="Arial"/>
          <w:bCs/>
          <w:sz w:val="20"/>
          <w:szCs w:val="20"/>
        </w:rPr>
      </w:pPr>
      <w:r w:rsidRPr="004C6CC5">
        <w:rPr>
          <w:rFonts w:ascii="Arial" w:hAnsi="Arial" w:cs="Arial"/>
          <w:bCs/>
          <w:sz w:val="20"/>
          <w:szCs w:val="20"/>
        </w:rPr>
        <w:t>- wymiana referatów</w:t>
      </w:r>
      <w:r w:rsidR="004C6CC5">
        <w:rPr>
          <w:rFonts w:ascii="Arial" w:hAnsi="Arial" w:cs="Arial"/>
          <w:bCs/>
          <w:sz w:val="20"/>
          <w:szCs w:val="20"/>
        </w:rPr>
        <w:t xml:space="preserve"> i </w:t>
      </w:r>
      <w:r w:rsidRPr="004C6CC5">
        <w:rPr>
          <w:rFonts w:ascii="Arial" w:hAnsi="Arial" w:cs="Arial"/>
          <w:bCs/>
          <w:sz w:val="20"/>
          <w:szCs w:val="20"/>
        </w:rPr>
        <w:t xml:space="preserve">publikacji pomiędzy uczelniami; </w:t>
      </w:r>
    </w:p>
    <w:p w14:paraId="10654448" w14:textId="0172A099" w:rsidR="007050BA" w:rsidRPr="004C6CC5" w:rsidRDefault="007050BA" w:rsidP="00746877">
      <w:pPr>
        <w:spacing w:after="0" w:line="276" w:lineRule="auto"/>
        <w:jc w:val="both"/>
        <w:rPr>
          <w:rFonts w:ascii="Arial" w:hAnsi="Arial" w:cs="Arial"/>
          <w:bCs/>
          <w:sz w:val="20"/>
          <w:szCs w:val="20"/>
        </w:rPr>
      </w:pPr>
      <w:r w:rsidRPr="004C6CC5">
        <w:rPr>
          <w:rFonts w:ascii="Arial" w:hAnsi="Arial" w:cs="Arial"/>
          <w:bCs/>
          <w:sz w:val="20"/>
          <w:szCs w:val="20"/>
        </w:rPr>
        <w:t>- motywowanie kadry</w:t>
      </w:r>
      <w:r w:rsidR="004C6CC5">
        <w:rPr>
          <w:rFonts w:ascii="Arial" w:hAnsi="Arial" w:cs="Arial"/>
          <w:bCs/>
          <w:sz w:val="20"/>
          <w:szCs w:val="20"/>
        </w:rPr>
        <w:t xml:space="preserve"> i </w:t>
      </w:r>
      <w:r w:rsidRPr="004C6CC5">
        <w:rPr>
          <w:rFonts w:ascii="Arial" w:hAnsi="Arial" w:cs="Arial"/>
          <w:bCs/>
          <w:sz w:val="20"/>
          <w:szCs w:val="20"/>
        </w:rPr>
        <w:t>słuchaczy AMW poprzez liczne kontakty zagraniczne do doskonalenia znajomości języka angielskiego;</w:t>
      </w:r>
    </w:p>
    <w:p w14:paraId="17F945A4" w14:textId="66845169" w:rsidR="007050BA" w:rsidRPr="004C6CC5" w:rsidRDefault="007050BA" w:rsidP="00746877">
      <w:pPr>
        <w:spacing w:after="0" w:line="276" w:lineRule="auto"/>
        <w:jc w:val="both"/>
        <w:rPr>
          <w:rFonts w:ascii="Arial" w:hAnsi="Arial" w:cs="Arial"/>
          <w:bCs/>
          <w:sz w:val="20"/>
          <w:szCs w:val="20"/>
        </w:rPr>
      </w:pPr>
      <w:r w:rsidRPr="004C6CC5">
        <w:rPr>
          <w:rFonts w:ascii="Arial" w:hAnsi="Arial" w:cs="Arial"/>
          <w:bCs/>
          <w:sz w:val="20"/>
          <w:szCs w:val="20"/>
        </w:rPr>
        <w:t>- stworzenie szerokich możliwości do publikacji naukowych oraz uczestnictwa</w:t>
      </w:r>
      <w:r w:rsidR="004C6CC5">
        <w:rPr>
          <w:rFonts w:ascii="Arial" w:hAnsi="Arial" w:cs="Arial"/>
          <w:bCs/>
          <w:sz w:val="20"/>
          <w:szCs w:val="20"/>
        </w:rPr>
        <w:t xml:space="preserve"> w </w:t>
      </w:r>
      <w:r w:rsidRPr="004C6CC5">
        <w:rPr>
          <w:rFonts w:ascii="Arial" w:hAnsi="Arial" w:cs="Arial"/>
          <w:bCs/>
          <w:sz w:val="20"/>
          <w:szCs w:val="20"/>
        </w:rPr>
        <w:t>międzynarodowych konferencjach</w:t>
      </w:r>
      <w:r w:rsidR="004C6CC5">
        <w:rPr>
          <w:rFonts w:ascii="Arial" w:hAnsi="Arial" w:cs="Arial"/>
          <w:bCs/>
          <w:sz w:val="20"/>
          <w:szCs w:val="20"/>
        </w:rPr>
        <w:t xml:space="preserve"> i </w:t>
      </w:r>
      <w:r w:rsidRPr="004C6CC5">
        <w:rPr>
          <w:rFonts w:ascii="Arial" w:hAnsi="Arial" w:cs="Arial"/>
          <w:bCs/>
          <w:sz w:val="20"/>
          <w:szCs w:val="20"/>
        </w:rPr>
        <w:t xml:space="preserve">sympozjach; </w:t>
      </w:r>
    </w:p>
    <w:p w14:paraId="03C263BA" w14:textId="28E1F4D5" w:rsidR="00DB11E7" w:rsidRDefault="007050BA" w:rsidP="00375257">
      <w:pPr>
        <w:spacing w:after="0" w:line="276" w:lineRule="auto"/>
        <w:jc w:val="both"/>
        <w:rPr>
          <w:rFonts w:ascii="Arial" w:hAnsi="Arial" w:cs="Arial"/>
          <w:bCs/>
          <w:sz w:val="20"/>
          <w:szCs w:val="20"/>
        </w:rPr>
      </w:pPr>
      <w:r w:rsidRPr="004C6CC5">
        <w:rPr>
          <w:rFonts w:ascii="Arial" w:hAnsi="Arial" w:cs="Arial"/>
          <w:bCs/>
          <w:sz w:val="20"/>
          <w:szCs w:val="20"/>
        </w:rPr>
        <w:lastRenderedPageBreak/>
        <w:t>- stworzenie dla podchorążych jak najszerszych możliwości współzawodnictwa</w:t>
      </w:r>
      <w:r w:rsidR="004C6CC5">
        <w:rPr>
          <w:rFonts w:ascii="Arial" w:hAnsi="Arial" w:cs="Arial"/>
          <w:bCs/>
          <w:sz w:val="20"/>
          <w:szCs w:val="20"/>
        </w:rPr>
        <w:t xml:space="preserve"> w </w:t>
      </w:r>
      <w:r w:rsidRPr="004C6CC5">
        <w:rPr>
          <w:rFonts w:ascii="Arial" w:hAnsi="Arial" w:cs="Arial"/>
          <w:bCs/>
          <w:sz w:val="20"/>
          <w:szCs w:val="20"/>
        </w:rPr>
        <w:t>relacji</w:t>
      </w:r>
      <w:r w:rsidR="004C6CC5">
        <w:rPr>
          <w:rFonts w:ascii="Arial" w:hAnsi="Arial" w:cs="Arial"/>
          <w:bCs/>
          <w:sz w:val="20"/>
          <w:szCs w:val="20"/>
        </w:rPr>
        <w:t xml:space="preserve"> z </w:t>
      </w:r>
      <w:r w:rsidRPr="004C6CC5">
        <w:rPr>
          <w:rFonts w:ascii="Arial" w:hAnsi="Arial" w:cs="Arial"/>
          <w:bCs/>
          <w:sz w:val="20"/>
          <w:szCs w:val="20"/>
        </w:rPr>
        <w:t>rówieśnikami</w:t>
      </w:r>
      <w:r w:rsidR="004C6CC5">
        <w:rPr>
          <w:rFonts w:ascii="Arial" w:hAnsi="Arial" w:cs="Arial"/>
          <w:bCs/>
          <w:sz w:val="20"/>
          <w:szCs w:val="20"/>
        </w:rPr>
        <w:t xml:space="preserve"> z </w:t>
      </w:r>
      <w:r w:rsidRPr="004C6CC5">
        <w:rPr>
          <w:rFonts w:ascii="Arial" w:hAnsi="Arial" w:cs="Arial"/>
          <w:bCs/>
          <w:sz w:val="20"/>
          <w:szCs w:val="20"/>
        </w:rPr>
        <w:t>uczelni zagranicznych (głównie uczestnictwo</w:t>
      </w:r>
      <w:r w:rsidR="004C6CC5">
        <w:rPr>
          <w:rFonts w:ascii="Arial" w:hAnsi="Arial" w:cs="Arial"/>
          <w:bCs/>
          <w:sz w:val="20"/>
          <w:szCs w:val="20"/>
        </w:rPr>
        <w:t xml:space="preserve"> w </w:t>
      </w:r>
      <w:r w:rsidRPr="004C6CC5">
        <w:rPr>
          <w:rFonts w:ascii="Arial" w:hAnsi="Arial" w:cs="Arial"/>
          <w:bCs/>
          <w:sz w:val="20"/>
          <w:szCs w:val="20"/>
        </w:rPr>
        <w:t xml:space="preserve">regatach żeglarskich). </w:t>
      </w:r>
    </w:p>
    <w:p w14:paraId="576F8FE0" w14:textId="77777777"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xml:space="preserve">Akademia Marynarki Wojennej utrzymuje szczególnie bliskie kontakty z: </w:t>
      </w:r>
    </w:p>
    <w:p w14:paraId="6DEF69E6" w14:textId="375ED406"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Niemiecką Oficerską Szkołą Marynarki Wojennej</w:t>
      </w:r>
      <w:r w:rsidR="004C6CC5">
        <w:rPr>
          <w:rFonts w:ascii="Arial" w:hAnsi="Arial" w:cs="Arial"/>
          <w:bCs/>
          <w:sz w:val="20"/>
          <w:szCs w:val="20"/>
        </w:rPr>
        <w:t xml:space="preserve"> w </w:t>
      </w:r>
      <w:r w:rsidRPr="004C6CC5">
        <w:rPr>
          <w:rFonts w:ascii="Arial" w:hAnsi="Arial" w:cs="Arial"/>
          <w:bCs/>
          <w:sz w:val="20"/>
          <w:szCs w:val="20"/>
        </w:rPr>
        <w:t xml:space="preserve">Flensburgu (Marineschule Murwik); </w:t>
      </w:r>
    </w:p>
    <w:p w14:paraId="14BEA17B" w14:textId="1E4D40BC" w:rsidR="007050BA" w:rsidRPr="004C6CC5" w:rsidRDefault="00DB11E7" w:rsidP="00375257">
      <w:pPr>
        <w:spacing w:before="120" w:after="120" w:line="276" w:lineRule="auto"/>
        <w:jc w:val="both"/>
        <w:rPr>
          <w:rFonts w:ascii="Arial" w:hAnsi="Arial" w:cs="Arial"/>
          <w:bCs/>
          <w:sz w:val="20"/>
          <w:szCs w:val="20"/>
        </w:rPr>
      </w:pPr>
      <w:r>
        <w:rPr>
          <w:rFonts w:ascii="Arial" w:hAnsi="Arial" w:cs="Arial"/>
          <w:bCs/>
          <w:sz w:val="20"/>
          <w:szCs w:val="20"/>
        </w:rPr>
        <w:t>- Rumuńską Akademią</w:t>
      </w:r>
      <w:r w:rsidR="007050BA" w:rsidRPr="004C6CC5">
        <w:rPr>
          <w:rFonts w:ascii="Arial" w:hAnsi="Arial" w:cs="Arial"/>
          <w:bCs/>
          <w:sz w:val="20"/>
          <w:szCs w:val="20"/>
        </w:rPr>
        <w:t xml:space="preserve"> Marynarki Wojennej (Mircea cel Batran Naval Academy); </w:t>
      </w:r>
    </w:p>
    <w:p w14:paraId="7045A826" w14:textId="77777777"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xml:space="preserve">- Bułgarską Akademią Marynarki Wojennej (Nikola Vaptsarov Naval Academy); </w:t>
      </w:r>
    </w:p>
    <w:p w14:paraId="3B50AA0C" w14:textId="4BF8C3CB"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Królewską Holenderską Akademią Marynarki Wojennej</w:t>
      </w:r>
      <w:r w:rsidR="004C6CC5">
        <w:rPr>
          <w:rFonts w:ascii="Arial" w:hAnsi="Arial" w:cs="Arial"/>
          <w:bCs/>
          <w:sz w:val="20"/>
          <w:szCs w:val="20"/>
        </w:rPr>
        <w:t xml:space="preserve"> w </w:t>
      </w:r>
      <w:r w:rsidRPr="004C6CC5">
        <w:rPr>
          <w:rFonts w:ascii="Arial" w:hAnsi="Arial" w:cs="Arial"/>
          <w:bCs/>
          <w:sz w:val="20"/>
          <w:szCs w:val="20"/>
        </w:rPr>
        <w:t xml:space="preserve">Den Helder (Royal Netherlands Naval College); </w:t>
      </w:r>
    </w:p>
    <w:p w14:paraId="20986C19" w14:textId="217C25E1"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Królewską Duńską Akademią Marynarki Wojennej</w:t>
      </w:r>
      <w:r w:rsidR="004C6CC5">
        <w:rPr>
          <w:rFonts w:ascii="Arial" w:hAnsi="Arial" w:cs="Arial"/>
          <w:bCs/>
          <w:sz w:val="20"/>
          <w:szCs w:val="20"/>
        </w:rPr>
        <w:t xml:space="preserve"> w </w:t>
      </w:r>
      <w:r w:rsidRPr="004C6CC5">
        <w:rPr>
          <w:rFonts w:ascii="Arial" w:hAnsi="Arial" w:cs="Arial"/>
          <w:bCs/>
          <w:sz w:val="20"/>
          <w:szCs w:val="20"/>
        </w:rPr>
        <w:t xml:space="preserve">Kopenhadze (Royal Danish Naval Academy); </w:t>
      </w:r>
    </w:p>
    <w:p w14:paraId="1277B77A" w14:textId="77777777"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xml:space="preserve">- Brytyjską Królewską Akademią Marynarki Wojennej (Britannia Royal Naval College); </w:t>
      </w:r>
    </w:p>
    <w:p w14:paraId="15C6863C" w14:textId="32C5E821"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Akademią Marynarki Wojennej Stanów Zjednoczonych</w:t>
      </w:r>
      <w:r w:rsidR="004C6CC5">
        <w:rPr>
          <w:rFonts w:ascii="Arial" w:hAnsi="Arial" w:cs="Arial"/>
          <w:bCs/>
          <w:sz w:val="20"/>
          <w:szCs w:val="20"/>
        </w:rPr>
        <w:t xml:space="preserve"> w </w:t>
      </w:r>
      <w:r w:rsidRPr="004C6CC5">
        <w:rPr>
          <w:rFonts w:ascii="Arial" w:hAnsi="Arial" w:cs="Arial"/>
          <w:bCs/>
          <w:sz w:val="20"/>
          <w:szCs w:val="20"/>
        </w:rPr>
        <w:t>Annapolis (US Naval Academy);</w:t>
      </w:r>
    </w:p>
    <w:p w14:paraId="7C186723" w14:textId="77777777"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xml:space="preserve">- Grupą zbrojeniową Saab (SAAB Kockums Karlskrona); </w:t>
      </w:r>
    </w:p>
    <w:p w14:paraId="4F39A486" w14:textId="77777777"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xml:space="preserve">- University of Split, Chorwacja (Sveučilište u Splitu); </w:t>
      </w:r>
    </w:p>
    <w:p w14:paraId="14B93F3F" w14:textId="7F7A6086" w:rsidR="00DB11E7"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 Unive</w:t>
      </w:r>
      <w:r w:rsidR="00DB11E7">
        <w:rPr>
          <w:rFonts w:ascii="Arial" w:hAnsi="Arial" w:cs="Arial"/>
          <w:bCs/>
          <w:sz w:val="20"/>
          <w:szCs w:val="20"/>
        </w:rPr>
        <w:t>rsity of Dubrownik, Chorwacja (</w:t>
      </w:r>
      <w:r w:rsidRPr="004C6CC5">
        <w:rPr>
          <w:rFonts w:ascii="Arial" w:hAnsi="Arial" w:cs="Arial"/>
          <w:bCs/>
          <w:sz w:val="20"/>
          <w:szCs w:val="20"/>
        </w:rPr>
        <w:t>Sveučilište u Dubrovniku).</w:t>
      </w:r>
    </w:p>
    <w:p w14:paraId="76178D20" w14:textId="2318343C"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bCs/>
          <w:sz w:val="20"/>
          <w:szCs w:val="20"/>
        </w:rPr>
        <w:t>W 2019</w:t>
      </w:r>
      <w:r w:rsidR="009D01B9" w:rsidRPr="004C6CC5">
        <w:rPr>
          <w:rFonts w:ascii="Arial" w:hAnsi="Arial" w:cs="Arial"/>
          <w:bCs/>
          <w:sz w:val="20"/>
          <w:szCs w:val="20"/>
        </w:rPr>
        <w:t xml:space="preserve"> r. </w:t>
      </w:r>
      <w:r w:rsidRPr="004C6CC5">
        <w:rPr>
          <w:rFonts w:ascii="Arial" w:hAnsi="Arial" w:cs="Arial"/>
          <w:bCs/>
          <w:sz w:val="20"/>
          <w:szCs w:val="20"/>
        </w:rPr>
        <w:t xml:space="preserve">roku współpraca </w:t>
      </w:r>
      <w:r w:rsidR="00750A76">
        <w:rPr>
          <w:rFonts w:ascii="Arial" w:hAnsi="Arial" w:cs="Arial"/>
          <w:bCs/>
          <w:sz w:val="20"/>
          <w:szCs w:val="20"/>
        </w:rPr>
        <w:t xml:space="preserve">ta polegała m.in. na </w:t>
      </w:r>
      <w:r w:rsidRPr="004C6CC5">
        <w:rPr>
          <w:rFonts w:ascii="Arial" w:hAnsi="Arial" w:cs="Arial"/>
          <w:bCs/>
          <w:sz w:val="20"/>
          <w:szCs w:val="20"/>
        </w:rPr>
        <w:t>spotkaniach Rektorów-Komendantów uczelni,</w:t>
      </w:r>
      <w:r w:rsidR="004C6CC5">
        <w:rPr>
          <w:rFonts w:ascii="Arial" w:hAnsi="Arial" w:cs="Arial"/>
          <w:bCs/>
          <w:sz w:val="20"/>
          <w:szCs w:val="20"/>
        </w:rPr>
        <w:t xml:space="preserve"> w </w:t>
      </w:r>
      <w:r w:rsidRPr="004C6CC5">
        <w:rPr>
          <w:rFonts w:ascii="Arial" w:hAnsi="Arial" w:cs="Arial"/>
          <w:bCs/>
          <w:sz w:val="20"/>
          <w:szCs w:val="20"/>
        </w:rPr>
        <w:t>tym Sup’s Conference, wizytach</w:t>
      </w:r>
      <w:r w:rsidR="004C6CC5">
        <w:rPr>
          <w:rFonts w:ascii="Arial" w:hAnsi="Arial" w:cs="Arial"/>
          <w:bCs/>
          <w:sz w:val="20"/>
          <w:szCs w:val="20"/>
        </w:rPr>
        <w:t xml:space="preserve"> i </w:t>
      </w:r>
      <w:r w:rsidRPr="004C6CC5">
        <w:rPr>
          <w:rFonts w:ascii="Arial" w:hAnsi="Arial" w:cs="Arial"/>
          <w:bCs/>
          <w:sz w:val="20"/>
          <w:szCs w:val="20"/>
        </w:rPr>
        <w:t>rewizytac</w:t>
      </w:r>
      <w:r w:rsidR="009569BE">
        <w:rPr>
          <w:rFonts w:ascii="Arial" w:hAnsi="Arial" w:cs="Arial"/>
          <w:bCs/>
          <w:sz w:val="20"/>
          <w:szCs w:val="20"/>
        </w:rPr>
        <w:t xml:space="preserve">h okrętów szkolnych, realizacji </w:t>
      </w:r>
      <w:r w:rsidRPr="004C6CC5">
        <w:rPr>
          <w:rFonts w:ascii="Arial" w:hAnsi="Arial" w:cs="Arial"/>
          <w:bCs/>
          <w:sz w:val="20"/>
          <w:szCs w:val="20"/>
        </w:rPr>
        <w:t>Międzynarodowego szkolenia METOC for midshipmen, wymianie nauczycieli akademickich oraz wymianie podchorążych</w:t>
      </w:r>
      <w:r w:rsidR="004C6CC5">
        <w:rPr>
          <w:rFonts w:ascii="Arial" w:hAnsi="Arial" w:cs="Arial"/>
          <w:bCs/>
          <w:sz w:val="20"/>
          <w:szCs w:val="20"/>
        </w:rPr>
        <w:t xml:space="preserve"> w </w:t>
      </w:r>
      <w:r w:rsidRPr="004C6CC5">
        <w:rPr>
          <w:rFonts w:ascii="Arial" w:hAnsi="Arial" w:cs="Arial"/>
          <w:bCs/>
          <w:sz w:val="20"/>
          <w:szCs w:val="20"/>
        </w:rPr>
        <w:t>ramach praktyk na okrętach</w:t>
      </w:r>
      <w:r w:rsidR="004C6CC5">
        <w:rPr>
          <w:rFonts w:ascii="Arial" w:hAnsi="Arial" w:cs="Arial"/>
          <w:bCs/>
          <w:sz w:val="20"/>
          <w:szCs w:val="20"/>
        </w:rPr>
        <w:t xml:space="preserve"> i </w:t>
      </w:r>
      <w:r w:rsidRPr="004C6CC5">
        <w:rPr>
          <w:rFonts w:ascii="Arial" w:hAnsi="Arial" w:cs="Arial"/>
          <w:bCs/>
          <w:sz w:val="20"/>
          <w:szCs w:val="20"/>
        </w:rPr>
        <w:t>uczestnictwie</w:t>
      </w:r>
      <w:r w:rsidR="004C6CC5">
        <w:rPr>
          <w:rFonts w:ascii="Arial" w:hAnsi="Arial" w:cs="Arial"/>
          <w:bCs/>
          <w:sz w:val="20"/>
          <w:szCs w:val="20"/>
        </w:rPr>
        <w:t xml:space="preserve"> w </w:t>
      </w:r>
      <w:r w:rsidRPr="004C6CC5">
        <w:rPr>
          <w:rFonts w:ascii="Arial" w:hAnsi="Arial" w:cs="Arial"/>
          <w:bCs/>
          <w:sz w:val="20"/>
          <w:szCs w:val="20"/>
        </w:rPr>
        <w:t>balach podchorążych. Ponadto uczelnia realizowała współpracę międzynarodową poprzez uczestnictwo</w:t>
      </w:r>
      <w:r w:rsidR="00750A76">
        <w:rPr>
          <w:rFonts w:ascii="Arial" w:hAnsi="Arial" w:cs="Arial"/>
          <w:bCs/>
          <w:sz w:val="20"/>
          <w:szCs w:val="20"/>
        </w:rPr>
        <w:t xml:space="preserve"> w </w:t>
      </w:r>
      <w:r w:rsidRPr="004C6CC5">
        <w:rPr>
          <w:rFonts w:ascii="Arial" w:hAnsi="Arial" w:cs="Arial"/>
          <w:bCs/>
          <w:sz w:val="20"/>
          <w:szCs w:val="20"/>
        </w:rPr>
        <w:t>międzynarodowych regatach</w:t>
      </w:r>
      <w:r w:rsidR="004C6CC5">
        <w:rPr>
          <w:rFonts w:ascii="Arial" w:hAnsi="Arial" w:cs="Arial"/>
          <w:bCs/>
          <w:sz w:val="20"/>
          <w:szCs w:val="20"/>
        </w:rPr>
        <w:t xml:space="preserve"> i </w:t>
      </w:r>
      <w:r w:rsidR="00750A76">
        <w:rPr>
          <w:rFonts w:ascii="Arial" w:hAnsi="Arial" w:cs="Arial"/>
          <w:bCs/>
          <w:sz w:val="20"/>
          <w:szCs w:val="20"/>
        </w:rPr>
        <w:t xml:space="preserve">zawodach sportowych oraz </w:t>
      </w:r>
      <w:r w:rsidRPr="004C6CC5">
        <w:rPr>
          <w:rFonts w:ascii="Arial" w:hAnsi="Arial" w:cs="Arial"/>
          <w:bCs/>
          <w:sz w:val="20"/>
          <w:szCs w:val="20"/>
        </w:rPr>
        <w:t>międzynarodowych konferencjach</w:t>
      </w:r>
      <w:r w:rsidR="00750A76">
        <w:rPr>
          <w:rFonts w:ascii="Arial" w:hAnsi="Arial" w:cs="Arial"/>
          <w:bCs/>
          <w:sz w:val="20"/>
          <w:szCs w:val="20"/>
        </w:rPr>
        <w:t xml:space="preserve"> i </w:t>
      </w:r>
      <w:r w:rsidRPr="004C6CC5">
        <w:rPr>
          <w:rFonts w:ascii="Arial" w:hAnsi="Arial" w:cs="Arial"/>
          <w:bCs/>
          <w:sz w:val="20"/>
          <w:szCs w:val="20"/>
        </w:rPr>
        <w:t>sympozjach, udział</w:t>
      </w:r>
      <w:r w:rsidR="009569BE">
        <w:rPr>
          <w:rFonts w:ascii="Arial" w:hAnsi="Arial" w:cs="Arial"/>
          <w:bCs/>
          <w:sz w:val="20"/>
          <w:szCs w:val="20"/>
        </w:rPr>
        <w:t xml:space="preserve"> </w:t>
      </w:r>
      <w:r w:rsidR="004C6CC5">
        <w:rPr>
          <w:rFonts w:ascii="Arial" w:hAnsi="Arial" w:cs="Arial"/>
          <w:bCs/>
          <w:sz w:val="20"/>
          <w:szCs w:val="20"/>
        </w:rPr>
        <w:t>w </w:t>
      </w:r>
      <w:r w:rsidRPr="004C6CC5">
        <w:rPr>
          <w:rFonts w:ascii="Arial" w:hAnsi="Arial" w:cs="Arial"/>
          <w:bCs/>
          <w:sz w:val="20"/>
          <w:szCs w:val="20"/>
        </w:rPr>
        <w:t>konsultacjach naukowych</w:t>
      </w:r>
      <w:r w:rsidR="004C6CC5">
        <w:rPr>
          <w:rFonts w:ascii="Arial" w:hAnsi="Arial" w:cs="Arial"/>
          <w:bCs/>
          <w:sz w:val="20"/>
          <w:szCs w:val="20"/>
        </w:rPr>
        <w:t xml:space="preserve"> w </w:t>
      </w:r>
      <w:r w:rsidRPr="004C6CC5">
        <w:rPr>
          <w:rFonts w:ascii="Arial" w:hAnsi="Arial" w:cs="Arial"/>
          <w:bCs/>
          <w:sz w:val="20"/>
          <w:szCs w:val="20"/>
        </w:rPr>
        <w:t>ramach p</w:t>
      </w:r>
      <w:r w:rsidR="009569BE">
        <w:rPr>
          <w:rFonts w:ascii="Arial" w:hAnsi="Arial" w:cs="Arial"/>
          <w:bCs/>
          <w:sz w:val="20"/>
          <w:szCs w:val="20"/>
        </w:rPr>
        <w:t xml:space="preserve">rowadzonych tematów badawczych, </w:t>
      </w:r>
      <w:r w:rsidRPr="004C6CC5">
        <w:rPr>
          <w:rFonts w:ascii="Arial" w:hAnsi="Arial" w:cs="Arial"/>
          <w:bCs/>
          <w:sz w:val="20"/>
          <w:szCs w:val="20"/>
        </w:rPr>
        <w:t>realizację długoterminowych umów</w:t>
      </w:r>
      <w:r w:rsidR="00750A76">
        <w:rPr>
          <w:rFonts w:ascii="Arial" w:hAnsi="Arial" w:cs="Arial"/>
          <w:bCs/>
          <w:sz w:val="20"/>
          <w:szCs w:val="20"/>
        </w:rPr>
        <w:t xml:space="preserve"> w </w:t>
      </w:r>
      <w:r w:rsidRPr="004C6CC5">
        <w:rPr>
          <w:rFonts w:ascii="Arial" w:hAnsi="Arial" w:cs="Arial"/>
          <w:bCs/>
          <w:sz w:val="20"/>
          <w:szCs w:val="20"/>
        </w:rPr>
        <w:t>zakresie praktyk akademickich</w:t>
      </w:r>
      <w:r w:rsidR="00750A76">
        <w:rPr>
          <w:rFonts w:ascii="Arial" w:hAnsi="Arial" w:cs="Arial"/>
          <w:bCs/>
          <w:sz w:val="20"/>
          <w:szCs w:val="20"/>
        </w:rPr>
        <w:t xml:space="preserve"> i </w:t>
      </w:r>
      <w:r w:rsidRPr="004C6CC5">
        <w:rPr>
          <w:rFonts w:ascii="Arial" w:hAnsi="Arial" w:cs="Arial"/>
          <w:bCs/>
          <w:sz w:val="20"/>
          <w:szCs w:val="20"/>
        </w:rPr>
        <w:t>przemysłowych studentów wojskowych</w:t>
      </w:r>
      <w:r w:rsidR="004C6CC5">
        <w:rPr>
          <w:rFonts w:ascii="Arial" w:hAnsi="Arial" w:cs="Arial"/>
          <w:bCs/>
          <w:sz w:val="20"/>
          <w:szCs w:val="20"/>
        </w:rPr>
        <w:t xml:space="preserve"> i </w:t>
      </w:r>
      <w:r w:rsidRPr="004C6CC5">
        <w:rPr>
          <w:rFonts w:ascii="Arial" w:hAnsi="Arial" w:cs="Arial"/>
          <w:bCs/>
          <w:sz w:val="20"/>
          <w:szCs w:val="20"/>
        </w:rPr>
        <w:t>cywilnych</w:t>
      </w:r>
      <w:r w:rsidR="00750A76">
        <w:rPr>
          <w:rFonts w:ascii="Arial" w:hAnsi="Arial" w:cs="Arial"/>
          <w:bCs/>
          <w:sz w:val="20"/>
          <w:szCs w:val="20"/>
        </w:rPr>
        <w:t xml:space="preserve"> z </w:t>
      </w:r>
      <w:r w:rsidRPr="004C6CC5">
        <w:rPr>
          <w:rFonts w:ascii="Arial" w:hAnsi="Arial" w:cs="Arial"/>
          <w:bCs/>
          <w:sz w:val="20"/>
          <w:szCs w:val="20"/>
        </w:rPr>
        <w:t>WME</w:t>
      </w:r>
      <w:r w:rsidR="00750A76">
        <w:rPr>
          <w:rFonts w:ascii="Arial" w:hAnsi="Arial" w:cs="Arial"/>
          <w:bCs/>
          <w:sz w:val="20"/>
          <w:szCs w:val="20"/>
        </w:rPr>
        <w:t xml:space="preserve"> w </w:t>
      </w:r>
      <w:r w:rsidRPr="004C6CC5">
        <w:rPr>
          <w:rFonts w:ascii="Arial" w:hAnsi="Arial" w:cs="Arial"/>
          <w:bCs/>
          <w:sz w:val="20"/>
          <w:szCs w:val="20"/>
        </w:rPr>
        <w:t>Saab Kockums</w:t>
      </w:r>
      <w:r w:rsidR="004C6CC5">
        <w:rPr>
          <w:rFonts w:ascii="Arial" w:hAnsi="Arial" w:cs="Arial"/>
          <w:bCs/>
          <w:sz w:val="20"/>
          <w:szCs w:val="20"/>
        </w:rPr>
        <w:t xml:space="preserve"> w </w:t>
      </w:r>
      <w:r w:rsidRPr="004C6CC5">
        <w:rPr>
          <w:rFonts w:ascii="Arial" w:hAnsi="Arial" w:cs="Arial"/>
          <w:bCs/>
          <w:sz w:val="20"/>
          <w:szCs w:val="20"/>
        </w:rPr>
        <w:t xml:space="preserve">Karlskronie, organizację wykładów otwartych </w:t>
      </w:r>
      <w:r w:rsidR="00750A76">
        <w:rPr>
          <w:rFonts w:ascii="Arial" w:hAnsi="Arial" w:cs="Arial"/>
          <w:bCs/>
          <w:sz w:val="20"/>
          <w:szCs w:val="20"/>
        </w:rPr>
        <w:t>prowadzonych przez specjalistów i</w:t>
      </w:r>
      <w:r w:rsidRPr="004C6CC5">
        <w:rPr>
          <w:rFonts w:ascii="Arial" w:hAnsi="Arial" w:cs="Arial"/>
          <w:bCs/>
          <w:sz w:val="20"/>
          <w:szCs w:val="20"/>
        </w:rPr>
        <w:t xml:space="preserve"> ekspertów</w:t>
      </w:r>
      <w:r w:rsidR="004C6CC5">
        <w:rPr>
          <w:rFonts w:ascii="Arial" w:hAnsi="Arial" w:cs="Arial"/>
          <w:bCs/>
          <w:sz w:val="20"/>
          <w:szCs w:val="20"/>
        </w:rPr>
        <w:t xml:space="preserve"> z </w:t>
      </w:r>
      <w:r w:rsidRPr="004C6CC5">
        <w:rPr>
          <w:rFonts w:ascii="Arial" w:hAnsi="Arial" w:cs="Arial"/>
          <w:bCs/>
          <w:sz w:val="20"/>
          <w:szCs w:val="20"/>
        </w:rPr>
        <w:t>firmy Saab dla studentów, nauczycieli, pracowników Akademii Marynarki Wojennej</w:t>
      </w:r>
      <w:r w:rsidR="004C6CC5">
        <w:rPr>
          <w:rFonts w:ascii="Arial" w:hAnsi="Arial" w:cs="Arial"/>
          <w:bCs/>
          <w:sz w:val="20"/>
          <w:szCs w:val="20"/>
        </w:rPr>
        <w:t xml:space="preserve"> </w:t>
      </w:r>
      <w:r w:rsidR="00750A76" w:rsidRPr="004C6CC5">
        <w:rPr>
          <w:rFonts w:ascii="Arial" w:hAnsi="Arial" w:cs="Arial"/>
          <w:bCs/>
          <w:sz w:val="20"/>
          <w:szCs w:val="20"/>
        </w:rPr>
        <w:t>oraz</w:t>
      </w:r>
      <w:r w:rsidR="00750A76">
        <w:rPr>
          <w:rFonts w:ascii="Arial" w:hAnsi="Arial" w:cs="Arial"/>
          <w:bCs/>
          <w:sz w:val="20"/>
          <w:szCs w:val="20"/>
        </w:rPr>
        <w:t xml:space="preserve"> </w:t>
      </w:r>
      <w:r w:rsidRPr="004C6CC5">
        <w:rPr>
          <w:rFonts w:ascii="Arial" w:hAnsi="Arial" w:cs="Arial"/>
          <w:bCs/>
          <w:sz w:val="20"/>
          <w:szCs w:val="20"/>
        </w:rPr>
        <w:t>uczestników spoza uczelni</w:t>
      </w:r>
      <w:r w:rsidR="00750A76">
        <w:rPr>
          <w:rFonts w:ascii="Arial" w:hAnsi="Arial" w:cs="Arial"/>
          <w:bCs/>
          <w:sz w:val="20"/>
          <w:szCs w:val="20"/>
        </w:rPr>
        <w:t>, a także</w:t>
      </w:r>
      <w:r w:rsidRPr="004C6CC5">
        <w:rPr>
          <w:rFonts w:ascii="Arial" w:hAnsi="Arial" w:cs="Arial"/>
          <w:bCs/>
          <w:sz w:val="20"/>
          <w:szCs w:val="20"/>
        </w:rPr>
        <w:t xml:space="preserve"> udział</w:t>
      </w:r>
      <w:r w:rsidR="004C6CC5">
        <w:rPr>
          <w:rFonts w:ascii="Arial" w:hAnsi="Arial" w:cs="Arial"/>
          <w:bCs/>
          <w:sz w:val="20"/>
          <w:szCs w:val="20"/>
        </w:rPr>
        <w:t xml:space="preserve"> w </w:t>
      </w:r>
      <w:r w:rsidRPr="004C6CC5">
        <w:rPr>
          <w:rFonts w:ascii="Arial" w:hAnsi="Arial" w:cs="Arial"/>
          <w:bCs/>
          <w:sz w:val="20"/>
          <w:szCs w:val="20"/>
        </w:rPr>
        <w:t>programie EMILYO.</w:t>
      </w:r>
    </w:p>
    <w:p w14:paraId="008E00A3" w14:textId="2884559C" w:rsidR="007050BA" w:rsidRPr="004C6CC5" w:rsidRDefault="007050BA" w:rsidP="00375257">
      <w:pPr>
        <w:spacing w:before="120" w:after="120" w:line="276" w:lineRule="auto"/>
        <w:jc w:val="both"/>
        <w:rPr>
          <w:rFonts w:ascii="Arial" w:hAnsi="Arial" w:cs="Arial"/>
          <w:bCs/>
          <w:sz w:val="20"/>
          <w:szCs w:val="20"/>
        </w:rPr>
      </w:pPr>
      <w:r w:rsidRPr="004C6CC5">
        <w:rPr>
          <w:rFonts w:ascii="Arial" w:hAnsi="Arial" w:cs="Arial"/>
          <w:sz w:val="20"/>
          <w:szCs w:val="20"/>
        </w:rPr>
        <w:t xml:space="preserve">W </w:t>
      </w:r>
      <w:r w:rsidR="00E751F0">
        <w:rPr>
          <w:rFonts w:ascii="Arial" w:hAnsi="Arial" w:cs="Arial"/>
          <w:bCs/>
          <w:sz w:val="20"/>
          <w:szCs w:val="20"/>
        </w:rPr>
        <w:t>2019 r.</w:t>
      </w:r>
      <w:r w:rsidRPr="004C6CC5">
        <w:rPr>
          <w:rFonts w:ascii="Arial" w:hAnsi="Arial" w:cs="Arial"/>
          <w:bCs/>
          <w:sz w:val="20"/>
          <w:szCs w:val="20"/>
        </w:rPr>
        <w:t xml:space="preserve"> podpisane zostały nowe umowy</w:t>
      </w:r>
      <w:r w:rsidR="004C6CC5">
        <w:rPr>
          <w:rFonts w:ascii="Arial" w:hAnsi="Arial" w:cs="Arial"/>
          <w:bCs/>
          <w:sz w:val="20"/>
          <w:szCs w:val="20"/>
        </w:rPr>
        <w:t xml:space="preserve"> z </w:t>
      </w:r>
      <w:r w:rsidRPr="004C6CC5">
        <w:rPr>
          <w:rFonts w:ascii="Arial" w:hAnsi="Arial" w:cs="Arial"/>
          <w:bCs/>
          <w:sz w:val="20"/>
          <w:szCs w:val="20"/>
        </w:rPr>
        <w:t>ośrodkami</w:t>
      </w:r>
      <w:r w:rsidR="004C6CC5">
        <w:rPr>
          <w:rFonts w:ascii="Arial" w:hAnsi="Arial" w:cs="Arial"/>
          <w:bCs/>
          <w:sz w:val="20"/>
          <w:szCs w:val="20"/>
        </w:rPr>
        <w:t xml:space="preserve"> w </w:t>
      </w:r>
      <w:r w:rsidRPr="004C6CC5">
        <w:rPr>
          <w:rFonts w:ascii="Arial" w:hAnsi="Arial" w:cs="Arial"/>
          <w:bCs/>
          <w:sz w:val="20"/>
          <w:szCs w:val="20"/>
        </w:rPr>
        <w:t>Grecji, Austrii, Rumuni</w:t>
      </w:r>
      <w:r w:rsidR="00E66E88">
        <w:rPr>
          <w:rFonts w:ascii="Arial" w:hAnsi="Arial" w:cs="Arial"/>
          <w:bCs/>
          <w:sz w:val="20"/>
          <w:szCs w:val="20"/>
        </w:rPr>
        <w:t>i</w:t>
      </w:r>
      <w:r w:rsidRPr="004C6CC5">
        <w:rPr>
          <w:rFonts w:ascii="Arial" w:hAnsi="Arial" w:cs="Arial"/>
          <w:bCs/>
          <w:sz w:val="20"/>
          <w:szCs w:val="20"/>
        </w:rPr>
        <w:t>, Portugalii</w:t>
      </w:r>
      <w:r w:rsidR="004C6CC5">
        <w:rPr>
          <w:rFonts w:ascii="Arial" w:hAnsi="Arial" w:cs="Arial"/>
          <w:bCs/>
          <w:sz w:val="20"/>
          <w:szCs w:val="20"/>
        </w:rPr>
        <w:t xml:space="preserve"> i </w:t>
      </w:r>
      <w:r w:rsidRPr="004C6CC5">
        <w:rPr>
          <w:rFonts w:ascii="Arial" w:hAnsi="Arial" w:cs="Arial"/>
          <w:bCs/>
          <w:sz w:val="20"/>
          <w:szCs w:val="20"/>
        </w:rPr>
        <w:t>we Włoszech na studia</w:t>
      </w:r>
      <w:r w:rsidR="004C6CC5">
        <w:rPr>
          <w:rFonts w:ascii="Arial" w:hAnsi="Arial" w:cs="Arial"/>
          <w:bCs/>
          <w:sz w:val="20"/>
          <w:szCs w:val="20"/>
        </w:rPr>
        <w:t xml:space="preserve"> i </w:t>
      </w:r>
      <w:r w:rsidRPr="004C6CC5">
        <w:rPr>
          <w:rFonts w:ascii="Arial" w:hAnsi="Arial" w:cs="Arial"/>
          <w:bCs/>
          <w:sz w:val="20"/>
          <w:szCs w:val="20"/>
        </w:rPr>
        <w:t>praktyki, a</w:t>
      </w:r>
      <w:r w:rsidR="004C6CC5">
        <w:rPr>
          <w:rFonts w:ascii="Arial" w:hAnsi="Arial" w:cs="Arial"/>
          <w:bCs/>
          <w:sz w:val="20"/>
          <w:szCs w:val="20"/>
        </w:rPr>
        <w:t xml:space="preserve"> w </w:t>
      </w:r>
      <w:r w:rsidRPr="004C6CC5">
        <w:rPr>
          <w:rFonts w:ascii="Arial" w:hAnsi="Arial" w:cs="Arial"/>
          <w:bCs/>
          <w:sz w:val="20"/>
          <w:szCs w:val="20"/>
        </w:rPr>
        <w:t>ramach programu wymiany Erasmus+ udział wzięło 95 studentów. Wynikiem współpracy międzynarodowej było m.in. poznanie innych systemów nauczania</w:t>
      </w:r>
      <w:r w:rsidR="004C6CC5">
        <w:rPr>
          <w:rFonts w:ascii="Arial" w:hAnsi="Arial" w:cs="Arial"/>
          <w:bCs/>
          <w:sz w:val="20"/>
          <w:szCs w:val="20"/>
        </w:rPr>
        <w:t xml:space="preserve"> i </w:t>
      </w:r>
      <w:r w:rsidRPr="004C6CC5">
        <w:rPr>
          <w:rFonts w:ascii="Arial" w:hAnsi="Arial" w:cs="Arial"/>
          <w:bCs/>
          <w:sz w:val="20"/>
          <w:szCs w:val="20"/>
        </w:rPr>
        <w:t>systemów praktyk, a także szkolenia na symulatorach, pozyskanie wykładowców</w:t>
      </w:r>
      <w:r w:rsidR="004C6CC5">
        <w:rPr>
          <w:rFonts w:ascii="Arial" w:hAnsi="Arial" w:cs="Arial"/>
          <w:bCs/>
          <w:sz w:val="20"/>
          <w:szCs w:val="20"/>
        </w:rPr>
        <w:t xml:space="preserve"> w </w:t>
      </w:r>
      <w:r w:rsidRPr="004C6CC5">
        <w:rPr>
          <w:rFonts w:ascii="Arial" w:hAnsi="Arial" w:cs="Arial"/>
          <w:bCs/>
          <w:sz w:val="20"/>
          <w:szCs w:val="20"/>
        </w:rPr>
        <w:t>ramach wymiany nauczycieli akademickich oraz wymiana podchorążych</w:t>
      </w:r>
      <w:r w:rsidR="004C6CC5">
        <w:rPr>
          <w:rFonts w:ascii="Arial" w:hAnsi="Arial" w:cs="Arial"/>
          <w:bCs/>
          <w:sz w:val="20"/>
          <w:szCs w:val="20"/>
        </w:rPr>
        <w:t xml:space="preserve"> w </w:t>
      </w:r>
      <w:r w:rsidRPr="004C6CC5">
        <w:rPr>
          <w:rFonts w:ascii="Arial" w:hAnsi="Arial" w:cs="Arial"/>
          <w:bCs/>
          <w:sz w:val="20"/>
          <w:szCs w:val="20"/>
        </w:rPr>
        <w:t>ramach Dnia Podchorążego.</w:t>
      </w:r>
    </w:p>
    <w:p w14:paraId="3DAE9152" w14:textId="5A1272B4" w:rsidR="007050BA" w:rsidRPr="009569BE" w:rsidRDefault="007050BA" w:rsidP="000F468A">
      <w:pPr>
        <w:pStyle w:val="Nagwek3"/>
        <w:rPr>
          <w:rFonts w:ascii="Arial" w:hAnsi="Arial" w:cs="Arial"/>
          <w:b/>
          <w:sz w:val="20"/>
          <w:szCs w:val="20"/>
        </w:rPr>
      </w:pPr>
      <w:bookmarkStart w:id="29" w:name="_Toc72745046"/>
      <w:r w:rsidRPr="009569BE">
        <w:rPr>
          <w:rFonts w:ascii="Arial" w:hAnsi="Arial" w:cs="Arial"/>
          <w:b/>
          <w:color w:val="auto"/>
          <w:sz w:val="20"/>
          <w:szCs w:val="20"/>
        </w:rPr>
        <w:t>Uniwersytet Szczeciński</w:t>
      </w:r>
      <w:r w:rsidR="009569BE">
        <w:rPr>
          <w:rFonts w:ascii="Arial" w:hAnsi="Arial" w:cs="Arial"/>
          <w:b/>
          <w:color w:val="auto"/>
          <w:sz w:val="20"/>
          <w:szCs w:val="20"/>
        </w:rPr>
        <w:t>.</w:t>
      </w:r>
      <w:bookmarkEnd w:id="29"/>
    </w:p>
    <w:p w14:paraId="6D09DDBD" w14:textId="58DD26EC"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Uniwersytet Szczeciński kształci kadry dla urzędów</w:t>
      </w:r>
      <w:r w:rsidR="004C6CC5">
        <w:rPr>
          <w:rFonts w:ascii="Arial" w:hAnsi="Arial" w:cs="Arial"/>
          <w:sz w:val="20"/>
          <w:szCs w:val="20"/>
        </w:rPr>
        <w:t xml:space="preserve"> i </w:t>
      </w:r>
      <w:r w:rsidRPr="004C6CC5">
        <w:rPr>
          <w:rFonts w:ascii="Arial" w:hAnsi="Arial" w:cs="Arial"/>
          <w:sz w:val="20"/>
          <w:szCs w:val="20"/>
        </w:rPr>
        <w:t>przedsiębiorstw gospodarki morskiej,</w:t>
      </w:r>
      <w:r w:rsidR="004C6CC5">
        <w:rPr>
          <w:rFonts w:ascii="Arial" w:hAnsi="Arial" w:cs="Arial"/>
          <w:sz w:val="20"/>
          <w:szCs w:val="20"/>
        </w:rPr>
        <w:t xml:space="preserve"> w </w:t>
      </w:r>
      <w:r w:rsidRPr="004C6CC5">
        <w:rPr>
          <w:rFonts w:ascii="Arial" w:hAnsi="Arial" w:cs="Arial"/>
          <w:sz w:val="20"/>
          <w:szCs w:val="20"/>
        </w:rPr>
        <w:t>tym dla podmiotów związanych</w:t>
      </w:r>
      <w:r w:rsidR="00FC0EA0">
        <w:rPr>
          <w:rFonts w:ascii="Arial" w:hAnsi="Arial" w:cs="Arial"/>
          <w:sz w:val="20"/>
          <w:szCs w:val="20"/>
        </w:rPr>
        <w:t xml:space="preserve"> z </w:t>
      </w:r>
      <w:r w:rsidRPr="004C6CC5">
        <w:rPr>
          <w:rFonts w:ascii="Arial" w:hAnsi="Arial" w:cs="Arial"/>
          <w:sz w:val="20"/>
          <w:szCs w:val="20"/>
        </w:rPr>
        <w:t>funkcjonowaniem transportu morskiego (przedsiębiorstw portowych, żeglugowych, spedycyjnych, agencyjnych, międzynarodowych operatorów logistycznych</w:t>
      </w:r>
      <w:r w:rsidR="004C6CC5">
        <w:rPr>
          <w:rFonts w:ascii="Arial" w:hAnsi="Arial" w:cs="Arial"/>
          <w:sz w:val="20"/>
          <w:szCs w:val="20"/>
        </w:rPr>
        <w:t xml:space="preserve"> i </w:t>
      </w:r>
      <w:r w:rsidRPr="004C6CC5">
        <w:rPr>
          <w:rFonts w:ascii="Arial" w:hAnsi="Arial" w:cs="Arial"/>
          <w:sz w:val="20"/>
          <w:szCs w:val="20"/>
        </w:rPr>
        <w:t>wielu innych), jak również dla podmiotów związanych</w:t>
      </w:r>
      <w:r w:rsidR="004C6CC5">
        <w:rPr>
          <w:rFonts w:ascii="Arial" w:hAnsi="Arial" w:cs="Arial"/>
          <w:sz w:val="20"/>
          <w:szCs w:val="20"/>
        </w:rPr>
        <w:t xml:space="preserve"> z </w:t>
      </w:r>
      <w:r w:rsidRPr="004C6CC5">
        <w:rPr>
          <w:rFonts w:ascii="Arial" w:hAnsi="Arial" w:cs="Arial"/>
          <w:sz w:val="20"/>
          <w:szCs w:val="20"/>
        </w:rPr>
        <w:t>zarządzaniem strefą przybrzeżną.</w:t>
      </w:r>
    </w:p>
    <w:p w14:paraId="2E8C8B88" w14:textId="0A8D65BB"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Aktywność Uniwersytetu Szczecińskiego</w:t>
      </w:r>
      <w:r w:rsidR="004C6CC5">
        <w:rPr>
          <w:rFonts w:ascii="Arial" w:hAnsi="Arial" w:cs="Arial"/>
          <w:sz w:val="20"/>
          <w:szCs w:val="20"/>
        </w:rPr>
        <w:t xml:space="preserve"> w </w:t>
      </w:r>
      <w:r w:rsidRPr="004C6CC5">
        <w:rPr>
          <w:rFonts w:ascii="Arial" w:hAnsi="Arial" w:cs="Arial"/>
          <w:sz w:val="20"/>
          <w:szCs w:val="20"/>
        </w:rPr>
        <w:t>ramach polityki morskiej przejawiała się</w:t>
      </w:r>
      <w:r w:rsidR="004C6CC5">
        <w:rPr>
          <w:rFonts w:ascii="Arial" w:hAnsi="Arial" w:cs="Arial"/>
          <w:sz w:val="20"/>
          <w:szCs w:val="20"/>
        </w:rPr>
        <w:t xml:space="preserve"> w </w:t>
      </w:r>
      <w:r w:rsidRPr="004C6CC5">
        <w:rPr>
          <w:rFonts w:ascii="Arial" w:hAnsi="Arial" w:cs="Arial"/>
          <w:sz w:val="20"/>
          <w:szCs w:val="20"/>
        </w:rPr>
        <w:t xml:space="preserve">uczestnictwie </w:t>
      </w:r>
      <w:r w:rsidRPr="004C6CC5">
        <w:rPr>
          <w:rFonts w:ascii="Arial" w:hAnsi="Arial" w:cs="Arial"/>
          <w:sz w:val="20"/>
          <w:szCs w:val="20"/>
        </w:rPr>
        <w:br/>
        <w:t>w projektach badawczych oraz wykonywaniu usług na rzecz podmiotów gospodarczych</w:t>
      </w:r>
      <w:r w:rsidR="004C6CC5">
        <w:rPr>
          <w:rFonts w:ascii="Arial" w:hAnsi="Arial" w:cs="Arial"/>
          <w:sz w:val="20"/>
          <w:szCs w:val="20"/>
        </w:rPr>
        <w:t xml:space="preserve"> i </w:t>
      </w:r>
      <w:r w:rsidRPr="004C6CC5">
        <w:rPr>
          <w:rFonts w:ascii="Arial" w:hAnsi="Arial" w:cs="Arial"/>
          <w:sz w:val="20"/>
          <w:szCs w:val="20"/>
        </w:rPr>
        <w:t>społecznych działających</w:t>
      </w:r>
      <w:r w:rsidR="004C6CC5">
        <w:rPr>
          <w:rFonts w:ascii="Arial" w:hAnsi="Arial" w:cs="Arial"/>
          <w:sz w:val="20"/>
          <w:szCs w:val="20"/>
        </w:rPr>
        <w:t xml:space="preserve"> w </w:t>
      </w:r>
      <w:r w:rsidRPr="004C6CC5">
        <w:rPr>
          <w:rFonts w:ascii="Arial" w:hAnsi="Arial" w:cs="Arial"/>
          <w:sz w:val="20"/>
          <w:szCs w:val="20"/>
        </w:rPr>
        <w:t>ramach szeroko rozumianego sektora morskiego.</w:t>
      </w:r>
    </w:p>
    <w:p w14:paraId="60D19B39" w14:textId="4107A551"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W Uniwersytecie Szczecińskim na Wydziale Nauk o Ziemi działa Instytut Nauk o Morzu</w:t>
      </w:r>
      <w:r w:rsidR="004C6CC5">
        <w:rPr>
          <w:rFonts w:ascii="Arial" w:hAnsi="Arial" w:cs="Arial"/>
          <w:sz w:val="20"/>
          <w:szCs w:val="20"/>
        </w:rPr>
        <w:t xml:space="preserve"> i </w:t>
      </w:r>
      <w:r w:rsidRPr="004C6CC5">
        <w:rPr>
          <w:rFonts w:ascii="Arial" w:hAnsi="Arial" w:cs="Arial"/>
          <w:sz w:val="20"/>
          <w:szCs w:val="20"/>
        </w:rPr>
        <w:t>Środowisku, który prowadzi badania naukowe związane</w:t>
      </w:r>
      <w:r w:rsidR="004C6CC5">
        <w:rPr>
          <w:rFonts w:ascii="Arial" w:hAnsi="Arial" w:cs="Arial"/>
          <w:sz w:val="20"/>
          <w:szCs w:val="20"/>
        </w:rPr>
        <w:t xml:space="preserve"> z </w:t>
      </w:r>
      <w:r w:rsidRPr="004C6CC5">
        <w:rPr>
          <w:rFonts w:ascii="Arial" w:hAnsi="Arial" w:cs="Arial"/>
          <w:sz w:val="20"/>
          <w:szCs w:val="20"/>
        </w:rPr>
        <w:t>tematyką morską oraz prowadzi kształcenie na kierunkach powiązanych</w:t>
      </w:r>
      <w:r w:rsidR="00505D19">
        <w:rPr>
          <w:rFonts w:ascii="Arial" w:hAnsi="Arial" w:cs="Arial"/>
          <w:sz w:val="20"/>
          <w:szCs w:val="20"/>
        </w:rPr>
        <w:t xml:space="preserve"> z </w:t>
      </w:r>
      <w:r w:rsidRPr="004C6CC5">
        <w:rPr>
          <w:rFonts w:ascii="Arial" w:hAnsi="Arial" w:cs="Arial"/>
          <w:sz w:val="20"/>
          <w:szCs w:val="20"/>
        </w:rPr>
        <w:t>tą tematyką.</w:t>
      </w:r>
      <w:r w:rsidR="00D9104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roku 2019</w:t>
      </w:r>
      <w:r w:rsidR="009D01B9" w:rsidRPr="004C6CC5">
        <w:rPr>
          <w:rFonts w:ascii="Arial" w:hAnsi="Arial" w:cs="Arial"/>
          <w:sz w:val="20"/>
          <w:szCs w:val="20"/>
        </w:rPr>
        <w:t xml:space="preserve"> r. </w:t>
      </w:r>
      <w:r w:rsidRPr="004C6CC5">
        <w:rPr>
          <w:rFonts w:ascii="Arial" w:hAnsi="Arial" w:cs="Arial"/>
          <w:sz w:val="20"/>
          <w:szCs w:val="20"/>
        </w:rPr>
        <w:t xml:space="preserve">Instytut realizował działania </w:t>
      </w:r>
      <w:r w:rsidR="00FC0EA0">
        <w:rPr>
          <w:rFonts w:ascii="Arial" w:hAnsi="Arial" w:cs="Arial"/>
          <w:sz w:val="20"/>
          <w:szCs w:val="20"/>
        </w:rPr>
        <w:t xml:space="preserve">związane z kierunkami priorytetowymi polityki morskiej RP, w tym działania </w:t>
      </w:r>
      <w:r w:rsidRPr="004C6CC5">
        <w:rPr>
          <w:rFonts w:ascii="Arial" w:hAnsi="Arial" w:cs="Arial"/>
          <w:sz w:val="20"/>
          <w:szCs w:val="20"/>
        </w:rPr>
        <w:t>o charakterze monitoringowym dotyczące morskiej strefy brzegowej:</w:t>
      </w:r>
    </w:p>
    <w:p w14:paraId="643CCA19" w14:textId="0A654F65" w:rsidR="007050BA" w:rsidRPr="004C6CC5" w:rsidRDefault="007050BA" w:rsidP="003C6ECA">
      <w:pPr>
        <w:pStyle w:val="NormalnyWeb"/>
        <w:numPr>
          <w:ilvl w:val="0"/>
          <w:numId w:val="3"/>
        </w:numPr>
        <w:spacing w:before="0" w:beforeAutospacing="0" w:after="120" w:afterAutospacing="0" w:line="276" w:lineRule="auto"/>
        <w:jc w:val="both"/>
        <w:rPr>
          <w:rFonts w:ascii="Arial" w:hAnsi="Arial" w:cs="Arial"/>
          <w:color w:val="000000"/>
          <w:sz w:val="20"/>
          <w:szCs w:val="20"/>
        </w:rPr>
      </w:pPr>
      <w:r w:rsidRPr="00BA1D73">
        <w:rPr>
          <w:rFonts w:ascii="Arial" w:hAnsi="Arial" w:cs="Arial"/>
          <w:bCs/>
          <w:iCs/>
          <w:color w:val="000000"/>
          <w:sz w:val="20"/>
          <w:szCs w:val="20"/>
        </w:rPr>
        <w:lastRenderedPageBreak/>
        <w:t>„Elektroniczne Centrum Udostępniania Danych Oceanograficznych eCUDO.pl”</w:t>
      </w:r>
      <w:r w:rsidRPr="004C6CC5">
        <w:rPr>
          <w:rFonts w:ascii="Arial" w:hAnsi="Arial" w:cs="Arial"/>
          <w:bCs/>
          <w:i/>
          <w:iCs/>
          <w:color w:val="000000"/>
          <w:sz w:val="20"/>
          <w:szCs w:val="20"/>
        </w:rPr>
        <w:t xml:space="preserve"> -</w:t>
      </w:r>
      <w:r w:rsidRPr="004C6CC5">
        <w:rPr>
          <w:rFonts w:ascii="Arial" w:hAnsi="Arial" w:cs="Arial"/>
          <w:bCs/>
          <w:color w:val="000000"/>
          <w:sz w:val="20"/>
          <w:szCs w:val="20"/>
        </w:rPr>
        <w:t xml:space="preserve"> projekt finansowany</w:t>
      </w:r>
      <w:r w:rsidR="00122EB5">
        <w:rPr>
          <w:rFonts w:ascii="Arial" w:hAnsi="Arial" w:cs="Arial"/>
          <w:bCs/>
          <w:color w:val="000000"/>
          <w:sz w:val="20"/>
          <w:szCs w:val="20"/>
        </w:rPr>
        <w:t xml:space="preserve"> ze środków europejskich</w:t>
      </w:r>
      <w:r w:rsidR="004C6CC5">
        <w:rPr>
          <w:rFonts w:ascii="Arial" w:hAnsi="Arial" w:cs="Arial"/>
          <w:bCs/>
          <w:color w:val="000000"/>
          <w:sz w:val="20"/>
          <w:szCs w:val="20"/>
        </w:rPr>
        <w:t xml:space="preserve"> w </w:t>
      </w:r>
      <w:r w:rsidRPr="004C6CC5">
        <w:rPr>
          <w:rFonts w:ascii="Arial" w:hAnsi="Arial" w:cs="Arial"/>
          <w:bCs/>
          <w:color w:val="000000"/>
          <w:sz w:val="20"/>
          <w:szCs w:val="20"/>
        </w:rPr>
        <w:t>ramach Programu Operacyjnego Polska Cyfrowa, Poddziałanie 2.3.1 - Cyfrowe udostępnianie zasobów administracji</w:t>
      </w:r>
      <w:r w:rsidR="004C6CC5">
        <w:rPr>
          <w:rFonts w:ascii="Arial" w:hAnsi="Arial" w:cs="Arial"/>
          <w:bCs/>
          <w:color w:val="000000"/>
          <w:sz w:val="20"/>
          <w:szCs w:val="20"/>
        </w:rPr>
        <w:t xml:space="preserve"> i </w:t>
      </w:r>
      <w:r w:rsidRPr="004C6CC5">
        <w:rPr>
          <w:rFonts w:ascii="Arial" w:hAnsi="Arial" w:cs="Arial"/>
          <w:bCs/>
          <w:color w:val="000000"/>
          <w:sz w:val="20"/>
          <w:szCs w:val="20"/>
        </w:rPr>
        <w:t xml:space="preserve">nauki </w:t>
      </w:r>
      <w:r w:rsidR="00996608">
        <w:rPr>
          <w:rFonts w:ascii="Arial" w:hAnsi="Arial" w:cs="Arial"/>
          <w:bCs/>
          <w:color w:val="000000"/>
          <w:sz w:val="20"/>
          <w:szCs w:val="20"/>
        </w:rPr>
        <w:t>-</w:t>
      </w:r>
      <w:r w:rsidRPr="004C6CC5">
        <w:rPr>
          <w:rFonts w:ascii="Arial" w:hAnsi="Arial" w:cs="Arial"/>
          <w:bCs/>
          <w:color w:val="000000"/>
          <w:sz w:val="20"/>
          <w:szCs w:val="20"/>
        </w:rPr>
        <w:t xml:space="preserve"> realizowany przez konsorcjum 7 instytucji zajmujących się badaniami na obszarze Bałtyku pod kierunkiem Instytutu Oceanologii PAN (z udziałem m.</w:t>
      </w:r>
      <w:r w:rsidR="002D2A91">
        <w:rPr>
          <w:rFonts w:ascii="Arial" w:hAnsi="Arial" w:cs="Arial"/>
          <w:bCs/>
          <w:color w:val="000000"/>
          <w:sz w:val="20"/>
          <w:szCs w:val="20"/>
        </w:rPr>
        <w:t>in. Uniwersytetu Szczecińskiego</w:t>
      </w:r>
      <w:r w:rsidRPr="004C6CC5">
        <w:rPr>
          <w:rFonts w:ascii="Arial" w:hAnsi="Arial" w:cs="Arial"/>
          <w:bCs/>
          <w:color w:val="000000"/>
          <w:sz w:val="20"/>
          <w:szCs w:val="20"/>
        </w:rPr>
        <w:t>);</w:t>
      </w:r>
    </w:p>
    <w:p w14:paraId="0B220C9C" w14:textId="7B8AD142" w:rsidR="007050BA" w:rsidRPr="004C6CC5" w:rsidRDefault="007050BA" w:rsidP="003C6ECA">
      <w:pPr>
        <w:pStyle w:val="NormalnyWeb"/>
        <w:numPr>
          <w:ilvl w:val="0"/>
          <w:numId w:val="3"/>
        </w:numPr>
        <w:spacing w:before="0" w:beforeAutospacing="0" w:after="120" w:afterAutospacing="0" w:line="276" w:lineRule="auto"/>
        <w:jc w:val="both"/>
        <w:rPr>
          <w:rFonts w:ascii="Arial" w:hAnsi="Arial" w:cs="Arial"/>
          <w:bCs/>
          <w:color w:val="000000"/>
          <w:sz w:val="20"/>
          <w:szCs w:val="20"/>
        </w:rPr>
      </w:pPr>
      <w:r w:rsidRPr="004C6CC5">
        <w:rPr>
          <w:rFonts w:ascii="Arial" w:hAnsi="Arial" w:cs="Arial"/>
          <w:bCs/>
          <w:color w:val="000000"/>
          <w:sz w:val="20"/>
          <w:szCs w:val="20"/>
        </w:rPr>
        <w:t>Wykorzystanie Stacji Morskiej Uniwersytetu Szczecińskiego</w:t>
      </w:r>
      <w:r w:rsidR="004C6CC5">
        <w:rPr>
          <w:rFonts w:ascii="Arial" w:hAnsi="Arial" w:cs="Arial"/>
          <w:bCs/>
          <w:color w:val="000000"/>
          <w:sz w:val="20"/>
          <w:szCs w:val="20"/>
        </w:rPr>
        <w:t xml:space="preserve"> w </w:t>
      </w:r>
      <w:r w:rsidRPr="004C6CC5">
        <w:rPr>
          <w:rFonts w:ascii="Arial" w:hAnsi="Arial" w:cs="Arial"/>
          <w:bCs/>
          <w:color w:val="000000"/>
          <w:sz w:val="20"/>
          <w:szCs w:val="20"/>
        </w:rPr>
        <w:t>Międzyzdrojach do systematycznej rejestracji danych meteorologicznych oraz zdalnego monitoringu stanu strefy brzegowej przy pomocy zestawu kamer telewizyjnych (badania telemetryczne) oraz pomiarów efektywności rozpraszania energii fal wiatrowych</w:t>
      </w:r>
      <w:r w:rsidR="004C6CC5">
        <w:rPr>
          <w:rFonts w:ascii="Arial" w:hAnsi="Arial" w:cs="Arial"/>
          <w:bCs/>
          <w:color w:val="000000"/>
          <w:sz w:val="20"/>
          <w:szCs w:val="20"/>
        </w:rPr>
        <w:t xml:space="preserve"> i </w:t>
      </w:r>
      <w:r w:rsidRPr="004C6CC5">
        <w:rPr>
          <w:rFonts w:ascii="Arial" w:hAnsi="Arial" w:cs="Arial"/>
          <w:bCs/>
          <w:color w:val="000000"/>
          <w:sz w:val="20"/>
          <w:szCs w:val="20"/>
        </w:rPr>
        <w:t>analizy aktywności brzegowych procesów erozyjnych;</w:t>
      </w:r>
    </w:p>
    <w:p w14:paraId="344A62E3" w14:textId="7D9F2BF3" w:rsidR="007050BA" w:rsidRPr="004C6CC5" w:rsidRDefault="007050BA" w:rsidP="003C6ECA">
      <w:pPr>
        <w:pStyle w:val="NormalnyWeb"/>
        <w:numPr>
          <w:ilvl w:val="0"/>
          <w:numId w:val="3"/>
        </w:numPr>
        <w:spacing w:before="0" w:beforeAutospacing="0" w:after="120" w:afterAutospacing="0" w:line="276" w:lineRule="auto"/>
        <w:jc w:val="both"/>
        <w:rPr>
          <w:rFonts w:ascii="Arial" w:hAnsi="Arial" w:cs="Arial"/>
          <w:bCs/>
          <w:color w:val="000000"/>
          <w:sz w:val="20"/>
          <w:szCs w:val="20"/>
        </w:rPr>
      </w:pPr>
      <w:r w:rsidRPr="004C6CC5">
        <w:rPr>
          <w:rFonts w:ascii="Arial" w:hAnsi="Arial" w:cs="Arial"/>
          <w:color w:val="000000"/>
          <w:sz w:val="20"/>
          <w:szCs w:val="20"/>
        </w:rPr>
        <w:t>Monitoring ekologiczny środowiska morskiego</w:t>
      </w:r>
      <w:r w:rsidR="004C6CC5">
        <w:rPr>
          <w:rFonts w:ascii="Arial" w:hAnsi="Arial" w:cs="Arial"/>
          <w:color w:val="000000"/>
          <w:sz w:val="20"/>
          <w:szCs w:val="20"/>
        </w:rPr>
        <w:t xml:space="preserve"> w </w:t>
      </w:r>
      <w:r w:rsidRPr="004C6CC5">
        <w:rPr>
          <w:rFonts w:ascii="Arial" w:hAnsi="Arial" w:cs="Arial"/>
          <w:color w:val="000000"/>
          <w:sz w:val="20"/>
          <w:szCs w:val="20"/>
        </w:rPr>
        <w:t>rejonie budowy Gazoportu</w:t>
      </w:r>
      <w:r w:rsidR="005157CB">
        <w:rPr>
          <w:rFonts w:ascii="Arial" w:hAnsi="Arial" w:cs="Arial"/>
          <w:color w:val="000000"/>
          <w:sz w:val="20"/>
          <w:szCs w:val="20"/>
        </w:rPr>
        <w:t xml:space="preserve"> w Ś</w:t>
      </w:r>
      <w:r w:rsidRPr="004C6CC5">
        <w:rPr>
          <w:rFonts w:ascii="Arial" w:hAnsi="Arial" w:cs="Arial"/>
          <w:color w:val="000000"/>
          <w:sz w:val="20"/>
          <w:szCs w:val="20"/>
        </w:rPr>
        <w:t>winoujściu</w:t>
      </w:r>
      <w:r w:rsidR="004C6CC5">
        <w:rPr>
          <w:rFonts w:ascii="Arial" w:hAnsi="Arial" w:cs="Arial"/>
          <w:color w:val="000000"/>
          <w:sz w:val="20"/>
          <w:szCs w:val="20"/>
        </w:rPr>
        <w:t xml:space="preserve"> </w:t>
      </w:r>
      <w:r w:rsidR="005157CB">
        <w:rPr>
          <w:rFonts w:ascii="Arial" w:hAnsi="Arial" w:cs="Arial"/>
          <w:color w:val="000000"/>
          <w:sz w:val="20"/>
          <w:szCs w:val="20"/>
        </w:rPr>
        <w:br/>
        <w:t xml:space="preserve">i w </w:t>
      </w:r>
      <w:r w:rsidRPr="004C6CC5">
        <w:rPr>
          <w:rFonts w:ascii="Arial" w:hAnsi="Arial" w:cs="Arial"/>
          <w:color w:val="000000"/>
          <w:sz w:val="20"/>
          <w:szCs w:val="20"/>
        </w:rPr>
        <w:t xml:space="preserve">rejonach zrzutu urobku inwestycji Gazoport Świnoujście </w:t>
      </w:r>
      <w:r w:rsidR="00A84864">
        <w:rPr>
          <w:rFonts w:ascii="Arial" w:hAnsi="Arial" w:cs="Arial"/>
          <w:bCs/>
          <w:color w:val="000000"/>
          <w:sz w:val="20"/>
          <w:szCs w:val="20"/>
        </w:rPr>
        <w:t>-</w:t>
      </w:r>
      <w:r w:rsidRPr="004C6CC5">
        <w:rPr>
          <w:rFonts w:ascii="Arial" w:hAnsi="Arial" w:cs="Arial"/>
          <w:bCs/>
          <w:color w:val="000000"/>
          <w:sz w:val="20"/>
          <w:szCs w:val="20"/>
        </w:rPr>
        <w:t xml:space="preserve"> realizowane przez </w:t>
      </w:r>
      <w:r w:rsidRPr="004C6CC5">
        <w:rPr>
          <w:rFonts w:ascii="Arial" w:hAnsi="Arial" w:cs="Arial"/>
          <w:color w:val="000000"/>
          <w:sz w:val="20"/>
          <w:szCs w:val="20"/>
        </w:rPr>
        <w:t>Zespół Oce</w:t>
      </w:r>
      <w:r w:rsidR="005157CB">
        <w:rPr>
          <w:rFonts w:ascii="Arial" w:hAnsi="Arial" w:cs="Arial"/>
          <w:color w:val="000000"/>
          <w:sz w:val="20"/>
          <w:szCs w:val="20"/>
        </w:rPr>
        <w:t>anografii Biologicznej</w:t>
      </w:r>
      <w:r w:rsidRPr="004C6CC5">
        <w:rPr>
          <w:rFonts w:ascii="Arial" w:hAnsi="Arial" w:cs="Arial"/>
          <w:bCs/>
          <w:color w:val="000000"/>
          <w:sz w:val="20"/>
          <w:szCs w:val="20"/>
        </w:rPr>
        <w:t>;</w:t>
      </w:r>
    </w:p>
    <w:p w14:paraId="24C06A5F" w14:textId="17DCAEE3" w:rsidR="007050BA" w:rsidRPr="004C6CC5" w:rsidRDefault="007050BA" w:rsidP="003C6ECA">
      <w:pPr>
        <w:pStyle w:val="NormalnyWeb"/>
        <w:numPr>
          <w:ilvl w:val="0"/>
          <w:numId w:val="3"/>
        </w:numPr>
        <w:spacing w:before="0" w:beforeAutospacing="0" w:after="120" w:afterAutospacing="0" w:line="276" w:lineRule="auto"/>
        <w:jc w:val="both"/>
        <w:rPr>
          <w:rFonts w:ascii="Arial" w:hAnsi="Arial" w:cs="Arial"/>
          <w:bCs/>
          <w:color w:val="000000"/>
          <w:sz w:val="20"/>
          <w:szCs w:val="20"/>
        </w:rPr>
      </w:pPr>
      <w:r w:rsidRPr="004C6CC5">
        <w:rPr>
          <w:rFonts w:ascii="Arial" w:hAnsi="Arial" w:cs="Arial"/>
          <w:color w:val="000000"/>
          <w:sz w:val="20"/>
          <w:szCs w:val="20"/>
        </w:rPr>
        <w:t>Współpraca</w:t>
      </w:r>
      <w:r w:rsidR="004C6CC5">
        <w:rPr>
          <w:rFonts w:ascii="Arial" w:hAnsi="Arial" w:cs="Arial"/>
          <w:color w:val="000000"/>
          <w:sz w:val="20"/>
          <w:szCs w:val="20"/>
        </w:rPr>
        <w:t xml:space="preserve"> z </w:t>
      </w:r>
      <w:r w:rsidRPr="004C6CC5">
        <w:rPr>
          <w:rFonts w:ascii="Arial" w:hAnsi="Arial" w:cs="Arial"/>
          <w:color w:val="000000"/>
          <w:sz w:val="20"/>
          <w:szCs w:val="20"/>
        </w:rPr>
        <w:t>Urzędem Morskim</w:t>
      </w:r>
      <w:r w:rsidR="004C6CC5">
        <w:rPr>
          <w:rFonts w:ascii="Arial" w:hAnsi="Arial" w:cs="Arial"/>
          <w:color w:val="000000"/>
          <w:sz w:val="20"/>
          <w:szCs w:val="20"/>
        </w:rPr>
        <w:t xml:space="preserve"> w </w:t>
      </w:r>
      <w:r w:rsidR="005A5CAF">
        <w:rPr>
          <w:rFonts w:ascii="Arial" w:hAnsi="Arial" w:cs="Arial"/>
          <w:color w:val="000000"/>
          <w:sz w:val="20"/>
          <w:szCs w:val="20"/>
        </w:rPr>
        <w:t>Szczecinie dotycząca opracowania</w:t>
      </w:r>
      <w:r w:rsidRPr="004C6CC5">
        <w:rPr>
          <w:rFonts w:ascii="Arial" w:hAnsi="Arial" w:cs="Arial"/>
          <w:color w:val="000000"/>
          <w:sz w:val="20"/>
          <w:szCs w:val="20"/>
        </w:rPr>
        <w:t xml:space="preserve"> wytycznych</w:t>
      </w:r>
      <w:r w:rsidR="004C6CC5">
        <w:rPr>
          <w:rFonts w:ascii="Arial" w:hAnsi="Arial" w:cs="Arial"/>
          <w:color w:val="000000"/>
          <w:sz w:val="20"/>
          <w:szCs w:val="20"/>
        </w:rPr>
        <w:t xml:space="preserve"> i </w:t>
      </w:r>
      <w:r w:rsidRPr="004C6CC5">
        <w:rPr>
          <w:rFonts w:ascii="Arial" w:hAnsi="Arial" w:cs="Arial"/>
          <w:color w:val="000000"/>
          <w:sz w:val="20"/>
          <w:szCs w:val="20"/>
        </w:rPr>
        <w:t>warunków technicznych pozyskania danych skanowania laserowego oraz zdjęć lotniczych na potrzeby opracowania NMT, MNPT oraz ortofotomapy</w:t>
      </w:r>
      <w:r w:rsidR="004C6CC5">
        <w:rPr>
          <w:rFonts w:ascii="Arial" w:hAnsi="Arial" w:cs="Arial"/>
          <w:color w:val="000000"/>
          <w:sz w:val="20"/>
          <w:szCs w:val="20"/>
        </w:rPr>
        <w:t xml:space="preserve"> w </w:t>
      </w:r>
      <w:r w:rsidRPr="004C6CC5">
        <w:rPr>
          <w:rFonts w:ascii="Arial" w:hAnsi="Arial" w:cs="Arial"/>
          <w:color w:val="000000"/>
          <w:sz w:val="20"/>
          <w:szCs w:val="20"/>
        </w:rPr>
        <w:t>rama</w:t>
      </w:r>
      <w:r w:rsidR="005A5CAF">
        <w:rPr>
          <w:rFonts w:ascii="Arial" w:hAnsi="Arial" w:cs="Arial"/>
          <w:color w:val="000000"/>
          <w:sz w:val="20"/>
          <w:szCs w:val="20"/>
        </w:rPr>
        <w:t>ch monitoringu brzegu morskiego;</w:t>
      </w:r>
    </w:p>
    <w:p w14:paraId="04BD7211" w14:textId="76716975" w:rsidR="007050BA" w:rsidRPr="004C6CC5" w:rsidRDefault="007050BA" w:rsidP="003C6ECA">
      <w:pPr>
        <w:pStyle w:val="NormalnyWeb"/>
        <w:numPr>
          <w:ilvl w:val="0"/>
          <w:numId w:val="3"/>
        </w:numPr>
        <w:spacing w:before="0" w:beforeAutospacing="0" w:after="120" w:afterAutospacing="0" w:line="276" w:lineRule="auto"/>
        <w:jc w:val="both"/>
        <w:rPr>
          <w:rFonts w:ascii="Arial" w:hAnsi="Arial" w:cs="Arial"/>
          <w:bCs/>
          <w:color w:val="000000"/>
          <w:sz w:val="20"/>
          <w:szCs w:val="20"/>
        </w:rPr>
      </w:pPr>
      <w:r w:rsidRPr="004C6CC5">
        <w:rPr>
          <w:rFonts w:ascii="Arial" w:hAnsi="Arial" w:cs="Arial"/>
          <w:bCs/>
          <w:color w:val="000000"/>
          <w:sz w:val="20"/>
          <w:szCs w:val="20"/>
        </w:rPr>
        <w:t>Edukacja dotycząca środowiska Morza Bałtyckiego oraz jego strefy brzegowej prowadzona</w:t>
      </w:r>
      <w:r w:rsidR="004C6CC5">
        <w:rPr>
          <w:rFonts w:ascii="Arial" w:hAnsi="Arial" w:cs="Arial"/>
          <w:bCs/>
          <w:color w:val="000000"/>
          <w:sz w:val="20"/>
          <w:szCs w:val="20"/>
        </w:rPr>
        <w:t xml:space="preserve"> w </w:t>
      </w:r>
      <w:r w:rsidRPr="004C6CC5">
        <w:rPr>
          <w:rFonts w:ascii="Arial" w:hAnsi="Arial" w:cs="Arial"/>
          <w:bCs/>
          <w:color w:val="000000"/>
          <w:sz w:val="20"/>
          <w:szCs w:val="20"/>
        </w:rPr>
        <w:t>Stacji Morskiej Uniwersytetu Szczecińskiego</w:t>
      </w:r>
      <w:r w:rsidR="004C6CC5">
        <w:rPr>
          <w:rFonts w:ascii="Arial" w:hAnsi="Arial" w:cs="Arial"/>
          <w:bCs/>
          <w:color w:val="000000"/>
          <w:sz w:val="20"/>
          <w:szCs w:val="20"/>
        </w:rPr>
        <w:t xml:space="preserve"> w </w:t>
      </w:r>
      <w:r w:rsidR="00D843E9">
        <w:rPr>
          <w:rFonts w:ascii="Arial" w:hAnsi="Arial" w:cs="Arial"/>
          <w:bCs/>
          <w:color w:val="000000"/>
          <w:sz w:val="20"/>
          <w:szCs w:val="20"/>
        </w:rPr>
        <w:t>Międzyzdrojach;</w:t>
      </w:r>
    </w:p>
    <w:p w14:paraId="72CDA873" w14:textId="0B662E25" w:rsidR="007050BA" w:rsidRPr="004C6CC5" w:rsidRDefault="007050BA" w:rsidP="003C6ECA">
      <w:pPr>
        <w:pStyle w:val="NormalnyWeb"/>
        <w:numPr>
          <w:ilvl w:val="0"/>
          <w:numId w:val="3"/>
        </w:numPr>
        <w:spacing w:before="0" w:beforeAutospacing="0" w:after="120" w:afterAutospacing="0" w:line="276" w:lineRule="auto"/>
        <w:jc w:val="both"/>
        <w:rPr>
          <w:rFonts w:ascii="Arial" w:hAnsi="Arial" w:cs="Arial"/>
          <w:bCs/>
          <w:color w:val="000000"/>
          <w:sz w:val="20"/>
          <w:szCs w:val="20"/>
        </w:rPr>
      </w:pPr>
      <w:r w:rsidRPr="004C6CC5">
        <w:rPr>
          <w:rFonts w:ascii="Arial" w:hAnsi="Arial" w:cs="Arial"/>
          <w:bCs/>
          <w:color w:val="000000"/>
          <w:sz w:val="20"/>
          <w:szCs w:val="20"/>
        </w:rPr>
        <w:t>Współorganizacja INTEROCEANMETAL JOINT ORGANIZATIO</w:t>
      </w:r>
      <w:r w:rsidR="00D843E9">
        <w:rPr>
          <w:rFonts w:ascii="Arial" w:hAnsi="Arial" w:cs="Arial"/>
          <w:bCs/>
          <w:color w:val="000000"/>
          <w:sz w:val="20"/>
          <w:szCs w:val="20"/>
        </w:rPr>
        <w:t>N (IOM) 2019 TRAINING PROGRAMME.</w:t>
      </w:r>
    </w:p>
    <w:p w14:paraId="41C16DE5" w14:textId="111322F3"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t xml:space="preserve">W ramach rozwoju morskich badań naukowych przedstawiciele </w:t>
      </w:r>
      <w:r w:rsidR="003E73D9">
        <w:rPr>
          <w:rFonts w:ascii="Arial" w:hAnsi="Arial" w:cs="Arial"/>
          <w:sz w:val="20"/>
          <w:szCs w:val="20"/>
        </w:rPr>
        <w:t>Instytutu Nauk o Morzu i Środowisku</w:t>
      </w:r>
      <w:r w:rsidRPr="004C6CC5">
        <w:rPr>
          <w:rFonts w:ascii="Arial" w:hAnsi="Arial" w:cs="Arial"/>
          <w:sz w:val="20"/>
          <w:szCs w:val="20"/>
        </w:rPr>
        <w:t xml:space="preserve"> realizowali szereg działań ważnych dla realizacji polskiej polityki morskiej. Do działań tych należą m.in. następujące projekty badawcze dotyczące spraw morskich:</w:t>
      </w:r>
    </w:p>
    <w:p w14:paraId="34A1C05C" w14:textId="7BBB6728" w:rsidR="007050BA" w:rsidRPr="008D7352" w:rsidRDefault="007050BA" w:rsidP="008D2321">
      <w:pPr>
        <w:pStyle w:val="NormalnyWeb"/>
        <w:spacing w:before="0" w:beforeAutospacing="0" w:after="120" w:afterAutospacing="0" w:line="276" w:lineRule="auto"/>
        <w:jc w:val="both"/>
        <w:rPr>
          <w:rFonts w:ascii="Arial" w:hAnsi="Arial" w:cs="Arial"/>
          <w:color w:val="000000"/>
          <w:sz w:val="20"/>
          <w:szCs w:val="20"/>
        </w:rPr>
      </w:pPr>
      <w:r w:rsidRPr="008D7352">
        <w:rPr>
          <w:rFonts w:ascii="Arial" w:hAnsi="Arial" w:cs="Arial"/>
          <w:color w:val="000000"/>
          <w:sz w:val="20"/>
          <w:szCs w:val="20"/>
        </w:rPr>
        <w:t>- „Ewolucja delty Hainan na północno-zachodnim szelfie Morza Południowochińskiego jako reakcja na paleośrodowiskowe zmiany od późnego plejstocenu (ERES)” – grant NCN oraz umowa bilateralna</w:t>
      </w:r>
      <w:r w:rsidR="004C6CC5" w:rsidRPr="008D7352">
        <w:rPr>
          <w:rFonts w:ascii="Arial" w:hAnsi="Arial" w:cs="Arial"/>
          <w:color w:val="000000"/>
          <w:sz w:val="20"/>
          <w:szCs w:val="20"/>
        </w:rPr>
        <w:t xml:space="preserve"> z </w:t>
      </w:r>
      <w:r w:rsidRPr="008D7352">
        <w:rPr>
          <w:rFonts w:ascii="Arial" w:hAnsi="Arial" w:cs="Arial"/>
          <w:color w:val="000000"/>
          <w:sz w:val="20"/>
          <w:szCs w:val="20"/>
        </w:rPr>
        <w:t>Guangzhou Marine Geological Survey</w:t>
      </w:r>
      <w:r w:rsidR="004C6CC5" w:rsidRPr="008D7352">
        <w:rPr>
          <w:rFonts w:ascii="Arial" w:hAnsi="Arial" w:cs="Arial"/>
          <w:color w:val="000000"/>
          <w:sz w:val="20"/>
          <w:szCs w:val="20"/>
        </w:rPr>
        <w:t xml:space="preserve"> w </w:t>
      </w:r>
      <w:r w:rsidRPr="008D7352">
        <w:rPr>
          <w:rFonts w:ascii="Arial" w:hAnsi="Arial" w:cs="Arial"/>
          <w:color w:val="000000"/>
          <w:sz w:val="20"/>
          <w:szCs w:val="20"/>
        </w:rPr>
        <w:t>Chinach</w:t>
      </w:r>
      <w:r w:rsidR="00174C57">
        <w:rPr>
          <w:rFonts w:ascii="Arial" w:hAnsi="Arial" w:cs="Arial"/>
          <w:color w:val="000000"/>
          <w:sz w:val="20"/>
          <w:szCs w:val="20"/>
        </w:rPr>
        <w:t>;</w:t>
      </w:r>
    </w:p>
    <w:p w14:paraId="3C5D5EEA" w14:textId="44E408CE" w:rsidR="007050BA" w:rsidRPr="008D7352" w:rsidRDefault="007050BA" w:rsidP="008D2321">
      <w:pPr>
        <w:pStyle w:val="NormalnyWeb"/>
        <w:spacing w:before="0" w:beforeAutospacing="0" w:after="120" w:afterAutospacing="0" w:line="276" w:lineRule="auto"/>
        <w:jc w:val="both"/>
        <w:rPr>
          <w:rFonts w:ascii="Arial" w:hAnsi="Arial" w:cs="Arial"/>
          <w:color w:val="000000"/>
          <w:sz w:val="20"/>
          <w:szCs w:val="20"/>
        </w:rPr>
      </w:pPr>
      <w:r w:rsidRPr="008D7352">
        <w:rPr>
          <w:rFonts w:ascii="Arial" w:hAnsi="Arial" w:cs="Arial"/>
          <w:color w:val="000000"/>
          <w:sz w:val="20"/>
          <w:szCs w:val="20"/>
        </w:rPr>
        <w:t>- „Rekonstrukcja wahań produktywności wód powierzchniowych</w:t>
      </w:r>
      <w:r w:rsidR="004C6CC5" w:rsidRPr="008D7352">
        <w:rPr>
          <w:rFonts w:ascii="Arial" w:hAnsi="Arial" w:cs="Arial"/>
          <w:color w:val="000000"/>
          <w:sz w:val="20"/>
          <w:szCs w:val="20"/>
        </w:rPr>
        <w:t xml:space="preserve"> w </w:t>
      </w:r>
      <w:r w:rsidRPr="008D7352">
        <w:rPr>
          <w:rFonts w:ascii="Arial" w:hAnsi="Arial" w:cs="Arial"/>
          <w:color w:val="000000"/>
          <w:sz w:val="20"/>
          <w:szCs w:val="20"/>
        </w:rPr>
        <w:t>strefie tropikalnej</w:t>
      </w:r>
      <w:r w:rsidR="004C6CC5" w:rsidRPr="008D7352">
        <w:rPr>
          <w:rFonts w:ascii="Arial" w:hAnsi="Arial" w:cs="Arial"/>
          <w:color w:val="000000"/>
          <w:sz w:val="20"/>
          <w:szCs w:val="20"/>
        </w:rPr>
        <w:t xml:space="preserve"> i </w:t>
      </w:r>
      <w:r w:rsidRPr="008D7352">
        <w:rPr>
          <w:rFonts w:ascii="Arial" w:hAnsi="Arial" w:cs="Arial"/>
          <w:color w:val="000000"/>
          <w:sz w:val="20"/>
          <w:szCs w:val="20"/>
        </w:rPr>
        <w:t>okołobiegunowej na przełomie eocenu</w:t>
      </w:r>
      <w:r w:rsidR="004C6CC5" w:rsidRPr="008D7352">
        <w:rPr>
          <w:rFonts w:ascii="Arial" w:hAnsi="Arial" w:cs="Arial"/>
          <w:color w:val="000000"/>
          <w:sz w:val="20"/>
          <w:szCs w:val="20"/>
        </w:rPr>
        <w:t xml:space="preserve"> i </w:t>
      </w:r>
      <w:r w:rsidRPr="008D7352">
        <w:rPr>
          <w:rFonts w:ascii="Arial" w:hAnsi="Arial" w:cs="Arial"/>
          <w:color w:val="000000"/>
          <w:sz w:val="20"/>
          <w:szCs w:val="20"/>
        </w:rPr>
        <w:t>oligocenu na podstawie wysokoczułej ilościowej analizy zmienności zespołów fitoplanktonu krzemionkowego oraz zawartości krzemionki biogenicznej</w:t>
      </w:r>
      <w:r w:rsidR="00061C74">
        <w:rPr>
          <w:rFonts w:ascii="Arial" w:hAnsi="Arial" w:cs="Arial"/>
          <w:color w:val="000000"/>
          <w:sz w:val="20"/>
          <w:szCs w:val="20"/>
        </w:rPr>
        <w:t xml:space="preserve"> w </w:t>
      </w:r>
      <w:r w:rsidRPr="008D7352">
        <w:rPr>
          <w:rFonts w:ascii="Arial" w:hAnsi="Arial" w:cs="Arial"/>
          <w:color w:val="000000"/>
          <w:sz w:val="20"/>
          <w:szCs w:val="20"/>
        </w:rPr>
        <w:t>osadach Oceanu Indyjskiego”, grant NCN;</w:t>
      </w:r>
    </w:p>
    <w:p w14:paraId="650F1A83" w14:textId="6A33E83A" w:rsidR="007050BA" w:rsidRPr="008D7352" w:rsidRDefault="007050BA" w:rsidP="008D2321">
      <w:pPr>
        <w:pStyle w:val="NormalnyWeb"/>
        <w:spacing w:before="0" w:beforeAutospacing="0" w:after="120" w:afterAutospacing="0" w:line="276" w:lineRule="auto"/>
        <w:jc w:val="both"/>
        <w:rPr>
          <w:rFonts w:ascii="Arial" w:hAnsi="Arial" w:cs="Arial"/>
          <w:color w:val="000000"/>
          <w:sz w:val="20"/>
          <w:szCs w:val="20"/>
        </w:rPr>
      </w:pPr>
      <w:r w:rsidRPr="008D7352">
        <w:rPr>
          <w:rFonts w:ascii="Arial" w:hAnsi="Arial" w:cs="Arial"/>
          <w:color w:val="000000"/>
          <w:sz w:val="20"/>
          <w:szCs w:val="20"/>
          <w:lang w:val="en-US"/>
        </w:rPr>
        <w:t>- The Genus Haslea, new marine resources for blue biotechnology and Aquaculture (GHaNA)”, grant Horyzont 2020 (ERC, działanie Research &amp; Innov</w:t>
      </w:r>
      <w:r w:rsidR="00671C02">
        <w:rPr>
          <w:rFonts w:ascii="Arial" w:hAnsi="Arial" w:cs="Arial"/>
          <w:color w:val="000000"/>
          <w:sz w:val="20"/>
          <w:szCs w:val="20"/>
          <w:lang w:val="en-US"/>
        </w:rPr>
        <w:t>ation Action, Innovation Action</w:t>
      </w:r>
      <w:r w:rsidRPr="008D7352">
        <w:rPr>
          <w:rFonts w:ascii="Arial" w:hAnsi="Arial" w:cs="Arial"/>
          <w:color w:val="000000"/>
          <w:sz w:val="20"/>
          <w:szCs w:val="20"/>
        </w:rPr>
        <w:t>;</w:t>
      </w:r>
    </w:p>
    <w:p w14:paraId="0F78F5D3" w14:textId="2881FB35" w:rsidR="007050BA" w:rsidRPr="008D7352" w:rsidRDefault="007050BA" w:rsidP="008D2321">
      <w:pPr>
        <w:pStyle w:val="NormalnyWeb"/>
        <w:spacing w:before="0" w:beforeAutospacing="0" w:after="120" w:afterAutospacing="0" w:line="276" w:lineRule="auto"/>
        <w:jc w:val="both"/>
        <w:rPr>
          <w:rFonts w:ascii="Arial" w:hAnsi="Arial" w:cs="Arial"/>
          <w:color w:val="000000"/>
          <w:sz w:val="20"/>
          <w:szCs w:val="20"/>
        </w:rPr>
      </w:pPr>
      <w:r w:rsidRPr="008D7352">
        <w:rPr>
          <w:rFonts w:ascii="Arial" w:hAnsi="Arial" w:cs="Arial"/>
          <w:color w:val="000000"/>
          <w:sz w:val="20"/>
          <w:szCs w:val="20"/>
        </w:rPr>
        <w:t>- „</w:t>
      </w:r>
      <w:r w:rsidRPr="008D7352">
        <w:rPr>
          <w:rFonts w:ascii="Arial" w:hAnsi="Arial" w:cs="Arial"/>
          <w:iCs/>
          <w:color w:val="000000"/>
          <w:sz w:val="20"/>
          <w:szCs w:val="20"/>
        </w:rPr>
        <w:t>Kształtowanie wybrzeży klifowych pod wpływem lokalnych</w:t>
      </w:r>
      <w:r w:rsidR="004C6CC5" w:rsidRPr="008D7352">
        <w:rPr>
          <w:rFonts w:ascii="Arial" w:hAnsi="Arial" w:cs="Arial"/>
          <w:iCs/>
          <w:color w:val="000000"/>
          <w:sz w:val="20"/>
          <w:szCs w:val="20"/>
        </w:rPr>
        <w:t xml:space="preserve"> i </w:t>
      </w:r>
      <w:r w:rsidRPr="008D7352">
        <w:rPr>
          <w:rFonts w:ascii="Arial" w:hAnsi="Arial" w:cs="Arial"/>
          <w:iCs/>
          <w:color w:val="000000"/>
          <w:sz w:val="20"/>
          <w:szCs w:val="20"/>
        </w:rPr>
        <w:t>globalnych procesów sprawczych ujętych</w:t>
      </w:r>
      <w:r w:rsidR="004C6CC5" w:rsidRPr="008D7352">
        <w:rPr>
          <w:rFonts w:ascii="Arial" w:hAnsi="Arial" w:cs="Arial"/>
          <w:iCs/>
          <w:color w:val="000000"/>
          <w:sz w:val="20"/>
          <w:szCs w:val="20"/>
        </w:rPr>
        <w:t xml:space="preserve"> w </w:t>
      </w:r>
      <w:r w:rsidRPr="008D7352">
        <w:rPr>
          <w:rFonts w:ascii="Arial" w:hAnsi="Arial" w:cs="Arial"/>
          <w:iCs/>
          <w:color w:val="000000"/>
          <w:sz w:val="20"/>
          <w:szCs w:val="20"/>
        </w:rPr>
        <w:t>zróżnicowanych skalach czasowych</w:t>
      </w:r>
      <w:r w:rsidR="008B5F51">
        <w:rPr>
          <w:rFonts w:ascii="Arial" w:hAnsi="Arial" w:cs="Arial"/>
          <w:color w:val="000000"/>
          <w:sz w:val="20"/>
          <w:szCs w:val="20"/>
        </w:rPr>
        <w:t>”, grant NCN;</w:t>
      </w:r>
    </w:p>
    <w:p w14:paraId="2E7B5826" w14:textId="6D37A674" w:rsidR="007050BA" w:rsidRPr="008D7352" w:rsidRDefault="007050BA" w:rsidP="008D2321">
      <w:pPr>
        <w:pStyle w:val="NormalnyWeb"/>
        <w:spacing w:before="0" w:beforeAutospacing="0" w:after="120" w:afterAutospacing="0" w:line="276" w:lineRule="auto"/>
        <w:jc w:val="both"/>
        <w:rPr>
          <w:rFonts w:ascii="Arial" w:hAnsi="Arial" w:cs="Arial"/>
          <w:color w:val="000000"/>
          <w:sz w:val="20"/>
          <w:szCs w:val="20"/>
        </w:rPr>
      </w:pPr>
      <w:r w:rsidRPr="008D7352">
        <w:rPr>
          <w:rFonts w:ascii="Arial" w:hAnsi="Arial" w:cs="Arial"/>
          <w:color w:val="000000"/>
          <w:sz w:val="20"/>
          <w:szCs w:val="20"/>
        </w:rPr>
        <w:t>- „Rekonstrukcja zmian klimatycznych na podstawie fauny otwornicowej raf koralowych</w:t>
      </w:r>
      <w:r w:rsidR="004C6CC5" w:rsidRPr="008D7352">
        <w:rPr>
          <w:rFonts w:ascii="Arial" w:hAnsi="Arial" w:cs="Arial"/>
          <w:color w:val="000000"/>
          <w:sz w:val="20"/>
          <w:szCs w:val="20"/>
        </w:rPr>
        <w:t xml:space="preserve"> z </w:t>
      </w:r>
      <w:r w:rsidRPr="008D7352">
        <w:rPr>
          <w:rFonts w:ascii="Arial" w:hAnsi="Arial" w:cs="Arial"/>
          <w:color w:val="000000"/>
          <w:sz w:val="20"/>
          <w:szCs w:val="20"/>
        </w:rPr>
        <w:t>Florida Keys fauny otwornicowej raf koralowych</w:t>
      </w:r>
      <w:r w:rsidR="004C6CC5" w:rsidRPr="008D7352">
        <w:rPr>
          <w:rFonts w:ascii="Arial" w:hAnsi="Arial" w:cs="Arial"/>
          <w:color w:val="000000"/>
          <w:sz w:val="20"/>
          <w:szCs w:val="20"/>
        </w:rPr>
        <w:t xml:space="preserve"> z </w:t>
      </w:r>
      <w:r w:rsidR="008B5F51">
        <w:rPr>
          <w:rFonts w:ascii="Arial" w:hAnsi="Arial" w:cs="Arial"/>
          <w:color w:val="000000"/>
          <w:sz w:val="20"/>
          <w:szCs w:val="20"/>
        </w:rPr>
        <w:t>Florida Keys”, grant NCN;</w:t>
      </w:r>
    </w:p>
    <w:p w14:paraId="4CF181FF" w14:textId="487B4CA9" w:rsidR="007050BA" w:rsidRPr="008D7352" w:rsidRDefault="007050BA" w:rsidP="008D2321">
      <w:pPr>
        <w:pStyle w:val="NormalnyWeb"/>
        <w:spacing w:before="0" w:beforeAutospacing="0" w:after="120" w:afterAutospacing="0" w:line="276" w:lineRule="auto"/>
        <w:jc w:val="both"/>
        <w:rPr>
          <w:rFonts w:ascii="Arial" w:hAnsi="Arial" w:cs="Arial"/>
          <w:color w:val="000000"/>
          <w:sz w:val="20"/>
          <w:szCs w:val="20"/>
        </w:rPr>
      </w:pPr>
      <w:r w:rsidRPr="008D7352">
        <w:rPr>
          <w:rFonts w:ascii="Arial" w:hAnsi="Arial" w:cs="Arial"/>
          <w:color w:val="000000"/>
          <w:sz w:val="20"/>
          <w:szCs w:val="20"/>
        </w:rPr>
        <w:t>- „Wpływ żółwi morskich Caretta caretta (Linnaeus 1758) na biogeografię okrzemek (Bacillariophyta)</w:t>
      </w:r>
      <w:r w:rsidR="004C6CC5" w:rsidRPr="008D7352">
        <w:rPr>
          <w:rFonts w:ascii="Arial" w:hAnsi="Arial" w:cs="Arial"/>
          <w:color w:val="000000"/>
          <w:sz w:val="20"/>
          <w:szCs w:val="20"/>
        </w:rPr>
        <w:t xml:space="preserve"> w </w:t>
      </w:r>
      <w:r w:rsidRPr="008D7352">
        <w:rPr>
          <w:rFonts w:ascii="Arial" w:hAnsi="Arial" w:cs="Arial"/>
          <w:color w:val="000000"/>
          <w:sz w:val="20"/>
          <w:szCs w:val="20"/>
        </w:rPr>
        <w:t xml:space="preserve">świetle badań na wybrzeżach </w:t>
      </w:r>
      <w:r w:rsidR="008B5F51">
        <w:rPr>
          <w:rFonts w:ascii="Arial" w:hAnsi="Arial" w:cs="Arial"/>
          <w:color w:val="000000"/>
          <w:sz w:val="20"/>
          <w:szCs w:val="20"/>
        </w:rPr>
        <w:t>Morza Śródziemnego”, grant NCN;</w:t>
      </w:r>
    </w:p>
    <w:p w14:paraId="6814E575" w14:textId="0864B174" w:rsidR="007050BA" w:rsidRPr="008D7352" w:rsidRDefault="007050BA" w:rsidP="008D2321">
      <w:pPr>
        <w:pStyle w:val="NormalnyWeb"/>
        <w:spacing w:before="0" w:beforeAutospacing="0" w:after="120" w:afterAutospacing="0" w:line="276" w:lineRule="auto"/>
        <w:jc w:val="both"/>
        <w:rPr>
          <w:rFonts w:ascii="Arial" w:hAnsi="Arial" w:cs="Arial"/>
          <w:color w:val="000000"/>
          <w:sz w:val="20"/>
          <w:szCs w:val="20"/>
        </w:rPr>
      </w:pPr>
      <w:r w:rsidRPr="008D7352">
        <w:rPr>
          <w:rFonts w:ascii="Arial" w:hAnsi="Arial" w:cs="Arial"/>
          <w:color w:val="000000"/>
          <w:sz w:val="20"/>
          <w:szCs w:val="20"/>
        </w:rPr>
        <w:t>- „Badania eksperymentalne akumulacji lipidów</w:t>
      </w:r>
      <w:r w:rsidR="004C6CC5" w:rsidRPr="008D7352">
        <w:rPr>
          <w:rFonts w:ascii="Arial" w:hAnsi="Arial" w:cs="Arial"/>
          <w:color w:val="000000"/>
          <w:sz w:val="20"/>
          <w:szCs w:val="20"/>
        </w:rPr>
        <w:t xml:space="preserve"> w </w:t>
      </w:r>
      <w:r w:rsidRPr="008D7352">
        <w:rPr>
          <w:rFonts w:ascii="Arial" w:hAnsi="Arial" w:cs="Arial"/>
          <w:color w:val="000000"/>
          <w:sz w:val="20"/>
          <w:szCs w:val="20"/>
        </w:rPr>
        <w:t>komórkach morskich okrzemek (Bacillariophyta): wpływ cyklu życiowego, fizjologii</w:t>
      </w:r>
      <w:r w:rsidR="004C6CC5" w:rsidRPr="008D7352">
        <w:rPr>
          <w:rFonts w:ascii="Arial" w:hAnsi="Arial" w:cs="Arial"/>
          <w:color w:val="000000"/>
          <w:sz w:val="20"/>
          <w:szCs w:val="20"/>
        </w:rPr>
        <w:t xml:space="preserve"> i </w:t>
      </w:r>
      <w:r w:rsidR="008B5F51">
        <w:rPr>
          <w:rFonts w:ascii="Arial" w:hAnsi="Arial" w:cs="Arial"/>
          <w:color w:val="000000"/>
          <w:sz w:val="20"/>
          <w:szCs w:val="20"/>
        </w:rPr>
        <w:t>filogenezy”, grant NCN;</w:t>
      </w:r>
    </w:p>
    <w:p w14:paraId="04B3A0D5" w14:textId="7E255D15" w:rsidR="007050BA" w:rsidRPr="008D7352" w:rsidRDefault="007050BA" w:rsidP="008D2321">
      <w:pPr>
        <w:pStyle w:val="NormalnyWeb"/>
        <w:spacing w:before="0" w:beforeAutospacing="0" w:after="120" w:afterAutospacing="0" w:line="276" w:lineRule="auto"/>
        <w:jc w:val="both"/>
        <w:rPr>
          <w:rFonts w:ascii="Arial" w:hAnsi="Arial" w:cs="Arial"/>
          <w:color w:val="000000"/>
          <w:sz w:val="20"/>
          <w:szCs w:val="20"/>
        </w:rPr>
      </w:pPr>
      <w:r w:rsidRPr="008D7352">
        <w:rPr>
          <w:rFonts w:ascii="Arial" w:hAnsi="Arial" w:cs="Arial"/>
          <w:color w:val="000000"/>
          <w:sz w:val="20"/>
          <w:szCs w:val="20"/>
        </w:rPr>
        <w:t>- „Temperatura jako czynnik warunkujący biogeograficzne rozmieszczenie okrzemek (Bacillariophyta)</w:t>
      </w:r>
      <w:r w:rsidR="004C6CC5" w:rsidRPr="008D7352">
        <w:rPr>
          <w:rFonts w:ascii="Arial" w:hAnsi="Arial" w:cs="Arial"/>
          <w:color w:val="000000"/>
          <w:sz w:val="20"/>
          <w:szCs w:val="20"/>
        </w:rPr>
        <w:t xml:space="preserve"> i </w:t>
      </w:r>
      <w:r w:rsidRPr="008D7352">
        <w:rPr>
          <w:rFonts w:ascii="Arial" w:hAnsi="Arial" w:cs="Arial"/>
          <w:color w:val="000000"/>
          <w:sz w:val="20"/>
          <w:szCs w:val="20"/>
        </w:rPr>
        <w:t>procesy zachodzące</w:t>
      </w:r>
      <w:r w:rsidR="004C6CC5" w:rsidRPr="008D7352">
        <w:rPr>
          <w:rFonts w:ascii="Arial" w:hAnsi="Arial" w:cs="Arial"/>
          <w:color w:val="000000"/>
          <w:sz w:val="20"/>
          <w:szCs w:val="20"/>
        </w:rPr>
        <w:t xml:space="preserve"> w </w:t>
      </w:r>
      <w:r w:rsidRPr="008D7352">
        <w:rPr>
          <w:rFonts w:ascii="Arial" w:hAnsi="Arial" w:cs="Arial"/>
          <w:color w:val="000000"/>
          <w:sz w:val="20"/>
          <w:szCs w:val="20"/>
        </w:rPr>
        <w:t>ekosystemach wybrzeży Afryki Południowej</w:t>
      </w:r>
      <w:r w:rsidR="004C6CC5" w:rsidRPr="008D7352">
        <w:rPr>
          <w:rFonts w:ascii="Arial" w:hAnsi="Arial" w:cs="Arial"/>
          <w:color w:val="000000"/>
          <w:sz w:val="20"/>
          <w:szCs w:val="20"/>
        </w:rPr>
        <w:t xml:space="preserve"> w </w:t>
      </w:r>
      <w:r w:rsidRPr="008D7352">
        <w:rPr>
          <w:rFonts w:ascii="Arial" w:hAnsi="Arial" w:cs="Arial"/>
          <w:color w:val="000000"/>
          <w:sz w:val="20"/>
          <w:szCs w:val="20"/>
        </w:rPr>
        <w:t>wyniku współczesnych zmi</w:t>
      </w:r>
      <w:r w:rsidR="002E298D">
        <w:rPr>
          <w:rFonts w:ascii="Arial" w:hAnsi="Arial" w:cs="Arial"/>
          <w:color w:val="000000"/>
          <w:sz w:val="20"/>
          <w:szCs w:val="20"/>
        </w:rPr>
        <w:t>an klimatycznych”, grant NCBiR;</w:t>
      </w:r>
    </w:p>
    <w:p w14:paraId="7A2DD15C" w14:textId="03683A08" w:rsidR="007050BA" w:rsidRPr="008D7352" w:rsidRDefault="007050BA" w:rsidP="008D2321">
      <w:pPr>
        <w:pStyle w:val="NormalnyWeb"/>
        <w:spacing w:before="0" w:beforeAutospacing="0" w:after="120" w:afterAutospacing="0" w:line="276" w:lineRule="auto"/>
        <w:jc w:val="both"/>
        <w:rPr>
          <w:rFonts w:ascii="Arial" w:hAnsi="Arial" w:cs="Arial"/>
          <w:color w:val="000000"/>
          <w:sz w:val="20"/>
          <w:szCs w:val="20"/>
        </w:rPr>
      </w:pPr>
      <w:r w:rsidRPr="008D7352">
        <w:rPr>
          <w:rFonts w:ascii="Arial" w:hAnsi="Arial" w:cs="Arial"/>
          <w:iCs/>
          <w:color w:val="000000"/>
          <w:sz w:val="20"/>
          <w:szCs w:val="20"/>
        </w:rPr>
        <w:t>- „Biocenozy morskich</w:t>
      </w:r>
      <w:r w:rsidR="004C6CC5" w:rsidRPr="008D7352">
        <w:rPr>
          <w:rFonts w:ascii="Arial" w:hAnsi="Arial" w:cs="Arial"/>
          <w:iCs/>
          <w:color w:val="000000"/>
          <w:sz w:val="20"/>
          <w:szCs w:val="20"/>
        </w:rPr>
        <w:t xml:space="preserve"> i </w:t>
      </w:r>
      <w:r w:rsidRPr="008D7352">
        <w:rPr>
          <w:rFonts w:ascii="Arial" w:hAnsi="Arial" w:cs="Arial"/>
          <w:iCs/>
          <w:color w:val="000000"/>
          <w:sz w:val="20"/>
          <w:szCs w:val="20"/>
        </w:rPr>
        <w:t>estuariowych środowisk pelagicznych</w:t>
      </w:r>
      <w:r w:rsidR="004C6CC5" w:rsidRPr="008D7352">
        <w:rPr>
          <w:rFonts w:ascii="Arial" w:hAnsi="Arial" w:cs="Arial"/>
          <w:iCs/>
          <w:color w:val="000000"/>
          <w:sz w:val="20"/>
          <w:szCs w:val="20"/>
        </w:rPr>
        <w:t xml:space="preserve"> i </w:t>
      </w:r>
      <w:r w:rsidRPr="008D7352">
        <w:rPr>
          <w:rFonts w:ascii="Arial" w:hAnsi="Arial" w:cs="Arial"/>
          <w:iCs/>
          <w:color w:val="000000"/>
          <w:sz w:val="20"/>
          <w:szCs w:val="20"/>
        </w:rPr>
        <w:t>osadowych: zmienność pod wpływem czynników naturalnych</w:t>
      </w:r>
      <w:r w:rsidR="004C6CC5" w:rsidRPr="008D7352">
        <w:rPr>
          <w:rFonts w:ascii="Arial" w:hAnsi="Arial" w:cs="Arial"/>
          <w:iCs/>
          <w:color w:val="000000"/>
          <w:sz w:val="20"/>
          <w:szCs w:val="20"/>
        </w:rPr>
        <w:t xml:space="preserve"> i </w:t>
      </w:r>
      <w:r w:rsidRPr="008D7352">
        <w:rPr>
          <w:rFonts w:ascii="Arial" w:hAnsi="Arial" w:cs="Arial"/>
          <w:iCs/>
          <w:color w:val="000000"/>
          <w:sz w:val="20"/>
          <w:szCs w:val="20"/>
        </w:rPr>
        <w:t>antropogenicznych</w:t>
      </w:r>
      <w:r w:rsidRPr="008D7352">
        <w:rPr>
          <w:rFonts w:ascii="Arial" w:hAnsi="Arial" w:cs="Arial"/>
          <w:color w:val="000000"/>
          <w:sz w:val="20"/>
          <w:szCs w:val="20"/>
        </w:rPr>
        <w:t xml:space="preserve">” </w:t>
      </w:r>
      <w:r w:rsidRPr="008D7352">
        <w:rPr>
          <w:rFonts w:ascii="Arial" w:hAnsi="Arial" w:cs="Arial"/>
          <w:bCs/>
          <w:color w:val="000000"/>
          <w:sz w:val="20"/>
          <w:szCs w:val="20"/>
        </w:rPr>
        <w:t xml:space="preserve">– realizowane przez </w:t>
      </w:r>
      <w:r w:rsidR="002E298D">
        <w:rPr>
          <w:rFonts w:ascii="Arial" w:hAnsi="Arial" w:cs="Arial"/>
          <w:color w:val="000000"/>
          <w:sz w:val="20"/>
          <w:szCs w:val="20"/>
        </w:rPr>
        <w:t>Zespół Oceanografii Biologicznej</w:t>
      </w:r>
      <w:r w:rsidRPr="008D7352">
        <w:rPr>
          <w:rFonts w:ascii="Arial" w:hAnsi="Arial" w:cs="Arial"/>
          <w:bCs/>
          <w:color w:val="000000"/>
          <w:sz w:val="20"/>
          <w:szCs w:val="20"/>
        </w:rPr>
        <w:t xml:space="preserve">. </w:t>
      </w:r>
    </w:p>
    <w:p w14:paraId="4AC5A949" w14:textId="122F6E9A" w:rsidR="007050BA" w:rsidRPr="004C6CC5" w:rsidRDefault="007050BA" w:rsidP="008D2321">
      <w:pPr>
        <w:spacing w:before="120" w:after="120" w:line="276" w:lineRule="auto"/>
        <w:jc w:val="both"/>
        <w:rPr>
          <w:rFonts w:ascii="Arial" w:hAnsi="Arial" w:cs="Arial"/>
          <w:sz w:val="20"/>
          <w:szCs w:val="20"/>
        </w:rPr>
      </w:pPr>
      <w:r w:rsidRPr="004C6CC5">
        <w:rPr>
          <w:rFonts w:ascii="Arial" w:hAnsi="Arial" w:cs="Arial"/>
          <w:sz w:val="20"/>
          <w:szCs w:val="20"/>
        </w:rPr>
        <w:lastRenderedPageBreak/>
        <w:t>W 2019</w:t>
      </w:r>
      <w:r w:rsidR="009D01B9" w:rsidRPr="004C6CC5">
        <w:rPr>
          <w:rFonts w:ascii="Arial" w:hAnsi="Arial" w:cs="Arial"/>
          <w:sz w:val="20"/>
          <w:szCs w:val="20"/>
        </w:rPr>
        <w:t xml:space="preserve"> r. </w:t>
      </w:r>
      <w:r w:rsidRPr="004C6CC5">
        <w:rPr>
          <w:rFonts w:ascii="Arial" w:hAnsi="Arial" w:cs="Arial"/>
          <w:sz w:val="20"/>
          <w:szCs w:val="20"/>
        </w:rPr>
        <w:t>na Uniwersytecie Szczecińskim realizowane były również inne działania związane</w:t>
      </w:r>
      <w:r w:rsidR="004C6CC5">
        <w:rPr>
          <w:rFonts w:ascii="Arial" w:hAnsi="Arial" w:cs="Arial"/>
          <w:sz w:val="20"/>
          <w:szCs w:val="20"/>
        </w:rPr>
        <w:t xml:space="preserve"> z </w:t>
      </w:r>
      <w:r w:rsidRPr="004C6CC5">
        <w:rPr>
          <w:rFonts w:ascii="Arial" w:hAnsi="Arial" w:cs="Arial"/>
          <w:sz w:val="20"/>
          <w:szCs w:val="20"/>
        </w:rPr>
        <w:t>polityką morską,</w:t>
      </w:r>
      <w:r w:rsidR="004C6CC5">
        <w:rPr>
          <w:rFonts w:ascii="Arial" w:hAnsi="Arial" w:cs="Arial"/>
          <w:sz w:val="20"/>
          <w:szCs w:val="20"/>
        </w:rPr>
        <w:t xml:space="preserve"> w </w:t>
      </w:r>
      <w:r w:rsidRPr="004C6CC5">
        <w:rPr>
          <w:rFonts w:ascii="Arial" w:hAnsi="Arial" w:cs="Arial"/>
          <w:sz w:val="20"/>
          <w:szCs w:val="20"/>
        </w:rPr>
        <w:t>tym m.in.:</w:t>
      </w:r>
    </w:p>
    <w:p w14:paraId="1BFC40E5" w14:textId="07B3BDA5" w:rsidR="007050BA" w:rsidRPr="004C6CC5" w:rsidRDefault="007050BA" w:rsidP="008D2321">
      <w:pPr>
        <w:spacing w:after="120" w:line="276" w:lineRule="auto"/>
        <w:jc w:val="both"/>
        <w:rPr>
          <w:rFonts w:ascii="Arial" w:hAnsi="Arial" w:cs="Arial"/>
          <w:sz w:val="20"/>
          <w:szCs w:val="20"/>
        </w:rPr>
      </w:pPr>
      <w:r w:rsidRPr="004C6CC5">
        <w:rPr>
          <w:rFonts w:ascii="Arial" w:eastAsia="Times New Roman" w:hAnsi="Arial" w:cs="Arial"/>
          <w:sz w:val="20"/>
          <w:szCs w:val="20"/>
        </w:rPr>
        <w:t>- udział pracowników Instytutu Ekonometrii</w:t>
      </w:r>
      <w:r w:rsidR="00B93504">
        <w:rPr>
          <w:rFonts w:ascii="Arial" w:eastAsia="Times New Roman" w:hAnsi="Arial" w:cs="Arial"/>
          <w:sz w:val="20"/>
          <w:szCs w:val="20"/>
        </w:rPr>
        <w:t xml:space="preserve"> i </w:t>
      </w:r>
      <w:r w:rsidRPr="004C6CC5">
        <w:rPr>
          <w:rFonts w:ascii="Arial" w:eastAsia="Times New Roman" w:hAnsi="Arial" w:cs="Arial"/>
          <w:sz w:val="20"/>
          <w:szCs w:val="20"/>
        </w:rPr>
        <w:t>Statystyki</w:t>
      </w:r>
      <w:r w:rsidR="004C6CC5">
        <w:rPr>
          <w:rFonts w:ascii="Arial" w:eastAsia="Times New Roman" w:hAnsi="Arial" w:cs="Arial"/>
          <w:sz w:val="20"/>
          <w:szCs w:val="20"/>
        </w:rPr>
        <w:t xml:space="preserve"> w </w:t>
      </w:r>
      <w:r w:rsidRPr="004C6CC5">
        <w:rPr>
          <w:rFonts w:ascii="Arial" w:hAnsi="Arial" w:cs="Arial"/>
          <w:sz w:val="20"/>
          <w:szCs w:val="20"/>
        </w:rPr>
        <w:t>realizacji  badania „Prognozowanie, programowanie</w:t>
      </w:r>
      <w:r w:rsidR="004C6CC5">
        <w:rPr>
          <w:rFonts w:ascii="Arial" w:hAnsi="Arial" w:cs="Arial"/>
          <w:sz w:val="20"/>
          <w:szCs w:val="20"/>
        </w:rPr>
        <w:t xml:space="preserve"> i </w:t>
      </w:r>
      <w:r w:rsidRPr="004C6CC5">
        <w:rPr>
          <w:rFonts w:ascii="Arial" w:hAnsi="Arial" w:cs="Arial"/>
          <w:sz w:val="20"/>
          <w:szCs w:val="20"/>
        </w:rPr>
        <w:t>planowanie rozwoju portu”,</w:t>
      </w:r>
      <w:r w:rsidR="004C6CC5">
        <w:rPr>
          <w:rFonts w:ascii="Arial" w:hAnsi="Arial" w:cs="Arial"/>
          <w:sz w:val="20"/>
          <w:szCs w:val="20"/>
        </w:rPr>
        <w:t xml:space="preserve"> w </w:t>
      </w:r>
      <w:r w:rsidR="0029753C">
        <w:rPr>
          <w:rFonts w:ascii="Arial" w:hAnsi="Arial" w:cs="Arial"/>
          <w:sz w:val="20"/>
          <w:szCs w:val="20"/>
        </w:rPr>
        <w:t>ramach realizacji zakresu nr</w:t>
      </w:r>
      <w:r w:rsidRPr="004C6CC5">
        <w:rPr>
          <w:rFonts w:ascii="Arial" w:hAnsi="Arial" w:cs="Arial"/>
          <w:sz w:val="20"/>
          <w:szCs w:val="20"/>
        </w:rPr>
        <w:t xml:space="preserve"> 2 przedmiotu działalności przedsiębiorstwa podmiotu zarządzającego </w:t>
      </w:r>
      <w:r w:rsidR="00C63D67">
        <w:rPr>
          <w:rFonts w:ascii="Arial" w:hAnsi="Arial" w:cs="Arial"/>
          <w:sz w:val="20"/>
          <w:szCs w:val="20"/>
        </w:rPr>
        <w:t>-</w:t>
      </w:r>
      <w:r w:rsidRPr="004C6CC5">
        <w:rPr>
          <w:rFonts w:ascii="Arial" w:hAnsi="Arial" w:cs="Arial"/>
          <w:sz w:val="20"/>
          <w:szCs w:val="20"/>
        </w:rPr>
        <w:t xml:space="preserve"> Zarządu Morskich Portów Szczeci-Świnoujście. Oprócz praktycznych zadań związanych</w:t>
      </w:r>
      <w:r w:rsidR="0029753C">
        <w:rPr>
          <w:rFonts w:ascii="Arial" w:hAnsi="Arial" w:cs="Arial"/>
          <w:sz w:val="20"/>
          <w:szCs w:val="20"/>
        </w:rPr>
        <w:t xml:space="preserve"> z </w:t>
      </w:r>
      <w:r w:rsidRPr="004C6CC5">
        <w:rPr>
          <w:rFonts w:ascii="Arial" w:hAnsi="Arial" w:cs="Arial"/>
          <w:sz w:val="20"/>
          <w:szCs w:val="20"/>
        </w:rPr>
        <w:t>prognozowaniem wielkości przeładunków portowych, zaproponowano unikatową metodologię diagnozowania</w:t>
      </w:r>
      <w:r w:rsidR="004C6CC5">
        <w:rPr>
          <w:rFonts w:ascii="Arial" w:hAnsi="Arial" w:cs="Arial"/>
          <w:sz w:val="20"/>
          <w:szCs w:val="20"/>
        </w:rPr>
        <w:t xml:space="preserve"> i </w:t>
      </w:r>
      <w:r w:rsidRPr="004C6CC5">
        <w:rPr>
          <w:rFonts w:ascii="Arial" w:hAnsi="Arial" w:cs="Arial"/>
          <w:sz w:val="20"/>
          <w:szCs w:val="20"/>
        </w:rPr>
        <w:t>prognozowania działalności portowej;</w:t>
      </w:r>
    </w:p>
    <w:p w14:paraId="37524FD5" w14:textId="3F7FABB2" w:rsidR="007050BA" w:rsidRPr="004C6CC5" w:rsidRDefault="007050BA" w:rsidP="008D2321">
      <w:pPr>
        <w:spacing w:after="120" w:line="276" w:lineRule="auto"/>
        <w:jc w:val="both"/>
        <w:rPr>
          <w:rFonts w:ascii="Arial" w:eastAsia="Times New Roman" w:hAnsi="Arial" w:cs="Arial"/>
          <w:sz w:val="20"/>
          <w:szCs w:val="20"/>
          <w:shd w:val="clear" w:color="auto" w:fill="FFFFFF"/>
          <w:lang w:eastAsia="pl-PL"/>
        </w:rPr>
      </w:pPr>
      <w:r w:rsidRPr="004C6CC5">
        <w:rPr>
          <w:rFonts w:ascii="Arial" w:hAnsi="Arial" w:cs="Arial"/>
          <w:sz w:val="20"/>
          <w:szCs w:val="20"/>
        </w:rPr>
        <w:t xml:space="preserve">- </w:t>
      </w:r>
      <w:r w:rsidRPr="004C6CC5">
        <w:rPr>
          <w:rFonts w:ascii="Arial" w:eastAsia="Times New Roman" w:hAnsi="Arial" w:cs="Arial"/>
          <w:sz w:val="20"/>
          <w:szCs w:val="20"/>
          <w:lang w:eastAsia="pl-PL"/>
        </w:rPr>
        <w:t>napisanie</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 xml:space="preserve">złożenie projektu NCN przez pracownika </w:t>
      </w:r>
      <w:r w:rsidRPr="004C6CC5">
        <w:rPr>
          <w:rFonts w:ascii="Arial" w:hAnsi="Arial" w:cs="Arial"/>
          <w:sz w:val="20"/>
          <w:szCs w:val="20"/>
          <w:shd w:val="clear" w:color="auto" w:fill="FFFFFF"/>
        </w:rPr>
        <w:t>Instytutu Gospodarki Przestrzennej</w:t>
      </w:r>
      <w:r w:rsidR="004C6CC5">
        <w:rPr>
          <w:rFonts w:ascii="Arial" w:hAnsi="Arial" w:cs="Arial"/>
          <w:sz w:val="20"/>
          <w:szCs w:val="20"/>
          <w:shd w:val="clear" w:color="auto" w:fill="FFFFFF"/>
        </w:rPr>
        <w:t xml:space="preserve"> i </w:t>
      </w:r>
      <w:r w:rsidRPr="004C6CC5">
        <w:rPr>
          <w:rFonts w:ascii="Arial" w:hAnsi="Arial" w:cs="Arial"/>
          <w:sz w:val="20"/>
          <w:szCs w:val="20"/>
          <w:shd w:val="clear" w:color="auto" w:fill="FFFFFF"/>
        </w:rPr>
        <w:t>Geografii Społeczno-Ekonomicznej</w:t>
      </w:r>
      <w:r w:rsidR="004C6CC5">
        <w:rPr>
          <w:rFonts w:ascii="Arial" w:hAnsi="Arial" w:cs="Arial"/>
          <w:sz w:val="20"/>
          <w:szCs w:val="20"/>
          <w:shd w:val="clear" w:color="auto" w:fill="FFFFFF"/>
        </w:rPr>
        <w:t xml:space="preserve"> w </w:t>
      </w:r>
      <w:r w:rsidRPr="004C6CC5">
        <w:rPr>
          <w:rFonts w:ascii="Arial" w:eastAsia="Times New Roman" w:hAnsi="Arial" w:cs="Arial"/>
          <w:sz w:val="20"/>
          <w:szCs w:val="20"/>
          <w:lang w:eastAsia="pl-PL"/>
        </w:rPr>
        <w:t xml:space="preserve">ramach konkursu </w:t>
      </w:r>
      <w:r w:rsidRPr="00B90B27">
        <w:rPr>
          <w:rFonts w:ascii="Arial" w:eastAsia="Times New Roman" w:hAnsi="Arial" w:cs="Arial"/>
          <w:sz w:val="20"/>
          <w:szCs w:val="20"/>
          <w:lang w:eastAsia="pl-PL"/>
        </w:rPr>
        <w:t>Miniatura 3</w:t>
      </w:r>
      <w:r w:rsidR="00B90B27">
        <w:rPr>
          <w:rFonts w:ascii="Arial" w:eastAsia="Times New Roman" w:hAnsi="Arial" w:cs="Arial"/>
          <w:sz w:val="20"/>
          <w:szCs w:val="20"/>
          <w:lang w:eastAsia="pl-PL"/>
        </w:rPr>
        <w:t xml:space="preserve"> „</w:t>
      </w:r>
      <w:r w:rsidRPr="004C6CC5">
        <w:rPr>
          <w:rFonts w:ascii="Arial" w:eastAsia="Times New Roman" w:hAnsi="Arial" w:cs="Arial"/>
          <w:sz w:val="20"/>
          <w:szCs w:val="20"/>
          <w:lang w:eastAsia="pl-PL"/>
        </w:rPr>
        <w:t>P</w:t>
      </w:r>
      <w:r w:rsidRPr="004C6CC5">
        <w:rPr>
          <w:rFonts w:ascii="Arial" w:eastAsia="Times New Roman" w:hAnsi="Arial" w:cs="Arial"/>
          <w:sz w:val="20"/>
          <w:szCs w:val="20"/>
          <w:shd w:val="clear" w:color="auto" w:fill="FFFFFF"/>
          <w:lang w:eastAsia="pl-PL"/>
        </w:rPr>
        <w:t>olskie porty morskie</w:t>
      </w:r>
      <w:r w:rsidR="004C6CC5">
        <w:rPr>
          <w:rFonts w:ascii="Arial" w:eastAsia="Times New Roman" w:hAnsi="Arial" w:cs="Arial"/>
          <w:sz w:val="20"/>
          <w:szCs w:val="20"/>
          <w:shd w:val="clear" w:color="auto" w:fill="FFFFFF"/>
          <w:lang w:eastAsia="pl-PL"/>
        </w:rPr>
        <w:t xml:space="preserve"> w </w:t>
      </w:r>
      <w:r w:rsidR="00B90B27">
        <w:rPr>
          <w:rFonts w:ascii="Arial" w:eastAsia="Times New Roman" w:hAnsi="Arial" w:cs="Arial"/>
          <w:sz w:val="20"/>
          <w:szCs w:val="20"/>
          <w:shd w:val="clear" w:color="auto" w:fill="FFFFFF"/>
          <w:lang w:eastAsia="pl-PL"/>
        </w:rPr>
        <w:t>obsłudze obrotów ładunkowych”</w:t>
      </w:r>
      <w:r w:rsidRPr="004C6CC5">
        <w:rPr>
          <w:rFonts w:ascii="Arial" w:eastAsia="Times New Roman" w:hAnsi="Arial" w:cs="Arial"/>
          <w:sz w:val="20"/>
          <w:szCs w:val="20"/>
          <w:shd w:val="clear" w:color="auto" w:fill="FFFFFF"/>
          <w:lang w:eastAsia="pl-PL"/>
        </w:rPr>
        <w:t>, któremu przyznano finansowanie</w:t>
      </w:r>
      <w:r w:rsidR="004C6CC5">
        <w:rPr>
          <w:rFonts w:ascii="Arial" w:eastAsia="Times New Roman" w:hAnsi="Arial" w:cs="Arial"/>
          <w:sz w:val="20"/>
          <w:szCs w:val="20"/>
          <w:shd w:val="clear" w:color="auto" w:fill="FFFFFF"/>
          <w:lang w:eastAsia="pl-PL"/>
        </w:rPr>
        <w:t xml:space="preserve"> w </w:t>
      </w:r>
      <w:r w:rsidRPr="004C6CC5">
        <w:rPr>
          <w:rFonts w:ascii="Arial" w:eastAsia="Times New Roman" w:hAnsi="Arial" w:cs="Arial"/>
          <w:sz w:val="20"/>
          <w:szCs w:val="20"/>
          <w:shd w:val="clear" w:color="auto" w:fill="FFFFFF"/>
          <w:lang w:eastAsia="pl-PL"/>
        </w:rPr>
        <w:t>kwocie 11 000 zł (realizacja projektu przypada na 2020 r.);</w:t>
      </w:r>
    </w:p>
    <w:p w14:paraId="6BCD7285" w14:textId="7CE270EE" w:rsidR="007050BA" w:rsidRPr="004C6CC5" w:rsidRDefault="007050BA" w:rsidP="008D2321">
      <w:pPr>
        <w:spacing w:after="120" w:line="276" w:lineRule="auto"/>
        <w:jc w:val="both"/>
        <w:rPr>
          <w:rFonts w:ascii="Arial" w:eastAsia="Times New Roman" w:hAnsi="Arial" w:cs="Arial"/>
          <w:sz w:val="20"/>
          <w:szCs w:val="20"/>
          <w:shd w:val="clear" w:color="auto" w:fill="FFFFFF"/>
          <w:lang w:eastAsia="pl-PL"/>
        </w:rPr>
      </w:pPr>
      <w:r w:rsidRPr="004C6CC5">
        <w:rPr>
          <w:rFonts w:ascii="Arial" w:eastAsia="Times New Roman" w:hAnsi="Arial" w:cs="Arial"/>
          <w:sz w:val="20"/>
          <w:szCs w:val="20"/>
          <w:shd w:val="clear" w:color="auto" w:fill="FFFFFF"/>
          <w:lang w:eastAsia="pl-PL"/>
        </w:rPr>
        <w:t>- napisanie</w:t>
      </w:r>
      <w:r w:rsidR="00F27D1B">
        <w:rPr>
          <w:rFonts w:ascii="Arial" w:eastAsia="Times New Roman" w:hAnsi="Arial" w:cs="Arial"/>
          <w:sz w:val="20"/>
          <w:szCs w:val="20"/>
          <w:shd w:val="clear" w:color="auto" w:fill="FFFFFF"/>
          <w:lang w:eastAsia="pl-PL"/>
        </w:rPr>
        <w:t xml:space="preserve"> i złożenie projektu „</w:t>
      </w:r>
      <w:r w:rsidRPr="004C6CC5">
        <w:rPr>
          <w:rFonts w:ascii="Arial" w:eastAsia="Times New Roman" w:hAnsi="Arial" w:cs="Arial"/>
          <w:sz w:val="20"/>
          <w:szCs w:val="20"/>
          <w:shd w:val="clear" w:color="auto" w:fill="FFFFFF"/>
          <w:lang w:eastAsia="pl-PL"/>
        </w:rPr>
        <w:t>Identyfikacja przestrzennych, ekonomicznych</w:t>
      </w:r>
      <w:r w:rsidR="00795D86">
        <w:rPr>
          <w:rFonts w:ascii="Arial" w:eastAsia="Times New Roman" w:hAnsi="Arial" w:cs="Arial"/>
          <w:sz w:val="20"/>
          <w:szCs w:val="20"/>
          <w:shd w:val="clear" w:color="auto" w:fill="FFFFFF"/>
          <w:lang w:eastAsia="pl-PL"/>
        </w:rPr>
        <w:t xml:space="preserve"> i </w:t>
      </w:r>
      <w:r w:rsidRPr="004C6CC5">
        <w:rPr>
          <w:rFonts w:ascii="Arial" w:eastAsia="Times New Roman" w:hAnsi="Arial" w:cs="Arial"/>
          <w:sz w:val="20"/>
          <w:szCs w:val="20"/>
          <w:shd w:val="clear" w:color="auto" w:fill="FFFFFF"/>
          <w:lang w:eastAsia="pl-PL"/>
        </w:rPr>
        <w:t>gałęziowych uwarunkowań rozwoju usług transportowych</w:t>
      </w:r>
      <w:r w:rsidR="00F27D1B">
        <w:rPr>
          <w:rFonts w:ascii="Arial" w:eastAsia="Times New Roman" w:hAnsi="Arial" w:cs="Arial"/>
          <w:sz w:val="20"/>
          <w:szCs w:val="20"/>
          <w:shd w:val="clear" w:color="auto" w:fill="FFFFFF"/>
          <w:lang w:eastAsia="pl-PL"/>
        </w:rPr>
        <w:t xml:space="preserve"> w </w:t>
      </w:r>
      <w:r w:rsidRPr="004C6CC5">
        <w:rPr>
          <w:rFonts w:ascii="Arial" w:eastAsia="Times New Roman" w:hAnsi="Arial" w:cs="Arial"/>
          <w:sz w:val="20"/>
          <w:szCs w:val="20"/>
          <w:shd w:val="clear" w:color="auto" w:fill="FFFFFF"/>
          <w:lang w:eastAsia="pl-PL"/>
        </w:rPr>
        <w:t>Po</w:t>
      </w:r>
      <w:r w:rsidR="00F27D1B">
        <w:rPr>
          <w:rFonts w:ascii="Arial" w:eastAsia="Times New Roman" w:hAnsi="Arial" w:cs="Arial"/>
          <w:sz w:val="20"/>
          <w:szCs w:val="20"/>
          <w:shd w:val="clear" w:color="auto" w:fill="FFFFFF"/>
          <w:lang w:eastAsia="pl-PL"/>
        </w:rPr>
        <w:t>lsce”</w:t>
      </w:r>
      <w:r w:rsidRPr="004C6CC5">
        <w:rPr>
          <w:rFonts w:ascii="Arial" w:eastAsia="Times New Roman" w:hAnsi="Arial" w:cs="Arial"/>
          <w:sz w:val="20"/>
          <w:szCs w:val="20"/>
          <w:shd w:val="clear" w:color="auto" w:fill="FFFFFF"/>
          <w:lang w:eastAsia="pl-PL"/>
        </w:rPr>
        <w:t> </w:t>
      </w:r>
      <w:r w:rsidRPr="004C6CC5">
        <w:rPr>
          <w:rFonts w:ascii="Arial" w:eastAsia="Times New Roman" w:hAnsi="Arial" w:cs="Arial"/>
          <w:sz w:val="20"/>
          <w:szCs w:val="20"/>
          <w:lang w:eastAsia="pl-PL"/>
        </w:rPr>
        <w:t xml:space="preserve">przez pracownika </w:t>
      </w:r>
      <w:r w:rsidRPr="004C6CC5">
        <w:rPr>
          <w:rFonts w:ascii="Arial" w:hAnsi="Arial" w:cs="Arial"/>
          <w:sz w:val="20"/>
          <w:szCs w:val="20"/>
          <w:shd w:val="clear" w:color="auto" w:fill="FFFFFF"/>
        </w:rPr>
        <w:t>Instytutu Gospodarki Przestrzennej</w:t>
      </w:r>
      <w:r w:rsidR="004C6CC5">
        <w:rPr>
          <w:rFonts w:ascii="Arial" w:hAnsi="Arial" w:cs="Arial"/>
          <w:sz w:val="20"/>
          <w:szCs w:val="20"/>
          <w:shd w:val="clear" w:color="auto" w:fill="FFFFFF"/>
        </w:rPr>
        <w:t xml:space="preserve"> i </w:t>
      </w:r>
      <w:r w:rsidRPr="004C6CC5">
        <w:rPr>
          <w:rFonts w:ascii="Arial" w:hAnsi="Arial" w:cs="Arial"/>
          <w:sz w:val="20"/>
          <w:szCs w:val="20"/>
          <w:shd w:val="clear" w:color="auto" w:fill="FFFFFF"/>
        </w:rPr>
        <w:t>Geografii Społeczno-Ekonomicznej</w:t>
      </w:r>
      <w:r w:rsidR="004C6CC5">
        <w:rPr>
          <w:rFonts w:ascii="Arial" w:eastAsia="Times New Roman" w:hAnsi="Arial" w:cs="Arial"/>
          <w:sz w:val="20"/>
          <w:szCs w:val="20"/>
          <w:shd w:val="clear" w:color="auto" w:fill="FFFFFF"/>
          <w:lang w:eastAsia="pl-PL"/>
        </w:rPr>
        <w:t xml:space="preserve"> w </w:t>
      </w:r>
      <w:r w:rsidRPr="004C6CC5">
        <w:rPr>
          <w:rFonts w:ascii="Arial" w:eastAsia="Times New Roman" w:hAnsi="Arial" w:cs="Arial"/>
          <w:sz w:val="20"/>
          <w:szCs w:val="20"/>
          <w:shd w:val="clear" w:color="auto" w:fill="FFFFFF"/>
          <w:lang w:eastAsia="pl-PL"/>
        </w:rPr>
        <w:t>ramach projektu „Doskonalenie jakości badań naukowych</w:t>
      </w:r>
      <w:r w:rsidR="004C6CC5">
        <w:rPr>
          <w:rFonts w:ascii="Arial" w:eastAsia="Times New Roman" w:hAnsi="Arial" w:cs="Arial"/>
          <w:sz w:val="20"/>
          <w:szCs w:val="20"/>
          <w:shd w:val="clear" w:color="auto" w:fill="FFFFFF"/>
          <w:lang w:eastAsia="pl-PL"/>
        </w:rPr>
        <w:t xml:space="preserve"> w </w:t>
      </w:r>
      <w:r w:rsidRPr="004C6CC5">
        <w:rPr>
          <w:rFonts w:ascii="Arial" w:eastAsia="Times New Roman" w:hAnsi="Arial" w:cs="Arial"/>
          <w:sz w:val="20"/>
          <w:szCs w:val="20"/>
          <w:shd w:val="clear" w:color="auto" w:fill="FFFFFF"/>
          <w:lang w:eastAsia="pl-PL"/>
        </w:rPr>
        <w:t>naukach ekonomicznych ze szczególnym uwzględnieniem sektora usług”  realizowanego</w:t>
      </w:r>
      <w:r w:rsidR="004C6CC5">
        <w:rPr>
          <w:rFonts w:ascii="Arial" w:eastAsia="Times New Roman" w:hAnsi="Arial" w:cs="Arial"/>
          <w:sz w:val="20"/>
          <w:szCs w:val="20"/>
          <w:shd w:val="clear" w:color="auto" w:fill="FFFFFF"/>
          <w:lang w:eastAsia="pl-PL"/>
        </w:rPr>
        <w:t xml:space="preserve"> w </w:t>
      </w:r>
      <w:r w:rsidRPr="004C6CC5">
        <w:rPr>
          <w:rFonts w:ascii="Arial" w:eastAsia="Times New Roman" w:hAnsi="Arial" w:cs="Arial"/>
          <w:sz w:val="20"/>
          <w:szCs w:val="20"/>
          <w:shd w:val="clear" w:color="auto" w:fill="FFFFFF"/>
          <w:lang w:eastAsia="pl-PL"/>
        </w:rPr>
        <w:t>ramach programu „Regio</w:t>
      </w:r>
      <w:r w:rsidR="00F27D1B">
        <w:rPr>
          <w:rFonts w:ascii="Arial" w:eastAsia="Times New Roman" w:hAnsi="Arial" w:cs="Arial"/>
          <w:sz w:val="20"/>
          <w:szCs w:val="20"/>
          <w:shd w:val="clear" w:color="auto" w:fill="FFFFFF"/>
          <w:lang w:eastAsia="pl-PL"/>
        </w:rPr>
        <w:t>nalna Inicjatywa Doskonałości”. Po akceptacji projektu r</w:t>
      </w:r>
      <w:r w:rsidRPr="004C6CC5">
        <w:rPr>
          <w:rFonts w:ascii="Arial" w:eastAsia="Times New Roman" w:hAnsi="Arial" w:cs="Arial"/>
          <w:sz w:val="20"/>
          <w:szCs w:val="20"/>
          <w:shd w:val="clear" w:color="auto" w:fill="FFFFFF"/>
          <w:lang w:eastAsia="pl-PL"/>
        </w:rPr>
        <w:t xml:space="preserve">ozpoczęcie </w:t>
      </w:r>
      <w:r w:rsidR="00F27D1B">
        <w:rPr>
          <w:rFonts w:ascii="Arial" w:eastAsia="Times New Roman" w:hAnsi="Arial" w:cs="Arial"/>
          <w:sz w:val="20"/>
          <w:szCs w:val="20"/>
          <w:shd w:val="clear" w:color="auto" w:fill="FFFFFF"/>
          <w:lang w:eastAsia="pl-PL"/>
        </w:rPr>
        <w:t xml:space="preserve">jego </w:t>
      </w:r>
      <w:r w:rsidRPr="004C6CC5">
        <w:rPr>
          <w:rFonts w:ascii="Arial" w:eastAsia="Times New Roman" w:hAnsi="Arial" w:cs="Arial"/>
          <w:sz w:val="20"/>
          <w:szCs w:val="20"/>
          <w:shd w:val="clear" w:color="auto" w:fill="FFFFFF"/>
          <w:lang w:eastAsia="pl-PL"/>
        </w:rPr>
        <w:t>realizacji nastąpiło</w:t>
      </w:r>
      <w:r w:rsidR="004C6CC5">
        <w:rPr>
          <w:rFonts w:ascii="Arial" w:eastAsia="Times New Roman" w:hAnsi="Arial" w:cs="Arial"/>
          <w:sz w:val="20"/>
          <w:szCs w:val="20"/>
          <w:shd w:val="clear" w:color="auto" w:fill="FFFFFF"/>
          <w:lang w:eastAsia="pl-PL"/>
        </w:rPr>
        <w:t xml:space="preserve"> w </w:t>
      </w:r>
      <w:r w:rsidRPr="004C6CC5">
        <w:rPr>
          <w:rFonts w:ascii="Arial" w:eastAsia="Times New Roman" w:hAnsi="Arial" w:cs="Arial"/>
          <w:sz w:val="20"/>
          <w:szCs w:val="20"/>
          <w:shd w:val="clear" w:color="auto" w:fill="FFFFFF"/>
          <w:lang w:eastAsia="pl-PL"/>
        </w:rPr>
        <w:t>2019</w:t>
      </w:r>
      <w:r w:rsidR="00065836" w:rsidRPr="004C6CC5">
        <w:rPr>
          <w:rFonts w:ascii="Arial" w:eastAsia="Times New Roman" w:hAnsi="Arial" w:cs="Arial"/>
          <w:sz w:val="20"/>
          <w:szCs w:val="20"/>
          <w:shd w:val="clear" w:color="auto" w:fill="FFFFFF"/>
          <w:lang w:eastAsia="pl-PL"/>
        </w:rPr>
        <w:t xml:space="preserve"> r.</w:t>
      </w:r>
      <w:r w:rsidR="00F27D1B">
        <w:rPr>
          <w:rFonts w:ascii="Arial" w:eastAsia="Times New Roman" w:hAnsi="Arial" w:cs="Arial"/>
          <w:sz w:val="20"/>
          <w:szCs w:val="20"/>
          <w:shd w:val="clear" w:color="auto" w:fill="FFFFFF"/>
          <w:lang w:eastAsia="pl-PL"/>
        </w:rPr>
        <w:t>, a jego</w:t>
      </w:r>
      <w:r w:rsidR="004C6CC5">
        <w:rPr>
          <w:rFonts w:ascii="Arial" w:eastAsia="Times New Roman" w:hAnsi="Arial" w:cs="Arial"/>
          <w:sz w:val="20"/>
          <w:szCs w:val="20"/>
          <w:shd w:val="clear" w:color="auto" w:fill="FFFFFF"/>
          <w:lang w:eastAsia="pl-PL"/>
        </w:rPr>
        <w:t> </w:t>
      </w:r>
      <w:r w:rsidRPr="004C6CC5">
        <w:rPr>
          <w:rFonts w:ascii="Arial" w:eastAsia="Times New Roman" w:hAnsi="Arial" w:cs="Arial"/>
          <w:sz w:val="20"/>
          <w:szCs w:val="20"/>
          <w:shd w:val="clear" w:color="auto" w:fill="FFFFFF"/>
          <w:lang w:eastAsia="pl-PL"/>
        </w:rPr>
        <w:t>kontynuacja jest planowana</w:t>
      </w:r>
      <w:r w:rsidR="004C6CC5">
        <w:rPr>
          <w:rFonts w:ascii="Arial" w:eastAsia="Times New Roman" w:hAnsi="Arial" w:cs="Arial"/>
          <w:sz w:val="20"/>
          <w:szCs w:val="20"/>
          <w:shd w:val="clear" w:color="auto" w:fill="FFFFFF"/>
          <w:lang w:eastAsia="pl-PL"/>
        </w:rPr>
        <w:t xml:space="preserve"> w </w:t>
      </w:r>
      <w:r w:rsidR="00F27D1B">
        <w:rPr>
          <w:rFonts w:ascii="Arial" w:eastAsia="Times New Roman" w:hAnsi="Arial" w:cs="Arial"/>
          <w:sz w:val="20"/>
          <w:szCs w:val="20"/>
          <w:shd w:val="clear" w:color="auto" w:fill="FFFFFF"/>
          <w:lang w:eastAsia="pl-PL"/>
        </w:rPr>
        <w:t>latach kolejnych. W</w:t>
      </w:r>
      <w:r w:rsidR="004C6CC5">
        <w:rPr>
          <w:rFonts w:ascii="Arial" w:eastAsia="Times New Roman" w:hAnsi="Arial" w:cs="Arial"/>
          <w:sz w:val="20"/>
          <w:szCs w:val="20"/>
          <w:shd w:val="clear" w:color="auto" w:fill="FFFFFF"/>
          <w:lang w:eastAsia="pl-PL"/>
        </w:rPr>
        <w:t> </w:t>
      </w:r>
      <w:r w:rsidRPr="004C6CC5">
        <w:rPr>
          <w:rFonts w:ascii="Arial" w:eastAsia="Times New Roman" w:hAnsi="Arial" w:cs="Arial"/>
          <w:sz w:val="20"/>
          <w:szCs w:val="20"/>
          <w:shd w:val="clear" w:color="auto" w:fill="FFFFFF"/>
          <w:lang w:eastAsia="pl-PL"/>
        </w:rPr>
        <w:t>ramach projektu zakupiono najbardz</w:t>
      </w:r>
      <w:r w:rsidR="00F27D1B">
        <w:rPr>
          <w:rFonts w:ascii="Arial" w:eastAsia="Times New Roman" w:hAnsi="Arial" w:cs="Arial"/>
          <w:sz w:val="20"/>
          <w:szCs w:val="20"/>
          <w:shd w:val="clear" w:color="auto" w:fill="FFFFFF"/>
          <w:lang w:eastAsia="pl-PL"/>
        </w:rPr>
        <w:t>iej kompleksową bazę danych dotyczącą</w:t>
      </w:r>
      <w:r w:rsidRPr="004C6CC5">
        <w:rPr>
          <w:rFonts w:ascii="Arial" w:eastAsia="Times New Roman" w:hAnsi="Arial" w:cs="Arial"/>
          <w:sz w:val="20"/>
          <w:szCs w:val="20"/>
          <w:shd w:val="clear" w:color="auto" w:fill="FFFFFF"/>
          <w:lang w:eastAsia="pl-PL"/>
        </w:rPr>
        <w:t xml:space="preserve"> przewozów </w:t>
      </w:r>
      <w:r w:rsidR="00F27D1B">
        <w:rPr>
          <w:rFonts w:ascii="Arial" w:eastAsia="Times New Roman" w:hAnsi="Arial" w:cs="Arial"/>
          <w:sz w:val="20"/>
          <w:szCs w:val="20"/>
          <w:shd w:val="clear" w:color="auto" w:fill="FFFFFF"/>
          <w:lang w:eastAsia="pl-PL"/>
        </w:rPr>
        <w:t>w transporcie</w:t>
      </w:r>
      <w:r w:rsidRPr="004C6CC5">
        <w:rPr>
          <w:rFonts w:ascii="Arial" w:eastAsia="Times New Roman" w:hAnsi="Arial" w:cs="Arial"/>
          <w:sz w:val="20"/>
          <w:szCs w:val="20"/>
          <w:shd w:val="clear" w:color="auto" w:fill="FFFFFF"/>
          <w:lang w:eastAsia="pl-PL"/>
        </w:rPr>
        <w:t xml:space="preserve"> morskim, </w:t>
      </w:r>
      <w:r w:rsidR="00F27D1B">
        <w:rPr>
          <w:rFonts w:ascii="Arial" w:eastAsia="Times New Roman" w:hAnsi="Arial" w:cs="Arial"/>
          <w:sz w:val="20"/>
          <w:szCs w:val="20"/>
          <w:shd w:val="clear" w:color="auto" w:fill="FFFFFF"/>
          <w:lang w:eastAsia="pl-PL"/>
        </w:rPr>
        <w:br/>
      </w:r>
      <w:r w:rsidRPr="004C6CC5">
        <w:rPr>
          <w:rFonts w:ascii="Arial" w:eastAsia="Times New Roman" w:hAnsi="Arial" w:cs="Arial"/>
          <w:sz w:val="20"/>
          <w:szCs w:val="20"/>
          <w:shd w:val="clear" w:color="auto" w:fill="FFFFFF"/>
          <w:lang w:eastAsia="pl-PL"/>
        </w:rPr>
        <w:t>tj. SHIPPAX;</w:t>
      </w:r>
    </w:p>
    <w:p w14:paraId="43AF57D8" w14:textId="597ADA13" w:rsidR="007050BA" w:rsidRPr="00803AA3" w:rsidRDefault="007050BA" w:rsidP="008D2321">
      <w:pPr>
        <w:spacing w:after="120" w:line="276" w:lineRule="auto"/>
        <w:jc w:val="both"/>
        <w:rPr>
          <w:rFonts w:ascii="Arial" w:eastAsia="Times New Roman" w:hAnsi="Arial" w:cs="Arial"/>
          <w:sz w:val="20"/>
          <w:szCs w:val="20"/>
          <w:shd w:val="clear" w:color="auto" w:fill="FFFFFF"/>
          <w:lang w:eastAsia="pl-PL"/>
        </w:rPr>
      </w:pPr>
      <w:r w:rsidRPr="004C6CC5">
        <w:rPr>
          <w:rFonts w:ascii="Arial" w:eastAsia="Times New Roman" w:hAnsi="Arial" w:cs="Arial"/>
          <w:sz w:val="20"/>
          <w:szCs w:val="20"/>
          <w:shd w:val="clear" w:color="auto" w:fill="FFFFFF"/>
          <w:lang w:eastAsia="pl-PL"/>
        </w:rPr>
        <w:t>-</w:t>
      </w:r>
      <w:r w:rsidRPr="00803AA3">
        <w:rPr>
          <w:rFonts w:ascii="Arial" w:eastAsia="Times New Roman" w:hAnsi="Arial" w:cs="Arial"/>
          <w:sz w:val="20"/>
          <w:szCs w:val="20"/>
          <w:shd w:val="clear" w:color="auto" w:fill="FFFFFF"/>
          <w:lang w:eastAsia="pl-PL"/>
        </w:rPr>
        <w:t xml:space="preserve"> kontynuacja współpracy</w:t>
      </w:r>
      <w:r w:rsidR="004C6CC5" w:rsidRPr="00803AA3">
        <w:rPr>
          <w:rFonts w:ascii="Arial" w:eastAsia="Times New Roman" w:hAnsi="Arial" w:cs="Arial"/>
          <w:sz w:val="20"/>
          <w:szCs w:val="20"/>
          <w:shd w:val="clear" w:color="auto" w:fill="FFFFFF"/>
          <w:lang w:eastAsia="pl-PL"/>
        </w:rPr>
        <w:t xml:space="preserve"> w </w:t>
      </w:r>
      <w:r w:rsidRPr="00803AA3">
        <w:rPr>
          <w:rFonts w:ascii="Arial" w:eastAsia="Times New Roman" w:hAnsi="Arial" w:cs="Arial"/>
          <w:sz w:val="20"/>
          <w:szCs w:val="20"/>
          <w:shd w:val="clear" w:color="auto" w:fill="FFFFFF"/>
          <w:lang w:eastAsia="pl-PL"/>
        </w:rPr>
        <w:t>ramach  Projektu „TRANS - PORT Praktycy</w:t>
      </w:r>
      <w:r w:rsidR="004C6CC5" w:rsidRPr="00803AA3">
        <w:rPr>
          <w:rFonts w:ascii="Arial" w:eastAsia="Times New Roman" w:hAnsi="Arial" w:cs="Arial"/>
          <w:sz w:val="20"/>
          <w:szCs w:val="20"/>
          <w:shd w:val="clear" w:color="auto" w:fill="FFFFFF"/>
          <w:lang w:eastAsia="pl-PL"/>
        </w:rPr>
        <w:t xml:space="preserve"> w </w:t>
      </w:r>
      <w:r w:rsidRPr="00803AA3">
        <w:rPr>
          <w:rFonts w:ascii="Arial" w:eastAsia="Times New Roman" w:hAnsi="Arial" w:cs="Arial"/>
          <w:sz w:val="20"/>
          <w:szCs w:val="20"/>
          <w:shd w:val="clear" w:color="auto" w:fill="FFFFFF"/>
          <w:lang w:eastAsia="pl-PL"/>
        </w:rPr>
        <w:t xml:space="preserve">nauce </w:t>
      </w:r>
      <w:r w:rsidR="00EC0BD6">
        <w:rPr>
          <w:rFonts w:ascii="Arial" w:eastAsia="Times New Roman" w:hAnsi="Arial" w:cs="Arial"/>
          <w:sz w:val="20"/>
          <w:szCs w:val="20"/>
          <w:shd w:val="clear" w:color="auto" w:fill="FFFFFF"/>
          <w:lang w:eastAsia="pl-PL"/>
        </w:rPr>
        <w:t>-</w:t>
      </w:r>
      <w:r w:rsidRPr="00803AA3">
        <w:rPr>
          <w:rFonts w:ascii="Arial" w:eastAsia="Times New Roman" w:hAnsi="Arial" w:cs="Arial"/>
          <w:sz w:val="20"/>
          <w:szCs w:val="20"/>
          <w:shd w:val="clear" w:color="auto" w:fill="FFFFFF"/>
          <w:lang w:eastAsia="pl-PL"/>
        </w:rPr>
        <w:t xml:space="preserve"> nauka</w:t>
      </w:r>
      <w:r w:rsidR="004C6CC5" w:rsidRPr="00803AA3">
        <w:rPr>
          <w:rFonts w:ascii="Arial" w:eastAsia="Times New Roman" w:hAnsi="Arial" w:cs="Arial"/>
          <w:sz w:val="20"/>
          <w:szCs w:val="20"/>
          <w:shd w:val="clear" w:color="auto" w:fill="FFFFFF"/>
          <w:lang w:eastAsia="pl-PL"/>
        </w:rPr>
        <w:t xml:space="preserve"> w </w:t>
      </w:r>
      <w:r w:rsidRPr="00803AA3">
        <w:rPr>
          <w:rFonts w:ascii="Arial" w:eastAsia="Times New Roman" w:hAnsi="Arial" w:cs="Arial"/>
          <w:sz w:val="20"/>
          <w:szCs w:val="20"/>
          <w:shd w:val="clear" w:color="auto" w:fill="FFFFFF"/>
          <w:lang w:eastAsia="pl-PL"/>
        </w:rPr>
        <w:t>praktyce”</w:t>
      </w:r>
      <w:r w:rsidR="00803AA3" w:rsidRPr="00803AA3">
        <w:rPr>
          <w:rFonts w:ascii="Arial" w:eastAsia="Times New Roman" w:hAnsi="Arial" w:cs="Arial"/>
          <w:sz w:val="20"/>
          <w:szCs w:val="20"/>
          <w:shd w:val="clear" w:color="auto" w:fill="FFFFFF"/>
          <w:lang w:eastAsia="pl-PL"/>
        </w:rPr>
        <w:t xml:space="preserve"> na bazie porozumienia podpisanego w czerwcu 2015 r. Współpraca </w:t>
      </w:r>
      <w:r w:rsidRPr="00803AA3">
        <w:rPr>
          <w:rFonts w:ascii="Arial" w:eastAsia="Times New Roman" w:hAnsi="Arial" w:cs="Arial"/>
          <w:sz w:val="20"/>
          <w:szCs w:val="20"/>
          <w:shd w:val="clear" w:color="auto" w:fill="FFFFFF"/>
          <w:lang w:eastAsia="pl-PL"/>
        </w:rPr>
        <w:t>przedstawicieli przedsiębiorstw portowych ze Szczecina oraz pracowników Uniwersytetu Szczecińskiego związana była m.in. z:</w:t>
      </w:r>
    </w:p>
    <w:p w14:paraId="38C9D94E" w14:textId="510DB6BE" w:rsidR="007050BA" w:rsidRPr="004C6CC5" w:rsidRDefault="007050BA" w:rsidP="003C6ECA">
      <w:pPr>
        <w:pStyle w:val="Akapitzlist"/>
        <w:numPr>
          <w:ilvl w:val="0"/>
          <w:numId w:val="4"/>
        </w:numPr>
        <w:spacing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wizytami studyjnymi</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porcie Szczecin studentów kierunku Logistyka (w czerwcu 2019</w:t>
      </w:r>
      <w:r w:rsidR="009D01B9" w:rsidRPr="004C6CC5">
        <w:rPr>
          <w:rFonts w:ascii="Arial" w:eastAsia="Times New Roman" w:hAnsi="Arial" w:cs="Arial"/>
          <w:sz w:val="20"/>
          <w:szCs w:val="20"/>
          <w:lang w:eastAsia="pl-PL"/>
        </w:rPr>
        <w:t xml:space="preserve"> r. </w:t>
      </w:r>
      <w:r w:rsidRPr="004C6CC5">
        <w:rPr>
          <w:rFonts w:ascii="Arial" w:eastAsia="Times New Roman" w:hAnsi="Arial" w:cs="Arial"/>
          <w:sz w:val="20"/>
          <w:szCs w:val="20"/>
          <w:lang w:eastAsia="pl-PL"/>
        </w:rPr>
        <w:t>wizyty dwóch grup III roku odbyły się</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 xml:space="preserve">rejonie Basenu Kaszubskiego portu Szczecin), </w:t>
      </w:r>
    </w:p>
    <w:p w14:paraId="32A24507" w14:textId="1628724A" w:rsidR="007050BA" w:rsidRPr="004C6CC5" w:rsidRDefault="007050BA" w:rsidP="003C6ECA">
      <w:pPr>
        <w:pStyle w:val="Akapitzlist"/>
        <w:numPr>
          <w:ilvl w:val="0"/>
          <w:numId w:val="4"/>
        </w:numPr>
        <w:spacing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praktykami studenckimi studentów podejmujących</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swoich pracach tematykę portową,</w:t>
      </w:r>
    </w:p>
    <w:p w14:paraId="163EE028" w14:textId="5E1205CF" w:rsidR="007050BA" w:rsidRPr="004C6CC5" w:rsidRDefault="007050BA" w:rsidP="003C6ECA">
      <w:pPr>
        <w:pStyle w:val="Akapitzlist"/>
        <w:numPr>
          <w:ilvl w:val="0"/>
          <w:numId w:val="4"/>
        </w:numPr>
        <w:spacing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udziałem pracowników uczelni</w:t>
      </w:r>
      <w:r w:rsidR="00EC0BD6">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licznych spotkaniach roboczych organizowanych przez przedstawicieli środowiska portowego,</w:t>
      </w:r>
    </w:p>
    <w:p w14:paraId="052A245E" w14:textId="2A1F1B4F" w:rsidR="007050BA" w:rsidRPr="004C6CC5" w:rsidRDefault="007050BA" w:rsidP="003C6ECA">
      <w:pPr>
        <w:pStyle w:val="Akapitzlist"/>
        <w:numPr>
          <w:ilvl w:val="0"/>
          <w:numId w:val="4"/>
        </w:numPr>
        <w:spacing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organizacją przez pracowników uczelni konferencji,</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których aktywny udział brali przedstawiciele praktyki gospodarki morskiej</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państwowej administracji morskiej (konferencja</w:t>
      </w:r>
      <w:r w:rsidR="00EC0BD6">
        <w:rPr>
          <w:rFonts w:ascii="Arial" w:eastAsia="Times New Roman" w:hAnsi="Arial" w:cs="Arial"/>
          <w:sz w:val="20"/>
          <w:szCs w:val="20"/>
          <w:lang w:eastAsia="pl-PL"/>
        </w:rPr>
        <w:t xml:space="preserve"> Intermodal 2019, </w:t>
      </w:r>
      <w:r w:rsidR="006D3ADB">
        <w:rPr>
          <w:rFonts w:ascii="Arial" w:eastAsia="Times New Roman" w:hAnsi="Arial" w:cs="Arial"/>
          <w:sz w:val="20"/>
          <w:szCs w:val="20"/>
          <w:lang w:eastAsia="pl-PL"/>
        </w:rPr>
        <w:br/>
      </w:r>
      <w:r w:rsidR="00EC0BD6">
        <w:rPr>
          <w:rFonts w:ascii="Arial" w:eastAsia="Times New Roman" w:hAnsi="Arial" w:cs="Arial"/>
          <w:sz w:val="20"/>
          <w:szCs w:val="20"/>
          <w:lang w:eastAsia="pl-PL"/>
        </w:rPr>
        <w:t>12-14 czerwca</w:t>
      </w:r>
      <w:r w:rsidRPr="004C6CC5">
        <w:rPr>
          <w:rFonts w:ascii="Arial" w:eastAsia="Times New Roman" w:hAnsi="Arial" w:cs="Arial"/>
          <w:sz w:val="20"/>
          <w:szCs w:val="20"/>
          <w:lang w:eastAsia="pl-PL"/>
        </w:rPr>
        <w:t xml:space="preserve"> 2019</w:t>
      </w:r>
      <w:r w:rsidR="00405E8F">
        <w:rPr>
          <w:rFonts w:ascii="Arial" w:eastAsia="Times New Roman" w:hAnsi="Arial" w:cs="Arial"/>
          <w:sz w:val="20"/>
          <w:szCs w:val="20"/>
          <w:lang w:eastAsia="pl-PL"/>
        </w:rPr>
        <w:t xml:space="preserve"> r.</w:t>
      </w:r>
      <w:r w:rsidRPr="004C6CC5">
        <w:rPr>
          <w:rFonts w:ascii="Arial" w:eastAsia="Times New Roman" w:hAnsi="Arial" w:cs="Arial"/>
          <w:sz w:val="20"/>
          <w:szCs w:val="20"/>
          <w:lang w:eastAsia="pl-PL"/>
        </w:rPr>
        <w:t xml:space="preserve">), </w:t>
      </w:r>
    </w:p>
    <w:p w14:paraId="3CC1E8B7" w14:textId="12DAA082" w:rsidR="00ED494C" w:rsidRPr="00A63CA7" w:rsidRDefault="007050BA" w:rsidP="00A63CA7">
      <w:pPr>
        <w:pStyle w:val="Akapitzlist"/>
        <w:numPr>
          <w:ilvl w:val="0"/>
          <w:numId w:val="4"/>
        </w:numPr>
        <w:spacing w:after="120" w:line="276" w:lineRule="auto"/>
        <w:jc w:val="both"/>
        <w:rPr>
          <w:rFonts w:ascii="Arial" w:eastAsia="Times New Roman" w:hAnsi="Arial" w:cs="Arial"/>
          <w:sz w:val="20"/>
          <w:szCs w:val="20"/>
          <w:lang w:eastAsia="pl-PL"/>
        </w:rPr>
      </w:pPr>
      <w:r w:rsidRPr="00A63CA7">
        <w:rPr>
          <w:rFonts w:ascii="Arial" w:eastAsia="Times New Roman" w:hAnsi="Arial" w:cs="Arial"/>
          <w:sz w:val="20"/>
          <w:szCs w:val="20"/>
          <w:lang w:eastAsia="pl-PL"/>
        </w:rPr>
        <w:t>współpracą pracowników uczelni</w:t>
      </w:r>
      <w:r w:rsidR="004C6CC5" w:rsidRPr="00A63CA7">
        <w:rPr>
          <w:rFonts w:ascii="Arial" w:eastAsia="Times New Roman" w:hAnsi="Arial" w:cs="Arial"/>
          <w:sz w:val="20"/>
          <w:szCs w:val="20"/>
          <w:lang w:eastAsia="pl-PL"/>
        </w:rPr>
        <w:t xml:space="preserve"> z </w:t>
      </w:r>
      <w:r w:rsidRPr="00A63CA7">
        <w:rPr>
          <w:rFonts w:ascii="Arial" w:eastAsia="Times New Roman" w:hAnsi="Arial" w:cs="Arial"/>
          <w:sz w:val="20"/>
          <w:szCs w:val="20"/>
          <w:lang w:eastAsia="pl-PL"/>
        </w:rPr>
        <w:t>przedstawicielami środowiska portowego Szczecina przy realizacji badań naukowych</w:t>
      </w:r>
      <w:r w:rsidR="004C6CC5" w:rsidRPr="00A63CA7">
        <w:rPr>
          <w:rFonts w:ascii="Arial" w:eastAsia="Times New Roman" w:hAnsi="Arial" w:cs="Arial"/>
          <w:sz w:val="20"/>
          <w:szCs w:val="20"/>
          <w:lang w:eastAsia="pl-PL"/>
        </w:rPr>
        <w:t xml:space="preserve"> i </w:t>
      </w:r>
      <w:r w:rsidRPr="00A63CA7">
        <w:rPr>
          <w:rFonts w:ascii="Arial" w:eastAsia="Times New Roman" w:hAnsi="Arial" w:cs="Arial"/>
          <w:sz w:val="20"/>
          <w:szCs w:val="20"/>
          <w:lang w:eastAsia="pl-PL"/>
        </w:rPr>
        <w:t>wykorzystaniu wyników tych badań</w:t>
      </w:r>
      <w:r w:rsidR="004C6CC5" w:rsidRPr="00A63CA7">
        <w:rPr>
          <w:rFonts w:ascii="Arial" w:eastAsia="Times New Roman" w:hAnsi="Arial" w:cs="Arial"/>
          <w:sz w:val="20"/>
          <w:szCs w:val="20"/>
          <w:lang w:eastAsia="pl-PL"/>
        </w:rPr>
        <w:t xml:space="preserve"> w </w:t>
      </w:r>
      <w:r w:rsidRPr="00A63CA7">
        <w:rPr>
          <w:rFonts w:ascii="Arial" w:eastAsia="Times New Roman" w:hAnsi="Arial" w:cs="Arial"/>
          <w:sz w:val="20"/>
          <w:szCs w:val="20"/>
          <w:lang w:eastAsia="pl-PL"/>
        </w:rPr>
        <w:t>publikacjach naukowych,</w:t>
      </w:r>
    </w:p>
    <w:p w14:paraId="760981A7" w14:textId="684C4BDA" w:rsidR="007050BA" w:rsidRPr="00A63CA7" w:rsidRDefault="007050BA" w:rsidP="00A63CA7">
      <w:pPr>
        <w:pStyle w:val="Akapitzlist"/>
        <w:numPr>
          <w:ilvl w:val="0"/>
          <w:numId w:val="4"/>
        </w:numPr>
        <w:spacing w:after="120" w:line="276" w:lineRule="auto"/>
        <w:jc w:val="both"/>
        <w:rPr>
          <w:rFonts w:ascii="Arial" w:eastAsia="Times New Roman" w:hAnsi="Arial" w:cs="Arial"/>
          <w:sz w:val="20"/>
          <w:szCs w:val="20"/>
          <w:lang w:eastAsia="pl-PL"/>
        </w:rPr>
      </w:pPr>
      <w:r w:rsidRPr="00A63CA7">
        <w:rPr>
          <w:rFonts w:ascii="Arial" w:eastAsia="Times New Roman" w:hAnsi="Arial" w:cs="Arial"/>
          <w:sz w:val="20"/>
          <w:szCs w:val="20"/>
          <w:lang w:eastAsia="pl-PL"/>
        </w:rPr>
        <w:t>zaangażowaniem pracowników uczelni</w:t>
      </w:r>
      <w:r w:rsidR="004C6CC5" w:rsidRPr="00A63CA7">
        <w:rPr>
          <w:rFonts w:ascii="Arial" w:eastAsia="Times New Roman" w:hAnsi="Arial" w:cs="Arial"/>
          <w:sz w:val="20"/>
          <w:szCs w:val="20"/>
          <w:lang w:eastAsia="pl-PL"/>
        </w:rPr>
        <w:t xml:space="preserve"> w </w:t>
      </w:r>
      <w:r w:rsidRPr="00A63CA7">
        <w:rPr>
          <w:rFonts w:ascii="Arial" w:eastAsia="Times New Roman" w:hAnsi="Arial" w:cs="Arial"/>
          <w:sz w:val="20"/>
          <w:szCs w:val="20"/>
          <w:lang w:eastAsia="pl-PL"/>
        </w:rPr>
        <w:t>powstawanie lub aktualizację ważnych opracowań eksperckich na rzecz podmiotów gospodarki morskiej Szczecina;</w:t>
      </w:r>
    </w:p>
    <w:p w14:paraId="65BFE751" w14:textId="18741366" w:rsidR="007050BA" w:rsidRPr="004C6CC5" w:rsidRDefault="007050BA" w:rsidP="008D2321">
      <w:pPr>
        <w:spacing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 wzbogacenie dotychczasowego dorobku naukowego pracowników uczelni</w:t>
      </w:r>
      <w:r w:rsidR="004C6CC5">
        <w:rPr>
          <w:rFonts w:ascii="Arial" w:eastAsia="Times New Roman" w:hAnsi="Arial" w:cs="Arial"/>
          <w:sz w:val="20"/>
          <w:szCs w:val="20"/>
          <w:lang w:eastAsia="pl-PL"/>
        </w:rPr>
        <w:t xml:space="preserve"> z </w:t>
      </w:r>
      <w:r w:rsidRPr="004C6CC5">
        <w:rPr>
          <w:rFonts w:ascii="Arial" w:eastAsia="Times New Roman" w:hAnsi="Arial" w:cs="Arial"/>
          <w:sz w:val="20"/>
          <w:szCs w:val="20"/>
          <w:lang w:eastAsia="pl-PL"/>
        </w:rPr>
        <w:t>zakresu problematyki mor</w:t>
      </w:r>
      <w:r w:rsidR="00030E29">
        <w:rPr>
          <w:rFonts w:ascii="Arial" w:eastAsia="Times New Roman" w:hAnsi="Arial" w:cs="Arial"/>
          <w:sz w:val="20"/>
          <w:szCs w:val="20"/>
          <w:lang w:eastAsia="pl-PL"/>
        </w:rPr>
        <w:t xml:space="preserve">skiej i </w:t>
      </w:r>
      <w:r w:rsidRPr="004C6CC5">
        <w:rPr>
          <w:rFonts w:ascii="Arial" w:eastAsia="Times New Roman" w:hAnsi="Arial" w:cs="Arial"/>
          <w:sz w:val="20"/>
          <w:szCs w:val="20"/>
          <w:lang w:eastAsia="pl-PL"/>
        </w:rPr>
        <w:t>rzecznej (głównie</w:t>
      </w:r>
      <w:r w:rsidR="00030E29">
        <w:rPr>
          <w:rFonts w:ascii="Arial" w:eastAsia="Times New Roman" w:hAnsi="Arial" w:cs="Arial"/>
          <w:sz w:val="20"/>
          <w:szCs w:val="20"/>
          <w:lang w:eastAsia="pl-PL"/>
        </w:rPr>
        <w:t xml:space="preserve"> z </w:t>
      </w:r>
      <w:r w:rsidRPr="004C6CC5">
        <w:rPr>
          <w:rFonts w:ascii="Arial" w:eastAsia="Times New Roman" w:hAnsi="Arial" w:cs="Arial"/>
          <w:sz w:val="20"/>
          <w:szCs w:val="20"/>
          <w:lang w:eastAsia="pl-PL"/>
        </w:rPr>
        <w:t>obszaru zarządzania portami morskimi</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przedsiębiorstwami prowadzącymi na ich terenie swoją działalność gospodarczą oraz morsko – lądowych łańcuchów transportowych,</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tym łańcuchów rzeczno–morskich) poprzez wydanie licznych publikacji</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 xml:space="preserve">tym zakresie; </w:t>
      </w:r>
    </w:p>
    <w:p w14:paraId="0E19EDD0" w14:textId="00A10492" w:rsidR="007050BA" w:rsidRPr="004C6CC5" w:rsidRDefault="007050BA" w:rsidP="008D2321">
      <w:pPr>
        <w:spacing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 udział przedstawiciela Uniwersytetu Szczecińskiego</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działalności Rady ds. Pro</w:t>
      </w:r>
      <w:r w:rsidR="00030E29">
        <w:rPr>
          <w:rFonts w:ascii="Arial" w:eastAsia="Times New Roman" w:hAnsi="Arial" w:cs="Arial"/>
          <w:sz w:val="20"/>
          <w:szCs w:val="20"/>
          <w:lang w:eastAsia="pl-PL"/>
        </w:rPr>
        <w:t>moc</w:t>
      </w:r>
      <w:r w:rsidR="00591D47">
        <w:rPr>
          <w:rFonts w:ascii="Arial" w:eastAsia="Times New Roman" w:hAnsi="Arial" w:cs="Arial"/>
          <w:sz w:val="20"/>
          <w:szCs w:val="20"/>
          <w:lang w:eastAsia="pl-PL"/>
        </w:rPr>
        <w:t>ji Żeglugi Ś</w:t>
      </w:r>
      <w:r w:rsidR="00030E29">
        <w:rPr>
          <w:rFonts w:ascii="Arial" w:eastAsia="Times New Roman" w:hAnsi="Arial" w:cs="Arial"/>
          <w:sz w:val="20"/>
          <w:szCs w:val="20"/>
          <w:lang w:eastAsia="pl-PL"/>
        </w:rPr>
        <w:t xml:space="preserve">ródlądowej </w:t>
      </w:r>
      <w:r w:rsidR="00591D47" w:rsidRPr="00591D47">
        <w:rPr>
          <w:rFonts w:ascii="Arial" w:eastAsia="Times New Roman" w:hAnsi="Arial" w:cs="Arial"/>
          <w:sz w:val="20"/>
          <w:szCs w:val="20"/>
          <w:lang w:eastAsia="pl-PL"/>
        </w:rPr>
        <w:t>działa</w:t>
      </w:r>
      <w:r w:rsidR="00591D47">
        <w:rPr>
          <w:rFonts w:ascii="Arial" w:eastAsia="Times New Roman" w:hAnsi="Arial" w:cs="Arial"/>
          <w:sz w:val="20"/>
          <w:szCs w:val="20"/>
          <w:lang w:eastAsia="pl-PL"/>
        </w:rPr>
        <w:t>jącej</w:t>
      </w:r>
      <w:r w:rsidR="00591D47" w:rsidRPr="00591D47">
        <w:rPr>
          <w:rFonts w:ascii="Arial" w:eastAsia="Times New Roman" w:hAnsi="Arial" w:cs="Arial"/>
          <w:sz w:val="20"/>
          <w:szCs w:val="20"/>
          <w:lang w:eastAsia="pl-PL"/>
        </w:rPr>
        <w:t xml:space="preserve"> przy ministrze właściwym do spraw żeglugi śródlądowej j</w:t>
      </w:r>
      <w:r w:rsidR="00591D47">
        <w:rPr>
          <w:rFonts w:ascii="Arial" w:eastAsia="Times New Roman" w:hAnsi="Arial" w:cs="Arial"/>
          <w:sz w:val="20"/>
          <w:szCs w:val="20"/>
          <w:lang w:eastAsia="pl-PL"/>
        </w:rPr>
        <w:t>ako organ opiniodawczo-doradczy</w:t>
      </w:r>
      <w:r w:rsidR="00030E29">
        <w:rPr>
          <w:rFonts w:ascii="Arial" w:eastAsia="Times New Roman" w:hAnsi="Arial" w:cs="Arial"/>
          <w:sz w:val="20"/>
          <w:szCs w:val="20"/>
          <w:lang w:eastAsia="pl-PL"/>
        </w:rPr>
        <w:t xml:space="preserve"> </w:t>
      </w:r>
      <w:r w:rsidRPr="004C6CC5">
        <w:rPr>
          <w:rFonts w:ascii="Arial" w:eastAsia="Times New Roman" w:hAnsi="Arial" w:cs="Arial"/>
          <w:sz w:val="20"/>
          <w:szCs w:val="20"/>
          <w:lang w:eastAsia="pl-PL"/>
        </w:rPr>
        <w:t>(</w:t>
      </w:r>
      <w:r w:rsidR="00591D47">
        <w:rPr>
          <w:rFonts w:ascii="Arial" w:eastAsia="Times New Roman" w:hAnsi="Arial" w:cs="Arial"/>
          <w:sz w:val="20"/>
          <w:szCs w:val="20"/>
          <w:lang w:eastAsia="pl-PL"/>
        </w:rPr>
        <w:t xml:space="preserve">w tym </w:t>
      </w:r>
      <w:r w:rsidRPr="004C6CC5">
        <w:rPr>
          <w:rFonts w:ascii="Arial" w:eastAsia="Times New Roman" w:hAnsi="Arial" w:cs="Arial"/>
          <w:sz w:val="20"/>
          <w:szCs w:val="20"/>
          <w:lang w:eastAsia="pl-PL"/>
        </w:rPr>
        <w:t xml:space="preserve">opiniowanie wniosków armatorów śródlądowych ubiegających się </w:t>
      </w:r>
      <w:r w:rsidR="00591D47">
        <w:rPr>
          <w:rFonts w:ascii="Arial" w:eastAsia="Times New Roman" w:hAnsi="Arial" w:cs="Arial"/>
          <w:sz w:val="20"/>
          <w:szCs w:val="20"/>
          <w:lang w:eastAsia="pl-PL"/>
        </w:rPr>
        <w:br/>
      </w:r>
      <w:r w:rsidRPr="004C6CC5">
        <w:rPr>
          <w:rFonts w:ascii="Arial" w:eastAsia="Times New Roman" w:hAnsi="Arial" w:cs="Arial"/>
          <w:sz w:val="20"/>
          <w:szCs w:val="20"/>
          <w:lang w:eastAsia="pl-PL"/>
        </w:rPr>
        <w:t>o preferencyjne kredyty na zak</w:t>
      </w:r>
      <w:r w:rsidR="00591D47">
        <w:rPr>
          <w:rFonts w:ascii="Arial" w:eastAsia="Times New Roman" w:hAnsi="Arial" w:cs="Arial"/>
          <w:sz w:val="20"/>
          <w:szCs w:val="20"/>
          <w:lang w:eastAsia="pl-PL"/>
        </w:rPr>
        <w:t xml:space="preserve">up jednostek pływających) oraz </w:t>
      </w:r>
      <w:r w:rsidRPr="004C6CC5">
        <w:rPr>
          <w:rFonts w:ascii="Arial" w:eastAsia="Times New Roman" w:hAnsi="Arial" w:cs="Arial"/>
          <w:sz w:val="20"/>
          <w:szCs w:val="20"/>
          <w:lang w:eastAsia="pl-PL"/>
        </w:rPr>
        <w:t>aktywny udział</w:t>
      </w:r>
      <w:r w:rsidR="004C6CC5">
        <w:rPr>
          <w:rFonts w:ascii="Arial" w:eastAsia="Times New Roman" w:hAnsi="Arial" w:cs="Arial"/>
          <w:sz w:val="20"/>
          <w:szCs w:val="20"/>
          <w:lang w:eastAsia="pl-PL"/>
        </w:rPr>
        <w:t xml:space="preserve"> w </w:t>
      </w:r>
      <w:r w:rsidR="00591D47">
        <w:rPr>
          <w:rFonts w:ascii="Arial" w:eastAsia="Times New Roman" w:hAnsi="Arial" w:cs="Arial"/>
          <w:sz w:val="20"/>
          <w:szCs w:val="20"/>
          <w:lang w:eastAsia="pl-PL"/>
        </w:rPr>
        <w:t>spotkaniach</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Ministerstwie Gospodarki Morskiej</w:t>
      </w:r>
      <w:r w:rsidR="004C6CC5">
        <w:rPr>
          <w:rFonts w:ascii="Arial" w:eastAsia="Times New Roman" w:hAnsi="Arial" w:cs="Arial"/>
          <w:sz w:val="20"/>
          <w:szCs w:val="20"/>
          <w:lang w:eastAsia="pl-PL"/>
        </w:rPr>
        <w:t xml:space="preserve"> i </w:t>
      </w:r>
      <w:r w:rsidR="00591D47">
        <w:rPr>
          <w:rFonts w:ascii="Arial" w:eastAsia="Times New Roman" w:hAnsi="Arial" w:cs="Arial"/>
          <w:sz w:val="20"/>
          <w:szCs w:val="20"/>
          <w:lang w:eastAsia="pl-PL"/>
        </w:rPr>
        <w:t xml:space="preserve">Żeglugi Śródlądowej w </w:t>
      </w:r>
      <w:r w:rsidRPr="004C6CC5">
        <w:rPr>
          <w:rFonts w:ascii="Arial" w:eastAsia="Times New Roman" w:hAnsi="Arial" w:cs="Arial"/>
          <w:sz w:val="20"/>
          <w:szCs w:val="20"/>
          <w:lang w:eastAsia="pl-PL"/>
        </w:rPr>
        <w:t>ramach procesu przygotowania Programu Ro</w:t>
      </w:r>
      <w:r w:rsidR="00591D47">
        <w:rPr>
          <w:rFonts w:ascii="Arial" w:eastAsia="Times New Roman" w:hAnsi="Arial" w:cs="Arial"/>
          <w:sz w:val="20"/>
          <w:szCs w:val="20"/>
          <w:lang w:eastAsia="pl-PL"/>
        </w:rPr>
        <w:t>zwoju Odrzańskiej Drogi Wodnej;</w:t>
      </w:r>
      <w:r w:rsidRPr="004C6CC5">
        <w:rPr>
          <w:rFonts w:ascii="Arial" w:eastAsia="Times New Roman" w:hAnsi="Arial" w:cs="Arial"/>
          <w:sz w:val="20"/>
          <w:szCs w:val="20"/>
          <w:lang w:eastAsia="pl-PL"/>
        </w:rPr>
        <w:t xml:space="preserve"> </w:t>
      </w:r>
    </w:p>
    <w:p w14:paraId="13C500CF" w14:textId="1BC8DBA7" w:rsidR="007050BA" w:rsidRPr="00770692" w:rsidRDefault="007050BA" w:rsidP="008D2321">
      <w:pPr>
        <w:spacing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 zaangażowanie pracowników uczelni</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proces recenzji jedynego</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skali Polski kompleksowego opracowania polskiej</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 xml:space="preserve">światowej statystyki morskiej (rocznika </w:t>
      </w:r>
      <w:r w:rsidRPr="00770692">
        <w:rPr>
          <w:rFonts w:ascii="Arial" w:eastAsia="Times New Roman" w:hAnsi="Arial" w:cs="Arial"/>
          <w:sz w:val="20"/>
          <w:szCs w:val="20"/>
          <w:lang w:eastAsia="pl-PL"/>
        </w:rPr>
        <w:t xml:space="preserve">„Gospodarka Morska. Przegląd Statystyczny 2019”); </w:t>
      </w:r>
    </w:p>
    <w:p w14:paraId="07BCBA2D" w14:textId="2EA87B1E" w:rsidR="007050BA" w:rsidRPr="004C6CC5" w:rsidRDefault="007050BA" w:rsidP="008D2321">
      <w:pPr>
        <w:spacing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lastRenderedPageBreak/>
        <w:t>- udział przedstawicieli uczelni</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Międzynarodowej Konferencji Naukowej „Funkcje przemysłu</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usług</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rozwoju społeczno-ekonomicznym układów przestrzennych”</w:t>
      </w:r>
      <w:r w:rsidR="00513478">
        <w:rPr>
          <w:rFonts w:ascii="Arial" w:eastAsia="Times New Roman" w:hAnsi="Arial" w:cs="Arial"/>
          <w:sz w:val="20"/>
          <w:szCs w:val="20"/>
          <w:lang w:eastAsia="pl-PL"/>
        </w:rPr>
        <w:t>, która odbyła się</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 xml:space="preserve">Krakowie </w:t>
      </w:r>
      <w:r w:rsidR="00BA1D73">
        <w:rPr>
          <w:rFonts w:ascii="Arial" w:eastAsia="Times New Roman" w:hAnsi="Arial" w:cs="Arial"/>
          <w:sz w:val="20"/>
          <w:szCs w:val="20"/>
          <w:lang w:eastAsia="pl-PL"/>
        </w:rPr>
        <w:t xml:space="preserve">w dniach </w:t>
      </w:r>
      <w:r w:rsidRPr="004C6CC5">
        <w:rPr>
          <w:rFonts w:ascii="Arial" w:eastAsia="Times New Roman" w:hAnsi="Arial" w:cs="Arial"/>
          <w:sz w:val="20"/>
          <w:szCs w:val="20"/>
          <w:lang w:eastAsia="pl-PL"/>
        </w:rPr>
        <w:t>2-3</w:t>
      </w:r>
      <w:r w:rsidR="00BA1D73">
        <w:rPr>
          <w:rFonts w:ascii="Arial" w:eastAsia="Times New Roman" w:hAnsi="Arial" w:cs="Arial"/>
          <w:sz w:val="20"/>
          <w:szCs w:val="20"/>
          <w:lang w:eastAsia="pl-PL"/>
        </w:rPr>
        <w:t xml:space="preserve"> grudnia </w:t>
      </w:r>
      <w:r w:rsidRPr="004C6CC5">
        <w:rPr>
          <w:rFonts w:ascii="Arial" w:eastAsia="Times New Roman" w:hAnsi="Arial" w:cs="Arial"/>
          <w:sz w:val="20"/>
          <w:szCs w:val="20"/>
          <w:lang w:eastAsia="pl-PL"/>
        </w:rPr>
        <w:t xml:space="preserve">2019 </w:t>
      </w:r>
      <w:r w:rsidR="00BA1D73">
        <w:rPr>
          <w:rFonts w:ascii="Arial" w:eastAsia="Times New Roman" w:hAnsi="Arial" w:cs="Arial"/>
          <w:sz w:val="20"/>
          <w:szCs w:val="20"/>
          <w:lang w:eastAsia="pl-PL"/>
        </w:rPr>
        <w:t xml:space="preserve">r. </w:t>
      </w:r>
      <w:r w:rsidRPr="004C6CC5">
        <w:rPr>
          <w:rFonts w:ascii="Arial" w:eastAsia="Times New Roman" w:hAnsi="Arial" w:cs="Arial"/>
          <w:sz w:val="20"/>
          <w:szCs w:val="20"/>
          <w:lang w:eastAsia="pl-PL"/>
        </w:rPr>
        <w:t>oraz na Uniwersytecie Immanuela Kanta</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val="en-US" w:eastAsia="pl-PL"/>
        </w:rPr>
        <w:t xml:space="preserve">Kaliningradzie </w:t>
      </w:r>
      <w:r w:rsidR="00BA1D73">
        <w:rPr>
          <w:rFonts w:ascii="Arial" w:eastAsia="Times New Roman" w:hAnsi="Arial" w:cs="Arial"/>
          <w:sz w:val="20"/>
          <w:szCs w:val="20"/>
          <w:lang w:val="en-US" w:eastAsia="pl-PL"/>
        </w:rPr>
        <w:t xml:space="preserve">w dniach </w:t>
      </w:r>
      <w:r w:rsidRPr="004C6CC5">
        <w:rPr>
          <w:rFonts w:ascii="Arial" w:eastAsia="Times New Roman" w:hAnsi="Arial" w:cs="Arial"/>
          <w:sz w:val="20"/>
          <w:szCs w:val="20"/>
          <w:lang w:val="en-US" w:eastAsia="pl-PL"/>
        </w:rPr>
        <w:t>29-31</w:t>
      </w:r>
      <w:r w:rsidR="00BA1D73">
        <w:rPr>
          <w:rFonts w:ascii="Arial" w:eastAsia="Times New Roman" w:hAnsi="Arial" w:cs="Arial"/>
          <w:sz w:val="20"/>
          <w:szCs w:val="20"/>
          <w:lang w:val="en-US" w:eastAsia="pl-PL"/>
        </w:rPr>
        <w:t xml:space="preserve"> sierpnia </w:t>
      </w:r>
      <w:r w:rsidRPr="004C6CC5">
        <w:rPr>
          <w:rFonts w:ascii="Arial" w:eastAsia="Times New Roman" w:hAnsi="Arial" w:cs="Arial"/>
          <w:sz w:val="20"/>
          <w:szCs w:val="20"/>
          <w:lang w:val="en-US" w:eastAsia="pl-PL"/>
        </w:rPr>
        <w:t>2019</w:t>
      </w:r>
      <w:r w:rsidR="00BA1D73">
        <w:rPr>
          <w:rFonts w:ascii="Arial" w:eastAsia="Times New Roman" w:hAnsi="Arial" w:cs="Arial"/>
          <w:sz w:val="20"/>
          <w:szCs w:val="20"/>
          <w:lang w:val="en-US" w:eastAsia="pl-PL"/>
        </w:rPr>
        <w:t xml:space="preserve"> r</w:t>
      </w:r>
      <w:r w:rsidRPr="004C6CC5">
        <w:rPr>
          <w:rFonts w:ascii="Arial" w:eastAsia="Times New Roman" w:hAnsi="Arial" w:cs="Arial"/>
          <w:sz w:val="20"/>
          <w:szCs w:val="20"/>
          <w:lang w:val="en-US" w:eastAsia="pl-PL"/>
        </w:rPr>
        <w:t xml:space="preserve">. </w:t>
      </w:r>
    </w:p>
    <w:p w14:paraId="6E3F13EE" w14:textId="410ED8C7" w:rsidR="007050BA" w:rsidRPr="004C6CC5" w:rsidRDefault="00F77151" w:rsidP="008D2321">
      <w:pPr>
        <w:spacing w:after="120" w:line="276" w:lineRule="auto"/>
        <w:jc w:val="both"/>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W 2019 r. Instytut Nauk o Morzu </w:t>
      </w:r>
      <w:r w:rsidR="003D2CC3">
        <w:rPr>
          <w:rFonts w:ascii="Arial" w:eastAsia="Times New Roman" w:hAnsi="Arial" w:cs="Arial"/>
          <w:sz w:val="20"/>
          <w:szCs w:val="20"/>
          <w:lang w:val="en-GB" w:eastAsia="en-GB"/>
        </w:rPr>
        <w:t>i</w:t>
      </w:r>
      <w:r>
        <w:rPr>
          <w:rFonts w:ascii="Arial" w:eastAsia="Times New Roman" w:hAnsi="Arial" w:cs="Arial"/>
          <w:sz w:val="20"/>
          <w:szCs w:val="20"/>
          <w:lang w:val="en-GB" w:eastAsia="en-GB"/>
        </w:rPr>
        <w:t xml:space="preserve"> Środowisku Uniwersytetu Szczecińskiego prowadził współpracę</w:t>
      </w:r>
      <w:r w:rsidR="007050BA" w:rsidRPr="004C6CC5">
        <w:rPr>
          <w:rFonts w:ascii="Arial" w:eastAsia="Times New Roman" w:hAnsi="Arial" w:cs="Arial"/>
          <w:sz w:val="20"/>
          <w:szCs w:val="20"/>
          <w:lang w:val="en-GB" w:eastAsia="en-GB"/>
        </w:rPr>
        <w:t xml:space="preserve"> międzynarodow</w:t>
      </w:r>
      <w:r>
        <w:rPr>
          <w:rFonts w:ascii="Arial" w:eastAsia="Times New Roman" w:hAnsi="Arial" w:cs="Arial"/>
          <w:sz w:val="20"/>
          <w:szCs w:val="20"/>
          <w:lang w:val="en-GB" w:eastAsia="en-GB"/>
        </w:rPr>
        <w:t>ą</w:t>
      </w:r>
      <w:r w:rsidR="007050BA" w:rsidRPr="004C6CC5">
        <w:rPr>
          <w:rFonts w:ascii="Arial" w:eastAsia="Times New Roman" w:hAnsi="Arial" w:cs="Arial"/>
          <w:sz w:val="20"/>
          <w:szCs w:val="20"/>
          <w:lang w:val="en-GB" w:eastAsia="en-GB"/>
        </w:rPr>
        <w:t xml:space="preserve"> </w:t>
      </w:r>
      <w:r w:rsidR="004C6CC5">
        <w:rPr>
          <w:rFonts w:ascii="Arial" w:eastAsia="Times New Roman" w:hAnsi="Arial" w:cs="Arial"/>
          <w:sz w:val="20"/>
          <w:szCs w:val="20"/>
          <w:lang w:val="en-GB" w:eastAsia="en-GB"/>
        </w:rPr>
        <w:t>w </w:t>
      </w:r>
      <w:r w:rsidR="007050BA" w:rsidRPr="004C6CC5">
        <w:rPr>
          <w:rFonts w:ascii="Arial" w:eastAsia="Times New Roman" w:hAnsi="Arial" w:cs="Arial"/>
          <w:sz w:val="20"/>
          <w:szCs w:val="20"/>
          <w:lang w:val="en-GB" w:eastAsia="en-GB"/>
        </w:rPr>
        <w:t xml:space="preserve">zakresie badań morskich z: </w:t>
      </w:r>
    </w:p>
    <w:p w14:paraId="04EC8B86" w14:textId="77777777" w:rsidR="007050BA" w:rsidRPr="004C6CC5" w:rsidRDefault="007050BA" w:rsidP="003C6ECA">
      <w:pPr>
        <w:pStyle w:val="Akapitzlist"/>
        <w:numPr>
          <w:ilvl w:val="0"/>
          <w:numId w:val="5"/>
        </w:numPr>
        <w:spacing w:after="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Helmholtz-Zentrum Geesthacht, Institute of Coastal Research (Niemcy);</w:t>
      </w:r>
    </w:p>
    <w:p w14:paraId="01B1431D"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Hamburg University of Technology (TUHH);</w:t>
      </w:r>
    </w:p>
    <w:p w14:paraId="08686231"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Guangzhou Marine Geological Survey (Chiny);</w:t>
      </w:r>
    </w:p>
    <w:p w14:paraId="278B9D30"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China University of Gesciences, Wuhan (Chiny);</w:t>
      </w:r>
    </w:p>
    <w:p w14:paraId="321A0B6D"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Sun Yat-Sen University, School of Marine Sciences (Chiny);</w:t>
      </w:r>
    </w:p>
    <w:p w14:paraId="2C352CC1"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Duke University, Durham, Karolina Północna, USA;</w:t>
      </w:r>
    </w:p>
    <w:p w14:paraId="0F02A346"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rPr>
      </w:pPr>
      <w:r w:rsidRPr="004C6CC5">
        <w:rPr>
          <w:rFonts w:ascii="Arial" w:hAnsi="Arial" w:cs="Arial"/>
          <w:color w:val="000000"/>
          <w:sz w:val="20"/>
          <w:szCs w:val="20"/>
        </w:rPr>
        <w:t>Hiszpańska Służba Geologiczna;</w:t>
      </w:r>
    </w:p>
    <w:p w14:paraId="733E6445"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University of Cadiz, Department of Earth Sciences (Hiszpania);</w:t>
      </w:r>
    </w:p>
    <w:p w14:paraId="3B99973A"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University of Wales, Trinity St David, Swansea (Walia);</w:t>
      </w:r>
    </w:p>
    <w:p w14:paraId="0E4B5A60"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pt-BR"/>
        </w:rPr>
      </w:pPr>
      <w:r w:rsidRPr="004C6CC5">
        <w:rPr>
          <w:rFonts w:ascii="Arial" w:hAnsi="Arial" w:cs="Arial"/>
          <w:color w:val="000000"/>
          <w:sz w:val="20"/>
          <w:szCs w:val="20"/>
          <w:lang w:val="pt-BR"/>
        </w:rPr>
        <w:t>Centro de Investigação Marinha e Ambiental, Universidade do Algarve (Portugalia);</w:t>
      </w:r>
    </w:p>
    <w:p w14:paraId="7BD6C13B"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Federal Agency for Nature Conservation, Putbus (Niemcy);</w:t>
      </w:r>
    </w:p>
    <w:p w14:paraId="78BFE2A6"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Shirshov Institute of Oceanology of Russian Academy of Sciences, Moscow (Rosja);</w:t>
      </w:r>
    </w:p>
    <w:p w14:paraId="746701FF"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Faculty of Chemistry and Geosciences, Vilnius University, Vilnius (Litwa);</w:t>
      </w:r>
    </w:p>
    <w:p w14:paraId="2EC4920B"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Institute of Geology and Geography, Nature Research Centre, Vilnius (Litwa);</w:t>
      </w:r>
    </w:p>
    <w:p w14:paraId="462373F5"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Institute of Ecology, Tallinn University (Estonia);</w:t>
      </w:r>
    </w:p>
    <w:p w14:paraId="59244E2D" w14:textId="77777777" w:rsidR="007050BA" w:rsidRPr="004C6CC5" w:rsidRDefault="007050BA" w:rsidP="003C6ECA">
      <w:pPr>
        <w:pStyle w:val="NormalnyWeb"/>
        <w:numPr>
          <w:ilvl w:val="0"/>
          <w:numId w:val="5"/>
        </w:numPr>
        <w:spacing w:before="0" w:beforeAutospacing="0" w:after="0" w:afterAutospacing="0"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Yale University (USA);</w:t>
      </w:r>
    </w:p>
    <w:p w14:paraId="60D7FBD2" w14:textId="77777777" w:rsidR="007050BA" w:rsidRPr="004C6CC5" w:rsidRDefault="007050BA" w:rsidP="000A22A9">
      <w:pPr>
        <w:pStyle w:val="NormalnyWeb"/>
        <w:numPr>
          <w:ilvl w:val="0"/>
          <w:numId w:val="5"/>
        </w:numPr>
        <w:spacing w:before="0" w:beforeAutospacing="0" w:after="0" w:afterAutospacing="0" w:line="276" w:lineRule="auto"/>
        <w:ind w:left="357" w:hanging="357"/>
        <w:jc w:val="both"/>
        <w:rPr>
          <w:rFonts w:ascii="Arial" w:hAnsi="Arial" w:cs="Arial"/>
          <w:color w:val="000000"/>
          <w:sz w:val="20"/>
          <w:szCs w:val="20"/>
          <w:lang w:val="en-US"/>
        </w:rPr>
      </w:pPr>
      <w:r w:rsidRPr="004C6CC5">
        <w:rPr>
          <w:rFonts w:ascii="Arial" w:hAnsi="Arial" w:cs="Arial"/>
          <w:color w:val="000000"/>
          <w:sz w:val="20"/>
          <w:szCs w:val="20"/>
          <w:lang w:val="en-US"/>
        </w:rPr>
        <w:t>University College of London (Wielka Brytania);</w:t>
      </w:r>
    </w:p>
    <w:p w14:paraId="561748A9" w14:textId="63F50516" w:rsidR="007050BA" w:rsidRPr="00391549" w:rsidRDefault="007050BA" w:rsidP="000A22A9">
      <w:pPr>
        <w:pStyle w:val="NormalnyWeb"/>
        <w:numPr>
          <w:ilvl w:val="0"/>
          <w:numId w:val="5"/>
        </w:numPr>
        <w:spacing w:before="0" w:beforeAutospacing="0" w:after="0" w:afterAutospacing="0" w:line="276" w:lineRule="auto"/>
        <w:ind w:left="357" w:hanging="357"/>
        <w:jc w:val="both"/>
        <w:rPr>
          <w:rFonts w:ascii="Arial" w:hAnsi="Arial" w:cs="Arial"/>
          <w:color w:val="000000"/>
          <w:sz w:val="20"/>
          <w:szCs w:val="20"/>
          <w:lang w:val="en-US"/>
        </w:rPr>
      </w:pPr>
      <w:r w:rsidRPr="004C6CC5">
        <w:rPr>
          <w:rFonts w:ascii="Arial" w:hAnsi="Arial" w:cs="Arial"/>
          <w:color w:val="000000"/>
          <w:sz w:val="20"/>
          <w:szCs w:val="20"/>
          <w:lang w:val="en-US"/>
        </w:rPr>
        <w:t>University of Southampton (Wielka Brytania).</w:t>
      </w:r>
    </w:p>
    <w:p w14:paraId="564B6771" w14:textId="51BE2323" w:rsidR="007050BA" w:rsidRPr="009E507B" w:rsidRDefault="007050BA" w:rsidP="000A22A9">
      <w:pPr>
        <w:pStyle w:val="Nagwek3"/>
        <w:spacing w:before="120" w:after="120"/>
        <w:rPr>
          <w:rFonts w:ascii="Arial" w:hAnsi="Arial" w:cs="Arial"/>
          <w:b/>
          <w:sz w:val="20"/>
          <w:szCs w:val="20"/>
        </w:rPr>
      </w:pPr>
      <w:bookmarkStart w:id="30" w:name="_Toc72745047"/>
      <w:r w:rsidRPr="009E507B">
        <w:rPr>
          <w:rFonts w:ascii="Arial" w:hAnsi="Arial" w:cs="Arial"/>
          <w:b/>
          <w:color w:val="auto"/>
          <w:sz w:val="20"/>
          <w:szCs w:val="20"/>
        </w:rPr>
        <w:t>Zachodniopomorski Uniwersytet Technologiczny</w:t>
      </w:r>
      <w:r w:rsidR="004C6CC5" w:rsidRPr="009E507B">
        <w:rPr>
          <w:rFonts w:ascii="Arial" w:hAnsi="Arial" w:cs="Arial"/>
          <w:b/>
          <w:color w:val="auto"/>
          <w:sz w:val="20"/>
          <w:szCs w:val="20"/>
        </w:rPr>
        <w:t xml:space="preserve"> w </w:t>
      </w:r>
      <w:r w:rsidRPr="009E507B">
        <w:rPr>
          <w:rFonts w:ascii="Arial" w:hAnsi="Arial" w:cs="Arial"/>
          <w:b/>
          <w:color w:val="auto"/>
          <w:sz w:val="20"/>
          <w:szCs w:val="20"/>
        </w:rPr>
        <w:t>Szczecinie</w:t>
      </w:r>
      <w:r w:rsidR="009E507B">
        <w:rPr>
          <w:rFonts w:ascii="Arial" w:hAnsi="Arial" w:cs="Arial"/>
          <w:b/>
          <w:color w:val="auto"/>
          <w:sz w:val="20"/>
          <w:szCs w:val="20"/>
        </w:rPr>
        <w:t>.</w:t>
      </w:r>
      <w:bookmarkEnd w:id="30"/>
    </w:p>
    <w:p w14:paraId="09909E00" w14:textId="7697CFDD" w:rsidR="00DA766F" w:rsidRPr="00A8401D" w:rsidRDefault="007050BA" w:rsidP="00A8401D">
      <w:pPr>
        <w:spacing w:before="120" w:after="120" w:line="276" w:lineRule="auto"/>
        <w:jc w:val="both"/>
        <w:rPr>
          <w:rFonts w:ascii="Arial" w:hAnsi="Arial" w:cs="Arial"/>
          <w:sz w:val="20"/>
          <w:szCs w:val="20"/>
        </w:rPr>
      </w:pPr>
      <w:bookmarkStart w:id="31" w:name="_Toc31884595"/>
      <w:r w:rsidRPr="00A8401D">
        <w:rPr>
          <w:rFonts w:ascii="Arial" w:hAnsi="Arial" w:cs="Arial"/>
          <w:sz w:val="20"/>
          <w:szCs w:val="20"/>
        </w:rPr>
        <w:t>W 2019</w:t>
      </w:r>
      <w:r w:rsidR="009D01B9" w:rsidRPr="00A8401D">
        <w:rPr>
          <w:rFonts w:ascii="Arial" w:hAnsi="Arial" w:cs="Arial"/>
          <w:sz w:val="20"/>
          <w:szCs w:val="20"/>
        </w:rPr>
        <w:t xml:space="preserve"> r. </w:t>
      </w:r>
      <w:r w:rsidRPr="00A8401D">
        <w:rPr>
          <w:rFonts w:ascii="Arial" w:hAnsi="Arial" w:cs="Arial"/>
          <w:sz w:val="20"/>
          <w:szCs w:val="20"/>
        </w:rPr>
        <w:t>na Wydziale Techniki Morskiej</w:t>
      </w:r>
      <w:r w:rsidR="004C6CC5" w:rsidRPr="00A8401D">
        <w:rPr>
          <w:rFonts w:ascii="Arial" w:hAnsi="Arial" w:cs="Arial"/>
          <w:sz w:val="20"/>
          <w:szCs w:val="20"/>
        </w:rPr>
        <w:t xml:space="preserve"> i </w:t>
      </w:r>
      <w:r w:rsidRPr="00A8401D">
        <w:rPr>
          <w:rFonts w:ascii="Arial" w:hAnsi="Arial" w:cs="Arial"/>
          <w:sz w:val="20"/>
          <w:szCs w:val="20"/>
        </w:rPr>
        <w:t>Transportu Zachodniopomorskiego Uniwersytetu Technologicznego</w:t>
      </w:r>
      <w:r w:rsidR="004C6CC5" w:rsidRPr="00A8401D">
        <w:rPr>
          <w:rFonts w:ascii="Arial" w:hAnsi="Arial" w:cs="Arial"/>
          <w:sz w:val="20"/>
          <w:szCs w:val="20"/>
        </w:rPr>
        <w:t xml:space="preserve"> w </w:t>
      </w:r>
      <w:r w:rsidRPr="00A8401D">
        <w:rPr>
          <w:rFonts w:ascii="Arial" w:hAnsi="Arial" w:cs="Arial"/>
          <w:sz w:val="20"/>
          <w:szCs w:val="20"/>
        </w:rPr>
        <w:t>Szczecinie (ZUT) kontynuowano kształcenie kadr inżynierskich dla gospodarki morskiej</w:t>
      </w:r>
      <w:r w:rsidR="004C6CC5" w:rsidRPr="00A8401D">
        <w:rPr>
          <w:rFonts w:ascii="Arial" w:hAnsi="Arial" w:cs="Arial"/>
          <w:sz w:val="20"/>
          <w:szCs w:val="20"/>
        </w:rPr>
        <w:t xml:space="preserve"> w </w:t>
      </w:r>
      <w:r w:rsidRPr="00A8401D">
        <w:rPr>
          <w:rFonts w:ascii="Arial" w:hAnsi="Arial" w:cs="Arial"/>
          <w:sz w:val="20"/>
          <w:szCs w:val="20"/>
        </w:rPr>
        <w:t>ramach studiów pierwszego</w:t>
      </w:r>
      <w:r w:rsidR="004C6CC5" w:rsidRPr="00A8401D">
        <w:rPr>
          <w:rFonts w:ascii="Arial" w:hAnsi="Arial" w:cs="Arial"/>
          <w:sz w:val="20"/>
          <w:szCs w:val="20"/>
        </w:rPr>
        <w:t xml:space="preserve"> i </w:t>
      </w:r>
      <w:r w:rsidRPr="00A8401D">
        <w:rPr>
          <w:rFonts w:ascii="Arial" w:hAnsi="Arial" w:cs="Arial"/>
          <w:sz w:val="20"/>
          <w:szCs w:val="20"/>
        </w:rPr>
        <w:t>drugiego stopnia na kierunkach oceanotechnika (specjalności: projektowanie</w:t>
      </w:r>
      <w:r w:rsidR="004C6CC5" w:rsidRPr="00A8401D">
        <w:rPr>
          <w:rFonts w:ascii="Arial" w:hAnsi="Arial" w:cs="Arial"/>
          <w:sz w:val="20"/>
          <w:szCs w:val="20"/>
        </w:rPr>
        <w:t xml:space="preserve"> i </w:t>
      </w:r>
      <w:r w:rsidRPr="00A8401D">
        <w:rPr>
          <w:rFonts w:ascii="Arial" w:hAnsi="Arial" w:cs="Arial"/>
          <w:sz w:val="20"/>
          <w:szCs w:val="20"/>
        </w:rPr>
        <w:t>budowa okrętów, budowa</w:t>
      </w:r>
      <w:r w:rsidR="004C6CC5" w:rsidRPr="00A8401D">
        <w:rPr>
          <w:rFonts w:ascii="Arial" w:hAnsi="Arial" w:cs="Arial"/>
          <w:sz w:val="20"/>
          <w:szCs w:val="20"/>
        </w:rPr>
        <w:t xml:space="preserve"> i </w:t>
      </w:r>
      <w:r w:rsidRPr="00A8401D">
        <w:rPr>
          <w:rFonts w:ascii="Arial" w:hAnsi="Arial" w:cs="Arial"/>
          <w:sz w:val="20"/>
          <w:szCs w:val="20"/>
        </w:rPr>
        <w:t>eksploatacja siłowni okrętowych)</w:t>
      </w:r>
      <w:r w:rsidR="00DA766F" w:rsidRPr="00A8401D">
        <w:rPr>
          <w:rFonts w:ascii="Arial" w:hAnsi="Arial" w:cs="Arial"/>
          <w:sz w:val="20"/>
          <w:szCs w:val="20"/>
        </w:rPr>
        <w:t>,</w:t>
      </w:r>
      <w:r w:rsidRPr="00A8401D">
        <w:rPr>
          <w:rFonts w:ascii="Arial" w:hAnsi="Arial" w:cs="Arial"/>
          <w:sz w:val="20"/>
          <w:szCs w:val="20"/>
        </w:rPr>
        <w:t xml:space="preserve"> transport (specjalności: zintegrowany transport wodny</w:t>
      </w:r>
      <w:r w:rsidR="004C6CC5" w:rsidRPr="00A8401D">
        <w:rPr>
          <w:rFonts w:ascii="Arial" w:hAnsi="Arial" w:cs="Arial"/>
          <w:sz w:val="20"/>
          <w:szCs w:val="20"/>
        </w:rPr>
        <w:t xml:space="preserve"> i </w:t>
      </w:r>
      <w:r w:rsidRPr="00A8401D">
        <w:rPr>
          <w:rFonts w:ascii="Arial" w:hAnsi="Arial" w:cs="Arial"/>
          <w:sz w:val="20"/>
          <w:szCs w:val="20"/>
        </w:rPr>
        <w:t>lądowy, transport portowy</w:t>
      </w:r>
      <w:r w:rsidR="004C6CC5" w:rsidRPr="00A8401D">
        <w:rPr>
          <w:rFonts w:ascii="Arial" w:hAnsi="Arial" w:cs="Arial"/>
          <w:sz w:val="20"/>
          <w:szCs w:val="20"/>
        </w:rPr>
        <w:t xml:space="preserve"> i </w:t>
      </w:r>
      <w:r w:rsidRPr="00A8401D">
        <w:rPr>
          <w:rFonts w:ascii="Arial" w:hAnsi="Arial" w:cs="Arial"/>
          <w:sz w:val="20"/>
          <w:szCs w:val="20"/>
        </w:rPr>
        <w:t>przemysłowy), inżynieria bezpieczeństwa, chłodnictwo</w:t>
      </w:r>
      <w:r w:rsidR="004C6CC5" w:rsidRPr="00A8401D">
        <w:rPr>
          <w:rFonts w:ascii="Arial" w:hAnsi="Arial" w:cs="Arial"/>
          <w:sz w:val="20"/>
          <w:szCs w:val="20"/>
        </w:rPr>
        <w:t xml:space="preserve"> i </w:t>
      </w:r>
      <w:r w:rsidRPr="00A8401D">
        <w:rPr>
          <w:rFonts w:ascii="Arial" w:hAnsi="Arial" w:cs="Arial"/>
          <w:sz w:val="20"/>
          <w:szCs w:val="20"/>
        </w:rPr>
        <w:t>klimatyzacja oraz budowa jachtów oferując nowoczesne, poszukiwane specjalności zawodowe zaspokajając</w:t>
      </w:r>
      <w:r w:rsidR="00DA766F" w:rsidRPr="00A8401D">
        <w:rPr>
          <w:rFonts w:ascii="Arial" w:hAnsi="Arial" w:cs="Arial"/>
          <w:sz w:val="20"/>
          <w:szCs w:val="20"/>
        </w:rPr>
        <w:t>e</w:t>
      </w:r>
      <w:r w:rsidRPr="00A8401D">
        <w:rPr>
          <w:rFonts w:ascii="Arial" w:hAnsi="Arial" w:cs="Arial"/>
          <w:sz w:val="20"/>
          <w:szCs w:val="20"/>
        </w:rPr>
        <w:t xml:space="preserve"> potrzeby przyszłych pracodawców,</w:t>
      </w:r>
      <w:r w:rsidR="004C6CC5" w:rsidRPr="00A8401D">
        <w:rPr>
          <w:rFonts w:ascii="Arial" w:hAnsi="Arial" w:cs="Arial"/>
          <w:sz w:val="20"/>
          <w:szCs w:val="20"/>
        </w:rPr>
        <w:t xml:space="preserve"> w </w:t>
      </w:r>
      <w:r w:rsidRPr="00A8401D">
        <w:rPr>
          <w:rFonts w:ascii="Arial" w:hAnsi="Arial" w:cs="Arial"/>
          <w:sz w:val="20"/>
          <w:szCs w:val="20"/>
        </w:rPr>
        <w:t>tym</w:t>
      </w:r>
      <w:r w:rsidR="004C6CC5" w:rsidRPr="00A8401D">
        <w:rPr>
          <w:rFonts w:ascii="Arial" w:hAnsi="Arial" w:cs="Arial"/>
          <w:sz w:val="20"/>
          <w:szCs w:val="20"/>
        </w:rPr>
        <w:t xml:space="preserve"> z </w:t>
      </w:r>
      <w:r w:rsidRPr="00A8401D">
        <w:rPr>
          <w:rFonts w:ascii="Arial" w:hAnsi="Arial" w:cs="Arial"/>
          <w:sz w:val="20"/>
          <w:szCs w:val="20"/>
        </w:rPr>
        <w:t xml:space="preserve">sektora przemysłu okrętowego </w:t>
      </w:r>
      <w:r w:rsidRPr="00A8401D">
        <w:rPr>
          <w:rFonts w:ascii="Arial" w:hAnsi="Arial" w:cs="Arial"/>
          <w:sz w:val="20"/>
          <w:szCs w:val="20"/>
        </w:rPr>
        <w:br/>
        <w:t>i sektora „offshore”. We wrześniu 2018</w:t>
      </w:r>
      <w:r w:rsidR="009D01B9" w:rsidRPr="00A8401D">
        <w:rPr>
          <w:rFonts w:ascii="Arial" w:hAnsi="Arial" w:cs="Arial"/>
          <w:sz w:val="20"/>
          <w:szCs w:val="20"/>
        </w:rPr>
        <w:t xml:space="preserve"> r. </w:t>
      </w:r>
      <w:r w:rsidRPr="00A8401D">
        <w:rPr>
          <w:rFonts w:ascii="Arial" w:hAnsi="Arial" w:cs="Arial"/>
          <w:sz w:val="20"/>
          <w:szCs w:val="20"/>
        </w:rPr>
        <w:t>Wydział otrzymał uprawnienia do prowadzenia kierunku logistyka,</w:t>
      </w:r>
      <w:r w:rsidR="004C6CC5" w:rsidRPr="00A8401D">
        <w:rPr>
          <w:rFonts w:ascii="Arial" w:hAnsi="Arial" w:cs="Arial"/>
          <w:sz w:val="20"/>
          <w:szCs w:val="20"/>
        </w:rPr>
        <w:t xml:space="preserve"> z </w:t>
      </w:r>
      <w:r w:rsidRPr="00A8401D">
        <w:rPr>
          <w:rFonts w:ascii="Arial" w:hAnsi="Arial" w:cs="Arial"/>
          <w:sz w:val="20"/>
          <w:szCs w:val="20"/>
        </w:rPr>
        <w:t>orientacją także na zagadnienia związane</w:t>
      </w:r>
      <w:r w:rsidR="004C6CC5" w:rsidRPr="00A8401D">
        <w:rPr>
          <w:rFonts w:ascii="Arial" w:hAnsi="Arial" w:cs="Arial"/>
          <w:sz w:val="20"/>
          <w:szCs w:val="20"/>
        </w:rPr>
        <w:t xml:space="preserve"> z </w:t>
      </w:r>
      <w:r w:rsidRPr="00A8401D">
        <w:rPr>
          <w:rFonts w:ascii="Arial" w:hAnsi="Arial" w:cs="Arial"/>
          <w:sz w:val="20"/>
          <w:szCs w:val="20"/>
        </w:rPr>
        <w:t>gospodarką morską.</w:t>
      </w:r>
      <w:bookmarkEnd w:id="31"/>
    </w:p>
    <w:p w14:paraId="144346E0" w14:textId="5A60CB6B" w:rsidR="00AD6578" w:rsidRPr="00A8401D" w:rsidRDefault="00AD6578" w:rsidP="00A8401D">
      <w:pPr>
        <w:spacing w:before="120" w:after="120" w:line="276" w:lineRule="auto"/>
        <w:jc w:val="both"/>
        <w:rPr>
          <w:rFonts w:ascii="Arial" w:hAnsi="Arial" w:cs="Arial"/>
          <w:sz w:val="20"/>
          <w:szCs w:val="20"/>
        </w:rPr>
      </w:pPr>
      <w:r w:rsidRPr="00A42702">
        <w:rPr>
          <w:rFonts w:ascii="Arial" w:hAnsi="Arial" w:cs="Arial"/>
          <w:sz w:val="20"/>
          <w:szCs w:val="20"/>
        </w:rPr>
        <w:t>W zakresie działalności naukowej</w:t>
      </w:r>
      <w:r w:rsidR="000C0633" w:rsidRPr="00A42702">
        <w:rPr>
          <w:rFonts w:ascii="Arial" w:hAnsi="Arial" w:cs="Arial"/>
          <w:sz w:val="20"/>
          <w:szCs w:val="20"/>
        </w:rPr>
        <w:t xml:space="preserve"> Wydział Techniki Morskiej i Transportu uzyskał a</w:t>
      </w:r>
      <w:r w:rsidRPr="00A42702">
        <w:rPr>
          <w:rFonts w:ascii="Arial" w:hAnsi="Arial" w:cs="Arial"/>
          <w:sz w:val="20"/>
          <w:szCs w:val="20"/>
        </w:rPr>
        <w:t xml:space="preserve">kredytowanie przez Polskie Centrum Akredytacji (Certyfikat Akredytacji </w:t>
      </w:r>
      <w:r w:rsidR="00A42702" w:rsidRPr="00A42702">
        <w:rPr>
          <w:rFonts w:ascii="Arial" w:hAnsi="Arial" w:cs="Arial"/>
          <w:sz w:val="20"/>
          <w:szCs w:val="20"/>
        </w:rPr>
        <w:t xml:space="preserve">ważny do </w:t>
      </w:r>
      <w:r w:rsidRPr="00A42702">
        <w:rPr>
          <w:rFonts w:ascii="Arial" w:hAnsi="Arial" w:cs="Arial"/>
          <w:sz w:val="20"/>
          <w:szCs w:val="20"/>
        </w:rPr>
        <w:t>7</w:t>
      </w:r>
      <w:r w:rsidR="00A42702" w:rsidRPr="00A42702">
        <w:rPr>
          <w:rFonts w:ascii="Arial" w:hAnsi="Arial" w:cs="Arial"/>
          <w:sz w:val="20"/>
          <w:szCs w:val="20"/>
        </w:rPr>
        <w:t xml:space="preserve"> sierpnia </w:t>
      </w:r>
      <w:r w:rsidRPr="00A42702">
        <w:rPr>
          <w:rFonts w:ascii="Arial" w:hAnsi="Arial" w:cs="Arial"/>
          <w:sz w:val="20"/>
          <w:szCs w:val="20"/>
        </w:rPr>
        <w:t>2023 r.</w:t>
      </w:r>
      <w:r w:rsidR="000C0633" w:rsidRPr="00A42702">
        <w:rPr>
          <w:rFonts w:ascii="Arial" w:hAnsi="Arial" w:cs="Arial"/>
          <w:sz w:val="20"/>
          <w:szCs w:val="20"/>
        </w:rPr>
        <w:t>)</w:t>
      </w:r>
      <w:r w:rsidRPr="00A42702">
        <w:rPr>
          <w:rFonts w:ascii="Arial" w:hAnsi="Arial" w:cs="Arial"/>
          <w:sz w:val="20"/>
          <w:szCs w:val="20"/>
        </w:rPr>
        <w:t xml:space="preserve"> </w:t>
      </w:r>
      <w:r w:rsidR="000C0633" w:rsidRPr="00A42702">
        <w:rPr>
          <w:rFonts w:ascii="Arial" w:hAnsi="Arial" w:cs="Arial"/>
          <w:sz w:val="20"/>
          <w:szCs w:val="20"/>
        </w:rPr>
        <w:t>obejmujące swym</w:t>
      </w:r>
      <w:r w:rsidRPr="00A42702">
        <w:rPr>
          <w:rFonts w:ascii="Arial" w:hAnsi="Arial" w:cs="Arial"/>
          <w:sz w:val="20"/>
          <w:szCs w:val="20"/>
        </w:rPr>
        <w:t xml:space="preserve"> zakresem </w:t>
      </w:r>
      <w:r w:rsidR="000C0633" w:rsidRPr="00A42702">
        <w:rPr>
          <w:rFonts w:ascii="Arial" w:hAnsi="Arial" w:cs="Arial"/>
          <w:sz w:val="20"/>
          <w:szCs w:val="20"/>
        </w:rPr>
        <w:t xml:space="preserve">31 metod badawczych, </w:t>
      </w:r>
      <w:r w:rsidRPr="00A42702">
        <w:rPr>
          <w:rFonts w:ascii="Arial" w:hAnsi="Arial" w:cs="Arial"/>
          <w:sz w:val="20"/>
          <w:szCs w:val="20"/>
        </w:rPr>
        <w:t xml:space="preserve">w tym 7 metod dotyczących badań materiałów i wyrobów stosowanych na statkach, wymaganych w Międzynarodowym Kodeksie Stosowania Prób Ogniowych (IMO 2010 FTP Code) oraz 2 metody badań podatności na samozagrzewanie ładunków przewożonych drogą morską. Laboratorium posiada także aktualne świadectwo uznania Polskiego Rejestru Statków (data ważności </w:t>
      </w:r>
      <w:r w:rsidR="00A42702" w:rsidRPr="00A42702">
        <w:rPr>
          <w:rFonts w:ascii="Arial" w:hAnsi="Arial" w:cs="Arial"/>
          <w:sz w:val="20"/>
          <w:szCs w:val="20"/>
        </w:rPr>
        <w:t xml:space="preserve">30 marca </w:t>
      </w:r>
      <w:r w:rsidRPr="00A42702">
        <w:rPr>
          <w:rFonts w:ascii="Arial" w:hAnsi="Arial" w:cs="Arial"/>
          <w:sz w:val="20"/>
          <w:szCs w:val="20"/>
        </w:rPr>
        <w:t>2021 </w:t>
      </w:r>
      <w:r w:rsidR="00A42702" w:rsidRPr="00A42702">
        <w:rPr>
          <w:rFonts w:ascii="Arial" w:hAnsi="Arial" w:cs="Arial"/>
          <w:sz w:val="20"/>
          <w:szCs w:val="20"/>
        </w:rPr>
        <w:t xml:space="preserve">r.), które </w:t>
      </w:r>
      <w:r w:rsidRPr="00A42702">
        <w:rPr>
          <w:rFonts w:ascii="Arial" w:hAnsi="Arial" w:cs="Arial"/>
          <w:sz w:val="20"/>
          <w:szCs w:val="20"/>
        </w:rPr>
        <w:t>jest uznawane przez Międzynarodową Organizację Morską (</w:t>
      </w:r>
      <w:r w:rsidR="00A42702" w:rsidRPr="00A42702">
        <w:rPr>
          <w:rFonts w:ascii="Arial" w:hAnsi="Arial" w:cs="Arial"/>
          <w:sz w:val="20"/>
          <w:szCs w:val="20"/>
        </w:rPr>
        <w:t xml:space="preserve">IMO). </w:t>
      </w:r>
      <w:r w:rsidRPr="00A42702">
        <w:rPr>
          <w:rFonts w:ascii="Arial" w:hAnsi="Arial" w:cs="Arial"/>
          <w:sz w:val="20"/>
          <w:szCs w:val="20"/>
        </w:rPr>
        <w:t>Działalność naukowo</w:t>
      </w:r>
      <w:r w:rsidR="00B93B1C">
        <w:rPr>
          <w:rFonts w:ascii="Arial" w:hAnsi="Arial" w:cs="Arial"/>
          <w:sz w:val="20"/>
          <w:szCs w:val="20"/>
        </w:rPr>
        <w:t xml:space="preserve"> </w:t>
      </w:r>
      <w:r w:rsidRPr="00A42702">
        <w:rPr>
          <w:rFonts w:ascii="Arial" w:hAnsi="Arial" w:cs="Arial"/>
          <w:sz w:val="20"/>
          <w:szCs w:val="20"/>
        </w:rPr>
        <w:t>-</w:t>
      </w:r>
      <w:r w:rsidR="00B93B1C">
        <w:rPr>
          <w:rFonts w:ascii="Arial" w:hAnsi="Arial" w:cs="Arial"/>
          <w:sz w:val="20"/>
          <w:szCs w:val="20"/>
        </w:rPr>
        <w:t xml:space="preserve"> </w:t>
      </w:r>
      <w:r w:rsidRPr="00A42702">
        <w:rPr>
          <w:rFonts w:ascii="Arial" w:hAnsi="Arial" w:cs="Arial"/>
          <w:sz w:val="20"/>
          <w:szCs w:val="20"/>
        </w:rPr>
        <w:t xml:space="preserve">badawcza Laboratorium Badań Cech Pożarowych Materiałów obejmuje: badania właściwości materiałów decydujących o pożarowym zagrożeniu związanym z ich zastosowaniem w obiektach morskich i lądowych, badania z zakresu biernej i czynnej ochrony przeciwpożarowej obiektów morskich, badania cech pożarowych materiałów w aspekcie ich wykorzystania do ilościowej oceny poziomu zagrożenia pożarowego obiektów technicznych. </w:t>
      </w:r>
    </w:p>
    <w:p w14:paraId="270161F4" w14:textId="733A084C" w:rsidR="00AD6578" w:rsidRPr="00140AF4" w:rsidRDefault="00AD6578" w:rsidP="00A8401D">
      <w:pPr>
        <w:spacing w:before="120" w:after="120" w:line="276" w:lineRule="auto"/>
        <w:jc w:val="both"/>
        <w:rPr>
          <w:rFonts w:ascii="Arial" w:hAnsi="Arial" w:cs="Arial"/>
          <w:sz w:val="20"/>
          <w:szCs w:val="20"/>
        </w:rPr>
      </w:pPr>
      <w:r w:rsidRPr="00140AF4">
        <w:rPr>
          <w:rFonts w:ascii="Arial" w:hAnsi="Arial" w:cs="Arial"/>
          <w:sz w:val="20"/>
          <w:szCs w:val="20"/>
        </w:rPr>
        <w:t>W zakresie działalności dydaktycznej</w:t>
      </w:r>
      <w:r w:rsidR="00552775" w:rsidRPr="00140AF4">
        <w:rPr>
          <w:rFonts w:ascii="Arial" w:hAnsi="Arial" w:cs="Arial"/>
          <w:sz w:val="20"/>
          <w:szCs w:val="20"/>
        </w:rPr>
        <w:t xml:space="preserve"> </w:t>
      </w:r>
      <w:r w:rsidR="00552775" w:rsidRPr="00A42702">
        <w:rPr>
          <w:rFonts w:ascii="Arial" w:hAnsi="Arial" w:cs="Arial"/>
          <w:sz w:val="20"/>
          <w:szCs w:val="20"/>
        </w:rPr>
        <w:t>Wydział Techniki Morskiej i Transportu</w:t>
      </w:r>
      <w:r w:rsidR="00552775" w:rsidRPr="00140AF4">
        <w:rPr>
          <w:rFonts w:ascii="Arial" w:hAnsi="Arial" w:cs="Arial"/>
          <w:sz w:val="20"/>
          <w:szCs w:val="20"/>
        </w:rPr>
        <w:t xml:space="preserve"> bierze u</w:t>
      </w:r>
      <w:r w:rsidRPr="00140AF4">
        <w:rPr>
          <w:rFonts w:ascii="Arial" w:hAnsi="Arial" w:cs="Arial"/>
          <w:sz w:val="20"/>
          <w:szCs w:val="20"/>
        </w:rPr>
        <w:t>dział w konsorcjum prowadzącym projekt EMSHIP+</w:t>
      </w:r>
      <w:r w:rsidR="00552775" w:rsidRPr="00140AF4">
        <w:rPr>
          <w:rFonts w:ascii="Arial" w:hAnsi="Arial" w:cs="Arial"/>
          <w:sz w:val="20"/>
          <w:szCs w:val="20"/>
        </w:rPr>
        <w:t>, czyli</w:t>
      </w:r>
      <w:r w:rsidRPr="00140AF4">
        <w:rPr>
          <w:rFonts w:ascii="Arial" w:hAnsi="Arial" w:cs="Arial"/>
          <w:sz w:val="20"/>
          <w:szCs w:val="20"/>
        </w:rPr>
        <w:t xml:space="preserve"> konsorcjum sześciu uczelni europejskich realizujących projekt EMSHIP w ramach programu Erasmus Mundus, polegającego na prowadzeniu studiów na poziomie studiów II stopnia. Studia te przeznaczone są dla osób legitymujących się tytułem inżyniera lub </w:t>
      </w:r>
      <w:r w:rsidRPr="00140AF4">
        <w:rPr>
          <w:rFonts w:ascii="Arial" w:hAnsi="Arial" w:cs="Arial"/>
          <w:sz w:val="20"/>
          <w:szCs w:val="20"/>
        </w:rPr>
        <w:lastRenderedPageBreak/>
        <w:t xml:space="preserve">równoważnym. Czas trwania studiów wynosi 4 semestry. Projekt ten finansowany jest ze środków Komisji Europejskiej. W ramach tego projektu podpisana została z Uniwersytetem w Liege umowy </w:t>
      </w:r>
      <w:r w:rsidR="005A55E8">
        <w:rPr>
          <w:rFonts w:ascii="Arial" w:hAnsi="Arial" w:cs="Arial"/>
          <w:sz w:val="20"/>
          <w:szCs w:val="20"/>
        </w:rPr>
        <w:br/>
      </w:r>
      <w:r w:rsidRPr="00140AF4">
        <w:rPr>
          <w:rFonts w:ascii="Arial" w:hAnsi="Arial" w:cs="Arial"/>
          <w:sz w:val="20"/>
          <w:szCs w:val="20"/>
        </w:rPr>
        <w:t xml:space="preserve">o podwójnym dyplomie (double degree) w zakresie projektowania i budowy okrętów, obiektów offshore i morskich elektrowni wiatrowych. </w:t>
      </w:r>
      <w:r w:rsidR="00552775" w:rsidRPr="00140AF4">
        <w:rPr>
          <w:rFonts w:ascii="Arial" w:hAnsi="Arial" w:cs="Arial"/>
          <w:sz w:val="20"/>
          <w:szCs w:val="20"/>
        </w:rPr>
        <w:t>W wyniku</w:t>
      </w:r>
      <w:r w:rsidRPr="00140AF4">
        <w:rPr>
          <w:rFonts w:ascii="Arial" w:hAnsi="Arial" w:cs="Arial"/>
          <w:sz w:val="20"/>
          <w:szCs w:val="20"/>
        </w:rPr>
        <w:t xml:space="preserve"> decyzji M</w:t>
      </w:r>
      <w:r w:rsidR="00552775" w:rsidRPr="00140AF4">
        <w:rPr>
          <w:rFonts w:ascii="Arial" w:hAnsi="Arial" w:cs="Arial"/>
          <w:sz w:val="20"/>
          <w:szCs w:val="20"/>
        </w:rPr>
        <w:t xml:space="preserve">inisterstwa </w:t>
      </w:r>
      <w:r w:rsidRPr="00140AF4">
        <w:rPr>
          <w:rFonts w:ascii="Arial" w:hAnsi="Arial" w:cs="Arial"/>
          <w:sz w:val="20"/>
          <w:szCs w:val="20"/>
        </w:rPr>
        <w:t>N</w:t>
      </w:r>
      <w:r w:rsidR="00552775" w:rsidRPr="00140AF4">
        <w:rPr>
          <w:rFonts w:ascii="Arial" w:hAnsi="Arial" w:cs="Arial"/>
          <w:sz w:val="20"/>
          <w:szCs w:val="20"/>
        </w:rPr>
        <w:t xml:space="preserve">auki </w:t>
      </w:r>
      <w:r w:rsidRPr="00140AF4">
        <w:rPr>
          <w:rFonts w:ascii="Arial" w:hAnsi="Arial" w:cs="Arial"/>
          <w:sz w:val="20"/>
          <w:szCs w:val="20"/>
        </w:rPr>
        <w:t>i</w:t>
      </w:r>
      <w:r w:rsidR="00552775" w:rsidRPr="00140AF4">
        <w:rPr>
          <w:rFonts w:ascii="Arial" w:hAnsi="Arial" w:cs="Arial"/>
          <w:sz w:val="20"/>
          <w:szCs w:val="20"/>
        </w:rPr>
        <w:t xml:space="preserve"> Szkolnictwa </w:t>
      </w:r>
      <w:r w:rsidRPr="00140AF4">
        <w:rPr>
          <w:rFonts w:ascii="Arial" w:hAnsi="Arial" w:cs="Arial"/>
          <w:sz w:val="20"/>
          <w:szCs w:val="20"/>
        </w:rPr>
        <w:t>W</w:t>
      </w:r>
      <w:r w:rsidR="00552775" w:rsidRPr="00140AF4">
        <w:rPr>
          <w:rFonts w:ascii="Arial" w:hAnsi="Arial" w:cs="Arial"/>
          <w:sz w:val="20"/>
          <w:szCs w:val="20"/>
        </w:rPr>
        <w:t>yższego</w:t>
      </w:r>
      <w:r w:rsidRPr="00140AF4">
        <w:rPr>
          <w:rFonts w:ascii="Arial" w:hAnsi="Arial" w:cs="Arial"/>
          <w:sz w:val="20"/>
          <w:szCs w:val="20"/>
        </w:rPr>
        <w:t xml:space="preserve"> ZUT </w:t>
      </w:r>
      <w:r w:rsidR="00552775" w:rsidRPr="00140AF4">
        <w:rPr>
          <w:rFonts w:ascii="Arial" w:hAnsi="Arial" w:cs="Arial"/>
          <w:sz w:val="20"/>
          <w:szCs w:val="20"/>
        </w:rPr>
        <w:t xml:space="preserve">stracił </w:t>
      </w:r>
      <w:r w:rsidRPr="00140AF4">
        <w:rPr>
          <w:rFonts w:ascii="Arial" w:hAnsi="Arial" w:cs="Arial"/>
          <w:sz w:val="20"/>
          <w:szCs w:val="20"/>
        </w:rPr>
        <w:t xml:space="preserve">prawo do prowadzenia kierunku </w:t>
      </w:r>
      <w:r w:rsidR="00552775" w:rsidRPr="00140AF4">
        <w:rPr>
          <w:rFonts w:ascii="Arial" w:hAnsi="Arial" w:cs="Arial"/>
          <w:sz w:val="20"/>
          <w:szCs w:val="20"/>
        </w:rPr>
        <w:t>O</w:t>
      </w:r>
      <w:r w:rsidRPr="00140AF4">
        <w:rPr>
          <w:rFonts w:ascii="Arial" w:hAnsi="Arial" w:cs="Arial"/>
          <w:sz w:val="20"/>
          <w:szCs w:val="20"/>
        </w:rPr>
        <w:t>ceanotechnika na drugim stopniu kształcenia</w:t>
      </w:r>
      <w:r w:rsidR="00552775" w:rsidRPr="00140AF4">
        <w:rPr>
          <w:rFonts w:ascii="Arial" w:hAnsi="Arial" w:cs="Arial"/>
          <w:sz w:val="20"/>
          <w:szCs w:val="20"/>
        </w:rPr>
        <w:t xml:space="preserve"> i tym samym u</w:t>
      </w:r>
      <w:r w:rsidRPr="00140AF4">
        <w:rPr>
          <w:rFonts w:ascii="Arial" w:hAnsi="Arial" w:cs="Arial"/>
          <w:sz w:val="20"/>
          <w:szCs w:val="20"/>
        </w:rPr>
        <w:t xml:space="preserve">czelnia została zmuszona do ograniczenia swojej roli w tym projekcie. </w:t>
      </w:r>
    </w:p>
    <w:p w14:paraId="7B17A3E1" w14:textId="7AE8D15E" w:rsidR="00AD6578" w:rsidRPr="00BC3996" w:rsidRDefault="00BC3996" w:rsidP="00A8401D">
      <w:pPr>
        <w:spacing w:before="120" w:after="120" w:line="276" w:lineRule="auto"/>
        <w:jc w:val="both"/>
        <w:rPr>
          <w:rFonts w:ascii="Arial" w:hAnsi="Arial" w:cs="Arial"/>
          <w:sz w:val="20"/>
          <w:szCs w:val="20"/>
        </w:rPr>
      </w:pPr>
      <w:r w:rsidRPr="00BC3996">
        <w:rPr>
          <w:rFonts w:ascii="Arial" w:hAnsi="Arial" w:cs="Arial"/>
          <w:sz w:val="20"/>
          <w:szCs w:val="20"/>
        </w:rPr>
        <w:t>Wydział kontynuował współpracę</w:t>
      </w:r>
      <w:r w:rsidR="00AD6578" w:rsidRPr="00BC3996">
        <w:rPr>
          <w:rFonts w:ascii="Arial" w:hAnsi="Arial" w:cs="Arial"/>
          <w:sz w:val="20"/>
          <w:szCs w:val="20"/>
        </w:rPr>
        <w:t xml:space="preserve"> </w:t>
      </w:r>
      <w:r w:rsidRPr="00BC3996">
        <w:rPr>
          <w:rFonts w:ascii="Arial" w:hAnsi="Arial" w:cs="Arial"/>
          <w:sz w:val="20"/>
          <w:szCs w:val="20"/>
        </w:rPr>
        <w:t xml:space="preserve">z uczelniami europejskimi w </w:t>
      </w:r>
      <w:r w:rsidR="00AD6578" w:rsidRPr="00BC3996">
        <w:rPr>
          <w:rFonts w:ascii="Arial" w:hAnsi="Arial" w:cs="Arial"/>
          <w:sz w:val="20"/>
          <w:szCs w:val="20"/>
        </w:rPr>
        <w:t xml:space="preserve">zakresie kształcenia okrętowego poprzez przyjmowanie i wysyłanie studentów w celu odbycia części (z reguły jednego semestru studiów) na innej uczelni w ramach programu Erasmus. W tym zakresie Wydział współpracuje z następującymi uczelniami: </w:t>
      </w:r>
    </w:p>
    <w:p w14:paraId="54F6F190" w14:textId="435CB5FD" w:rsidR="00AD6578" w:rsidRPr="00BC3996" w:rsidRDefault="00BC3996" w:rsidP="00BC3996">
      <w:pPr>
        <w:pStyle w:val="Tekstpodstawowy"/>
        <w:widowControl w:val="0"/>
        <w:suppressAutoHyphens/>
        <w:spacing w:line="276" w:lineRule="auto"/>
        <w:jc w:val="both"/>
        <w:rPr>
          <w:rFonts w:ascii="Arial" w:hAnsi="Arial" w:cs="Arial"/>
          <w:sz w:val="20"/>
          <w:szCs w:val="20"/>
        </w:rPr>
      </w:pPr>
      <w:r w:rsidRPr="00BC3996">
        <w:rPr>
          <w:rFonts w:ascii="Arial" w:hAnsi="Arial" w:cs="Arial"/>
          <w:sz w:val="20"/>
          <w:szCs w:val="20"/>
        </w:rPr>
        <w:t xml:space="preserve">- </w:t>
      </w:r>
      <w:r w:rsidR="00AD6578" w:rsidRPr="00BC3996">
        <w:rPr>
          <w:rFonts w:ascii="Arial" w:hAnsi="Arial" w:cs="Arial"/>
          <w:sz w:val="20"/>
          <w:szCs w:val="20"/>
        </w:rPr>
        <w:t>Fachhochschule Stralsund, Niemcy</w:t>
      </w:r>
      <w:r w:rsidRPr="00BC3996">
        <w:rPr>
          <w:rFonts w:ascii="Arial" w:hAnsi="Arial" w:cs="Arial"/>
          <w:sz w:val="20"/>
          <w:szCs w:val="20"/>
        </w:rPr>
        <w:t>;</w:t>
      </w:r>
    </w:p>
    <w:p w14:paraId="209E00D9" w14:textId="56BE9216" w:rsidR="00AD6578" w:rsidRPr="00BC3996" w:rsidRDefault="00BC3996" w:rsidP="00BC3996">
      <w:pPr>
        <w:pStyle w:val="Tekstpodstawowy"/>
        <w:widowControl w:val="0"/>
        <w:suppressAutoHyphens/>
        <w:spacing w:line="276" w:lineRule="auto"/>
        <w:jc w:val="both"/>
        <w:rPr>
          <w:rFonts w:ascii="Arial" w:hAnsi="Arial" w:cs="Arial"/>
          <w:sz w:val="20"/>
          <w:szCs w:val="20"/>
          <w:lang w:val="de-DE"/>
        </w:rPr>
      </w:pPr>
      <w:r w:rsidRPr="00BC3996">
        <w:rPr>
          <w:rFonts w:ascii="Arial" w:hAnsi="Arial" w:cs="Arial"/>
          <w:sz w:val="20"/>
          <w:szCs w:val="20"/>
          <w:lang w:val="de-DE"/>
        </w:rPr>
        <w:t xml:space="preserve">- </w:t>
      </w:r>
      <w:r w:rsidR="00AD6578" w:rsidRPr="00BC3996">
        <w:rPr>
          <w:rFonts w:ascii="Arial" w:hAnsi="Arial" w:cs="Arial"/>
          <w:sz w:val="20"/>
          <w:szCs w:val="20"/>
          <w:lang w:val="de-DE"/>
        </w:rPr>
        <w:t>Technische Universitaet Hamburg-Harburg, Niemcy</w:t>
      </w:r>
      <w:r w:rsidRPr="00BC3996">
        <w:rPr>
          <w:rFonts w:ascii="Arial" w:hAnsi="Arial" w:cs="Arial"/>
          <w:sz w:val="20"/>
          <w:szCs w:val="20"/>
          <w:lang w:val="de-DE"/>
        </w:rPr>
        <w:t>;</w:t>
      </w:r>
    </w:p>
    <w:p w14:paraId="68934F02" w14:textId="67F73466" w:rsidR="00AD6578" w:rsidRPr="00BC3996" w:rsidRDefault="00BC3996" w:rsidP="00BC3996">
      <w:pPr>
        <w:pStyle w:val="Tekstpodstawowy"/>
        <w:widowControl w:val="0"/>
        <w:suppressAutoHyphens/>
        <w:spacing w:line="276" w:lineRule="auto"/>
        <w:jc w:val="both"/>
        <w:rPr>
          <w:rFonts w:ascii="Arial" w:hAnsi="Arial" w:cs="Arial"/>
          <w:sz w:val="20"/>
          <w:szCs w:val="20"/>
          <w:lang w:val="en-GB"/>
        </w:rPr>
      </w:pPr>
      <w:r w:rsidRPr="00BC3996">
        <w:rPr>
          <w:rFonts w:ascii="Arial" w:hAnsi="Arial" w:cs="Arial"/>
          <w:sz w:val="20"/>
          <w:szCs w:val="20"/>
          <w:lang w:val="en-US"/>
        </w:rPr>
        <w:t xml:space="preserve">- </w:t>
      </w:r>
      <w:r w:rsidR="00AD6578" w:rsidRPr="00BC3996">
        <w:rPr>
          <w:rFonts w:ascii="Arial" w:hAnsi="Arial" w:cs="Arial"/>
          <w:sz w:val="20"/>
          <w:szCs w:val="20"/>
          <w:lang w:val="en-US"/>
        </w:rPr>
        <w:t>Technical University of Lisbon</w:t>
      </w:r>
      <w:r w:rsidR="00AD6578" w:rsidRPr="00BC3996">
        <w:rPr>
          <w:rFonts w:ascii="Arial" w:hAnsi="Arial" w:cs="Arial"/>
          <w:sz w:val="20"/>
          <w:szCs w:val="20"/>
        </w:rPr>
        <w:t xml:space="preserve">, </w:t>
      </w:r>
      <w:r w:rsidR="00AD6578" w:rsidRPr="00BC3996">
        <w:rPr>
          <w:rFonts w:ascii="Arial" w:hAnsi="Arial" w:cs="Arial"/>
          <w:sz w:val="20"/>
          <w:szCs w:val="20"/>
          <w:lang w:val="en-US"/>
        </w:rPr>
        <w:t>Portugalia</w:t>
      </w:r>
      <w:r w:rsidRPr="00BC3996">
        <w:rPr>
          <w:rFonts w:ascii="Arial" w:hAnsi="Arial" w:cs="Arial"/>
          <w:sz w:val="20"/>
          <w:szCs w:val="20"/>
          <w:lang w:val="en-US"/>
        </w:rPr>
        <w:t>;</w:t>
      </w:r>
    </w:p>
    <w:p w14:paraId="764AF92F" w14:textId="11A2282A" w:rsidR="00AD6578" w:rsidRPr="00BC3996" w:rsidRDefault="00BC3996" w:rsidP="00BC3996">
      <w:pPr>
        <w:pStyle w:val="Tekstpodstawowy"/>
        <w:widowControl w:val="0"/>
        <w:suppressAutoHyphens/>
        <w:spacing w:line="276" w:lineRule="auto"/>
        <w:jc w:val="both"/>
        <w:rPr>
          <w:rFonts w:ascii="Arial" w:hAnsi="Arial" w:cs="Arial"/>
          <w:sz w:val="20"/>
          <w:szCs w:val="20"/>
        </w:rPr>
      </w:pPr>
      <w:r w:rsidRPr="00BC3996">
        <w:rPr>
          <w:rFonts w:ascii="Arial" w:hAnsi="Arial" w:cs="Arial"/>
          <w:sz w:val="20"/>
          <w:szCs w:val="20"/>
          <w:lang w:val="en-US"/>
        </w:rPr>
        <w:t xml:space="preserve">- </w:t>
      </w:r>
      <w:r w:rsidR="00AD6578" w:rsidRPr="00BC3996">
        <w:rPr>
          <w:rFonts w:ascii="Arial" w:hAnsi="Arial" w:cs="Arial"/>
          <w:sz w:val="20"/>
          <w:szCs w:val="20"/>
          <w:lang w:val="en-US"/>
        </w:rPr>
        <w:t>Chalmers University of Technology</w:t>
      </w:r>
      <w:r w:rsidR="00AD6578" w:rsidRPr="00BC3996">
        <w:rPr>
          <w:rFonts w:ascii="Arial" w:hAnsi="Arial" w:cs="Arial"/>
          <w:sz w:val="20"/>
          <w:szCs w:val="20"/>
        </w:rPr>
        <w:t xml:space="preserve">, </w:t>
      </w:r>
      <w:r w:rsidR="00AD6578" w:rsidRPr="00BC3996">
        <w:rPr>
          <w:rFonts w:ascii="Arial" w:hAnsi="Arial" w:cs="Arial"/>
          <w:sz w:val="20"/>
          <w:szCs w:val="20"/>
          <w:lang w:val="en-US"/>
        </w:rPr>
        <w:t>Szwecja</w:t>
      </w:r>
      <w:r w:rsidRPr="00BC3996">
        <w:rPr>
          <w:rFonts w:ascii="Arial" w:hAnsi="Arial" w:cs="Arial"/>
          <w:sz w:val="20"/>
          <w:szCs w:val="20"/>
          <w:lang w:val="en-US"/>
        </w:rPr>
        <w:t>;</w:t>
      </w:r>
    </w:p>
    <w:p w14:paraId="35466AC6" w14:textId="14EB9772" w:rsidR="00AD6578" w:rsidRPr="00BC3996" w:rsidRDefault="00BC3996" w:rsidP="00BC3996">
      <w:pPr>
        <w:pStyle w:val="Tekstpodstawowy"/>
        <w:widowControl w:val="0"/>
        <w:suppressAutoHyphens/>
        <w:spacing w:line="276" w:lineRule="auto"/>
        <w:jc w:val="both"/>
        <w:rPr>
          <w:rFonts w:ascii="Arial" w:hAnsi="Arial" w:cs="Arial"/>
          <w:sz w:val="20"/>
          <w:szCs w:val="20"/>
        </w:rPr>
      </w:pPr>
      <w:r w:rsidRPr="00BC3996">
        <w:rPr>
          <w:rFonts w:ascii="Arial" w:hAnsi="Arial" w:cs="Arial"/>
          <w:sz w:val="20"/>
          <w:szCs w:val="20"/>
          <w:lang w:val="en-US"/>
        </w:rPr>
        <w:t xml:space="preserve">- </w:t>
      </w:r>
      <w:r w:rsidR="00AD6578" w:rsidRPr="00BC3996">
        <w:rPr>
          <w:rFonts w:ascii="Arial" w:hAnsi="Arial" w:cs="Arial"/>
          <w:sz w:val="20"/>
          <w:szCs w:val="20"/>
          <w:lang w:val="en-US"/>
        </w:rPr>
        <w:t>Istanbul Teknik Universitesi</w:t>
      </w:r>
      <w:r w:rsidR="00AD6578" w:rsidRPr="00BC3996">
        <w:rPr>
          <w:rFonts w:ascii="Arial" w:hAnsi="Arial" w:cs="Arial"/>
          <w:sz w:val="20"/>
          <w:szCs w:val="20"/>
        </w:rPr>
        <w:t xml:space="preserve">, </w:t>
      </w:r>
      <w:r w:rsidR="00AD6578" w:rsidRPr="00BC3996">
        <w:rPr>
          <w:rFonts w:ascii="Arial" w:hAnsi="Arial" w:cs="Arial"/>
          <w:sz w:val="20"/>
          <w:szCs w:val="20"/>
          <w:lang w:val="en-US"/>
        </w:rPr>
        <w:t>Turcja</w:t>
      </w:r>
      <w:r w:rsidRPr="00BC3996">
        <w:rPr>
          <w:rFonts w:ascii="Arial" w:hAnsi="Arial" w:cs="Arial"/>
          <w:sz w:val="20"/>
          <w:szCs w:val="20"/>
          <w:lang w:val="en-US"/>
        </w:rPr>
        <w:t>;</w:t>
      </w:r>
    </w:p>
    <w:p w14:paraId="697AFA94" w14:textId="2D1DAF21" w:rsidR="00AD6578" w:rsidRPr="00BC3996" w:rsidRDefault="00BC3996" w:rsidP="00BC3996">
      <w:pPr>
        <w:pStyle w:val="Tekstpodstawowy"/>
        <w:widowControl w:val="0"/>
        <w:suppressAutoHyphens/>
        <w:spacing w:line="276" w:lineRule="auto"/>
        <w:jc w:val="both"/>
        <w:rPr>
          <w:rFonts w:ascii="Arial" w:hAnsi="Arial" w:cs="Arial"/>
          <w:sz w:val="20"/>
          <w:szCs w:val="20"/>
          <w:lang w:val="pt-BR"/>
        </w:rPr>
      </w:pPr>
      <w:r w:rsidRPr="00BC3996">
        <w:rPr>
          <w:rFonts w:ascii="Arial" w:hAnsi="Arial" w:cs="Arial"/>
          <w:sz w:val="20"/>
          <w:szCs w:val="20"/>
          <w:lang w:val="pt-BR"/>
        </w:rPr>
        <w:t xml:space="preserve">- </w:t>
      </w:r>
      <w:r w:rsidR="00AD6578" w:rsidRPr="00BC3996">
        <w:rPr>
          <w:rFonts w:ascii="Arial" w:hAnsi="Arial" w:cs="Arial"/>
          <w:sz w:val="20"/>
          <w:szCs w:val="20"/>
          <w:lang w:val="pt-BR"/>
        </w:rPr>
        <w:t>Universidad de Las Palmas de Gran Canaria, Hiszpania</w:t>
      </w:r>
      <w:r w:rsidRPr="00BC3996">
        <w:rPr>
          <w:rFonts w:ascii="Arial" w:hAnsi="Arial" w:cs="Arial"/>
          <w:sz w:val="20"/>
          <w:szCs w:val="20"/>
          <w:lang w:val="pt-BR"/>
        </w:rPr>
        <w:t>;</w:t>
      </w:r>
    </w:p>
    <w:p w14:paraId="2DEBF900" w14:textId="66D46019" w:rsidR="00AD6578" w:rsidRPr="00BC3996" w:rsidRDefault="00BC3996" w:rsidP="00BC3996">
      <w:pPr>
        <w:pStyle w:val="Tekstpodstawowy"/>
        <w:widowControl w:val="0"/>
        <w:suppressAutoHyphens/>
        <w:spacing w:line="276" w:lineRule="auto"/>
        <w:jc w:val="both"/>
        <w:rPr>
          <w:rFonts w:ascii="Arial" w:hAnsi="Arial" w:cs="Arial"/>
          <w:sz w:val="20"/>
          <w:szCs w:val="20"/>
          <w:lang w:val="en-GB"/>
        </w:rPr>
      </w:pPr>
      <w:r w:rsidRPr="00BC3996">
        <w:rPr>
          <w:rFonts w:ascii="Arial" w:hAnsi="Arial" w:cs="Arial"/>
          <w:sz w:val="20"/>
          <w:szCs w:val="20"/>
          <w:lang w:val="en-US"/>
        </w:rPr>
        <w:t xml:space="preserve">- </w:t>
      </w:r>
      <w:r w:rsidR="00AD6578" w:rsidRPr="00BC3996">
        <w:rPr>
          <w:rFonts w:ascii="Arial" w:hAnsi="Arial" w:cs="Arial"/>
          <w:sz w:val="20"/>
          <w:szCs w:val="20"/>
          <w:lang w:val="en-US"/>
        </w:rPr>
        <w:t>Uniwersytet w Genui (zgłoszenie do International School of Marine Technology)</w:t>
      </w:r>
      <w:r w:rsidRPr="00BC3996">
        <w:rPr>
          <w:rFonts w:ascii="Arial" w:hAnsi="Arial" w:cs="Arial"/>
          <w:sz w:val="20"/>
          <w:szCs w:val="20"/>
          <w:lang w:val="en-US"/>
        </w:rPr>
        <w:t>.</w:t>
      </w:r>
    </w:p>
    <w:p w14:paraId="0E4AE02E" w14:textId="77777777" w:rsidR="005070A4" w:rsidRDefault="005070A4" w:rsidP="00AD6578">
      <w:pPr>
        <w:pStyle w:val="Tekstpodstawowy"/>
        <w:spacing w:line="276" w:lineRule="auto"/>
        <w:rPr>
          <w:rFonts w:ascii="Calibri" w:hAnsi="Calibri" w:cs="Calibri"/>
          <w:sz w:val="22"/>
          <w:szCs w:val="22"/>
          <w:u w:val="single"/>
        </w:rPr>
      </w:pPr>
    </w:p>
    <w:p w14:paraId="0271D897" w14:textId="609FCADE" w:rsidR="00AD6578" w:rsidRPr="004B73AE" w:rsidRDefault="00AD6578" w:rsidP="00DA766F">
      <w:pPr>
        <w:pStyle w:val="Tekstpodstawowy"/>
        <w:spacing w:line="276" w:lineRule="auto"/>
        <w:jc w:val="left"/>
        <w:rPr>
          <w:rFonts w:ascii="Arial" w:hAnsi="Arial" w:cs="Arial"/>
          <w:sz w:val="20"/>
          <w:szCs w:val="20"/>
        </w:rPr>
      </w:pPr>
      <w:r w:rsidRPr="004B73AE">
        <w:rPr>
          <w:rFonts w:ascii="Arial" w:hAnsi="Arial" w:cs="Arial"/>
          <w:sz w:val="20"/>
          <w:szCs w:val="20"/>
        </w:rPr>
        <w:t xml:space="preserve">Wśród szeregu innych działań </w:t>
      </w:r>
      <w:r w:rsidR="00CC5634" w:rsidRPr="004B73AE">
        <w:rPr>
          <w:rFonts w:ascii="Arial" w:hAnsi="Arial" w:cs="Arial"/>
          <w:sz w:val="20"/>
          <w:szCs w:val="20"/>
        </w:rPr>
        <w:t xml:space="preserve">Wydziału </w:t>
      </w:r>
      <w:r w:rsidRPr="004B73AE">
        <w:rPr>
          <w:rFonts w:ascii="Arial" w:hAnsi="Arial" w:cs="Arial"/>
          <w:sz w:val="20"/>
          <w:szCs w:val="20"/>
        </w:rPr>
        <w:t>obejmujących obszar przemysł</w:t>
      </w:r>
      <w:r w:rsidR="00DA766F" w:rsidRPr="004B73AE">
        <w:rPr>
          <w:rFonts w:ascii="Arial" w:hAnsi="Arial" w:cs="Arial"/>
          <w:sz w:val="20"/>
          <w:szCs w:val="20"/>
        </w:rPr>
        <w:t>ów morskich</w:t>
      </w:r>
      <w:r w:rsidRPr="004B73AE">
        <w:rPr>
          <w:rFonts w:ascii="Arial" w:hAnsi="Arial" w:cs="Arial"/>
          <w:sz w:val="20"/>
          <w:szCs w:val="20"/>
        </w:rPr>
        <w:t xml:space="preserve"> i gospodarki morskiej wymienić należy między innymi:</w:t>
      </w:r>
    </w:p>
    <w:p w14:paraId="648ED2D9" w14:textId="3106746E" w:rsidR="00AD6578" w:rsidRPr="004B73AE" w:rsidRDefault="00DA766F" w:rsidP="00DA766F">
      <w:pPr>
        <w:spacing w:before="60" w:after="0" w:line="276" w:lineRule="auto"/>
        <w:jc w:val="both"/>
        <w:rPr>
          <w:rFonts w:ascii="Arial" w:hAnsi="Arial" w:cs="Arial"/>
          <w:sz w:val="20"/>
          <w:szCs w:val="20"/>
        </w:rPr>
      </w:pPr>
      <w:r w:rsidRPr="004B73AE">
        <w:rPr>
          <w:rFonts w:ascii="Arial" w:hAnsi="Arial" w:cs="Arial"/>
          <w:sz w:val="20"/>
          <w:szCs w:val="20"/>
        </w:rPr>
        <w:t>- u</w:t>
      </w:r>
      <w:r w:rsidR="00AD6578" w:rsidRPr="004B73AE">
        <w:rPr>
          <w:rFonts w:ascii="Arial" w:hAnsi="Arial" w:cs="Arial"/>
          <w:sz w:val="20"/>
          <w:szCs w:val="20"/>
        </w:rPr>
        <w:t>dział w klastrach, mających na celu integrację gospodarki morskiej</w:t>
      </w:r>
      <w:r w:rsidRPr="004B73AE">
        <w:rPr>
          <w:rFonts w:ascii="Arial" w:hAnsi="Arial" w:cs="Arial"/>
          <w:sz w:val="20"/>
          <w:szCs w:val="20"/>
        </w:rPr>
        <w:t>;</w:t>
      </w:r>
      <w:r w:rsidR="00AD6578" w:rsidRPr="004B73AE">
        <w:rPr>
          <w:rFonts w:ascii="Arial" w:hAnsi="Arial" w:cs="Arial"/>
          <w:sz w:val="20"/>
          <w:szCs w:val="20"/>
        </w:rPr>
        <w:t xml:space="preserve"> </w:t>
      </w:r>
    </w:p>
    <w:p w14:paraId="563BBF4D" w14:textId="77777777" w:rsidR="00AD6578" w:rsidRPr="004B73AE" w:rsidRDefault="00AD6578" w:rsidP="003C6ECA">
      <w:pPr>
        <w:numPr>
          <w:ilvl w:val="0"/>
          <w:numId w:val="48"/>
        </w:numPr>
        <w:spacing w:after="0" w:line="276" w:lineRule="auto"/>
        <w:jc w:val="both"/>
        <w:rPr>
          <w:rFonts w:ascii="Arial" w:hAnsi="Arial" w:cs="Arial"/>
          <w:sz w:val="20"/>
          <w:szCs w:val="20"/>
        </w:rPr>
      </w:pPr>
      <w:r w:rsidRPr="004B73AE">
        <w:rPr>
          <w:rFonts w:ascii="Arial" w:hAnsi="Arial" w:cs="Arial"/>
          <w:sz w:val="20"/>
          <w:szCs w:val="20"/>
        </w:rPr>
        <w:t>Zachodniopomorskim Klastrze Morskim,</w:t>
      </w:r>
    </w:p>
    <w:p w14:paraId="4D26D01A" w14:textId="77777777" w:rsidR="00AD6578" w:rsidRPr="004B73AE" w:rsidRDefault="00AD6578" w:rsidP="003C6ECA">
      <w:pPr>
        <w:numPr>
          <w:ilvl w:val="0"/>
          <w:numId w:val="48"/>
        </w:numPr>
        <w:spacing w:after="0" w:line="276" w:lineRule="auto"/>
        <w:jc w:val="both"/>
        <w:rPr>
          <w:rFonts w:ascii="Arial" w:hAnsi="Arial" w:cs="Arial"/>
          <w:sz w:val="20"/>
          <w:szCs w:val="20"/>
        </w:rPr>
      </w:pPr>
      <w:r w:rsidRPr="004B73AE">
        <w:rPr>
          <w:rFonts w:ascii="Arial" w:hAnsi="Arial" w:cs="Arial"/>
          <w:sz w:val="20"/>
          <w:szCs w:val="20"/>
        </w:rPr>
        <w:t>Klastrze Morskim Pomorza Zachodniego,</w:t>
      </w:r>
    </w:p>
    <w:p w14:paraId="650A5B32" w14:textId="77777777" w:rsidR="00AD6578" w:rsidRPr="004B73AE" w:rsidRDefault="00AD6578" w:rsidP="003C6ECA">
      <w:pPr>
        <w:numPr>
          <w:ilvl w:val="0"/>
          <w:numId w:val="48"/>
        </w:numPr>
        <w:spacing w:after="0" w:line="276" w:lineRule="auto"/>
        <w:jc w:val="both"/>
        <w:rPr>
          <w:rFonts w:ascii="Arial" w:hAnsi="Arial" w:cs="Arial"/>
          <w:sz w:val="20"/>
          <w:szCs w:val="20"/>
        </w:rPr>
      </w:pPr>
      <w:r w:rsidRPr="004B73AE">
        <w:rPr>
          <w:rFonts w:ascii="Arial" w:hAnsi="Arial" w:cs="Arial"/>
          <w:sz w:val="20"/>
          <w:szCs w:val="20"/>
        </w:rPr>
        <w:t>Klastrze „Polskie Jachty”,</w:t>
      </w:r>
    </w:p>
    <w:p w14:paraId="595980A1" w14:textId="65D67858" w:rsidR="00AD6578" w:rsidRPr="004B73AE" w:rsidRDefault="00AD6578" w:rsidP="003C6ECA">
      <w:pPr>
        <w:numPr>
          <w:ilvl w:val="0"/>
          <w:numId w:val="48"/>
        </w:numPr>
        <w:spacing w:after="0" w:line="276" w:lineRule="auto"/>
        <w:jc w:val="both"/>
        <w:rPr>
          <w:rFonts w:ascii="Arial" w:hAnsi="Arial" w:cs="Arial"/>
          <w:sz w:val="20"/>
          <w:szCs w:val="20"/>
        </w:rPr>
      </w:pPr>
      <w:r w:rsidRPr="004B73AE">
        <w:rPr>
          <w:rFonts w:ascii="Arial" w:hAnsi="Arial" w:cs="Arial"/>
          <w:sz w:val="20"/>
          <w:szCs w:val="20"/>
        </w:rPr>
        <w:t>Zachodn</w:t>
      </w:r>
      <w:r w:rsidR="00977546">
        <w:rPr>
          <w:rFonts w:ascii="Arial" w:hAnsi="Arial" w:cs="Arial"/>
          <w:sz w:val="20"/>
          <w:szCs w:val="20"/>
        </w:rPr>
        <w:t>iopomorskim Klastrze Żeglarskim,</w:t>
      </w:r>
    </w:p>
    <w:p w14:paraId="59A876CE" w14:textId="1CD8E2A4" w:rsidR="00AD6578" w:rsidRPr="004B73AE" w:rsidRDefault="00DA766F" w:rsidP="00DA766F">
      <w:pPr>
        <w:spacing w:before="60" w:after="0" w:line="276" w:lineRule="auto"/>
        <w:jc w:val="both"/>
        <w:rPr>
          <w:rFonts w:ascii="Arial" w:hAnsi="Arial" w:cs="Arial"/>
          <w:sz w:val="20"/>
          <w:szCs w:val="20"/>
        </w:rPr>
      </w:pPr>
      <w:r w:rsidRPr="004B73AE">
        <w:rPr>
          <w:rFonts w:ascii="Arial" w:hAnsi="Arial" w:cs="Arial"/>
          <w:sz w:val="20"/>
          <w:szCs w:val="20"/>
        </w:rPr>
        <w:t>- u</w:t>
      </w:r>
      <w:r w:rsidR="00AD6578" w:rsidRPr="004B73AE">
        <w:rPr>
          <w:rFonts w:ascii="Arial" w:hAnsi="Arial" w:cs="Arial"/>
          <w:sz w:val="20"/>
          <w:szCs w:val="20"/>
        </w:rPr>
        <w:t>dział w działaniach Towarzystwa Okrętowców Pol</w:t>
      </w:r>
      <w:r w:rsidRPr="004B73AE">
        <w:rPr>
          <w:rFonts w:ascii="Arial" w:hAnsi="Arial" w:cs="Arial"/>
          <w:sz w:val="20"/>
          <w:szCs w:val="20"/>
        </w:rPr>
        <w:t>skich „Korab”, Oddział Szczecin;</w:t>
      </w:r>
    </w:p>
    <w:p w14:paraId="2EE2A044" w14:textId="2E1F831A" w:rsidR="00AD6578" w:rsidRPr="004B73AE" w:rsidRDefault="00DA766F" w:rsidP="00DA766F">
      <w:pPr>
        <w:spacing w:before="60" w:after="0" w:line="276" w:lineRule="auto"/>
        <w:jc w:val="both"/>
        <w:rPr>
          <w:rFonts w:ascii="Arial" w:hAnsi="Arial" w:cs="Arial"/>
          <w:sz w:val="20"/>
          <w:szCs w:val="20"/>
        </w:rPr>
      </w:pPr>
      <w:r w:rsidRPr="004B73AE">
        <w:rPr>
          <w:rFonts w:ascii="Arial" w:hAnsi="Arial" w:cs="Arial"/>
          <w:sz w:val="20"/>
          <w:szCs w:val="20"/>
        </w:rPr>
        <w:t>- u</w:t>
      </w:r>
      <w:r w:rsidR="00AD6578" w:rsidRPr="004B73AE">
        <w:rPr>
          <w:rFonts w:ascii="Arial" w:hAnsi="Arial" w:cs="Arial"/>
          <w:sz w:val="20"/>
          <w:szCs w:val="20"/>
        </w:rPr>
        <w:t xml:space="preserve">dział w komitetach doradczych i radach instytucji związanych z okrętownictwem i gospodarką morską: </w:t>
      </w:r>
    </w:p>
    <w:p w14:paraId="472B2BF7" w14:textId="77777777" w:rsidR="00AD6578" w:rsidRPr="004B73AE" w:rsidRDefault="00AD6578" w:rsidP="003C6ECA">
      <w:pPr>
        <w:numPr>
          <w:ilvl w:val="0"/>
          <w:numId w:val="48"/>
        </w:numPr>
        <w:spacing w:after="0" w:line="276" w:lineRule="auto"/>
        <w:jc w:val="both"/>
        <w:rPr>
          <w:rFonts w:ascii="Arial" w:hAnsi="Arial" w:cs="Arial"/>
          <w:sz w:val="20"/>
          <w:szCs w:val="20"/>
          <w:lang w:val="en-GB"/>
        </w:rPr>
      </w:pPr>
      <w:r w:rsidRPr="004B73AE">
        <w:rPr>
          <w:rFonts w:ascii="Arial" w:hAnsi="Arial" w:cs="Arial"/>
          <w:sz w:val="20"/>
          <w:szCs w:val="20"/>
          <w:lang w:val="en-GB"/>
        </w:rPr>
        <w:t xml:space="preserve">Lloyd’s Register, </w:t>
      </w:r>
    </w:p>
    <w:p w14:paraId="5E4285B6" w14:textId="77777777" w:rsidR="00AD6578" w:rsidRPr="004B73AE" w:rsidRDefault="00AD6578" w:rsidP="003C6ECA">
      <w:pPr>
        <w:numPr>
          <w:ilvl w:val="0"/>
          <w:numId w:val="48"/>
        </w:numPr>
        <w:spacing w:after="0" w:line="276" w:lineRule="auto"/>
        <w:jc w:val="both"/>
        <w:rPr>
          <w:rFonts w:ascii="Arial" w:hAnsi="Arial" w:cs="Arial"/>
          <w:sz w:val="20"/>
          <w:szCs w:val="20"/>
          <w:lang w:val="en-GB"/>
        </w:rPr>
      </w:pPr>
      <w:r w:rsidRPr="004B73AE">
        <w:rPr>
          <w:rFonts w:ascii="Arial" w:hAnsi="Arial" w:cs="Arial"/>
          <w:sz w:val="20"/>
          <w:szCs w:val="20"/>
          <w:lang w:val="en-GB"/>
        </w:rPr>
        <w:t>DNV-GL,</w:t>
      </w:r>
    </w:p>
    <w:p w14:paraId="39106EEF" w14:textId="77777777" w:rsidR="00AD6578" w:rsidRPr="004B73AE" w:rsidRDefault="00AD6578" w:rsidP="003C6ECA">
      <w:pPr>
        <w:numPr>
          <w:ilvl w:val="0"/>
          <w:numId w:val="48"/>
        </w:numPr>
        <w:spacing w:after="0" w:line="276" w:lineRule="auto"/>
        <w:jc w:val="both"/>
        <w:rPr>
          <w:rFonts w:ascii="Arial" w:hAnsi="Arial" w:cs="Arial"/>
          <w:sz w:val="20"/>
          <w:szCs w:val="20"/>
        </w:rPr>
      </w:pPr>
      <w:r w:rsidRPr="004B73AE">
        <w:rPr>
          <w:rFonts w:ascii="Arial" w:hAnsi="Arial" w:cs="Arial"/>
          <w:sz w:val="20"/>
          <w:szCs w:val="20"/>
        </w:rPr>
        <w:t>Polskiego Rejestru Statków,</w:t>
      </w:r>
    </w:p>
    <w:p w14:paraId="467C9C2B" w14:textId="127A5E20" w:rsidR="00AD6578" w:rsidRPr="004B73AE" w:rsidRDefault="00AD6578" w:rsidP="003C6ECA">
      <w:pPr>
        <w:numPr>
          <w:ilvl w:val="0"/>
          <w:numId w:val="48"/>
        </w:numPr>
        <w:spacing w:after="0" w:line="276" w:lineRule="auto"/>
        <w:jc w:val="both"/>
        <w:rPr>
          <w:rFonts w:ascii="Arial" w:hAnsi="Arial" w:cs="Arial"/>
          <w:sz w:val="20"/>
          <w:szCs w:val="20"/>
        </w:rPr>
      </w:pPr>
      <w:r w:rsidRPr="004B73AE">
        <w:rPr>
          <w:rFonts w:ascii="Arial" w:hAnsi="Arial" w:cs="Arial"/>
          <w:sz w:val="20"/>
          <w:szCs w:val="20"/>
        </w:rPr>
        <w:t>Cent</w:t>
      </w:r>
      <w:r w:rsidR="004B73AE" w:rsidRPr="004B73AE">
        <w:rPr>
          <w:rFonts w:ascii="Arial" w:hAnsi="Arial" w:cs="Arial"/>
          <w:sz w:val="20"/>
          <w:szCs w:val="20"/>
        </w:rPr>
        <w:t>rum Techniki Okrętowej,</w:t>
      </w:r>
    </w:p>
    <w:p w14:paraId="357FF331" w14:textId="1F0B3919" w:rsidR="00AD6578" w:rsidRPr="004B73AE" w:rsidRDefault="00DA766F" w:rsidP="00DA766F">
      <w:pPr>
        <w:spacing w:before="60" w:after="0" w:line="276" w:lineRule="auto"/>
        <w:jc w:val="both"/>
        <w:rPr>
          <w:rFonts w:ascii="Arial" w:hAnsi="Arial" w:cs="Arial"/>
          <w:sz w:val="20"/>
          <w:szCs w:val="20"/>
        </w:rPr>
      </w:pPr>
      <w:r w:rsidRPr="004B73AE">
        <w:rPr>
          <w:rFonts w:ascii="Arial" w:hAnsi="Arial" w:cs="Arial"/>
          <w:sz w:val="20"/>
          <w:szCs w:val="20"/>
        </w:rPr>
        <w:t>- c</w:t>
      </w:r>
      <w:r w:rsidR="00AD6578" w:rsidRPr="004B73AE">
        <w:rPr>
          <w:rFonts w:ascii="Arial" w:hAnsi="Arial" w:cs="Arial"/>
          <w:sz w:val="20"/>
          <w:szCs w:val="20"/>
        </w:rPr>
        <w:t xml:space="preserve">złonkostwo w instytucjach związanych z okrętownictwem i gospodarką morską: </w:t>
      </w:r>
    </w:p>
    <w:p w14:paraId="08A162EA" w14:textId="77777777" w:rsidR="00AD6578" w:rsidRPr="004B73AE" w:rsidRDefault="00AD6578" w:rsidP="003C6ECA">
      <w:pPr>
        <w:numPr>
          <w:ilvl w:val="0"/>
          <w:numId w:val="49"/>
        </w:numPr>
        <w:spacing w:after="0" w:line="276" w:lineRule="auto"/>
        <w:jc w:val="both"/>
        <w:rPr>
          <w:rFonts w:ascii="Arial" w:hAnsi="Arial" w:cs="Arial"/>
          <w:sz w:val="20"/>
          <w:szCs w:val="20"/>
          <w:lang w:val="en-US"/>
        </w:rPr>
      </w:pPr>
      <w:r w:rsidRPr="004B73AE">
        <w:rPr>
          <w:rFonts w:ascii="Arial" w:hAnsi="Arial" w:cs="Arial"/>
          <w:sz w:val="20"/>
          <w:szCs w:val="20"/>
          <w:lang w:val="en-US"/>
        </w:rPr>
        <w:t xml:space="preserve">Royal Institution on Naval Architects, </w:t>
      </w:r>
    </w:p>
    <w:p w14:paraId="325C62C1" w14:textId="77777777" w:rsidR="00AD6578" w:rsidRPr="004B73AE" w:rsidRDefault="00AD6578" w:rsidP="003C6ECA">
      <w:pPr>
        <w:numPr>
          <w:ilvl w:val="0"/>
          <w:numId w:val="49"/>
        </w:numPr>
        <w:spacing w:after="0" w:line="276" w:lineRule="auto"/>
        <w:jc w:val="both"/>
        <w:rPr>
          <w:rFonts w:ascii="Arial" w:hAnsi="Arial" w:cs="Arial"/>
          <w:sz w:val="20"/>
          <w:szCs w:val="20"/>
          <w:lang w:val="en-US"/>
        </w:rPr>
      </w:pPr>
      <w:r w:rsidRPr="004B73AE">
        <w:rPr>
          <w:rFonts w:ascii="Arial" w:hAnsi="Arial" w:cs="Arial"/>
          <w:sz w:val="20"/>
          <w:szCs w:val="20"/>
          <w:lang w:val="en-US"/>
        </w:rPr>
        <w:t xml:space="preserve">International Ship and Offshore Structure Congress, </w:t>
      </w:r>
    </w:p>
    <w:p w14:paraId="0F1149F8" w14:textId="7B79B43C" w:rsidR="00AD6578" w:rsidRPr="004B73AE" w:rsidRDefault="00AD6578" w:rsidP="00EE3277">
      <w:pPr>
        <w:numPr>
          <w:ilvl w:val="0"/>
          <w:numId w:val="49"/>
        </w:numPr>
        <w:spacing w:after="0" w:line="276" w:lineRule="auto"/>
        <w:jc w:val="both"/>
        <w:rPr>
          <w:rFonts w:ascii="Arial" w:hAnsi="Arial" w:cs="Arial"/>
          <w:sz w:val="20"/>
          <w:szCs w:val="20"/>
        </w:rPr>
      </w:pPr>
      <w:r w:rsidRPr="004B73AE">
        <w:rPr>
          <w:rFonts w:ascii="Arial" w:hAnsi="Arial" w:cs="Arial"/>
          <w:sz w:val="20"/>
          <w:szCs w:val="20"/>
        </w:rPr>
        <w:t xml:space="preserve">International Maritime Organization oraz Sekcje Krajowe IMO </w:t>
      </w:r>
      <w:r w:rsidR="004B73AE" w:rsidRPr="004B73AE">
        <w:rPr>
          <w:rFonts w:ascii="Arial" w:hAnsi="Arial" w:cs="Arial"/>
          <w:sz w:val="20"/>
          <w:szCs w:val="20"/>
        </w:rPr>
        <w:t>(</w:t>
      </w:r>
      <w:r w:rsidRPr="004B73AE">
        <w:rPr>
          <w:rFonts w:ascii="Arial" w:hAnsi="Arial" w:cs="Arial"/>
          <w:sz w:val="20"/>
          <w:szCs w:val="20"/>
        </w:rPr>
        <w:t>Projektowania i Konstrukcji Statków,</w:t>
      </w:r>
      <w:r w:rsidR="004B73AE" w:rsidRPr="004B73AE">
        <w:rPr>
          <w:rFonts w:ascii="Arial" w:hAnsi="Arial" w:cs="Arial"/>
          <w:sz w:val="20"/>
          <w:szCs w:val="20"/>
        </w:rPr>
        <w:t xml:space="preserve"> </w:t>
      </w:r>
      <w:r w:rsidRPr="004B73AE">
        <w:rPr>
          <w:rFonts w:ascii="Arial" w:hAnsi="Arial" w:cs="Arial"/>
          <w:sz w:val="20"/>
          <w:szCs w:val="20"/>
        </w:rPr>
        <w:t xml:space="preserve">Statkowych Systemów i Wyposażenia, </w:t>
      </w:r>
      <w:r w:rsidR="004B73AE" w:rsidRPr="004B73AE">
        <w:rPr>
          <w:rFonts w:ascii="Arial" w:hAnsi="Arial" w:cs="Arial"/>
          <w:sz w:val="20"/>
          <w:szCs w:val="20"/>
        </w:rPr>
        <w:t>Przewozu Ładunków i Kontenerów),</w:t>
      </w:r>
      <w:r w:rsidRPr="004B73AE">
        <w:rPr>
          <w:rFonts w:ascii="Arial" w:hAnsi="Arial" w:cs="Arial"/>
          <w:sz w:val="20"/>
          <w:szCs w:val="20"/>
        </w:rPr>
        <w:t xml:space="preserve"> </w:t>
      </w:r>
    </w:p>
    <w:p w14:paraId="222F292C" w14:textId="7C854565" w:rsidR="00FB04FD" w:rsidRPr="00EE3277" w:rsidRDefault="003D03AF" w:rsidP="00EE3277">
      <w:pPr>
        <w:numPr>
          <w:ilvl w:val="0"/>
          <w:numId w:val="48"/>
        </w:numPr>
        <w:spacing w:after="0" w:line="276" w:lineRule="auto"/>
        <w:ind w:left="284" w:hanging="284"/>
        <w:jc w:val="both"/>
        <w:rPr>
          <w:rFonts w:ascii="Arial" w:hAnsi="Arial" w:cs="Arial"/>
          <w:sz w:val="20"/>
          <w:szCs w:val="20"/>
        </w:rPr>
      </w:pPr>
      <w:r>
        <w:rPr>
          <w:rFonts w:ascii="Arial" w:hAnsi="Arial" w:cs="Arial"/>
          <w:sz w:val="20"/>
          <w:szCs w:val="20"/>
        </w:rPr>
        <w:t xml:space="preserve"> </w:t>
      </w:r>
      <w:r w:rsidR="00AD6578" w:rsidRPr="004B73AE">
        <w:rPr>
          <w:rFonts w:ascii="Arial" w:hAnsi="Arial" w:cs="Arial"/>
          <w:sz w:val="20"/>
          <w:szCs w:val="20"/>
        </w:rPr>
        <w:t>Izba Morska, eksperci sądowi</w:t>
      </w:r>
      <w:r w:rsidR="004B73AE" w:rsidRPr="004B73AE">
        <w:rPr>
          <w:rFonts w:ascii="Arial" w:hAnsi="Arial" w:cs="Arial"/>
          <w:sz w:val="20"/>
          <w:szCs w:val="20"/>
        </w:rPr>
        <w:t>.</w:t>
      </w:r>
    </w:p>
    <w:p w14:paraId="40A5A534" w14:textId="7BEFC01F" w:rsidR="0017458E" w:rsidRPr="00220B5F" w:rsidRDefault="007050BA" w:rsidP="00687A76">
      <w:pPr>
        <w:spacing w:before="120" w:after="120" w:line="276" w:lineRule="auto"/>
        <w:jc w:val="both"/>
        <w:rPr>
          <w:rFonts w:ascii="Arial" w:hAnsi="Arial" w:cs="Arial"/>
          <w:sz w:val="20"/>
          <w:szCs w:val="20"/>
        </w:rPr>
      </w:pPr>
      <w:r w:rsidRPr="00220B5F">
        <w:rPr>
          <w:rFonts w:ascii="Arial" w:hAnsi="Arial" w:cs="Arial"/>
          <w:sz w:val="20"/>
          <w:szCs w:val="20"/>
        </w:rPr>
        <w:t>Na Wydziale Nauk o Żywności</w:t>
      </w:r>
      <w:r w:rsidR="004C6CC5" w:rsidRPr="00220B5F">
        <w:rPr>
          <w:rFonts w:ascii="Arial" w:hAnsi="Arial" w:cs="Arial"/>
          <w:sz w:val="20"/>
          <w:szCs w:val="20"/>
        </w:rPr>
        <w:t xml:space="preserve"> i </w:t>
      </w:r>
      <w:r w:rsidRPr="00220B5F">
        <w:rPr>
          <w:rFonts w:ascii="Arial" w:hAnsi="Arial" w:cs="Arial"/>
          <w:sz w:val="20"/>
          <w:szCs w:val="20"/>
        </w:rPr>
        <w:t>Rybactwa</w:t>
      </w:r>
      <w:r w:rsidR="004C6CC5" w:rsidRPr="00220B5F">
        <w:rPr>
          <w:rFonts w:ascii="Arial" w:hAnsi="Arial" w:cs="Arial"/>
          <w:sz w:val="20"/>
          <w:szCs w:val="20"/>
        </w:rPr>
        <w:t xml:space="preserve"> w </w:t>
      </w:r>
      <w:r w:rsidRPr="00220B5F">
        <w:rPr>
          <w:rFonts w:ascii="Arial" w:hAnsi="Arial" w:cs="Arial"/>
          <w:sz w:val="20"/>
          <w:szCs w:val="20"/>
        </w:rPr>
        <w:t>zakresie działalności naukowej realizowane są projekty finansowane</w:t>
      </w:r>
      <w:r w:rsidR="004C6CC5" w:rsidRPr="00220B5F">
        <w:rPr>
          <w:rFonts w:ascii="Arial" w:hAnsi="Arial" w:cs="Arial"/>
          <w:sz w:val="20"/>
          <w:szCs w:val="20"/>
        </w:rPr>
        <w:t xml:space="preserve"> z </w:t>
      </w:r>
      <w:r w:rsidRPr="00220B5F">
        <w:rPr>
          <w:rFonts w:ascii="Arial" w:hAnsi="Arial" w:cs="Arial"/>
          <w:sz w:val="20"/>
          <w:szCs w:val="20"/>
        </w:rPr>
        <w:t>Programu Operacyjnego Rybactwo</w:t>
      </w:r>
      <w:r w:rsidR="004C6CC5" w:rsidRPr="00220B5F">
        <w:rPr>
          <w:rFonts w:ascii="Arial" w:hAnsi="Arial" w:cs="Arial"/>
          <w:sz w:val="20"/>
          <w:szCs w:val="20"/>
        </w:rPr>
        <w:t xml:space="preserve"> i </w:t>
      </w:r>
      <w:r w:rsidRPr="00220B5F">
        <w:rPr>
          <w:rFonts w:ascii="Arial" w:hAnsi="Arial" w:cs="Arial"/>
          <w:sz w:val="20"/>
          <w:szCs w:val="20"/>
        </w:rPr>
        <w:t>Morze 2014-2020, programu Horyzont 2020</w:t>
      </w:r>
      <w:r w:rsidR="00977546" w:rsidRPr="00220B5F">
        <w:rPr>
          <w:rFonts w:ascii="Arial" w:hAnsi="Arial" w:cs="Arial"/>
          <w:sz w:val="20"/>
          <w:szCs w:val="20"/>
        </w:rPr>
        <w:t>, Program Interreg Południowy Bałtyk</w:t>
      </w:r>
      <w:r w:rsidRPr="00220B5F">
        <w:rPr>
          <w:rFonts w:ascii="Arial" w:hAnsi="Arial" w:cs="Arial"/>
          <w:sz w:val="20"/>
          <w:szCs w:val="20"/>
        </w:rPr>
        <w:t xml:space="preserve"> oraz inne projekty.</w:t>
      </w:r>
      <w:r w:rsidR="004C6CC5" w:rsidRPr="00220B5F">
        <w:rPr>
          <w:rFonts w:ascii="Arial" w:hAnsi="Arial" w:cs="Arial"/>
          <w:sz w:val="20"/>
          <w:szCs w:val="20"/>
        </w:rPr>
        <w:t xml:space="preserve"> </w:t>
      </w:r>
      <w:r w:rsidR="00273426" w:rsidRPr="00220B5F">
        <w:rPr>
          <w:rFonts w:ascii="Arial" w:hAnsi="Arial" w:cs="Arial"/>
          <w:sz w:val="20"/>
          <w:szCs w:val="20"/>
        </w:rPr>
        <w:t>W</w:t>
      </w:r>
      <w:r w:rsidR="004C6CC5" w:rsidRPr="00220B5F">
        <w:rPr>
          <w:rFonts w:ascii="Arial" w:hAnsi="Arial" w:cs="Arial"/>
          <w:sz w:val="20"/>
          <w:szCs w:val="20"/>
        </w:rPr>
        <w:t> </w:t>
      </w:r>
      <w:r w:rsidRPr="00220B5F">
        <w:rPr>
          <w:rFonts w:ascii="Arial" w:hAnsi="Arial" w:cs="Arial"/>
          <w:sz w:val="20"/>
          <w:szCs w:val="20"/>
        </w:rPr>
        <w:t>2019</w:t>
      </w:r>
      <w:r w:rsidR="009D01B9" w:rsidRPr="00220B5F">
        <w:rPr>
          <w:rFonts w:ascii="Arial" w:hAnsi="Arial" w:cs="Arial"/>
          <w:sz w:val="20"/>
          <w:szCs w:val="20"/>
        </w:rPr>
        <w:t xml:space="preserve"> r.</w:t>
      </w:r>
      <w:r w:rsidR="004C6CC5" w:rsidRPr="00220B5F">
        <w:rPr>
          <w:rFonts w:ascii="Arial" w:hAnsi="Arial" w:cs="Arial"/>
          <w:sz w:val="20"/>
          <w:szCs w:val="20"/>
        </w:rPr>
        <w:t xml:space="preserve"> w </w:t>
      </w:r>
      <w:r w:rsidRPr="00220B5F">
        <w:rPr>
          <w:rFonts w:ascii="Arial" w:hAnsi="Arial" w:cs="Arial"/>
          <w:sz w:val="20"/>
          <w:szCs w:val="20"/>
        </w:rPr>
        <w:t>ramach Programu Operacyjnego Rybactwo</w:t>
      </w:r>
      <w:r w:rsidR="00977546" w:rsidRPr="00220B5F">
        <w:rPr>
          <w:rFonts w:ascii="Arial" w:hAnsi="Arial" w:cs="Arial"/>
          <w:sz w:val="20"/>
          <w:szCs w:val="20"/>
        </w:rPr>
        <w:t xml:space="preserve"> i </w:t>
      </w:r>
      <w:r w:rsidRPr="00220B5F">
        <w:rPr>
          <w:rFonts w:ascii="Arial" w:hAnsi="Arial" w:cs="Arial"/>
          <w:sz w:val="20"/>
          <w:szCs w:val="20"/>
        </w:rPr>
        <w:t xml:space="preserve">Morze 2014-2020 Wydział zrealizował dwa projekty: </w:t>
      </w:r>
      <w:r w:rsidR="0017458E" w:rsidRPr="00220B5F">
        <w:rPr>
          <w:rFonts w:ascii="Arial" w:hAnsi="Arial" w:cs="Arial"/>
          <w:sz w:val="20"/>
          <w:szCs w:val="20"/>
        </w:rPr>
        <w:t>„</w:t>
      </w:r>
      <w:r w:rsidRPr="00220B5F">
        <w:rPr>
          <w:rFonts w:ascii="Arial" w:hAnsi="Arial" w:cs="Arial"/>
          <w:sz w:val="20"/>
          <w:szCs w:val="20"/>
        </w:rPr>
        <w:t>Pilotażowe badania wpływu wybranych mikroorganizmów na ograniczenie eutrofiza</w:t>
      </w:r>
      <w:r w:rsidR="00924E38">
        <w:rPr>
          <w:rFonts w:ascii="Arial" w:hAnsi="Arial" w:cs="Arial"/>
          <w:sz w:val="20"/>
          <w:szCs w:val="20"/>
        </w:rPr>
        <w:t xml:space="preserve">cji wód południowego Bałtyku, ze </w:t>
      </w:r>
      <w:r w:rsidRPr="00220B5F">
        <w:rPr>
          <w:rFonts w:ascii="Arial" w:hAnsi="Arial" w:cs="Arial"/>
          <w:sz w:val="20"/>
          <w:szCs w:val="20"/>
        </w:rPr>
        <w:t>szczególnym uwzględnieniem estuarium Odry</w:t>
      </w:r>
      <w:r w:rsidR="0017458E" w:rsidRPr="00220B5F">
        <w:rPr>
          <w:rFonts w:ascii="Arial" w:hAnsi="Arial" w:cs="Arial"/>
          <w:sz w:val="20"/>
          <w:szCs w:val="20"/>
        </w:rPr>
        <w:t>”</w:t>
      </w:r>
      <w:r w:rsidRPr="00220B5F">
        <w:rPr>
          <w:rFonts w:ascii="Arial" w:hAnsi="Arial" w:cs="Arial"/>
          <w:sz w:val="20"/>
          <w:szCs w:val="20"/>
        </w:rPr>
        <w:t xml:space="preserve"> </w:t>
      </w:r>
      <w:r w:rsidR="0017458E" w:rsidRPr="00220B5F">
        <w:rPr>
          <w:rFonts w:ascii="Arial" w:hAnsi="Arial" w:cs="Arial"/>
          <w:sz w:val="20"/>
          <w:szCs w:val="20"/>
        </w:rPr>
        <w:t xml:space="preserve">(okres realizacji 01.02.2019 r. - 28.02.2022 r.) </w:t>
      </w:r>
      <w:r w:rsidRPr="00220B5F">
        <w:rPr>
          <w:rFonts w:ascii="Arial" w:hAnsi="Arial" w:cs="Arial"/>
          <w:sz w:val="20"/>
          <w:szCs w:val="20"/>
        </w:rPr>
        <w:t xml:space="preserve">oraz </w:t>
      </w:r>
      <w:r w:rsidR="0017458E" w:rsidRPr="00220B5F">
        <w:rPr>
          <w:rFonts w:ascii="Arial" w:hAnsi="Arial" w:cs="Arial"/>
          <w:sz w:val="20"/>
          <w:szCs w:val="20"/>
        </w:rPr>
        <w:t>„</w:t>
      </w:r>
      <w:r w:rsidRPr="00220B5F">
        <w:rPr>
          <w:rFonts w:ascii="Arial" w:hAnsi="Arial" w:cs="Arial"/>
          <w:sz w:val="20"/>
          <w:szCs w:val="20"/>
        </w:rPr>
        <w:t>Wzmacnianie naturalnych populacji najcenniejszych ichtiotaksonów (w tym wędrownych ryb łososiowatych)</w:t>
      </w:r>
      <w:r w:rsidR="0017458E" w:rsidRPr="00220B5F">
        <w:rPr>
          <w:rFonts w:ascii="Arial" w:hAnsi="Arial" w:cs="Arial"/>
          <w:sz w:val="20"/>
          <w:szCs w:val="20"/>
        </w:rPr>
        <w:t xml:space="preserve"> w oparciu o </w:t>
      </w:r>
      <w:r w:rsidRPr="00220B5F">
        <w:rPr>
          <w:rFonts w:ascii="Arial" w:hAnsi="Arial" w:cs="Arial"/>
          <w:sz w:val="20"/>
          <w:szCs w:val="20"/>
        </w:rPr>
        <w:t>przyjazne środowisku innowacyjne przedsięwzięcia</w:t>
      </w:r>
      <w:r w:rsidR="004C6CC5" w:rsidRPr="00220B5F">
        <w:rPr>
          <w:rFonts w:ascii="Arial" w:hAnsi="Arial" w:cs="Arial"/>
          <w:sz w:val="20"/>
          <w:szCs w:val="20"/>
        </w:rPr>
        <w:t xml:space="preserve"> w </w:t>
      </w:r>
      <w:r w:rsidRPr="00220B5F">
        <w:rPr>
          <w:rFonts w:ascii="Arial" w:hAnsi="Arial" w:cs="Arial"/>
          <w:sz w:val="20"/>
          <w:szCs w:val="20"/>
        </w:rPr>
        <w:t>postaci nowatorskich technik wylęgarniczych,</w:t>
      </w:r>
      <w:r w:rsidR="004C6CC5" w:rsidRPr="00220B5F">
        <w:rPr>
          <w:rFonts w:ascii="Arial" w:hAnsi="Arial" w:cs="Arial"/>
          <w:sz w:val="20"/>
          <w:szCs w:val="20"/>
        </w:rPr>
        <w:t xml:space="preserve"> w </w:t>
      </w:r>
      <w:r w:rsidRPr="00220B5F">
        <w:rPr>
          <w:rFonts w:ascii="Arial" w:hAnsi="Arial" w:cs="Arial"/>
          <w:sz w:val="20"/>
          <w:szCs w:val="20"/>
        </w:rPr>
        <w:t>tym urządzanie tarlisk, opracowanie pasz dla ryb przeznaczonych do zarybień wraz</w:t>
      </w:r>
      <w:r w:rsidR="004C6CC5" w:rsidRPr="00220B5F">
        <w:rPr>
          <w:rFonts w:ascii="Arial" w:hAnsi="Arial" w:cs="Arial"/>
          <w:sz w:val="20"/>
          <w:szCs w:val="20"/>
        </w:rPr>
        <w:t xml:space="preserve"> z </w:t>
      </w:r>
      <w:r w:rsidRPr="00220B5F">
        <w:rPr>
          <w:rFonts w:ascii="Arial" w:hAnsi="Arial" w:cs="Arial"/>
          <w:sz w:val="20"/>
          <w:szCs w:val="20"/>
        </w:rPr>
        <w:t>oceną ich wpływu na zdrowotność</w:t>
      </w:r>
      <w:r w:rsidR="004C6CC5" w:rsidRPr="00220B5F">
        <w:rPr>
          <w:rFonts w:ascii="Arial" w:hAnsi="Arial" w:cs="Arial"/>
          <w:sz w:val="20"/>
          <w:szCs w:val="20"/>
        </w:rPr>
        <w:t xml:space="preserve"> i </w:t>
      </w:r>
      <w:r w:rsidRPr="00220B5F">
        <w:rPr>
          <w:rFonts w:ascii="Arial" w:hAnsi="Arial" w:cs="Arial"/>
          <w:sz w:val="20"/>
          <w:szCs w:val="20"/>
        </w:rPr>
        <w:t>potencjał rozrodczy ryb oraz środowiskowy monitoring pod kątem rozwoju infrastruktury społeczno-gospodarczej regionu</w:t>
      </w:r>
      <w:r w:rsidR="0017458E" w:rsidRPr="00220B5F">
        <w:rPr>
          <w:rFonts w:ascii="Arial" w:hAnsi="Arial" w:cs="Arial"/>
          <w:sz w:val="20"/>
          <w:szCs w:val="20"/>
        </w:rPr>
        <w:t>” (okres realizacji 01.06.2018 r. - 30.06.2022 r.)</w:t>
      </w:r>
      <w:r w:rsidRPr="00220B5F">
        <w:rPr>
          <w:rFonts w:ascii="Arial" w:hAnsi="Arial" w:cs="Arial"/>
          <w:sz w:val="20"/>
          <w:szCs w:val="20"/>
        </w:rPr>
        <w:t>.</w:t>
      </w:r>
    </w:p>
    <w:p w14:paraId="09628E92" w14:textId="74799CA2" w:rsidR="007050BA" w:rsidRPr="00220B5F" w:rsidRDefault="00273426" w:rsidP="00687A76">
      <w:pPr>
        <w:spacing w:before="120" w:after="120" w:line="276" w:lineRule="auto"/>
        <w:jc w:val="both"/>
        <w:rPr>
          <w:rFonts w:ascii="Arial" w:hAnsi="Arial" w:cs="Arial"/>
          <w:sz w:val="20"/>
          <w:szCs w:val="20"/>
        </w:rPr>
      </w:pPr>
      <w:r w:rsidRPr="00220B5F">
        <w:rPr>
          <w:rFonts w:ascii="Arial" w:hAnsi="Arial" w:cs="Arial"/>
          <w:sz w:val="20"/>
          <w:szCs w:val="20"/>
        </w:rPr>
        <w:lastRenderedPageBreak/>
        <w:t>W</w:t>
      </w:r>
      <w:r w:rsidR="004C6CC5" w:rsidRPr="00220B5F">
        <w:rPr>
          <w:rFonts w:ascii="Arial" w:hAnsi="Arial" w:cs="Arial"/>
          <w:sz w:val="20"/>
          <w:szCs w:val="20"/>
        </w:rPr>
        <w:t> </w:t>
      </w:r>
      <w:r w:rsidR="007050BA" w:rsidRPr="00220B5F">
        <w:rPr>
          <w:rFonts w:ascii="Arial" w:hAnsi="Arial" w:cs="Arial"/>
          <w:sz w:val="20"/>
          <w:szCs w:val="20"/>
        </w:rPr>
        <w:t xml:space="preserve">ramach </w:t>
      </w:r>
      <w:r w:rsidR="004E0178">
        <w:rPr>
          <w:rFonts w:ascii="Arial" w:hAnsi="Arial" w:cs="Arial"/>
          <w:sz w:val="20"/>
          <w:szCs w:val="20"/>
        </w:rPr>
        <w:t>międzynarodowej współpracy</w:t>
      </w:r>
      <w:r w:rsidR="00362732">
        <w:rPr>
          <w:rFonts w:ascii="Arial" w:hAnsi="Arial" w:cs="Arial"/>
          <w:sz w:val="20"/>
          <w:szCs w:val="20"/>
        </w:rPr>
        <w:t xml:space="preserve"> naukowo-badawczej realizowanej w </w:t>
      </w:r>
      <w:r w:rsidR="00EF6977" w:rsidRPr="00220B5F">
        <w:rPr>
          <w:rFonts w:ascii="Arial" w:hAnsi="Arial" w:cs="Arial"/>
          <w:sz w:val="20"/>
          <w:szCs w:val="20"/>
        </w:rPr>
        <w:t xml:space="preserve">2019 r. </w:t>
      </w:r>
      <w:r w:rsidR="004E0178">
        <w:rPr>
          <w:rFonts w:ascii="Arial" w:hAnsi="Arial" w:cs="Arial"/>
          <w:sz w:val="20"/>
          <w:szCs w:val="20"/>
        </w:rPr>
        <w:t xml:space="preserve">w ramach </w:t>
      </w:r>
      <w:r w:rsidR="007050BA" w:rsidRPr="00220B5F">
        <w:rPr>
          <w:rFonts w:ascii="Arial" w:hAnsi="Arial" w:cs="Arial"/>
          <w:sz w:val="20"/>
          <w:szCs w:val="20"/>
        </w:rPr>
        <w:t xml:space="preserve">programu Horyzont 2020 Wydział </w:t>
      </w:r>
      <w:r w:rsidR="00362732">
        <w:rPr>
          <w:rFonts w:ascii="Arial" w:hAnsi="Arial" w:cs="Arial"/>
          <w:sz w:val="20"/>
          <w:szCs w:val="20"/>
        </w:rPr>
        <w:t xml:space="preserve">Nauk o Żywności i </w:t>
      </w:r>
      <w:r w:rsidR="004E0178" w:rsidRPr="00220B5F">
        <w:rPr>
          <w:rFonts w:ascii="Arial" w:hAnsi="Arial" w:cs="Arial"/>
          <w:sz w:val="20"/>
          <w:szCs w:val="20"/>
        </w:rPr>
        <w:t xml:space="preserve">Rybactwa </w:t>
      </w:r>
      <w:r w:rsidR="007050BA" w:rsidRPr="00220B5F">
        <w:rPr>
          <w:rFonts w:ascii="Arial" w:hAnsi="Arial" w:cs="Arial"/>
          <w:sz w:val="20"/>
          <w:szCs w:val="20"/>
        </w:rPr>
        <w:t xml:space="preserve">realizował trzy </w:t>
      </w:r>
      <w:r w:rsidR="004E0178">
        <w:rPr>
          <w:rFonts w:ascii="Arial" w:hAnsi="Arial" w:cs="Arial"/>
          <w:sz w:val="20"/>
          <w:szCs w:val="20"/>
        </w:rPr>
        <w:t>projekty</w:t>
      </w:r>
      <w:r w:rsidR="007050BA" w:rsidRPr="00220B5F">
        <w:rPr>
          <w:rFonts w:ascii="Arial" w:hAnsi="Arial" w:cs="Arial"/>
          <w:sz w:val="20"/>
          <w:szCs w:val="20"/>
        </w:rPr>
        <w:t xml:space="preserve"> międzynarodowe: </w:t>
      </w:r>
      <w:r w:rsidR="00485527">
        <w:rPr>
          <w:rFonts w:ascii="Arial" w:hAnsi="Arial" w:cs="Arial"/>
          <w:sz w:val="20"/>
          <w:szCs w:val="20"/>
        </w:rPr>
        <w:t>„</w:t>
      </w:r>
      <w:r w:rsidR="007050BA" w:rsidRPr="00220B5F">
        <w:rPr>
          <w:rFonts w:ascii="Arial" w:hAnsi="Arial" w:cs="Arial"/>
          <w:sz w:val="20"/>
          <w:szCs w:val="20"/>
        </w:rPr>
        <w:t xml:space="preserve">GAIN </w:t>
      </w:r>
      <w:r w:rsidR="00CC5634" w:rsidRPr="00220B5F">
        <w:rPr>
          <w:rFonts w:ascii="Arial" w:hAnsi="Arial" w:cs="Arial"/>
          <w:sz w:val="20"/>
          <w:szCs w:val="20"/>
        </w:rPr>
        <w:t>-</w:t>
      </w:r>
      <w:r w:rsidR="007050BA" w:rsidRPr="00220B5F">
        <w:rPr>
          <w:rFonts w:ascii="Arial" w:hAnsi="Arial" w:cs="Arial"/>
          <w:sz w:val="20"/>
          <w:szCs w:val="20"/>
        </w:rPr>
        <w:t xml:space="preserve"> Green</w:t>
      </w:r>
      <w:r w:rsidR="00CC5634" w:rsidRPr="00220B5F">
        <w:rPr>
          <w:rFonts w:ascii="Arial" w:hAnsi="Arial" w:cs="Arial"/>
          <w:sz w:val="20"/>
          <w:szCs w:val="20"/>
        </w:rPr>
        <w:t xml:space="preserve"> Aquaculture Intensification in </w:t>
      </w:r>
      <w:r w:rsidR="007050BA" w:rsidRPr="00220B5F">
        <w:rPr>
          <w:rFonts w:ascii="Arial" w:hAnsi="Arial" w:cs="Arial"/>
          <w:sz w:val="20"/>
          <w:szCs w:val="20"/>
        </w:rPr>
        <w:t>Europe</w:t>
      </w:r>
      <w:r w:rsidR="00485527">
        <w:rPr>
          <w:rFonts w:ascii="Arial" w:hAnsi="Arial" w:cs="Arial"/>
          <w:sz w:val="20"/>
          <w:szCs w:val="20"/>
        </w:rPr>
        <w:t>”</w:t>
      </w:r>
      <w:r w:rsidR="007050BA" w:rsidRPr="00220B5F">
        <w:rPr>
          <w:rFonts w:ascii="Arial" w:hAnsi="Arial" w:cs="Arial"/>
          <w:sz w:val="20"/>
          <w:szCs w:val="20"/>
        </w:rPr>
        <w:t xml:space="preserve">, </w:t>
      </w:r>
      <w:r w:rsidR="00485527">
        <w:rPr>
          <w:rFonts w:ascii="Arial" w:hAnsi="Arial" w:cs="Arial"/>
          <w:sz w:val="20"/>
          <w:szCs w:val="20"/>
        </w:rPr>
        <w:t>„</w:t>
      </w:r>
      <w:r w:rsidR="007050BA" w:rsidRPr="00220B5F">
        <w:rPr>
          <w:rFonts w:ascii="Arial" w:hAnsi="Arial" w:cs="Arial"/>
          <w:sz w:val="20"/>
          <w:szCs w:val="20"/>
        </w:rPr>
        <w:t xml:space="preserve">SEAFOODTOMORROW </w:t>
      </w:r>
      <w:r w:rsidR="00485527">
        <w:rPr>
          <w:rFonts w:ascii="Arial" w:hAnsi="Arial" w:cs="Arial"/>
          <w:sz w:val="20"/>
          <w:szCs w:val="20"/>
        </w:rPr>
        <w:t>-</w:t>
      </w:r>
      <w:r w:rsidR="007050BA" w:rsidRPr="00220B5F">
        <w:rPr>
          <w:rFonts w:ascii="Arial" w:hAnsi="Arial" w:cs="Arial"/>
          <w:sz w:val="20"/>
          <w:szCs w:val="20"/>
        </w:rPr>
        <w:t xml:space="preserve"> Nutritious, safe and sustainable seafood for consumers of tomorrow</w:t>
      </w:r>
      <w:r w:rsidR="00485527">
        <w:rPr>
          <w:rFonts w:ascii="Arial" w:hAnsi="Arial" w:cs="Arial"/>
          <w:sz w:val="20"/>
          <w:szCs w:val="20"/>
        </w:rPr>
        <w:t>”</w:t>
      </w:r>
      <w:r w:rsidR="007050BA" w:rsidRPr="00220B5F">
        <w:rPr>
          <w:rFonts w:ascii="Arial" w:hAnsi="Arial" w:cs="Arial"/>
          <w:sz w:val="20"/>
          <w:szCs w:val="20"/>
        </w:rPr>
        <w:t xml:space="preserve"> oraz </w:t>
      </w:r>
      <w:r w:rsidR="00485527">
        <w:rPr>
          <w:rFonts w:ascii="Arial" w:hAnsi="Arial" w:cs="Arial"/>
          <w:sz w:val="20"/>
          <w:szCs w:val="20"/>
        </w:rPr>
        <w:t>„</w:t>
      </w:r>
      <w:r w:rsidR="007050BA" w:rsidRPr="00220B5F">
        <w:rPr>
          <w:rFonts w:ascii="Arial" w:hAnsi="Arial" w:cs="Arial"/>
          <w:sz w:val="20"/>
          <w:szCs w:val="20"/>
        </w:rPr>
        <w:t xml:space="preserve">CERES </w:t>
      </w:r>
      <w:r w:rsidR="00CC5634" w:rsidRPr="00220B5F">
        <w:rPr>
          <w:rFonts w:ascii="Arial" w:hAnsi="Arial" w:cs="Arial"/>
          <w:sz w:val="20"/>
          <w:szCs w:val="20"/>
        </w:rPr>
        <w:t>-</w:t>
      </w:r>
      <w:r w:rsidR="007050BA" w:rsidRPr="00220B5F">
        <w:rPr>
          <w:rFonts w:ascii="Arial" w:hAnsi="Arial" w:cs="Arial"/>
          <w:sz w:val="20"/>
          <w:szCs w:val="20"/>
        </w:rPr>
        <w:t xml:space="preserve"> Climate change and European aquatic RESources</w:t>
      </w:r>
      <w:r w:rsidR="00485527">
        <w:rPr>
          <w:rFonts w:ascii="Arial" w:hAnsi="Arial" w:cs="Arial"/>
          <w:sz w:val="20"/>
          <w:szCs w:val="20"/>
        </w:rPr>
        <w:t>”</w:t>
      </w:r>
      <w:r w:rsidR="007050BA" w:rsidRPr="00220B5F">
        <w:rPr>
          <w:rFonts w:ascii="Arial" w:hAnsi="Arial" w:cs="Arial"/>
          <w:sz w:val="20"/>
          <w:szCs w:val="20"/>
        </w:rPr>
        <w:t xml:space="preserve">. Ponadto </w:t>
      </w:r>
      <w:r w:rsidR="00207467" w:rsidRPr="00220B5F">
        <w:rPr>
          <w:rFonts w:ascii="Arial" w:hAnsi="Arial" w:cs="Arial"/>
          <w:sz w:val="20"/>
          <w:szCs w:val="20"/>
        </w:rPr>
        <w:t xml:space="preserve">w ramach Programu Interreg Południowy Bałtyk </w:t>
      </w:r>
      <w:r w:rsidR="007050BA" w:rsidRPr="00220B5F">
        <w:rPr>
          <w:rFonts w:ascii="Arial" w:hAnsi="Arial" w:cs="Arial"/>
          <w:sz w:val="20"/>
          <w:szCs w:val="20"/>
        </w:rPr>
        <w:t>Wydział</w:t>
      </w:r>
      <w:r w:rsidR="004C6CC5" w:rsidRPr="00220B5F">
        <w:rPr>
          <w:rFonts w:ascii="Arial" w:hAnsi="Arial" w:cs="Arial"/>
          <w:sz w:val="20"/>
          <w:szCs w:val="20"/>
        </w:rPr>
        <w:t xml:space="preserve"> </w:t>
      </w:r>
      <w:r w:rsidR="00207467" w:rsidRPr="00220B5F">
        <w:rPr>
          <w:rFonts w:ascii="Arial" w:hAnsi="Arial" w:cs="Arial"/>
          <w:sz w:val="20"/>
          <w:szCs w:val="20"/>
        </w:rPr>
        <w:t xml:space="preserve">realizował </w:t>
      </w:r>
      <w:r w:rsidR="004E0178">
        <w:rPr>
          <w:rFonts w:ascii="Arial" w:hAnsi="Arial" w:cs="Arial"/>
          <w:sz w:val="20"/>
          <w:szCs w:val="20"/>
        </w:rPr>
        <w:t>projekt pn. „D</w:t>
      </w:r>
      <w:r w:rsidR="007050BA" w:rsidRPr="00220B5F">
        <w:rPr>
          <w:rFonts w:ascii="Arial" w:hAnsi="Arial" w:cs="Arial"/>
          <w:sz w:val="20"/>
          <w:szCs w:val="20"/>
        </w:rPr>
        <w:t>robne rybołówstwo bałtyckie</w:t>
      </w:r>
      <w:r w:rsidR="004C6CC5" w:rsidRPr="00220B5F">
        <w:rPr>
          <w:rFonts w:ascii="Arial" w:hAnsi="Arial" w:cs="Arial"/>
          <w:sz w:val="20"/>
          <w:szCs w:val="20"/>
        </w:rPr>
        <w:t xml:space="preserve"> i </w:t>
      </w:r>
      <w:r w:rsidR="007050BA" w:rsidRPr="00220B5F">
        <w:rPr>
          <w:rFonts w:ascii="Arial" w:hAnsi="Arial" w:cs="Arial"/>
          <w:sz w:val="20"/>
          <w:szCs w:val="20"/>
        </w:rPr>
        <w:t>jego dziedzictwo jako potencjał do rozwoju turystyki (FISH MARKET)</w:t>
      </w:r>
      <w:r w:rsidR="004E0178">
        <w:rPr>
          <w:rFonts w:ascii="Arial" w:hAnsi="Arial" w:cs="Arial"/>
          <w:sz w:val="20"/>
          <w:szCs w:val="20"/>
        </w:rPr>
        <w:t>”</w:t>
      </w:r>
      <w:r w:rsidR="007050BA" w:rsidRPr="00220B5F">
        <w:rPr>
          <w:rFonts w:ascii="Arial" w:hAnsi="Arial" w:cs="Arial"/>
          <w:sz w:val="20"/>
          <w:szCs w:val="20"/>
        </w:rPr>
        <w:t xml:space="preserve">.  </w:t>
      </w:r>
    </w:p>
    <w:p w14:paraId="41D2FDEE" w14:textId="0CDA90D5" w:rsidR="00D95035" w:rsidRDefault="00214A31" w:rsidP="00687A76">
      <w:pPr>
        <w:spacing w:before="120" w:after="120" w:line="276" w:lineRule="auto"/>
        <w:jc w:val="both"/>
        <w:rPr>
          <w:rFonts w:ascii="Arial" w:hAnsi="Arial" w:cs="Arial"/>
          <w:sz w:val="20"/>
          <w:szCs w:val="20"/>
        </w:rPr>
      </w:pPr>
      <w:r w:rsidRPr="00220B5F">
        <w:rPr>
          <w:rFonts w:ascii="Arial" w:hAnsi="Arial" w:cs="Arial"/>
          <w:sz w:val="20"/>
          <w:szCs w:val="20"/>
        </w:rPr>
        <w:t xml:space="preserve">Liczba studentów w 2019 r. łącznie na wszystkich wydziałach ZUT wg stanu na dzień 31 grudnia </w:t>
      </w:r>
      <w:r w:rsidR="000304AF">
        <w:rPr>
          <w:rFonts w:ascii="Arial" w:hAnsi="Arial" w:cs="Arial"/>
          <w:sz w:val="20"/>
          <w:szCs w:val="20"/>
        </w:rPr>
        <w:br/>
      </w:r>
      <w:r w:rsidRPr="00220B5F">
        <w:rPr>
          <w:rFonts w:ascii="Arial" w:hAnsi="Arial" w:cs="Arial"/>
          <w:sz w:val="20"/>
          <w:szCs w:val="20"/>
        </w:rPr>
        <w:t>2019 r. wynosiła 6</w:t>
      </w:r>
      <w:r w:rsidR="003A0A48">
        <w:rPr>
          <w:rFonts w:ascii="Arial" w:hAnsi="Arial" w:cs="Arial"/>
          <w:sz w:val="20"/>
          <w:szCs w:val="20"/>
        </w:rPr>
        <w:t>922</w:t>
      </w:r>
      <w:r w:rsidR="00C45E53">
        <w:rPr>
          <w:rFonts w:ascii="Arial" w:hAnsi="Arial" w:cs="Arial"/>
          <w:sz w:val="20"/>
          <w:szCs w:val="20"/>
        </w:rPr>
        <w:t xml:space="preserve"> osoby</w:t>
      </w:r>
      <w:r w:rsidRPr="00220B5F">
        <w:rPr>
          <w:rFonts w:ascii="Arial" w:hAnsi="Arial" w:cs="Arial"/>
          <w:sz w:val="20"/>
          <w:szCs w:val="20"/>
        </w:rPr>
        <w:t>.</w:t>
      </w:r>
    </w:p>
    <w:p w14:paraId="5D17DFDF" w14:textId="6852B4DF" w:rsidR="0097295C" w:rsidRPr="00CD0601" w:rsidRDefault="0097295C" w:rsidP="00C7276B">
      <w:pPr>
        <w:pStyle w:val="Nagwek1"/>
        <w:spacing w:before="120" w:after="120"/>
        <w:jc w:val="both"/>
        <w:rPr>
          <w:rFonts w:ascii="Arial" w:hAnsi="Arial" w:cs="Arial"/>
          <w:b/>
          <w:color w:val="auto"/>
          <w:sz w:val="20"/>
          <w:szCs w:val="20"/>
        </w:rPr>
      </w:pPr>
      <w:bookmarkStart w:id="32" w:name="_Toc32492919"/>
      <w:bookmarkStart w:id="33" w:name="_Toc72745048"/>
      <w:r w:rsidRPr="00CD0601">
        <w:rPr>
          <w:rFonts w:ascii="Arial" w:hAnsi="Arial" w:cs="Arial"/>
          <w:b/>
          <w:color w:val="auto"/>
          <w:sz w:val="20"/>
          <w:szCs w:val="20"/>
        </w:rPr>
        <w:t>POLITYKA MORSKA RP</w:t>
      </w:r>
      <w:r w:rsidR="00BA5B1E" w:rsidRPr="00CD0601">
        <w:rPr>
          <w:rFonts w:ascii="Arial" w:hAnsi="Arial" w:cs="Arial"/>
          <w:b/>
          <w:color w:val="auto"/>
          <w:sz w:val="20"/>
          <w:szCs w:val="20"/>
        </w:rPr>
        <w:t xml:space="preserve"> W </w:t>
      </w:r>
      <w:r w:rsidR="004C6CC5" w:rsidRPr="00CD0601">
        <w:rPr>
          <w:rFonts w:ascii="Arial" w:hAnsi="Arial" w:cs="Arial"/>
          <w:b/>
          <w:color w:val="auto"/>
          <w:sz w:val="20"/>
          <w:szCs w:val="20"/>
        </w:rPr>
        <w:t> </w:t>
      </w:r>
      <w:r w:rsidR="00CD0601" w:rsidRPr="00CD0601">
        <w:rPr>
          <w:rFonts w:ascii="Arial" w:hAnsi="Arial" w:cs="Arial"/>
          <w:b/>
          <w:color w:val="auto"/>
          <w:sz w:val="20"/>
          <w:szCs w:val="20"/>
        </w:rPr>
        <w:t xml:space="preserve">ODNIESIENIU DO REGIONU ARKTYKI </w:t>
      </w:r>
      <w:r w:rsidRPr="00CD0601">
        <w:rPr>
          <w:rFonts w:ascii="Arial" w:hAnsi="Arial" w:cs="Arial"/>
          <w:b/>
          <w:color w:val="auto"/>
          <w:sz w:val="20"/>
          <w:szCs w:val="20"/>
        </w:rPr>
        <w:t>I ANTARKTYKI.</w:t>
      </w:r>
      <w:bookmarkEnd w:id="32"/>
      <w:bookmarkEnd w:id="33"/>
    </w:p>
    <w:p w14:paraId="250436BB" w14:textId="0D4769D4" w:rsidR="003411E0" w:rsidRPr="00CD0601" w:rsidRDefault="003411E0" w:rsidP="00C7276B">
      <w:pPr>
        <w:pStyle w:val="Nagwek2"/>
        <w:spacing w:before="120" w:after="120"/>
        <w:rPr>
          <w:rFonts w:ascii="Arial" w:hAnsi="Arial" w:cs="Arial"/>
          <w:b/>
          <w:color w:val="auto"/>
          <w:sz w:val="20"/>
          <w:szCs w:val="20"/>
        </w:rPr>
      </w:pPr>
      <w:bookmarkStart w:id="34" w:name="_Toc72745049"/>
      <w:r w:rsidRPr="00CD0601">
        <w:rPr>
          <w:rFonts w:ascii="Arial" w:hAnsi="Arial" w:cs="Arial"/>
          <w:b/>
          <w:color w:val="auto"/>
          <w:sz w:val="20"/>
          <w:szCs w:val="20"/>
        </w:rPr>
        <w:t>Zaangażowanie Rzeczypospolitej Polskiej</w:t>
      </w:r>
      <w:r w:rsidR="004C6CC5" w:rsidRPr="00CD0601">
        <w:rPr>
          <w:rFonts w:ascii="Arial" w:hAnsi="Arial" w:cs="Arial"/>
          <w:b/>
          <w:color w:val="auto"/>
          <w:sz w:val="20"/>
          <w:szCs w:val="20"/>
        </w:rPr>
        <w:t xml:space="preserve"> w </w:t>
      </w:r>
      <w:r w:rsidRPr="00CD0601">
        <w:rPr>
          <w:rFonts w:ascii="Arial" w:hAnsi="Arial" w:cs="Arial"/>
          <w:b/>
          <w:color w:val="auto"/>
          <w:sz w:val="20"/>
          <w:szCs w:val="20"/>
        </w:rPr>
        <w:t>regionie Arktyki</w:t>
      </w:r>
      <w:r w:rsidR="004C6CC5" w:rsidRPr="00CD0601">
        <w:rPr>
          <w:rFonts w:ascii="Arial" w:hAnsi="Arial" w:cs="Arial"/>
          <w:b/>
          <w:color w:val="auto"/>
          <w:sz w:val="20"/>
          <w:szCs w:val="20"/>
        </w:rPr>
        <w:t xml:space="preserve"> i </w:t>
      </w:r>
      <w:r w:rsidRPr="00CD0601">
        <w:rPr>
          <w:rFonts w:ascii="Arial" w:hAnsi="Arial" w:cs="Arial"/>
          <w:b/>
          <w:color w:val="auto"/>
          <w:sz w:val="20"/>
          <w:szCs w:val="20"/>
        </w:rPr>
        <w:t>Antarktyki.</w:t>
      </w:r>
      <w:bookmarkEnd w:id="34"/>
    </w:p>
    <w:p w14:paraId="19D99D29" w14:textId="4C2126E6" w:rsidR="009F6A64" w:rsidRPr="009F6A64" w:rsidRDefault="009F6A64" w:rsidP="00572A1E">
      <w:pPr>
        <w:spacing w:before="120" w:after="120" w:line="276" w:lineRule="auto"/>
        <w:jc w:val="both"/>
        <w:rPr>
          <w:rFonts w:ascii="Arial" w:hAnsi="Arial" w:cs="Arial"/>
          <w:sz w:val="20"/>
          <w:szCs w:val="20"/>
        </w:rPr>
      </w:pPr>
      <w:r w:rsidRPr="009F6A64">
        <w:rPr>
          <w:rFonts w:ascii="Arial" w:hAnsi="Arial" w:cs="Arial"/>
          <w:sz w:val="20"/>
          <w:szCs w:val="20"/>
        </w:rPr>
        <w:t xml:space="preserve">Częścią </w:t>
      </w:r>
      <w:r>
        <w:rPr>
          <w:rFonts w:ascii="Arial" w:hAnsi="Arial" w:cs="Arial"/>
          <w:sz w:val="20"/>
          <w:szCs w:val="20"/>
        </w:rPr>
        <w:t xml:space="preserve">polskiej polityki morskiej jest polityka RP wobec obszarów </w:t>
      </w:r>
      <w:r w:rsidRPr="009F6A64">
        <w:rPr>
          <w:rFonts w:ascii="Arial" w:hAnsi="Arial" w:cs="Arial"/>
          <w:sz w:val="20"/>
          <w:szCs w:val="20"/>
        </w:rPr>
        <w:t>położonych</w:t>
      </w:r>
      <w:r>
        <w:rPr>
          <w:rFonts w:ascii="Arial" w:hAnsi="Arial" w:cs="Arial"/>
          <w:sz w:val="20"/>
          <w:szCs w:val="20"/>
        </w:rPr>
        <w:t xml:space="preserve"> w regionach polarnych, tj. w Arktyce oraz w Antarktyce. </w:t>
      </w:r>
      <w:r w:rsidRPr="009F6A64">
        <w:rPr>
          <w:rFonts w:ascii="Arial" w:hAnsi="Arial" w:cs="Arial"/>
          <w:sz w:val="20"/>
          <w:szCs w:val="20"/>
        </w:rPr>
        <w:t xml:space="preserve">Polityką </w:t>
      </w:r>
      <w:r>
        <w:rPr>
          <w:rFonts w:ascii="Arial" w:hAnsi="Arial" w:cs="Arial"/>
          <w:sz w:val="20"/>
          <w:szCs w:val="20"/>
        </w:rPr>
        <w:t xml:space="preserve">Rzeczypospolitej Polskiej w relacji do tych dwóch obszarów zajmuje się Grupa Robocza ad hoc do spraw polarnych, tzw. Polar Task Force (PTF), </w:t>
      </w:r>
      <w:r w:rsidRPr="009F6A64">
        <w:rPr>
          <w:rFonts w:ascii="Arial" w:hAnsi="Arial" w:cs="Arial"/>
          <w:sz w:val="20"/>
          <w:szCs w:val="20"/>
        </w:rPr>
        <w:t xml:space="preserve">powołana decyzją </w:t>
      </w:r>
      <w:r>
        <w:rPr>
          <w:rFonts w:ascii="Arial" w:hAnsi="Arial" w:cs="Arial"/>
          <w:sz w:val="20"/>
          <w:szCs w:val="20"/>
        </w:rPr>
        <w:t xml:space="preserve">Ministra Spraw Zagranicznych w 2011 r. Grupa jest forum dialogu i </w:t>
      </w:r>
      <w:r w:rsidRPr="009F6A64">
        <w:rPr>
          <w:rFonts w:ascii="Arial" w:hAnsi="Arial" w:cs="Arial"/>
          <w:sz w:val="20"/>
          <w:szCs w:val="20"/>
        </w:rPr>
        <w:t xml:space="preserve">współpracy </w:t>
      </w:r>
      <w:r>
        <w:rPr>
          <w:rFonts w:ascii="Arial" w:hAnsi="Arial" w:cs="Arial"/>
          <w:sz w:val="20"/>
          <w:szCs w:val="20"/>
        </w:rPr>
        <w:t xml:space="preserve">przedstawicieli organów administracji </w:t>
      </w:r>
      <w:r w:rsidRPr="009F6A64">
        <w:rPr>
          <w:rFonts w:ascii="Arial" w:hAnsi="Arial" w:cs="Arial"/>
          <w:sz w:val="20"/>
          <w:szCs w:val="20"/>
        </w:rPr>
        <w:t xml:space="preserve">państwowej, środowisk </w:t>
      </w:r>
      <w:r>
        <w:rPr>
          <w:rFonts w:ascii="Arial" w:hAnsi="Arial" w:cs="Arial"/>
          <w:sz w:val="20"/>
          <w:szCs w:val="20"/>
        </w:rPr>
        <w:t xml:space="preserve">naukowych, biznesu oraz organizacji </w:t>
      </w:r>
      <w:r w:rsidRPr="009F6A64">
        <w:rPr>
          <w:rFonts w:ascii="Arial" w:hAnsi="Arial" w:cs="Arial"/>
          <w:sz w:val="20"/>
          <w:szCs w:val="20"/>
        </w:rPr>
        <w:t xml:space="preserve">pozarządowych. </w:t>
      </w:r>
      <w:r>
        <w:rPr>
          <w:rFonts w:ascii="Arial" w:hAnsi="Arial" w:cs="Arial"/>
          <w:sz w:val="20"/>
          <w:szCs w:val="20"/>
        </w:rPr>
        <w:t xml:space="preserve">Podczas dorocznego spotkania PTF, które </w:t>
      </w:r>
      <w:r w:rsidRPr="009F6A64">
        <w:rPr>
          <w:rFonts w:ascii="Arial" w:hAnsi="Arial" w:cs="Arial"/>
          <w:sz w:val="20"/>
          <w:szCs w:val="20"/>
        </w:rPr>
        <w:t xml:space="preserve">odbyło się </w:t>
      </w:r>
      <w:r>
        <w:rPr>
          <w:rFonts w:ascii="Arial" w:hAnsi="Arial" w:cs="Arial"/>
          <w:sz w:val="20"/>
          <w:szCs w:val="20"/>
        </w:rPr>
        <w:t xml:space="preserve">w dniu </w:t>
      </w:r>
      <w:r w:rsidR="00572A1E">
        <w:rPr>
          <w:rFonts w:ascii="Arial" w:hAnsi="Arial" w:cs="Arial"/>
          <w:sz w:val="20"/>
          <w:szCs w:val="20"/>
        </w:rPr>
        <w:t>18</w:t>
      </w:r>
      <w:r>
        <w:rPr>
          <w:rFonts w:ascii="Arial" w:hAnsi="Arial" w:cs="Arial"/>
          <w:sz w:val="20"/>
          <w:szCs w:val="20"/>
        </w:rPr>
        <w:t xml:space="preserve"> grudnia 2</w:t>
      </w:r>
      <w:r w:rsidR="00A547FE">
        <w:rPr>
          <w:rFonts w:ascii="Arial" w:hAnsi="Arial" w:cs="Arial"/>
          <w:sz w:val="20"/>
          <w:szCs w:val="20"/>
        </w:rPr>
        <w:t>019 r.</w:t>
      </w:r>
      <w:r>
        <w:rPr>
          <w:rFonts w:ascii="Arial" w:hAnsi="Arial" w:cs="Arial"/>
          <w:sz w:val="20"/>
          <w:szCs w:val="20"/>
        </w:rPr>
        <w:t xml:space="preserve"> poruszono i przedyskutowano </w:t>
      </w:r>
      <w:r w:rsidR="00503295">
        <w:rPr>
          <w:rFonts w:ascii="Arial" w:hAnsi="Arial" w:cs="Arial"/>
          <w:sz w:val="20"/>
          <w:szCs w:val="20"/>
        </w:rPr>
        <w:br/>
      </w:r>
      <w:r>
        <w:rPr>
          <w:rFonts w:ascii="Arial" w:hAnsi="Arial" w:cs="Arial"/>
          <w:sz w:val="20"/>
          <w:szCs w:val="20"/>
        </w:rPr>
        <w:t>w gronie ekspertów m.in. takie zagadnienia</w:t>
      </w:r>
      <w:r w:rsidR="00503295">
        <w:rPr>
          <w:rFonts w:ascii="Arial" w:hAnsi="Arial" w:cs="Arial"/>
          <w:sz w:val="20"/>
          <w:szCs w:val="20"/>
        </w:rPr>
        <w:t>,</w:t>
      </w:r>
      <w:r>
        <w:rPr>
          <w:rFonts w:ascii="Arial" w:hAnsi="Arial" w:cs="Arial"/>
          <w:sz w:val="20"/>
          <w:szCs w:val="20"/>
        </w:rPr>
        <w:t xml:space="preserve"> jak</w:t>
      </w:r>
      <w:r w:rsidR="00503295">
        <w:rPr>
          <w:rFonts w:ascii="Arial" w:hAnsi="Arial" w:cs="Arial"/>
          <w:sz w:val="20"/>
          <w:szCs w:val="20"/>
        </w:rPr>
        <w:t>:</w:t>
      </w:r>
      <w:r w:rsidR="00572A1E">
        <w:rPr>
          <w:rFonts w:ascii="Arial" w:hAnsi="Arial" w:cs="Arial"/>
          <w:sz w:val="20"/>
          <w:szCs w:val="20"/>
        </w:rPr>
        <w:t xml:space="preserve"> p</w:t>
      </w:r>
      <w:r w:rsidR="00572A1E" w:rsidRPr="00572A1E">
        <w:rPr>
          <w:rFonts w:ascii="Arial" w:hAnsi="Arial" w:cs="Arial"/>
          <w:sz w:val="20"/>
          <w:szCs w:val="20"/>
        </w:rPr>
        <w:t>roblematyka skutecznego zarządzania polityką polarną, wyzwania związane z zanieczyszczeniem mórz i oceanów, narzędzia skutecznej dyplomacji cyfrowej w promowaniu polityki polarnej państwa oraz nowe inicjatywy polskich naukowców w wymiarze międzynarodowym</w:t>
      </w:r>
      <w:r w:rsidR="008974C5">
        <w:rPr>
          <w:rFonts w:ascii="Arial" w:hAnsi="Arial" w:cs="Arial"/>
          <w:sz w:val="20"/>
          <w:szCs w:val="20"/>
        </w:rPr>
        <w:t>.</w:t>
      </w:r>
      <w:r w:rsidR="00572A1E" w:rsidRPr="00572A1E">
        <w:rPr>
          <w:rFonts w:ascii="Arial" w:hAnsi="Arial" w:cs="Arial"/>
          <w:sz w:val="20"/>
          <w:szCs w:val="20"/>
        </w:rPr>
        <w:t xml:space="preserve"> </w:t>
      </w:r>
    </w:p>
    <w:p w14:paraId="4ACB6F7A" w14:textId="692A3A4B" w:rsidR="00DD3BD6" w:rsidRPr="00A65F18" w:rsidRDefault="00691F9D" w:rsidP="0039408D">
      <w:pPr>
        <w:autoSpaceDE w:val="0"/>
        <w:autoSpaceDN w:val="0"/>
        <w:adjustRightInd w:val="0"/>
        <w:spacing w:before="120" w:after="120" w:line="276" w:lineRule="auto"/>
        <w:jc w:val="both"/>
        <w:rPr>
          <w:rFonts w:ascii="Arial" w:hAnsi="Arial" w:cs="Arial"/>
          <w:sz w:val="20"/>
          <w:szCs w:val="20"/>
        </w:rPr>
      </w:pPr>
      <w:r w:rsidRPr="00A65F18">
        <w:rPr>
          <w:rFonts w:ascii="Arial" w:hAnsi="Arial" w:cs="Arial"/>
          <w:sz w:val="20"/>
          <w:szCs w:val="20"/>
        </w:rPr>
        <w:t>Ponadto w</w:t>
      </w:r>
      <w:r w:rsidR="00DD3BD6" w:rsidRPr="00A65F18">
        <w:rPr>
          <w:rFonts w:ascii="Arial" w:hAnsi="Arial" w:cs="Arial"/>
          <w:sz w:val="20"/>
          <w:szCs w:val="20"/>
        </w:rPr>
        <w:t xml:space="preserve"> 2019 r. kontynuowany </w:t>
      </w:r>
      <w:r w:rsidRPr="00A65F18">
        <w:rPr>
          <w:rFonts w:ascii="Arial" w:hAnsi="Arial" w:cs="Arial"/>
          <w:sz w:val="20"/>
          <w:szCs w:val="20"/>
        </w:rPr>
        <w:t xml:space="preserve">był </w:t>
      </w:r>
      <w:r w:rsidR="00DD3BD6" w:rsidRPr="00A65F18">
        <w:rPr>
          <w:rFonts w:ascii="Arial" w:hAnsi="Arial" w:cs="Arial"/>
          <w:sz w:val="20"/>
          <w:szCs w:val="20"/>
        </w:rPr>
        <w:t xml:space="preserve">proces przyjęcia „Polityki Polarnej Państwa” przez Radę Ministrów, w </w:t>
      </w:r>
      <w:r w:rsidRPr="00A65F18">
        <w:rPr>
          <w:rFonts w:ascii="Arial" w:hAnsi="Arial" w:cs="Arial"/>
          <w:sz w:val="20"/>
          <w:szCs w:val="20"/>
        </w:rPr>
        <w:t xml:space="preserve">ramach którego </w:t>
      </w:r>
      <w:r w:rsidR="00DD3BD6" w:rsidRPr="00A65F18">
        <w:rPr>
          <w:rFonts w:ascii="Arial" w:hAnsi="Arial" w:cs="Arial"/>
          <w:sz w:val="20"/>
          <w:szCs w:val="20"/>
        </w:rPr>
        <w:t xml:space="preserve">przeprowadzono uzgodnienia wewnątrz- i międzyresortowe. Zakończenie prac nad </w:t>
      </w:r>
      <w:r w:rsidR="00861B04">
        <w:rPr>
          <w:rFonts w:ascii="Arial" w:hAnsi="Arial" w:cs="Arial"/>
          <w:sz w:val="20"/>
          <w:szCs w:val="20"/>
        </w:rPr>
        <w:t>dokumentem rządowym w sprawie</w:t>
      </w:r>
      <w:r w:rsidR="00DD3BD6" w:rsidRPr="00A65F18">
        <w:rPr>
          <w:rFonts w:ascii="Arial" w:hAnsi="Arial" w:cs="Arial"/>
          <w:sz w:val="20"/>
          <w:szCs w:val="20"/>
        </w:rPr>
        <w:t xml:space="preserve"> polityki polarnej przewidziane </w:t>
      </w:r>
      <w:r w:rsidR="00A2764D" w:rsidRPr="00A65F18">
        <w:rPr>
          <w:rFonts w:ascii="Arial" w:hAnsi="Arial" w:cs="Arial"/>
          <w:sz w:val="20"/>
          <w:szCs w:val="20"/>
        </w:rPr>
        <w:t xml:space="preserve">jest </w:t>
      </w:r>
      <w:r w:rsidR="00DD3BD6" w:rsidRPr="00A65F18">
        <w:rPr>
          <w:rFonts w:ascii="Arial" w:hAnsi="Arial" w:cs="Arial"/>
          <w:sz w:val="20"/>
          <w:szCs w:val="20"/>
        </w:rPr>
        <w:t>w II kwartale 2020 r.</w:t>
      </w:r>
    </w:p>
    <w:p w14:paraId="7CCECEB0" w14:textId="01264671" w:rsidR="003411E0" w:rsidRPr="004C6CC5" w:rsidRDefault="003411E0" w:rsidP="009F6A64">
      <w:pPr>
        <w:spacing w:before="120" w:after="120" w:line="276" w:lineRule="auto"/>
        <w:jc w:val="both"/>
        <w:rPr>
          <w:rFonts w:ascii="Arial" w:hAnsi="Arial" w:cs="Arial"/>
          <w:sz w:val="20"/>
          <w:szCs w:val="20"/>
        </w:rPr>
      </w:pPr>
      <w:r w:rsidRPr="004C6CC5">
        <w:rPr>
          <w:rFonts w:ascii="Arial" w:hAnsi="Arial" w:cs="Arial"/>
          <w:sz w:val="20"/>
          <w:szCs w:val="20"/>
        </w:rPr>
        <w:t>Status prawny Oceanu Arktycznego wynika</w:t>
      </w:r>
      <w:r w:rsidR="004A7CE8">
        <w:rPr>
          <w:rFonts w:ascii="Arial" w:hAnsi="Arial" w:cs="Arial"/>
          <w:sz w:val="20"/>
          <w:szCs w:val="20"/>
        </w:rPr>
        <w:t xml:space="preserve"> w </w:t>
      </w:r>
      <w:r w:rsidRPr="004C6CC5">
        <w:rPr>
          <w:rFonts w:ascii="Arial" w:hAnsi="Arial" w:cs="Arial"/>
          <w:sz w:val="20"/>
          <w:szCs w:val="20"/>
        </w:rPr>
        <w:t>szczególności</w:t>
      </w:r>
      <w:r w:rsidR="004C6CC5">
        <w:rPr>
          <w:rFonts w:ascii="Arial" w:hAnsi="Arial" w:cs="Arial"/>
          <w:sz w:val="20"/>
          <w:szCs w:val="20"/>
        </w:rPr>
        <w:t xml:space="preserve"> z </w:t>
      </w:r>
      <w:r w:rsidRPr="004C6CC5">
        <w:rPr>
          <w:rFonts w:ascii="Arial" w:hAnsi="Arial" w:cs="Arial"/>
          <w:sz w:val="20"/>
          <w:szCs w:val="20"/>
        </w:rPr>
        <w:t>Konwencji N</w:t>
      </w:r>
      <w:r w:rsidR="00CC5634">
        <w:rPr>
          <w:rFonts w:ascii="Arial" w:hAnsi="Arial" w:cs="Arial"/>
          <w:sz w:val="20"/>
          <w:szCs w:val="20"/>
        </w:rPr>
        <w:t xml:space="preserve">arodów </w:t>
      </w:r>
      <w:r w:rsidRPr="004C6CC5">
        <w:rPr>
          <w:rFonts w:ascii="Arial" w:hAnsi="Arial" w:cs="Arial"/>
          <w:sz w:val="20"/>
          <w:szCs w:val="20"/>
        </w:rPr>
        <w:t>Z</w:t>
      </w:r>
      <w:r w:rsidR="00CC5634">
        <w:rPr>
          <w:rFonts w:ascii="Arial" w:hAnsi="Arial" w:cs="Arial"/>
          <w:sz w:val="20"/>
          <w:szCs w:val="20"/>
        </w:rPr>
        <w:t xml:space="preserve">jednoczonych </w:t>
      </w:r>
      <w:r w:rsidR="00B41D0F">
        <w:rPr>
          <w:rFonts w:ascii="Arial" w:hAnsi="Arial" w:cs="Arial"/>
          <w:sz w:val="20"/>
          <w:szCs w:val="20"/>
        </w:rPr>
        <w:br/>
      </w:r>
      <w:r w:rsidR="00CC5634">
        <w:rPr>
          <w:rFonts w:ascii="Arial" w:hAnsi="Arial" w:cs="Arial"/>
          <w:sz w:val="20"/>
          <w:szCs w:val="20"/>
        </w:rPr>
        <w:t xml:space="preserve">o prawie morza </w:t>
      </w:r>
      <w:r w:rsidRPr="004C6CC5">
        <w:rPr>
          <w:rFonts w:ascii="Arial" w:hAnsi="Arial" w:cs="Arial"/>
          <w:sz w:val="20"/>
          <w:szCs w:val="20"/>
        </w:rPr>
        <w:t>z 1982</w:t>
      </w:r>
      <w:r w:rsidR="009D01B9" w:rsidRPr="004C6CC5">
        <w:rPr>
          <w:rFonts w:ascii="Arial" w:hAnsi="Arial" w:cs="Arial"/>
          <w:sz w:val="20"/>
          <w:szCs w:val="20"/>
        </w:rPr>
        <w:t xml:space="preserve"> r. </w:t>
      </w:r>
      <w:r w:rsidRPr="004C6CC5">
        <w:rPr>
          <w:rFonts w:ascii="Arial" w:hAnsi="Arial" w:cs="Arial"/>
          <w:sz w:val="20"/>
          <w:szCs w:val="20"/>
        </w:rPr>
        <w:t>(UNCLOS). Natomiast najważniejszym forum międzyrządowym zajmującym się regionem Arktyki jest powołana</w:t>
      </w:r>
      <w:r w:rsidR="00D028F2">
        <w:rPr>
          <w:rFonts w:ascii="Arial" w:hAnsi="Arial" w:cs="Arial"/>
          <w:sz w:val="20"/>
          <w:szCs w:val="20"/>
        </w:rPr>
        <w:t xml:space="preserve"> w </w:t>
      </w:r>
      <w:r w:rsidRPr="004C6CC5">
        <w:rPr>
          <w:rFonts w:ascii="Arial" w:hAnsi="Arial" w:cs="Arial"/>
          <w:sz w:val="20"/>
          <w:szCs w:val="20"/>
        </w:rPr>
        <w:t>1996</w:t>
      </w:r>
      <w:r w:rsidR="009D01B9" w:rsidRPr="004C6CC5">
        <w:rPr>
          <w:rFonts w:ascii="Arial" w:hAnsi="Arial" w:cs="Arial"/>
          <w:sz w:val="20"/>
          <w:szCs w:val="20"/>
        </w:rPr>
        <w:t xml:space="preserve"> r. </w:t>
      </w:r>
      <w:r w:rsidRPr="004C6CC5">
        <w:rPr>
          <w:rFonts w:ascii="Arial" w:hAnsi="Arial" w:cs="Arial"/>
          <w:sz w:val="20"/>
          <w:szCs w:val="20"/>
        </w:rPr>
        <w:t>Rada Arktyczna (RA), skupiająca osiem państw, których terytoria znajdują się na północ od koła podbiegunowego (Dania, Finlandia, Islandia, Kanada, Norwegia, Rosja, Stany Zjednoczone</w:t>
      </w:r>
      <w:r w:rsidR="004A7CE8">
        <w:rPr>
          <w:rFonts w:ascii="Arial" w:hAnsi="Arial" w:cs="Arial"/>
          <w:sz w:val="20"/>
          <w:szCs w:val="20"/>
        </w:rPr>
        <w:t xml:space="preserve"> i </w:t>
      </w:r>
      <w:r w:rsidRPr="004C6CC5">
        <w:rPr>
          <w:rFonts w:ascii="Arial" w:hAnsi="Arial" w:cs="Arial"/>
          <w:sz w:val="20"/>
          <w:szCs w:val="20"/>
        </w:rPr>
        <w:t>Szwecja). Polska uczestniczy</w:t>
      </w:r>
      <w:r w:rsidR="004A7CE8">
        <w:rPr>
          <w:rFonts w:ascii="Arial" w:hAnsi="Arial" w:cs="Arial"/>
          <w:sz w:val="20"/>
          <w:szCs w:val="20"/>
        </w:rPr>
        <w:t xml:space="preserve"> w </w:t>
      </w:r>
      <w:r w:rsidRPr="004C6CC5">
        <w:rPr>
          <w:rFonts w:ascii="Arial" w:hAnsi="Arial" w:cs="Arial"/>
          <w:sz w:val="20"/>
          <w:szCs w:val="20"/>
        </w:rPr>
        <w:t>pracach Rady od początku jej istnienia jako obserwator, postrzegając tę organizację jako głównego aktora zdolnego zapewnić perspektywiczny rozwój</w:t>
      </w:r>
      <w:r w:rsidR="004A7CE8">
        <w:rPr>
          <w:rFonts w:ascii="Arial" w:hAnsi="Arial" w:cs="Arial"/>
          <w:sz w:val="20"/>
          <w:szCs w:val="20"/>
        </w:rPr>
        <w:t xml:space="preserve"> i </w:t>
      </w:r>
      <w:r w:rsidRPr="004C6CC5">
        <w:rPr>
          <w:rFonts w:ascii="Arial" w:hAnsi="Arial" w:cs="Arial"/>
          <w:sz w:val="20"/>
          <w:szCs w:val="20"/>
        </w:rPr>
        <w:t>prawno-międzynarodowy ład</w:t>
      </w:r>
      <w:r w:rsidR="00D028F2">
        <w:rPr>
          <w:rFonts w:ascii="Arial" w:hAnsi="Arial" w:cs="Arial"/>
          <w:sz w:val="20"/>
          <w:szCs w:val="20"/>
        </w:rPr>
        <w:t xml:space="preserve"> w </w:t>
      </w:r>
      <w:r w:rsidRPr="004C6CC5">
        <w:rPr>
          <w:rFonts w:ascii="Arial" w:hAnsi="Arial" w:cs="Arial"/>
          <w:sz w:val="20"/>
          <w:szCs w:val="20"/>
        </w:rPr>
        <w:t>Arktyce.</w:t>
      </w:r>
      <w:r w:rsidR="00AF2C70">
        <w:rPr>
          <w:rFonts w:ascii="Arial" w:hAnsi="Arial" w:cs="Arial"/>
          <w:sz w:val="20"/>
          <w:szCs w:val="20"/>
        </w:rPr>
        <w:t xml:space="preserve"> </w:t>
      </w:r>
    </w:p>
    <w:p w14:paraId="24DC413B" w14:textId="2847F5D7" w:rsidR="003411E0" w:rsidRPr="004C6CC5" w:rsidRDefault="003411E0" w:rsidP="00C7276B">
      <w:pPr>
        <w:autoSpaceDE w:val="0"/>
        <w:autoSpaceDN w:val="0"/>
        <w:adjustRightInd w:val="0"/>
        <w:spacing w:before="120" w:after="120" w:line="276" w:lineRule="auto"/>
        <w:jc w:val="both"/>
        <w:rPr>
          <w:rFonts w:ascii="Arial" w:hAnsi="Arial" w:cs="Arial"/>
          <w:sz w:val="20"/>
          <w:szCs w:val="20"/>
        </w:rPr>
      </w:pPr>
      <w:r w:rsidRPr="004C6CC5">
        <w:rPr>
          <w:rFonts w:ascii="Arial" w:hAnsi="Arial" w:cs="Arial"/>
          <w:sz w:val="20"/>
          <w:szCs w:val="20"/>
        </w:rPr>
        <w:t xml:space="preserve">Rada Arktyczna koncentruje </w:t>
      </w:r>
      <w:r w:rsidRPr="004C6CC5">
        <w:rPr>
          <w:rFonts w:ascii="Arial" w:eastAsia="HiddenHorzOCR" w:hAnsi="Arial" w:cs="Arial"/>
          <w:sz w:val="20"/>
          <w:szCs w:val="20"/>
        </w:rPr>
        <w:t xml:space="preserve">się </w:t>
      </w:r>
      <w:r w:rsidRPr="004C6CC5">
        <w:rPr>
          <w:rFonts w:ascii="Arial" w:hAnsi="Arial" w:cs="Arial"/>
          <w:sz w:val="20"/>
          <w:szCs w:val="20"/>
        </w:rPr>
        <w:t xml:space="preserve">na sprawach </w:t>
      </w:r>
      <w:r w:rsidRPr="004C6CC5">
        <w:rPr>
          <w:rFonts w:ascii="Arial" w:eastAsia="HiddenHorzOCR" w:hAnsi="Arial" w:cs="Arial"/>
          <w:sz w:val="20"/>
          <w:szCs w:val="20"/>
        </w:rPr>
        <w:t xml:space="preserve">zrównoważonego </w:t>
      </w:r>
      <w:r w:rsidRPr="004C6CC5">
        <w:rPr>
          <w:rFonts w:ascii="Arial" w:hAnsi="Arial" w:cs="Arial"/>
          <w:sz w:val="20"/>
          <w:szCs w:val="20"/>
        </w:rPr>
        <w:t xml:space="preserve">rozwoju Arktyki, a </w:t>
      </w:r>
      <w:r w:rsidRPr="004C6CC5">
        <w:rPr>
          <w:rFonts w:ascii="Arial" w:eastAsia="HiddenHorzOCR" w:hAnsi="Arial" w:cs="Arial"/>
          <w:sz w:val="20"/>
          <w:szCs w:val="20"/>
        </w:rPr>
        <w:t xml:space="preserve">więc </w:t>
      </w:r>
      <w:r w:rsidRPr="004C6CC5">
        <w:rPr>
          <w:rFonts w:ascii="Arial" w:hAnsi="Arial" w:cs="Arial"/>
          <w:sz w:val="20"/>
          <w:szCs w:val="20"/>
        </w:rPr>
        <w:t xml:space="preserve">na ochronie </w:t>
      </w:r>
      <w:r w:rsidRPr="004C6CC5">
        <w:rPr>
          <w:rFonts w:ascii="Arial" w:eastAsia="HiddenHorzOCR" w:hAnsi="Arial" w:cs="Arial"/>
          <w:sz w:val="20"/>
          <w:szCs w:val="20"/>
        </w:rPr>
        <w:t xml:space="preserve">środowiska, </w:t>
      </w:r>
      <w:r w:rsidRPr="004C6CC5">
        <w:rPr>
          <w:rFonts w:ascii="Arial" w:hAnsi="Arial" w:cs="Arial"/>
          <w:sz w:val="20"/>
          <w:szCs w:val="20"/>
        </w:rPr>
        <w:t xml:space="preserve">prowadzeniu wszechstronnych </w:t>
      </w:r>
      <w:r w:rsidRPr="004C6CC5">
        <w:rPr>
          <w:rFonts w:ascii="Arial" w:eastAsia="HiddenHorzOCR" w:hAnsi="Arial" w:cs="Arial"/>
          <w:sz w:val="20"/>
          <w:szCs w:val="20"/>
        </w:rPr>
        <w:t xml:space="preserve">badań </w:t>
      </w:r>
      <w:r w:rsidRPr="004C6CC5">
        <w:rPr>
          <w:rFonts w:ascii="Arial" w:hAnsi="Arial" w:cs="Arial"/>
          <w:sz w:val="20"/>
          <w:szCs w:val="20"/>
        </w:rPr>
        <w:t xml:space="preserve">naukowych, monitoringu </w:t>
      </w:r>
      <w:r w:rsidRPr="004C6CC5">
        <w:rPr>
          <w:rFonts w:ascii="Arial" w:eastAsia="HiddenHorzOCR" w:hAnsi="Arial" w:cs="Arial"/>
          <w:sz w:val="20"/>
          <w:szCs w:val="20"/>
        </w:rPr>
        <w:t>następstw zachodzących</w:t>
      </w:r>
      <w:r w:rsidRPr="004C6CC5">
        <w:rPr>
          <w:rFonts w:ascii="Arial" w:hAnsi="Arial" w:cs="Arial"/>
          <w:sz w:val="20"/>
          <w:szCs w:val="20"/>
        </w:rPr>
        <w:t xml:space="preserve"> zmian klimatycznych oraz rozwiązywaniu problemów</w:t>
      </w:r>
      <w:r w:rsidR="004C6CC5">
        <w:rPr>
          <w:rFonts w:ascii="Arial" w:hAnsi="Arial" w:cs="Arial"/>
          <w:sz w:val="20"/>
          <w:szCs w:val="20"/>
        </w:rPr>
        <w:t xml:space="preserve"> i </w:t>
      </w:r>
      <w:r w:rsidRPr="004C6CC5">
        <w:rPr>
          <w:rFonts w:ascii="Arial" w:hAnsi="Arial" w:cs="Arial"/>
          <w:sz w:val="20"/>
          <w:szCs w:val="20"/>
        </w:rPr>
        <w:t xml:space="preserve">wspieraniu rozwoju społeczno-gospodarczego </w:t>
      </w:r>
      <w:r w:rsidRPr="004C6CC5">
        <w:rPr>
          <w:rFonts w:ascii="Arial" w:eastAsia="HiddenHorzOCR" w:hAnsi="Arial" w:cs="Arial"/>
          <w:sz w:val="20"/>
          <w:szCs w:val="20"/>
        </w:rPr>
        <w:t xml:space="preserve">ludności </w:t>
      </w:r>
      <w:r w:rsidRPr="004C6CC5">
        <w:rPr>
          <w:rFonts w:ascii="Arial" w:hAnsi="Arial" w:cs="Arial"/>
          <w:sz w:val="20"/>
          <w:szCs w:val="20"/>
        </w:rPr>
        <w:t>rodzimej.</w:t>
      </w:r>
      <w:r w:rsidR="001773AF">
        <w:rPr>
          <w:rFonts w:ascii="Arial" w:hAnsi="Arial" w:cs="Arial"/>
          <w:sz w:val="20"/>
          <w:szCs w:val="20"/>
        </w:rPr>
        <w:t xml:space="preserve"> W</w:t>
      </w:r>
      <w:r w:rsidR="00D028F2">
        <w:rPr>
          <w:rFonts w:ascii="Arial" w:hAnsi="Arial" w:cs="Arial"/>
          <w:sz w:val="20"/>
          <w:szCs w:val="20"/>
        </w:rPr>
        <w:t xml:space="preserve"> </w:t>
      </w:r>
      <w:r w:rsidRPr="004C6CC5">
        <w:rPr>
          <w:rFonts w:ascii="Arial" w:hAnsi="Arial" w:cs="Arial"/>
          <w:sz w:val="20"/>
          <w:szCs w:val="20"/>
        </w:rPr>
        <w:t xml:space="preserve">obszarze zainteresowania Rady </w:t>
      </w:r>
      <w:r w:rsidRPr="004C6CC5">
        <w:rPr>
          <w:rFonts w:ascii="Arial" w:eastAsia="HiddenHorzOCR" w:hAnsi="Arial" w:cs="Arial"/>
          <w:sz w:val="20"/>
          <w:szCs w:val="20"/>
        </w:rPr>
        <w:t>znajdują się</w:t>
      </w:r>
      <w:r w:rsidRPr="004C6CC5">
        <w:rPr>
          <w:rFonts w:ascii="Arial" w:hAnsi="Arial" w:cs="Arial"/>
          <w:sz w:val="20"/>
          <w:szCs w:val="20"/>
        </w:rPr>
        <w:t xml:space="preserve"> </w:t>
      </w:r>
      <w:r w:rsidRPr="004C6CC5">
        <w:rPr>
          <w:rFonts w:ascii="Arial" w:eastAsia="HiddenHorzOCR" w:hAnsi="Arial" w:cs="Arial"/>
          <w:sz w:val="20"/>
          <w:szCs w:val="20"/>
        </w:rPr>
        <w:t xml:space="preserve">także </w:t>
      </w:r>
      <w:r w:rsidRPr="004C6CC5">
        <w:rPr>
          <w:rFonts w:ascii="Arial" w:hAnsi="Arial" w:cs="Arial"/>
          <w:sz w:val="20"/>
          <w:szCs w:val="20"/>
        </w:rPr>
        <w:t xml:space="preserve">takie kwestie jak rozwój szlaków </w:t>
      </w:r>
      <w:r w:rsidRPr="004C6CC5">
        <w:rPr>
          <w:rFonts w:ascii="Arial" w:eastAsia="HiddenHorzOCR" w:hAnsi="Arial" w:cs="Arial"/>
          <w:sz w:val="20"/>
          <w:szCs w:val="20"/>
        </w:rPr>
        <w:t>żeglugowych</w:t>
      </w:r>
      <w:r w:rsidR="00D028F2">
        <w:rPr>
          <w:rFonts w:ascii="Arial" w:eastAsia="HiddenHorzOCR" w:hAnsi="Arial" w:cs="Arial"/>
          <w:sz w:val="20"/>
          <w:szCs w:val="20"/>
        </w:rPr>
        <w:t xml:space="preserve"> w </w:t>
      </w:r>
      <w:r w:rsidRPr="004C6CC5">
        <w:rPr>
          <w:rFonts w:ascii="Arial" w:hAnsi="Arial" w:cs="Arial"/>
          <w:sz w:val="20"/>
          <w:szCs w:val="20"/>
        </w:rPr>
        <w:t xml:space="preserve">Arktyce, czy bezpieczeństwo </w:t>
      </w:r>
      <w:r w:rsidRPr="004C6CC5">
        <w:rPr>
          <w:rFonts w:ascii="Arial" w:eastAsia="HiddenHorzOCR" w:hAnsi="Arial" w:cs="Arial"/>
          <w:sz w:val="20"/>
          <w:szCs w:val="20"/>
        </w:rPr>
        <w:t xml:space="preserve">zarządzania </w:t>
      </w:r>
      <w:r w:rsidRPr="004C6CC5">
        <w:rPr>
          <w:rFonts w:ascii="Arial" w:hAnsi="Arial" w:cs="Arial"/>
          <w:sz w:val="20"/>
          <w:szCs w:val="20"/>
        </w:rPr>
        <w:t xml:space="preserve">bogactwami naturalnymi regionu. </w:t>
      </w:r>
    </w:p>
    <w:p w14:paraId="30BF41B0" w14:textId="0CADCEF2" w:rsidR="003411E0" w:rsidRPr="004C6CC5" w:rsidRDefault="003411E0" w:rsidP="00C7276B">
      <w:pPr>
        <w:autoSpaceDE w:val="0"/>
        <w:autoSpaceDN w:val="0"/>
        <w:adjustRightInd w:val="0"/>
        <w:spacing w:before="120" w:after="120" w:line="276" w:lineRule="auto"/>
        <w:jc w:val="both"/>
        <w:rPr>
          <w:rFonts w:ascii="Arial" w:hAnsi="Arial" w:cs="Arial"/>
          <w:sz w:val="20"/>
          <w:szCs w:val="20"/>
        </w:rPr>
      </w:pPr>
      <w:r w:rsidRPr="004C6CC5">
        <w:rPr>
          <w:rFonts w:ascii="Arial" w:hAnsi="Arial" w:cs="Arial"/>
          <w:sz w:val="20"/>
          <w:szCs w:val="20"/>
        </w:rPr>
        <w:t xml:space="preserve">W ostatnich latach rola Rady Arktycznej znacznie </w:t>
      </w:r>
      <w:r w:rsidRPr="004C6CC5">
        <w:rPr>
          <w:rFonts w:ascii="Arial" w:eastAsia="HiddenHorzOCR" w:hAnsi="Arial" w:cs="Arial"/>
          <w:sz w:val="20"/>
          <w:szCs w:val="20"/>
        </w:rPr>
        <w:t>wzrosła</w:t>
      </w:r>
      <w:r w:rsidR="004C6CC5">
        <w:rPr>
          <w:rFonts w:ascii="Arial" w:eastAsia="HiddenHorzOCR" w:hAnsi="Arial" w:cs="Arial"/>
          <w:sz w:val="20"/>
          <w:szCs w:val="20"/>
        </w:rPr>
        <w:t xml:space="preserve"> i z </w:t>
      </w:r>
      <w:r w:rsidRPr="004C6CC5">
        <w:rPr>
          <w:rFonts w:ascii="Arial" w:hAnsi="Arial" w:cs="Arial"/>
          <w:sz w:val="20"/>
          <w:szCs w:val="20"/>
        </w:rPr>
        <w:t xml:space="preserve">forum </w:t>
      </w:r>
      <w:r w:rsidRPr="004C6CC5">
        <w:rPr>
          <w:rFonts w:ascii="Arial" w:eastAsia="HiddenHorzOCR" w:hAnsi="Arial" w:cs="Arial"/>
          <w:sz w:val="20"/>
          <w:szCs w:val="20"/>
        </w:rPr>
        <w:t xml:space="preserve">kształtującego </w:t>
      </w:r>
      <w:r w:rsidRPr="004C6CC5">
        <w:rPr>
          <w:rFonts w:ascii="Arial" w:hAnsi="Arial" w:cs="Arial"/>
          <w:sz w:val="20"/>
          <w:szCs w:val="20"/>
        </w:rPr>
        <w:t xml:space="preserve">decyzje </w:t>
      </w:r>
      <w:r w:rsidRPr="004C6CC5">
        <w:rPr>
          <w:rFonts w:ascii="Arial" w:eastAsia="HiddenHorzOCR" w:hAnsi="Arial" w:cs="Arial"/>
          <w:sz w:val="20"/>
          <w:szCs w:val="20"/>
        </w:rPr>
        <w:t xml:space="preserve">stała się </w:t>
      </w:r>
      <w:r w:rsidRPr="004C6CC5">
        <w:rPr>
          <w:rFonts w:ascii="Arial" w:hAnsi="Arial" w:cs="Arial"/>
          <w:sz w:val="20"/>
          <w:szCs w:val="20"/>
        </w:rPr>
        <w:t xml:space="preserve">organem je </w:t>
      </w:r>
      <w:r w:rsidRPr="004C6CC5">
        <w:rPr>
          <w:rFonts w:ascii="Arial" w:eastAsia="HiddenHorzOCR" w:hAnsi="Arial" w:cs="Arial"/>
          <w:sz w:val="20"/>
          <w:szCs w:val="20"/>
        </w:rPr>
        <w:t xml:space="preserve">podejmującym </w:t>
      </w:r>
      <w:r w:rsidRPr="004C6CC5">
        <w:rPr>
          <w:rFonts w:ascii="Arial" w:hAnsi="Arial" w:cs="Arial"/>
          <w:sz w:val="20"/>
          <w:szCs w:val="20"/>
        </w:rPr>
        <w:t xml:space="preserve">(dwie pierwsze prawnie </w:t>
      </w:r>
      <w:r w:rsidRPr="004C6CC5">
        <w:rPr>
          <w:rFonts w:ascii="Arial" w:eastAsia="HiddenHorzOCR" w:hAnsi="Arial" w:cs="Arial"/>
          <w:sz w:val="20"/>
          <w:szCs w:val="20"/>
        </w:rPr>
        <w:t xml:space="preserve">wiążące </w:t>
      </w:r>
      <w:r w:rsidRPr="004C6CC5">
        <w:rPr>
          <w:rFonts w:ascii="Arial" w:hAnsi="Arial" w:cs="Arial"/>
          <w:sz w:val="20"/>
          <w:szCs w:val="20"/>
        </w:rPr>
        <w:t xml:space="preserve">umowy </w:t>
      </w:r>
      <w:r w:rsidR="001773AF">
        <w:rPr>
          <w:rFonts w:ascii="Arial" w:eastAsia="HiddenHorzOCR" w:hAnsi="Arial" w:cs="Arial"/>
          <w:sz w:val="20"/>
          <w:szCs w:val="20"/>
        </w:rPr>
        <w:t>międzynarodowe</w:t>
      </w:r>
      <w:r w:rsidRPr="004C6CC5">
        <w:rPr>
          <w:rFonts w:ascii="Arial" w:eastAsia="HiddenHorzOCR" w:hAnsi="Arial" w:cs="Arial"/>
          <w:sz w:val="20"/>
          <w:szCs w:val="20"/>
        </w:rPr>
        <w:t xml:space="preserve"> dotyczące poszukiwań</w:t>
      </w:r>
      <w:r w:rsidR="004C6CC5">
        <w:rPr>
          <w:rFonts w:ascii="Arial" w:hAnsi="Arial" w:cs="Arial"/>
          <w:sz w:val="20"/>
          <w:szCs w:val="20"/>
        </w:rPr>
        <w:t xml:space="preserve"> i </w:t>
      </w:r>
      <w:r w:rsidRPr="004C6CC5">
        <w:rPr>
          <w:rFonts w:ascii="Arial" w:hAnsi="Arial" w:cs="Arial"/>
          <w:sz w:val="20"/>
          <w:szCs w:val="20"/>
        </w:rPr>
        <w:t>ratownictwa, tzw. S</w:t>
      </w:r>
      <w:r w:rsidR="001773AF">
        <w:rPr>
          <w:rFonts w:ascii="Arial" w:hAnsi="Arial" w:cs="Arial"/>
          <w:sz w:val="20"/>
          <w:szCs w:val="20"/>
        </w:rPr>
        <w:t>AR</w:t>
      </w:r>
      <w:r w:rsidRPr="004C6CC5">
        <w:rPr>
          <w:rFonts w:ascii="Arial" w:hAnsi="Arial" w:cs="Arial"/>
          <w:sz w:val="20"/>
          <w:szCs w:val="20"/>
        </w:rPr>
        <w:t xml:space="preserve"> oraz</w:t>
      </w:r>
      <w:r w:rsidR="004C6CC5">
        <w:rPr>
          <w:rFonts w:ascii="Arial" w:hAnsi="Arial" w:cs="Arial"/>
          <w:sz w:val="20"/>
          <w:szCs w:val="20"/>
        </w:rPr>
        <w:t xml:space="preserve"> w </w:t>
      </w:r>
      <w:r w:rsidRPr="004C6CC5">
        <w:rPr>
          <w:rFonts w:ascii="Arial" w:hAnsi="Arial" w:cs="Arial"/>
          <w:sz w:val="20"/>
          <w:szCs w:val="20"/>
        </w:rPr>
        <w:t xml:space="preserve">sprawie reagowania na zanieczyszczenie morza olejami </w:t>
      </w:r>
      <w:r w:rsidRPr="004C6CC5">
        <w:rPr>
          <w:rFonts w:ascii="Arial" w:eastAsia="HiddenHorzOCR" w:hAnsi="Arial" w:cs="Arial"/>
          <w:sz w:val="20"/>
          <w:szCs w:val="20"/>
        </w:rPr>
        <w:t xml:space="preserve">między ośmioma państwami </w:t>
      </w:r>
      <w:r w:rsidRPr="004C6CC5">
        <w:rPr>
          <w:rFonts w:ascii="Arial" w:hAnsi="Arial" w:cs="Arial"/>
          <w:sz w:val="20"/>
          <w:szCs w:val="20"/>
        </w:rPr>
        <w:t>arktycznymi, wynegocjowano</w:t>
      </w:r>
      <w:r w:rsidR="001773AF">
        <w:rPr>
          <w:rFonts w:ascii="Arial" w:hAnsi="Arial" w:cs="Arial"/>
          <w:sz w:val="20"/>
          <w:szCs w:val="20"/>
        </w:rPr>
        <w:t xml:space="preserve"> pod auspicjami Rady Arktycznej).</w:t>
      </w:r>
      <w:r w:rsidRPr="004C6CC5">
        <w:rPr>
          <w:rFonts w:ascii="Arial" w:hAnsi="Arial" w:cs="Arial"/>
          <w:sz w:val="20"/>
          <w:szCs w:val="20"/>
        </w:rPr>
        <w:t xml:space="preserve"> Natomiast </w:t>
      </w:r>
      <w:r w:rsidR="004C6CC5">
        <w:rPr>
          <w:rFonts w:ascii="Arial" w:hAnsi="Arial" w:cs="Arial"/>
          <w:sz w:val="20"/>
          <w:szCs w:val="20"/>
        </w:rPr>
        <w:t xml:space="preserve"> w </w:t>
      </w:r>
      <w:r w:rsidRPr="004C6CC5">
        <w:rPr>
          <w:rFonts w:ascii="Arial" w:hAnsi="Arial" w:cs="Arial"/>
          <w:sz w:val="20"/>
          <w:szCs w:val="20"/>
        </w:rPr>
        <w:t xml:space="preserve">2019 </w:t>
      </w:r>
      <w:r w:rsidR="001773AF">
        <w:rPr>
          <w:rFonts w:ascii="Arial" w:hAnsi="Arial" w:cs="Arial"/>
          <w:sz w:val="20"/>
          <w:szCs w:val="20"/>
        </w:rPr>
        <w:t xml:space="preserve">r. </w:t>
      </w:r>
      <w:r w:rsidRPr="004C6CC5">
        <w:rPr>
          <w:rFonts w:ascii="Arial" w:hAnsi="Arial" w:cs="Arial"/>
          <w:sz w:val="20"/>
          <w:szCs w:val="20"/>
        </w:rPr>
        <w:t>kontynuowano prace nad praktycznymi stosowaniem umowy o współpracy naukowej</w:t>
      </w:r>
      <w:r w:rsidR="004C6CC5">
        <w:rPr>
          <w:rFonts w:ascii="Arial" w:hAnsi="Arial" w:cs="Arial"/>
          <w:sz w:val="20"/>
          <w:szCs w:val="20"/>
        </w:rPr>
        <w:t xml:space="preserve"> </w:t>
      </w:r>
      <w:r w:rsidR="001773AF">
        <w:rPr>
          <w:rFonts w:ascii="Arial" w:hAnsi="Arial" w:cs="Arial"/>
          <w:sz w:val="20"/>
          <w:szCs w:val="20"/>
        </w:rPr>
        <w:br/>
      </w:r>
      <w:r w:rsidR="004C6CC5">
        <w:rPr>
          <w:rFonts w:ascii="Arial" w:hAnsi="Arial" w:cs="Arial"/>
          <w:sz w:val="20"/>
          <w:szCs w:val="20"/>
        </w:rPr>
        <w:t>z </w:t>
      </w:r>
      <w:r w:rsidRPr="004C6CC5">
        <w:rPr>
          <w:rFonts w:ascii="Arial" w:hAnsi="Arial" w:cs="Arial"/>
          <w:sz w:val="20"/>
          <w:szCs w:val="20"/>
        </w:rPr>
        <w:t>2018</w:t>
      </w:r>
      <w:r w:rsidR="009D01B9" w:rsidRPr="004C6CC5">
        <w:rPr>
          <w:rFonts w:ascii="Arial" w:hAnsi="Arial" w:cs="Arial"/>
          <w:sz w:val="20"/>
          <w:szCs w:val="20"/>
        </w:rPr>
        <w:t xml:space="preserve"> r. </w:t>
      </w:r>
      <w:r w:rsidRPr="004C6CC5">
        <w:rPr>
          <w:rFonts w:ascii="Arial" w:hAnsi="Arial" w:cs="Arial"/>
          <w:sz w:val="20"/>
          <w:szCs w:val="20"/>
        </w:rPr>
        <w:t xml:space="preserve">Zdecydowana </w:t>
      </w:r>
      <w:r w:rsidRPr="004C6CC5">
        <w:rPr>
          <w:rFonts w:ascii="Arial" w:eastAsia="HiddenHorzOCR" w:hAnsi="Arial" w:cs="Arial"/>
          <w:sz w:val="20"/>
          <w:szCs w:val="20"/>
        </w:rPr>
        <w:t xml:space="preserve">większość </w:t>
      </w:r>
      <w:r w:rsidR="006C6E89">
        <w:rPr>
          <w:rFonts w:ascii="Arial" w:hAnsi="Arial" w:cs="Arial"/>
          <w:sz w:val="20"/>
          <w:szCs w:val="20"/>
        </w:rPr>
        <w:t>tych decyzji i</w:t>
      </w:r>
      <w:r w:rsidRPr="004C6CC5">
        <w:rPr>
          <w:rFonts w:ascii="Arial" w:hAnsi="Arial" w:cs="Arial"/>
          <w:sz w:val="20"/>
          <w:szCs w:val="20"/>
        </w:rPr>
        <w:t xml:space="preserve"> rekomendacji politycznych ma swoje </w:t>
      </w:r>
      <w:r w:rsidRPr="004C6CC5">
        <w:rPr>
          <w:rFonts w:ascii="Arial" w:eastAsia="HiddenHorzOCR" w:hAnsi="Arial" w:cs="Arial"/>
          <w:sz w:val="20"/>
          <w:szCs w:val="20"/>
        </w:rPr>
        <w:t>źródła</w:t>
      </w:r>
      <w:r w:rsidR="004C6CC5">
        <w:rPr>
          <w:rFonts w:ascii="Arial" w:eastAsia="HiddenHorzOCR" w:hAnsi="Arial" w:cs="Arial"/>
          <w:sz w:val="20"/>
          <w:szCs w:val="20"/>
        </w:rPr>
        <w:t xml:space="preserve"> </w:t>
      </w:r>
      <w:r w:rsidR="006C6E89">
        <w:rPr>
          <w:rFonts w:ascii="Arial" w:eastAsia="HiddenHorzOCR" w:hAnsi="Arial" w:cs="Arial"/>
          <w:sz w:val="20"/>
          <w:szCs w:val="20"/>
        </w:rPr>
        <w:t xml:space="preserve">oraz </w:t>
      </w:r>
      <w:r w:rsidR="004C6CC5">
        <w:rPr>
          <w:rFonts w:ascii="Arial" w:eastAsia="HiddenHorzOCR" w:hAnsi="Arial" w:cs="Arial"/>
          <w:sz w:val="20"/>
          <w:szCs w:val="20"/>
        </w:rPr>
        <w:t>w </w:t>
      </w:r>
      <w:r w:rsidRPr="004C6CC5">
        <w:rPr>
          <w:rFonts w:ascii="Arial" w:hAnsi="Arial" w:cs="Arial"/>
          <w:sz w:val="20"/>
          <w:szCs w:val="20"/>
        </w:rPr>
        <w:t xml:space="preserve">znacznej mierze </w:t>
      </w:r>
      <w:r w:rsidRPr="004C6CC5">
        <w:rPr>
          <w:rFonts w:ascii="Arial" w:eastAsia="HiddenHorzOCR" w:hAnsi="Arial" w:cs="Arial"/>
          <w:sz w:val="20"/>
          <w:szCs w:val="20"/>
        </w:rPr>
        <w:t xml:space="preserve">kształtowana </w:t>
      </w:r>
      <w:r w:rsidRPr="004C6CC5">
        <w:rPr>
          <w:rFonts w:ascii="Arial" w:hAnsi="Arial" w:cs="Arial"/>
          <w:sz w:val="20"/>
          <w:szCs w:val="20"/>
        </w:rPr>
        <w:t xml:space="preserve">jest na poziomie </w:t>
      </w:r>
      <w:r w:rsidRPr="004C6CC5">
        <w:rPr>
          <w:rFonts w:ascii="Arial" w:eastAsia="HiddenHorzOCR" w:hAnsi="Arial" w:cs="Arial"/>
          <w:sz w:val="20"/>
          <w:szCs w:val="20"/>
        </w:rPr>
        <w:t xml:space="preserve">sześciu </w:t>
      </w:r>
      <w:r w:rsidRPr="004C6CC5">
        <w:rPr>
          <w:rFonts w:ascii="Arial" w:hAnsi="Arial" w:cs="Arial"/>
          <w:sz w:val="20"/>
          <w:szCs w:val="20"/>
        </w:rPr>
        <w:t xml:space="preserve">grup roboczych Rady Arktycznej, grup eksperckich oraz grup zadaniowych. </w:t>
      </w:r>
      <w:r w:rsidRPr="004C6CC5">
        <w:rPr>
          <w:rFonts w:ascii="Arial" w:eastAsia="HiddenHorzOCR" w:hAnsi="Arial" w:cs="Arial"/>
          <w:sz w:val="20"/>
          <w:szCs w:val="20"/>
        </w:rPr>
        <w:t xml:space="preserve">Udział </w:t>
      </w:r>
      <w:r w:rsidRPr="004C6CC5">
        <w:rPr>
          <w:rFonts w:ascii="Arial" w:hAnsi="Arial" w:cs="Arial"/>
          <w:sz w:val="20"/>
          <w:szCs w:val="20"/>
        </w:rPr>
        <w:t>obserwatorów</w:t>
      </w:r>
      <w:r w:rsidR="001773AF">
        <w:rPr>
          <w:rFonts w:ascii="Arial" w:hAnsi="Arial" w:cs="Arial"/>
          <w:sz w:val="20"/>
          <w:szCs w:val="20"/>
        </w:rPr>
        <w:t xml:space="preserve"> w </w:t>
      </w:r>
      <w:r w:rsidRPr="004C6CC5">
        <w:rPr>
          <w:rFonts w:ascii="Arial" w:hAnsi="Arial" w:cs="Arial"/>
          <w:sz w:val="20"/>
          <w:szCs w:val="20"/>
        </w:rPr>
        <w:t xml:space="preserve">tych grupach zapewnia nie tylko </w:t>
      </w:r>
      <w:r w:rsidRPr="004C6CC5">
        <w:rPr>
          <w:rFonts w:ascii="Arial" w:eastAsia="HiddenHorzOCR" w:hAnsi="Arial" w:cs="Arial"/>
          <w:sz w:val="20"/>
          <w:szCs w:val="20"/>
        </w:rPr>
        <w:t xml:space="preserve">dostęp </w:t>
      </w:r>
      <w:r w:rsidRPr="004C6CC5">
        <w:rPr>
          <w:rFonts w:ascii="Arial" w:hAnsi="Arial" w:cs="Arial"/>
          <w:sz w:val="20"/>
          <w:szCs w:val="20"/>
        </w:rPr>
        <w:t xml:space="preserve">do danych naukowych, ale przede wszystkim </w:t>
      </w:r>
      <w:r w:rsidRPr="004C6CC5">
        <w:rPr>
          <w:rFonts w:ascii="Arial" w:eastAsia="HiddenHorzOCR" w:hAnsi="Arial" w:cs="Arial"/>
          <w:sz w:val="20"/>
          <w:szCs w:val="20"/>
        </w:rPr>
        <w:t xml:space="preserve">największy wpływ </w:t>
      </w:r>
      <w:r w:rsidRPr="004C6CC5">
        <w:rPr>
          <w:rFonts w:ascii="Arial" w:hAnsi="Arial" w:cs="Arial"/>
          <w:sz w:val="20"/>
          <w:szCs w:val="20"/>
        </w:rPr>
        <w:t xml:space="preserve">na decyzje Rady. Ma również </w:t>
      </w:r>
      <w:r w:rsidRPr="004C6CC5">
        <w:rPr>
          <w:rFonts w:ascii="Arial" w:eastAsia="HiddenHorzOCR" w:hAnsi="Arial" w:cs="Arial"/>
          <w:sz w:val="20"/>
          <w:szCs w:val="20"/>
        </w:rPr>
        <w:t xml:space="preserve">bezpośrednie przełożenie </w:t>
      </w:r>
      <w:r w:rsidRPr="004C6CC5">
        <w:rPr>
          <w:rFonts w:ascii="Arial" w:hAnsi="Arial" w:cs="Arial"/>
          <w:sz w:val="20"/>
          <w:szCs w:val="20"/>
        </w:rPr>
        <w:t>na ogólne postrzeganie danego kraju obserwatora, a</w:t>
      </w:r>
      <w:r w:rsidR="004C6CC5">
        <w:rPr>
          <w:rFonts w:ascii="Arial" w:hAnsi="Arial" w:cs="Arial"/>
          <w:sz w:val="20"/>
          <w:szCs w:val="20"/>
        </w:rPr>
        <w:t xml:space="preserve"> w </w:t>
      </w:r>
      <w:r w:rsidRPr="004C6CC5">
        <w:rPr>
          <w:rFonts w:ascii="Arial" w:hAnsi="Arial" w:cs="Arial"/>
          <w:sz w:val="20"/>
          <w:szCs w:val="20"/>
        </w:rPr>
        <w:t xml:space="preserve">konsekwencji na jego </w:t>
      </w:r>
      <w:r w:rsidRPr="004C6CC5">
        <w:rPr>
          <w:rFonts w:ascii="Arial" w:eastAsia="HiddenHorzOCR" w:hAnsi="Arial" w:cs="Arial"/>
          <w:sz w:val="20"/>
          <w:szCs w:val="20"/>
        </w:rPr>
        <w:t>rolę</w:t>
      </w:r>
      <w:r w:rsidR="004C6CC5">
        <w:rPr>
          <w:rFonts w:ascii="Arial" w:eastAsia="HiddenHorzOCR" w:hAnsi="Arial" w:cs="Arial"/>
          <w:sz w:val="20"/>
          <w:szCs w:val="20"/>
        </w:rPr>
        <w:t xml:space="preserve"> w </w:t>
      </w:r>
      <w:r w:rsidRPr="004C6CC5">
        <w:rPr>
          <w:rFonts w:ascii="Arial" w:hAnsi="Arial" w:cs="Arial"/>
          <w:sz w:val="20"/>
          <w:szCs w:val="20"/>
        </w:rPr>
        <w:t xml:space="preserve">sprawach </w:t>
      </w:r>
      <w:r w:rsidRPr="004C6CC5">
        <w:rPr>
          <w:rFonts w:ascii="Arial" w:eastAsia="HiddenHorzOCR" w:hAnsi="Arial" w:cs="Arial"/>
          <w:sz w:val="20"/>
          <w:szCs w:val="20"/>
        </w:rPr>
        <w:t>związanych</w:t>
      </w:r>
      <w:r w:rsidR="004C6CC5">
        <w:rPr>
          <w:rFonts w:ascii="Arial" w:eastAsia="HiddenHorzOCR" w:hAnsi="Arial" w:cs="Arial"/>
          <w:sz w:val="20"/>
          <w:szCs w:val="20"/>
        </w:rPr>
        <w:t xml:space="preserve"> z </w:t>
      </w:r>
      <w:r w:rsidR="001773AF">
        <w:rPr>
          <w:rFonts w:ascii="Arial" w:hAnsi="Arial" w:cs="Arial"/>
          <w:sz w:val="20"/>
          <w:szCs w:val="20"/>
        </w:rPr>
        <w:t xml:space="preserve">obszarem Arktyki. </w:t>
      </w:r>
      <w:r w:rsidR="006C6E89">
        <w:rPr>
          <w:rFonts w:ascii="Arial" w:hAnsi="Arial" w:cs="Arial"/>
          <w:sz w:val="20"/>
          <w:szCs w:val="20"/>
        </w:rPr>
        <w:t>U</w:t>
      </w:r>
      <w:r w:rsidRPr="004C6CC5">
        <w:rPr>
          <w:rFonts w:ascii="Arial" w:hAnsi="Arial" w:cs="Arial"/>
          <w:sz w:val="20"/>
          <w:szCs w:val="20"/>
        </w:rPr>
        <w:t>dział Polski</w:t>
      </w:r>
      <w:r w:rsidR="004C6CC5">
        <w:rPr>
          <w:rFonts w:ascii="Arial" w:hAnsi="Arial" w:cs="Arial"/>
          <w:sz w:val="20"/>
          <w:szCs w:val="20"/>
        </w:rPr>
        <w:t xml:space="preserve"> w </w:t>
      </w:r>
      <w:r w:rsidRPr="004C6CC5">
        <w:rPr>
          <w:rFonts w:ascii="Arial" w:hAnsi="Arial" w:cs="Arial"/>
          <w:sz w:val="20"/>
          <w:szCs w:val="20"/>
        </w:rPr>
        <w:t>pracach grup roboczych</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podobnie jak</w:t>
      </w:r>
      <w:r w:rsidR="004C6CC5">
        <w:rPr>
          <w:rFonts w:ascii="Arial" w:hAnsi="Arial" w:cs="Arial"/>
          <w:sz w:val="20"/>
          <w:szCs w:val="20"/>
        </w:rPr>
        <w:t xml:space="preserve"> w </w:t>
      </w:r>
      <w:r w:rsidRPr="004C6CC5">
        <w:rPr>
          <w:rFonts w:ascii="Arial" w:hAnsi="Arial" w:cs="Arial"/>
          <w:sz w:val="20"/>
          <w:szCs w:val="20"/>
        </w:rPr>
        <w:t xml:space="preserve">latach poprzednich nie był znaczący, </w:t>
      </w:r>
      <w:r w:rsidR="006C6E89">
        <w:rPr>
          <w:rFonts w:ascii="Arial" w:hAnsi="Arial" w:cs="Arial"/>
          <w:sz w:val="20"/>
          <w:szCs w:val="20"/>
        </w:rPr>
        <w:t>jednakże</w:t>
      </w:r>
      <w:r w:rsidR="001773AF">
        <w:rPr>
          <w:rFonts w:ascii="Arial" w:hAnsi="Arial" w:cs="Arial"/>
          <w:sz w:val="20"/>
          <w:szCs w:val="20"/>
        </w:rPr>
        <w:t xml:space="preserve"> </w:t>
      </w:r>
      <w:r w:rsidRPr="004C6CC5">
        <w:rPr>
          <w:rFonts w:ascii="Arial" w:hAnsi="Arial" w:cs="Arial"/>
          <w:sz w:val="20"/>
          <w:szCs w:val="20"/>
        </w:rPr>
        <w:t>od 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 xml:space="preserve">pracach grupy zadaniowej </w:t>
      </w:r>
      <w:r w:rsidR="001773AF">
        <w:rPr>
          <w:rFonts w:ascii="Arial" w:hAnsi="Arial" w:cs="Arial"/>
          <w:sz w:val="20"/>
          <w:szCs w:val="20"/>
        </w:rPr>
        <w:br/>
      </w:r>
      <w:r w:rsidRPr="004C6CC5">
        <w:rPr>
          <w:rFonts w:ascii="Arial" w:hAnsi="Arial" w:cs="Arial"/>
          <w:sz w:val="20"/>
          <w:szCs w:val="20"/>
        </w:rPr>
        <w:lastRenderedPageBreak/>
        <w:t>ds. zanieczyszczeń metanem</w:t>
      </w:r>
      <w:r w:rsidR="006C6E89">
        <w:rPr>
          <w:rFonts w:ascii="Arial" w:hAnsi="Arial" w:cs="Arial"/>
          <w:sz w:val="20"/>
          <w:szCs w:val="20"/>
        </w:rPr>
        <w:t xml:space="preserve"> i </w:t>
      </w:r>
      <w:r w:rsidRPr="004C6CC5">
        <w:rPr>
          <w:rFonts w:ascii="Arial" w:hAnsi="Arial" w:cs="Arial"/>
          <w:sz w:val="20"/>
          <w:szCs w:val="20"/>
        </w:rPr>
        <w:t xml:space="preserve">sadzą zaczęli aktywnie uczestniczyć przedstawiciele </w:t>
      </w:r>
      <w:r w:rsidR="005B1FD3">
        <w:rPr>
          <w:rFonts w:ascii="Arial" w:hAnsi="Arial" w:cs="Arial"/>
          <w:sz w:val="20"/>
          <w:szCs w:val="20"/>
        </w:rPr>
        <w:t>Ministerstwa Środowiska/</w:t>
      </w:r>
      <w:r w:rsidRPr="004C6CC5">
        <w:rPr>
          <w:rFonts w:ascii="Arial" w:hAnsi="Arial" w:cs="Arial"/>
          <w:sz w:val="20"/>
          <w:szCs w:val="20"/>
        </w:rPr>
        <w:t>Ministerstwa Klimatu.</w:t>
      </w:r>
    </w:p>
    <w:p w14:paraId="3447BAD4" w14:textId="2DF717F1" w:rsidR="003411E0" w:rsidRPr="004C6CC5" w:rsidRDefault="003411E0" w:rsidP="00C7276B">
      <w:pPr>
        <w:autoSpaceDE w:val="0"/>
        <w:autoSpaceDN w:val="0"/>
        <w:adjustRightInd w:val="0"/>
        <w:spacing w:before="120"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 xml:space="preserve">Polska </w:t>
      </w:r>
      <w:r w:rsidRPr="004C6CC5">
        <w:rPr>
          <w:rFonts w:ascii="Arial" w:eastAsia="HiddenHorzOCR" w:hAnsi="Arial" w:cs="Arial"/>
          <w:sz w:val="20"/>
          <w:szCs w:val="20"/>
        </w:rPr>
        <w:t xml:space="preserve">kontynuowała </w:t>
      </w:r>
      <w:r w:rsidRPr="004C6CC5">
        <w:rPr>
          <w:rFonts w:ascii="Arial" w:hAnsi="Arial" w:cs="Arial"/>
          <w:sz w:val="20"/>
          <w:szCs w:val="20"/>
        </w:rPr>
        <w:t>uczestnictwo</w:t>
      </w:r>
      <w:r w:rsidR="004C6CC5">
        <w:rPr>
          <w:rFonts w:ascii="Arial" w:hAnsi="Arial" w:cs="Arial"/>
          <w:sz w:val="20"/>
          <w:szCs w:val="20"/>
        </w:rPr>
        <w:t xml:space="preserve"> w </w:t>
      </w:r>
      <w:r w:rsidRPr="004C6CC5">
        <w:rPr>
          <w:rFonts w:ascii="Arial" w:hAnsi="Arial" w:cs="Arial"/>
          <w:sz w:val="20"/>
          <w:szCs w:val="20"/>
        </w:rPr>
        <w:t>konferencjach</w:t>
      </w:r>
      <w:r w:rsidR="004C6CC5">
        <w:rPr>
          <w:rFonts w:ascii="Arial" w:hAnsi="Arial" w:cs="Arial"/>
          <w:sz w:val="20"/>
          <w:szCs w:val="20"/>
        </w:rPr>
        <w:t xml:space="preserve"> i </w:t>
      </w:r>
      <w:r w:rsidRPr="004C6CC5">
        <w:rPr>
          <w:rFonts w:ascii="Arial" w:hAnsi="Arial" w:cs="Arial"/>
          <w:sz w:val="20"/>
          <w:szCs w:val="20"/>
        </w:rPr>
        <w:t xml:space="preserve">posiedzeniach organizowanych przez </w:t>
      </w:r>
      <w:r w:rsidRPr="004C6CC5">
        <w:rPr>
          <w:rFonts w:ascii="Arial" w:eastAsia="HiddenHorzOCR" w:hAnsi="Arial" w:cs="Arial"/>
          <w:sz w:val="20"/>
          <w:szCs w:val="20"/>
        </w:rPr>
        <w:t xml:space="preserve">prezydencję </w:t>
      </w:r>
      <w:r w:rsidRPr="004C6CC5">
        <w:rPr>
          <w:rFonts w:ascii="Arial" w:hAnsi="Arial" w:cs="Arial"/>
          <w:sz w:val="20"/>
          <w:szCs w:val="20"/>
        </w:rPr>
        <w:t>fińską</w:t>
      </w:r>
      <w:r w:rsidR="004C6CC5">
        <w:rPr>
          <w:rFonts w:ascii="Arial" w:hAnsi="Arial" w:cs="Arial"/>
          <w:sz w:val="20"/>
          <w:szCs w:val="20"/>
        </w:rPr>
        <w:t xml:space="preserve"> i </w:t>
      </w:r>
      <w:r w:rsidRPr="004C6CC5">
        <w:rPr>
          <w:rFonts w:ascii="Arial" w:hAnsi="Arial" w:cs="Arial"/>
          <w:sz w:val="20"/>
          <w:szCs w:val="20"/>
        </w:rPr>
        <w:t>islandzką (od maja 2019 r.)</w:t>
      </w:r>
      <w:r w:rsidR="004C6CC5">
        <w:rPr>
          <w:rFonts w:ascii="Arial" w:hAnsi="Arial" w:cs="Arial"/>
          <w:sz w:val="20"/>
          <w:szCs w:val="20"/>
        </w:rPr>
        <w:t xml:space="preserve"> w </w:t>
      </w:r>
      <w:r w:rsidRPr="004C6CC5">
        <w:rPr>
          <w:rFonts w:ascii="Arial" w:hAnsi="Arial" w:cs="Arial"/>
          <w:sz w:val="20"/>
          <w:szCs w:val="20"/>
        </w:rPr>
        <w:t>Radzie Arktycznej,</w:t>
      </w:r>
      <w:r w:rsidR="004C6CC5">
        <w:rPr>
          <w:rFonts w:ascii="Arial" w:hAnsi="Arial" w:cs="Arial"/>
          <w:sz w:val="20"/>
          <w:szCs w:val="20"/>
        </w:rPr>
        <w:t xml:space="preserve"> w </w:t>
      </w:r>
      <w:r w:rsidRPr="004C6CC5">
        <w:rPr>
          <w:rFonts w:ascii="Arial" w:hAnsi="Arial" w:cs="Arial"/>
          <w:sz w:val="20"/>
          <w:szCs w:val="20"/>
        </w:rPr>
        <w:t>tym</w:t>
      </w:r>
      <w:r w:rsidR="004C6CC5">
        <w:rPr>
          <w:rFonts w:ascii="Arial" w:hAnsi="Arial" w:cs="Arial"/>
          <w:sz w:val="20"/>
          <w:szCs w:val="20"/>
        </w:rPr>
        <w:t xml:space="preserve"> w </w:t>
      </w:r>
      <w:r w:rsidRPr="004C6CC5">
        <w:rPr>
          <w:rFonts w:ascii="Arial" w:hAnsi="Arial" w:cs="Arial"/>
          <w:sz w:val="20"/>
          <w:szCs w:val="20"/>
        </w:rPr>
        <w:t xml:space="preserve">posiedzeniach </w:t>
      </w:r>
      <w:r w:rsidRPr="004C6CC5">
        <w:rPr>
          <w:rFonts w:ascii="Arial" w:eastAsia="HiddenHorzOCR" w:hAnsi="Arial" w:cs="Arial"/>
          <w:sz w:val="20"/>
          <w:szCs w:val="20"/>
        </w:rPr>
        <w:t xml:space="preserve">Wyższych Urzędników </w:t>
      </w:r>
      <w:r w:rsidRPr="004C6CC5">
        <w:rPr>
          <w:rFonts w:ascii="Arial" w:hAnsi="Arial" w:cs="Arial"/>
          <w:sz w:val="20"/>
          <w:szCs w:val="20"/>
        </w:rPr>
        <w:t xml:space="preserve">Arktycznych. </w:t>
      </w:r>
    </w:p>
    <w:p w14:paraId="3ED73234" w14:textId="648897EE" w:rsidR="003411E0" w:rsidRPr="004C6CC5" w:rsidRDefault="003411E0" w:rsidP="00C7276B">
      <w:pPr>
        <w:spacing w:before="120" w:after="120" w:line="276" w:lineRule="auto"/>
        <w:jc w:val="both"/>
        <w:rPr>
          <w:rFonts w:ascii="Arial" w:hAnsi="Arial" w:cs="Arial"/>
          <w:sz w:val="20"/>
          <w:szCs w:val="20"/>
        </w:rPr>
      </w:pPr>
      <w:r w:rsidRPr="004C6CC5">
        <w:rPr>
          <w:rFonts w:ascii="Arial" w:hAnsi="Arial" w:cs="Arial"/>
          <w:sz w:val="20"/>
          <w:szCs w:val="20"/>
        </w:rPr>
        <w:t>W kontekście rosnącej roli Rady Arktycznej Polska popiera wzmocnienie roli</w:t>
      </w:r>
      <w:r w:rsidR="004C6CC5">
        <w:rPr>
          <w:rFonts w:ascii="Arial" w:hAnsi="Arial" w:cs="Arial"/>
          <w:sz w:val="20"/>
          <w:szCs w:val="20"/>
        </w:rPr>
        <w:t xml:space="preserve"> i </w:t>
      </w:r>
      <w:r w:rsidRPr="004C6CC5">
        <w:rPr>
          <w:rFonts w:ascii="Arial" w:hAnsi="Arial" w:cs="Arial"/>
          <w:sz w:val="20"/>
          <w:szCs w:val="20"/>
        </w:rPr>
        <w:t>odpowiedzialności Rady za przyszłość Arktyki.</w:t>
      </w:r>
      <w:r w:rsidR="00B55DE2">
        <w:rPr>
          <w:rFonts w:ascii="Arial" w:hAnsi="Arial" w:cs="Arial"/>
          <w:sz w:val="20"/>
          <w:szCs w:val="20"/>
        </w:rPr>
        <w:t xml:space="preserve"> Z</w:t>
      </w:r>
      <w:r w:rsidR="004C6CC5">
        <w:rPr>
          <w:rFonts w:ascii="Arial" w:hAnsi="Arial" w:cs="Arial"/>
          <w:sz w:val="20"/>
          <w:szCs w:val="20"/>
        </w:rPr>
        <w:t> </w:t>
      </w:r>
      <w:r w:rsidR="00B55DE2" w:rsidRPr="004C6CC5">
        <w:rPr>
          <w:rFonts w:ascii="Arial" w:hAnsi="Arial" w:cs="Arial"/>
          <w:sz w:val="20"/>
          <w:szCs w:val="20"/>
        </w:rPr>
        <w:t xml:space="preserve">polskiej </w:t>
      </w:r>
      <w:r w:rsidRPr="004C6CC5">
        <w:rPr>
          <w:rFonts w:ascii="Arial" w:hAnsi="Arial" w:cs="Arial"/>
          <w:sz w:val="20"/>
          <w:szCs w:val="20"/>
        </w:rPr>
        <w:t>inicjatywy zapoczątkowany został pragmatyczny, regularny dialog Prezydencji Rady Arktycznej</w:t>
      </w:r>
      <w:r w:rsidR="004C6CC5">
        <w:rPr>
          <w:rFonts w:ascii="Arial" w:hAnsi="Arial" w:cs="Arial"/>
          <w:sz w:val="20"/>
          <w:szCs w:val="20"/>
        </w:rPr>
        <w:t xml:space="preserve"> z </w:t>
      </w:r>
      <w:r w:rsidRPr="004C6CC5">
        <w:rPr>
          <w:rFonts w:ascii="Arial" w:hAnsi="Arial" w:cs="Arial"/>
          <w:sz w:val="20"/>
          <w:szCs w:val="20"/>
        </w:rPr>
        <w:t>państwami obserwatorami, tzw. Format Warszawski (2010, 2013, 2015, 2016). Ostatnie spotkanie tej inicjatywy odbyło się</w:t>
      </w:r>
      <w:r w:rsidR="004C6CC5">
        <w:rPr>
          <w:rFonts w:ascii="Arial" w:hAnsi="Arial" w:cs="Arial"/>
          <w:sz w:val="20"/>
          <w:szCs w:val="20"/>
        </w:rPr>
        <w:t xml:space="preserve"> w</w:t>
      </w:r>
      <w:r w:rsidR="00501C5A">
        <w:rPr>
          <w:rFonts w:ascii="Arial" w:hAnsi="Arial" w:cs="Arial"/>
          <w:sz w:val="20"/>
          <w:szCs w:val="20"/>
        </w:rPr>
        <w:t>e</w:t>
      </w:r>
      <w:r w:rsidR="004C6CC5">
        <w:rPr>
          <w:rFonts w:ascii="Arial" w:hAnsi="Arial" w:cs="Arial"/>
          <w:sz w:val="20"/>
          <w:szCs w:val="20"/>
        </w:rPr>
        <w:t> </w:t>
      </w:r>
      <w:r w:rsidRPr="004C6CC5">
        <w:rPr>
          <w:rFonts w:ascii="Arial" w:hAnsi="Arial" w:cs="Arial"/>
          <w:sz w:val="20"/>
          <w:szCs w:val="20"/>
        </w:rPr>
        <w:t>wrześniu 2019</w:t>
      </w:r>
      <w:r w:rsidR="009D01B9" w:rsidRPr="004C6CC5">
        <w:rPr>
          <w:rFonts w:ascii="Arial" w:hAnsi="Arial" w:cs="Arial"/>
          <w:sz w:val="20"/>
          <w:szCs w:val="20"/>
        </w:rPr>
        <w:t xml:space="preserve"> r. </w:t>
      </w:r>
      <w:r w:rsidRPr="004C6CC5">
        <w:rPr>
          <w:rFonts w:ascii="Arial" w:hAnsi="Arial" w:cs="Arial"/>
          <w:sz w:val="20"/>
          <w:szCs w:val="20"/>
        </w:rPr>
        <w:t xml:space="preserve">Format Warszawski to unikalne forum, </w:t>
      </w:r>
      <w:r w:rsidR="006B6FD1">
        <w:rPr>
          <w:rFonts w:ascii="Arial" w:hAnsi="Arial" w:cs="Arial"/>
          <w:sz w:val="20"/>
          <w:szCs w:val="20"/>
        </w:rPr>
        <w:t>w ramach</w:t>
      </w:r>
      <w:r w:rsidRPr="004C6CC5">
        <w:rPr>
          <w:rFonts w:ascii="Arial" w:hAnsi="Arial" w:cs="Arial"/>
          <w:sz w:val="20"/>
          <w:szCs w:val="20"/>
        </w:rPr>
        <w:t xml:space="preserve"> którego państwa obserwatorzy mają szansę na dyskusję pomiędzy sobą oraz</w:t>
      </w:r>
      <w:r w:rsidR="004C6CC5">
        <w:rPr>
          <w:rFonts w:ascii="Arial" w:hAnsi="Arial" w:cs="Arial"/>
          <w:sz w:val="20"/>
          <w:szCs w:val="20"/>
        </w:rPr>
        <w:t xml:space="preserve"> z </w:t>
      </w:r>
      <w:r w:rsidRPr="004C6CC5">
        <w:rPr>
          <w:rFonts w:ascii="Arial" w:hAnsi="Arial" w:cs="Arial"/>
          <w:sz w:val="20"/>
          <w:szCs w:val="20"/>
        </w:rPr>
        <w:t>aktualnym przewodnictwem</w:t>
      </w:r>
      <w:r w:rsidR="004C6CC5">
        <w:rPr>
          <w:rFonts w:ascii="Arial" w:hAnsi="Arial" w:cs="Arial"/>
          <w:sz w:val="20"/>
          <w:szCs w:val="20"/>
        </w:rPr>
        <w:t xml:space="preserve"> w </w:t>
      </w:r>
      <w:r w:rsidRPr="004C6CC5">
        <w:rPr>
          <w:rFonts w:ascii="Arial" w:hAnsi="Arial" w:cs="Arial"/>
          <w:sz w:val="20"/>
          <w:szCs w:val="20"/>
        </w:rPr>
        <w:t>Radzie Arktycznej.</w:t>
      </w:r>
    </w:p>
    <w:p w14:paraId="60ADD0E7" w14:textId="06354E55" w:rsidR="003411E0" w:rsidRPr="004C6CC5" w:rsidRDefault="003411E0" w:rsidP="00C7276B">
      <w:pPr>
        <w:spacing w:before="120"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przedstawiciele Polski brali też aktywny udział</w:t>
      </w:r>
      <w:r w:rsidR="004C6CC5">
        <w:rPr>
          <w:rFonts w:ascii="Arial" w:hAnsi="Arial" w:cs="Arial"/>
          <w:sz w:val="20"/>
          <w:szCs w:val="20"/>
        </w:rPr>
        <w:t xml:space="preserve"> w </w:t>
      </w:r>
      <w:r w:rsidRPr="004C6CC5">
        <w:rPr>
          <w:rFonts w:ascii="Arial" w:hAnsi="Arial" w:cs="Arial"/>
          <w:sz w:val="20"/>
          <w:szCs w:val="20"/>
        </w:rPr>
        <w:t>najważniejszych międzynarodowych konferencjach</w:t>
      </w:r>
      <w:r w:rsidR="004C6CC5">
        <w:rPr>
          <w:rFonts w:ascii="Arial" w:hAnsi="Arial" w:cs="Arial"/>
          <w:sz w:val="20"/>
          <w:szCs w:val="20"/>
        </w:rPr>
        <w:t xml:space="preserve"> i </w:t>
      </w:r>
      <w:r w:rsidRPr="004C6CC5">
        <w:rPr>
          <w:rFonts w:ascii="Arial" w:hAnsi="Arial" w:cs="Arial"/>
          <w:sz w:val="20"/>
          <w:szCs w:val="20"/>
        </w:rPr>
        <w:t xml:space="preserve">inicjatywach dotyczących Arktyki </w:t>
      </w:r>
      <w:r w:rsidR="00B55DE2">
        <w:rPr>
          <w:rFonts w:ascii="Arial" w:hAnsi="Arial" w:cs="Arial"/>
          <w:sz w:val="20"/>
          <w:szCs w:val="20"/>
        </w:rPr>
        <w:t xml:space="preserve">takich, </w:t>
      </w:r>
      <w:r w:rsidRPr="004C6CC5">
        <w:rPr>
          <w:rFonts w:ascii="Arial" w:hAnsi="Arial" w:cs="Arial"/>
          <w:sz w:val="20"/>
          <w:szCs w:val="20"/>
        </w:rPr>
        <w:t>jak Arctic Frontiers (Norwegia), Arctic Forum (Rosja)</w:t>
      </w:r>
      <w:r w:rsidR="00B55DE2">
        <w:rPr>
          <w:rFonts w:ascii="Arial" w:hAnsi="Arial" w:cs="Arial"/>
          <w:sz w:val="20"/>
          <w:szCs w:val="20"/>
        </w:rPr>
        <w:t>,</w:t>
      </w:r>
      <w:r w:rsidRPr="004C6CC5">
        <w:rPr>
          <w:rFonts w:ascii="Arial" w:hAnsi="Arial" w:cs="Arial"/>
          <w:sz w:val="20"/>
          <w:szCs w:val="20"/>
        </w:rPr>
        <w:t xml:space="preserve"> czy Arctic Circle (Islandia).</w:t>
      </w:r>
    </w:p>
    <w:p w14:paraId="073409DC" w14:textId="531886B1" w:rsidR="003411E0" w:rsidRPr="004C6CC5" w:rsidRDefault="003411E0" w:rsidP="00C7276B">
      <w:pPr>
        <w:autoSpaceDE w:val="0"/>
        <w:autoSpaceDN w:val="0"/>
        <w:adjustRightInd w:val="0"/>
        <w:spacing w:before="120" w:after="120" w:line="276" w:lineRule="auto"/>
        <w:jc w:val="both"/>
        <w:rPr>
          <w:rFonts w:ascii="Arial" w:hAnsi="Arial" w:cs="Arial"/>
          <w:sz w:val="20"/>
          <w:szCs w:val="20"/>
        </w:rPr>
      </w:pPr>
      <w:r w:rsidRPr="004C6CC5">
        <w:rPr>
          <w:rFonts w:ascii="Arial" w:hAnsi="Arial" w:cs="Arial"/>
          <w:sz w:val="20"/>
          <w:szCs w:val="20"/>
        </w:rPr>
        <w:t xml:space="preserve">Polska jest </w:t>
      </w:r>
      <w:r w:rsidRPr="004C6CC5">
        <w:rPr>
          <w:rFonts w:ascii="Arial" w:eastAsia="HiddenHorzOCR" w:hAnsi="Arial" w:cs="Arial"/>
          <w:sz w:val="20"/>
          <w:szCs w:val="20"/>
        </w:rPr>
        <w:t xml:space="preserve">także członkiem </w:t>
      </w:r>
      <w:r w:rsidRPr="004C6CC5">
        <w:rPr>
          <w:rFonts w:ascii="Arial" w:hAnsi="Arial" w:cs="Arial"/>
          <w:sz w:val="20"/>
          <w:szCs w:val="20"/>
        </w:rPr>
        <w:t xml:space="preserve">Rady SAON (Sustaining Arctic Observing Networks), </w:t>
      </w:r>
      <w:r w:rsidRPr="004C6CC5">
        <w:rPr>
          <w:rFonts w:ascii="Arial" w:eastAsia="HiddenHorzOCR" w:hAnsi="Arial" w:cs="Arial"/>
          <w:sz w:val="20"/>
          <w:szCs w:val="20"/>
        </w:rPr>
        <w:t xml:space="preserve">ciała inicjującego </w:t>
      </w:r>
      <w:r w:rsidRPr="004C6CC5">
        <w:rPr>
          <w:rFonts w:ascii="Arial" w:eastAsia="HiddenHorzOCR" w:hAnsi="Arial" w:cs="Arial"/>
          <w:sz w:val="20"/>
          <w:szCs w:val="20"/>
        </w:rPr>
        <w:br/>
      </w:r>
      <w:r w:rsidRPr="004C6CC5">
        <w:rPr>
          <w:rFonts w:ascii="Arial" w:hAnsi="Arial" w:cs="Arial"/>
          <w:sz w:val="20"/>
          <w:szCs w:val="20"/>
        </w:rPr>
        <w:t xml:space="preserve">i </w:t>
      </w:r>
      <w:r w:rsidRPr="004C6CC5">
        <w:rPr>
          <w:rFonts w:ascii="Arial" w:eastAsia="HiddenHorzOCR" w:hAnsi="Arial" w:cs="Arial"/>
          <w:sz w:val="20"/>
          <w:szCs w:val="20"/>
        </w:rPr>
        <w:t>koordynującego</w:t>
      </w:r>
      <w:r w:rsidRPr="004C6CC5">
        <w:rPr>
          <w:rFonts w:ascii="Arial" w:hAnsi="Arial" w:cs="Arial"/>
          <w:sz w:val="20"/>
          <w:szCs w:val="20"/>
        </w:rPr>
        <w:t xml:space="preserve"> </w:t>
      </w:r>
      <w:r w:rsidRPr="004C6CC5">
        <w:rPr>
          <w:rFonts w:ascii="Arial" w:eastAsia="HiddenHorzOCR" w:hAnsi="Arial" w:cs="Arial"/>
          <w:sz w:val="20"/>
          <w:szCs w:val="20"/>
        </w:rPr>
        <w:t xml:space="preserve">długoterminowe międzynarodowe </w:t>
      </w:r>
      <w:r w:rsidRPr="004C6CC5">
        <w:rPr>
          <w:rFonts w:ascii="Arial" w:hAnsi="Arial" w:cs="Arial"/>
          <w:sz w:val="20"/>
          <w:szCs w:val="20"/>
        </w:rPr>
        <w:t xml:space="preserve">obserwacje arktyczne, </w:t>
      </w:r>
      <w:r w:rsidRPr="004C6CC5">
        <w:rPr>
          <w:rFonts w:ascii="Arial" w:eastAsia="HiddenHorzOCR" w:hAnsi="Arial" w:cs="Arial"/>
          <w:sz w:val="20"/>
          <w:szCs w:val="20"/>
        </w:rPr>
        <w:t>powstałego</w:t>
      </w:r>
      <w:r w:rsidR="005E1835">
        <w:rPr>
          <w:rFonts w:ascii="Arial" w:eastAsia="HiddenHorzOCR" w:hAnsi="Arial" w:cs="Arial"/>
          <w:sz w:val="20"/>
          <w:szCs w:val="20"/>
        </w:rPr>
        <w:t xml:space="preserve"> z </w:t>
      </w:r>
      <w:r w:rsidRPr="004C6CC5">
        <w:rPr>
          <w:rFonts w:ascii="Arial" w:hAnsi="Arial" w:cs="Arial"/>
          <w:sz w:val="20"/>
          <w:szCs w:val="20"/>
        </w:rPr>
        <w:t xml:space="preserve">inicjatywy Rady Arktycznej, ale </w:t>
      </w:r>
      <w:r w:rsidRPr="004C6CC5">
        <w:rPr>
          <w:rFonts w:ascii="Arial" w:eastAsia="HiddenHorzOCR" w:hAnsi="Arial" w:cs="Arial"/>
          <w:sz w:val="20"/>
          <w:szCs w:val="20"/>
        </w:rPr>
        <w:t>niezależnego</w:t>
      </w:r>
      <w:r w:rsidRPr="004C6CC5">
        <w:rPr>
          <w:rFonts w:ascii="Arial" w:hAnsi="Arial" w:cs="Arial"/>
          <w:sz w:val="20"/>
          <w:szCs w:val="20"/>
        </w:rPr>
        <w:t xml:space="preserve"> od niej. </w:t>
      </w:r>
      <w:r w:rsidRPr="004C6CC5">
        <w:rPr>
          <w:rFonts w:ascii="Arial" w:eastAsia="HiddenHorzOCR" w:hAnsi="Arial" w:cs="Arial"/>
          <w:sz w:val="20"/>
          <w:szCs w:val="20"/>
        </w:rPr>
        <w:t xml:space="preserve">Głównym </w:t>
      </w:r>
      <w:r w:rsidRPr="004C6CC5">
        <w:rPr>
          <w:rFonts w:ascii="Arial" w:hAnsi="Arial" w:cs="Arial"/>
          <w:sz w:val="20"/>
          <w:szCs w:val="20"/>
        </w:rPr>
        <w:t xml:space="preserve">celem SAON jest rozszerzenie </w:t>
      </w:r>
      <w:r w:rsidRPr="004C6CC5">
        <w:rPr>
          <w:rFonts w:ascii="Arial" w:eastAsia="HiddenHorzOCR" w:hAnsi="Arial" w:cs="Arial"/>
          <w:sz w:val="20"/>
          <w:szCs w:val="20"/>
        </w:rPr>
        <w:t xml:space="preserve">międzynarodowej współpracy </w:t>
      </w:r>
      <w:r w:rsidRPr="004C6CC5">
        <w:rPr>
          <w:rFonts w:ascii="Arial" w:hAnsi="Arial" w:cs="Arial"/>
          <w:sz w:val="20"/>
          <w:szCs w:val="20"/>
        </w:rPr>
        <w:t>naukowej</w:t>
      </w:r>
      <w:r w:rsidR="004C6CC5">
        <w:rPr>
          <w:rFonts w:ascii="Arial" w:hAnsi="Arial" w:cs="Arial"/>
          <w:sz w:val="20"/>
          <w:szCs w:val="20"/>
        </w:rPr>
        <w:t xml:space="preserve"> w </w:t>
      </w:r>
      <w:r w:rsidRPr="004C6CC5">
        <w:rPr>
          <w:rFonts w:ascii="Arial" w:hAnsi="Arial" w:cs="Arial"/>
          <w:sz w:val="20"/>
          <w:szCs w:val="20"/>
        </w:rPr>
        <w:t>Arktyce,</w:t>
      </w:r>
      <w:r w:rsidR="004C6CC5">
        <w:rPr>
          <w:rFonts w:ascii="Arial" w:hAnsi="Arial" w:cs="Arial"/>
          <w:sz w:val="20"/>
          <w:szCs w:val="20"/>
        </w:rPr>
        <w:t xml:space="preserve"> w </w:t>
      </w:r>
      <w:r w:rsidRPr="004C6CC5">
        <w:rPr>
          <w:rFonts w:ascii="Arial" w:eastAsia="HiddenHorzOCR" w:hAnsi="Arial" w:cs="Arial"/>
          <w:sz w:val="20"/>
          <w:szCs w:val="20"/>
        </w:rPr>
        <w:t xml:space="preserve">szczególności </w:t>
      </w:r>
      <w:r w:rsidRPr="004C6CC5">
        <w:rPr>
          <w:rFonts w:ascii="Arial" w:hAnsi="Arial" w:cs="Arial"/>
          <w:sz w:val="20"/>
          <w:szCs w:val="20"/>
        </w:rPr>
        <w:t>rozbudowa</w:t>
      </w:r>
      <w:r w:rsidR="004C6CC5">
        <w:rPr>
          <w:rFonts w:ascii="Arial" w:hAnsi="Arial" w:cs="Arial"/>
          <w:sz w:val="20"/>
          <w:szCs w:val="20"/>
        </w:rPr>
        <w:t xml:space="preserve"> i </w:t>
      </w:r>
      <w:r w:rsidRPr="004C6CC5">
        <w:rPr>
          <w:rFonts w:ascii="Arial" w:hAnsi="Arial" w:cs="Arial"/>
          <w:sz w:val="20"/>
          <w:szCs w:val="20"/>
        </w:rPr>
        <w:t xml:space="preserve">lepsze wykorzystanie </w:t>
      </w:r>
      <w:r w:rsidRPr="004C6CC5">
        <w:rPr>
          <w:rFonts w:ascii="Arial" w:eastAsia="HiddenHorzOCR" w:hAnsi="Arial" w:cs="Arial"/>
          <w:sz w:val="20"/>
          <w:szCs w:val="20"/>
        </w:rPr>
        <w:t xml:space="preserve">istniejących </w:t>
      </w:r>
      <w:r w:rsidRPr="004C6CC5">
        <w:rPr>
          <w:rFonts w:ascii="Arial" w:hAnsi="Arial" w:cs="Arial"/>
          <w:sz w:val="20"/>
          <w:szCs w:val="20"/>
        </w:rPr>
        <w:t>sieci pomiarowych, logistyka operacji arktycznych, organizacja</w:t>
      </w:r>
      <w:r w:rsidR="004C6CC5">
        <w:rPr>
          <w:rFonts w:ascii="Arial" w:hAnsi="Arial" w:cs="Arial"/>
          <w:sz w:val="20"/>
          <w:szCs w:val="20"/>
        </w:rPr>
        <w:t xml:space="preserve"> i </w:t>
      </w:r>
      <w:r w:rsidRPr="004C6CC5">
        <w:rPr>
          <w:rFonts w:ascii="Arial" w:eastAsia="HiddenHorzOCR" w:hAnsi="Arial" w:cs="Arial"/>
          <w:sz w:val="20"/>
          <w:szCs w:val="20"/>
        </w:rPr>
        <w:t xml:space="preserve">zarządzanie </w:t>
      </w:r>
      <w:r w:rsidRPr="004C6CC5">
        <w:rPr>
          <w:rFonts w:ascii="Arial" w:hAnsi="Arial" w:cs="Arial"/>
          <w:sz w:val="20"/>
          <w:szCs w:val="20"/>
        </w:rPr>
        <w:t xml:space="preserve">serwisami baz danych </w:t>
      </w:r>
      <w:r w:rsidRPr="004C6CC5">
        <w:rPr>
          <w:rFonts w:ascii="Arial" w:hAnsi="Arial" w:cs="Arial"/>
          <w:sz w:val="20"/>
          <w:szCs w:val="20"/>
        </w:rPr>
        <w:br/>
        <w:t xml:space="preserve">i informacji o </w:t>
      </w:r>
      <w:r w:rsidRPr="004C6CC5">
        <w:rPr>
          <w:rFonts w:ascii="Arial" w:eastAsia="HiddenHorzOCR" w:hAnsi="Arial" w:cs="Arial"/>
          <w:sz w:val="20"/>
          <w:szCs w:val="20"/>
        </w:rPr>
        <w:t xml:space="preserve">środowisku </w:t>
      </w:r>
      <w:r w:rsidRPr="004C6CC5">
        <w:rPr>
          <w:rFonts w:ascii="Arial" w:hAnsi="Arial" w:cs="Arial"/>
          <w:sz w:val="20"/>
          <w:szCs w:val="20"/>
        </w:rPr>
        <w:t xml:space="preserve">Arktyki. </w:t>
      </w:r>
      <w:r w:rsidRPr="004C6CC5">
        <w:rPr>
          <w:rFonts w:ascii="Arial" w:eastAsia="HiddenHorzOCR" w:hAnsi="Arial" w:cs="Arial"/>
          <w:sz w:val="20"/>
          <w:szCs w:val="20"/>
        </w:rPr>
        <w:t>Udział</w:t>
      </w:r>
      <w:r w:rsidR="004C6CC5">
        <w:rPr>
          <w:rFonts w:ascii="Arial" w:hAnsi="Arial" w:cs="Arial"/>
          <w:sz w:val="20"/>
          <w:szCs w:val="20"/>
        </w:rPr>
        <w:t xml:space="preserve"> w </w:t>
      </w:r>
      <w:r w:rsidRPr="004C6CC5">
        <w:rPr>
          <w:rFonts w:ascii="Arial" w:hAnsi="Arial" w:cs="Arial"/>
          <w:sz w:val="20"/>
          <w:szCs w:val="20"/>
        </w:rPr>
        <w:t xml:space="preserve">SAON </w:t>
      </w:r>
      <w:r w:rsidRPr="004C6CC5">
        <w:rPr>
          <w:rFonts w:ascii="Arial" w:eastAsia="HiddenHorzOCR" w:hAnsi="Arial" w:cs="Arial"/>
          <w:sz w:val="20"/>
          <w:szCs w:val="20"/>
        </w:rPr>
        <w:t xml:space="preserve">umożliwia </w:t>
      </w:r>
      <w:r w:rsidRPr="004C6CC5">
        <w:rPr>
          <w:rFonts w:ascii="Arial" w:hAnsi="Arial" w:cs="Arial"/>
          <w:sz w:val="20"/>
          <w:szCs w:val="20"/>
        </w:rPr>
        <w:t xml:space="preserve">ukierunkowanie polskich </w:t>
      </w:r>
      <w:r w:rsidRPr="004C6CC5">
        <w:rPr>
          <w:rFonts w:ascii="Arial" w:eastAsia="HiddenHorzOCR" w:hAnsi="Arial" w:cs="Arial"/>
          <w:sz w:val="20"/>
          <w:szCs w:val="20"/>
        </w:rPr>
        <w:t>badań</w:t>
      </w:r>
      <w:r w:rsidR="004C6CC5">
        <w:rPr>
          <w:rFonts w:ascii="Arial" w:eastAsia="HiddenHorzOCR" w:hAnsi="Arial" w:cs="Arial"/>
          <w:sz w:val="20"/>
          <w:szCs w:val="20"/>
        </w:rPr>
        <w:t xml:space="preserve"> w </w:t>
      </w:r>
      <w:r w:rsidRPr="004C6CC5">
        <w:rPr>
          <w:rFonts w:ascii="Arial" w:hAnsi="Arial" w:cs="Arial"/>
          <w:sz w:val="20"/>
          <w:szCs w:val="20"/>
        </w:rPr>
        <w:t>Arktyce zgodnie</w:t>
      </w:r>
      <w:r w:rsidR="004C6CC5">
        <w:rPr>
          <w:rFonts w:ascii="Arial" w:hAnsi="Arial" w:cs="Arial"/>
          <w:sz w:val="20"/>
          <w:szCs w:val="20"/>
        </w:rPr>
        <w:t xml:space="preserve"> z </w:t>
      </w:r>
      <w:r w:rsidRPr="004C6CC5">
        <w:rPr>
          <w:rFonts w:ascii="Arial" w:hAnsi="Arial" w:cs="Arial"/>
          <w:sz w:val="20"/>
          <w:szCs w:val="20"/>
        </w:rPr>
        <w:t xml:space="preserve">najbardziej aktualnymi trendami </w:t>
      </w:r>
      <w:r w:rsidRPr="004C6CC5">
        <w:rPr>
          <w:rFonts w:ascii="Arial" w:eastAsia="HiddenHorzOCR" w:hAnsi="Arial" w:cs="Arial"/>
          <w:sz w:val="20"/>
          <w:szCs w:val="20"/>
        </w:rPr>
        <w:t>światowymi.</w:t>
      </w:r>
    </w:p>
    <w:p w14:paraId="726AEB86" w14:textId="5C3A82A1" w:rsidR="003411E0" w:rsidRPr="004C6CC5" w:rsidRDefault="003411E0" w:rsidP="00C7276B">
      <w:pPr>
        <w:autoSpaceDE w:val="0"/>
        <w:autoSpaceDN w:val="0"/>
        <w:adjustRightInd w:val="0"/>
        <w:spacing w:before="120" w:after="120" w:line="276" w:lineRule="auto"/>
        <w:jc w:val="both"/>
        <w:rPr>
          <w:rFonts w:ascii="Arial" w:hAnsi="Arial" w:cs="Arial"/>
          <w:sz w:val="20"/>
          <w:szCs w:val="20"/>
        </w:rPr>
      </w:pPr>
      <w:r w:rsidRPr="004C6CC5">
        <w:rPr>
          <w:rFonts w:ascii="Arial" w:eastAsia="HiddenHorzOCR" w:hAnsi="Arial" w:cs="Arial"/>
          <w:sz w:val="20"/>
          <w:szCs w:val="20"/>
        </w:rPr>
        <w:t xml:space="preserve">Stałym </w:t>
      </w:r>
      <w:r w:rsidRPr="004C6CC5">
        <w:rPr>
          <w:rFonts w:ascii="Arial" w:hAnsi="Arial" w:cs="Arial"/>
          <w:sz w:val="20"/>
          <w:szCs w:val="20"/>
        </w:rPr>
        <w:t>priorytetem Polski</w:t>
      </w:r>
      <w:r w:rsidR="00D52C48">
        <w:rPr>
          <w:rFonts w:ascii="Arial" w:hAnsi="Arial" w:cs="Arial"/>
          <w:sz w:val="20"/>
          <w:szCs w:val="20"/>
        </w:rPr>
        <w:t xml:space="preserve"> w </w:t>
      </w:r>
      <w:r w:rsidRPr="004C6CC5">
        <w:rPr>
          <w:rFonts w:ascii="Arial" w:hAnsi="Arial" w:cs="Arial"/>
          <w:sz w:val="20"/>
          <w:szCs w:val="20"/>
        </w:rPr>
        <w:t xml:space="preserve">Arktyce </w:t>
      </w:r>
      <w:r w:rsidRPr="004C6CC5">
        <w:rPr>
          <w:rFonts w:ascii="Arial" w:eastAsia="HiddenHorzOCR" w:hAnsi="Arial" w:cs="Arial"/>
          <w:sz w:val="20"/>
          <w:szCs w:val="20"/>
        </w:rPr>
        <w:t xml:space="preserve">są </w:t>
      </w:r>
      <w:r w:rsidRPr="004C6CC5">
        <w:rPr>
          <w:rFonts w:ascii="Arial" w:hAnsi="Arial" w:cs="Arial"/>
          <w:sz w:val="20"/>
          <w:szCs w:val="20"/>
        </w:rPr>
        <w:t xml:space="preserve">badania naukowe, a </w:t>
      </w:r>
      <w:r w:rsidRPr="004C6CC5">
        <w:rPr>
          <w:rFonts w:ascii="Arial" w:eastAsia="HiddenHorzOCR" w:hAnsi="Arial" w:cs="Arial"/>
          <w:sz w:val="20"/>
          <w:szCs w:val="20"/>
        </w:rPr>
        <w:t xml:space="preserve">zwłaszcza </w:t>
      </w:r>
      <w:r w:rsidRPr="004C6CC5">
        <w:rPr>
          <w:rFonts w:ascii="Arial" w:hAnsi="Arial" w:cs="Arial"/>
          <w:sz w:val="20"/>
          <w:szCs w:val="20"/>
        </w:rPr>
        <w:t xml:space="preserve">zapewnienie praktycznej implementacji zasady swobody prowadzenia tych </w:t>
      </w:r>
      <w:r w:rsidRPr="004C6CC5">
        <w:rPr>
          <w:rFonts w:ascii="Arial" w:eastAsia="HiddenHorzOCR" w:hAnsi="Arial" w:cs="Arial"/>
          <w:sz w:val="20"/>
          <w:szCs w:val="20"/>
        </w:rPr>
        <w:t>badań</w:t>
      </w:r>
      <w:r w:rsidR="004C6CC5">
        <w:rPr>
          <w:rFonts w:ascii="Arial" w:hAnsi="Arial" w:cs="Arial"/>
          <w:sz w:val="20"/>
          <w:szCs w:val="20"/>
        </w:rPr>
        <w:t xml:space="preserve"> w </w:t>
      </w:r>
      <w:r w:rsidRPr="004C6CC5">
        <w:rPr>
          <w:rFonts w:ascii="Arial" w:hAnsi="Arial" w:cs="Arial"/>
          <w:sz w:val="20"/>
          <w:szCs w:val="20"/>
        </w:rPr>
        <w:t xml:space="preserve">regionie. Polsce </w:t>
      </w:r>
      <w:r w:rsidRPr="004C6CC5">
        <w:rPr>
          <w:rFonts w:ascii="Arial" w:eastAsia="HiddenHorzOCR" w:hAnsi="Arial" w:cs="Arial"/>
          <w:sz w:val="20"/>
          <w:szCs w:val="20"/>
        </w:rPr>
        <w:t xml:space="preserve">zależy </w:t>
      </w:r>
      <w:r w:rsidRPr="004C6CC5">
        <w:rPr>
          <w:rFonts w:ascii="Arial" w:hAnsi="Arial" w:cs="Arial"/>
          <w:sz w:val="20"/>
          <w:szCs w:val="20"/>
        </w:rPr>
        <w:t xml:space="preserve">na wszechstronnym rozwijaniu </w:t>
      </w:r>
      <w:r w:rsidRPr="004C6CC5">
        <w:rPr>
          <w:rFonts w:ascii="Arial" w:eastAsia="HiddenHorzOCR" w:hAnsi="Arial" w:cs="Arial"/>
          <w:sz w:val="20"/>
          <w:szCs w:val="20"/>
        </w:rPr>
        <w:t>współpracy międzynarodowej</w:t>
      </w:r>
      <w:r w:rsidR="004C6CC5">
        <w:rPr>
          <w:rFonts w:ascii="Arial" w:eastAsia="HiddenHorzOCR" w:hAnsi="Arial" w:cs="Arial"/>
          <w:sz w:val="20"/>
          <w:szCs w:val="20"/>
        </w:rPr>
        <w:t xml:space="preserve"> w </w:t>
      </w:r>
      <w:r w:rsidRPr="004C6CC5">
        <w:rPr>
          <w:rFonts w:ascii="Arial" w:hAnsi="Arial" w:cs="Arial"/>
          <w:sz w:val="20"/>
          <w:szCs w:val="20"/>
        </w:rPr>
        <w:t xml:space="preserve">odniesieniu do </w:t>
      </w:r>
      <w:r w:rsidRPr="004C6CC5">
        <w:rPr>
          <w:rFonts w:ascii="Arial" w:eastAsia="HiddenHorzOCR" w:hAnsi="Arial" w:cs="Arial"/>
          <w:sz w:val="20"/>
          <w:szCs w:val="20"/>
        </w:rPr>
        <w:t xml:space="preserve">badań </w:t>
      </w:r>
      <w:r w:rsidRPr="004C6CC5">
        <w:rPr>
          <w:rFonts w:ascii="Arial" w:hAnsi="Arial" w:cs="Arial"/>
          <w:sz w:val="20"/>
          <w:szCs w:val="20"/>
        </w:rPr>
        <w:t>naukowych</w:t>
      </w:r>
      <w:r w:rsidR="00B81373">
        <w:rPr>
          <w:rFonts w:ascii="Arial" w:hAnsi="Arial" w:cs="Arial"/>
          <w:sz w:val="20"/>
          <w:szCs w:val="20"/>
        </w:rPr>
        <w:t xml:space="preserve"> w </w:t>
      </w:r>
      <w:r w:rsidRPr="004C6CC5">
        <w:rPr>
          <w:rFonts w:ascii="Arial" w:hAnsi="Arial" w:cs="Arial"/>
          <w:sz w:val="20"/>
          <w:szCs w:val="20"/>
        </w:rPr>
        <w:t xml:space="preserve">Arktyce oraz na szerszym </w:t>
      </w:r>
      <w:r w:rsidRPr="004C6CC5">
        <w:rPr>
          <w:rFonts w:ascii="Arial" w:eastAsia="HiddenHorzOCR" w:hAnsi="Arial" w:cs="Arial"/>
          <w:sz w:val="20"/>
          <w:szCs w:val="20"/>
        </w:rPr>
        <w:t xml:space="preserve">dostępie </w:t>
      </w:r>
      <w:r w:rsidRPr="004C6CC5">
        <w:rPr>
          <w:rFonts w:ascii="Arial" w:hAnsi="Arial" w:cs="Arial"/>
          <w:sz w:val="20"/>
          <w:szCs w:val="20"/>
        </w:rPr>
        <w:t xml:space="preserve">do europejskich </w:t>
      </w:r>
      <w:r w:rsidRPr="004C6CC5">
        <w:rPr>
          <w:rFonts w:ascii="Arial" w:eastAsia="HiddenHorzOCR" w:hAnsi="Arial" w:cs="Arial"/>
          <w:sz w:val="20"/>
          <w:szCs w:val="20"/>
        </w:rPr>
        <w:t xml:space="preserve">źródeł </w:t>
      </w:r>
      <w:r w:rsidRPr="004C6CC5">
        <w:rPr>
          <w:rFonts w:ascii="Arial" w:hAnsi="Arial" w:cs="Arial"/>
          <w:sz w:val="20"/>
          <w:szCs w:val="20"/>
        </w:rPr>
        <w:t xml:space="preserve">finansowania </w:t>
      </w:r>
      <w:r w:rsidRPr="004C6CC5">
        <w:rPr>
          <w:rFonts w:ascii="Arial" w:eastAsia="HiddenHorzOCR" w:hAnsi="Arial" w:cs="Arial"/>
          <w:sz w:val="20"/>
          <w:szCs w:val="20"/>
        </w:rPr>
        <w:t>badań</w:t>
      </w:r>
      <w:r w:rsidR="004C6CC5">
        <w:rPr>
          <w:rFonts w:ascii="Arial" w:eastAsia="HiddenHorzOCR" w:hAnsi="Arial" w:cs="Arial"/>
          <w:sz w:val="20"/>
          <w:szCs w:val="20"/>
        </w:rPr>
        <w:t xml:space="preserve"> w </w:t>
      </w:r>
      <w:r w:rsidRPr="004C6CC5">
        <w:rPr>
          <w:rFonts w:ascii="Arial" w:hAnsi="Arial" w:cs="Arial"/>
          <w:sz w:val="20"/>
          <w:szCs w:val="20"/>
        </w:rPr>
        <w:t xml:space="preserve">tym rejonie. Dla polskiego </w:t>
      </w:r>
      <w:r w:rsidRPr="004C6CC5">
        <w:rPr>
          <w:rFonts w:ascii="Arial" w:eastAsia="HiddenHorzOCR" w:hAnsi="Arial" w:cs="Arial"/>
          <w:sz w:val="20"/>
          <w:szCs w:val="20"/>
        </w:rPr>
        <w:t xml:space="preserve">środowiska </w:t>
      </w:r>
      <w:r w:rsidRPr="004C6CC5">
        <w:rPr>
          <w:rFonts w:ascii="Arial" w:hAnsi="Arial" w:cs="Arial"/>
          <w:sz w:val="20"/>
          <w:szCs w:val="20"/>
        </w:rPr>
        <w:t xml:space="preserve">badaczy polarnych </w:t>
      </w:r>
      <w:r w:rsidRPr="004C6CC5">
        <w:rPr>
          <w:rFonts w:ascii="Arial" w:eastAsia="HiddenHorzOCR" w:hAnsi="Arial" w:cs="Arial"/>
          <w:sz w:val="20"/>
          <w:szCs w:val="20"/>
        </w:rPr>
        <w:t xml:space="preserve">najważniejszym </w:t>
      </w:r>
      <w:r w:rsidRPr="004C6CC5">
        <w:rPr>
          <w:rFonts w:ascii="Arial" w:hAnsi="Arial" w:cs="Arial"/>
          <w:sz w:val="20"/>
          <w:szCs w:val="20"/>
        </w:rPr>
        <w:t xml:space="preserve">polem do realizacji polityki morskiej </w:t>
      </w:r>
      <w:r w:rsidRPr="004C6CC5">
        <w:rPr>
          <w:rFonts w:ascii="Arial" w:eastAsia="HiddenHorzOCR" w:hAnsi="Arial" w:cs="Arial"/>
          <w:sz w:val="20"/>
          <w:szCs w:val="20"/>
        </w:rPr>
        <w:t xml:space="preserve">państwa </w:t>
      </w:r>
      <w:r w:rsidRPr="004C6CC5">
        <w:rPr>
          <w:rFonts w:ascii="Arial" w:hAnsi="Arial" w:cs="Arial"/>
          <w:sz w:val="20"/>
          <w:szCs w:val="20"/>
        </w:rPr>
        <w:t xml:space="preserve">jest </w:t>
      </w:r>
      <w:r w:rsidRPr="004C6CC5">
        <w:rPr>
          <w:rFonts w:ascii="Arial" w:eastAsia="HiddenHorzOCR" w:hAnsi="Arial" w:cs="Arial"/>
          <w:sz w:val="20"/>
          <w:szCs w:val="20"/>
        </w:rPr>
        <w:t xml:space="preserve">bezpośrednia działalność </w:t>
      </w:r>
      <w:r w:rsidRPr="004C6CC5">
        <w:rPr>
          <w:rFonts w:ascii="Arial" w:hAnsi="Arial" w:cs="Arial"/>
          <w:sz w:val="20"/>
          <w:szCs w:val="20"/>
        </w:rPr>
        <w:t xml:space="preserve">naukowa oraz stymulowanie nowych kierunków badawczych oraz projektów naukowych. Polska ma </w:t>
      </w:r>
      <w:r w:rsidRPr="004C6CC5">
        <w:rPr>
          <w:rFonts w:ascii="Arial" w:eastAsia="HiddenHorzOCR" w:hAnsi="Arial" w:cs="Arial"/>
          <w:sz w:val="20"/>
          <w:szCs w:val="20"/>
        </w:rPr>
        <w:t>wieloletnią tradycję</w:t>
      </w:r>
      <w:r w:rsidR="004C6CC5">
        <w:rPr>
          <w:rFonts w:ascii="Arial" w:eastAsia="HiddenHorzOCR" w:hAnsi="Arial" w:cs="Arial"/>
          <w:sz w:val="20"/>
          <w:szCs w:val="20"/>
        </w:rPr>
        <w:t xml:space="preserve"> w </w:t>
      </w:r>
      <w:r w:rsidRPr="004C6CC5">
        <w:rPr>
          <w:rFonts w:ascii="Arial" w:hAnsi="Arial" w:cs="Arial"/>
          <w:sz w:val="20"/>
          <w:szCs w:val="20"/>
        </w:rPr>
        <w:t>badaniach arktycznych</w:t>
      </w:r>
      <w:r w:rsidR="004C6CC5">
        <w:rPr>
          <w:rFonts w:ascii="Arial" w:hAnsi="Arial" w:cs="Arial"/>
          <w:sz w:val="20"/>
          <w:szCs w:val="20"/>
        </w:rPr>
        <w:t xml:space="preserve"> i </w:t>
      </w:r>
      <w:r w:rsidRPr="004C6CC5">
        <w:rPr>
          <w:rFonts w:ascii="Arial" w:hAnsi="Arial" w:cs="Arial"/>
          <w:sz w:val="20"/>
          <w:szCs w:val="20"/>
        </w:rPr>
        <w:t xml:space="preserve">antarktycznych, a badania morza </w:t>
      </w:r>
      <w:r w:rsidRPr="004C6CC5">
        <w:rPr>
          <w:rFonts w:ascii="Arial" w:eastAsia="HiddenHorzOCR" w:hAnsi="Arial" w:cs="Arial"/>
          <w:sz w:val="20"/>
          <w:szCs w:val="20"/>
        </w:rPr>
        <w:t>zajmują</w:t>
      </w:r>
      <w:r w:rsidR="004C6CC5">
        <w:rPr>
          <w:rFonts w:ascii="Arial" w:eastAsia="HiddenHorzOCR" w:hAnsi="Arial" w:cs="Arial"/>
          <w:sz w:val="20"/>
          <w:szCs w:val="20"/>
        </w:rPr>
        <w:t xml:space="preserve"> w </w:t>
      </w:r>
      <w:r w:rsidRPr="004C6CC5">
        <w:rPr>
          <w:rFonts w:ascii="Arial" w:hAnsi="Arial" w:cs="Arial"/>
          <w:sz w:val="20"/>
          <w:szCs w:val="20"/>
        </w:rPr>
        <w:t xml:space="preserve">tych pracach </w:t>
      </w:r>
      <w:r w:rsidRPr="004C6CC5">
        <w:rPr>
          <w:rFonts w:ascii="Arial" w:eastAsia="HiddenHorzOCR" w:hAnsi="Arial" w:cs="Arial"/>
          <w:sz w:val="20"/>
          <w:szCs w:val="20"/>
        </w:rPr>
        <w:t xml:space="preserve">ważne </w:t>
      </w:r>
      <w:r w:rsidRPr="004C6CC5">
        <w:rPr>
          <w:rFonts w:ascii="Arial" w:hAnsi="Arial" w:cs="Arial"/>
          <w:sz w:val="20"/>
          <w:szCs w:val="20"/>
        </w:rPr>
        <w:t xml:space="preserve">miejsce. </w:t>
      </w:r>
      <w:r w:rsidRPr="004C6CC5">
        <w:rPr>
          <w:rFonts w:ascii="Arial" w:eastAsia="HiddenHorzOCR" w:hAnsi="Arial" w:cs="Arial"/>
          <w:sz w:val="20"/>
          <w:szCs w:val="20"/>
        </w:rPr>
        <w:t xml:space="preserve">Stałe </w:t>
      </w:r>
      <w:r w:rsidRPr="004C6CC5">
        <w:rPr>
          <w:rFonts w:ascii="Arial" w:hAnsi="Arial" w:cs="Arial"/>
          <w:sz w:val="20"/>
          <w:szCs w:val="20"/>
        </w:rPr>
        <w:t xml:space="preserve">bazy naukowe usytuowane na Antarktydzie (Polska Stacja Antarktyczna im. Henryka Arctowskiego pod </w:t>
      </w:r>
      <w:r w:rsidRPr="004C6CC5">
        <w:rPr>
          <w:rFonts w:ascii="Arial" w:eastAsia="HiddenHorzOCR" w:hAnsi="Arial" w:cs="Arial"/>
          <w:sz w:val="20"/>
          <w:szCs w:val="20"/>
        </w:rPr>
        <w:t xml:space="preserve">opieką Zakładu </w:t>
      </w:r>
      <w:r w:rsidRPr="004C6CC5">
        <w:rPr>
          <w:rFonts w:ascii="Arial" w:hAnsi="Arial" w:cs="Arial"/>
          <w:sz w:val="20"/>
          <w:szCs w:val="20"/>
        </w:rPr>
        <w:t>Biologi</w:t>
      </w:r>
      <w:r w:rsidR="006271D3">
        <w:rPr>
          <w:rFonts w:ascii="Arial" w:hAnsi="Arial" w:cs="Arial"/>
          <w:sz w:val="20"/>
          <w:szCs w:val="20"/>
        </w:rPr>
        <w:t>i Antarktyki Instytutu Biochemi</w:t>
      </w:r>
      <w:r w:rsidRPr="004C6CC5">
        <w:rPr>
          <w:rFonts w:ascii="Arial" w:hAnsi="Arial" w:cs="Arial"/>
          <w:sz w:val="20"/>
          <w:szCs w:val="20"/>
        </w:rPr>
        <w:t xml:space="preserve">i </w:t>
      </w:r>
      <w:r w:rsidR="00E33596">
        <w:rPr>
          <w:rFonts w:ascii="Arial" w:hAnsi="Arial" w:cs="Arial"/>
          <w:sz w:val="20"/>
          <w:szCs w:val="20"/>
        </w:rPr>
        <w:br/>
        <w:t xml:space="preserve">i </w:t>
      </w:r>
      <w:r w:rsidRPr="004C6CC5">
        <w:rPr>
          <w:rFonts w:ascii="Arial" w:hAnsi="Arial" w:cs="Arial"/>
          <w:sz w:val="20"/>
          <w:szCs w:val="20"/>
        </w:rPr>
        <w:t>Biofizyki PAN)</w:t>
      </w:r>
      <w:r w:rsidR="004C6CC5">
        <w:rPr>
          <w:rFonts w:ascii="Arial" w:hAnsi="Arial" w:cs="Arial"/>
          <w:sz w:val="20"/>
          <w:szCs w:val="20"/>
        </w:rPr>
        <w:t xml:space="preserve"> </w:t>
      </w:r>
      <w:r w:rsidR="00E33596">
        <w:rPr>
          <w:rFonts w:ascii="Arial" w:hAnsi="Arial" w:cs="Arial"/>
          <w:sz w:val="20"/>
          <w:szCs w:val="20"/>
        </w:rPr>
        <w:t>oraz</w:t>
      </w:r>
      <w:r w:rsidR="004C6CC5">
        <w:rPr>
          <w:rFonts w:ascii="Arial" w:hAnsi="Arial" w:cs="Arial"/>
          <w:sz w:val="20"/>
          <w:szCs w:val="20"/>
        </w:rPr>
        <w:t xml:space="preserve"> w </w:t>
      </w:r>
      <w:r w:rsidRPr="004C6CC5">
        <w:rPr>
          <w:rFonts w:ascii="Arial" w:hAnsi="Arial" w:cs="Arial"/>
          <w:sz w:val="20"/>
          <w:szCs w:val="20"/>
        </w:rPr>
        <w:t>Arktyce (Polska Stacja Polarna</w:t>
      </w:r>
      <w:r w:rsidR="004C6CC5">
        <w:rPr>
          <w:rFonts w:ascii="Arial" w:hAnsi="Arial" w:cs="Arial"/>
          <w:sz w:val="20"/>
          <w:szCs w:val="20"/>
        </w:rPr>
        <w:t xml:space="preserve"> w </w:t>
      </w:r>
      <w:r w:rsidRPr="004C6CC5">
        <w:rPr>
          <w:rFonts w:ascii="Arial" w:hAnsi="Arial" w:cs="Arial"/>
          <w:sz w:val="20"/>
          <w:szCs w:val="20"/>
        </w:rPr>
        <w:t xml:space="preserve">Hornsudzie, Svalbard, </w:t>
      </w:r>
      <w:r w:rsidRPr="004C6CC5">
        <w:rPr>
          <w:rFonts w:ascii="Arial" w:eastAsia="HiddenHorzOCR" w:hAnsi="Arial" w:cs="Arial"/>
          <w:sz w:val="20"/>
          <w:szCs w:val="20"/>
        </w:rPr>
        <w:t xml:space="preserve">należąca </w:t>
      </w:r>
      <w:r w:rsidRPr="004C6CC5">
        <w:rPr>
          <w:rFonts w:ascii="Arial" w:hAnsi="Arial" w:cs="Arial"/>
          <w:sz w:val="20"/>
          <w:szCs w:val="20"/>
        </w:rPr>
        <w:t xml:space="preserve">do Instytutu Geofizyki PAN) </w:t>
      </w:r>
      <w:r w:rsidRPr="004C6CC5">
        <w:rPr>
          <w:rFonts w:ascii="Arial" w:eastAsia="HiddenHorzOCR" w:hAnsi="Arial" w:cs="Arial"/>
          <w:sz w:val="20"/>
          <w:szCs w:val="20"/>
        </w:rPr>
        <w:t>leżą</w:t>
      </w:r>
      <w:r w:rsidR="004C6CC5">
        <w:rPr>
          <w:rFonts w:ascii="Arial" w:eastAsia="HiddenHorzOCR" w:hAnsi="Arial" w:cs="Arial"/>
          <w:sz w:val="20"/>
          <w:szCs w:val="20"/>
        </w:rPr>
        <w:t xml:space="preserve"> w </w:t>
      </w:r>
      <w:r w:rsidRPr="004C6CC5">
        <w:rPr>
          <w:rFonts w:ascii="Arial" w:eastAsia="HiddenHorzOCR" w:hAnsi="Arial" w:cs="Arial"/>
          <w:sz w:val="20"/>
          <w:szCs w:val="20"/>
        </w:rPr>
        <w:t xml:space="preserve">bezpośredniej bliskości </w:t>
      </w:r>
      <w:r w:rsidRPr="004C6CC5">
        <w:rPr>
          <w:rFonts w:ascii="Arial" w:hAnsi="Arial" w:cs="Arial"/>
          <w:sz w:val="20"/>
          <w:szCs w:val="20"/>
        </w:rPr>
        <w:t>morza</w:t>
      </w:r>
      <w:r w:rsidR="004C6CC5">
        <w:rPr>
          <w:rFonts w:ascii="Arial" w:hAnsi="Arial" w:cs="Arial"/>
          <w:sz w:val="20"/>
          <w:szCs w:val="20"/>
        </w:rPr>
        <w:t xml:space="preserve"> i </w:t>
      </w:r>
      <w:r w:rsidRPr="004C6CC5">
        <w:rPr>
          <w:rFonts w:ascii="Arial" w:hAnsi="Arial" w:cs="Arial"/>
          <w:sz w:val="20"/>
          <w:szCs w:val="20"/>
        </w:rPr>
        <w:t xml:space="preserve">znaczna </w:t>
      </w:r>
      <w:r w:rsidRPr="004C6CC5">
        <w:rPr>
          <w:rFonts w:ascii="Arial" w:eastAsia="HiddenHorzOCR" w:hAnsi="Arial" w:cs="Arial"/>
          <w:sz w:val="20"/>
          <w:szCs w:val="20"/>
        </w:rPr>
        <w:t>część</w:t>
      </w:r>
      <w:r w:rsidRPr="004C6CC5">
        <w:rPr>
          <w:rFonts w:ascii="Arial" w:hAnsi="Arial" w:cs="Arial"/>
          <w:sz w:val="20"/>
          <w:szCs w:val="20"/>
        </w:rPr>
        <w:t xml:space="preserve"> ich </w:t>
      </w:r>
      <w:r w:rsidRPr="004C6CC5">
        <w:rPr>
          <w:rFonts w:ascii="Arial" w:eastAsia="HiddenHorzOCR" w:hAnsi="Arial" w:cs="Arial"/>
          <w:sz w:val="20"/>
          <w:szCs w:val="20"/>
        </w:rPr>
        <w:t xml:space="preserve">działalności poświęcona </w:t>
      </w:r>
      <w:r w:rsidRPr="004C6CC5">
        <w:rPr>
          <w:rFonts w:ascii="Arial" w:hAnsi="Arial" w:cs="Arial"/>
          <w:sz w:val="20"/>
          <w:szCs w:val="20"/>
        </w:rPr>
        <w:t xml:space="preserve">jest badaniu </w:t>
      </w:r>
      <w:r w:rsidRPr="004C6CC5">
        <w:rPr>
          <w:rFonts w:ascii="Arial" w:eastAsia="HiddenHorzOCR" w:hAnsi="Arial" w:cs="Arial"/>
          <w:sz w:val="20"/>
          <w:szCs w:val="20"/>
        </w:rPr>
        <w:t xml:space="preserve">środowiska </w:t>
      </w:r>
      <w:r w:rsidRPr="004C6CC5">
        <w:rPr>
          <w:rFonts w:ascii="Arial" w:hAnsi="Arial" w:cs="Arial"/>
          <w:sz w:val="20"/>
          <w:szCs w:val="20"/>
        </w:rPr>
        <w:t>morskiego. Od 1988</w:t>
      </w:r>
      <w:r w:rsidR="009D01B9" w:rsidRPr="004C6CC5">
        <w:rPr>
          <w:rFonts w:ascii="Arial" w:hAnsi="Arial" w:cs="Arial"/>
          <w:sz w:val="20"/>
          <w:szCs w:val="20"/>
        </w:rPr>
        <w:t xml:space="preserve"> r. </w:t>
      </w:r>
      <w:r w:rsidRPr="004C6CC5">
        <w:rPr>
          <w:rFonts w:ascii="Arial" w:hAnsi="Arial" w:cs="Arial"/>
          <w:sz w:val="20"/>
          <w:szCs w:val="20"/>
        </w:rPr>
        <w:t>Instytut Oceanologii PAN</w:t>
      </w:r>
      <w:r w:rsidR="004C6CC5">
        <w:rPr>
          <w:rFonts w:ascii="Arial" w:hAnsi="Arial" w:cs="Arial"/>
          <w:sz w:val="20"/>
          <w:szCs w:val="20"/>
        </w:rPr>
        <w:t xml:space="preserve"> z </w:t>
      </w:r>
      <w:r w:rsidRPr="004C6CC5">
        <w:rPr>
          <w:rFonts w:ascii="Arial" w:hAnsi="Arial" w:cs="Arial"/>
          <w:sz w:val="20"/>
          <w:szCs w:val="20"/>
        </w:rPr>
        <w:t>pokładu r/v Oceania</w:t>
      </w:r>
      <w:r w:rsidR="004C6CC5">
        <w:rPr>
          <w:rFonts w:ascii="Arial" w:hAnsi="Arial" w:cs="Arial"/>
          <w:sz w:val="20"/>
          <w:szCs w:val="20"/>
        </w:rPr>
        <w:t xml:space="preserve"> w </w:t>
      </w:r>
      <w:r w:rsidRPr="004C6CC5">
        <w:rPr>
          <w:rFonts w:ascii="Arial" w:hAnsi="Arial" w:cs="Arial"/>
          <w:sz w:val="20"/>
          <w:szCs w:val="20"/>
        </w:rPr>
        <w:t>ramach projektów międzynarodowych prowadzi regularne, kompleksowe badania wód Arktyki Europejskiej,</w:t>
      </w:r>
      <w:r w:rsidR="004C6CC5">
        <w:rPr>
          <w:rFonts w:ascii="Arial" w:hAnsi="Arial" w:cs="Arial"/>
          <w:sz w:val="20"/>
          <w:szCs w:val="20"/>
        </w:rPr>
        <w:t xml:space="preserve"> w </w:t>
      </w:r>
      <w:r w:rsidRPr="004C6CC5">
        <w:rPr>
          <w:rFonts w:ascii="Arial" w:hAnsi="Arial" w:cs="Arial"/>
          <w:sz w:val="20"/>
          <w:szCs w:val="20"/>
        </w:rPr>
        <w:t>tym szelfu Spitsbergenu, a od 1996</w:t>
      </w:r>
      <w:r w:rsidR="009D01B9" w:rsidRPr="004C6CC5">
        <w:rPr>
          <w:rFonts w:ascii="Arial" w:hAnsi="Arial" w:cs="Arial"/>
          <w:sz w:val="20"/>
          <w:szCs w:val="20"/>
        </w:rPr>
        <w:t xml:space="preserve"> r. </w:t>
      </w:r>
      <w:r w:rsidRPr="004C6CC5">
        <w:rPr>
          <w:rFonts w:ascii="Arial" w:hAnsi="Arial" w:cs="Arial"/>
          <w:sz w:val="20"/>
          <w:szCs w:val="20"/>
        </w:rPr>
        <w:t>monitoring dwóch fiordów (wspólnie</w:t>
      </w:r>
      <w:r w:rsidR="004C6CC5">
        <w:rPr>
          <w:rFonts w:ascii="Arial" w:hAnsi="Arial" w:cs="Arial"/>
          <w:sz w:val="20"/>
          <w:szCs w:val="20"/>
        </w:rPr>
        <w:t xml:space="preserve"> z </w:t>
      </w:r>
      <w:r w:rsidRPr="004C6CC5">
        <w:rPr>
          <w:rFonts w:ascii="Arial" w:hAnsi="Arial" w:cs="Arial"/>
          <w:sz w:val="20"/>
          <w:szCs w:val="20"/>
        </w:rPr>
        <w:t>Norwegią Kongsfjorden</w:t>
      </w:r>
      <w:r w:rsidR="004C6CC5">
        <w:rPr>
          <w:rFonts w:ascii="Arial" w:hAnsi="Arial" w:cs="Arial"/>
          <w:sz w:val="20"/>
          <w:szCs w:val="20"/>
        </w:rPr>
        <w:t xml:space="preserve"> i </w:t>
      </w:r>
      <w:r w:rsidRPr="004C6CC5">
        <w:rPr>
          <w:rFonts w:ascii="Arial" w:hAnsi="Arial" w:cs="Arial"/>
          <w:sz w:val="20"/>
          <w:szCs w:val="20"/>
        </w:rPr>
        <w:t xml:space="preserve">samodzielnie Hornsund). </w:t>
      </w:r>
    </w:p>
    <w:p w14:paraId="0ADA7323" w14:textId="2170F6AD" w:rsidR="003411E0" w:rsidRPr="004C6CC5" w:rsidRDefault="003411E0" w:rsidP="00C7276B">
      <w:pPr>
        <w:autoSpaceDE w:val="0"/>
        <w:autoSpaceDN w:val="0"/>
        <w:adjustRightInd w:val="0"/>
        <w:spacing w:before="120" w:after="120" w:line="276" w:lineRule="auto"/>
        <w:jc w:val="both"/>
        <w:rPr>
          <w:rFonts w:ascii="Arial" w:eastAsia="HiddenHorzOCR"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 xml:space="preserve">kontynuowano </w:t>
      </w:r>
      <w:r w:rsidRPr="004C6CC5">
        <w:rPr>
          <w:rFonts w:ascii="Arial" w:eastAsia="HiddenHorzOCR" w:hAnsi="Arial" w:cs="Arial"/>
          <w:sz w:val="20"/>
          <w:szCs w:val="20"/>
        </w:rPr>
        <w:t xml:space="preserve">realizację </w:t>
      </w:r>
      <w:r w:rsidRPr="004C6CC5">
        <w:rPr>
          <w:rFonts w:ascii="Arial" w:hAnsi="Arial" w:cs="Arial"/>
          <w:sz w:val="20"/>
          <w:szCs w:val="20"/>
        </w:rPr>
        <w:t xml:space="preserve">licznych </w:t>
      </w:r>
      <w:r w:rsidRPr="004C6CC5">
        <w:rPr>
          <w:rFonts w:ascii="Arial" w:eastAsia="HiddenHorzOCR" w:hAnsi="Arial" w:cs="Arial"/>
          <w:sz w:val="20"/>
          <w:szCs w:val="20"/>
        </w:rPr>
        <w:t xml:space="preserve">międzynarodowych </w:t>
      </w:r>
      <w:r w:rsidRPr="004C6CC5">
        <w:rPr>
          <w:rFonts w:ascii="Arial" w:hAnsi="Arial" w:cs="Arial"/>
          <w:sz w:val="20"/>
          <w:szCs w:val="20"/>
        </w:rPr>
        <w:t>projektów badawczych</w:t>
      </w:r>
      <w:r w:rsidR="004C6CC5">
        <w:rPr>
          <w:rFonts w:ascii="Arial" w:hAnsi="Arial" w:cs="Arial"/>
          <w:sz w:val="20"/>
          <w:szCs w:val="20"/>
        </w:rPr>
        <w:t xml:space="preserve"> w </w:t>
      </w:r>
      <w:r w:rsidRPr="004C6CC5">
        <w:rPr>
          <w:rFonts w:ascii="Arial" w:hAnsi="Arial" w:cs="Arial"/>
          <w:sz w:val="20"/>
          <w:szCs w:val="20"/>
        </w:rPr>
        <w:t xml:space="preserve">Arktyce. </w:t>
      </w:r>
      <w:r w:rsidRPr="004C6CC5">
        <w:rPr>
          <w:rFonts w:ascii="Arial" w:eastAsia="HiddenHorzOCR" w:hAnsi="Arial" w:cs="Arial"/>
          <w:sz w:val="20"/>
          <w:szCs w:val="20"/>
        </w:rPr>
        <w:t xml:space="preserve">Były </w:t>
      </w:r>
      <w:r w:rsidR="000814A6">
        <w:rPr>
          <w:rFonts w:ascii="Arial" w:hAnsi="Arial" w:cs="Arial"/>
          <w:sz w:val="20"/>
          <w:szCs w:val="20"/>
        </w:rPr>
        <w:t xml:space="preserve">to przede wszystkim granty z </w:t>
      </w:r>
      <w:r w:rsidRPr="004C6CC5">
        <w:rPr>
          <w:rFonts w:ascii="Arial" w:hAnsi="Arial" w:cs="Arial"/>
          <w:sz w:val="20"/>
          <w:szCs w:val="20"/>
        </w:rPr>
        <w:t xml:space="preserve">Programu Polsko-Norweska </w:t>
      </w:r>
      <w:r w:rsidRPr="004C6CC5">
        <w:rPr>
          <w:rFonts w:ascii="Arial" w:eastAsia="HiddenHorzOCR" w:hAnsi="Arial" w:cs="Arial"/>
          <w:sz w:val="20"/>
          <w:szCs w:val="20"/>
        </w:rPr>
        <w:t xml:space="preserve">Współpraca </w:t>
      </w:r>
      <w:r w:rsidRPr="004C6CC5">
        <w:rPr>
          <w:rFonts w:ascii="Arial" w:hAnsi="Arial" w:cs="Arial"/>
          <w:sz w:val="20"/>
          <w:szCs w:val="20"/>
        </w:rPr>
        <w:t xml:space="preserve">Badawcza, </w:t>
      </w:r>
      <w:r w:rsidRPr="004C6CC5">
        <w:rPr>
          <w:rFonts w:ascii="Arial" w:eastAsia="HiddenHorzOCR" w:hAnsi="Arial" w:cs="Arial"/>
          <w:sz w:val="20"/>
          <w:szCs w:val="20"/>
        </w:rPr>
        <w:t xml:space="preserve">dzięki </w:t>
      </w:r>
      <w:r w:rsidRPr="004C6CC5">
        <w:rPr>
          <w:rFonts w:ascii="Arial" w:hAnsi="Arial" w:cs="Arial"/>
          <w:sz w:val="20"/>
          <w:szCs w:val="20"/>
        </w:rPr>
        <w:t xml:space="preserve">którym realizowane </w:t>
      </w:r>
      <w:r w:rsidRPr="004C6CC5">
        <w:rPr>
          <w:rFonts w:ascii="Arial" w:eastAsia="HiddenHorzOCR" w:hAnsi="Arial" w:cs="Arial"/>
          <w:sz w:val="20"/>
          <w:szCs w:val="20"/>
        </w:rPr>
        <w:t xml:space="preserve">są </w:t>
      </w:r>
      <w:r w:rsidRPr="004C6CC5">
        <w:rPr>
          <w:rFonts w:ascii="Arial" w:hAnsi="Arial" w:cs="Arial"/>
          <w:sz w:val="20"/>
          <w:szCs w:val="20"/>
        </w:rPr>
        <w:t xml:space="preserve">projekty </w:t>
      </w:r>
      <w:r w:rsidRPr="004C6CC5">
        <w:rPr>
          <w:rFonts w:ascii="Arial" w:eastAsia="HiddenHorzOCR" w:hAnsi="Arial" w:cs="Arial"/>
          <w:sz w:val="20"/>
          <w:szCs w:val="20"/>
        </w:rPr>
        <w:t xml:space="preserve">będące doskonałym przykładem </w:t>
      </w:r>
      <w:r w:rsidRPr="004C6CC5">
        <w:rPr>
          <w:rFonts w:ascii="Arial" w:hAnsi="Arial" w:cs="Arial"/>
          <w:sz w:val="20"/>
          <w:szCs w:val="20"/>
        </w:rPr>
        <w:t xml:space="preserve">udanej </w:t>
      </w:r>
      <w:r w:rsidRPr="004C6CC5">
        <w:rPr>
          <w:rFonts w:ascii="Arial" w:eastAsia="HiddenHorzOCR" w:hAnsi="Arial" w:cs="Arial"/>
          <w:sz w:val="20"/>
          <w:szCs w:val="20"/>
        </w:rPr>
        <w:t>współpracy</w:t>
      </w:r>
      <w:r w:rsidR="004C6CC5">
        <w:rPr>
          <w:rFonts w:ascii="Arial" w:eastAsia="HiddenHorzOCR" w:hAnsi="Arial" w:cs="Arial"/>
          <w:sz w:val="20"/>
          <w:szCs w:val="20"/>
        </w:rPr>
        <w:t xml:space="preserve"> w </w:t>
      </w:r>
      <w:r w:rsidRPr="004C6CC5">
        <w:rPr>
          <w:rFonts w:ascii="Arial" w:hAnsi="Arial" w:cs="Arial"/>
          <w:sz w:val="20"/>
          <w:szCs w:val="20"/>
        </w:rPr>
        <w:t xml:space="preserve">wymiarze krajowym oraz </w:t>
      </w:r>
      <w:r w:rsidRPr="004C6CC5">
        <w:rPr>
          <w:rFonts w:ascii="Arial" w:eastAsia="HiddenHorzOCR" w:hAnsi="Arial" w:cs="Arial"/>
          <w:sz w:val="20"/>
          <w:szCs w:val="20"/>
        </w:rPr>
        <w:t xml:space="preserve">międzynarodowym służące </w:t>
      </w:r>
      <w:r w:rsidRPr="004C6CC5">
        <w:rPr>
          <w:rFonts w:ascii="Arial" w:hAnsi="Arial" w:cs="Arial"/>
          <w:sz w:val="20"/>
          <w:szCs w:val="20"/>
        </w:rPr>
        <w:t>realizacji polskiej polityki morskiej.</w:t>
      </w:r>
    </w:p>
    <w:p w14:paraId="797FB823" w14:textId="3918E29E" w:rsidR="003411E0" w:rsidRPr="004C6CC5" w:rsidRDefault="003411E0" w:rsidP="00C7276B">
      <w:pPr>
        <w:autoSpaceDE w:val="0"/>
        <w:autoSpaceDN w:val="0"/>
        <w:adjustRightInd w:val="0"/>
        <w:spacing w:before="120" w:after="120" w:line="276" w:lineRule="auto"/>
        <w:jc w:val="both"/>
        <w:rPr>
          <w:rFonts w:ascii="Arial" w:hAnsi="Arial" w:cs="Arial"/>
          <w:sz w:val="20"/>
          <w:szCs w:val="20"/>
        </w:rPr>
      </w:pPr>
      <w:r w:rsidRPr="004C6CC5">
        <w:rPr>
          <w:rFonts w:ascii="Arial" w:hAnsi="Arial" w:cs="Arial"/>
          <w:sz w:val="20"/>
          <w:szCs w:val="20"/>
        </w:rPr>
        <w:t xml:space="preserve">Polskie uczelnie </w:t>
      </w:r>
      <w:r w:rsidRPr="004C6CC5">
        <w:rPr>
          <w:rFonts w:ascii="Arial" w:eastAsia="HiddenHorzOCR" w:hAnsi="Arial" w:cs="Arial"/>
          <w:sz w:val="20"/>
          <w:szCs w:val="20"/>
        </w:rPr>
        <w:t xml:space="preserve">prowadzą </w:t>
      </w:r>
      <w:r w:rsidRPr="004C6CC5">
        <w:rPr>
          <w:rFonts w:ascii="Arial" w:hAnsi="Arial" w:cs="Arial"/>
          <w:sz w:val="20"/>
          <w:szCs w:val="20"/>
        </w:rPr>
        <w:t xml:space="preserve">badania naukowe </w:t>
      </w:r>
      <w:r w:rsidRPr="004C6CC5">
        <w:rPr>
          <w:rFonts w:ascii="Arial" w:eastAsia="HiddenHorzOCR" w:hAnsi="Arial" w:cs="Arial"/>
          <w:sz w:val="20"/>
          <w:szCs w:val="20"/>
        </w:rPr>
        <w:t xml:space="preserve">środowiska </w:t>
      </w:r>
      <w:r w:rsidRPr="004C6CC5">
        <w:rPr>
          <w:rFonts w:ascii="Arial" w:hAnsi="Arial" w:cs="Arial"/>
          <w:sz w:val="20"/>
          <w:szCs w:val="20"/>
        </w:rPr>
        <w:t>morskiego</w:t>
      </w:r>
      <w:r w:rsidR="00576D9F">
        <w:rPr>
          <w:rFonts w:ascii="Arial" w:hAnsi="Arial" w:cs="Arial"/>
          <w:sz w:val="20"/>
          <w:szCs w:val="20"/>
        </w:rPr>
        <w:t xml:space="preserve"> i </w:t>
      </w:r>
      <w:r w:rsidRPr="004C6CC5">
        <w:rPr>
          <w:rFonts w:ascii="Arial" w:eastAsia="HiddenHorzOCR" w:hAnsi="Arial" w:cs="Arial"/>
          <w:sz w:val="20"/>
          <w:szCs w:val="20"/>
        </w:rPr>
        <w:t>przybrzeżnego</w:t>
      </w:r>
      <w:r w:rsidR="004C6CC5">
        <w:rPr>
          <w:rFonts w:ascii="Arial" w:eastAsia="HiddenHorzOCR" w:hAnsi="Arial" w:cs="Arial"/>
          <w:sz w:val="20"/>
          <w:szCs w:val="20"/>
        </w:rPr>
        <w:t xml:space="preserve"> w </w:t>
      </w:r>
      <w:r w:rsidRPr="004C6CC5">
        <w:rPr>
          <w:rFonts w:ascii="Arial" w:hAnsi="Arial" w:cs="Arial"/>
          <w:sz w:val="20"/>
          <w:szCs w:val="20"/>
        </w:rPr>
        <w:t>obszarze Arktyki</w:t>
      </w:r>
      <w:r w:rsidR="004C6CC5">
        <w:rPr>
          <w:rFonts w:ascii="Arial" w:hAnsi="Arial" w:cs="Arial"/>
          <w:sz w:val="20"/>
          <w:szCs w:val="20"/>
        </w:rPr>
        <w:t xml:space="preserve"> i </w:t>
      </w:r>
      <w:r w:rsidRPr="004C6CC5">
        <w:rPr>
          <w:rFonts w:ascii="Arial" w:hAnsi="Arial" w:cs="Arial"/>
          <w:sz w:val="20"/>
          <w:szCs w:val="20"/>
        </w:rPr>
        <w:t xml:space="preserve">Antarktyki. Uniwersytet </w:t>
      </w:r>
      <w:r w:rsidRPr="004C6CC5">
        <w:rPr>
          <w:rFonts w:ascii="Arial" w:eastAsia="HiddenHorzOCR" w:hAnsi="Arial" w:cs="Arial"/>
          <w:sz w:val="20"/>
          <w:szCs w:val="20"/>
        </w:rPr>
        <w:t xml:space="preserve">Gdański </w:t>
      </w:r>
      <w:r w:rsidRPr="004C6CC5">
        <w:rPr>
          <w:rFonts w:ascii="Arial" w:hAnsi="Arial" w:cs="Arial"/>
          <w:sz w:val="20"/>
          <w:szCs w:val="20"/>
        </w:rPr>
        <w:t>realizuje badania biologiczne</w:t>
      </w:r>
      <w:r w:rsidR="00576D9F">
        <w:rPr>
          <w:rFonts w:ascii="Arial" w:hAnsi="Arial" w:cs="Arial"/>
          <w:sz w:val="20"/>
          <w:szCs w:val="20"/>
        </w:rPr>
        <w:t xml:space="preserve"> w </w:t>
      </w:r>
      <w:r w:rsidRPr="004C6CC5">
        <w:rPr>
          <w:rFonts w:ascii="Arial" w:hAnsi="Arial" w:cs="Arial"/>
          <w:sz w:val="20"/>
          <w:szCs w:val="20"/>
        </w:rPr>
        <w:t>koloniach ptaków morskich znajdujących się</w:t>
      </w:r>
      <w:r w:rsidR="009E1F5C">
        <w:rPr>
          <w:rFonts w:ascii="Arial" w:hAnsi="Arial" w:cs="Arial"/>
          <w:sz w:val="20"/>
          <w:szCs w:val="20"/>
        </w:rPr>
        <w:t xml:space="preserve"> w </w:t>
      </w:r>
      <w:r w:rsidRPr="004C6CC5">
        <w:rPr>
          <w:rFonts w:ascii="Arial" w:hAnsi="Arial" w:cs="Arial"/>
          <w:sz w:val="20"/>
          <w:szCs w:val="20"/>
        </w:rPr>
        <w:t xml:space="preserve">obszarach wód </w:t>
      </w:r>
      <w:r w:rsidRPr="004C6CC5">
        <w:rPr>
          <w:rFonts w:ascii="Arial" w:eastAsia="HiddenHorzOCR" w:hAnsi="Arial" w:cs="Arial"/>
          <w:sz w:val="20"/>
          <w:szCs w:val="20"/>
        </w:rPr>
        <w:t xml:space="preserve">przybrzeżnych </w:t>
      </w:r>
      <w:r w:rsidRPr="004C6CC5">
        <w:rPr>
          <w:rFonts w:ascii="Arial" w:hAnsi="Arial" w:cs="Arial"/>
          <w:sz w:val="20"/>
          <w:szCs w:val="20"/>
        </w:rPr>
        <w:t>fiordów</w:t>
      </w:r>
      <w:r w:rsidR="004C6CC5">
        <w:rPr>
          <w:rFonts w:ascii="Arial" w:hAnsi="Arial" w:cs="Arial"/>
          <w:sz w:val="20"/>
          <w:szCs w:val="20"/>
        </w:rPr>
        <w:t xml:space="preserve"> i </w:t>
      </w:r>
      <w:r w:rsidRPr="004C6CC5">
        <w:rPr>
          <w:rFonts w:ascii="Arial" w:hAnsi="Arial" w:cs="Arial"/>
          <w:sz w:val="20"/>
          <w:szCs w:val="20"/>
        </w:rPr>
        <w:t xml:space="preserve">strefy brzegowej przy lodowcach uchodzących do morza południowego Spitsbergenu. </w:t>
      </w:r>
    </w:p>
    <w:p w14:paraId="33C82049" w14:textId="3608FB5A" w:rsidR="003411E0" w:rsidRPr="004C6CC5" w:rsidRDefault="003411E0" w:rsidP="008D2321">
      <w:pPr>
        <w:autoSpaceDE w:val="0"/>
        <w:autoSpaceDN w:val="0"/>
        <w:adjustRightInd w:val="0"/>
        <w:spacing w:before="120" w:after="120" w:line="276" w:lineRule="auto"/>
        <w:jc w:val="both"/>
        <w:rPr>
          <w:rFonts w:ascii="Arial" w:hAnsi="Arial" w:cs="Arial"/>
          <w:sz w:val="20"/>
          <w:szCs w:val="20"/>
        </w:rPr>
      </w:pPr>
      <w:r w:rsidRPr="004C6CC5">
        <w:rPr>
          <w:rFonts w:ascii="Arial" w:hAnsi="Arial" w:cs="Arial"/>
          <w:sz w:val="20"/>
          <w:szCs w:val="20"/>
        </w:rPr>
        <w:t>Polskie stacje polarne obok funkcji naukowej pełnią też</w:t>
      </w:r>
      <w:r w:rsidR="004C6CC5">
        <w:rPr>
          <w:rFonts w:ascii="Arial" w:hAnsi="Arial" w:cs="Arial"/>
          <w:sz w:val="20"/>
          <w:szCs w:val="20"/>
        </w:rPr>
        <w:t xml:space="preserve"> w </w:t>
      </w:r>
      <w:r w:rsidRPr="004C6CC5">
        <w:rPr>
          <w:rFonts w:ascii="Arial" w:hAnsi="Arial" w:cs="Arial"/>
          <w:sz w:val="20"/>
          <w:szCs w:val="20"/>
        </w:rPr>
        <w:t xml:space="preserve">praktyce bardzo istotną rolę ratowniczą, stanowiąc element </w:t>
      </w:r>
      <w:r w:rsidR="0085426A">
        <w:rPr>
          <w:rFonts w:ascii="Arial" w:hAnsi="Arial" w:cs="Arial"/>
          <w:sz w:val="20"/>
          <w:szCs w:val="20"/>
        </w:rPr>
        <w:t>wz</w:t>
      </w:r>
      <w:r w:rsidRPr="004C6CC5">
        <w:rPr>
          <w:rFonts w:ascii="Arial" w:hAnsi="Arial" w:cs="Arial"/>
          <w:sz w:val="20"/>
          <w:szCs w:val="20"/>
        </w:rPr>
        <w:t>macniający bezpieczeństwo</w:t>
      </w:r>
      <w:r w:rsidR="004C6CC5">
        <w:rPr>
          <w:rFonts w:ascii="Arial" w:hAnsi="Arial" w:cs="Arial"/>
          <w:sz w:val="20"/>
          <w:szCs w:val="20"/>
        </w:rPr>
        <w:t xml:space="preserve"> w </w:t>
      </w:r>
      <w:r w:rsidRPr="004C6CC5">
        <w:rPr>
          <w:rFonts w:ascii="Arial" w:hAnsi="Arial" w:cs="Arial"/>
          <w:sz w:val="20"/>
          <w:szCs w:val="20"/>
        </w:rPr>
        <w:t>rejonach polarnych. Polska Stacja Polarna na Spitsbergenie jest nowoczesną placówką naukową na poziomie światowym. Realizowane na Stacji badania właściwości fizycznych środowiska przyrodniczego stanowią istotny wkład dla określenia procesów globalnych, ujętych</w:t>
      </w:r>
      <w:r w:rsidR="004C6CC5">
        <w:rPr>
          <w:rFonts w:ascii="Arial" w:hAnsi="Arial" w:cs="Arial"/>
          <w:sz w:val="20"/>
          <w:szCs w:val="20"/>
        </w:rPr>
        <w:t xml:space="preserve"> w </w:t>
      </w:r>
      <w:r w:rsidRPr="004C6CC5">
        <w:rPr>
          <w:rFonts w:ascii="Arial" w:hAnsi="Arial" w:cs="Arial"/>
          <w:sz w:val="20"/>
          <w:szCs w:val="20"/>
        </w:rPr>
        <w:t xml:space="preserve">programie międzynarodowym Global Change, uznanym jako </w:t>
      </w:r>
      <w:r w:rsidRPr="004C6CC5">
        <w:rPr>
          <w:rFonts w:ascii="Arial" w:hAnsi="Arial" w:cs="Arial"/>
          <w:sz w:val="20"/>
          <w:szCs w:val="20"/>
        </w:rPr>
        <w:lastRenderedPageBreak/>
        <w:t>priorytetowy, zarówno przez Europejską Fundację Nauki</w:t>
      </w:r>
      <w:r w:rsidR="004C6CC5">
        <w:rPr>
          <w:rFonts w:ascii="Arial" w:hAnsi="Arial" w:cs="Arial"/>
          <w:sz w:val="20"/>
          <w:szCs w:val="20"/>
        </w:rPr>
        <w:t xml:space="preserve"> w </w:t>
      </w:r>
      <w:r w:rsidRPr="004C6CC5">
        <w:rPr>
          <w:rFonts w:ascii="Arial" w:hAnsi="Arial" w:cs="Arial"/>
          <w:sz w:val="20"/>
          <w:szCs w:val="20"/>
        </w:rPr>
        <w:t>Strasburgu</w:t>
      </w:r>
      <w:r w:rsidR="0085426A">
        <w:rPr>
          <w:rFonts w:ascii="Arial" w:hAnsi="Arial" w:cs="Arial"/>
          <w:sz w:val="20"/>
          <w:szCs w:val="20"/>
        </w:rPr>
        <w:t>,</w:t>
      </w:r>
      <w:r w:rsidRPr="004C6CC5">
        <w:rPr>
          <w:rFonts w:ascii="Arial" w:hAnsi="Arial" w:cs="Arial"/>
          <w:sz w:val="20"/>
          <w:szCs w:val="20"/>
        </w:rPr>
        <w:t xml:space="preserve"> jak</w:t>
      </w:r>
      <w:r w:rsidR="004C6CC5">
        <w:rPr>
          <w:rFonts w:ascii="Arial" w:hAnsi="Arial" w:cs="Arial"/>
          <w:sz w:val="20"/>
          <w:szCs w:val="20"/>
        </w:rPr>
        <w:t xml:space="preserve"> i </w:t>
      </w:r>
      <w:r w:rsidRPr="004C6CC5">
        <w:rPr>
          <w:rFonts w:ascii="Arial" w:hAnsi="Arial" w:cs="Arial"/>
          <w:sz w:val="20"/>
          <w:szCs w:val="20"/>
        </w:rPr>
        <w:t xml:space="preserve">Komisję Europejską. </w:t>
      </w:r>
      <w:r w:rsidRPr="004C6CC5">
        <w:rPr>
          <w:rFonts w:ascii="Arial" w:hAnsi="Arial" w:cs="Arial"/>
          <w:sz w:val="20"/>
          <w:szCs w:val="20"/>
        </w:rPr>
        <w:br/>
        <w:t>Za względu na walory środowiska</w:t>
      </w:r>
      <w:r w:rsidR="004C6CC5">
        <w:rPr>
          <w:rFonts w:ascii="Arial" w:hAnsi="Arial" w:cs="Arial"/>
          <w:sz w:val="20"/>
          <w:szCs w:val="20"/>
        </w:rPr>
        <w:t xml:space="preserve"> i </w:t>
      </w:r>
      <w:r w:rsidRPr="004C6CC5">
        <w:rPr>
          <w:rFonts w:ascii="Arial" w:hAnsi="Arial" w:cs="Arial"/>
          <w:sz w:val="20"/>
          <w:szCs w:val="20"/>
        </w:rPr>
        <w:t>możliwości badawcze oraz dorobek Stacji, Fiord Hornsund wraz ze Stacją Polarną został uznany za europejskie miejsce flagowe badań lądowych</w:t>
      </w:r>
      <w:r w:rsidR="004C6CC5">
        <w:rPr>
          <w:rFonts w:ascii="Arial" w:hAnsi="Arial" w:cs="Arial"/>
          <w:sz w:val="20"/>
          <w:szCs w:val="20"/>
        </w:rPr>
        <w:t xml:space="preserve"> i </w:t>
      </w:r>
      <w:r w:rsidRPr="004C6CC5">
        <w:rPr>
          <w:rFonts w:ascii="Arial" w:hAnsi="Arial" w:cs="Arial"/>
          <w:sz w:val="20"/>
          <w:szCs w:val="20"/>
        </w:rPr>
        <w:t xml:space="preserve">morskich ekosystemów (European Marine Biodiversity Flagship Site). </w:t>
      </w:r>
    </w:p>
    <w:p w14:paraId="49D5D9E9" w14:textId="1696D797" w:rsidR="001D7DF2" w:rsidRPr="004C6CC5" w:rsidRDefault="001D7DF2" w:rsidP="000F468A">
      <w:pPr>
        <w:autoSpaceDE w:val="0"/>
        <w:autoSpaceDN w:val="0"/>
        <w:adjustRightInd w:val="0"/>
        <w:spacing w:before="120" w:after="120" w:line="276" w:lineRule="auto"/>
        <w:jc w:val="both"/>
        <w:rPr>
          <w:rFonts w:ascii="Arial" w:hAnsi="Arial" w:cs="Arial"/>
          <w:sz w:val="20"/>
          <w:szCs w:val="20"/>
        </w:rPr>
      </w:pPr>
      <w:r w:rsidRPr="004C6CC5">
        <w:rPr>
          <w:rFonts w:ascii="Arial" w:hAnsi="Arial" w:cs="Arial"/>
          <w:sz w:val="20"/>
          <w:szCs w:val="20"/>
        </w:rPr>
        <w:t>Najważniejszym aktem prawa międzynarodowego regulującym status prawny Antarktyki jest Układ Antarktyczny, sporządzony</w:t>
      </w:r>
      <w:r w:rsidR="004C6CC5">
        <w:rPr>
          <w:rFonts w:ascii="Arial" w:hAnsi="Arial" w:cs="Arial"/>
          <w:sz w:val="20"/>
          <w:szCs w:val="20"/>
        </w:rPr>
        <w:t xml:space="preserve"> w </w:t>
      </w:r>
      <w:r w:rsidRPr="004C6CC5">
        <w:rPr>
          <w:rFonts w:ascii="Arial" w:hAnsi="Arial" w:cs="Arial"/>
          <w:sz w:val="20"/>
          <w:szCs w:val="20"/>
        </w:rPr>
        <w:t>Waszyngtonie</w:t>
      </w:r>
      <w:r w:rsidR="004C6CC5">
        <w:rPr>
          <w:rFonts w:ascii="Arial" w:hAnsi="Arial" w:cs="Arial"/>
          <w:sz w:val="20"/>
          <w:szCs w:val="20"/>
        </w:rPr>
        <w:t xml:space="preserve"> w </w:t>
      </w:r>
      <w:r w:rsidRPr="004C6CC5">
        <w:rPr>
          <w:rFonts w:ascii="Arial" w:hAnsi="Arial" w:cs="Arial"/>
          <w:sz w:val="20"/>
          <w:szCs w:val="20"/>
        </w:rPr>
        <w:t>dniu</w:t>
      </w:r>
      <w:r w:rsidR="00B66FCE" w:rsidRPr="004C6CC5">
        <w:rPr>
          <w:rFonts w:ascii="Arial" w:hAnsi="Arial" w:cs="Arial"/>
          <w:sz w:val="20"/>
          <w:szCs w:val="20"/>
        </w:rPr>
        <w:t xml:space="preserve"> 1 </w:t>
      </w:r>
      <w:r w:rsidRPr="004C6CC5">
        <w:rPr>
          <w:rFonts w:ascii="Arial" w:hAnsi="Arial" w:cs="Arial"/>
          <w:sz w:val="20"/>
          <w:szCs w:val="20"/>
        </w:rPr>
        <w:t>grudnia 1959</w:t>
      </w:r>
      <w:r w:rsidR="009D01B9" w:rsidRPr="004C6CC5">
        <w:rPr>
          <w:rFonts w:ascii="Arial" w:hAnsi="Arial" w:cs="Arial"/>
          <w:sz w:val="20"/>
          <w:szCs w:val="20"/>
        </w:rPr>
        <w:t xml:space="preserve"> r. </w:t>
      </w:r>
      <w:r w:rsidRPr="004C6CC5">
        <w:rPr>
          <w:rFonts w:ascii="Arial" w:hAnsi="Arial" w:cs="Arial"/>
          <w:sz w:val="20"/>
          <w:szCs w:val="20"/>
        </w:rPr>
        <w:t xml:space="preserve">Polska jest stroną Układu od roku 1961, a od roku 1977 ma status państwa konsultatywnego Układu. Oznacza to, iż obok pozostałych </w:t>
      </w:r>
      <w:r w:rsidR="00A176EC">
        <w:rPr>
          <w:rFonts w:ascii="Arial" w:hAnsi="Arial" w:cs="Arial"/>
          <w:sz w:val="20"/>
          <w:szCs w:val="20"/>
        </w:rPr>
        <w:br/>
      </w:r>
      <w:r w:rsidRPr="004C6CC5">
        <w:rPr>
          <w:rFonts w:ascii="Arial" w:hAnsi="Arial" w:cs="Arial"/>
          <w:sz w:val="20"/>
          <w:szCs w:val="20"/>
        </w:rPr>
        <w:t xml:space="preserve">28 państw posiadających ten status, Polska ma równoważne prawo głosu we wszystkich decyzjach dotyczących zarządzania Antarktyką. </w:t>
      </w:r>
    </w:p>
    <w:p w14:paraId="439073CD" w14:textId="77777777" w:rsidR="000535C3" w:rsidRPr="000535C3" w:rsidRDefault="001D7DF2" w:rsidP="000535C3">
      <w:pPr>
        <w:autoSpaceDE w:val="0"/>
        <w:autoSpaceDN w:val="0"/>
        <w:adjustRightInd w:val="0"/>
        <w:spacing w:before="120" w:after="120" w:line="276" w:lineRule="auto"/>
        <w:jc w:val="both"/>
        <w:rPr>
          <w:rFonts w:ascii="Arial" w:hAnsi="Arial" w:cs="Arial"/>
          <w:sz w:val="20"/>
          <w:szCs w:val="20"/>
        </w:rPr>
      </w:pPr>
      <w:r w:rsidRPr="000535C3">
        <w:rPr>
          <w:rFonts w:ascii="Arial" w:hAnsi="Arial" w:cs="Arial"/>
          <w:sz w:val="20"/>
          <w:szCs w:val="20"/>
        </w:rPr>
        <w:t>W kontekście zaangażowania Polski</w:t>
      </w:r>
      <w:r w:rsidR="004C6CC5" w:rsidRPr="000535C3">
        <w:rPr>
          <w:rFonts w:ascii="Arial" w:hAnsi="Arial" w:cs="Arial"/>
          <w:sz w:val="20"/>
          <w:szCs w:val="20"/>
        </w:rPr>
        <w:t xml:space="preserve"> w </w:t>
      </w:r>
      <w:r w:rsidR="001C579C" w:rsidRPr="000535C3">
        <w:rPr>
          <w:rFonts w:ascii="Arial" w:hAnsi="Arial" w:cs="Arial"/>
          <w:sz w:val="20"/>
          <w:szCs w:val="20"/>
        </w:rPr>
        <w:t>sprawy Antarktyki</w:t>
      </w:r>
      <w:r w:rsidR="004C6CC5" w:rsidRPr="000535C3">
        <w:rPr>
          <w:rFonts w:ascii="Arial" w:hAnsi="Arial" w:cs="Arial"/>
          <w:sz w:val="20"/>
          <w:szCs w:val="20"/>
        </w:rPr>
        <w:t xml:space="preserve"> </w:t>
      </w:r>
      <w:r w:rsidR="001C579C" w:rsidRPr="000535C3">
        <w:rPr>
          <w:rFonts w:ascii="Arial" w:hAnsi="Arial" w:cs="Arial"/>
          <w:sz w:val="20"/>
          <w:szCs w:val="20"/>
        </w:rPr>
        <w:t xml:space="preserve">należy wymienić dwa ważne spotkania - </w:t>
      </w:r>
      <w:r w:rsidR="004C6CC5" w:rsidRPr="000535C3">
        <w:rPr>
          <w:rFonts w:ascii="Arial" w:hAnsi="Arial" w:cs="Arial"/>
          <w:sz w:val="20"/>
          <w:szCs w:val="20"/>
        </w:rPr>
        <w:t>w </w:t>
      </w:r>
      <w:r w:rsidRPr="000535C3">
        <w:rPr>
          <w:rFonts w:ascii="Arial" w:hAnsi="Arial" w:cs="Arial"/>
          <w:sz w:val="20"/>
          <w:szCs w:val="20"/>
        </w:rPr>
        <w:t>dniach od</w:t>
      </w:r>
      <w:r w:rsidR="00B66FCE" w:rsidRPr="000535C3">
        <w:rPr>
          <w:rFonts w:ascii="Arial" w:hAnsi="Arial" w:cs="Arial"/>
          <w:sz w:val="20"/>
          <w:szCs w:val="20"/>
        </w:rPr>
        <w:t xml:space="preserve"> 1 </w:t>
      </w:r>
      <w:r w:rsidRPr="000535C3">
        <w:rPr>
          <w:rFonts w:ascii="Arial" w:hAnsi="Arial" w:cs="Arial"/>
          <w:sz w:val="20"/>
          <w:szCs w:val="20"/>
        </w:rPr>
        <w:t>do 11 lipca 2019</w:t>
      </w:r>
      <w:r w:rsidR="009D01B9" w:rsidRPr="000535C3">
        <w:rPr>
          <w:rFonts w:ascii="Arial" w:hAnsi="Arial" w:cs="Arial"/>
          <w:sz w:val="20"/>
          <w:szCs w:val="20"/>
        </w:rPr>
        <w:t xml:space="preserve"> r.</w:t>
      </w:r>
      <w:r w:rsidR="004C6CC5" w:rsidRPr="000535C3">
        <w:rPr>
          <w:rFonts w:ascii="Arial" w:hAnsi="Arial" w:cs="Arial"/>
          <w:sz w:val="20"/>
          <w:szCs w:val="20"/>
        </w:rPr>
        <w:t xml:space="preserve"> w </w:t>
      </w:r>
      <w:r w:rsidRPr="000535C3">
        <w:rPr>
          <w:rFonts w:ascii="Arial" w:hAnsi="Arial" w:cs="Arial"/>
          <w:sz w:val="20"/>
          <w:szCs w:val="20"/>
        </w:rPr>
        <w:t>Pradze odbyło się XLII Spotkanie Konsultatywne Państw-Stron Układu Antarktycznego (ATCM) oraz XXII spotkanie Komitetu Ochrony Środowiska (CEP)</w:t>
      </w:r>
      <w:r w:rsidR="00E22690" w:rsidRPr="000535C3">
        <w:rPr>
          <w:rFonts w:ascii="Arial" w:hAnsi="Arial" w:cs="Arial"/>
          <w:sz w:val="20"/>
          <w:szCs w:val="20"/>
        </w:rPr>
        <w:t>.</w:t>
      </w:r>
    </w:p>
    <w:p w14:paraId="52F32420" w14:textId="17B76348" w:rsidR="001D7DF2" w:rsidRPr="000535C3" w:rsidRDefault="001D7DF2" w:rsidP="000535C3">
      <w:pPr>
        <w:autoSpaceDE w:val="0"/>
        <w:autoSpaceDN w:val="0"/>
        <w:adjustRightInd w:val="0"/>
        <w:spacing w:before="120" w:after="120" w:line="276" w:lineRule="auto"/>
        <w:jc w:val="both"/>
        <w:rPr>
          <w:rFonts w:ascii="Arial" w:hAnsi="Arial" w:cs="Arial"/>
          <w:sz w:val="20"/>
          <w:szCs w:val="20"/>
        </w:rPr>
      </w:pPr>
      <w:r w:rsidRPr="000535C3">
        <w:rPr>
          <w:rFonts w:ascii="Arial" w:hAnsi="Arial" w:cs="Arial"/>
          <w:sz w:val="20"/>
          <w:szCs w:val="20"/>
        </w:rPr>
        <w:t>Celem spotkania ATCM była przede wszystkim coroczna wymiana informacji oraz wypracowanie rekomendacji dla rządów państw konsultatywnych dotyczących zarządzania Antarktyką. Omówiono</w:t>
      </w:r>
      <w:r w:rsidR="004C6CC5" w:rsidRPr="000535C3">
        <w:rPr>
          <w:rFonts w:ascii="Arial" w:hAnsi="Arial" w:cs="Arial"/>
          <w:sz w:val="20"/>
          <w:szCs w:val="20"/>
        </w:rPr>
        <w:t xml:space="preserve"> w </w:t>
      </w:r>
      <w:r w:rsidRPr="000535C3">
        <w:rPr>
          <w:rFonts w:ascii="Arial" w:hAnsi="Arial" w:cs="Arial"/>
          <w:sz w:val="20"/>
          <w:szCs w:val="20"/>
        </w:rPr>
        <w:t>tym zakresie</w:t>
      </w:r>
      <w:r w:rsidR="004C6CC5" w:rsidRPr="000535C3">
        <w:rPr>
          <w:rFonts w:ascii="Arial" w:hAnsi="Arial" w:cs="Arial"/>
          <w:sz w:val="20"/>
          <w:szCs w:val="20"/>
        </w:rPr>
        <w:t xml:space="preserve"> w </w:t>
      </w:r>
      <w:r w:rsidRPr="000535C3">
        <w:rPr>
          <w:rFonts w:ascii="Arial" w:hAnsi="Arial" w:cs="Arial"/>
          <w:sz w:val="20"/>
          <w:szCs w:val="20"/>
        </w:rPr>
        <w:t>szczególności problematykę:</w:t>
      </w:r>
    </w:p>
    <w:p w14:paraId="54BDB857" w14:textId="63409EA6" w:rsidR="001D7DF2" w:rsidRPr="004C6CC5" w:rsidRDefault="001D7DF2" w:rsidP="003C6ECA">
      <w:pPr>
        <w:widowControl w:val="0"/>
        <w:numPr>
          <w:ilvl w:val="0"/>
          <w:numId w:val="18"/>
        </w:numPr>
        <w:autoSpaceDE w:val="0"/>
        <w:autoSpaceDN w:val="0"/>
        <w:adjustRightInd w:val="0"/>
        <w:spacing w:after="0" w:line="276" w:lineRule="auto"/>
        <w:contextualSpacing/>
        <w:jc w:val="both"/>
        <w:rPr>
          <w:rFonts w:ascii="Arial" w:eastAsia="Calibri" w:hAnsi="Arial" w:cs="Arial"/>
          <w:sz w:val="20"/>
          <w:szCs w:val="20"/>
        </w:rPr>
      </w:pPr>
      <w:r w:rsidRPr="004C6CC5">
        <w:rPr>
          <w:rFonts w:ascii="Arial" w:eastAsia="Calibri" w:hAnsi="Arial" w:cs="Arial"/>
          <w:spacing w:val="2"/>
          <w:sz w:val="20"/>
          <w:szCs w:val="20"/>
        </w:rPr>
        <w:t>statusu obserwatorów oraz inspekcji przeprowadzanych na podstawie Układu Antarktycznego</w:t>
      </w:r>
      <w:r w:rsidR="004C6CC5">
        <w:rPr>
          <w:rFonts w:ascii="Arial" w:eastAsia="Calibri" w:hAnsi="Arial" w:cs="Arial"/>
          <w:spacing w:val="2"/>
          <w:sz w:val="20"/>
          <w:szCs w:val="20"/>
        </w:rPr>
        <w:t xml:space="preserve"> i </w:t>
      </w:r>
      <w:r w:rsidR="00120AAD">
        <w:rPr>
          <w:rFonts w:ascii="Arial" w:eastAsia="Calibri" w:hAnsi="Arial" w:cs="Arial"/>
          <w:spacing w:val="2"/>
          <w:sz w:val="20"/>
          <w:szCs w:val="20"/>
        </w:rPr>
        <w:t>Protokołu madryckiego;</w:t>
      </w:r>
    </w:p>
    <w:p w14:paraId="0D55BDD8" w14:textId="1AC9E34F" w:rsidR="001D7DF2" w:rsidRPr="004C6CC5" w:rsidRDefault="009752C7" w:rsidP="003C6ECA">
      <w:pPr>
        <w:widowControl w:val="0"/>
        <w:numPr>
          <w:ilvl w:val="0"/>
          <w:numId w:val="18"/>
        </w:numPr>
        <w:autoSpaceDE w:val="0"/>
        <w:autoSpaceDN w:val="0"/>
        <w:adjustRightInd w:val="0"/>
        <w:spacing w:after="0" w:line="276" w:lineRule="auto"/>
        <w:contextualSpacing/>
        <w:jc w:val="both"/>
        <w:rPr>
          <w:rFonts w:ascii="Arial" w:eastAsia="Calibri" w:hAnsi="Arial" w:cs="Arial"/>
          <w:sz w:val="20"/>
          <w:szCs w:val="20"/>
        </w:rPr>
      </w:pPr>
      <w:r>
        <w:rPr>
          <w:rFonts w:ascii="Arial" w:eastAsia="Calibri" w:hAnsi="Arial" w:cs="Arial"/>
          <w:spacing w:val="2"/>
          <w:sz w:val="20"/>
          <w:szCs w:val="20"/>
        </w:rPr>
        <w:t>bioposzukiwań (</w:t>
      </w:r>
      <w:r w:rsidR="001D7DF2" w:rsidRPr="009752C7">
        <w:rPr>
          <w:rFonts w:ascii="Arial" w:eastAsia="Calibri" w:hAnsi="Arial" w:cs="Arial"/>
          <w:spacing w:val="2"/>
          <w:sz w:val="20"/>
          <w:szCs w:val="20"/>
        </w:rPr>
        <w:t>bioprospecting</w:t>
      </w:r>
      <w:r w:rsidR="001D7DF2" w:rsidRPr="004C6CC5">
        <w:rPr>
          <w:rFonts w:ascii="Arial" w:eastAsia="Calibri" w:hAnsi="Arial" w:cs="Arial"/>
          <w:spacing w:val="2"/>
          <w:sz w:val="20"/>
          <w:szCs w:val="20"/>
        </w:rPr>
        <w:t>)</w:t>
      </w:r>
      <w:r w:rsidR="004C6CC5">
        <w:rPr>
          <w:rFonts w:ascii="Arial" w:eastAsia="Calibri" w:hAnsi="Arial" w:cs="Arial"/>
          <w:spacing w:val="2"/>
          <w:sz w:val="20"/>
          <w:szCs w:val="20"/>
        </w:rPr>
        <w:t xml:space="preserve"> w </w:t>
      </w:r>
      <w:r w:rsidR="00120AAD">
        <w:rPr>
          <w:rFonts w:ascii="Arial" w:eastAsia="Calibri" w:hAnsi="Arial" w:cs="Arial"/>
          <w:spacing w:val="2"/>
          <w:sz w:val="20"/>
          <w:szCs w:val="20"/>
        </w:rPr>
        <w:t>Antarktyce;</w:t>
      </w:r>
      <w:r w:rsidR="001D7DF2" w:rsidRPr="004C6CC5">
        <w:rPr>
          <w:rFonts w:ascii="Arial" w:eastAsia="Calibri" w:hAnsi="Arial" w:cs="Arial"/>
          <w:spacing w:val="2"/>
          <w:sz w:val="20"/>
          <w:szCs w:val="20"/>
        </w:rPr>
        <w:t xml:space="preserve"> </w:t>
      </w:r>
    </w:p>
    <w:p w14:paraId="2D60D1F3" w14:textId="7B39A38D" w:rsidR="001D7DF2" w:rsidRPr="004C6CC5" w:rsidRDefault="001D7DF2" w:rsidP="003C6ECA">
      <w:pPr>
        <w:widowControl w:val="0"/>
        <w:numPr>
          <w:ilvl w:val="0"/>
          <w:numId w:val="18"/>
        </w:numPr>
        <w:autoSpaceDE w:val="0"/>
        <w:autoSpaceDN w:val="0"/>
        <w:adjustRightInd w:val="0"/>
        <w:spacing w:after="0" w:line="276" w:lineRule="auto"/>
        <w:contextualSpacing/>
        <w:jc w:val="both"/>
        <w:rPr>
          <w:rFonts w:ascii="Arial" w:eastAsia="Calibri" w:hAnsi="Arial" w:cs="Arial"/>
          <w:sz w:val="20"/>
          <w:szCs w:val="20"/>
        </w:rPr>
      </w:pPr>
      <w:r w:rsidRPr="004C6CC5">
        <w:rPr>
          <w:rFonts w:ascii="Arial" w:eastAsia="Calibri" w:hAnsi="Arial" w:cs="Arial"/>
          <w:spacing w:val="2"/>
          <w:sz w:val="20"/>
          <w:szCs w:val="20"/>
        </w:rPr>
        <w:t>d</w:t>
      </w:r>
      <w:r w:rsidR="008453F3">
        <w:rPr>
          <w:rFonts w:ascii="Arial" w:eastAsia="Calibri" w:hAnsi="Arial" w:cs="Arial"/>
          <w:spacing w:val="2"/>
          <w:sz w:val="20"/>
          <w:szCs w:val="20"/>
        </w:rPr>
        <w:t xml:space="preserve">ziałalności pozarządowej (m.in. </w:t>
      </w:r>
      <w:r w:rsidRPr="004C6CC5">
        <w:rPr>
          <w:rFonts w:ascii="Arial" w:eastAsia="Calibri" w:hAnsi="Arial" w:cs="Arial"/>
          <w:spacing w:val="2"/>
          <w:sz w:val="20"/>
          <w:szCs w:val="20"/>
        </w:rPr>
        <w:t>turystycznej)</w:t>
      </w:r>
      <w:r w:rsidR="008453F3">
        <w:rPr>
          <w:rFonts w:ascii="Arial" w:eastAsia="Calibri" w:hAnsi="Arial" w:cs="Arial"/>
          <w:spacing w:val="2"/>
          <w:sz w:val="20"/>
          <w:szCs w:val="20"/>
        </w:rPr>
        <w:t xml:space="preserve"> w </w:t>
      </w:r>
      <w:r w:rsidRPr="004C6CC5">
        <w:rPr>
          <w:rFonts w:ascii="Arial" w:eastAsia="Calibri" w:hAnsi="Arial" w:cs="Arial"/>
          <w:spacing w:val="2"/>
          <w:sz w:val="20"/>
          <w:szCs w:val="20"/>
        </w:rPr>
        <w:t>obszarze antarktycznym</w:t>
      </w:r>
      <w:r w:rsidR="00120AAD">
        <w:rPr>
          <w:rFonts w:ascii="Arial" w:eastAsia="Calibri" w:hAnsi="Arial" w:cs="Arial"/>
          <w:spacing w:val="2"/>
          <w:sz w:val="20"/>
          <w:szCs w:val="20"/>
        </w:rPr>
        <w:t xml:space="preserve">, w </w:t>
      </w:r>
      <w:r w:rsidRPr="004C6CC5">
        <w:rPr>
          <w:rFonts w:ascii="Arial" w:eastAsia="Calibri" w:hAnsi="Arial" w:cs="Arial"/>
          <w:spacing w:val="2"/>
          <w:sz w:val="20"/>
          <w:szCs w:val="20"/>
        </w:rPr>
        <w:t>tym strategii</w:t>
      </w:r>
      <w:r w:rsidR="004C6CC5">
        <w:rPr>
          <w:rFonts w:ascii="Arial" w:eastAsia="Calibri" w:hAnsi="Arial" w:cs="Arial"/>
          <w:spacing w:val="2"/>
          <w:sz w:val="20"/>
          <w:szCs w:val="20"/>
        </w:rPr>
        <w:t xml:space="preserve"> i </w:t>
      </w:r>
      <w:r w:rsidRPr="004C6CC5">
        <w:rPr>
          <w:rFonts w:ascii="Arial" w:eastAsia="Calibri" w:hAnsi="Arial" w:cs="Arial"/>
          <w:spacing w:val="2"/>
          <w:sz w:val="20"/>
          <w:szCs w:val="20"/>
        </w:rPr>
        <w:t>przepisów krajowych regulujących problem wydawani</w:t>
      </w:r>
      <w:r w:rsidR="00120AAD">
        <w:rPr>
          <w:rFonts w:ascii="Arial" w:eastAsia="Calibri" w:hAnsi="Arial" w:cs="Arial"/>
          <w:spacing w:val="2"/>
          <w:sz w:val="20"/>
          <w:szCs w:val="20"/>
        </w:rPr>
        <w:t>a zgód na wyprawy pozarządowe;</w:t>
      </w:r>
      <w:r w:rsidRPr="004C6CC5">
        <w:rPr>
          <w:rFonts w:ascii="Arial" w:eastAsia="Calibri" w:hAnsi="Arial" w:cs="Arial"/>
          <w:spacing w:val="2"/>
          <w:sz w:val="20"/>
          <w:szCs w:val="20"/>
        </w:rPr>
        <w:t xml:space="preserve"> </w:t>
      </w:r>
      <w:r w:rsidRPr="004C6CC5">
        <w:rPr>
          <w:rFonts w:ascii="Arial" w:eastAsia="Calibri" w:hAnsi="Arial" w:cs="Arial"/>
          <w:sz w:val="20"/>
          <w:szCs w:val="20"/>
        </w:rPr>
        <w:t xml:space="preserve"> </w:t>
      </w:r>
    </w:p>
    <w:p w14:paraId="76631FE1" w14:textId="26AC0741" w:rsidR="001D7DF2" w:rsidRPr="004C6CC5" w:rsidRDefault="001D7DF2" w:rsidP="003C6ECA">
      <w:pPr>
        <w:widowControl w:val="0"/>
        <w:numPr>
          <w:ilvl w:val="0"/>
          <w:numId w:val="18"/>
        </w:numPr>
        <w:autoSpaceDE w:val="0"/>
        <w:autoSpaceDN w:val="0"/>
        <w:adjustRightInd w:val="0"/>
        <w:spacing w:after="0" w:line="276" w:lineRule="auto"/>
        <w:contextualSpacing/>
        <w:jc w:val="both"/>
        <w:rPr>
          <w:rFonts w:ascii="Arial" w:eastAsia="Calibri" w:hAnsi="Arial" w:cs="Arial"/>
          <w:sz w:val="20"/>
          <w:szCs w:val="20"/>
        </w:rPr>
      </w:pPr>
      <w:r w:rsidRPr="004C6CC5">
        <w:rPr>
          <w:rFonts w:ascii="Arial" w:eastAsia="Calibri" w:hAnsi="Arial" w:cs="Arial"/>
          <w:sz w:val="20"/>
          <w:szCs w:val="20"/>
        </w:rPr>
        <w:t>uwarunkowań środowiskowych związanych</w:t>
      </w:r>
      <w:r w:rsidR="00120AAD">
        <w:rPr>
          <w:rFonts w:ascii="Arial" w:eastAsia="Calibri" w:hAnsi="Arial" w:cs="Arial"/>
          <w:sz w:val="20"/>
          <w:szCs w:val="20"/>
        </w:rPr>
        <w:t xml:space="preserve"> z </w:t>
      </w:r>
      <w:r w:rsidRPr="004C6CC5">
        <w:rPr>
          <w:rFonts w:ascii="Arial" w:eastAsia="Calibri" w:hAnsi="Arial" w:cs="Arial"/>
          <w:sz w:val="20"/>
          <w:szCs w:val="20"/>
        </w:rPr>
        <w:t>bezpieczeństwem działalności prowadzonej</w:t>
      </w:r>
      <w:r w:rsidR="004C6CC5">
        <w:rPr>
          <w:rFonts w:ascii="Arial" w:eastAsia="Calibri" w:hAnsi="Arial" w:cs="Arial"/>
          <w:sz w:val="20"/>
          <w:szCs w:val="20"/>
        </w:rPr>
        <w:t xml:space="preserve"> w </w:t>
      </w:r>
      <w:r w:rsidRPr="004C6CC5">
        <w:rPr>
          <w:rFonts w:ascii="Arial" w:eastAsia="Calibri" w:hAnsi="Arial" w:cs="Arial"/>
          <w:sz w:val="20"/>
          <w:szCs w:val="20"/>
        </w:rPr>
        <w:t>obszarze antarktycznym (na morzu, na lądzie</w:t>
      </w:r>
      <w:r w:rsidR="004C6CC5">
        <w:rPr>
          <w:rFonts w:ascii="Arial" w:eastAsia="Calibri" w:hAnsi="Arial" w:cs="Arial"/>
          <w:sz w:val="20"/>
          <w:szCs w:val="20"/>
        </w:rPr>
        <w:t xml:space="preserve"> w </w:t>
      </w:r>
      <w:r w:rsidRPr="004C6CC5">
        <w:rPr>
          <w:rFonts w:ascii="Arial" w:eastAsia="Calibri" w:hAnsi="Arial" w:cs="Arial"/>
          <w:sz w:val="20"/>
          <w:szCs w:val="20"/>
        </w:rPr>
        <w:t>tym na stacjach</w:t>
      </w:r>
      <w:r w:rsidR="004C6CC5">
        <w:rPr>
          <w:rFonts w:ascii="Arial" w:eastAsia="Calibri" w:hAnsi="Arial" w:cs="Arial"/>
          <w:sz w:val="20"/>
          <w:szCs w:val="20"/>
        </w:rPr>
        <w:t xml:space="preserve"> i w </w:t>
      </w:r>
      <w:r w:rsidR="00120AAD">
        <w:rPr>
          <w:rFonts w:ascii="Arial" w:eastAsia="Calibri" w:hAnsi="Arial" w:cs="Arial"/>
          <w:sz w:val="20"/>
          <w:szCs w:val="20"/>
        </w:rPr>
        <w:t>powietrzu);</w:t>
      </w:r>
      <w:r w:rsidRPr="004C6CC5">
        <w:rPr>
          <w:rFonts w:ascii="Arial" w:eastAsia="Calibri" w:hAnsi="Arial" w:cs="Arial"/>
          <w:sz w:val="20"/>
          <w:szCs w:val="20"/>
        </w:rPr>
        <w:t xml:space="preserve"> </w:t>
      </w:r>
    </w:p>
    <w:p w14:paraId="53CAFB50" w14:textId="5F39A484" w:rsidR="001D7DF2" w:rsidRPr="004C6CC5" w:rsidRDefault="001D7DF2" w:rsidP="003C6ECA">
      <w:pPr>
        <w:widowControl w:val="0"/>
        <w:numPr>
          <w:ilvl w:val="0"/>
          <w:numId w:val="18"/>
        </w:numPr>
        <w:autoSpaceDE w:val="0"/>
        <w:autoSpaceDN w:val="0"/>
        <w:adjustRightInd w:val="0"/>
        <w:spacing w:after="0" w:line="276" w:lineRule="auto"/>
        <w:contextualSpacing/>
        <w:jc w:val="both"/>
        <w:rPr>
          <w:rFonts w:ascii="Arial" w:eastAsia="Calibri" w:hAnsi="Arial" w:cs="Arial"/>
          <w:sz w:val="20"/>
          <w:szCs w:val="20"/>
        </w:rPr>
      </w:pPr>
      <w:r w:rsidRPr="004C6CC5">
        <w:rPr>
          <w:rFonts w:ascii="Arial" w:eastAsia="Calibri" w:hAnsi="Arial" w:cs="Arial"/>
          <w:sz w:val="20"/>
          <w:szCs w:val="20"/>
        </w:rPr>
        <w:t>wyzwań oraz współpracy naukowej, wpływu zmian klimatu na zarz</w:t>
      </w:r>
      <w:r w:rsidR="00120AAD">
        <w:rPr>
          <w:rFonts w:ascii="Arial" w:eastAsia="Calibri" w:hAnsi="Arial" w:cs="Arial"/>
          <w:sz w:val="20"/>
          <w:szCs w:val="20"/>
        </w:rPr>
        <w:t>ądzanie obszarem antarktycznym;</w:t>
      </w:r>
      <w:r w:rsidRPr="004C6CC5">
        <w:rPr>
          <w:rFonts w:ascii="Arial" w:eastAsia="Calibri" w:hAnsi="Arial" w:cs="Arial"/>
          <w:sz w:val="20"/>
          <w:szCs w:val="20"/>
        </w:rPr>
        <w:t xml:space="preserve"> </w:t>
      </w:r>
    </w:p>
    <w:p w14:paraId="2D182094" w14:textId="7EB70218" w:rsidR="001D7DF2" w:rsidRPr="004C6CC5" w:rsidRDefault="001D7DF2" w:rsidP="003C6ECA">
      <w:pPr>
        <w:widowControl w:val="0"/>
        <w:numPr>
          <w:ilvl w:val="0"/>
          <w:numId w:val="18"/>
        </w:numPr>
        <w:autoSpaceDE w:val="0"/>
        <w:autoSpaceDN w:val="0"/>
        <w:adjustRightInd w:val="0"/>
        <w:spacing w:after="0" w:line="276" w:lineRule="auto"/>
        <w:contextualSpacing/>
        <w:jc w:val="both"/>
        <w:rPr>
          <w:rFonts w:ascii="Arial" w:eastAsia="Calibri" w:hAnsi="Arial" w:cs="Arial"/>
          <w:sz w:val="20"/>
          <w:szCs w:val="20"/>
        </w:rPr>
      </w:pPr>
      <w:r w:rsidRPr="004C6CC5">
        <w:rPr>
          <w:rFonts w:ascii="Arial" w:eastAsia="Calibri" w:hAnsi="Arial" w:cs="Arial"/>
          <w:sz w:val="20"/>
          <w:szCs w:val="20"/>
        </w:rPr>
        <w:t>odpowiedzialności państw za zdarzenia nieporządne</w:t>
      </w:r>
      <w:r w:rsidR="004C6CC5">
        <w:rPr>
          <w:rFonts w:ascii="Arial" w:eastAsia="Calibri" w:hAnsi="Arial" w:cs="Arial"/>
          <w:sz w:val="20"/>
          <w:szCs w:val="20"/>
        </w:rPr>
        <w:t xml:space="preserve"> w </w:t>
      </w:r>
      <w:r w:rsidR="00120AAD">
        <w:rPr>
          <w:rFonts w:ascii="Arial" w:eastAsia="Calibri" w:hAnsi="Arial" w:cs="Arial"/>
          <w:sz w:val="20"/>
          <w:szCs w:val="20"/>
        </w:rPr>
        <w:t>obszarze antarktycznym;</w:t>
      </w:r>
      <w:r w:rsidR="00ED38FE">
        <w:rPr>
          <w:rFonts w:ascii="Arial" w:eastAsia="Calibri" w:hAnsi="Arial" w:cs="Arial"/>
          <w:sz w:val="20"/>
          <w:szCs w:val="20"/>
        </w:rPr>
        <w:t xml:space="preserve"> </w:t>
      </w:r>
    </w:p>
    <w:p w14:paraId="11A6928E" w14:textId="77777777" w:rsidR="001D7DF2" w:rsidRPr="004C6CC5" w:rsidRDefault="001D7DF2" w:rsidP="003C6ECA">
      <w:pPr>
        <w:widowControl w:val="0"/>
        <w:numPr>
          <w:ilvl w:val="0"/>
          <w:numId w:val="18"/>
        </w:numPr>
        <w:autoSpaceDE w:val="0"/>
        <w:autoSpaceDN w:val="0"/>
        <w:adjustRightInd w:val="0"/>
        <w:spacing w:after="0" w:line="276" w:lineRule="auto"/>
        <w:contextualSpacing/>
        <w:jc w:val="both"/>
        <w:rPr>
          <w:rFonts w:ascii="Arial" w:eastAsia="Calibri" w:hAnsi="Arial" w:cs="Arial"/>
          <w:sz w:val="20"/>
          <w:szCs w:val="20"/>
        </w:rPr>
      </w:pPr>
      <w:r w:rsidRPr="004C6CC5">
        <w:rPr>
          <w:rFonts w:ascii="Arial" w:eastAsia="Calibri" w:hAnsi="Arial" w:cs="Arial"/>
          <w:sz w:val="20"/>
          <w:szCs w:val="20"/>
        </w:rPr>
        <w:t>wymiany informacji oraz edukacji.</w:t>
      </w:r>
    </w:p>
    <w:p w14:paraId="3E50FB52" w14:textId="77777777" w:rsidR="001D7DF2" w:rsidRPr="004C6CC5" w:rsidRDefault="001D7DF2" w:rsidP="008D2321">
      <w:pPr>
        <w:widowControl w:val="0"/>
        <w:autoSpaceDE w:val="0"/>
        <w:autoSpaceDN w:val="0"/>
        <w:adjustRightInd w:val="0"/>
        <w:spacing w:after="0" w:line="276" w:lineRule="auto"/>
        <w:ind w:left="780"/>
        <w:contextualSpacing/>
        <w:jc w:val="both"/>
        <w:rPr>
          <w:rFonts w:ascii="Arial" w:eastAsia="Calibri" w:hAnsi="Arial" w:cs="Arial"/>
          <w:sz w:val="20"/>
          <w:szCs w:val="20"/>
        </w:rPr>
      </w:pPr>
    </w:p>
    <w:p w14:paraId="43C6594C" w14:textId="5E97CE11" w:rsidR="001D7DF2" w:rsidRPr="004C6CC5" w:rsidRDefault="001D7DF2" w:rsidP="000F468A">
      <w:pPr>
        <w:spacing w:after="120" w:line="276" w:lineRule="auto"/>
        <w:jc w:val="both"/>
        <w:rPr>
          <w:rFonts w:ascii="Arial" w:eastAsia="Calibri" w:hAnsi="Arial" w:cs="Arial"/>
          <w:sz w:val="20"/>
          <w:szCs w:val="20"/>
        </w:rPr>
      </w:pPr>
      <w:r w:rsidRPr="000F468A">
        <w:rPr>
          <w:rFonts w:ascii="Arial" w:eastAsia="Times New Roman" w:hAnsi="Arial" w:cs="Arial"/>
          <w:sz w:val="20"/>
          <w:szCs w:val="20"/>
          <w:lang w:eastAsia="pl-PL"/>
        </w:rPr>
        <w:t>Obrady CEP</w:t>
      </w:r>
      <w:r w:rsidRPr="004C6CC5">
        <w:rPr>
          <w:rFonts w:ascii="Arial" w:eastAsia="Times New Roman" w:hAnsi="Arial" w:cs="Arial"/>
          <w:sz w:val="20"/>
          <w:szCs w:val="20"/>
          <w:lang w:eastAsia="pl-PL"/>
        </w:rPr>
        <w:t xml:space="preserve"> koncentrowały się wokół problematyki wpływu działalności człowieka na środowisko oraz zarządzania obszarami objętymi różnego rodzaju ochroną (Antarctic Specially Protected Area (</w:t>
      </w:r>
      <w:r w:rsidRPr="000F468A">
        <w:rPr>
          <w:rFonts w:ascii="Arial" w:eastAsia="Times New Roman" w:hAnsi="Arial" w:cs="Arial"/>
          <w:sz w:val="20"/>
          <w:szCs w:val="20"/>
          <w:lang w:eastAsia="pl-PL"/>
        </w:rPr>
        <w:t>ASPA</w:t>
      </w:r>
      <w:r w:rsidRPr="004C6CC5">
        <w:rPr>
          <w:rFonts w:ascii="Arial" w:eastAsia="Times New Roman" w:hAnsi="Arial" w:cs="Arial"/>
          <w:sz w:val="20"/>
          <w:szCs w:val="20"/>
          <w:lang w:eastAsia="pl-PL"/>
        </w:rPr>
        <w:t>), Antarctic Specially Managed Area (</w:t>
      </w:r>
      <w:r w:rsidRPr="000F468A">
        <w:rPr>
          <w:rFonts w:ascii="Arial" w:eastAsia="Times New Roman" w:hAnsi="Arial" w:cs="Arial"/>
          <w:sz w:val="20"/>
          <w:szCs w:val="20"/>
          <w:lang w:eastAsia="pl-PL"/>
        </w:rPr>
        <w:t>ASMA</w:t>
      </w:r>
      <w:r w:rsidRPr="004C6CC5">
        <w:rPr>
          <w:rFonts w:ascii="Arial" w:eastAsia="Times New Roman" w:hAnsi="Arial" w:cs="Arial"/>
          <w:sz w:val="20"/>
          <w:szCs w:val="20"/>
          <w:lang w:eastAsia="pl-PL"/>
        </w:rPr>
        <w:t>), Historic Site and Monument, Marine Protected Area, obszary objęte tzw. site guidelines)</w:t>
      </w:r>
      <w:r w:rsidRPr="004C6CC5">
        <w:rPr>
          <w:rFonts w:ascii="Arial" w:eastAsia="Calibri" w:hAnsi="Arial" w:cs="Arial"/>
          <w:sz w:val="20"/>
          <w:szCs w:val="20"/>
          <w:vertAlign w:val="superscript"/>
        </w:rPr>
        <w:footnoteReference w:id="1"/>
      </w:r>
      <w:r w:rsidRPr="004C6CC5">
        <w:rPr>
          <w:rFonts w:ascii="Arial" w:eastAsia="Times New Roman" w:hAnsi="Arial" w:cs="Arial"/>
          <w:sz w:val="20"/>
          <w:szCs w:val="20"/>
          <w:lang w:eastAsia="pl-PL"/>
        </w:rPr>
        <w:t xml:space="preserve">, </w:t>
      </w:r>
      <w:r w:rsidRPr="004C6CC5">
        <w:rPr>
          <w:rFonts w:ascii="Arial" w:eastAsia="Calibri" w:hAnsi="Arial" w:cs="Arial"/>
          <w:sz w:val="20"/>
          <w:szCs w:val="20"/>
        </w:rPr>
        <w:t>włączając</w:t>
      </w:r>
      <w:r w:rsidR="004C6CC5">
        <w:rPr>
          <w:rFonts w:ascii="Arial" w:eastAsia="Calibri" w:hAnsi="Arial" w:cs="Arial"/>
          <w:sz w:val="20"/>
          <w:szCs w:val="20"/>
        </w:rPr>
        <w:t xml:space="preserve"> w </w:t>
      </w:r>
      <w:r w:rsidRPr="004C6CC5">
        <w:rPr>
          <w:rFonts w:ascii="Arial" w:eastAsia="Calibri" w:hAnsi="Arial" w:cs="Arial"/>
          <w:sz w:val="20"/>
          <w:szCs w:val="20"/>
        </w:rPr>
        <w:t>to budowę nowych urządzeń, ograniczenia wwozu</w:t>
      </w:r>
      <w:r w:rsidR="004C6CC5">
        <w:rPr>
          <w:rFonts w:ascii="Arial" w:eastAsia="Calibri" w:hAnsi="Arial" w:cs="Arial"/>
          <w:sz w:val="20"/>
          <w:szCs w:val="20"/>
        </w:rPr>
        <w:t xml:space="preserve"> i </w:t>
      </w:r>
      <w:r w:rsidRPr="004C6CC5">
        <w:rPr>
          <w:rFonts w:ascii="Arial" w:eastAsia="Calibri" w:hAnsi="Arial" w:cs="Arial"/>
          <w:sz w:val="20"/>
          <w:szCs w:val="20"/>
        </w:rPr>
        <w:t xml:space="preserve">użytkowania </w:t>
      </w:r>
      <w:r w:rsidR="00F36275">
        <w:rPr>
          <w:rFonts w:ascii="Arial" w:eastAsia="Calibri" w:hAnsi="Arial" w:cs="Arial"/>
          <w:sz w:val="20"/>
          <w:szCs w:val="20"/>
        </w:rPr>
        <w:t>mikrodrobin tworzyw sztucznych</w:t>
      </w:r>
      <w:r w:rsidRPr="004C6CC5">
        <w:rPr>
          <w:rFonts w:ascii="Arial" w:eastAsia="Calibri" w:hAnsi="Arial" w:cs="Arial"/>
          <w:sz w:val="20"/>
          <w:szCs w:val="20"/>
        </w:rPr>
        <w:t>, zarządzania turystyką</w:t>
      </w:r>
      <w:r w:rsidR="004C6CC5">
        <w:rPr>
          <w:rFonts w:ascii="Arial" w:eastAsia="Calibri" w:hAnsi="Arial" w:cs="Arial"/>
          <w:sz w:val="20"/>
          <w:szCs w:val="20"/>
        </w:rPr>
        <w:t xml:space="preserve"> i </w:t>
      </w:r>
      <w:r w:rsidRPr="004C6CC5">
        <w:rPr>
          <w:rFonts w:ascii="Arial" w:eastAsia="Calibri" w:hAnsi="Arial" w:cs="Arial"/>
          <w:sz w:val="20"/>
          <w:szCs w:val="20"/>
        </w:rPr>
        <w:t>bezpieczeństwem użytkowania pojazdów zdalnie sterowanych.</w:t>
      </w:r>
    </w:p>
    <w:p w14:paraId="6AB90F39" w14:textId="2AEA7728" w:rsidR="002B7107" w:rsidRPr="002B7107" w:rsidRDefault="002B7107" w:rsidP="002B7107">
      <w:pPr>
        <w:pStyle w:val="Nagwek2"/>
        <w:spacing w:before="120" w:after="120"/>
        <w:rPr>
          <w:rFonts w:ascii="Arial" w:hAnsi="Arial" w:cs="Arial"/>
          <w:b/>
          <w:color w:val="auto"/>
          <w:sz w:val="20"/>
          <w:szCs w:val="20"/>
        </w:rPr>
      </w:pPr>
      <w:bookmarkStart w:id="35" w:name="_Toc72745050"/>
      <w:r w:rsidRPr="002B7107">
        <w:rPr>
          <w:rFonts w:ascii="Arial" w:hAnsi="Arial" w:cs="Arial"/>
          <w:b/>
          <w:color w:val="auto"/>
          <w:sz w:val="20"/>
          <w:szCs w:val="20"/>
        </w:rPr>
        <w:t>Realizowane projekty i badania naukowe w regionach polarnych w 2019 r.</w:t>
      </w:r>
      <w:bookmarkEnd w:id="35"/>
    </w:p>
    <w:p w14:paraId="2B5C90A7" w14:textId="6602A2D8" w:rsidR="001D7DF2" w:rsidRPr="004C6CC5" w:rsidRDefault="001D7DF2" w:rsidP="000F468A">
      <w:pPr>
        <w:widowControl w:val="0"/>
        <w:autoSpaceDE w:val="0"/>
        <w:autoSpaceDN w:val="0"/>
        <w:adjustRightInd w:val="0"/>
        <w:spacing w:after="120" w:line="276" w:lineRule="auto"/>
        <w:jc w:val="both"/>
        <w:rPr>
          <w:rFonts w:ascii="Arial" w:hAnsi="Arial" w:cs="Arial"/>
          <w:sz w:val="20"/>
          <w:szCs w:val="20"/>
        </w:rPr>
      </w:pPr>
      <w:r w:rsidRPr="004C6CC5">
        <w:rPr>
          <w:rFonts w:ascii="Arial" w:hAnsi="Arial" w:cs="Arial"/>
          <w:sz w:val="20"/>
          <w:szCs w:val="20"/>
        </w:rPr>
        <w:t>Stałym priorytetem Polski</w:t>
      </w:r>
      <w:r w:rsidR="004C6CC5">
        <w:rPr>
          <w:rFonts w:ascii="Arial" w:hAnsi="Arial" w:cs="Arial"/>
          <w:sz w:val="20"/>
          <w:szCs w:val="20"/>
        </w:rPr>
        <w:t xml:space="preserve"> w </w:t>
      </w:r>
      <w:r w:rsidRPr="004C6CC5">
        <w:rPr>
          <w:rFonts w:ascii="Arial" w:hAnsi="Arial" w:cs="Arial"/>
          <w:sz w:val="20"/>
          <w:szCs w:val="20"/>
        </w:rPr>
        <w:t>Antarktyce są badania naukowe prowadzone na stacji badawczej im</w:t>
      </w:r>
      <w:r w:rsidR="009A2F9A">
        <w:rPr>
          <w:rFonts w:ascii="Arial" w:hAnsi="Arial" w:cs="Arial"/>
          <w:sz w:val="20"/>
          <w:szCs w:val="20"/>
        </w:rPr>
        <w:t>.</w:t>
      </w:r>
      <w:r w:rsidRPr="004C6CC5">
        <w:rPr>
          <w:rFonts w:ascii="Arial" w:hAnsi="Arial" w:cs="Arial"/>
          <w:sz w:val="20"/>
          <w:szCs w:val="20"/>
        </w:rPr>
        <w:t xml:space="preserve"> </w:t>
      </w:r>
      <w:r w:rsidR="009A2F9A">
        <w:rPr>
          <w:rFonts w:ascii="Arial" w:hAnsi="Arial" w:cs="Arial"/>
          <w:sz w:val="20"/>
          <w:szCs w:val="20"/>
        </w:rPr>
        <w:br/>
      </w:r>
      <w:r w:rsidRPr="004C6CC5">
        <w:rPr>
          <w:rFonts w:ascii="Arial" w:hAnsi="Arial" w:cs="Arial"/>
          <w:sz w:val="20"/>
          <w:szCs w:val="20"/>
        </w:rPr>
        <w:t>H. Arctowskiego.</w:t>
      </w:r>
      <w:r w:rsidR="004C6CC5">
        <w:rPr>
          <w:rFonts w:ascii="Arial" w:hAnsi="Arial" w:cs="Arial"/>
          <w:sz w:val="20"/>
          <w:szCs w:val="20"/>
        </w:rPr>
        <w:t xml:space="preserve"> </w:t>
      </w:r>
      <w:r w:rsidR="002B24E7">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były to następujące projekty:</w:t>
      </w:r>
    </w:p>
    <w:tbl>
      <w:tblPr>
        <w:tblW w:w="9074" w:type="dxa"/>
        <w:tblInd w:w="-7" w:type="dxa"/>
        <w:tblCellMar>
          <w:left w:w="62" w:type="dxa"/>
          <w:right w:w="62" w:type="dxa"/>
        </w:tblCellMar>
        <w:tblLook w:val="04A0" w:firstRow="1" w:lastRow="0" w:firstColumn="1" w:lastColumn="0" w:noHBand="0" w:noVBand="1"/>
      </w:tblPr>
      <w:tblGrid>
        <w:gridCol w:w="480"/>
        <w:gridCol w:w="5324"/>
        <w:gridCol w:w="3270"/>
      </w:tblGrid>
      <w:tr w:rsidR="001D7DF2" w:rsidRPr="004C6CC5" w14:paraId="769FF2BA" w14:textId="77777777" w:rsidTr="00C63370">
        <w:trPr>
          <w:trHeight w:val="504"/>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19261A8E" w14:textId="7795EBC1" w:rsidR="001D7DF2" w:rsidRPr="004C6CC5" w:rsidRDefault="007415EE" w:rsidP="008D2321">
            <w:pPr>
              <w:spacing w:line="276" w:lineRule="auto"/>
              <w:jc w:val="both"/>
              <w:rPr>
                <w:rFonts w:ascii="Arial" w:hAnsi="Arial" w:cs="Arial"/>
                <w:sz w:val="20"/>
                <w:szCs w:val="20"/>
              </w:rPr>
            </w:pPr>
            <w:r>
              <w:rPr>
                <w:rFonts w:ascii="Arial" w:hAnsi="Arial" w:cs="Arial"/>
                <w:sz w:val="20"/>
                <w:szCs w:val="20"/>
              </w:rPr>
              <w:t>Lp.</w:t>
            </w:r>
          </w:p>
        </w:tc>
        <w:tc>
          <w:tcPr>
            <w:tcW w:w="5324" w:type="dxa"/>
            <w:tcBorders>
              <w:top w:val="single" w:sz="4" w:space="0" w:color="auto"/>
              <w:left w:val="nil"/>
              <w:bottom w:val="single" w:sz="4" w:space="0" w:color="auto"/>
              <w:right w:val="single" w:sz="4" w:space="0" w:color="auto"/>
            </w:tcBorders>
            <w:vAlign w:val="center"/>
            <w:hideMark/>
          </w:tcPr>
          <w:p w14:paraId="65D582CA" w14:textId="0E2E2F3C" w:rsidR="001D7DF2" w:rsidRPr="004C6CC5" w:rsidRDefault="001D7DF2" w:rsidP="00AF010C">
            <w:pPr>
              <w:spacing w:line="276" w:lineRule="auto"/>
              <w:jc w:val="center"/>
              <w:rPr>
                <w:rFonts w:ascii="Arial" w:hAnsi="Arial" w:cs="Arial"/>
                <w:b/>
                <w:bCs/>
                <w:sz w:val="20"/>
                <w:szCs w:val="20"/>
              </w:rPr>
            </w:pPr>
            <w:r w:rsidRPr="004C6CC5">
              <w:rPr>
                <w:rFonts w:ascii="Arial" w:hAnsi="Arial" w:cs="Arial"/>
                <w:b/>
                <w:bCs/>
                <w:sz w:val="20"/>
                <w:szCs w:val="20"/>
              </w:rPr>
              <w:t>Projekt realizowany na Stacji im. H. Arctowskiego</w:t>
            </w:r>
            <w:r w:rsidR="006503F1">
              <w:rPr>
                <w:rFonts w:ascii="Arial" w:hAnsi="Arial" w:cs="Arial"/>
                <w:b/>
                <w:bCs/>
                <w:sz w:val="20"/>
                <w:szCs w:val="20"/>
              </w:rPr>
              <w:t xml:space="preserve"> </w:t>
            </w:r>
            <w:r w:rsidR="009A2F9A">
              <w:rPr>
                <w:rFonts w:ascii="Arial" w:hAnsi="Arial" w:cs="Arial"/>
                <w:b/>
                <w:bCs/>
                <w:sz w:val="20"/>
                <w:szCs w:val="20"/>
              </w:rPr>
              <w:br/>
            </w:r>
            <w:r w:rsidR="006503F1">
              <w:rPr>
                <w:rFonts w:ascii="Arial" w:hAnsi="Arial" w:cs="Arial"/>
                <w:b/>
                <w:bCs/>
                <w:sz w:val="20"/>
                <w:szCs w:val="20"/>
              </w:rPr>
              <w:t xml:space="preserve">w </w:t>
            </w:r>
            <w:r w:rsidRPr="004C6CC5">
              <w:rPr>
                <w:rFonts w:ascii="Arial" w:hAnsi="Arial" w:cs="Arial"/>
                <w:b/>
                <w:bCs/>
                <w:sz w:val="20"/>
                <w:szCs w:val="20"/>
              </w:rPr>
              <w:t>2019 r.</w:t>
            </w:r>
          </w:p>
        </w:tc>
        <w:tc>
          <w:tcPr>
            <w:tcW w:w="3270" w:type="dxa"/>
            <w:tcBorders>
              <w:top w:val="single" w:sz="4" w:space="0" w:color="auto"/>
              <w:left w:val="nil"/>
              <w:bottom w:val="single" w:sz="4" w:space="0" w:color="auto"/>
              <w:right w:val="single" w:sz="4" w:space="0" w:color="auto"/>
            </w:tcBorders>
            <w:vAlign w:val="center"/>
            <w:hideMark/>
          </w:tcPr>
          <w:p w14:paraId="4B076AFB" w14:textId="77777777" w:rsidR="001D7DF2" w:rsidRPr="004C6CC5" w:rsidRDefault="001D7DF2" w:rsidP="00AF010C">
            <w:pPr>
              <w:spacing w:line="276" w:lineRule="auto"/>
              <w:jc w:val="center"/>
              <w:rPr>
                <w:rFonts w:ascii="Arial" w:hAnsi="Arial" w:cs="Arial"/>
                <w:b/>
                <w:bCs/>
                <w:sz w:val="20"/>
                <w:szCs w:val="20"/>
              </w:rPr>
            </w:pPr>
            <w:r w:rsidRPr="004C6CC5">
              <w:rPr>
                <w:rFonts w:ascii="Arial" w:hAnsi="Arial" w:cs="Arial"/>
                <w:b/>
                <w:bCs/>
                <w:sz w:val="20"/>
                <w:szCs w:val="20"/>
              </w:rPr>
              <w:t>Instytucja realizująca</w:t>
            </w:r>
          </w:p>
        </w:tc>
      </w:tr>
      <w:tr w:rsidR="001D7DF2" w:rsidRPr="004C6CC5" w14:paraId="39A90F41" w14:textId="77777777" w:rsidTr="00C63370">
        <w:trPr>
          <w:trHeight w:val="634"/>
        </w:trPr>
        <w:tc>
          <w:tcPr>
            <w:tcW w:w="480" w:type="dxa"/>
            <w:tcBorders>
              <w:top w:val="nil"/>
              <w:left w:val="single" w:sz="4" w:space="0" w:color="auto"/>
              <w:bottom w:val="single" w:sz="4" w:space="0" w:color="auto"/>
              <w:right w:val="single" w:sz="4" w:space="0" w:color="auto"/>
            </w:tcBorders>
            <w:noWrap/>
            <w:hideMark/>
          </w:tcPr>
          <w:p w14:paraId="712FB7B6"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1</w:t>
            </w:r>
          </w:p>
        </w:tc>
        <w:tc>
          <w:tcPr>
            <w:tcW w:w="5324" w:type="dxa"/>
            <w:tcBorders>
              <w:top w:val="nil"/>
              <w:left w:val="nil"/>
              <w:bottom w:val="single" w:sz="4" w:space="0" w:color="auto"/>
              <w:right w:val="single" w:sz="4" w:space="0" w:color="auto"/>
            </w:tcBorders>
            <w:vAlign w:val="center"/>
            <w:hideMark/>
          </w:tcPr>
          <w:p w14:paraId="4EA7C1EB" w14:textId="214BA2C2"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Ilościowa ocena transportu osadów</w:t>
            </w:r>
            <w:r w:rsidR="004C6CC5">
              <w:rPr>
                <w:rFonts w:ascii="Arial" w:hAnsi="Arial" w:cs="Arial"/>
                <w:color w:val="000000"/>
                <w:sz w:val="20"/>
                <w:szCs w:val="20"/>
              </w:rPr>
              <w:t xml:space="preserve"> z </w:t>
            </w:r>
            <w:r w:rsidRPr="004C6CC5">
              <w:rPr>
                <w:rFonts w:ascii="Arial" w:hAnsi="Arial" w:cs="Arial"/>
                <w:color w:val="000000"/>
                <w:sz w:val="20"/>
                <w:szCs w:val="20"/>
              </w:rPr>
              <w:t>lodowców Szetlandów Południowych na podstawie wybranych metod teledetekcyjnych</w:t>
            </w:r>
          </w:p>
        </w:tc>
        <w:tc>
          <w:tcPr>
            <w:tcW w:w="3270" w:type="dxa"/>
            <w:tcBorders>
              <w:top w:val="nil"/>
              <w:left w:val="nil"/>
              <w:bottom w:val="single" w:sz="4" w:space="0" w:color="auto"/>
              <w:right w:val="single" w:sz="4" w:space="0" w:color="auto"/>
            </w:tcBorders>
            <w:vAlign w:val="center"/>
            <w:hideMark/>
          </w:tcPr>
          <w:p w14:paraId="14C73781" w14:textId="6DAFBB00"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Instytut Biochemii</w:t>
            </w:r>
            <w:r w:rsidR="004C6CC5">
              <w:rPr>
                <w:rFonts w:ascii="Arial" w:hAnsi="Arial" w:cs="Arial"/>
                <w:color w:val="000000"/>
                <w:sz w:val="20"/>
                <w:szCs w:val="20"/>
              </w:rPr>
              <w:t xml:space="preserve"> i </w:t>
            </w:r>
            <w:r w:rsidRPr="004C6CC5">
              <w:rPr>
                <w:rFonts w:ascii="Arial" w:hAnsi="Arial" w:cs="Arial"/>
                <w:color w:val="000000"/>
                <w:sz w:val="20"/>
                <w:szCs w:val="20"/>
              </w:rPr>
              <w:t>Biofizyki PAN</w:t>
            </w:r>
          </w:p>
        </w:tc>
      </w:tr>
      <w:tr w:rsidR="001D7DF2" w:rsidRPr="004C6CC5" w14:paraId="30ED7EAC" w14:textId="77777777" w:rsidTr="00C63370">
        <w:trPr>
          <w:trHeight w:val="634"/>
        </w:trPr>
        <w:tc>
          <w:tcPr>
            <w:tcW w:w="480" w:type="dxa"/>
            <w:tcBorders>
              <w:top w:val="nil"/>
              <w:left w:val="single" w:sz="4" w:space="0" w:color="auto"/>
              <w:bottom w:val="single" w:sz="4" w:space="0" w:color="auto"/>
              <w:right w:val="single" w:sz="4" w:space="0" w:color="auto"/>
            </w:tcBorders>
            <w:noWrap/>
          </w:tcPr>
          <w:p w14:paraId="25BAFDB7"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2</w:t>
            </w:r>
          </w:p>
          <w:p w14:paraId="11A42BCD" w14:textId="77777777" w:rsidR="001D7DF2" w:rsidRPr="004C6CC5" w:rsidRDefault="001D7DF2" w:rsidP="008D2321">
            <w:pPr>
              <w:spacing w:line="276" w:lineRule="auto"/>
              <w:jc w:val="both"/>
              <w:rPr>
                <w:rFonts w:ascii="Arial" w:hAnsi="Arial" w:cs="Arial"/>
                <w:sz w:val="20"/>
                <w:szCs w:val="20"/>
              </w:rPr>
            </w:pPr>
          </w:p>
        </w:tc>
        <w:tc>
          <w:tcPr>
            <w:tcW w:w="5324" w:type="dxa"/>
            <w:tcBorders>
              <w:top w:val="nil"/>
              <w:left w:val="nil"/>
              <w:bottom w:val="single" w:sz="4" w:space="0" w:color="auto"/>
              <w:right w:val="single" w:sz="4" w:space="0" w:color="auto"/>
            </w:tcBorders>
            <w:vAlign w:val="center"/>
            <w:hideMark/>
          </w:tcPr>
          <w:p w14:paraId="6231148A" w14:textId="75A72EFF"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Dystrybucja 90Sr</w:t>
            </w:r>
            <w:r w:rsidR="004C6CC5">
              <w:rPr>
                <w:rFonts w:ascii="Arial" w:hAnsi="Arial" w:cs="Arial"/>
                <w:color w:val="000000"/>
                <w:sz w:val="20"/>
                <w:szCs w:val="20"/>
              </w:rPr>
              <w:t xml:space="preserve"> i </w:t>
            </w:r>
            <w:r w:rsidRPr="004C6CC5">
              <w:rPr>
                <w:rFonts w:ascii="Arial" w:hAnsi="Arial" w:cs="Arial"/>
                <w:color w:val="000000"/>
                <w:sz w:val="20"/>
                <w:szCs w:val="20"/>
              </w:rPr>
              <w:t>137Cs</w:t>
            </w:r>
            <w:r w:rsidR="004C6CC5">
              <w:rPr>
                <w:rFonts w:ascii="Arial" w:hAnsi="Arial" w:cs="Arial"/>
                <w:color w:val="000000"/>
                <w:sz w:val="20"/>
                <w:szCs w:val="20"/>
              </w:rPr>
              <w:t xml:space="preserve"> w </w:t>
            </w:r>
            <w:r w:rsidRPr="004C6CC5">
              <w:rPr>
                <w:rFonts w:ascii="Arial" w:hAnsi="Arial" w:cs="Arial"/>
                <w:color w:val="000000"/>
                <w:sz w:val="20"/>
                <w:szCs w:val="20"/>
              </w:rPr>
              <w:t>organizmach fauny</w:t>
            </w:r>
            <w:r w:rsidR="004C6CC5">
              <w:rPr>
                <w:rFonts w:ascii="Arial" w:hAnsi="Arial" w:cs="Arial"/>
                <w:color w:val="000000"/>
                <w:sz w:val="20"/>
                <w:szCs w:val="20"/>
              </w:rPr>
              <w:t xml:space="preserve"> i </w:t>
            </w:r>
            <w:r w:rsidRPr="004C6CC5">
              <w:rPr>
                <w:rFonts w:ascii="Arial" w:hAnsi="Arial" w:cs="Arial"/>
                <w:color w:val="000000"/>
                <w:sz w:val="20"/>
                <w:szCs w:val="20"/>
              </w:rPr>
              <w:t>flory obszarów polarnych</w:t>
            </w:r>
            <w:r w:rsidR="004C6CC5">
              <w:rPr>
                <w:rFonts w:ascii="Arial" w:hAnsi="Arial" w:cs="Arial"/>
                <w:color w:val="000000"/>
                <w:sz w:val="20"/>
                <w:szCs w:val="20"/>
              </w:rPr>
              <w:t xml:space="preserve"> w </w:t>
            </w:r>
            <w:r w:rsidRPr="004C6CC5">
              <w:rPr>
                <w:rFonts w:ascii="Arial" w:hAnsi="Arial" w:cs="Arial"/>
                <w:color w:val="000000"/>
                <w:sz w:val="20"/>
                <w:szCs w:val="20"/>
              </w:rPr>
              <w:t>aspekcie topniejących lodowców, jako wtórnego źródła izotopów pochodzenia antropogenicznego</w:t>
            </w:r>
          </w:p>
        </w:tc>
        <w:tc>
          <w:tcPr>
            <w:tcW w:w="3270" w:type="dxa"/>
            <w:tcBorders>
              <w:top w:val="nil"/>
              <w:left w:val="nil"/>
              <w:bottom w:val="single" w:sz="4" w:space="0" w:color="auto"/>
              <w:right w:val="single" w:sz="4" w:space="0" w:color="auto"/>
            </w:tcBorders>
            <w:vAlign w:val="center"/>
            <w:hideMark/>
          </w:tcPr>
          <w:p w14:paraId="0FEDCD66" w14:textId="7546C5DD" w:rsidR="001D7DF2" w:rsidRPr="004C6CC5" w:rsidRDefault="001D7DF2" w:rsidP="00272889">
            <w:pPr>
              <w:spacing w:line="276" w:lineRule="auto"/>
              <w:jc w:val="both"/>
              <w:rPr>
                <w:rFonts w:ascii="Arial" w:hAnsi="Arial" w:cs="Arial"/>
                <w:color w:val="000000"/>
                <w:sz w:val="20"/>
                <w:szCs w:val="20"/>
              </w:rPr>
            </w:pPr>
            <w:r w:rsidRPr="004C6CC5">
              <w:rPr>
                <w:rFonts w:ascii="Arial" w:hAnsi="Arial" w:cs="Arial"/>
                <w:color w:val="000000"/>
                <w:sz w:val="20"/>
                <w:szCs w:val="20"/>
              </w:rPr>
              <w:t>Instytut Meteorologii</w:t>
            </w:r>
            <w:r w:rsidR="004C6CC5">
              <w:rPr>
                <w:rFonts w:ascii="Arial" w:hAnsi="Arial" w:cs="Arial"/>
                <w:color w:val="000000"/>
                <w:sz w:val="20"/>
                <w:szCs w:val="20"/>
              </w:rPr>
              <w:t xml:space="preserve"> i </w:t>
            </w:r>
            <w:r w:rsidRPr="004C6CC5">
              <w:rPr>
                <w:rFonts w:ascii="Arial" w:hAnsi="Arial" w:cs="Arial"/>
                <w:color w:val="000000"/>
                <w:sz w:val="20"/>
                <w:szCs w:val="20"/>
              </w:rPr>
              <w:t>Gospodarki Wodnej</w:t>
            </w:r>
            <w:r w:rsidR="00272889">
              <w:rPr>
                <w:rFonts w:ascii="Arial" w:hAnsi="Arial" w:cs="Arial"/>
                <w:color w:val="000000"/>
                <w:sz w:val="20"/>
                <w:szCs w:val="20"/>
              </w:rPr>
              <w:t xml:space="preserve"> - Państwowy Instytut Badawczy</w:t>
            </w:r>
          </w:p>
        </w:tc>
      </w:tr>
      <w:tr w:rsidR="001D7DF2" w:rsidRPr="004C6CC5" w14:paraId="76B3463C" w14:textId="77777777" w:rsidTr="00C63370">
        <w:trPr>
          <w:trHeight w:val="567"/>
        </w:trPr>
        <w:tc>
          <w:tcPr>
            <w:tcW w:w="480" w:type="dxa"/>
            <w:tcBorders>
              <w:top w:val="nil"/>
              <w:left w:val="single" w:sz="4" w:space="0" w:color="auto"/>
              <w:bottom w:val="single" w:sz="4" w:space="0" w:color="auto"/>
              <w:right w:val="single" w:sz="4" w:space="0" w:color="auto"/>
            </w:tcBorders>
            <w:noWrap/>
            <w:hideMark/>
          </w:tcPr>
          <w:p w14:paraId="2221644D"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lastRenderedPageBreak/>
              <w:t>3</w:t>
            </w:r>
          </w:p>
        </w:tc>
        <w:tc>
          <w:tcPr>
            <w:tcW w:w="5324" w:type="dxa"/>
            <w:tcBorders>
              <w:top w:val="nil"/>
              <w:left w:val="nil"/>
              <w:bottom w:val="single" w:sz="4" w:space="0" w:color="auto"/>
              <w:right w:val="single" w:sz="4" w:space="0" w:color="auto"/>
            </w:tcBorders>
            <w:vAlign w:val="center"/>
            <w:hideMark/>
          </w:tcPr>
          <w:p w14:paraId="7611B350" w14:textId="77777777" w:rsidR="001D7DF2" w:rsidRPr="004C6CC5" w:rsidRDefault="001D7DF2" w:rsidP="008D2321">
            <w:pPr>
              <w:spacing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 xml:space="preserve">Role of foliar endophytes on the fotoprotection of the Antarctic vascular flora: effects on fitness and phenotypic plasticity in </w:t>
            </w:r>
            <w:r w:rsidRPr="007415EE">
              <w:rPr>
                <w:rFonts w:ascii="Arial" w:hAnsi="Arial" w:cs="Arial"/>
                <w:color w:val="000000"/>
                <w:sz w:val="20"/>
                <w:szCs w:val="20"/>
                <w:lang w:val="en-US"/>
              </w:rPr>
              <w:t>Colobanthus quitensis and Deschampsia antárctica</w:t>
            </w:r>
          </w:p>
        </w:tc>
        <w:tc>
          <w:tcPr>
            <w:tcW w:w="3270" w:type="dxa"/>
            <w:tcBorders>
              <w:top w:val="nil"/>
              <w:left w:val="nil"/>
              <w:bottom w:val="single" w:sz="4" w:space="0" w:color="auto"/>
              <w:right w:val="single" w:sz="4" w:space="0" w:color="auto"/>
            </w:tcBorders>
            <w:vAlign w:val="center"/>
            <w:hideMark/>
          </w:tcPr>
          <w:p w14:paraId="2018FFFF" w14:textId="77777777" w:rsidR="001D7DF2" w:rsidRPr="004C6CC5" w:rsidRDefault="001D7DF2" w:rsidP="008D2321">
            <w:pPr>
              <w:spacing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Universidad de Talca, Chile</w:t>
            </w:r>
          </w:p>
          <w:p w14:paraId="7A219DE5" w14:textId="77777777" w:rsidR="001D7DF2" w:rsidRPr="004C6CC5" w:rsidRDefault="001D7DF2" w:rsidP="008D2321">
            <w:pPr>
              <w:spacing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Universidad Católica del Maule, Chile</w:t>
            </w:r>
          </w:p>
        </w:tc>
      </w:tr>
      <w:tr w:rsidR="001D7DF2" w:rsidRPr="004C6CC5" w14:paraId="271C7A58" w14:textId="77777777" w:rsidTr="00C63370">
        <w:trPr>
          <w:trHeight w:val="567"/>
        </w:trPr>
        <w:tc>
          <w:tcPr>
            <w:tcW w:w="480" w:type="dxa"/>
            <w:tcBorders>
              <w:top w:val="nil"/>
              <w:left w:val="single" w:sz="4" w:space="0" w:color="auto"/>
              <w:bottom w:val="single" w:sz="4" w:space="0" w:color="auto"/>
              <w:right w:val="single" w:sz="4" w:space="0" w:color="auto"/>
            </w:tcBorders>
            <w:noWrap/>
            <w:hideMark/>
          </w:tcPr>
          <w:p w14:paraId="569A694D"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4</w:t>
            </w:r>
          </w:p>
        </w:tc>
        <w:tc>
          <w:tcPr>
            <w:tcW w:w="5324" w:type="dxa"/>
            <w:tcBorders>
              <w:top w:val="nil"/>
              <w:left w:val="nil"/>
              <w:bottom w:val="single" w:sz="4" w:space="0" w:color="auto"/>
              <w:right w:val="single" w:sz="4" w:space="0" w:color="auto"/>
            </w:tcBorders>
            <w:vAlign w:val="center"/>
            <w:hideMark/>
          </w:tcPr>
          <w:p w14:paraId="7CC69266" w14:textId="3497B634"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Organizmy bentosowe, jako wskaźnik źródeł rtęci</w:t>
            </w:r>
            <w:r w:rsidR="004C6CC5">
              <w:rPr>
                <w:rFonts w:ascii="Arial" w:hAnsi="Arial" w:cs="Arial"/>
                <w:color w:val="000000"/>
                <w:sz w:val="20"/>
                <w:szCs w:val="20"/>
              </w:rPr>
              <w:t xml:space="preserve"> w </w:t>
            </w:r>
            <w:r w:rsidRPr="004C6CC5">
              <w:rPr>
                <w:rFonts w:ascii="Arial" w:hAnsi="Arial" w:cs="Arial"/>
                <w:color w:val="000000"/>
                <w:sz w:val="20"/>
                <w:szCs w:val="20"/>
              </w:rPr>
              <w:t>strefie brzegowej Antarktyki (Zatoka Admiralicji)</w:t>
            </w:r>
          </w:p>
        </w:tc>
        <w:tc>
          <w:tcPr>
            <w:tcW w:w="3270" w:type="dxa"/>
            <w:tcBorders>
              <w:top w:val="nil"/>
              <w:left w:val="nil"/>
              <w:bottom w:val="single" w:sz="4" w:space="0" w:color="auto"/>
              <w:right w:val="single" w:sz="4" w:space="0" w:color="auto"/>
            </w:tcBorders>
            <w:vAlign w:val="center"/>
            <w:hideMark/>
          </w:tcPr>
          <w:p w14:paraId="68EB54AE" w14:textId="6F08D9D5"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Uniwersytet Gdański, Wydział Oceanografii</w:t>
            </w:r>
            <w:r w:rsidR="006503F1">
              <w:rPr>
                <w:rFonts w:ascii="Arial" w:hAnsi="Arial" w:cs="Arial"/>
                <w:color w:val="000000"/>
                <w:sz w:val="20"/>
                <w:szCs w:val="20"/>
              </w:rPr>
              <w:t xml:space="preserve"> i </w:t>
            </w:r>
            <w:r w:rsidRPr="004C6CC5">
              <w:rPr>
                <w:rFonts w:ascii="Arial" w:hAnsi="Arial" w:cs="Arial"/>
                <w:color w:val="000000"/>
                <w:sz w:val="20"/>
                <w:szCs w:val="20"/>
              </w:rPr>
              <w:t>Geografii; Instytut Oceanologii Polskiej Akademii Nauk;</w:t>
            </w:r>
          </w:p>
        </w:tc>
      </w:tr>
      <w:tr w:rsidR="001D7DF2" w:rsidRPr="004C6CC5" w14:paraId="4F42B5AB" w14:textId="77777777" w:rsidTr="00C63370">
        <w:trPr>
          <w:trHeight w:val="567"/>
        </w:trPr>
        <w:tc>
          <w:tcPr>
            <w:tcW w:w="480" w:type="dxa"/>
            <w:tcBorders>
              <w:top w:val="single" w:sz="4" w:space="0" w:color="auto"/>
              <w:left w:val="single" w:sz="4" w:space="0" w:color="auto"/>
              <w:bottom w:val="single" w:sz="4" w:space="0" w:color="auto"/>
              <w:right w:val="single" w:sz="4" w:space="0" w:color="auto"/>
            </w:tcBorders>
            <w:noWrap/>
            <w:hideMark/>
          </w:tcPr>
          <w:p w14:paraId="0A8E415D"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5</w:t>
            </w:r>
          </w:p>
        </w:tc>
        <w:tc>
          <w:tcPr>
            <w:tcW w:w="5324" w:type="dxa"/>
            <w:tcBorders>
              <w:top w:val="single" w:sz="4" w:space="0" w:color="auto"/>
              <w:left w:val="nil"/>
              <w:bottom w:val="single" w:sz="4" w:space="0" w:color="auto"/>
              <w:right w:val="single" w:sz="4" w:space="0" w:color="auto"/>
            </w:tcBorders>
            <w:vAlign w:val="center"/>
            <w:hideMark/>
          </w:tcPr>
          <w:p w14:paraId="0E6E3387" w14:textId="3ECC357E"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Rozpoznanie</w:t>
            </w:r>
            <w:r w:rsidR="0060211D">
              <w:rPr>
                <w:rFonts w:ascii="Arial" w:hAnsi="Arial" w:cs="Arial"/>
                <w:color w:val="000000"/>
                <w:sz w:val="20"/>
                <w:szCs w:val="20"/>
              </w:rPr>
              <w:t xml:space="preserve"> i </w:t>
            </w:r>
            <w:r w:rsidRPr="004C6CC5">
              <w:rPr>
                <w:rFonts w:ascii="Arial" w:hAnsi="Arial" w:cs="Arial"/>
                <w:color w:val="000000"/>
                <w:sz w:val="20"/>
                <w:szCs w:val="20"/>
              </w:rPr>
              <w:t>wybór markerów zanieczyszczeń wprowadzonych do Zatoki Admiralicji (Antarktyka Morska) poprzez bezpośrednie odprowadzanie ścieków bytowych na przykładzie Polskiej Stacji Antarktycznej im H. Arctowskiego</w:t>
            </w:r>
          </w:p>
        </w:tc>
        <w:tc>
          <w:tcPr>
            <w:tcW w:w="3270" w:type="dxa"/>
            <w:tcBorders>
              <w:top w:val="single" w:sz="4" w:space="0" w:color="auto"/>
              <w:left w:val="nil"/>
              <w:bottom w:val="single" w:sz="4" w:space="0" w:color="auto"/>
              <w:right w:val="single" w:sz="4" w:space="0" w:color="auto"/>
            </w:tcBorders>
            <w:vAlign w:val="center"/>
            <w:hideMark/>
          </w:tcPr>
          <w:p w14:paraId="34BB7200" w14:textId="77777777"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Politechnika Gdańska</w:t>
            </w:r>
          </w:p>
          <w:p w14:paraId="2B149271" w14:textId="3C41E348"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Uniwersytet Kazimierza Wielkiego w Bydgoszczy</w:t>
            </w:r>
          </w:p>
        </w:tc>
      </w:tr>
      <w:tr w:rsidR="001D7DF2" w:rsidRPr="004C6CC5" w14:paraId="4E341CEE" w14:textId="77777777" w:rsidTr="00C63370">
        <w:trPr>
          <w:trHeight w:val="567"/>
        </w:trPr>
        <w:tc>
          <w:tcPr>
            <w:tcW w:w="480" w:type="dxa"/>
            <w:tcBorders>
              <w:top w:val="single" w:sz="4" w:space="0" w:color="auto"/>
              <w:left w:val="single" w:sz="4" w:space="0" w:color="auto"/>
              <w:bottom w:val="single" w:sz="4" w:space="0" w:color="auto"/>
              <w:right w:val="single" w:sz="4" w:space="0" w:color="auto"/>
            </w:tcBorders>
            <w:noWrap/>
            <w:hideMark/>
          </w:tcPr>
          <w:p w14:paraId="4D4038F0"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6</w:t>
            </w:r>
          </w:p>
        </w:tc>
        <w:tc>
          <w:tcPr>
            <w:tcW w:w="5324" w:type="dxa"/>
            <w:tcBorders>
              <w:top w:val="single" w:sz="4" w:space="0" w:color="auto"/>
              <w:left w:val="nil"/>
              <w:bottom w:val="single" w:sz="4" w:space="0" w:color="auto"/>
              <w:right w:val="single" w:sz="4" w:space="0" w:color="auto"/>
            </w:tcBorders>
            <w:vAlign w:val="center"/>
            <w:hideMark/>
          </w:tcPr>
          <w:p w14:paraId="33D52488" w14:textId="77777777" w:rsidR="001D7DF2" w:rsidRPr="004C6CC5" w:rsidRDefault="001D7DF2" w:rsidP="008D2321">
            <w:pPr>
              <w:spacing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Effect of warming on leaf hydraulic properties of Antarctic plants</w:t>
            </w:r>
          </w:p>
        </w:tc>
        <w:tc>
          <w:tcPr>
            <w:tcW w:w="3270" w:type="dxa"/>
            <w:tcBorders>
              <w:top w:val="single" w:sz="4" w:space="0" w:color="auto"/>
              <w:left w:val="nil"/>
              <w:bottom w:val="single" w:sz="4" w:space="0" w:color="auto"/>
              <w:right w:val="single" w:sz="4" w:space="0" w:color="auto"/>
            </w:tcBorders>
            <w:vAlign w:val="center"/>
            <w:hideMark/>
          </w:tcPr>
          <w:p w14:paraId="12E74AFA" w14:textId="77777777" w:rsidR="001D7DF2" w:rsidRPr="004C6CC5" w:rsidRDefault="001D7DF2" w:rsidP="008D2321">
            <w:pPr>
              <w:spacing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Universidad de Concepcion (UDEC), Chile</w:t>
            </w:r>
          </w:p>
        </w:tc>
      </w:tr>
      <w:tr w:rsidR="001D7DF2" w:rsidRPr="004C6CC5" w14:paraId="78BFB0CF" w14:textId="77777777" w:rsidTr="00C63370">
        <w:trPr>
          <w:trHeight w:val="567"/>
        </w:trPr>
        <w:tc>
          <w:tcPr>
            <w:tcW w:w="480" w:type="dxa"/>
            <w:tcBorders>
              <w:top w:val="single" w:sz="4" w:space="0" w:color="auto"/>
              <w:left w:val="single" w:sz="4" w:space="0" w:color="auto"/>
              <w:bottom w:val="single" w:sz="4" w:space="0" w:color="auto"/>
              <w:right w:val="single" w:sz="4" w:space="0" w:color="auto"/>
            </w:tcBorders>
            <w:noWrap/>
            <w:hideMark/>
          </w:tcPr>
          <w:p w14:paraId="4046B492"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7</w:t>
            </w:r>
          </w:p>
        </w:tc>
        <w:tc>
          <w:tcPr>
            <w:tcW w:w="5324" w:type="dxa"/>
            <w:tcBorders>
              <w:top w:val="single" w:sz="4" w:space="0" w:color="auto"/>
              <w:left w:val="nil"/>
              <w:bottom w:val="single" w:sz="4" w:space="0" w:color="auto"/>
              <w:right w:val="single" w:sz="4" w:space="0" w:color="auto"/>
            </w:tcBorders>
            <w:vAlign w:val="center"/>
            <w:hideMark/>
          </w:tcPr>
          <w:p w14:paraId="738A2445" w14:textId="7238993B" w:rsidR="001D7DF2" w:rsidRPr="004C6CC5" w:rsidRDefault="001D7DF2" w:rsidP="0060211D">
            <w:pPr>
              <w:spacing w:line="276" w:lineRule="auto"/>
              <w:jc w:val="both"/>
              <w:rPr>
                <w:rFonts w:ascii="Arial" w:hAnsi="Arial" w:cs="Arial"/>
                <w:color w:val="000000"/>
                <w:sz w:val="20"/>
                <w:szCs w:val="20"/>
              </w:rPr>
            </w:pPr>
            <w:r w:rsidRPr="004C6CC5">
              <w:rPr>
                <w:rFonts w:ascii="Arial" w:hAnsi="Arial" w:cs="Arial"/>
                <w:color w:val="000000"/>
                <w:sz w:val="20"/>
                <w:szCs w:val="20"/>
              </w:rPr>
              <w:t>Analiza uwarunkowań</w:t>
            </w:r>
            <w:r w:rsidR="00272889">
              <w:rPr>
                <w:rFonts w:ascii="Arial" w:hAnsi="Arial" w:cs="Arial"/>
                <w:color w:val="000000"/>
                <w:sz w:val="20"/>
                <w:szCs w:val="20"/>
              </w:rPr>
              <w:t xml:space="preserve"> i </w:t>
            </w:r>
            <w:r w:rsidRPr="004C6CC5">
              <w:rPr>
                <w:rFonts w:ascii="Arial" w:hAnsi="Arial" w:cs="Arial"/>
                <w:color w:val="000000"/>
                <w:sz w:val="20"/>
                <w:szCs w:val="20"/>
              </w:rPr>
              <w:t>współpraca</w:t>
            </w:r>
            <w:r w:rsidR="00272889">
              <w:rPr>
                <w:rFonts w:ascii="Arial" w:hAnsi="Arial" w:cs="Arial"/>
                <w:color w:val="000000"/>
                <w:sz w:val="20"/>
                <w:szCs w:val="20"/>
              </w:rPr>
              <w:t xml:space="preserve"> w </w:t>
            </w:r>
            <w:r w:rsidRPr="004C6CC5">
              <w:rPr>
                <w:rFonts w:ascii="Arial" w:hAnsi="Arial" w:cs="Arial"/>
                <w:color w:val="000000"/>
                <w:sz w:val="20"/>
                <w:szCs w:val="20"/>
              </w:rPr>
              <w:t xml:space="preserve">zakresie bezpieczeństwa surowcowego Polski na tle czynników międzynarodowych </w:t>
            </w:r>
            <w:r w:rsidR="0060211D">
              <w:rPr>
                <w:rFonts w:ascii="Arial" w:hAnsi="Arial" w:cs="Arial"/>
                <w:color w:val="000000"/>
                <w:sz w:val="20"/>
                <w:szCs w:val="20"/>
              </w:rPr>
              <w:t>-</w:t>
            </w:r>
            <w:r w:rsidRPr="004C6CC5">
              <w:rPr>
                <w:rFonts w:ascii="Arial" w:hAnsi="Arial" w:cs="Arial"/>
                <w:color w:val="000000"/>
                <w:sz w:val="20"/>
                <w:szCs w:val="20"/>
              </w:rPr>
              <w:t xml:space="preserve"> uczestnictwo</w:t>
            </w:r>
            <w:r w:rsidR="0060211D">
              <w:rPr>
                <w:rFonts w:ascii="Arial" w:hAnsi="Arial" w:cs="Arial"/>
                <w:color w:val="000000"/>
                <w:sz w:val="20"/>
                <w:szCs w:val="20"/>
              </w:rPr>
              <w:t xml:space="preserve"> </w:t>
            </w:r>
            <w:r w:rsidR="004C6CC5">
              <w:rPr>
                <w:rFonts w:ascii="Arial" w:hAnsi="Arial" w:cs="Arial"/>
                <w:color w:val="000000"/>
                <w:sz w:val="20"/>
                <w:szCs w:val="20"/>
              </w:rPr>
              <w:t>w </w:t>
            </w:r>
            <w:r w:rsidRPr="004C6CC5">
              <w:rPr>
                <w:rFonts w:ascii="Arial" w:hAnsi="Arial" w:cs="Arial"/>
                <w:color w:val="000000"/>
                <w:sz w:val="20"/>
                <w:szCs w:val="20"/>
              </w:rPr>
              <w:t>badaniach antarktycznych</w:t>
            </w:r>
          </w:p>
        </w:tc>
        <w:tc>
          <w:tcPr>
            <w:tcW w:w="3270" w:type="dxa"/>
            <w:tcBorders>
              <w:top w:val="single" w:sz="4" w:space="0" w:color="auto"/>
              <w:left w:val="nil"/>
              <w:bottom w:val="single" w:sz="4" w:space="0" w:color="auto"/>
              <w:right w:val="single" w:sz="4" w:space="0" w:color="auto"/>
            </w:tcBorders>
            <w:vAlign w:val="center"/>
            <w:hideMark/>
          </w:tcPr>
          <w:p w14:paraId="159E661A" w14:textId="359BD8A4"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Państwowy Instytut Geologiczny</w:t>
            </w:r>
            <w:r w:rsidR="00272889">
              <w:rPr>
                <w:rFonts w:ascii="Arial" w:hAnsi="Arial" w:cs="Arial"/>
                <w:color w:val="000000"/>
                <w:sz w:val="20"/>
                <w:szCs w:val="20"/>
              </w:rPr>
              <w:t xml:space="preserve"> -  Państwowy Instytut Badawczy</w:t>
            </w:r>
          </w:p>
        </w:tc>
      </w:tr>
      <w:tr w:rsidR="001D7DF2" w:rsidRPr="004C6CC5" w14:paraId="73AE39CB" w14:textId="77777777" w:rsidTr="00C63370">
        <w:trPr>
          <w:trHeight w:val="567"/>
        </w:trPr>
        <w:tc>
          <w:tcPr>
            <w:tcW w:w="480" w:type="dxa"/>
            <w:tcBorders>
              <w:top w:val="single" w:sz="4" w:space="0" w:color="auto"/>
              <w:left w:val="single" w:sz="4" w:space="0" w:color="auto"/>
              <w:bottom w:val="single" w:sz="4" w:space="0" w:color="auto"/>
              <w:right w:val="single" w:sz="4" w:space="0" w:color="auto"/>
            </w:tcBorders>
            <w:noWrap/>
            <w:hideMark/>
          </w:tcPr>
          <w:p w14:paraId="6CEEEC55"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8</w:t>
            </w:r>
          </w:p>
        </w:tc>
        <w:tc>
          <w:tcPr>
            <w:tcW w:w="5324" w:type="dxa"/>
            <w:tcBorders>
              <w:top w:val="single" w:sz="4" w:space="0" w:color="auto"/>
              <w:left w:val="nil"/>
              <w:bottom w:val="single" w:sz="4" w:space="0" w:color="auto"/>
              <w:right w:val="single" w:sz="4" w:space="0" w:color="auto"/>
            </w:tcBorders>
            <w:vAlign w:val="center"/>
            <w:hideMark/>
          </w:tcPr>
          <w:p w14:paraId="24ED71E4" w14:textId="42FC602F"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Zmienność mikrobiomu porostów antarktycznych</w:t>
            </w:r>
            <w:r w:rsidR="004C6CC5">
              <w:rPr>
                <w:rFonts w:ascii="Arial" w:hAnsi="Arial" w:cs="Arial"/>
                <w:color w:val="000000"/>
                <w:sz w:val="20"/>
                <w:szCs w:val="20"/>
              </w:rPr>
              <w:t xml:space="preserve"> w </w:t>
            </w:r>
            <w:r w:rsidRPr="004C6CC5">
              <w:rPr>
                <w:rFonts w:ascii="Arial" w:hAnsi="Arial" w:cs="Arial"/>
                <w:color w:val="000000"/>
                <w:sz w:val="20"/>
                <w:szCs w:val="20"/>
              </w:rPr>
              <w:t>gradiencie troficznym</w:t>
            </w:r>
            <w:r w:rsidR="006503F1">
              <w:rPr>
                <w:rFonts w:ascii="Arial" w:hAnsi="Arial" w:cs="Arial"/>
                <w:color w:val="000000"/>
                <w:sz w:val="20"/>
                <w:szCs w:val="20"/>
              </w:rPr>
              <w:t xml:space="preserve"> i </w:t>
            </w:r>
            <w:r w:rsidRPr="004C6CC5">
              <w:rPr>
                <w:rFonts w:ascii="Arial" w:hAnsi="Arial" w:cs="Arial"/>
                <w:color w:val="000000"/>
                <w:sz w:val="20"/>
                <w:szCs w:val="20"/>
              </w:rPr>
              <w:t>czasowo przestrzennym (King George Island, South Shetland Islands)</w:t>
            </w:r>
          </w:p>
        </w:tc>
        <w:tc>
          <w:tcPr>
            <w:tcW w:w="3270" w:type="dxa"/>
            <w:tcBorders>
              <w:top w:val="single" w:sz="4" w:space="0" w:color="auto"/>
              <w:left w:val="nil"/>
              <w:bottom w:val="single" w:sz="4" w:space="0" w:color="auto"/>
              <w:right w:val="single" w:sz="4" w:space="0" w:color="auto"/>
            </w:tcBorders>
            <w:vAlign w:val="center"/>
          </w:tcPr>
          <w:p w14:paraId="4436F8CB" w14:textId="32611127"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Instytut Biochemii</w:t>
            </w:r>
            <w:r w:rsidR="004C6CC5">
              <w:rPr>
                <w:rFonts w:ascii="Arial" w:hAnsi="Arial" w:cs="Arial"/>
                <w:color w:val="000000"/>
                <w:sz w:val="20"/>
                <w:szCs w:val="20"/>
              </w:rPr>
              <w:t xml:space="preserve"> i </w:t>
            </w:r>
            <w:r w:rsidRPr="004C6CC5">
              <w:rPr>
                <w:rFonts w:ascii="Arial" w:hAnsi="Arial" w:cs="Arial"/>
                <w:color w:val="000000"/>
                <w:sz w:val="20"/>
                <w:szCs w:val="20"/>
              </w:rPr>
              <w:t>Biofizyki PAN</w:t>
            </w:r>
          </w:p>
          <w:p w14:paraId="0F605770" w14:textId="264221B0" w:rsidR="001D7DF2" w:rsidRPr="004C6CC5" w:rsidRDefault="001D7DF2" w:rsidP="008D2321">
            <w:pPr>
              <w:spacing w:line="276" w:lineRule="auto"/>
              <w:jc w:val="both"/>
              <w:rPr>
                <w:rFonts w:ascii="Arial" w:hAnsi="Arial" w:cs="Arial"/>
                <w:color w:val="000000"/>
                <w:sz w:val="20"/>
                <w:szCs w:val="20"/>
              </w:rPr>
            </w:pPr>
            <w:r w:rsidRPr="004C6CC5">
              <w:rPr>
                <w:rFonts w:ascii="Arial" w:hAnsi="Arial" w:cs="Arial"/>
                <w:color w:val="000000"/>
                <w:sz w:val="20"/>
                <w:szCs w:val="20"/>
              </w:rPr>
              <w:t xml:space="preserve">Uniwersytet Warmińsko-Mazurski </w:t>
            </w:r>
            <w:r w:rsidR="00C76E2B">
              <w:rPr>
                <w:rFonts w:ascii="Arial" w:hAnsi="Arial" w:cs="Arial"/>
                <w:color w:val="000000"/>
                <w:sz w:val="20"/>
                <w:szCs w:val="20"/>
              </w:rPr>
              <w:br/>
            </w:r>
            <w:r w:rsidRPr="004C6CC5">
              <w:rPr>
                <w:rFonts w:ascii="Arial" w:hAnsi="Arial" w:cs="Arial"/>
                <w:color w:val="000000"/>
                <w:sz w:val="20"/>
                <w:szCs w:val="20"/>
              </w:rPr>
              <w:t>w Olsztynie</w:t>
            </w:r>
          </w:p>
          <w:p w14:paraId="7E07289E" w14:textId="77777777" w:rsidR="001D7DF2" w:rsidRPr="004C6CC5" w:rsidRDefault="001D7DF2" w:rsidP="008D2321">
            <w:pPr>
              <w:spacing w:line="276" w:lineRule="auto"/>
              <w:jc w:val="both"/>
              <w:rPr>
                <w:rFonts w:ascii="Arial" w:hAnsi="Arial" w:cs="Arial"/>
                <w:color w:val="000000"/>
                <w:sz w:val="20"/>
                <w:szCs w:val="20"/>
              </w:rPr>
            </w:pPr>
          </w:p>
        </w:tc>
      </w:tr>
      <w:tr w:rsidR="001D7DF2" w:rsidRPr="004C6CC5" w14:paraId="7E23BE0C" w14:textId="77777777" w:rsidTr="00C63370">
        <w:trPr>
          <w:trHeight w:val="567"/>
        </w:trPr>
        <w:tc>
          <w:tcPr>
            <w:tcW w:w="480" w:type="dxa"/>
            <w:tcBorders>
              <w:top w:val="single" w:sz="4" w:space="0" w:color="auto"/>
              <w:left w:val="single" w:sz="4" w:space="0" w:color="auto"/>
              <w:bottom w:val="single" w:sz="4" w:space="0" w:color="auto"/>
              <w:right w:val="single" w:sz="4" w:space="0" w:color="auto"/>
            </w:tcBorders>
            <w:noWrap/>
            <w:hideMark/>
          </w:tcPr>
          <w:p w14:paraId="7DEC1F72"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9</w:t>
            </w:r>
          </w:p>
        </w:tc>
        <w:tc>
          <w:tcPr>
            <w:tcW w:w="5324" w:type="dxa"/>
            <w:tcBorders>
              <w:top w:val="single" w:sz="4" w:space="0" w:color="auto"/>
              <w:left w:val="nil"/>
              <w:bottom w:val="single" w:sz="4" w:space="0" w:color="auto"/>
              <w:right w:val="single" w:sz="4" w:space="0" w:color="auto"/>
            </w:tcBorders>
            <w:vAlign w:val="center"/>
            <w:hideMark/>
          </w:tcPr>
          <w:p w14:paraId="667F5E9C" w14:textId="77777777" w:rsidR="001D7DF2" w:rsidRPr="004C6CC5" w:rsidRDefault="001D7DF2" w:rsidP="008D2321">
            <w:pPr>
              <w:spacing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MICROSFERA: A vida microbiana na criosfera antarctica (Microbial life in antarctic cryosphere)</w:t>
            </w:r>
          </w:p>
        </w:tc>
        <w:tc>
          <w:tcPr>
            <w:tcW w:w="3270" w:type="dxa"/>
            <w:tcBorders>
              <w:top w:val="single" w:sz="4" w:space="0" w:color="auto"/>
              <w:left w:val="nil"/>
              <w:bottom w:val="single" w:sz="4" w:space="0" w:color="auto"/>
              <w:right w:val="single" w:sz="4" w:space="0" w:color="auto"/>
            </w:tcBorders>
            <w:vAlign w:val="center"/>
            <w:hideMark/>
          </w:tcPr>
          <w:p w14:paraId="3F5D6CCD" w14:textId="77777777" w:rsidR="001D7DF2" w:rsidRPr="004C6CC5" w:rsidRDefault="001D7DF2" w:rsidP="008D2321">
            <w:pPr>
              <w:spacing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Intituto Oceanografico - Universidade de Sao Paulo, Brazylia</w:t>
            </w:r>
          </w:p>
        </w:tc>
      </w:tr>
      <w:tr w:rsidR="001D7DF2" w:rsidRPr="004C6CC5" w14:paraId="368D23E9" w14:textId="77777777" w:rsidTr="00A94337">
        <w:trPr>
          <w:trHeight w:val="1167"/>
        </w:trPr>
        <w:tc>
          <w:tcPr>
            <w:tcW w:w="480" w:type="dxa"/>
            <w:tcBorders>
              <w:top w:val="single" w:sz="4" w:space="0" w:color="auto"/>
              <w:left w:val="single" w:sz="4" w:space="0" w:color="auto"/>
              <w:bottom w:val="single" w:sz="4" w:space="0" w:color="auto"/>
              <w:right w:val="single" w:sz="4" w:space="0" w:color="auto"/>
            </w:tcBorders>
            <w:noWrap/>
            <w:hideMark/>
          </w:tcPr>
          <w:p w14:paraId="3C3EE0CC"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10</w:t>
            </w:r>
          </w:p>
        </w:tc>
        <w:tc>
          <w:tcPr>
            <w:tcW w:w="5324" w:type="dxa"/>
            <w:tcBorders>
              <w:top w:val="single" w:sz="4" w:space="0" w:color="auto"/>
              <w:left w:val="nil"/>
              <w:bottom w:val="single" w:sz="4" w:space="0" w:color="auto"/>
              <w:right w:val="single" w:sz="4" w:space="0" w:color="auto"/>
            </w:tcBorders>
            <w:vAlign w:val="center"/>
            <w:hideMark/>
          </w:tcPr>
          <w:p w14:paraId="5342D77D" w14:textId="77777777" w:rsidR="001D7DF2" w:rsidRPr="004C6CC5" w:rsidRDefault="001D7DF2" w:rsidP="008D2321">
            <w:pPr>
              <w:spacing w:line="276" w:lineRule="auto"/>
              <w:jc w:val="both"/>
              <w:rPr>
                <w:rFonts w:ascii="Arial" w:hAnsi="Arial" w:cs="Arial"/>
                <w:color w:val="000000"/>
                <w:sz w:val="20"/>
                <w:szCs w:val="20"/>
                <w:lang w:val="en-US"/>
              </w:rPr>
            </w:pPr>
            <w:r w:rsidRPr="004C6CC5">
              <w:rPr>
                <w:rFonts w:ascii="Arial" w:hAnsi="Arial" w:cs="Arial"/>
                <w:color w:val="000000"/>
                <w:sz w:val="20"/>
                <w:szCs w:val="20"/>
                <w:lang w:val="en-US"/>
              </w:rPr>
              <w:t>Evolution and dispersion of bipolar Antarctic species of bryophytes and lichens</w:t>
            </w:r>
          </w:p>
        </w:tc>
        <w:tc>
          <w:tcPr>
            <w:tcW w:w="3270" w:type="dxa"/>
            <w:tcBorders>
              <w:top w:val="single" w:sz="4" w:space="0" w:color="auto"/>
              <w:left w:val="nil"/>
              <w:bottom w:val="single" w:sz="4" w:space="0" w:color="auto"/>
              <w:right w:val="single" w:sz="4" w:space="0" w:color="auto"/>
            </w:tcBorders>
            <w:vAlign w:val="center"/>
          </w:tcPr>
          <w:p w14:paraId="4651A708" w14:textId="77777777" w:rsidR="001D7DF2" w:rsidRPr="004C6CC5" w:rsidRDefault="001D7DF2" w:rsidP="008D2321">
            <w:pPr>
              <w:spacing w:line="276" w:lineRule="auto"/>
              <w:jc w:val="both"/>
              <w:rPr>
                <w:rFonts w:ascii="Arial" w:hAnsi="Arial" w:cs="Arial"/>
                <w:sz w:val="20"/>
                <w:szCs w:val="20"/>
              </w:rPr>
            </w:pPr>
            <w:r w:rsidRPr="004C6CC5">
              <w:rPr>
                <w:rFonts w:ascii="Arial" w:hAnsi="Arial" w:cs="Arial"/>
                <w:sz w:val="20"/>
                <w:szCs w:val="20"/>
              </w:rPr>
              <w:t>University of Brasilia, Brazylia</w:t>
            </w:r>
          </w:p>
          <w:p w14:paraId="4581C8D4" w14:textId="77777777" w:rsidR="001D7DF2" w:rsidRPr="004C6CC5" w:rsidRDefault="001D7DF2" w:rsidP="008D2321">
            <w:pPr>
              <w:spacing w:line="276" w:lineRule="auto"/>
              <w:jc w:val="both"/>
              <w:rPr>
                <w:rFonts w:ascii="Arial" w:hAnsi="Arial" w:cs="Arial"/>
                <w:sz w:val="20"/>
                <w:szCs w:val="20"/>
                <w:lang w:val="en-US"/>
              </w:rPr>
            </w:pPr>
            <w:r w:rsidRPr="004C6CC5">
              <w:rPr>
                <w:rFonts w:ascii="Arial" w:hAnsi="Arial" w:cs="Arial"/>
                <w:sz w:val="20"/>
                <w:szCs w:val="20"/>
                <w:lang w:val="en-US"/>
              </w:rPr>
              <w:t>Federal University of Mato grosso do Sul, Brazylia</w:t>
            </w:r>
          </w:p>
          <w:p w14:paraId="1F024E93" w14:textId="77777777" w:rsidR="001D7DF2" w:rsidRPr="004C6CC5" w:rsidRDefault="001D7DF2" w:rsidP="008D2321">
            <w:pPr>
              <w:spacing w:line="276" w:lineRule="auto"/>
              <w:jc w:val="both"/>
              <w:rPr>
                <w:rFonts w:ascii="Arial" w:hAnsi="Arial" w:cs="Arial"/>
                <w:color w:val="000000"/>
                <w:sz w:val="20"/>
                <w:szCs w:val="20"/>
                <w:lang w:val="en-US"/>
              </w:rPr>
            </w:pPr>
          </w:p>
        </w:tc>
      </w:tr>
    </w:tbl>
    <w:p w14:paraId="5FA7788F" w14:textId="77777777" w:rsidR="001D7DF2" w:rsidRPr="004C6CC5" w:rsidRDefault="001D7DF2" w:rsidP="008D2321">
      <w:pPr>
        <w:spacing w:line="276" w:lineRule="auto"/>
        <w:jc w:val="both"/>
        <w:rPr>
          <w:rFonts w:ascii="Arial" w:hAnsi="Arial" w:cs="Arial"/>
          <w:sz w:val="20"/>
          <w:szCs w:val="20"/>
        </w:rPr>
      </w:pPr>
    </w:p>
    <w:p w14:paraId="20E08551" w14:textId="05D316A4" w:rsidR="001D7DF2" w:rsidRPr="00FC4165" w:rsidRDefault="001D7DF2" w:rsidP="00FC4165">
      <w:pPr>
        <w:spacing w:after="0" w:line="276" w:lineRule="auto"/>
        <w:contextualSpacing/>
        <w:jc w:val="both"/>
        <w:rPr>
          <w:rFonts w:ascii="Arial" w:hAnsi="Arial" w:cs="Arial"/>
          <w:b/>
          <w:i/>
          <w:sz w:val="20"/>
          <w:szCs w:val="20"/>
        </w:rPr>
      </w:pPr>
      <w:r w:rsidRPr="004C6CC5">
        <w:rPr>
          <w:rFonts w:ascii="Arial" w:hAnsi="Arial" w:cs="Arial"/>
          <w:sz w:val="20"/>
          <w:szCs w:val="20"/>
        </w:rPr>
        <w:t>Ponadto</w:t>
      </w:r>
      <w:r w:rsidR="00AC1FB4">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Instytut Biochemii</w:t>
      </w:r>
      <w:r w:rsidR="00AC1FB4">
        <w:rPr>
          <w:rFonts w:ascii="Arial" w:hAnsi="Arial" w:cs="Arial"/>
          <w:sz w:val="20"/>
          <w:szCs w:val="20"/>
        </w:rPr>
        <w:t xml:space="preserve"> i </w:t>
      </w:r>
      <w:r w:rsidRPr="004C6CC5">
        <w:rPr>
          <w:rFonts w:ascii="Arial" w:hAnsi="Arial" w:cs="Arial"/>
          <w:sz w:val="20"/>
          <w:szCs w:val="20"/>
        </w:rPr>
        <w:t>Biofizyki PAN kontynuował monitoring morski</w:t>
      </w:r>
      <w:r w:rsidRPr="004C6CC5">
        <w:rPr>
          <w:rFonts w:ascii="Arial" w:hAnsi="Arial" w:cs="Arial"/>
          <w:b/>
          <w:i/>
          <w:sz w:val="20"/>
          <w:szCs w:val="20"/>
        </w:rPr>
        <w:t xml:space="preserve"> </w:t>
      </w:r>
      <w:r w:rsidRPr="004C6CC5">
        <w:rPr>
          <w:rFonts w:ascii="Arial" w:hAnsi="Arial" w:cs="Arial"/>
          <w:sz w:val="20"/>
          <w:szCs w:val="20"/>
        </w:rPr>
        <w:t>wprowadzony do programu stałych monitoringów stacji Arctowski</w:t>
      </w:r>
      <w:r w:rsidR="00DE0264">
        <w:rPr>
          <w:rFonts w:ascii="Arial" w:hAnsi="Arial" w:cs="Arial"/>
          <w:sz w:val="20"/>
          <w:szCs w:val="20"/>
        </w:rPr>
        <w:t xml:space="preserve"> w </w:t>
      </w:r>
      <w:r w:rsidR="00142F42">
        <w:rPr>
          <w:rFonts w:ascii="Arial" w:hAnsi="Arial" w:cs="Arial"/>
          <w:sz w:val="20"/>
          <w:szCs w:val="20"/>
        </w:rPr>
        <w:t>listopadzie 2018 r</w:t>
      </w:r>
      <w:r w:rsidRPr="004C6CC5">
        <w:rPr>
          <w:rFonts w:ascii="Arial" w:hAnsi="Arial" w:cs="Arial"/>
          <w:sz w:val="20"/>
          <w:szCs w:val="20"/>
        </w:rPr>
        <w:t xml:space="preserve">. Inicjalne pomiary według nowych wytycznych przeprowadzono </w:t>
      </w:r>
      <w:r w:rsidR="00AE6B5A">
        <w:rPr>
          <w:rFonts w:ascii="Arial" w:hAnsi="Arial" w:cs="Arial"/>
          <w:sz w:val="20"/>
          <w:szCs w:val="20"/>
        </w:rPr>
        <w:t>w dniu 9 listopada 2018 r</w:t>
      </w:r>
      <w:r w:rsidRPr="004C6CC5">
        <w:rPr>
          <w:rFonts w:ascii="Arial" w:hAnsi="Arial" w:cs="Arial"/>
          <w:sz w:val="20"/>
          <w:szCs w:val="20"/>
        </w:rPr>
        <w:t>. Badania oceanograficzne przeprowadzano przy użyciu sondy CTD umożliwiającej pomiary przede wszystkim przewodności właściwej</w:t>
      </w:r>
      <w:r w:rsidR="00DE0264">
        <w:rPr>
          <w:rFonts w:ascii="Arial" w:hAnsi="Arial" w:cs="Arial"/>
          <w:sz w:val="20"/>
          <w:szCs w:val="20"/>
        </w:rPr>
        <w:t xml:space="preserve"> i </w:t>
      </w:r>
      <w:r w:rsidRPr="004C6CC5">
        <w:rPr>
          <w:rFonts w:ascii="Arial" w:hAnsi="Arial" w:cs="Arial"/>
          <w:sz w:val="20"/>
          <w:szCs w:val="20"/>
        </w:rPr>
        <w:t>temperatury wody</w:t>
      </w:r>
      <w:r w:rsidR="00DE0264">
        <w:rPr>
          <w:rFonts w:ascii="Arial" w:hAnsi="Arial" w:cs="Arial"/>
          <w:sz w:val="20"/>
          <w:szCs w:val="20"/>
        </w:rPr>
        <w:t xml:space="preserve"> w </w:t>
      </w:r>
      <w:r w:rsidRPr="004C6CC5">
        <w:rPr>
          <w:rFonts w:ascii="Arial" w:hAnsi="Arial" w:cs="Arial"/>
          <w:sz w:val="20"/>
          <w:szCs w:val="20"/>
        </w:rPr>
        <w:t>profilu pionowym. Oprócz tych podstawowych parametrów użytkowany sprzęt pozwalał na pomiary pH, zasolenia, natlenienia (ilość́ tlenu rozpuszczonego</w:t>
      </w:r>
      <w:r w:rsidR="004C6CC5">
        <w:rPr>
          <w:rFonts w:ascii="Arial" w:hAnsi="Arial" w:cs="Arial"/>
          <w:sz w:val="20"/>
          <w:szCs w:val="20"/>
        </w:rPr>
        <w:t xml:space="preserve"> w </w:t>
      </w:r>
      <w:r w:rsidRPr="004C6CC5">
        <w:rPr>
          <w:rFonts w:ascii="Arial" w:hAnsi="Arial" w:cs="Arial"/>
          <w:sz w:val="20"/>
          <w:szCs w:val="20"/>
        </w:rPr>
        <w:t>wodzie), mętności czy ilości chlorofilu</w:t>
      </w:r>
      <w:r w:rsidR="004C6CC5">
        <w:rPr>
          <w:rFonts w:ascii="Arial" w:hAnsi="Arial" w:cs="Arial"/>
          <w:sz w:val="20"/>
          <w:szCs w:val="20"/>
        </w:rPr>
        <w:t xml:space="preserve"> w </w:t>
      </w:r>
      <w:r w:rsidRPr="004C6CC5">
        <w:rPr>
          <w:rFonts w:ascii="Arial" w:hAnsi="Arial" w:cs="Arial"/>
          <w:sz w:val="20"/>
          <w:szCs w:val="20"/>
        </w:rPr>
        <w:t>wodzie na rożnych głębokościach. Właściwości te mierzono</w:t>
      </w:r>
      <w:r w:rsidR="00221D6D">
        <w:rPr>
          <w:rFonts w:ascii="Arial" w:hAnsi="Arial" w:cs="Arial"/>
          <w:sz w:val="20"/>
          <w:szCs w:val="20"/>
        </w:rPr>
        <w:t xml:space="preserve"> w </w:t>
      </w:r>
      <w:r w:rsidRPr="004C6CC5">
        <w:rPr>
          <w:rFonts w:ascii="Arial" w:hAnsi="Arial" w:cs="Arial"/>
          <w:sz w:val="20"/>
          <w:szCs w:val="20"/>
        </w:rPr>
        <w:t>22 punktach rozmieszczonych</w:t>
      </w:r>
      <w:r w:rsidR="004C6CC5">
        <w:rPr>
          <w:rFonts w:ascii="Arial" w:hAnsi="Arial" w:cs="Arial"/>
          <w:sz w:val="20"/>
          <w:szCs w:val="20"/>
        </w:rPr>
        <w:t xml:space="preserve"> w </w:t>
      </w:r>
      <w:r w:rsidRPr="004C6CC5">
        <w:rPr>
          <w:rFonts w:ascii="Arial" w:hAnsi="Arial" w:cs="Arial"/>
          <w:sz w:val="20"/>
          <w:szCs w:val="20"/>
        </w:rPr>
        <w:t>Zatoce Admiralicji</w:t>
      </w:r>
      <w:r w:rsidR="004C6CC5">
        <w:rPr>
          <w:rFonts w:ascii="Arial" w:hAnsi="Arial" w:cs="Arial"/>
          <w:sz w:val="20"/>
          <w:szCs w:val="20"/>
        </w:rPr>
        <w:t xml:space="preserve"> w </w:t>
      </w:r>
      <w:r w:rsidR="00AE6B5A">
        <w:rPr>
          <w:rFonts w:ascii="Arial" w:hAnsi="Arial" w:cs="Arial"/>
          <w:sz w:val="20"/>
          <w:szCs w:val="20"/>
        </w:rPr>
        <w:t>trzech</w:t>
      </w:r>
      <w:r w:rsidRPr="004C6CC5">
        <w:rPr>
          <w:rFonts w:ascii="Arial" w:hAnsi="Arial" w:cs="Arial"/>
          <w:sz w:val="20"/>
          <w:szCs w:val="20"/>
        </w:rPr>
        <w:t xml:space="preserve"> profilach: między lodowcami Viewille, Ekologii</w:t>
      </w:r>
      <w:r w:rsidR="008776AA">
        <w:rPr>
          <w:rFonts w:ascii="Arial" w:hAnsi="Arial" w:cs="Arial"/>
          <w:sz w:val="20"/>
          <w:szCs w:val="20"/>
        </w:rPr>
        <w:t xml:space="preserve"> i </w:t>
      </w:r>
      <w:r w:rsidRPr="004C6CC5">
        <w:rPr>
          <w:rFonts w:ascii="Arial" w:hAnsi="Arial" w:cs="Arial"/>
          <w:sz w:val="20"/>
          <w:szCs w:val="20"/>
        </w:rPr>
        <w:t>Lange oraz 2 krótkich transektach równoległych do czoła lodowca Lange.</w:t>
      </w:r>
      <w:r w:rsidR="00AE6B5A">
        <w:rPr>
          <w:rFonts w:ascii="Arial" w:hAnsi="Arial" w:cs="Arial"/>
          <w:sz w:val="20"/>
          <w:szCs w:val="20"/>
        </w:rPr>
        <w:t xml:space="preserve"> W</w:t>
      </w:r>
      <w:r w:rsidR="008776AA">
        <w:rPr>
          <w:rFonts w:ascii="Arial" w:hAnsi="Arial" w:cs="Arial"/>
          <w:sz w:val="20"/>
          <w:szCs w:val="20"/>
        </w:rPr>
        <w:t xml:space="preserve"> </w:t>
      </w:r>
      <w:r w:rsidRPr="004C6CC5">
        <w:rPr>
          <w:rFonts w:ascii="Arial" w:hAnsi="Arial" w:cs="Arial"/>
          <w:sz w:val="20"/>
          <w:szCs w:val="20"/>
        </w:rPr>
        <w:t>miarę̨ możliwości pomiary były wykonywane</w:t>
      </w:r>
      <w:r w:rsidR="008776AA">
        <w:rPr>
          <w:rFonts w:ascii="Arial" w:hAnsi="Arial" w:cs="Arial"/>
          <w:sz w:val="20"/>
          <w:szCs w:val="20"/>
        </w:rPr>
        <w:t xml:space="preserve"> </w:t>
      </w:r>
      <w:r w:rsidR="006B78EE">
        <w:rPr>
          <w:rFonts w:ascii="Arial" w:hAnsi="Arial" w:cs="Arial"/>
          <w:sz w:val="20"/>
          <w:szCs w:val="20"/>
        </w:rPr>
        <w:br/>
      </w:r>
      <w:r w:rsidR="008776AA">
        <w:rPr>
          <w:rFonts w:ascii="Arial" w:hAnsi="Arial" w:cs="Arial"/>
          <w:sz w:val="20"/>
          <w:szCs w:val="20"/>
        </w:rPr>
        <w:t xml:space="preserve">w </w:t>
      </w:r>
      <w:r w:rsidRPr="004C6CC5">
        <w:rPr>
          <w:rFonts w:ascii="Arial" w:hAnsi="Arial" w:cs="Arial"/>
          <w:sz w:val="20"/>
          <w:szCs w:val="20"/>
        </w:rPr>
        <w:t>dniach przelotów nad Zatoką Admiralicji satelitów Landsat 8</w:t>
      </w:r>
      <w:r w:rsidR="004C6CC5">
        <w:rPr>
          <w:rFonts w:ascii="Arial" w:hAnsi="Arial" w:cs="Arial"/>
          <w:sz w:val="20"/>
          <w:szCs w:val="20"/>
        </w:rPr>
        <w:t xml:space="preserve"> i </w:t>
      </w:r>
      <w:r w:rsidR="00AB2E50">
        <w:rPr>
          <w:rFonts w:ascii="Arial" w:hAnsi="Arial" w:cs="Arial"/>
          <w:sz w:val="20"/>
          <w:szCs w:val="20"/>
        </w:rPr>
        <w:t>Sentinel 2, w</w:t>
      </w:r>
      <w:r w:rsidR="008776AA">
        <w:rPr>
          <w:rFonts w:ascii="Arial" w:hAnsi="Arial" w:cs="Arial"/>
          <w:sz w:val="20"/>
          <w:szCs w:val="20"/>
        </w:rPr>
        <w:t xml:space="preserve"> </w:t>
      </w:r>
      <w:r w:rsidRPr="004C6CC5">
        <w:rPr>
          <w:rFonts w:ascii="Arial" w:hAnsi="Arial" w:cs="Arial"/>
          <w:sz w:val="20"/>
          <w:szCs w:val="20"/>
        </w:rPr>
        <w:t>związku</w:t>
      </w:r>
      <w:r w:rsidR="004C6CC5">
        <w:rPr>
          <w:rFonts w:ascii="Arial" w:hAnsi="Arial" w:cs="Arial"/>
          <w:sz w:val="20"/>
          <w:szCs w:val="20"/>
        </w:rPr>
        <w:t xml:space="preserve"> z </w:t>
      </w:r>
      <w:r w:rsidR="00AB2E50">
        <w:rPr>
          <w:rFonts w:ascii="Arial" w:hAnsi="Arial" w:cs="Arial"/>
          <w:sz w:val="20"/>
          <w:szCs w:val="20"/>
        </w:rPr>
        <w:t>powyższym</w:t>
      </w:r>
      <w:r w:rsidRPr="004C6CC5">
        <w:rPr>
          <w:rFonts w:ascii="Arial" w:hAnsi="Arial" w:cs="Arial"/>
          <w:sz w:val="20"/>
          <w:szCs w:val="20"/>
        </w:rPr>
        <w:t xml:space="preserve"> pożądana częstotliwość́ pomiarów CTD to był około</w:t>
      </w:r>
      <w:r w:rsidR="00B66FCE" w:rsidRPr="004C6CC5">
        <w:rPr>
          <w:rFonts w:ascii="Arial" w:hAnsi="Arial" w:cs="Arial"/>
          <w:sz w:val="20"/>
          <w:szCs w:val="20"/>
        </w:rPr>
        <w:t xml:space="preserve"> 1 </w:t>
      </w:r>
      <w:r w:rsidRPr="004C6CC5">
        <w:rPr>
          <w:rFonts w:ascii="Arial" w:hAnsi="Arial" w:cs="Arial"/>
          <w:sz w:val="20"/>
          <w:szCs w:val="20"/>
        </w:rPr>
        <w:t>pomiar</w:t>
      </w:r>
      <w:r w:rsidR="004C6CC5">
        <w:rPr>
          <w:rFonts w:ascii="Arial" w:hAnsi="Arial" w:cs="Arial"/>
          <w:sz w:val="20"/>
          <w:szCs w:val="20"/>
        </w:rPr>
        <w:t xml:space="preserve"> w </w:t>
      </w:r>
      <w:r w:rsidRPr="004C6CC5">
        <w:rPr>
          <w:rFonts w:ascii="Arial" w:hAnsi="Arial" w:cs="Arial"/>
          <w:sz w:val="20"/>
          <w:szCs w:val="20"/>
        </w:rPr>
        <w:t>tygodniu.</w:t>
      </w:r>
      <w:r w:rsidR="004C6CC5">
        <w:rPr>
          <w:rFonts w:ascii="Arial" w:hAnsi="Arial" w:cs="Arial"/>
          <w:sz w:val="20"/>
          <w:szCs w:val="20"/>
        </w:rPr>
        <w:t xml:space="preserve"> </w:t>
      </w:r>
      <w:r w:rsidR="00AE6B5A">
        <w:rPr>
          <w:rFonts w:ascii="Arial" w:hAnsi="Arial" w:cs="Arial"/>
          <w:sz w:val="20"/>
          <w:szCs w:val="20"/>
        </w:rPr>
        <w:t>W</w:t>
      </w:r>
      <w:r w:rsidR="008776AA">
        <w:rPr>
          <w:rFonts w:ascii="Arial" w:hAnsi="Arial" w:cs="Arial"/>
          <w:sz w:val="20"/>
          <w:szCs w:val="20"/>
        </w:rPr>
        <w:t xml:space="preserve"> </w:t>
      </w:r>
      <w:r w:rsidR="005B721B">
        <w:rPr>
          <w:rFonts w:ascii="Arial" w:hAnsi="Arial" w:cs="Arial"/>
          <w:sz w:val="20"/>
          <w:szCs w:val="20"/>
        </w:rPr>
        <w:t>sierpniu 2019 r.</w:t>
      </w:r>
      <w:r w:rsidRPr="004C6CC5">
        <w:rPr>
          <w:rFonts w:ascii="Arial" w:hAnsi="Arial" w:cs="Arial"/>
          <w:sz w:val="20"/>
          <w:szCs w:val="20"/>
        </w:rPr>
        <w:t xml:space="preserve"> formuła badań oceanograficznych uległa modyfikacji</w:t>
      </w:r>
      <w:r w:rsidR="008776AA">
        <w:rPr>
          <w:rFonts w:ascii="Arial" w:hAnsi="Arial" w:cs="Arial"/>
          <w:sz w:val="20"/>
          <w:szCs w:val="20"/>
        </w:rPr>
        <w:t xml:space="preserve"> i </w:t>
      </w:r>
      <w:r w:rsidR="00AE6B5A">
        <w:rPr>
          <w:rFonts w:ascii="Arial" w:hAnsi="Arial" w:cs="Arial"/>
          <w:sz w:val="20"/>
          <w:szCs w:val="20"/>
        </w:rPr>
        <w:t>od października 2019 r.</w:t>
      </w:r>
      <w:r w:rsidRPr="004C6CC5">
        <w:rPr>
          <w:rFonts w:ascii="Arial" w:hAnsi="Arial" w:cs="Arial"/>
          <w:sz w:val="20"/>
          <w:szCs w:val="20"/>
        </w:rPr>
        <w:t xml:space="preserve"> pomiary wykonywano dodatkowo</w:t>
      </w:r>
      <w:r w:rsidR="004C6CC5">
        <w:rPr>
          <w:rFonts w:ascii="Arial" w:hAnsi="Arial" w:cs="Arial"/>
          <w:sz w:val="20"/>
          <w:szCs w:val="20"/>
        </w:rPr>
        <w:t xml:space="preserve"> w </w:t>
      </w:r>
      <w:r w:rsidRPr="004C6CC5">
        <w:rPr>
          <w:rFonts w:ascii="Arial" w:hAnsi="Arial" w:cs="Arial"/>
          <w:sz w:val="20"/>
          <w:szCs w:val="20"/>
        </w:rPr>
        <w:t>zatoce Ezcurra. Oprócz sondy CTD badania morskie prowadzono również</w:t>
      </w:r>
      <w:r w:rsidR="008776AA">
        <w:rPr>
          <w:rFonts w:ascii="Arial" w:hAnsi="Arial" w:cs="Arial"/>
          <w:sz w:val="20"/>
          <w:szCs w:val="20"/>
        </w:rPr>
        <w:t xml:space="preserve"> z </w:t>
      </w:r>
      <w:r w:rsidRPr="004C6CC5">
        <w:rPr>
          <w:rFonts w:ascii="Arial" w:hAnsi="Arial" w:cs="Arial"/>
          <w:sz w:val="20"/>
          <w:szCs w:val="20"/>
        </w:rPr>
        <w:t xml:space="preserve">powietrza przy użyciu </w:t>
      </w:r>
      <w:r w:rsidRPr="004C6CC5">
        <w:rPr>
          <w:rFonts w:ascii="Arial" w:hAnsi="Arial" w:cs="Arial"/>
          <w:sz w:val="20"/>
          <w:szCs w:val="20"/>
        </w:rPr>
        <w:lastRenderedPageBreak/>
        <w:t>drona Parrot Bluegrass, wykonującego fotografie powierzchni zatoki</w:t>
      </w:r>
      <w:r w:rsidR="004C6CC5">
        <w:rPr>
          <w:rFonts w:ascii="Arial" w:hAnsi="Arial" w:cs="Arial"/>
          <w:sz w:val="20"/>
          <w:szCs w:val="20"/>
        </w:rPr>
        <w:t xml:space="preserve"> w </w:t>
      </w:r>
      <w:r w:rsidRPr="004C6CC5">
        <w:rPr>
          <w:rFonts w:ascii="Arial" w:hAnsi="Arial" w:cs="Arial"/>
          <w:sz w:val="20"/>
          <w:szCs w:val="20"/>
        </w:rPr>
        <w:t>świetle widzialnym</w:t>
      </w:r>
      <w:r w:rsidR="008776AA">
        <w:rPr>
          <w:rFonts w:ascii="Arial" w:hAnsi="Arial" w:cs="Arial"/>
          <w:sz w:val="20"/>
          <w:szCs w:val="20"/>
        </w:rPr>
        <w:t xml:space="preserve"> i </w:t>
      </w:r>
      <w:r w:rsidRPr="004C6CC5">
        <w:rPr>
          <w:rFonts w:ascii="Arial" w:hAnsi="Arial" w:cs="Arial"/>
          <w:sz w:val="20"/>
          <w:szCs w:val="20"/>
        </w:rPr>
        <w:t>bliskiej podczerwieni.</w:t>
      </w:r>
      <w:r w:rsidR="00AE6B5A">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roku 2019 wykonano 36 monitoringów.</w:t>
      </w:r>
    </w:p>
    <w:p w14:paraId="312DCEA5" w14:textId="01D9F1D8" w:rsidR="00EE754A" w:rsidRPr="00524F8F" w:rsidRDefault="00EE754A" w:rsidP="00EE754A">
      <w:pPr>
        <w:pStyle w:val="Nagwek1"/>
        <w:spacing w:before="120" w:after="120"/>
        <w:rPr>
          <w:rFonts w:ascii="Arial" w:hAnsi="Arial" w:cs="Arial"/>
          <w:b/>
          <w:color w:val="auto"/>
          <w:sz w:val="20"/>
          <w:szCs w:val="20"/>
        </w:rPr>
      </w:pPr>
      <w:bookmarkStart w:id="36" w:name="_Toc32492921"/>
      <w:bookmarkStart w:id="37" w:name="_Toc72745051"/>
      <w:r w:rsidRPr="00524F8F">
        <w:rPr>
          <w:rFonts w:ascii="Arial" w:hAnsi="Arial" w:cs="Arial"/>
          <w:b/>
          <w:color w:val="auto"/>
          <w:sz w:val="20"/>
          <w:szCs w:val="20"/>
        </w:rPr>
        <w:t>OCHRONA ŚRODOWISKA MORSKIEGO</w:t>
      </w:r>
      <w:bookmarkEnd w:id="36"/>
      <w:r w:rsidR="00FC4165">
        <w:rPr>
          <w:rFonts w:ascii="Arial" w:hAnsi="Arial" w:cs="Arial"/>
          <w:b/>
          <w:color w:val="auto"/>
          <w:sz w:val="20"/>
          <w:szCs w:val="20"/>
        </w:rPr>
        <w:t>.</w:t>
      </w:r>
      <w:bookmarkEnd w:id="37"/>
    </w:p>
    <w:p w14:paraId="2EF16F8A" w14:textId="47EDBA1E" w:rsidR="00F85765" w:rsidRDefault="00F85765" w:rsidP="008D2321">
      <w:pPr>
        <w:widowControl w:val="0"/>
        <w:autoSpaceDE w:val="0"/>
        <w:autoSpaceDN w:val="0"/>
        <w:adjustRightInd w:val="0"/>
        <w:spacing w:before="120" w:after="120" w:line="276" w:lineRule="auto"/>
        <w:jc w:val="both"/>
        <w:rPr>
          <w:rFonts w:ascii="Arial" w:hAnsi="Arial" w:cs="Arial"/>
          <w:sz w:val="20"/>
          <w:szCs w:val="20"/>
        </w:rPr>
      </w:pPr>
      <w:r w:rsidRPr="004C6CC5">
        <w:rPr>
          <w:rFonts w:ascii="Arial" w:hAnsi="Arial" w:cs="Arial"/>
          <w:sz w:val="20"/>
          <w:szCs w:val="20"/>
        </w:rPr>
        <w:t>Podstawowymi celami środowiskowymi</w:t>
      </w:r>
      <w:r w:rsidR="004C6CC5">
        <w:rPr>
          <w:rFonts w:ascii="Arial" w:hAnsi="Arial" w:cs="Arial"/>
          <w:sz w:val="20"/>
          <w:szCs w:val="20"/>
        </w:rPr>
        <w:t xml:space="preserve"> w </w:t>
      </w:r>
      <w:r w:rsidRPr="004C6CC5">
        <w:rPr>
          <w:rFonts w:ascii="Arial" w:hAnsi="Arial" w:cs="Arial"/>
          <w:sz w:val="20"/>
          <w:szCs w:val="20"/>
        </w:rPr>
        <w:t>odniesieniu do środowiska morskiego jest poprawa stanu wód morskich,</w:t>
      </w:r>
      <w:r w:rsidR="004C6CC5">
        <w:rPr>
          <w:rFonts w:ascii="Arial" w:hAnsi="Arial" w:cs="Arial"/>
          <w:sz w:val="20"/>
          <w:szCs w:val="20"/>
        </w:rPr>
        <w:t xml:space="preserve"> w </w:t>
      </w:r>
      <w:r w:rsidRPr="004C6CC5">
        <w:rPr>
          <w:rFonts w:ascii="Arial" w:hAnsi="Arial" w:cs="Arial"/>
          <w:sz w:val="20"/>
          <w:szCs w:val="20"/>
        </w:rPr>
        <w:t>szczególności poprzez ochronę</w:t>
      </w:r>
      <w:r w:rsidR="004C6CC5">
        <w:rPr>
          <w:rFonts w:ascii="Arial" w:hAnsi="Arial" w:cs="Arial"/>
          <w:sz w:val="20"/>
          <w:szCs w:val="20"/>
        </w:rPr>
        <w:t xml:space="preserve"> i </w:t>
      </w:r>
      <w:r w:rsidRPr="004C6CC5">
        <w:rPr>
          <w:rFonts w:ascii="Arial" w:hAnsi="Arial" w:cs="Arial"/>
          <w:sz w:val="20"/>
          <w:szCs w:val="20"/>
        </w:rPr>
        <w:t>zachowanie środowiska morskiego, zapobieganie jego degradacji lub, gdy jest to wykonalne, odtworzenie ekosystemów morskich na obszarach, gdzie uległy one niekorzystnemu oddziaływaniu oraz stopniową eliminację zanieczyszczenia środowiska morskiego</w:t>
      </w:r>
      <w:r w:rsidR="004C6CC5">
        <w:rPr>
          <w:rFonts w:ascii="Arial" w:hAnsi="Arial" w:cs="Arial"/>
          <w:sz w:val="20"/>
          <w:szCs w:val="20"/>
        </w:rPr>
        <w:t xml:space="preserve"> w </w:t>
      </w:r>
      <w:r w:rsidRPr="004C6CC5">
        <w:rPr>
          <w:rFonts w:ascii="Arial" w:hAnsi="Arial" w:cs="Arial"/>
          <w:sz w:val="20"/>
          <w:szCs w:val="20"/>
        </w:rPr>
        <w:t>celu wykluczenia znacznego wpływu na morską różnorodność biologiczną, ekosystemy morskie</w:t>
      </w:r>
      <w:r w:rsidR="004C6CC5">
        <w:rPr>
          <w:rFonts w:ascii="Arial" w:hAnsi="Arial" w:cs="Arial"/>
          <w:sz w:val="20"/>
          <w:szCs w:val="20"/>
        </w:rPr>
        <w:t xml:space="preserve"> i </w:t>
      </w:r>
      <w:r w:rsidRPr="004C6CC5">
        <w:rPr>
          <w:rFonts w:ascii="Arial" w:hAnsi="Arial" w:cs="Arial"/>
          <w:sz w:val="20"/>
          <w:szCs w:val="20"/>
        </w:rPr>
        <w:t>zdrowie ludzkie.</w:t>
      </w:r>
    </w:p>
    <w:p w14:paraId="7F50BAAD" w14:textId="712A50D8" w:rsidR="00F85765" w:rsidRPr="00524F8F" w:rsidRDefault="005E12D9" w:rsidP="006B0BAE">
      <w:pPr>
        <w:pStyle w:val="Nagwek2"/>
        <w:jc w:val="both"/>
        <w:rPr>
          <w:rFonts w:ascii="Arial" w:hAnsi="Arial" w:cs="Arial"/>
          <w:b/>
          <w:sz w:val="20"/>
          <w:szCs w:val="20"/>
        </w:rPr>
      </w:pPr>
      <w:bookmarkStart w:id="38" w:name="_Toc72745052"/>
      <w:r w:rsidRPr="00524F8F">
        <w:rPr>
          <w:rFonts w:ascii="Arial" w:hAnsi="Arial" w:cs="Arial"/>
          <w:b/>
          <w:color w:val="auto"/>
          <w:sz w:val="20"/>
          <w:szCs w:val="20"/>
        </w:rPr>
        <w:t>Działania</w:t>
      </w:r>
      <w:r w:rsidR="004C6CC5" w:rsidRPr="00524F8F">
        <w:rPr>
          <w:rFonts w:ascii="Arial" w:hAnsi="Arial" w:cs="Arial"/>
          <w:b/>
          <w:color w:val="auto"/>
          <w:sz w:val="20"/>
          <w:szCs w:val="20"/>
        </w:rPr>
        <w:t xml:space="preserve"> w </w:t>
      </w:r>
      <w:r w:rsidRPr="00524F8F">
        <w:rPr>
          <w:rFonts w:ascii="Arial" w:hAnsi="Arial" w:cs="Arial"/>
          <w:b/>
          <w:color w:val="auto"/>
          <w:sz w:val="20"/>
          <w:szCs w:val="20"/>
        </w:rPr>
        <w:t>ramach Ramowej Dyrektywy</w:t>
      </w:r>
      <w:r w:rsidR="004C6CC5" w:rsidRPr="00524F8F">
        <w:rPr>
          <w:rFonts w:ascii="Arial" w:hAnsi="Arial" w:cs="Arial"/>
          <w:b/>
          <w:color w:val="auto"/>
          <w:sz w:val="20"/>
          <w:szCs w:val="20"/>
        </w:rPr>
        <w:t xml:space="preserve"> w </w:t>
      </w:r>
      <w:r w:rsidRPr="00524F8F">
        <w:rPr>
          <w:rFonts w:ascii="Arial" w:hAnsi="Arial" w:cs="Arial"/>
          <w:b/>
          <w:color w:val="auto"/>
          <w:sz w:val="20"/>
          <w:szCs w:val="20"/>
        </w:rPr>
        <w:t>sprawie Strategii Morskiej</w:t>
      </w:r>
      <w:r w:rsidR="00524F8F">
        <w:rPr>
          <w:rFonts w:ascii="Arial" w:hAnsi="Arial" w:cs="Arial"/>
          <w:b/>
          <w:color w:val="auto"/>
          <w:sz w:val="20"/>
          <w:szCs w:val="20"/>
        </w:rPr>
        <w:t>.</w:t>
      </w:r>
      <w:bookmarkEnd w:id="38"/>
    </w:p>
    <w:p w14:paraId="26EB8494" w14:textId="216B6A51" w:rsidR="00C73FD2" w:rsidRPr="00FD0B65" w:rsidRDefault="005E12D9" w:rsidP="00FD0B65">
      <w:pPr>
        <w:widowControl w:val="0"/>
        <w:autoSpaceDE w:val="0"/>
        <w:autoSpaceDN w:val="0"/>
        <w:adjustRightInd w:val="0"/>
        <w:spacing w:before="120" w:after="120" w:line="276" w:lineRule="auto"/>
        <w:jc w:val="both"/>
        <w:rPr>
          <w:rFonts w:ascii="Arial" w:hAnsi="Arial" w:cs="Arial"/>
          <w:sz w:val="20"/>
          <w:szCs w:val="20"/>
        </w:rPr>
      </w:pPr>
      <w:r w:rsidRPr="00FD0B65">
        <w:rPr>
          <w:rFonts w:ascii="Arial" w:hAnsi="Arial" w:cs="Arial"/>
          <w:sz w:val="20"/>
          <w:szCs w:val="20"/>
        </w:rPr>
        <w:t xml:space="preserve">Zachowanie dobrego stanu środowiska mórz europejskich przy jednoczesnym zapewnieniu </w:t>
      </w:r>
      <w:r w:rsidR="00C75F63">
        <w:rPr>
          <w:rFonts w:ascii="Arial" w:hAnsi="Arial" w:cs="Arial"/>
          <w:sz w:val="20"/>
          <w:szCs w:val="20"/>
        </w:rPr>
        <w:t>oraz</w:t>
      </w:r>
      <w:r w:rsidRPr="00FD0B65">
        <w:rPr>
          <w:rFonts w:ascii="Arial" w:hAnsi="Arial" w:cs="Arial"/>
          <w:sz w:val="20"/>
          <w:szCs w:val="20"/>
        </w:rPr>
        <w:t xml:space="preserve"> utrzymaniu ich zasobów</w:t>
      </w:r>
      <w:r w:rsidR="004C6CC5" w:rsidRPr="00FD0B65">
        <w:rPr>
          <w:rFonts w:ascii="Arial" w:hAnsi="Arial" w:cs="Arial"/>
          <w:sz w:val="20"/>
          <w:szCs w:val="20"/>
        </w:rPr>
        <w:t xml:space="preserve"> i </w:t>
      </w:r>
      <w:r w:rsidRPr="00FD0B65">
        <w:rPr>
          <w:rFonts w:ascii="Arial" w:hAnsi="Arial" w:cs="Arial"/>
          <w:sz w:val="20"/>
          <w:szCs w:val="20"/>
        </w:rPr>
        <w:t>możliwości korzystania</w:t>
      </w:r>
      <w:r w:rsidR="004C6CC5" w:rsidRPr="00FD0B65">
        <w:rPr>
          <w:rFonts w:ascii="Arial" w:hAnsi="Arial" w:cs="Arial"/>
          <w:sz w:val="20"/>
          <w:szCs w:val="20"/>
        </w:rPr>
        <w:t xml:space="preserve"> z </w:t>
      </w:r>
      <w:r w:rsidRPr="00FD0B65">
        <w:rPr>
          <w:rFonts w:ascii="Arial" w:hAnsi="Arial" w:cs="Arial"/>
          <w:sz w:val="20"/>
          <w:szCs w:val="20"/>
        </w:rPr>
        <w:t xml:space="preserve">usług morskich to ogromne wyzwanie wymagające zintegrowanego podejścia państw </w:t>
      </w:r>
      <w:r w:rsidR="00C73FD2" w:rsidRPr="00FD0B65">
        <w:rPr>
          <w:rFonts w:ascii="Arial" w:hAnsi="Arial" w:cs="Arial"/>
          <w:sz w:val="20"/>
          <w:szCs w:val="20"/>
        </w:rPr>
        <w:t>UE</w:t>
      </w:r>
      <w:r w:rsidRPr="00FD0B65">
        <w:rPr>
          <w:rFonts w:ascii="Arial" w:hAnsi="Arial" w:cs="Arial"/>
          <w:sz w:val="20"/>
          <w:szCs w:val="20"/>
        </w:rPr>
        <w:t>.</w:t>
      </w:r>
      <w:r w:rsidR="004C6CC5" w:rsidRPr="00FD0B65">
        <w:rPr>
          <w:rFonts w:ascii="Arial" w:hAnsi="Arial" w:cs="Arial"/>
          <w:sz w:val="20"/>
          <w:szCs w:val="20"/>
        </w:rPr>
        <w:t xml:space="preserve"> </w:t>
      </w:r>
      <w:r w:rsidR="00DE0B43" w:rsidRPr="00FD0B65">
        <w:rPr>
          <w:rFonts w:ascii="Arial" w:hAnsi="Arial" w:cs="Arial"/>
          <w:sz w:val="20"/>
          <w:szCs w:val="20"/>
        </w:rPr>
        <w:t>Realizacja tego założenia odbywa się głównie poprzez zapobieganie degradacji środowiska morskiego, odtwarzanie ekosystemów morskich oraz zapobieganie i eliminowanie zanieczyszczeń środowiska morskiego, poprzez opracowanie i wdrożenie strategii morskiej, będącej zbiorem typowych instrumentów ochrony środowiska ukierunkowanych na ochronę środowiska morskiego.</w:t>
      </w:r>
    </w:p>
    <w:p w14:paraId="3C2BCEC1" w14:textId="2BB4FC55" w:rsidR="00C73FD2" w:rsidRPr="00C73FD2" w:rsidRDefault="00C73FD2" w:rsidP="00FD0B65">
      <w:pPr>
        <w:spacing w:line="276" w:lineRule="auto"/>
        <w:jc w:val="both"/>
        <w:rPr>
          <w:rFonts w:ascii="Arial" w:eastAsia="Calibri" w:hAnsi="Arial" w:cs="Arial"/>
          <w:sz w:val="20"/>
          <w:szCs w:val="20"/>
        </w:rPr>
      </w:pPr>
      <w:r w:rsidRPr="00C73FD2">
        <w:rPr>
          <w:rFonts w:ascii="Arial" w:eastAsia="Calibri" w:hAnsi="Arial" w:cs="Arial"/>
          <w:sz w:val="20"/>
          <w:szCs w:val="20"/>
        </w:rPr>
        <w:t xml:space="preserve">Dyrektywa Parlamentu Europejskiego i Rady 2008/56/WE ustanawiająca ramy działań Wspólnoty Europejskiej w dziedzinie polityki środowiska morskiego (Ramowa Dyrektywa w sprawie Strategii Morskiej - RSDM) z dnia 17 czerwca 2008 r. </w:t>
      </w:r>
      <w:r w:rsidR="00DE0B43" w:rsidRPr="00FD0B65">
        <w:rPr>
          <w:rFonts w:ascii="Arial" w:eastAsia="Calibri" w:hAnsi="Arial" w:cs="Arial"/>
          <w:sz w:val="20"/>
          <w:szCs w:val="20"/>
        </w:rPr>
        <w:t xml:space="preserve">(Dz. Urz. UE L 164 z 25.06.2008, str. 19, z późn. zm.) </w:t>
      </w:r>
      <w:r w:rsidRPr="00C73FD2">
        <w:rPr>
          <w:rFonts w:ascii="Arial" w:eastAsia="Calibri" w:hAnsi="Arial" w:cs="Arial"/>
          <w:sz w:val="20"/>
          <w:szCs w:val="20"/>
        </w:rPr>
        <w:t xml:space="preserve">została transponowana do prawodawstwa polskiego przede wszystkim poprzez ustawę z dnia </w:t>
      </w:r>
      <w:r w:rsidR="00526FB4">
        <w:rPr>
          <w:rFonts w:ascii="Arial" w:eastAsia="Calibri" w:hAnsi="Arial" w:cs="Arial"/>
          <w:sz w:val="20"/>
          <w:szCs w:val="20"/>
        </w:rPr>
        <w:br/>
      </w:r>
      <w:r w:rsidRPr="00C73FD2">
        <w:rPr>
          <w:rFonts w:ascii="Arial" w:eastAsia="Calibri" w:hAnsi="Arial" w:cs="Arial"/>
          <w:sz w:val="20"/>
          <w:szCs w:val="20"/>
        </w:rPr>
        <w:t xml:space="preserve">4 stycznia 2013 r. o zmianie ustawy - Prawo wodne oraz niektórych innych ustaw. </w:t>
      </w:r>
      <w:r w:rsidR="00DE0B43" w:rsidRPr="00FD0B65">
        <w:rPr>
          <w:rFonts w:ascii="Arial" w:eastAsia="Calibri" w:hAnsi="Arial" w:cs="Arial"/>
          <w:sz w:val="20"/>
          <w:szCs w:val="20"/>
        </w:rPr>
        <w:t xml:space="preserve">Celem dyrektywy jest osiągnięcie dobrego stanu środowiska wód morskich (Good Environmental Status - GES) do 2020 r. </w:t>
      </w:r>
      <w:r w:rsidRPr="00C73FD2">
        <w:rPr>
          <w:rFonts w:ascii="Arial" w:eastAsia="Calibri" w:hAnsi="Arial" w:cs="Arial"/>
          <w:sz w:val="20"/>
          <w:szCs w:val="20"/>
        </w:rPr>
        <w:t xml:space="preserve">Zgodnie z wymaganiami RDSM każde państwo członkowskie UE zostało zobligowane do opracowania dla swoich wód morskich strategii morskiej. Ramowa Dyrektywa w sprawie Strategii Morskiej została zmieniona Dyrektywą Komisji (UE) 2017/845 z dnia 17 maja 2017 r. ze względu na doprecyzowanie powiązań pomiędzy wskaźnikami jakości a kryteriami oceny oraz lepszymi powiązaniami elementów ekosystemu, presji antropogenicznych i oddziaływań wywieranych na środowisko morskie ze wskaźnikami jakości. </w:t>
      </w:r>
    </w:p>
    <w:p w14:paraId="12350894" w14:textId="77777777" w:rsidR="005E12D9" w:rsidRPr="004C6CC5" w:rsidRDefault="00E00B9D" w:rsidP="008D2321">
      <w:pPr>
        <w:widowControl w:val="0"/>
        <w:autoSpaceDE w:val="0"/>
        <w:autoSpaceDN w:val="0"/>
        <w:adjustRightInd w:val="0"/>
        <w:spacing w:before="120" w:after="120" w:line="276" w:lineRule="auto"/>
        <w:jc w:val="both"/>
        <w:rPr>
          <w:rFonts w:ascii="Arial" w:hAnsi="Arial" w:cs="Arial"/>
          <w:sz w:val="20"/>
          <w:szCs w:val="20"/>
        </w:rPr>
      </w:pPr>
      <w:r w:rsidRPr="004C6CC5">
        <w:rPr>
          <w:rFonts w:ascii="Arial" w:hAnsi="Arial" w:cs="Arial"/>
          <w:sz w:val="20"/>
          <w:szCs w:val="20"/>
        </w:rPr>
        <w:t>Polska uczestniczy we wdrażaniu strategii morskiej, która jest zbiorem typowych instrumentów ochrony środowiska ukierunkowanych na ochronę środowiska morskiego, na którą składają się następujące elementy:</w:t>
      </w:r>
      <w:r w:rsidR="005E12D9" w:rsidRPr="004C6CC5">
        <w:rPr>
          <w:rFonts w:ascii="Arial" w:hAnsi="Arial" w:cs="Arial"/>
          <w:sz w:val="20"/>
          <w:szCs w:val="20"/>
        </w:rPr>
        <w:t xml:space="preserve"> </w:t>
      </w:r>
    </w:p>
    <w:p w14:paraId="1796E2F2" w14:textId="77777777" w:rsidR="005E12D9" w:rsidRPr="004C6CC5" w:rsidRDefault="005E12D9" w:rsidP="003465E9">
      <w:pPr>
        <w:spacing w:before="120" w:after="120" w:line="240" w:lineRule="auto"/>
        <w:jc w:val="both"/>
        <w:rPr>
          <w:rFonts w:ascii="Arial" w:hAnsi="Arial" w:cs="Arial"/>
          <w:sz w:val="20"/>
          <w:szCs w:val="20"/>
        </w:rPr>
      </w:pPr>
      <w:r w:rsidRPr="004C6CC5">
        <w:rPr>
          <w:rFonts w:ascii="Arial" w:hAnsi="Arial" w:cs="Arial"/>
          <w:sz w:val="20"/>
          <w:szCs w:val="20"/>
        </w:rPr>
        <w:t xml:space="preserve">- </w:t>
      </w:r>
      <w:r w:rsidRPr="004C6CC5">
        <w:rPr>
          <w:rFonts w:ascii="Arial" w:eastAsiaTheme="minorEastAsia" w:hAnsi="Arial" w:cs="Arial"/>
          <w:bCs/>
          <w:sz w:val="20"/>
          <w:szCs w:val="20"/>
          <w:lang w:eastAsia="pl-PL"/>
        </w:rPr>
        <w:t xml:space="preserve">opracowanie wstępnej oceny stanu środowiska wód morskich, </w:t>
      </w:r>
    </w:p>
    <w:p w14:paraId="128D14D7" w14:textId="77777777" w:rsidR="005E12D9" w:rsidRPr="004C6CC5" w:rsidRDefault="005E12D9" w:rsidP="003465E9">
      <w:pPr>
        <w:spacing w:before="120" w:after="120" w:line="240" w:lineRule="auto"/>
        <w:jc w:val="both"/>
        <w:rPr>
          <w:rFonts w:ascii="Arial" w:hAnsi="Arial" w:cs="Arial"/>
          <w:sz w:val="20"/>
          <w:szCs w:val="20"/>
        </w:rPr>
      </w:pPr>
      <w:r w:rsidRPr="004C6CC5">
        <w:rPr>
          <w:rFonts w:ascii="Arial" w:hAnsi="Arial" w:cs="Arial"/>
          <w:sz w:val="20"/>
          <w:szCs w:val="20"/>
        </w:rPr>
        <w:t xml:space="preserve">- </w:t>
      </w:r>
      <w:r w:rsidRPr="004C6CC5">
        <w:rPr>
          <w:rFonts w:ascii="Arial" w:eastAsiaTheme="minorEastAsia" w:hAnsi="Arial" w:cs="Arial"/>
          <w:bCs/>
          <w:sz w:val="20"/>
          <w:szCs w:val="20"/>
          <w:lang w:eastAsia="pl-PL"/>
        </w:rPr>
        <w:t xml:space="preserve">opracowanie zestawu właściwości typowych dla dobrego stanu środowiska wód morskich, </w:t>
      </w:r>
    </w:p>
    <w:p w14:paraId="4965350D" w14:textId="57FC36AA" w:rsidR="005E12D9" w:rsidRPr="004C6CC5" w:rsidRDefault="005E12D9" w:rsidP="003465E9">
      <w:pPr>
        <w:spacing w:before="120" w:after="120" w:line="240" w:lineRule="auto"/>
        <w:jc w:val="both"/>
        <w:rPr>
          <w:rFonts w:ascii="Arial" w:eastAsiaTheme="minorEastAsia" w:hAnsi="Arial" w:cs="Arial"/>
          <w:bCs/>
          <w:sz w:val="20"/>
          <w:szCs w:val="20"/>
          <w:lang w:eastAsia="pl-PL"/>
        </w:rPr>
      </w:pPr>
      <w:r w:rsidRPr="004C6CC5">
        <w:rPr>
          <w:rFonts w:ascii="Arial" w:hAnsi="Arial" w:cs="Arial"/>
          <w:sz w:val="20"/>
          <w:szCs w:val="20"/>
        </w:rPr>
        <w:t xml:space="preserve">- </w:t>
      </w:r>
      <w:r w:rsidRPr="004C6CC5">
        <w:rPr>
          <w:rFonts w:ascii="Arial" w:eastAsiaTheme="minorEastAsia" w:hAnsi="Arial" w:cs="Arial"/>
          <w:bCs/>
          <w:sz w:val="20"/>
          <w:szCs w:val="20"/>
          <w:lang w:eastAsia="pl-PL"/>
        </w:rPr>
        <w:t>opracowanie zestawu celów środowiskowych dla wód morskich</w:t>
      </w:r>
      <w:r w:rsidR="004C6CC5">
        <w:rPr>
          <w:rFonts w:ascii="Arial" w:eastAsiaTheme="minorEastAsia" w:hAnsi="Arial" w:cs="Arial"/>
          <w:bCs/>
          <w:sz w:val="20"/>
          <w:szCs w:val="20"/>
          <w:lang w:eastAsia="pl-PL"/>
        </w:rPr>
        <w:t xml:space="preserve"> i </w:t>
      </w:r>
      <w:r w:rsidRPr="004C6CC5">
        <w:rPr>
          <w:rFonts w:ascii="Arial" w:eastAsiaTheme="minorEastAsia" w:hAnsi="Arial" w:cs="Arial"/>
          <w:bCs/>
          <w:sz w:val="20"/>
          <w:szCs w:val="20"/>
          <w:lang w:eastAsia="pl-PL"/>
        </w:rPr>
        <w:t>związanych</w:t>
      </w:r>
      <w:r w:rsidR="004C6CC5">
        <w:rPr>
          <w:rFonts w:ascii="Arial" w:eastAsiaTheme="minorEastAsia" w:hAnsi="Arial" w:cs="Arial"/>
          <w:bCs/>
          <w:sz w:val="20"/>
          <w:szCs w:val="20"/>
          <w:lang w:eastAsia="pl-PL"/>
        </w:rPr>
        <w:t xml:space="preserve"> z </w:t>
      </w:r>
      <w:r w:rsidRPr="004C6CC5">
        <w:rPr>
          <w:rFonts w:ascii="Arial" w:eastAsiaTheme="minorEastAsia" w:hAnsi="Arial" w:cs="Arial"/>
          <w:bCs/>
          <w:sz w:val="20"/>
          <w:szCs w:val="20"/>
          <w:lang w:eastAsia="pl-PL"/>
        </w:rPr>
        <w:t xml:space="preserve">nimi wskaźników, </w:t>
      </w:r>
    </w:p>
    <w:p w14:paraId="4AB10F5C" w14:textId="01C9EBAE" w:rsidR="005E12D9" w:rsidRPr="004C6CC5" w:rsidRDefault="005E12D9" w:rsidP="003465E9">
      <w:pPr>
        <w:spacing w:before="120" w:after="120" w:line="240" w:lineRule="auto"/>
        <w:jc w:val="both"/>
        <w:rPr>
          <w:rFonts w:ascii="Arial" w:hAnsi="Arial" w:cs="Arial"/>
          <w:sz w:val="20"/>
          <w:szCs w:val="20"/>
        </w:rPr>
      </w:pPr>
      <w:r w:rsidRPr="004C6CC5">
        <w:rPr>
          <w:rFonts w:ascii="Arial" w:hAnsi="Arial" w:cs="Arial"/>
          <w:sz w:val="20"/>
          <w:szCs w:val="20"/>
        </w:rPr>
        <w:t xml:space="preserve">- </w:t>
      </w:r>
      <w:r w:rsidRPr="004C6CC5">
        <w:rPr>
          <w:rFonts w:ascii="Arial" w:eastAsiaTheme="minorEastAsia" w:hAnsi="Arial" w:cs="Arial"/>
          <w:bCs/>
          <w:sz w:val="20"/>
          <w:szCs w:val="20"/>
          <w:lang w:eastAsia="pl-PL"/>
        </w:rPr>
        <w:t>opracowanie</w:t>
      </w:r>
      <w:r w:rsidR="004C6CC5">
        <w:rPr>
          <w:rFonts w:ascii="Arial" w:eastAsiaTheme="minorEastAsia" w:hAnsi="Arial" w:cs="Arial"/>
          <w:bCs/>
          <w:sz w:val="20"/>
          <w:szCs w:val="20"/>
          <w:lang w:eastAsia="pl-PL"/>
        </w:rPr>
        <w:t xml:space="preserve"> i </w:t>
      </w:r>
      <w:r w:rsidRPr="004C6CC5">
        <w:rPr>
          <w:rFonts w:ascii="Arial" w:eastAsiaTheme="minorEastAsia" w:hAnsi="Arial" w:cs="Arial"/>
          <w:bCs/>
          <w:sz w:val="20"/>
          <w:szCs w:val="20"/>
          <w:lang w:eastAsia="pl-PL"/>
        </w:rPr>
        <w:t xml:space="preserve">wdrożenie programu monitoringu wód morskich, </w:t>
      </w:r>
    </w:p>
    <w:p w14:paraId="05A71BE2" w14:textId="3A633679" w:rsidR="005E12D9" w:rsidRPr="004C6CC5" w:rsidRDefault="005E12D9" w:rsidP="003465E9">
      <w:pPr>
        <w:autoSpaceDE w:val="0"/>
        <w:autoSpaceDN w:val="0"/>
        <w:spacing w:before="120" w:after="120" w:line="240" w:lineRule="auto"/>
        <w:jc w:val="both"/>
        <w:rPr>
          <w:rFonts w:ascii="Arial" w:eastAsiaTheme="minorEastAsia" w:hAnsi="Arial" w:cs="Arial"/>
          <w:bCs/>
          <w:sz w:val="20"/>
          <w:szCs w:val="20"/>
          <w:lang w:eastAsia="pl-PL"/>
        </w:rPr>
      </w:pPr>
      <w:r w:rsidRPr="004C6CC5">
        <w:rPr>
          <w:rFonts w:ascii="Arial" w:eastAsiaTheme="minorEastAsia" w:hAnsi="Arial" w:cs="Arial"/>
          <w:bCs/>
          <w:sz w:val="20"/>
          <w:szCs w:val="20"/>
          <w:lang w:eastAsia="pl-PL"/>
        </w:rPr>
        <w:t>- opracowanie</w:t>
      </w:r>
      <w:r w:rsidR="004C6CC5">
        <w:rPr>
          <w:rFonts w:ascii="Arial" w:eastAsiaTheme="minorEastAsia" w:hAnsi="Arial" w:cs="Arial"/>
          <w:bCs/>
          <w:sz w:val="20"/>
          <w:szCs w:val="20"/>
          <w:lang w:eastAsia="pl-PL"/>
        </w:rPr>
        <w:t xml:space="preserve"> i </w:t>
      </w:r>
      <w:r w:rsidRPr="004C6CC5">
        <w:rPr>
          <w:rFonts w:ascii="Arial" w:eastAsiaTheme="minorEastAsia" w:hAnsi="Arial" w:cs="Arial"/>
          <w:bCs/>
          <w:sz w:val="20"/>
          <w:szCs w:val="20"/>
          <w:lang w:eastAsia="pl-PL"/>
        </w:rPr>
        <w:t xml:space="preserve">wdrożenie </w:t>
      </w:r>
      <w:r w:rsidR="00E00B9D" w:rsidRPr="004C6CC5">
        <w:rPr>
          <w:rFonts w:ascii="Arial" w:eastAsiaTheme="minorEastAsia" w:hAnsi="Arial" w:cs="Arial"/>
          <w:bCs/>
          <w:sz w:val="20"/>
          <w:szCs w:val="20"/>
          <w:lang w:eastAsia="pl-PL"/>
        </w:rPr>
        <w:t xml:space="preserve">krajowego </w:t>
      </w:r>
      <w:r w:rsidRPr="004C6CC5">
        <w:rPr>
          <w:rFonts w:ascii="Arial" w:eastAsiaTheme="minorEastAsia" w:hAnsi="Arial" w:cs="Arial"/>
          <w:bCs/>
          <w:sz w:val="20"/>
          <w:szCs w:val="20"/>
          <w:lang w:eastAsia="pl-PL"/>
        </w:rPr>
        <w:t>programu ochrony wód morskich.</w:t>
      </w:r>
    </w:p>
    <w:p w14:paraId="76E5704F" w14:textId="62B64842" w:rsidR="000773CE" w:rsidRPr="004C6CC5" w:rsidRDefault="00E00B9D" w:rsidP="008D2321">
      <w:pPr>
        <w:spacing w:after="120" w:line="276" w:lineRule="auto"/>
        <w:jc w:val="both"/>
        <w:rPr>
          <w:rFonts w:ascii="Arial" w:hAnsi="Arial" w:cs="Arial"/>
          <w:sz w:val="20"/>
          <w:szCs w:val="20"/>
        </w:rPr>
      </w:pPr>
      <w:r w:rsidRPr="004C6CC5">
        <w:rPr>
          <w:rFonts w:ascii="Arial" w:hAnsi="Arial" w:cs="Arial"/>
          <w:sz w:val="20"/>
          <w:szCs w:val="20"/>
        </w:rPr>
        <w:t>Kolejnym etapem wdrażania strategii morskiej realizowanym</w:t>
      </w:r>
      <w:r w:rsidR="004C6CC5">
        <w:rPr>
          <w:rFonts w:ascii="Arial" w:hAnsi="Arial" w:cs="Arial"/>
          <w:sz w:val="20"/>
          <w:szCs w:val="20"/>
        </w:rPr>
        <w:t xml:space="preserve"> w </w:t>
      </w:r>
      <w:r w:rsidRPr="004C6CC5">
        <w:rPr>
          <w:rFonts w:ascii="Arial" w:hAnsi="Arial" w:cs="Arial"/>
          <w:sz w:val="20"/>
          <w:szCs w:val="20"/>
        </w:rPr>
        <w:t>latach 2019-2022 jest ustanowienie zaktualizowanych programów monitoringu oraz zaprojektowanie przyszłych działań ujętych</w:t>
      </w:r>
      <w:r w:rsidR="004C6CC5">
        <w:rPr>
          <w:rFonts w:ascii="Arial" w:hAnsi="Arial" w:cs="Arial"/>
          <w:sz w:val="20"/>
          <w:szCs w:val="20"/>
        </w:rPr>
        <w:t xml:space="preserve"> w </w:t>
      </w:r>
      <w:r w:rsidRPr="004C6CC5">
        <w:rPr>
          <w:rFonts w:ascii="Arial" w:hAnsi="Arial" w:cs="Arial"/>
          <w:sz w:val="20"/>
          <w:szCs w:val="20"/>
        </w:rPr>
        <w:t xml:space="preserve">programie ochrony wód morskich, które będą minimalizować negatywny wpływ oddziaływania antropogenicznego na środowisko morskie. Przywołane powyżej aktualizacje </w:t>
      </w:r>
      <w:r w:rsidR="000773CE" w:rsidRPr="004C6CC5">
        <w:rPr>
          <w:rFonts w:ascii="Arial" w:hAnsi="Arial" w:cs="Arial"/>
          <w:sz w:val="20"/>
          <w:szCs w:val="20"/>
        </w:rPr>
        <w:t>stanowią podstawę do opracowania przez organ Inspekcji Ochrony Środowiska (G</w:t>
      </w:r>
      <w:r w:rsidR="00CA2033">
        <w:rPr>
          <w:rFonts w:ascii="Arial" w:hAnsi="Arial" w:cs="Arial"/>
          <w:sz w:val="20"/>
          <w:szCs w:val="20"/>
        </w:rPr>
        <w:t>łównego</w:t>
      </w:r>
      <w:r w:rsidR="000773CE" w:rsidRPr="004C6CC5">
        <w:rPr>
          <w:rFonts w:ascii="Arial" w:hAnsi="Arial" w:cs="Arial"/>
          <w:sz w:val="20"/>
          <w:szCs w:val="20"/>
        </w:rPr>
        <w:t xml:space="preserve"> Inspektora Ochrony Środowiska) aktualizacji progra</w:t>
      </w:r>
      <w:r w:rsidR="00C60336">
        <w:rPr>
          <w:rFonts w:ascii="Arial" w:hAnsi="Arial" w:cs="Arial"/>
          <w:sz w:val="20"/>
          <w:szCs w:val="20"/>
        </w:rPr>
        <w:t>mu monitoringu wód morskich.</w:t>
      </w:r>
      <w:r w:rsidR="005B48CB">
        <w:rPr>
          <w:rFonts w:ascii="Arial" w:hAnsi="Arial" w:cs="Arial"/>
          <w:sz w:val="20"/>
          <w:szCs w:val="20"/>
        </w:rPr>
        <w:t xml:space="preserve"> Po konsultacjach społecznych projekt aktualizacji programu monitoringu wód morskich został przekazany ministrowi właściwemu ds. gospodarki</w:t>
      </w:r>
      <w:r w:rsidR="00A50AAA">
        <w:rPr>
          <w:rFonts w:ascii="Arial" w:hAnsi="Arial" w:cs="Arial"/>
          <w:sz w:val="20"/>
          <w:szCs w:val="20"/>
        </w:rPr>
        <w:t xml:space="preserve"> morskiej do dalszego procedowania.</w:t>
      </w:r>
    </w:p>
    <w:p w14:paraId="5B128447" w14:textId="4BB94057" w:rsidR="000773CE" w:rsidRPr="004C6CC5" w:rsidRDefault="000773CE" w:rsidP="008D2321">
      <w:pPr>
        <w:spacing w:after="120" w:line="276" w:lineRule="auto"/>
        <w:jc w:val="both"/>
        <w:rPr>
          <w:rFonts w:ascii="Arial" w:hAnsi="Arial" w:cs="Arial"/>
          <w:sz w:val="20"/>
          <w:szCs w:val="20"/>
        </w:rPr>
      </w:pPr>
      <w:r w:rsidRPr="004C6CC5">
        <w:rPr>
          <w:rFonts w:ascii="Arial" w:hAnsi="Arial" w:cs="Arial"/>
          <w:sz w:val="20"/>
          <w:szCs w:val="20"/>
        </w:rPr>
        <w:t>Wskutek wyrażenia zgody Rady Ministrów na przedłożenie Komisji Europejskiej projektu aktualizacji wstępnej oceny stanu środowiska wód morskich wraz</w:t>
      </w:r>
      <w:r w:rsidR="004C6CC5">
        <w:rPr>
          <w:rFonts w:ascii="Arial" w:hAnsi="Arial" w:cs="Arial"/>
          <w:sz w:val="20"/>
          <w:szCs w:val="20"/>
        </w:rPr>
        <w:t xml:space="preserve"> z </w:t>
      </w:r>
      <w:r w:rsidRPr="004C6CC5">
        <w:rPr>
          <w:rFonts w:ascii="Arial" w:hAnsi="Arial" w:cs="Arial"/>
          <w:sz w:val="20"/>
          <w:szCs w:val="20"/>
        </w:rPr>
        <w:t xml:space="preserve">zestawem właściwości typowych dla dobrego </w:t>
      </w:r>
      <w:r w:rsidRPr="004C6CC5">
        <w:rPr>
          <w:rFonts w:ascii="Arial" w:hAnsi="Arial" w:cs="Arial"/>
          <w:sz w:val="20"/>
          <w:szCs w:val="20"/>
        </w:rPr>
        <w:lastRenderedPageBreak/>
        <w:t>stanu środowiska wód morskich oraz zestawu celów środowiskowych dla wód morskich, zgodnie</w:t>
      </w:r>
      <w:r w:rsidR="004C6CC5">
        <w:rPr>
          <w:rFonts w:ascii="Arial" w:hAnsi="Arial" w:cs="Arial"/>
          <w:sz w:val="20"/>
          <w:szCs w:val="20"/>
        </w:rPr>
        <w:t xml:space="preserve"> z </w:t>
      </w:r>
      <w:r w:rsidRPr="004C6CC5">
        <w:rPr>
          <w:rFonts w:ascii="Arial" w:hAnsi="Arial" w:cs="Arial"/>
          <w:sz w:val="20"/>
          <w:szCs w:val="20"/>
        </w:rPr>
        <w:t>przepisami ustawy</w:t>
      </w:r>
      <w:r w:rsidR="004C6CC5">
        <w:rPr>
          <w:rFonts w:ascii="Arial" w:hAnsi="Arial" w:cs="Arial"/>
          <w:sz w:val="20"/>
          <w:szCs w:val="20"/>
        </w:rPr>
        <w:t xml:space="preserve"> z </w:t>
      </w:r>
      <w:r w:rsidRPr="004C6CC5">
        <w:rPr>
          <w:rFonts w:ascii="Arial" w:hAnsi="Arial" w:cs="Arial"/>
          <w:sz w:val="20"/>
          <w:szCs w:val="20"/>
        </w:rPr>
        <w:t>dnia 20 lipca 2017</w:t>
      </w:r>
      <w:r w:rsidR="009D01B9" w:rsidRPr="004C6CC5">
        <w:rPr>
          <w:rFonts w:ascii="Arial" w:hAnsi="Arial" w:cs="Arial"/>
          <w:sz w:val="20"/>
          <w:szCs w:val="20"/>
        </w:rPr>
        <w:t xml:space="preserve"> r. </w:t>
      </w:r>
      <w:r w:rsidRPr="004C6CC5">
        <w:rPr>
          <w:rFonts w:ascii="Arial" w:hAnsi="Arial" w:cs="Arial"/>
          <w:sz w:val="20"/>
          <w:szCs w:val="20"/>
        </w:rPr>
        <w:t>- Prawo wodne, prowadzono prace nad realizacją obowiązku sprawozdawczego wynikającego</w:t>
      </w:r>
      <w:r w:rsidR="004C6CC5">
        <w:rPr>
          <w:rFonts w:ascii="Arial" w:hAnsi="Arial" w:cs="Arial"/>
          <w:sz w:val="20"/>
          <w:szCs w:val="20"/>
        </w:rPr>
        <w:t xml:space="preserve"> z </w:t>
      </w:r>
      <w:r w:rsidRPr="004C6CC5">
        <w:rPr>
          <w:rFonts w:ascii="Arial" w:hAnsi="Arial" w:cs="Arial"/>
          <w:sz w:val="20"/>
          <w:szCs w:val="20"/>
        </w:rPr>
        <w:t>przepisów dyrekty</w:t>
      </w:r>
      <w:r w:rsidR="003B49F1">
        <w:rPr>
          <w:rFonts w:ascii="Arial" w:hAnsi="Arial" w:cs="Arial"/>
          <w:sz w:val="20"/>
          <w:szCs w:val="20"/>
        </w:rPr>
        <w:t>wy RDSM, polegającym na cyklicznym</w:t>
      </w:r>
      <w:r w:rsidRPr="004C6CC5">
        <w:rPr>
          <w:rFonts w:ascii="Arial" w:hAnsi="Arial" w:cs="Arial"/>
          <w:sz w:val="20"/>
          <w:szCs w:val="20"/>
        </w:rPr>
        <w:t xml:space="preserve"> (co sześć lat) raportowaniu danych wynikających</w:t>
      </w:r>
      <w:r w:rsidR="004C6CC5">
        <w:rPr>
          <w:rFonts w:ascii="Arial" w:hAnsi="Arial" w:cs="Arial"/>
          <w:sz w:val="20"/>
          <w:szCs w:val="20"/>
        </w:rPr>
        <w:t xml:space="preserve"> z </w:t>
      </w:r>
      <w:r w:rsidRPr="004C6CC5">
        <w:rPr>
          <w:rFonts w:ascii="Arial" w:hAnsi="Arial" w:cs="Arial"/>
          <w:sz w:val="20"/>
          <w:szCs w:val="20"/>
        </w:rPr>
        <w:t>dokonanych aktualizacji do Komisji Europejskiej. Działania te zostały zakończone</w:t>
      </w:r>
      <w:r w:rsidR="004C6CC5">
        <w:rPr>
          <w:rFonts w:ascii="Arial" w:hAnsi="Arial" w:cs="Arial"/>
          <w:sz w:val="20"/>
          <w:szCs w:val="20"/>
        </w:rPr>
        <w:t xml:space="preserve"> w </w:t>
      </w:r>
      <w:r w:rsidRPr="004C6CC5">
        <w:rPr>
          <w:rFonts w:ascii="Arial" w:hAnsi="Arial" w:cs="Arial"/>
          <w:sz w:val="20"/>
          <w:szCs w:val="20"/>
        </w:rPr>
        <w:t>dniu 15 kwietnia 2019 r.</w:t>
      </w:r>
    </w:p>
    <w:p w14:paraId="7069821D" w14:textId="6E023A9E" w:rsidR="005E12D9" w:rsidRPr="00695501" w:rsidRDefault="005E12D9" w:rsidP="008D2321">
      <w:pPr>
        <w:spacing w:before="120" w:after="120" w:line="276" w:lineRule="auto"/>
        <w:jc w:val="both"/>
        <w:rPr>
          <w:rFonts w:ascii="Arial" w:hAnsi="Arial" w:cs="Arial"/>
          <w:sz w:val="20"/>
          <w:szCs w:val="20"/>
        </w:rPr>
      </w:pPr>
      <w:r w:rsidRPr="00695501">
        <w:rPr>
          <w:rFonts w:ascii="Arial" w:hAnsi="Arial" w:cs="Arial"/>
          <w:sz w:val="20"/>
          <w:szCs w:val="20"/>
        </w:rPr>
        <w:t xml:space="preserve">W ramach prac grupy </w:t>
      </w:r>
      <w:r w:rsidR="00695501" w:rsidRPr="00695501">
        <w:rPr>
          <w:rFonts w:ascii="Arial" w:hAnsi="Arial" w:cs="Arial"/>
          <w:sz w:val="20"/>
          <w:szCs w:val="20"/>
        </w:rPr>
        <w:t xml:space="preserve">RDSM </w:t>
      </w:r>
      <w:r w:rsidR="004C6CC5" w:rsidRPr="00695501">
        <w:rPr>
          <w:rFonts w:ascii="Arial" w:hAnsi="Arial" w:cs="Arial"/>
          <w:sz w:val="20"/>
          <w:szCs w:val="20"/>
        </w:rPr>
        <w:t>w </w:t>
      </w:r>
      <w:r w:rsidRPr="00695501">
        <w:rPr>
          <w:rFonts w:ascii="Arial" w:hAnsi="Arial" w:cs="Arial"/>
          <w:sz w:val="20"/>
          <w:szCs w:val="20"/>
        </w:rPr>
        <w:t>2019</w:t>
      </w:r>
      <w:r w:rsidR="009D01B9" w:rsidRPr="00695501">
        <w:rPr>
          <w:rFonts w:ascii="Arial" w:hAnsi="Arial" w:cs="Arial"/>
          <w:sz w:val="20"/>
          <w:szCs w:val="20"/>
        </w:rPr>
        <w:t xml:space="preserve"> r. </w:t>
      </w:r>
      <w:r w:rsidR="00695501" w:rsidRPr="00695501">
        <w:rPr>
          <w:rFonts w:ascii="Arial" w:hAnsi="Arial" w:cs="Arial"/>
          <w:sz w:val="20"/>
          <w:szCs w:val="20"/>
        </w:rPr>
        <w:t>uczestniczono</w:t>
      </w:r>
      <w:r w:rsidRPr="00695501">
        <w:rPr>
          <w:rFonts w:ascii="Arial" w:hAnsi="Arial" w:cs="Arial"/>
          <w:sz w:val="20"/>
          <w:szCs w:val="20"/>
        </w:rPr>
        <w:t xml:space="preserve"> </w:t>
      </w:r>
      <w:r w:rsidR="004C6CC5" w:rsidRPr="00695501">
        <w:rPr>
          <w:rFonts w:ascii="Arial" w:hAnsi="Arial" w:cs="Arial"/>
          <w:sz w:val="20"/>
          <w:szCs w:val="20"/>
        </w:rPr>
        <w:t>w </w:t>
      </w:r>
      <w:r w:rsidRPr="00695501">
        <w:rPr>
          <w:rFonts w:ascii="Arial" w:hAnsi="Arial" w:cs="Arial"/>
          <w:sz w:val="20"/>
          <w:szCs w:val="20"/>
        </w:rPr>
        <w:t>procesie wdrażania decyzji KE</w:t>
      </w:r>
      <w:r w:rsidR="004C6CC5" w:rsidRPr="00695501">
        <w:rPr>
          <w:rFonts w:ascii="Arial" w:hAnsi="Arial" w:cs="Arial"/>
          <w:sz w:val="20"/>
          <w:szCs w:val="20"/>
        </w:rPr>
        <w:t xml:space="preserve"> w </w:t>
      </w:r>
      <w:r w:rsidRPr="00695501">
        <w:rPr>
          <w:rFonts w:ascii="Arial" w:hAnsi="Arial" w:cs="Arial"/>
          <w:sz w:val="20"/>
          <w:szCs w:val="20"/>
        </w:rPr>
        <w:t>sprawie definicji</w:t>
      </w:r>
      <w:r w:rsidR="004C6CC5" w:rsidRPr="00695501">
        <w:rPr>
          <w:rFonts w:ascii="Arial" w:hAnsi="Arial" w:cs="Arial"/>
          <w:sz w:val="20"/>
          <w:szCs w:val="20"/>
        </w:rPr>
        <w:t xml:space="preserve"> i </w:t>
      </w:r>
      <w:r w:rsidRPr="00695501">
        <w:rPr>
          <w:rFonts w:ascii="Arial" w:hAnsi="Arial" w:cs="Arial"/>
          <w:sz w:val="20"/>
          <w:szCs w:val="20"/>
        </w:rPr>
        <w:t>kryteriów dobrego stanu środowiska wód morskich oraz załącznika III do dyrektywy</w:t>
      </w:r>
      <w:r w:rsidR="004C6CC5" w:rsidRPr="00695501">
        <w:rPr>
          <w:rFonts w:ascii="Arial" w:hAnsi="Arial" w:cs="Arial"/>
          <w:sz w:val="20"/>
          <w:szCs w:val="20"/>
        </w:rPr>
        <w:t xml:space="preserve"> z </w:t>
      </w:r>
      <w:r w:rsidR="00FF6341">
        <w:rPr>
          <w:rFonts w:ascii="Arial" w:hAnsi="Arial" w:cs="Arial"/>
          <w:sz w:val="20"/>
          <w:szCs w:val="20"/>
        </w:rPr>
        <w:t>17 maja 2017 r. W</w:t>
      </w:r>
      <w:r w:rsidR="004C6CC5" w:rsidRPr="00695501">
        <w:rPr>
          <w:rFonts w:ascii="Arial" w:hAnsi="Arial" w:cs="Arial"/>
          <w:sz w:val="20"/>
          <w:szCs w:val="20"/>
        </w:rPr>
        <w:t> </w:t>
      </w:r>
      <w:r w:rsidRPr="00695501">
        <w:rPr>
          <w:rFonts w:ascii="Arial" w:hAnsi="Arial" w:cs="Arial"/>
          <w:sz w:val="20"/>
          <w:szCs w:val="20"/>
        </w:rPr>
        <w:t>związku</w:t>
      </w:r>
      <w:r w:rsidR="004C6CC5" w:rsidRPr="00695501">
        <w:rPr>
          <w:rFonts w:ascii="Arial" w:hAnsi="Arial" w:cs="Arial"/>
          <w:sz w:val="20"/>
          <w:szCs w:val="20"/>
        </w:rPr>
        <w:t xml:space="preserve"> z </w:t>
      </w:r>
      <w:r w:rsidRPr="00695501">
        <w:rPr>
          <w:rFonts w:ascii="Arial" w:hAnsi="Arial" w:cs="Arial"/>
          <w:sz w:val="20"/>
          <w:szCs w:val="20"/>
        </w:rPr>
        <w:t xml:space="preserve">pracami nad </w:t>
      </w:r>
      <w:r w:rsidR="00EA0883" w:rsidRPr="00695501">
        <w:rPr>
          <w:rFonts w:ascii="Arial" w:hAnsi="Arial" w:cs="Arial"/>
          <w:sz w:val="20"/>
          <w:szCs w:val="20"/>
        </w:rPr>
        <w:t>r</w:t>
      </w:r>
      <w:r w:rsidRPr="00695501">
        <w:rPr>
          <w:rFonts w:ascii="Arial" w:hAnsi="Arial" w:cs="Arial"/>
          <w:sz w:val="20"/>
          <w:szCs w:val="20"/>
        </w:rPr>
        <w:t>aportowaniem aktualizacji programów monitoringu wód morskich państw członkowskich UE, polscy eksperci uczestniczyli</w:t>
      </w:r>
      <w:r w:rsidR="004C6CC5" w:rsidRPr="00695501">
        <w:rPr>
          <w:rFonts w:ascii="Arial" w:hAnsi="Arial" w:cs="Arial"/>
          <w:sz w:val="20"/>
          <w:szCs w:val="20"/>
        </w:rPr>
        <w:t xml:space="preserve"> w </w:t>
      </w:r>
      <w:r w:rsidRPr="00695501">
        <w:rPr>
          <w:rFonts w:ascii="Arial" w:hAnsi="Arial" w:cs="Arial"/>
          <w:sz w:val="20"/>
          <w:szCs w:val="20"/>
        </w:rPr>
        <w:t xml:space="preserve">pracach grup roboczych pod kierunkiem przedstawicieli </w:t>
      </w:r>
      <w:r w:rsidR="002233BE">
        <w:rPr>
          <w:rFonts w:ascii="Arial" w:hAnsi="Arial" w:cs="Arial"/>
          <w:sz w:val="20"/>
          <w:szCs w:val="20"/>
        </w:rPr>
        <w:t xml:space="preserve">organu doradczego KE </w:t>
      </w:r>
      <w:r w:rsidR="00920B39">
        <w:rPr>
          <w:rFonts w:ascii="Arial" w:hAnsi="Arial" w:cs="Arial"/>
          <w:sz w:val="20"/>
          <w:szCs w:val="20"/>
        </w:rPr>
        <w:t xml:space="preserve">- </w:t>
      </w:r>
      <w:r w:rsidR="002233BE">
        <w:rPr>
          <w:rFonts w:ascii="Arial" w:hAnsi="Arial" w:cs="Arial"/>
          <w:sz w:val="20"/>
          <w:szCs w:val="20"/>
        </w:rPr>
        <w:t xml:space="preserve">Wspólnego Centrum Badawczego (Joint Research Centre – </w:t>
      </w:r>
      <w:r w:rsidRPr="00695501">
        <w:rPr>
          <w:rFonts w:ascii="Arial" w:hAnsi="Arial" w:cs="Arial"/>
          <w:sz w:val="20"/>
          <w:szCs w:val="20"/>
        </w:rPr>
        <w:t>JRC</w:t>
      </w:r>
      <w:r w:rsidR="002233BE">
        <w:rPr>
          <w:rFonts w:ascii="Arial" w:hAnsi="Arial" w:cs="Arial"/>
          <w:sz w:val="20"/>
          <w:szCs w:val="20"/>
        </w:rPr>
        <w:t>)</w:t>
      </w:r>
      <w:r w:rsidR="004C6CC5" w:rsidRPr="00695501">
        <w:rPr>
          <w:rFonts w:ascii="Arial" w:hAnsi="Arial" w:cs="Arial"/>
          <w:sz w:val="20"/>
          <w:szCs w:val="20"/>
        </w:rPr>
        <w:t xml:space="preserve"> w </w:t>
      </w:r>
      <w:r w:rsidRPr="00695501">
        <w:rPr>
          <w:rFonts w:ascii="Arial" w:hAnsi="Arial" w:cs="Arial"/>
          <w:sz w:val="20"/>
          <w:szCs w:val="20"/>
        </w:rPr>
        <w:t>celu opracowaniu ujednoliconych dla regionów morskich list gatunków (dla różnorodności biologicznej</w:t>
      </w:r>
      <w:r w:rsidR="004C6CC5" w:rsidRPr="00695501">
        <w:rPr>
          <w:rFonts w:ascii="Arial" w:hAnsi="Arial" w:cs="Arial"/>
          <w:sz w:val="20"/>
          <w:szCs w:val="20"/>
        </w:rPr>
        <w:t xml:space="preserve"> i </w:t>
      </w:r>
      <w:r w:rsidRPr="00695501">
        <w:rPr>
          <w:rFonts w:ascii="Arial" w:hAnsi="Arial" w:cs="Arial"/>
          <w:sz w:val="20"/>
          <w:szCs w:val="20"/>
        </w:rPr>
        <w:t>gatunków obcych) oraz ujednoliconej listy substancji zanieczyszczających dla regionu Morza Bałtyckiego.</w:t>
      </w:r>
      <w:r w:rsidR="004D77E7" w:rsidRPr="00695501">
        <w:rPr>
          <w:rFonts w:ascii="Arial" w:hAnsi="Arial" w:cs="Arial"/>
          <w:sz w:val="20"/>
          <w:szCs w:val="20"/>
        </w:rPr>
        <w:t xml:space="preserve"> W</w:t>
      </w:r>
      <w:r w:rsidR="004C6CC5" w:rsidRPr="00695501">
        <w:rPr>
          <w:rFonts w:ascii="Arial" w:hAnsi="Arial" w:cs="Arial"/>
          <w:sz w:val="20"/>
          <w:szCs w:val="20"/>
        </w:rPr>
        <w:t> </w:t>
      </w:r>
      <w:r w:rsidR="00130CF8">
        <w:rPr>
          <w:rFonts w:ascii="Arial" w:hAnsi="Arial" w:cs="Arial"/>
          <w:sz w:val="20"/>
          <w:szCs w:val="20"/>
        </w:rPr>
        <w:t xml:space="preserve">ramach prac grupy </w:t>
      </w:r>
      <w:r w:rsidR="004B4E3C">
        <w:rPr>
          <w:rFonts w:ascii="Arial" w:hAnsi="Arial" w:cs="Arial"/>
          <w:sz w:val="20"/>
          <w:szCs w:val="20"/>
        </w:rPr>
        <w:t xml:space="preserve">WG </w:t>
      </w:r>
      <w:r w:rsidR="00130CF8">
        <w:rPr>
          <w:rFonts w:ascii="Arial" w:hAnsi="Arial" w:cs="Arial"/>
          <w:sz w:val="20"/>
          <w:szCs w:val="20"/>
        </w:rPr>
        <w:t>DIK</w:t>
      </w:r>
      <w:r w:rsidRPr="00695501">
        <w:rPr>
          <w:rFonts w:ascii="Arial" w:hAnsi="Arial" w:cs="Arial"/>
          <w:sz w:val="20"/>
          <w:szCs w:val="20"/>
        </w:rPr>
        <w:t>E rozpoczęto prace nad formularzami do raportowania aktualizacji programu monitoring wód morskich, zgodnie</w:t>
      </w:r>
      <w:r w:rsidR="004C6CC5" w:rsidRPr="00695501">
        <w:rPr>
          <w:rFonts w:ascii="Arial" w:hAnsi="Arial" w:cs="Arial"/>
          <w:sz w:val="20"/>
          <w:szCs w:val="20"/>
        </w:rPr>
        <w:t xml:space="preserve"> z </w:t>
      </w:r>
      <w:r w:rsidRPr="00695501">
        <w:rPr>
          <w:rFonts w:ascii="Arial" w:hAnsi="Arial" w:cs="Arial"/>
          <w:sz w:val="20"/>
          <w:szCs w:val="20"/>
        </w:rPr>
        <w:t>art. 11 RDSM.</w:t>
      </w:r>
    </w:p>
    <w:p w14:paraId="1AB18913" w14:textId="3FE8DAB5" w:rsidR="000773CE" w:rsidRPr="004C6CC5" w:rsidRDefault="000773CE" w:rsidP="008D2321">
      <w:pPr>
        <w:pStyle w:val="NormalnyWeb"/>
        <w:spacing w:before="0" w:beforeAutospacing="0" w:after="120" w:afterAutospacing="0" w:line="276" w:lineRule="auto"/>
        <w:jc w:val="both"/>
        <w:rPr>
          <w:rFonts w:ascii="Arial" w:hAnsi="Arial" w:cs="Arial"/>
          <w:sz w:val="20"/>
          <w:szCs w:val="20"/>
        </w:rPr>
      </w:pPr>
      <w:r w:rsidRPr="004C6CC5">
        <w:rPr>
          <w:rFonts w:ascii="Arial" w:hAnsi="Arial" w:cs="Arial"/>
          <w:sz w:val="20"/>
          <w:szCs w:val="20"/>
        </w:rPr>
        <w:t>Ministerstwo Gospodarki Morskiej</w:t>
      </w:r>
      <w:r w:rsidR="004C6CC5">
        <w:rPr>
          <w:rFonts w:ascii="Arial" w:hAnsi="Arial" w:cs="Arial"/>
          <w:sz w:val="20"/>
          <w:szCs w:val="20"/>
        </w:rPr>
        <w:t xml:space="preserve"> i </w:t>
      </w:r>
      <w:r w:rsidR="001218D3">
        <w:rPr>
          <w:rFonts w:ascii="Arial" w:hAnsi="Arial" w:cs="Arial"/>
          <w:sz w:val="20"/>
          <w:szCs w:val="20"/>
        </w:rPr>
        <w:t>Żeglugi Śródlądowej prowadziło prace</w:t>
      </w:r>
      <w:r w:rsidRPr="004C6CC5">
        <w:rPr>
          <w:rFonts w:ascii="Arial" w:hAnsi="Arial" w:cs="Arial"/>
          <w:sz w:val="20"/>
          <w:szCs w:val="20"/>
        </w:rPr>
        <w:t xml:space="preserve"> nad przyjęciem wymaganych ustawą </w:t>
      </w:r>
      <w:r w:rsidR="00951696">
        <w:rPr>
          <w:rFonts w:ascii="Arial" w:hAnsi="Arial" w:cs="Arial"/>
          <w:sz w:val="20"/>
          <w:szCs w:val="20"/>
        </w:rPr>
        <w:t xml:space="preserve">- </w:t>
      </w:r>
      <w:r w:rsidRPr="004C6CC5">
        <w:rPr>
          <w:rFonts w:ascii="Arial" w:hAnsi="Arial" w:cs="Arial"/>
          <w:sz w:val="20"/>
          <w:szCs w:val="20"/>
        </w:rPr>
        <w:t>Prawo wodne rozporządzeń</w:t>
      </w:r>
      <w:r w:rsidR="004C6CC5">
        <w:rPr>
          <w:rFonts w:ascii="Arial" w:hAnsi="Arial" w:cs="Arial"/>
          <w:sz w:val="20"/>
          <w:szCs w:val="20"/>
        </w:rPr>
        <w:t xml:space="preserve"> w </w:t>
      </w:r>
      <w:r w:rsidRPr="004C6CC5">
        <w:rPr>
          <w:rFonts w:ascii="Arial" w:hAnsi="Arial" w:cs="Arial"/>
          <w:sz w:val="20"/>
          <w:szCs w:val="20"/>
        </w:rPr>
        <w:t>sprawie przyjęcia aktualizacji zestawu właściwości typowych dla dobrego stanu środowiska morskiego oraz</w:t>
      </w:r>
      <w:r w:rsidR="004C6CC5">
        <w:rPr>
          <w:rFonts w:ascii="Arial" w:hAnsi="Arial" w:cs="Arial"/>
          <w:sz w:val="20"/>
          <w:szCs w:val="20"/>
        </w:rPr>
        <w:t xml:space="preserve"> w </w:t>
      </w:r>
      <w:r w:rsidRPr="004C6CC5">
        <w:rPr>
          <w:rFonts w:ascii="Arial" w:hAnsi="Arial" w:cs="Arial"/>
          <w:sz w:val="20"/>
          <w:szCs w:val="20"/>
        </w:rPr>
        <w:t>sprawie pr</w:t>
      </w:r>
      <w:r w:rsidR="00480D36">
        <w:rPr>
          <w:rFonts w:ascii="Arial" w:hAnsi="Arial" w:cs="Arial"/>
          <w:sz w:val="20"/>
          <w:szCs w:val="20"/>
        </w:rPr>
        <w:t>zyjęcia aktualizacji celów środowisk</w:t>
      </w:r>
      <w:r w:rsidRPr="004C6CC5">
        <w:rPr>
          <w:rFonts w:ascii="Arial" w:hAnsi="Arial" w:cs="Arial"/>
          <w:sz w:val="20"/>
          <w:szCs w:val="20"/>
        </w:rPr>
        <w:t xml:space="preserve">owych dla wód morskich, których przyjęcie zaplanowane </w:t>
      </w:r>
      <w:r w:rsidR="00563F8D">
        <w:rPr>
          <w:rFonts w:ascii="Arial" w:hAnsi="Arial" w:cs="Arial"/>
          <w:sz w:val="20"/>
          <w:szCs w:val="20"/>
        </w:rPr>
        <w:t>było</w:t>
      </w:r>
      <w:r w:rsidRPr="004C6CC5">
        <w:rPr>
          <w:rFonts w:ascii="Arial" w:hAnsi="Arial" w:cs="Arial"/>
          <w:sz w:val="20"/>
          <w:szCs w:val="20"/>
        </w:rPr>
        <w:t xml:space="preserve"> na II kwartał 2020</w:t>
      </w:r>
      <w:r w:rsidR="009D01B9" w:rsidRPr="004C6CC5">
        <w:rPr>
          <w:rFonts w:ascii="Arial" w:hAnsi="Arial" w:cs="Arial"/>
          <w:sz w:val="20"/>
          <w:szCs w:val="20"/>
        </w:rPr>
        <w:t xml:space="preserve"> r. </w:t>
      </w:r>
    </w:p>
    <w:p w14:paraId="27E45F2B" w14:textId="396A67FF" w:rsidR="000773CE" w:rsidRPr="004C6CC5" w:rsidRDefault="00773241" w:rsidP="00B72395">
      <w:pPr>
        <w:spacing w:before="120" w:after="120" w:line="276" w:lineRule="auto"/>
        <w:jc w:val="both"/>
        <w:rPr>
          <w:rFonts w:ascii="Arial" w:hAnsi="Arial" w:cs="Arial"/>
          <w:sz w:val="20"/>
          <w:szCs w:val="20"/>
        </w:rPr>
      </w:pPr>
      <w:r>
        <w:rPr>
          <w:rFonts w:ascii="Arial" w:hAnsi="Arial" w:cs="Arial"/>
          <w:sz w:val="20"/>
          <w:szCs w:val="20"/>
        </w:rPr>
        <w:t xml:space="preserve">W dniu </w:t>
      </w:r>
      <w:r w:rsidR="000773CE" w:rsidRPr="004C6CC5">
        <w:rPr>
          <w:rFonts w:ascii="Arial" w:hAnsi="Arial" w:cs="Arial"/>
          <w:sz w:val="20"/>
          <w:szCs w:val="20"/>
        </w:rPr>
        <w:t>18 stycznia 2019</w:t>
      </w:r>
      <w:r w:rsidR="009D01B9" w:rsidRPr="004C6CC5">
        <w:rPr>
          <w:rFonts w:ascii="Arial" w:hAnsi="Arial" w:cs="Arial"/>
          <w:sz w:val="20"/>
          <w:szCs w:val="20"/>
        </w:rPr>
        <w:t xml:space="preserve"> r. </w:t>
      </w:r>
      <w:r w:rsidR="000773CE" w:rsidRPr="004C6CC5">
        <w:rPr>
          <w:rFonts w:ascii="Arial" w:hAnsi="Arial" w:cs="Arial"/>
          <w:sz w:val="20"/>
          <w:szCs w:val="20"/>
        </w:rPr>
        <w:t>Rada Ministrów przyjęła projekt uchwały Rady Ministrów</w:t>
      </w:r>
      <w:r w:rsidR="004C6CC5">
        <w:rPr>
          <w:rFonts w:ascii="Arial" w:hAnsi="Arial" w:cs="Arial"/>
          <w:sz w:val="20"/>
          <w:szCs w:val="20"/>
        </w:rPr>
        <w:t xml:space="preserve"> w </w:t>
      </w:r>
      <w:r w:rsidR="000773CE" w:rsidRPr="004C6CC5">
        <w:rPr>
          <w:rFonts w:ascii="Arial" w:hAnsi="Arial" w:cs="Arial"/>
          <w:sz w:val="20"/>
          <w:szCs w:val="20"/>
        </w:rPr>
        <w:t>sprawie wyrażenia zgody na przedłożenie Komisji Europejskiej aktualizacji wstępnej oceny stanu środowiska wód morskich wraz</w:t>
      </w:r>
      <w:r w:rsidR="004C6CC5">
        <w:rPr>
          <w:rFonts w:ascii="Arial" w:hAnsi="Arial" w:cs="Arial"/>
          <w:sz w:val="20"/>
          <w:szCs w:val="20"/>
        </w:rPr>
        <w:t xml:space="preserve"> z </w:t>
      </w:r>
      <w:r w:rsidR="000773CE" w:rsidRPr="004C6CC5">
        <w:rPr>
          <w:rFonts w:ascii="Arial" w:hAnsi="Arial" w:cs="Arial"/>
          <w:sz w:val="20"/>
          <w:szCs w:val="20"/>
        </w:rPr>
        <w:t xml:space="preserve">projektem aktualizacji zestawu właściwości typowych dla dobrego stanu środowiska wód morskich. </w:t>
      </w:r>
    </w:p>
    <w:p w14:paraId="7F23B01C" w14:textId="6B430045" w:rsidR="000773CE" w:rsidRPr="004C6CC5" w:rsidRDefault="00773241" w:rsidP="00B72395">
      <w:pPr>
        <w:spacing w:before="120" w:after="120" w:line="276" w:lineRule="auto"/>
        <w:jc w:val="both"/>
        <w:rPr>
          <w:rFonts w:ascii="Arial" w:hAnsi="Arial" w:cs="Arial"/>
          <w:sz w:val="20"/>
          <w:szCs w:val="20"/>
        </w:rPr>
      </w:pPr>
      <w:r>
        <w:rPr>
          <w:rFonts w:ascii="Arial" w:hAnsi="Arial" w:cs="Arial"/>
          <w:sz w:val="20"/>
          <w:szCs w:val="20"/>
        </w:rPr>
        <w:t xml:space="preserve">W dniu </w:t>
      </w:r>
      <w:r w:rsidR="000773CE" w:rsidRPr="004C6CC5">
        <w:rPr>
          <w:rFonts w:ascii="Arial" w:hAnsi="Arial" w:cs="Arial"/>
          <w:sz w:val="20"/>
          <w:szCs w:val="20"/>
        </w:rPr>
        <w:t>13 lutego 2019</w:t>
      </w:r>
      <w:r w:rsidR="009D01B9" w:rsidRPr="004C6CC5">
        <w:rPr>
          <w:rFonts w:ascii="Arial" w:hAnsi="Arial" w:cs="Arial"/>
          <w:sz w:val="20"/>
          <w:szCs w:val="20"/>
        </w:rPr>
        <w:t xml:space="preserve"> r.</w:t>
      </w:r>
      <w:r w:rsidR="004C6CC5">
        <w:rPr>
          <w:rFonts w:ascii="Arial" w:hAnsi="Arial" w:cs="Arial"/>
          <w:sz w:val="20"/>
          <w:szCs w:val="20"/>
        </w:rPr>
        <w:t xml:space="preserve"> w </w:t>
      </w:r>
      <w:r w:rsidR="000773CE" w:rsidRPr="004C6CC5">
        <w:rPr>
          <w:rFonts w:ascii="Arial" w:hAnsi="Arial" w:cs="Arial"/>
          <w:sz w:val="20"/>
          <w:szCs w:val="20"/>
        </w:rPr>
        <w:t>Monitorze Polskim została opublikowana uchwała Rady Ministrów nr 170</w:t>
      </w:r>
      <w:r w:rsidR="004C6CC5">
        <w:rPr>
          <w:rFonts w:ascii="Arial" w:hAnsi="Arial" w:cs="Arial"/>
          <w:sz w:val="20"/>
          <w:szCs w:val="20"/>
        </w:rPr>
        <w:t xml:space="preserve"> z </w:t>
      </w:r>
      <w:r w:rsidR="000773CE" w:rsidRPr="004C6CC5">
        <w:rPr>
          <w:rFonts w:ascii="Arial" w:hAnsi="Arial" w:cs="Arial"/>
          <w:sz w:val="20"/>
          <w:szCs w:val="20"/>
        </w:rPr>
        <w:t>dnia 15 listopada 2018</w:t>
      </w:r>
      <w:r w:rsidR="009D01B9" w:rsidRPr="004C6CC5">
        <w:rPr>
          <w:rFonts w:ascii="Arial" w:hAnsi="Arial" w:cs="Arial"/>
          <w:sz w:val="20"/>
          <w:szCs w:val="20"/>
        </w:rPr>
        <w:t xml:space="preserve"> r.</w:t>
      </w:r>
      <w:r w:rsidR="004C6CC5">
        <w:rPr>
          <w:rFonts w:ascii="Arial" w:hAnsi="Arial" w:cs="Arial"/>
          <w:sz w:val="20"/>
          <w:szCs w:val="20"/>
        </w:rPr>
        <w:t xml:space="preserve"> w </w:t>
      </w:r>
      <w:r w:rsidR="000773CE" w:rsidRPr="004C6CC5">
        <w:rPr>
          <w:rFonts w:ascii="Arial" w:hAnsi="Arial" w:cs="Arial"/>
          <w:sz w:val="20"/>
          <w:szCs w:val="20"/>
        </w:rPr>
        <w:t>sprawie wyrażenia zgody na przedłożenie Komisji Europejskiej projektu aktualizacji zestawu celów ś</w:t>
      </w:r>
      <w:r w:rsidR="00695501">
        <w:rPr>
          <w:rFonts w:ascii="Arial" w:hAnsi="Arial" w:cs="Arial"/>
          <w:sz w:val="20"/>
          <w:szCs w:val="20"/>
        </w:rPr>
        <w:t xml:space="preserve">rodowiskowych dla wód morskich. </w:t>
      </w:r>
      <w:r w:rsidR="000773CE" w:rsidRPr="004C6CC5">
        <w:rPr>
          <w:rFonts w:ascii="Arial" w:hAnsi="Arial" w:cs="Arial"/>
          <w:sz w:val="20"/>
          <w:szCs w:val="20"/>
        </w:rPr>
        <w:t>Opracowana aktualizacja została ostatecznie zaraportowana do systemu Komisji Europejskiej</w:t>
      </w:r>
      <w:r w:rsidR="004C6CC5">
        <w:rPr>
          <w:rFonts w:ascii="Arial" w:hAnsi="Arial" w:cs="Arial"/>
          <w:sz w:val="20"/>
          <w:szCs w:val="20"/>
        </w:rPr>
        <w:t xml:space="preserve"> w </w:t>
      </w:r>
      <w:r w:rsidR="000773CE" w:rsidRPr="004C6CC5">
        <w:rPr>
          <w:rFonts w:ascii="Arial" w:hAnsi="Arial" w:cs="Arial"/>
          <w:sz w:val="20"/>
          <w:szCs w:val="20"/>
        </w:rPr>
        <w:t>wymaganej formie (w postaci raportów tekstowych oraz formularzy raportowych)</w:t>
      </w:r>
      <w:r w:rsidR="004C6CC5">
        <w:rPr>
          <w:rFonts w:ascii="Arial" w:hAnsi="Arial" w:cs="Arial"/>
          <w:sz w:val="20"/>
          <w:szCs w:val="20"/>
        </w:rPr>
        <w:t xml:space="preserve"> w </w:t>
      </w:r>
      <w:r w:rsidR="000773CE" w:rsidRPr="004C6CC5">
        <w:rPr>
          <w:rFonts w:ascii="Arial" w:hAnsi="Arial" w:cs="Arial"/>
          <w:sz w:val="20"/>
          <w:szCs w:val="20"/>
        </w:rPr>
        <w:t>dniu 30 maja 2019</w:t>
      </w:r>
      <w:r w:rsidR="009D01B9" w:rsidRPr="004C6CC5">
        <w:rPr>
          <w:rFonts w:ascii="Arial" w:hAnsi="Arial" w:cs="Arial"/>
          <w:sz w:val="20"/>
          <w:szCs w:val="20"/>
        </w:rPr>
        <w:t xml:space="preserve"> r.</w:t>
      </w:r>
      <w:r w:rsidR="00C62272">
        <w:rPr>
          <w:rFonts w:ascii="Arial" w:hAnsi="Arial" w:cs="Arial"/>
          <w:sz w:val="20"/>
          <w:szCs w:val="20"/>
        </w:rPr>
        <w:t xml:space="preserve"> W</w:t>
      </w:r>
      <w:r w:rsidR="004C6CC5">
        <w:rPr>
          <w:rFonts w:ascii="Arial" w:hAnsi="Arial" w:cs="Arial"/>
          <w:sz w:val="20"/>
          <w:szCs w:val="20"/>
        </w:rPr>
        <w:t> </w:t>
      </w:r>
      <w:r w:rsidR="000773CE" w:rsidRPr="004C6CC5">
        <w:rPr>
          <w:rFonts w:ascii="Arial" w:hAnsi="Arial" w:cs="Arial"/>
          <w:sz w:val="20"/>
          <w:szCs w:val="20"/>
        </w:rPr>
        <w:t>terminie 6 miesięcy od tej daty Komisja nie odrzuciła dokumentu.</w:t>
      </w:r>
    </w:p>
    <w:p w14:paraId="17282AEB" w14:textId="043BB405" w:rsidR="000773CE" w:rsidRPr="004C6CC5" w:rsidRDefault="000773CE" w:rsidP="00B72395">
      <w:pPr>
        <w:spacing w:before="120" w:after="120" w:line="276" w:lineRule="auto"/>
        <w:jc w:val="both"/>
        <w:rPr>
          <w:rFonts w:ascii="Arial" w:hAnsi="Arial" w:cs="Arial"/>
          <w:sz w:val="20"/>
          <w:szCs w:val="20"/>
        </w:rPr>
      </w:pPr>
      <w:r w:rsidRPr="004C6CC5">
        <w:rPr>
          <w:rFonts w:ascii="Arial" w:hAnsi="Arial" w:cs="Arial"/>
          <w:sz w:val="20"/>
          <w:szCs w:val="20"/>
        </w:rPr>
        <w:t>W grudniu 2019</w:t>
      </w:r>
      <w:r w:rsidR="009D01B9" w:rsidRPr="004C6CC5">
        <w:rPr>
          <w:rFonts w:ascii="Arial" w:hAnsi="Arial" w:cs="Arial"/>
          <w:sz w:val="20"/>
          <w:szCs w:val="20"/>
        </w:rPr>
        <w:t xml:space="preserve"> r. </w:t>
      </w:r>
      <w:r w:rsidRPr="004C6CC5">
        <w:rPr>
          <w:rFonts w:ascii="Arial" w:hAnsi="Arial" w:cs="Arial"/>
          <w:sz w:val="20"/>
          <w:szCs w:val="20"/>
        </w:rPr>
        <w:t>rozporządzenie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004C6CC5">
        <w:rPr>
          <w:rFonts w:ascii="Arial" w:hAnsi="Arial" w:cs="Arial"/>
          <w:sz w:val="20"/>
          <w:szCs w:val="20"/>
        </w:rPr>
        <w:t xml:space="preserve"> w </w:t>
      </w:r>
      <w:r w:rsidRPr="004C6CC5">
        <w:rPr>
          <w:rFonts w:ascii="Arial" w:hAnsi="Arial" w:cs="Arial"/>
          <w:sz w:val="20"/>
          <w:szCs w:val="20"/>
        </w:rPr>
        <w:t>sprawie przyjęcia zestawu celów środowiskowych dla wód morskich zostało zgłoszone do wykazu prac legislacyjnych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p>
    <w:p w14:paraId="7B033FE0" w14:textId="3D828662" w:rsidR="000773CE" w:rsidRPr="004C6CC5" w:rsidRDefault="00773241" w:rsidP="00AC5185">
      <w:pPr>
        <w:pStyle w:val="NormalnyWeb"/>
        <w:spacing w:before="0" w:beforeAutospacing="0" w:after="120" w:afterAutospacing="0" w:line="276" w:lineRule="auto"/>
        <w:jc w:val="both"/>
        <w:rPr>
          <w:rFonts w:ascii="Arial" w:hAnsi="Arial" w:cs="Arial"/>
          <w:sz w:val="20"/>
          <w:szCs w:val="20"/>
        </w:rPr>
      </w:pPr>
      <w:r>
        <w:rPr>
          <w:rFonts w:ascii="Arial" w:hAnsi="Arial" w:cs="Arial"/>
          <w:sz w:val="20"/>
          <w:szCs w:val="20"/>
        </w:rPr>
        <w:t xml:space="preserve">W dniu </w:t>
      </w:r>
      <w:r w:rsidR="000773CE" w:rsidRPr="004C6CC5">
        <w:rPr>
          <w:rFonts w:ascii="Arial" w:hAnsi="Arial" w:cs="Arial"/>
          <w:sz w:val="20"/>
          <w:szCs w:val="20"/>
        </w:rPr>
        <w:t>13 marca 2019</w:t>
      </w:r>
      <w:r w:rsidR="009D01B9" w:rsidRPr="004C6CC5">
        <w:rPr>
          <w:rFonts w:ascii="Arial" w:hAnsi="Arial" w:cs="Arial"/>
          <w:sz w:val="20"/>
          <w:szCs w:val="20"/>
        </w:rPr>
        <w:t xml:space="preserve"> r.</w:t>
      </w:r>
      <w:r w:rsidR="004C6CC5">
        <w:rPr>
          <w:rFonts w:ascii="Arial" w:hAnsi="Arial" w:cs="Arial"/>
          <w:sz w:val="20"/>
          <w:szCs w:val="20"/>
        </w:rPr>
        <w:t xml:space="preserve"> w </w:t>
      </w:r>
      <w:r w:rsidR="000773CE" w:rsidRPr="004C6CC5">
        <w:rPr>
          <w:rFonts w:ascii="Arial" w:hAnsi="Arial" w:cs="Arial"/>
          <w:sz w:val="20"/>
          <w:szCs w:val="20"/>
        </w:rPr>
        <w:t xml:space="preserve">Monitorze Polskim została opublikowana uchwała Rady Ministrów nr 8 </w:t>
      </w:r>
      <w:r w:rsidR="000773CE" w:rsidRPr="004C6CC5">
        <w:rPr>
          <w:rFonts w:ascii="Arial" w:hAnsi="Arial" w:cs="Arial"/>
          <w:sz w:val="20"/>
          <w:szCs w:val="20"/>
        </w:rPr>
        <w:br/>
        <w:t>z dnia 18 stycznia 2019</w:t>
      </w:r>
      <w:r w:rsidR="009D01B9" w:rsidRPr="004C6CC5">
        <w:rPr>
          <w:rFonts w:ascii="Arial" w:hAnsi="Arial" w:cs="Arial"/>
          <w:sz w:val="20"/>
          <w:szCs w:val="20"/>
        </w:rPr>
        <w:t xml:space="preserve"> r.</w:t>
      </w:r>
      <w:r w:rsidR="004C6CC5">
        <w:rPr>
          <w:rFonts w:ascii="Arial" w:hAnsi="Arial" w:cs="Arial"/>
          <w:sz w:val="20"/>
          <w:szCs w:val="20"/>
        </w:rPr>
        <w:t xml:space="preserve"> w </w:t>
      </w:r>
      <w:r w:rsidR="000773CE" w:rsidRPr="004C6CC5">
        <w:rPr>
          <w:rFonts w:ascii="Arial" w:hAnsi="Arial" w:cs="Arial"/>
          <w:sz w:val="20"/>
          <w:szCs w:val="20"/>
        </w:rPr>
        <w:t>sprawie wyrażenia zgody na przedłożenie Komisji Europejskiej projektu aktualizacji wstępnej oceny stanu środowiska wód morskich wraz</w:t>
      </w:r>
      <w:r w:rsidR="004C6CC5">
        <w:rPr>
          <w:rFonts w:ascii="Arial" w:hAnsi="Arial" w:cs="Arial"/>
          <w:sz w:val="20"/>
          <w:szCs w:val="20"/>
        </w:rPr>
        <w:t xml:space="preserve"> z </w:t>
      </w:r>
      <w:r w:rsidR="000773CE" w:rsidRPr="004C6CC5">
        <w:rPr>
          <w:rFonts w:ascii="Arial" w:hAnsi="Arial" w:cs="Arial"/>
          <w:sz w:val="20"/>
          <w:szCs w:val="20"/>
        </w:rPr>
        <w:t>projektem aktualizacji zestawu właściwości typowych dla dobrego stanu środowiska wód morskich. Opracowana aktualizacja została ostatecznie zaraportowana do systemu Komisji Europejskiej</w:t>
      </w:r>
      <w:r w:rsidR="004C6CC5">
        <w:rPr>
          <w:rFonts w:ascii="Arial" w:hAnsi="Arial" w:cs="Arial"/>
          <w:sz w:val="20"/>
          <w:szCs w:val="20"/>
        </w:rPr>
        <w:t xml:space="preserve"> w </w:t>
      </w:r>
      <w:r w:rsidR="000773CE" w:rsidRPr="004C6CC5">
        <w:rPr>
          <w:rFonts w:ascii="Arial" w:hAnsi="Arial" w:cs="Arial"/>
          <w:sz w:val="20"/>
          <w:szCs w:val="20"/>
        </w:rPr>
        <w:t>wymaganej formie (w postaci raportów tekstowych oraz formularzy raportowych)</w:t>
      </w:r>
      <w:r w:rsidR="004C6CC5">
        <w:rPr>
          <w:rFonts w:ascii="Arial" w:hAnsi="Arial" w:cs="Arial"/>
          <w:sz w:val="20"/>
          <w:szCs w:val="20"/>
        </w:rPr>
        <w:t xml:space="preserve"> w </w:t>
      </w:r>
      <w:r w:rsidR="000773CE" w:rsidRPr="004C6CC5">
        <w:rPr>
          <w:rFonts w:ascii="Arial" w:hAnsi="Arial" w:cs="Arial"/>
          <w:sz w:val="20"/>
          <w:szCs w:val="20"/>
        </w:rPr>
        <w:t>dniu 30 maja 2019</w:t>
      </w:r>
      <w:r w:rsidR="009D01B9" w:rsidRPr="004C6CC5">
        <w:rPr>
          <w:rFonts w:ascii="Arial" w:hAnsi="Arial" w:cs="Arial"/>
          <w:sz w:val="20"/>
          <w:szCs w:val="20"/>
        </w:rPr>
        <w:t xml:space="preserve"> r.</w:t>
      </w:r>
      <w:r w:rsidR="00C62272">
        <w:rPr>
          <w:rFonts w:ascii="Arial" w:hAnsi="Arial" w:cs="Arial"/>
          <w:sz w:val="20"/>
          <w:szCs w:val="20"/>
        </w:rPr>
        <w:t xml:space="preserve"> W</w:t>
      </w:r>
      <w:r w:rsidR="004C6CC5">
        <w:rPr>
          <w:rFonts w:ascii="Arial" w:hAnsi="Arial" w:cs="Arial"/>
          <w:sz w:val="20"/>
          <w:szCs w:val="20"/>
        </w:rPr>
        <w:t> </w:t>
      </w:r>
      <w:r w:rsidR="000773CE" w:rsidRPr="004C6CC5">
        <w:rPr>
          <w:rFonts w:ascii="Arial" w:hAnsi="Arial" w:cs="Arial"/>
          <w:sz w:val="20"/>
          <w:szCs w:val="20"/>
        </w:rPr>
        <w:t xml:space="preserve">terminie 6 miesięcy od tej daty Komisja nie odrzuciła dokumentu. </w:t>
      </w:r>
    </w:p>
    <w:p w14:paraId="46B671A8" w14:textId="2A525CE9" w:rsidR="000773CE" w:rsidRPr="00AC5185" w:rsidRDefault="000773CE" w:rsidP="00AC5185">
      <w:pPr>
        <w:pStyle w:val="NormalnyWeb"/>
        <w:spacing w:before="0" w:beforeAutospacing="0" w:after="120" w:afterAutospacing="0" w:line="276" w:lineRule="auto"/>
        <w:jc w:val="both"/>
        <w:rPr>
          <w:rFonts w:ascii="Arial" w:hAnsi="Arial" w:cs="Arial"/>
          <w:sz w:val="20"/>
          <w:szCs w:val="20"/>
        </w:rPr>
      </w:pPr>
      <w:r w:rsidRPr="00AC5185">
        <w:rPr>
          <w:rFonts w:ascii="Arial" w:hAnsi="Arial" w:cs="Arial"/>
          <w:sz w:val="20"/>
          <w:szCs w:val="20"/>
        </w:rPr>
        <w:t xml:space="preserve">W grudniu 2019 </w:t>
      </w:r>
      <w:r w:rsidR="00615838" w:rsidRPr="00AC5185">
        <w:rPr>
          <w:rFonts w:ascii="Arial" w:hAnsi="Arial" w:cs="Arial"/>
          <w:sz w:val="20"/>
          <w:szCs w:val="20"/>
        </w:rPr>
        <w:t xml:space="preserve">r. </w:t>
      </w:r>
      <w:r w:rsidRPr="00AC5185">
        <w:rPr>
          <w:rFonts w:ascii="Arial" w:hAnsi="Arial" w:cs="Arial"/>
          <w:sz w:val="20"/>
          <w:szCs w:val="20"/>
        </w:rPr>
        <w:t>rozporządzenie Ministra Gospodarki Morskiej</w:t>
      </w:r>
      <w:r w:rsidR="004C6CC5" w:rsidRPr="00AC5185">
        <w:rPr>
          <w:rFonts w:ascii="Arial" w:hAnsi="Arial" w:cs="Arial"/>
          <w:sz w:val="20"/>
          <w:szCs w:val="20"/>
        </w:rPr>
        <w:t xml:space="preserve"> i </w:t>
      </w:r>
      <w:r w:rsidRPr="00AC5185">
        <w:rPr>
          <w:rFonts w:ascii="Arial" w:hAnsi="Arial" w:cs="Arial"/>
          <w:sz w:val="20"/>
          <w:szCs w:val="20"/>
        </w:rPr>
        <w:t>Żeglugi Śródlądowej</w:t>
      </w:r>
      <w:r w:rsidR="004C6CC5" w:rsidRPr="00AC5185">
        <w:rPr>
          <w:rFonts w:ascii="Arial" w:hAnsi="Arial" w:cs="Arial"/>
          <w:sz w:val="20"/>
          <w:szCs w:val="20"/>
        </w:rPr>
        <w:t xml:space="preserve"> w </w:t>
      </w:r>
      <w:r w:rsidRPr="00AC5185">
        <w:rPr>
          <w:rFonts w:ascii="Arial" w:hAnsi="Arial" w:cs="Arial"/>
          <w:sz w:val="20"/>
          <w:szCs w:val="20"/>
        </w:rPr>
        <w:t>sprawie przyjęcia zestawu właściwości typowych dla dobrego stanu środowiska wód morskich zostało</w:t>
      </w:r>
      <w:r w:rsidR="00EA0883" w:rsidRPr="00AC5185">
        <w:rPr>
          <w:rFonts w:ascii="Arial" w:hAnsi="Arial" w:cs="Arial"/>
          <w:sz w:val="20"/>
          <w:szCs w:val="20"/>
        </w:rPr>
        <w:t xml:space="preserve"> </w:t>
      </w:r>
      <w:r w:rsidRPr="00AC5185">
        <w:rPr>
          <w:rFonts w:ascii="Arial" w:hAnsi="Arial" w:cs="Arial"/>
          <w:sz w:val="20"/>
          <w:szCs w:val="20"/>
        </w:rPr>
        <w:t>zgłoszone do wykazu prac legislacyjnych Ministra Gospodarki Morskiej</w:t>
      </w:r>
      <w:r w:rsidR="004C6CC5" w:rsidRPr="00AC5185">
        <w:rPr>
          <w:rFonts w:ascii="Arial" w:hAnsi="Arial" w:cs="Arial"/>
          <w:sz w:val="20"/>
          <w:szCs w:val="20"/>
        </w:rPr>
        <w:t xml:space="preserve"> i </w:t>
      </w:r>
      <w:r w:rsidRPr="00AC5185">
        <w:rPr>
          <w:rFonts w:ascii="Arial" w:hAnsi="Arial" w:cs="Arial"/>
          <w:sz w:val="20"/>
          <w:szCs w:val="20"/>
        </w:rPr>
        <w:t xml:space="preserve">Żeglugi Śródlądowej. </w:t>
      </w:r>
    </w:p>
    <w:p w14:paraId="47CEB278" w14:textId="237ECE44" w:rsidR="009A1495" w:rsidRPr="0030146A" w:rsidRDefault="009A1495" w:rsidP="0030146A">
      <w:pPr>
        <w:tabs>
          <w:tab w:val="left" w:pos="2127"/>
        </w:tabs>
        <w:spacing w:before="120" w:after="120" w:line="276" w:lineRule="auto"/>
        <w:jc w:val="both"/>
        <w:rPr>
          <w:rFonts w:ascii="Arial" w:eastAsia="Calibri" w:hAnsi="Arial" w:cs="Arial"/>
          <w:b/>
          <w:sz w:val="20"/>
          <w:szCs w:val="20"/>
        </w:rPr>
      </w:pPr>
      <w:r w:rsidRPr="0030146A">
        <w:rPr>
          <w:rFonts w:ascii="Arial" w:eastAsia="Calibri" w:hAnsi="Arial" w:cs="Arial"/>
          <w:b/>
          <w:sz w:val="20"/>
          <w:szCs w:val="20"/>
        </w:rPr>
        <w:t>Krajowy Program Ochrony Wód Morskich</w:t>
      </w:r>
      <w:r w:rsidR="00F05B4D">
        <w:rPr>
          <w:rFonts w:ascii="Arial" w:eastAsia="Calibri" w:hAnsi="Arial" w:cs="Arial"/>
          <w:b/>
          <w:sz w:val="20"/>
          <w:szCs w:val="20"/>
        </w:rPr>
        <w:t>.</w:t>
      </w:r>
    </w:p>
    <w:p w14:paraId="7288BEF9" w14:textId="537FF1F5" w:rsidR="00745BB8" w:rsidRPr="00745BB8" w:rsidRDefault="00FC300E" w:rsidP="007A0CFA">
      <w:pPr>
        <w:pStyle w:val="NormalnyWeb"/>
        <w:spacing w:before="0" w:beforeAutospacing="0" w:after="120" w:afterAutospacing="0" w:line="276" w:lineRule="auto"/>
        <w:jc w:val="both"/>
        <w:rPr>
          <w:rFonts w:ascii="Arial" w:hAnsi="Arial" w:cs="Arial"/>
          <w:sz w:val="20"/>
          <w:szCs w:val="20"/>
        </w:rPr>
      </w:pPr>
      <w:r w:rsidRPr="00745BB8">
        <w:rPr>
          <w:rFonts w:ascii="Arial" w:hAnsi="Arial" w:cs="Arial"/>
          <w:sz w:val="20"/>
          <w:szCs w:val="20"/>
        </w:rPr>
        <w:t xml:space="preserve">Ścieki są jednym ze źródeł fosforu </w:t>
      </w:r>
      <w:r w:rsidR="00CF039C">
        <w:rPr>
          <w:rFonts w:ascii="Arial" w:hAnsi="Arial" w:cs="Arial"/>
          <w:sz w:val="20"/>
          <w:szCs w:val="20"/>
        </w:rPr>
        <w:t>w</w:t>
      </w:r>
      <w:r w:rsidRPr="00745BB8">
        <w:rPr>
          <w:rFonts w:ascii="Arial" w:hAnsi="Arial" w:cs="Arial"/>
          <w:sz w:val="20"/>
          <w:szCs w:val="20"/>
        </w:rPr>
        <w:t>pływającego do Morza Bałtyckiego. W Krajowym Program</w:t>
      </w:r>
      <w:r w:rsidR="006B185D" w:rsidRPr="00745BB8">
        <w:rPr>
          <w:rFonts w:ascii="Arial" w:hAnsi="Arial" w:cs="Arial"/>
          <w:sz w:val="20"/>
          <w:szCs w:val="20"/>
        </w:rPr>
        <w:t>ie Ochrony Wód Morskich (</w:t>
      </w:r>
      <w:r w:rsidRPr="00745BB8">
        <w:rPr>
          <w:rFonts w:ascii="Arial" w:hAnsi="Arial" w:cs="Arial"/>
          <w:sz w:val="20"/>
          <w:szCs w:val="20"/>
        </w:rPr>
        <w:t xml:space="preserve">KPOWM), przyjętym </w:t>
      </w:r>
      <w:r w:rsidR="006B185D" w:rsidRPr="00745BB8">
        <w:rPr>
          <w:rFonts w:ascii="Arial" w:hAnsi="Arial" w:cs="Arial"/>
          <w:sz w:val="20"/>
          <w:szCs w:val="20"/>
        </w:rPr>
        <w:t xml:space="preserve">w dniu 11 grudnia 2017 r. </w:t>
      </w:r>
      <w:r w:rsidRPr="00745BB8">
        <w:rPr>
          <w:rFonts w:ascii="Arial" w:hAnsi="Arial" w:cs="Arial"/>
          <w:sz w:val="20"/>
          <w:szCs w:val="20"/>
        </w:rPr>
        <w:t xml:space="preserve">ujęto działanie ukierunkowane na zwiększenie stopnia usuwalności fosforu w ścieków odprowadzanych z oczyszczalni. Propozycja ta związana była z zapewnieniem właściwego wdrażania zapisów dyrektywy </w:t>
      </w:r>
      <w:r w:rsidR="006B185D" w:rsidRPr="00745BB8">
        <w:rPr>
          <w:rFonts w:ascii="Arial" w:hAnsi="Arial" w:cs="Arial"/>
          <w:sz w:val="20"/>
          <w:szCs w:val="20"/>
        </w:rPr>
        <w:t>RDSM</w:t>
      </w:r>
      <w:r w:rsidRPr="00745BB8">
        <w:rPr>
          <w:rFonts w:ascii="Arial" w:hAnsi="Arial" w:cs="Arial"/>
          <w:sz w:val="20"/>
          <w:szCs w:val="20"/>
        </w:rPr>
        <w:t xml:space="preserve">, w powiązaniu </w:t>
      </w:r>
      <w:r w:rsidR="00617B70">
        <w:rPr>
          <w:rFonts w:ascii="Arial" w:hAnsi="Arial" w:cs="Arial"/>
          <w:sz w:val="20"/>
          <w:szCs w:val="20"/>
        </w:rPr>
        <w:br/>
      </w:r>
      <w:r w:rsidRPr="00745BB8">
        <w:rPr>
          <w:rFonts w:ascii="Arial" w:hAnsi="Arial" w:cs="Arial"/>
          <w:sz w:val="20"/>
          <w:szCs w:val="20"/>
        </w:rPr>
        <w:t xml:space="preserve">z dyrektywą ściekową i dyrektywą azotanową oraz zaleceń </w:t>
      </w:r>
      <w:r w:rsidR="00017811">
        <w:rPr>
          <w:rFonts w:ascii="Arial" w:hAnsi="Arial" w:cs="Arial"/>
          <w:sz w:val="20"/>
          <w:szCs w:val="20"/>
        </w:rPr>
        <w:t>HELCOM</w:t>
      </w:r>
      <w:r w:rsidRPr="00745BB8">
        <w:rPr>
          <w:rFonts w:ascii="Arial" w:hAnsi="Arial" w:cs="Arial"/>
          <w:sz w:val="20"/>
          <w:szCs w:val="20"/>
        </w:rPr>
        <w:t xml:space="preserve">. Działanie zostało zaplanowane do realizacji w perspektywie do roku 2020 r. i zakłada promowanie wśród operatorów oczyszczalni idei </w:t>
      </w:r>
      <w:r w:rsidRPr="00745BB8">
        <w:rPr>
          <w:rFonts w:ascii="Arial" w:hAnsi="Arial" w:cs="Arial"/>
          <w:sz w:val="20"/>
          <w:szCs w:val="20"/>
        </w:rPr>
        <w:lastRenderedPageBreak/>
        <w:t xml:space="preserve">zmniejszenia ładunku fosforu odprowadzanego do wód oraz zachęcanie operatorów do dobrowolnego dostosowania się do limitów postulowanych przez HELCOM, tj. 0,5 mg P/l w przypadku oczyszczalni </w:t>
      </w:r>
      <w:r w:rsidR="00617B70">
        <w:rPr>
          <w:rFonts w:ascii="Arial" w:hAnsi="Arial" w:cs="Arial"/>
          <w:sz w:val="20"/>
          <w:szCs w:val="20"/>
        </w:rPr>
        <w:br/>
      </w:r>
      <w:r w:rsidRPr="00745BB8">
        <w:rPr>
          <w:rFonts w:ascii="Arial" w:hAnsi="Arial" w:cs="Arial"/>
          <w:sz w:val="20"/>
          <w:szCs w:val="20"/>
        </w:rPr>
        <w:t>o wielkości ponad 100 000 RLM i 1 mg P/l w przypadku mniejszych oczyszczalni (zalecenie).</w:t>
      </w:r>
    </w:p>
    <w:p w14:paraId="54F74BE1" w14:textId="77777777" w:rsidR="008C237A" w:rsidRPr="008C237A" w:rsidRDefault="008C237A" w:rsidP="007A0CFA">
      <w:pPr>
        <w:pStyle w:val="NormalnyWeb"/>
        <w:spacing w:before="0" w:beforeAutospacing="0" w:after="120" w:afterAutospacing="0" w:line="276" w:lineRule="auto"/>
        <w:jc w:val="both"/>
        <w:rPr>
          <w:rFonts w:ascii="Arial" w:hAnsi="Arial" w:cs="Arial"/>
          <w:sz w:val="20"/>
          <w:szCs w:val="20"/>
        </w:rPr>
      </w:pPr>
      <w:r w:rsidRPr="008C237A">
        <w:rPr>
          <w:rFonts w:ascii="Arial" w:hAnsi="Arial" w:cs="Arial"/>
          <w:sz w:val="20"/>
          <w:szCs w:val="20"/>
        </w:rPr>
        <w:t xml:space="preserve">W 2019 r. kontynuowano działania związane z realizacją piątej aktualizacji Krajowego programu oczyszczania ścieków komunalnych (V AKPOŚK 2017). Polska przystępując do UE zobowiązała się do wypełnienia wymogów dyrektywy Rady 91/271/EWG z dnia 21 maja 1991 roku dotyczącej oczyszczania ścieków komunalnych (Dz. Urz. WE L 135 z 30.05.1991 r., str. 40-52, z późn. zm.; Dz. Urz. WE Polskie wydanie specjalne, rozdz. 15, t. 002, str. 26). </w:t>
      </w:r>
    </w:p>
    <w:p w14:paraId="2313C451" w14:textId="44446E2D" w:rsidR="008C237A" w:rsidRPr="008C237A" w:rsidRDefault="008C237A" w:rsidP="00F11D2D">
      <w:pPr>
        <w:spacing w:line="276" w:lineRule="auto"/>
        <w:jc w:val="both"/>
        <w:rPr>
          <w:rFonts w:ascii="Arial" w:hAnsi="Arial" w:cs="Arial"/>
          <w:sz w:val="20"/>
          <w:szCs w:val="20"/>
        </w:rPr>
      </w:pPr>
      <w:r w:rsidRPr="008C237A">
        <w:rPr>
          <w:rFonts w:ascii="Arial" w:hAnsi="Arial" w:cs="Arial"/>
          <w:sz w:val="20"/>
          <w:szCs w:val="20"/>
        </w:rPr>
        <w:t>Rada Ministrów przyjęła piątą aktualizację Krajowego programu oczyszczania ścieków komunalnych (KPOŚK), który utworzono, aby zidentyfikować faktyczne potrzeby w zakresie uporządkowania gospodarki ściekowej oraz uszeregować ich realizację w taki sposób, aby wywiązać się ze zobowiązań traktatowych. Przyjęta przez rząd aktualizacja ww. programu zawiera listę zadań zaplanowanych przez samorządy do realizacji w latach 2016 - 2021 w obszarze gospodarki ściekowej. Z przedstawionych przez aglomeracje zamierzeń inwestycyjnych wynika, że potrzeby finansowe na realizację ww. przedsięwzięć wynoszą 27,85 mld zł. Jak wykazały dane sprawozdawcze za lata 2003 - 2017, w wyniku realizacji Krajowego Programu Oczyszcza</w:t>
      </w:r>
      <w:r w:rsidR="00454FC9">
        <w:rPr>
          <w:rFonts w:ascii="Arial" w:hAnsi="Arial" w:cs="Arial"/>
          <w:sz w:val="20"/>
          <w:szCs w:val="20"/>
        </w:rPr>
        <w:t xml:space="preserve">nia Ścieków Komunalnych (KPOŚK) </w:t>
      </w:r>
      <w:r w:rsidRPr="008C237A">
        <w:rPr>
          <w:rFonts w:ascii="Arial" w:hAnsi="Arial" w:cs="Arial"/>
          <w:sz w:val="20"/>
          <w:szCs w:val="20"/>
        </w:rPr>
        <w:t xml:space="preserve">dotychczas </w:t>
      </w:r>
      <w:r w:rsidR="00A525A0">
        <w:rPr>
          <w:rFonts w:ascii="Arial" w:hAnsi="Arial" w:cs="Arial"/>
          <w:sz w:val="20"/>
          <w:szCs w:val="20"/>
        </w:rPr>
        <w:br/>
      </w:r>
      <w:r w:rsidRPr="008C237A">
        <w:rPr>
          <w:rFonts w:ascii="Arial" w:hAnsi="Arial" w:cs="Arial"/>
          <w:sz w:val="20"/>
          <w:szCs w:val="20"/>
        </w:rPr>
        <w:t xml:space="preserve">w aglomeracjach wybudowano  87 339 km sieci kanalizacyjnej oraz zakończono budowę 410 nowych oczyszczalni ścieków. Na realizację tych zadań wydano około 65,8 mld zł, w tym około 45,9 mld zł przeznaczone zostało na zbiorcze systemy kanalizacyjne. </w:t>
      </w:r>
    </w:p>
    <w:p w14:paraId="485F27AC" w14:textId="77777777" w:rsidR="008C237A" w:rsidRPr="008C237A" w:rsidRDefault="008C237A" w:rsidP="00F11D2D">
      <w:pPr>
        <w:spacing w:line="276" w:lineRule="auto"/>
        <w:jc w:val="both"/>
        <w:rPr>
          <w:rFonts w:ascii="Arial" w:hAnsi="Arial" w:cs="Arial"/>
          <w:sz w:val="20"/>
          <w:szCs w:val="20"/>
        </w:rPr>
      </w:pPr>
      <w:r w:rsidRPr="008C237A">
        <w:rPr>
          <w:rFonts w:ascii="Arial" w:hAnsi="Arial" w:cs="Arial"/>
          <w:sz w:val="20"/>
          <w:szCs w:val="20"/>
        </w:rPr>
        <w:t xml:space="preserve">W związku z trwającymi pracami nad nową perspektywą finansową na lata 2021 - 2027 oraz możliwością otrzymania środków finansowych na inwestycje w gospodarce ściekowej w Polsce, podjęto prace zmierzające do opracowania VI aktualizacji Krajowego programu oczyszczania ścieków komunalnych (VI AKPOŚK), dzięki czemu zidentyfikowane zostaną faktyczne potrzeby w zakresie uporządkowania gospodarki ściekowej w celu wywiązania się ze zobowiązań traktatowych. Dokument ten ma zawierać zgłoszone do Programu przez władze samorządowe inwestycje, które są niezbędne do spełnienia wymogów dyrektywy ściekowej, jak również prawodawstwa polskiego lub utrzymania już osiągniętych wskaźników. </w:t>
      </w:r>
    </w:p>
    <w:p w14:paraId="11F130E1" w14:textId="2210E03E" w:rsidR="00FC300E" w:rsidRPr="00745BB8" w:rsidRDefault="00FC300E" w:rsidP="00F11D2D">
      <w:pPr>
        <w:spacing w:line="276" w:lineRule="auto"/>
        <w:jc w:val="both"/>
        <w:rPr>
          <w:rFonts w:ascii="Arial" w:hAnsi="Arial" w:cs="Arial"/>
          <w:sz w:val="20"/>
          <w:szCs w:val="20"/>
        </w:rPr>
      </w:pPr>
      <w:r w:rsidRPr="00745BB8">
        <w:rPr>
          <w:rFonts w:ascii="Arial" w:hAnsi="Arial" w:cs="Arial"/>
          <w:sz w:val="20"/>
          <w:szCs w:val="20"/>
        </w:rPr>
        <w:t>W 2019 r.</w:t>
      </w:r>
      <w:r w:rsidRPr="00342E00">
        <w:rPr>
          <w:rFonts w:ascii="Arial" w:hAnsi="Arial" w:cs="Arial"/>
          <w:sz w:val="20"/>
          <w:szCs w:val="20"/>
        </w:rPr>
        <w:t xml:space="preserve"> zostało zrealizowane działanie „Zwiększenie wymagań w zakresie usuwania fosforu </w:t>
      </w:r>
      <w:r w:rsidR="00617B70">
        <w:rPr>
          <w:rFonts w:ascii="Arial" w:hAnsi="Arial" w:cs="Arial"/>
          <w:sz w:val="20"/>
          <w:szCs w:val="20"/>
        </w:rPr>
        <w:br/>
      </w:r>
      <w:r w:rsidRPr="00342E00">
        <w:rPr>
          <w:rFonts w:ascii="Arial" w:hAnsi="Arial" w:cs="Arial"/>
          <w:sz w:val="20"/>
          <w:szCs w:val="20"/>
        </w:rPr>
        <w:t xml:space="preserve">w ściekach odprowadzanych z oczyszczalni” polegające na przeprowadzeniu skierowanej do operatorów oczyszczalni niskonakładowej internetowej akcji uświadamiającej znaczenie redukcji fosforu dla ochrony wód oraz promującej rekomendacje HELCOM w tym zakresie. </w:t>
      </w:r>
      <w:r w:rsidRPr="00745BB8">
        <w:rPr>
          <w:rFonts w:ascii="Arial" w:hAnsi="Arial" w:cs="Arial"/>
          <w:sz w:val="20"/>
          <w:szCs w:val="20"/>
        </w:rPr>
        <w:t xml:space="preserve">W dniu </w:t>
      </w:r>
      <w:r w:rsidR="00520DA3">
        <w:rPr>
          <w:rFonts w:ascii="Arial" w:hAnsi="Arial" w:cs="Arial"/>
          <w:sz w:val="20"/>
          <w:szCs w:val="20"/>
        </w:rPr>
        <w:br/>
      </w:r>
      <w:r w:rsidRPr="00342E00">
        <w:rPr>
          <w:rFonts w:ascii="Arial" w:hAnsi="Arial" w:cs="Arial"/>
          <w:sz w:val="20"/>
          <w:szCs w:val="20"/>
        </w:rPr>
        <w:t>8 października 2019 r. odbyło się w siedzibie Ministerstwa Gospodarki Morskiej i Żeglugi Śródlądowej spotkanie przeznaczone dla operatorów oczyszczalni ścieków, naukowców, przedstawicieli adminis</w:t>
      </w:r>
      <w:r w:rsidR="006B78EE">
        <w:rPr>
          <w:rFonts w:ascii="Arial" w:hAnsi="Arial" w:cs="Arial"/>
          <w:sz w:val="20"/>
          <w:szCs w:val="20"/>
        </w:rPr>
        <w:t xml:space="preserve">tracji i innych interesariuszy </w:t>
      </w:r>
      <w:r w:rsidRPr="00342E00">
        <w:rPr>
          <w:rFonts w:ascii="Arial" w:hAnsi="Arial" w:cs="Arial"/>
          <w:sz w:val="20"/>
          <w:szCs w:val="20"/>
        </w:rPr>
        <w:t xml:space="preserve">pn. </w:t>
      </w:r>
      <w:r w:rsidRPr="00745BB8">
        <w:rPr>
          <w:rFonts w:ascii="Arial" w:hAnsi="Arial" w:cs="Arial"/>
          <w:sz w:val="20"/>
          <w:szCs w:val="20"/>
        </w:rPr>
        <w:t>„</w:t>
      </w:r>
      <w:r w:rsidRPr="00342E00">
        <w:rPr>
          <w:rFonts w:ascii="Arial" w:hAnsi="Arial" w:cs="Arial"/>
          <w:sz w:val="20"/>
          <w:szCs w:val="20"/>
        </w:rPr>
        <w:t>Zwiększanie stopnia redukcji fosforu w ściekach odprowadzanych z oczyszczalni</w:t>
      </w:r>
      <w:r w:rsidRPr="00745BB8">
        <w:rPr>
          <w:rFonts w:ascii="Arial" w:hAnsi="Arial" w:cs="Arial"/>
          <w:sz w:val="20"/>
          <w:szCs w:val="20"/>
        </w:rPr>
        <w:t>”</w:t>
      </w:r>
      <w:r w:rsidRPr="00342E00">
        <w:rPr>
          <w:rFonts w:ascii="Arial" w:hAnsi="Arial" w:cs="Arial"/>
          <w:sz w:val="20"/>
          <w:szCs w:val="20"/>
        </w:rPr>
        <w:t>. Podczas spotkania przekazano informacj</w:t>
      </w:r>
      <w:r w:rsidR="00617B70">
        <w:rPr>
          <w:rFonts w:ascii="Arial" w:hAnsi="Arial" w:cs="Arial"/>
          <w:sz w:val="20"/>
          <w:szCs w:val="20"/>
        </w:rPr>
        <w:t xml:space="preserve">e dotyczące redukcji fosforu w </w:t>
      </w:r>
      <w:r w:rsidRPr="00342E00">
        <w:rPr>
          <w:rFonts w:ascii="Arial" w:hAnsi="Arial" w:cs="Arial"/>
          <w:sz w:val="20"/>
          <w:szCs w:val="20"/>
        </w:rPr>
        <w:t>świetle ustawodawstwa UE oraz rekomendacji HELCOM, Technologie odzysku fosforu </w:t>
      </w:r>
      <w:r w:rsidR="00520DA3">
        <w:rPr>
          <w:rFonts w:ascii="Arial" w:hAnsi="Arial" w:cs="Arial"/>
          <w:sz w:val="20"/>
          <w:szCs w:val="20"/>
        </w:rPr>
        <w:br/>
      </w:r>
      <w:r w:rsidRPr="00342E00">
        <w:rPr>
          <w:rFonts w:ascii="Arial" w:hAnsi="Arial" w:cs="Arial"/>
          <w:sz w:val="20"/>
          <w:szCs w:val="20"/>
        </w:rPr>
        <w:t xml:space="preserve">w oczyszczalniach ścieków oraz przykłady inwestycji ze zwiększoną efektywnością oczyszczania ścieków. </w:t>
      </w:r>
    </w:p>
    <w:p w14:paraId="5ED05BEA" w14:textId="52BBCA5D" w:rsidR="00342E00" w:rsidRPr="00A406BF" w:rsidRDefault="003A500D" w:rsidP="00F05B4D">
      <w:pPr>
        <w:spacing w:before="120" w:after="120" w:line="276" w:lineRule="auto"/>
        <w:jc w:val="both"/>
        <w:rPr>
          <w:rFonts w:ascii="Arial" w:eastAsia="Times New Roman" w:hAnsi="Arial" w:cs="Arial"/>
          <w:b/>
          <w:sz w:val="20"/>
          <w:szCs w:val="20"/>
          <w:lang w:eastAsia="pl-PL"/>
        </w:rPr>
      </w:pPr>
      <w:r w:rsidRPr="00A406BF">
        <w:rPr>
          <w:rFonts w:ascii="Arial" w:eastAsia="Times New Roman" w:hAnsi="Arial" w:cs="Arial"/>
          <w:b/>
          <w:sz w:val="20"/>
          <w:szCs w:val="20"/>
          <w:lang w:eastAsia="pl-PL"/>
        </w:rPr>
        <w:t xml:space="preserve">Działania w </w:t>
      </w:r>
      <w:r w:rsidR="00D77D96" w:rsidRPr="00A406BF">
        <w:rPr>
          <w:rFonts w:ascii="Arial" w:eastAsia="Times New Roman" w:hAnsi="Arial" w:cs="Arial"/>
          <w:b/>
          <w:sz w:val="20"/>
          <w:szCs w:val="20"/>
          <w:lang w:eastAsia="pl-PL"/>
        </w:rPr>
        <w:t>zakresi</w:t>
      </w:r>
      <w:r w:rsidRPr="00A406BF">
        <w:rPr>
          <w:rFonts w:ascii="Arial" w:eastAsia="Times New Roman" w:hAnsi="Arial" w:cs="Arial"/>
          <w:b/>
          <w:sz w:val="20"/>
          <w:szCs w:val="20"/>
          <w:lang w:eastAsia="pl-PL"/>
        </w:rPr>
        <w:t>e oczyszczania ścieków komunalnych</w:t>
      </w:r>
      <w:r w:rsidR="00F05B4D" w:rsidRPr="00A406BF">
        <w:rPr>
          <w:rFonts w:ascii="Arial" w:eastAsia="Times New Roman" w:hAnsi="Arial" w:cs="Arial"/>
          <w:b/>
          <w:sz w:val="20"/>
          <w:szCs w:val="20"/>
          <w:lang w:eastAsia="pl-PL"/>
        </w:rPr>
        <w:t>.</w:t>
      </w:r>
    </w:p>
    <w:p w14:paraId="748C7EF7" w14:textId="08BA52C7" w:rsidR="0065403F" w:rsidRPr="00C6753F" w:rsidRDefault="00D77D96" w:rsidP="00C6753F">
      <w:pPr>
        <w:spacing w:after="120" w:line="276" w:lineRule="auto"/>
        <w:jc w:val="both"/>
        <w:rPr>
          <w:rFonts w:ascii="Arial" w:hAnsi="Arial" w:cs="Arial"/>
          <w:bCs/>
          <w:color w:val="000000" w:themeColor="text1"/>
          <w:sz w:val="20"/>
          <w:szCs w:val="20"/>
        </w:rPr>
      </w:pPr>
      <w:r w:rsidRPr="00A406BF">
        <w:rPr>
          <w:rFonts w:ascii="Arial" w:eastAsia="Calibri" w:hAnsi="Arial" w:cs="Arial"/>
          <w:sz w:val="20"/>
          <w:szCs w:val="20"/>
        </w:rPr>
        <w:t xml:space="preserve">Działania w zakresie polityki morskiej realizowane w Narodowym Funduszu Ochrony Środowiska </w:t>
      </w:r>
      <w:r w:rsidR="00802F98">
        <w:rPr>
          <w:rFonts w:ascii="Arial" w:eastAsia="Calibri" w:hAnsi="Arial" w:cs="Arial"/>
          <w:sz w:val="20"/>
          <w:szCs w:val="20"/>
        </w:rPr>
        <w:br/>
      </w:r>
      <w:r w:rsidRPr="00A406BF">
        <w:rPr>
          <w:rFonts w:ascii="Arial" w:eastAsia="Calibri" w:hAnsi="Arial" w:cs="Arial"/>
          <w:sz w:val="20"/>
          <w:szCs w:val="20"/>
        </w:rPr>
        <w:t>i Gospodarki Wodnej (NFOŚiGW), nadzorowanym przez Ministra Klimatu, w roku 2019 związane były ze zbieraniem i oczyszczaniem ścieków, przyczyniając się tym samym do ochrony wód Morza Bałtyckiego. W 2019 r. ze środków krajowych Narodowego Funduszu Ochrony Środowiska i Gospodarki Wodnej w ramach programu priorytetowego „Gospodarka wodno</w:t>
      </w:r>
      <w:r w:rsidR="002A596F" w:rsidRPr="00A406BF">
        <w:rPr>
          <w:rFonts w:ascii="Arial" w:eastAsia="Calibri" w:hAnsi="Arial" w:cs="Arial"/>
          <w:sz w:val="20"/>
          <w:szCs w:val="20"/>
        </w:rPr>
        <w:t>-</w:t>
      </w:r>
      <w:r w:rsidRPr="00A406BF">
        <w:rPr>
          <w:rFonts w:ascii="Arial" w:eastAsia="Calibri" w:hAnsi="Arial" w:cs="Arial"/>
          <w:sz w:val="20"/>
          <w:szCs w:val="20"/>
        </w:rPr>
        <w:t>ściekowa w aglomeracjach”, część 1</w:t>
      </w:r>
      <w:r w:rsidR="00802F98">
        <w:rPr>
          <w:rFonts w:ascii="Arial" w:eastAsia="Calibri" w:hAnsi="Arial" w:cs="Arial"/>
          <w:sz w:val="20"/>
          <w:szCs w:val="20"/>
        </w:rPr>
        <w:t xml:space="preserve"> </w:t>
      </w:r>
      <w:r w:rsidRPr="00A406BF">
        <w:rPr>
          <w:rFonts w:ascii="Arial" w:eastAsia="Calibri" w:hAnsi="Arial" w:cs="Arial"/>
          <w:sz w:val="20"/>
          <w:szCs w:val="20"/>
        </w:rPr>
        <w:t xml:space="preserve">„Gospodarka ściekowa w ramach Krajowego Programu Oczyszczania Ścieków Komunalnych”, realizowanych było 18 projektów o łącznej wartości całkowitej 340,4 mln zł, w tym kwota dofinansowania NFOŚiGW to 175,5 mln zł. Projekty te dają efekt ekologiczny wynoszący 650 tys. RLM, w tym 19 120 RLM to liczba dodatkowych osób korzystających z ulepszonego oczyszczania ścieków, a 630 189 RLM to </w:t>
      </w:r>
      <w:r w:rsidRPr="00C6753F">
        <w:rPr>
          <w:rFonts w:ascii="Arial" w:hAnsi="Arial" w:cs="Arial"/>
          <w:bCs/>
          <w:color w:val="000000" w:themeColor="text1"/>
          <w:sz w:val="20"/>
          <w:szCs w:val="20"/>
        </w:rPr>
        <w:t>przepustowość urządzeń/obiektów poddanych modernizacji.</w:t>
      </w:r>
    </w:p>
    <w:p w14:paraId="2C816464" w14:textId="45F58CD6" w:rsidR="000E2196" w:rsidRPr="00A406BF" w:rsidRDefault="0065403F" w:rsidP="00C6753F">
      <w:pPr>
        <w:spacing w:after="120" w:line="276" w:lineRule="auto"/>
        <w:jc w:val="both"/>
        <w:rPr>
          <w:rFonts w:ascii="Arial" w:hAnsi="Arial" w:cs="Arial"/>
          <w:sz w:val="20"/>
          <w:szCs w:val="20"/>
        </w:rPr>
      </w:pPr>
      <w:r w:rsidRPr="00C6753F">
        <w:rPr>
          <w:rFonts w:ascii="Arial" w:hAnsi="Arial" w:cs="Arial"/>
          <w:bCs/>
          <w:color w:val="000000" w:themeColor="text1"/>
          <w:sz w:val="20"/>
          <w:szCs w:val="20"/>
        </w:rPr>
        <w:lastRenderedPageBreak/>
        <w:t>Ponadto w ramach działania 2.3 „Gospodarka wodno-ściekowa</w:t>
      </w:r>
      <w:r w:rsidRPr="00A406BF">
        <w:rPr>
          <w:rFonts w:ascii="Arial" w:hAnsi="Arial" w:cs="Arial"/>
          <w:sz w:val="20"/>
          <w:szCs w:val="20"/>
        </w:rPr>
        <w:t xml:space="preserve"> w aglomeracjach” Programu Operacyjnego Infrastruktura i Środowisko 2014-2020 realizowane były inwestycje w zakresie budowy infrastruktury komunalnej zapewniającej odprowadzanie i efektywne oczyszczanie ścieków komunalnych, a także właściwe zagospodarowanie osadów ściekowych. Celem działania jest zwiększenie liczby ludności korzystającej z ulepszonego systemu oczyszczania ścieków komunalnych, zapewniającego podwyższone usuwanie biogenów. W zakresie polityki ochrony Morza Bałtyckiego realizowane inwestycje przyczyniają się do ochrony i zachowania stanu ekologicznego wód Bałtyku. Ich realizacja pozwoli na znaczne ograniczenie ładunku zanieczyszczeń (w tym biogennych) z sektora komunalnego, dopływających do Morza Bałtyckiego, a tym samym będzie miała bezpośredni wpływ na ograniczenie procesu eutrofizacji wód Bałtyku. Sektor komunalny obok zanieczyszczeń obszarowych z rolnictwa jest istotnym źródłem substancji biogennych, stanowiących zagrożenie dla jakości wód powierzchniowych, w tym Morza Bałtyckiego. Przedsięwzięcia w tym obszarze będą przyczyniać się również do osiągania celów Strategii UE dla regionu Morza Bałtyckiego w ramach Obszaru Priorytetowego NUTRI. Zmniejszenie odprowadzania substancji odżywczych do morza do akceptowalnych poziomów będą miały podstawowe znaczenie dla ochrony i zapobieżenia degradacji środowiska morskiego Bałtyku. Do końca 2019 r. w zakresie tego działania podpisano 357 umów </w:t>
      </w:r>
      <w:r w:rsidR="00A406BF" w:rsidRPr="00A406BF">
        <w:rPr>
          <w:rFonts w:ascii="Arial" w:hAnsi="Arial" w:cs="Arial"/>
          <w:sz w:val="20"/>
          <w:szCs w:val="20"/>
        </w:rPr>
        <w:br/>
      </w:r>
      <w:r w:rsidRPr="00A406BF">
        <w:rPr>
          <w:rFonts w:ascii="Arial" w:hAnsi="Arial" w:cs="Arial"/>
          <w:sz w:val="20"/>
          <w:szCs w:val="20"/>
        </w:rPr>
        <w:t>o dofinansowanie na łączną wartość ogółem ok. 15,4 mld zł, dofinansowanie UE ok. 8,1 mld zł.  Alokacja w działaniu 2.3 wynosi ok. 8,1 mld zł. Zakontraktowano w tym działaniu 100% alokacji.</w:t>
      </w:r>
    </w:p>
    <w:p w14:paraId="106F69C0" w14:textId="7B6C16A4" w:rsidR="00AD5E4A" w:rsidRPr="00D77D96" w:rsidRDefault="005E12D9" w:rsidP="00F05B4D">
      <w:pPr>
        <w:pStyle w:val="Nagwek2"/>
        <w:spacing w:before="120" w:after="120"/>
        <w:jc w:val="both"/>
        <w:rPr>
          <w:rFonts w:ascii="Arial" w:hAnsi="Arial" w:cs="Arial"/>
          <w:b/>
          <w:color w:val="auto"/>
          <w:sz w:val="20"/>
          <w:szCs w:val="20"/>
        </w:rPr>
      </w:pPr>
      <w:bookmarkStart w:id="39" w:name="_Toc72745053"/>
      <w:r w:rsidRPr="00AD5E4A">
        <w:rPr>
          <w:rFonts w:ascii="Arial" w:hAnsi="Arial" w:cs="Arial"/>
          <w:b/>
          <w:color w:val="auto"/>
          <w:sz w:val="20"/>
          <w:szCs w:val="20"/>
        </w:rPr>
        <w:t>Działania na rzecz ochrony środowiska morskiego na forum UE</w:t>
      </w:r>
      <w:r w:rsidR="00DA476D">
        <w:rPr>
          <w:rFonts w:ascii="Arial" w:hAnsi="Arial" w:cs="Arial"/>
          <w:b/>
          <w:color w:val="auto"/>
          <w:sz w:val="20"/>
          <w:szCs w:val="20"/>
        </w:rPr>
        <w:t>.</w:t>
      </w:r>
      <w:bookmarkEnd w:id="39"/>
    </w:p>
    <w:p w14:paraId="7C994A9A" w14:textId="4E4DEC90" w:rsidR="005E12D9" w:rsidRPr="004C6CC5" w:rsidRDefault="005E12D9" w:rsidP="00FA4DD1">
      <w:pPr>
        <w:spacing w:before="120" w:after="120" w:line="276" w:lineRule="auto"/>
        <w:jc w:val="both"/>
        <w:rPr>
          <w:rFonts w:ascii="Arial" w:hAnsi="Arial" w:cs="Arial"/>
          <w:bCs/>
          <w:color w:val="000000" w:themeColor="text1"/>
          <w:sz w:val="20"/>
          <w:szCs w:val="20"/>
        </w:rPr>
      </w:pPr>
      <w:r w:rsidRPr="004C6CC5">
        <w:rPr>
          <w:rFonts w:ascii="Arial" w:hAnsi="Arial" w:cs="Arial"/>
          <w:bCs/>
          <w:color w:val="000000" w:themeColor="text1"/>
          <w:sz w:val="20"/>
          <w:szCs w:val="20"/>
        </w:rPr>
        <w:t>W 2019</w:t>
      </w:r>
      <w:r w:rsidR="009D01B9" w:rsidRPr="004C6CC5">
        <w:rPr>
          <w:rFonts w:ascii="Arial" w:hAnsi="Arial" w:cs="Arial"/>
          <w:bCs/>
          <w:color w:val="000000" w:themeColor="text1"/>
          <w:sz w:val="20"/>
          <w:szCs w:val="20"/>
        </w:rPr>
        <w:t xml:space="preserve"> r. </w:t>
      </w:r>
      <w:r w:rsidRPr="004C6CC5">
        <w:rPr>
          <w:rFonts w:ascii="Arial" w:hAnsi="Arial" w:cs="Arial"/>
          <w:bCs/>
          <w:color w:val="000000" w:themeColor="text1"/>
          <w:sz w:val="20"/>
          <w:szCs w:val="20"/>
        </w:rPr>
        <w:t>na forum grupy WG POMESA (grupa ds. programów działań</w:t>
      </w:r>
      <w:r w:rsidR="004C6CC5">
        <w:rPr>
          <w:rFonts w:ascii="Arial" w:hAnsi="Arial" w:cs="Arial"/>
          <w:bCs/>
          <w:color w:val="000000" w:themeColor="text1"/>
          <w:sz w:val="20"/>
          <w:szCs w:val="20"/>
        </w:rPr>
        <w:t xml:space="preserve"> i </w:t>
      </w:r>
      <w:r w:rsidRPr="004C6CC5">
        <w:rPr>
          <w:rFonts w:ascii="Arial" w:hAnsi="Arial" w:cs="Arial"/>
          <w:bCs/>
          <w:color w:val="000000" w:themeColor="text1"/>
          <w:sz w:val="20"/>
          <w:szCs w:val="20"/>
        </w:rPr>
        <w:t>analiz społeczno-ekonomicznych) toczyły się prace nad opracowaniem zmian przewodnika do raportowania programów działań. Prace te zostały podjęte</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związku</w:t>
      </w:r>
      <w:r w:rsidR="004C6CC5">
        <w:rPr>
          <w:rFonts w:ascii="Arial" w:hAnsi="Arial" w:cs="Arial"/>
          <w:bCs/>
          <w:color w:val="000000" w:themeColor="text1"/>
          <w:sz w:val="20"/>
          <w:szCs w:val="20"/>
        </w:rPr>
        <w:t xml:space="preserve"> z </w:t>
      </w:r>
      <w:r w:rsidRPr="004C6CC5">
        <w:rPr>
          <w:rFonts w:ascii="Arial" w:hAnsi="Arial" w:cs="Arial"/>
          <w:bCs/>
          <w:color w:val="000000" w:themeColor="text1"/>
          <w:sz w:val="20"/>
          <w:szCs w:val="20"/>
        </w:rPr>
        <w:t>aktualizacją programów, którą mają przeprowadzić poszczególne państwa</w:t>
      </w:r>
      <w:r w:rsidR="006C7E9A">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2021 roku. Za uzgodnienie zmian przewodnika do raportowania programów działań odpowiadali przedstawiciele Państwowego Gospodarstwa Wodnego Wody Polskie,</w:t>
      </w:r>
      <w:r w:rsidR="004C6CC5">
        <w:rPr>
          <w:rFonts w:ascii="Arial" w:hAnsi="Arial" w:cs="Arial"/>
          <w:bCs/>
          <w:color w:val="000000" w:themeColor="text1"/>
          <w:sz w:val="20"/>
          <w:szCs w:val="20"/>
        </w:rPr>
        <w:t xml:space="preserve"> z </w:t>
      </w:r>
      <w:r w:rsidRPr="004C6CC5">
        <w:rPr>
          <w:rFonts w:ascii="Arial" w:hAnsi="Arial" w:cs="Arial"/>
          <w:bCs/>
          <w:color w:val="000000" w:themeColor="text1"/>
          <w:sz w:val="20"/>
          <w:szCs w:val="20"/>
        </w:rPr>
        <w:t>uwagi na fakt, że Wody Polskie odpowiedzialne są za opracowanie aktualizacji Programu Ochrony Wód Morskich. Dodatkowo na posiedzeniach grupy WG POMESA uzgadniano plan pracy grupy na następny cykl raportowy</w:t>
      </w:r>
      <w:r w:rsidR="006C7E9A">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ramach wdrażania Strategii Morskiej.</w:t>
      </w:r>
      <w:r w:rsidR="00522DAB">
        <w:rPr>
          <w:rFonts w:ascii="Arial" w:hAnsi="Arial" w:cs="Arial"/>
          <w:bCs/>
          <w:color w:val="000000" w:themeColor="text1"/>
          <w:sz w:val="20"/>
          <w:szCs w:val="20"/>
        </w:rPr>
        <w:t xml:space="preserve"> W</w:t>
      </w:r>
      <w:r w:rsidR="006C7E9A">
        <w:rPr>
          <w:rFonts w:ascii="Arial" w:hAnsi="Arial" w:cs="Arial"/>
          <w:bCs/>
          <w:color w:val="000000" w:themeColor="text1"/>
          <w:sz w:val="20"/>
          <w:szCs w:val="20"/>
        </w:rPr>
        <w:t xml:space="preserve"> </w:t>
      </w:r>
      <w:r w:rsidRPr="004C6CC5">
        <w:rPr>
          <w:rFonts w:ascii="Arial" w:hAnsi="Arial" w:cs="Arial"/>
          <w:bCs/>
          <w:color w:val="000000" w:themeColor="text1"/>
          <w:sz w:val="20"/>
          <w:szCs w:val="20"/>
        </w:rPr>
        <w:t>posiedzeniach grupy POMESA biorą udział również przedstawiciele Ministerstwa Gospodarki Morskiej.</w:t>
      </w:r>
    </w:p>
    <w:p w14:paraId="1FCFDFAC" w14:textId="507B4EF0" w:rsidR="00BF7130" w:rsidRPr="004C6CC5" w:rsidRDefault="00BF7130" w:rsidP="00FA4DD1">
      <w:pPr>
        <w:spacing w:after="120" w:line="276" w:lineRule="auto"/>
        <w:jc w:val="both"/>
        <w:rPr>
          <w:rFonts w:ascii="Arial" w:hAnsi="Arial" w:cs="Arial"/>
          <w:bCs/>
          <w:color w:val="000000" w:themeColor="text1"/>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 xml:space="preserve">przedstawiciel </w:t>
      </w:r>
      <w:r w:rsidRPr="004C6CC5">
        <w:rPr>
          <w:rFonts w:ascii="Arial" w:hAnsi="Arial" w:cs="Arial"/>
          <w:color w:val="000000" w:themeColor="text1"/>
          <w:sz w:val="20"/>
          <w:szCs w:val="20"/>
        </w:rPr>
        <w:t>Polski</w:t>
      </w:r>
      <w:r w:rsidRPr="004C6CC5">
        <w:rPr>
          <w:rFonts w:ascii="Arial" w:hAnsi="Arial" w:cs="Arial"/>
          <w:sz w:val="20"/>
          <w:szCs w:val="20"/>
        </w:rPr>
        <w:t xml:space="preserve"> uczestniczył</w:t>
      </w:r>
      <w:r w:rsidR="006056D9">
        <w:rPr>
          <w:rFonts w:ascii="Arial" w:hAnsi="Arial" w:cs="Arial"/>
          <w:sz w:val="20"/>
          <w:szCs w:val="20"/>
        </w:rPr>
        <w:t xml:space="preserve"> w </w:t>
      </w:r>
      <w:r w:rsidRPr="004C6CC5">
        <w:rPr>
          <w:rFonts w:ascii="Arial" w:hAnsi="Arial" w:cs="Arial"/>
          <w:bCs/>
          <w:color w:val="000000" w:themeColor="text1"/>
          <w:sz w:val="20"/>
          <w:szCs w:val="20"/>
        </w:rPr>
        <w:t>8. posiedzeniu grupy roboczej Europejskiego Forum Zrównoważonej Żeglugi (ESSF) ds. emisji atmosferycznych ze statków, które poświęcone było przede wszystkim sprawom dotyczącym emisji tlenków siarki,</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tym zagadnieniom wynikającym</w:t>
      </w:r>
      <w:r w:rsidR="00262972">
        <w:rPr>
          <w:rFonts w:ascii="Arial" w:hAnsi="Arial" w:cs="Arial"/>
          <w:bCs/>
          <w:color w:val="000000" w:themeColor="text1"/>
          <w:sz w:val="20"/>
          <w:szCs w:val="20"/>
        </w:rPr>
        <w:t xml:space="preserve"> z </w:t>
      </w:r>
      <w:r w:rsidRPr="004C6CC5">
        <w:rPr>
          <w:rFonts w:ascii="Arial" w:hAnsi="Arial" w:cs="Arial"/>
          <w:bCs/>
          <w:color w:val="000000" w:themeColor="text1"/>
          <w:sz w:val="20"/>
          <w:szCs w:val="20"/>
        </w:rPr>
        <w:t>5. posiedzenia podkomitetu Międzynarodowej Organizacji Morskiej (IMO) ds. zapobiegania zanieczyszczaniu oraz zwalczania zanieczyszczeń morza (PPR 5, 5-9.02.2018r.). Omawiane były sprawy strategii egzekwowania wymagań siarkowych, najlepszych praktyk</w:t>
      </w:r>
      <w:r w:rsidR="004C6CC5">
        <w:rPr>
          <w:rFonts w:ascii="Arial" w:hAnsi="Arial" w:cs="Arial"/>
          <w:bCs/>
          <w:color w:val="000000" w:themeColor="text1"/>
          <w:sz w:val="20"/>
          <w:szCs w:val="20"/>
        </w:rPr>
        <w:t xml:space="preserve"> i </w:t>
      </w:r>
      <w:r w:rsidRPr="004C6CC5">
        <w:rPr>
          <w:rFonts w:ascii="Arial" w:hAnsi="Arial" w:cs="Arial"/>
          <w:bCs/>
          <w:color w:val="000000" w:themeColor="text1"/>
          <w:sz w:val="20"/>
          <w:szCs w:val="20"/>
        </w:rPr>
        <w:t>inteligentnych środków wdrażania; systemu kar za naruszenia wymagań; aspektów operacyjnych</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obszarach kontroli emisji, wniosków wyciągniętych</w:t>
      </w:r>
      <w:r w:rsidR="004C6CC5">
        <w:rPr>
          <w:rFonts w:ascii="Arial" w:hAnsi="Arial" w:cs="Arial"/>
          <w:bCs/>
          <w:color w:val="000000" w:themeColor="text1"/>
          <w:sz w:val="20"/>
          <w:szCs w:val="20"/>
        </w:rPr>
        <w:t xml:space="preserve"> z </w:t>
      </w:r>
      <w:r w:rsidRPr="004C6CC5">
        <w:rPr>
          <w:rFonts w:ascii="Arial" w:hAnsi="Arial" w:cs="Arial"/>
          <w:bCs/>
          <w:color w:val="000000" w:themeColor="text1"/>
          <w:sz w:val="20"/>
          <w:szCs w:val="20"/>
        </w:rPr>
        <w:t>wykorzystania paliw</w:t>
      </w:r>
      <w:r w:rsidR="00BC3931">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obszarach kontroli emisji, najlepszych praktyk</w:t>
      </w:r>
      <w:r w:rsidR="004C6CC5">
        <w:rPr>
          <w:rFonts w:ascii="Arial" w:hAnsi="Arial" w:cs="Arial"/>
          <w:bCs/>
          <w:color w:val="000000" w:themeColor="text1"/>
          <w:sz w:val="20"/>
          <w:szCs w:val="20"/>
        </w:rPr>
        <w:t xml:space="preserve"> i </w:t>
      </w:r>
      <w:r w:rsidRPr="004C6CC5">
        <w:rPr>
          <w:rFonts w:ascii="Arial" w:hAnsi="Arial" w:cs="Arial"/>
          <w:bCs/>
          <w:color w:val="000000" w:themeColor="text1"/>
          <w:sz w:val="20"/>
          <w:szCs w:val="20"/>
        </w:rPr>
        <w:t>promowania świadomości; metodologii weryfikacji zawartości siarki</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paliwie; konwencjonalnych lub alternatywnych metod zgodności</w:t>
      </w:r>
      <w:r w:rsidR="004C6CC5">
        <w:rPr>
          <w:rFonts w:ascii="Arial" w:hAnsi="Arial" w:cs="Arial"/>
          <w:bCs/>
          <w:color w:val="000000" w:themeColor="text1"/>
          <w:sz w:val="20"/>
          <w:szCs w:val="20"/>
        </w:rPr>
        <w:t xml:space="preserve"> i </w:t>
      </w:r>
      <w:r w:rsidRPr="004C6CC5">
        <w:rPr>
          <w:rFonts w:ascii="Arial" w:hAnsi="Arial" w:cs="Arial"/>
          <w:bCs/>
          <w:color w:val="000000" w:themeColor="text1"/>
          <w:sz w:val="20"/>
          <w:szCs w:val="20"/>
        </w:rPr>
        <w:t>wpływu metod alternatywnych na emisję; pokładowego monitorowania emisji</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czasie rzeczywistym; modelowania</w:t>
      </w:r>
      <w:r w:rsidR="004C6CC5">
        <w:rPr>
          <w:rFonts w:ascii="Arial" w:hAnsi="Arial" w:cs="Arial"/>
          <w:bCs/>
          <w:color w:val="000000" w:themeColor="text1"/>
          <w:sz w:val="20"/>
          <w:szCs w:val="20"/>
        </w:rPr>
        <w:t xml:space="preserve"> i </w:t>
      </w:r>
      <w:r w:rsidRPr="004C6CC5">
        <w:rPr>
          <w:rFonts w:ascii="Arial" w:hAnsi="Arial" w:cs="Arial"/>
          <w:bCs/>
          <w:color w:val="000000" w:themeColor="text1"/>
          <w:sz w:val="20"/>
          <w:szCs w:val="20"/>
        </w:rPr>
        <w:t>monitorowania emisj</w:t>
      </w:r>
      <w:r w:rsidR="000E289C">
        <w:rPr>
          <w:rFonts w:ascii="Arial" w:hAnsi="Arial" w:cs="Arial"/>
          <w:bCs/>
          <w:color w:val="000000" w:themeColor="text1"/>
          <w:sz w:val="20"/>
          <w:szCs w:val="20"/>
        </w:rPr>
        <w:t>i ze statków, pierwotnej</w:t>
      </w:r>
      <w:r w:rsidR="004C6CC5">
        <w:rPr>
          <w:rFonts w:ascii="Arial" w:hAnsi="Arial" w:cs="Arial"/>
          <w:bCs/>
          <w:color w:val="000000" w:themeColor="text1"/>
          <w:sz w:val="20"/>
          <w:szCs w:val="20"/>
        </w:rPr>
        <w:t xml:space="preserve"> i </w:t>
      </w:r>
      <w:r w:rsidR="000E289C">
        <w:rPr>
          <w:rFonts w:ascii="Arial" w:hAnsi="Arial" w:cs="Arial"/>
          <w:bCs/>
          <w:color w:val="000000" w:themeColor="text1"/>
          <w:sz w:val="20"/>
          <w:szCs w:val="20"/>
        </w:rPr>
        <w:t>wtórnej emisji sadzy</w:t>
      </w:r>
      <w:r w:rsidRPr="004C6CC5">
        <w:rPr>
          <w:rFonts w:ascii="Arial" w:hAnsi="Arial" w:cs="Arial"/>
          <w:bCs/>
          <w:color w:val="000000" w:themeColor="text1"/>
          <w:sz w:val="20"/>
          <w:szCs w:val="20"/>
        </w:rPr>
        <w:t>; wykorzystania satelitarnych technik telemetrii emisji; wdrażania</w:t>
      </w:r>
      <w:r w:rsidR="004C6CC5">
        <w:rPr>
          <w:rFonts w:ascii="Arial" w:hAnsi="Arial" w:cs="Arial"/>
          <w:bCs/>
          <w:color w:val="000000" w:themeColor="text1"/>
          <w:sz w:val="20"/>
          <w:szCs w:val="20"/>
        </w:rPr>
        <w:t xml:space="preserve"> i </w:t>
      </w:r>
      <w:r w:rsidRPr="004C6CC5">
        <w:rPr>
          <w:rFonts w:ascii="Arial" w:hAnsi="Arial" w:cs="Arial"/>
          <w:bCs/>
          <w:color w:val="000000" w:themeColor="text1"/>
          <w:sz w:val="20"/>
          <w:szCs w:val="20"/>
        </w:rPr>
        <w:t>egzekwowania wymagań dotyczących obszarów kontroli emisji NOx; prac poświęconych Kodeksowi technicznemu NOx; metod ograniczania emisji NOx.</w:t>
      </w:r>
    </w:p>
    <w:p w14:paraId="04C4885A" w14:textId="65C7B83F" w:rsidR="00BF7130" w:rsidRPr="004C6CC5" w:rsidRDefault="00BF7130" w:rsidP="008D2321">
      <w:pPr>
        <w:spacing w:after="120" w:line="276" w:lineRule="auto"/>
        <w:jc w:val="both"/>
        <w:rPr>
          <w:rFonts w:ascii="Arial" w:hAnsi="Arial" w:cs="Arial"/>
          <w:sz w:val="20"/>
          <w:szCs w:val="20"/>
        </w:rPr>
      </w:pPr>
      <w:r w:rsidRPr="004C6CC5">
        <w:rPr>
          <w:rFonts w:ascii="Arial" w:hAnsi="Arial" w:cs="Arial"/>
          <w:sz w:val="20"/>
          <w:szCs w:val="20"/>
        </w:rPr>
        <w:t xml:space="preserve">Przedstawiciel </w:t>
      </w:r>
      <w:r w:rsidRPr="004C6CC5">
        <w:rPr>
          <w:rFonts w:ascii="Arial" w:hAnsi="Arial" w:cs="Arial"/>
          <w:color w:val="000000" w:themeColor="text1"/>
          <w:sz w:val="20"/>
          <w:szCs w:val="20"/>
        </w:rPr>
        <w:t>Polski</w:t>
      </w:r>
      <w:r w:rsidRPr="004C6CC5">
        <w:rPr>
          <w:rFonts w:ascii="Arial" w:hAnsi="Arial" w:cs="Arial"/>
          <w:sz w:val="20"/>
          <w:szCs w:val="20"/>
        </w:rPr>
        <w:t xml:space="preserve"> uczestniczył także</w:t>
      </w:r>
      <w:r w:rsidR="00AE0844">
        <w:rPr>
          <w:rFonts w:ascii="Arial" w:hAnsi="Arial" w:cs="Arial"/>
          <w:sz w:val="20"/>
          <w:szCs w:val="20"/>
        </w:rPr>
        <w:t xml:space="preserve"> w </w:t>
      </w:r>
      <w:r w:rsidRPr="004C6CC5">
        <w:rPr>
          <w:rFonts w:ascii="Arial" w:hAnsi="Arial" w:cs="Arial"/>
          <w:sz w:val="20"/>
          <w:szCs w:val="20"/>
        </w:rPr>
        <w:t>6. posiedzeniu Komitetu ds. wdrażania dyrektywy Parlamentu Europejskiego</w:t>
      </w:r>
      <w:r w:rsidR="004C6CC5">
        <w:rPr>
          <w:rFonts w:ascii="Arial" w:hAnsi="Arial" w:cs="Arial"/>
          <w:sz w:val="20"/>
          <w:szCs w:val="20"/>
        </w:rPr>
        <w:t xml:space="preserve"> i </w:t>
      </w:r>
      <w:r w:rsidRPr="004C6CC5">
        <w:rPr>
          <w:rFonts w:ascii="Arial" w:hAnsi="Arial" w:cs="Arial"/>
          <w:sz w:val="20"/>
          <w:szCs w:val="20"/>
        </w:rPr>
        <w:t>Rady (UE) 2016/802</w:t>
      </w:r>
      <w:r w:rsidR="004C6CC5">
        <w:rPr>
          <w:rFonts w:ascii="Arial" w:hAnsi="Arial" w:cs="Arial"/>
          <w:sz w:val="20"/>
          <w:szCs w:val="20"/>
        </w:rPr>
        <w:t xml:space="preserve"> z </w:t>
      </w:r>
      <w:r w:rsidRPr="004C6CC5">
        <w:rPr>
          <w:rFonts w:ascii="Arial" w:hAnsi="Arial" w:cs="Arial"/>
          <w:sz w:val="20"/>
          <w:szCs w:val="20"/>
        </w:rPr>
        <w:t>dnia 11 maja 2016</w:t>
      </w:r>
      <w:r w:rsidR="009D01B9" w:rsidRPr="004C6CC5">
        <w:rPr>
          <w:rFonts w:ascii="Arial" w:hAnsi="Arial" w:cs="Arial"/>
          <w:sz w:val="20"/>
          <w:szCs w:val="20"/>
        </w:rPr>
        <w:t xml:space="preserve"> r. </w:t>
      </w:r>
      <w:r w:rsidRPr="004C6CC5">
        <w:rPr>
          <w:rFonts w:ascii="Arial" w:hAnsi="Arial" w:cs="Arial"/>
          <w:sz w:val="20"/>
          <w:szCs w:val="20"/>
        </w:rPr>
        <w:t>odnoszącej się do redukcji zawartości siarki</w:t>
      </w:r>
      <w:r w:rsidR="004C6CC5">
        <w:rPr>
          <w:rFonts w:ascii="Arial" w:hAnsi="Arial" w:cs="Arial"/>
          <w:sz w:val="20"/>
          <w:szCs w:val="20"/>
        </w:rPr>
        <w:t xml:space="preserve"> w </w:t>
      </w:r>
      <w:r w:rsidRPr="004C6CC5">
        <w:rPr>
          <w:rFonts w:ascii="Arial" w:hAnsi="Arial" w:cs="Arial"/>
          <w:sz w:val="20"/>
          <w:szCs w:val="20"/>
        </w:rPr>
        <w:t>niektórych pal</w:t>
      </w:r>
      <w:r w:rsidR="00AE0844">
        <w:rPr>
          <w:rFonts w:ascii="Arial" w:hAnsi="Arial" w:cs="Arial"/>
          <w:sz w:val="20"/>
          <w:szCs w:val="20"/>
        </w:rPr>
        <w:t>iwach ciekłych</w:t>
      </w:r>
      <w:r w:rsidRPr="004C6CC5">
        <w:rPr>
          <w:rFonts w:ascii="Arial" w:hAnsi="Arial" w:cs="Arial"/>
          <w:sz w:val="20"/>
          <w:szCs w:val="20"/>
        </w:rPr>
        <w:t>. Komitet zebrał się</w:t>
      </w:r>
      <w:r w:rsidR="004C6CC5">
        <w:rPr>
          <w:rFonts w:ascii="Arial" w:hAnsi="Arial" w:cs="Arial"/>
          <w:sz w:val="20"/>
          <w:szCs w:val="20"/>
        </w:rPr>
        <w:t xml:space="preserve"> w </w:t>
      </w:r>
      <w:r w:rsidRPr="004C6CC5">
        <w:rPr>
          <w:rFonts w:ascii="Arial" w:hAnsi="Arial" w:cs="Arial"/>
          <w:sz w:val="20"/>
          <w:szCs w:val="20"/>
        </w:rPr>
        <w:t>celu oceny stanu wdrażania dyrektywy 2016/802</w:t>
      </w:r>
      <w:r w:rsidR="004C6CC5">
        <w:rPr>
          <w:rFonts w:ascii="Arial" w:hAnsi="Arial" w:cs="Arial"/>
          <w:sz w:val="20"/>
          <w:szCs w:val="20"/>
        </w:rPr>
        <w:t xml:space="preserve"> i </w:t>
      </w:r>
      <w:r w:rsidRPr="004C6CC5">
        <w:rPr>
          <w:rFonts w:ascii="Arial" w:hAnsi="Arial" w:cs="Arial"/>
          <w:sz w:val="20"/>
          <w:szCs w:val="20"/>
        </w:rPr>
        <w:t>decyzji 2015/253 / UE</w:t>
      </w:r>
      <w:r w:rsidR="004C6CC5">
        <w:rPr>
          <w:rFonts w:ascii="Arial" w:hAnsi="Arial" w:cs="Arial"/>
          <w:sz w:val="20"/>
          <w:szCs w:val="20"/>
        </w:rPr>
        <w:t xml:space="preserve"> w </w:t>
      </w:r>
      <w:r w:rsidRPr="004C6CC5">
        <w:rPr>
          <w:rFonts w:ascii="Arial" w:hAnsi="Arial" w:cs="Arial"/>
          <w:sz w:val="20"/>
          <w:szCs w:val="20"/>
        </w:rPr>
        <w:t>sprawie strategii pobierania próbek</w:t>
      </w:r>
      <w:r w:rsidR="004C6CC5">
        <w:rPr>
          <w:rFonts w:ascii="Arial" w:hAnsi="Arial" w:cs="Arial"/>
          <w:sz w:val="20"/>
          <w:szCs w:val="20"/>
        </w:rPr>
        <w:t xml:space="preserve"> i </w:t>
      </w:r>
      <w:r w:rsidRPr="004C6CC5">
        <w:rPr>
          <w:rFonts w:ascii="Arial" w:hAnsi="Arial" w:cs="Arial"/>
          <w:sz w:val="20"/>
          <w:szCs w:val="20"/>
        </w:rPr>
        <w:t>sprawozdawczości oraz</w:t>
      </w:r>
      <w:r w:rsidR="004C6CC5">
        <w:rPr>
          <w:rFonts w:ascii="Arial" w:hAnsi="Arial" w:cs="Arial"/>
          <w:sz w:val="20"/>
          <w:szCs w:val="20"/>
        </w:rPr>
        <w:t xml:space="preserve"> w </w:t>
      </w:r>
      <w:r w:rsidRPr="004C6CC5">
        <w:rPr>
          <w:rFonts w:ascii="Arial" w:hAnsi="Arial" w:cs="Arial"/>
          <w:sz w:val="20"/>
          <w:szCs w:val="20"/>
        </w:rPr>
        <w:t>celu wypracowania zaleceń</w:t>
      </w:r>
      <w:r w:rsidR="004C6CC5">
        <w:rPr>
          <w:rFonts w:ascii="Arial" w:hAnsi="Arial" w:cs="Arial"/>
          <w:sz w:val="20"/>
          <w:szCs w:val="20"/>
        </w:rPr>
        <w:t xml:space="preserve"> w </w:t>
      </w:r>
      <w:r w:rsidRPr="004C6CC5">
        <w:rPr>
          <w:rFonts w:ascii="Arial" w:hAnsi="Arial" w:cs="Arial"/>
          <w:sz w:val="20"/>
          <w:szCs w:val="20"/>
        </w:rPr>
        <w:t>związku</w:t>
      </w:r>
      <w:r w:rsidR="004C6CC5">
        <w:rPr>
          <w:rFonts w:ascii="Arial" w:hAnsi="Arial" w:cs="Arial"/>
          <w:sz w:val="20"/>
          <w:szCs w:val="20"/>
        </w:rPr>
        <w:t xml:space="preserve"> z </w:t>
      </w:r>
      <w:r w:rsidRPr="004C6CC5">
        <w:rPr>
          <w:rFonts w:ascii="Arial" w:hAnsi="Arial" w:cs="Arial"/>
          <w:sz w:val="20"/>
          <w:szCs w:val="20"/>
        </w:rPr>
        <w:t>przygotowaniami niezbędnymi do wejścia</w:t>
      </w:r>
      <w:r w:rsidR="004C6CC5">
        <w:rPr>
          <w:rFonts w:ascii="Arial" w:hAnsi="Arial" w:cs="Arial"/>
          <w:sz w:val="20"/>
          <w:szCs w:val="20"/>
        </w:rPr>
        <w:t xml:space="preserve"> w </w:t>
      </w:r>
      <w:r w:rsidRPr="004C6CC5">
        <w:rPr>
          <w:rFonts w:ascii="Arial" w:hAnsi="Arial" w:cs="Arial"/>
          <w:sz w:val="20"/>
          <w:szCs w:val="20"/>
        </w:rPr>
        <w:t>życie globalnego limitu siarki</w:t>
      </w:r>
      <w:r w:rsidR="004C6CC5">
        <w:rPr>
          <w:rFonts w:ascii="Arial" w:hAnsi="Arial" w:cs="Arial"/>
          <w:sz w:val="20"/>
          <w:szCs w:val="20"/>
        </w:rPr>
        <w:t xml:space="preserve"> w </w:t>
      </w:r>
      <w:r w:rsidRPr="004C6CC5">
        <w:rPr>
          <w:rFonts w:ascii="Arial" w:hAnsi="Arial" w:cs="Arial"/>
          <w:sz w:val="20"/>
          <w:szCs w:val="20"/>
        </w:rPr>
        <w:t>paliwie żeglugowym na poziomie 0,5% od 2020</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UE</w:t>
      </w:r>
      <w:r w:rsidR="004C6CC5">
        <w:rPr>
          <w:rFonts w:ascii="Arial" w:hAnsi="Arial" w:cs="Arial"/>
          <w:sz w:val="20"/>
          <w:szCs w:val="20"/>
        </w:rPr>
        <w:t xml:space="preserve"> i </w:t>
      </w:r>
      <w:r w:rsidRPr="004C6CC5">
        <w:rPr>
          <w:rFonts w:ascii="Arial" w:hAnsi="Arial" w:cs="Arial"/>
          <w:sz w:val="20"/>
          <w:szCs w:val="20"/>
        </w:rPr>
        <w:t>na świecie. Komitet rozważył kwestię potencjału nowych oraz ulepszonych metod</w:t>
      </w:r>
      <w:r w:rsidR="004C6CC5">
        <w:rPr>
          <w:rFonts w:ascii="Arial" w:hAnsi="Arial" w:cs="Arial"/>
          <w:sz w:val="20"/>
          <w:szCs w:val="20"/>
        </w:rPr>
        <w:t xml:space="preserve"> i </w:t>
      </w:r>
      <w:r w:rsidRPr="004C6CC5">
        <w:rPr>
          <w:rFonts w:ascii="Arial" w:hAnsi="Arial" w:cs="Arial"/>
          <w:sz w:val="20"/>
          <w:szCs w:val="20"/>
        </w:rPr>
        <w:t>narzędzi umożliwiających wspólne</w:t>
      </w:r>
      <w:r w:rsidR="004C6CC5">
        <w:rPr>
          <w:rFonts w:ascii="Arial" w:hAnsi="Arial" w:cs="Arial"/>
          <w:sz w:val="20"/>
          <w:szCs w:val="20"/>
        </w:rPr>
        <w:t xml:space="preserve"> i </w:t>
      </w:r>
      <w:r w:rsidRPr="004C6CC5">
        <w:rPr>
          <w:rFonts w:ascii="Arial" w:hAnsi="Arial" w:cs="Arial"/>
          <w:sz w:val="20"/>
          <w:szCs w:val="20"/>
        </w:rPr>
        <w:t>skuteczne egzekwowanie przepisów dyrektywy</w:t>
      </w:r>
      <w:r w:rsidR="004C6CC5">
        <w:rPr>
          <w:rFonts w:ascii="Arial" w:hAnsi="Arial" w:cs="Arial"/>
          <w:sz w:val="20"/>
          <w:szCs w:val="20"/>
        </w:rPr>
        <w:t xml:space="preserve"> w </w:t>
      </w:r>
      <w:r w:rsidRPr="004C6CC5">
        <w:rPr>
          <w:rFonts w:ascii="Arial" w:hAnsi="Arial" w:cs="Arial"/>
          <w:sz w:val="20"/>
          <w:szCs w:val="20"/>
        </w:rPr>
        <w:t>odniesieniu do operatorów statków, zarówno</w:t>
      </w:r>
      <w:r w:rsidR="004C6CC5">
        <w:rPr>
          <w:rFonts w:ascii="Arial" w:hAnsi="Arial" w:cs="Arial"/>
          <w:sz w:val="20"/>
          <w:szCs w:val="20"/>
        </w:rPr>
        <w:t xml:space="preserve"> w </w:t>
      </w:r>
      <w:r w:rsidRPr="004C6CC5">
        <w:rPr>
          <w:rFonts w:ascii="Arial" w:hAnsi="Arial" w:cs="Arial"/>
          <w:sz w:val="20"/>
          <w:szCs w:val="20"/>
        </w:rPr>
        <w:t>portach, jak</w:t>
      </w:r>
      <w:r w:rsidR="004C6CC5">
        <w:rPr>
          <w:rFonts w:ascii="Arial" w:hAnsi="Arial" w:cs="Arial"/>
          <w:sz w:val="20"/>
          <w:szCs w:val="20"/>
        </w:rPr>
        <w:t xml:space="preserve"> i </w:t>
      </w:r>
      <w:r w:rsidRPr="004C6CC5">
        <w:rPr>
          <w:rFonts w:ascii="Arial" w:hAnsi="Arial" w:cs="Arial"/>
          <w:sz w:val="20"/>
          <w:szCs w:val="20"/>
        </w:rPr>
        <w:t>na otwartym morzu, oraz</w:t>
      </w:r>
      <w:r w:rsidR="004C6CC5">
        <w:rPr>
          <w:rFonts w:ascii="Arial" w:hAnsi="Arial" w:cs="Arial"/>
          <w:sz w:val="20"/>
          <w:szCs w:val="20"/>
        </w:rPr>
        <w:t xml:space="preserve"> w </w:t>
      </w:r>
      <w:r w:rsidRPr="004C6CC5">
        <w:rPr>
          <w:rFonts w:ascii="Arial" w:hAnsi="Arial" w:cs="Arial"/>
          <w:sz w:val="20"/>
          <w:szCs w:val="20"/>
        </w:rPr>
        <w:t xml:space="preserve">odniesieniu do dostawców paliw żeglugowych. Podczas </w:t>
      </w:r>
      <w:r w:rsidRPr="004C6CC5">
        <w:rPr>
          <w:rFonts w:ascii="Arial" w:hAnsi="Arial" w:cs="Arial"/>
          <w:sz w:val="20"/>
          <w:szCs w:val="20"/>
        </w:rPr>
        <w:lastRenderedPageBreak/>
        <w:t>posiedzenia przedstawione zostały informacje na temat monitorowania zgodności</w:t>
      </w:r>
      <w:r w:rsidR="004C6CC5">
        <w:rPr>
          <w:rFonts w:ascii="Arial" w:hAnsi="Arial" w:cs="Arial"/>
          <w:sz w:val="20"/>
          <w:szCs w:val="20"/>
        </w:rPr>
        <w:t xml:space="preserve"> z </w:t>
      </w:r>
      <w:r w:rsidRPr="004C6CC5">
        <w:rPr>
          <w:rFonts w:ascii="Arial" w:hAnsi="Arial" w:cs="Arial"/>
          <w:sz w:val="20"/>
          <w:szCs w:val="20"/>
        </w:rPr>
        <w:t>wymaganiami</w:t>
      </w:r>
      <w:r w:rsidR="004C6CC5">
        <w:rPr>
          <w:rFonts w:ascii="Arial" w:hAnsi="Arial" w:cs="Arial"/>
          <w:sz w:val="20"/>
          <w:szCs w:val="20"/>
        </w:rPr>
        <w:t xml:space="preserve"> w </w:t>
      </w:r>
      <w:r w:rsidRPr="004C6CC5">
        <w:rPr>
          <w:rFonts w:ascii="Arial" w:hAnsi="Arial" w:cs="Arial"/>
          <w:sz w:val="20"/>
          <w:szCs w:val="20"/>
        </w:rPr>
        <w:t xml:space="preserve">zakresie częstotliwości inspekcji oraz próbkowania paliw żeglugowych, a także informacje </w:t>
      </w:r>
      <w:r w:rsidR="00C9524A">
        <w:rPr>
          <w:rFonts w:ascii="Arial" w:hAnsi="Arial" w:cs="Arial"/>
          <w:sz w:val="20"/>
          <w:szCs w:val="20"/>
        </w:rPr>
        <w:br/>
      </w:r>
      <w:r w:rsidRPr="004C6CC5">
        <w:rPr>
          <w:rFonts w:ascii="Arial" w:hAnsi="Arial" w:cs="Arial"/>
          <w:sz w:val="20"/>
          <w:szCs w:val="20"/>
        </w:rPr>
        <w:t>o inwentaryzacji emisji</w:t>
      </w:r>
      <w:r w:rsidR="004C6CC5">
        <w:rPr>
          <w:rFonts w:ascii="Arial" w:hAnsi="Arial" w:cs="Arial"/>
          <w:sz w:val="20"/>
          <w:szCs w:val="20"/>
        </w:rPr>
        <w:t xml:space="preserve"> w </w:t>
      </w:r>
      <w:r w:rsidRPr="004C6CC5">
        <w:rPr>
          <w:rFonts w:ascii="Arial" w:hAnsi="Arial" w:cs="Arial"/>
          <w:sz w:val="20"/>
          <w:szCs w:val="20"/>
        </w:rPr>
        <w:t>oparciu o rzeczywisty ruch statków. Omówione zostały zagadnienie krajowych mechanizmów wyboru statków do inspekcji siarkowych oraz dostępnych instrumentów, które mogą wspierać działanie tych mechanizmów. Przedstawiony został również rezultat wizyt kontrolnych EMSA</w:t>
      </w:r>
      <w:r w:rsidR="004C6CC5">
        <w:rPr>
          <w:rFonts w:ascii="Arial" w:hAnsi="Arial" w:cs="Arial"/>
          <w:sz w:val="20"/>
          <w:szCs w:val="20"/>
        </w:rPr>
        <w:t xml:space="preserve"> w </w:t>
      </w:r>
      <w:r w:rsidRPr="004C6CC5">
        <w:rPr>
          <w:rFonts w:ascii="Arial" w:hAnsi="Arial" w:cs="Arial"/>
          <w:sz w:val="20"/>
          <w:szCs w:val="20"/>
        </w:rPr>
        <w:t>państwach członkowskich UE</w:t>
      </w:r>
      <w:r w:rsidR="004C1BD1">
        <w:rPr>
          <w:rFonts w:ascii="Arial" w:hAnsi="Arial" w:cs="Arial"/>
          <w:sz w:val="20"/>
          <w:szCs w:val="20"/>
        </w:rPr>
        <w:t xml:space="preserve"> i </w:t>
      </w:r>
      <w:r w:rsidRPr="004C6CC5">
        <w:rPr>
          <w:rFonts w:ascii="Arial" w:hAnsi="Arial" w:cs="Arial"/>
          <w:sz w:val="20"/>
          <w:szCs w:val="20"/>
        </w:rPr>
        <w:t>wynikające</w:t>
      </w:r>
      <w:r w:rsidR="004C1BD1">
        <w:rPr>
          <w:rFonts w:ascii="Arial" w:hAnsi="Arial" w:cs="Arial"/>
          <w:sz w:val="20"/>
          <w:szCs w:val="20"/>
        </w:rPr>
        <w:t xml:space="preserve"> z </w:t>
      </w:r>
      <w:r w:rsidRPr="004C6CC5">
        <w:rPr>
          <w:rFonts w:ascii="Arial" w:hAnsi="Arial" w:cs="Arial"/>
          <w:sz w:val="20"/>
          <w:szCs w:val="20"/>
        </w:rPr>
        <w:t>nich wnioski dotyczące efektywności kosztowej stosowanych instrumentów. Kwestia przygotowań do wejścia</w:t>
      </w:r>
      <w:r w:rsidR="004C6CC5">
        <w:rPr>
          <w:rFonts w:ascii="Arial" w:hAnsi="Arial" w:cs="Arial"/>
          <w:sz w:val="20"/>
          <w:szCs w:val="20"/>
        </w:rPr>
        <w:t xml:space="preserve"> w </w:t>
      </w:r>
      <w:r w:rsidRPr="004C6CC5">
        <w:rPr>
          <w:rFonts w:ascii="Arial" w:hAnsi="Arial" w:cs="Arial"/>
          <w:sz w:val="20"/>
          <w:szCs w:val="20"/>
        </w:rPr>
        <w:t>życie globalnego limitu siarki</w:t>
      </w:r>
      <w:r w:rsidR="004C6CC5">
        <w:rPr>
          <w:rFonts w:ascii="Arial" w:hAnsi="Arial" w:cs="Arial"/>
          <w:sz w:val="20"/>
          <w:szCs w:val="20"/>
        </w:rPr>
        <w:t xml:space="preserve"> w </w:t>
      </w:r>
      <w:r w:rsidRPr="004C6CC5">
        <w:rPr>
          <w:rFonts w:ascii="Arial" w:hAnsi="Arial" w:cs="Arial"/>
          <w:sz w:val="20"/>
          <w:szCs w:val="20"/>
        </w:rPr>
        <w:t>paliwie żeglugowym na poziomie 0,5% od 2020</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UE</w:t>
      </w:r>
      <w:r w:rsidR="004C6CC5">
        <w:rPr>
          <w:rFonts w:ascii="Arial" w:hAnsi="Arial" w:cs="Arial"/>
          <w:sz w:val="20"/>
          <w:szCs w:val="20"/>
        </w:rPr>
        <w:t xml:space="preserve"> i </w:t>
      </w:r>
      <w:r w:rsidRPr="004C6CC5">
        <w:rPr>
          <w:rFonts w:ascii="Arial" w:hAnsi="Arial" w:cs="Arial"/>
          <w:sz w:val="20"/>
          <w:szCs w:val="20"/>
        </w:rPr>
        <w:t>na świecie poddana została dyskusji</w:t>
      </w:r>
      <w:r w:rsidR="004C6CC5">
        <w:rPr>
          <w:rFonts w:ascii="Arial" w:hAnsi="Arial" w:cs="Arial"/>
          <w:sz w:val="20"/>
          <w:szCs w:val="20"/>
        </w:rPr>
        <w:t xml:space="preserve"> w </w:t>
      </w:r>
      <w:r w:rsidRPr="004C6CC5">
        <w:rPr>
          <w:rFonts w:ascii="Arial" w:hAnsi="Arial" w:cs="Arial"/>
          <w:sz w:val="20"/>
          <w:szCs w:val="20"/>
        </w:rPr>
        <w:t>szczególności</w:t>
      </w:r>
      <w:r w:rsidR="004C6CC5">
        <w:rPr>
          <w:rFonts w:ascii="Arial" w:hAnsi="Arial" w:cs="Arial"/>
          <w:sz w:val="20"/>
          <w:szCs w:val="20"/>
        </w:rPr>
        <w:t xml:space="preserve"> w </w:t>
      </w:r>
      <w:r w:rsidRPr="004C6CC5">
        <w:rPr>
          <w:rFonts w:ascii="Arial" w:hAnsi="Arial" w:cs="Arial"/>
          <w:sz w:val="20"/>
          <w:szCs w:val="20"/>
        </w:rPr>
        <w:t>aspekcie zakazu przewożenia przez statki</w:t>
      </w:r>
      <w:r w:rsidR="004C6CC5">
        <w:rPr>
          <w:rFonts w:ascii="Arial" w:hAnsi="Arial" w:cs="Arial"/>
          <w:sz w:val="20"/>
          <w:szCs w:val="20"/>
        </w:rPr>
        <w:t xml:space="preserve"> w </w:t>
      </w:r>
      <w:r w:rsidRPr="004C6CC5">
        <w:rPr>
          <w:rFonts w:ascii="Arial" w:hAnsi="Arial" w:cs="Arial"/>
          <w:sz w:val="20"/>
          <w:szCs w:val="20"/>
        </w:rPr>
        <w:t>celu użycia paliw niespełniających wymagań siarkowych, wytycznych kontroli państwa portu, zawiadomień o niedostępności paliw, a także krajowych kategoryzacji paliw</w:t>
      </w:r>
      <w:r w:rsidR="004C6CC5">
        <w:rPr>
          <w:rFonts w:ascii="Arial" w:hAnsi="Arial" w:cs="Arial"/>
          <w:sz w:val="20"/>
          <w:szCs w:val="20"/>
        </w:rPr>
        <w:t xml:space="preserve"> i </w:t>
      </w:r>
      <w:r w:rsidRPr="004C6CC5">
        <w:rPr>
          <w:rFonts w:ascii="Arial" w:hAnsi="Arial" w:cs="Arial"/>
          <w:sz w:val="20"/>
          <w:szCs w:val="20"/>
        </w:rPr>
        <w:t>wytycznych branżowych</w:t>
      </w:r>
      <w:r w:rsidR="004C6CC5">
        <w:rPr>
          <w:rFonts w:ascii="Arial" w:hAnsi="Arial" w:cs="Arial"/>
          <w:sz w:val="20"/>
          <w:szCs w:val="20"/>
        </w:rPr>
        <w:t xml:space="preserve"> w </w:t>
      </w:r>
      <w:r w:rsidRPr="004C6CC5">
        <w:rPr>
          <w:rFonts w:ascii="Arial" w:hAnsi="Arial" w:cs="Arial"/>
          <w:sz w:val="20"/>
          <w:szCs w:val="20"/>
        </w:rPr>
        <w:t>tym zakresie oraz ujednolicenia metodologii weryfikacji zawartości siarki</w:t>
      </w:r>
      <w:r w:rsidR="004C6CC5">
        <w:rPr>
          <w:rFonts w:ascii="Arial" w:hAnsi="Arial" w:cs="Arial"/>
          <w:sz w:val="20"/>
          <w:szCs w:val="20"/>
        </w:rPr>
        <w:t xml:space="preserve"> w </w:t>
      </w:r>
      <w:r w:rsidRPr="004C6CC5">
        <w:rPr>
          <w:rFonts w:ascii="Arial" w:hAnsi="Arial" w:cs="Arial"/>
          <w:sz w:val="20"/>
          <w:szCs w:val="20"/>
        </w:rPr>
        <w:t>paliwach żeglugowych. Omówiona została również sprawa krajowego raportowania zgodnie</w:t>
      </w:r>
      <w:r w:rsidR="004C6CC5">
        <w:rPr>
          <w:rFonts w:ascii="Arial" w:hAnsi="Arial" w:cs="Arial"/>
          <w:sz w:val="20"/>
          <w:szCs w:val="20"/>
        </w:rPr>
        <w:t xml:space="preserve"> z </w:t>
      </w:r>
      <w:r w:rsidRPr="004C6CC5">
        <w:rPr>
          <w:rFonts w:ascii="Arial" w:hAnsi="Arial" w:cs="Arial"/>
          <w:sz w:val="20"/>
          <w:szCs w:val="20"/>
        </w:rPr>
        <w:t>dyrektywą, sprawa zrzutu wód technologicznych</w:t>
      </w:r>
      <w:r w:rsidR="004C6CC5">
        <w:rPr>
          <w:rFonts w:ascii="Arial" w:hAnsi="Arial" w:cs="Arial"/>
          <w:sz w:val="20"/>
          <w:szCs w:val="20"/>
        </w:rPr>
        <w:t xml:space="preserve"> z </w:t>
      </w:r>
      <w:r w:rsidRPr="004C6CC5">
        <w:rPr>
          <w:rFonts w:ascii="Arial" w:hAnsi="Arial" w:cs="Arial"/>
          <w:sz w:val="20"/>
          <w:szCs w:val="20"/>
        </w:rPr>
        <w:t>urządzeń oczyszczania spalin oraz sprawa wzmocnienia kontroli emisji na Morzu Śródziemnym.</w:t>
      </w:r>
    </w:p>
    <w:p w14:paraId="2C4544A0" w14:textId="2F44A521" w:rsidR="005E12D9" w:rsidRPr="007B6F11" w:rsidRDefault="005E12D9" w:rsidP="000E5D9D">
      <w:pPr>
        <w:pStyle w:val="Nagwek2"/>
        <w:jc w:val="both"/>
        <w:rPr>
          <w:rFonts w:ascii="Arial" w:hAnsi="Arial" w:cs="Arial"/>
          <w:b/>
          <w:sz w:val="20"/>
          <w:szCs w:val="20"/>
        </w:rPr>
      </w:pPr>
      <w:bookmarkStart w:id="40" w:name="_Toc72745054"/>
      <w:r w:rsidRPr="007B6F11">
        <w:rPr>
          <w:rFonts w:ascii="Arial" w:hAnsi="Arial" w:cs="Arial"/>
          <w:b/>
          <w:color w:val="auto"/>
          <w:sz w:val="20"/>
          <w:szCs w:val="20"/>
        </w:rPr>
        <w:t>Działania</w:t>
      </w:r>
      <w:r w:rsidR="00C6317F">
        <w:rPr>
          <w:rFonts w:ascii="Arial" w:hAnsi="Arial" w:cs="Arial"/>
          <w:b/>
          <w:color w:val="auto"/>
          <w:sz w:val="20"/>
          <w:szCs w:val="20"/>
        </w:rPr>
        <w:t xml:space="preserve"> w </w:t>
      </w:r>
      <w:r w:rsidRPr="007B6F11">
        <w:rPr>
          <w:rFonts w:ascii="Arial" w:hAnsi="Arial" w:cs="Arial"/>
          <w:b/>
          <w:color w:val="auto"/>
          <w:sz w:val="20"/>
          <w:szCs w:val="20"/>
        </w:rPr>
        <w:t>ramach Konwencji o ochronie środowiska morskiego obszaru Morza Bałtyckiego</w:t>
      </w:r>
      <w:r w:rsidR="007B6F11">
        <w:rPr>
          <w:rFonts w:ascii="Arial" w:hAnsi="Arial" w:cs="Arial"/>
          <w:b/>
          <w:color w:val="auto"/>
          <w:sz w:val="20"/>
          <w:szCs w:val="20"/>
        </w:rPr>
        <w:t>.</w:t>
      </w:r>
      <w:bookmarkEnd w:id="40"/>
    </w:p>
    <w:p w14:paraId="78667EF8" w14:textId="49E1977C" w:rsidR="005E12D9" w:rsidRPr="004C6CC5" w:rsidRDefault="005E12D9" w:rsidP="008D2321">
      <w:pPr>
        <w:spacing w:before="120" w:after="120" w:line="276" w:lineRule="auto"/>
        <w:jc w:val="both"/>
        <w:rPr>
          <w:rFonts w:ascii="Arial" w:hAnsi="Arial" w:cs="Arial"/>
          <w:sz w:val="20"/>
          <w:szCs w:val="20"/>
        </w:rPr>
      </w:pPr>
      <w:r w:rsidRPr="004C6CC5">
        <w:rPr>
          <w:rFonts w:ascii="Arial" w:hAnsi="Arial" w:cs="Arial"/>
          <w:sz w:val="20"/>
          <w:szCs w:val="20"/>
        </w:rPr>
        <w:t>Konwencja o ochronie środowiska morskiego obszaru Morza Bałtyckiego (tzw. konwencja helsińska) określa zasady współpracy wszystkich państw nadbałtyckich</w:t>
      </w:r>
      <w:r w:rsidR="004C6CC5">
        <w:rPr>
          <w:rFonts w:ascii="Arial" w:hAnsi="Arial" w:cs="Arial"/>
          <w:sz w:val="20"/>
          <w:szCs w:val="20"/>
        </w:rPr>
        <w:t xml:space="preserve"> w </w:t>
      </w:r>
      <w:r w:rsidRPr="004C6CC5">
        <w:rPr>
          <w:rFonts w:ascii="Arial" w:hAnsi="Arial" w:cs="Arial"/>
          <w:sz w:val="20"/>
          <w:szCs w:val="20"/>
        </w:rPr>
        <w:t>zakresie kompleksowej ochrony Bałtyku przed zanieczyszczeniami, a jej organem wykonawczym jest Komisja Helsińska (HELCOM)</w:t>
      </w:r>
      <w:r w:rsidR="004C6CC5">
        <w:rPr>
          <w:rFonts w:ascii="Arial" w:hAnsi="Arial" w:cs="Arial"/>
          <w:sz w:val="20"/>
          <w:szCs w:val="20"/>
        </w:rPr>
        <w:t xml:space="preserve"> z </w:t>
      </w:r>
      <w:r w:rsidRPr="004C6CC5">
        <w:rPr>
          <w:rFonts w:ascii="Arial" w:hAnsi="Arial" w:cs="Arial"/>
          <w:sz w:val="20"/>
          <w:szCs w:val="20"/>
        </w:rPr>
        <w:t xml:space="preserve">siedzibą </w:t>
      </w:r>
      <w:r w:rsidRPr="004C6CC5">
        <w:rPr>
          <w:rFonts w:ascii="Arial" w:hAnsi="Arial" w:cs="Arial"/>
          <w:sz w:val="20"/>
          <w:szCs w:val="20"/>
        </w:rPr>
        <w:br/>
        <w:t>w Helsinkach. Komisja monitoruje wdrażanie konwencji</w:t>
      </w:r>
      <w:r w:rsidR="004C6CC5">
        <w:rPr>
          <w:rFonts w:ascii="Arial" w:hAnsi="Arial" w:cs="Arial"/>
          <w:sz w:val="20"/>
          <w:szCs w:val="20"/>
        </w:rPr>
        <w:t xml:space="preserve"> i </w:t>
      </w:r>
      <w:r w:rsidRPr="004C6CC5">
        <w:rPr>
          <w:rFonts w:ascii="Arial" w:hAnsi="Arial" w:cs="Arial"/>
          <w:sz w:val="20"/>
          <w:szCs w:val="20"/>
        </w:rPr>
        <w:t>podejmuje decyzje służące realizacji założonych celów. Działania HELCOM dotyczą zarówno wód morskich, jak również całego obszaru zlewiska Morza Bałtyckiego, do którego należy 99,7% powierzchni Polski.</w:t>
      </w:r>
      <w:r w:rsidR="005B4565">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ramach prac eksperckich grup roboczych HELCOM wypracowywane są zalecenia do podjęcia odpowiednich działań na szczeblu krajowym</w:t>
      </w:r>
      <w:r w:rsidR="004C6CC5">
        <w:rPr>
          <w:rFonts w:ascii="Arial" w:hAnsi="Arial" w:cs="Arial"/>
          <w:sz w:val="20"/>
          <w:szCs w:val="20"/>
        </w:rPr>
        <w:t xml:space="preserve"> w </w:t>
      </w:r>
      <w:r w:rsidRPr="004C6CC5">
        <w:rPr>
          <w:rFonts w:ascii="Arial" w:hAnsi="Arial" w:cs="Arial"/>
          <w:sz w:val="20"/>
          <w:szCs w:val="20"/>
        </w:rPr>
        <w:t>celu osiągnięcia dobrego stanu środowiska wód morskich Morza Bałtyckiego do roku 2021. Działania te dotyczą zarówno samych wód morskich, jak</w:t>
      </w:r>
      <w:r w:rsidR="004C6CC5">
        <w:rPr>
          <w:rFonts w:ascii="Arial" w:hAnsi="Arial" w:cs="Arial"/>
          <w:sz w:val="20"/>
          <w:szCs w:val="20"/>
        </w:rPr>
        <w:t xml:space="preserve"> i </w:t>
      </w:r>
      <w:r w:rsidRPr="004C6CC5">
        <w:rPr>
          <w:rFonts w:ascii="Arial" w:hAnsi="Arial" w:cs="Arial"/>
          <w:sz w:val="20"/>
          <w:szCs w:val="20"/>
        </w:rPr>
        <w:t>całego obszaru zlewiska Morza Bałtyckiego.</w:t>
      </w:r>
    </w:p>
    <w:p w14:paraId="0F21EFED" w14:textId="6E7D4BAF"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Polska aktywnie uczestniczy</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współpracuje</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działaniach prowadzonych przez Komisję Ochrony Środowiska Morskiego Bałtyku (Komisja Helsińska/HELCOM)</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celu wypełnienia zobowiązań prawnych</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dziedzinie ochrony środowiska morskiego Morza Bałtyckiego. Prace HELCOM prowadzone są</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5 stałych grupach, 3 grupach czasowych</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wielu grupach zadaniowych, aby</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pełni wykorzystać potencjał ekspertów</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skupić się na nadrzędnym celu, jakim jest osiągnięcie dobrego stanu środowiska Morza Bałtyckiego do 2021</w:t>
      </w:r>
      <w:r w:rsidR="009D01B9" w:rsidRPr="004C6CC5">
        <w:rPr>
          <w:rFonts w:ascii="Arial" w:hAnsi="Arial" w:cs="Arial"/>
          <w:color w:val="000000" w:themeColor="text1"/>
          <w:sz w:val="20"/>
          <w:szCs w:val="20"/>
        </w:rPr>
        <w:t xml:space="preserve"> r. </w:t>
      </w:r>
    </w:p>
    <w:p w14:paraId="23FE0614" w14:textId="26A40EDB"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W 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Polska kontynuowała swój aktywny udział</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współpracę</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działaniach prowadzonych przez HELCOM,</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celu wypełnienia zobowiązań prawnych</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zakresie ochrony środowiska morskiego Morza Bałtyckiego. Główne prace Komisji Helsińskiej związane były</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aktualizacją Bałtyckiego Planu Działania (BSAP), która ma mieć miejsce</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2021</w:t>
      </w:r>
      <w:r w:rsidR="007D1C24">
        <w:rPr>
          <w:rFonts w:ascii="Arial" w:hAnsi="Arial" w:cs="Arial"/>
          <w:color w:val="000000" w:themeColor="text1"/>
          <w:sz w:val="20"/>
          <w:szCs w:val="20"/>
        </w:rPr>
        <w:t xml:space="preserve"> r.</w:t>
      </w:r>
      <w:r w:rsidRPr="004C6CC5">
        <w:rPr>
          <w:rFonts w:ascii="Arial" w:hAnsi="Arial" w:cs="Arial"/>
          <w:color w:val="000000" w:themeColor="text1"/>
          <w:sz w:val="20"/>
          <w:szCs w:val="20"/>
        </w:rPr>
        <w:t>, zaś działania przedstawicieli Polski koncentrowały się na przekazywaniu danych raportowych, opracowywaniu dokumentów</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analiz, a także zapewnieniu udziału ekspertów</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przedstawicieli odpowiednich resortów</w:t>
      </w:r>
      <w:r w:rsidR="00517EC5">
        <w:rPr>
          <w:rFonts w:ascii="Arial" w:hAnsi="Arial" w:cs="Arial"/>
          <w:color w:val="000000" w:themeColor="text1"/>
          <w:sz w:val="20"/>
          <w:szCs w:val="20"/>
        </w:rPr>
        <w:t xml:space="preserve"> i </w:t>
      </w:r>
      <w:r w:rsidRPr="004C6CC5">
        <w:rPr>
          <w:rFonts w:ascii="Arial" w:hAnsi="Arial" w:cs="Arial"/>
          <w:color w:val="000000" w:themeColor="text1"/>
          <w:sz w:val="20"/>
          <w:szCs w:val="20"/>
        </w:rPr>
        <w:t>środowisk naukowych</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spotkaniach grup roboczych HELCOM zarówno stałych, jak</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ad hoc oraz we wszystkich nowych inicjatywach tego forum. Instytucjami zaangażowanymi</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prace Komisji Helsińskiej są Ministerstwo Gospodarki Morskiej</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Żeglugi Śródlądowej, Ministerstwo Rolnictwa</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 xml:space="preserve">Rozwoju Wsi, Ministerstwo Rozwoju, Ministerstwo </w:t>
      </w:r>
      <w:r w:rsidR="00931AB9">
        <w:rPr>
          <w:rFonts w:ascii="Arial" w:hAnsi="Arial" w:cs="Arial"/>
          <w:color w:val="000000" w:themeColor="text1"/>
          <w:sz w:val="20"/>
          <w:szCs w:val="20"/>
        </w:rPr>
        <w:t>Środowiska/</w:t>
      </w:r>
      <w:r w:rsidR="008B0E3A">
        <w:rPr>
          <w:rFonts w:ascii="Arial" w:hAnsi="Arial" w:cs="Arial"/>
          <w:color w:val="000000" w:themeColor="text1"/>
          <w:sz w:val="20"/>
          <w:szCs w:val="20"/>
        </w:rPr>
        <w:t xml:space="preserve">Ministerstwo </w:t>
      </w:r>
      <w:r w:rsidRPr="004C6CC5">
        <w:rPr>
          <w:rFonts w:ascii="Arial" w:hAnsi="Arial" w:cs="Arial"/>
          <w:color w:val="000000" w:themeColor="text1"/>
          <w:sz w:val="20"/>
          <w:szCs w:val="20"/>
        </w:rPr>
        <w:t>Klimatu, Ministerstwo Zdrowia, Generalna Dyrekcja Ochrony Środowiska, Główny Inspektorat Ochrony Środowiska, Państwowe Gospodarstwo Wodne Wody Polskie oraz jednostki nadzorowane lub podległe ww. podmiotom. Za koordynację spraw związanych</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członkostwem Polski</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Komisji Helsińskiej odpowiada Sekretariat HELCOM</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Polsce, który jest zlokalizowany</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Departamencie Gospodarki Morskiej</w:t>
      </w:r>
      <w:r w:rsidR="007D1C24">
        <w:rPr>
          <w:rFonts w:ascii="Arial" w:hAnsi="Arial" w:cs="Arial"/>
          <w:color w:val="000000" w:themeColor="text1"/>
          <w:sz w:val="20"/>
          <w:szCs w:val="20"/>
        </w:rPr>
        <w:t xml:space="preserve"> w </w:t>
      </w:r>
      <w:r w:rsidRPr="004C6CC5">
        <w:rPr>
          <w:rFonts w:ascii="Arial" w:hAnsi="Arial" w:cs="Arial"/>
          <w:color w:val="000000" w:themeColor="text1"/>
          <w:sz w:val="20"/>
          <w:szCs w:val="20"/>
        </w:rPr>
        <w:t>Ministerstwie Gospodarki Morskiej</w:t>
      </w:r>
      <w:r w:rsidR="00215C82">
        <w:rPr>
          <w:rFonts w:ascii="Arial" w:hAnsi="Arial" w:cs="Arial"/>
          <w:color w:val="000000" w:themeColor="text1"/>
          <w:sz w:val="20"/>
          <w:szCs w:val="20"/>
        </w:rPr>
        <w:t xml:space="preserve"> i </w:t>
      </w:r>
      <w:r w:rsidRPr="004C6CC5">
        <w:rPr>
          <w:rFonts w:ascii="Arial" w:hAnsi="Arial" w:cs="Arial"/>
          <w:color w:val="000000" w:themeColor="text1"/>
          <w:sz w:val="20"/>
          <w:szCs w:val="20"/>
        </w:rPr>
        <w:t>Żeglugi Śródlądowej. Dodatkowo Dyrektor Departamentu Gospodarki Morskiej pełni funkcję Przewodniczącego Delegacji Polskiej</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HELCOM.</w:t>
      </w:r>
    </w:p>
    <w:p w14:paraId="633C02D5" w14:textId="77777777" w:rsidR="005E12D9" w:rsidRPr="004C6CC5" w:rsidRDefault="005E12D9" w:rsidP="008D2321">
      <w:pPr>
        <w:spacing w:before="240" w:after="120" w:line="276" w:lineRule="auto"/>
        <w:jc w:val="both"/>
        <w:rPr>
          <w:rFonts w:ascii="Arial" w:hAnsi="Arial" w:cs="Arial"/>
          <w:b/>
          <w:sz w:val="20"/>
          <w:szCs w:val="20"/>
        </w:rPr>
      </w:pPr>
      <w:r w:rsidRPr="004C6CC5">
        <w:rPr>
          <w:rFonts w:ascii="Arial" w:hAnsi="Arial" w:cs="Arial"/>
          <w:b/>
          <w:sz w:val="20"/>
          <w:szCs w:val="20"/>
        </w:rPr>
        <w:t>HELCOM GEAR - grupa robocza ds. wdrażania podejścia ekosystemowego</w:t>
      </w:r>
    </w:p>
    <w:p w14:paraId="10D2E286" w14:textId="0358B0DB" w:rsidR="00144BFF" w:rsidRPr="004C6CC5" w:rsidRDefault="005E12D9" w:rsidP="008D2321">
      <w:pPr>
        <w:spacing w:after="120" w:line="276" w:lineRule="auto"/>
        <w:jc w:val="both"/>
        <w:rPr>
          <w:rFonts w:ascii="Arial" w:hAnsi="Arial" w:cs="Arial"/>
          <w:bCs/>
          <w:color w:val="000000" w:themeColor="text1"/>
          <w:sz w:val="20"/>
          <w:szCs w:val="20"/>
        </w:rPr>
      </w:pPr>
      <w:r w:rsidRPr="004C6CC5">
        <w:rPr>
          <w:rFonts w:ascii="Arial" w:hAnsi="Arial" w:cs="Arial"/>
          <w:bCs/>
          <w:color w:val="000000" w:themeColor="text1"/>
          <w:sz w:val="20"/>
          <w:szCs w:val="20"/>
        </w:rPr>
        <w:t>Głównym zadaniem grupy HELCOM GEAR jest wspieranie państw-stron konwencji</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procesie wdrażania poszczególnych elementów strategii morskich</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regionie Morza Bałtyckiego.</w:t>
      </w:r>
      <w:r w:rsidR="001A66D7">
        <w:rPr>
          <w:rFonts w:ascii="Arial" w:hAnsi="Arial" w:cs="Arial"/>
          <w:bCs/>
          <w:color w:val="000000" w:themeColor="text1"/>
          <w:sz w:val="20"/>
          <w:szCs w:val="20"/>
        </w:rPr>
        <w:t xml:space="preserve"> W</w:t>
      </w:r>
      <w:r w:rsidR="004C6CC5">
        <w:rPr>
          <w:rFonts w:ascii="Arial" w:hAnsi="Arial" w:cs="Arial"/>
          <w:bCs/>
          <w:color w:val="000000" w:themeColor="text1"/>
          <w:sz w:val="20"/>
          <w:szCs w:val="20"/>
        </w:rPr>
        <w:t> </w:t>
      </w:r>
      <w:r w:rsidRPr="004C6CC5">
        <w:rPr>
          <w:rFonts w:ascii="Arial" w:hAnsi="Arial" w:cs="Arial"/>
          <w:bCs/>
          <w:color w:val="000000" w:themeColor="text1"/>
          <w:sz w:val="20"/>
          <w:szCs w:val="20"/>
        </w:rPr>
        <w:t xml:space="preserve">ramach prac </w:t>
      </w:r>
      <w:r w:rsidRPr="004C6CC5">
        <w:rPr>
          <w:rFonts w:ascii="Arial" w:hAnsi="Arial" w:cs="Arial"/>
          <w:bCs/>
          <w:color w:val="000000" w:themeColor="text1"/>
          <w:sz w:val="20"/>
          <w:szCs w:val="20"/>
        </w:rPr>
        <w:lastRenderedPageBreak/>
        <w:t>grupy HELCOM GEAR kontynuowano działania mające na celu zapewnienie synergii działań</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regionie Morza Bałtyckiego, również</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ramach tzw. wdrażania podejścia ekosystemowego - kluczowego elementu Bałtyckiego Planu Działań (BSAP). Główną częścią prac tego gremium</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2019</w:t>
      </w:r>
      <w:r w:rsidR="009D01B9" w:rsidRPr="004C6CC5">
        <w:rPr>
          <w:rFonts w:ascii="Arial" w:hAnsi="Arial" w:cs="Arial"/>
          <w:bCs/>
          <w:color w:val="000000" w:themeColor="text1"/>
          <w:sz w:val="20"/>
          <w:szCs w:val="20"/>
        </w:rPr>
        <w:t xml:space="preserve"> r. </w:t>
      </w:r>
      <w:r w:rsidRPr="004C6CC5">
        <w:rPr>
          <w:rFonts w:ascii="Arial" w:hAnsi="Arial" w:cs="Arial"/>
          <w:bCs/>
          <w:color w:val="000000" w:themeColor="text1"/>
          <w:sz w:val="20"/>
          <w:szCs w:val="20"/>
        </w:rPr>
        <w:t>był proces rewizji aktualnie obowiązującej wersji Planu. Najważniejszymi elementami koordynowanymi</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 xml:space="preserve">regionie są: programy monitoringu, wskaźniki służące do oceny dobrego stanu środowiska, ocena presji na środowisko morskie, a także programy działań. </w:t>
      </w:r>
    </w:p>
    <w:p w14:paraId="10458FDB" w14:textId="680C32BE" w:rsidR="005E12D9" w:rsidRPr="00C87DC1" w:rsidRDefault="005E12D9" w:rsidP="008D2321">
      <w:pPr>
        <w:spacing w:after="120" w:line="276" w:lineRule="auto"/>
        <w:jc w:val="both"/>
        <w:rPr>
          <w:rFonts w:ascii="Arial" w:hAnsi="Arial" w:cs="Arial"/>
          <w:bCs/>
          <w:sz w:val="20"/>
          <w:szCs w:val="20"/>
        </w:rPr>
      </w:pPr>
      <w:r w:rsidRPr="004C6CC5">
        <w:rPr>
          <w:rFonts w:ascii="Arial" w:hAnsi="Arial" w:cs="Arial"/>
          <w:bCs/>
          <w:color w:val="000000" w:themeColor="text1"/>
          <w:sz w:val="20"/>
          <w:szCs w:val="20"/>
        </w:rPr>
        <w:t>W 2019</w:t>
      </w:r>
      <w:r w:rsidR="009D01B9" w:rsidRPr="004C6CC5">
        <w:rPr>
          <w:rFonts w:ascii="Arial" w:hAnsi="Arial" w:cs="Arial"/>
          <w:bCs/>
          <w:color w:val="000000" w:themeColor="text1"/>
          <w:sz w:val="20"/>
          <w:szCs w:val="20"/>
        </w:rPr>
        <w:t xml:space="preserve"> r. </w:t>
      </w:r>
      <w:r w:rsidRPr="004C6CC5">
        <w:rPr>
          <w:rFonts w:ascii="Arial" w:hAnsi="Arial" w:cs="Arial"/>
          <w:bCs/>
          <w:color w:val="000000" w:themeColor="text1"/>
          <w:sz w:val="20"/>
          <w:szCs w:val="20"/>
        </w:rPr>
        <w:t>prace grupy skupiały się także na zaplanowaniu realizacji projektu HOLAS III, mającego na celu opracowanie trzeciej oceny holistycznej stanu środowiska Bałtyku. Kluczowym elementem była również dyskusja nad organizacją przyszłych prac HELCOM</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zakresie wypełnienia luk</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systemie oceny przez wskaźniki celem dostosowania do wymagań decyzji Komisji (UE) 2017/848</w:t>
      </w:r>
      <w:r w:rsidR="004C6CC5">
        <w:rPr>
          <w:rFonts w:ascii="Arial" w:hAnsi="Arial" w:cs="Arial"/>
          <w:bCs/>
          <w:color w:val="000000" w:themeColor="text1"/>
          <w:sz w:val="20"/>
          <w:szCs w:val="20"/>
        </w:rPr>
        <w:t xml:space="preserve"> z </w:t>
      </w:r>
      <w:r w:rsidRPr="004C6CC5">
        <w:rPr>
          <w:rFonts w:ascii="Arial" w:hAnsi="Arial" w:cs="Arial"/>
          <w:bCs/>
          <w:color w:val="000000" w:themeColor="text1"/>
          <w:sz w:val="20"/>
          <w:szCs w:val="20"/>
        </w:rPr>
        <w:t>dnia 17 maja 2017</w:t>
      </w:r>
      <w:r w:rsidR="009D01B9" w:rsidRPr="004C6CC5">
        <w:rPr>
          <w:rFonts w:ascii="Arial" w:hAnsi="Arial" w:cs="Arial"/>
          <w:bCs/>
          <w:color w:val="000000" w:themeColor="text1"/>
          <w:sz w:val="20"/>
          <w:szCs w:val="20"/>
        </w:rPr>
        <w:t xml:space="preserve"> r. </w:t>
      </w:r>
      <w:r w:rsidR="00230848">
        <w:rPr>
          <w:rFonts w:ascii="Arial" w:hAnsi="Arial" w:cs="Arial"/>
          <w:bCs/>
          <w:color w:val="000000" w:themeColor="text1"/>
          <w:sz w:val="20"/>
          <w:szCs w:val="20"/>
        </w:rPr>
        <w:t>ustanawiającej</w:t>
      </w:r>
      <w:r w:rsidRPr="004C6CC5">
        <w:rPr>
          <w:rFonts w:ascii="Arial" w:hAnsi="Arial" w:cs="Arial"/>
          <w:bCs/>
          <w:color w:val="000000" w:themeColor="text1"/>
          <w:sz w:val="20"/>
          <w:szCs w:val="20"/>
        </w:rPr>
        <w:t xml:space="preserve"> kryteria</w:t>
      </w:r>
      <w:r w:rsidR="004C6CC5">
        <w:rPr>
          <w:rFonts w:ascii="Arial" w:hAnsi="Arial" w:cs="Arial"/>
          <w:bCs/>
          <w:color w:val="000000" w:themeColor="text1"/>
          <w:sz w:val="20"/>
          <w:szCs w:val="20"/>
        </w:rPr>
        <w:t xml:space="preserve"> i </w:t>
      </w:r>
      <w:r w:rsidRPr="004C6CC5">
        <w:rPr>
          <w:rFonts w:ascii="Arial" w:hAnsi="Arial" w:cs="Arial"/>
          <w:bCs/>
          <w:color w:val="000000" w:themeColor="text1"/>
          <w:sz w:val="20"/>
          <w:szCs w:val="20"/>
        </w:rPr>
        <w:t>standardy metodologiczne dotyczące dobrego stanu środowiska wód morskich oraz specyfikacje</w:t>
      </w:r>
      <w:r w:rsidR="004C6CC5">
        <w:rPr>
          <w:rFonts w:ascii="Arial" w:hAnsi="Arial" w:cs="Arial"/>
          <w:bCs/>
          <w:color w:val="000000" w:themeColor="text1"/>
          <w:sz w:val="20"/>
          <w:szCs w:val="20"/>
        </w:rPr>
        <w:t xml:space="preserve"> i </w:t>
      </w:r>
      <w:r w:rsidRPr="004C6CC5">
        <w:rPr>
          <w:rFonts w:ascii="Arial" w:hAnsi="Arial" w:cs="Arial"/>
          <w:bCs/>
          <w:color w:val="000000" w:themeColor="text1"/>
          <w:sz w:val="20"/>
          <w:szCs w:val="20"/>
        </w:rPr>
        <w:t>ujednolicone metody monitorowania</w:t>
      </w:r>
      <w:r w:rsidR="004C6CC5">
        <w:rPr>
          <w:rFonts w:ascii="Arial" w:hAnsi="Arial" w:cs="Arial"/>
          <w:bCs/>
          <w:color w:val="000000" w:themeColor="text1"/>
          <w:sz w:val="20"/>
          <w:szCs w:val="20"/>
        </w:rPr>
        <w:t xml:space="preserve"> i </w:t>
      </w:r>
      <w:r w:rsidR="00355740">
        <w:rPr>
          <w:rFonts w:ascii="Arial" w:hAnsi="Arial" w:cs="Arial"/>
          <w:bCs/>
          <w:color w:val="000000" w:themeColor="text1"/>
          <w:sz w:val="20"/>
          <w:szCs w:val="20"/>
        </w:rPr>
        <w:t>oceny oraz uchylającej</w:t>
      </w:r>
      <w:r w:rsidRPr="004C6CC5">
        <w:rPr>
          <w:rFonts w:ascii="Arial" w:hAnsi="Arial" w:cs="Arial"/>
          <w:bCs/>
          <w:color w:val="000000" w:themeColor="text1"/>
          <w:sz w:val="20"/>
          <w:szCs w:val="20"/>
        </w:rPr>
        <w:t xml:space="preserve"> decyzję 2010/477/UE.</w:t>
      </w:r>
      <w:r w:rsidR="001A66D7">
        <w:rPr>
          <w:rFonts w:ascii="Arial" w:hAnsi="Arial" w:cs="Arial"/>
          <w:bCs/>
          <w:color w:val="000000" w:themeColor="text1"/>
          <w:sz w:val="20"/>
          <w:szCs w:val="20"/>
        </w:rPr>
        <w:t xml:space="preserve"> W</w:t>
      </w:r>
      <w:r w:rsidR="004C6CC5">
        <w:rPr>
          <w:rFonts w:ascii="Arial" w:hAnsi="Arial" w:cs="Arial"/>
          <w:bCs/>
          <w:color w:val="000000" w:themeColor="text1"/>
          <w:sz w:val="20"/>
          <w:szCs w:val="20"/>
        </w:rPr>
        <w:t> </w:t>
      </w:r>
      <w:r w:rsidRPr="004C6CC5">
        <w:rPr>
          <w:rFonts w:ascii="Arial" w:hAnsi="Arial" w:cs="Arial"/>
          <w:bCs/>
          <w:color w:val="000000" w:themeColor="text1"/>
          <w:sz w:val="20"/>
          <w:szCs w:val="20"/>
        </w:rPr>
        <w:t>tym zakresie przedstawiciele Polski włączyli się</w:t>
      </w:r>
      <w:r w:rsidR="004C6CC5">
        <w:rPr>
          <w:rFonts w:ascii="Arial" w:hAnsi="Arial" w:cs="Arial"/>
          <w:bCs/>
          <w:color w:val="000000" w:themeColor="text1"/>
          <w:sz w:val="20"/>
          <w:szCs w:val="20"/>
        </w:rPr>
        <w:t xml:space="preserve"> w </w:t>
      </w:r>
      <w:r w:rsidRPr="004C6CC5">
        <w:rPr>
          <w:rFonts w:ascii="Arial" w:hAnsi="Arial" w:cs="Arial"/>
          <w:bCs/>
          <w:color w:val="000000" w:themeColor="text1"/>
          <w:sz w:val="20"/>
          <w:szCs w:val="20"/>
        </w:rPr>
        <w:t xml:space="preserve">prace </w:t>
      </w:r>
      <w:r w:rsidRPr="00194313">
        <w:rPr>
          <w:rFonts w:ascii="Arial" w:hAnsi="Arial" w:cs="Arial"/>
          <w:bCs/>
          <w:sz w:val="20"/>
          <w:szCs w:val="20"/>
        </w:rPr>
        <w:t xml:space="preserve">powołanej </w:t>
      </w:r>
      <w:r w:rsidR="00D77160" w:rsidRPr="00194313">
        <w:rPr>
          <w:rFonts w:ascii="Arial" w:hAnsi="Arial" w:cs="Arial"/>
          <w:sz w:val="20"/>
          <w:szCs w:val="20"/>
        </w:rPr>
        <w:t>w ramach stałej grupy HELCOM GEAR</w:t>
      </w:r>
      <w:r w:rsidR="00D77160" w:rsidRPr="00194313">
        <w:rPr>
          <w:rFonts w:ascii="Arial" w:hAnsi="Arial" w:cs="Arial"/>
          <w:bCs/>
          <w:sz w:val="20"/>
          <w:szCs w:val="20"/>
        </w:rPr>
        <w:t xml:space="preserve"> grupy ad hoc HELCOM „indicator core group”,</w:t>
      </w:r>
      <w:r w:rsidR="00194313" w:rsidRPr="00194313">
        <w:rPr>
          <w:rFonts w:ascii="Arial" w:hAnsi="Arial" w:cs="Arial"/>
          <w:sz w:val="20"/>
          <w:szCs w:val="20"/>
        </w:rPr>
        <w:t xml:space="preserve"> </w:t>
      </w:r>
      <w:r w:rsidR="00D77160" w:rsidRPr="00194313">
        <w:rPr>
          <w:rFonts w:ascii="Arial" w:hAnsi="Arial" w:cs="Arial"/>
          <w:sz w:val="20"/>
          <w:szCs w:val="20"/>
        </w:rPr>
        <w:t xml:space="preserve">dedykowanej pracom nad strategią opracowania wskaźników, które będą wykorzystane w trzeciej ocenie holistycznej. </w:t>
      </w:r>
      <w:r w:rsidR="00D77160" w:rsidRPr="00194313">
        <w:rPr>
          <w:rFonts w:ascii="Arial" w:hAnsi="Arial" w:cs="Arial"/>
          <w:bCs/>
          <w:sz w:val="20"/>
          <w:szCs w:val="20"/>
        </w:rPr>
        <w:t>Głównym c</w:t>
      </w:r>
      <w:r w:rsidRPr="00194313">
        <w:rPr>
          <w:rFonts w:ascii="Arial" w:hAnsi="Arial" w:cs="Arial"/>
          <w:bCs/>
          <w:sz w:val="20"/>
          <w:szCs w:val="20"/>
        </w:rPr>
        <w:t xml:space="preserve">elem </w:t>
      </w:r>
      <w:r w:rsidR="00D77160" w:rsidRPr="00194313">
        <w:rPr>
          <w:rFonts w:ascii="Arial" w:hAnsi="Arial" w:cs="Arial"/>
          <w:bCs/>
          <w:sz w:val="20"/>
          <w:szCs w:val="20"/>
        </w:rPr>
        <w:t xml:space="preserve">powołania grupy </w:t>
      </w:r>
      <w:r w:rsidRPr="00194313">
        <w:rPr>
          <w:rFonts w:ascii="Arial" w:hAnsi="Arial" w:cs="Arial"/>
          <w:bCs/>
          <w:sz w:val="20"/>
          <w:szCs w:val="20"/>
        </w:rPr>
        <w:t>jest wyznaczenie wskaźników do oceny stanu środowiska wód morskich Morza Bałtyckiego na rzecz wypełnienia luki</w:t>
      </w:r>
      <w:r w:rsidR="004C6CC5" w:rsidRPr="00194313">
        <w:rPr>
          <w:rFonts w:ascii="Arial" w:hAnsi="Arial" w:cs="Arial"/>
          <w:bCs/>
          <w:sz w:val="20"/>
          <w:szCs w:val="20"/>
        </w:rPr>
        <w:t xml:space="preserve"> w </w:t>
      </w:r>
      <w:r w:rsidRPr="00194313">
        <w:rPr>
          <w:rFonts w:ascii="Arial" w:hAnsi="Arial" w:cs="Arial"/>
          <w:bCs/>
          <w:sz w:val="20"/>
          <w:szCs w:val="20"/>
        </w:rPr>
        <w:t>ocenie 11 cech dobrego stanu.</w:t>
      </w:r>
      <w:r w:rsidR="001A66D7" w:rsidRPr="00194313">
        <w:rPr>
          <w:rFonts w:ascii="Arial" w:hAnsi="Arial" w:cs="Arial"/>
          <w:bCs/>
          <w:sz w:val="20"/>
          <w:szCs w:val="20"/>
        </w:rPr>
        <w:t xml:space="preserve"> </w:t>
      </w:r>
      <w:r w:rsidR="00D77160" w:rsidRPr="00194313">
        <w:rPr>
          <w:rFonts w:ascii="Arial" w:hAnsi="Arial" w:cs="Arial"/>
          <w:sz w:val="20"/>
          <w:szCs w:val="20"/>
        </w:rPr>
        <w:t>W 2019 r. w ramach prac grupy kontyn</w:t>
      </w:r>
      <w:r w:rsidR="005615AF">
        <w:rPr>
          <w:rFonts w:ascii="Arial" w:hAnsi="Arial" w:cs="Arial"/>
          <w:sz w:val="20"/>
          <w:szCs w:val="20"/>
        </w:rPr>
        <w:t>uowano prace nad priorytetyzacją</w:t>
      </w:r>
      <w:r w:rsidR="00D77160" w:rsidRPr="00194313">
        <w:rPr>
          <w:rFonts w:ascii="Arial" w:hAnsi="Arial" w:cs="Arial"/>
          <w:sz w:val="20"/>
          <w:szCs w:val="20"/>
        </w:rPr>
        <w:t xml:space="preserve"> wskaźników podstawowych, które nie mogły zostać wykorzystane w drugiej holistycznej ocenie ze względu na ich niedostateczną operacyjność.</w:t>
      </w:r>
      <w:r w:rsidR="00C87DC1">
        <w:rPr>
          <w:rFonts w:ascii="Arial" w:hAnsi="Arial" w:cs="Arial"/>
          <w:bCs/>
          <w:sz w:val="20"/>
          <w:szCs w:val="20"/>
        </w:rPr>
        <w:t xml:space="preserve"> </w:t>
      </w:r>
      <w:r w:rsidR="001A66D7">
        <w:rPr>
          <w:rFonts w:ascii="Arial" w:hAnsi="Arial" w:cs="Arial"/>
          <w:bCs/>
          <w:color w:val="000000" w:themeColor="text1"/>
          <w:sz w:val="20"/>
          <w:szCs w:val="20"/>
        </w:rPr>
        <w:t>W</w:t>
      </w:r>
      <w:r w:rsidR="004C6CC5">
        <w:rPr>
          <w:rFonts w:ascii="Arial" w:hAnsi="Arial" w:cs="Arial"/>
          <w:bCs/>
          <w:color w:val="000000" w:themeColor="text1"/>
          <w:sz w:val="20"/>
          <w:szCs w:val="20"/>
        </w:rPr>
        <w:t> </w:t>
      </w:r>
      <w:r w:rsidRPr="004C6CC5">
        <w:rPr>
          <w:rFonts w:ascii="Arial" w:hAnsi="Arial" w:cs="Arial"/>
          <w:bCs/>
          <w:color w:val="000000" w:themeColor="text1"/>
          <w:sz w:val="20"/>
          <w:szCs w:val="20"/>
        </w:rPr>
        <w:t xml:space="preserve">pracach grupy </w:t>
      </w:r>
      <w:r w:rsidR="005C580E">
        <w:rPr>
          <w:rFonts w:ascii="Arial" w:hAnsi="Arial" w:cs="Arial"/>
          <w:bCs/>
          <w:color w:val="000000" w:themeColor="text1"/>
          <w:sz w:val="20"/>
          <w:szCs w:val="20"/>
        </w:rPr>
        <w:t xml:space="preserve">HELCOM </w:t>
      </w:r>
      <w:r w:rsidRPr="004C6CC5">
        <w:rPr>
          <w:rFonts w:ascii="Arial" w:hAnsi="Arial" w:cs="Arial"/>
          <w:bCs/>
          <w:color w:val="000000" w:themeColor="text1"/>
          <w:sz w:val="20"/>
          <w:szCs w:val="20"/>
        </w:rPr>
        <w:t>GEAR biorą udział przedstawiciele Głównego Inspektoratu Ochrony Środowiska, Ministerstwa Gospodarki Morskiej</w:t>
      </w:r>
      <w:r w:rsidR="00355740">
        <w:rPr>
          <w:rFonts w:ascii="Arial" w:hAnsi="Arial" w:cs="Arial"/>
          <w:bCs/>
          <w:color w:val="000000" w:themeColor="text1"/>
          <w:sz w:val="20"/>
          <w:szCs w:val="20"/>
        </w:rPr>
        <w:t xml:space="preserve"> i </w:t>
      </w:r>
      <w:r w:rsidRPr="004C6CC5">
        <w:rPr>
          <w:rFonts w:ascii="Arial" w:hAnsi="Arial" w:cs="Arial"/>
          <w:bCs/>
          <w:color w:val="000000" w:themeColor="text1"/>
          <w:sz w:val="20"/>
          <w:szCs w:val="20"/>
        </w:rPr>
        <w:t>Żeglugi Śródlądowej oraz Państwowego Gospodarstwa Wodnego Wody Polskie.</w:t>
      </w:r>
    </w:p>
    <w:p w14:paraId="57AC7C4E" w14:textId="0FE6AF83" w:rsidR="005E12D9" w:rsidRPr="004C6CC5" w:rsidRDefault="005E12D9" w:rsidP="008D2321">
      <w:pPr>
        <w:spacing w:before="240" w:after="120" w:line="276" w:lineRule="auto"/>
        <w:jc w:val="both"/>
        <w:rPr>
          <w:rFonts w:ascii="Arial" w:hAnsi="Arial" w:cs="Arial"/>
          <w:b/>
          <w:sz w:val="20"/>
          <w:szCs w:val="20"/>
        </w:rPr>
      </w:pPr>
      <w:r w:rsidRPr="004C6CC5">
        <w:rPr>
          <w:rFonts w:ascii="Arial" w:hAnsi="Arial" w:cs="Arial"/>
          <w:b/>
          <w:sz w:val="20"/>
          <w:szCs w:val="20"/>
        </w:rPr>
        <w:t>HELCOM STATE &amp; CONSERVATION - grupa robocza ds. monitoringu ocen</w:t>
      </w:r>
      <w:r w:rsidR="004C6CC5">
        <w:rPr>
          <w:rFonts w:ascii="Arial" w:hAnsi="Arial" w:cs="Arial"/>
          <w:b/>
          <w:sz w:val="20"/>
          <w:szCs w:val="20"/>
        </w:rPr>
        <w:t xml:space="preserve"> i </w:t>
      </w:r>
      <w:r w:rsidRPr="004C6CC5">
        <w:rPr>
          <w:rFonts w:ascii="Arial" w:hAnsi="Arial" w:cs="Arial"/>
          <w:b/>
          <w:sz w:val="20"/>
          <w:szCs w:val="20"/>
        </w:rPr>
        <w:t>oraz ochrony bioróżnorodności</w:t>
      </w:r>
    </w:p>
    <w:p w14:paraId="6BC5DA9D" w14:textId="530B7AF9" w:rsidR="00C95D7D" w:rsidRPr="004C6CC5" w:rsidRDefault="005E12D9" w:rsidP="00427475">
      <w:pPr>
        <w:spacing w:before="240" w:after="120" w:line="276" w:lineRule="auto"/>
        <w:jc w:val="both"/>
        <w:rPr>
          <w:rFonts w:ascii="Arial" w:hAnsi="Arial" w:cs="Arial"/>
          <w:sz w:val="20"/>
          <w:szCs w:val="20"/>
        </w:rPr>
      </w:pPr>
      <w:r w:rsidRPr="004C6CC5">
        <w:rPr>
          <w:rFonts w:ascii="Arial" w:hAnsi="Arial" w:cs="Arial"/>
          <w:sz w:val="20"/>
          <w:szCs w:val="20"/>
        </w:rPr>
        <w:t>Głównym zadaniem grupy roboczej</w:t>
      </w:r>
      <w:r w:rsidR="002B084B" w:rsidRPr="004C6CC5">
        <w:rPr>
          <w:rFonts w:ascii="Arial" w:hAnsi="Arial" w:cs="Arial"/>
          <w:sz w:val="20"/>
          <w:szCs w:val="20"/>
        </w:rPr>
        <w:t xml:space="preserve"> HELCOM STATE &amp; CONSERVATION je</w:t>
      </w:r>
      <w:r w:rsidR="00C95D7D" w:rsidRPr="004C6CC5">
        <w:rPr>
          <w:rFonts w:ascii="Arial" w:hAnsi="Arial" w:cs="Arial"/>
          <w:sz w:val="20"/>
          <w:szCs w:val="20"/>
        </w:rPr>
        <w:t>s</w:t>
      </w:r>
      <w:r w:rsidRPr="004C6CC5">
        <w:rPr>
          <w:rFonts w:ascii="Arial" w:hAnsi="Arial" w:cs="Arial"/>
          <w:sz w:val="20"/>
          <w:szCs w:val="20"/>
        </w:rPr>
        <w:t>t zapewnienie koordynacji działań</w:t>
      </w:r>
      <w:r w:rsidR="004C6CC5">
        <w:rPr>
          <w:rFonts w:ascii="Arial" w:hAnsi="Arial" w:cs="Arial"/>
          <w:sz w:val="20"/>
          <w:szCs w:val="20"/>
        </w:rPr>
        <w:t xml:space="preserve"> w </w:t>
      </w:r>
      <w:r w:rsidRPr="004C6CC5">
        <w:rPr>
          <w:rFonts w:ascii="Arial" w:hAnsi="Arial" w:cs="Arial"/>
          <w:sz w:val="20"/>
          <w:szCs w:val="20"/>
        </w:rPr>
        <w:t>cyklu monitoring - wskaźnik - ocena oraz podejmowanie działań na rzecz ochrony przyrody Bałtyku.</w:t>
      </w:r>
      <w:r w:rsidR="00C3493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ramach pracy grupy opracowywane są m.in. zestawy wskaźników podstawowych do oceny stanu środowiska morskiego,</w:t>
      </w:r>
      <w:r w:rsidR="004C6CC5">
        <w:rPr>
          <w:rFonts w:ascii="Arial" w:hAnsi="Arial" w:cs="Arial"/>
          <w:sz w:val="20"/>
          <w:szCs w:val="20"/>
        </w:rPr>
        <w:t xml:space="preserve"> w </w:t>
      </w:r>
      <w:r w:rsidRPr="004C6CC5">
        <w:rPr>
          <w:rFonts w:ascii="Arial" w:hAnsi="Arial" w:cs="Arial"/>
          <w:sz w:val="20"/>
          <w:szCs w:val="20"/>
        </w:rPr>
        <w:t>tym do oceny holistycznej Bałtyku</w:t>
      </w:r>
      <w:r w:rsidR="004C6CC5">
        <w:rPr>
          <w:rFonts w:ascii="Arial" w:hAnsi="Arial" w:cs="Arial"/>
          <w:sz w:val="20"/>
          <w:szCs w:val="20"/>
        </w:rPr>
        <w:t xml:space="preserve"> z </w:t>
      </w:r>
      <w:r w:rsidRPr="004C6CC5">
        <w:rPr>
          <w:rFonts w:ascii="Arial" w:hAnsi="Arial" w:cs="Arial"/>
          <w:sz w:val="20"/>
          <w:szCs w:val="20"/>
        </w:rPr>
        <w:t>uwzględnieniem indeksów presji, programy monitoringu, jak również narzędzia do wykonywania ocen bioróżnorodności oraz zanieczyszczenia substancjami niebezpiecznymi.</w:t>
      </w:r>
      <w:r w:rsidR="00C3493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Polsce za realizację działań</w:t>
      </w:r>
      <w:r w:rsidR="004C6CC5">
        <w:rPr>
          <w:rFonts w:ascii="Arial" w:hAnsi="Arial" w:cs="Arial"/>
          <w:sz w:val="20"/>
          <w:szCs w:val="20"/>
        </w:rPr>
        <w:t xml:space="preserve"> w </w:t>
      </w:r>
      <w:r w:rsidRPr="004C6CC5">
        <w:rPr>
          <w:rFonts w:ascii="Arial" w:hAnsi="Arial" w:cs="Arial"/>
          <w:sz w:val="20"/>
          <w:szCs w:val="20"/>
        </w:rPr>
        <w:t xml:space="preserve">ramach grupy </w:t>
      </w:r>
      <w:r w:rsidRPr="004C6CC5">
        <w:rPr>
          <w:rFonts w:ascii="Arial" w:hAnsi="Arial" w:cs="Arial"/>
          <w:sz w:val="20"/>
          <w:szCs w:val="20"/>
        </w:rPr>
        <w:br/>
        <w:t>w części dotyczącej monitoringu</w:t>
      </w:r>
      <w:r w:rsidR="00F63988">
        <w:rPr>
          <w:rFonts w:ascii="Arial" w:hAnsi="Arial" w:cs="Arial"/>
          <w:sz w:val="20"/>
          <w:szCs w:val="20"/>
        </w:rPr>
        <w:t xml:space="preserve"> i </w:t>
      </w:r>
      <w:r w:rsidRPr="004C6CC5">
        <w:rPr>
          <w:rFonts w:ascii="Arial" w:hAnsi="Arial" w:cs="Arial"/>
          <w:sz w:val="20"/>
          <w:szCs w:val="20"/>
        </w:rPr>
        <w:t xml:space="preserve">ocen odpowiada Główny Inspektorat Ochrony Środowiska, </w:t>
      </w:r>
      <w:r w:rsidRPr="004C6CC5">
        <w:rPr>
          <w:rFonts w:ascii="Arial" w:hAnsi="Arial" w:cs="Arial"/>
          <w:sz w:val="20"/>
          <w:szCs w:val="20"/>
        </w:rPr>
        <w:br/>
        <w:t>zaś część odnosząca się do ochrony bioróżnorodności znajduje się</w:t>
      </w:r>
      <w:r w:rsidR="004C6CC5">
        <w:rPr>
          <w:rFonts w:ascii="Arial" w:hAnsi="Arial" w:cs="Arial"/>
          <w:sz w:val="20"/>
          <w:szCs w:val="20"/>
        </w:rPr>
        <w:t xml:space="preserve"> w </w:t>
      </w:r>
      <w:r w:rsidRPr="004C6CC5">
        <w:rPr>
          <w:rFonts w:ascii="Arial" w:hAnsi="Arial" w:cs="Arial"/>
          <w:sz w:val="20"/>
          <w:szCs w:val="20"/>
        </w:rPr>
        <w:t>kompetencjach Generaln</w:t>
      </w:r>
      <w:r w:rsidR="00144BFF" w:rsidRPr="004C6CC5">
        <w:rPr>
          <w:rFonts w:ascii="Arial" w:hAnsi="Arial" w:cs="Arial"/>
          <w:sz w:val="20"/>
          <w:szCs w:val="20"/>
        </w:rPr>
        <w:t xml:space="preserve">ej Dyrekcji Ochrony Środowiska. </w:t>
      </w:r>
    </w:p>
    <w:p w14:paraId="20609CB1" w14:textId="5C15EB29" w:rsidR="00C95D7D" w:rsidRPr="00C801C3" w:rsidRDefault="00C95D7D" w:rsidP="00427475">
      <w:pPr>
        <w:spacing w:before="240" w:after="120" w:line="276" w:lineRule="auto"/>
        <w:jc w:val="both"/>
        <w:rPr>
          <w:rFonts w:ascii="Arial" w:hAnsi="Arial" w:cs="Arial"/>
          <w:color w:val="FF0000"/>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działania grupy skoncentrowane były m.in. na kontynuacji zadań związanych</w:t>
      </w:r>
      <w:r w:rsidR="004C6CC5">
        <w:rPr>
          <w:rFonts w:ascii="Arial" w:hAnsi="Arial" w:cs="Arial"/>
          <w:sz w:val="20"/>
          <w:szCs w:val="20"/>
        </w:rPr>
        <w:t xml:space="preserve"> z </w:t>
      </w:r>
      <w:r w:rsidRPr="004C6CC5">
        <w:rPr>
          <w:rFonts w:ascii="Arial" w:hAnsi="Arial" w:cs="Arial"/>
          <w:sz w:val="20"/>
          <w:szCs w:val="20"/>
        </w:rPr>
        <w:t>opracowaniem aktualizacji programu monitoringu wód morskich</w:t>
      </w:r>
      <w:r w:rsidR="004C6CC5">
        <w:rPr>
          <w:rFonts w:ascii="Arial" w:hAnsi="Arial" w:cs="Arial"/>
          <w:sz w:val="20"/>
          <w:szCs w:val="20"/>
        </w:rPr>
        <w:t xml:space="preserve"> w </w:t>
      </w:r>
      <w:r w:rsidRPr="004C6CC5">
        <w:rPr>
          <w:rFonts w:ascii="Arial" w:hAnsi="Arial" w:cs="Arial"/>
          <w:sz w:val="20"/>
          <w:szCs w:val="20"/>
        </w:rPr>
        <w:t>związku</w:t>
      </w:r>
      <w:r w:rsidR="004C6CC5">
        <w:rPr>
          <w:rFonts w:ascii="Arial" w:hAnsi="Arial" w:cs="Arial"/>
          <w:sz w:val="20"/>
          <w:szCs w:val="20"/>
        </w:rPr>
        <w:t xml:space="preserve"> z </w:t>
      </w:r>
      <w:r w:rsidR="002156F5">
        <w:rPr>
          <w:rFonts w:ascii="Arial" w:hAnsi="Arial" w:cs="Arial"/>
          <w:sz w:val="20"/>
          <w:szCs w:val="20"/>
        </w:rPr>
        <w:t>realizacją zadań wynikających z</w:t>
      </w:r>
      <w:r w:rsidRPr="004C6CC5">
        <w:rPr>
          <w:rFonts w:ascii="Arial" w:hAnsi="Arial" w:cs="Arial"/>
          <w:sz w:val="20"/>
          <w:szCs w:val="20"/>
        </w:rPr>
        <w:t xml:space="preserve"> </w:t>
      </w:r>
      <w:r w:rsidR="00A757C9">
        <w:rPr>
          <w:rFonts w:ascii="Arial" w:hAnsi="Arial" w:cs="Arial"/>
          <w:sz w:val="20"/>
          <w:szCs w:val="20"/>
        </w:rPr>
        <w:t>Ramowej Dyrektywy w s</w:t>
      </w:r>
      <w:r w:rsidR="002156F5">
        <w:rPr>
          <w:rFonts w:ascii="Arial" w:hAnsi="Arial" w:cs="Arial"/>
          <w:sz w:val="20"/>
          <w:szCs w:val="20"/>
        </w:rPr>
        <w:t xml:space="preserve">prawie Strategii Morskiej </w:t>
      </w:r>
      <w:r w:rsidR="00493FE7" w:rsidRPr="00493FE7">
        <w:rPr>
          <w:rFonts w:ascii="Arial" w:hAnsi="Arial" w:cs="Arial"/>
          <w:sz w:val="20"/>
          <w:szCs w:val="20"/>
        </w:rPr>
        <w:t>-</w:t>
      </w:r>
      <w:r w:rsidRPr="00493FE7">
        <w:rPr>
          <w:rFonts w:ascii="Arial" w:hAnsi="Arial" w:cs="Arial"/>
          <w:sz w:val="20"/>
          <w:szCs w:val="20"/>
        </w:rPr>
        <w:t xml:space="preserve"> RDSM </w:t>
      </w:r>
      <w:r w:rsidRPr="004C6CC5">
        <w:rPr>
          <w:rFonts w:ascii="Arial" w:hAnsi="Arial" w:cs="Arial"/>
          <w:sz w:val="20"/>
          <w:szCs w:val="20"/>
        </w:rPr>
        <w:t>na poziomie regionu Morza Bałtyckiego. Prace polegały na dostosowaniu aktualnej struktury programu monitoringu (tj. Programy</w:t>
      </w:r>
      <w:r w:rsidR="004C6CC5">
        <w:rPr>
          <w:rFonts w:ascii="Arial" w:hAnsi="Arial" w:cs="Arial"/>
          <w:sz w:val="20"/>
          <w:szCs w:val="20"/>
        </w:rPr>
        <w:t xml:space="preserve"> i </w:t>
      </w:r>
      <w:r w:rsidRPr="004C6CC5">
        <w:rPr>
          <w:rFonts w:ascii="Arial" w:hAnsi="Arial" w:cs="Arial"/>
          <w:sz w:val="20"/>
          <w:szCs w:val="20"/>
        </w:rPr>
        <w:t>Podprogramy) do wynikającej</w:t>
      </w:r>
      <w:r w:rsidR="004C6CC5">
        <w:rPr>
          <w:rFonts w:ascii="Arial" w:hAnsi="Arial" w:cs="Arial"/>
          <w:sz w:val="20"/>
          <w:szCs w:val="20"/>
        </w:rPr>
        <w:t xml:space="preserve"> z </w:t>
      </w:r>
      <w:r w:rsidRPr="004C6CC5">
        <w:rPr>
          <w:rFonts w:ascii="Arial" w:hAnsi="Arial" w:cs="Arial"/>
          <w:sz w:val="20"/>
          <w:szCs w:val="20"/>
        </w:rPr>
        <w:t>dyrektywy 845/20187/UE</w:t>
      </w:r>
      <w:r w:rsidR="004C6CC5">
        <w:rPr>
          <w:rFonts w:ascii="Arial" w:hAnsi="Arial" w:cs="Arial"/>
          <w:sz w:val="20"/>
          <w:szCs w:val="20"/>
        </w:rPr>
        <w:t xml:space="preserve"> z </w:t>
      </w:r>
      <w:r w:rsidRPr="004C6CC5">
        <w:rPr>
          <w:rFonts w:ascii="Arial" w:hAnsi="Arial" w:cs="Arial"/>
          <w:sz w:val="20"/>
          <w:szCs w:val="20"/>
        </w:rPr>
        <w:t>dnia 17 maja 2017</w:t>
      </w:r>
      <w:r w:rsidR="009D01B9" w:rsidRPr="004C6CC5">
        <w:rPr>
          <w:rFonts w:ascii="Arial" w:hAnsi="Arial" w:cs="Arial"/>
          <w:sz w:val="20"/>
          <w:szCs w:val="20"/>
        </w:rPr>
        <w:t xml:space="preserve"> r. </w:t>
      </w:r>
      <w:r w:rsidRPr="004C6CC5">
        <w:rPr>
          <w:rFonts w:ascii="Arial" w:hAnsi="Arial" w:cs="Arial"/>
          <w:sz w:val="20"/>
          <w:szCs w:val="20"/>
        </w:rPr>
        <w:t>zmieniającej dyrektywę 2008/56/WE.</w:t>
      </w:r>
      <w:r w:rsidR="00873000">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kontynuowano również prace nad trzecią holistyczną oceną stanu środowiska morskiego HELCOM (HELCOM HOLAS III). Opracowano wstępny harmonogram prac nad trzecią oceną holistyczną, zawierający: okres objęty oceną (2016</w:t>
      </w:r>
      <w:r w:rsidR="003D0581">
        <w:rPr>
          <w:rFonts w:ascii="Arial" w:hAnsi="Arial" w:cs="Arial"/>
          <w:sz w:val="20"/>
          <w:szCs w:val="20"/>
        </w:rPr>
        <w:t>-</w:t>
      </w:r>
      <w:r w:rsidRPr="004C6CC5">
        <w:rPr>
          <w:rFonts w:ascii="Arial" w:hAnsi="Arial" w:cs="Arial"/>
          <w:sz w:val="20"/>
          <w:szCs w:val="20"/>
        </w:rPr>
        <w:t>2021), termin zakończenia prac nad wskaźnikami do wykorzystania</w:t>
      </w:r>
      <w:r w:rsidR="004C6CC5">
        <w:rPr>
          <w:rFonts w:ascii="Arial" w:hAnsi="Arial" w:cs="Arial"/>
          <w:sz w:val="20"/>
          <w:szCs w:val="20"/>
        </w:rPr>
        <w:t xml:space="preserve"> w </w:t>
      </w:r>
      <w:r w:rsidRPr="004C6CC5">
        <w:rPr>
          <w:rFonts w:ascii="Arial" w:hAnsi="Arial" w:cs="Arial"/>
          <w:sz w:val="20"/>
          <w:szCs w:val="20"/>
        </w:rPr>
        <w:t>ocenie (III kwartał 2021), harmonogram raportowania danych</w:t>
      </w:r>
      <w:r w:rsidR="00D9579E">
        <w:rPr>
          <w:rFonts w:ascii="Arial" w:hAnsi="Arial" w:cs="Arial"/>
          <w:sz w:val="20"/>
          <w:szCs w:val="20"/>
        </w:rPr>
        <w:t xml:space="preserve"> i </w:t>
      </w:r>
      <w:r w:rsidRPr="004C6CC5">
        <w:rPr>
          <w:rFonts w:ascii="Arial" w:hAnsi="Arial" w:cs="Arial"/>
          <w:sz w:val="20"/>
          <w:szCs w:val="20"/>
        </w:rPr>
        <w:t>ich weryfikacji (II kwartał 2022), terminy opracowania raportów wskaźnikowych (IV kwartał 2022) oraz raportu o stanie Morza Bałtyckiego (II kwartał 2023), terminy prac nad publikacją na stronie internetowej HELCOM</w:t>
      </w:r>
      <w:r w:rsidR="00B91A2B">
        <w:rPr>
          <w:rFonts w:ascii="Arial" w:hAnsi="Arial" w:cs="Arial"/>
          <w:sz w:val="20"/>
          <w:szCs w:val="20"/>
        </w:rPr>
        <w:t xml:space="preserve"> i </w:t>
      </w:r>
      <w:r w:rsidRPr="004C6CC5">
        <w:rPr>
          <w:rFonts w:ascii="Arial" w:hAnsi="Arial" w:cs="Arial"/>
          <w:sz w:val="20"/>
          <w:szCs w:val="20"/>
        </w:rPr>
        <w:t xml:space="preserve">jego publikacji (IV kwartał 2023). </w:t>
      </w:r>
    </w:p>
    <w:p w14:paraId="0F299B93" w14:textId="612BC092" w:rsidR="005E12D9" w:rsidRPr="004C6CC5" w:rsidRDefault="005E12D9" w:rsidP="008D2321">
      <w:pPr>
        <w:spacing w:before="240" w:after="120" w:line="276" w:lineRule="auto"/>
        <w:jc w:val="both"/>
        <w:rPr>
          <w:rFonts w:ascii="Arial" w:hAnsi="Arial" w:cs="Arial"/>
          <w:sz w:val="20"/>
          <w:szCs w:val="20"/>
        </w:rPr>
      </w:pPr>
      <w:r w:rsidRPr="004C6CC5">
        <w:rPr>
          <w:rFonts w:ascii="Arial" w:hAnsi="Arial" w:cs="Arial"/>
          <w:sz w:val="20"/>
          <w:szCs w:val="20"/>
        </w:rPr>
        <w:t>W 201</w:t>
      </w:r>
      <w:r w:rsidR="003728E9" w:rsidRPr="004C6CC5">
        <w:rPr>
          <w:rFonts w:ascii="Arial" w:hAnsi="Arial" w:cs="Arial"/>
          <w:sz w:val="20"/>
          <w:szCs w:val="20"/>
        </w:rPr>
        <w:t>9</w:t>
      </w:r>
      <w:r w:rsidR="009D01B9" w:rsidRPr="004C6CC5">
        <w:rPr>
          <w:rFonts w:ascii="Arial" w:hAnsi="Arial" w:cs="Arial"/>
          <w:sz w:val="20"/>
          <w:szCs w:val="20"/>
        </w:rPr>
        <w:t xml:space="preserve"> r. </w:t>
      </w:r>
      <w:r w:rsidR="003728E9" w:rsidRPr="004C6CC5">
        <w:rPr>
          <w:rFonts w:ascii="Arial" w:hAnsi="Arial" w:cs="Arial"/>
          <w:sz w:val="20"/>
          <w:szCs w:val="20"/>
        </w:rPr>
        <w:t xml:space="preserve">MGMiZS aktywnie angażowało się </w:t>
      </w:r>
      <w:r w:rsidR="004C6CC5">
        <w:rPr>
          <w:rFonts w:ascii="Arial" w:hAnsi="Arial" w:cs="Arial"/>
          <w:sz w:val="20"/>
          <w:szCs w:val="20"/>
        </w:rPr>
        <w:t xml:space="preserve"> w </w:t>
      </w:r>
      <w:r w:rsidR="003728E9" w:rsidRPr="004C6CC5">
        <w:rPr>
          <w:rFonts w:ascii="Arial" w:hAnsi="Arial" w:cs="Arial"/>
          <w:sz w:val="20"/>
          <w:szCs w:val="20"/>
        </w:rPr>
        <w:t>prace grupy HELCOM STATE &amp;CONSERVATION ds. ochrony różnorodności biologicznej</w:t>
      </w:r>
      <w:r w:rsidR="00D61B08">
        <w:rPr>
          <w:rFonts w:ascii="Arial" w:hAnsi="Arial" w:cs="Arial"/>
          <w:sz w:val="20"/>
          <w:szCs w:val="20"/>
        </w:rPr>
        <w:t xml:space="preserve"> i </w:t>
      </w:r>
      <w:r w:rsidR="003728E9" w:rsidRPr="004C6CC5">
        <w:rPr>
          <w:rFonts w:ascii="Arial" w:hAnsi="Arial" w:cs="Arial"/>
          <w:sz w:val="20"/>
          <w:szCs w:val="20"/>
        </w:rPr>
        <w:t xml:space="preserve">monitorowania stanu środowiska morskiego poprzez </w:t>
      </w:r>
      <w:r w:rsidR="00784609" w:rsidRPr="004C6CC5">
        <w:rPr>
          <w:rFonts w:ascii="Arial" w:hAnsi="Arial" w:cs="Arial"/>
          <w:sz w:val="20"/>
          <w:szCs w:val="20"/>
        </w:rPr>
        <w:t>udział</w:t>
      </w:r>
      <w:r w:rsidR="004C6CC5">
        <w:rPr>
          <w:rFonts w:ascii="Arial" w:hAnsi="Arial" w:cs="Arial"/>
          <w:sz w:val="20"/>
          <w:szCs w:val="20"/>
        </w:rPr>
        <w:t xml:space="preserve"> w </w:t>
      </w:r>
      <w:r w:rsidR="00784609" w:rsidRPr="004C6CC5">
        <w:rPr>
          <w:rFonts w:ascii="Arial" w:hAnsi="Arial" w:cs="Arial"/>
          <w:sz w:val="20"/>
          <w:szCs w:val="20"/>
        </w:rPr>
        <w:t>przygotowaniu</w:t>
      </w:r>
      <w:r w:rsidR="00183E7C">
        <w:rPr>
          <w:rFonts w:ascii="Arial" w:hAnsi="Arial" w:cs="Arial"/>
          <w:sz w:val="20"/>
          <w:szCs w:val="20"/>
        </w:rPr>
        <w:t xml:space="preserve"> i </w:t>
      </w:r>
      <w:r w:rsidR="00784609" w:rsidRPr="004C6CC5">
        <w:rPr>
          <w:rFonts w:ascii="Arial" w:hAnsi="Arial" w:cs="Arial"/>
          <w:sz w:val="20"/>
          <w:szCs w:val="20"/>
        </w:rPr>
        <w:t>prowadzeniu wspólnych warsztatów dla HELCOM</w:t>
      </w:r>
      <w:r w:rsidR="00AE42D5">
        <w:rPr>
          <w:rFonts w:ascii="Arial" w:hAnsi="Arial" w:cs="Arial"/>
          <w:sz w:val="20"/>
          <w:szCs w:val="20"/>
        </w:rPr>
        <w:t xml:space="preserve"> i </w:t>
      </w:r>
      <w:r w:rsidR="00784609" w:rsidRPr="004C6CC5">
        <w:rPr>
          <w:rFonts w:ascii="Arial" w:hAnsi="Arial" w:cs="Arial"/>
          <w:sz w:val="20"/>
          <w:szCs w:val="20"/>
        </w:rPr>
        <w:t>OSPAR</w:t>
      </w:r>
      <w:r w:rsidR="00B24DA7">
        <w:rPr>
          <w:rFonts w:ascii="Arial" w:hAnsi="Arial" w:cs="Arial"/>
          <w:sz w:val="20"/>
          <w:szCs w:val="20"/>
        </w:rPr>
        <w:t xml:space="preserve"> z </w:t>
      </w:r>
      <w:r w:rsidR="00784609" w:rsidRPr="004C6CC5">
        <w:rPr>
          <w:rFonts w:ascii="Arial" w:hAnsi="Arial" w:cs="Arial"/>
          <w:sz w:val="20"/>
          <w:szCs w:val="20"/>
        </w:rPr>
        <w:t xml:space="preserve">zakresu </w:t>
      </w:r>
      <w:r w:rsidR="00784609" w:rsidRPr="004C6CC5">
        <w:rPr>
          <w:rFonts w:ascii="Arial" w:hAnsi="Arial" w:cs="Arial"/>
          <w:sz w:val="20"/>
          <w:szCs w:val="20"/>
        </w:rPr>
        <w:lastRenderedPageBreak/>
        <w:t>przypadkowych połowów ptaków</w:t>
      </w:r>
      <w:r w:rsidR="004C6CC5">
        <w:rPr>
          <w:rFonts w:ascii="Arial" w:hAnsi="Arial" w:cs="Arial"/>
          <w:sz w:val="20"/>
          <w:szCs w:val="20"/>
        </w:rPr>
        <w:t xml:space="preserve"> i </w:t>
      </w:r>
      <w:r w:rsidR="00784609" w:rsidRPr="004C6CC5">
        <w:rPr>
          <w:rFonts w:ascii="Arial" w:hAnsi="Arial" w:cs="Arial"/>
          <w:sz w:val="20"/>
          <w:szCs w:val="20"/>
        </w:rPr>
        <w:t>ssaków morskich (Incidental bycatch WS 1/2019), które odbyło się</w:t>
      </w:r>
      <w:r w:rsidR="004C6CC5">
        <w:rPr>
          <w:rFonts w:ascii="Arial" w:hAnsi="Arial" w:cs="Arial"/>
          <w:sz w:val="20"/>
          <w:szCs w:val="20"/>
        </w:rPr>
        <w:t xml:space="preserve"> w </w:t>
      </w:r>
      <w:r w:rsidR="00784609" w:rsidRPr="004C6CC5">
        <w:rPr>
          <w:rFonts w:ascii="Arial" w:hAnsi="Arial" w:cs="Arial"/>
          <w:sz w:val="20"/>
          <w:szCs w:val="20"/>
        </w:rPr>
        <w:t>Kopenhadze</w:t>
      </w:r>
      <w:r w:rsidR="004C6CC5">
        <w:rPr>
          <w:rFonts w:ascii="Arial" w:hAnsi="Arial" w:cs="Arial"/>
          <w:sz w:val="20"/>
          <w:szCs w:val="20"/>
        </w:rPr>
        <w:t xml:space="preserve"> w </w:t>
      </w:r>
      <w:r w:rsidR="00784609" w:rsidRPr="004C6CC5">
        <w:rPr>
          <w:rFonts w:ascii="Arial" w:hAnsi="Arial" w:cs="Arial"/>
          <w:sz w:val="20"/>
          <w:szCs w:val="20"/>
        </w:rPr>
        <w:t>dniach 3-5 września 2019</w:t>
      </w:r>
      <w:r w:rsidR="009D01B9" w:rsidRPr="004C6CC5">
        <w:rPr>
          <w:rFonts w:ascii="Arial" w:hAnsi="Arial" w:cs="Arial"/>
          <w:sz w:val="20"/>
          <w:szCs w:val="20"/>
        </w:rPr>
        <w:t xml:space="preserve"> r. </w:t>
      </w:r>
      <w:r w:rsidR="00784609" w:rsidRPr="004C6CC5">
        <w:rPr>
          <w:rFonts w:ascii="Arial" w:hAnsi="Arial" w:cs="Arial"/>
          <w:sz w:val="20"/>
          <w:szCs w:val="20"/>
        </w:rPr>
        <w:t>Celem warsztatów była ocena dostępności danych</w:t>
      </w:r>
      <w:r w:rsidR="004C6CC5">
        <w:rPr>
          <w:rFonts w:ascii="Arial" w:hAnsi="Arial" w:cs="Arial"/>
          <w:sz w:val="20"/>
          <w:szCs w:val="20"/>
        </w:rPr>
        <w:t xml:space="preserve"> z </w:t>
      </w:r>
      <w:r w:rsidR="00784609" w:rsidRPr="004C6CC5">
        <w:rPr>
          <w:rFonts w:ascii="Arial" w:hAnsi="Arial" w:cs="Arial"/>
          <w:sz w:val="20"/>
          <w:szCs w:val="20"/>
        </w:rPr>
        <w:t>zakresu przypadkowych połowów gatunków chronionych, proces wyznaczania obszarów o wyso</w:t>
      </w:r>
      <w:r w:rsidR="00B24DA7">
        <w:rPr>
          <w:rFonts w:ascii="Arial" w:hAnsi="Arial" w:cs="Arial"/>
          <w:sz w:val="20"/>
          <w:szCs w:val="20"/>
        </w:rPr>
        <w:t>kim ryzyku przypadkowego połowu</w:t>
      </w:r>
      <w:r w:rsidR="00784609" w:rsidRPr="004C6CC5">
        <w:rPr>
          <w:rFonts w:ascii="Arial" w:hAnsi="Arial" w:cs="Arial"/>
          <w:sz w:val="20"/>
          <w:szCs w:val="20"/>
        </w:rPr>
        <w:t xml:space="preserve"> oraz wypracowanie propozycji oceny podejścia do wyznaczania wartości progowych dla przypadkowych połowów ptaków</w:t>
      </w:r>
      <w:r w:rsidR="004C6CC5">
        <w:rPr>
          <w:rFonts w:ascii="Arial" w:hAnsi="Arial" w:cs="Arial"/>
          <w:sz w:val="20"/>
          <w:szCs w:val="20"/>
        </w:rPr>
        <w:t xml:space="preserve"> i </w:t>
      </w:r>
      <w:r w:rsidR="00784609" w:rsidRPr="004C6CC5">
        <w:rPr>
          <w:rFonts w:ascii="Arial" w:hAnsi="Arial" w:cs="Arial"/>
          <w:sz w:val="20"/>
          <w:szCs w:val="20"/>
        </w:rPr>
        <w:t>ssaków morskich.</w:t>
      </w:r>
      <w:r w:rsidR="00B24DA7">
        <w:rPr>
          <w:rFonts w:ascii="Arial" w:hAnsi="Arial" w:cs="Arial"/>
          <w:sz w:val="20"/>
          <w:szCs w:val="20"/>
        </w:rPr>
        <w:t xml:space="preserve"> W</w:t>
      </w:r>
      <w:r w:rsidR="004C6CC5">
        <w:rPr>
          <w:rFonts w:ascii="Arial" w:hAnsi="Arial" w:cs="Arial"/>
          <w:sz w:val="20"/>
          <w:szCs w:val="20"/>
        </w:rPr>
        <w:t> </w:t>
      </w:r>
      <w:r w:rsidR="00784609" w:rsidRPr="004C6CC5">
        <w:rPr>
          <w:rFonts w:ascii="Arial" w:hAnsi="Arial" w:cs="Arial"/>
          <w:sz w:val="20"/>
          <w:szCs w:val="20"/>
        </w:rPr>
        <w:t>warsztatach wzięło udział ponad 50 uczestników</w:t>
      </w:r>
      <w:r w:rsidR="004C6CC5">
        <w:rPr>
          <w:rFonts w:ascii="Arial" w:hAnsi="Arial" w:cs="Arial"/>
          <w:sz w:val="20"/>
          <w:szCs w:val="20"/>
        </w:rPr>
        <w:t xml:space="preserve"> z </w:t>
      </w:r>
      <w:r w:rsidR="00784609" w:rsidRPr="004C6CC5">
        <w:rPr>
          <w:rFonts w:ascii="Arial" w:hAnsi="Arial" w:cs="Arial"/>
          <w:sz w:val="20"/>
          <w:szCs w:val="20"/>
        </w:rPr>
        <w:t>wielu państw europejskich,</w:t>
      </w:r>
      <w:r w:rsidR="004C6CC5">
        <w:rPr>
          <w:rFonts w:ascii="Arial" w:hAnsi="Arial" w:cs="Arial"/>
          <w:sz w:val="20"/>
          <w:szCs w:val="20"/>
        </w:rPr>
        <w:t xml:space="preserve"> w </w:t>
      </w:r>
      <w:r w:rsidR="00B24DA7">
        <w:rPr>
          <w:rFonts w:ascii="Arial" w:hAnsi="Arial" w:cs="Arial"/>
          <w:sz w:val="20"/>
          <w:szCs w:val="20"/>
        </w:rPr>
        <w:t>tym m.in.</w:t>
      </w:r>
      <w:r w:rsidR="004C6CC5">
        <w:rPr>
          <w:rFonts w:ascii="Arial" w:hAnsi="Arial" w:cs="Arial"/>
          <w:sz w:val="20"/>
          <w:szCs w:val="20"/>
        </w:rPr>
        <w:t xml:space="preserve"> z </w:t>
      </w:r>
      <w:r w:rsidR="00784609" w:rsidRPr="004C6CC5">
        <w:rPr>
          <w:rFonts w:ascii="Arial" w:hAnsi="Arial" w:cs="Arial"/>
          <w:sz w:val="20"/>
          <w:szCs w:val="20"/>
        </w:rPr>
        <w:t>Danii, Finlandii, Hiszpanii, Portugalii, Niemiec, Norwegii, Szwecji</w:t>
      </w:r>
      <w:r w:rsidR="004C6CC5">
        <w:rPr>
          <w:rFonts w:ascii="Arial" w:hAnsi="Arial" w:cs="Arial"/>
          <w:sz w:val="20"/>
          <w:szCs w:val="20"/>
        </w:rPr>
        <w:t xml:space="preserve"> i </w:t>
      </w:r>
      <w:r w:rsidR="00784609" w:rsidRPr="004C6CC5">
        <w:rPr>
          <w:rFonts w:ascii="Arial" w:hAnsi="Arial" w:cs="Arial"/>
          <w:sz w:val="20"/>
          <w:szCs w:val="20"/>
        </w:rPr>
        <w:t xml:space="preserve">Wielkiej Brytanii. </w:t>
      </w:r>
    </w:p>
    <w:p w14:paraId="4A4204B5" w14:textId="77777777" w:rsidR="005E12D9" w:rsidRPr="004C6CC5" w:rsidRDefault="005E12D9" w:rsidP="008D2321">
      <w:pPr>
        <w:spacing w:before="240" w:after="120" w:line="276" w:lineRule="auto"/>
        <w:jc w:val="both"/>
        <w:rPr>
          <w:rFonts w:ascii="Arial" w:hAnsi="Arial" w:cs="Arial"/>
          <w:b/>
          <w:sz w:val="20"/>
          <w:szCs w:val="20"/>
        </w:rPr>
      </w:pPr>
      <w:r w:rsidRPr="004C6CC5">
        <w:rPr>
          <w:rFonts w:ascii="Arial" w:hAnsi="Arial" w:cs="Arial"/>
          <w:b/>
          <w:sz w:val="20"/>
          <w:szCs w:val="20"/>
        </w:rPr>
        <w:t>HELCOM PRESSURE - grupa robocza ds. zanieczyszczeń pochodzenia lądowego</w:t>
      </w:r>
    </w:p>
    <w:p w14:paraId="61BB7755" w14:textId="06E3E974"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Głównym zadaniem grupy HELCOM PRESSURE jest koordynacja działań Państw-Stron Konwencji</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zakresie zmniejszenia presji wywieranych przez obszar zlewisk Morza Bałtyckiego. Prace grupy skupiają się na identyfikacji źródeł zanieczyszczeń (w tym zanieczyszczeń lądowych: punktowych</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obszarowych)</w:t>
      </w:r>
      <w:r w:rsidR="00B24DA7">
        <w:rPr>
          <w:rFonts w:ascii="Arial" w:hAnsi="Arial" w:cs="Arial"/>
          <w:color w:val="000000" w:themeColor="text1"/>
          <w:sz w:val="20"/>
          <w:szCs w:val="20"/>
        </w:rPr>
        <w:t xml:space="preserve"> oraz </w:t>
      </w:r>
      <w:r w:rsidRPr="004C6CC5">
        <w:rPr>
          <w:rFonts w:ascii="Arial" w:hAnsi="Arial" w:cs="Arial"/>
          <w:color w:val="000000" w:themeColor="text1"/>
          <w:sz w:val="20"/>
          <w:szCs w:val="20"/>
        </w:rPr>
        <w:t>proponowaniu działań, jakie należy podjąć</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 xml:space="preserve">celu ograniczenia zanieczyszczeń </w:t>
      </w:r>
      <w:r w:rsidR="00243BC0">
        <w:rPr>
          <w:rFonts w:ascii="Arial" w:hAnsi="Arial" w:cs="Arial"/>
          <w:color w:val="000000" w:themeColor="text1"/>
          <w:sz w:val="20"/>
          <w:szCs w:val="20"/>
        </w:rPr>
        <w:t>prze</w:t>
      </w:r>
      <w:r w:rsidRPr="004C6CC5">
        <w:rPr>
          <w:rFonts w:ascii="Arial" w:hAnsi="Arial" w:cs="Arial"/>
          <w:color w:val="000000" w:themeColor="text1"/>
          <w:sz w:val="20"/>
          <w:szCs w:val="20"/>
        </w:rPr>
        <w:t>dostających się do Bałtyku. Główne obszary rozpatrywane pod kątem ich negatywnego wpływu na stan środowiska morskiego to: biogeny, substancje niebezpieczne, odpady trafiające do morza</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hałas podwodny.</w:t>
      </w:r>
    </w:p>
    <w:p w14:paraId="6FDDE113" w14:textId="1877676E" w:rsidR="005E12D9" w:rsidRPr="004C6CC5" w:rsidRDefault="001749DF" w:rsidP="008D2321">
      <w:pPr>
        <w:spacing w:after="120" w:line="276" w:lineRule="auto"/>
        <w:jc w:val="both"/>
        <w:rPr>
          <w:rFonts w:ascii="Arial" w:hAnsi="Arial" w:cs="Arial"/>
          <w:color w:val="000000" w:themeColor="text1"/>
          <w:sz w:val="20"/>
          <w:szCs w:val="20"/>
        </w:rPr>
      </w:pPr>
      <w:r>
        <w:rPr>
          <w:rFonts w:ascii="Arial" w:hAnsi="Arial" w:cs="Arial"/>
          <w:color w:val="000000" w:themeColor="text1"/>
          <w:sz w:val="20"/>
          <w:szCs w:val="20"/>
        </w:rPr>
        <w:t>W 2019 r.</w:t>
      </w:r>
      <w:r w:rsidR="005E12D9" w:rsidRPr="004C6CC5">
        <w:rPr>
          <w:rFonts w:ascii="Arial" w:hAnsi="Arial" w:cs="Arial"/>
          <w:color w:val="000000" w:themeColor="text1"/>
          <w:sz w:val="20"/>
          <w:szCs w:val="20"/>
        </w:rPr>
        <w:t xml:space="preserve"> grupa PRESSURE głównie zajmowała się kwestiami związanymi</w:t>
      </w:r>
      <w:r w:rsidR="004C6CC5">
        <w:rPr>
          <w:rFonts w:ascii="Arial" w:hAnsi="Arial" w:cs="Arial"/>
          <w:color w:val="000000" w:themeColor="text1"/>
          <w:sz w:val="20"/>
          <w:szCs w:val="20"/>
        </w:rPr>
        <w:t xml:space="preserve"> z </w:t>
      </w:r>
      <w:r w:rsidR="005E12D9" w:rsidRPr="004C6CC5">
        <w:rPr>
          <w:rFonts w:ascii="Arial" w:hAnsi="Arial" w:cs="Arial"/>
          <w:color w:val="000000" w:themeColor="text1"/>
          <w:sz w:val="20"/>
          <w:szCs w:val="20"/>
        </w:rPr>
        <w:t>aktualizacją Bałtyckiego Planu Działania oraz związanymi</w:t>
      </w:r>
      <w:r w:rsidR="004C6CC5">
        <w:rPr>
          <w:rFonts w:ascii="Arial" w:hAnsi="Arial" w:cs="Arial"/>
          <w:color w:val="000000" w:themeColor="text1"/>
          <w:sz w:val="20"/>
          <w:szCs w:val="20"/>
        </w:rPr>
        <w:t xml:space="preserve"> z </w:t>
      </w:r>
      <w:r w:rsidR="005E12D9" w:rsidRPr="004C6CC5">
        <w:rPr>
          <w:rFonts w:ascii="Arial" w:hAnsi="Arial" w:cs="Arial"/>
          <w:color w:val="000000" w:themeColor="text1"/>
          <w:sz w:val="20"/>
          <w:szCs w:val="20"/>
        </w:rPr>
        <w:t xml:space="preserve">tym analizami wystarczalności działań dla osiągnięcia celów HELCOM, a także </w:t>
      </w:r>
      <w:bookmarkStart w:id="41" w:name="_Hlk40449052"/>
      <w:r w:rsidR="005E12D9" w:rsidRPr="004C6CC5">
        <w:rPr>
          <w:rFonts w:ascii="Arial" w:hAnsi="Arial" w:cs="Arial"/>
          <w:color w:val="000000" w:themeColor="text1"/>
          <w:sz w:val="20"/>
          <w:szCs w:val="20"/>
        </w:rPr>
        <w:t xml:space="preserve">przeglądem aktualnych danych na temat krajowej realizacji zaleceń HELCOM dotyczących zakresu działania grupy </w:t>
      </w:r>
      <w:bookmarkEnd w:id="41"/>
      <w:r w:rsidR="005E12D9" w:rsidRPr="004C6CC5">
        <w:rPr>
          <w:rFonts w:ascii="Arial" w:hAnsi="Arial" w:cs="Arial"/>
          <w:color w:val="000000" w:themeColor="text1"/>
          <w:sz w:val="20"/>
          <w:szCs w:val="20"/>
        </w:rPr>
        <w:t>PRESSURE. Grupa zajmowała się również oceną ładunków zanieczyszczeń odprowadzanych do Bałtyku (PLC-7), wdrażaniem działań Region</w:t>
      </w:r>
      <w:r>
        <w:rPr>
          <w:rFonts w:ascii="Arial" w:hAnsi="Arial" w:cs="Arial"/>
          <w:color w:val="000000" w:themeColor="text1"/>
          <w:sz w:val="20"/>
          <w:szCs w:val="20"/>
        </w:rPr>
        <w:t>alnego Planu Działania HELCOM w</w:t>
      </w:r>
      <w:r w:rsidR="0001750C">
        <w:rPr>
          <w:rFonts w:ascii="Arial" w:hAnsi="Arial" w:cs="Arial"/>
          <w:color w:val="000000" w:themeColor="text1"/>
          <w:sz w:val="20"/>
          <w:szCs w:val="20"/>
        </w:rPr>
        <w:t xml:space="preserve"> </w:t>
      </w:r>
      <w:r>
        <w:rPr>
          <w:rFonts w:ascii="Arial" w:hAnsi="Arial" w:cs="Arial"/>
          <w:color w:val="000000" w:themeColor="text1"/>
          <w:sz w:val="20"/>
          <w:szCs w:val="20"/>
        </w:rPr>
        <w:t>s</w:t>
      </w:r>
      <w:r w:rsidR="0001750C">
        <w:rPr>
          <w:rFonts w:ascii="Arial" w:hAnsi="Arial" w:cs="Arial"/>
          <w:color w:val="000000" w:themeColor="text1"/>
          <w:sz w:val="20"/>
          <w:szCs w:val="20"/>
        </w:rPr>
        <w:t>prawie</w:t>
      </w:r>
      <w:r w:rsidR="005E12D9" w:rsidRPr="004C6CC5">
        <w:rPr>
          <w:rFonts w:ascii="Arial" w:hAnsi="Arial" w:cs="Arial"/>
          <w:color w:val="000000" w:themeColor="text1"/>
          <w:sz w:val="20"/>
          <w:szCs w:val="20"/>
        </w:rPr>
        <w:t xml:space="preserve"> odpadów</w:t>
      </w:r>
      <w:r w:rsidR="004C6CC5">
        <w:rPr>
          <w:rFonts w:ascii="Arial" w:hAnsi="Arial" w:cs="Arial"/>
          <w:color w:val="000000" w:themeColor="text1"/>
          <w:sz w:val="20"/>
          <w:szCs w:val="20"/>
        </w:rPr>
        <w:t xml:space="preserve"> w </w:t>
      </w:r>
      <w:r w:rsidR="005E12D9" w:rsidRPr="004C6CC5">
        <w:rPr>
          <w:rFonts w:ascii="Arial" w:hAnsi="Arial" w:cs="Arial"/>
          <w:color w:val="000000" w:themeColor="text1"/>
          <w:sz w:val="20"/>
          <w:szCs w:val="20"/>
        </w:rPr>
        <w:t>morzu, opracowaniem Regionalnego Planu Działania HELCOM w</w:t>
      </w:r>
      <w:r w:rsidR="0001750C">
        <w:rPr>
          <w:rFonts w:ascii="Arial" w:hAnsi="Arial" w:cs="Arial"/>
          <w:color w:val="000000" w:themeColor="text1"/>
          <w:sz w:val="20"/>
          <w:szCs w:val="20"/>
        </w:rPr>
        <w:t xml:space="preserve"> </w:t>
      </w:r>
      <w:r>
        <w:rPr>
          <w:rFonts w:ascii="Arial" w:hAnsi="Arial" w:cs="Arial"/>
          <w:color w:val="000000" w:themeColor="text1"/>
          <w:sz w:val="20"/>
          <w:szCs w:val="20"/>
        </w:rPr>
        <w:t>s</w:t>
      </w:r>
      <w:r w:rsidR="0001750C">
        <w:rPr>
          <w:rFonts w:ascii="Arial" w:hAnsi="Arial" w:cs="Arial"/>
          <w:color w:val="000000" w:themeColor="text1"/>
          <w:sz w:val="20"/>
          <w:szCs w:val="20"/>
        </w:rPr>
        <w:t>prawie</w:t>
      </w:r>
      <w:r w:rsidR="005E12D9" w:rsidRPr="004C6CC5">
        <w:rPr>
          <w:rFonts w:ascii="Arial" w:hAnsi="Arial" w:cs="Arial"/>
          <w:color w:val="000000" w:themeColor="text1"/>
          <w:sz w:val="20"/>
          <w:szCs w:val="20"/>
        </w:rPr>
        <w:t xml:space="preserve"> hałasu podwodnego, skonsolidowania raportów HELCOM</w:t>
      </w:r>
      <w:r w:rsidR="004C6CC5">
        <w:rPr>
          <w:rFonts w:ascii="Arial" w:hAnsi="Arial" w:cs="Arial"/>
          <w:color w:val="000000" w:themeColor="text1"/>
          <w:sz w:val="20"/>
          <w:szCs w:val="20"/>
        </w:rPr>
        <w:t xml:space="preserve"> i </w:t>
      </w:r>
      <w:r w:rsidR="005E12D9" w:rsidRPr="004C6CC5">
        <w:rPr>
          <w:rFonts w:ascii="Arial" w:hAnsi="Arial" w:cs="Arial"/>
          <w:color w:val="000000" w:themeColor="text1"/>
          <w:sz w:val="20"/>
          <w:szCs w:val="20"/>
        </w:rPr>
        <w:t>IMO dotyczących składowania urobku</w:t>
      </w:r>
      <w:r w:rsidR="004C6CC5">
        <w:rPr>
          <w:rFonts w:ascii="Arial" w:hAnsi="Arial" w:cs="Arial"/>
          <w:color w:val="000000" w:themeColor="text1"/>
          <w:sz w:val="20"/>
          <w:szCs w:val="20"/>
        </w:rPr>
        <w:t xml:space="preserve"> z </w:t>
      </w:r>
      <w:r w:rsidR="005E12D9" w:rsidRPr="004C6CC5">
        <w:rPr>
          <w:rFonts w:ascii="Arial" w:hAnsi="Arial" w:cs="Arial"/>
          <w:color w:val="000000" w:themeColor="text1"/>
          <w:sz w:val="20"/>
          <w:szCs w:val="20"/>
        </w:rPr>
        <w:t>pogłębiania. Grupa PRESSURE kontynuowała także prace nad wdrażaniem postanowień uzgodnionej</w:t>
      </w:r>
      <w:r w:rsidR="004C6CC5">
        <w:rPr>
          <w:rFonts w:ascii="Arial" w:hAnsi="Arial" w:cs="Arial"/>
          <w:color w:val="000000" w:themeColor="text1"/>
          <w:sz w:val="20"/>
          <w:szCs w:val="20"/>
        </w:rPr>
        <w:t xml:space="preserve"> w </w:t>
      </w:r>
      <w:r w:rsidR="005E12D9" w:rsidRPr="004C6CC5">
        <w:rPr>
          <w:rFonts w:ascii="Arial" w:hAnsi="Arial" w:cs="Arial"/>
          <w:color w:val="000000" w:themeColor="text1"/>
          <w:sz w:val="20"/>
          <w:szCs w:val="20"/>
        </w:rPr>
        <w:t>marcu 2018</w:t>
      </w:r>
      <w:r w:rsidR="009D01B9" w:rsidRPr="004C6CC5">
        <w:rPr>
          <w:rFonts w:ascii="Arial" w:hAnsi="Arial" w:cs="Arial"/>
          <w:color w:val="000000" w:themeColor="text1"/>
          <w:sz w:val="20"/>
          <w:szCs w:val="20"/>
        </w:rPr>
        <w:t xml:space="preserve"> r. </w:t>
      </w:r>
      <w:r w:rsidR="005E12D9" w:rsidRPr="004C6CC5">
        <w:rPr>
          <w:rFonts w:ascii="Arial" w:hAnsi="Arial" w:cs="Arial"/>
          <w:color w:val="000000" w:themeColor="text1"/>
          <w:sz w:val="20"/>
          <w:szCs w:val="20"/>
        </w:rPr>
        <w:t>Deklaracji Ministerialnej</w:t>
      </w:r>
      <w:r>
        <w:rPr>
          <w:rFonts w:ascii="Arial" w:hAnsi="Arial" w:cs="Arial"/>
          <w:color w:val="000000" w:themeColor="text1"/>
          <w:sz w:val="20"/>
          <w:szCs w:val="20"/>
        </w:rPr>
        <w:t>,</w:t>
      </w:r>
      <w:r w:rsidR="005E12D9" w:rsidRPr="004C6CC5">
        <w:rPr>
          <w:rFonts w:ascii="Arial" w:hAnsi="Arial" w:cs="Arial"/>
          <w:color w:val="000000" w:themeColor="text1"/>
          <w:sz w:val="20"/>
          <w:szCs w:val="20"/>
        </w:rPr>
        <w:t xml:space="preserve"> m.in. poprzez prace nad opracowaniem zalecenia w</w:t>
      </w:r>
      <w:r w:rsidR="0001750C">
        <w:rPr>
          <w:rFonts w:ascii="Arial" w:hAnsi="Arial" w:cs="Arial"/>
          <w:color w:val="000000" w:themeColor="text1"/>
          <w:sz w:val="20"/>
          <w:szCs w:val="20"/>
        </w:rPr>
        <w:t xml:space="preserve"> </w:t>
      </w:r>
      <w:r>
        <w:rPr>
          <w:rFonts w:ascii="Arial" w:hAnsi="Arial" w:cs="Arial"/>
          <w:color w:val="000000" w:themeColor="text1"/>
          <w:sz w:val="20"/>
          <w:szCs w:val="20"/>
        </w:rPr>
        <w:t>s</w:t>
      </w:r>
      <w:r w:rsidR="0001750C">
        <w:rPr>
          <w:rFonts w:ascii="Arial" w:hAnsi="Arial" w:cs="Arial"/>
          <w:color w:val="000000" w:themeColor="text1"/>
          <w:sz w:val="20"/>
          <w:szCs w:val="20"/>
        </w:rPr>
        <w:t>prawie</w:t>
      </w:r>
      <w:r w:rsidR="005E12D9" w:rsidRPr="004C6CC5">
        <w:rPr>
          <w:rFonts w:ascii="Arial" w:hAnsi="Arial" w:cs="Arial"/>
          <w:color w:val="000000" w:themeColor="text1"/>
          <w:sz w:val="20"/>
          <w:szCs w:val="20"/>
        </w:rPr>
        <w:t xml:space="preserve"> zarządzania wewnętrznymi rezerwami biogenów.</w:t>
      </w:r>
      <w:r>
        <w:rPr>
          <w:rFonts w:ascii="Arial" w:hAnsi="Arial" w:cs="Arial"/>
          <w:color w:val="000000" w:themeColor="text1"/>
          <w:sz w:val="20"/>
          <w:szCs w:val="20"/>
        </w:rPr>
        <w:t xml:space="preserve"> W</w:t>
      </w:r>
      <w:r w:rsidR="004C6CC5">
        <w:rPr>
          <w:rFonts w:ascii="Arial" w:hAnsi="Arial" w:cs="Arial"/>
          <w:color w:val="000000" w:themeColor="text1"/>
          <w:sz w:val="20"/>
          <w:szCs w:val="20"/>
        </w:rPr>
        <w:t> </w:t>
      </w:r>
      <w:r w:rsidR="005E12D9" w:rsidRPr="004C6CC5">
        <w:rPr>
          <w:rFonts w:ascii="Arial" w:hAnsi="Arial" w:cs="Arial"/>
          <w:color w:val="000000" w:themeColor="text1"/>
          <w:sz w:val="20"/>
          <w:szCs w:val="20"/>
        </w:rPr>
        <w:t>pracach grupy biorą udział przedstawiciele Ministerstwa Gospodarki Morskiej</w:t>
      </w:r>
      <w:r w:rsidR="004C6CC5">
        <w:rPr>
          <w:rFonts w:ascii="Arial" w:hAnsi="Arial" w:cs="Arial"/>
          <w:color w:val="000000" w:themeColor="text1"/>
          <w:sz w:val="20"/>
          <w:szCs w:val="20"/>
        </w:rPr>
        <w:t xml:space="preserve"> i </w:t>
      </w:r>
      <w:r w:rsidR="005E12D9" w:rsidRPr="004C6CC5">
        <w:rPr>
          <w:rFonts w:ascii="Arial" w:hAnsi="Arial" w:cs="Arial"/>
          <w:color w:val="000000" w:themeColor="text1"/>
          <w:sz w:val="20"/>
          <w:szCs w:val="20"/>
        </w:rPr>
        <w:t>Żeglugi Śródlądowej, Ministerstwa Rolnictwa</w:t>
      </w:r>
      <w:r w:rsidR="004C6CC5">
        <w:rPr>
          <w:rFonts w:ascii="Arial" w:hAnsi="Arial" w:cs="Arial"/>
          <w:color w:val="000000" w:themeColor="text1"/>
          <w:sz w:val="20"/>
          <w:szCs w:val="20"/>
        </w:rPr>
        <w:t xml:space="preserve"> i </w:t>
      </w:r>
      <w:r w:rsidR="005E12D9" w:rsidRPr="004C6CC5">
        <w:rPr>
          <w:rFonts w:ascii="Arial" w:hAnsi="Arial" w:cs="Arial"/>
          <w:color w:val="000000" w:themeColor="text1"/>
          <w:sz w:val="20"/>
          <w:szCs w:val="20"/>
        </w:rPr>
        <w:t>Rozwoju Wsi, Ministerstw</w:t>
      </w:r>
      <w:r>
        <w:rPr>
          <w:rFonts w:ascii="Arial" w:hAnsi="Arial" w:cs="Arial"/>
          <w:color w:val="000000" w:themeColor="text1"/>
          <w:sz w:val="20"/>
          <w:szCs w:val="20"/>
        </w:rPr>
        <w:t>a</w:t>
      </w:r>
      <w:r w:rsidR="005E12D9" w:rsidRPr="004C6CC5">
        <w:rPr>
          <w:rFonts w:ascii="Arial" w:hAnsi="Arial" w:cs="Arial"/>
          <w:color w:val="000000" w:themeColor="text1"/>
          <w:sz w:val="20"/>
          <w:szCs w:val="20"/>
        </w:rPr>
        <w:t xml:space="preserve"> Rozwoju oraz Państwowego Gospodarstwa Wodnego Wody Polskie.</w:t>
      </w:r>
    </w:p>
    <w:p w14:paraId="2E109701" w14:textId="77777777" w:rsidR="005E12D9" w:rsidRPr="004C6CC5" w:rsidRDefault="005E12D9" w:rsidP="008D2321">
      <w:pPr>
        <w:spacing w:before="240" w:after="120" w:line="276" w:lineRule="auto"/>
        <w:jc w:val="both"/>
        <w:rPr>
          <w:rFonts w:ascii="Arial" w:hAnsi="Arial" w:cs="Arial"/>
          <w:b/>
          <w:sz w:val="20"/>
          <w:szCs w:val="20"/>
        </w:rPr>
      </w:pPr>
      <w:r w:rsidRPr="004C6CC5">
        <w:rPr>
          <w:rFonts w:ascii="Arial" w:hAnsi="Arial" w:cs="Arial"/>
          <w:b/>
          <w:sz w:val="20"/>
          <w:szCs w:val="20"/>
        </w:rPr>
        <w:t>HELCOM MARITIME - grupa robocza ds. morskich</w:t>
      </w:r>
    </w:p>
    <w:p w14:paraId="4D7DDA01" w14:textId="25D21E7D"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W ramach grupy roboczej HELCOM MARITIME podejmowane są działania mające na celu zapobieganie zanieczyszczeniom ze statków,</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tym spowodowanym przez celowe zrzuty</w:t>
      </w:r>
      <w:r w:rsidR="002D58EB">
        <w:rPr>
          <w:rFonts w:ascii="Arial" w:hAnsi="Arial" w:cs="Arial"/>
          <w:color w:val="000000" w:themeColor="text1"/>
          <w:sz w:val="20"/>
          <w:szCs w:val="20"/>
        </w:rPr>
        <w:t>,</w:t>
      </w:r>
      <w:r w:rsidRPr="004C6CC5">
        <w:rPr>
          <w:rFonts w:ascii="Arial" w:hAnsi="Arial" w:cs="Arial"/>
          <w:color w:val="000000" w:themeColor="text1"/>
          <w:sz w:val="20"/>
          <w:szCs w:val="20"/>
        </w:rPr>
        <w:t xml:space="preserve"> jak</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będącym następstwem wypadków na morzu. Celem współpracy prowadzonej przez grupę HELCOM MARITIME jest zapewnienie</w:t>
      </w:r>
      <w:r w:rsidR="002D58EB">
        <w:rPr>
          <w:rFonts w:ascii="Arial" w:hAnsi="Arial" w:cs="Arial"/>
          <w:color w:val="000000" w:themeColor="text1"/>
          <w:sz w:val="20"/>
          <w:szCs w:val="20"/>
        </w:rPr>
        <w:t>,</w:t>
      </w:r>
      <w:r w:rsidRPr="004C6CC5">
        <w:rPr>
          <w:rFonts w:ascii="Arial" w:hAnsi="Arial" w:cs="Arial"/>
          <w:color w:val="000000" w:themeColor="text1"/>
          <w:sz w:val="20"/>
          <w:szCs w:val="20"/>
        </w:rPr>
        <w:t xml:space="preserve"> by międzynarodowe regulacje dotyczące ochrony środowiska morskiego przed zanieczyszczeniami ze statków były przestrzegane</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egzekwowane efektywnie oraz jednolicie</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obrębie Morza Bałtyckiego. Do zadań grupy należy również identyfikacja</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promowanie działań mających na celu ograniczenie zanieczyszczeń spowodowanych przez transport morski, przy jednoczesnym zapewnieniu bezpieczeństwa żeglugi.</w:t>
      </w:r>
    </w:p>
    <w:p w14:paraId="70212DA1" w14:textId="7FEEB50C"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Polskę</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posiedzeniach grupy roboczej HELCOM MARITIME reprezentuje przedstawici</w:t>
      </w:r>
      <w:r w:rsidR="009324D6">
        <w:rPr>
          <w:rFonts w:ascii="Arial" w:hAnsi="Arial" w:cs="Arial"/>
          <w:color w:val="000000" w:themeColor="text1"/>
          <w:sz w:val="20"/>
          <w:szCs w:val="20"/>
        </w:rPr>
        <w:t>el MGMiŻŚ oraz przedstawiciele urzędów m</w:t>
      </w:r>
      <w:r w:rsidRPr="004C6CC5">
        <w:rPr>
          <w:rFonts w:ascii="Arial" w:hAnsi="Arial" w:cs="Arial"/>
          <w:color w:val="000000" w:themeColor="text1"/>
          <w:sz w:val="20"/>
          <w:szCs w:val="20"/>
        </w:rPr>
        <w:t>orskich.</w:t>
      </w:r>
    </w:p>
    <w:p w14:paraId="43E06E74" w14:textId="69CD0B55"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Prace grupy HELCOM MARITME</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skupiały się między innymi na aktualizacji Bałtyckiego Planu Działania, zaś szczególną uwagę poświecono zadaniom przypisanym</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BSAP grupie HELCOM MARITIME</w:t>
      </w:r>
      <w:r w:rsidR="004C6CC5">
        <w:rPr>
          <w:rFonts w:ascii="Arial" w:hAnsi="Arial" w:cs="Arial"/>
          <w:color w:val="000000" w:themeColor="text1"/>
          <w:sz w:val="20"/>
          <w:szCs w:val="20"/>
        </w:rPr>
        <w:t xml:space="preserve"> w </w:t>
      </w:r>
      <w:r w:rsidR="00E85518">
        <w:rPr>
          <w:rFonts w:ascii="Arial" w:hAnsi="Arial" w:cs="Arial"/>
          <w:color w:val="000000" w:themeColor="text1"/>
          <w:sz w:val="20"/>
          <w:szCs w:val="20"/>
        </w:rPr>
        <w:t>zakresie „</w:t>
      </w:r>
      <w:r w:rsidRPr="004C6CC5">
        <w:rPr>
          <w:rFonts w:ascii="Arial" w:hAnsi="Arial" w:cs="Arial"/>
          <w:color w:val="000000" w:themeColor="text1"/>
          <w:sz w:val="20"/>
          <w:szCs w:val="20"/>
        </w:rPr>
        <w:t>Działania morskie prowadzone</w:t>
      </w:r>
      <w:r w:rsidR="004C6CC5">
        <w:rPr>
          <w:rFonts w:ascii="Arial" w:hAnsi="Arial" w:cs="Arial"/>
          <w:color w:val="000000" w:themeColor="text1"/>
          <w:sz w:val="20"/>
          <w:szCs w:val="20"/>
        </w:rPr>
        <w:t xml:space="preserve"> w </w:t>
      </w:r>
      <w:r w:rsidR="00E85518">
        <w:rPr>
          <w:rFonts w:ascii="Arial" w:hAnsi="Arial" w:cs="Arial"/>
          <w:color w:val="000000" w:themeColor="text1"/>
          <w:sz w:val="20"/>
          <w:szCs w:val="20"/>
        </w:rPr>
        <w:t>sposób przyjazny dla środowiska”</w:t>
      </w:r>
      <w:r w:rsidRPr="004C6CC5">
        <w:rPr>
          <w:rFonts w:ascii="Arial" w:hAnsi="Arial" w:cs="Arial"/>
          <w:color w:val="000000" w:themeColor="text1"/>
          <w:sz w:val="20"/>
          <w:szCs w:val="20"/>
        </w:rPr>
        <w:t xml:space="preserve">. </w:t>
      </w:r>
      <w:bookmarkStart w:id="42" w:name="_Hlk40451051"/>
      <w:r w:rsidRPr="004C6CC5">
        <w:rPr>
          <w:rFonts w:ascii="Arial" w:hAnsi="Arial" w:cs="Arial"/>
          <w:color w:val="000000" w:themeColor="text1"/>
          <w:sz w:val="20"/>
          <w:szCs w:val="20"/>
        </w:rPr>
        <w:t>Grupa zajmowała się przeglądem aktualnych danych na temat krajowej realizacji zaleceń HELCOM dotyczących zakresu działania grupy MARITIME, opracowaniem propozycji nowych działań, które mogłyby zostać uwzględnione</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zaktualizowanym BSAP, a także podjęto prace nad analizami wystarczalności działań dla osiągnięcia celów HELCOM</w:t>
      </w:r>
      <w:bookmarkEnd w:id="42"/>
      <w:r w:rsidRPr="004C6CC5">
        <w:rPr>
          <w:rFonts w:ascii="Arial" w:hAnsi="Arial" w:cs="Arial"/>
          <w:color w:val="000000" w:themeColor="text1"/>
          <w:sz w:val="20"/>
          <w:szCs w:val="20"/>
        </w:rPr>
        <w:t>.</w:t>
      </w:r>
    </w:p>
    <w:p w14:paraId="13FA2073" w14:textId="61B0C323"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W 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na posiedzeniach grupy HELCOM MARITIME odbyły się dyskusje dotyczące działań związanych</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 xml:space="preserve">poprawą dostępności portowych urządzeń do odbioru odpadów ze statków, a także nad </w:t>
      </w:r>
      <w:r w:rsidRPr="004C6CC5">
        <w:rPr>
          <w:rFonts w:ascii="Arial" w:hAnsi="Arial" w:cs="Arial"/>
          <w:color w:val="000000" w:themeColor="text1"/>
          <w:sz w:val="20"/>
          <w:szCs w:val="20"/>
        </w:rPr>
        <w:lastRenderedPageBreak/>
        <w:t xml:space="preserve">zwróceniem się do </w:t>
      </w:r>
      <w:r w:rsidR="00E85518">
        <w:rPr>
          <w:rFonts w:ascii="Arial" w:hAnsi="Arial" w:cs="Arial"/>
          <w:color w:val="000000" w:themeColor="text1"/>
          <w:sz w:val="20"/>
          <w:szCs w:val="20"/>
        </w:rPr>
        <w:t>Federac</w:t>
      </w:r>
      <w:r w:rsidR="0072776E">
        <w:rPr>
          <w:rFonts w:ascii="Arial" w:hAnsi="Arial" w:cs="Arial"/>
          <w:color w:val="000000" w:themeColor="text1"/>
          <w:sz w:val="20"/>
          <w:szCs w:val="20"/>
        </w:rPr>
        <w:t>j</w:t>
      </w:r>
      <w:r w:rsidR="00E85518">
        <w:rPr>
          <w:rFonts w:ascii="Arial" w:hAnsi="Arial" w:cs="Arial"/>
          <w:color w:val="000000" w:themeColor="text1"/>
          <w:sz w:val="20"/>
          <w:szCs w:val="20"/>
        </w:rPr>
        <w:t>i Rosyjskiej</w:t>
      </w:r>
      <w:r w:rsidRPr="004C6CC5">
        <w:rPr>
          <w:rFonts w:ascii="Arial" w:hAnsi="Arial" w:cs="Arial"/>
          <w:color w:val="000000" w:themeColor="text1"/>
          <w:sz w:val="20"/>
          <w:szCs w:val="20"/>
        </w:rPr>
        <w:t xml:space="preserve"> o informacje odnośnie przepisów regulujących egzekwowanie wymogów</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zakresie emisji SOx ze statków oraz o to</w:t>
      </w:r>
      <w:r w:rsidR="00E85518">
        <w:rPr>
          <w:rFonts w:ascii="Arial" w:hAnsi="Arial" w:cs="Arial"/>
          <w:color w:val="000000" w:themeColor="text1"/>
          <w:sz w:val="20"/>
          <w:szCs w:val="20"/>
        </w:rPr>
        <w:t>, by przekazywane były</w:t>
      </w:r>
      <w:r w:rsidRPr="004C6CC5">
        <w:rPr>
          <w:rFonts w:ascii="Arial" w:hAnsi="Arial" w:cs="Arial"/>
          <w:color w:val="000000" w:themeColor="text1"/>
          <w:sz w:val="20"/>
          <w:szCs w:val="20"/>
        </w:rPr>
        <w:t xml:space="preserve"> dane na temat inspekcji statków</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zakresie statków</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portach rosyjskich.</w:t>
      </w:r>
    </w:p>
    <w:p w14:paraId="7DBB9A1D" w14:textId="6BBA84FE"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lang w:val="en-US"/>
        </w:rPr>
        <w:t xml:space="preserve">Pod auspicjami grupy HELCOM MARITIME działa również grupa zadaniowa „Joint HELCOM/OSPAR Task Group on Ballast Water Exemptions” (HELCOM/OSPAR TG BALLAST). </w:t>
      </w:r>
      <w:r w:rsidRPr="004C6CC5">
        <w:rPr>
          <w:rFonts w:ascii="Arial" w:hAnsi="Arial" w:cs="Arial"/>
          <w:color w:val="000000" w:themeColor="text1"/>
          <w:sz w:val="20"/>
          <w:szCs w:val="20"/>
        </w:rPr>
        <w:t>Celem prac przedmiotowej grupy zadaniowej jest wypracowanie praktycznych rozwiązań związanych</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procedurą udzielania statkom zwolnień na podstawie wytycznych opracowanych przez grupę HELCOM/OSPAR TG BALLAST - „Wspólnej Zharmonizowanej Procedury dla państw - Stron HELCOM</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OSPAR</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zakresie udzielania zwolnień</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ramach Międzynarodowej konwencji o kontroli</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postępowaniu ze statkowymi wodami balastowymi</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osadami, Prawidło A-4” (HELCOM-OSPAR Joint Harmonized Procedure for BWMC A-4 exemptions).</w:t>
      </w:r>
    </w:p>
    <w:p w14:paraId="7077DC60" w14:textId="5FA83523" w:rsidR="00B2282D"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W pracach grupy HELCOM/OSPAR TG BALLAST biorą udział zarówno przedstawiciele administracji morskich państw-stron konwencji helsińskiej oraz OSPAR, przedstawiciele instytucji naukowych oraz armatorzy.</w:t>
      </w:r>
    </w:p>
    <w:p w14:paraId="233BFE22" w14:textId="77777777" w:rsidR="005E12D9" w:rsidRPr="004C6CC5" w:rsidRDefault="005E12D9" w:rsidP="008D2321">
      <w:pPr>
        <w:spacing w:after="120" w:line="276" w:lineRule="auto"/>
        <w:jc w:val="both"/>
        <w:rPr>
          <w:rFonts w:ascii="Arial" w:hAnsi="Arial" w:cs="Arial"/>
          <w:b/>
          <w:sz w:val="20"/>
          <w:szCs w:val="20"/>
        </w:rPr>
      </w:pPr>
      <w:r w:rsidRPr="004C6CC5">
        <w:rPr>
          <w:rFonts w:ascii="Arial" w:hAnsi="Arial" w:cs="Arial"/>
          <w:b/>
          <w:sz w:val="20"/>
          <w:szCs w:val="20"/>
        </w:rPr>
        <w:t>HELCOM RESPONSE - grupa robocza ds. reagowania</w:t>
      </w:r>
    </w:p>
    <w:p w14:paraId="4F911D24" w14:textId="6A068B36"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Celem prac grupy HELCOM RESPONSE są działania mające na celu organizację zwalczania</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reagowania na zanieczyszczenia olejowe</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inne niebezpieczne substancje na morzu oraz na brzegu morskim, które mogą wystąpić na skutek wypadków morskich</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regionie Morza Bałtyckiego.</w:t>
      </w:r>
    </w:p>
    <w:p w14:paraId="0D17D02A" w14:textId="18B274E2"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W 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posiedzenie grupy HELCOM RESPONSE odbyło się</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Warszawie</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tak jak</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przypadku innych grup roboczych HELCOM skupiało się głównie na aktualizacji Bałtyckiego Planu Działania. Grupa zajmowała się przeglądem aktualnych danych na temat krajowej realizacji zaleceń HELCOM dotyczących zakresu działania grupy RESPONSE, opracowaniem propozycji nowych działań, które mogłyby zostać uwzględnione</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zaktualizowanym BSAP, a także podjęto prace nad analizami wystarczalności działań dla osiągnięcia celów HELCOM. Ważnym zagadnieniem spotkań były również operacje zwalczania zanieczyszczeń na brzegu oraz udzielanie pomocy zaolejonym zwierzętom. Dodatkowo dyskutowano nad kwestiami związanymi</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wrakami</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 xml:space="preserve">innymi niebezpiecznymi zatopionymi obiektami. </w:t>
      </w:r>
    </w:p>
    <w:p w14:paraId="659985D1" w14:textId="52973A25"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W prace grupy</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Polski włączeni są eksperci Ministerstwa Gospodarki Morskiej</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Żeglugi Śródlądowej oraz wskazani przez nich eksperci m.in.</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Morskiej Służby Poszukiwania</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Ratownictwa, urzędów morskich oraz Komendy Głównej Państwowej Straży Pożarnej.</w:t>
      </w:r>
    </w:p>
    <w:p w14:paraId="4DAF835C" w14:textId="0E9E7E7A" w:rsidR="005E12D9" w:rsidRPr="004C6CC5" w:rsidRDefault="005E12D9" w:rsidP="008D2321">
      <w:pPr>
        <w:spacing w:before="240" w:after="120" w:line="276" w:lineRule="auto"/>
        <w:jc w:val="both"/>
        <w:rPr>
          <w:rFonts w:ascii="Arial" w:hAnsi="Arial" w:cs="Arial"/>
          <w:b/>
          <w:sz w:val="20"/>
          <w:szCs w:val="20"/>
        </w:rPr>
      </w:pPr>
      <w:r w:rsidRPr="004C6CC5">
        <w:rPr>
          <w:rFonts w:ascii="Arial" w:hAnsi="Arial" w:cs="Arial"/>
          <w:b/>
          <w:sz w:val="20"/>
          <w:szCs w:val="20"/>
        </w:rPr>
        <w:t>HELCOM HOD - posiedzenia przewodniczących delegacji</w:t>
      </w:r>
      <w:r w:rsidR="004C6CC5">
        <w:rPr>
          <w:rFonts w:ascii="Arial" w:hAnsi="Arial" w:cs="Arial"/>
          <w:b/>
          <w:sz w:val="20"/>
          <w:szCs w:val="20"/>
        </w:rPr>
        <w:t xml:space="preserve"> w </w:t>
      </w:r>
      <w:r w:rsidRPr="004C6CC5">
        <w:rPr>
          <w:rFonts w:ascii="Arial" w:hAnsi="Arial" w:cs="Arial"/>
          <w:b/>
          <w:sz w:val="20"/>
          <w:szCs w:val="20"/>
        </w:rPr>
        <w:t>HELCOM</w:t>
      </w:r>
    </w:p>
    <w:p w14:paraId="614F317E" w14:textId="73EAC0A0" w:rsidR="005E12D9" w:rsidRPr="004C6CC5" w:rsidRDefault="005E12D9" w:rsidP="008D2321">
      <w:pPr>
        <w:spacing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Spotkania Przewodniczących Delegacji</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HELCOM (HELCOM HOD) odbywają się dwa razy</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roku.</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posiedzenia HOD skupiały się na wdrożeniu zobowiązań wynikających</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przyjętej</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marcu 2018</w:t>
      </w:r>
      <w:r w:rsidR="009D01B9" w:rsidRPr="004C6CC5">
        <w:rPr>
          <w:rFonts w:ascii="Arial" w:hAnsi="Arial" w:cs="Arial"/>
          <w:color w:val="000000" w:themeColor="text1"/>
          <w:sz w:val="20"/>
          <w:szCs w:val="20"/>
        </w:rPr>
        <w:t xml:space="preserve"> r.</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Deklaracji Ministerialnej oraz kwestiach związanych</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aktualizacją Bałtyckiego Planu Działania.</w:t>
      </w:r>
    </w:p>
    <w:p w14:paraId="362A9D25" w14:textId="77777777" w:rsidR="005E12D9" w:rsidRPr="004C6CC5" w:rsidRDefault="005E12D9" w:rsidP="008D2321">
      <w:pPr>
        <w:spacing w:before="240" w:after="120" w:line="276" w:lineRule="auto"/>
        <w:jc w:val="both"/>
        <w:rPr>
          <w:rFonts w:ascii="Arial" w:hAnsi="Arial" w:cs="Arial"/>
          <w:b/>
          <w:sz w:val="20"/>
          <w:szCs w:val="20"/>
        </w:rPr>
      </w:pPr>
      <w:r w:rsidRPr="004C6CC5">
        <w:rPr>
          <w:rFonts w:ascii="Arial" w:hAnsi="Arial" w:cs="Arial"/>
          <w:b/>
          <w:sz w:val="20"/>
          <w:szCs w:val="20"/>
        </w:rPr>
        <w:t>HELCOM AGRI - grupa robocza ds. zrównoważonego rolnictwa</w:t>
      </w:r>
    </w:p>
    <w:p w14:paraId="1BDB5D46" w14:textId="18B478AF" w:rsidR="005E12D9" w:rsidRPr="004C6CC5" w:rsidRDefault="005E12D9" w:rsidP="008D2321">
      <w:pPr>
        <w:spacing w:after="120" w:line="276" w:lineRule="auto"/>
        <w:jc w:val="both"/>
        <w:rPr>
          <w:rFonts w:ascii="Arial" w:hAnsi="Arial" w:cs="Arial"/>
          <w:sz w:val="20"/>
          <w:szCs w:val="20"/>
        </w:rPr>
      </w:pPr>
      <w:r w:rsidRPr="004C6CC5">
        <w:rPr>
          <w:rFonts w:ascii="Arial" w:hAnsi="Arial" w:cs="Arial"/>
          <w:sz w:val="20"/>
          <w:szCs w:val="20"/>
        </w:rPr>
        <w:t>Celem grupy roboczej HELCOM AGRI jest rozwijanie dialogu między przedstawicielami sektora rolnictwa</w:t>
      </w:r>
      <w:r w:rsidR="004C6CC5">
        <w:rPr>
          <w:rFonts w:ascii="Arial" w:hAnsi="Arial" w:cs="Arial"/>
          <w:sz w:val="20"/>
          <w:szCs w:val="20"/>
        </w:rPr>
        <w:t xml:space="preserve"> i </w:t>
      </w:r>
      <w:r w:rsidRPr="004C6CC5">
        <w:rPr>
          <w:rFonts w:ascii="Arial" w:hAnsi="Arial" w:cs="Arial"/>
          <w:sz w:val="20"/>
          <w:szCs w:val="20"/>
        </w:rPr>
        <w:t>środowiska</w:t>
      </w:r>
      <w:r w:rsidR="004C6CC5">
        <w:rPr>
          <w:rFonts w:ascii="Arial" w:hAnsi="Arial" w:cs="Arial"/>
          <w:sz w:val="20"/>
          <w:szCs w:val="20"/>
        </w:rPr>
        <w:t xml:space="preserve"> w </w:t>
      </w:r>
      <w:r w:rsidRPr="004C6CC5">
        <w:rPr>
          <w:rFonts w:ascii="Arial" w:hAnsi="Arial" w:cs="Arial"/>
          <w:sz w:val="20"/>
          <w:szCs w:val="20"/>
        </w:rPr>
        <w:t>zakresie zrównoważonych praktyk rolniczych, dzięki którym wpływ rolnictwa na stan wód Morza Bałtyckiego może zostać zminimalizowany.</w:t>
      </w:r>
      <w:r w:rsidR="00D06536">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 xml:space="preserve">prace grupy zaangażowani byli przede wszystkim przedstawiciele resortu rolnictwa. </w:t>
      </w:r>
    </w:p>
    <w:p w14:paraId="49960F2F" w14:textId="77777777" w:rsidR="005E12D9" w:rsidRPr="004C6CC5" w:rsidRDefault="005E12D9" w:rsidP="008D2321">
      <w:pPr>
        <w:spacing w:before="240" w:after="120" w:line="276" w:lineRule="auto"/>
        <w:jc w:val="both"/>
        <w:rPr>
          <w:rFonts w:ascii="Arial" w:hAnsi="Arial" w:cs="Arial"/>
          <w:b/>
          <w:sz w:val="20"/>
          <w:szCs w:val="20"/>
        </w:rPr>
      </w:pPr>
      <w:r w:rsidRPr="004C6CC5">
        <w:rPr>
          <w:rFonts w:ascii="Arial" w:hAnsi="Arial" w:cs="Arial"/>
          <w:b/>
          <w:sz w:val="20"/>
          <w:szCs w:val="20"/>
        </w:rPr>
        <w:t>HELCOM FISH - grupa robocza ds. zrównoważonego rybołówstwa</w:t>
      </w:r>
    </w:p>
    <w:p w14:paraId="3B7403CD" w14:textId="77777777" w:rsidR="009D74A2" w:rsidRDefault="005E12D9" w:rsidP="008D2321">
      <w:pPr>
        <w:spacing w:after="120" w:line="276" w:lineRule="auto"/>
        <w:jc w:val="both"/>
        <w:rPr>
          <w:rFonts w:ascii="Arial" w:hAnsi="Arial" w:cs="Arial"/>
          <w:sz w:val="20"/>
          <w:szCs w:val="20"/>
        </w:rPr>
      </w:pPr>
      <w:r w:rsidRPr="004C6CC5">
        <w:rPr>
          <w:rFonts w:ascii="Arial" w:hAnsi="Arial" w:cs="Arial"/>
          <w:sz w:val="20"/>
          <w:szCs w:val="20"/>
        </w:rPr>
        <w:t>Głównym celem grupy HELCOM FISH jest wdrażanie ekosystemowego podejścia do rybołówstwa. Jednym</w:t>
      </w:r>
      <w:r w:rsidR="004C6CC5">
        <w:rPr>
          <w:rFonts w:ascii="Arial" w:hAnsi="Arial" w:cs="Arial"/>
          <w:sz w:val="20"/>
          <w:szCs w:val="20"/>
        </w:rPr>
        <w:t xml:space="preserve"> z </w:t>
      </w:r>
      <w:r w:rsidRPr="004C6CC5">
        <w:rPr>
          <w:rFonts w:ascii="Arial" w:hAnsi="Arial" w:cs="Arial"/>
          <w:sz w:val="20"/>
          <w:szCs w:val="20"/>
        </w:rPr>
        <w:t>głównych zadań jest również opracowanie wytycznych dla całego sektora rybołówstwa</w:t>
      </w:r>
      <w:r w:rsidR="004C6CC5">
        <w:rPr>
          <w:rFonts w:ascii="Arial" w:hAnsi="Arial" w:cs="Arial"/>
          <w:sz w:val="20"/>
          <w:szCs w:val="20"/>
        </w:rPr>
        <w:t xml:space="preserve"> w </w:t>
      </w:r>
      <w:r w:rsidRPr="004C6CC5">
        <w:rPr>
          <w:rFonts w:ascii="Arial" w:hAnsi="Arial" w:cs="Arial"/>
          <w:sz w:val="20"/>
          <w:szCs w:val="20"/>
        </w:rPr>
        <w:t>zakresie działań koniecznych do podjęcia</w:t>
      </w:r>
      <w:r w:rsidR="004C6CC5">
        <w:rPr>
          <w:rFonts w:ascii="Arial" w:hAnsi="Arial" w:cs="Arial"/>
          <w:sz w:val="20"/>
          <w:szCs w:val="20"/>
        </w:rPr>
        <w:t xml:space="preserve"> w </w:t>
      </w:r>
      <w:r w:rsidRPr="004C6CC5">
        <w:rPr>
          <w:rFonts w:ascii="Arial" w:hAnsi="Arial" w:cs="Arial"/>
          <w:sz w:val="20"/>
          <w:szCs w:val="20"/>
        </w:rPr>
        <w:t>celu osiągnięcia dobrego stanu środowiska Morza Bałtyckiego do 2021</w:t>
      </w:r>
      <w:r w:rsidR="009D74A2">
        <w:rPr>
          <w:rFonts w:ascii="Arial" w:hAnsi="Arial" w:cs="Arial"/>
          <w:sz w:val="20"/>
          <w:szCs w:val="20"/>
        </w:rPr>
        <w:t xml:space="preserve"> r.</w:t>
      </w:r>
    </w:p>
    <w:p w14:paraId="743956B7" w14:textId="4849C1F8" w:rsidR="005E12D9" w:rsidRPr="009D74A2" w:rsidRDefault="005E12D9" w:rsidP="009D74A2">
      <w:pPr>
        <w:spacing w:after="120" w:line="276" w:lineRule="auto"/>
        <w:jc w:val="both"/>
        <w:rPr>
          <w:rFonts w:ascii="Arial" w:hAnsi="Arial" w:cs="Arial"/>
          <w:sz w:val="20"/>
          <w:szCs w:val="20"/>
        </w:rPr>
      </w:pPr>
      <w:r w:rsidRPr="004C6CC5">
        <w:rPr>
          <w:rFonts w:ascii="Arial" w:hAnsi="Arial" w:cs="Arial"/>
          <w:sz w:val="20"/>
          <w:szCs w:val="20"/>
        </w:rPr>
        <w:lastRenderedPageBreak/>
        <w:t>Ministerstwo Gospodarki Morskiej</w:t>
      </w:r>
      <w:r w:rsidR="004C6CC5">
        <w:rPr>
          <w:rFonts w:ascii="Arial" w:hAnsi="Arial" w:cs="Arial"/>
          <w:sz w:val="20"/>
          <w:szCs w:val="20"/>
        </w:rPr>
        <w:t xml:space="preserve"> i </w:t>
      </w:r>
      <w:r w:rsidRPr="004C6CC5">
        <w:rPr>
          <w:rFonts w:ascii="Arial" w:hAnsi="Arial" w:cs="Arial"/>
          <w:sz w:val="20"/>
          <w:szCs w:val="20"/>
        </w:rPr>
        <w:t xml:space="preserve">Żeglugi Śródlądowej </w:t>
      </w:r>
      <w:r w:rsidR="00D00E61">
        <w:rPr>
          <w:rFonts w:ascii="Arial" w:hAnsi="Arial" w:cs="Arial"/>
          <w:sz w:val="20"/>
          <w:szCs w:val="20"/>
        </w:rPr>
        <w:t>było</w:t>
      </w:r>
      <w:r w:rsidRPr="004C6CC5">
        <w:rPr>
          <w:rFonts w:ascii="Arial" w:hAnsi="Arial" w:cs="Arial"/>
          <w:sz w:val="20"/>
          <w:szCs w:val="20"/>
        </w:rPr>
        <w:t xml:space="preserve"> aktywnie zaangażowane</w:t>
      </w:r>
      <w:r w:rsidR="004C6CC5">
        <w:rPr>
          <w:rFonts w:ascii="Arial" w:hAnsi="Arial" w:cs="Arial"/>
          <w:sz w:val="20"/>
          <w:szCs w:val="20"/>
        </w:rPr>
        <w:t xml:space="preserve"> w </w:t>
      </w:r>
      <w:r w:rsidRPr="004C6CC5">
        <w:rPr>
          <w:rFonts w:ascii="Arial" w:hAnsi="Arial" w:cs="Arial"/>
          <w:sz w:val="20"/>
          <w:szCs w:val="20"/>
        </w:rPr>
        <w:t>prace grupy ds. zrównoważonego rybołówstwa</w:t>
      </w:r>
      <w:r w:rsidR="004C6CC5">
        <w:rPr>
          <w:rFonts w:ascii="Arial" w:hAnsi="Arial" w:cs="Arial"/>
          <w:sz w:val="20"/>
          <w:szCs w:val="20"/>
        </w:rPr>
        <w:t xml:space="preserve"> w </w:t>
      </w:r>
      <w:r w:rsidRPr="004C6CC5">
        <w:rPr>
          <w:rFonts w:ascii="Arial" w:hAnsi="Arial" w:cs="Arial"/>
          <w:sz w:val="20"/>
          <w:szCs w:val="20"/>
        </w:rPr>
        <w:t xml:space="preserve">oparciu o podejście ekosystemowe (HELCOM FISH) oraz podgrupy ds. ryb migrujących (HELCOM FISH-M). </w:t>
      </w:r>
      <w:r w:rsidRPr="004C6CC5">
        <w:rPr>
          <w:rFonts w:ascii="Arial" w:hAnsi="Arial" w:cs="Arial"/>
          <w:color w:val="000000"/>
          <w:sz w:val="20"/>
          <w:szCs w:val="20"/>
        </w:rPr>
        <w:t>Dzięki aktywnemu uczestnictwu Polski</w:t>
      </w:r>
      <w:r w:rsidR="004C6CC5">
        <w:rPr>
          <w:rFonts w:ascii="Arial" w:hAnsi="Arial" w:cs="Arial"/>
          <w:color w:val="000000"/>
          <w:sz w:val="20"/>
          <w:szCs w:val="20"/>
        </w:rPr>
        <w:t xml:space="preserve"> w </w:t>
      </w:r>
      <w:r w:rsidR="00037A61">
        <w:rPr>
          <w:rFonts w:ascii="Arial" w:hAnsi="Arial" w:cs="Arial"/>
          <w:color w:val="000000"/>
          <w:sz w:val="20"/>
          <w:szCs w:val="20"/>
        </w:rPr>
        <w:t>pracach Grupy udało się m.</w:t>
      </w:r>
      <w:r w:rsidRPr="004C6CC5">
        <w:rPr>
          <w:rFonts w:ascii="Arial" w:hAnsi="Arial" w:cs="Arial"/>
          <w:color w:val="000000"/>
          <w:sz w:val="20"/>
          <w:szCs w:val="20"/>
        </w:rPr>
        <w:t>in. opracować dokument tzw. Roadmap</w:t>
      </w:r>
      <w:r w:rsidR="004C6CC5">
        <w:rPr>
          <w:rFonts w:ascii="Arial" w:hAnsi="Arial" w:cs="Arial"/>
          <w:color w:val="000000"/>
          <w:sz w:val="20"/>
          <w:szCs w:val="20"/>
        </w:rPr>
        <w:t xml:space="preserve"> w </w:t>
      </w:r>
      <w:r w:rsidRPr="004C6CC5">
        <w:rPr>
          <w:rFonts w:ascii="Arial" w:hAnsi="Arial" w:cs="Arial"/>
          <w:color w:val="000000"/>
          <w:sz w:val="20"/>
          <w:szCs w:val="20"/>
        </w:rPr>
        <w:t>sprawie danych rybackich do oceny wskaźników dotyczących przypadkowych połowów ptaków</w:t>
      </w:r>
      <w:r w:rsidR="004C6CC5">
        <w:rPr>
          <w:rFonts w:ascii="Arial" w:hAnsi="Arial" w:cs="Arial"/>
          <w:color w:val="000000"/>
          <w:sz w:val="20"/>
          <w:szCs w:val="20"/>
        </w:rPr>
        <w:t xml:space="preserve"> i </w:t>
      </w:r>
      <w:r w:rsidRPr="004C6CC5">
        <w:rPr>
          <w:rFonts w:ascii="Arial" w:hAnsi="Arial" w:cs="Arial"/>
          <w:color w:val="000000"/>
          <w:sz w:val="20"/>
          <w:szCs w:val="20"/>
        </w:rPr>
        <w:t>ssaków oraz oddziaływania rybołówstwa na dno morskie. Ponadto, przy udziale Polski powstał kwestionariusz dotyczący testów alternatywnych narzędzi połowowych</w:t>
      </w:r>
      <w:r w:rsidR="004C6CC5">
        <w:rPr>
          <w:rFonts w:ascii="Arial" w:hAnsi="Arial" w:cs="Arial"/>
          <w:color w:val="000000"/>
          <w:sz w:val="20"/>
          <w:szCs w:val="20"/>
        </w:rPr>
        <w:t xml:space="preserve"> w </w:t>
      </w:r>
      <w:r w:rsidRPr="004C6CC5">
        <w:rPr>
          <w:rFonts w:ascii="Arial" w:hAnsi="Arial" w:cs="Arial"/>
          <w:color w:val="000000"/>
          <w:sz w:val="20"/>
          <w:szCs w:val="20"/>
        </w:rPr>
        <w:t>obszarze Morza Bałtyckiego, który jest na bieżąco aktualizowany przez państwa członkowskie biorące udział</w:t>
      </w:r>
      <w:r w:rsidR="004C6CC5">
        <w:rPr>
          <w:rFonts w:ascii="Arial" w:hAnsi="Arial" w:cs="Arial"/>
          <w:color w:val="000000"/>
          <w:sz w:val="20"/>
          <w:szCs w:val="20"/>
        </w:rPr>
        <w:t xml:space="preserve"> w </w:t>
      </w:r>
      <w:r w:rsidR="00F16F4F">
        <w:rPr>
          <w:rFonts w:ascii="Arial" w:hAnsi="Arial" w:cs="Arial"/>
          <w:color w:val="000000"/>
          <w:sz w:val="20"/>
          <w:szCs w:val="20"/>
        </w:rPr>
        <w:t>posiedzeniach g</w:t>
      </w:r>
      <w:r w:rsidRPr="004C6CC5">
        <w:rPr>
          <w:rFonts w:ascii="Arial" w:hAnsi="Arial" w:cs="Arial"/>
          <w:color w:val="000000"/>
          <w:sz w:val="20"/>
          <w:szCs w:val="20"/>
        </w:rPr>
        <w:t>rupy HELCOM FISH. Kwestionariusz ten obecnie wykorzystywany jest</w:t>
      </w:r>
      <w:r w:rsidR="004C6CC5">
        <w:rPr>
          <w:rFonts w:ascii="Arial" w:hAnsi="Arial" w:cs="Arial"/>
          <w:color w:val="000000"/>
          <w:sz w:val="20"/>
          <w:szCs w:val="20"/>
        </w:rPr>
        <w:t xml:space="preserve"> w </w:t>
      </w:r>
      <w:r w:rsidRPr="004C6CC5">
        <w:rPr>
          <w:rFonts w:ascii="Arial" w:hAnsi="Arial" w:cs="Arial"/>
          <w:color w:val="000000"/>
          <w:sz w:val="20"/>
          <w:szCs w:val="20"/>
        </w:rPr>
        <w:t xml:space="preserve">pracach różnych grup roboczych </w:t>
      </w:r>
      <w:r w:rsidR="00C22B25">
        <w:rPr>
          <w:rFonts w:ascii="Arial" w:hAnsi="Arial" w:cs="Arial"/>
          <w:color w:val="000000"/>
          <w:sz w:val="20"/>
          <w:szCs w:val="20"/>
        </w:rPr>
        <w:t xml:space="preserve">HELCOM (np. EG MAMA), </w:t>
      </w:r>
      <w:r w:rsidR="00F16F4F">
        <w:rPr>
          <w:rFonts w:ascii="Arial" w:hAnsi="Arial" w:cs="Arial"/>
          <w:color w:val="000000"/>
          <w:sz w:val="20"/>
          <w:szCs w:val="20"/>
        </w:rPr>
        <w:t xml:space="preserve">HELCOM </w:t>
      </w:r>
      <w:r w:rsidRPr="004C6CC5">
        <w:rPr>
          <w:rFonts w:ascii="Arial" w:hAnsi="Arial" w:cs="Arial"/>
          <w:color w:val="000000"/>
          <w:sz w:val="20"/>
          <w:szCs w:val="20"/>
        </w:rPr>
        <w:t>STATE&amp;CONSERVATION, jak również</w:t>
      </w:r>
      <w:r w:rsidR="004C6CC5">
        <w:rPr>
          <w:rFonts w:ascii="Arial" w:hAnsi="Arial" w:cs="Arial"/>
          <w:color w:val="000000"/>
          <w:sz w:val="20"/>
          <w:szCs w:val="20"/>
        </w:rPr>
        <w:t xml:space="preserve"> w </w:t>
      </w:r>
      <w:r w:rsidRPr="004C6CC5">
        <w:rPr>
          <w:rFonts w:ascii="Arial" w:hAnsi="Arial" w:cs="Arial"/>
          <w:color w:val="000000"/>
          <w:sz w:val="20"/>
          <w:szCs w:val="20"/>
        </w:rPr>
        <w:t>pracach grup działających poza HELCOM</w:t>
      </w:r>
      <w:r w:rsidR="00F16F4F">
        <w:rPr>
          <w:rFonts w:ascii="Arial" w:hAnsi="Arial" w:cs="Arial"/>
          <w:color w:val="000000"/>
          <w:sz w:val="20"/>
          <w:szCs w:val="20"/>
        </w:rPr>
        <w:t>,</w:t>
      </w:r>
      <w:r w:rsidRPr="004C6CC5">
        <w:rPr>
          <w:rFonts w:ascii="Arial" w:hAnsi="Arial" w:cs="Arial"/>
          <w:color w:val="000000"/>
          <w:sz w:val="20"/>
          <w:szCs w:val="20"/>
        </w:rPr>
        <w:t xml:space="preserve"> np. ICES WGBYC.</w:t>
      </w:r>
    </w:p>
    <w:p w14:paraId="56C099E6" w14:textId="55BF9A71" w:rsidR="005E12D9" w:rsidRPr="004C6CC5" w:rsidRDefault="005E12D9" w:rsidP="00733934">
      <w:pPr>
        <w:pStyle w:val="NormalnyWeb"/>
        <w:spacing w:before="120" w:beforeAutospacing="0" w:after="120" w:afterAutospacing="0" w:line="276" w:lineRule="auto"/>
        <w:jc w:val="both"/>
        <w:rPr>
          <w:rFonts w:ascii="Arial" w:hAnsi="Arial" w:cs="Arial"/>
          <w:color w:val="000000"/>
          <w:sz w:val="20"/>
          <w:szCs w:val="20"/>
        </w:rPr>
      </w:pPr>
      <w:r w:rsidRPr="004C6CC5">
        <w:rPr>
          <w:rFonts w:ascii="Arial" w:hAnsi="Arial" w:cs="Arial"/>
          <w:color w:val="000000"/>
          <w:sz w:val="20"/>
          <w:szCs w:val="20"/>
        </w:rPr>
        <w:t>W 2019</w:t>
      </w:r>
      <w:r w:rsidR="009D01B9" w:rsidRPr="004C6CC5">
        <w:rPr>
          <w:rFonts w:ascii="Arial" w:hAnsi="Arial" w:cs="Arial"/>
          <w:color w:val="000000"/>
          <w:sz w:val="20"/>
          <w:szCs w:val="20"/>
        </w:rPr>
        <w:t xml:space="preserve"> r. </w:t>
      </w:r>
      <w:r w:rsidRPr="004C6CC5">
        <w:rPr>
          <w:rFonts w:ascii="Arial" w:hAnsi="Arial" w:cs="Arial"/>
          <w:color w:val="000000"/>
          <w:sz w:val="20"/>
          <w:szCs w:val="20"/>
        </w:rPr>
        <w:t>przedstawiciele MGMiŻŚ aktywnie uczestniczyli</w:t>
      </w:r>
      <w:r w:rsidR="004C6CC5">
        <w:rPr>
          <w:rFonts w:ascii="Arial" w:hAnsi="Arial" w:cs="Arial"/>
          <w:color w:val="000000"/>
          <w:sz w:val="20"/>
          <w:szCs w:val="20"/>
        </w:rPr>
        <w:t xml:space="preserve"> w </w:t>
      </w:r>
      <w:r w:rsidRPr="004C6CC5">
        <w:rPr>
          <w:rFonts w:ascii="Arial" w:hAnsi="Arial" w:cs="Arial"/>
          <w:color w:val="000000"/>
          <w:sz w:val="20"/>
          <w:szCs w:val="20"/>
        </w:rPr>
        <w:t>posiedzeniach grup, włączając</w:t>
      </w:r>
      <w:r w:rsidR="004C6CC5">
        <w:rPr>
          <w:rFonts w:ascii="Arial" w:hAnsi="Arial" w:cs="Arial"/>
          <w:color w:val="000000"/>
          <w:sz w:val="20"/>
          <w:szCs w:val="20"/>
        </w:rPr>
        <w:t xml:space="preserve"> w </w:t>
      </w:r>
      <w:r w:rsidRPr="004C6CC5">
        <w:rPr>
          <w:rFonts w:ascii="Arial" w:hAnsi="Arial" w:cs="Arial"/>
          <w:color w:val="000000"/>
          <w:sz w:val="20"/>
          <w:szCs w:val="20"/>
        </w:rPr>
        <w:t>to przewodniczenie spotkaniu HELCOM FISH 10/2019</w:t>
      </w:r>
      <w:r w:rsidR="004C6CC5">
        <w:rPr>
          <w:rFonts w:ascii="Arial" w:hAnsi="Arial" w:cs="Arial"/>
          <w:color w:val="000000"/>
          <w:sz w:val="20"/>
          <w:szCs w:val="20"/>
        </w:rPr>
        <w:t xml:space="preserve"> w </w:t>
      </w:r>
      <w:r w:rsidRPr="004C6CC5">
        <w:rPr>
          <w:rFonts w:ascii="Arial" w:hAnsi="Arial" w:cs="Arial"/>
          <w:color w:val="000000"/>
          <w:sz w:val="20"/>
          <w:szCs w:val="20"/>
        </w:rPr>
        <w:t>dniach 25-26 czerwca 2019</w:t>
      </w:r>
      <w:r w:rsidR="009D01B9" w:rsidRPr="004C6CC5">
        <w:rPr>
          <w:rFonts w:ascii="Arial" w:hAnsi="Arial" w:cs="Arial"/>
          <w:color w:val="000000"/>
          <w:sz w:val="20"/>
          <w:szCs w:val="20"/>
        </w:rPr>
        <w:t xml:space="preserve"> r.</w:t>
      </w:r>
      <w:r w:rsidR="004C6CC5">
        <w:rPr>
          <w:rFonts w:ascii="Arial" w:hAnsi="Arial" w:cs="Arial"/>
          <w:color w:val="000000"/>
          <w:sz w:val="20"/>
          <w:szCs w:val="20"/>
        </w:rPr>
        <w:t xml:space="preserve"> w </w:t>
      </w:r>
      <w:r w:rsidRPr="004C6CC5">
        <w:rPr>
          <w:rFonts w:ascii="Arial" w:hAnsi="Arial" w:cs="Arial"/>
          <w:color w:val="000000"/>
          <w:sz w:val="20"/>
          <w:szCs w:val="20"/>
        </w:rPr>
        <w:t>Kopenhadze. Ponadto,</w:t>
      </w:r>
      <w:r w:rsidR="004C6CC5">
        <w:rPr>
          <w:rFonts w:ascii="Arial" w:hAnsi="Arial" w:cs="Arial"/>
          <w:color w:val="000000"/>
          <w:sz w:val="20"/>
          <w:szCs w:val="20"/>
        </w:rPr>
        <w:t xml:space="preserve"> w </w:t>
      </w:r>
      <w:r w:rsidRPr="004C6CC5">
        <w:rPr>
          <w:rFonts w:ascii="Arial" w:hAnsi="Arial" w:cs="Arial"/>
          <w:color w:val="000000"/>
          <w:sz w:val="20"/>
          <w:szCs w:val="20"/>
        </w:rPr>
        <w:t>dniu 27 czerwca 2019</w:t>
      </w:r>
      <w:r w:rsidR="009D01B9" w:rsidRPr="004C6CC5">
        <w:rPr>
          <w:rFonts w:ascii="Arial" w:hAnsi="Arial" w:cs="Arial"/>
          <w:color w:val="000000"/>
          <w:sz w:val="20"/>
          <w:szCs w:val="20"/>
        </w:rPr>
        <w:t xml:space="preserve"> r. </w:t>
      </w:r>
      <w:r w:rsidRPr="004C6CC5">
        <w:rPr>
          <w:rFonts w:ascii="Arial" w:hAnsi="Arial" w:cs="Arial"/>
          <w:color w:val="000000"/>
          <w:sz w:val="20"/>
          <w:szCs w:val="20"/>
        </w:rPr>
        <w:t>odbyły się</w:t>
      </w:r>
      <w:r w:rsidR="004C6CC5">
        <w:rPr>
          <w:rFonts w:ascii="Arial" w:hAnsi="Arial" w:cs="Arial"/>
          <w:color w:val="000000"/>
          <w:sz w:val="20"/>
          <w:szCs w:val="20"/>
        </w:rPr>
        <w:t xml:space="preserve"> w </w:t>
      </w:r>
      <w:r w:rsidRPr="004C6CC5">
        <w:rPr>
          <w:rFonts w:ascii="Arial" w:hAnsi="Arial" w:cs="Arial"/>
          <w:color w:val="000000"/>
          <w:sz w:val="20"/>
          <w:szCs w:val="20"/>
        </w:rPr>
        <w:t>Kopenhadze warsztaty</w:t>
      </w:r>
      <w:r w:rsidR="004C6CC5">
        <w:rPr>
          <w:rFonts w:ascii="Arial" w:hAnsi="Arial" w:cs="Arial"/>
          <w:color w:val="000000"/>
          <w:sz w:val="20"/>
          <w:szCs w:val="20"/>
        </w:rPr>
        <w:t xml:space="preserve"> w </w:t>
      </w:r>
      <w:r w:rsidRPr="004C6CC5">
        <w:rPr>
          <w:rFonts w:ascii="Arial" w:hAnsi="Arial" w:cs="Arial"/>
          <w:color w:val="000000"/>
          <w:sz w:val="20"/>
          <w:szCs w:val="20"/>
        </w:rPr>
        <w:t>zakresie interakcji między fokami a rybakami (rybołówstwem) HELCOM SFI WS 1/2019, które były współorganizowane</w:t>
      </w:r>
      <w:r w:rsidR="004C6CC5">
        <w:rPr>
          <w:rFonts w:ascii="Arial" w:hAnsi="Arial" w:cs="Arial"/>
          <w:color w:val="000000"/>
          <w:sz w:val="20"/>
          <w:szCs w:val="20"/>
        </w:rPr>
        <w:t xml:space="preserve"> i </w:t>
      </w:r>
      <w:r w:rsidRPr="004C6CC5">
        <w:rPr>
          <w:rFonts w:ascii="Arial" w:hAnsi="Arial" w:cs="Arial"/>
          <w:color w:val="000000"/>
          <w:sz w:val="20"/>
          <w:szCs w:val="20"/>
        </w:rPr>
        <w:t>prowadzone przez stronę polską (MGMIŻS). Podczas warsztatów szukano takich rozwiązań konfliktu między fokami a rybołówstwem</w:t>
      </w:r>
      <w:r w:rsidR="00D14176">
        <w:rPr>
          <w:rFonts w:ascii="Arial" w:hAnsi="Arial" w:cs="Arial"/>
          <w:color w:val="000000"/>
          <w:sz w:val="20"/>
          <w:szCs w:val="20"/>
        </w:rPr>
        <w:t>, jak regulacja populacji oraz</w:t>
      </w:r>
      <w:r w:rsidRPr="004C6CC5">
        <w:rPr>
          <w:rFonts w:ascii="Arial" w:hAnsi="Arial" w:cs="Arial"/>
          <w:color w:val="000000"/>
          <w:sz w:val="20"/>
          <w:szCs w:val="20"/>
        </w:rPr>
        <w:t xml:space="preserve"> inne, nie letalne metody łagodzenia konfliktu (np. alternatywne narzędzia połowowe), analizowano </w:t>
      </w:r>
      <w:r w:rsidR="00295B75">
        <w:rPr>
          <w:rFonts w:ascii="Arial" w:hAnsi="Arial" w:cs="Arial"/>
          <w:color w:val="000000"/>
          <w:sz w:val="20"/>
          <w:szCs w:val="20"/>
        </w:rPr>
        <w:t xml:space="preserve">również </w:t>
      </w:r>
      <w:r w:rsidRPr="004C6CC5">
        <w:rPr>
          <w:rFonts w:ascii="Arial" w:hAnsi="Arial" w:cs="Arial"/>
          <w:color w:val="000000"/>
          <w:sz w:val="20"/>
          <w:szCs w:val="20"/>
        </w:rPr>
        <w:t>stan</w:t>
      </w:r>
      <w:r w:rsidR="004C6CC5">
        <w:rPr>
          <w:rFonts w:ascii="Arial" w:hAnsi="Arial" w:cs="Arial"/>
          <w:color w:val="000000"/>
          <w:sz w:val="20"/>
          <w:szCs w:val="20"/>
        </w:rPr>
        <w:t xml:space="preserve"> i </w:t>
      </w:r>
      <w:r w:rsidRPr="004C6CC5">
        <w:rPr>
          <w:rFonts w:ascii="Arial" w:hAnsi="Arial" w:cs="Arial"/>
          <w:color w:val="000000"/>
          <w:sz w:val="20"/>
          <w:szCs w:val="20"/>
        </w:rPr>
        <w:t>rozmieszczenie populacji fok</w:t>
      </w:r>
      <w:r w:rsidR="004C6CC5">
        <w:rPr>
          <w:rFonts w:ascii="Arial" w:hAnsi="Arial" w:cs="Arial"/>
          <w:color w:val="000000"/>
          <w:sz w:val="20"/>
          <w:szCs w:val="20"/>
        </w:rPr>
        <w:t xml:space="preserve"> w </w:t>
      </w:r>
      <w:r w:rsidRPr="004C6CC5">
        <w:rPr>
          <w:rFonts w:ascii="Arial" w:hAnsi="Arial" w:cs="Arial"/>
          <w:color w:val="000000"/>
          <w:sz w:val="20"/>
          <w:szCs w:val="20"/>
        </w:rPr>
        <w:t>Morzu Bałtycki</w:t>
      </w:r>
      <w:r w:rsidR="00C87B23">
        <w:rPr>
          <w:rFonts w:ascii="Arial" w:hAnsi="Arial" w:cs="Arial"/>
          <w:color w:val="000000"/>
          <w:sz w:val="20"/>
          <w:szCs w:val="20"/>
        </w:rPr>
        <w:t>m</w:t>
      </w:r>
      <w:r w:rsidRPr="004C6CC5">
        <w:rPr>
          <w:rFonts w:ascii="Arial" w:hAnsi="Arial" w:cs="Arial"/>
          <w:color w:val="000000"/>
          <w:sz w:val="20"/>
          <w:szCs w:val="20"/>
        </w:rPr>
        <w:t xml:space="preserve"> oraz perspektywy na przyszłość.</w:t>
      </w:r>
    </w:p>
    <w:p w14:paraId="35DCEA4A" w14:textId="44B5D923" w:rsidR="005E12D9" w:rsidRPr="004C6CC5" w:rsidRDefault="005E12D9" w:rsidP="00733934">
      <w:pPr>
        <w:pStyle w:val="NormalnyWeb"/>
        <w:spacing w:before="120" w:beforeAutospacing="0" w:after="120" w:afterAutospacing="0" w:line="276" w:lineRule="auto"/>
        <w:jc w:val="both"/>
        <w:rPr>
          <w:rFonts w:ascii="Arial" w:hAnsi="Arial" w:cs="Arial"/>
          <w:color w:val="000000"/>
          <w:sz w:val="20"/>
          <w:szCs w:val="20"/>
        </w:rPr>
      </w:pPr>
      <w:r w:rsidRPr="004C6CC5">
        <w:rPr>
          <w:rFonts w:ascii="Arial" w:hAnsi="Arial" w:cs="Arial"/>
          <w:color w:val="000000"/>
          <w:sz w:val="20"/>
          <w:szCs w:val="20"/>
        </w:rPr>
        <w:t>M</w:t>
      </w:r>
      <w:r w:rsidR="00037A61">
        <w:rPr>
          <w:rFonts w:ascii="Arial" w:hAnsi="Arial" w:cs="Arial"/>
          <w:color w:val="000000"/>
          <w:sz w:val="20"/>
          <w:szCs w:val="20"/>
        </w:rPr>
        <w:t xml:space="preserve">inisterstwo </w:t>
      </w:r>
      <w:r w:rsidRPr="004C6CC5">
        <w:rPr>
          <w:rFonts w:ascii="Arial" w:hAnsi="Arial" w:cs="Arial"/>
          <w:color w:val="000000"/>
          <w:sz w:val="20"/>
          <w:szCs w:val="20"/>
        </w:rPr>
        <w:t>G</w:t>
      </w:r>
      <w:r w:rsidR="00037A61">
        <w:rPr>
          <w:rFonts w:ascii="Arial" w:hAnsi="Arial" w:cs="Arial"/>
          <w:color w:val="000000"/>
          <w:sz w:val="20"/>
          <w:szCs w:val="20"/>
        </w:rPr>
        <w:t xml:space="preserve">ospodarki </w:t>
      </w:r>
      <w:r w:rsidRPr="004C6CC5">
        <w:rPr>
          <w:rFonts w:ascii="Arial" w:hAnsi="Arial" w:cs="Arial"/>
          <w:color w:val="000000"/>
          <w:sz w:val="20"/>
          <w:szCs w:val="20"/>
        </w:rPr>
        <w:t>M</w:t>
      </w:r>
      <w:r w:rsidR="00037A61">
        <w:rPr>
          <w:rFonts w:ascii="Arial" w:hAnsi="Arial" w:cs="Arial"/>
          <w:color w:val="000000"/>
          <w:sz w:val="20"/>
          <w:szCs w:val="20"/>
        </w:rPr>
        <w:t xml:space="preserve">orskiej </w:t>
      </w:r>
      <w:r w:rsidRPr="004C6CC5">
        <w:rPr>
          <w:rFonts w:ascii="Arial" w:hAnsi="Arial" w:cs="Arial"/>
          <w:color w:val="000000"/>
          <w:sz w:val="20"/>
          <w:szCs w:val="20"/>
        </w:rPr>
        <w:t>i</w:t>
      </w:r>
      <w:r w:rsidR="00037A61">
        <w:rPr>
          <w:rFonts w:ascii="Arial" w:hAnsi="Arial" w:cs="Arial"/>
          <w:color w:val="000000"/>
          <w:sz w:val="20"/>
          <w:szCs w:val="20"/>
        </w:rPr>
        <w:t xml:space="preserve"> </w:t>
      </w:r>
      <w:r w:rsidRPr="004C6CC5">
        <w:rPr>
          <w:rFonts w:ascii="Arial" w:hAnsi="Arial" w:cs="Arial"/>
          <w:color w:val="000000"/>
          <w:sz w:val="20"/>
          <w:szCs w:val="20"/>
        </w:rPr>
        <w:t>Ż</w:t>
      </w:r>
      <w:r w:rsidR="00037A61">
        <w:rPr>
          <w:rFonts w:ascii="Arial" w:hAnsi="Arial" w:cs="Arial"/>
          <w:color w:val="000000"/>
          <w:sz w:val="20"/>
          <w:szCs w:val="20"/>
        </w:rPr>
        <w:t xml:space="preserve">eglugi </w:t>
      </w:r>
      <w:r w:rsidRPr="004C6CC5">
        <w:rPr>
          <w:rFonts w:ascii="Arial" w:hAnsi="Arial" w:cs="Arial"/>
          <w:color w:val="000000"/>
          <w:sz w:val="20"/>
          <w:szCs w:val="20"/>
        </w:rPr>
        <w:t>Ś</w:t>
      </w:r>
      <w:r w:rsidR="00037A61">
        <w:rPr>
          <w:rFonts w:ascii="Arial" w:hAnsi="Arial" w:cs="Arial"/>
          <w:color w:val="000000"/>
          <w:sz w:val="20"/>
          <w:szCs w:val="20"/>
        </w:rPr>
        <w:t>ródlądowej</w:t>
      </w:r>
      <w:r w:rsidRPr="004C6CC5">
        <w:rPr>
          <w:rFonts w:ascii="Arial" w:hAnsi="Arial" w:cs="Arial"/>
          <w:color w:val="000000"/>
          <w:sz w:val="20"/>
          <w:szCs w:val="20"/>
        </w:rPr>
        <w:t xml:space="preserve"> był</w:t>
      </w:r>
      <w:r w:rsidR="00037A61">
        <w:rPr>
          <w:rFonts w:ascii="Arial" w:hAnsi="Arial" w:cs="Arial"/>
          <w:color w:val="000000"/>
          <w:sz w:val="20"/>
          <w:szCs w:val="20"/>
        </w:rPr>
        <w:t>o</w:t>
      </w:r>
      <w:r w:rsidRPr="004C6CC5">
        <w:rPr>
          <w:rFonts w:ascii="Arial" w:hAnsi="Arial" w:cs="Arial"/>
          <w:color w:val="000000"/>
          <w:sz w:val="20"/>
          <w:szCs w:val="20"/>
        </w:rPr>
        <w:t xml:space="preserve"> gospodarzem warsztatów HELCOM SOM FISH WS1/2019</w:t>
      </w:r>
      <w:r w:rsidR="004C6CC5">
        <w:rPr>
          <w:rFonts w:ascii="Arial" w:hAnsi="Arial" w:cs="Arial"/>
          <w:color w:val="000000"/>
          <w:sz w:val="20"/>
          <w:szCs w:val="20"/>
        </w:rPr>
        <w:t xml:space="preserve"> w </w:t>
      </w:r>
      <w:r w:rsidRPr="004C6CC5">
        <w:rPr>
          <w:rFonts w:ascii="Arial" w:hAnsi="Arial" w:cs="Arial"/>
          <w:color w:val="000000"/>
          <w:sz w:val="20"/>
          <w:szCs w:val="20"/>
        </w:rPr>
        <w:t>dniach 4</w:t>
      </w:r>
      <w:r w:rsidR="00037A61">
        <w:rPr>
          <w:rFonts w:ascii="Arial" w:hAnsi="Arial" w:cs="Arial"/>
          <w:color w:val="000000"/>
          <w:sz w:val="20"/>
          <w:szCs w:val="20"/>
        </w:rPr>
        <w:t xml:space="preserve"> </w:t>
      </w:r>
      <w:r w:rsidRPr="004C6CC5">
        <w:rPr>
          <w:rFonts w:ascii="Arial" w:hAnsi="Arial" w:cs="Arial"/>
          <w:color w:val="000000"/>
          <w:sz w:val="20"/>
          <w:szCs w:val="20"/>
        </w:rPr>
        <w:t>-</w:t>
      </w:r>
      <w:r w:rsidR="00037A61">
        <w:rPr>
          <w:rFonts w:ascii="Arial" w:hAnsi="Arial" w:cs="Arial"/>
          <w:color w:val="000000"/>
          <w:sz w:val="20"/>
          <w:szCs w:val="20"/>
        </w:rPr>
        <w:t xml:space="preserve"> </w:t>
      </w:r>
      <w:r w:rsidRPr="004C6CC5">
        <w:rPr>
          <w:rFonts w:ascii="Arial" w:hAnsi="Arial" w:cs="Arial"/>
          <w:color w:val="000000"/>
          <w:sz w:val="20"/>
          <w:szCs w:val="20"/>
        </w:rPr>
        <w:t>6 listopada 2019 r., poświęconych ocenie wystarczalności środków</w:t>
      </w:r>
      <w:r w:rsidR="004C6CC5">
        <w:rPr>
          <w:rFonts w:ascii="Arial" w:hAnsi="Arial" w:cs="Arial"/>
          <w:color w:val="000000"/>
          <w:sz w:val="20"/>
          <w:szCs w:val="20"/>
        </w:rPr>
        <w:t xml:space="preserve"> w </w:t>
      </w:r>
      <w:r w:rsidRPr="004C6CC5">
        <w:rPr>
          <w:rFonts w:ascii="Arial" w:hAnsi="Arial" w:cs="Arial"/>
          <w:color w:val="000000"/>
          <w:sz w:val="20"/>
          <w:szCs w:val="20"/>
        </w:rPr>
        <w:t>celu poprawy stanu środowiska Morza Bałtyckiego</w:t>
      </w:r>
      <w:r w:rsidR="004C6CC5">
        <w:rPr>
          <w:rFonts w:ascii="Arial" w:hAnsi="Arial" w:cs="Arial"/>
          <w:color w:val="000000"/>
          <w:sz w:val="20"/>
          <w:szCs w:val="20"/>
        </w:rPr>
        <w:t xml:space="preserve"> w </w:t>
      </w:r>
      <w:r w:rsidRPr="004C6CC5">
        <w:rPr>
          <w:rFonts w:ascii="Arial" w:hAnsi="Arial" w:cs="Arial"/>
          <w:color w:val="000000"/>
          <w:sz w:val="20"/>
          <w:szCs w:val="20"/>
        </w:rPr>
        <w:t>odniesieniu do morskich ryb</w:t>
      </w:r>
      <w:r w:rsidR="004C6CC5">
        <w:rPr>
          <w:rFonts w:ascii="Arial" w:hAnsi="Arial" w:cs="Arial"/>
          <w:color w:val="000000"/>
          <w:sz w:val="20"/>
          <w:szCs w:val="20"/>
        </w:rPr>
        <w:t xml:space="preserve"> i </w:t>
      </w:r>
      <w:r w:rsidRPr="004C6CC5">
        <w:rPr>
          <w:rFonts w:ascii="Arial" w:hAnsi="Arial" w:cs="Arial"/>
          <w:color w:val="000000"/>
          <w:sz w:val="20"/>
          <w:szCs w:val="20"/>
        </w:rPr>
        <w:t>rybołówstwa. </w:t>
      </w:r>
    </w:p>
    <w:p w14:paraId="60D89339" w14:textId="18C872BC" w:rsidR="00107647" w:rsidRPr="00107647" w:rsidRDefault="0065121D" w:rsidP="00107647">
      <w:pPr>
        <w:pStyle w:val="Nagwek2"/>
        <w:spacing w:before="120" w:after="120"/>
        <w:rPr>
          <w:rFonts w:ascii="Arial" w:hAnsi="Arial" w:cs="Arial"/>
          <w:b/>
          <w:color w:val="auto"/>
          <w:sz w:val="20"/>
          <w:szCs w:val="20"/>
        </w:rPr>
      </w:pPr>
      <w:bookmarkStart w:id="43" w:name="_Toc72745055"/>
      <w:r w:rsidRPr="00107647">
        <w:rPr>
          <w:rFonts w:ascii="Arial" w:hAnsi="Arial" w:cs="Arial"/>
          <w:b/>
          <w:color w:val="auto"/>
          <w:sz w:val="20"/>
          <w:szCs w:val="20"/>
        </w:rPr>
        <w:t>Działania</w:t>
      </w:r>
      <w:r w:rsidR="004C6CC5" w:rsidRPr="00107647">
        <w:rPr>
          <w:rFonts w:ascii="Arial" w:hAnsi="Arial" w:cs="Arial"/>
          <w:b/>
          <w:color w:val="auto"/>
          <w:sz w:val="20"/>
          <w:szCs w:val="20"/>
        </w:rPr>
        <w:t xml:space="preserve"> w </w:t>
      </w:r>
      <w:r w:rsidRPr="00107647">
        <w:rPr>
          <w:rFonts w:ascii="Arial" w:hAnsi="Arial" w:cs="Arial"/>
          <w:b/>
          <w:color w:val="auto"/>
          <w:sz w:val="20"/>
          <w:szCs w:val="20"/>
        </w:rPr>
        <w:t>ramach Strategii Unii Europejskie</w:t>
      </w:r>
      <w:r w:rsidR="00107647">
        <w:rPr>
          <w:rFonts w:ascii="Arial" w:hAnsi="Arial" w:cs="Arial"/>
          <w:b/>
          <w:color w:val="auto"/>
          <w:sz w:val="20"/>
          <w:szCs w:val="20"/>
        </w:rPr>
        <w:t>j dla regionu Morza Bałtyckiego.</w:t>
      </w:r>
      <w:bookmarkEnd w:id="43"/>
    </w:p>
    <w:p w14:paraId="54C44D67" w14:textId="60CD13B3" w:rsidR="0065121D" w:rsidRPr="004C6CC5" w:rsidRDefault="0065121D" w:rsidP="00107647">
      <w:pPr>
        <w:spacing w:before="120" w:after="120" w:line="276" w:lineRule="auto"/>
        <w:jc w:val="both"/>
        <w:rPr>
          <w:rFonts w:ascii="Arial" w:hAnsi="Arial" w:cs="Arial"/>
          <w:b/>
          <w:sz w:val="20"/>
          <w:szCs w:val="20"/>
        </w:rPr>
      </w:pPr>
      <w:r w:rsidRPr="004C6CC5">
        <w:rPr>
          <w:rFonts w:ascii="Arial" w:hAnsi="Arial" w:cs="Arial"/>
          <w:sz w:val="20"/>
          <w:szCs w:val="20"/>
        </w:rPr>
        <w:t>Strategia UE dla regionu Morza Bałtyckiego (SUE RMB) jest pierwsz</w:t>
      </w:r>
      <w:r w:rsidR="00C75DC9">
        <w:rPr>
          <w:rFonts w:ascii="Arial" w:hAnsi="Arial" w:cs="Arial"/>
          <w:sz w:val="20"/>
          <w:szCs w:val="20"/>
        </w:rPr>
        <w:t>ą makroregionalną strategią UE</w:t>
      </w:r>
      <w:r w:rsidRPr="004C6CC5">
        <w:rPr>
          <w:rFonts w:ascii="Arial" w:hAnsi="Arial" w:cs="Arial"/>
          <w:sz w:val="20"/>
          <w:szCs w:val="20"/>
        </w:rPr>
        <w:t>, utworzoną</w:t>
      </w:r>
      <w:r w:rsidR="004C6CC5">
        <w:rPr>
          <w:rFonts w:ascii="Arial" w:hAnsi="Arial" w:cs="Arial"/>
          <w:sz w:val="20"/>
          <w:szCs w:val="20"/>
        </w:rPr>
        <w:t xml:space="preserve"> w </w:t>
      </w:r>
      <w:r w:rsidRPr="004C6CC5">
        <w:rPr>
          <w:rFonts w:ascii="Arial" w:hAnsi="Arial" w:cs="Arial"/>
          <w:sz w:val="20"/>
          <w:szCs w:val="20"/>
        </w:rPr>
        <w:t>2009</w:t>
      </w:r>
      <w:r w:rsidR="009D01B9" w:rsidRPr="004C6CC5">
        <w:rPr>
          <w:rFonts w:ascii="Arial" w:hAnsi="Arial" w:cs="Arial"/>
          <w:sz w:val="20"/>
          <w:szCs w:val="20"/>
        </w:rPr>
        <w:t xml:space="preserve"> r. </w:t>
      </w:r>
      <w:r w:rsidRPr="004C6CC5">
        <w:rPr>
          <w:rFonts w:ascii="Arial" w:hAnsi="Arial" w:cs="Arial"/>
          <w:sz w:val="20"/>
          <w:szCs w:val="20"/>
        </w:rPr>
        <w:t xml:space="preserve">Obejmuje Polskę, Danię, Szwecję, Finlandię, Litwę, Łotwę, Estonię oraz północne kraje związkowe Niemiec. </w:t>
      </w:r>
    </w:p>
    <w:p w14:paraId="09DA5A3D" w14:textId="31D025D0" w:rsidR="0065121D" w:rsidRPr="004C6CC5" w:rsidRDefault="0065121D" w:rsidP="008D2321">
      <w:pPr>
        <w:spacing w:before="120" w:after="120" w:line="276" w:lineRule="auto"/>
        <w:jc w:val="both"/>
        <w:rPr>
          <w:rFonts w:ascii="Arial" w:hAnsi="Arial" w:cs="Arial"/>
          <w:sz w:val="20"/>
          <w:szCs w:val="20"/>
        </w:rPr>
      </w:pPr>
      <w:r w:rsidRPr="004C6CC5">
        <w:rPr>
          <w:rFonts w:ascii="Arial" w:hAnsi="Arial" w:cs="Arial"/>
          <w:sz w:val="20"/>
          <w:szCs w:val="20"/>
        </w:rPr>
        <w:t>Polska współkoordynuje 3</w:t>
      </w:r>
      <w:r w:rsidR="004C6CC5">
        <w:rPr>
          <w:rFonts w:ascii="Arial" w:hAnsi="Arial" w:cs="Arial"/>
          <w:sz w:val="20"/>
          <w:szCs w:val="20"/>
        </w:rPr>
        <w:t xml:space="preserve"> z </w:t>
      </w:r>
      <w:r w:rsidRPr="004C6CC5">
        <w:rPr>
          <w:rFonts w:ascii="Arial" w:hAnsi="Arial" w:cs="Arial"/>
          <w:sz w:val="20"/>
          <w:szCs w:val="20"/>
        </w:rPr>
        <w:t xml:space="preserve">13 Obszarów Tematycznych Strategii: </w:t>
      </w:r>
    </w:p>
    <w:p w14:paraId="18C48644" w14:textId="55D7A5C7" w:rsidR="0065121D" w:rsidRPr="004C6CC5" w:rsidRDefault="0065121D" w:rsidP="008D2321">
      <w:pPr>
        <w:spacing w:before="120" w:after="120" w:line="276" w:lineRule="auto"/>
        <w:contextualSpacing/>
        <w:jc w:val="both"/>
        <w:rPr>
          <w:rFonts w:ascii="Arial" w:hAnsi="Arial" w:cs="Arial"/>
          <w:sz w:val="20"/>
          <w:szCs w:val="20"/>
        </w:rPr>
      </w:pPr>
      <w:r w:rsidRPr="004C6CC5">
        <w:rPr>
          <w:rFonts w:ascii="Arial" w:hAnsi="Arial" w:cs="Arial"/>
          <w:bCs/>
          <w:sz w:val="20"/>
          <w:szCs w:val="20"/>
        </w:rPr>
        <w:t>- Obszar Tematyczny Biogeny (Policy Area N</w:t>
      </w:r>
      <w:r w:rsidR="00C52EF8">
        <w:rPr>
          <w:rFonts w:ascii="Arial" w:hAnsi="Arial" w:cs="Arial"/>
          <w:bCs/>
          <w:sz w:val="20"/>
          <w:szCs w:val="20"/>
        </w:rPr>
        <w:t>UTRI</w:t>
      </w:r>
      <w:r w:rsidRPr="004C6CC5">
        <w:rPr>
          <w:rFonts w:ascii="Arial" w:hAnsi="Arial" w:cs="Arial"/>
          <w:bCs/>
          <w:sz w:val="20"/>
          <w:szCs w:val="20"/>
        </w:rPr>
        <w:t>)</w:t>
      </w:r>
      <w:r w:rsidRPr="004C6CC5">
        <w:rPr>
          <w:rFonts w:ascii="Arial" w:hAnsi="Arial" w:cs="Arial"/>
          <w:sz w:val="20"/>
          <w:szCs w:val="20"/>
        </w:rPr>
        <w:t xml:space="preserve"> - Ministerstwo Gospodarki Morskiej</w:t>
      </w:r>
      <w:r w:rsidR="004C6CC5">
        <w:rPr>
          <w:rFonts w:ascii="Arial" w:hAnsi="Arial" w:cs="Arial"/>
          <w:sz w:val="20"/>
          <w:szCs w:val="20"/>
        </w:rPr>
        <w:t xml:space="preserve"> i </w:t>
      </w:r>
      <w:r w:rsidRPr="004C6CC5">
        <w:rPr>
          <w:rFonts w:ascii="Arial" w:hAnsi="Arial" w:cs="Arial"/>
          <w:sz w:val="20"/>
          <w:szCs w:val="20"/>
        </w:rPr>
        <w:t>Żeglugi Śródlądowej</w:t>
      </w:r>
      <w:r w:rsidRPr="004C6CC5">
        <w:rPr>
          <w:rFonts w:ascii="Arial" w:eastAsia="Calibri" w:hAnsi="Arial" w:cs="Arial"/>
          <w:sz w:val="20"/>
          <w:szCs w:val="20"/>
          <w:vertAlign w:val="superscript"/>
        </w:rPr>
        <w:footnoteReference w:id="2"/>
      </w:r>
      <w:r w:rsidRPr="004C6CC5">
        <w:rPr>
          <w:rFonts w:ascii="Arial" w:hAnsi="Arial" w:cs="Arial"/>
          <w:sz w:val="20"/>
          <w:szCs w:val="20"/>
        </w:rPr>
        <w:t xml:space="preserve">  wspólnie</w:t>
      </w:r>
      <w:r w:rsidR="004C6CC5">
        <w:rPr>
          <w:rFonts w:ascii="Arial" w:hAnsi="Arial" w:cs="Arial"/>
          <w:sz w:val="20"/>
          <w:szCs w:val="20"/>
        </w:rPr>
        <w:t xml:space="preserve"> z </w:t>
      </w:r>
      <w:r w:rsidRPr="004C6CC5">
        <w:rPr>
          <w:rFonts w:ascii="Arial" w:hAnsi="Arial" w:cs="Arial"/>
          <w:sz w:val="20"/>
          <w:szCs w:val="20"/>
        </w:rPr>
        <w:t>Finlandią;</w:t>
      </w:r>
    </w:p>
    <w:p w14:paraId="465FA9B5" w14:textId="668AE930" w:rsidR="0065121D" w:rsidRPr="004C6CC5" w:rsidRDefault="0065121D" w:rsidP="008D2321">
      <w:pPr>
        <w:spacing w:before="120" w:after="120" w:line="276" w:lineRule="auto"/>
        <w:contextualSpacing/>
        <w:jc w:val="both"/>
        <w:rPr>
          <w:rFonts w:ascii="Arial" w:hAnsi="Arial" w:cs="Arial"/>
          <w:sz w:val="20"/>
          <w:szCs w:val="20"/>
        </w:rPr>
      </w:pPr>
      <w:r w:rsidRPr="004C6CC5">
        <w:rPr>
          <w:rFonts w:ascii="Arial" w:hAnsi="Arial" w:cs="Arial"/>
          <w:bCs/>
          <w:sz w:val="20"/>
          <w:szCs w:val="20"/>
        </w:rPr>
        <w:t>- Obszar Tematyczny Innowacje (PA I</w:t>
      </w:r>
      <w:r w:rsidR="00C52EF8">
        <w:rPr>
          <w:rFonts w:ascii="Arial" w:hAnsi="Arial" w:cs="Arial"/>
          <w:bCs/>
          <w:sz w:val="20"/>
          <w:szCs w:val="20"/>
        </w:rPr>
        <w:t>NNO</w:t>
      </w:r>
      <w:r w:rsidRPr="004C6CC5">
        <w:rPr>
          <w:rFonts w:ascii="Arial" w:hAnsi="Arial" w:cs="Arial"/>
          <w:bCs/>
          <w:sz w:val="20"/>
          <w:szCs w:val="20"/>
        </w:rPr>
        <w:t>)</w:t>
      </w:r>
      <w:r w:rsidRPr="004C6CC5">
        <w:rPr>
          <w:rFonts w:ascii="Arial" w:hAnsi="Arial" w:cs="Arial"/>
          <w:sz w:val="20"/>
          <w:szCs w:val="20"/>
        </w:rPr>
        <w:t>  - Ministerstwo Nauki</w:t>
      </w:r>
      <w:r w:rsidR="004C6CC5">
        <w:rPr>
          <w:rFonts w:ascii="Arial" w:hAnsi="Arial" w:cs="Arial"/>
          <w:sz w:val="20"/>
          <w:szCs w:val="20"/>
        </w:rPr>
        <w:t xml:space="preserve"> i </w:t>
      </w:r>
      <w:r w:rsidRPr="004C6CC5">
        <w:rPr>
          <w:rFonts w:ascii="Arial" w:hAnsi="Arial" w:cs="Arial"/>
          <w:sz w:val="20"/>
          <w:szCs w:val="20"/>
        </w:rPr>
        <w:t xml:space="preserve">Szkolnictwa Wyższego wspólnie </w:t>
      </w:r>
      <w:r w:rsidRPr="004C6CC5">
        <w:rPr>
          <w:rFonts w:ascii="Arial" w:hAnsi="Arial" w:cs="Arial"/>
          <w:sz w:val="20"/>
          <w:szCs w:val="20"/>
        </w:rPr>
        <w:br/>
        <w:t>z Estonią</w:t>
      </w:r>
      <w:r w:rsidR="004C6CC5">
        <w:rPr>
          <w:rFonts w:ascii="Arial" w:hAnsi="Arial" w:cs="Arial"/>
          <w:sz w:val="20"/>
          <w:szCs w:val="20"/>
        </w:rPr>
        <w:t xml:space="preserve"> i </w:t>
      </w:r>
      <w:r w:rsidRPr="004C6CC5">
        <w:rPr>
          <w:rFonts w:ascii="Arial" w:hAnsi="Arial" w:cs="Arial"/>
          <w:sz w:val="20"/>
          <w:szCs w:val="20"/>
        </w:rPr>
        <w:t>Finlandią</w:t>
      </w:r>
      <w:r w:rsidRPr="004C6CC5">
        <w:rPr>
          <w:rFonts w:ascii="Arial" w:eastAsia="Calibri" w:hAnsi="Arial" w:cs="Arial"/>
          <w:sz w:val="20"/>
          <w:szCs w:val="20"/>
          <w:vertAlign w:val="superscript"/>
        </w:rPr>
        <w:footnoteReference w:id="3"/>
      </w:r>
      <w:r w:rsidRPr="004C6CC5">
        <w:rPr>
          <w:rFonts w:ascii="Arial" w:hAnsi="Arial" w:cs="Arial"/>
          <w:sz w:val="20"/>
          <w:szCs w:val="20"/>
        </w:rPr>
        <w:t>;</w:t>
      </w:r>
    </w:p>
    <w:p w14:paraId="5EFE57C6" w14:textId="137FA305" w:rsidR="0065121D" w:rsidRPr="004C6CC5" w:rsidRDefault="0065121D" w:rsidP="008D2321">
      <w:pPr>
        <w:spacing w:before="120" w:after="120" w:line="276" w:lineRule="auto"/>
        <w:contextualSpacing/>
        <w:jc w:val="both"/>
        <w:rPr>
          <w:rFonts w:ascii="Arial" w:hAnsi="Arial" w:cs="Arial"/>
          <w:sz w:val="20"/>
          <w:szCs w:val="20"/>
        </w:rPr>
      </w:pPr>
      <w:r w:rsidRPr="004C6CC5">
        <w:rPr>
          <w:rFonts w:ascii="Arial" w:hAnsi="Arial" w:cs="Arial"/>
          <w:bCs/>
          <w:sz w:val="20"/>
          <w:szCs w:val="20"/>
        </w:rPr>
        <w:t>- Obszar Tematyczny Kultura</w:t>
      </w:r>
      <w:r w:rsidRPr="004C6CC5">
        <w:rPr>
          <w:rFonts w:ascii="Arial" w:hAnsi="Arial" w:cs="Arial"/>
          <w:sz w:val="20"/>
          <w:szCs w:val="20"/>
        </w:rPr>
        <w:t xml:space="preserve"> (PA C</w:t>
      </w:r>
      <w:r w:rsidR="00C52EF8">
        <w:rPr>
          <w:rFonts w:ascii="Arial" w:hAnsi="Arial" w:cs="Arial"/>
          <w:sz w:val="20"/>
          <w:szCs w:val="20"/>
        </w:rPr>
        <w:t>ULTURE</w:t>
      </w:r>
      <w:r w:rsidRPr="004C6CC5">
        <w:rPr>
          <w:rFonts w:ascii="Arial" w:hAnsi="Arial" w:cs="Arial"/>
          <w:sz w:val="20"/>
          <w:szCs w:val="20"/>
        </w:rPr>
        <w:t>) - Ministerstwo Kultury</w:t>
      </w:r>
      <w:r w:rsidR="004C6CC5">
        <w:rPr>
          <w:rFonts w:ascii="Arial" w:hAnsi="Arial" w:cs="Arial"/>
          <w:sz w:val="20"/>
          <w:szCs w:val="20"/>
        </w:rPr>
        <w:t xml:space="preserve"> i </w:t>
      </w:r>
      <w:r w:rsidRPr="004C6CC5">
        <w:rPr>
          <w:rFonts w:ascii="Arial" w:hAnsi="Arial" w:cs="Arial"/>
          <w:sz w:val="20"/>
          <w:szCs w:val="20"/>
        </w:rPr>
        <w:t>D</w:t>
      </w:r>
      <w:r w:rsidR="00C52EF8">
        <w:rPr>
          <w:rFonts w:ascii="Arial" w:hAnsi="Arial" w:cs="Arial"/>
          <w:sz w:val="20"/>
          <w:szCs w:val="20"/>
        </w:rPr>
        <w:t xml:space="preserve">ziedzictwa Narodowego wspólnie </w:t>
      </w:r>
      <w:r w:rsidRPr="004C6CC5">
        <w:rPr>
          <w:rFonts w:ascii="Arial" w:hAnsi="Arial" w:cs="Arial"/>
          <w:sz w:val="20"/>
          <w:szCs w:val="20"/>
        </w:rPr>
        <w:t>z Niemcami.</w:t>
      </w:r>
    </w:p>
    <w:p w14:paraId="40C2A259" w14:textId="77777777" w:rsidR="0084692A" w:rsidRDefault="0084692A" w:rsidP="00063F83">
      <w:pPr>
        <w:spacing w:before="120" w:after="120" w:line="276" w:lineRule="auto"/>
        <w:contextualSpacing/>
        <w:jc w:val="both"/>
        <w:rPr>
          <w:rFonts w:ascii="Arial" w:hAnsi="Arial" w:cs="Arial"/>
          <w:sz w:val="20"/>
          <w:szCs w:val="20"/>
        </w:rPr>
      </w:pPr>
    </w:p>
    <w:p w14:paraId="39916CF6" w14:textId="481303D8" w:rsidR="00144BFF" w:rsidRDefault="00144BFF" w:rsidP="00063F83">
      <w:pPr>
        <w:spacing w:before="120" w:after="120" w:line="276" w:lineRule="auto"/>
        <w:jc w:val="both"/>
        <w:rPr>
          <w:rFonts w:ascii="Arial" w:hAnsi="Arial" w:cs="Arial"/>
          <w:sz w:val="20"/>
          <w:szCs w:val="20"/>
        </w:rPr>
      </w:pPr>
      <w:r w:rsidRPr="004C6CC5">
        <w:rPr>
          <w:rFonts w:ascii="Arial" w:hAnsi="Arial" w:cs="Arial"/>
          <w:sz w:val="20"/>
          <w:szCs w:val="20"/>
        </w:rPr>
        <w:t>Narodowy Koordynator SUE RMB jest umiejscowiony</w:t>
      </w:r>
      <w:r w:rsidR="0084692A">
        <w:rPr>
          <w:rFonts w:ascii="Arial" w:hAnsi="Arial" w:cs="Arial"/>
          <w:sz w:val="20"/>
          <w:szCs w:val="20"/>
        </w:rPr>
        <w:t xml:space="preserve"> w </w:t>
      </w:r>
      <w:r w:rsidRPr="004C6CC5">
        <w:rPr>
          <w:rFonts w:ascii="Arial" w:hAnsi="Arial" w:cs="Arial"/>
          <w:sz w:val="20"/>
          <w:szCs w:val="20"/>
        </w:rPr>
        <w:t>Departamencie Polityki Europejskiej Ministerstwa Spraw Zagranicznych.</w:t>
      </w:r>
      <w:r w:rsidR="0084692A">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związku</w:t>
      </w:r>
      <w:r w:rsidR="004C6CC5">
        <w:rPr>
          <w:rFonts w:ascii="Arial" w:hAnsi="Arial" w:cs="Arial"/>
          <w:sz w:val="20"/>
          <w:szCs w:val="20"/>
        </w:rPr>
        <w:t xml:space="preserve"> z </w:t>
      </w:r>
      <w:r w:rsidRPr="004C6CC5">
        <w:rPr>
          <w:rFonts w:ascii="Arial" w:hAnsi="Arial" w:cs="Arial"/>
          <w:sz w:val="20"/>
          <w:szCs w:val="20"/>
        </w:rPr>
        <w:t>powyższym</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przedstawiciele resortu spraw zagranicznych brali udział</w:t>
      </w:r>
      <w:r w:rsidR="004C6CC5">
        <w:rPr>
          <w:rFonts w:ascii="Arial" w:hAnsi="Arial" w:cs="Arial"/>
          <w:sz w:val="20"/>
          <w:szCs w:val="20"/>
        </w:rPr>
        <w:t xml:space="preserve"> w </w:t>
      </w:r>
      <w:r w:rsidRPr="004C6CC5">
        <w:rPr>
          <w:rFonts w:ascii="Arial" w:hAnsi="Arial" w:cs="Arial"/>
          <w:sz w:val="20"/>
          <w:szCs w:val="20"/>
        </w:rPr>
        <w:t>cyklicznych spotkaniach Narodowych Koordynatorów ds. SUERMB oraz</w:t>
      </w:r>
      <w:r w:rsidR="004C6CC5">
        <w:rPr>
          <w:rFonts w:ascii="Arial" w:hAnsi="Arial" w:cs="Arial"/>
          <w:sz w:val="20"/>
          <w:szCs w:val="20"/>
        </w:rPr>
        <w:t xml:space="preserve"> w </w:t>
      </w:r>
      <w:r w:rsidRPr="004C6CC5">
        <w:rPr>
          <w:rFonts w:ascii="Arial" w:hAnsi="Arial" w:cs="Arial"/>
          <w:sz w:val="20"/>
          <w:szCs w:val="20"/>
        </w:rPr>
        <w:t>międzynarodowych konferencjach</w:t>
      </w:r>
      <w:r w:rsidR="004D10DB">
        <w:rPr>
          <w:rFonts w:ascii="Arial" w:hAnsi="Arial" w:cs="Arial"/>
          <w:sz w:val="20"/>
          <w:szCs w:val="20"/>
        </w:rPr>
        <w:t xml:space="preserve"> i </w:t>
      </w:r>
      <w:r w:rsidRPr="004C6CC5">
        <w:rPr>
          <w:rFonts w:ascii="Arial" w:hAnsi="Arial" w:cs="Arial"/>
          <w:sz w:val="20"/>
          <w:szCs w:val="20"/>
        </w:rPr>
        <w:t>seminariach dotyczących współpracy</w:t>
      </w:r>
      <w:r w:rsidR="0084692A">
        <w:rPr>
          <w:rFonts w:ascii="Arial" w:hAnsi="Arial" w:cs="Arial"/>
          <w:sz w:val="20"/>
          <w:szCs w:val="20"/>
        </w:rPr>
        <w:t xml:space="preserve"> w </w:t>
      </w:r>
      <w:r w:rsidRPr="004C6CC5">
        <w:rPr>
          <w:rFonts w:ascii="Arial" w:hAnsi="Arial" w:cs="Arial"/>
          <w:sz w:val="20"/>
          <w:szCs w:val="20"/>
        </w:rPr>
        <w:t>regionie Morza Bałtyckiego. Jednym</w:t>
      </w:r>
      <w:r w:rsidR="004C6CC5">
        <w:rPr>
          <w:rFonts w:ascii="Arial" w:hAnsi="Arial" w:cs="Arial"/>
          <w:sz w:val="20"/>
          <w:szCs w:val="20"/>
        </w:rPr>
        <w:t xml:space="preserve"> z </w:t>
      </w:r>
      <w:r w:rsidRPr="004C6CC5">
        <w:rPr>
          <w:rFonts w:ascii="Arial" w:hAnsi="Arial" w:cs="Arial"/>
          <w:sz w:val="20"/>
          <w:szCs w:val="20"/>
        </w:rPr>
        <w:t>głównych zadań grupy Narodowych Koordynatorów</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była współpraca państw członkowskich</w:t>
      </w:r>
      <w:r w:rsidR="008B6AB6">
        <w:rPr>
          <w:rFonts w:ascii="Arial" w:hAnsi="Arial" w:cs="Arial"/>
          <w:sz w:val="20"/>
          <w:szCs w:val="20"/>
        </w:rPr>
        <w:t xml:space="preserve"> w </w:t>
      </w:r>
      <w:r w:rsidRPr="004C6CC5">
        <w:rPr>
          <w:rFonts w:ascii="Arial" w:hAnsi="Arial" w:cs="Arial"/>
          <w:sz w:val="20"/>
          <w:szCs w:val="20"/>
        </w:rPr>
        <w:t>zakresie rewizji Planu Działania SUERMB (planowane zakończenie</w:t>
      </w:r>
      <w:r w:rsidR="00065836" w:rsidRPr="004C6CC5">
        <w:rPr>
          <w:rFonts w:ascii="Arial" w:hAnsi="Arial" w:cs="Arial"/>
          <w:sz w:val="20"/>
          <w:szCs w:val="20"/>
        </w:rPr>
        <w:t xml:space="preserve"> </w:t>
      </w:r>
      <w:r w:rsidR="00B7216F">
        <w:rPr>
          <w:rFonts w:ascii="Arial" w:hAnsi="Arial" w:cs="Arial"/>
          <w:sz w:val="20"/>
          <w:szCs w:val="20"/>
        </w:rPr>
        <w:br/>
      </w:r>
      <w:r w:rsidR="00065836" w:rsidRPr="004C6CC5">
        <w:rPr>
          <w:rFonts w:ascii="Arial" w:hAnsi="Arial" w:cs="Arial"/>
          <w:sz w:val="20"/>
          <w:szCs w:val="20"/>
        </w:rPr>
        <w:t>w</w:t>
      </w:r>
      <w:r w:rsidR="0084692A">
        <w:rPr>
          <w:rFonts w:ascii="Arial" w:hAnsi="Arial" w:cs="Arial"/>
          <w:sz w:val="20"/>
          <w:szCs w:val="20"/>
        </w:rPr>
        <w:t xml:space="preserve"> pierwszej</w:t>
      </w:r>
      <w:r w:rsidR="004C6CC5">
        <w:rPr>
          <w:rFonts w:ascii="Arial" w:hAnsi="Arial" w:cs="Arial"/>
          <w:sz w:val="20"/>
          <w:szCs w:val="20"/>
        </w:rPr>
        <w:t> </w:t>
      </w:r>
      <w:r w:rsidRPr="004C6CC5">
        <w:rPr>
          <w:rFonts w:ascii="Arial" w:hAnsi="Arial" w:cs="Arial"/>
          <w:sz w:val="20"/>
          <w:szCs w:val="20"/>
        </w:rPr>
        <w:t xml:space="preserve">połowie 2020 r.). </w:t>
      </w:r>
    </w:p>
    <w:p w14:paraId="1B0DFE00" w14:textId="3C1BE28F" w:rsidR="00144BFF" w:rsidRPr="004C6CC5" w:rsidRDefault="00144BFF" w:rsidP="00063F83">
      <w:pPr>
        <w:spacing w:before="120"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działania Narodowego Koordynatora koncentrowały się także na przygotowaniach do organizacji 10. Dorocznego Forum Strategii UE dla regionu Morza Bałtyckiego, które odbyło się</w:t>
      </w:r>
      <w:r w:rsidR="004C6CC5">
        <w:rPr>
          <w:rFonts w:ascii="Arial" w:hAnsi="Arial" w:cs="Arial"/>
          <w:sz w:val="20"/>
          <w:szCs w:val="20"/>
        </w:rPr>
        <w:t xml:space="preserve"> w </w:t>
      </w:r>
      <w:r w:rsidRPr="004C6CC5">
        <w:rPr>
          <w:rFonts w:ascii="Arial" w:hAnsi="Arial" w:cs="Arial"/>
          <w:sz w:val="20"/>
          <w:szCs w:val="20"/>
        </w:rPr>
        <w:t>Gdańsku</w:t>
      </w:r>
      <w:r w:rsidR="004C6CC5">
        <w:rPr>
          <w:rFonts w:ascii="Arial" w:hAnsi="Arial" w:cs="Arial"/>
          <w:sz w:val="20"/>
          <w:szCs w:val="20"/>
        </w:rPr>
        <w:t xml:space="preserve"> w </w:t>
      </w:r>
      <w:r w:rsidR="0084692A">
        <w:rPr>
          <w:rFonts w:ascii="Arial" w:hAnsi="Arial" w:cs="Arial"/>
          <w:sz w:val="20"/>
          <w:szCs w:val="20"/>
        </w:rPr>
        <w:t>dniach</w:t>
      </w:r>
      <w:r w:rsidRPr="004C6CC5">
        <w:rPr>
          <w:rFonts w:ascii="Arial" w:hAnsi="Arial" w:cs="Arial"/>
          <w:sz w:val="20"/>
          <w:szCs w:val="20"/>
        </w:rPr>
        <w:t xml:space="preserve"> 12</w:t>
      </w:r>
      <w:r w:rsidR="00EF31A5">
        <w:rPr>
          <w:rFonts w:ascii="Arial" w:hAnsi="Arial" w:cs="Arial"/>
          <w:sz w:val="20"/>
          <w:szCs w:val="20"/>
        </w:rPr>
        <w:t xml:space="preserve"> </w:t>
      </w:r>
      <w:r w:rsidRPr="004C6CC5">
        <w:rPr>
          <w:rFonts w:ascii="Arial" w:hAnsi="Arial" w:cs="Arial"/>
          <w:sz w:val="20"/>
          <w:szCs w:val="20"/>
        </w:rPr>
        <w:t>-</w:t>
      </w:r>
      <w:r w:rsidR="00EF31A5">
        <w:rPr>
          <w:rFonts w:ascii="Arial" w:hAnsi="Arial" w:cs="Arial"/>
          <w:sz w:val="20"/>
          <w:szCs w:val="20"/>
        </w:rPr>
        <w:t xml:space="preserve"> </w:t>
      </w:r>
      <w:r w:rsidRPr="004C6CC5">
        <w:rPr>
          <w:rFonts w:ascii="Arial" w:hAnsi="Arial" w:cs="Arial"/>
          <w:sz w:val="20"/>
          <w:szCs w:val="20"/>
        </w:rPr>
        <w:t>13 czerwca 2019</w:t>
      </w:r>
      <w:r w:rsidR="009D01B9" w:rsidRPr="004C6CC5">
        <w:rPr>
          <w:rFonts w:ascii="Arial" w:hAnsi="Arial" w:cs="Arial"/>
          <w:sz w:val="20"/>
          <w:szCs w:val="20"/>
        </w:rPr>
        <w:t xml:space="preserve"> r. </w:t>
      </w:r>
      <w:r w:rsidRPr="004C6CC5">
        <w:rPr>
          <w:rFonts w:ascii="Arial" w:hAnsi="Arial" w:cs="Arial"/>
          <w:sz w:val="20"/>
          <w:szCs w:val="20"/>
        </w:rPr>
        <w:t>Głównymi organizatorami Fo</w:t>
      </w:r>
      <w:r w:rsidR="0084692A">
        <w:rPr>
          <w:rFonts w:ascii="Arial" w:hAnsi="Arial" w:cs="Arial"/>
          <w:sz w:val="20"/>
          <w:szCs w:val="20"/>
        </w:rPr>
        <w:t>rum był Urząd Marszałkowski Województwa</w:t>
      </w:r>
      <w:r w:rsidRPr="004C6CC5">
        <w:rPr>
          <w:rFonts w:ascii="Arial" w:hAnsi="Arial" w:cs="Arial"/>
          <w:sz w:val="20"/>
          <w:szCs w:val="20"/>
        </w:rPr>
        <w:t xml:space="preserve"> Pomorskiego oraz Organizacja Współpracy Subregionalnej Państw Morza Bałtyckiego </w:t>
      </w:r>
      <w:r w:rsidRPr="004C6CC5">
        <w:rPr>
          <w:rFonts w:ascii="Arial" w:hAnsi="Arial" w:cs="Arial"/>
          <w:sz w:val="20"/>
          <w:szCs w:val="20"/>
        </w:rPr>
        <w:lastRenderedPageBreak/>
        <w:t xml:space="preserve">(BSSSC) pod przewodnictwem Norwegii. Ministerstwo Spraw Zagranicznych RP, obok Komisji Europejskiej, było jednym ze współorganizatorów wydarzenia. </w:t>
      </w:r>
    </w:p>
    <w:p w14:paraId="657D32BE" w14:textId="0ED9D310" w:rsidR="00144BFF" w:rsidRPr="004C6CC5" w:rsidRDefault="00144BFF" w:rsidP="00063F83">
      <w:pPr>
        <w:spacing w:before="120" w:after="120" w:line="276" w:lineRule="auto"/>
        <w:jc w:val="both"/>
        <w:rPr>
          <w:rFonts w:ascii="Arial" w:hAnsi="Arial" w:cs="Arial"/>
          <w:sz w:val="20"/>
          <w:szCs w:val="20"/>
        </w:rPr>
      </w:pPr>
      <w:r w:rsidRPr="004C6CC5">
        <w:rPr>
          <w:rFonts w:ascii="Arial" w:hAnsi="Arial" w:cs="Arial"/>
          <w:sz w:val="20"/>
          <w:szCs w:val="20"/>
        </w:rPr>
        <w:t xml:space="preserve">Tematem przewodnim </w:t>
      </w:r>
      <w:r w:rsidR="00FD327D">
        <w:rPr>
          <w:rFonts w:ascii="Arial" w:hAnsi="Arial" w:cs="Arial"/>
          <w:sz w:val="20"/>
          <w:szCs w:val="20"/>
        </w:rPr>
        <w:t xml:space="preserve">10. </w:t>
      </w:r>
      <w:r w:rsidRPr="004C6CC5">
        <w:rPr>
          <w:rFonts w:ascii="Arial" w:hAnsi="Arial" w:cs="Arial"/>
          <w:sz w:val="20"/>
          <w:szCs w:val="20"/>
        </w:rPr>
        <w:t>Forum była gospodarka obiegu zamkniętego</w:t>
      </w:r>
      <w:r w:rsidR="0084692A">
        <w:rPr>
          <w:rFonts w:ascii="Arial" w:hAnsi="Arial" w:cs="Arial"/>
          <w:sz w:val="20"/>
          <w:szCs w:val="20"/>
        </w:rPr>
        <w:t xml:space="preserve"> w </w:t>
      </w:r>
      <w:r w:rsidRPr="004C6CC5">
        <w:rPr>
          <w:rFonts w:ascii="Arial" w:hAnsi="Arial" w:cs="Arial"/>
          <w:sz w:val="20"/>
          <w:szCs w:val="20"/>
        </w:rPr>
        <w:t>kontekście wyzwań środowiskowych</w:t>
      </w:r>
      <w:r w:rsidR="004C6CC5">
        <w:rPr>
          <w:rFonts w:ascii="Arial" w:hAnsi="Arial" w:cs="Arial"/>
          <w:sz w:val="20"/>
          <w:szCs w:val="20"/>
        </w:rPr>
        <w:t xml:space="preserve"> i </w:t>
      </w:r>
      <w:r w:rsidRPr="004C6CC5">
        <w:rPr>
          <w:rFonts w:ascii="Arial" w:hAnsi="Arial" w:cs="Arial"/>
          <w:sz w:val="20"/>
          <w:szCs w:val="20"/>
        </w:rPr>
        <w:t>demograficznych</w:t>
      </w:r>
      <w:r w:rsidR="00FD327D">
        <w:rPr>
          <w:rFonts w:ascii="Arial" w:hAnsi="Arial" w:cs="Arial"/>
          <w:sz w:val="20"/>
          <w:szCs w:val="20"/>
        </w:rPr>
        <w:t xml:space="preserve"> </w:t>
      </w:r>
      <w:r w:rsidR="000A7123">
        <w:rPr>
          <w:rFonts w:ascii="Arial" w:hAnsi="Arial" w:cs="Arial"/>
          <w:sz w:val="20"/>
          <w:szCs w:val="20"/>
        </w:rPr>
        <w:t>w regionie</w:t>
      </w:r>
      <w:r w:rsidRPr="004C6CC5">
        <w:rPr>
          <w:rFonts w:ascii="Arial" w:hAnsi="Arial" w:cs="Arial"/>
          <w:sz w:val="20"/>
          <w:szCs w:val="20"/>
        </w:rPr>
        <w:t>.</w:t>
      </w:r>
      <w:r w:rsidR="0084692A">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 xml:space="preserve">ramach wydarzenia zaaranżowano 5 sesji plenarnych oraz 19 seminariów równoległych. </w:t>
      </w:r>
      <w:r w:rsidR="000A7123">
        <w:rPr>
          <w:rFonts w:ascii="Arial" w:hAnsi="Arial" w:cs="Arial"/>
          <w:sz w:val="20"/>
          <w:szCs w:val="20"/>
        </w:rPr>
        <w:t>Uroczystego o</w:t>
      </w:r>
      <w:r w:rsidRPr="004C6CC5">
        <w:rPr>
          <w:rFonts w:ascii="Arial" w:hAnsi="Arial" w:cs="Arial"/>
          <w:sz w:val="20"/>
          <w:szCs w:val="20"/>
        </w:rPr>
        <w:t>twarcia,</w:t>
      </w:r>
      <w:r w:rsidR="004C6CC5">
        <w:rPr>
          <w:rFonts w:ascii="Arial" w:hAnsi="Arial" w:cs="Arial"/>
          <w:sz w:val="20"/>
          <w:szCs w:val="20"/>
        </w:rPr>
        <w:t xml:space="preserve"> w </w:t>
      </w:r>
      <w:r w:rsidRPr="004C6CC5">
        <w:rPr>
          <w:rFonts w:ascii="Arial" w:hAnsi="Arial" w:cs="Arial"/>
          <w:sz w:val="20"/>
          <w:szCs w:val="20"/>
        </w:rPr>
        <w:t>zastępstwie Premiera, dokonał Pan Marcin Ociepa, Sekretarz Stanu</w:t>
      </w:r>
      <w:r w:rsidR="004C6CC5">
        <w:rPr>
          <w:rFonts w:ascii="Arial" w:hAnsi="Arial" w:cs="Arial"/>
          <w:sz w:val="20"/>
          <w:szCs w:val="20"/>
        </w:rPr>
        <w:t xml:space="preserve"> w </w:t>
      </w:r>
      <w:r w:rsidRPr="004C6CC5">
        <w:rPr>
          <w:rFonts w:ascii="Arial" w:hAnsi="Arial" w:cs="Arial"/>
          <w:sz w:val="20"/>
          <w:szCs w:val="20"/>
        </w:rPr>
        <w:t>Ministerstwie Przedsiębiorczości</w:t>
      </w:r>
      <w:r w:rsidR="004C6CC5">
        <w:rPr>
          <w:rFonts w:ascii="Arial" w:hAnsi="Arial" w:cs="Arial"/>
          <w:sz w:val="20"/>
          <w:szCs w:val="20"/>
        </w:rPr>
        <w:t xml:space="preserve"> i </w:t>
      </w:r>
      <w:r w:rsidRPr="004C6CC5">
        <w:rPr>
          <w:rFonts w:ascii="Arial" w:hAnsi="Arial" w:cs="Arial"/>
          <w:sz w:val="20"/>
          <w:szCs w:val="20"/>
        </w:rPr>
        <w:t>Technologii; ponadto Pan Mieczysław Struk, Marszałek Województwa Pomorskiego; Pani Elżbieta Bieńkowska, Komisarz ds. rynku wewnętrznego, przemysłu</w:t>
      </w:r>
      <w:r w:rsidR="004C6CC5">
        <w:rPr>
          <w:rFonts w:ascii="Arial" w:hAnsi="Arial" w:cs="Arial"/>
          <w:sz w:val="20"/>
          <w:szCs w:val="20"/>
        </w:rPr>
        <w:t xml:space="preserve"> i </w:t>
      </w:r>
      <w:r w:rsidRPr="004C6CC5">
        <w:rPr>
          <w:rFonts w:ascii="Arial" w:hAnsi="Arial" w:cs="Arial"/>
          <w:sz w:val="20"/>
          <w:szCs w:val="20"/>
        </w:rPr>
        <w:t>przedsiębiorczości oraz Pan Roger Ryberg, Przewodniczący BSSSC. Ambasador Estonii</w:t>
      </w:r>
      <w:r w:rsidR="004C6CC5">
        <w:rPr>
          <w:rFonts w:ascii="Arial" w:hAnsi="Arial" w:cs="Arial"/>
          <w:sz w:val="20"/>
          <w:szCs w:val="20"/>
        </w:rPr>
        <w:t xml:space="preserve"> w </w:t>
      </w:r>
      <w:r w:rsidRPr="004C6CC5">
        <w:rPr>
          <w:rFonts w:ascii="Arial" w:hAnsi="Arial" w:cs="Arial"/>
          <w:sz w:val="20"/>
          <w:szCs w:val="20"/>
        </w:rPr>
        <w:t xml:space="preserve">Warszawie M. Roger odczytał przekaz od Premiera J. Ratasa. </w:t>
      </w:r>
    </w:p>
    <w:p w14:paraId="0F1080D7" w14:textId="00F7F2F4" w:rsidR="00144BFF" w:rsidRPr="004C6CC5" w:rsidRDefault="00144BFF" w:rsidP="00063F83">
      <w:pPr>
        <w:spacing w:before="120" w:after="120" w:line="276" w:lineRule="auto"/>
        <w:jc w:val="both"/>
        <w:rPr>
          <w:rFonts w:ascii="Arial" w:hAnsi="Arial" w:cs="Arial"/>
          <w:sz w:val="20"/>
          <w:szCs w:val="20"/>
        </w:rPr>
      </w:pPr>
      <w:r w:rsidRPr="004C6CC5">
        <w:rPr>
          <w:rFonts w:ascii="Arial" w:hAnsi="Arial" w:cs="Arial"/>
          <w:sz w:val="20"/>
          <w:szCs w:val="20"/>
        </w:rPr>
        <w:t>Kanwę do dyskusji podczas sesji plenarnych stanowiły m.in. trzy raporty tematyczne, zlecone przez organizatorów wydarzenia. Jednym</w:t>
      </w:r>
      <w:r w:rsidR="004C6CC5">
        <w:rPr>
          <w:rFonts w:ascii="Arial" w:hAnsi="Arial" w:cs="Arial"/>
          <w:sz w:val="20"/>
          <w:szCs w:val="20"/>
        </w:rPr>
        <w:t xml:space="preserve"> z </w:t>
      </w:r>
      <w:r w:rsidRPr="004C6CC5">
        <w:rPr>
          <w:rFonts w:ascii="Arial" w:hAnsi="Arial" w:cs="Arial"/>
          <w:sz w:val="20"/>
          <w:szCs w:val="20"/>
        </w:rPr>
        <w:t>nich była publikacja jubileuszowa MSZ RP „Better together. 10 years of the EU Strategy for the Baltic Sea Region”, podsumowująca 10 lat wdrażania pierwszej strategii makroregionalnej UE</w:t>
      </w:r>
      <w:r w:rsidR="004C6CC5">
        <w:rPr>
          <w:rFonts w:ascii="Arial" w:hAnsi="Arial" w:cs="Arial"/>
          <w:sz w:val="20"/>
          <w:szCs w:val="20"/>
        </w:rPr>
        <w:t xml:space="preserve"> z </w:t>
      </w:r>
      <w:r w:rsidRPr="004C6CC5">
        <w:rPr>
          <w:rFonts w:ascii="Arial" w:hAnsi="Arial" w:cs="Arial"/>
          <w:sz w:val="20"/>
          <w:szCs w:val="20"/>
        </w:rPr>
        <w:t>perspektywy jej interesariuszy.</w:t>
      </w:r>
    </w:p>
    <w:p w14:paraId="6A0A5D30" w14:textId="6677A484" w:rsidR="00144BFF" w:rsidRPr="004C6CC5" w:rsidRDefault="00144BFF" w:rsidP="00063F83">
      <w:pPr>
        <w:spacing w:before="120" w:after="120" w:line="276" w:lineRule="auto"/>
        <w:jc w:val="both"/>
        <w:rPr>
          <w:rFonts w:ascii="Arial" w:hAnsi="Arial" w:cs="Arial"/>
          <w:sz w:val="20"/>
          <w:szCs w:val="20"/>
        </w:rPr>
      </w:pPr>
      <w:r w:rsidRPr="004C6CC5">
        <w:rPr>
          <w:rFonts w:ascii="Arial" w:hAnsi="Arial" w:cs="Arial"/>
          <w:sz w:val="20"/>
          <w:szCs w:val="20"/>
        </w:rPr>
        <w:t>W ramach kr</w:t>
      </w:r>
      <w:r w:rsidR="007772F3">
        <w:rPr>
          <w:rFonts w:ascii="Arial" w:hAnsi="Arial" w:cs="Arial"/>
          <w:sz w:val="20"/>
          <w:szCs w:val="20"/>
        </w:rPr>
        <w:t>ajowych działań koordynacyjnych</w:t>
      </w:r>
      <w:r w:rsidR="004C6CC5">
        <w:rPr>
          <w:rFonts w:ascii="Arial" w:hAnsi="Arial" w:cs="Arial"/>
          <w:sz w:val="20"/>
          <w:szCs w:val="20"/>
        </w:rPr>
        <w:t xml:space="preserve"> w </w:t>
      </w:r>
      <w:r w:rsidR="007772F3">
        <w:rPr>
          <w:rFonts w:ascii="Arial" w:hAnsi="Arial" w:cs="Arial"/>
          <w:sz w:val="20"/>
          <w:szCs w:val="20"/>
        </w:rPr>
        <w:t>dniu</w:t>
      </w:r>
      <w:r w:rsidR="00A619F5">
        <w:rPr>
          <w:rFonts w:ascii="Arial" w:hAnsi="Arial" w:cs="Arial"/>
          <w:sz w:val="20"/>
          <w:szCs w:val="20"/>
        </w:rPr>
        <w:t xml:space="preserve"> 20 listopada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Narodowy Koordynator zorganizował  spotkanie</w:t>
      </w:r>
      <w:r w:rsidR="004C6CC5">
        <w:rPr>
          <w:rFonts w:ascii="Arial" w:hAnsi="Arial" w:cs="Arial"/>
          <w:sz w:val="20"/>
          <w:szCs w:val="20"/>
        </w:rPr>
        <w:t xml:space="preserve"> z </w:t>
      </w:r>
      <w:r w:rsidRPr="004C6CC5">
        <w:rPr>
          <w:rFonts w:ascii="Arial" w:hAnsi="Arial" w:cs="Arial"/>
          <w:sz w:val="20"/>
          <w:szCs w:val="20"/>
        </w:rPr>
        <w:t>udziałem przedstawicieli resortów</w:t>
      </w:r>
      <w:r w:rsidR="00840A08">
        <w:rPr>
          <w:rFonts w:ascii="Arial" w:hAnsi="Arial" w:cs="Arial"/>
          <w:sz w:val="20"/>
          <w:szCs w:val="20"/>
        </w:rPr>
        <w:t xml:space="preserve"> i </w:t>
      </w:r>
      <w:r w:rsidRPr="004C6CC5">
        <w:rPr>
          <w:rFonts w:ascii="Arial" w:hAnsi="Arial" w:cs="Arial"/>
          <w:sz w:val="20"/>
          <w:szCs w:val="20"/>
        </w:rPr>
        <w:t>instytucji wdrażających SUERMB, głównie Punktów Kontaktowych (tzw. Focal Points), polskich Koordynatorów Obszarów Tematycznych (MNiSW, MKiDN, MGMiŻŚ) oraz Ministerstwa Funduszy</w:t>
      </w:r>
      <w:r w:rsidR="004C6CC5">
        <w:rPr>
          <w:rFonts w:ascii="Arial" w:hAnsi="Arial" w:cs="Arial"/>
          <w:sz w:val="20"/>
          <w:szCs w:val="20"/>
        </w:rPr>
        <w:t xml:space="preserve"> i </w:t>
      </w:r>
      <w:r w:rsidRPr="004C6CC5">
        <w:rPr>
          <w:rFonts w:ascii="Arial" w:hAnsi="Arial" w:cs="Arial"/>
          <w:sz w:val="20"/>
          <w:szCs w:val="20"/>
        </w:rPr>
        <w:t>Polityki Regionalnej. Podczas spotkania wymieniono się bieżącymi informacjami n</w:t>
      </w:r>
      <w:r w:rsidR="007772F3">
        <w:rPr>
          <w:rFonts w:ascii="Arial" w:hAnsi="Arial" w:cs="Arial"/>
          <w:sz w:val="20"/>
          <w:szCs w:val="20"/>
        </w:rPr>
        <w:t>a temat</w:t>
      </w:r>
      <w:r w:rsidRPr="004C6CC5">
        <w:rPr>
          <w:rFonts w:ascii="Arial" w:hAnsi="Arial" w:cs="Arial"/>
          <w:sz w:val="20"/>
          <w:szCs w:val="20"/>
        </w:rPr>
        <w:t xml:space="preserve"> aktywności</w:t>
      </w:r>
      <w:r w:rsidR="004C6CC5">
        <w:rPr>
          <w:rFonts w:ascii="Arial" w:hAnsi="Arial" w:cs="Arial"/>
          <w:sz w:val="20"/>
          <w:szCs w:val="20"/>
        </w:rPr>
        <w:t xml:space="preserve"> w </w:t>
      </w:r>
      <w:r w:rsidRPr="004C6CC5">
        <w:rPr>
          <w:rFonts w:ascii="Arial" w:hAnsi="Arial" w:cs="Arial"/>
          <w:sz w:val="20"/>
          <w:szCs w:val="20"/>
        </w:rPr>
        <w:t>ramach SUERMB oraz odniesiono się do najważniejszych wyzwań dotyczących przyszłości formatu, szczególnie</w:t>
      </w:r>
      <w:r w:rsidR="004C6CC5">
        <w:rPr>
          <w:rFonts w:ascii="Arial" w:hAnsi="Arial" w:cs="Arial"/>
          <w:sz w:val="20"/>
          <w:szCs w:val="20"/>
        </w:rPr>
        <w:t xml:space="preserve"> w </w:t>
      </w:r>
      <w:r w:rsidRPr="004C6CC5">
        <w:rPr>
          <w:rFonts w:ascii="Arial" w:hAnsi="Arial" w:cs="Arial"/>
          <w:sz w:val="20"/>
          <w:szCs w:val="20"/>
        </w:rPr>
        <w:t>kontekście rewizji Planu Działania SUERMB oraz prac nad nowymi Wieloletnimi Ramami Finansowymi</w:t>
      </w:r>
      <w:r w:rsidR="004C6CC5">
        <w:rPr>
          <w:rFonts w:ascii="Arial" w:hAnsi="Arial" w:cs="Arial"/>
          <w:sz w:val="20"/>
          <w:szCs w:val="20"/>
        </w:rPr>
        <w:t xml:space="preserve"> i </w:t>
      </w:r>
      <w:r w:rsidRPr="004C6CC5">
        <w:rPr>
          <w:rFonts w:ascii="Arial" w:hAnsi="Arial" w:cs="Arial"/>
          <w:sz w:val="20"/>
          <w:szCs w:val="20"/>
        </w:rPr>
        <w:t>nowym okresem programowania.</w:t>
      </w:r>
    </w:p>
    <w:p w14:paraId="196C5FE0" w14:textId="0AB2AF88" w:rsidR="0065121D" w:rsidRPr="00792970" w:rsidRDefault="0065121D" w:rsidP="00792970">
      <w:pPr>
        <w:pStyle w:val="Akapitzlist"/>
        <w:numPr>
          <w:ilvl w:val="0"/>
          <w:numId w:val="48"/>
        </w:numPr>
        <w:spacing w:after="120" w:line="276" w:lineRule="auto"/>
        <w:jc w:val="both"/>
        <w:rPr>
          <w:rFonts w:ascii="Arial" w:eastAsia="Arial" w:hAnsi="Arial" w:cs="Arial"/>
          <w:b/>
          <w:color w:val="000000"/>
          <w:sz w:val="20"/>
          <w:szCs w:val="20"/>
        </w:rPr>
      </w:pPr>
      <w:r w:rsidRPr="00792970">
        <w:rPr>
          <w:rFonts w:ascii="Arial" w:eastAsia="Arial" w:hAnsi="Arial" w:cs="Arial"/>
          <w:b/>
          <w:color w:val="000000"/>
          <w:sz w:val="20"/>
          <w:szCs w:val="20"/>
        </w:rPr>
        <w:t>Działania</w:t>
      </w:r>
      <w:r w:rsidR="004C6CC5" w:rsidRPr="00792970">
        <w:rPr>
          <w:rFonts w:ascii="Arial" w:eastAsia="Arial" w:hAnsi="Arial" w:cs="Arial"/>
          <w:b/>
          <w:color w:val="000000"/>
          <w:sz w:val="20"/>
          <w:szCs w:val="20"/>
        </w:rPr>
        <w:t xml:space="preserve"> w </w:t>
      </w:r>
      <w:r w:rsidRPr="00792970">
        <w:rPr>
          <w:rFonts w:ascii="Arial" w:eastAsia="Arial" w:hAnsi="Arial" w:cs="Arial"/>
          <w:b/>
          <w:color w:val="000000"/>
          <w:sz w:val="20"/>
          <w:szCs w:val="20"/>
        </w:rPr>
        <w:t>ramach obszaru tematycznego Biogeny (PA NUTRI)</w:t>
      </w:r>
      <w:r w:rsidR="00063F83" w:rsidRPr="00792970">
        <w:rPr>
          <w:rFonts w:ascii="Arial" w:eastAsia="Arial" w:hAnsi="Arial" w:cs="Arial"/>
          <w:b/>
          <w:color w:val="000000"/>
          <w:sz w:val="20"/>
          <w:szCs w:val="20"/>
        </w:rPr>
        <w:t>.</w:t>
      </w:r>
    </w:p>
    <w:p w14:paraId="6DA6D26A" w14:textId="550A2359" w:rsidR="0065121D" w:rsidRPr="004C6CC5" w:rsidRDefault="0065121D" w:rsidP="00063F83">
      <w:pPr>
        <w:spacing w:before="120" w:after="120" w:line="276" w:lineRule="auto"/>
        <w:jc w:val="both"/>
        <w:rPr>
          <w:rFonts w:ascii="Arial" w:hAnsi="Arial" w:cs="Arial"/>
          <w:sz w:val="20"/>
          <w:szCs w:val="20"/>
        </w:rPr>
      </w:pPr>
      <w:r w:rsidRPr="004C6CC5">
        <w:rPr>
          <w:rFonts w:ascii="Arial" w:hAnsi="Arial" w:cs="Arial"/>
          <w:sz w:val="20"/>
          <w:szCs w:val="20"/>
        </w:rPr>
        <w:t xml:space="preserve">Z </w:t>
      </w:r>
      <w:r w:rsidR="00063F83">
        <w:rPr>
          <w:rFonts w:ascii="Arial" w:hAnsi="Arial" w:cs="Arial"/>
          <w:sz w:val="20"/>
          <w:szCs w:val="20"/>
        </w:rPr>
        <w:t>dniem 9 stycznia 2018 r.</w:t>
      </w:r>
      <w:r w:rsidRPr="004C6CC5">
        <w:rPr>
          <w:rFonts w:ascii="Arial" w:hAnsi="Arial" w:cs="Arial"/>
          <w:sz w:val="20"/>
          <w:szCs w:val="20"/>
        </w:rPr>
        <w:t xml:space="preserve"> zagadnienia związane</w:t>
      </w:r>
      <w:r w:rsidR="004C6CC5">
        <w:rPr>
          <w:rFonts w:ascii="Arial" w:hAnsi="Arial" w:cs="Arial"/>
          <w:sz w:val="20"/>
          <w:szCs w:val="20"/>
        </w:rPr>
        <w:t xml:space="preserve"> z </w:t>
      </w:r>
      <w:r w:rsidRPr="004C6CC5">
        <w:rPr>
          <w:rFonts w:ascii="Arial" w:hAnsi="Arial" w:cs="Arial"/>
          <w:sz w:val="20"/>
          <w:szCs w:val="20"/>
        </w:rPr>
        <w:t xml:space="preserve">ochroną wód zostały przekazane </w:t>
      </w:r>
      <w:r w:rsidRPr="004C6CC5">
        <w:rPr>
          <w:rFonts w:ascii="Arial" w:hAnsi="Arial" w:cs="Arial"/>
          <w:sz w:val="20"/>
          <w:szCs w:val="20"/>
        </w:rPr>
        <w:br/>
        <w:t>w kompetencje resortu gospodarki wodnej.</w:t>
      </w:r>
      <w:r w:rsidR="0024475F">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związku</w:t>
      </w:r>
      <w:r w:rsidR="004C6CC5">
        <w:rPr>
          <w:rFonts w:ascii="Arial" w:hAnsi="Arial" w:cs="Arial"/>
          <w:sz w:val="20"/>
          <w:szCs w:val="20"/>
        </w:rPr>
        <w:t xml:space="preserve"> z </w:t>
      </w:r>
      <w:r w:rsidRPr="004C6CC5">
        <w:rPr>
          <w:rFonts w:ascii="Arial" w:hAnsi="Arial" w:cs="Arial"/>
          <w:sz w:val="20"/>
          <w:szCs w:val="20"/>
        </w:rPr>
        <w:t>tym koordyn</w:t>
      </w:r>
      <w:r w:rsidR="0024475F">
        <w:rPr>
          <w:rFonts w:ascii="Arial" w:hAnsi="Arial" w:cs="Arial"/>
          <w:sz w:val="20"/>
          <w:szCs w:val="20"/>
        </w:rPr>
        <w:t>acja PA NUTRI od marca 2018 r.</w:t>
      </w:r>
      <w:r w:rsidRPr="004C6CC5">
        <w:rPr>
          <w:rFonts w:ascii="Arial" w:hAnsi="Arial" w:cs="Arial"/>
          <w:sz w:val="20"/>
          <w:szCs w:val="20"/>
        </w:rPr>
        <w:t xml:space="preserve"> </w:t>
      </w:r>
      <w:r w:rsidR="004C0967">
        <w:rPr>
          <w:rFonts w:ascii="Arial" w:hAnsi="Arial" w:cs="Arial"/>
          <w:sz w:val="20"/>
          <w:szCs w:val="20"/>
        </w:rPr>
        <w:t>jest</w:t>
      </w:r>
      <w:r w:rsidRPr="004C6CC5">
        <w:rPr>
          <w:rFonts w:ascii="Arial" w:hAnsi="Arial" w:cs="Arial"/>
          <w:sz w:val="20"/>
          <w:szCs w:val="20"/>
        </w:rPr>
        <w:t xml:space="preserve"> realizowana</w:t>
      </w:r>
      <w:r w:rsidR="004C0967">
        <w:rPr>
          <w:rFonts w:ascii="Arial" w:hAnsi="Arial" w:cs="Arial"/>
          <w:sz w:val="20"/>
          <w:szCs w:val="20"/>
        </w:rPr>
        <w:t xml:space="preserve"> w </w:t>
      </w:r>
      <w:r w:rsidRPr="004C6CC5">
        <w:rPr>
          <w:rFonts w:ascii="Arial" w:hAnsi="Arial" w:cs="Arial"/>
          <w:sz w:val="20"/>
          <w:szCs w:val="20"/>
        </w:rPr>
        <w:t>Ministerstwie Gospodarki Morskiej</w:t>
      </w:r>
      <w:r w:rsidR="004C6CC5">
        <w:rPr>
          <w:rFonts w:ascii="Arial" w:hAnsi="Arial" w:cs="Arial"/>
          <w:sz w:val="20"/>
          <w:szCs w:val="20"/>
        </w:rPr>
        <w:t xml:space="preserve"> i </w:t>
      </w:r>
      <w:r w:rsidRPr="004C6CC5">
        <w:rPr>
          <w:rFonts w:ascii="Arial" w:hAnsi="Arial" w:cs="Arial"/>
          <w:sz w:val="20"/>
          <w:szCs w:val="20"/>
        </w:rPr>
        <w:t>Żeglugi Śródlądowej przez Departament Gospodarki Wodnej</w:t>
      </w:r>
      <w:r w:rsidR="004C6CC5">
        <w:rPr>
          <w:rFonts w:ascii="Arial" w:hAnsi="Arial" w:cs="Arial"/>
          <w:sz w:val="20"/>
          <w:szCs w:val="20"/>
        </w:rPr>
        <w:t xml:space="preserve"> i </w:t>
      </w:r>
      <w:r w:rsidRPr="004C6CC5">
        <w:rPr>
          <w:rFonts w:ascii="Arial" w:hAnsi="Arial" w:cs="Arial"/>
          <w:sz w:val="20"/>
          <w:szCs w:val="20"/>
        </w:rPr>
        <w:t>Żeglugi Śródlądowej, a nowym współkoordynatorem ze stron</w:t>
      </w:r>
      <w:r w:rsidR="00F10C2C">
        <w:rPr>
          <w:rFonts w:ascii="Arial" w:hAnsi="Arial" w:cs="Arial"/>
          <w:sz w:val="20"/>
          <w:szCs w:val="20"/>
        </w:rPr>
        <w:t>y Polski został pracownik tego d</w:t>
      </w:r>
      <w:r w:rsidRPr="004C6CC5">
        <w:rPr>
          <w:rFonts w:ascii="Arial" w:hAnsi="Arial" w:cs="Arial"/>
          <w:sz w:val="20"/>
          <w:szCs w:val="20"/>
        </w:rPr>
        <w:t xml:space="preserve">epartamentu. </w:t>
      </w:r>
    </w:p>
    <w:p w14:paraId="33E315A2" w14:textId="4D71E06B" w:rsidR="0065121D" w:rsidRPr="004C6CC5" w:rsidRDefault="00F10C2C" w:rsidP="00063F83">
      <w:pPr>
        <w:spacing w:before="120" w:after="120" w:line="276" w:lineRule="auto"/>
        <w:jc w:val="both"/>
        <w:rPr>
          <w:rFonts w:ascii="Arial" w:hAnsi="Arial" w:cs="Arial"/>
          <w:sz w:val="20"/>
          <w:szCs w:val="20"/>
        </w:rPr>
      </w:pPr>
      <w:r>
        <w:rPr>
          <w:rFonts w:ascii="Arial" w:hAnsi="Arial" w:cs="Arial"/>
          <w:sz w:val="20"/>
          <w:szCs w:val="20"/>
        </w:rPr>
        <w:t>W 2019 r.</w:t>
      </w:r>
      <w:r w:rsidR="0065121D" w:rsidRPr="004C6CC5">
        <w:rPr>
          <w:rFonts w:ascii="Arial" w:hAnsi="Arial" w:cs="Arial"/>
          <w:sz w:val="20"/>
          <w:szCs w:val="20"/>
        </w:rPr>
        <w:t xml:space="preserve"> PA NUTRI realizował cele SUE RMB m.in. poprzez działania mające na celu identyfikację, selekcję</w:t>
      </w:r>
      <w:r w:rsidR="004C0967">
        <w:rPr>
          <w:rFonts w:ascii="Arial" w:hAnsi="Arial" w:cs="Arial"/>
          <w:sz w:val="20"/>
          <w:szCs w:val="20"/>
        </w:rPr>
        <w:t xml:space="preserve"> i </w:t>
      </w:r>
      <w:r w:rsidR="0065121D" w:rsidRPr="004C6CC5">
        <w:rPr>
          <w:rFonts w:ascii="Arial" w:hAnsi="Arial" w:cs="Arial"/>
          <w:sz w:val="20"/>
          <w:szCs w:val="20"/>
        </w:rPr>
        <w:t>zapewnienie wsparcia projektom flagowym, bieżącym</w:t>
      </w:r>
      <w:r w:rsidR="004C0967">
        <w:rPr>
          <w:rFonts w:ascii="Arial" w:hAnsi="Arial" w:cs="Arial"/>
          <w:sz w:val="20"/>
          <w:szCs w:val="20"/>
        </w:rPr>
        <w:t xml:space="preserve"> oraz </w:t>
      </w:r>
      <w:r w:rsidR="0065121D" w:rsidRPr="004C6CC5">
        <w:rPr>
          <w:rFonts w:ascii="Arial" w:hAnsi="Arial" w:cs="Arial"/>
          <w:sz w:val="20"/>
          <w:szCs w:val="20"/>
        </w:rPr>
        <w:t>potencjalnym, a także innym projektom, których cele wpisują się</w:t>
      </w:r>
      <w:r w:rsidR="004C6CC5">
        <w:rPr>
          <w:rFonts w:ascii="Arial" w:hAnsi="Arial" w:cs="Arial"/>
          <w:sz w:val="20"/>
          <w:szCs w:val="20"/>
        </w:rPr>
        <w:t xml:space="preserve"> w </w:t>
      </w:r>
      <w:r w:rsidR="0065121D" w:rsidRPr="004C6CC5">
        <w:rPr>
          <w:rFonts w:ascii="Arial" w:hAnsi="Arial" w:cs="Arial"/>
          <w:sz w:val="20"/>
          <w:szCs w:val="20"/>
        </w:rPr>
        <w:t>zadania tego obszaru, tj. przyczyniają się do ograniczenia zrzutów substancji biogennych do Morza Bałtyckiego</w:t>
      </w:r>
      <w:r w:rsidR="004C6CC5">
        <w:rPr>
          <w:rFonts w:ascii="Arial" w:hAnsi="Arial" w:cs="Arial"/>
          <w:sz w:val="20"/>
          <w:szCs w:val="20"/>
        </w:rPr>
        <w:t xml:space="preserve"> i </w:t>
      </w:r>
      <w:r w:rsidR="0065121D" w:rsidRPr="004C6CC5">
        <w:rPr>
          <w:rFonts w:ascii="Arial" w:hAnsi="Arial" w:cs="Arial"/>
          <w:sz w:val="20"/>
          <w:szCs w:val="20"/>
        </w:rPr>
        <w:t xml:space="preserve">łagodzenia tym samym problemu eutrofizacji. </w:t>
      </w:r>
    </w:p>
    <w:p w14:paraId="29C1BBB3" w14:textId="1DDFE2D9" w:rsidR="0065121D" w:rsidRPr="004C6CC5" w:rsidRDefault="004C0967" w:rsidP="00063F83">
      <w:pPr>
        <w:spacing w:before="120" w:after="120" w:line="276" w:lineRule="auto"/>
        <w:jc w:val="both"/>
        <w:rPr>
          <w:rFonts w:ascii="Arial" w:hAnsi="Arial" w:cs="Arial"/>
          <w:sz w:val="20"/>
          <w:szCs w:val="20"/>
          <w:lang w:val="en-GB"/>
        </w:rPr>
      </w:pPr>
      <w:r>
        <w:rPr>
          <w:rFonts w:ascii="Arial" w:hAnsi="Arial" w:cs="Arial"/>
          <w:sz w:val="20"/>
          <w:szCs w:val="20"/>
        </w:rPr>
        <w:t xml:space="preserve">Według stanu na koniec 2019 r. w </w:t>
      </w:r>
      <w:r w:rsidR="0065121D" w:rsidRPr="004C6CC5">
        <w:rPr>
          <w:rFonts w:ascii="Arial" w:hAnsi="Arial" w:cs="Arial"/>
          <w:sz w:val="20"/>
          <w:szCs w:val="20"/>
        </w:rPr>
        <w:t xml:space="preserve">ramach PA NUTRI </w:t>
      </w:r>
      <w:r>
        <w:rPr>
          <w:rFonts w:ascii="Arial" w:hAnsi="Arial" w:cs="Arial"/>
          <w:sz w:val="20"/>
          <w:szCs w:val="20"/>
        </w:rPr>
        <w:t xml:space="preserve">zidentyfikowanych </w:t>
      </w:r>
      <w:r w:rsidR="0065121D" w:rsidRPr="004C6CC5">
        <w:rPr>
          <w:rFonts w:ascii="Arial" w:hAnsi="Arial" w:cs="Arial"/>
          <w:sz w:val="20"/>
          <w:szCs w:val="20"/>
        </w:rPr>
        <w:t xml:space="preserve">jest 10 projektów flagowych – </w:t>
      </w:r>
      <w:r w:rsidR="0065121D" w:rsidRPr="004C6CC5">
        <w:rPr>
          <w:rFonts w:ascii="Arial" w:hAnsi="Arial" w:cs="Arial"/>
          <w:sz w:val="20"/>
          <w:szCs w:val="20"/>
        </w:rPr>
        <w:br/>
        <w:t>8 zakończonych</w:t>
      </w:r>
      <w:r w:rsidR="004C6CC5">
        <w:rPr>
          <w:rFonts w:ascii="Arial" w:hAnsi="Arial" w:cs="Arial"/>
          <w:sz w:val="20"/>
          <w:szCs w:val="20"/>
        </w:rPr>
        <w:t xml:space="preserve"> i </w:t>
      </w:r>
      <w:r w:rsidR="0065121D" w:rsidRPr="004C6CC5">
        <w:rPr>
          <w:rFonts w:ascii="Arial" w:hAnsi="Arial" w:cs="Arial"/>
          <w:sz w:val="20"/>
          <w:szCs w:val="20"/>
        </w:rPr>
        <w:t xml:space="preserve">2 bieżące. PA NUTRI jest także partnerem stowarzyszonym dwóch platform projektowych </w:t>
      </w:r>
      <w:r>
        <w:rPr>
          <w:rFonts w:ascii="Arial" w:hAnsi="Arial" w:cs="Arial"/>
          <w:sz w:val="20"/>
          <w:szCs w:val="20"/>
        </w:rPr>
        <w:t>-</w:t>
      </w:r>
      <w:r w:rsidR="0065121D" w:rsidRPr="004C6CC5">
        <w:rPr>
          <w:rFonts w:ascii="Arial" w:hAnsi="Arial" w:cs="Arial"/>
          <w:sz w:val="20"/>
          <w:szCs w:val="20"/>
        </w:rPr>
        <w:t xml:space="preserve"> SuMaNu</w:t>
      </w:r>
      <w:r w:rsidR="004C6CC5">
        <w:rPr>
          <w:rFonts w:ascii="Arial" w:hAnsi="Arial" w:cs="Arial"/>
          <w:sz w:val="20"/>
          <w:szCs w:val="20"/>
        </w:rPr>
        <w:t xml:space="preserve"> i </w:t>
      </w:r>
      <w:r w:rsidR="0065121D" w:rsidRPr="004C6CC5">
        <w:rPr>
          <w:rFonts w:ascii="Arial" w:hAnsi="Arial" w:cs="Arial"/>
          <w:sz w:val="20"/>
          <w:szCs w:val="20"/>
        </w:rPr>
        <w:t>BSR Water.</w:t>
      </w:r>
    </w:p>
    <w:p w14:paraId="084A7F53" w14:textId="78057DA8" w:rsidR="0065121D" w:rsidRPr="004C6CC5" w:rsidRDefault="0065121D" w:rsidP="00063F83">
      <w:pPr>
        <w:spacing w:before="120" w:after="120" w:line="276" w:lineRule="auto"/>
        <w:jc w:val="both"/>
        <w:rPr>
          <w:rFonts w:ascii="Arial" w:hAnsi="Arial" w:cs="Arial"/>
          <w:sz w:val="20"/>
          <w:szCs w:val="20"/>
        </w:rPr>
      </w:pPr>
      <w:r w:rsidRPr="004C6CC5">
        <w:rPr>
          <w:rFonts w:ascii="Arial" w:hAnsi="Arial" w:cs="Arial"/>
          <w:color w:val="000000"/>
          <w:sz w:val="20"/>
          <w:szCs w:val="20"/>
        </w:rPr>
        <w:t xml:space="preserve">Podczas </w:t>
      </w:r>
      <w:r w:rsidR="006644E0" w:rsidRPr="004C6CC5">
        <w:rPr>
          <w:rFonts w:ascii="Arial" w:hAnsi="Arial" w:cs="Arial"/>
          <w:sz w:val="20"/>
          <w:szCs w:val="20"/>
        </w:rPr>
        <w:t>10. Dorocznego Forum</w:t>
      </w:r>
      <w:r w:rsidR="006644E0">
        <w:rPr>
          <w:rFonts w:ascii="Arial" w:hAnsi="Arial" w:cs="Arial"/>
          <w:color w:val="000000"/>
          <w:sz w:val="20"/>
          <w:szCs w:val="20"/>
        </w:rPr>
        <w:t xml:space="preserve"> SUERMB </w:t>
      </w:r>
      <w:r w:rsidR="004C6CC5">
        <w:rPr>
          <w:rFonts w:ascii="Arial" w:hAnsi="Arial" w:cs="Arial"/>
          <w:color w:val="000000"/>
          <w:sz w:val="20"/>
          <w:szCs w:val="20"/>
        </w:rPr>
        <w:t>w </w:t>
      </w:r>
      <w:r w:rsidRPr="004C6CC5">
        <w:rPr>
          <w:rFonts w:ascii="Arial" w:hAnsi="Arial" w:cs="Arial"/>
          <w:color w:val="000000"/>
          <w:sz w:val="20"/>
          <w:szCs w:val="20"/>
        </w:rPr>
        <w:t>Gdańsku</w:t>
      </w:r>
      <w:r w:rsidR="004C6CC5">
        <w:rPr>
          <w:rFonts w:ascii="Arial" w:hAnsi="Arial" w:cs="Arial"/>
          <w:color w:val="000000"/>
          <w:sz w:val="20"/>
          <w:szCs w:val="20"/>
        </w:rPr>
        <w:t xml:space="preserve"> w </w:t>
      </w:r>
      <w:r w:rsidRPr="004C6CC5">
        <w:rPr>
          <w:rFonts w:ascii="Arial" w:hAnsi="Arial" w:cs="Arial"/>
          <w:color w:val="000000"/>
          <w:sz w:val="20"/>
          <w:szCs w:val="20"/>
        </w:rPr>
        <w:t xml:space="preserve">czerwcu 2019 </w:t>
      </w:r>
      <w:r w:rsidR="00674559">
        <w:rPr>
          <w:rFonts w:ascii="Arial" w:hAnsi="Arial" w:cs="Arial"/>
          <w:color w:val="000000"/>
          <w:sz w:val="20"/>
          <w:szCs w:val="20"/>
        </w:rPr>
        <w:t xml:space="preserve">r. </w:t>
      </w:r>
      <w:r w:rsidRPr="004C6CC5">
        <w:rPr>
          <w:rFonts w:ascii="Arial" w:hAnsi="Arial" w:cs="Arial"/>
          <w:sz w:val="20"/>
          <w:szCs w:val="20"/>
        </w:rPr>
        <w:t>PA NUTRI</w:t>
      </w:r>
      <w:r w:rsidRPr="004C6CC5">
        <w:rPr>
          <w:rFonts w:ascii="Arial" w:hAnsi="Arial" w:cs="Arial"/>
          <w:color w:val="000000"/>
          <w:sz w:val="20"/>
          <w:szCs w:val="20"/>
        </w:rPr>
        <w:t xml:space="preserve"> wraz</w:t>
      </w:r>
      <w:r w:rsidR="004C6CC5">
        <w:rPr>
          <w:rFonts w:ascii="Arial" w:hAnsi="Arial" w:cs="Arial"/>
          <w:color w:val="000000"/>
          <w:sz w:val="20"/>
          <w:szCs w:val="20"/>
        </w:rPr>
        <w:t xml:space="preserve"> z </w:t>
      </w:r>
      <w:r w:rsidRPr="004C6CC5">
        <w:rPr>
          <w:rFonts w:ascii="Arial" w:hAnsi="Arial" w:cs="Arial"/>
          <w:color w:val="000000"/>
          <w:sz w:val="20"/>
          <w:szCs w:val="20"/>
        </w:rPr>
        <w:t xml:space="preserve">HELCOM zorganizowało seminarium tematyczne pn. </w:t>
      </w:r>
      <w:r w:rsidRPr="004C6CC5">
        <w:rPr>
          <w:rFonts w:ascii="Arial" w:hAnsi="Arial" w:cs="Arial"/>
          <w:sz w:val="20"/>
          <w:szCs w:val="20"/>
        </w:rPr>
        <w:t>„Safe nutrient recycling for cleaner Baltic Sea”,</w:t>
      </w:r>
      <w:r w:rsidR="004C6CC5">
        <w:rPr>
          <w:rFonts w:ascii="Arial" w:hAnsi="Arial" w:cs="Arial"/>
          <w:sz w:val="20"/>
          <w:szCs w:val="20"/>
        </w:rPr>
        <w:t xml:space="preserve"> w </w:t>
      </w:r>
      <w:r w:rsidRPr="004C6CC5">
        <w:rPr>
          <w:rFonts w:ascii="Arial" w:hAnsi="Arial" w:cs="Arial"/>
          <w:sz w:val="20"/>
          <w:szCs w:val="20"/>
        </w:rPr>
        <w:t>któ</w:t>
      </w:r>
      <w:r w:rsidR="00674559">
        <w:rPr>
          <w:rFonts w:ascii="Arial" w:hAnsi="Arial" w:cs="Arial"/>
          <w:sz w:val="20"/>
          <w:szCs w:val="20"/>
        </w:rPr>
        <w:t>rym wzięło udział około 40 osób.</w:t>
      </w:r>
      <w:r w:rsidRPr="004C6CC5">
        <w:rPr>
          <w:rFonts w:ascii="Arial" w:hAnsi="Arial" w:cs="Arial"/>
          <w:sz w:val="20"/>
          <w:szCs w:val="20"/>
        </w:rPr>
        <w:t xml:space="preserve"> </w:t>
      </w:r>
      <w:r w:rsidR="00674559">
        <w:rPr>
          <w:rFonts w:ascii="Arial" w:hAnsi="Arial" w:cs="Arial"/>
          <w:sz w:val="20"/>
          <w:szCs w:val="20"/>
        </w:rPr>
        <w:t>Przygo</w:t>
      </w:r>
      <w:r w:rsidRPr="004C6CC5">
        <w:rPr>
          <w:rFonts w:ascii="Arial" w:hAnsi="Arial" w:cs="Arial"/>
          <w:sz w:val="20"/>
          <w:szCs w:val="20"/>
        </w:rPr>
        <w:t xml:space="preserve">towano </w:t>
      </w:r>
      <w:r w:rsidR="00674559">
        <w:rPr>
          <w:rFonts w:ascii="Arial" w:hAnsi="Arial" w:cs="Arial"/>
          <w:sz w:val="20"/>
          <w:szCs w:val="20"/>
        </w:rPr>
        <w:t xml:space="preserve">również </w:t>
      </w:r>
      <w:r w:rsidRPr="004C6CC5">
        <w:rPr>
          <w:rFonts w:ascii="Arial" w:hAnsi="Arial" w:cs="Arial"/>
          <w:sz w:val="20"/>
          <w:szCs w:val="20"/>
        </w:rPr>
        <w:t>stoisko informacyjne prezentujące wdrażane projekty</w:t>
      </w:r>
      <w:r w:rsidR="004C6CC5">
        <w:rPr>
          <w:rFonts w:ascii="Arial" w:hAnsi="Arial" w:cs="Arial"/>
          <w:sz w:val="20"/>
          <w:szCs w:val="20"/>
        </w:rPr>
        <w:t xml:space="preserve"> i </w:t>
      </w:r>
      <w:r w:rsidRPr="004C6CC5">
        <w:rPr>
          <w:rFonts w:ascii="Arial" w:hAnsi="Arial" w:cs="Arial"/>
          <w:sz w:val="20"/>
          <w:szCs w:val="20"/>
        </w:rPr>
        <w:t>platformy</w:t>
      </w:r>
      <w:r w:rsidR="00674559">
        <w:rPr>
          <w:rFonts w:ascii="Arial" w:hAnsi="Arial" w:cs="Arial"/>
          <w:sz w:val="20"/>
          <w:szCs w:val="20"/>
        </w:rPr>
        <w:t>, na którym udzielano</w:t>
      </w:r>
      <w:r w:rsidRPr="004C6CC5">
        <w:rPr>
          <w:rFonts w:ascii="Arial" w:hAnsi="Arial" w:cs="Arial"/>
          <w:sz w:val="20"/>
          <w:szCs w:val="20"/>
        </w:rPr>
        <w:t xml:space="preserve"> informacji </w:t>
      </w:r>
      <w:r w:rsidR="00926914">
        <w:rPr>
          <w:rFonts w:ascii="Arial" w:hAnsi="Arial" w:cs="Arial"/>
          <w:sz w:val="20"/>
          <w:szCs w:val="20"/>
        </w:rPr>
        <w:t xml:space="preserve">wszystkim </w:t>
      </w:r>
      <w:r w:rsidRPr="004C6CC5">
        <w:rPr>
          <w:rFonts w:ascii="Arial" w:hAnsi="Arial" w:cs="Arial"/>
          <w:sz w:val="20"/>
          <w:szCs w:val="20"/>
        </w:rPr>
        <w:t xml:space="preserve">zainteresowanym interesariuszom. </w:t>
      </w:r>
    </w:p>
    <w:p w14:paraId="2D033698" w14:textId="33A56840" w:rsidR="0065121D" w:rsidRPr="004C6CC5" w:rsidRDefault="0065121D" w:rsidP="00063F83">
      <w:pPr>
        <w:spacing w:before="120" w:after="120" w:line="276" w:lineRule="auto"/>
        <w:jc w:val="both"/>
        <w:rPr>
          <w:rFonts w:ascii="Arial" w:hAnsi="Arial" w:cs="Arial"/>
          <w:sz w:val="20"/>
          <w:szCs w:val="20"/>
        </w:rPr>
      </w:pPr>
      <w:r w:rsidRPr="004C6CC5">
        <w:rPr>
          <w:rFonts w:ascii="Arial" w:hAnsi="Arial" w:cs="Arial"/>
          <w:bCs/>
          <w:sz w:val="20"/>
          <w:szCs w:val="20"/>
        </w:rPr>
        <w:t xml:space="preserve">Pod koniec listopada </w:t>
      </w:r>
      <w:r w:rsidR="00506F6B">
        <w:rPr>
          <w:rFonts w:ascii="Arial" w:hAnsi="Arial" w:cs="Arial"/>
          <w:bCs/>
          <w:sz w:val="20"/>
          <w:szCs w:val="20"/>
        </w:rPr>
        <w:t xml:space="preserve">2019 r. </w:t>
      </w:r>
      <w:r w:rsidRPr="004C6CC5">
        <w:rPr>
          <w:rFonts w:ascii="Arial" w:hAnsi="Arial" w:cs="Arial"/>
          <w:bCs/>
          <w:sz w:val="20"/>
          <w:szCs w:val="20"/>
        </w:rPr>
        <w:t>rozpoczęto prace nad przygotowaniem</w:t>
      </w:r>
      <w:r w:rsidR="004C6CC5">
        <w:rPr>
          <w:rFonts w:ascii="Arial" w:hAnsi="Arial" w:cs="Arial"/>
          <w:bCs/>
          <w:sz w:val="20"/>
          <w:szCs w:val="20"/>
        </w:rPr>
        <w:t xml:space="preserve"> i </w:t>
      </w:r>
      <w:r w:rsidRPr="004C6CC5">
        <w:rPr>
          <w:rFonts w:ascii="Arial" w:hAnsi="Arial" w:cs="Arial"/>
          <w:bCs/>
          <w:sz w:val="20"/>
          <w:szCs w:val="20"/>
        </w:rPr>
        <w:t>rozpoczęciem procedury zbierania</w:t>
      </w:r>
      <w:r w:rsidR="004C6CC5">
        <w:rPr>
          <w:rFonts w:ascii="Arial" w:hAnsi="Arial" w:cs="Arial"/>
          <w:bCs/>
          <w:sz w:val="20"/>
          <w:szCs w:val="20"/>
        </w:rPr>
        <w:t xml:space="preserve"> i </w:t>
      </w:r>
      <w:r w:rsidRPr="004C6CC5">
        <w:rPr>
          <w:rFonts w:ascii="Arial" w:hAnsi="Arial" w:cs="Arial"/>
          <w:bCs/>
          <w:sz w:val="20"/>
          <w:szCs w:val="20"/>
        </w:rPr>
        <w:t>oceniania wniosków projektów zalążkowych</w:t>
      </w:r>
      <w:r w:rsidR="004C6CC5">
        <w:rPr>
          <w:rFonts w:ascii="Arial" w:hAnsi="Arial" w:cs="Arial"/>
          <w:bCs/>
          <w:sz w:val="20"/>
          <w:szCs w:val="20"/>
        </w:rPr>
        <w:t xml:space="preserve"> w </w:t>
      </w:r>
      <w:r w:rsidRPr="004C6CC5">
        <w:rPr>
          <w:rFonts w:ascii="Arial" w:hAnsi="Arial" w:cs="Arial"/>
          <w:bCs/>
          <w:sz w:val="20"/>
          <w:szCs w:val="20"/>
        </w:rPr>
        <w:t>ramach naboru Seed Money Interreg Regionu Morza Bałtyckiego. Do obszaru NUTRI wpłynęło 9 wniosków.</w:t>
      </w:r>
    </w:p>
    <w:p w14:paraId="6F523BD5" w14:textId="02F79084" w:rsidR="0065121D" w:rsidRPr="004C6CC5" w:rsidRDefault="0065121D" w:rsidP="008D2321">
      <w:pPr>
        <w:spacing w:after="120" w:line="276" w:lineRule="auto"/>
        <w:jc w:val="both"/>
        <w:rPr>
          <w:rFonts w:ascii="Arial" w:hAnsi="Arial" w:cs="Arial"/>
          <w:sz w:val="20"/>
          <w:szCs w:val="20"/>
        </w:rPr>
      </w:pPr>
      <w:r w:rsidRPr="004C6CC5">
        <w:rPr>
          <w:rFonts w:ascii="Arial" w:hAnsi="Arial" w:cs="Arial"/>
          <w:sz w:val="20"/>
          <w:szCs w:val="20"/>
        </w:rPr>
        <w:t>Ponadto</w:t>
      </w:r>
      <w:r w:rsidR="004C6CC5">
        <w:rPr>
          <w:rFonts w:ascii="Arial" w:hAnsi="Arial" w:cs="Arial"/>
          <w:sz w:val="20"/>
          <w:szCs w:val="20"/>
        </w:rPr>
        <w:t xml:space="preserve"> w </w:t>
      </w:r>
      <w:r w:rsidRPr="004C6CC5">
        <w:rPr>
          <w:rFonts w:ascii="Arial" w:hAnsi="Arial" w:cs="Arial"/>
          <w:sz w:val="20"/>
          <w:szCs w:val="20"/>
        </w:rPr>
        <w:t>ramach PA NUTRI Ministerstwo Gospodarki Morskiej</w:t>
      </w:r>
      <w:r w:rsidR="004C6CC5">
        <w:rPr>
          <w:rFonts w:ascii="Arial" w:hAnsi="Arial" w:cs="Arial"/>
          <w:sz w:val="20"/>
          <w:szCs w:val="20"/>
        </w:rPr>
        <w:t xml:space="preserve"> i </w:t>
      </w:r>
      <w:r w:rsidRPr="004C6CC5">
        <w:rPr>
          <w:rFonts w:ascii="Arial" w:hAnsi="Arial" w:cs="Arial"/>
          <w:sz w:val="20"/>
          <w:szCs w:val="20"/>
        </w:rPr>
        <w:t>Żeglugi Śródlądowej prowadziło akcje promocyjno-informacyjne:</w:t>
      </w:r>
    </w:p>
    <w:p w14:paraId="40CE59AF" w14:textId="2F21F6EE" w:rsidR="0065121D" w:rsidRPr="004C6CC5" w:rsidRDefault="0065121D" w:rsidP="003C6ECA">
      <w:pPr>
        <w:numPr>
          <w:ilvl w:val="0"/>
          <w:numId w:val="6"/>
        </w:numPr>
        <w:spacing w:after="120" w:line="276" w:lineRule="auto"/>
        <w:ind w:left="360"/>
        <w:jc w:val="both"/>
        <w:rPr>
          <w:rFonts w:ascii="Arial" w:hAnsi="Arial" w:cs="Arial"/>
          <w:sz w:val="20"/>
          <w:szCs w:val="20"/>
        </w:rPr>
      </w:pPr>
      <w:r w:rsidRPr="004C6CC5">
        <w:rPr>
          <w:rFonts w:ascii="Arial" w:hAnsi="Arial" w:cs="Arial"/>
          <w:sz w:val="20"/>
          <w:szCs w:val="20"/>
        </w:rPr>
        <w:t>opracowanie</w:t>
      </w:r>
      <w:r w:rsidR="00506F6B">
        <w:rPr>
          <w:rFonts w:ascii="Arial" w:hAnsi="Arial" w:cs="Arial"/>
          <w:sz w:val="20"/>
          <w:szCs w:val="20"/>
        </w:rPr>
        <w:t xml:space="preserve"> i </w:t>
      </w:r>
      <w:r w:rsidRPr="004C6CC5">
        <w:rPr>
          <w:rFonts w:ascii="Arial" w:hAnsi="Arial" w:cs="Arial"/>
          <w:sz w:val="20"/>
          <w:szCs w:val="20"/>
        </w:rPr>
        <w:t>wykonanie ulotek dotyczących obszaru Biogeny</w:t>
      </w:r>
      <w:r w:rsidR="00506F6B">
        <w:rPr>
          <w:rFonts w:ascii="Arial" w:hAnsi="Arial" w:cs="Arial"/>
          <w:sz w:val="20"/>
          <w:szCs w:val="20"/>
        </w:rPr>
        <w:t xml:space="preserve"> w języku polskim </w:t>
      </w:r>
      <w:r w:rsidRPr="004C6CC5">
        <w:rPr>
          <w:rFonts w:ascii="Arial" w:hAnsi="Arial" w:cs="Arial"/>
          <w:sz w:val="20"/>
          <w:szCs w:val="20"/>
        </w:rPr>
        <w:t>i angielskim;</w:t>
      </w:r>
    </w:p>
    <w:p w14:paraId="4753596D" w14:textId="70B3DC75" w:rsidR="0065121D" w:rsidRPr="004C6CC5" w:rsidRDefault="00506F6B" w:rsidP="003C6ECA">
      <w:pPr>
        <w:numPr>
          <w:ilvl w:val="0"/>
          <w:numId w:val="6"/>
        </w:numPr>
        <w:spacing w:after="120" w:line="276" w:lineRule="auto"/>
        <w:ind w:left="360"/>
        <w:jc w:val="both"/>
        <w:rPr>
          <w:rFonts w:ascii="Arial" w:hAnsi="Arial" w:cs="Arial"/>
          <w:sz w:val="20"/>
          <w:szCs w:val="20"/>
        </w:rPr>
      </w:pPr>
      <w:r>
        <w:rPr>
          <w:rFonts w:ascii="Arial" w:hAnsi="Arial" w:cs="Arial"/>
          <w:sz w:val="20"/>
          <w:szCs w:val="20"/>
        </w:rPr>
        <w:t xml:space="preserve">przygotowanie </w:t>
      </w:r>
      <w:r w:rsidR="0065121D" w:rsidRPr="004C6CC5">
        <w:rPr>
          <w:rFonts w:ascii="Arial" w:hAnsi="Arial" w:cs="Arial"/>
          <w:sz w:val="20"/>
          <w:szCs w:val="20"/>
        </w:rPr>
        <w:t>artykułu promującego SUERMB</w:t>
      </w:r>
      <w:r w:rsidR="004C6CC5">
        <w:rPr>
          <w:rFonts w:ascii="Arial" w:hAnsi="Arial" w:cs="Arial"/>
          <w:sz w:val="20"/>
          <w:szCs w:val="20"/>
        </w:rPr>
        <w:t xml:space="preserve"> i </w:t>
      </w:r>
      <w:r w:rsidR="0065121D" w:rsidRPr="004C6CC5">
        <w:rPr>
          <w:rFonts w:ascii="Arial" w:hAnsi="Arial" w:cs="Arial"/>
          <w:sz w:val="20"/>
          <w:szCs w:val="20"/>
        </w:rPr>
        <w:t>obszar Biogeny pt.</w:t>
      </w:r>
      <w:r>
        <w:rPr>
          <w:rFonts w:ascii="Arial" w:hAnsi="Arial" w:cs="Arial"/>
          <w:sz w:val="20"/>
          <w:szCs w:val="20"/>
        </w:rPr>
        <w:t>:</w:t>
      </w:r>
      <w:r w:rsidR="0065121D" w:rsidRPr="004C6CC5">
        <w:rPr>
          <w:rFonts w:ascii="Arial" w:hAnsi="Arial" w:cs="Arial"/>
          <w:sz w:val="20"/>
          <w:szCs w:val="20"/>
        </w:rPr>
        <w:t xml:space="preserve"> „Status Flagship</w:t>
      </w:r>
      <w:r w:rsidR="004C6CC5">
        <w:rPr>
          <w:rFonts w:ascii="Arial" w:hAnsi="Arial" w:cs="Arial"/>
          <w:sz w:val="20"/>
          <w:szCs w:val="20"/>
        </w:rPr>
        <w:t xml:space="preserve"> w </w:t>
      </w:r>
      <w:r w:rsidR="0065121D" w:rsidRPr="004C6CC5">
        <w:rPr>
          <w:rFonts w:ascii="Arial" w:hAnsi="Arial" w:cs="Arial"/>
          <w:sz w:val="20"/>
          <w:szCs w:val="20"/>
        </w:rPr>
        <w:t>Strategii UE dla regionu Morza Bałtyckiego, czyli jak zwiększyć zasięg projektu</w:t>
      </w:r>
      <w:r w:rsidR="004C6CC5">
        <w:rPr>
          <w:rFonts w:ascii="Arial" w:hAnsi="Arial" w:cs="Arial"/>
          <w:sz w:val="20"/>
          <w:szCs w:val="20"/>
        </w:rPr>
        <w:t xml:space="preserve"> i </w:t>
      </w:r>
      <w:r w:rsidR="0065121D" w:rsidRPr="004C6CC5">
        <w:rPr>
          <w:rFonts w:ascii="Arial" w:hAnsi="Arial" w:cs="Arial"/>
          <w:sz w:val="20"/>
          <w:szCs w:val="20"/>
        </w:rPr>
        <w:t xml:space="preserve">zapewnić szeroką </w:t>
      </w:r>
      <w:r w:rsidR="0065121D" w:rsidRPr="004C6CC5">
        <w:rPr>
          <w:rFonts w:ascii="Arial" w:hAnsi="Arial" w:cs="Arial"/>
          <w:sz w:val="20"/>
          <w:szCs w:val="20"/>
        </w:rPr>
        <w:lastRenderedPageBreak/>
        <w:t>dystrybucję jego rezultatów”, opublikowanego we wrześniowym numerze miesięcznika Gospodarka Wodna;</w:t>
      </w:r>
    </w:p>
    <w:p w14:paraId="639A960B" w14:textId="311A509B" w:rsidR="0065121D" w:rsidRPr="004C6CC5" w:rsidRDefault="0065121D" w:rsidP="003C6ECA">
      <w:pPr>
        <w:numPr>
          <w:ilvl w:val="0"/>
          <w:numId w:val="6"/>
        </w:numPr>
        <w:spacing w:after="120" w:line="276" w:lineRule="auto"/>
        <w:ind w:left="360"/>
        <w:jc w:val="both"/>
        <w:rPr>
          <w:rFonts w:ascii="Arial" w:hAnsi="Arial" w:cs="Arial"/>
          <w:sz w:val="20"/>
          <w:szCs w:val="20"/>
        </w:rPr>
      </w:pPr>
      <w:r w:rsidRPr="004C6CC5">
        <w:rPr>
          <w:rFonts w:ascii="Arial" w:hAnsi="Arial" w:cs="Arial"/>
          <w:sz w:val="20"/>
          <w:szCs w:val="20"/>
        </w:rPr>
        <w:t>przygotowanie</w:t>
      </w:r>
      <w:r w:rsidR="004C6CC5">
        <w:rPr>
          <w:rFonts w:ascii="Arial" w:hAnsi="Arial" w:cs="Arial"/>
          <w:sz w:val="20"/>
          <w:szCs w:val="20"/>
        </w:rPr>
        <w:t xml:space="preserve"> i </w:t>
      </w:r>
      <w:r w:rsidRPr="004C6CC5">
        <w:rPr>
          <w:rFonts w:ascii="Arial" w:hAnsi="Arial" w:cs="Arial"/>
          <w:sz w:val="20"/>
          <w:szCs w:val="20"/>
        </w:rPr>
        <w:t>prezentacja „</w:t>
      </w:r>
      <w:r w:rsidRPr="004C6CC5">
        <w:rPr>
          <w:rFonts w:ascii="Arial" w:hAnsi="Arial" w:cs="Arial"/>
          <w:bCs/>
          <w:sz w:val="20"/>
          <w:szCs w:val="20"/>
        </w:rPr>
        <w:t>Zarządzanie biogenami</w:t>
      </w:r>
      <w:r w:rsidR="004C6CC5">
        <w:rPr>
          <w:rFonts w:ascii="Arial" w:hAnsi="Arial" w:cs="Arial"/>
          <w:bCs/>
          <w:sz w:val="20"/>
          <w:szCs w:val="20"/>
        </w:rPr>
        <w:t xml:space="preserve"> w </w:t>
      </w:r>
      <w:r w:rsidRPr="004C6CC5">
        <w:rPr>
          <w:rFonts w:ascii="Arial" w:hAnsi="Arial" w:cs="Arial"/>
          <w:bCs/>
          <w:sz w:val="20"/>
          <w:szCs w:val="20"/>
        </w:rPr>
        <w:t>ramach wdrażania Strategii UE dla regionu Morza Bałtyckiego</w:t>
      </w:r>
      <w:r w:rsidR="004C6CC5">
        <w:rPr>
          <w:rFonts w:ascii="Arial" w:hAnsi="Arial" w:cs="Arial"/>
          <w:bCs/>
          <w:sz w:val="20"/>
          <w:szCs w:val="20"/>
        </w:rPr>
        <w:t xml:space="preserve"> w </w:t>
      </w:r>
      <w:r w:rsidRPr="004C6CC5">
        <w:rPr>
          <w:rFonts w:ascii="Arial" w:hAnsi="Arial" w:cs="Arial"/>
          <w:bCs/>
          <w:sz w:val="20"/>
          <w:szCs w:val="20"/>
        </w:rPr>
        <w:t>obszarze PA NUTRI” podczas akcji informacyjnej dla operatorów oczyszczalni ścieków dotyczącej zwiększania stopnia redukcji fosforu</w:t>
      </w:r>
      <w:r w:rsidR="008318AF">
        <w:rPr>
          <w:rFonts w:ascii="Arial" w:hAnsi="Arial" w:cs="Arial"/>
          <w:bCs/>
          <w:sz w:val="20"/>
          <w:szCs w:val="20"/>
        </w:rPr>
        <w:t xml:space="preserve"> w </w:t>
      </w:r>
      <w:r w:rsidRPr="004C6CC5">
        <w:rPr>
          <w:rFonts w:ascii="Arial" w:hAnsi="Arial" w:cs="Arial"/>
          <w:bCs/>
          <w:sz w:val="20"/>
          <w:szCs w:val="20"/>
        </w:rPr>
        <w:t>ściekach odprowadzanych</w:t>
      </w:r>
      <w:r w:rsidR="004C6CC5">
        <w:rPr>
          <w:rFonts w:ascii="Arial" w:hAnsi="Arial" w:cs="Arial"/>
          <w:bCs/>
          <w:sz w:val="20"/>
          <w:szCs w:val="20"/>
        </w:rPr>
        <w:t xml:space="preserve"> z </w:t>
      </w:r>
      <w:r w:rsidRPr="004C6CC5">
        <w:rPr>
          <w:rFonts w:ascii="Arial" w:hAnsi="Arial" w:cs="Arial"/>
          <w:bCs/>
          <w:sz w:val="20"/>
          <w:szCs w:val="20"/>
        </w:rPr>
        <w:t>oczyszczalni</w:t>
      </w:r>
      <w:r w:rsidR="003744F8">
        <w:rPr>
          <w:rFonts w:ascii="Arial" w:hAnsi="Arial" w:cs="Arial"/>
          <w:bCs/>
          <w:sz w:val="20"/>
          <w:szCs w:val="20"/>
        </w:rPr>
        <w:t xml:space="preserve"> – w dniu </w:t>
      </w:r>
      <w:r w:rsidR="003744F8">
        <w:rPr>
          <w:rFonts w:ascii="Arial" w:hAnsi="Arial" w:cs="Arial"/>
          <w:sz w:val="20"/>
          <w:szCs w:val="20"/>
        </w:rPr>
        <w:t>8 października 2019 r.</w:t>
      </w:r>
      <w:r w:rsidRPr="004C6CC5">
        <w:rPr>
          <w:rFonts w:ascii="Arial" w:hAnsi="Arial" w:cs="Arial"/>
          <w:bCs/>
          <w:sz w:val="20"/>
          <w:szCs w:val="20"/>
        </w:rPr>
        <w:t>;</w:t>
      </w:r>
    </w:p>
    <w:p w14:paraId="58206D1E" w14:textId="459B0724" w:rsidR="0065121D" w:rsidRPr="00063F83" w:rsidRDefault="0065121D" w:rsidP="003C6ECA">
      <w:pPr>
        <w:numPr>
          <w:ilvl w:val="0"/>
          <w:numId w:val="6"/>
        </w:numPr>
        <w:spacing w:after="120" w:line="276" w:lineRule="auto"/>
        <w:ind w:left="360"/>
        <w:jc w:val="both"/>
        <w:rPr>
          <w:rFonts w:ascii="Arial" w:hAnsi="Arial" w:cs="Arial"/>
          <w:sz w:val="20"/>
          <w:szCs w:val="20"/>
        </w:rPr>
      </w:pPr>
      <w:r w:rsidRPr="004C6CC5">
        <w:rPr>
          <w:rFonts w:ascii="Arial" w:hAnsi="Arial" w:cs="Arial"/>
          <w:bCs/>
          <w:sz w:val="20"/>
          <w:szCs w:val="20"/>
        </w:rPr>
        <w:t>udział</w:t>
      </w:r>
      <w:r w:rsidR="004C6CC5">
        <w:rPr>
          <w:rFonts w:ascii="Arial" w:hAnsi="Arial" w:cs="Arial"/>
          <w:bCs/>
          <w:sz w:val="20"/>
          <w:szCs w:val="20"/>
        </w:rPr>
        <w:t xml:space="preserve"> w </w:t>
      </w:r>
      <w:r w:rsidRPr="004C6CC5">
        <w:rPr>
          <w:rFonts w:ascii="Arial" w:hAnsi="Arial" w:cs="Arial"/>
          <w:bCs/>
          <w:sz w:val="20"/>
          <w:szCs w:val="20"/>
        </w:rPr>
        <w:t>warsztatach</w:t>
      </w:r>
      <w:r w:rsidR="004C6CC5">
        <w:rPr>
          <w:rFonts w:ascii="Arial" w:hAnsi="Arial" w:cs="Arial"/>
          <w:bCs/>
          <w:sz w:val="20"/>
          <w:szCs w:val="20"/>
        </w:rPr>
        <w:t xml:space="preserve"> i </w:t>
      </w:r>
      <w:r w:rsidRPr="004C6CC5">
        <w:rPr>
          <w:rFonts w:ascii="Arial" w:hAnsi="Arial" w:cs="Arial"/>
          <w:bCs/>
          <w:sz w:val="20"/>
          <w:szCs w:val="20"/>
        </w:rPr>
        <w:t>spotkaniach oraz promocja Strategii</w:t>
      </w:r>
      <w:r w:rsidR="004C6CC5">
        <w:rPr>
          <w:rFonts w:ascii="Arial" w:hAnsi="Arial" w:cs="Arial"/>
          <w:bCs/>
          <w:sz w:val="20"/>
          <w:szCs w:val="20"/>
        </w:rPr>
        <w:t xml:space="preserve"> i </w:t>
      </w:r>
      <w:r w:rsidRPr="004C6CC5">
        <w:rPr>
          <w:rFonts w:ascii="Arial" w:hAnsi="Arial" w:cs="Arial"/>
          <w:bCs/>
          <w:sz w:val="20"/>
          <w:szCs w:val="20"/>
        </w:rPr>
        <w:t>projektów</w:t>
      </w:r>
      <w:r w:rsidR="004C6CC5">
        <w:rPr>
          <w:rFonts w:ascii="Arial" w:hAnsi="Arial" w:cs="Arial"/>
          <w:bCs/>
          <w:sz w:val="20"/>
          <w:szCs w:val="20"/>
        </w:rPr>
        <w:t xml:space="preserve"> w </w:t>
      </w:r>
      <w:r w:rsidRPr="004C6CC5">
        <w:rPr>
          <w:rFonts w:ascii="Arial" w:hAnsi="Arial" w:cs="Arial"/>
          <w:bCs/>
          <w:sz w:val="20"/>
          <w:szCs w:val="20"/>
        </w:rPr>
        <w:t xml:space="preserve">obszarze Biogeny. </w:t>
      </w:r>
    </w:p>
    <w:p w14:paraId="6F06F16F" w14:textId="78D2BD7C" w:rsidR="005E12D9" w:rsidRPr="00540DB5" w:rsidRDefault="00CD0060" w:rsidP="00014AD7">
      <w:pPr>
        <w:pStyle w:val="Nagwek2"/>
        <w:spacing w:before="120" w:after="120" w:line="276" w:lineRule="auto"/>
        <w:jc w:val="both"/>
        <w:rPr>
          <w:rFonts w:ascii="Arial" w:hAnsi="Arial" w:cs="Arial"/>
          <w:b/>
          <w:color w:val="auto"/>
          <w:sz w:val="20"/>
          <w:szCs w:val="20"/>
        </w:rPr>
      </w:pPr>
      <w:bookmarkStart w:id="44" w:name="_Toc72745056"/>
      <w:r w:rsidRPr="00540DB5">
        <w:rPr>
          <w:rFonts w:ascii="Arial" w:hAnsi="Arial" w:cs="Arial"/>
          <w:b/>
          <w:color w:val="auto"/>
          <w:sz w:val="20"/>
          <w:szCs w:val="20"/>
        </w:rPr>
        <w:t>Działania</w:t>
      </w:r>
      <w:r w:rsidR="004C6CC5" w:rsidRPr="00540DB5">
        <w:rPr>
          <w:rFonts w:ascii="Arial" w:hAnsi="Arial" w:cs="Arial"/>
          <w:b/>
          <w:color w:val="auto"/>
          <w:sz w:val="20"/>
          <w:szCs w:val="20"/>
        </w:rPr>
        <w:t xml:space="preserve"> w </w:t>
      </w:r>
      <w:r w:rsidRPr="00540DB5">
        <w:rPr>
          <w:rFonts w:ascii="Arial" w:hAnsi="Arial" w:cs="Arial"/>
          <w:b/>
          <w:color w:val="auto"/>
          <w:sz w:val="20"/>
          <w:szCs w:val="20"/>
        </w:rPr>
        <w:t>ramach Komitetu Ochrony Środowiska Morskiego Międzynarodowej Organizacji Morskiej (IMO-MEPC)</w:t>
      </w:r>
      <w:r w:rsidR="00063F83" w:rsidRPr="00540DB5">
        <w:rPr>
          <w:rFonts w:ascii="Arial" w:hAnsi="Arial" w:cs="Arial"/>
          <w:b/>
          <w:color w:val="auto"/>
          <w:sz w:val="20"/>
          <w:szCs w:val="20"/>
        </w:rPr>
        <w:t>.</w:t>
      </w:r>
      <w:bookmarkEnd w:id="44"/>
    </w:p>
    <w:p w14:paraId="1958DB21" w14:textId="2F4FAC56" w:rsidR="00540DB5" w:rsidRPr="00540DB5" w:rsidRDefault="00BE0EFF" w:rsidP="00540DB5">
      <w:pPr>
        <w:spacing w:after="120" w:line="276" w:lineRule="auto"/>
        <w:jc w:val="both"/>
        <w:rPr>
          <w:rFonts w:ascii="Arial" w:eastAsia="Arial" w:hAnsi="Arial" w:cs="Arial"/>
          <w:color w:val="000000"/>
          <w:sz w:val="20"/>
          <w:szCs w:val="20"/>
        </w:rPr>
      </w:pPr>
      <w:r>
        <w:rPr>
          <w:rFonts w:ascii="Arial" w:eastAsia="Arial" w:hAnsi="Arial" w:cs="Arial"/>
          <w:color w:val="000000"/>
          <w:sz w:val="20"/>
          <w:szCs w:val="20"/>
        </w:rPr>
        <w:t>W 2019 r. n</w:t>
      </w:r>
      <w:r w:rsidR="00540DB5" w:rsidRPr="00540DB5">
        <w:rPr>
          <w:rFonts w:ascii="Arial" w:eastAsia="Arial" w:hAnsi="Arial" w:cs="Arial"/>
          <w:color w:val="000000"/>
          <w:sz w:val="20"/>
          <w:szCs w:val="20"/>
        </w:rPr>
        <w:t xml:space="preserve">a forum Międzynarodowej Organizacji Morskiej (IMO) przedstawiciele Polski brali udział </w:t>
      </w:r>
      <w:r w:rsidR="00210E6A">
        <w:rPr>
          <w:rFonts w:ascii="Arial" w:eastAsia="Arial" w:hAnsi="Arial" w:cs="Arial"/>
          <w:color w:val="000000"/>
          <w:sz w:val="20"/>
          <w:szCs w:val="20"/>
        </w:rPr>
        <w:br/>
      </w:r>
      <w:r w:rsidR="00540DB5" w:rsidRPr="00540DB5">
        <w:rPr>
          <w:rFonts w:ascii="Arial" w:eastAsia="Arial" w:hAnsi="Arial" w:cs="Arial"/>
          <w:color w:val="000000"/>
          <w:sz w:val="20"/>
          <w:szCs w:val="20"/>
        </w:rPr>
        <w:t xml:space="preserve">w 74. sesji Komitetu Ochrony Środowiska Morskiego (MEPC 74), 6. sesji  </w:t>
      </w:r>
      <w:r w:rsidR="00540DB5" w:rsidRPr="00540DB5">
        <w:rPr>
          <w:rFonts w:ascii="Arial" w:eastAsia="Arial" w:hAnsi="Arial" w:cs="Arial"/>
          <w:color w:val="2C283A"/>
          <w:sz w:val="20"/>
          <w:szCs w:val="20"/>
        </w:rPr>
        <w:t>Grupy Roboczej ds. Emisji Gazów Cieplarnianych z transportu morskiego</w:t>
      </w:r>
      <w:r w:rsidR="00540DB5" w:rsidRPr="00540DB5">
        <w:rPr>
          <w:rFonts w:ascii="Arial" w:eastAsia="Arial" w:hAnsi="Arial" w:cs="Arial"/>
          <w:bCs/>
          <w:color w:val="000000"/>
          <w:sz w:val="20"/>
          <w:szCs w:val="20"/>
        </w:rPr>
        <w:t xml:space="preserve"> (</w:t>
      </w:r>
      <w:r w:rsidR="00540DB5" w:rsidRPr="00540DB5">
        <w:rPr>
          <w:rFonts w:ascii="Arial" w:eastAsia="Times New Roman" w:hAnsi="Arial" w:cs="Arial"/>
          <w:sz w:val="20"/>
          <w:szCs w:val="20"/>
          <w:lang w:eastAsia="en-GB"/>
        </w:rPr>
        <w:t xml:space="preserve">ISWG-GHG 6) </w:t>
      </w:r>
      <w:r w:rsidR="00540DB5" w:rsidRPr="00540DB5">
        <w:rPr>
          <w:rFonts w:ascii="Arial" w:eastAsia="Arial" w:hAnsi="Arial" w:cs="Arial"/>
          <w:color w:val="000000"/>
          <w:sz w:val="20"/>
          <w:szCs w:val="20"/>
        </w:rPr>
        <w:t xml:space="preserve">oraz 6. sesji Podkomitetu </w:t>
      </w:r>
      <w:r w:rsidR="00030035">
        <w:rPr>
          <w:rFonts w:ascii="Arial" w:eastAsia="Arial" w:hAnsi="Arial" w:cs="Arial"/>
          <w:color w:val="000000"/>
          <w:sz w:val="20"/>
          <w:szCs w:val="20"/>
        </w:rPr>
        <w:br/>
      </w:r>
      <w:r w:rsidR="00540DB5" w:rsidRPr="00540DB5">
        <w:rPr>
          <w:rFonts w:ascii="Arial" w:eastAsia="Arial" w:hAnsi="Arial" w:cs="Arial"/>
          <w:color w:val="000000"/>
          <w:sz w:val="20"/>
          <w:szCs w:val="20"/>
        </w:rPr>
        <w:t>ds. Zapobiegania Zanieczyszczaniu oraz Zwalczania Zanieczyszczeń Morza (PPR 6).</w:t>
      </w:r>
    </w:p>
    <w:p w14:paraId="00DB3EA9" w14:textId="21019EA6" w:rsidR="00540DB5" w:rsidRPr="00540DB5" w:rsidRDefault="00540DB5" w:rsidP="00540DB5">
      <w:pPr>
        <w:spacing w:after="120" w:line="276" w:lineRule="auto"/>
        <w:jc w:val="both"/>
        <w:rPr>
          <w:rFonts w:ascii="Arial" w:eastAsia="Arial" w:hAnsi="Arial" w:cs="Arial"/>
          <w:color w:val="000000"/>
          <w:sz w:val="20"/>
          <w:szCs w:val="20"/>
        </w:rPr>
      </w:pPr>
      <w:r w:rsidRPr="00540DB5">
        <w:rPr>
          <w:rFonts w:ascii="Arial" w:eastAsia="Arial" w:hAnsi="Arial" w:cs="Arial"/>
          <w:color w:val="000000"/>
          <w:sz w:val="20"/>
          <w:szCs w:val="20"/>
        </w:rPr>
        <w:t xml:space="preserve">Podczas sesji MEPC 74 dominującym tematem była realizacja </w:t>
      </w:r>
      <w:r w:rsidR="00030035">
        <w:rPr>
          <w:rFonts w:ascii="Arial" w:eastAsia="Arial" w:hAnsi="Arial" w:cs="Arial"/>
          <w:color w:val="000000"/>
          <w:sz w:val="20"/>
          <w:szCs w:val="20"/>
        </w:rPr>
        <w:t>„</w:t>
      </w:r>
      <w:r w:rsidRPr="00540DB5">
        <w:rPr>
          <w:rFonts w:ascii="Arial" w:eastAsia="Arial" w:hAnsi="Arial" w:cs="Arial"/>
          <w:color w:val="000000"/>
          <w:sz w:val="20"/>
          <w:szCs w:val="20"/>
        </w:rPr>
        <w:t>Wstępnej strategii IMO w sprawie redukcji emisji gazów cieplarnianych ze statków</w:t>
      </w:r>
      <w:r w:rsidR="00030035">
        <w:rPr>
          <w:rFonts w:ascii="Arial" w:eastAsia="Arial" w:hAnsi="Arial" w:cs="Arial"/>
          <w:color w:val="000000"/>
          <w:sz w:val="20"/>
          <w:szCs w:val="20"/>
        </w:rPr>
        <w:t>”</w:t>
      </w:r>
      <w:r w:rsidRPr="00540DB5">
        <w:rPr>
          <w:rFonts w:ascii="Arial" w:eastAsia="Arial" w:hAnsi="Arial" w:cs="Arial"/>
          <w:color w:val="000000"/>
          <w:sz w:val="20"/>
          <w:szCs w:val="20"/>
        </w:rPr>
        <w:t xml:space="preserve">. Sesja miała duże znaczenie w odniesieniu do kwestii działań IMO na rzecz przeciwdziałania zmianom klimatu i </w:t>
      </w:r>
      <w:r w:rsidR="00987198">
        <w:rPr>
          <w:rFonts w:ascii="Arial" w:eastAsia="Arial" w:hAnsi="Arial" w:cs="Arial"/>
          <w:color w:val="000000"/>
          <w:sz w:val="20"/>
          <w:szCs w:val="20"/>
        </w:rPr>
        <w:t>usprawnienia współpracy z Ramową Konwencją</w:t>
      </w:r>
      <w:r w:rsidRPr="00540DB5">
        <w:rPr>
          <w:rFonts w:ascii="Arial" w:eastAsia="Arial" w:hAnsi="Arial" w:cs="Arial"/>
          <w:color w:val="000000"/>
          <w:sz w:val="20"/>
          <w:szCs w:val="20"/>
        </w:rPr>
        <w:t xml:space="preserve"> Narodów Zjednoczonych w sprawie zmian klimatu (UNFCCC). Przedmiotem posiedzenia były następujące </w:t>
      </w:r>
      <w:r w:rsidR="006F2321">
        <w:rPr>
          <w:rFonts w:ascii="Arial" w:eastAsia="Arial" w:hAnsi="Arial" w:cs="Arial"/>
          <w:color w:val="000000"/>
          <w:sz w:val="20"/>
          <w:szCs w:val="20"/>
        </w:rPr>
        <w:t>kwestie</w:t>
      </w:r>
      <w:r w:rsidRPr="00540DB5">
        <w:rPr>
          <w:rFonts w:ascii="Arial" w:eastAsia="Arial" w:hAnsi="Arial" w:cs="Arial"/>
          <w:color w:val="000000"/>
          <w:sz w:val="20"/>
          <w:szCs w:val="20"/>
        </w:rPr>
        <w:t>: poprawki do konwencji MARPOL w</w:t>
      </w:r>
      <w:r w:rsidR="008B6DAC">
        <w:rPr>
          <w:rFonts w:ascii="Arial" w:eastAsia="Arial" w:hAnsi="Arial" w:cs="Arial"/>
          <w:color w:val="000000"/>
          <w:sz w:val="20"/>
          <w:szCs w:val="20"/>
        </w:rPr>
        <w:t xml:space="preserve"> zakresie</w:t>
      </w:r>
      <w:r w:rsidRPr="00540DB5">
        <w:rPr>
          <w:rFonts w:ascii="Arial" w:eastAsia="Arial" w:hAnsi="Arial" w:cs="Arial"/>
          <w:color w:val="000000"/>
          <w:sz w:val="20"/>
          <w:szCs w:val="20"/>
        </w:rPr>
        <w:t xml:space="preserve"> elektronicznych książek zapisu, EEDI i parafin oraz kodeksów NOx, IBC i BCH; zagadnienia konwencji o wodach balastowych, certyfikatów IBWM, doświadczeń z wdrażania konwencji, testowania systemów BWM, próbkowania </w:t>
      </w:r>
      <w:r w:rsidR="00753D6D">
        <w:rPr>
          <w:rFonts w:ascii="Arial" w:eastAsia="Arial" w:hAnsi="Arial" w:cs="Arial"/>
          <w:color w:val="000000"/>
          <w:sz w:val="20"/>
          <w:szCs w:val="20"/>
        </w:rPr>
        <w:br/>
      </w:r>
      <w:r w:rsidRPr="00540DB5">
        <w:rPr>
          <w:rFonts w:ascii="Arial" w:eastAsia="Arial" w:hAnsi="Arial" w:cs="Arial"/>
          <w:color w:val="000000"/>
          <w:sz w:val="20"/>
          <w:szCs w:val="20"/>
        </w:rPr>
        <w:t>i analiz, urządzeń odbiorczych; zagadnienia ograniczania zanieczyszczeń powietrza tlenkami siarki, jakości paliw żeglugowych, bezpieczeństwa paliw niskosiarkowych, dostępności paliw i raportowania; zagadnienia środków projektowych na rzecz poprawy efektywności energetycznej żeglugi; systemu gromadzenia danych o zużyciu paliw przez statki i metodologii analizy danych; środków wdrażania strategii IMO w</w:t>
      </w:r>
      <w:r w:rsidR="007C63DC">
        <w:rPr>
          <w:rFonts w:ascii="Arial" w:eastAsia="Arial" w:hAnsi="Arial" w:cs="Arial"/>
          <w:color w:val="000000"/>
          <w:sz w:val="20"/>
          <w:szCs w:val="20"/>
        </w:rPr>
        <w:t xml:space="preserve"> zakresie</w:t>
      </w:r>
      <w:r w:rsidRPr="00540DB5">
        <w:rPr>
          <w:rFonts w:ascii="Arial" w:eastAsia="Arial" w:hAnsi="Arial" w:cs="Arial"/>
          <w:color w:val="000000"/>
          <w:sz w:val="20"/>
          <w:szCs w:val="20"/>
        </w:rPr>
        <w:t xml:space="preserve"> ograniczania emisji gazów cieplarnianych, oceny wpływu środków, działalności badawczo-rozwojowej i współpracy technicznej w</w:t>
      </w:r>
      <w:r w:rsidR="007C63DC">
        <w:rPr>
          <w:rFonts w:ascii="Arial" w:eastAsia="Arial" w:hAnsi="Arial" w:cs="Arial"/>
          <w:color w:val="000000"/>
          <w:sz w:val="20"/>
          <w:szCs w:val="20"/>
        </w:rPr>
        <w:t xml:space="preserve"> zakresie</w:t>
      </w:r>
      <w:r w:rsidRPr="00540DB5">
        <w:rPr>
          <w:rFonts w:ascii="Arial" w:eastAsia="Arial" w:hAnsi="Arial" w:cs="Arial"/>
          <w:color w:val="000000"/>
          <w:sz w:val="20"/>
          <w:szCs w:val="20"/>
        </w:rPr>
        <w:t xml:space="preserve"> redukcji emisji gazów cieplarnianych; studium IMO w</w:t>
      </w:r>
      <w:r w:rsidR="007C63DC">
        <w:rPr>
          <w:rFonts w:ascii="Arial" w:eastAsia="Arial" w:hAnsi="Arial" w:cs="Arial"/>
          <w:color w:val="000000"/>
          <w:sz w:val="20"/>
          <w:szCs w:val="20"/>
        </w:rPr>
        <w:t xml:space="preserve"> zakresie</w:t>
      </w:r>
      <w:r w:rsidRPr="00540DB5">
        <w:rPr>
          <w:rFonts w:ascii="Arial" w:eastAsia="Arial" w:hAnsi="Arial" w:cs="Arial"/>
          <w:color w:val="000000"/>
          <w:sz w:val="20"/>
          <w:szCs w:val="20"/>
        </w:rPr>
        <w:t xml:space="preserve"> redukcji emisji gazów cieplarnianych; działań portowych na rzecz redukcji emisji gazów cieplarnianych; kwestii organizacyjnych dotyczących dalszych prac IMO w</w:t>
      </w:r>
      <w:r w:rsidR="007C63DC">
        <w:rPr>
          <w:rFonts w:ascii="Arial" w:eastAsia="Arial" w:hAnsi="Arial" w:cs="Arial"/>
          <w:color w:val="000000"/>
          <w:sz w:val="20"/>
          <w:szCs w:val="20"/>
        </w:rPr>
        <w:t xml:space="preserve"> zakresie</w:t>
      </w:r>
      <w:r w:rsidRPr="00540DB5">
        <w:rPr>
          <w:rFonts w:ascii="Arial" w:eastAsia="Arial" w:hAnsi="Arial" w:cs="Arial"/>
          <w:color w:val="000000"/>
          <w:sz w:val="20"/>
          <w:szCs w:val="20"/>
        </w:rPr>
        <w:t xml:space="preserve"> redukcji emisji gazów cieplarnianych; funduszu na rzecz redukcji emisji gazów cieplarnianych; zagadnienia działań dla ograniczania </w:t>
      </w:r>
      <w:r w:rsidR="003445BD">
        <w:rPr>
          <w:rFonts w:ascii="Arial" w:eastAsia="Arial" w:hAnsi="Arial" w:cs="Arial"/>
          <w:color w:val="000000"/>
          <w:sz w:val="20"/>
          <w:szCs w:val="20"/>
        </w:rPr>
        <w:t>odpadów z tworzyw sztucznych znajdujących się w środowisku morskim</w:t>
      </w:r>
      <w:r w:rsidRPr="00540DB5">
        <w:rPr>
          <w:rFonts w:ascii="Arial" w:eastAsia="Arial" w:hAnsi="Arial" w:cs="Arial"/>
          <w:color w:val="000000"/>
          <w:sz w:val="20"/>
          <w:szCs w:val="20"/>
        </w:rPr>
        <w:t xml:space="preserve">, </w:t>
      </w:r>
      <w:r w:rsidR="00971B9E">
        <w:rPr>
          <w:rFonts w:ascii="Arial" w:eastAsia="Arial" w:hAnsi="Arial" w:cs="Arial"/>
          <w:color w:val="000000"/>
          <w:sz w:val="20"/>
          <w:szCs w:val="20"/>
        </w:rPr>
        <w:br/>
      </w:r>
      <w:r w:rsidRPr="00540DB5">
        <w:rPr>
          <w:rFonts w:ascii="Arial" w:eastAsia="Arial" w:hAnsi="Arial" w:cs="Arial"/>
          <w:color w:val="000000"/>
          <w:sz w:val="20"/>
          <w:szCs w:val="20"/>
        </w:rPr>
        <w:t xml:space="preserve">w tym wyniki prac korespondencyjnych; wyniki prac Podkomitetu ds. zapobiegania i reagowania na zanieczyszczenia PPR 6, w tym m.in. kwestie emisji NOx, spalarek pokładowych, konwencji OPRC </w:t>
      </w:r>
      <w:r w:rsidR="00971B9E">
        <w:rPr>
          <w:rFonts w:ascii="Arial" w:eastAsia="Arial" w:hAnsi="Arial" w:cs="Arial"/>
          <w:color w:val="000000"/>
          <w:sz w:val="20"/>
          <w:szCs w:val="20"/>
        </w:rPr>
        <w:br/>
      </w:r>
      <w:r w:rsidRPr="00540DB5">
        <w:rPr>
          <w:rFonts w:ascii="Arial" w:eastAsia="Arial" w:hAnsi="Arial" w:cs="Arial"/>
          <w:color w:val="000000"/>
          <w:sz w:val="20"/>
          <w:szCs w:val="20"/>
        </w:rPr>
        <w:t>i protokołu OPRC-HNS, paliwa żeglugowego używanego i przewożonego na wodach arktycznych, systemów oczyszczania gazów spalinowych, zawartości siarki w paliwie żeglugowym, systemów przeciwporostowych, recyklingu statków, budowania doświadczeń związanych z konwencją BWM, oceny substancji płynnych transportowanych luzem, przewozu mieszanek biopaliw, klasyfikacji substancji płynnych zgodnie z załącznikiem II do konwencji MARPOL oraz kodeksem IBC dotyczącym produktów parafinowy</w:t>
      </w:r>
      <w:r w:rsidR="00070757">
        <w:rPr>
          <w:rFonts w:ascii="Arial" w:eastAsia="Arial" w:hAnsi="Arial" w:cs="Arial"/>
          <w:color w:val="000000"/>
          <w:sz w:val="20"/>
          <w:szCs w:val="20"/>
        </w:rPr>
        <w:t>ch, kwestii ESPH</w:t>
      </w:r>
      <w:r w:rsidRPr="00540DB5">
        <w:rPr>
          <w:rFonts w:ascii="Arial" w:eastAsia="Arial" w:hAnsi="Arial" w:cs="Arial"/>
          <w:color w:val="000000"/>
          <w:sz w:val="20"/>
          <w:szCs w:val="20"/>
        </w:rPr>
        <w:t xml:space="preserve"> oraz zagadnień ochrony obszarów specjalnych i PSSAs.</w:t>
      </w:r>
    </w:p>
    <w:p w14:paraId="75FF7950" w14:textId="3244F882" w:rsidR="00540DB5" w:rsidRPr="00540DB5" w:rsidRDefault="00540DB5" w:rsidP="00540DB5">
      <w:pPr>
        <w:spacing w:after="120" w:line="276" w:lineRule="auto"/>
        <w:jc w:val="both"/>
        <w:rPr>
          <w:rFonts w:ascii="Arial" w:eastAsia="Arial" w:hAnsi="Arial" w:cs="Arial"/>
          <w:color w:val="000000"/>
          <w:sz w:val="20"/>
          <w:szCs w:val="20"/>
        </w:rPr>
      </w:pPr>
      <w:r w:rsidRPr="00540DB5">
        <w:rPr>
          <w:rFonts w:ascii="Arial" w:eastAsia="Arial" w:hAnsi="Arial" w:cs="Arial"/>
          <w:sz w:val="20"/>
          <w:szCs w:val="20"/>
        </w:rPr>
        <w:t>Podczas 6. sesji Grupy Roboczej ds. Emisji Gazów Cieplarnianych z transportu mors</w:t>
      </w:r>
      <w:r w:rsidRPr="00540DB5">
        <w:rPr>
          <w:rFonts w:ascii="Arial" w:eastAsia="Arial" w:hAnsi="Arial" w:cs="Arial"/>
          <w:color w:val="2C283A"/>
          <w:sz w:val="20"/>
          <w:szCs w:val="20"/>
        </w:rPr>
        <w:t>kiego</w:t>
      </w:r>
      <w:r w:rsidRPr="00540DB5">
        <w:rPr>
          <w:rFonts w:ascii="Arial" w:eastAsia="Arial" w:hAnsi="Arial" w:cs="Arial"/>
          <w:bCs/>
          <w:color w:val="000000"/>
          <w:sz w:val="20"/>
          <w:szCs w:val="20"/>
        </w:rPr>
        <w:t xml:space="preserve"> (</w:t>
      </w:r>
      <w:r w:rsidRPr="00540DB5">
        <w:rPr>
          <w:rFonts w:ascii="Arial" w:eastAsia="Times New Roman" w:hAnsi="Arial" w:cs="Arial"/>
          <w:sz w:val="20"/>
          <w:szCs w:val="20"/>
          <w:lang w:eastAsia="en-GB"/>
        </w:rPr>
        <w:t>ISWG-GHG 6)</w:t>
      </w:r>
      <w:r w:rsidRPr="00540DB5">
        <w:rPr>
          <w:rFonts w:ascii="Arial" w:eastAsia="Arial" w:hAnsi="Arial" w:cs="Arial"/>
          <w:color w:val="000000"/>
          <w:sz w:val="20"/>
          <w:szCs w:val="20"/>
        </w:rPr>
        <w:t xml:space="preserve"> kontynuowano prace poświęcone przyjętej w kwietniu 2018 r. Strategii IMO w sprawie redukcji emisji gazów cieplarnianych ze statków. Strategia określa wizję ograniczenia emisji gazów cieplarnianych </w:t>
      </w:r>
      <w:r w:rsidR="009204B9">
        <w:rPr>
          <w:rFonts w:ascii="Arial" w:eastAsia="Arial" w:hAnsi="Arial" w:cs="Arial"/>
          <w:color w:val="000000"/>
          <w:sz w:val="20"/>
          <w:szCs w:val="20"/>
        </w:rPr>
        <w:br/>
      </w:r>
      <w:r w:rsidRPr="00540DB5">
        <w:rPr>
          <w:rFonts w:ascii="Arial" w:eastAsia="Arial" w:hAnsi="Arial" w:cs="Arial"/>
          <w:color w:val="000000"/>
          <w:sz w:val="20"/>
          <w:szCs w:val="20"/>
        </w:rPr>
        <w:t xml:space="preserve">z żeglugi międzynarodowej i obejmuje m.in. scenariusze emisji; poziom ambicji; zasady przewodnie; listę potencjalnych krótko-, średnio- i długoterminowych dalszych środków wraz z możliwymi terminami ich realizacji oraz oceną ich wpływu na państwa; bariery i działania wspierające; budowanie potencjału i współpracę techniczną; badania i rozwój; działania następcze na rzecz opracowania zrewidowanej strategii; okresowy przegląd strategii. Polska poparła przyjęcie strategii. Po przyjęciu strategii Międzynarodowa Organizacja Morska przystąpiła do </w:t>
      </w:r>
      <w:r w:rsidR="00AE5626">
        <w:rPr>
          <w:rFonts w:ascii="Arial" w:eastAsia="Arial" w:hAnsi="Arial" w:cs="Arial"/>
          <w:color w:val="000000"/>
          <w:sz w:val="20"/>
          <w:szCs w:val="20"/>
        </w:rPr>
        <w:t>prac mających na celu</w:t>
      </w:r>
      <w:r w:rsidRPr="00540DB5">
        <w:rPr>
          <w:rFonts w:ascii="Arial" w:eastAsia="Arial" w:hAnsi="Arial" w:cs="Arial"/>
          <w:color w:val="000000"/>
          <w:sz w:val="20"/>
          <w:szCs w:val="20"/>
        </w:rPr>
        <w:t xml:space="preserve"> </w:t>
      </w:r>
      <w:r w:rsidR="00AE5626">
        <w:rPr>
          <w:rFonts w:ascii="Arial" w:eastAsia="Arial" w:hAnsi="Arial" w:cs="Arial"/>
          <w:color w:val="000000"/>
          <w:sz w:val="20"/>
          <w:szCs w:val="20"/>
        </w:rPr>
        <w:t>wdrażanie</w:t>
      </w:r>
      <w:r w:rsidRPr="00540DB5">
        <w:rPr>
          <w:rFonts w:ascii="Arial" w:eastAsia="Arial" w:hAnsi="Arial" w:cs="Arial"/>
          <w:color w:val="000000"/>
          <w:sz w:val="20"/>
          <w:szCs w:val="20"/>
        </w:rPr>
        <w:t xml:space="preserve"> zawartych w niej zapisów, które w 2019 r. prowadzone były m.in. </w:t>
      </w:r>
      <w:r w:rsidR="00AE5626">
        <w:rPr>
          <w:rFonts w:ascii="Arial" w:eastAsia="Arial" w:hAnsi="Arial" w:cs="Arial"/>
          <w:color w:val="000000"/>
          <w:sz w:val="20"/>
          <w:szCs w:val="20"/>
        </w:rPr>
        <w:t>w ramach</w:t>
      </w:r>
      <w:r w:rsidR="00556C40">
        <w:rPr>
          <w:rFonts w:ascii="Arial" w:eastAsia="Arial" w:hAnsi="Arial" w:cs="Arial"/>
          <w:color w:val="000000"/>
          <w:sz w:val="20"/>
          <w:szCs w:val="20"/>
        </w:rPr>
        <w:t xml:space="preserve"> G</w:t>
      </w:r>
      <w:r w:rsidRPr="00540DB5">
        <w:rPr>
          <w:rFonts w:ascii="Arial" w:eastAsia="Arial" w:hAnsi="Arial" w:cs="Arial"/>
          <w:color w:val="000000"/>
          <w:sz w:val="20"/>
          <w:szCs w:val="20"/>
        </w:rPr>
        <w:t xml:space="preserve">rupy roboczej </w:t>
      </w:r>
      <w:r w:rsidRPr="00540DB5">
        <w:rPr>
          <w:rFonts w:ascii="Arial" w:eastAsia="Times New Roman" w:hAnsi="Arial" w:cs="Arial"/>
          <w:sz w:val="20"/>
          <w:szCs w:val="20"/>
          <w:lang w:eastAsia="en-GB"/>
        </w:rPr>
        <w:t>ISWG-GHG.</w:t>
      </w:r>
    </w:p>
    <w:p w14:paraId="64DDDA70" w14:textId="2F8A56E4" w:rsidR="00540DB5" w:rsidRPr="00540DB5" w:rsidRDefault="00540DB5" w:rsidP="00540DB5">
      <w:pPr>
        <w:spacing w:after="120" w:line="276" w:lineRule="auto"/>
        <w:jc w:val="both"/>
        <w:rPr>
          <w:rFonts w:ascii="Arial" w:eastAsia="Arial" w:hAnsi="Arial" w:cs="Arial"/>
          <w:sz w:val="20"/>
          <w:szCs w:val="20"/>
        </w:rPr>
      </w:pPr>
      <w:r w:rsidRPr="00540DB5">
        <w:rPr>
          <w:rFonts w:ascii="Arial" w:eastAsia="Arial" w:hAnsi="Arial" w:cs="Arial"/>
          <w:sz w:val="20"/>
          <w:szCs w:val="20"/>
        </w:rPr>
        <w:lastRenderedPageBreak/>
        <w:t>Podczas sesji PPR 6 rozważane były natomiast m.in. sprawy ładunków chemicznych i zmian kodeksu IBC; zaktualizowanych wskazówek próbko</w:t>
      </w:r>
      <w:r w:rsidR="00987198">
        <w:rPr>
          <w:rFonts w:ascii="Arial" w:eastAsia="Arial" w:hAnsi="Arial" w:cs="Arial"/>
          <w:sz w:val="20"/>
          <w:szCs w:val="20"/>
        </w:rPr>
        <w:t xml:space="preserve">wania i </w:t>
      </w:r>
      <w:r w:rsidRPr="00540DB5">
        <w:rPr>
          <w:rFonts w:ascii="Arial" w:eastAsia="Arial" w:hAnsi="Arial" w:cs="Arial"/>
          <w:sz w:val="20"/>
          <w:szCs w:val="20"/>
        </w:rPr>
        <w:t xml:space="preserve">analizy wód balastowych; zaktualizowanych wskazówek metodologii zliczania organizmów żywych; poprawek do konwencji AFS o zakazie stosowania szkodliwych systemów przeciwporostowych; wpływu emisji </w:t>
      </w:r>
      <w:r w:rsidR="000E289C">
        <w:rPr>
          <w:rFonts w:ascii="Arial" w:eastAsia="Arial" w:hAnsi="Arial" w:cs="Arial"/>
          <w:sz w:val="20"/>
          <w:szCs w:val="20"/>
        </w:rPr>
        <w:t>sadzy</w:t>
      </w:r>
      <w:r w:rsidRPr="00540DB5">
        <w:rPr>
          <w:rFonts w:ascii="Arial" w:eastAsia="Arial" w:hAnsi="Arial" w:cs="Arial"/>
          <w:sz w:val="20"/>
          <w:szCs w:val="20"/>
        </w:rPr>
        <w:t xml:space="preserve"> z żeglugi międzynarodowej na </w:t>
      </w:r>
      <w:r w:rsidR="003B71DB">
        <w:rPr>
          <w:rFonts w:ascii="Arial" w:eastAsia="Arial" w:hAnsi="Arial" w:cs="Arial"/>
          <w:sz w:val="20"/>
          <w:szCs w:val="20"/>
        </w:rPr>
        <w:t>region Arktyki</w:t>
      </w:r>
      <w:r w:rsidRPr="00540DB5">
        <w:rPr>
          <w:rFonts w:ascii="Arial" w:eastAsia="Arial" w:hAnsi="Arial" w:cs="Arial"/>
          <w:sz w:val="20"/>
          <w:szCs w:val="20"/>
        </w:rPr>
        <w:t>; spójnego wdrażania wymagań konwencji MARPOL w zakresie ograniczania emisji związków siarki; poprawek do prawideł Załącznika VI do konwencji MARPOL związanych z dedykowanym punktem poboru próbek paliwa żeglugowego; standardów obróbki termicznej odpadów na statkach i powiązanych zmian prawideł Załącznika VI do konwencji MARPOL; przeglądu wytycznych IMO w sprawie systemów oczyszczania gazów spalinowych; opracowania środków redukcji ryzyka związanego z używaniem i przewożeniem ciężkich paliw żeglugowych na wodach Arktyki; przeglądu wytycznych zintegrowanych systemów obróbki wód zęzowych oraz poprawek do certyfikatów IOPP i książek zapisów olejowych; poprawek do wytycznych wdrażania standardów jakości ścieków oraz wydajności testów dla statkowych oczyszczalni ścieków; wskazówek wz. wdrażania konwencji OPRC o gotowości do zwalczania zanieczyszczeń morza olejami oraz współpracy w tym zakresie i protokołu OPRC-HN; ujednoliconych interpretacji wymagań konwencji IMO w zakresie ochrony środowiska. Jednym z najważniejszych tematów sesji były sprawy emisji tlenków siarki, w szczególności w kontekście egzekwowania wymagań siarkowych; nadzoru nad dostępnością paliw i egzekwowania wymagań jakościowych od dostawców paliw w oparciu o konwencję MARPOL; systemów oczyszczania spalin; Kontroli Państwa Portu; zakazu przewożenia paliwa niespełniającego wymagań; aspektów operacyjnych eksploatacji statków; wytycznych branżowych w</w:t>
      </w:r>
      <w:r w:rsidR="00014AD7">
        <w:rPr>
          <w:rFonts w:ascii="Arial" w:eastAsia="Arial" w:hAnsi="Arial" w:cs="Arial"/>
          <w:sz w:val="20"/>
          <w:szCs w:val="20"/>
        </w:rPr>
        <w:t xml:space="preserve"> zakresie</w:t>
      </w:r>
      <w:r w:rsidRPr="00540DB5">
        <w:rPr>
          <w:rFonts w:ascii="Arial" w:eastAsia="Arial" w:hAnsi="Arial" w:cs="Arial"/>
          <w:sz w:val="20"/>
          <w:szCs w:val="20"/>
        </w:rPr>
        <w:t xml:space="preserve"> paliw; charakterystyki nowych paliw; metod testowania i weryfikacji paliw dostarczanych i używanych na statkach.</w:t>
      </w:r>
    </w:p>
    <w:p w14:paraId="5C88FAB8" w14:textId="35462118" w:rsidR="00A3588A" w:rsidRPr="005731CD" w:rsidRDefault="00540DB5" w:rsidP="008D2321">
      <w:pPr>
        <w:spacing w:after="120" w:line="276" w:lineRule="auto"/>
        <w:jc w:val="both"/>
        <w:rPr>
          <w:rFonts w:ascii="Arial" w:eastAsia="Arial" w:hAnsi="Arial" w:cs="Arial"/>
          <w:color w:val="000000"/>
          <w:sz w:val="20"/>
          <w:szCs w:val="20"/>
        </w:rPr>
      </w:pPr>
      <w:r w:rsidRPr="00540DB5">
        <w:rPr>
          <w:rFonts w:ascii="Arial" w:eastAsia="Arial" w:hAnsi="Arial" w:cs="Arial"/>
          <w:sz w:val="20"/>
          <w:szCs w:val="20"/>
        </w:rPr>
        <w:t xml:space="preserve">Posiedzenia MEPC, PPR i ISWG-GHG były ważnym elementem </w:t>
      </w:r>
      <w:r w:rsidRPr="00540DB5">
        <w:rPr>
          <w:rFonts w:ascii="Arial" w:eastAsia="Arial" w:hAnsi="Arial" w:cs="Arial"/>
          <w:color w:val="000000"/>
          <w:sz w:val="20"/>
          <w:szCs w:val="20"/>
        </w:rPr>
        <w:t>procesu tworzenia przez Międzynarodową Organizację Morską globalnych regulacji dla żeglugi.</w:t>
      </w:r>
    </w:p>
    <w:p w14:paraId="5F0F6B97" w14:textId="5D61C2A4" w:rsidR="00E142DA" w:rsidRPr="00AD5EE3" w:rsidRDefault="00E142DA" w:rsidP="00AD5EE3">
      <w:pPr>
        <w:pStyle w:val="Nagwek1"/>
        <w:spacing w:before="120" w:after="120"/>
        <w:rPr>
          <w:rFonts w:ascii="Arial" w:hAnsi="Arial" w:cs="Arial"/>
          <w:b/>
          <w:sz w:val="20"/>
          <w:szCs w:val="20"/>
        </w:rPr>
      </w:pPr>
      <w:bookmarkStart w:id="45" w:name="_Toc72745057"/>
      <w:r w:rsidRPr="00AD5EE3">
        <w:rPr>
          <w:rFonts w:ascii="Arial" w:hAnsi="Arial" w:cs="Arial"/>
          <w:b/>
          <w:color w:val="auto"/>
          <w:sz w:val="20"/>
          <w:szCs w:val="20"/>
        </w:rPr>
        <w:t>BEZPIECZEŃSTWO ŻEGLUGI</w:t>
      </w:r>
      <w:r w:rsidR="00C36D4C">
        <w:rPr>
          <w:rFonts w:ascii="Arial" w:hAnsi="Arial" w:cs="Arial"/>
          <w:b/>
          <w:color w:val="auto"/>
          <w:sz w:val="20"/>
          <w:szCs w:val="20"/>
        </w:rPr>
        <w:t>.</w:t>
      </w:r>
      <w:bookmarkEnd w:id="45"/>
    </w:p>
    <w:p w14:paraId="098DAEA8" w14:textId="67975D6C" w:rsidR="00815829" w:rsidRDefault="00184021" w:rsidP="00A82D01">
      <w:pPr>
        <w:spacing w:before="120" w:after="120" w:line="276" w:lineRule="auto"/>
        <w:jc w:val="both"/>
        <w:rPr>
          <w:rFonts w:ascii="Arial" w:hAnsi="Arial" w:cs="Arial"/>
          <w:sz w:val="20"/>
          <w:szCs w:val="20"/>
        </w:rPr>
      </w:pPr>
      <w:r w:rsidRPr="0024327C">
        <w:rPr>
          <w:rFonts w:ascii="Arial" w:hAnsi="Arial" w:cs="Arial"/>
          <w:sz w:val="20"/>
          <w:szCs w:val="20"/>
        </w:rPr>
        <w:t>W 2019 r. Ministerstwo Spraw Wewnętrznych i Administracji w ramach Międzyresortowego Zespołu do Spraw Zagrożeń Terrorystycznych, działającego na podstawie zarządzenia nr 162 Prezesa Rady Ministrów z dnia 25 października 2006 r. w sprawie utworzenia Międzyresortowego Zespołu do Spraw Zagrożeń Terrorystycznych, prowadziło prace mające na celu dokonanie analizy obowiązujących przepisów i procedur w kontekście realizacji działań</w:t>
      </w:r>
      <w:r w:rsidR="002A1C9B">
        <w:rPr>
          <w:rFonts w:ascii="Arial" w:hAnsi="Arial" w:cs="Arial"/>
          <w:sz w:val="20"/>
          <w:szCs w:val="20"/>
        </w:rPr>
        <w:t xml:space="preserve"> antyterrorystycznych na morzu,</w:t>
      </w:r>
      <w:r w:rsidRPr="0024327C">
        <w:rPr>
          <w:rFonts w:ascii="Arial" w:hAnsi="Arial" w:cs="Arial"/>
          <w:sz w:val="20"/>
          <w:szCs w:val="20"/>
        </w:rPr>
        <w:t xml:space="preserve"> w </w:t>
      </w:r>
      <w:r w:rsidR="002A1C9B">
        <w:rPr>
          <w:rFonts w:ascii="Arial" w:hAnsi="Arial" w:cs="Arial"/>
          <w:sz w:val="20"/>
          <w:szCs w:val="20"/>
        </w:rPr>
        <w:t>tym na wodach międzynarodowych,</w:t>
      </w:r>
      <w:r w:rsidRPr="0024327C">
        <w:rPr>
          <w:rFonts w:ascii="Arial" w:hAnsi="Arial" w:cs="Arial"/>
          <w:sz w:val="20"/>
          <w:szCs w:val="20"/>
        </w:rPr>
        <w:t xml:space="preserve"> przez właściwe służby i organy. Rezultatem prac było przyjęcie rekomendacji zawierających propozycje zmian legislacyjnych oraz organizacyjnych, które w ocenie członków Zespołu pozwolą na usprawnienie współdziałania poszczególnych służb i organów w tym zakresie. </w:t>
      </w:r>
    </w:p>
    <w:p w14:paraId="71001765" w14:textId="77777777" w:rsidR="00815829" w:rsidRPr="00815829" w:rsidRDefault="00815829" w:rsidP="00815829">
      <w:pPr>
        <w:spacing w:before="120" w:after="120" w:line="276" w:lineRule="auto"/>
        <w:jc w:val="both"/>
        <w:rPr>
          <w:rFonts w:ascii="Arial" w:hAnsi="Arial" w:cs="Arial"/>
          <w:sz w:val="20"/>
          <w:szCs w:val="20"/>
        </w:rPr>
      </w:pPr>
      <w:r w:rsidRPr="00815829">
        <w:rPr>
          <w:rFonts w:ascii="Arial" w:hAnsi="Arial" w:cs="Arial"/>
          <w:sz w:val="20"/>
          <w:szCs w:val="20"/>
        </w:rPr>
        <w:t>Ponadto w ramach Funduszu Bezpieczeństwa Wewnętrznego 2014 - 2020 MSWiA pełni funkcję Organu Odpowiedzialnego. Fundusz Bezpieczeństwa Wewnętrznego to mechanizm finansowy ustanowiony na lata 2014-2020. Fundusz funkcjonuje w ramach dwóch komponentów: Instrument na rzecz wsparcia finansowego w zakresie granic zewnętrznych i wiz (FBW-Granice i Wizy) oraz Instrument na rzecz wsparcia finansowego współpracy policyjnej, zapobiegania i zwalczania przestępczości oraz zarządzania kryzysowego (FBW-Policja). Każdy z Instrumentów ma określone cele szczegółowe oraz cele krajowe. Celem ogólnym Instrumentu FBW-Granice i Wizy jest przyczynianie się do zapewnienia wysokiego poziomu bezpieczeństwa w UE przy jednoczesnym ułatwieniu legalnego podróżowania dzięki jednolitej i na wysokim poziomie kontroli granic zewnętrznych oraz dzięki skutecznemu rozpatrywaniu wniosków wizowych Schengen, zgodnie ze zobowiązaniem UE do poszanowania podstawowych wolności i praw człowieka. Z kolei celem ogólnym Instrumentu FBW-Policja jest przyczynianie się do zapewnienia wysokiego poziomu bezpieczeństwa w UE. Obecnie dwa projekty mogą wpisywać się w obszar polityki morskiej RP:</w:t>
      </w:r>
    </w:p>
    <w:p w14:paraId="2B8E6D56" w14:textId="6637D758" w:rsidR="00815829" w:rsidRPr="00AA4FBD" w:rsidRDefault="00815829" w:rsidP="00822EF2">
      <w:pPr>
        <w:jc w:val="both"/>
        <w:rPr>
          <w:rFonts w:ascii="Arial" w:hAnsi="Arial" w:cs="Arial"/>
          <w:sz w:val="20"/>
          <w:szCs w:val="20"/>
        </w:rPr>
      </w:pPr>
      <w:r w:rsidRPr="00AA4FBD">
        <w:rPr>
          <w:rFonts w:ascii="Arial" w:hAnsi="Arial" w:cs="Arial"/>
          <w:sz w:val="20"/>
          <w:szCs w:val="20"/>
        </w:rPr>
        <w:t>- Projekt pn. „Pełnomorska jednostka patrolowa OPV”, realizow</w:t>
      </w:r>
      <w:r w:rsidR="00010AE9" w:rsidRPr="00AA4FBD">
        <w:rPr>
          <w:rFonts w:ascii="Arial" w:hAnsi="Arial" w:cs="Arial"/>
          <w:sz w:val="20"/>
          <w:szCs w:val="20"/>
        </w:rPr>
        <w:t xml:space="preserve">any przez Morski Oddział Straży </w:t>
      </w:r>
      <w:r w:rsidRPr="00AA4FBD">
        <w:rPr>
          <w:rFonts w:ascii="Arial" w:hAnsi="Arial" w:cs="Arial"/>
          <w:sz w:val="20"/>
          <w:szCs w:val="20"/>
        </w:rPr>
        <w:t>Granicznej w ramach instrumentu FBW-Granice i Wizy,</w:t>
      </w:r>
    </w:p>
    <w:p w14:paraId="1B721E14" w14:textId="4743BA25" w:rsidR="00815829" w:rsidRPr="00AA4FBD" w:rsidRDefault="00815829" w:rsidP="00822EF2">
      <w:pPr>
        <w:jc w:val="both"/>
        <w:rPr>
          <w:rFonts w:ascii="Arial" w:hAnsi="Arial" w:cs="Arial"/>
          <w:sz w:val="20"/>
          <w:szCs w:val="20"/>
        </w:rPr>
      </w:pPr>
      <w:r w:rsidRPr="00AA4FBD">
        <w:rPr>
          <w:rFonts w:ascii="Arial" w:hAnsi="Arial" w:cs="Arial"/>
          <w:sz w:val="20"/>
          <w:szCs w:val="20"/>
        </w:rPr>
        <w:t>- Projekt pn. „Doposażenie Izby Administracji Skarbowej w Gdańsku w łodzie patrolowe”, realizowany przez Krajową Administrację Skarbową w ramach instrumentu FBW-Policja”.</w:t>
      </w:r>
    </w:p>
    <w:p w14:paraId="76FBA9E6" w14:textId="3D280314" w:rsidR="00AD5EE3" w:rsidRPr="00AD5EE3" w:rsidRDefault="00AD5EE3" w:rsidP="00AD5EE3">
      <w:pPr>
        <w:pStyle w:val="Nagwek2"/>
        <w:spacing w:before="120" w:after="120"/>
        <w:rPr>
          <w:rFonts w:ascii="Arial" w:hAnsi="Arial" w:cs="Arial"/>
          <w:b/>
          <w:color w:val="auto"/>
          <w:sz w:val="20"/>
          <w:szCs w:val="20"/>
        </w:rPr>
      </w:pPr>
      <w:bookmarkStart w:id="46" w:name="_Toc72745058"/>
      <w:r>
        <w:rPr>
          <w:rFonts w:ascii="Arial" w:hAnsi="Arial" w:cs="Arial"/>
          <w:b/>
          <w:color w:val="auto"/>
          <w:sz w:val="20"/>
          <w:szCs w:val="20"/>
        </w:rPr>
        <w:lastRenderedPageBreak/>
        <w:t>Działania Morskiej Służby</w:t>
      </w:r>
      <w:r w:rsidR="00E142DA" w:rsidRPr="00AD5EE3">
        <w:rPr>
          <w:rFonts w:ascii="Arial" w:hAnsi="Arial" w:cs="Arial"/>
          <w:b/>
          <w:color w:val="auto"/>
          <w:sz w:val="20"/>
          <w:szCs w:val="20"/>
        </w:rPr>
        <w:t xml:space="preserve"> Poszukiwania</w:t>
      </w:r>
      <w:r w:rsidR="004C6CC5" w:rsidRPr="00AD5EE3">
        <w:rPr>
          <w:rFonts w:ascii="Arial" w:hAnsi="Arial" w:cs="Arial"/>
          <w:b/>
          <w:color w:val="auto"/>
          <w:sz w:val="20"/>
          <w:szCs w:val="20"/>
        </w:rPr>
        <w:t xml:space="preserve"> i </w:t>
      </w:r>
      <w:r w:rsidR="00E142DA" w:rsidRPr="00AD5EE3">
        <w:rPr>
          <w:rFonts w:ascii="Arial" w:hAnsi="Arial" w:cs="Arial"/>
          <w:b/>
          <w:color w:val="auto"/>
          <w:sz w:val="20"/>
          <w:szCs w:val="20"/>
        </w:rPr>
        <w:t>Ratownictwa (SAR)</w:t>
      </w:r>
      <w:r>
        <w:rPr>
          <w:rFonts w:ascii="Arial" w:hAnsi="Arial" w:cs="Arial"/>
          <w:b/>
          <w:color w:val="auto"/>
          <w:sz w:val="20"/>
          <w:szCs w:val="20"/>
        </w:rPr>
        <w:t>.</w:t>
      </w:r>
      <w:bookmarkEnd w:id="46"/>
    </w:p>
    <w:p w14:paraId="1A5CB87F" w14:textId="0CC44D27" w:rsidR="009F4B05" w:rsidRPr="004C6CC5" w:rsidRDefault="009F4B05" w:rsidP="00AD5EE3">
      <w:pPr>
        <w:spacing w:before="120" w:after="120" w:line="276" w:lineRule="auto"/>
        <w:jc w:val="both"/>
        <w:rPr>
          <w:rFonts w:ascii="Arial" w:hAnsi="Arial" w:cs="Arial"/>
          <w:sz w:val="20"/>
          <w:szCs w:val="20"/>
        </w:rPr>
      </w:pPr>
      <w:r w:rsidRPr="004C6CC5">
        <w:rPr>
          <w:rFonts w:ascii="Arial" w:hAnsi="Arial" w:cs="Arial"/>
          <w:sz w:val="20"/>
          <w:szCs w:val="20"/>
        </w:rPr>
        <w:t>Morska Służba Poszukiwania</w:t>
      </w:r>
      <w:r w:rsidR="004C6CC5">
        <w:rPr>
          <w:rFonts w:ascii="Arial" w:hAnsi="Arial" w:cs="Arial"/>
          <w:sz w:val="20"/>
          <w:szCs w:val="20"/>
        </w:rPr>
        <w:t xml:space="preserve"> i </w:t>
      </w:r>
      <w:r w:rsidRPr="004C6CC5">
        <w:rPr>
          <w:rFonts w:ascii="Arial" w:hAnsi="Arial" w:cs="Arial"/>
          <w:sz w:val="20"/>
          <w:szCs w:val="20"/>
        </w:rPr>
        <w:t xml:space="preserve">Ratownictwa (MSPiR - Służba SAR) realizuje zadania poszukiwania </w:t>
      </w:r>
      <w:r w:rsidRPr="004C6CC5">
        <w:rPr>
          <w:rFonts w:ascii="Arial" w:hAnsi="Arial" w:cs="Arial"/>
          <w:sz w:val="20"/>
          <w:szCs w:val="20"/>
        </w:rPr>
        <w:br/>
        <w:t>i ratowania życia na morzu oraz zwalczania zagrożeń</w:t>
      </w:r>
      <w:r w:rsidR="004C6CC5">
        <w:rPr>
          <w:rFonts w:ascii="Arial" w:hAnsi="Arial" w:cs="Arial"/>
          <w:sz w:val="20"/>
          <w:szCs w:val="20"/>
        </w:rPr>
        <w:t xml:space="preserve"> i </w:t>
      </w:r>
      <w:r w:rsidRPr="004C6CC5">
        <w:rPr>
          <w:rFonts w:ascii="Arial" w:hAnsi="Arial" w:cs="Arial"/>
          <w:sz w:val="20"/>
          <w:szCs w:val="20"/>
        </w:rPr>
        <w:t>zanieczyszczeń środowiska morskiego. Wymienione powyżej zadania Służba SAR realizuje</w:t>
      </w:r>
      <w:r w:rsidR="004C6CC5">
        <w:rPr>
          <w:rFonts w:ascii="Arial" w:hAnsi="Arial" w:cs="Arial"/>
          <w:sz w:val="20"/>
          <w:szCs w:val="20"/>
        </w:rPr>
        <w:t xml:space="preserve"> w </w:t>
      </w:r>
      <w:r w:rsidRPr="004C6CC5">
        <w:rPr>
          <w:rFonts w:ascii="Arial" w:hAnsi="Arial" w:cs="Arial"/>
          <w:sz w:val="20"/>
          <w:szCs w:val="20"/>
        </w:rPr>
        <w:t>obrębie polskich obszarów morskich, określonych</w:t>
      </w:r>
      <w:r w:rsidR="004C6CC5">
        <w:rPr>
          <w:rFonts w:ascii="Arial" w:hAnsi="Arial" w:cs="Arial"/>
          <w:sz w:val="20"/>
          <w:szCs w:val="20"/>
        </w:rPr>
        <w:t xml:space="preserve"> w </w:t>
      </w:r>
      <w:r w:rsidRPr="004C6CC5">
        <w:rPr>
          <w:rFonts w:ascii="Arial" w:hAnsi="Arial" w:cs="Arial"/>
          <w:sz w:val="20"/>
          <w:szCs w:val="20"/>
        </w:rPr>
        <w:t>art. 2 ustawy</w:t>
      </w:r>
      <w:r w:rsidR="004C6CC5">
        <w:rPr>
          <w:rFonts w:ascii="Arial" w:hAnsi="Arial" w:cs="Arial"/>
          <w:sz w:val="20"/>
          <w:szCs w:val="20"/>
        </w:rPr>
        <w:t xml:space="preserve"> z </w:t>
      </w:r>
      <w:r w:rsidRPr="004C6CC5">
        <w:rPr>
          <w:rFonts w:ascii="Arial" w:hAnsi="Arial" w:cs="Arial"/>
          <w:sz w:val="20"/>
          <w:szCs w:val="20"/>
        </w:rPr>
        <w:t>dnia 21 marca 1991</w:t>
      </w:r>
      <w:r w:rsidR="009D01B9" w:rsidRPr="004C6CC5">
        <w:rPr>
          <w:rFonts w:ascii="Arial" w:hAnsi="Arial" w:cs="Arial"/>
          <w:sz w:val="20"/>
          <w:szCs w:val="20"/>
        </w:rPr>
        <w:t xml:space="preserve"> r. </w:t>
      </w:r>
      <w:r w:rsidRPr="004C6CC5">
        <w:rPr>
          <w:rFonts w:ascii="Arial" w:hAnsi="Arial" w:cs="Arial"/>
          <w:sz w:val="20"/>
          <w:szCs w:val="20"/>
        </w:rPr>
        <w:t>o obszarach morskich Rzeczypospolitej Polskiej</w:t>
      </w:r>
      <w:r w:rsidR="004C6CC5">
        <w:rPr>
          <w:rFonts w:ascii="Arial" w:hAnsi="Arial" w:cs="Arial"/>
          <w:sz w:val="20"/>
          <w:szCs w:val="20"/>
        </w:rPr>
        <w:t xml:space="preserve"> i </w:t>
      </w:r>
      <w:r w:rsidRPr="004C6CC5">
        <w:rPr>
          <w:rFonts w:ascii="Arial" w:hAnsi="Arial" w:cs="Arial"/>
          <w:sz w:val="20"/>
          <w:szCs w:val="20"/>
        </w:rPr>
        <w:t>administracji morskiej, oraz</w:t>
      </w:r>
      <w:r w:rsidR="004C6CC5">
        <w:rPr>
          <w:rFonts w:ascii="Arial" w:hAnsi="Arial" w:cs="Arial"/>
          <w:sz w:val="20"/>
          <w:szCs w:val="20"/>
        </w:rPr>
        <w:t xml:space="preserve"> w </w:t>
      </w:r>
      <w:r w:rsidRPr="004C6CC5">
        <w:rPr>
          <w:rFonts w:ascii="Arial" w:hAnsi="Arial" w:cs="Arial"/>
          <w:sz w:val="20"/>
          <w:szCs w:val="20"/>
        </w:rPr>
        <w:t>polskiej strefie odpowiedzialności za poszukiwanie</w:t>
      </w:r>
      <w:r w:rsidR="004C6CC5">
        <w:rPr>
          <w:rFonts w:ascii="Arial" w:hAnsi="Arial" w:cs="Arial"/>
          <w:sz w:val="20"/>
          <w:szCs w:val="20"/>
        </w:rPr>
        <w:t xml:space="preserve"> i </w:t>
      </w:r>
      <w:r w:rsidRPr="004C6CC5">
        <w:rPr>
          <w:rFonts w:ascii="Arial" w:hAnsi="Arial" w:cs="Arial"/>
          <w:sz w:val="20"/>
          <w:szCs w:val="20"/>
        </w:rPr>
        <w:t>ratownictwo (polskiej strefie SAR), ustanowionej na podstawie Międzynarodowej Konwencji o poszukiwaniu</w:t>
      </w:r>
      <w:r w:rsidR="004C6CC5">
        <w:rPr>
          <w:rFonts w:ascii="Arial" w:hAnsi="Arial" w:cs="Arial"/>
          <w:sz w:val="20"/>
          <w:szCs w:val="20"/>
        </w:rPr>
        <w:t xml:space="preserve"> i </w:t>
      </w:r>
      <w:r w:rsidRPr="004C6CC5">
        <w:rPr>
          <w:rFonts w:ascii="Arial" w:hAnsi="Arial" w:cs="Arial"/>
          <w:sz w:val="20"/>
          <w:szCs w:val="20"/>
        </w:rPr>
        <w:t>ratownictwie morskim (Konwencji SAR)</w:t>
      </w:r>
      <w:r w:rsidR="004C6CC5">
        <w:rPr>
          <w:rFonts w:ascii="Arial" w:hAnsi="Arial" w:cs="Arial"/>
          <w:sz w:val="20"/>
          <w:szCs w:val="20"/>
        </w:rPr>
        <w:t xml:space="preserve"> w </w:t>
      </w:r>
      <w:r w:rsidRPr="004C6CC5">
        <w:rPr>
          <w:rFonts w:ascii="Arial" w:hAnsi="Arial" w:cs="Arial"/>
          <w:sz w:val="20"/>
          <w:szCs w:val="20"/>
        </w:rPr>
        <w:t>drodze bilateralnych umów międzynarodowych zawartych przez RP</w:t>
      </w:r>
      <w:r w:rsidR="004C6CC5">
        <w:rPr>
          <w:rFonts w:ascii="Arial" w:hAnsi="Arial" w:cs="Arial"/>
          <w:sz w:val="20"/>
          <w:szCs w:val="20"/>
        </w:rPr>
        <w:t xml:space="preserve"> z </w:t>
      </w:r>
      <w:r w:rsidRPr="004C6CC5">
        <w:rPr>
          <w:rFonts w:ascii="Arial" w:hAnsi="Arial" w:cs="Arial"/>
          <w:sz w:val="20"/>
          <w:szCs w:val="20"/>
        </w:rPr>
        <w:t>sąsiadującymi państwami basenu Morza Bałtyckiego (Niemcy, Dania, Szwecja, Litwa, Rosja). Polska Strefa SAR obejmuje powierzchnię ponad 30 tys. km2 wód morskich.</w:t>
      </w:r>
    </w:p>
    <w:p w14:paraId="721E97F5" w14:textId="770E7B49" w:rsidR="009F4B05" w:rsidRPr="004C6CC5" w:rsidRDefault="009F4B05" w:rsidP="008D2321">
      <w:pPr>
        <w:spacing w:before="120" w:after="120" w:line="276" w:lineRule="auto"/>
        <w:jc w:val="both"/>
        <w:rPr>
          <w:rFonts w:ascii="Arial" w:hAnsi="Arial" w:cs="Arial"/>
          <w:sz w:val="20"/>
          <w:szCs w:val="20"/>
        </w:rPr>
      </w:pPr>
      <w:r w:rsidRPr="004C6CC5">
        <w:rPr>
          <w:rFonts w:ascii="Arial" w:hAnsi="Arial" w:cs="Arial"/>
          <w:sz w:val="20"/>
          <w:szCs w:val="20"/>
        </w:rPr>
        <w:t>W ramach realizacji zadań określonych</w:t>
      </w:r>
      <w:r w:rsidR="004C6CC5">
        <w:rPr>
          <w:rFonts w:ascii="Arial" w:hAnsi="Arial" w:cs="Arial"/>
          <w:sz w:val="20"/>
          <w:szCs w:val="20"/>
        </w:rPr>
        <w:t xml:space="preserve"> w </w:t>
      </w:r>
      <w:r w:rsidRPr="004C6CC5">
        <w:rPr>
          <w:rFonts w:ascii="Arial" w:hAnsi="Arial" w:cs="Arial"/>
          <w:sz w:val="20"/>
          <w:szCs w:val="20"/>
        </w:rPr>
        <w:t>ustawie</w:t>
      </w:r>
      <w:r w:rsidR="004C6CC5">
        <w:rPr>
          <w:rFonts w:ascii="Arial" w:hAnsi="Arial" w:cs="Arial"/>
          <w:sz w:val="20"/>
          <w:szCs w:val="20"/>
        </w:rPr>
        <w:t xml:space="preserve"> z </w:t>
      </w:r>
      <w:r w:rsidRPr="004C6CC5">
        <w:rPr>
          <w:rFonts w:ascii="Arial" w:hAnsi="Arial" w:cs="Arial"/>
          <w:sz w:val="20"/>
          <w:szCs w:val="20"/>
        </w:rPr>
        <w:t>dnia</w:t>
      </w:r>
      <w:r w:rsidR="004C6CC5">
        <w:rPr>
          <w:rFonts w:ascii="Arial" w:hAnsi="Arial" w:cs="Arial"/>
          <w:sz w:val="20"/>
          <w:szCs w:val="20"/>
        </w:rPr>
        <w:t xml:space="preserve"> z </w:t>
      </w:r>
      <w:r w:rsidRPr="004C6CC5">
        <w:rPr>
          <w:rFonts w:ascii="Arial" w:hAnsi="Arial" w:cs="Arial"/>
          <w:sz w:val="20"/>
          <w:szCs w:val="20"/>
        </w:rPr>
        <w:t>dnia 18 sierpnia 2011</w:t>
      </w:r>
      <w:r w:rsidR="009D01B9" w:rsidRPr="004C6CC5">
        <w:rPr>
          <w:rFonts w:ascii="Arial" w:hAnsi="Arial" w:cs="Arial"/>
          <w:sz w:val="20"/>
          <w:szCs w:val="20"/>
        </w:rPr>
        <w:t xml:space="preserve"> r. </w:t>
      </w:r>
      <w:r w:rsidRPr="004C6CC5">
        <w:rPr>
          <w:rFonts w:ascii="Arial" w:hAnsi="Arial" w:cs="Arial"/>
          <w:sz w:val="20"/>
          <w:szCs w:val="20"/>
        </w:rPr>
        <w:t>o bezpieczeństwie morskim oraz ustawie</w:t>
      </w:r>
      <w:r w:rsidR="004C6CC5">
        <w:rPr>
          <w:rFonts w:ascii="Arial" w:hAnsi="Arial" w:cs="Arial"/>
          <w:sz w:val="20"/>
          <w:szCs w:val="20"/>
        </w:rPr>
        <w:t xml:space="preserve"> z </w:t>
      </w:r>
      <w:r w:rsidRPr="004C6CC5">
        <w:rPr>
          <w:rFonts w:ascii="Arial" w:hAnsi="Arial" w:cs="Arial"/>
          <w:sz w:val="20"/>
          <w:szCs w:val="20"/>
        </w:rPr>
        <w:t>dnia 16 marca 1995</w:t>
      </w:r>
      <w:r w:rsidR="009D01B9" w:rsidRPr="004C6CC5">
        <w:rPr>
          <w:rFonts w:ascii="Arial" w:hAnsi="Arial" w:cs="Arial"/>
          <w:sz w:val="20"/>
          <w:szCs w:val="20"/>
        </w:rPr>
        <w:t xml:space="preserve"> r. </w:t>
      </w:r>
      <w:r w:rsidRPr="004C6CC5">
        <w:rPr>
          <w:rFonts w:ascii="Arial" w:hAnsi="Arial" w:cs="Arial"/>
          <w:sz w:val="20"/>
          <w:szCs w:val="20"/>
        </w:rPr>
        <w:t>o zapobieganiu zanieczyszczaniu morza przez statki, Morska Służba Poszukiwania</w:t>
      </w:r>
      <w:r w:rsidR="004C6CC5">
        <w:rPr>
          <w:rFonts w:ascii="Arial" w:hAnsi="Arial" w:cs="Arial"/>
          <w:sz w:val="20"/>
          <w:szCs w:val="20"/>
        </w:rPr>
        <w:t xml:space="preserve"> i </w:t>
      </w:r>
      <w:r w:rsidRPr="004C6CC5">
        <w:rPr>
          <w:rFonts w:ascii="Arial" w:hAnsi="Arial" w:cs="Arial"/>
          <w:sz w:val="20"/>
          <w:szCs w:val="20"/>
        </w:rPr>
        <w:t>Ratownictwa przeprowadziła</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327 akcji ratowniczych,</w:t>
      </w:r>
      <w:r w:rsidR="004C6CC5">
        <w:rPr>
          <w:rFonts w:ascii="Arial" w:hAnsi="Arial" w:cs="Arial"/>
          <w:sz w:val="20"/>
          <w:szCs w:val="20"/>
        </w:rPr>
        <w:t xml:space="preserve"> w </w:t>
      </w:r>
      <w:r w:rsidRPr="004C6CC5">
        <w:rPr>
          <w:rFonts w:ascii="Arial" w:hAnsi="Arial" w:cs="Arial"/>
          <w:sz w:val="20"/>
          <w:szCs w:val="20"/>
        </w:rPr>
        <w:t xml:space="preserve">tym: 134 akcje ratowania życia na morzu, 29 ewakuacji medycznych, 56 asyst ratowniczych, 3 akcje zwalczania rozlewów olejowych oraz 105 akcji wyjaśniających. </w:t>
      </w:r>
    </w:p>
    <w:p w14:paraId="1AB87835" w14:textId="58F2E7BD" w:rsidR="009F4B05" w:rsidRPr="004C6CC5" w:rsidRDefault="009F4B05" w:rsidP="008D2321">
      <w:pPr>
        <w:spacing w:before="120" w:after="120" w:line="276" w:lineRule="auto"/>
        <w:jc w:val="both"/>
        <w:rPr>
          <w:rFonts w:ascii="Arial" w:hAnsi="Arial" w:cs="Arial"/>
          <w:sz w:val="20"/>
          <w:szCs w:val="20"/>
        </w:rPr>
      </w:pPr>
      <w:r w:rsidRPr="004C6CC5">
        <w:rPr>
          <w:rFonts w:ascii="Arial" w:hAnsi="Arial" w:cs="Arial"/>
          <w:sz w:val="20"/>
          <w:szCs w:val="20"/>
        </w:rPr>
        <w:t>W wyniku podjętych</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działań poszukiwawczych</w:t>
      </w:r>
      <w:r w:rsidR="004C6CC5">
        <w:rPr>
          <w:rFonts w:ascii="Arial" w:hAnsi="Arial" w:cs="Arial"/>
          <w:sz w:val="20"/>
          <w:szCs w:val="20"/>
        </w:rPr>
        <w:t xml:space="preserve"> i </w:t>
      </w:r>
      <w:r w:rsidRPr="004C6CC5">
        <w:rPr>
          <w:rFonts w:ascii="Arial" w:hAnsi="Arial" w:cs="Arial"/>
          <w:sz w:val="20"/>
          <w:szCs w:val="20"/>
        </w:rPr>
        <w:t xml:space="preserve">ratowniczych uratowano 55 osób. </w:t>
      </w:r>
    </w:p>
    <w:p w14:paraId="31E859CE" w14:textId="59BB2367" w:rsidR="009F4B05" w:rsidRPr="004C6CC5" w:rsidRDefault="009F4B05" w:rsidP="008D2321">
      <w:pPr>
        <w:spacing w:before="120" w:after="120" w:line="276" w:lineRule="auto"/>
        <w:jc w:val="both"/>
        <w:rPr>
          <w:rFonts w:ascii="Arial" w:hAnsi="Arial" w:cs="Arial"/>
          <w:sz w:val="20"/>
          <w:szCs w:val="20"/>
        </w:rPr>
      </w:pPr>
      <w:r w:rsidRPr="004C6CC5">
        <w:rPr>
          <w:rFonts w:ascii="Arial" w:hAnsi="Arial" w:cs="Arial"/>
          <w:sz w:val="20"/>
          <w:szCs w:val="20"/>
        </w:rPr>
        <w:t>Jednostki organizacyjne Służby SAR, tj.: morskie statki ratownicze, specjalistyczne statki do zwalczania zagrożeń</w:t>
      </w:r>
      <w:r w:rsidR="004C6CC5">
        <w:rPr>
          <w:rFonts w:ascii="Arial" w:hAnsi="Arial" w:cs="Arial"/>
          <w:sz w:val="20"/>
          <w:szCs w:val="20"/>
        </w:rPr>
        <w:t xml:space="preserve"> i </w:t>
      </w:r>
      <w:r w:rsidRPr="004C6CC5">
        <w:rPr>
          <w:rFonts w:ascii="Arial" w:hAnsi="Arial" w:cs="Arial"/>
          <w:sz w:val="20"/>
          <w:szCs w:val="20"/>
        </w:rPr>
        <w:t>zanieczyszczeń, brzegowe stacje ratownicze oraz ochotnicze drużyny ratownicze, pozostają</w:t>
      </w:r>
      <w:r w:rsidR="004C6CC5">
        <w:rPr>
          <w:rFonts w:ascii="Arial" w:hAnsi="Arial" w:cs="Arial"/>
          <w:sz w:val="20"/>
          <w:szCs w:val="20"/>
        </w:rPr>
        <w:t xml:space="preserve"> w </w:t>
      </w:r>
      <w:r w:rsidRPr="004C6CC5">
        <w:rPr>
          <w:rFonts w:ascii="Arial" w:hAnsi="Arial" w:cs="Arial"/>
          <w:sz w:val="20"/>
          <w:szCs w:val="20"/>
        </w:rPr>
        <w:t>ciągłej gotowości do prowadzenia działań ratowniczych przez 24 godziny na dobę, 365 dni</w:t>
      </w:r>
      <w:r w:rsidR="004C6CC5">
        <w:rPr>
          <w:rFonts w:ascii="Arial" w:hAnsi="Arial" w:cs="Arial"/>
          <w:sz w:val="20"/>
          <w:szCs w:val="20"/>
        </w:rPr>
        <w:t xml:space="preserve"> w </w:t>
      </w:r>
      <w:r w:rsidRPr="004C6CC5">
        <w:rPr>
          <w:rFonts w:ascii="Arial" w:hAnsi="Arial" w:cs="Arial"/>
          <w:sz w:val="20"/>
          <w:szCs w:val="20"/>
        </w:rPr>
        <w:t>roku.</w:t>
      </w:r>
    </w:p>
    <w:p w14:paraId="39C9F16D" w14:textId="65B4F4E3" w:rsidR="009F4B05" w:rsidRPr="004C6CC5" w:rsidRDefault="009F4B05" w:rsidP="008D2321">
      <w:pPr>
        <w:spacing w:before="120" w:after="120" w:line="276" w:lineRule="auto"/>
        <w:jc w:val="both"/>
        <w:rPr>
          <w:rFonts w:ascii="Arial" w:hAnsi="Arial" w:cs="Arial"/>
          <w:sz w:val="20"/>
          <w:szCs w:val="20"/>
        </w:rPr>
      </w:pPr>
      <w:r w:rsidRPr="004C6CC5">
        <w:rPr>
          <w:rFonts w:ascii="Arial" w:hAnsi="Arial" w:cs="Arial"/>
          <w:sz w:val="20"/>
          <w:szCs w:val="20"/>
        </w:rPr>
        <w:t>W celu nabycia</w:t>
      </w:r>
      <w:r w:rsidR="004C6CC5">
        <w:rPr>
          <w:rFonts w:ascii="Arial" w:hAnsi="Arial" w:cs="Arial"/>
          <w:sz w:val="20"/>
          <w:szCs w:val="20"/>
        </w:rPr>
        <w:t xml:space="preserve"> i </w:t>
      </w:r>
      <w:r w:rsidRPr="004C6CC5">
        <w:rPr>
          <w:rFonts w:ascii="Arial" w:hAnsi="Arial" w:cs="Arial"/>
          <w:sz w:val="20"/>
          <w:szCs w:val="20"/>
        </w:rPr>
        <w:t>utrzymania najwyższych umiejętności</w:t>
      </w:r>
      <w:r w:rsidR="004C6CC5">
        <w:rPr>
          <w:rFonts w:ascii="Arial" w:hAnsi="Arial" w:cs="Arial"/>
          <w:sz w:val="20"/>
          <w:szCs w:val="20"/>
        </w:rPr>
        <w:t xml:space="preserve"> i </w:t>
      </w:r>
      <w:r w:rsidRPr="004C6CC5">
        <w:rPr>
          <w:rFonts w:ascii="Arial" w:hAnsi="Arial" w:cs="Arial"/>
          <w:sz w:val="20"/>
          <w:szCs w:val="20"/>
        </w:rPr>
        <w:t>sprawności niezbędnych do prowadzenia działań ratowniczych</w:t>
      </w:r>
      <w:r w:rsidR="004C6CC5">
        <w:rPr>
          <w:rFonts w:ascii="Arial" w:hAnsi="Arial" w:cs="Arial"/>
          <w:sz w:val="20"/>
          <w:szCs w:val="20"/>
        </w:rPr>
        <w:t xml:space="preserve"> w </w:t>
      </w:r>
      <w:r w:rsidRPr="004C6CC5">
        <w:rPr>
          <w:rFonts w:ascii="Arial" w:hAnsi="Arial" w:cs="Arial"/>
          <w:sz w:val="20"/>
          <w:szCs w:val="20"/>
        </w:rPr>
        <w:t>ekstremalnych warunkach pogodowych ratownicy Służby SAR realizują regularnie szkolenia, ćwiczenia</w:t>
      </w:r>
      <w:r w:rsidR="004C6CC5">
        <w:rPr>
          <w:rFonts w:ascii="Arial" w:hAnsi="Arial" w:cs="Arial"/>
          <w:sz w:val="20"/>
          <w:szCs w:val="20"/>
        </w:rPr>
        <w:t xml:space="preserve"> i </w:t>
      </w:r>
      <w:r w:rsidRPr="004C6CC5">
        <w:rPr>
          <w:rFonts w:ascii="Arial" w:hAnsi="Arial" w:cs="Arial"/>
          <w:sz w:val="20"/>
          <w:szCs w:val="20"/>
        </w:rPr>
        <w:t>treningi.</w:t>
      </w:r>
    </w:p>
    <w:p w14:paraId="133FC847" w14:textId="514550BD" w:rsidR="009F4B05" w:rsidRPr="004C6CC5" w:rsidRDefault="009F4B05" w:rsidP="008D2321">
      <w:pPr>
        <w:spacing w:before="120"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W 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jednostki organizacyjne Służby SAR przeprowadziły 321 ćwiczeń poszukiwawczo-ratowniczych,</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tym 77 ćwiczeń współdziałania ze śmigłowcami ratowniczymi Marynarki Wojennej RP, 22  ćwiczenia we współdziałaniu</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 xml:space="preserve">jednostkami organizacyjnymi Morskiego Oddziału Straży Granicznej, Marynarki Wojennej RP, Lotos Petrobaltic, Państwowej Straży Pożarnej, Ochotniczej Straży Pożarnej, Sił Specjalnych, urzędów morskich, Policji, uczelni morskich oraz Wodnego Ochotniczego Pogotowia Ratunkowego. </w:t>
      </w:r>
    </w:p>
    <w:p w14:paraId="10F311EE" w14:textId="31C889DC" w:rsidR="009F4B05" w:rsidRPr="004C6CC5" w:rsidRDefault="009F4B05" w:rsidP="008D2321">
      <w:pPr>
        <w:spacing w:before="120"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Doskonaleniu współdziałania międzynarodowego</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dziedzinie poszukiwania</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ratowania życia na morzu poświęcone było organizowane corocznie ćwiczenie ratownicze „ZATOKA 2019”</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udziałem morskich służb ratowniczych Polski, Rosji</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Litwy. Przedstawiciele administracji morskiej</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Służby SAR uczestniczyli również</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pracach instytucji międzynarodowych,</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 xml:space="preserve">tym Międzynarodowej Organizacji Morskiej (IMO), Komisji Helsińskiej (HELCOM), Europejskiej Agencji Bezpieczeństwa Morskiego (EMSA), Międzynarodowej Federacji Ratownictwa Morskiego (IMRF). </w:t>
      </w:r>
    </w:p>
    <w:p w14:paraId="58038B89" w14:textId="547BB783" w:rsidR="009F4B05" w:rsidRPr="004C6CC5" w:rsidRDefault="009F4B05" w:rsidP="008D2321">
      <w:pPr>
        <w:spacing w:before="120"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W sierpniu 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największy statek ratowniczy MSPiR „M/S Kapitan Poinc” brał aktywny udział</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międzynarodowych ćwiczeniach BALEX DELTA 2019, dotyczących zwalczania zanieczyszczeń na akwenie morza Bałtyckiego. Ćwiczenia te zorganizowano</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Danii na wyspie Bornholm, a uczestniczyło</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nich łącznie 18 statków specjalistycznych</w:t>
      </w:r>
      <w:r w:rsidR="004C6CC5">
        <w:rPr>
          <w:rFonts w:ascii="Arial" w:hAnsi="Arial" w:cs="Arial"/>
          <w:color w:val="000000" w:themeColor="text1"/>
          <w:sz w:val="20"/>
          <w:szCs w:val="20"/>
        </w:rPr>
        <w:t xml:space="preserve"> z </w:t>
      </w:r>
      <w:r w:rsidR="00E834FA">
        <w:rPr>
          <w:rFonts w:ascii="Arial" w:hAnsi="Arial" w:cs="Arial"/>
          <w:color w:val="000000" w:themeColor="text1"/>
          <w:sz w:val="20"/>
          <w:szCs w:val="20"/>
        </w:rPr>
        <w:t>8 państw leżących nad Bałtykiem</w:t>
      </w:r>
      <w:r w:rsidRPr="004C6CC5">
        <w:rPr>
          <w:rFonts w:ascii="Arial" w:hAnsi="Arial" w:cs="Arial"/>
          <w:color w:val="000000" w:themeColor="text1"/>
          <w:sz w:val="20"/>
          <w:szCs w:val="20"/>
        </w:rPr>
        <w:t xml:space="preserve"> oraz jedna jednostka czarterowana przez Europejską Agencję Bezpieczeństwa Morskiego (EMSA). Oprócz aktywnego uczestnictwa</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operacyjnej części tych ćwiczeń, Służba SAR brała również udział</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aplikacyjnej części tych ćwiczeń (Balex Bravo), które poświęcone zostały sprawdzeniu procedur alarmowania oraz oferowania pomocy transgranicznej.</w:t>
      </w:r>
    </w:p>
    <w:p w14:paraId="1B0CE9D4" w14:textId="7CC73B8D" w:rsidR="009F4B05" w:rsidRPr="004C6CC5" w:rsidRDefault="009F4B05" w:rsidP="008D2321">
      <w:pPr>
        <w:spacing w:before="120"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Służba SAR zorganizowała oraz przeprowadziła</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październiku 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dwustronne polsko-niemieckie ćwiczenia ratownicze POLGER 2019, które odbyły się</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okolicach portu</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Świnoujściu.</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 xml:space="preserve">ćwiczeniach tych oprócz strony polskiej udział wzięły również dwie specjalistyczne jednostki niemieckie.   </w:t>
      </w:r>
    </w:p>
    <w:p w14:paraId="5973226F" w14:textId="7B61A234" w:rsidR="009F4B05" w:rsidRPr="004C6CC5" w:rsidRDefault="009F4B05" w:rsidP="008D2321">
      <w:pPr>
        <w:spacing w:before="120"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Siły</w:t>
      </w:r>
      <w:r w:rsidR="00C526B3">
        <w:rPr>
          <w:rFonts w:ascii="Arial" w:hAnsi="Arial" w:cs="Arial"/>
          <w:color w:val="000000" w:themeColor="text1"/>
          <w:sz w:val="20"/>
          <w:szCs w:val="20"/>
        </w:rPr>
        <w:t xml:space="preserve"> i </w:t>
      </w:r>
      <w:r w:rsidRPr="004C6CC5">
        <w:rPr>
          <w:rFonts w:ascii="Arial" w:hAnsi="Arial" w:cs="Arial"/>
          <w:color w:val="000000" w:themeColor="text1"/>
          <w:sz w:val="20"/>
          <w:szCs w:val="20"/>
        </w:rPr>
        <w:t>środki Służby SAR uczestniczyły również</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jednym</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epizodów ćwiczeń antykryzysowych „Gniazdo 19” zorganizowanych przez Wydział Zarządzania Kryzysowego Zachodniopom</w:t>
      </w:r>
      <w:r w:rsidR="0002040D">
        <w:rPr>
          <w:rFonts w:ascii="Arial" w:hAnsi="Arial" w:cs="Arial"/>
          <w:color w:val="000000" w:themeColor="text1"/>
          <w:sz w:val="20"/>
          <w:szCs w:val="20"/>
        </w:rPr>
        <w:t xml:space="preserve">orskiego Urzędu Wojewódzkiego. </w:t>
      </w:r>
      <w:r w:rsidRPr="004C6CC5">
        <w:rPr>
          <w:rFonts w:ascii="Arial" w:hAnsi="Arial" w:cs="Arial"/>
          <w:color w:val="000000" w:themeColor="text1"/>
          <w:sz w:val="20"/>
          <w:szCs w:val="20"/>
        </w:rPr>
        <w:t xml:space="preserve">Epizod ten poświęcony był reagowaniu na zanieczyszczenie plaży przez </w:t>
      </w:r>
      <w:r w:rsidRPr="004C6CC5">
        <w:rPr>
          <w:rFonts w:ascii="Arial" w:hAnsi="Arial" w:cs="Arial"/>
          <w:color w:val="000000" w:themeColor="text1"/>
          <w:sz w:val="20"/>
          <w:szCs w:val="20"/>
        </w:rPr>
        <w:lastRenderedPageBreak/>
        <w:t>substancje ropopochodne, a zaangażowani</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to przedsięwzięcie zostały załogi dwóch Brzegowych Stacji Ratowniczych (Dziwnów</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 xml:space="preserve">Kołobrzeg). Służba SAR brała również aktywny udział </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przygotowaniu</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przeprowadzeniu ćwiczeń zwalczania zanieczyszczeń</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 xml:space="preserve">porcie Gdynia „Port 2019” - organizatorem ćwiczeń był Zarząd Portu Gdynia. </w:t>
      </w:r>
    </w:p>
    <w:p w14:paraId="30FCF3E9" w14:textId="3A59F883" w:rsidR="009F4B05" w:rsidRPr="004C6CC5" w:rsidRDefault="009F4B05" w:rsidP="008D2321">
      <w:pPr>
        <w:spacing w:before="120"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Ogółem</w:t>
      </w:r>
      <w:r w:rsidR="004C6CC5">
        <w:rPr>
          <w:rFonts w:ascii="Arial" w:hAnsi="Arial" w:cs="Arial"/>
          <w:color w:val="000000" w:themeColor="text1"/>
          <w:sz w:val="20"/>
          <w:szCs w:val="20"/>
        </w:rPr>
        <w:t xml:space="preserve"> w </w:t>
      </w:r>
      <w:r w:rsidRPr="004C6CC5">
        <w:rPr>
          <w:rFonts w:ascii="Arial" w:hAnsi="Arial" w:cs="Arial"/>
          <w:color w:val="000000" w:themeColor="text1"/>
          <w:sz w:val="20"/>
          <w:szCs w:val="20"/>
        </w:rPr>
        <w:t>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przeprowadzono 43 ćwiczeń zwalczania zagrożeń</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zanieczyszczeń środowiska morskiego</w:t>
      </w:r>
      <w:r w:rsidR="004C6CC5">
        <w:rPr>
          <w:rFonts w:ascii="Arial" w:hAnsi="Arial" w:cs="Arial"/>
          <w:color w:val="000000" w:themeColor="text1"/>
          <w:sz w:val="20"/>
          <w:szCs w:val="20"/>
        </w:rPr>
        <w:t xml:space="preserve"> z </w:t>
      </w:r>
      <w:r w:rsidRPr="004C6CC5">
        <w:rPr>
          <w:rFonts w:ascii="Arial" w:hAnsi="Arial" w:cs="Arial"/>
          <w:color w:val="000000" w:themeColor="text1"/>
          <w:sz w:val="20"/>
          <w:szCs w:val="20"/>
        </w:rPr>
        <w:t>wykorzystaniem statków specjalistycznych „M/S Kapitan Poinc”</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 xml:space="preserve">„M/S Czesław II” oraz innych jednostek należących do MSPiR (w tym również BSR-ów). </w:t>
      </w:r>
    </w:p>
    <w:p w14:paraId="73260796" w14:textId="2DC548DC" w:rsidR="009F4B05" w:rsidRPr="004C6CC5" w:rsidRDefault="009F4B05" w:rsidP="008D2321">
      <w:pPr>
        <w:spacing w:before="120" w:after="120" w:line="276" w:lineRule="auto"/>
        <w:jc w:val="both"/>
        <w:rPr>
          <w:rFonts w:ascii="Arial" w:hAnsi="Arial" w:cs="Arial"/>
          <w:color w:val="000000" w:themeColor="text1"/>
          <w:sz w:val="20"/>
          <w:szCs w:val="20"/>
        </w:rPr>
      </w:pPr>
      <w:r w:rsidRPr="004C6CC5">
        <w:rPr>
          <w:rFonts w:ascii="Arial" w:hAnsi="Arial" w:cs="Arial"/>
          <w:color w:val="000000" w:themeColor="text1"/>
          <w:sz w:val="20"/>
          <w:szCs w:val="20"/>
        </w:rPr>
        <w:t>W 2019</w:t>
      </w:r>
      <w:r w:rsidR="009D01B9" w:rsidRPr="004C6CC5">
        <w:rPr>
          <w:rFonts w:ascii="Arial" w:hAnsi="Arial" w:cs="Arial"/>
          <w:color w:val="000000" w:themeColor="text1"/>
          <w:sz w:val="20"/>
          <w:szCs w:val="20"/>
        </w:rPr>
        <w:t xml:space="preserve"> r. </w:t>
      </w:r>
      <w:r w:rsidRPr="004C6CC5">
        <w:rPr>
          <w:rFonts w:ascii="Arial" w:hAnsi="Arial" w:cs="Arial"/>
          <w:color w:val="000000" w:themeColor="text1"/>
          <w:sz w:val="20"/>
          <w:szCs w:val="20"/>
        </w:rPr>
        <w:t>statki</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 xml:space="preserve">Brzegowe Stacje Ratownicze przeprowadziły łącznie 217 własnych ćwiczeń </w:t>
      </w:r>
      <w:r w:rsidRPr="004C6CC5">
        <w:rPr>
          <w:rFonts w:ascii="Arial" w:hAnsi="Arial" w:cs="Arial"/>
          <w:color w:val="000000" w:themeColor="text1"/>
          <w:sz w:val="20"/>
          <w:szCs w:val="20"/>
        </w:rPr>
        <w:br/>
        <w:t>i treningów. Obejmowały one działanie pojedynczych jednostek, jak</w:t>
      </w:r>
      <w:r w:rsidR="004C6CC5">
        <w:rPr>
          <w:rFonts w:ascii="Arial" w:hAnsi="Arial" w:cs="Arial"/>
          <w:color w:val="000000" w:themeColor="text1"/>
          <w:sz w:val="20"/>
          <w:szCs w:val="20"/>
        </w:rPr>
        <w:t xml:space="preserve"> i </w:t>
      </w:r>
      <w:r w:rsidRPr="004C6CC5">
        <w:rPr>
          <w:rFonts w:ascii="Arial" w:hAnsi="Arial" w:cs="Arial"/>
          <w:color w:val="000000" w:themeColor="text1"/>
          <w:sz w:val="20"/>
          <w:szCs w:val="20"/>
        </w:rPr>
        <w:t>współdziałanie 2-3 jednostek pływających oraz BSR.</w:t>
      </w:r>
    </w:p>
    <w:p w14:paraId="14FDEC72" w14:textId="6EDEED02" w:rsidR="009F4B05" w:rsidRPr="004C6CC5" w:rsidRDefault="009F4B05" w:rsidP="008D2321">
      <w:pPr>
        <w:spacing w:before="120" w:after="120" w:line="276" w:lineRule="auto"/>
        <w:jc w:val="both"/>
        <w:rPr>
          <w:rFonts w:ascii="Arial" w:hAnsi="Arial" w:cs="Arial"/>
          <w:color w:val="FF0000"/>
          <w:sz w:val="20"/>
          <w:szCs w:val="20"/>
        </w:rPr>
      </w:pPr>
      <w:r w:rsidRPr="004C6CC5">
        <w:rPr>
          <w:rFonts w:ascii="Arial" w:hAnsi="Arial" w:cs="Arial"/>
          <w:sz w:val="20"/>
          <w:szCs w:val="20"/>
        </w:rPr>
        <w:t>W dniu 13 grudnia 2017</w:t>
      </w:r>
      <w:r w:rsidR="009D01B9" w:rsidRPr="004C6CC5">
        <w:rPr>
          <w:rFonts w:ascii="Arial" w:hAnsi="Arial" w:cs="Arial"/>
          <w:sz w:val="20"/>
          <w:szCs w:val="20"/>
        </w:rPr>
        <w:t xml:space="preserve"> r. </w:t>
      </w:r>
      <w:r w:rsidRPr="004C6CC5">
        <w:rPr>
          <w:rFonts w:ascii="Arial" w:hAnsi="Arial" w:cs="Arial"/>
          <w:sz w:val="20"/>
          <w:szCs w:val="20"/>
        </w:rPr>
        <w:t xml:space="preserve">podpisana została umowa pomiędzy Morską Służbą Poszukiwania </w:t>
      </w:r>
      <w:r w:rsidRPr="004C6CC5">
        <w:rPr>
          <w:rFonts w:ascii="Arial" w:hAnsi="Arial" w:cs="Arial"/>
          <w:sz w:val="20"/>
          <w:szCs w:val="20"/>
        </w:rPr>
        <w:br/>
        <w:t>i Ratownictwa oraz Centrum Unijnych Projektów Transportowych na dofinansowanie ze środków Programu Operacyjnego Infrastruktura</w:t>
      </w:r>
      <w:r w:rsidR="004C6CC5">
        <w:rPr>
          <w:rFonts w:ascii="Arial" w:hAnsi="Arial" w:cs="Arial"/>
          <w:sz w:val="20"/>
          <w:szCs w:val="20"/>
        </w:rPr>
        <w:t xml:space="preserve"> i </w:t>
      </w:r>
      <w:r w:rsidRPr="004C6CC5">
        <w:rPr>
          <w:rFonts w:ascii="Arial" w:hAnsi="Arial" w:cs="Arial"/>
          <w:sz w:val="20"/>
          <w:szCs w:val="20"/>
        </w:rPr>
        <w:t xml:space="preserve">Środowisko 2014-2020 (POIiŚ) budowy wielozadaniowego statku ratowniczego przeznaczonego do realizacji zadań zwalczania zanieczyszczeń olejowych </w:t>
      </w:r>
      <w:r w:rsidRPr="004C6CC5">
        <w:rPr>
          <w:rFonts w:ascii="Arial" w:hAnsi="Arial" w:cs="Arial"/>
          <w:sz w:val="20"/>
          <w:szCs w:val="20"/>
        </w:rPr>
        <w:br/>
        <w:t xml:space="preserve">i zagrożeń chemicznych na morzu, a także gaszenia pożarów na statkach, awaryjnego odładunku </w:t>
      </w:r>
      <w:r w:rsidRPr="004C6CC5">
        <w:rPr>
          <w:rFonts w:ascii="Arial" w:hAnsi="Arial" w:cs="Arial"/>
          <w:sz w:val="20"/>
          <w:szCs w:val="20"/>
        </w:rPr>
        <w:br/>
        <w:t>i holowania statków będących</w:t>
      </w:r>
      <w:r w:rsidR="004C6CC5">
        <w:rPr>
          <w:rFonts w:ascii="Arial" w:hAnsi="Arial" w:cs="Arial"/>
          <w:sz w:val="20"/>
          <w:szCs w:val="20"/>
        </w:rPr>
        <w:t xml:space="preserve"> w </w:t>
      </w:r>
      <w:r w:rsidRPr="004C6CC5">
        <w:rPr>
          <w:rFonts w:ascii="Arial" w:hAnsi="Arial" w:cs="Arial"/>
          <w:sz w:val="20"/>
          <w:szCs w:val="20"/>
        </w:rPr>
        <w:t xml:space="preserve">niebezpieczeństwie oraz pełnienia funkcji ośrodka koordynacyjnego </w:t>
      </w:r>
      <w:r w:rsidRPr="004C6CC5">
        <w:rPr>
          <w:rFonts w:ascii="Arial" w:hAnsi="Arial" w:cs="Arial"/>
          <w:sz w:val="20"/>
          <w:szCs w:val="20"/>
        </w:rPr>
        <w:br/>
        <w:t>w przypadku masowych akcji ratowniczych</w:t>
      </w:r>
      <w:r w:rsidR="004C6CC5">
        <w:rPr>
          <w:rFonts w:ascii="Arial" w:hAnsi="Arial" w:cs="Arial"/>
          <w:sz w:val="20"/>
          <w:szCs w:val="20"/>
        </w:rPr>
        <w:t xml:space="preserve"> i w </w:t>
      </w:r>
      <w:r w:rsidRPr="004C6CC5">
        <w:rPr>
          <w:rFonts w:ascii="Arial" w:hAnsi="Arial" w:cs="Arial"/>
          <w:sz w:val="20"/>
          <w:szCs w:val="20"/>
        </w:rPr>
        <w:t>każdej sytuacji kryzysowej na morzu. Koszt zakupu statku określono na 280 mln zł,</w:t>
      </w:r>
      <w:r w:rsidR="004C6CC5">
        <w:rPr>
          <w:rFonts w:ascii="Arial" w:hAnsi="Arial" w:cs="Arial"/>
          <w:sz w:val="20"/>
          <w:szCs w:val="20"/>
        </w:rPr>
        <w:t xml:space="preserve"> z </w:t>
      </w:r>
      <w:r w:rsidRPr="004C6CC5">
        <w:rPr>
          <w:rFonts w:ascii="Arial" w:hAnsi="Arial" w:cs="Arial"/>
          <w:sz w:val="20"/>
          <w:szCs w:val="20"/>
        </w:rPr>
        <w:t xml:space="preserve">czego 85% zostanie sfinansowane ze środków </w:t>
      </w:r>
      <w:r w:rsidR="00EC47E5">
        <w:rPr>
          <w:rFonts w:ascii="Arial" w:hAnsi="Arial" w:cs="Arial"/>
          <w:sz w:val="20"/>
          <w:szCs w:val="20"/>
        </w:rPr>
        <w:t>POIiŚ</w:t>
      </w:r>
      <w:r w:rsidRPr="004C6CC5">
        <w:rPr>
          <w:rFonts w:ascii="Arial" w:hAnsi="Arial" w:cs="Arial"/>
          <w:sz w:val="20"/>
          <w:szCs w:val="20"/>
        </w:rPr>
        <w:t xml:space="preserve"> 2014-2020. </w:t>
      </w:r>
      <w:r w:rsidR="00EC47E5">
        <w:rPr>
          <w:rFonts w:ascii="Arial" w:hAnsi="Arial" w:cs="Arial"/>
          <w:sz w:val="20"/>
          <w:szCs w:val="20"/>
        </w:rPr>
        <w:br/>
      </w:r>
      <w:r w:rsidRPr="004C6CC5">
        <w:rPr>
          <w:rFonts w:ascii="Arial" w:hAnsi="Arial" w:cs="Arial"/>
          <w:sz w:val="20"/>
          <w:szCs w:val="20"/>
        </w:rPr>
        <w:t>W ramach realizacji tego projektu</w:t>
      </w:r>
      <w:r w:rsidR="0024193C">
        <w:rPr>
          <w:rFonts w:ascii="Arial" w:hAnsi="Arial" w:cs="Arial"/>
          <w:sz w:val="20"/>
          <w:szCs w:val="20"/>
        </w:rPr>
        <w:t xml:space="preserve"> w </w:t>
      </w:r>
      <w:r w:rsidRPr="004C6CC5">
        <w:rPr>
          <w:rFonts w:ascii="Arial" w:hAnsi="Arial" w:cs="Arial"/>
          <w:sz w:val="20"/>
          <w:szCs w:val="20"/>
        </w:rPr>
        <w:t>lutym 2019</w:t>
      </w:r>
      <w:r w:rsidR="009D01B9" w:rsidRPr="004C6CC5">
        <w:rPr>
          <w:rFonts w:ascii="Arial" w:hAnsi="Arial" w:cs="Arial"/>
          <w:sz w:val="20"/>
          <w:szCs w:val="20"/>
        </w:rPr>
        <w:t xml:space="preserve"> r. </w:t>
      </w:r>
      <w:r w:rsidRPr="004C6CC5">
        <w:rPr>
          <w:rFonts w:ascii="Arial" w:hAnsi="Arial" w:cs="Arial"/>
          <w:sz w:val="20"/>
          <w:szCs w:val="20"/>
        </w:rPr>
        <w:t>MSPiR podpisała umowę na pełnienie funkcji inżyniera kontraktu budowy nowego statku.</w:t>
      </w:r>
      <w:r w:rsidR="009D29B1">
        <w:rPr>
          <w:rFonts w:ascii="Arial" w:hAnsi="Arial" w:cs="Arial"/>
          <w:sz w:val="20"/>
          <w:szCs w:val="20"/>
        </w:rPr>
        <w:t xml:space="preserve"> W </w:t>
      </w:r>
      <w:r w:rsidRPr="004C6CC5">
        <w:rPr>
          <w:rFonts w:ascii="Arial" w:hAnsi="Arial" w:cs="Arial"/>
          <w:sz w:val="20"/>
          <w:szCs w:val="20"/>
        </w:rPr>
        <w:t>lipcu ogłoszono przetarg na wykonawcę zadania głównego</w:t>
      </w:r>
      <w:r w:rsidR="003E021B">
        <w:rPr>
          <w:rFonts w:ascii="Arial" w:hAnsi="Arial" w:cs="Arial"/>
          <w:sz w:val="20"/>
          <w:szCs w:val="20"/>
        </w:rPr>
        <w:t>,</w:t>
      </w:r>
      <w:r w:rsidRPr="004C6CC5">
        <w:rPr>
          <w:rFonts w:ascii="Arial" w:hAnsi="Arial" w:cs="Arial"/>
          <w:sz w:val="20"/>
          <w:szCs w:val="20"/>
        </w:rPr>
        <w:t xml:space="preserve"> </w:t>
      </w:r>
      <w:r w:rsidR="002A52A1">
        <w:rPr>
          <w:rFonts w:ascii="Arial" w:hAnsi="Arial" w:cs="Arial"/>
          <w:sz w:val="20"/>
          <w:szCs w:val="20"/>
        </w:rPr>
        <w:br/>
      </w:r>
      <w:r w:rsidRPr="004C6CC5">
        <w:rPr>
          <w:rFonts w:ascii="Arial" w:hAnsi="Arial" w:cs="Arial"/>
          <w:sz w:val="20"/>
          <w:szCs w:val="20"/>
        </w:rPr>
        <w:t>tj. budowy statku</w:t>
      </w:r>
      <w:r w:rsidR="004C6CC5">
        <w:rPr>
          <w:rFonts w:ascii="Arial" w:hAnsi="Arial" w:cs="Arial"/>
          <w:sz w:val="20"/>
          <w:szCs w:val="20"/>
        </w:rPr>
        <w:t xml:space="preserve"> w </w:t>
      </w:r>
      <w:r w:rsidRPr="004C6CC5">
        <w:rPr>
          <w:rFonts w:ascii="Arial" w:hAnsi="Arial" w:cs="Arial"/>
          <w:sz w:val="20"/>
          <w:szCs w:val="20"/>
        </w:rPr>
        <w:t xml:space="preserve">trybie zaprojektuj </w:t>
      </w:r>
      <w:r w:rsidR="00EC47E5">
        <w:rPr>
          <w:rFonts w:ascii="Arial" w:hAnsi="Arial" w:cs="Arial"/>
          <w:sz w:val="20"/>
          <w:szCs w:val="20"/>
        </w:rPr>
        <w:t>-</w:t>
      </w:r>
      <w:r w:rsidR="009D29B1">
        <w:rPr>
          <w:rFonts w:ascii="Arial" w:hAnsi="Arial" w:cs="Arial"/>
          <w:sz w:val="20"/>
          <w:szCs w:val="20"/>
        </w:rPr>
        <w:t xml:space="preserve"> </w:t>
      </w:r>
      <w:r w:rsidRPr="004C6CC5">
        <w:rPr>
          <w:rFonts w:ascii="Arial" w:hAnsi="Arial" w:cs="Arial"/>
          <w:sz w:val="20"/>
          <w:szCs w:val="20"/>
        </w:rPr>
        <w:t>wybuduj.</w:t>
      </w:r>
    </w:p>
    <w:p w14:paraId="6C649B11" w14:textId="2EAC17A0" w:rsidR="009F4B05" w:rsidRPr="004C6CC5" w:rsidRDefault="009F4B05" w:rsidP="008D2321">
      <w:pPr>
        <w:spacing w:before="120" w:after="120" w:line="276" w:lineRule="auto"/>
        <w:jc w:val="both"/>
        <w:rPr>
          <w:rFonts w:ascii="Arial" w:hAnsi="Arial" w:cs="Arial"/>
          <w:sz w:val="20"/>
          <w:szCs w:val="20"/>
        </w:rPr>
      </w:pPr>
      <w:r w:rsidRPr="004C6CC5">
        <w:rPr>
          <w:rFonts w:ascii="Arial" w:hAnsi="Arial" w:cs="Arial"/>
          <w:sz w:val="20"/>
          <w:szCs w:val="20"/>
        </w:rPr>
        <w:t>W ramach działań inwestycyjnych polegających na zakupie maszyn, urządzeń</w:t>
      </w:r>
      <w:r w:rsidR="004C6CC5">
        <w:rPr>
          <w:rFonts w:ascii="Arial" w:hAnsi="Arial" w:cs="Arial"/>
          <w:sz w:val="20"/>
          <w:szCs w:val="20"/>
        </w:rPr>
        <w:t xml:space="preserve"> i </w:t>
      </w:r>
      <w:r w:rsidRPr="004C6CC5">
        <w:rPr>
          <w:rFonts w:ascii="Arial" w:hAnsi="Arial" w:cs="Arial"/>
          <w:sz w:val="20"/>
          <w:szCs w:val="20"/>
        </w:rPr>
        <w:t>wyposażenia</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dla Służby SAR zrealizowano:</w:t>
      </w:r>
    </w:p>
    <w:p w14:paraId="6A9DCA38" w14:textId="0E5B61FB" w:rsidR="009F4B05" w:rsidRPr="004C6CC5" w:rsidRDefault="009F4B05" w:rsidP="008D2321">
      <w:pPr>
        <w:spacing w:after="0" w:line="276" w:lineRule="auto"/>
        <w:ind w:left="142" w:hanging="142"/>
        <w:jc w:val="both"/>
        <w:rPr>
          <w:rFonts w:ascii="Arial" w:hAnsi="Arial" w:cs="Arial"/>
          <w:sz w:val="20"/>
          <w:szCs w:val="20"/>
        </w:rPr>
      </w:pPr>
      <w:r w:rsidRPr="004C6CC5">
        <w:rPr>
          <w:rFonts w:ascii="Arial" w:hAnsi="Arial" w:cs="Arial"/>
          <w:sz w:val="20"/>
          <w:szCs w:val="20"/>
        </w:rPr>
        <w:t>- budowę nowego slipu do wodowania łodzi ratowniczej na rzece Wiśle przy BSR Świbno  składającego się z: pochylni ustawionej pod kątem właściwym do bezpiecznych wodowań łodzi</w:t>
      </w:r>
      <w:r w:rsidR="004C6CC5">
        <w:rPr>
          <w:rFonts w:ascii="Arial" w:hAnsi="Arial" w:cs="Arial"/>
          <w:sz w:val="20"/>
          <w:szCs w:val="20"/>
        </w:rPr>
        <w:t xml:space="preserve"> z </w:t>
      </w:r>
      <w:r w:rsidRPr="004C6CC5">
        <w:rPr>
          <w:rFonts w:ascii="Arial" w:hAnsi="Arial" w:cs="Arial"/>
          <w:sz w:val="20"/>
          <w:szCs w:val="20"/>
        </w:rPr>
        <w:t>przyczepy do wody wraz</w:t>
      </w:r>
      <w:r w:rsidR="004C6CC5">
        <w:rPr>
          <w:rFonts w:ascii="Arial" w:hAnsi="Arial" w:cs="Arial"/>
          <w:sz w:val="20"/>
          <w:szCs w:val="20"/>
        </w:rPr>
        <w:t xml:space="preserve"> z </w:t>
      </w:r>
      <w:r w:rsidRPr="004C6CC5">
        <w:rPr>
          <w:rFonts w:ascii="Arial" w:hAnsi="Arial" w:cs="Arial"/>
          <w:sz w:val="20"/>
          <w:szCs w:val="20"/>
        </w:rPr>
        <w:t>ściankami oporowymi, szerokich ścianek oporowych umożliwiających przycumowanie łodzi ratowniczej po akcji</w:t>
      </w:r>
      <w:r w:rsidR="004C6CC5">
        <w:rPr>
          <w:rFonts w:ascii="Arial" w:hAnsi="Arial" w:cs="Arial"/>
          <w:sz w:val="20"/>
          <w:szCs w:val="20"/>
        </w:rPr>
        <w:t xml:space="preserve"> i </w:t>
      </w:r>
      <w:r w:rsidRPr="004C6CC5">
        <w:rPr>
          <w:rFonts w:ascii="Arial" w:hAnsi="Arial" w:cs="Arial"/>
          <w:sz w:val="20"/>
          <w:szCs w:val="20"/>
        </w:rPr>
        <w:t>bezpieczny transport ratowanej osoby</w:t>
      </w:r>
      <w:r w:rsidR="004C6CC5">
        <w:rPr>
          <w:rFonts w:ascii="Arial" w:hAnsi="Arial" w:cs="Arial"/>
          <w:sz w:val="20"/>
          <w:szCs w:val="20"/>
        </w:rPr>
        <w:t xml:space="preserve"> z </w:t>
      </w:r>
      <w:r w:rsidRPr="004C6CC5">
        <w:rPr>
          <w:rFonts w:ascii="Arial" w:hAnsi="Arial" w:cs="Arial"/>
          <w:sz w:val="20"/>
          <w:szCs w:val="20"/>
        </w:rPr>
        <w:t>łodzi na brzeg wraz</w:t>
      </w:r>
      <w:r w:rsidR="004C6CC5">
        <w:rPr>
          <w:rFonts w:ascii="Arial" w:hAnsi="Arial" w:cs="Arial"/>
          <w:sz w:val="20"/>
          <w:szCs w:val="20"/>
        </w:rPr>
        <w:t xml:space="preserve"> z </w:t>
      </w:r>
      <w:r w:rsidRPr="004C6CC5">
        <w:rPr>
          <w:rFonts w:ascii="Arial" w:hAnsi="Arial" w:cs="Arial"/>
          <w:sz w:val="20"/>
          <w:szCs w:val="20"/>
        </w:rPr>
        <w:t>układem pachołów cumowniczych, utwardzonego</w:t>
      </w:r>
      <w:r w:rsidR="004C6CC5">
        <w:rPr>
          <w:rFonts w:ascii="Arial" w:hAnsi="Arial" w:cs="Arial"/>
          <w:sz w:val="20"/>
          <w:szCs w:val="20"/>
        </w:rPr>
        <w:t xml:space="preserve"> i </w:t>
      </w:r>
      <w:r w:rsidRPr="004C6CC5">
        <w:rPr>
          <w:rFonts w:ascii="Arial" w:hAnsi="Arial" w:cs="Arial"/>
          <w:sz w:val="20"/>
          <w:szCs w:val="20"/>
        </w:rPr>
        <w:t>uporządkowanego terenu wokół slipu, umożliwiającego bezpieczne manewrowanie samochodem ciągnącym przyczepę</w:t>
      </w:r>
      <w:r w:rsidR="004C6CC5">
        <w:rPr>
          <w:rFonts w:ascii="Arial" w:hAnsi="Arial" w:cs="Arial"/>
          <w:sz w:val="20"/>
          <w:szCs w:val="20"/>
        </w:rPr>
        <w:t xml:space="preserve"> z </w:t>
      </w:r>
      <w:r w:rsidRPr="004C6CC5">
        <w:rPr>
          <w:rFonts w:ascii="Arial" w:hAnsi="Arial" w:cs="Arial"/>
          <w:sz w:val="20"/>
          <w:szCs w:val="20"/>
        </w:rPr>
        <w:t>łodzią, umocnienia  brzegu rzeki wokół slipu zabezpieczającego go przed podmyciem</w:t>
      </w:r>
      <w:r w:rsidR="00633D51">
        <w:rPr>
          <w:rFonts w:ascii="Arial" w:hAnsi="Arial" w:cs="Arial"/>
          <w:sz w:val="20"/>
          <w:szCs w:val="20"/>
        </w:rPr>
        <w:t xml:space="preserve"> i </w:t>
      </w:r>
      <w:r w:rsidRPr="004C6CC5">
        <w:rPr>
          <w:rFonts w:ascii="Arial" w:hAnsi="Arial" w:cs="Arial"/>
          <w:sz w:val="20"/>
          <w:szCs w:val="20"/>
        </w:rPr>
        <w:t>uszkodzeniem przez krę, oświetlenia ledowego umożliwiającego bezpieczne cumowanie</w:t>
      </w:r>
      <w:r w:rsidR="00835E1B">
        <w:rPr>
          <w:rFonts w:ascii="Arial" w:hAnsi="Arial" w:cs="Arial"/>
          <w:sz w:val="20"/>
          <w:szCs w:val="20"/>
        </w:rPr>
        <w:t xml:space="preserve"> w </w:t>
      </w:r>
      <w:r w:rsidRPr="004C6CC5">
        <w:rPr>
          <w:rFonts w:ascii="Arial" w:hAnsi="Arial" w:cs="Arial"/>
          <w:sz w:val="20"/>
          <w:szCs w:val="20"/>
        </w:rPr>
        <w:t>warunkach nocnych, kamery monitorującej slip</w:t>
      </w:r>
      <w:r w:rsidR="0010124A">
        <w:rPr>
          <w:rFonts w:ascii="Arial" w:hAnsi="Arial" w:cs="Arial"/>
          <w:sz w:val="20"/>
          <w:szCs w:val="20"/>
        </w:rPr>
        <w:t xml:space="preserve"> oraz</w:t>
      </w:r>
      <w:r w:rsidR="004C6CC5">
        <w:rPr>
          <w:rFonts w:ascii="Arial" w:hAnsi="Arial" w:cs="Arial"/>
          <w:sz w:val="20"/>
          <w:szCs w:val="20"/>
        </w:rPr>
        <w:t> </w:t>
      </w:r>
      <w:r w:rsidRPr="004C6CC5">
        <w:rPr>
          <w:rFonts w:ascii="Arial" w:hAnsi="Arial" w:cs="Arial"/>
          <w:sz w:val="20"/>
          <w:szCs w:val="20"/>
        </w:rPr>
        <w:t>przestrzeń wokół niego;</w:t>
      </w:r>
    </w:p>
    <w:p w14:paraId="4263A7AD" w14:textId="77777777" w:rsidR="009F4B05" w:rsidRPr="004C6CC5" w:rsidRDefault="009F4B05" w:rsidP="008D2321">
      <w:pPr>
        <w:spacing w:after="0" w:line="276" w:lineRule="auto"/>
        <w:ind w:left="142" w:hanging="142"/>
        <w:jc w:val="both"/>
        <w:rPr>
          <w:rFonts w:ascii="Arial" w:hAnsi="Arial" w:cs="Arial"/>
          <w:sz w:val="20"/>
          <w:szCs w:val="20"/>
        </w:rPr>
      </w:pPr>
      <w:r w:rsidRPr="004C6CC5">
        <w:rPr>
          <w:rFonts w:ascii="Arial" w:hAnsi="Arial" w:cs="Arial"/>
          <w:sz w:val="20"/>
          <w:szCs w:val="20"/>
        </w:rPr>
        <w:t>- zakup serwera dla systemu poczty elektronicznej;</w:t>
      </w:r>
    </w:p>
    <w:p w14:paraId="04246FD1" w14:textId="77777777" w:rsidR="009F4B05" w:rsidRPr="004C6CC5" w:rsidRDefault="009F4B05" w:rsidP="008D2321">
      <w:pPr>
        <w:spacing w:after="0" w:line="276" w:lineRule="auto"/>
        <w:ind w:left="142" w:hanging="142"/>
        <w:jc w:val="both"/>
        <w:rPr>
          <w:rFonts w:ascii="Arial" w:hAnsi="Arial" w:cs="Arial"/>
          <w:sz w:val="20"/>
          <w:szCs w:val="20"/>
        </w:rPr>
      </w:pPr>
      <w:r w:rsidRPr="004C6CC5">
        <w:rPr>
          <w:rFonts w:ascii="Arial" w:hAnsi="Arial" w:cs="Arial"/>
          <w:sz w:val="20"/>
          <w:szCs w:val="20"/>
        </w:rPr>
        <w:t>- zakup macierzy dyskowej do systemu wykonywania kopii zapasowych;</w:t>
      </w:r>
    </w:p>
    <w:p w14:paraId="04E261D9" w14:textId="77777777" w:rsidR="009F4B05" w:rsidRPr="004C6CC5" w:rsidRDefault="009F4B05" w:rsidP="008D2321">
      <w:pPr>
        <w:spacing w:after="0" w:line="276" w:lineRule="auto"/>
        <w:ind w:left="142" w:hanging="142"/>
        <w:jc w:val="both"/>
        <w:rPr>
          <w:rFonts w:ascii="Arial" w:hAnsi="Arial" w:cs="Arial"/>
          <w:sz w:val="20"/>
          <w:szCs w:val="20"/>
        </w:rPr>
      </w:pPr>
      <w:r w:rsidRPr="004C6CC5">
        <w:rPr>
          <w:rFonts w:ascii="Arial" w:hAnsi="Arial" w:cs="Arial"/>
          <w:sz w:val="20"/>
          <w:szCs w:val="20"/>
        </w:rPr>
        <w:t>- modernizację statku m/s Czesław II;</w:t>
      </w:r>
    </w:p>
    <w:p w14:paraId="7BD068CB" w14:textId="77777777" w:rsidR="009F4B05" w:rsidRPr="004C6CC5" w:rsidRDefault="009F4B05" w:rsidP="008D2321">
      <w:pPr>
        <w:spacing w:after="0" w:line="276" w:lineRule="auto"/>
        <w:ind w:left="142" w:hanging="142"/>
        <w:jc w:val="both"/>
        <w:rPr>
          <w:rFonts w:ascii="Arial" w:hAnsi="Arial" w:cs="Arial"/>
          <w:sz w:val="20"/>
          <w:szCs w:val="20"/>
        </w:rPr>
      </w:pPr>
      <w:r w:rsidRPr="004C6CC5">
        <w:rPr>
          <w:rFonts w:ascii="Arial" w:hAnsi="Arial" w:cs="Arial"/>
          <w:sz w:val="20"/>
          <w:szCs w:val="20"/>
        </w:rPr>
        <w:t>- wymianę urządzeń do łączności wewnętrznej na statku r/v Monsun;</w:t>
      </w:r>
    </w:p>
    <w:p w14:paraId="05511EF9" w14:textId="77777777" w:rsidR="009F4B05" w:rsidRPr="004C6CC5" w:rsidRDefault="009F4B05" w:rsidP="008D2321">
      <w:pPr>
        <w:spacing w:after="0" w:line="276" w:lineRule="auto"/>
        <w:ind w:left="142" w:hanging="142"/>
        <w:jc w:val="both"/>
        <w:rPr>
          <w:rFonts w:ascii="Arial" w:hAnsi="Arial" w:cs="Arial"/>
          <w:sz w:val="20"/>
          <w:szCs w:val="20"/>
        </w:rPr>
      </w:pPr>
      <w:r w:rsidRPr="004C6CC5">
        <w:rPr>
          <w:rFonts w:ascii="Arial" w:hAnsi="Arial" w:cs="Arial"/>
          <w:sz w:val="20"/>
          <w:szCs w:val="20"/>
        </w:rPr>
        <w:t>- modernizację plotera radarowego na statku r/v Szkwał;</w:t>
      </w:r>
    </w:p>
    <w:p w14:paraId="141DE73D" w14:textId="5533A082" w:rsidR="009F4B05" w:rsidRPr="004C6CC5" w:rsidRDefault="009F4B05" w:rsidP="008D2321">
      <w:pPr>
        <w:spacing w:after="0" w:line="276" w:lineRule="auto"/>
        <w:ind w:left="142" w:hanging="142"/>
        <w:jc w:val="both"/>
        <w:rPr>
          <w:rFonts w:ascii="Arial" w:hAnsi="Arial" w:cs="Arial"/>
          <w:sz w:val="20"/>
          <w:szCs w:val="20"/>
        </w:rPr>
      </w:pPr>
      <w:r w:rsidRPr="004C6CC5">
        <w:rPr>
          <w:rFonts w:ascii="Arial" w:hAnsi="Arial" w:cs="Arial"/>
          <w:sz w:val="20"/>
          <w:szCs w:val="20"/>
        </w:rPr>
        <w:t>- zakupiono dwie siatki ratownicze dla łodzi ratowniczych R24</w:t>
      </w:r>
      <w:r w:rsidR="004C6CC5">
        <w:rPr>
          <w:rFonts w:ascii="Arial" w:hAnsi="Arial" w:cs="Arial"/>
          <w:sz w:val="20"/>
          <w:szCs w:val="20"/>
        </w:rPr>
        <w:t xml:space="preserve"> i </w:t>
      </w:r>
      <w:r w:rsidRPr="004C6CC5">
        <w:rPr>
          <w:rFonts w:ascii="Arial" w:hAnsi="Arial" w:cs="Arial"/>
          <w:sz w:val="20"/>
          <w:szCs w:val="20"/>
        </w:rPr>
        <w:t>R28;</w:t>
      </w:r>
    </w:p>
    <w:p w14:paraId="5A3CCC27" w14:textId="77777777" w:rsidR="009F4B05" w:rsidRPr="004C6CC5" w:rsidRDefault="009F4B05" w:rsidP="008D2321">
      <w:pPr>
        <w:spacing w:after="0" w:line="276" w:lineRule="auto"/>
        <w:ind w:left="142" w:hanging="142"/>
        <w:jc w:val="both"/>
        <w:rPr>
          <w:rFonts w:ascii="Arial" w:hAnsi="Arial" w:cs="Arial"/>
          <w:sz w:val="20"/>
          <w:szCs w:val="20"/>
        </w:rPr>
      </w:pPr>
      <w:r w:rsidRPr="004C6CC5">
        <w:rPr>
          <w:rFonts w:ascii="Arial" w:hAnsi="Arial" w:cs="Arial"/>
          <w:sz w:val="20"/>
          <w:szCs w:val="20"/>
        </w:rPr>
        <w:t>- zakupiono ciągnik holowniczy Multi Mover dla BSR Darłowo;</w:t>
      </w:r>
    </w:p>
    <w:p w14:paraId="6970C876" w14:textId="294ACE5A" w:rsidR="009F4B05" w:rsidRPr="004C6CC5" w:rsidRDefault="009F4B05" w:rsidP="00C36D4C">
      <w:pPr>
        <w:spacing w:after="0" w:line="276" w:lineRule="auto"/>
        <w:ind w:left="142" w:hanging="142"/>
        <w:jc w:val="both"/>
        <w:rPr>
          <w:rFonts w:ascii="Arial" w:hAnsi="Arial" w:cs="Arial"/>
          <w:sz w:val="20"/>
          <w:szCs w:val="20"/>
        </w:rPr>
      </w:pPr>
      <w:r w:rsidRPr="004C6CC5">
        <w:rPr>
          <w:rFonts w:ascii="Arial" w:hAnsi="Arial" w:cs="Arial"/>
          <w:sz w:val="20"/>
          <w:szCs w:val="20"/>
        </w:rPr>
        <w:t>- zakupiono</w:t>
      </w:r>
      <w:r w:rsidR="004C6CC5">
        <w:rPr>
          <w:rFonts w:ascii="Arial" w:hAnsi="Arial" w:cs="Arial"/>
          <w:sz w:val="20"/>
          <w:szCs w:val="20"/>
        </w:rPr>
        <w:t xml:space="preserve"> i </w:t>
      </w:r>
      <w:r w:rsidRPr="004C6CC5">
        <w:rPr>
          <w:rFonts w:ascii="Arial" w:hAnsi="Arial" w:cs="Arial"/>
          <w:sz w:val="20"/>
          <w:szCs w:val="20"/>
        </w:rPr>
        <w:t>zamontowano wciągarkę holowniczą</w:t>
      </w:r>
      <w:r w:rsidR="004C6CC5">
        <w:rPr>
          <w:rFonts w:ascii="Arial" w:hAnsi="Arial" w:cs="Arial"/>
          <w:sz w:val="20"/>
          <w:szCs w:val="20"/>
        </w:rPr>
        <w:t xml:space="preserve"> w </w:t>
      </w:r>
      <w:r w:rsidRPr="004C6CC5">
        <w:rPr>
          <w:rFonts w:ascii="Arial" w:hAnsi="Arial" w:cs="Arial"/>
          <w:sz w:val="20"/>
          <w:szCs w:val="20"/>
        </w:rPr>
        <w:t>BSR Świbno;</w:t>
      </w:r>
    </w:p>
    <w:p w14:paraId="44A12A89" w14:textId="66BF023F" w:rsidR="009F4B05" w:rsidRPr="00A94DAB" w:rsidRDefault="009F4B05" w:rsidP="00C36D4C">
      <w:pPr>
        <w:spacing w:after="120" w:line="276" w:lineRule="auto"/>
        <w:ind w:left="142" w:hanging="142"/>
        <w:jc w:val="both"/>
        <w:rPr>
          <w:rFonts w:ascii="Arial" w:hAnsi="Arial" w:cs="Arial"/>
          <w:sz w:val="20"/>
          <w:szCs w:val="20"/>
        </w:rPr>
      </w:pPr>
      <w:r w:rsidRPr="004C6CC5">
        <w:rPr>
          <w:rFonts w:ascii="Arial" w:hAnsi="Arial" w:cs="Arial"/>
          <w:sz w:val="20"/>
          <w:szCs w:val="20"/>
        </w:rPr>
        <w:t>- zakupiono łódź do zwalczania zanieczyszczeń olejowych na wodach płytkich.</w:t>
      </w:r>
    </w:p>
    <w:p w14:paraId="75E9A2A2" w14:textId="0FCE83A0" w:rsidR="00D226EE" w:rsidRPr="00AD5EE3" w:rsidRDefault="00D226EE" w:rsidP="00C36D4C">
      <w:pPr>
        <w:pStyle w:val="Nagwek2"/>
        <w:spacing w:before="120" w:after="120"/>
        <w:rPr>
          <w:rFonts w:ascii="Arial" w:hAnsi="Arial" w:cs="Arial"/>
          <w:b/>
          <w:sz w:val="20"/>
          <w:szCs w:val="20"/>
        </w:rPr>
      </w:pPr>
      <w:bookmarkStart w:id="47" w:name="_Toc72745059"/>
      <w:r w:rsidRPr="00AD5EE3">
        <w:rPr>
          <w:rFonts w:ascii="Arial" w:hAnsi="Arial" w:cs="Arial"/>
          <w:b/>
          <w:color w:val="auto"/>
          <w:sz w:val="20"/>
          <w:szCs w:val="20"/>
        </w:rPr>
        <w:t>Działania Straży Graniczne</w:t>
      </w:r>
      <w:r w:rsidR="00AD5EE3">
        <w:rPr>
          <w:rFonts w:ascii="Arial" w:hAnsi="Arial" w:cs="Arial"/>
          <w:b/>
          <w:color w:val="auto"/>
          <w:sz w:val="20"/>
          <w:szCs w:val="20"/>
        </w:rPr>
        <w:t>j.</w:t>
      </w:r>
      <w:bookmarkEnd w:id="47"/>
    </w:p>
    <w:p w14:paraId="1F110B07" w14:textId="2BF864BA" w:rsidR="00D226EE" w:rsidRPr="004C6CC5" w:rsidRDefault="00D226EE" w:rsidP="00C36D4C">
      <w:pPr>
        <w:spacing w:before="120" w:after="120" w:line="276" w:lineRule="auto"/>
        <w:jc w:val="both"/>
        <w:rPr>
          <w:rFonts w:ascii="Arial" w:hAnsi="Arial" w:cs="Arial"/>
          <w:sz w:val="20"/>
          <w:szCs w:val="20"/>
        </w:rPr>
      </w:pPr>
      <w:r w:rsidRPr="004C6CC5">
        <w:rPr>
          <w:rFonts w:ascii="Arial" w:hAnsi="Arial" w:cs="Arial"/>
          <w:sz w:val="20"/>
          <w:szCs w:val="20"/>
        </w:rPr>
        <w:t>Straż Graniczna</w:t>
      </w:r>
      <w:r w:rsidR="00D721CB">
        <w:rPr>
          <w:rFonts w:ascii="Arial" w:hAnsi="Arial" w:cs="Arial"/>
          <w:sz w:val="20"/>
          <w:szCs w:val="20"/>
        </w:rPr>
        <w:t xml:space="preserve"> (SG)</w:t>
      </w:r>
      <w:r w:rsidRPr="004C6CC5">
        <w:rPr>
          <w:rFonts w:ascii="Arial" w:hAnsi="Arial" w:cs="Arial"/>
          <w:sz w:val="20"/>
          <w:szCs w:val="20"/>
        </w:rPr>
        <w:t xml:space="preserve"> realizując swoje ustawowe zadania wykonywała działania związane</w:t>
      </w:r>
      <w:r w:rsidR="004C6CC5">
        <w:rPr>
          <w:rFonts w:ascii="Arial" w:hAnsi="Arial" w:cs="Arial"/>
          <w:sz w:val="20"/>
          <w:szCs w:val="20"/>
        </w:rPr>
        <w:t xml:space="preserve"> z </w:t>
      </w:r>
      <w:r w:rsidRPr="004C6CC5">
        <w:rPr>
          <w:rFonts w:ascii="Arial" w:hAnsi="Arial" w:cs="Arial"/>
          <w:sz w:val="20"/>
          <w:szCs w:val="20"/>
        </w:rPr>
        <w:t>ochroną morskiej granicy państwowej, sprawowaniem nadzoru nad eksploatacją polskich obszarów morskich oraz przestrzeganiem przez statki przepisów obowiązujących na tych obszarach. Ponadto, formacja brała udział</w:t>
      </w:r>
      <w:r w:rsidR="004C6CC5">
        <w:rPr>
          <w:rFonts w:ascii="Arial" w:hAnsi="Arial" w:cs="Arial"/>
          <w:sz w:val="20"/>
          <w:szCs w:val="20"/>
        </w:rPr>
        <w:t xml:space="preserve"> w </w:t>
      </w:r>
      <w:r w:rsidRPr="004C6CC5">
        <w:rPr>
          <w:rFonts w:ascii="Arial" w:hAnsi="Arial" w:cs="Arial"/>
          <w:sz w:val="20"/>
          <w:szCs w:val="20"/>
        </w:rPr>
        <w:t>działaniach na rzecz zapewnienia bezpieczeństwa żeglugi</w:t>
      </w:r>
      <w:r w:rsidR="004C6CC5">
        <w:rPr>
          <w:rFonts w:ascii="Arial" w:hAnsi="Arial" w:cs="Arial"/>
          <w:sz w:val="20"/>
          <w:szCs w:val="20"/>
        </w:rPr>
        <w:t xml:space="preserve"> i </w:t>
      </w:r>
      <w:r w:rsidRPr="004C6CC5">
        <w:rPr>
          <w:rFonts w:ascii="Arial" w:hAnsi="Arial" w:cs="Arial"/>
          <w:sz w:val="20"/>
          <w:szCs w:val="20"/>
        </w:rPr>
        <w:t>ochrony portów morskich oraz ochrony środowiska morskiego. Straż Graniczna prowadziła bieżącą współpracę m.in.</w:t>
      </w:r>
      <w:r w:rsidR="004C6CC5">
        <w:rPr>
          <w:rFonts w:ascii="Arial" w:hAnsi="Arial" w:cs="Arial"/>
          <w:sz w:val="20"/>
          <w:szCs w:val="20"/>
        </w:rPr>
        <w:t xml:space="preserve"> z </w:t>
      </w:r>
      <w:r w:rsidRPr="004C6CC5">
        <w:rPr>
          <w:rFonts w:ascii="Arial" w:hAnsi="Arial" w:cs="Arial"/>
          <w:sz w:val="20"/>
          <w:szCs w:val="20"/>
        </w:rPr>
        <w:t>Marynarką Wojenną</w:t>
      </w:r>
      <w:r w:rsidR="0043662E">
        <w:rPr>
          <w:rFonts w:ascii="Arial" w:hAnsi="Arial" w:cs="Arial"/>
          <w:sz w:val="20"/>
          <w:szCs w:val="20"/>
        </w:rPr>
        <w:t xml:space="preserve"> RP</w:t>
      </w:r>
      <w:r w:rsidRPr="004C6CC5">
        <w:rPr>
          <w:rFonts w:ascii="Arial" w:hAnsi="Arial" w:cs="Arial"/>
          <w:sz w:val="20"/>
          <w:szCs w:val="20"/>
        </w:rPr>
        <w:t>, Krajową Administracją Skarbową, Morską Służbą Poszukiwania</w:t>
      </w:r>
      <w:r w:rsidR="0043662E">
        <w:rPr>
          <w:rFonts w:ascii="Arial" w:hAnsi="Arial" w:cs="Arial"/>
          <w:sz w:val="20"/>
          <w:szCs w:val="20"/>
        </w:rPr>
        <w:t xml:space="preserve"> i </w:t>
      </w:r>
      <w:r w:rsidRPr="004C6CC5">
        <w:rPr>
          <w:rFonts w:ascii="Arial" w:hAnsi="Arial" w:cs="Arial"/>
          <w:sz w:val="20"/>
          <w:szCs w:val="20"/>
        </w:rPr>
        <w:t>Ratownictwa, administracją</w:t>
      </w:r>
      <w:r w:rsidR="00AF39FD">
        <w:rPr>
          <w:rFonts w:ascii="Arial" w:hAnsi="Arial" w:cs="Arial"/>
          <w:sz w:val="20"/>
          <w:szCs w:val="20"/>
        </w:rPr>
        <w:t xml:space="preserve"> morską oraz Głównym Inspektoratem</w:t>
      </w:r>
      <w:r w:rsidRPr="004C6CC5">
        <w:rPr>
          <w:rFonts w:ascii="Arial" w:hAnsi="Arial" w:cs="Arial"/>
          <w:sz w:val="20"/>
          <w:szCs w:val="20"/>
        </w:rPr>
        <w:t xml:space="preserve"> Rybołówstwa Morskiego.</w:t>
      </w:r>
    </w:p>
    <w:p w14:paraId="6BE0CDDA" w14:textId="3F5DD44D"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lastRenderedPageBreak/>
        <w:t>W ramach działań</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jednos</w:t>
      </w:r>
      <w:r w:rsidR="00442677">
        <w:rPr>
          <w:rFonts w:ascii="Arial" w:hAnsi="Arial" w:cs="Arial"/>
          <w:sz w:val="20"/>
          <w:szCs w:val="20"/>
        </w:rPr>
        <w:t>tki pływające Straży Granicznej</w:t>
      </w:r>
      <w:r w:rsidRPr="004C6CC5">
        <w:rPr>
          <w:rFonts w:ascii="Arial" w:hAnsi="Arial" w:cs="Arial"/>
          <w:sz w:val="20"/>
          <w:szCs w:val="20"/>
        </w:rPr>
        <w:t xml:space="preserve"> zrealizowały 1390 wyjść </w:t>
      </w:r>
      <w:r w:rsidR="00442677">
        <w:rPr>
          <w:rFonts w:ascii="Arial" w:hAnsi="Arial" w:cs="Arial"/>
          <w:sz w:val="20"/>
          <w:szCs w:val="20"/>
        </w:rPr>
        <w:t>w celu</w:t>
      </w:r>
      <w:r w:rsidRPr="004C6CC5">
        <w:rPr>
          <w:rFonts w:ascii="Arial" w:hAnsi="Arial" w:cs="Arial"/>
          <w:sz w:val="20"/>
          <w:szCs w:val="20"/>
        </w:rPr>
        <w:t xml:space="preserve"> ochrony granicy państwowej oraz sprawowania nadzoru nad polskimi obszarami morskimi, 119 eskortowań statków, głównie</w:t>
      </w:r>
      <w:r w:rsidR="004C6CC5">
        <w:rPr>
          <w:rFonts w:ascii="Arial" w:hAnsi="Arial" w:cs="Arial"/>
          <w:sz w:val="20"/>
          <w:szCs w:val="20"/>
        </w:rPr>
        <w:t xml:space="preserve"> w </w:t>
      </w:r>
      <w:r w:rsidRPr="004C6CC5">
        <w:rPr>
          <w:rFonts w:ascii="Arial" w:hAnsi="Arial" w:cs="Arial"/>
          <w:sz w:val="20"/>
          <w:szCs w:val="20"/>
        </w:rPr>
        <w:t>ramach ochrony infrastruktury krytycznej oraz 69 wyjść interwencyjnych wobec sprawców lub podejrzanych o możliwość naruszenia przepisów.</w:t>
      </w:r>
      <w:r w:rsidR="00210B85">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trakcie realizacji czynności służbowych funkcjonariusze Straży Granicznej (na morzu</w:t>
      </w:r>
      <w:r w:rsidR="004C6CC5">
        <w:rPr>
          <w:rFonts w:ascii="Arial" w:hAnsi="Arial" w:cs="Arial"/>
          <w:sz w:val="20"/>
          <w:szCs w:val="20"/>
        </w:rPr>
        <w:t xml:space="preserve"> i w </w:t>
      </w:r>
      <w:r w:rsidRPr="004C6CC5">
        <w:rPr>
          <w:rFonts w:ascii="Arial" w:hAnsi="Arial" w:cs="Arial"/>
          <w:sz w:val="20"/>
          <w:szCs w:val="20"/>
        </w:rPr>
        <w:t>portach) przeprowadzili 730 kontroli statków,</w:t>
      </w:r>
      <w:r w:rsidR="004C6CC5">
        <w:rPr>
          <w:rFonts w:ascii="Arial" w:hAnsi="Arial" w:cs="Arial"/>
          <w:sz w:val="20"/>
          <w:szCs w:val="20"/>
        </w:rPr>
        <w:t xml:space="preserve"> w </w:t>
      </w:r>
      <w:r w:rsidRPr="004C6CC5">
        <w:rPr>
          <w:rFonts w:ascii="Arial" w:hAnsi="Arial" w:cs="Arial"/>
          <w:sz w:val="20"/>
          <w:szCs w:val="20"/>
        </w:rPr>
        <w:t>trakcie których stwierdzono 366 naruszeń przepisów obowiązujących na polskich obszarach morskich,</w:t>
      </w:r>
      <w:r w:rsidR="002548CC">
        <w:rPr>
          <w:rFonts w:ascii="Arial" w:hAnsi="Arial" w:cs="Arial"/>
          <w:sz w:val="20"/>
          <w:szCs w:val="20"/>
        </w:rPr>
        <w:t xml:space="preserve"> w </w:t>
      </w:r>
      <w:r w:rsidRPr="004C6CC5">
        <w:rPr>
          <w:rFonts w:ascii="Arial" w:hAnsi="Arial" w:cs="Arial"/>
          <w:sz w:val="20"/>
          <w:szCs w:val="20"/>
        </w:rPr>
        <w:t xml:space="preserve">tym: 113 przypadków przekroczenia granicy państwowej wbrew </w:t>
      </w:r>
      <w:r w:rsidR="00210B85">
        <w:rPr>
          <w:rFonts w:ascii="Arial" w:hAnsi="Arial" w:cs="Arial"/>
          <w:sz w:val="20"/>
          <w:szCs w:val="20"/>
        </w:rPr>
        <w:t>przepisom,</w:t>
      </w:r>
      <w:r w:rsidRPr="004C6CC5">
        <w:rPr>
          <w:rFonts w:ascii="Arial" w:hAnsi="Arial" w:cs="Arial"/>
          <w:sz w:val="20"/>
          <w:szCs w:val="20"/>
        </w:rPr>
        <w:t xml:space="preserve"> 56 wejść statków</w:t>
      </w:r>
      <w:r w:rsidR="004C6CC5">
        <w:rPr>
          <w:rFonts w:ascii="Arial" w:hAnsi="Arial" w:cs="Arial"/>
          <w:sz w:val="20"/>
          <w:szCs w:val="20"/>
        </w:rPr>
        <w:t xml:space="preserve"> w </w:t>
      </w:r>
      <w:r w:rsidRPr="004C6CC5">
        <w:rPr>
          <w:rFonts w:ascii="Arial" w:hAnsi="Arial" w:cs="Arial"/>
          <w:sz w:val="20"/>
          <w:szCs w:val="20"/>
        </w:rPr>
        <w:t>strefy zamknięte dla żeglugi</w:t>
      </w:r>
      <w:r w:rsidR="004C6CC5">
        <w:rPr>
          <w:rFonts w:ascii="Arial" w:hAnsi="Arial" w:cs="Arial"/>
          <w:sz w:val="20"/>
          <w:szCs w:val="20"/>
        </w:rPr>
        <w:t xml:space="preserve"> i </w:t>
      </w:r>
      <w:r w:rsidR="00210B85">
        <w:rPr>
          <w:rFonts w:ascii="Arial" w:hAnsi="Arial" w:cs="Arial"/>
          <w:sz w:val="20"/>
          <w:szCs w:val="20"/>
        </w:rPr>
        <w:t>rybołówstwa,</w:t>
      </w:r>
      <w:r w:rsidRPr="004C6CC5">
        <w:rPr>
          <w:rFonts w:ascii="Arial" w:hAnsi="Arial" w:cs="Arial"/>
          <w:sz w:val="20"/>
          <w:szCs w:val="20"/>
        </w:rPr>
        <w:t xml:space="preserve"> 9 nietrzeźwych </w:t>
      </w:r>
      <w:r w:rsidR="00210B85">
        <w:rPr>
          <w:rFonts w:ascii="Arial" w:hAnsi="Arial" w:cs="Arial"/>
          <w:sz w:val="20"/>
          <w:szCs w:val="20"/>
        </w:rPr>
        <w:t>osób na jednostkach pływających,</w:t>
      </w:r>
      <w:r w:rsidRPr="004C6CC5">
        <w:rPr>
          <w:rFonts w:ascii="Arial" w:hAnsi="Arial" w:cs="Arial"/>
          <w:sz w:val="20"/>
          <w:szCs w:val="20"/>
        </w:rPr>
        <w:t xml:space="preserve"> 188 przypadków zwrócenia uwagi na kwestie bezpieczeństwa żeglugi, ochrony środowiska morskiego o</w:t>
      </w:r>
      <w:r w:rsidR="00210B85">
        <w:rPr>
          <w:rFonts w:ascii="Arial" w:hAnsi="Arial" w:cs="Arial"/>
          <w:sz w:val="20"/>
          <w:szCs w:val="20"/>
        </w:rPr>
        <w:t>raz wykonywania rybołówstwa, a także</w:t>
      </w:r>
      <w:r w:rsidRPr="004C6CC5">
        <w:rPr>
          <w:rFonts w:ascii="Arial" w:hAnsi="Arial" w:cs="Arial"/>
          <w:sz w:val="20"/>
          <w:szCs w:val="20"/>
        </w:rPr>
        <w:t xml:space="preserve"> podjęto 12425 m nieoznakowanych narzędzi połowowych. </w:t>
      </w:r>
    </w:p>
    <w:p w14:paraId="2A461AE2" w14:textId="53B86A8C"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wyniku przeprowadzonej</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kontroli ruchu granicznego osób</w:t>
      </w:r>
      <w:r w:rsidR="004C6CC5">
        <w:rPr>
          <w:rFonts w:ascii="Arial" w:hAnsi="Arial" w:cs="Arial"/>
          <w:sz w:val="20"/>
          <w:szCs w:val="20"/>
        </w:rPr>
        <w:t xml:space="preserve"> i </w:t>
      </w:r>
      <w:r w:rsidRPr="004C6CC5">
        <w:rPr>
          <w:rFonts w:ascii="Arial" w:hAnsi="Arial" w:cs="Arial"/>
          <w:sz w:val="20"/>
          <w:szCs w:val="20"/>
        </w:rPr>
        <w:t>środków transportu</w:t>
      </w:r>
      <w:r w:rsidR="004C6CC5">
        <w:rPr>
          <w:rFonts w:ascii="Arial" w:hAnsi="Arial" w:cs="Arial"/>
          <w:sz w:val="20"/>
          <w:szCs w:val="20"/>
        </w:rPr>
        <w:t xml:space="preserve"> w </w:t>
      </w:r>
      <w:r w:rsidRPr="004C6CC5">
        <w:rPr>
          <w:rFonts w:ascii="Arial" w:hAnsi="Arial" w:cs="Arial"/>
          <w:sz w:val="20"/>
          <w:szCs w:val="20"/>
        </w:rPr>
        <w:t>mor</w:t>
      </w:r>
      <w:r w:rsidR="00D721CB">
        <w:rPr>
          <w:rFonts w:ascii="Arial" w:hAnsi="Arial" w:cs="Arial"/>
          <w:sz w:val="20"/>
          <w:szCs w:val="20"/>
        </w:rPr>
        <w:t xml:space="preserve">skich przejściach granicznych </w:t>
      </w:r>
      <w:r w:rsidRPr="004C6CC5">
        <w:rPr>
          <w:rFonts w:ascii="Arial" w:hAnsi="Arial" w:cs="Arial"/>
          <w:sz w:val="20"/>
          <w:szCs w:val="20"/>
        </w:rPr>
        <w:t>odprawiono granicznie 168 684 osoby</w:t>
      </w:r>
      <w:r w:rsidR="004C6CC5">
        <w:rPr>
          <w:rFonts w:ascii="Arial" w:hAnsi="Arial" w:cs="Arial"/>
          <w:sz w:val="20"/>
          <w:szCs w:val="20"/>
        </w:rPr>
        <w:t xml:space="preserve"> i </w:t>
      </w:r>
      <w:r w:rsidRPr="004C6CC5">
        <w:rPr>
          <w:rFonts w:ascii="Arial" w:hAnsi="Arial" w:cs="Arial"/>
          <w:sz w:val="20"/>
          <w:szCs w:val="20"/>
        </w:rPr>
        <w:t>13 218 statków. Ponadto</w:t>
      </w:r>
      <w:r w:rsidR="004C6CC5">
        <w:rPr>
          <w:rFonts w:ascii="Arial" w:hAnsi="Arial" w:cs="Arial"/>
          <w:sz w:val="20"/>
          <w:szCs w:val="20"/>
        </w:rPr>
        <w:t xml:space="preserve"> w </w:t>
      </w:r>
      <w:r w:rsidRPr="004C6CC5">
        <w:rPr>
          <w:rFonts w:ascii="Arial" w:hAnsi="Arial" w:cs="Arial"/>
          <w:sz w:val="20"/>
          <w:szCs w:val="20"/>
        </w:rPr>
        <w:t>ramach prowadzonej analizy ryzyka</w:t>
      </w:r>
      <w:r w:rsidR="004C6CC5">
        <w:rPr>
          <w:rFonts w:ascii="Arial" w:hAnsi="Arial" w:cs="Arial"/>
          <w:sz w:val="20"/>
          <w:szCs w:val="20"/>
        </w:rPr>
        <w:t xml:space="preserve"> w </w:t>
      </w:r>
      <w:r w:rsidRPr="004C6CC5">
        <w:rPr>
          <w:rFonts w:ascii="Arial" w:hAnsi="Arial" w:cs="Arial"/>
          <w:sz w:val="20"/>
          <w:szCs w:val="20"/>
        </w:rPr>
        <w:t>systemach teleinformatycznych SG dokonano sprawdzeń 445 021 osób oraz 20 324 statków. Do zadań Straży Granicznej należy również zapewnienie bezpieczeństwa żeglugi</w:t>
      </w:r>
      <w:r w:rsidR="004C6CC5">
        <w:rPr>
          <w:rFonts w:ascii="Arial" w:hAnsi="Arial" w:cs="Arial"/>
          <w:sz w:val="20"/>
          <w:szCs w:val="20"/>
        </w:rPr>
        <w:t xml:space="preserve"> i </w:t>
      </w:r>
      <w:r w:rsidRPr="004C6CC5">
        <w:rPr>
          <w:rFonts w:ascii="Arial" w:hAnsi="Arial" w:cs="Arial"/>
          <w:sz w:val="20"/>
          <w:szCs w:val="20"/>
        </w:rPr>
        <w:t xml:space="preserve">ochrony portów morskich realizowane poprzez: </w:t>
      </w:r>
    </w:p>
    <w:p w14:paraId="5E821F26" w14:textId="2BCCF4D4" w:rsidR="00D226EE" w:rsidRPr="00D721CB" w:rsidRDefault="00D721CB" w:rsidP="00D721CB">
      <w:pPr>
        <w:spacing w:after="120" w:line="276" w:lineRule="auto"/>
        <w:jc w:val="both"/>
        <w:rPr>
          <w:rFonts w:ascii="Arial" w:hAnsi="Arial" w:cs="Arial"/>
          <w:sz w:val="20"/>
          <w:szCs w:val="20"/>
        </w:rPr>
      </w:pPr>
      <w:r>
        <w:rPr>
          <w:rFonts w:ascii="Arial" w:hAnsi="Arial" w:cs="Arial"/>
          <w:sz w:val="20"/>
          <w:szCs w:val="20"/>
        </w:rPr>
        <w:t xml:space="preserve">- </w:t>
      </w:r>
      <w:r w:rsidR="00D226EE" w:rsidRPr="00D721CB">
        <w:rPr>
          <w:rFonts w:ascii="Arial" w:hAnsi="Arial" w:cs="Arial"/>
          <w:sz w:val="20"/>
          <w:szCs w:val="20"/>
        </w:rPr>
        <w:t>monitorowanie żeglugi</w:t>
      </w:r>
      <w:r w:rsidR="004C6CC5" w:rsidRPr="00D721CB">
        <w:rPr>
          <w:rFonts w:ascii="Arial" w:hAnsi="Arial" w:cs="Arial"/>
          <w:sz w:val="20"/>
          <w:szCs w:val="20"/>
        </w:rPr>
        <w:t xml:space="preserve"> i </w:t>
      </w:r>
      <w:r w:rsidR="00D226EE" w:rsidRPr="00D721CB">
        <w:rPr>
          <w:rFonts w:ascii="Arial" w:hAnsi="Arial" w:cs="Arial"/>
          <w:sz w:val="20"/>
          <w:szCs w:val="20"/>
        </w:rPr>
        <w:t xml:space="preserve">przestrzegania przepisów obowiązujących na polskich obszarach morskich, </w:t>
      </w:r>
    </w:p>
    <w:p w14:paraId="40F1E6D9" w14:textId="5E602B4E" w:rsidR="00D226EE" w:rsidRPr="00D721CB" w:rsidRDefault="00D721CB" w:rsidP="00D721CB">
      <w:pPr>
        <w:spacing w:after="120" w:line="276" w:lineRule="auto"/>
        <w:jc w:val="both"/>
        <w:rPr>
          <w:rFonts w:ascii="Arial" w:hAnsi="Arial" w:cs="Arial"/>
          <w:sz w:val="20"/>
          <w:szCs w:val="20"/>
        </w:rPr>
      </w:pPr>
      <w:r>
        <w:rPr>
          <w:rFonts w:ascii="Arial" w:hAnsi="Arial" w:cs="Arial"/>
          <w:sz w:val="20"/>
          <w:szCs w:val="20"/>
        </w:rPr>
        <w:t xml:space="preserve">- </w:t>
      </w:r>
      <w:r w:rsidR="00D226EE" w:rsidRPr="00D721CB">
        <w:rPr>
          <w:rFonts w:ascii="Arial" w:hAnsi="Arial" w:cs="Arial"/>
          <w:sz w:val="20"/>
          <w:szCs w:val="20"/>
        </w:rPr>
        <w:t>udział</w:t>
      </w:r>
      <w:r w:rsidR="004C6CC5" w:rsidRPr="00D721CB">
        <w:rPr>
          <w:rFonts w:ascii="Arial" w:hAnsi="Arial" w:cs="Arial"/>
          <w:sz w:val="20"/>
          <w:szCs w:val="20"/>
        </w:rPr>
        <w:t xml:space="preserve"> w </w:t>
      </w:r>
      <w:r w:rsidR="00D226EE" w:rsidRPr="00D721CB">
        <w:rPr>
          <w:rFonts w:ascii="Arial" w:hAnsi="Arial" w:cs="Arial"/>
          <w:sz w:val="20"/>
          <w:szCs w:val="20"/>
        </w:rPr>
        <w:t>akcjach ratowniczych</w:t>
      </w:r>
      <w:r w:rsidR="004C6CC5" w:rsidRPr="00D721CB">
        <w:rPr>
          <w:rFonts w:ascii="Arial" w:hAnsi="Arial" w:cs="Arial"/>
          <w:sz w:val="20"/>
          <w:szCs w:val="20"/>
        </w:rPr>
        <w:t xml:space="preserve"> i </w:t>
      </w:r>
      <w:r w:rsidR="00D226EE" w:rsidRPr="00D721CB">
        <w:rPr>
          <w:rFonts w:ascii="Arial" w:hAnsi="Arial" w:cs="Arial"/>
          <w:sz w:val="20"/>
          <w:szCs w:val="20"/>
        </w:rPr>
        <w:t>ćwiczeniach</w:t>
      </w:r>
      <w:r w:rsidR="004C6CC5" w:rsidRPr="00D721CB">
        <w:rPr>
          <w:rFonts w:ascii="Arial" w:hAnsi="Arial" w:cs="Arial"/>
          <w:sz w:val="20"/>
          <w:szCs w:val="20"/>
        </w:rPr>
        <w:t xml:space="preserve"> w </w:t>
      </w:r>
      <w:r w:rsidR="00D226EE" w:rsidRPr="00D721CB">
        <w:rPr>
          <w:rFonts w:ascii="Arial" w:hAnsi="Arial" w:cs="Arial"/>
          <w:sz w:val="20"/>
          <w:szCs w:val="20"/>
        </w:rPr>
        <w:t>zakresie poszukiwania</w:t>
      </w:r>
      <w:r w:rsidR="00A03760">
        <w:rPr>
          <w:rFonts w:ascii="Arial" w:hAnsi="Arial" w:cs="Arial"/>
          <w:sz w:val="20"/>
          <w:szCs w:val="20"/>
        </w:rPr>
        <w:t xml:space="preserve"> i </w:t>
      </w:r>
      <w:r w:rsidR="00D850BE">
        <w:rPr>
          <w:rFonts w:ascii="Arial" w:hAnsi="Arial" w:cs="Arial"/>
          <w:sz w:val="20"/>
          <w:szCs w:val="20"/>
        </w:rPr>
        <w:t>ratowania życia na morzu (SAR) -</w:t>
      </w:r>
      <w:r w:rsidR="00D226EE" w:rsidRPr="00D721CB">
        <w:rPr>
          <w:rFonts w:ascii="Arial" w:hAnsi="Arial" w:cs="Arial"/>
          <w:sz w:val="20"/>
          <w:szCs w:val="20"/>
        </w:rPr>
        <w:t xml:space="preserve"> jednostki pływające SG brały udział</w:t>
      </w:r>
      <w:r w:rsidR="004C6CC5" w:rsidRPr="00D721CB">
        <w:rPr>
          <w:rFonts w:ascii="Arial" w:hAnsi="Arial" w:cs="Arial"/>
          <w:sz w:val="20"/>
          <w:szCs w:val="20"/>
        </w:rPr>
        <w:t xml:space="preserve"> w </w:t>
      </w:r>
      <w:r w:rsidR="00A142ED">
        <w:rPr>
          <w:rFonts w:ascii="Arial" w:hAnsi="Arial" w:cs="Arial"/>
          <w:sz w:val="20"/>
          <w:szCs w:val="20"/>
        </w:rPr>
        <w:t>13 akcjach SAR;</w:t>
      </w:r>
      <w:r w:rsidR="00D226EE" w:rsidRPr="00D721CB">
        <w:rPr>
          <w:rFonts w:ascii="Arial" w:hAnsi="Arial" w:cs="Arial"/>
          <w:sz w:val="20"/>
          <w:szCs w:val="20"/>
        </w:rPr>
        <w:t xml:space="preserve"> </w:t>
      </w:r>
    </w:p>
    <w:p w14:paraId="1B31D7D8" w14:textId="2BE825D0" w:rsidR="00D226EE" w:rsidRPr="00D721CB" w:rsidRDefault="00D721CB" w:rsidP="00D721CB">
      <w:pPr>
        <w:spacing w:after="120" w:line="276" w:lineRule="auto"/>
        <w:jc w:val="both"/>
        <w:rPr>
          <w:rFonts w:ascii="Arial" w:hAnsi="Arial" w:cs="Arial"/>
          <w:sz w:val="20"/>
          <w:szCs w:val="20"/>
        </w:rPr>
      </w:pPr>
      <w:r>
        <w:rPr>
          <w:rFonts w:ascii="Arial" w:hAnsi="Arial" w:cs="Arial"/>
          <w:sz w:val="20"/>
          <w:szCs w:val="20"/>
        </w:rPr>
        <w:t xml:space="preserve">- </w:t>
      </w:r>
      <w:r w:rsidR="00D226EE" w:rsidRPr="00D721CB">
        <w:rPr>
          <w:rFonts w:ascii="Arial" w:hAnsi="Arial" w:cs="Arial"/>
          <w:sz w:val="20"/>
          <w:szCs w:val="20"/>
        </w:rPr>
        <w:t>w zakresie funkcjonowania morskich przejść granicznych opiniowano 23 oceny stanu ochrony obiektów portowych oraz 29 planów ochrony obiektów portowych;</w:t>
      </w:r>
    </w:p>
    <w:p w14:paraId="6232381B" w14:textId="0C33FB94" w:rsidR="00D226EE" w:rsidRPr="00D721CB" w:rsidRDefault="00D721CB" w:rsidP="00D721CB">
      <w:pPr>
        <w:spacing w:after="120" w:line="276" w:lineRule="auto"/>
        <w:jc w:val="both"/>
        <w:rPr>
          <w:rFonts w:ascii="Arial" w:hAnsi="Arial" w:cs="Arial"/>
          <w:sz w:val="20"/>
          <w:szCs w:val="20"/>
        </w:rPr>
      </w:pPr>
      <w:r>
        <w:rPr>
          <w:rFonts w:ascii="Arial" w:hAnsi="Arial" w:cs="Arial"/>
          <w:sz w:val="20"/>
          <w:szCs w:val="20"/>
        </w:rPr>
        <w:t xml:space="preserve">- </w:t>
      </w:r>
      <w:r w:rsidR="00D226EE" w:rsidRPr="00D721CB">
        <w:rPr>
          <w:rFonts w:ascii="Arial" w:hAnsi="Arial" w:cs="Arial"/>
          <w:sz w:val="20"/>
          <w:szCs w:val="20"/>
        </w:rPr>
        <w:t>ochronę środowiska morskiego,</w:t>
      </w:r>
      <w:r w:rsidR="004C6CC5" w:rsidRPr="00D721CB">
        <w:rPr>
          <w:rFonts w:ascii="Arial" w:hAnsi="Arial" w:cs="Arial"/>
          <w:sz w:val="20"/>
          <w:szCs w:val="20"/>
        </w:rPr>
        <w:t xml:space="preserve"> w </w:t>
      </w:r>
      <w:r w:rsidR="00D226EE" w:rsidRPr="00D721CB">
        <w:rPr>
          <w:rFonts w:ascii="Arial" w:hAnsi="Arial" w:cs="Arial"/>
          <w:sz w:val="20"/>
          <w:szCs w:val="20"/>
        </w:rPr>
        <w:t>tym udział Wojewódzkich Inspektorów Ochrony Środowiska</w:t>
      </w:r>
      <w:r w:rsidR="004C6CC5" w:rsidRPr="00D721CB">
        <w:rPr>
          <w:rFonts w:ascii="Arial" w:hAnsi="Arial" w:cs="Arial"/>
          <w:sz w:val="20"/>
          <w:szCs w:val="20"/>
        </w:rPr>
        <w:t xml:space="preserve"> w </w:t>
      </w:r>
      <w:r w:rsidR="00D226EE" w:rsidRPr="00D721CB">
        <w:rPr>
          <w:rFonts w:ascii="Arial" w:hAnsi="Arial" w:cs="Arial"/>
          <w:sz w:val="20"/>
          <w:szCs w:val="20"/>
        </w:rPr>
        <w:t>rejsach na jednostkach pływających SG</w:t>
      </w:r>
      <w:r w:rsidR="004C6CC5" w:rsidRPr="00D721CB">
        <w:rPr>
          <w:rFonts w:ascii="Arial" w:hAnsi="Arial" w:cs="Arial"/>
          <w:sz w:val="20"/>
          <w:szCs w:val="20"/>
        </w:rPr>
        <w:t xml:space="preserve"> w </w:t>
      </w:r>
      <w:r w:rsidR="00D226EE" w:rsidRPr="00D721CB">
        <w:rPr>
          <w:rFonts w:ascii="Arial" w:hAnsi="Arial" w:cs="Arial"/>
          <w:sz w:val="20"/>
          <w:szCs w:val="20"/>
        </w:rPr>
        <w:t xml:space="preserve">celu pobierania próbek wody w ramach realizacji programu HELCOM </w:t>
      </w:r>
      <w:r w:rsidR="006B3651">
        <w:rPr>
          <w:rFonts w:ascii="Arial" w:hAnsi="Arial" w:cs="Arial"/>
          <w:sz w:val="20"/>
          <w:szCs w:val="20"/>
        </w:rPr>
        <w:t>-</w:t>
      </w:r>
      <w:r w:rsidR="00D226EE" w:rsidRPr="00D721CB">
        <w:rPr>
          <w:rFonts w:ascii="Arial" w:hAnsi="Arial" w:cs="Arial"/>
          <w:sz w:val="20"/>
          <w:szCs w:val="20"/>
        </w:rPr>
        <w:t xml:space="preserve"> zrealizowano 25 rejsów jednostkami pływającymi SG</w:t>
      </w:r>
      <w:r w:rsidR="004C6CC5" w:rsidRPr="00D721CB">
        <w:rPr>
          <w:rFonts w:ascii="Arial" w:hAnsi="Arial" w:cs="Arial"/>
          <w:sz w:val="20"/>
          <w:szCs w:val="20"/>
        </w:rPr>
        <w:t xml:space="preserve"> z </w:t>
      </w:r>
      <w:r w:rsidR="006B3651">
        <w:rPr>
          <w:rFonts w:ascii="Arial" w:hAnsi="Arial" w:cs="Arial"/>
          <w:sz w:val="20"/>
          <w:szCs w:val="20"/>
        </w:rPr>
        <w:t>udziałem inspektorów WIOŚ.</w:t>
      </w:r>
    </w:p>
    <w:p w14:paraId="3B9F5E51" w14:textId="40225BDA"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ramach współpracy Straży Granicznej</w:t>
      </w:r>
      <w:r w:rsidR="004C6CC5">
        <w:rPr>
          <w:rFonts w:ascii="Arial" w:hAnsi="Arial" w:cs="Arial"/>
          <w:sz w:val="20"/>
          <w:szCs w:val="20"/>
        </w:rPr>
        <w:t xml:space="preserve"> z </w:t>
      </w:r>
      <w:r w:rsidRPr="004C6CC5">
        <w:rPr>
          <w:rFonts w:ascii="Arial" w:hAnsi="Arial" w:cs="Arial"/>
          <w:sz w:val="20"/>
          <w:szCs w:val="20"/>
        </w:rPr>
        <w:t>innymi podmiotami zrealizowano na polskich obszarach morskich 33 wspólne patrole</w:t>
      </w:r>
      <w:r w:rsidR="004C6CC5">
        <w:rPr>
          <w:rFonts w:ascii="Arial" w:hAnsi="Arial" w:cs="Arial"/>
          <w:sz w:val="20"/>
          <w:szCs w:val="20"/>
        </w:rPr>
        <w:t xml:space="preserve"> z </w:t>
      </w:r>
      <w:r w:rsidRPr="004C6CC5">
        <w:rPr>
          <w:rFonts w:ascii="Arial" w:hAnsi="Arial" w:cs="Arial"/>
          <w:sz w:val="20"/>
          <w:szCs w:val="20"/>
        </w:rPr>
        <w:t>funkcjonariuszami Policji, 15</w:t>
      </w:r>
      <w:r w:rsidR="004C6CC5">
        <w:rPr>
          <w:rFonts w:ascii="Arial" w:hAnsi="Arial" w:cs="Arial"/>
          <w:sz w:val="20"/>
          <w:szCs w:val="20"/>
        </w:rPr>
        <w:t xml:space="preserve"> z </w:t>
      </w:r>
      <w:r w:rsidRPr="004C6CC5">
        <w:rPr>
          <w:rFonts w:ascii="Arial" w:hAnsi="Arial" w:cs="Arial"/>
          <w:sz w:val="20"/>
          <w:szCs w:val="20"/>
        </w:rPr>
        <w:t>inspektorami GIRM, 5</w:t>
      </w:r>
      <w:r w:rsidR="004C6CC5">
        <w:rPr>
          <w:rFonts w:ascii="Arial" w:hAnsi="Arial" w:cs="Arial"/>
          <w:sz w:val="20"/>
          <w:szCs w:val="20"/>
        </w:rPr>
        <w:t xml:space="preserve"> z </w:t>
      </w:r>
      <w:r w:rsidR="00E63BA5">
        <w:rPr>
          <w:rFonts w:ascii="Arial" w:hAnsi="Arial" w:cs="Arial"/>
          <w:sz w:val="20"/>
          <w:szCs w:val="20"/>
        </w:rPr>
        <w:t>inspektorami urzędów m</w:t>
      </w:r>
      <w:r w:rsidRPr="004C6CC5">
        <w:rPr>
          <w:rFonts w:ascii="Arial" w:hAnsi="Arial" w:cs="Arial"/>
          <w:sz w:val="20"/>
          <w:szCs w:val="20"/>
        </w:rPr>
        <w:t>orskich oraz 2</w:t>
      </w:r>
      <w:r w:rsidR="004C6CC5">
        <w:rPr>
          <w:rFonts w:ascii="Arial" w:hAnsi="Arial" w:cs="Arial"/>
          <w:sz w:val="20"/>
          <w:szCs w:val="20"/>
        </w:rPr>
        <w:t xml:space="preserve"> z </w:t>
      </w:r>
      <w:r w:rsidRPr="004C6CC5">
        <w:rPr>
          <w:rFonts w:ascii="Arial" w:hAnsi="Arial" w:cs="Arial"/>
          <w:sz w:val="20"/>
          <w:szCs w:val="20"/>
        </w:rPr>
        <w:t xml:space="preserve">Krajową Administracją Skarbową. </w:t>
      </w:r>
    </w:p>
    <w:p w14:paraId="6BF22297" w14:textId="12E00E06"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Do ochrony morskiego odcinka granicy państwowej Rzeczypospolitej Polskiej</w:t>
      </w:r>
      <w:r w:rsidR="006B3651">
        <w:rPr>
          <w:rFonts w:ascii="Arial" w:hAnsi="Arial" w:cs="Arial"/>
          <w:sz w:val="20"/>
          <w:szCs w:val="20"/>
        </w:rPr>
        <w:t xml:space="preserve"> z powietrza </w:t>
      </w:r>
      <w:r w:rsidRPr="004C6CC5">
        <w:rPr>
          <w:rFonts w:ascii="Arial" w:hAnsi="Arial" w:cs="Arial"/>
          <w:sz w:val="20"/>
          <w:szCs w:val="20"/>
        </w:rPr>
        <w:t>wykorzystywano statki powietrzne Lotnictwa Straży Granicznej, które</w:t>
      </w:r>
      <w:r w:rsidR="004C6CC5">
        <w:rPr>
          <w:rFonts w:ascii="Arial" w:hAnsi="Arial" w:cs="Arial"/>
          <w:sz w:val="20"/>
          <w:szCs w:val="20"/>
        </w:rPr>
        <w:t xml:space="preserve"> w </w:t>
      </w:r>
      <w:r w:rsidRPr="004C6CC5">
        <w:rPr>
          <w:rFonts w:ascii="Arial" w:hAnsi="Arial" w:cs="Arial"/>
          <w:sz w:val="20"/>
          <w:szCs w:val="20"/>
        </w:rPr>
        <w:t>ramach wykonywania działań na polskich obszarach morskich</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zrealizowały 50 lotów patrolowych oraz 10 lotów dor</w:t>
      </w:r>
      <w:r w:rsidR="00ED1C5F">
        <w:rPr>
          <w:rFonts w:ascii="Arial" w:hAnsi="Arial" w:cs="Arial"/>
          <w:sz w:val="20"/>
          <w:szCs w:val="20"/>
        </w:rPr>
        <w:t>aźnych. Ich zadania polegały m.</w:t>
      </w:r>
      <w:r w:rsidRPr="004C6CC5">
        <w:rPr>
          <w:rFonts w:ascii="Arial" w:hAnsi="Arial" w:cs="Arial"/>
          <w:sz w:val="20"/>
          <w:szCs w:val="20"/>
        </w:rPr>
        <w:t>in. na monitorowaniu obszaru morskiego pod względem legalności pobytu jednostek nawodnych</w:t>
      </w:r>
      <w:r w:rsidR="00ED1C5F">
        <w:rPr>
          <w:rFonts w:ascii="Arial" w:hAnsi="Arial" w:cs="Arial"/>
          <w:sz w:val="20"/>
          <w:szCs w:val="20"/>
        </w:rPr>
        <w:t xml:space="preserve"> w </w:t>
      </w:r>
      <w:r w:rsidRPr="004C6CC5">
        <w:rPr>
          <w:rFonts w:ascii="Arial" w:hAnsi="Arial" w:cs="Arial"/>
          <w:sz w:val="20"/>
          <w:szCs w:val="20"/>
        </w:rPr>
        <w:t>danym obszarze oraz przeszukiwaniu powierzchni wody za pomocą zintegrowanych systemów obserwacji lotniczej</w:t>
      </w:r>
      <w:r w:rsidR="004C6CC5">
        <w:rPr>
          <w:rFonts w:ascii="Arial" w:hAnsi="Arial" w:cs="Arial"/>
          <w:sz w:val="20"/>
          <w:szCs w:val="20"/>
        </w:rPr>
        <w:t xml:space="preserve"> i </w:t>
      </w:r>
      <w:r w:rsidRPr="004C6CC5">
        <w:rPr>
          <w:rFonts w:ascii="Arial" w:hAnsi="Arial" w:cs="Arial"/>
          <w:sz w:val="20"/>
          <w:szCs w:val="20"/>
        </w:rPr>
        <w:t>radarów, celem rozpoznawania jednostek pływających, które naruszyły przepisy na morzu,</w:t>
      </w:r>
      <w:r w:rsidR="004C6CC5">
        <w:rPr>
          <w:rFonts w:ascii="Arial" w:hAnsi="Arial" w:cs="Arial"/>
          <w:sz w:val="20"/>
          <w:szCs w:val="20"/>
        </w:rPr>
        <w:t xml:space="preserve"> w </w:t>
      </w:r>
      <w:r w:rsidRPr="004C6CC5">
        <w:rPr>
          <w:rFonts w:ascii="Arial" w:hAnsi="Arial" w:cs="Arial"/>
          <w:sz w:val="20"/>
          <w:szCs w:val="20"/>
        </w:rPr>
        <w:t>tym wpłynęły na akweny zamknięte dla żeglugi, zanieczyściły środowisko morskie</w:t>
      </w:r>
      <w:r w:rsidR="00ED1C5F">
        <w:rPr>
          <w:rFonts w:ascii="Arial" w:hAnsi="Arial" w:cs="Arial"/>
          <w:sz w:val="20"/>
          <w:szCs w:val="20"/>
        </w:rPr>
        <w:t xml:space="preserve">, lub </w:t>
      </w:r>
      <w:r w:rsidR="004C6CC5">
        <w:rPr>
          <w:rFonts w:ascii="Arial" w:hAnsi="Arial" w:cs="Arial"/>
          <w:sz w:val="20"/>
          <w:szCs w:val="20"/>
        </w:rPr>
        <w:t>z </w:t>
      </w:r>
      <w:r w:rsidRPr="004C6CC5">
        <w:rPr>
          <w:rFonts w:ascii="Arial" w:hAnsi="Arial" w:cs="Arial"/>
          <w:sz w:val="20"/>
          <w:szCs w:val="20"/>
        </w:rPr>
        <w:t>których płetwonurkowie wykonywali przeszukiwania wraków statków bez wymaganego zezwolenia.</w:t>
      </w:r>
      <w:r w:rsidR="00ED1C5F">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czasie realizacji lotów patrolowych wspierano akcje SAR. Statki powietrzne Straży Granicznej podczas realizacji zadań nad morzem terytorialnym 15 razy ujawniły rozlew olejowy</w:t>
      </w:r>
      <w:r w:rsidR="004C6CC5">
        <w:rPr>
          <w:rFonts w:ascii="Arial" w:hAnsi="Arial" w:cs="Arial"/>
          <w:sz w:val="20"/>
          <w:szCs w:val="20"/>
        </w:rPr>
        <w:t xml:space="preserve"> w </w:t>
      </w:r>
      <w:r w:rsidR="008D7CF9">
        <w:rPr>
          <w:rFonts w:ascii="Arial" w:hAnsi="Arial" w:cs="Arial"/>
          <w:sz w:val="20"/>
          <w:szCs w:val="20"/>
        </w:rPr>
        <w:t>rejonie wraku statku „</w:t>
      </w:r>
      <w:r w:rsidRPr="004C6CC5">
        <w:rPr>
          <w:rFonts w:ascii="Arial" w:hAnsi="Arial" w:cs="Arial"/>
          <w:sz w:val="20"/>
          <w:szCs w:val="20"/>
        </w:rPr>
        <w:t>Georg Büchner”, o czym zgodnie</w:t>
      </w:r>
      <w:r w:rsidR="004C6CC5">
        <w:rPr>
          <w:rFonts w:ascii="Arial" w:hAnsi="Arial" w:cs="Arial"/>
          <w:sz w:val="20"/>
          <w:szCs w:val="20"/>
        </w:rPr>
        <w:t xml:space="preserve"> z </w:t>
      </w:r>
      <w:r w:rsidRPr="004C6CC5">
        <w:rPr>
          <w:rFonts w:ascii="Arial" w:hAnsi="Arial" w:cs="Arial"/>
          <w:sz w:val="20"/>
          <w:szCs w:val="20"/>
        </w:rPr>
        <w:t>właściwością na bieżąco informowano administrację morską.</w:t>
      </w:r>
    </w:p>
    <w:p w14:paraId="4325DA8A" w14:textId="11A06BC6"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dniach od 6 do 12 września 2019</w:t>
      </w:r>
      <w:r w:rsidR="009D01B9" w:rsidRPr="004C6CC5">
        <w:rPr>
          <w:rFonts w:ascii="Arial" w:hAnsi="Arial" w:cs="Arial"/>
          <w:sz w:val="20"/>
          <w:szCs w:val="20"/>
        </w:rPr>
        <w:t xml:space="preserve"> r. </w:t>
      </w:r>
      <w:r w:rsidRPr="004C6CC5">
        <w:rPr>
          <w:rFonts w:ascii="Arial" w:hAnsi="Arial" w:cs="Arial"/>
          <w:sz w:val="20"/>
          <w:szCs w:val="20"/>
        </w:rPr>
        <w:t>jednostki pływające Straży Granicznej brały udział</w:t>
      </w:r>
      <w:r w:rsidR="004C6CC5">
        <w:rPr>
          <w:rFonts w:ascii="Arial" w:hAnsi="Arial" w:cs="Arial"/>
          <w:sz w:val="20"/>
          <w:szCs w:val="20"/>
        </w:rPr>
        <w:t xml:space="preserve"> w </w:t>
      </w:r>
      <w:r w:rsidRPr="004C6CC5">
        <w:rPr>
          <w:rFonts w:ascii="Arial" w:hAnsi="Arial" w:cs="Arial"/>
          <w:sz w:val="20"/>
          <w:szCs w:val="20"/>
        </w:rPr>
        <w:t>eskortowaniu statków</w:t>
      </w:r>
      <w:r w:rsidR="004C6CC5">
        <w:rPr>
          <w:rFonts w:ascii="Arial" w:hAnsi="Arial" w:cs="Arial"/>
          <w:sz w:val="20"/>
          <w:szCs w:val="20"/>
        </w:rPr>
        <w:t xml:space="preserve"> z </w:t>
      </w:r>
      <w:r w:rsidRPr="004C6CC5">
        <w:rPr>
          <w:rFonts w:ascii="Arial" w:hAnsi="Arial" w:cs="Arial"/>
          <w:sz w:val="20"/>
          <w:szCs w:val="20"/>
        </w:rPr>
        <w:t>węglem zmierzających do portu</w:t>
      </w:r>
      <w:r w:rsidR="004C6CC5">
        <w:rPr>
          <w:rFonts w:ascii="Arial" w:hAnsi="Arial" w:cs="Arial"/>
          <w:sz w:val="20"/>
          <w:szCs w:val="20"/>
        </w:rPr>
        <w:t xml:space="preserve"> w </w:t>
      </w:r>
      <w:r w:rsidRPr="004C6CC5">
        <w:rPr>
          <w:rFonts w:ascii="Arial" w:hAnsi="Arial" w:cs="Arial"/>
          <w:sz w:val="20"/>
          <w:szCs w:val="20"/>
        </w:rPr>
        <w:t>Gdańsku, a także</w:t>
      </w:r>
      <w:r w:rsidR="004C6CC5">
        <w:rPr>
          <w:rFonts w:ascii="Arial" w:hAnsi="Arial" w:cs="Arial"/>
          <w:sz w:val="20"/>
          <w:szCs w:val="20"/>
        </w:rPr>
        <w:t xml:space="preserve"> w </w:t>
      </w:r>
      <w:r w:rsidRPr="004C6CC5">
        <w:rPr>
          <w:rFonts w:ascii="Arial" w:hAnsi="Arial" w:cs="Arial"/>
          <w:sz w:val="20"/>
          <w:szCs w:val="20"/>
        </w:rPr>
        <w:t>działaniach dozorowych</w:t>
      </w:r>
      <w:r w:rsidR="004C6CC5">
        <w:rPr>
          <w:rFonts w:ascii="Arial" w:hAnsi="Arial" w:cs="Arial"/>
          <w:sz w:val="20"/>
          <w:szCs w:val="20"/>
        </w:rPr>
        <w:t xml:space="preserve"> w </w:t>
      </w:r>
      <w:r w:rsidRPr="004C6CC5">
        <w:rPr>
          <w:rFonts w:ascii="Arial" w:hAnsi="Arial" w:cs="Arial"/>
          <w:sz w:val="20"/>
          <w:szCs w:val="20"/>
        </w:rPr>
        <w:t>Porcie Północnym</w:t>
      </w:r>
      <w:r w:rsidR="004C6CC5">
        <w:rPr>
          <w:rFonts w:ascii="Arial" w:hAnsi="Arial" w:cs="Arial"/>
          <w:sz w:val="20"/>
          <w:szCs w:val="20"/>
        </w:rPr>
        <w:t xml:space="preserve"> i </w:t>
      </w:r>
      <w:r w:rsidRPr="004C6CC5">
        <w:rPr>
          <w:rFonts w:ascii="Arial" w:hAnsi="Arial" w:cs="Arial"/>
          <w:sz w:val="20"/>
          <w:szCs w:val="20"/>
        </w:rPr>
        <w:t>na redzie portu Gdańsk. Prowadzono działania interwencyjne wobec aktywistów</w:t>
      </w:r>
      <w:r w:rsidR="004C6CC5">
        <w:rPr>
          <w:rFonts w:ascii="Arial" w:hAnsi="Arial" w:cs="Arial"/>
          <w:sz w:val="20"/>
          <w:szCs w:val="20"/>
        </w:rPr>
        <w:t xml:space="preserve"> z </w:t>
      </w:r>
      <w:r w:rsidRPr="004C6CC5">
        <w:rPr>
          <w:rFonts w:ascii="Arial" w:hAnsi="Arial" w:cs="Arial"/>
          <w:sz w:val="20"/>
          <w:szCs w:val="20"/>
        </w:rPr>
        <w:t xml:space="preserve">organizacji </w:t>
      </w:r>
      <w:r w:rsidR="00E57D8D">
        <w:rPr>
          <w:rFonts w:ascii="Arial" w:hAnsi="Arial" w:cs="Arial"/>
          <w:sz w:val="20"/>
          <w:szCs w:val="20"/>
        </w:rPr>
        <w:t>„</w:t>
      </w:r>
      <w:r w:rsidRPr="004C6CC5">
        <w:rPr>
          <w:rFonts w:ascii="Arial" w:hAnsi="Arial" w:cs="Arial"/>
          <w:sz w:val="20"/>
          <w:szCs w:val="20"/>
        </w:rPr>
        <w:t>G</w:t>
      </w:r>
      <w:r w:rsidR="00E57D8D">
        <w:rPr>
          <w:rFonts w:ascii="Arial" w:hAnsi="Arial" w:cs="Arial"/>
          <w:sz w:val="20"/>
          <w:szCs w:val="20"/>
        </w:rPr>
        <w:t>reen</w:t>
      </w:r>
      <w:r w:rsidRPr="004C6CC5">
        <w:rPr>
          <w:rFonts w:ascii="Arial" w:hAnsi="Arial" w:cs="Arial"/>
          <w:sz w:val="20"/>
          <w:szCs w:val="20"/>
        </w:rPr>
        <w:t xml:space="preserve"> P</w:t>
      </w:r>
      <w:r w:rsidR="00E57D8D">
        <w:rPr>
          <w:rFonts w:ascii="Arial" w:hAnsi="Arial" w:cs="Arial"/>
          <w:sz w:val="20"/>
          <w:szCs w:val="20"/>
        </w:rPr>
        <w:t>eace”</w:t>
      </w:r>
      <w:r w:rsidRPr="004C6CC5">
        <w:rPr>
          <w:rFonts w:ascii="Arial" w:hAnsi="Arial" w:cs="Arial"/>
          <w:sz w:val="20"/>
          <w:szCs w:val="20"/>
        </w:rPr>
        <w:t>, którzy</w:t>
      </w:r>
      <w:r w:rsidR="004C6CC5">
        <w:rPr>
          <w:rFonts w:ascii="Arial" w:hAnsi="Arial" w:cs="Arial"/>
          <w:sz w:val="20"/>
          <w:szCs w:val="20"/>
        </w:rPr>
        <w:t xml:space="preserve"> w </w:t>
      </w:r>
      <w:r w:rsidRPr="004C6CC5">
        <w:rPr>
          <w:rFonts w:ascii="Arial" w:hAnsi="Arial" w:cs="Arial"/>
          <w:sz w:val="20"/>
          <w:szCs w:val="20"/>
        </w:rPr>
        <w:t>oparciu o statek bazowy „RAINBOW WARRIOR” bandery holenderskiej oraz jednostki pomocnicze typu ponton zakłócały żeglugę statków</w:t>
      </w:r>
      <w:r w:rsidR="004C6CC5">
        <w:rPr>
          <w:rFonts w:ascii="Arial" w:hAnsi="Arial" w:cs="Arial"/>
          <w:sz w:val="20"/>
          <w:szCs w:val="20"/>
        </w:rPr>
        <w:t xml:space="preserve"> z </w:t>
      </w:r>
      <w:r w:rsidRPr="004C6CC5">
        <w:rPr>
          <w:rFonts w:ascii="Arial" w:hAnsi="Arial" w:cs="Arial"/>
          <w:sz w:val="20"/>
          <w:szCs w:val="20"/>
        </w:rPr>
        <w:t>węglem oraz proces ich rozładunku</w:t>
      </w:r>
      <w:r w:rsidR="004C6CC5">
        <w:rPr>
          <w:rFonts w:ascii="Arial" w:hAnsi="Arial" w:cs="Arial"/>
          <w:sz w:val="20"/>
          <w:szCs w:val="20"/>
        </w:rPr>
        <w:t xml:space="preserve"> w </w:t>
      </w:r>
      <w:r w:rsidRPr="004C6CC5">
        <w:rPr>
          <w:rFonts w:ascii="Arial" w:hAnsi="Arial" w:cs="Arial"/>
          <w:sz w:val="20"/>
          <w:szCs w:val="20"/>
        </w:rPr>
        <w:t>Porcie Północnym.</w:t>
      </w:r>
      <w:r w:rsidR="00E57D8D">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związku ze stwierdzeniem naruszenia przepisów</w:t>
      </w:r>
      <w:r w:rsidR="004C6CC5">
        <w:rPr>
          <w:rFonts w:ascii="Arial" w:hAnsi="Arial" w:cs="Arial"/>
          <w:sz w:val="20"/>
          <w:szCs w:val="20"/>
        </w:rPr>
        <w:t xml:space="preserve"> z </w:t>
      </w:r>
      <w:r w:rsidRPr="004C6CC5">
        <w:rPr>
          <w:rFonts w:ascii="Arial" w:hAnsi="Arial" w:cs="Arial"/>
          <w:sz w:val="20"/>
          <w:szCs w:val="20"/>
        </w:rPr>
        <w:t>zakresu bezpieczeństwa żeglugi przez aktywistów,</w:t>
      </w:r>
      <w:r w:rsidR="004C6CC5">
        <w:rPr>
          <w:rFonts w:ascii="Arial" w:hAnsi="Arial" w:cs="Arial"/>
          <w:sz w:val="20"/>
          <w:szCs w:val="20"/>
        </w:rPr>
        <w:t xml:space="preserve"> w </w:t>
      </w:r>
      <w:r w:rsidRPr="004C6CC5">
        <w:rPr>
          <w:rFonts w:ascii="Arial" w:hAnsi="Arial" w:cs="Arial"/>
          <w:sz w:val="20"/>
          <w:szCs w:val="20"/>
        </w:rPr>
        <w:t>tym niestosowanie się do poleceń wydawanych przez Kapitanat Potu Gdańsk</w:t>
      </w:r>
      <w:r w:rsidR="004C6CC5">
        <w:rPr>
          <w:rFonts w:ascii="Arial" w:hAnsi="Arial" w:cs="Arial"/>
          <w:sz w:val="20"/>
          <w:szCs w:val="20"/>
        </w:rPr>
        <w:t xml:space="preserve"> i </w:t>
      </w:r>
      <w:r w:rsidRPr="004C6CC5">
        <w:rPr>
          <w:rFonts w:ascii="Arial" w:hAnsi="Arial" w:cs="Arial"/>
          <w:sz w:val="20"/>
          <w:szCs w:val="20"/>
        </w:rPr>
        <w:t>dowódców jednostek pływających Straży Granicznej, podjęte zostały przez funkcjonariuszy Wydziału Zabezpieczenia Działań Morskiego Oddziału Straży Granicznej działania abordażowe</w:t>
      </w:r>
      <w:r w:rsidR="004C6CC5">
        <w:rPr>
          <w:rFonts w:ascii="Arial" w:hAnsi="Arial" w:cs="Arial"/>
          <w:sz w:val="20"/>
          <w:szCs w:val="20"/>
        </w:rPr>
        <w:t xml:space="preserve"> i </w:t>
      </w:r>
      <w:r w:rsidRPr="004C6CC5">
        <w:rPr>
          <w:rFonts w:ascii="Arial" w:hAnsi="Arial" w:cs="Arial"/>
          <w:sz w:val="20"/>
          <w:szCs w:val="20"/>
        </w:rPr>
        <w:t>interwencyjne na statku „RAINBOW WARRIOR”. Jednocześnie statki powietrzne Straży Granicznej realizowały loty patrolowe,</w:t>
      </w:r>
      <w:r w:rsidR="004C6CC5">
        <w:rPr>
          <w:rFonts w:ascii="Arial" w:hAnsi="Arial" w:cs="Arial"/>
          <w:sz w:val="20"/>
          <w:szCs w:val="20"/>
        </w:rPr>
        <w:t xml:space="preserve"> w </w:t>
      </w:r>
      <w:r w:rsidRPr="004C6CC5">
        <w:rPr>
          <w:rFonts w:ascii="Arial" w:hAnsi="Arial" w:cs="Arial"/>
          <w:sz w:val="20"/>
          <w:szCs w:val="20"/>
        </w:rPr>
        <w:t xml:space="preserve">trakcie których rejestrowano naruszenia przepisów przez </w:t>
      </w:r>
      <w:r w:rsidRPr="004C6CC5">
        <w:rPr>
          <w:rFonts w:ascii="Arial" w:hAnsi="Arial" w:cs="Arial"/>
          <w:sz w:val="20"/>
          <w:szCs w:val="20"/>
        </w:rPr>
        <w:lastRenderedPageBreak/>
        <w:t>aktywistów</w:t>
      </w:r>
      <w:r w:rsidR="00E57D8D">
        <w:rPr>
          <w:rFonts w:ascii="Arial" w:hAnsi="Arial" w:cs="Arial"/>
          <w:sz w:val="20"/>
          <w:szCs w:val="20"/>
        </w:rPr>
        <w:t xml:space="preserve"> i </w:t>
      </w:r>
      <w:r w:rsidRPr="004C6CC5">
        <w:rPr>
          <w:rFonts w:ascii="Arial" w:hAnsi="Arial" w:cs="Arial"/>
          <w:sz w:val="20"/>
          <w:szCs w:val="20"/>
        </w:rPr>
        <w:t>współdziałano</w:t>
      </w:r>
      <w:r w:rsidR="00E57D8D">
        <w:rPr>
          <w:rFonts w:ascii="Arial" w:hAnsi="Arial" w:cs="Arial"/>
          <w:sz w:val="20"/>
          <w:szCs w:val="20"/>
        </w:rPr>
        <w:t xml:space="preserve"> z</w:t>
      </w:r>
      <w:r w:rsidR="004C6CC5">
        <w:rPr>
          <w:rFonts w:ascii="Arial" w:hAnsi="Arial" w:cs="Arial"/>
          <w:sz w:val="20"/>
          <w:szCs w:val="20"/>
        </w:rPr>
        <w:t> </w:t>
      </w:r>
      <w:r w:rsidRPr="004C6CC5">
        <w:rPr>
          <w:rFonts w:ascii="Arial" w:hAnsi="Arial" w:cs="Arial"/>
          <w:sz w:val="20"/>
          <w:szCs w:val="20"/>
        </w:rPr>
        <w:t>jednostkami pływającymi Straży Granicznej</w:t>
      </w:r>
      <w:r w:rsidR="004C6CC5">
        <w:rPr>
          <w:rFonts w:ascii="Arial" w:hAnsi="Arial" w:cs="Arial"/>
          <w:sz w:val="20"/>
          <w:szCs w:val="20"/>
        </w:rPr>
        <w:t xml:space="preserve"> w </w:t>
      </w:r>
      <w:r w:rsidRPr="004C6CC5">
        <w:rPr>
          <w:rFonts w:ascii="Arial" w:hAnsi="Arial" w:cs="Arial"/>
          <w:sz w:val="20"/>
          <w:szCs w:val="20"/>
        </w:rPr>
        <w:t xml:space="preserve">celu ograniczenia niekorzystnych dla gospodarki państwa skutków ich działania. </w:t>
      </w:r>
    </w:p>
    <w:p w14:paraId="1E3DB853" w14:textId="7B3117F2"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Jednostki pływające Straży Granicznej brały udział</w:t>
      </w:r>
      <w:r w:rsidR="004C6CC5">
        <w:rPr>
          <w:rFonts w:ascii="Arial" w:hAnsi="Arial" w:cs="Arial"/>
          <w:sz w:val="20"/>
          <w:szCs w:val="20"/>
        </w:rPr>
        <w:t xml:space="preserve"> w </w:t>
      </w:r>
      <w:r w:rsidRPr="004C6CC5">
        <w:rPr>
          <w:rFonts w:ascii="Arial" w:hAnsi="Arial" w:cs="Arial"/>
          <w:sz w:val="20"/>
          <w:szCs w:val="20"/>
        </w:rPr>
        <w:t>eskortowaniu okrętów Marynarki Wojennej RP transportujących niewybuchy</w:t>
      </w:r>
      <w:r w:rsidR="003607FC">
        <w:rPr>
          <w:rFonts w:ascii="Arial" w:hAnsi="Arial" w:cs="Arial"/>
          <w:sz w:val="20"/>
          <w:szCs w:val="20"/>
        </w:rPr>
        <w:t xml:space="preserve"> z </w:t>
      </w:r>
      <w:r w:rsidRPr="004C6CC5">
        <w:rPr>
          <w:rFonts w:ascii="Arial" w:hAnsi="Arial" w:cs="Arial"/>
          <w:sz w:val="20"/>
          <w:szCs w:val="20"/>
        </w:rPr>
        <w:t>okresu II wojny światowej, a także statków</w:t>
      </w:r>
      <w:r w:rsidR="009A3E6F">
        <w:rPr>
          <w:rFonts w:ascii="Arial" w:hAnsi="Arial" w:cs="Arial"/>
          <w:sz w:val="20"/>
          <w:szCs w:val="20"/>
        </w:rPr>
        <w:t xml:space="preserve"> z </w:t>
      </w:r>
      <w:r w:rsidRPr="004C6CC5">
        <w:rPr>
          <w:rFonts w:ascii="Arial" w:hAnsi="Arial" w:cs="Arial"/>
          <w:sz w:val="20"/>
          <w:szCs w:val="20"/>
        </w:rPr>
        <w:t>materiałami niebezpiecznymi podczas załadunku</w:t>
      </w:r>
      <w:r w:rsidR="004C6CC5">
        <w:rPr>
          <w:rFonts w:ascii="Arial" w:hAnsi="Arial" w:cs="Arial"/>
          <w:sz w:val="20"/>
          <w:szCs w:val="20"/>
        </w:rPr>
        <w:t xml:space="preserve"> i </w:t>
      </w:r>
      <w:r w:rsidRPr="004C6CC5">
        <w:rPr>
          <w:rFonts w:ascii="Arial" w:hAnsi="Arial" w:cs="Arial"/>
          <w:sz w:val="20"/>
          <w:szCs w:val="20"/>
        </w:rPr>
        <w:t>wyjścia</w:t>
      </w:r>
      <w:r w:rsidR="004C6CC5">
        <w:rPr>
          <w:rFonts w:ascii="Arial" w:hAnsi="Arial" w:cs="Arial"/>
          <w:sz w:val="20"/>
          <w:szCs w:val="20"/>
        </w:rPr>
        <w:t xml:space="preserve"> z </w:t>
      </w:r>
      <w:r w:rsidRPr="004C6CC5">
        <w:rPr>
          <w:rFonts w:ascii="Arial" w:hAnsi="Arial" w:cs="Arial"/>
          <w:sz w:val="20"/>
          <w:szCs w:val="20"/>
        </w:rPr>
        <w:t xml:space="preserve">portu. </w:t>
      </w:r>
    </w:p>
    <w:p w14:paraId="40D519F9" w14:textId="7463762E"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Straż Graniczna realizowała także działania związane</w:t>
      </w:r>
      <w:r w:rsidR="00206CED">
        <w:rPr>
          <w:rFonts w:ascii="Arial" w:hAnsi="Arial" w:cs="Arial"/>
          <w:sz w:val="20"/>
          <w:szCs w:val="20"/>
        </w:rPr>
        <w:t xml:space="preserve"> z </w:t>
      </w:r>
      <w:r w:rsidRPr="004C6CC5">
        <w:rPr>
          <w:rFonts w:ascii="Arial" w:hAnsi="Arial" w:cs="Arial"/>
          <w:sz w:val="20"/>
          <w:szCs w:val="20"/>
        </w:rPr>
        <w:t>ochroną infrastruktury przemysłowej zlokalizowanej na polskich obszarach morskich</w:t>
      </w:r>
      <w:r w:rsidR="004C6CC5">
        <w:rPr>
          <w:rFonts w:ascii="Arial" w:hAnsi="Arial" w:cs="Arial"/>
          <w:sz w:val="20"/>
          <w:szCs w:val="20"/>
        </w:rPr>
        <w:t xml:space="preserve"> w </w:t>
      </w:r>
      <w:r w:rsidRPr="004C6CC5">
        <w:rPr>
          <w:rFonts w:ascii="Arial" w:hAnsi="Arial" w:cs="Arial"/>
          <w:sz w:val="20"/>
          <w:szCs w:val="20"/>
        </w:rPr>
        <w:t>zakresie bezpieczeństwa energetycznego państwa. Jednostki pływające dywizjonów Straży Granicznej prowadziły działania</w:t>
      </w:r>
      <w:r w:rsidR="004C6CC5">
        <w:rPr>
          <w:rFonts w:ascii="Arial" w:hAnsi="Arial" w:cs="Arial"/>
          <w:sz w:val="20"/>
          <w:szCs w:val="20"/>
        </w:rPr>
        <w:t xml:space="preserve"> w </w:t>
      </w:r>
      <w:r w:rsidRPr="004C6CC5">
        <w:rPr>
          <w:rFonts w:ascii="Arial" w:hAnsi="Arial" w:cs="Arial"/>
          <w:sz w:val="20"/>
          <w:szCs w:val="20"/>
        </w:rPr>
        <w:t>ramach zapewnienia bezpieczeństwa</w:t>
      </w:r>
      <w:r w:rsidR="004C6CC5">
        <w:rPr>
          <w:rFonts w:ascii="Arial" w:hAnsi="Arial" w:cs="Arial"/>
          <w:sz w:val="20"/>
          <w:szCs w:val="20"/>
        </w:rPr>
        <w:t xml:space="preserve"> w </w:t>
      </w:r>
      <w:r w:rsidRPr="004C6CC5">
        <w:rPr>
          <w:rFonts w:ascii="Arial" w:hAnsi="Arial" w:cs="Arial"/>
          <w:sz w:val="20"/>
          <w:szCs w:val="20"/>
        </w:rPr>
        <w:t>trakcie przejścia do portu, prac rozładunkowych</w:t>
      </w:r>
      <w:r w:rsidR="004C6CC5">
        <w:rPr>
          <w:rFonts w:ascii="Arial" w:hAnsi="Arial" w:cs="Arial"/>
          <w:sz w:val="20"/>
          <w:szCs w:val="20"/>
        </w:rPr>
        <w:t xml:space="preserve"> i </w:t>
      </w:r>
      <w:r w:rsidRPr="004C6CC5">
        <w:rPr>
          <w:rFonts w:ascii="Arial" w:hAnsi="Arial" w:cs="Arial"/>
          <w:sz w:val="20"/>
          <w:szCs w:val="20"/>
        </w:rPr>
        <w:t>wyjścia</w:t>
      </w:r>
      <w:r w:rsidR="004C6CC5">
        <w:rPr>
          <w:rFonts w:ascii="Arial" w:hAnsi="Arial" w:cs="Arial"/>
          <w:sz w:val="20"/>
          <w:szCs w:val="20"/>
        </w:rPr>
        <w:t xml:space="preserve"> z </w:t>
      </w:r>
      <w:r w:rsidRPr="004C6CC5">
        <w:rPr>
          <w:rFonts w:ascii="Arial" w:hAnsi="Arial" w:cs="Arial"/>
          <w:sz w:val="20"/>
          <w:szCs w:val="20"/>
        </w:rPr>
        <w:t>portu zbiornikowców LNG</w:t>
      </w:r>
      <w:r w:rsidR="004C6CC5">
        <w:rPr>
          <w:rFonts w:ascii="Arial" w:hAnsi="Arial" w:cs="Arial"/>
          <w:sz w:val="20"/>
          <w:szCs w:val="20"/>
        </w:rPr>
        <w:t xml:space="preserve"> w </w:t>
      </w:r>
      <w:r w:rsidRPr="004C6CC5">
        <w:rPr>
          <w:rFonts w:ascii="Arial" w:hAnsi="Arial" w:cs="Arial"/>
          <w:sz w:val="20"/>
          <w:szCs w:val="20"/>
        </w:rPr>
        <w:t>Gazoporcie</w:t>
      </w:r>
      <w:r w:rsidR="004C6CC5">
        <w:rPr>
          <w:rFonts w:ascii="Arial" w:hAnsi="Arial" w:cs="Arial"/>
          <w:sz w:val="20"/>
          <w:szCs w:val="20"/>
        </w:rPr>
        <w:t xml:space="preserve"> w </w:t>
      </w:r>
      <w:r w:rsidRPr="004C6CC5">
        <w:rPr>
          <w:rFonts w:ascii="Arial" w:hAnsi="Arial" w:cs="Arial"/>
          <w:sz w:val="20"/>
          <w:szCs w:val="20"/>
        </w:rPr>
        <w:t xml:space="preserve">Świnoujściu. </w:t>
      </w:r>
    </w:p>
    <w:p w14:paraId="4A524CC8" w14:textId="69D15806"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Przedstawiciele Straży Granicznej uczestniczyli</w:t>
      </w:r>
      <w:r w:rsidR="004C6CC5">
        <w:rPr>
          <w:rFonts w:ascii="Arial" w:hAnsi="Arial" w:cs="Arial"/>
          <w:sz w:val="20"/>
          <w:szCs w:val="20"/>
        </w:rPr>
        <w:t xml:space="preserve"> w </w:t>
      </w:r>
      <w:r w:rsidRPr="004C6CC5">
        <w:rPr>
          <w:rFonts w:ascii="Arial" w:hAnsi="Arial" w:cs="Arial"/>
          <w:sz w:val="20"/>
          <w:szCs w:val="20"/>
        </w:rPr>
        <w:t>spotkaniach dotyczących budowy</w:t>
      </w:r>
      <w:r w:rsidR="004C6CC5">
        <w:rPr>
          <w:rFonts w:ascii="Arial" w:hAnsi="Arial" w:cs="Arial"/>
          <w:sz w:val="20"/>
          <w:szCs w:val="20"/>
        </w:rPr>
        <w:t xml:space="preserve"> i </w:t>
      </w:r>
      <w:r w:rsidRPr="004C6CC5">
        <w:rPr>
          <w:rFonts w:ascii="Arial" w:hAnsi="Arial" w:cs="Arial"/>
          <w:sz w:val="20"/>
          <w:szCs w:val="20"/>
        </w:rPr>
        <w:t>rozbudowy infrastruktury znajdującej się na polskich obszarach morskich, szczególnie istotnej dla bezpieczeństwa energetycznego oraz rozwoju gospodarczego państwa, to jest budowy linii gazociągu B</w:t>
      </w:r>
      <w:r w:rsidR="00F53379">
        <w:rPr>
          <w:rFonts w:ascii="Arial" w:hAnsi="Arial" w:cs="Arial"/>
          <w:sz w:val="20"/>
          <w:szCs w:val="20"/>
        </w:rPr>
        <w:t xml:space="preserve">altic </w:t>
      </w:r>
      <w:r w:rsidRPr="004C6CC5">
        <w:rPr>
          <w:rFonts w:ascii="Arial" w:hAnsi="Arial" w:cs="Arial"/>
          <w:sz w:val="20"/>
          <w:szCs w:val="20"/>
        </w:rPr>
        <w:t>P</w:t>
      </w:r>
      <w:r w:rsidR="00F53379">
        <w:rPr>
          <w:rFonts w:ascii="Arial" w:hAnsi="Arial" w:cs="Arial"/>
          <w:sz w:val="20"/>
          <w:szCs w:val="20"/>
        </w:rPr>
        <w:t>ipe</w:t>
      </w:r>
      <w:r w:rsidRPr="004C6CC5">
        <w:rPr>
          <w:rFonts w:ascii="Arial" w:hAnsi="Arial" w:cs="Arial"/>
          <w:sz w:val="20"/>
          <w:szCs w:val="20"/>
        </w:rPr>
        <w:t xml:space="preserve"> oraz realizacji inwestycji polegającej na rozbudowie tzw. Portu Zewnętrznego</w:t>
      </w:r>
      <w:r w:rsidR="004C6CC5">
        <w:rPr>
          <w:rFonts w:ascii="Arial" w:hAnsi="Arial" w:cs="Arial"/>
          <w:sz w:val="20"/>
          <w:szCs w:val="20"/>
        </w:rPr>
        <w:t xml:space="preserve"> w </w:t>
      </w:r>
      <w:r w:rsidRPr="004C6CC5">
        <w:rPr>
          <w:rFonts w:ascii="Arial" w:hAnsi="Arial" w:cs="Arial"/>
          <w:sz w:val="20"/>
          <w:szCs w:val="20"/>
        </w:rPr>
        <w:t>Świnoujściu</w:t>
      </w:r>
      <w:r w:rsidR="004C6CC5">
        <w:rPr>
          <w:rFonts w:ascii="Arial" w:hAnsi="Arial" w:cs="Arial"/>
          <w:sz w:val="20"/>
          <w:szCs w:val="20"/>
        </w:rPr>
        <w:t xml:space="preserve"> i </w:t>
      </w:r>
      <w:r w:rsidRPr="004C6CC5">
        <w:rPr>
          <w:rFonts w:ascii="Arial" w:hAnsi="Arial" w:cs="Arial"/>
          <w:sz w:val="20"/>
          <w:szCs w:val="20"/>
        </w:rPr>
        <w:t>zapewnieniu miejsca bazowania jednostek pływających Pomorskiego Dywizjonu Straży Granicznej na terenie Terminala LNG</w:t>
      </w:r>
      <w:r w:rsidR="004C6CC5">
        <w:rPr>
          <w:rFonts w:ascii="Arial" w:hAnsi="Arial" w:cs="Arial"/>
          <w:sz w:val="20"/>
          <w:szCs w:val="20"/>
        </w:rPr>
        <w:t xml:space="preserve"> w </w:t>
      </w:r>
      <w:r w:rsidRPr="004C6CC5">
        <w:rPr>
          <w:rFonts w:ascii="Arial" w:hAnsi="Arial" w:cs="Arial"/>
          <w:sz w:val="20"/>
          <w:szCs w:val="20"/>
        </w:rPr>
        <w:t xml:space="preserve">Świnoujściu. </w:t>
      </w:r>
    </w:p>
    <w:p w14:paraId="52588100" w14:textId="0A6092E2"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Prowadzone były również działania związane</w:t>
      </w:r>
      <w:r w:rsidR="003120B2">
        <w:rPr>
          <w:rFonts w:ascii="Arial" w:hAnsi="Arial" w:cs="Arial"/>
          <w:sz w:val="20"/>
          <w:szCs w:val="20"/>
        </w:rPr>
        <w:t xml:space="preserve"> z </w:t>
      </w:r>
      <w:r w:rsidRPr="004C6CC5">
        <w:rPr>
          <w:rFonts w:ascii="Arial" w:hAnsi="Arial" w:cs="Arial"/>
          <w:sz w:val="20"/>
          <w:szCs w:val="20"/>
        </w:rPr>
        <w:t xml:space="preserve">monitorowaniem </w:t>
      </w:r>
      <w:r w:rsidR="00142E84" w:rsidRPr="004C6CC5">
        <w:rPr>
          <w:rFonts w:ascii="Arial" w:hAnsi="Arial" w:cs="Arial"/>
          <w:sz w:val="20"/>
          <w:szCs w:val="20"/>
        </w:rPr>
        <w:t>bezpieczeństwa podwodnej linii kablowej wysokiego napięcia pomiędzy Polską</w:t>
      </w:r>
      <w:r w:rsidR="00142E84">
        <w:rPr>
          <w:rFonts w:ascii="Arial" w:hAnsi="Arial" w:cs="Arial"/>
          <w:sz w:val="20"/>
          <w:szCs w:val="20"/>
        </w:rPr>
        <w:t xml:space="preserve"> i Szwecją </w:t>
      </w:r>
      <w:r w:rsidR="002B449A">
        <w:rPr>
          <w:rFonts w:ascii="Arial" w:hAnsi="Arial" w:cs="Arial"/>
          <w:sz w:val="20"/>
          <w:szCs w:val="20"/>
        </w:rPr>
        <w:t>z wykorzystaniem</w:t>
      </w:r>
      <w:r w:rsidRPr="004C6CC5">
        <w:rPr>
          <w:rFonts w:ascii="Arial" w:hAnsi="Arial" w:cs="Arial"/>
          <w:sz w:val="20"/>
          <w:szCs w:val="20"/>
        </w:rPr>
        <w:t xml:space="preserve"> Zautomatyzowanego Systemu Radarowego Nadzoru </w:t>
      </w:r>
      <w:r w:rsidR="00C72A69">
        <w:rPr>
          <w:rFonts w:ascii="Arial" w:hAnsi="Arial" w:cs="Arial"/>
          <w:sz w:val="20"/>
          <w:szCs w:val="20"/>
        </w:rPr>
        <w:t>polskich obszarów morskich</w:t>
      </w:r>
      <w:r w:rsidR="00142E84">
        <w:rPr>
          <w:rFonts w:ascii="Arial" w:hAnsi="Arial" w:cs="Arial"/>
          <w:sz w:val="20"/>
          <w:szCs w:val="20"/>
        </w:rPr>
        <w:t>.</w:t>
      </w:r>
      <w:r w:rsidR="00C72A69">
        <w:rPr>
          <w:rFonts w:ascii="Arial" w:hAnsi="Arial" w:cs="Arial"/>
          <w:sz w:val="20"/>
          <w:szCs w:val="20"/>
        </w:rPr>
        <w:t xml:space="preserve"> </w:t>
      </w:r>
    </w:p>
    <w:p w14:paraId="2859CFDE" w14:textId="2F7F0EB3"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zakresie zarządza</w:t>
      </w:r>
      <w:r w:rsidR="00F95DE2">
        <w:rPr>
          <w:rFonts w:ascii="Arial" w:hAnsi="Arial" w:cs="Arial"/>
          <w:sz w:val="20"/>
          <w:szCs w:val="20"/>
        </w:rPr>
        <w:t xml:space="preserve">nia granicami zewnętrznymi UE, sektor </w:t>
      </w:r>
      <w:r w:rsidR="007B42BE">
        <w:rPr>
          <w:rFonts w:ascii="Arial" w:hAnsi="Arial" w:cs="Arial"/>
          <w:sz w:val="20"/>
          <w:szCs w:val="20"/>
        </w:rPr>
        <w:t xml:space="preserve">- </w:t>
      </w:r>
      <w:r w:rsidRPr="004C6CC5">
        <w:rPr>
          <w:rFonts w:ascii="Arial" w:hAnsi="Arial" w:cs="Arial"/>
          <w:sz w:val="20"/>
          <w:szCs w:val="20"/>
        </w:rPr>
        <w:t>granice morskie,</w:t>
      </w:r>
      <w:r w:rsidR="004C6CC5">
        <w:rPr>
          <w:rFonts w:ascii="Arial" w:hAnsi="Arial" w:cs="Arial"/>
          <w:sz w:val="20"/>
          <w:szCs w:val="20"/>
        </w:rPr>
        <w:t xml:space="preserve"> w </w:t>
      </w:r>
      <w:r w:rsidRPr="004C6CC5">
        <w:rPr>
          <w:rFonts w:ascii="Arial" w:hAnsi="Arial" w:cs="Arial"/>
          <w:sz w:val="20"/>
          <w:szCs w:val="20"/>
        </w:rPr>
        <w:t>dniach od 26 do 28 marca 2019</w:t>
      </w:r>
      <w:r w:rsidR="009D01B9" w:rsidRPr="004C6CC5">
        <w:rPr>
          <w:rFonts w:ascii="Arial" w:hAnsi="Arial" w:cs="Arial"/>
          <w:sz w:val="20"/>
          <w:szCs w:val="20"/>
        </w:rPr>
        <w:t xml:space="preserve"> r. </w:t>
      </w:r>
      <w:r w:rsidRPr="004C6CC5">
        <w:rPr>
          <w:rFonts w:ascii="Arial" w:hAnsi="Arial" w:cs="Arial"/>
          <w:sz w:val="20"/>
          <w:szCs w:val="20"/>
        </w:rPr>
        <w:t>przeprowadzona została</w:t>
      </w:r>
      <w:r w:rsidR="004C6CC5">
        <w:rPr>
          <w:rFonts w:ascii="Arial" w:hAnsi="Arial" w:cs="Arial"/>
          <w:sz w:val="20"/>
          <w:szCs w:val="20"/>
        </w:rPr>
        <w:t xml:space="preserve"> w </w:t>
      </w:r>
      <w:r w:rsidRPr="004C6CC5">
        <w:rPr>
          <w:rFonts w:ascii="Arial" w:hAnsi="Arial" w:cs="Arial"/>
          <w:sz w:val="20"/>
          <w:szCs w:val="20"/>
        </w:rPr>
        <w:t>Morskim Oddziale Straży Granicznej Misja Ewaluacyjna Schengen.</w:t>
      </w:r>
      <w:r w:rsidR="00F95DE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skład komisji ewaluacyjnej wchodzili przedstawiciele Komisji Europejskiej oraz państw członkowskich UE. Ewaluacji podlegały obszary dotyczące ochrony morskiej granicy państwowej Rzeczypospolitej Polskiej, stanowiącej odcinek zewnętrznej granicy UE, sprawowanie nadzoru nad polskimi obszarami morskimi, dokonywanie kontroli granicznej</w:t>
      </w:r>
      <w:r w:rsidR="004C6CC5">
        <w:rPr>
          <w:rFonts w:ascii="Arial" w:hAnsi="Arial" w:cs="Arial"/>
          <w:sz w:val="20"/>
          <w:szCs w:val="20"/>
        </w:rPr>
        <w:t xml:space="preserve"> w </w:t>
      </w:r>
      <w:r w:rsidRPr="004C6CC5">
        <w:rPr>
          <w:rFonts w:ascii="Arial" w:hAnsi="Arial" w:cs="Arial"/>
          <w:sz w:val="20"/>
          <w:szCs w:val="20"/>
        </w:rPr>
        <w:t>morskich przejściach granicznych, dokonywanie analizy ryzyka między innymi</w:t>
      </w:r>
      <w:r w:rsidR="004C6CC5">
        <w:rPr>
          <w:rFonts w:ascii="Arial" w:hAnsi="Arial" w:cs="Arial"/>
          <w:sz w:val="20"/>
          <w:szCs w:val="20"/>
        </w:rPr>
        <w:t xml:space="preserve"> w </w:t>
      </w:r>
      <w:r w:rsidRPr="004C6CC5">
        <w:rPr>
          <w:rFonts w:ascii="Arial" w:hAnsi="Arial" w:cs="Arial"/>
          <w:sz w:val="20"/>
          <w:szCs w:val="20"/>
        </w:rPr>
        <w:t>zakresie podejmowania decyzji o kontroli granicznej statków niepodlegających odprawie, a także realizowane zadania</w:t>
      </w:r>
      <w:r w:rsidR="004C6CC5">
        <w:rPr>
          <w:rFonts w:ascii="Arial" w:hAnsi="Arial" w:cs="Arial"/>
          <w:sz w:val="20"/>
          <w:szCs w:val="20"/>
        </w:rPr>
        <w:t xml:space="preserve"> w </w:t>
      </w:r>
      <w:r w:rsidRPr="004C6CC5">
        <w:rPr>
          <w:rFonts w:ascii="Arial" w:hAnsi="Arial" w:cs="Arial"/>
          <w:sz w:val="20"/>
          <w:szCs w:val="20"/>
        </w:rPr>
        <w:t>zakresie przeciwdziałania nielegalnej migracji.</w:t>
      </w:r>
    </w:p>
    <w:p w14:paraId="18883C96" w14:textId="671D7836"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lutym 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Bałtyckim Terminalu Kontenerowym BCT Gdynia oraz</w:t>
      </w:r>
      <w:r w:rsidR="00311589">
        <w:rPr>
          <w:rFonts w:ascii="Arial" w:hAnsi="Arial" w:cs="Arial"/>
          <w:sz w:val="20"/>
          <w:szCs w:val="20"/>
        </w:rPr>
        <w:t xml:space="preserve"> w</w:t>
      </w:r>
      <w:r w:rsidRPr="004C6CC5">
        <w:rPr>
          <w:rFonts w:ascii="Arial" w:hAnsi="Arial" w:cs="Arial"/>
          <w:sz w:val="20"/>
          <w:szCs w:val="20"/>
        </w:rPr>
        <w:t xml:space="preserve"> Porcie Gdańsk (nabrzeża Wiślane oraz Szczecińskie) uruchomiono instalacje radiometryczne wybudowane</w:t>
      </w:r>
      <w:r w:rsidR="004C6CC5">
        <w:rPr>
          <w:rFonts w:ascii="Arial" w:hAnsi="Arial" w:cs="Arial"/>
          <w:sz w:val="20"/>
          <w:szCs w:val="20"/>
        </w:rPr>
        <w:t xml:space="preserve"> w </w:t>
      </w:r>
      <w:r w:rsidRPr="004C6CC5">
        <w:rPr>
          <w:rFonts w:ascii="Arial" w:hAnsi="Arial" w:cs="Arial"/>
          <w:sz w:val="20"/>
          <w:szCs w:val="20"/>
        </w:rPr>
        <w:t xml:space="preserve">ramach realizacji Memorandum o porozumieniu między Departamentem Energii Stanów Zjednoczonych Ameryki </w:t>
      </w:r>
      <w:r w:rsidR="005A79CC">
        <w:rPr>
          <w:rFonts w:ascii="Arial" w:hAnsi="Arial" w:cs="Arial"/>
          <w:sz w:val="20"/>
          <w:szCs w:val="20"/>
        </w:rPr>
        <w:br/>
      </w:r>
      <w:r w:rsidRPr="004C6CC5">
        <w:rPr>
          <w:rFonts w:ascii="Arial" w:hAnsi="Arial" w:cs="Arial"/>
          <w:sz w:val="20"/>
          <w:szCs w:val="20"/>
        </w:rPr>
        <w:t>a Ministrem Spraw Wewnętrznych</w:t>
      </w:r>
      <w:r w:rsidR="004C6CC5">
        <w:rPr>
          <w:rFonts w:ascii="Arial" w:hAnsi="Arial" w:cs="Arial"/>
          <w:sz w:val="20"/>
          <w:szCs w:val="20"/>
        </w:rPr>
        <w:t xml:space="preserve"> i </w:t>
      </w:r>
      <w:r w:rsidRPr="004C6CC5">
        <w:rPr>
          <w:rFonts w:ascii="Arial" w:hAnsi="Arial" w:cs="Arial"/>
          <w:sz w:val="20"/>
          <w:szCs w:val="20"/>
        </w:rPr>
        <w:t>Administracji oraz Ministrem Finansów Rzeczypospolitej Polskiej</w:t>
      </w:r>
      <w:r w:rsidR="004C6CC5">
        <w:rPr>
          <w:rFonts w:ascii="Arial" w:hAnsi="Arial" w:cs="Arial"/>
          <w:sz w:val="20"/>
          <w:szCs w:val="20"/>
        </w:rPr>
        <w:t xml:space="preserve"> w </w:t>
      </w:r>
      <w:r w:rsidRPr="004C6CC5">
        <w:rPr>
          <w:rFonts w:ascii="Arial" w:hAnsi="Arial" w:cs="Arial"/>
          <w:sz w:val="20"/>
          <w:szCs w:val="20"/>
        </w:rPr>
        <w:t>sprawie współpracy przy zwalczaniu nielegalnego obrotu specjalnymi materiałami jądrowymi</w:t>
      </w:r>
      <w:r w:rsidR="004C6CC5">
        <w:rPr>
          <w:rFonts w:ascii="Arial" w:hAnsi="Arial" w:cs="Arial"/>
          <w:sz w:val="20"/>
          <w:szCs w:val="20"/>
        </w:rPr>
        <w:t xml:space="preserve"> i </w:t>
      </w:r>
      <w:r w:rsidRPr="004C6CC5">
        <w:rPr>
          <w:rFonts w:ascii="Arial" w:hAnsi="Arial" w:cs="Arial"/>
          <w:sz w:val="20"/>
          <w:szCs w:val="20"/>
        </w:rPr>
        <w:t>innymi materiałami radioaktywnymi.</w:t>
      </w:r>
      <w:r w:rsidR="00E16356">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skład systemu radiometrycznego</w:t>
      </w:r>
      <w:r w:rsidR="004C6CC5">
        <w:rPr>
          <w:rFonts w:ascii="Arial" w:hAnsi="Arial" w:cs="Arial"/>
          <w:sz w:val="20"/>
          <w:szCs w:val="20"/>
        </w:rPr>
        <w:t xml:space="preserve"> w </w:t>
      </w:r>
      <w:r w:rsidRPr="004C6CC5">
        <w:rPr>
          <w:rFonts w:ascii="Arial" w:hAnsi="Arial" w:cs="Arial"/>
          <w:sz w:val="20"/>
          <w:szCs w:val="20"/>
        </w:rPr>
        <w:t>BCT Gdynia weszło 14 monitorów promieniowania, natomiast instalacja</w:t>
      </w:r>
      <w:r w:rsidR="004C6CC5">
        <w:rPr>
          <w:rFonts w:ascii="Arial" w:hAnsi="Arial" w:cs="Arial"/>
          <w:sz w:val="20"/>
          <w:szCs w:val="20"/>
        </w:rPr>
        <w:t xml:space="preserve"> w </w:t>
      </w:r>
      <w:r w:rsidRPr="004C6CC5">
        <w:rPr>
          <w:rFonts w:ascii="Arial" w:hAnsi="Arial" w:cs="Arial"/>
          <w:sz w:val="20"/>
          <w:szCs w:val="20"/>
        </w:rPr>
        <w:t>porcie Gdańsk składa się</w:t>
      </w:r>
      <w:r w:rsidR="00E16356">
        <w:rPr>
          <w:rFonts w:ascii="Arial" w:hAnsi="Arial" w:cs="Arial"/>
          <w:sz w:val="20"/>
          <w:szCs w:val="20"/>
        </w:rPr>
        <w:t xml:space="preserve"> z </w:t>
      </w:r>
      <w:r w:rsidRPr="004C6CC5">
        <w:rPr>
          <w:rFonts w:ascii="Arial" w:hAnsi="Arial" w:cs="Arial"/>
          <w:sz w:val="20"/>
          <w:szCs w:val="20"/>
        </w:rPr>
        <w:t>11 bramek radiometrycznych.</w:t>
      </w:r>
    </w:p>
    <w:p w14:paraId="3D88FE2A" w14:textId="140A2F41"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rozpoczęła się również realizacja zamówienia patrolowej jednostki pływającej o długości do 20 m. Środki finansowe na ten cel przewidziane zostały</w:t>
      </w:r>
      <w:r w:rsidR="006A1BD9">
        <w:rPr>
          <w:rFonts w:ascii="Arial" w:hAnsi="Arial" w:cs="Arial"/>
          <w:sz w:val="20"/>
          <w:szCs w:val="20"/>
        </w:rPr>
        <w:t xml:space="preserve"> w </w:t>
      </w:r>
      <w:r w:rsidRPr="004C6CC5">
        <w:rPr>
          <w:rFonts w:ascii="Arial" w:hAnsi="Arial" w:cs="Arial"/>
          <w:sz w:val="20"/>
          <w:szCs w:val="20"/>
        </w:rPr>
        <w:t>ustawie</w:t>
      </w:r>
      <w:r w:rsidR="006A1BD9">
        <w:rPr>
          <w:rFonts w:ascii="Arial" w:hAnsi="Arial" w:cs="Arial"/>
          <w:sz w:val="20"/>
          <w:szCs w:val="20"/>
        </w:rPr>
        <w:t xml:space="preserve"> z </w:t>
      </w:r>
      <w:r w:rsidRPr="004C6CC5">
        <w:rPr>
          <w:rFonts w:ascii="Arial" w:hAnsi="Arial" w:cs="Arial"/>
          <w:sz w:val="20"/>
          <w:szCs w:val="20"/>
        </w:rPr>
        <w:t>dnia 15 grudnia 2016</w:t>
      </w:r>
      <w:r w:rsidR="009D01B9" w:rsidRPr="004C6CC5">
        <w:rPr>
          <w:rFonts w:ascii="Arial" w:hAnsi="Arial" w:cs="Arial"/>
          <w:sz w:val="20"/>
          <w:szCs w:val="20"/>
        </w:rPr>
        <w:t xml:space="preserve"> r. </w:t>
      </w:r>
      <w:r w:rsidRPr="004C6CC5">
        <w:rPr>
          <w:rFonts w:ascii="Arial" w:hAnsi="Arial" w:cs="Arial"/>
          <w:sz w:val="20"/>
          <w:szCs w:val="20"/>
        </w:rPr>
        <w:t>o ustanowieniu „Programu modernizacji Policji, Straży Granicznej, Państwowej Straży Pożarnej</w:t>
      </w:r>
      <w:r w:rsidR="00087CF9">
        <w:rPr>
          <w:rFonts w:ascii="Arial" w:hAnsi="Arial" w:cs="Arial"/>
          <w:sz w:val="20"/>
          <w:szCs w:val="20"/>
        </w:rPr>
        <w:t xml:space="preserve"> i </w:t>
      </w:r>
      <w:r w:rsidRPr="004C6CC5">
        <w:rPr>
          <w:rFonts w:ascii="Arial" w:hAnsi="Arial" w:cs="Arial"/>
          <w:sz w:val="20"/>
          <w:szCs w:val="20"/>
        </w:rPr>
        <w:t>Służby Ochrony Państwa</w:t>
      </w:r>
      <w:r w:rsidR="004C6CC5">
        <w:rPr>
          <w:rFonts w:ascii="Arial" w:hAnsi="Arial" w:cs="Arial"/>
          <w:sz w:val="20"/>
          <w:szCs w:val="20"/>
        </w:rPr>
        <w:t xml:space="preserve"> w </w:t>
      </w:r>
      <w:r w:rsidRPr="004C6CC5">
        <w:rPr>
          <w:rFonts w:ascii="Arial" w:hAnsi="Arial" w:cs="Arial"/>
          <w:sz w:val="20"/>
          <w:szCs w:val="20"/>
        </w:rPr>
        <w:t xml:space="preserve">latach 2017 </w:t>
      </w:r>
      <w:r w:rsidR="008E7B03">
        <w:rPr>
          <w:rFonts w:ascii="Arial" w:hAnsi="Arial" w:cs="Arial"/>
          <w:sz w:val="20"/>
          <w:szCs w:val="20"/>
        </w:rPr>
        <w:t>-</w:t>
      </w:r>
      <w:r w:rsidR="00294D28">
        <w:rPr>
          <w:rFonts w:ascii="Arial" w:hAnsi="Arial" w:cs="Arial"/>
          <w:sz w:val="20"/>
          <w:szCs w:val="20"/>
        </w:rPr>
        <w:t xml:space="preserve"> 2020”</w:t>
      </w:r>
      <w:r w:rsidRPr="004C6CC5">
        <w:rPr>
          <w:rFonts w:ascii="Arial" w:hAnsi="Arial" w:cs="Arial"/>
          <w:sz w:val="20"/>
          <w:szCs w:val="20"/>
        </w:rPr>
        <w:t>. Odebranie patrolowej jednostki pływającej</w:t>
      </w:r>
      <w:r w:rsidR="004C6CC5">
        <w:rPr>
          <w:rFonts w:ascii="Arial" w:hAnsi="Arial" w:cs="Arial"/>
          <w:sz w:val="20"/>
          <w:szCs w:val="20"/>
        </w:rPr>
        <w:t xml:space="preserve"> i </w:t>
      </w:r>
      <w:r w:rsidRPr="004C6CC5">
        <w:rPr>
          <w:rFonts w:ascii="Arial" w:hAnsi="Arial" w:cs="Arial"/>
          <w:sz w:val="20"/>
          <w:szCs w:val="20"/>
        </w:rPr>
        <w:t>zakończenie projektu ma nastąpić do listopada 2020 r.</w:t>
      </w:r>
    </w:p>
    <w:p w14:paraId="4B8B6986" w14:textId="7F836790" w:rsidR="00D226EE" w:rsidRDefault="009D338B" w:rsidP="008D2321">
      <w:pPr>
        <w:spacing w:after="120" w:line="276" w:lineRule="auto"/>
        <w:jc w:val="both"/>
        <w:rPr>
          <w:rFonts w:ascii="Arial" w:hAnsi="Arial" w:cs="Arial"/>
          <w:sz w:val="20"/>
          <w:szCs w:val="20"/>
        </w:rPr>
      </w:pPr>
      <w:r w:rsidRPr="009D338B">
        <w:rPr>
          <w:rFonts w:ascii="Arial" w:hAnsi="Arial" w:cs="Arial"/>
          <w:sz w:val="20"/>
          <w:szCs w:val="20"/>
        </w:rPr>
        <w:t xml:space="preserve">W 2019 r. zawarto Porozumienie Finansowe pomiędzy Ministerstwem Spraw Wewnętrznych </w:t>
      </w:r>
      <w:r w:rsidR="009746B5">
        <w:rPr>
          <w:rFonts w:ascii="Arial" w:hAnsi="Arial" w:cs="Arial"/>
          <w:sz w:val="20"/>
          <w:szCs w:val="20"/>
        </w:rPr>
        <w:br/>
      </w:r>
      <w:r w:rsidRPr="009D338B">
        <w:rPr>
          <w:rFonts w:ascii="Arial" w:hAnsi="Arial" w:cs="Arial"/>
          <w:sz w:val="20"/>
          <w:szCs w:val="20"/>
        </w:rPr>
        <w:t>i Administracji, Centrum Obsługi Projektów Europejskich MSWiA oraz Beneficjentem</w:t>
      </w:r>
      <w:r w:rsidR="003259A0">
        <w:rPr>
          <w:rFonts w:ascii="Arial" w:hAnsi="Arial" w:cs="Arial"/>
          <w:sz w:val="20"/>
          <w:szCs w:val="20"/>
        </w:rPr>
        <w:t>,</w:t>
      </w:r>
      <w:r w:rsidRPr="009D338B">
        <w:rPr>
          <w:rFonts w:ascii="Arial" w:hAnsi="Arial" w:cs="Arial"/>
          <w:sz w:val="20"/>
          <w:szCs w:val="20"/>
        </w:rPr>
        <w:t xml:space="preserve"> tj. Komendantem Głównym Straży Granicznej</w:t>
      </w:r>
      <w:r w:rsidR="002E080F">
        <w:rPr>
          <w:rFonts w:ascii="Arial" w:hAnsi="Arial" w:cs="Arial"/>
          <w:sz w:val="20"/>
          <w:szCs w:val="20"/>
        </w:rPr>
        <w:t>,</w:t>
      </w:r>
      <w:r w:rsidRPr="009D338B">
        <w:rPr>
          <w:rFonts w:ascii="Arial" w:hAnsi="Arial" w:cs="Arial"/>
          <w:sz w:val="20"/>
          <w:szCs w:val="20"/>
        </w:rPr>
        <w:t xml:space="preserve"> dotyczące realizacji projektu na zakup pełnomorskiej jednostki patrolowej OPV – projekt dofinansowany jest ze środków Funduszu Bezpieczeństwa Wewnętrznego.</w:t>
      </w:r>
      <w:r>
        <w:rPr>
          <w:rFonts w:ascii="Arial" w:hAnsi="Arial" w:cs="Arial"/>
          <w:sz w:val="20"/>
          <w:szCs w:val="20"/>
        </w:rPr>
        <w:t xml:space="preserve"> </w:t>
      </w:r>
      <w:r w:rsidR="00D226EE" w:rsidRPr="004C6CC5">
        <w:rPr>
          <w:rFonts w:ascii="Arial" w:hAnsi="Arial" w:cs="Arial"/>
          <w:sz w:val="20"/>
          <w:szCs w:val="20"/>
        </w:rPr>
        <w:t>Jednostka będzie posiadać zdolność do niezależnego działania</w:t>
      </w:r>
      <w:r w:rsidR="004C6CC5">
        <w:rPr>
          <w:rFonts w:ascii="Arial" w:hAnsi="Arial" w:cs="Arial"/>
          <w:sz w:val="20"/>
          <w:szCs w:val="20"/>
        </w:rPr>
        <w:t xml:space="preserve"> z </w:t>
      </w:r>
      <w:r w:rsidR="00D226EE" w:rsidRPr="004C6CC5">
        <w:rPr>
          <w:rFonts w:ascii="Arial" w:hAnsi="Arial" w:cs="Arial"/>
          <w:sz w:val="20"/>
          <w:szCs w:val="20"/>
        </w:rPr>
        <w:t>dala od bazy przez 12 dni</w:t>
      </w:r>
      <w:r w:rsidR="004C6CC5">
        <w:rPr>
          <w:rFonts w:ascii="Arial" w:hAnsi="Arial" w:cs="Arial"/>
          <w:sz w:val="20"/>
          <w:szCs w:val="20"/>
        </w:rPr>
        <w:t xml:space="preserve"> z </w:t>
      </w:r>
      <w:r w:rsidR="00D226EE" w:rsidRPr="004C6CC5">
        <w:rPr>
          <w:rFonts w:ascii="Arial" w:hAnsi="Arial" w:cs="Arial"/>
          <w:sz w:val="20"/>
          <w:szCs w:val="20"/>
        </w:rPr>
        <w:t>maksymalnie 34 osobami na pokładzie bez uzupełniania zapasów.</w:t>
      </w:r>
      <w:r w:rsidR="0096402E">
        <w:rPr>
          <w:rFonts w:ascii="Arial" w:hAnsi="Arial" w:cs="Arial"/>
          <w:sz w:val="20"/>
          <w:szCs w:val="20"/>
        </w:rPr>
        <w:t xml:space="preserve"> W</w:t>
      </w:r>
      <w:r w:rsidR="004C6CC5">
        <w:rPr>
          <w:rFonts w:ascii="Arial" w:hAnsi="Arial" w:cs="Arial"/>
          <w:sz w:val="20"/>
          <w:szCs w:val="20"/>
        </w:rPr>
        <w:t> </w:t>
      </w:r>
      <w:r w:rsidR="00D226EE" w:rsidRPr="004C6CC5">
        <w:rPr>
          <w:rFonts w:ascii="Arial" w:hAnsi="Arial" w:cs="Arial"/>
          <w:sz w:val="20"/>
          <w:szCs w:val="20"/>
        </w:rPr>
        <w:t>2019</w:t>
      </w:r>
      <w:r w:rsidR="009D01B9" w:rsidRPr="004C6CC5">
        <w:rPr>
          <w:rFonts w:ascii="Arial" w:hAnsi="Arial" w:cs="Arial"/>
          <w:sz w:val="20"/>
          <w:szCs w:val="20"/>
        </w:rPr>
        <w:t xml:space="preserve"> r. </w:t>
      </w:r>
      <w:r w:rsidR="0096402E">
        <w:rPr>
          <w:rFonts w:ascii="Arial" w:hAnsi="Arial" w:cs="Arial"/>
          <w:sz w:val="20"/>
          <w:szCs w:val="20"/>
        </w:rPr>
        <w:t>wszczęto procedurę</w:t>
      </w:r>
      <w:r w:rsidR="00D226EE" w:rsidRPr="004C6CC5">
        <w:rPr>
          <w:rFonts w:ascii="Arial" w:hAnsi="Arial" w:cs="Arial"/>
          <w:sz w:val="20"/>
          <w:szCs w:val="20"/>
        </w:rPr>
        <w:t xml:space="preserve"> zamówień publicznych. Zakończenie projektu</w:t>
      </w:r>
      <w:r w:rsidR="004C6CC5">
        <w:rPr>
          <w:rFonts w:ascii="Arial" w:hAnsi="Arial" w:cs="Arial"/>
          <w:sz w:val="20"/>
          <w:szCs w:val="20"/>
        </w:rPr>
        <w:t xml:space="preserve"> i </w:t>
      </w:r>
      <w:r w:rsidR="00D226EE" w:rsidRPr="004C6CC5">
        <w:rPr>
          <w:rFonts w:ascii="Arial" w:hAnsi="Arial" w:cs="Arial"/>
          <w:sz w:val="20"/>
          <w:szCs w:val="20"/>
        </w:rPr>
        <w:t>odebranie pełnomorskiej jednostki patrolowej OPV ma nastąpić najpóźniej</w:t>
      </w:r>
      <w:r w:rsidR="004C6CC5">
        <w:rPr>
          <w:rFonts w:ascii="Arial" w:hAnsi="Arial" w:cs="Arial"/>
          <w:sz w:val="20"/>
          <w:szCs w:val="20"/>
        </w:rPr>
        <w:t xml:space="preserve"> w </w:t>
      </w:r>
      <w:r w:rsidR="00D226EE" w:rsidRPr="004C6CC5">
        <w:rPr>
          <w:rFonts w:ascii="Arial" w:hAnsi="Arial" w:cs="Arial"/>
          <w:sz w:val="20"/>
          <w:szCs w:val="20"/>
        </w:rPr>
        <w:t>listopadzie 2022 r.</w:t>
      </w:r>
    </w:p>
    <w:p w14:paraId="3E5C1278" w14:textId="0E13814D"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lastRenderedPageBreak/>
        <w:t>W maju 2019</w:t>
      </w:r>
      <w:r w:rsidR="009D01B9" w:rsidRPr="004C6CC5">
        <w:rPr>
          <w:rFonts w:ascii="Arial" w:hAnsi="Arial" w:cs="Arial"/>
          <w:sz w:val="20"/>
          <w:szCs w:val="20"/>
        </w:rPr>
        <w:t xml:space="preserve"> r. </w:t>
      </w:r>
      <w:r w:rsidRPr="004C6CC5">
        <w:rPr>
          <w:rFonts w:ascii="Arial" w:hAnsi="Arial" w:cs="Arial"/>
          <w:sz w:val="20"/>
          <w:szCs w:val="20"/>
        </w:rPr>
        <w:t>podpisano umowę na wykonanie robót budowlanych</w:t>
      </w:r>
      <w:r w:rsidR="004C6CC5">
        <w:rPr>
          <w:rFonts w:ascii="Arial" w:hAnsi="Arial" w:cs="Arial"/>
          <w:sz w:val="20"/>
          <w:szCs w:val="20"/>
        </w:rPr>
        <w:t xml:space="preserve"> w </w:t>
      </w:r>
      <w:r w:rsidRPr="004C6CC5">
        <w:rPr>
          <w:rFonts w:ascii="Arial" w:hAnsi="Arial" w:cs="Arial"/>
          <w:sz w:val="20"/>
          <w:szCs w:val="20"/>
        </w:rPr>
        <w:t>Bazie Jednostek Pływających Straży Granicznej</w:t>
      </w:r>
      <w:r w:rsidR="004C6CC5">
        <w:rPr>
          <w:rFonts w:ascii="Arial" w:hAnsi="Arial" w:cs="Arial"/>
          <w:sz w:val="20"/>
          <w:szCs w:val="20"/>
        </w:rPr>
        <w:t xml:space="preserve"> w </w:t>
      </w:r>
      <w:r w:rsidRPr="004C6CC5">
        <w:rPr>
          <w:rFonts w:ascii="Arial" w:hAnsi="Arial" w:cs="Arial"/>
          <w:sz w:val="20"/>
          <w:szCs w:val="20"/>
        </w:rPr>
        <w:t>Starej Pasłęce.</w:t>
      </w:r>
      <w:r w:rsidR="001B1A93">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pierwszym etapie inwestycji zostanie wybudowany budynek dla załóg poduszkowców</w:t>
      </w:r>
      <w:r w:rsidR="001B1A93">
        <w:rPr>
          <w:rFonts w:ascii="Arial" w:hAnsi="Arial" w:cs="Arial"/>
          <w:sz w:val="20"/>
          <w:szCs w:val="20"/>
        </w:rPr>
        <w:t xml:space="preserve"> oraz</w:t>
      </w:r>
      <w:r w:rsidR="004C6CC5">
        <w:rPr>
          <w:rFonts w:ascii="Arial" w:hAnsi="Arial" w:cs="Arial"/>
          <w:sz w:val="20"/>
          <w:szCs w:val="20"/>
        </w:rPr>
        <w:t> </w:t>
      </w:r>
      <w:r w:rsidRPr="004C6CC5">
        <w:rPr>
          <w:rFonts w:ascii="Arial" w:hAnsi="Arial" w:cs="Arial"/>
          <w:sz w:val="20"/>
          <w:szCs w:val="20"/>
        </w:rPr>
        <w:t>jednostek pływających Straży Granicznej.</w:t>
      </w:r>
      <w:r w:rsidR="001C1D4A">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drugim etapie planuje się wykonanie hangaru do garażowania poduszkowców</w:t>
      </w:r>
      <w:r w:rsidR="004C6CC5">
        <w:rPr>
          <w:rFonts w:ascii="Arial" w:hAnsi="Arial" w:cs="Arial"/>
          <w:sz w:val="20"/>
          <w:szCs w:val="20"/>
        </w:rPr>
        <w:t xml:space="preserve"> i </w:t>
      </w:r>
      <w:r w:rsidRPr="004C6CC5">
        <w:rPr>
          <w:rFonts w:ascii="Arial" w:hAnsi="Arial" w:cs="Arial"/>
          <w:sz w:val="20"/>
          <w:szCs w:val="20"/>
        </w:rPr>
        <w:t>jednostki pływającej typu ponton</w:t>
      </w:r>
      <w:r w:rsidR="004C6CC5">
        <w:rPr>
          <w:rFonts w:ascii="Arial" w:hAnsi="Arial" w:cs="Arial"/>
          <w:sz w:val="20"/>
          <w:szCs w:val="20"/>
        </w:rPr>
        <w:t xml:space="preserve"> z </w:t>
      </w:r>
      <w:r w:rsidRPr="004C6CC5">
        <w:rPr>
          <w:rFonts w:ascii="Arial" w:hAnsi="Arial" w:cs="Arial"/>
          <w:sz w:val="20"/>
          <w:szCs w:val="20"/>
        </w:rPr>
        <w:t>zapleczem magazynowym</w:t>
      </w:r>
      <w:r w:rsidR="004C6CC5">
        <w:rPr>
          <w:rFonts w:ascii="Arial" w:hAnsi="Arial" w:cs="Arial"/>
          <w:sz w:val="20"/>
          <w:szCs w:val="20"/>
        </w:rPr>
        <w:t xml:space="preserve"> i </w:t>
      </w:r>
      <w:r w:rsidRPr="004C6CC5">
        <w:rPr>
          <w:rFonts w:ascii="Arial" w:hAnsi="Arial" w:cs="Arial"/>
          <w:sz w:val="20"/>
          <w:szCs w:val="20"/>
        </w:rPr>
        <w:t>warsztatowym. Nowa inwestycja poprawi warunki służby załóg jednostek pływających oraz warunki bazowania jednostek pływających, jak również przyczyni się do podniesienia poziomu ochrony granicy państwowej na Zalewie Wiślanym.</w:t>
      </w:r>
      <w:r w:rsidR="001C1D4A">
        <w:rPr>
          <w:rFonts w:ascii="Arial" w:hAnsi="Arial" w:cs="Arial"/>
          <w:sz w:val="20"/>
          <w:szCs w:val="20"/>
        </w:rPr>
        <w:t xml:space="preserve"> </w:t>
      </w:r>
      <w:r w:rsidRPr="004C6CC5">
        <w:rPr>
          <w:rFonts w:ascii="Arial" w:hAnsi="Arial" w:cs="Arial"/>
          <w:sz w:val="20"/>
          <w:szCs w:val="20"/>
        </w:rPr>
        <w:t>Zakończenie realizacji umowy planuje się</w:t>
      </w:r>
      <w:r w:rsidR="004C6CC5">
        <w:rPr>
          <w:rFonts w:ascii="Arial" w:hAnsi="Arial" w:cs="Arial"/>
          <w:sz w:val="20"/>
          <w:szCs w:val="20"/>
        </w:rPr>
        <w:t xml:space="preserve"> w </w:t>
      </w:r>
      <w:r w:rsidRPr="004C6CC5">
        <w:rPr>
          <w:rFonts w:ascii="Arial" w:hAnsi="Arial" w:cs="Arial"/>
          <w:sz w:val="20"/>
          <w:szCs w:val="20"/>
        </w:rPr>
        <w:t>drugiej połowie 2020 r.</w:t>
      </w:r>
    </w:p>
    <w:p w14:paraId="6D3D68CC" w14:textId="4ACBB8A2"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 xml:space="preserve">rozpoczęła się budowa </w:t>
      </w:r>
      <w:r w:rsidR="00FB2C96">
        <w:rPr>
          <w:rFonts w:ascii="Arial" w:hAnsi="Arial" w:cs="Arial"/>
          <w:sz w:val="20"/>
          <w:szCs w:val="20"/>
        </w:rPr>
        <w:t>obiektów</w:t>
      </w:r>
      <w:r w:rsidR="004C6CC5">
        <w:rPr>
          <w:rFonts w:ascii="Arial" w:hAnsi="Arial" w:cs="Arial"/>
          <w:sz w:val="20"/>
          <w:szCs w:val="20"/>
        </w:rPr>
        <w:t xml:space="preserve"> w </w:t>
      </w:r>
      <w:r w:rsidRPr="004C6CC5">
        <w:rPr>
          <w:rFonts w:ascii="Arial" w:hAnsi="Arial" w:cs="Arial"/>
          <w:sz w:val="20"/>
          <w:szCs w:val="20"/>
        </w:rPr>
        <w:t>Placówkach Straży Granicznej</w:t>
      </w:r>
      <w:r w:rsidR="004C6CC5">
        <w:rPr>
          <w:rFonts w:ascii="Arial" w:hAnsi="Arial" w:cs="Arial"/>
          <w:sz w:val="20"/>
          <w:szCs w:val="20"/>
        </w:rPr>
        <w:t xml:space="preserve"> w </w:t>
      </w:r>
      <w:r w:rsidRPr="004C6CC5">
        <w:rPr>
          <w:rFonts w:ascii="Arial" w:hAnsi="Arial" w:cs="Arial"/>
          <w:sz w:val="20"/>
          <w:szCs w:val="20"/>
        </w:rPr>
        <w:t>Krynicy Morskiej oraz</w:t>
      </w:r>
      <w:r w:rsidR="004C6CC5">
        <w:rPr>
          <w:rFonts w:ascii="Arial" w:hAnsi="Arial" w:cs="Arial"/>
          <w:sz w:val="20"/>
          <w:szCs w:val="20"/>
        </w:rPr>
        <w:t xml:space="preserve"> w </w:t>
      </w:r>
      <w:r w:rsidR="00FB2C96">
        <w:rPr>
          <w:rFonts w:ascii="Arial" w:hAnsi="Arial" w:cs="Arial"/>
          <w:sz w:val="20"/>
          <w:szCs w:val="20"/>
        </w:rPr>
        <w:t xml:space="preserve">Elblągu. </w:t>
      </w:r>
      <w:r w:rsidRPr="004C6CC5">
        <w:rPr>
          <w:rFonts w:ascii="Arial" w:hAnsi="Arial" w:cs="Arial"/>
          <w:sz w:val="20"/>
          <w:szCs w:val="20"/>
        </w:rPr>
        <w:t>Inwestycje poprawią warunki pełnienia służby oraz realizacji bieżących zadań.</w:t>
      </w:r>
      <w:r w:rsidR="0011720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powyższych placówkach Straży Granicznej znajdują się między innymi ośrodki nadzoru,</w:t>
      </w:r>
      <w:r w:rsidR="00117202">
        <w:rPr>
          <w:rFonts w:ascii="Arial" w:hAnsi="Arial" w:cs="Arial"/>
          <w:sz w:val="20"/>
          <w:szCs w:val="20"/>
        </w:rPr>
        <w:t xml:space="preserve"> w </w:t>
      </w:r>
      <w:r w:rsidRPr="004C6CC5">
        <w:rPr>
          <w:rFonts w:ascii="Arial" w:hAnsi="Arial" w:cs="Arial"/>
          <w:sz w:val="20"/>
          <w:szCs w:val="20"/>
        </w:rPr>
        <w:t>których operatorzy prowadzą ciągłą obserwację sytuacji żeglugowej na ochranianym odcinku granicy państwowej. Placówki te wyposażone są również</w:t>
      </w:r>
      <w:r w:rsidR="004C6CC5">
        <w:rPr>
          <w:rFonts w:ascii="Arial" w:hAnsi="Arial" w:cs="Arial"/>
          <w:sz w:val="20"/>
          <w:szCs w:val="20"/>
        </w:rPr>
        <w:t xml:space="preserve"> w </w:t>
      </w:r>
      <w:r w:rsidRPr="004C6CC5">
        <w:rPr>
          <w:rFonts w:ascii="Arial" w:hAnsi="Arial" w:cs="Arial"/>
          <w:sz w:val="20"/>
          <w:szCs w:val="20"/>
        </w:rPr>
        <w:t>lekkie środki pływające typu ponton wykorzystywane do sprawowania nadzoru nad przestrzeganiem przez statki przepisów obowiązujących głównie na Zalewie Wiślanym. Odbiory nowej infrastruktury przewidziane są</w:t>
      </w:r>
      <w:r w:rsidR="004C6CC5">
        <w:rPr>
          <w:rFonts w:ascii="Arial" w:hAnsi="Arial" w:cs="Arial"/>
          <w:sz w:val="20"/>
          <w:szCs w:val="20"/>
        </w:rPr>
        <w:t xml:space="preserve"> w </w:t>
      </w:r>
      <w:r w:rsidRPr="004C6CC5">
        <w:rPr>
          <w:rFonts w:ascii="Arial" w:hAnsi="Arial" w:cs="Arial"/>
          <w:sz w:val="20"/>
          <w:szCs w:val="20"/>
        </w:rPr>
        <w:t>2020 roku.</w:t>
      </w:r>
    </w:p>
    <w:p w14:paraId="67EA46D4" w14:textId="37667648"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realizowane było zadanie inwestycyjne pod nazwą „Budowa bazy dla statków powietrznych</w:t>
      </w:r>
      <w:r w:rsidR="004C6CC5">
        <w:rPr>
          <w:rFonts w:ascii="Arial" w:hAnsi="Arial" w:cs="Arial"/>
          <w:sz w:val="20"/>
          <w:szCs w:val="20"/>
        </w:rPr>
        <w:t xml:space="preserve"> w </w:t>
      </w:r>
      <w:r w:rsidRPr="004C6CC5">
        <w:rPr>
          <w:rFonts w:ascii="Arial" w:hAnsi="Arial" w:cs="Arial"/>
          <w:sz w:val="20"/>
          <w:szCs w:val="20"/>
        </w:rPr>
        <w:t xml:space="preserve">m. Gdańsk </w:t>
      </w:r>
      <w:r w:rsidR="00DA6FEE">
        <w:rPr>
          <w:rFonts w:ascii="Arial" w:hAnsi="Arial" w:cs="Arial"/>
          <w:sz w:val="20"/>
          <w:szCs w:val="20"/>
        </w:rPr>
        <w:t>-</w:t>
      </w:r>
      <w:r w:rsidRPr="004C6CC5">
        <w:rPr>
          <w:rFonts w:ascii="Arial" w:hAnsi="Arial" w:cs="Arial"/>
          <w:sz w:val="20"/>
          <w:szCs w:val="20"/>
        </w:rPr>
        <w:t xml:space="preserve"> Rębiechowo”, którego zakończenie ma nastąpić</w:t>
      </w:r>
      <w:r w:rsidR="004C6CC5">
        <w:rPr>
          <w:rFonts w:ascii="Arial" w:hAnsi="Arial" w:cs="Arial"/>
          <w:sz w:val="20"/>
          <w:szCs w:val="20"/>
        </w:rPr>
        <w:t xml:space="preserve"> w </w:t>
      </w:r>
      <w:r w:rsidRPr="004C6CC5">
        <w:rPr>
          <w:rFonts w:ascii="Arial" w:hAnsi="Arial" w:cs="Arial"/>
          <w:sz w:val="20"/>
          <w:szCs w:val="20"/>
        </w:rPr>
        <w:t>listopadzie 2020</w:t>
      </w:r>
      <w:r w:rsidR="009D01B9" w:rsidRPr="004C6CC5">
        <w:rPr>
          <w:rFonts w:ascii="Arial" w:hAnsi="Arial" w:cs="Arial"/>
          <w:sz w:val="20"/>
          <w:szCs w:val="20"/>
        </w:rPr>
        <w:t xml:space="preserve"> r.</w:t>
      </w:r>
      <w:r w:rsidR="0011720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skład kompleksu budynków mają wejść: hangar dla statków powietrznych Straży Granicznej, pomieszczenia biurowe oraz magazyny. Statki powietrzne</w:t>
      </w:r>
      <w:r w:rsidR="00D30EED">
        <w:rPr>
          <w:rFonts w:ascii="Arial" w:hAnsi="Arial" w:cs="Arial"/>
          <w:sz w:val="20"/>
          <w:szCs w:val="20"/>
        </w:rPr>
        <w:t xml:space="preserve"> I</w:t>
      </w:r>
      <w:r w:rsidR="004C6CC5">
        <w:rPr>
          <w:rFonts w:ascii="Arial" w:hAnsi="Arial" w:cs="Arial"/>
          <w:sz w:val="20"/>
          <w:szCs w:val="20"/>
        </w:rPr>
        <w:t> </w:t>
      </w:r>
      <w:r w:rsidRPr="004C6CC5">
        <w:rPr>
          <w:rFonts w:ascii="Arial" w:hAnsi="Arial" w:cs="Arial"/>
          <w:sz w:val="20"/>
          <w:szCs w:val="20"/>
        </w:rPr>
        <w:t>Wydziału Lotniczego</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Pr="004C6CC5">
        <w:rPr>
          <w:rFonts w:ascii="Arial" w:hAnsi="Arial" w:cs="Arial"/>
          <w:sz w:val="20"/>
          <w:szCs w:val="20"/>
        </w:rPr>
        <w:t>Gdańsku Biura Lotnictwa Straży Granicznej wykonują zadania związane</w:t>
      </w:r>
      <w:r w:rsidR="004C6CC5">
        <w:rPr>
          <w:rFonts w:ascii="Arial" w:hAnsi="Arial" w:cs="Arial"/>
          <w:sz w:val="20"/>
          <w:szCs w:val="20"/>
        </w:rPr>
        <w:t xml:space="preserve"> z </w:t>
      </w:r>
      <w:r w:rsidRPr="004C6CC5">
        <w:rPr>
          <w:rFonts w:ascii="Arial" w:hAnsi="Arial" w:cs="Arial"/>
          <w:sz w:val="20"/>
          <w:szCs w:val="20"/>
        </w:rPr>
        <w:t>patrolowaniem przestrzeni powietrznej znajdującej się nad polskimi obszarami morskimi, monitorowaniem sytuacji żeglugowej na tych obszarach oraz współdziałaniem</w:t>
      </w:r>
      <w:r w:rsidR="004C6CC5">
        <w:rPr>
          <w:rFonts w:ascii="Arial" w:hAnsi="Arial" w:cs="Arial"/>
          <w:sz w:val="20"/>
          <w:szCs w:val="20"/>
        </w:rPr>
        <w:t xml:space="preserve"> z </w:t>
      </w:r>
      <w:r w:rsidRPr="004C6CC5">
        <w:rPr>
          <w:rFonts w:ascii="Arial" w:hAnsi="Arial" w:cs="Arial"/>
          <w:sz w:val="20"/>
          <w:szCs w:val="20"/>
        </w:rPr>
        <w:t>jednostkami pływającymi Straży Granicznej.</w:t>
      </w:r>
    </w:p>
    <w:p w14:paraId="21AC2270" w14:textId="2BDB2E3B"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Funkcjonariusze Straży Granicznej zabezpieczali</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 xml:space="preserve">szereg imprez masowych, </w:t>
      </w:r>
      <w:r w:rsidR="00D622A6">
        <w:rPr>
          <w:rFonts w:ascii="Arial" w:hAnsi="Arial" w:cs="Arial"/>
          <w:sz w:val="20"/>
          <w:szCs w:val="20"/>
        </w:rPr>
        <w:t xml:space="preserve">w tym </w:t>
      </w:r>
      <w:r w:rsidR="00D1224D">
        <w:rPr>
          <w:rFonts w:ascii="Arial" w:hAnsi="Arial" w:cs="Arial"/>
          <w:sz w:val="20"/>
          <w:szCs w:val="20"/>
        </w:rPr>
        <w:t>m.in.</w:t>
      </w:r>
      <w:r w:rsidRPr="004C6CC5">
        <w:rPr>
          <w:rFonts w:ascii="Arial" w:hAnsi="Arial" w:cs="Arial"/>
          <w:sz w:val="20"/>
          <w:szCs w:val="20"/>
        </w:rPr>
        <w:t>:</w:t>
      </w:r>
    </w:p>
    <w:p w14:paraId="63B1D9FC" w14:textId="34FA6131" w:rsidR="00D226EE" w:rsidRPr="004C6CC5" w:rsidRDefault="00D30EED" w:rsidP="003C6ECA">
      <w:pPr>
        <w:pStyle w:val="Akapitzlist"/>
        <w:numPr>
          <w:ilvl w:val="0"/>
          <w:numId w:val="8"/>
        </w:numPr>
        <w:spacing w:after="120" w:line="276" w:lineRule="auto"/>
        <w:jc w:val="both"/>
        <w:rPr>
          <w:rFonts w:ascii="Arial" w:hAnsi="Arial" w:cs="Arial"/>
          <w:sz w:val="20"/>
          <w:szCs w:val="20"/>
        </w:rPr>
      </w:pPr>
      <w:r>
        <w:rPr>
          <w:rFonts w:ascii="Arial" w:hAnsi="Arial" w:cs="Arial"/>
          <w:sz w:val="20"/>
          <w:szCs w:val="20"/>
        </w:rPr>
        <w:t>„Dni Morza 2019”, która odbywały</w:t>
      </w:r>
      <w:r w:rsidR="00D226EE" w:rsidRPr="004C6CC5">
        <w:rPr>
          <w:rFonts w:ascii="Arial" w:hAnsi="Arial" w:cs="Arial"/>
          <w:sz w:val="20"/>
          <w:szCs w:val="20"/>
        </w:rPr>
        <w:t xml:space="preserve"> </w:t>
      </w:r>
      <w:r>
        <w:rPr>
          <w:rFonts w:ascii="Arial" w:hAnsi="Arial" w:cs="Arial"/>
          <w:sz w:val="20"/>
          <w:szCs w:val="20"/>
        </w:rPr>
        <w:t xml:space="preserve">się </w:t>
      </w:r>
      <w:r w:rsidR="00D226EE" w:rsidRPr="004C6CC5">
        <w:rPr>
          <w:rFonts w:ascii="Arial" w:hAnsi="Arial" w:cs="Arial"/>
          <w:sz w:val="20"/>
          <w:szCs w:val="20"/>
        </w:rPr>
        <w:t>16 czerwca 2019</w:t>
      </w:r>
      <w:r w:rsidR="009D01B9" w:rsidRPr="004C6CC5">
        <w:rPr>
          <w:rFonts w:ascii="Arial" w:hAnsi="Arial" w:cs="Arial"/>
          <w:sz w:val="20"/>
          <w:szCs w:val="20"/>
        </w:rPr>
        <w:t xml:space="preserve"> r. </w:t>
      </w:r>
      <w:r w:rsidR="004C6CC5">
        <w:rPr>
          <w:rFonts w:ascii="Arial" w:hAnsi="Arial" w:cs="Arial"/>
          <w:sz w:val="20"/>
          <w:szCs w:val="20"/>
        </w:rPr>
        <w:t>w </w:t>
      </w:r>
      <w:r w:rsidR="00D226EE" w:rsidRPr="004C6CC5">
        <w:rPr>
          <w:rFonts w:ascii="Arial" w:hAnsi="Arial" w:cs="Arial"/>
          <w:sz w:val="20"/>
          <w:szCs w:val="20"/>
        </w:rPr>
        <w:t>rejonie Bulwarów Chrobrego</w:t>
      </w:r>
      <w:r w:rsidR="004C6CC5">
        <w:rPr>
          <w:rFonts w:ascii="Arial" w:hAnsi="Arial" w:cs="Arial"/>
          <w:sz w:val="20"/>
          <w:szCs w:val="20"/>
        </w:rPr>
        <w:t xml:space="preserve"> w </w:t>
      </w:r>
      <w:r w:rsidR="00FB4549">
        <w:rPr>
          <w:rFonts w:ascii="Arial" w:hAnsi="Arial" w:cs="Arial"/>
          <w:sz w:val="20"/>
          <w:szCs w:val="20"/>
        </w:rPr>
        <w:t>Szczecinie -</w:t>
      </w:r>
      <w:r w:rsidR="004C6CC5">
        <w:rPr>
          <w:rFonts w:ascii="Arial" w:hAnsi="Arial" w:cs="Arial"/>
          <w:sz w:val="20"/>
          <w:szCs w:val="20"/>
        </w:rPr>
        <w:t xml:space="preserve"> w </w:t>
      </w:r>
      <w:r w:rsidR="00D226EE" w:rsidRPr="004C6CC5">
        <w:rPr>
          <w:rFonts w:ascii="Arial" w:hAnsi="Arial" w:cs="Arial"/>
          <w:sz w:val="20"/>
          <w:szCs w:val="20"/>
        </w:rPr>
        <w:t>czasie realizacji zadań współdziałano</w:t>
      </w:r>
      <w:r w:rsidR="004C6CC5">
        <w:rPr>
          <w:rFonts w:ascii="Arial" w:hAnsi="Arial" w:cs="Arial"/>
          <w:sz w:val="20"/>
          <w:szCs w:val="20"/>
        </w:rPr>
        <w:t xml:space="preserve"> z </w:t>
      </w:r>
      <w:r w:rsidR="00D226EE" w:rsidRPr="004C6CC5">
        <w:rPr>
          <w:rFonts w:ascii="Arial" w:hAnsi="Arial" w:cs="Arial"/>
          <w:sz w:val="20"/>
          <w:szCs w:val="20"/>
        </w:rPr>
        <w:t>funkcjonariuszami Policji;</w:t>
      </w:r>
    </w:p>
    <w:p w14:paraId="39047456" w14:textId="258851A5" w:rsidR="00D226EE" w:rsidRPr="004C6CC5" w:rsidRDefault="00D226EE" w:rsidP="003C6ECA">
      <w:pPr>
        <w:pStyle w:val="Akapitzlist"/>
        <w:numPr>
          <w:ilvl w:val="0"/>
          <w:numId w:val="8"/>
        </w:numPr>
        <w:spacing w:after="120" w:line="276" w:lineRule="auto"/>
        <w:jc w:val="both"/>
        <w:rPr>
          <w:rFonts w:ascii="Arial" w:hAnsi="Arial" w:cs="Arial"/>
          <w:sz w:val="20"/>
          <w:szCs w:val="20"/>
        </w:rPr>
      </w:pPr>
      <w:r w:rsidRPr="004C6CC5">
        <w:rPr>
          <w:rFonts w:ascii="Arial" w:hAnsi="Arial" w:cs="Arial"/>
          <w:sz w:val="20"/>
          <w:szCs w:val="20"/>
        </w:rPr>
        <w:t xml:space="preserve">Międzynarodowy zlot żaglowców </w:t>
      </w:r>
      <w:r w:rsidR="00FB4549">
        <w:rPr>
          <w:rFonts w:ascii="Arial" w:hAnsi="Arial" w:cs="Arial"/>
          <w:sz w:val="20"/>
          <w:szCs w:val="20"/>
        </w:rPr>
        <w:t>„</w:t>
      </w:r>
      <w:r w:rsidRPr="004C6CC5">
        <w:rPr>
          <w:rFonts w:ascii="Arial" w:hAnsi="Arial" w:cs="Arial"/>
          <w:sz w:val="20"/>
          <w:szCs w:val="20"/>
        </w:rPr>
        <w:t>Baltic Sail Gdańsk 2019</w:t>
      </w:r>
      <w:r w:rsidR="00FB4549">
        <w:rPr>
          <w:rFonts w:ascii="Arial" w:hAnsi="Arial" w:cs="Arial"/>
          <w:sz w:val="20"/>
          <w:szCs w:val="20"/>
        </w:rPr>
        <w:t>”</w:t>
      </w:r>
      <w:r w:rsidR="004C6CC5">
        <w:rPr>
          <w:rFonts w:ascii="Arial" w:hAnsi="Arial" w:cs="Arial"/>
          <w:sz w:val="20"/>
          <w:szCs w:val="20"/>
        </w:rPr>
        <w:t xml:space="preserve"> w </w:t>
      </w:r>
      <w:r w:rsidRPr="004C6CC5">
        <w:rPr>
          <w:rFonts w:ascii="Arial" w:hAnsi="Arial" w:cs="Arial"/>
          <w:sz w:val="20"/>
          <w:szCs w:val="20"/>
        </w:rPr>
        <w:t>dniach od 5 do 8 lipca 2019</w:t>
      </w:r>
      <w:r w:rsidR="009D01B9" w:rsidRPr="004C6CC5">
        <w:rPr>
          <w:rFonts w:ascii="Arial" w:hAnsi="Arial" w:cs="Arial"/>
          <w:sz w:val="20"/>
          <w:szCs w:val="20"/>
        </w:rPr>
        <w:t xml:space="preserve"> r. </w:t>
      </w:r>
      <w:r w:rsidRPr="004C6CC5">
        <w:rPr>
          <w:rFonts w:ascii="Arial" w:hAnsi="Arial" w:cs="Arial"/>
          <w:sz w:val="20"/>
          <w:szCs w:val="20"/>
        </w:rPr>
        <w:t>zabezpieczony przez jednostki pływające Kaszubskiego Dywizjonu Straży Granicznej na morskich wodach wewnętrznych portu Gdańsk</w:t>
      </w:r>
      <w:r w:rsidR="004C6CC5">
        <w:rPr>
          <w:rFonts w:ascii="Arial" w:hAnsi="Arial" w:cs="Arial"/>
          <w:sz w:val="20"/>
          <w:szCs w:val="20"/>
        </w:rPr>
        <w:t xml:space="preserve"> i </w:t>
      </w:r>
      <w:r w:rsidRPr="004C6CC5">
        <w:rPr>
          <w:rFonts w:ascii="Arial" w:hAnsi="Arial" w:cs="Arial"/>
          <w:sz w:val="20"/>
          <w:szCs w:val="20"/>
        </w:rPr>
        <w:t>Zatoki Gdańskiej;</w:t>
      </w:r>
    </w:p>
    <w:p w14:paraId="7AEFCE45" w14:textId="2EB45E48" w:rsidR="00D226EE" w:rsidRPr="004C6CC5" w:rsidRDefault="00FB4549" w:rsidP="003C6ECA">
      <w:pPr>
        <w:pStyle w:val="Akapitzlist"/>
        <w:numPr>
          <w:ilvl w:val="0"/>
          <w:numId w:val="8"/>
        </w:numPr>
        <w:spacing w:after="120" w:line="276" w:lineRule="auto"/>
        <w:jc w:val="both"/>
        <w:rPr>
          <w:rFonts w:ascii="Arial" w:hAnsi="Arial" w:cs="Arial"/>
          <w:sz w:val="20"/>
          <w:szCs w:val="20"/>
        </w:rPr>
      </w:pPr>
      <w:r>
        <w:rPr>
          <w:rFonts w:ascii="Arial" w:hAnsi="Arial" w:cs="Arial"/>
          <w:sz w:val="20"/>
          <w:szCs w:val="20"/>
        </w:rPr>
        <w:t>Festiwal</w:t>
      </w:r>
      <w:r w:rsidR="00D226EE" w:rsidRPr="004C6CC5">
        <w:rPr>
          <w:rFonts w:ascii="Arial" w:hAnsi="Arial" w:cs="Arial"/>
          <w:sz w:val="20"/>
          <w:szCs w:val="20"/>
        </w:rPr>
        <w:t xml:space="preserve"> Widowisk Pirotechnicznych</w:t>
      </w:r>
      <w:r w:rsidR="004C6CC5">
        <w:rPr>
          <w:rFonts w:ascii="Arial" w:hAnsi="Arial" w:cs="Arial"/>
          <w:sz w:val="20"/>
          <w:szCs w:val="20"/>
        </w:rPr>
        <w:t xml:space="preserve"> w </w:t>
      </w:r>
      <w:r w:rsidR="00D226EE" w:rsidRPr="004C6CC5">
        <w:rPr>
          <w:rFonts w:ascii="Arial" w:hAnsi="Arial" w:cs="Arial"/>
          <w:sz w:val="20"/>
          <w:szCs w:val="20"/>
        </w:rPr>
        <w:t xml:space="preserve">Szczecinie </w:t>
      </w:r>
      <w:r w:rsidR="00B57411">
        <w:rPr>
          <w:rFonts w:ascii="Arial" w:hAnsi="Arial" w:cs="Arial"/>
          <w:sz w:val="20"/>
          <w:szCs w:val="20"/>
        </w:rPr>
        <w:t>-</w:t>
      </w:r>
      <w:r w:rsidR="00D226EE" w:rsidRPr="004C6CC5">
        <w:rPr>
          <w:rFonts w:ascii="Arial" w:hAnsi="Arial" w:cs="Arial"/>
          <w:sz w:val="20"/>
          <w:szCs w:val="20"/>
        </w:rPr>
        <w:t xml:space="preserve"> PyroMagic 2019</w:t>
      </w:r>
      <w:r w:rsidR="004C6CC5">
        <w:rPr>
          <w:rFonts w:ascii="Arial" w:hAnsi="Arial" w:cs="Arial"/>
          <w:sz w:val="20"/>
          <w:szCs w:val="20"/>
        </w:rPr>
        <w:t xml:space="preserve"> w </w:t>
      </w:r>
      <w:r w:rsidR="00D226EE" w:rsidRPr="004C6CC5">
        <w:rPr>
          <w:rFonts w:ascii="Arial" w:hAnsi="Arial" w:cs="Arial"/>
          <w:sz w:val="20"/>
          <w:szCs w:val="20"/>
        </w:rPr>
        <w:t>dniach od 9 do 10 sierpnia 2019 r -  Straż Graniczna wspólnie</w:t>
      </w:r>
      <w:r w:rsidR="004C6CC5">
        <w:rPr>
          <w:rFonts w:ascii="Arial" w:hAnsi="Arial" w:cs="Arial"/>
          <w:sz w:val="20"/>
          <w:szCs w:val="20"/>
        </w:rPr>
        <w:t xml:space="preserve"> z </w:t>
      </w:r>
      <w:r w:rsidR="00D226EE" w:rsidRPr="004C6CC5">
        <w:rPr>
          <w:rFonts w:ascii="Arial" w:hAnsi="Arial" w:cs="Arial"/>
          <w:sz w:val="20"/>
          <w:szCs w:val="20"/>
        </w:rPr>
        <w:t>innymi służbami zapewniała bezpieczeństwo</w:t>
      </w:r>
      <w:r w:rsidR="004C6CC5">
        <w:rPr>
          <w:rFonts w:ascii="Arial" w:hAnsi="Arial" w:cs="Arial"/>
          <w:sz w:val="20"/>
          <w:szCs w:val="20"/>
        </w:rPr>
        <w:t xml:space="preserve"> w </w:t>
      </w:r>
      <w:r w:rsidR="00D226EE" w:rsidRPr="004C6CC5">
        <w:rPr>
          <w:rFonts w:ascii="Arial" w:hAnsi="Arial" w:cs="Arial"/>
          <w:sz w:val="20"/>
          <w:szCs w:val="20"/>
        </w:rPr>
        <w:t>rejonie wydarzenia, ze szczególnym uwzględnieniem wód Portu Szczecin;</w:t>
      </w:r>
    </w:p>
    <w:p w14:paraId="5CC934C3" w14:textId="2BA8C2E7" w:rsidR="00D226EE" w:rsidRPr="004C6CC5" w:rsidRDefault="00D226EE" w:rsidP="003C6ECA">
      <w:pPr>
        <w:pStyle w:val="Akapitzlist"/>
        <w:numPr>
          <w:ilvl w:val="0"/>
          <w:numId w:val="8"/>
        </w:numPr>
        <w:spacing w:after="120" w:line="276" w:lineRule="auto"/>
        <w:jc w:val="both"/>
        <w:rPr>
          <w:rFonts w:ascii="Arial" w:hAnsi="Arial" w:cs="Arial"/>
          <w:sz w:val="20"/>
          <w:szCs w:val="20"/>
        </w:rPr>
      </w:pPr>
      <w:r w:rsidRPr="004C6CC5">
        <w:rPr>
          <w:rFonts w:ascii="Arial" w:hAnsi="Arial" w:cs="Arial"/>
          <w:sz w:val="20"/>
          <w:szCs w:val="20"/>
        </w:rPr>
        <w:t>uroczystości</w:t>
      </w:r>
      <w:r w:rsidR="004C6CC5">
        <w:rPr>
          <w:rFonts w:ascii="Arial" w:hAnsi="Arial" w:cs="Arial"/>
          <w:sz w:val="20"/>
          <w:szCs w:val="20"/>
        </w:rPr>
        <w:t xml:space="preserve"> z </w:t>
      </w:r>
      <w:r w:rsidRPr="004C6CC5">
        <w:rPr>
          <w:rFonts w:ascii="Arial" w:hAnsi="Arial" w:cs="Arial"/>
          <w:sz w:val="20"/>
          <w:szCs w:val="20"/>
        </w:rPr>
        <w:t>okazji dwudziestolecia istnienia Dowództwa Wielonarodowego Korpusu Północno-Wschodniego</w:t>
      </w:r>
      <w:r w:rsidR="004C6CC5">
        <w:rPr>
          <w:rFonts w:ascii="Arial" w:hAnsi="Arial" w:cs="Arial"/>
          <w:sz w:val="20"/>
          <w:szCs w:val="20"/>
        </w:rPr>
        <w:t xml:space="preserve"> w </w:t>
      </w:r>
      <w:r w:rsidRPr="004C6CC5">
        <w:rPr>
          <w:rFonts w:ascii="Arial" w:hAnsi="Arial" w:cs="Arial"/>
          <w:sz w:val="20"/>
          <w:szCs w:val="20"/>
        </w:rPr>
        <w:t>Szczecinie od strony rzeki Odry</w:t>
      </w:r>
      <w:r w:rsidR="004C6CC5">
        <w:rPr>
          <w:rFonts w:ascii="Arial" w:hAnsi="Arial" w:cs="Arial"/>
          <w:sz w:val="20"/>
          <w:szCs w:val="20"/>
        </w:rPr>
        <w:t xml:space="preserve"> w </w:t>
      </w:r>
      <w:r w:rsidRPr="004C6CC5">
        <w:rPr>
          <w:rFonts w:ascii="Arial" w:hAnsi="Arial" w:cs="Arial"/>
          <w:sz w:val="20"/>
          <w:szCs w:val="20"/>
        </w:rPr>
        <w:t>dniach od 21 do 22 września 2019 r.</w:t>
      </w:r>
    </w:p>
    <w:p w14:paraId="2DF9F4E2" w14:textId="2F88940F"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Przedstawiciele Straży Granicznej uczestniczyli</w:t>
      </w:r>
      <w:r w:rsidR="004C6CC5">
        <w:rPr>
          <w:rFonts w:ascii="Arial" w:hAnsi="Arial" w:cs="Arial"/>
          <w:sz w:val="20"/>
          <w:szCs w:val="20"/>
        </w:rPr>
        <w:t xml:space="preserve"> w </w:t>
      </w:r>
      <w:r w:rsidR="00DB0D52">
        <w:rPr>
          <w:rFonts w:ascii="Arial" w:hAnsi="Arial" w:cs="Arial"/>
          <w:sz w:val="20"/>
          <w:szCs w:val="20"/>
        </w:rPr>
        <w:t>inicjatywach</w:t>
      </w:r>
      <w:r w:rsidRPr="004C6CC5">
        <w:rPr>
          <w:rFonts w:ascii="Arial" w:hAnsi="Arial" w:cs="Arial"/>
          <w:sz w:val="20"/>
          <w:szCs w:val="20"/>
        </w:rPr>
        <w:t>, do których należały m.in.:</w:t>
      </w:r>
    </w:p>
    <w:p w14:paraId="693445FC" w14:textId="5145AF31" w:rsidR="00D226EE" w:rsidRPr="004C6CC5" w:rsidRDefault="00D226EE" w:rsidP="003C6ECA">
      <w:pPr>
        <w:pStyle w:val="Akapitzlist"/>
        <w:numPr>
          <w:ilvl w:val="0"/>
          <w:numId w:val="9"/>
        </w:numPr>
        <w:spacing w:after="120" w:line="276" w:lineRule="auto"/>
        <w:jc w:val="both"/>
        <w:rPr>
          <w:rFonts w:ascii="Arial" w:hAnsi="Arial" w:cs="Arial"/>
          <w:sz w:val="20"/>
          <w:szCs w:val="20"/>
        </w:rPr>
      </w:pPr>
      <w:r w:rsidRPr="004C6CC5">
        <w:rPr>
          <w:rFonts w:ascii="Arial" w:hAnsi="Arial" w:cs="Arial"/>
          <w:sz w:val="20"/>
          <w:szCs w:val="20"/>
        </w:rPr>
        <w:t>IV Forum Bezpieczeństwa Morskiego Państwa</w:t>
      </w:r>
      <w:r w:rsidR="004C6CC5">
        <w:rPr>
          <w:rFonts w:ascii="Arial" w:hAnsi="Arial" w:cs="Arial"/>
          <w:sz w:val="20"/>
          <w:szCs w:val="20"/>
        </w:rPr>
        <w:t xml:space="preserve"> w </w:t>
      </w:r>
      <w:r w:rsidRPr="004C6CC5">
        <w:rPr>
          <w:rFonts w:ascii="Arial" w:hAnsi="Arial" w:cs="Arial"/>
          <w:sz w:val="20"/>
          <w:szCs w:val="20"/>
        </w:rPr>
        <w:t>Warszawie</w:t>
      </w:r>
      <w:r w:rsidR="004C6CC5">
        <w:rPr>
          <w:rFonts w:ascii="Arial" w:hAnsi="Arial" w:cs="Arial"/>
          <w:sz w:val="20"/>
          <w:szCs w:val="20"/>
        </w:rPr>
        <w:t xml:space="preserve"> w </w:t>
      </w:r>
      <w:r w:rsidRPr="004C6CC5">
        <w:rPr>
          <w:rFonts w:ascii="Arial" w:hAnsi="Arial" w:cs="Arial"/>
          <w:sz w:val="20"/>
          <w:szCs w:val="20"/>
        </w:rPr>
        <w:t>dniu 24</w:t>
      </w:r>
      <w:r w:rsidR="00BB1EB8">
        <w:rPr>
          <w:rFonts w:ascii="Arial" w:hAnsi="Arial" w:cs="Arial"/>
          <w:sz w:val="20"/>
          <w:szCs w:val="20"/>
        </w:rPr>
        <w:t xml:space="preserve"> stycznia </w:t>
      </w:r>
      <w:r w:rsidRPr="004C6CC5">
        <w:rPr>
          <w:rFonts w:ascii="Arial" w:hAnsi="Arial" w:cs="Arial"/>
          <w:sz w:val="20"/>
          <w:szCs w:val="20"/>
        </w:rPr>
        <w:t xml:space="preserve">2019 r.; </w:t>
      </w:r>
    </w:p>
    <w:p w14:paraId="156DC41E" w14:textId="125F4838" w:rsidR="00D226EE" w:rsidRPr="004C6CC5" w:rsidRDefault="00D226EE" w:rsidP="003C6ECA">
      <w:pPr>
        <w:pStyle w:val="Akapitzlist"/>
        <w:numPr>
          <w:ilvl w:val="0"/>
          <w:numId w:val="9"/>
        </w:numPr>
        <w:spacing w:after="120" w:line="276" w:lineRule="auto"/>
        <w:jc w:val="both"/>
        <w:rPr>
          <w:rFonts w:ascii="Arial" w:hAnsi="Arial" w:cs="Arial"/>
          <w:sz w:val="20"/>
          <w:szCs w:val="20"/>
        </w:rPr>
      </w:pPr>
      <w:r w:rsidRPr="004C6CC5">
        <w:rPr>
          <w:rFonts w:ascii="Arial" w:hAnsi="Arial" w:cs="Arial"/>
          <w:sz w:val="20"/>
          <w:szCs w:val="20"/>
        </w:rPr>
        <w:t>Ćwiczenie funkcjonariuszy Placówki Straży Granicznej</w:t>
      </w:r>
      <w:r w:rsidR="004C6CC5">
        <w:rPr>
          <w:rFonts w:ascii="Arial" w:hAnsi="Arial" w:cs="Arial"/>
          <w:sz w:val="20"/>
          <w:szCs w:val="20"/>
        </w:rPr>
        <w:t xml:space="preserve"> w </w:t>
      </w:r>
      <w:r w:rsidRPr="004C6CC5">
        <w:rPr>
          <w:rFonts w:ascii="Arial" w:hAnsi="Arial" w:cs="Arial"/>
          <w:sz w:val="20"/>
          <w:szCs w:val="20"/>
        </w:rPr>
        <w:t>Gdańsku</w:t>
      </w:r>
      <w:r w:rsidR="00BB1EB8">
        <w:rPr>
          <w:rFonts w:ascii="Arial" w:hAnsi="Arial" w:cs="Arial"/>
          <w:sz w:val="20"/>
          <w:szCs w:val="20"/>
        </w:rPr>
        <w:t xml:space="preserve"> z </w:t>
      </w:r>
      <w:r w:rsidRPr="004C6CC5">
        <w:rPr>
          <w:rFonts w:ascii="Arial" w:hAnsi="Arial" w:cs="Arial"/>
          <w:sz w:val="20"/>
          <w:szCs w:val="20"/>
        </w:rPr>
        <w:t>funkcjonariuszami Pomorskiego Urzędu Celno-Skarbowego</w:t>
      </w:r>
      <w:r w:rsidR="004C6CC5">
        <w:rPr>
          <w:rFonts w:ascii="Arial" w:hAnsi="Arial" w:cs="Arial"/>
          <w:sz w:val="20"/>
          <w:szCs w:val="20"/>
        </w:rPr>
        <w:t xml:space="preserve"> w </w:t>
      </w:r>
      <w:r w:rsidRPr="004C6CC5">
        <w:rPr>
          <w:rFonts w:ascii="Arial" w:hAnsi="Arial" w:cs="Arial"/>
          <w:sz w:val="20"/>
          <w:szCs w:val="20"/>
        </w:rPr>
        <w:t>Gdyni zgodnie</w:t>
      </w:r>
      <w:r w:rsidR="005E7772">
        <w:rPr>
          <w:rFonts w:ascii="Arial" w:hAnsi="Arial" w:cs="Arial"/>
          <w:sz w:val="20"/>
          <w:szCs w:val="20"/>
        </w:rPr>
        <w:t xml:space="preserve"> z </w:t>
      </w:r>
      <w:r w:rsidRPr="004C6CC5">
        <w:rPr>
          <w:rFonts w:ascii="Arial" w:hAnsi="Arial" w:cs="Arial"/>
          <w:sz w:val="20"/>
          <w:szCs w:val="20"/>
        </w:rPr>
        <w:t>Planem współdziałania Krajowej Administracji Skarbowej</w:t>
      </w:r>
      <w:r w:rsidR="004C6CC5">
        <w:rPr>
          <w:rFonts w:ascii="Arial" w:hAnsi="Arial" w:cs="Arial"/>
          <w:sz w:val="20"/>
          <w:szCs w:val="20"/>
        </w:rPr>
        <w:t xml:space="preserve"> i </w:t>
      </w:r>
      <w:r w:rsidRPr="004C6CC5">
        <w:rPr>
          <w:rFonts w:ascii="Arial" w:hAnsi="Arial" w:cs="Arial"/>
          <w:sz w:val="20"/>
          <w:szCs w:val="20"/>
        </w:rPr>
        <w:t>Straży Granicznej na 2019 r.;</w:t>
      </w:r>
    </w:p>
    <w:p w14:paraId="2F097822" w14:textId="7E3C22D6" w:rsidR="00D226EE" w:rsidRPr="004C6CC5" w:rsidRDefault="00D226EE" w:rsidP="003C6ECA">
      <w:pPr>
        <w:pStyle w:val="Akapitzlist"/>
        <w:numPr>
          <w:ilvl w:val="0"/>
          <w:numId w:val="9"/>
        </w:numPr>
        <w:spacing w:after="120" w:line="276" w:lineRule="auto"/>
        <w:jc w:val="both"/>
        <w:rPr>
          <w:rFonts w:ascii="Arial" w:hAnsi="Arial" w:cs="Arial"/>
          <w:sz w:val="20"/>
          <w:szCs w:val="20"/>
        </w:rPr>
      </w:pPr>
      <w:r w:rsidRPr="004C6CC5">
        <w:rPr>
          <w:rFonts w:ascii="Arial" w:hAnsi="Arial" w:cs="Arial"/>
          <w:sz w:val="20"/>
          <w:szCs w:val="20"/>
        </w:rPr>
        <w:t>Konferencja dotycząca projektu Sat4Envi – „Dane satelitarne</w:t>
      </w:r>
      <w:r w:rsidR="004C6CC5">
        <w:rPr>
          <w:rFonts w:ascii="Arial" w:hAnsi="Arial" w:cs="Arial"/>
          <w:sz w:val="20"/>
          <w:szCs w:val="20"/>
        </w:rPr>
        <w:t xml:space="preserve"> w </w:t>
      </w:r>
      <w:r w:rsidRPr="004C6CC5">
        <w:rPr>
          <w:rFonts w:ascii="Arial" w:hAnsi="Arial" w:cs="Arial"/>
          <w:sz w:val="20"/>
          <w:szCs w:val="20"/>
        </w:rPr>
        <w:t>monitorowaniu środowiska naturalnego”, która odbyła się</w:t>
      </w:r>
      <w:r w:rsidR="004C6CC5">
        <w:rPr>
          <w:rFonts w:ascii="Arial" w:hAnsi="Arial" w:cs="Arial"/>
          <w:sz w:val="20"/>
          <w:szCs w:val="20"/>
        </w:rPr>
        <w:t xml:space="preserve"> w </w:t>
      </w:r>
      <w:r w:rsidRPr="004C6CC5">
        <w:rPr>
          <w:rFonts w:ascii="Arial" w:hAnsi="Arial" w:cs="Arial"/>
          <w:sz w:val="20"/>
          <w:szCs w:val="20"/>
        </w:rPr>
        <w:t>Instytucie Meteorologii</w:t>
      </w:r>
      <w:r w:rsidR="004C6CC5">
        <w:rPr>
          <w:rFonts w:ascii="Arial" w:hAnsi="Arial" w:cs="Arial"/>
          <w:sz w:val="20"/>
          <w:szCs w:val="20"/>
        </w:rPr>
        <w:t xml:space="preserve"> i </w:t>
      </w:r>
      <w:r w:rsidRPr="004C6CC5">
        <w:rPr>
          <w:rFonts w:ascii="Arial" w:hAnsi="Arial" w:cs="Arial"/>
          <w:sz w:val="20"/>
          <w:szCs w:val="20"/>
        </w:rPr>
        <w:t>Gospodarki Wodnej - Państwowym Instytucie Badawczym</w:t>
      </w:r>
      <w:r w:rsidR="004C6CC5">
        <w:rPr>
          <w:rFonts w:ascii="Arial" w:hAnsi="Arial" w:cs="Arial"/>
          <w:sz w:val="20"/>
          <w:szCs w:val="20"/>
        </w:rPr>
        <w:t xml:space="preserve"> w </w:t>
      </w:r>
      <w:r w:rsidRPr="004C6CC5">
        <w:rPr>
          <w:rFonts w:ascii="Arial" w:hAnsi="Arial" w:cs="Arial"/>
          <w:sz w:val="20"/>
          <w:szCs w:val="20"/>
        </w:rPr>
        <w:t>Warszawie;</w:t>
      </w:r>
    </w:p>
    <w:p w14:paraId="081D7B89" w14:textId="2293ED68"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ramach współpracy</w:t>
      </w:r>
      <w:r w:rsidR="00764980">
        <w:rPr>
          <w:rFonts w:ascii="Arial" w:hAnsi="Arial" w:cs="Arial"/>
          <w:sz w:val="20"/>
          <w:szCs w:val="20"/>
        </w:rPr>
        <w:t xml:space="preserve"> z </w:t>
      </w:r>
      <w:r w:rsidRPr="004C6CC5">
        <w:rPr>
          <w:rFonts w:ascii="Arial" w:hAnsi="Arial" w:cs="Arial"/>
          <w:sz w:val="20"/>
          <w:szCs w:val="20"/>
        </w:rPr>
        <w:t>Siłami Zbrojnymi RP Straż Graniczna uczestniczyła</w:t>
      </w:r>
      <w:r w:rsidR="004C6CC5">
        <w:rPr>
          <w:rFonts w:ascii="Arial" w:hAnsi="Arial" w:cs="Arial"/>
          <w:sz w:val="20"/>
          <w:szCs w:val="20"/>
        </w:rPr>
        <w:t xml:space="preserve"> w </w:t>
      </w:r>
      <w:r w:rsidRPr="004C6CC5">
        <w:rPr>
          <w:rFonts w:ascii="Arial" w:hAnsi="Arial" w:cs="Arial"/>
          <w:sz w:val="20"/>
          <w:szCs w:val="20"/>
        </w:rPr>
        <w:t xml:space="preserve">ćwiczeniu </w:t>
      </w:r>
      <w:r w:rsidR="005A79CC">
        <w:rPr>
          <w:rFonts w:ascii="Arial" w:hAnsi="Arial" w:cs="Arial"/>
          <w:sz w:val="20"/>
          <w:szCs w:val="20"/>
        </w:rPr>
        <w:br/>
      </w:r>
      <w:r w:rsidRPr="004C6CC5">
        <w:rPr>
          <w:rFonts w:ascii="Arial" w:hAnsi="Arial" w:cs="Arial"/>
          <w:sz w:val="20"/>
          <w:szCs w:val="20"/>
        </w:rPr>
        <w:t>pk. „RENEGADE/SAREX - 19”</w:t>
      </w:r>
      <w:r w:rsidR="004C6CC5">
        <w:rPr>
          <w:rFonts w:ascii="Arial" w:hAnsi="Arial" w:cs="Arial"/>
          <w:sz w:val="20"/>
          <w:szCs w:val="20"/>
        </w:rPr>
        <w:t xml:space="preserve"> w </w:t>
      </w:r>
      <w:r w:rsidRPr="004C6CC5">
        <w:rPr>
          <w:rFonts w:ascii="Arial" w:hAnsi="Arial" w:cs="Arial"/>
          <w:sz w:val="20"/>
          <w:szCs w:val="20"/>
        </w:rPr>
        <w:t>dniach od 28 do 30 maja 2019</w:t>
      </w:r>
      <w:r w:rsidR="009D01B9" w:rsidRPr="004C6CC5">
        <w:rPr>
          <w:rFonts w:ascii="Arial" w:hAnsi="Arial" w:cs="Arial"/>
          <w:sz w:val="20"/>
          <w:szCs w:val="20"/>
        </w:rPr>
        <w:t xml:space="preserve"> r. </w:t>
      </w:r>
      <w:r w:rsidRPr="004C6CC5">
        <w:rPr>
          <w:rFonts w:ascii="Arial" w:hAnsi="Arial" w:cs="Arial"/>
          <w:sz w:val="20"/>
          <w:szCs w:val="20"/>
        </w:rPr>
        <w:t>zorganizowanego przez Dowództwo Operacyjne Rodzajów Sił Zbrojnych. Celem ćwiczenia było doskonalenie procedur</w:t>
      </w:r>
      <w:r w:rsidR="005A79CC">
        <w:rPr>
          <w:rFonts w:ascii="Arial" w:hAnsi="Arial" w:cs="Arial"/>
          <w:sz w:val="20"/>
          <w:szCs w:val="20"/>
        </w:rPr>
        <w:t xml:space="preserve"> z </w:t>
      </w:r>
      <w:r w:rsidRPr="004C6CC5">
        <w:rPr>
          <w:rFonts w:ascii="Arial" w:hAnsi="Arial" w:cs="Arial"/>
          <w:sz w:val="20"/>
          <w:szCs w:val="20"/>
        </w:rPr>
        <w:t>zakresu współdziałania</w:t>
      </w:r>
      <w:r w:rsidR="004C6CC5">
        <w:rPr>
          <w:rFonts w:ascii="Arial" w:hAnsi="Arial" w:cs="Arial"/>
          <w:sz w:val="20"/>
          <w:szCs w:val="20"/>
        </w:rPr>
        <w:t xml:space="preserve"> i </w:t>
      </w:r>
      <w:r w:rsidRPr="004C6CC5">
        <w:rPr>
          <w:rFonts w:ascii="Arial" w:hAnsi="Arial" w:cs="Arial"/>
          <w:sz w:val="20"/>
          <w:szCs w:val="20"/>
        </w:rPr>
        <w:t>przeciwdziałania zagrożeniom terrorystycznym</w:t>
      </w:r>
      <w:r w:rsidR="004C6CC5">
        <w:rPr>
          <w:rFonts w:ascii="Arial" w:hAnsi="Arial" w:cs="Arial"/>
          <w:sz w:val="20"/>
          <w:szCs w:val="20"/>
        </w:rPr>
        <w:t xml:space="preserve"> z </w:t>
      </w:r>
      <w:r w:rsidRPr="004C6CC5">
        <w:rPr>
          <w:rFonts w:ascii="Arial" w:hAnsi="Arial" w:cs="Arial"/>
          <w:sz w:val="20"/>
          <w:szCs w:val="20"/>
        </w:rPr>
        <w:t>powietrza, a także poszukiwania</w:t>
      </w:r>
      <w:r w:rsidR="004C6CC5">
        <w:rPr>
          <w:rFonts w:ascii="Arial" w:hAnsi="Arial" w:cs="Arial"/>
          <w:sz w:val="20"/>
          <w:szCs w:val="20"/>
        </w:rPr>
        <w:t xml:space="preserve"> i </w:t>
      </w:r>
      <w:r w:rsidRPr="004C6CC5">
        <w:rPr>
          <w:rFonts w:ascii="Arial" w:hAnsi="Arial" w:cs="Arial"/>
          <w:sz w:val="20"/>
          <w:szCs w:val="20"/>
        </w:rPr>
        <w:t>ratownictwa morskiego oraz lotniczego.</w:t>
      </w:r>
      <w:r w:rsidR="00CE03FA">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ćwiczeniu brała udział jednostka pływająca Kaszubskiego Dywizjonu Straży Granicznej oraz statek powietrzny Biura Lotnictwa Komendy Głównej Straży Granicznej.</w:t>
      </w:r>
    </w:p>
    <w:p w14:paraId="6E18E586" w14:textId="2805CB37"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lastRenderedPageBreak/>
        <w:t>W dniach od 15 do 25 czerwca 2019</w:t>
      </w:r>
      <w:r w:rsidR="009D01B9" w:rsidRPr="004C6CC5">
        <w:rPr>
          <w:rFonts w:ascii="Arial" w:hAnsi="Arial" w:cs="Arial"/>
          <w:sz w:val="20"/>
          <w:szCs w:val="20"/>
        </w:rPr>
        <w:t xml:space="preserve"> r. </w:t>
      </w:r>
      <w:r w:rsidRPr="004C6CC5">
        <w:rPr>
          <w:rFonts w:ascii="Arial" w:hAnsi="Arial" w:cs="Arial"/>
          <w:sz w:val="20"/>
          <w:szCs w:val="20"/>
        </w:rPr>
        <w:t>odbyło się ćwiczenie taktyczne</w:t>
      </w:r>
      <w:r w:rsidR="004C6CC5">
        <w:rPr>
          <w:rFonts w:ascii="Arial" w:hAnsi="Arial" w:cs="Arial"/>
          <w:sz w:val="20"/>
          <w:szCs w:val="20"/>
        </w:rPr>
        <w:t xml:space="preserve"> z </w:t>
      </w:r>
      <w:r w:rsidRPr="004C6CC5">
        <w:rPr>
          <w:rFonts w:ascii="Arial" w:hAnsi="Arial" w:cs="Arial"/>
          <w:sz w:val="20"/>
          <w:szCs w:val="20"/>
        </w:rPr>
        <w:t>wojskami pk. „DRAGON-19” zorganizowane przez Dowództwo Generalne Rodzajów Sił Zbrojnych. Celem ćwiczenia było przygotowanie wojska do strategicznej operacji obronnej,</w:t>
      </w:r>
      <w:r w:rsidR="004C6CC5">
        <w:rPr>
          <w:rFonts w:ascii="Arial" w:hAnsi="Arial" w:cs="Arial"/>
          <w:sz w:val="20"/>
          <w:szCs w:val="20"/>
        </w:rPr>
        <w:t xml:space="preserve"> w </w:t>
      </w:r>
      <w:r w:rsidRPr="004C6CC5">
        <w:rPr>
          <w:rFonts w:ascii="Arial" w:hAnsi="Arial" w:cs="Arial"/>
          <w:sz w:val="20"/>
          <w:szCs w:val="20"/>
        </w:rPr>
        <w:t>tym we współdziałaniu</w:t>
      </w:r>
      <w:r w:rsidR="004C6CC5">
        <w:rPr>
          <w:rFonts w:ascii="Arial" w:hAnsi="Arial" w:cs="Arial"/>
          <w:sz w:val="20"/>
          <w:szCs w:val="20"/>
        </w:rPr>
        <w:t xml:space="preserve"> z </w:t>
      </w:r>
      <w:r w:rsidRPr="004C6CC5">
        <w:rPr>
          <w:rFonts w:ascii="Arial" w:hAnsi="Arial" w:cs="Arial"/>
          <w:sz w:val="20"/>
          <w:szCs w:val="20"/>
        </w:rPr>
        <w:t>organami administracji publicznej.</w:t>
      </w:r>
      <w:r w:rsidR="002168EA">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ćwiczeniu brała udział jednostka pływająca Straży Granicznej-311.</w:t>
      </w:r>
    </w:p>
    <w:p w14:paraId="4C2A2CB5" w14:textId="365B6522"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dniach od 7 do 11 października 2019</w:t>
      </w:r>
      <w:r w:rsidR="009D01B9" w:rsidRPr="004C6CC5">
        <w:rPr>
          <w:rFonts w:ascii="Arial" w:hAnsi="Arial" w:cs="Arial"/>
          <w:sz w:val="20"/>
          <w:szCs w:val="20"/>
        </w:rPr>
        <w:t xml:space="preserve"> r. </w:t>
      </w:r>
      <w:r w:rsidRPr="004C6CC5">
        <w:rPr>
          <w:rFonts w:ascii="Arial" w:hAnsi="Arial" w:cs="Arial"/>
          <w:sz w:val="20"/>
          <w:szCs w:val="20"/>
        </w:rPr>
        <w:t>odbyło się ćwiczenie dowódczo - sztabowe pk. „OKOŃ-19” zorganizowane przez Dowództwo 3. Flotylli Okrętów. Ze strony Straży Granicznej</w:t>
      </w:r>
      <w:r w:rsidR="004C6CC5">
        <w:rPr>
          <w:rFonts w:ascii="Arial" w:hAnsi="Arial" w:cs="Arial"/>
          <w:sz w:val="20"/>
          <w:szCs w:val="20"/>
        </w:rPr>
        <w:t xml:space="preserve"> w </w:t>
      </w:r>
      <w:r w:rsidRPr="004C6CC5">
        <w:rPr>
          <w:rFonts w:ascii="Arial" w:hAnsi="Arial" w:cs="Arial"/>
          <w:sz w:val="20"/>
          <w:szCs w:val="20"/>
        </w:rPr>
        <w:t>ćwiczeniu uczestniczył funkcjonariusz</w:t>
      </w:r>
      <w:r w:rsidR="002168EA">
        <w:rPr>
          <w:rFonts w:ascii="Arial" w:hAnsi="Arial" w:cs="Arial"/>
          <w:sz w:val="20"/>
          <w:szCs w:val="20"/>
        </w:rPr>
        <w:t xml:space="preserve"> </w:t>
      </w:r>
      <w:r w:rsidRPr="004C6CC5">
        <w:rPr>
          <w:rFonts w:ascii="Arial" w:hAnsi="Arial" w:cs="Arial"/>
          <w:sz w:val="20"/>
          <w:szCs w:val="20"/>
        </w:rPr>
        <w:t>Morskiego Oddziału Straży Granicznej.</w:t>
      </w:r>
    </w:p>
    <w:p w14:paraId="0901EC4E" w14:textId="5634AC16"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dniach od 19 do 29 listopada 2019</w:t>
      </w:r>
      <w:r w:rsidR="009D01B9" w:rsidRPr="004C6CC5">
        <w:rPr>
          <w:rFonts w:ascii="Arial" w:hAnsi="Arial" w:cs="Arial"/>
          <w:sz w:val="20"/>
          <w:szCs w:val="20"/>
        </w:rPr>
        <w:t xml:space="preserve"> r. </w:t>
      </w:r>
      <w:r w:rsidRPr="004C6CC5">
        <w:rPr>
          <w:rFonts w:ascii="Arial" w:hAnsi="Arial" w:cs="Arial"/>
          <w:sz w:val="20"/>
          <w:szCs w:val="20"/>
        </w:rPr>
        <w:t>na polskich obszarach mors</w:t>
      </w:r>
      <w:r w:rsidR="00360175">
        <w:rPr>
          <w:rFonts w:ascii="Arial" w:hAnsi="Arial" w:cs="Arial"/>
          <w:sz w:val="20"/>
          <w:szCs w:val="20"/>
        </w:rPr>
        <w:t xml:space="preserve">kich odbyło się ćwiczenie </w:t>
      </w:r>
      <w:r w:rsidR="00360175">
        <w:rPr>
          <w:rFonts w:ascii="Arial" w:hAnsi="Arial" w:cs="Arial"/>
          <w:sz w:val="20"/>
          <w:szCs w:val="20"/>
        </w:rPr>
        <w:br/>
        <w:t>pk. „JESION-19”</w:t>
      </w:r>
      <w:r w:rsidRPr="004C6CC5">
        <w:rPr>
          <w:rFonts w:ascii="Arial" w:hAnsi="Arial" w:cs="Arial"/>
          <w:sz w:val="20"/>
          <w:szCs w:val="20"/>
        </w:rPr>
        <w:t>,</w:t>
      </w:r>
      <w:r w:rsidR="004C6CC5">
        <w:rPr>
          <w:rFonts w:ascii="Arial" w:hAnsi="Arial" w:cs="Arial"/>
          <w:sz w:val="20"/>
          <w:szCs w:val="20"/>
        </w:rPr>
        <w:t xml:space="preserve"> w </w:t>
      </w:r>
      <w:r w:rsidRPr="004C6CC5">
        <w:rPr>
          <w:rFonts w:ascii="Arial" w:hAnsi="Arial" w:cs="Arial"/>
          <w:sz w:val="20"/>
          <w:szCs w:val="20"/>
        </w:rPr>
        <w:t>którym głównym ćwiczącym było Centrum Operacji Morskich - Dowództwo Komponentu Morskiego</w:t>
      </w:r>
      <w:r w:rsidR="004C6CC5">
        <w:rPr>
          <w:rFonts w:ascii="Arial" w:hAnsi="Arial" w:cs="Arial"/>
          <w:sz w:val="20"/>
          <w:szCs w:val="20"/>
        </w:rPr>
        <w:t xml:space="preserve"> w </w:t>
      </w:r>
      <w:r w:rsidRPr="004C6CC5">
        <w:rPr>
          <w:rFonts w:ascii="Arial" w:hAnsi="Arial" w:cs="Arial"/>
          <w:sz w:val="20"/>
          <w:szCs w:val="20"/>
        </w:rPr>
        <w:t>Gdyni. Siły</w:t>
      </w:r>
      <w:r w:rsidR="004C6CC5">
        <w:rPr>
          <w:rFonts w:ascii="Arial" w:hAnsi="Arial" w:cs="Arial"/>
          <w:sz w:val="20"/>
          <w:szCs w:val="20"/>
        </w:rPr>
        <w:t xml:space="preserve"> i </w:t>
      </w:r>
      <w:r w:rsidRPr="004C6CC5">
        <w:rPr>
          <w:rFonts w:ascii="Arial" w:hAnsi="Arial" w:cs="Arial"/>
          <w:sz w:val="20"/>
          <w:szCs w:val="20"/>
        </w:rPr>
        <w:t>środki Straży Granicznej przeznaczone były do odgrywania roli zespołu podgrywającego</w:t>
      </w:r>
      <w:r w:rsidR="004C6CC5">
        <w:rPr>
          <w:rFonts w:ascii="Arial" w:hAnsi="Arial" w:cs="Arial"/>
          <w:sz w:val="20"/>
          <w:szCs w:val="20"/>
        </w:rPr>
        <w:t xml:space="preserve"> w </w:t>
      </w:r>
      <w:r w:rsidRPr="004C6CC5">
        <w:rPr>
          <w:rFonts w:ascii="Arial" w:hAnsi="Arial" w:cs="Arial"/>
          <w:sz w:val="20"/>
          <w:szCs w:val="20"/>
        </w:rPr>
        <w:t>ramach Joint Theatre Level System (JTLS). Straż Graniczna reagowała</w:t>
      </w:r>
      <w:r w:rsidR="004C6CC5">
        <w:rPr>
          <w:rFonts w:ascii="Arial" w:hAnsi="Arial" w:cs="Arial"/>
          <w:sz w:val="20"/>
          <w:szCs w:val="20"/>
        </w:rPr>
        <w:t xml:space="preserve"> w </w:t>
      </w:r>
      <w:r w:rsidRPr="004C6CC5">
        <w:rPr>
          <w:rFonts w:ascii="Arial" w:hAnsi="Arial" w:cs="Arial"/>
          <w:sz w:val="20"/>
          <w:szCs w:val="20"/>
        </w:rPr>
        <w:t>przypadku wystąpienia zdarzeń związanych</w:t>
      </w:r>
      <w:r w:rsidR="004C6CC5">
        <w:rPr>
          <w:rFonts w:ascii="Arial" w:hAnsi="Arial" w:cs="Arial"/>
          <w:sz w:val="20"/>
          <w:szCs w:val="20"/>
        </w:rPr>
        <w:t xml:space="preserve"> z </w:t>
      </w:r>
      <w:r w:rsidRPr="004C6CC5">
        <w:rPr>
          <w:rFonts w:ascii="Arial" w:hAnsi="Arial" w:cs="Arial"/>
          <w:sz w:val="20"/>
          <w:szCs w:val="20"/>
        </w:rPr>
        <w:t>naruszeniem przepisów na polskich obszarach morskich.</w:t>
      </w:r>
    </w:p>
    <w:p w14:paraId="24FC4EC7" w14:textId="3BBB62B9"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dniach od 9 do 13 września 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Kaszubskim Dywizjonie Straży Granicznej odbyło się szkolenie</w:t>
      </w:r>
      <w:r w:rsidR="004C6CC5">
        <w:rPr>
          <w:rFonts w:ascii="Arial" w:hAnsi="Arial" w:cs="Arial"/>
          <w:sz w:val="20"/>
          <w:szCs w:val="20"/>
        </w:rPr>
        <w:t xml:space="preserve"> z </w:t>
      </w:r>
      <w:r w:rsidRPr="004C6CC5">
        <w:rPr>
          <w:rFonts w:ascii="Arial" w:hAnsi="Arial" w:cs="Arial"/>
          <w:sz w:val="20"/>
          <w:szCs w:val="20"/>
        </w:rPr>
        <w:t>zakresu działania grup kontrolnych</w:t>
      </w:r>
      <w:r w:rsidR="00627757">
        <w:rPr>
          <w:rFonts w:ascii="Arial" w:hAnsi="Arial" w:cs="Arial"/>
          <w:sz w:val="20"/>
          <w:szCs w:val="20"/>
        </w:rPr>
        <w:t xml:space="preserve"> z </w:t>
      </w:r>
      <w:r w:rsidRPr="004C6CC5">
        <w:rPr>
          <w:rFonts w:ascii="Arial" w:hAnsi="Arial" w:cs="Arial"/>
          <w:sz w:val="20"/>
          <w:szCs w:val="20"/>
        </w:rPr>
        <w:t>jednostek pływających Straży Granicznej,</w:t>
      </w:r>
      <w:r w:rsidR="00360175">
        <w:rPr>
          <w:rFonts w:ascii="Arial" w:hAnsi="Arial" w:cs="Arial"/>
          <w:sz w:val="20"/>
          <w:szCs w:val="20"/>
        </w:rPr>
        <w:t xml:space="preserve"> w </w:t>
      </w:r>
      <w:r w:rsidRPr="004C6CC5">
        <w:rPr>
          <w:rFonts w:ascii="Arial" w:hAnsi="Arial" w:cs="Arial"/>
          <w:sz w:val="20"/>
          <w:szCs w:val="20"/>
        </w:rPr>
        <w:t>którym uczestniczyło 18 kadetów Straży Przybrzeżnej Kuwejtu – studentów Akademii Marynarki Wojennej oraz funkcjonariusze Straży Granicznej. Szkolenie zostało przeprowadzone przez instruktorów</w:t>
      </w:r>
      <w:r w:rsidR="004C6CC5">
        <w:rPr>
          <w:rFonts w:ascii="Arial" w:hAnsi="Arial" w:cs="Arial"/>
          <w:sz w:val="20"/>
          <w:szCs w:val="20"/>
        </w:rPr>
        <w:t xml:space="preserve"> z </w:t>
      </w:r>
      <w:r w:rsidRPr="004C6CC5">
        <w:rPr>
          <w:rFonts w:ascii="Arial" w:hAnsi="Arial" w:cs="Arial"/>
          <w:sz w:val="20"/>
          <w:szCs w:val="20"/>
        </w:rPr>
        <w:t>Morskiego Oddziału Straży Granicznej oraz</w:t>
      </w:r>
      <w:r w:rsidR="004C6CC5">
        <w:rPr>
          <w:rFonts w:ascii="Arial" w:hAnsi="Arial" w:cs="Arial"/>
          <w:sz w:val="20"/>
          <w:szCs w:val="20"/>
        </w:rPr>
        <w:t xml:space="preserve"> z </w:t>
      </w:r>
      <w:r w:rsidRPr="004C6CC5">
        <w:rPr>
          <w:rFonts w:ascii="Arial" w:hAnsi="Arial" w:cs="Arial"/>
          <w:sz w:val="20"/>
          <w:szCs w:val="20"/>
        </w:rPr>
        <w:t>Centralnego Ośrod</w:t>
      </w:r>
      <w:r w:rsidR="009229C1">
        <w:rPr>
          <w:rFonts w:ascii="Arial" w:hAnsi="Arial" w:cs="Arial"/>
          <w:sz w:val="20"/>
          <w:szCs w:val="20"/>
        </w:rPr>
        <w:t>ka Szkolenia Straży Granicznej.</w:t>
      </w:r>
    </w:p>
    <w:p w14:paraId="4DD5A609" w14:textId="7EC04C1D" w:rsidR="00D226EE" w:rsidRPr="00601820" w:rsidRDefault="00D226EE" w:rsidP="003C6ECA">
      <w:pPr>
        <w:pStyle w:val="Akapitzlist"/>
        <w:numPr>
          <w:ilvl w:val="0"/>
          <w:numId w:val="40"/>
        </w:numPr>
        <w:shd w:val="clear" w:color="auto" w:fill="FFFFFF"/>
        <w:suppressAutoHyphens/>
        <w:spacing w:before="120" w:after="120" w:line="276" w:lineRule="auto"/>
        <w:jc w:val="both"/>
        <w:rPr>
          <w:rFonts w:ascii="Arial" w:eastAsia="Calibri" w:hAnsi="Arial" w:cs="Arial"/>
          <w:b/>
          <w:sz w:val="20"/>
          <w:szCs w:val="20"/>
          <w:lang w:eastAsia="ar-SA"/>
        </w:rPr>
      </w:pPr>
      <w:r w:rsidRPr="00601820">
        <w:rPr>
          <w:rFonts w:ascii="Arial" w:eastAsia="Calibri" w:hAnsi="Arial" w:cs="Arial"/>
          <w:b/>
          <w:sz w:val="20"/>
          <w:szCs w:val="20"/>
          <w:lang w:eastAsia="ar-SA"/>
        </w:rPr>
        <w:t>Forum Współpracy Służb Granicznych Państw Regionu Morza Bałtyckiego – BSRBCC (Baltic Sea Region Border Control Cooperation Conference)</w:t>
      </w:r>
    </w:p>
    <w:p w14:paraId="184F8A67" w14:textId="50466953"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w:t>
      </w:r>
      <w:r w:rsidR="009229C1">
        <w:rPr>
          <w:rFonts w:ascii="Arial" w:hAnsi="Arial" w:cs="Arial"/>
          <w:sz w:val="20"/>
          <w:szCs w:val="20"/>
        </w:rPr>
        <w:t xml:space="preserve"> 2019 r.</w:t>
      </w:r>
      <w:r w:rsidR="004C6CC5">
        <w:rPr>
          <w:rFonts w:ascii="Arial" w:hAnsi="Arial" w:cs="Arial"/>
          <w:sz w:val="20"/>
          <w:szCs w:val="20"/>
        </w:rPr>
        <w:t xml:space="preserve"> w </w:t>
      </w:r>
      <w:r w:rsidRPr="004C6CC5">
        <w:rPr>
          <w:rFonts w:ascii="Arial" w:hAnsi="Arial" w:cs="Arial"/>
          <w:sz w:val="20"/>
          <w:szCs w:val="20"/>
        </w:rPr>
        <w:t>ramach przewodnictwa Straży Przybrzeżnej</w:t>
      </w:r>
      <w:r w:rsidR="004C6CC5">
        <w:rPr>
          <w:rFonts w:ascii="Arial" w:hAnsi="Arial" w:cs="Arial"/>
          <w:sz w:val="20"/>
          <w:szCs w:val="20"/>
        </w:rPr>
        <w:t xml:space="preserve"> i </w:t>
      </w:r>
      <w:r w:rsidRPr="004C6CC5">
        <w:rPr>
          <w:rFonts w:ascii="Arial" w:hAnsi="Arial" w:cs="Arial"/>
          <w:sz w:val="20"/>
          <w:szCs w:val="20"/>
        </w:rPr>
        <w:t>Policji Królestwa Danii</w:t>
      </w:r>
      <w:r w:rsidR="004C6CC5">
        <w:rPr>
          <w:rFonts w:ascii="Arial" w:hAnsi="Arial" w:cs="Arial"/>
          <w:sz w:val="20"/>
          <w:szCs w:val="20"/>
        </w:rPr>
        <w:t xml:space="preserve"> w </w:t>
      </w:r>
      <w:r w:rsidRPr="004C6CC5">
        <w:rPr>
          <w:rFonts w:ascii="Arial" w:hAnsi="Arial" w:cs="Arial"/>
          <w:sz w:val="20"/>
          <w:szCs w:val="20"/>
        </w:rPr>
        <w:t xml:space="preserve">Forum Współpracy Służb Granicznych Państw Regionu Morza Bałtyckiego – BSRBCC, przedstawiciele Straży Granicznej </w:t>
      </w:r>
      <w:r w:rsidR="001963D5">
        <w:rPr>
          <w:rFonts w:ascii="Arial" w:hAnsi="Arial" w:cs="Arial"/>
          <w:sz w:val="20"/>
          <w:szCs w:val="20"/>
        </w:rPr>
        <w:t xml:space="preserve">(SG) </w:t>
      </w:r>
      <w:r w:rsidRPr="004C6CC5">
        <w:rPr>
          <w:rFonts w:ascii="Arial" w:hAnsi="Arial" w:cs="Arial"/>
          <w:sz w:val="20"/>
          <w:szCs w:val="20"/>
        </w:rPr>
        <w:t>uczestniczyli w:</w:t>
      </w:r>
    </w:p>
    <w:p w14:paraId="3E7D50CF" w14:textId="5751F6F9" w:rsidR="00D226EE" w:rsidRPr="004C6CC5" w:rsidRDefault="00D226EE" w:rsidP="003C6ECA">
      <w:pPr>
        <w:pStyle w:val="Akapitzlist"/>
        <w:numPr>
          <w:ilvl w:val="0"/>
          <w:numId w:val="10"/>
        </w:numPr>
        <w:spacing w:after="120" w:line="276" w:lineRule="auto"/>
        <w:jc w:val="both"/>
        <w:rPr>
          <w:rFonts w:ascii="Arial" w:hAnsi="Arial" w:cs="Arial"/>
          <w:sz w:val="20"/>
          <w:szCs w:val="20"/>
        </w:rPr>
      </w:pPr>
      <w:r w:rsidRPr="004C6CC5">
        <w:rPr>
          <w:rFonts w:ascii="Arial" w:hAnsi="Arial" w:cs="Arial"/>
          <w:sz w:val="20"/>
          <w:szCs w:val="20"/>
        </w:rPr>
        <w:t>I spotkaniu ekspertów Bałtyckiego Komitetu Granicznego – Baltic Border Committee (BBC), Helsingør</w:t>
      </w:r>
      <w:r w:rsidR="004C6CC5">
        <w:rPr>
          <w:rFonts w:ascii="Arial" w:hAnsi="Arial" w:cs="Arial"/>
          <w:sz w:val="20"/>
          <w:szCs w:val="20"/>
        </w:rPr>
        <w:t xml:space="preserve"> w </w:t>
      </w:r>
      <w:r w:rsidRPr="004C6CC5">
        <w:rPr>
          <w:rFonts w:ascii="Arial" w:hAnsi="Arial" w:cs="Arial"/>
          <w:sz w:val="20"/>
          <w:szCs w:val="20"/>
        </w:rPr>
        <w:t>Danii</w:t>
      </w:r>
      <w:r w:rsidR="004C6CC5">
        <w:rPr>
          <w:rFonts w:ascii="Arial" w:hAnsi="Arial" w:cs="Arial"/>
          <w:sz w:val="20"/>
          <w:szCs w:val="20"/>
        </w:rPr>
        <w:t xml:space="preserve"> w </w:t>
      </w:r>
      <w:r w:rsidR="00627757">
        <w:rPr>
          <w:rFonts w:ascii="Arial" w:hAnsi="Arial" w:cs="Arial"/>
          <w:sz w:val="20"/>
          <w:szCs w:val="20"/>
        </w:rPr>
        <w:t>dniach od 5 do 7 marca 2019 r.;</w:t>
      </w:r>
    </w:p>
    <w:p w14:paraId="6891E24C" w14:textId="758D53BA" w:rsidR="00D226EE" w:rsidRPr="004C6CC5" w:rsidRDefault="00D226EE" w:rsidP="003C6ECA">
      <w:pPr>
        <w:pStyle w:val="Akapitzlist"/>
        <w:numPr>
          <w:ilvl w:val="0"/>
          <w:numId w:val="10"/>
        </w:numPr>
        <w:spacing w:after="120" w:line="276" w:lineRule="auto"/>
        <w:jc w:val="both"/>
        <w:rPr>
          <w:rFonts w:ascii="Arial" w:hAnsi="Arial" w:cs="Arial"/>
          <w:sz w:val="20"/>
          <w:szCs w:val="20"/>
        </w:rPr>
      </w:pPr>
      <w:r w:rsidRPr="004C6CC5">
        <w:rPr>
          <w:rFonts w:ascii="Arial" w:hAnsi="Arial" w:cs="Arial"/>
          <w:sz w:val="20"/>
          <w:szCs w:val="20"/>
        </w:rPr>
        <w:t>warsztatach ekspertów ds. analizy ryzyka</w:t>
      </w:r>
      <w:r w:rsidR="004C6CC5">
        <w:rPr>
          <w:rFonts w:ascii="Arial" w:hAnsi="Arial" w:cs="Arial"/>
          <w:sz w:val="20"/>
          <w:szCs w:val="20"/>
        </w:rPr>
        <w:t xml:space="preserve"> z </w:t>
      </w:r>
      <w:r w:rsidRPr="004C6CC5">
        <w:rPr>
          <w:rFonts w:ascii="Arial" w:hAnsi="Arial" w:cs="Arial"/>
          <w:sz w:val="20"/>
          <w:szCs w:val="20"/>
        </w:rPr>
        <w:t>zakresu zagrożeń</w:t>
      </w:r>
      <w:r w:rsidR="004C6CC5">
        <w:rPr>
          <w:rFonts w:ascii="Arial" w:hAnsi="Arial" w:cs="Arial"/>
          <w:sz w:val="20"/>
          <w:szCs w:val="20"/>
        </w:rPr>
        <w:t xml:space="preserve"> w </w:t>
      </w:r>
      <w:r w:rsidRPr="004C6CC5">
        <w:rPr>
          <w:rFonts w:ascii="Arial" w:hAnsi="Arial" w:cs="Arial"/>
          <w:sz w:val="20"/>
          <w:szCs w:val="20"/>
        </w:rPr>
        <w:t xml:space="preserve">rejonie Morza Bałtyckiego, </w:t>
      </w:r>
      <w:r w:rsidR="00CC5578">
        <w:rPr>
          <w:rFonts w:ascii="Arial" w:hAnsi="Arial" w:cs="Arial"/>
          <w:sz w:val="20"/>
          <w:szCs w:val="20"/>
        </w:rPr>
        <w:br/>
      </w:r>
      <w:r w:rsidRPr="004C6CC5">
        <w:rPr>
          <w:rFonts w:ascii="Arial" w:hAnsi="Arial" w:cs="Arial"/>
          <w:sz w:val="20"/>
          <w:szCs w:val="20"/>
        </w:rPr>
        <w:t>ATA</w:t>
      </w:r>
      <w:r w:rsidR="00CC5578">
        <w:rPr>
          <w:rFonts w:ascii="Arial" w:hAnsi="Arial" w:cs="Arial"/>
          <w:sz w:val="20"/>
          <w:szCs w:val="20"/>
        </w:rPr>
        <w:t xml:space="preserve"> </w:t>
      </w:r>
      <w:r w:rsidR="001963D5">
        <w:rPr>
          <w:rFonts w:ascii="Arial" w:hAnsi="Arial" w:cs="Arial"/>
          <w:sz w:val="20"/>
          <w:szCs w:val="20"/>
        </w:rPr>
        <w:t>I</w:t>
      </w:r>
      <w:r w:rsidR="004C6CC5">
        <w:rPr>
          <w:rFonts w:ascii="Arial" w:hAnsi="Arial" w:cs="Arial"/>
          <w:sz w:val="20"/>
          <w:szCs w:val="20"/>
        </w:rPr>
        <w:t xml:space="preserve"> w </w:t>
      </w:r>
      <w:r w:rsidR="00627757">
        <w:rPr>
          <w:rFonts w:ascii="Arial" w:hAnsi="Arial" w:cs="Arial"/>
          <w:sz w:val="20"/>
          <w:szCs w:val="20"/>
        </w:rPr>
        <w:t>Helsingør/</w:t>
      </w:r>
      <w:r w:rsidRPr="004C6CC5">
        <w:rPr>
          <w:rFonts w:ascii="Arial" w:hAnsi="Arial" w:cs="Arial"/>
          <w:sz w:val="20"/>
          <w:szCs w:val="20"/>
        </w:rPr>
        <w:t>Dania</w:t>
      </w:r>
      <w:r w:rsidR="004C6CC5">
        <w:rPr>
          <w:rFonts w:ascii="Arial" w:hAnsi="Arial" w:cs="Arial"/>
          <w:sz w:val="20"/>
          <w:szCs w:val="20"/>
        </w:rPr>
        <w:t xml:space="preserve"> w </w:t>
      </w:r>
      <w:r w:rsidRPr="004C6CC5">
        <w:rPr>
          <w:rFonts w:ascii="Arial" w:hAnsi="Arial" w:cs="Arial"/>
          <w:sz w:val="20"/>
          <w:szCs w:val="20"/>
        </w:rPr>
        <w:t>dniach od</w:t>
      </w:r>
      <w:r w:rsidR="00627757">
        <w:rPr>
          <w:rFonts w:ascii="Arial" w:hAnsi="Arial" w:cs="Arial"/>
          <w:sz w:val="20"/>
          <w:szCs w:val="20"/>
        </w:rPr>
        <w:t xml:space="preserve"> 14 do 16 maja 2019 r.;</w:t>
      </w:r>
    </w:p>
    <w:p w14:paraId="3FA37A4A" w14:textId="2F15CDA8" w:rsidR="00D226EE" w:rsidRPr="004C6CC5" w:rsidRDefault="00627757" w:rsidP="003C6ECA">
      <w:pPr>
        <w:pStyle w:val="Akapitzlist"/>
        <w:numPr>
          <w:ilvl w:val="0"/>
          <w:numId w:val="10"/>
        </w:numPr>
        <w:spacing w:after="120" w:line="276" w:lineRule="auto"/>
        <w:jc w:val="both"/>
        <w:rPr>
          <w:rFonts w:ascii="Arial" w:hAnsi="Arial" w:cs="Arial"/>
          <w:sz w:val="20"/>
          <w:szCs w:val="20"/>
        </w:rPr>
      </w:pPr>
      <w:r>
        <w:rPr>
          <w:rFonts w:ascii="Arial" w:hAnsi="Arial" w:cs="Arial"/>
          <w:sz w:val="20"/>
          <w:szCs w:val="20"/>
        </w:rPr>
        <w:t>seminarium pn</w:t>
      </w:r>
      <w:r w:rsidR="00D226EE" w:rsidRPr="004C6CC5">
        <w:rPr>
          <w:rFonts w:ascii="Arial" w:hAnsi="Arial" w:cs="Arial"/>
          <w:sz w:val="20"/>
          <w:szCs w:val="20"/>
        </w:rPr>
        <w:t xml:space="preserve">. </w:t>
      </w:r>
      <w:r>
        <w:rPr>
          <w:rFonts w:ascii="Arial" w:hAnsi="Arial" w:cs="Arial"/>
          <w:sz w:val="20"/>
          <w:szCs w:val="20"/>
        </w:rPr>
        <w:t>„</w:t>
      </w:r>
      <w:r w:rsidR="00D226EE" w:rsidRPr="004C6CC5">
        <w:rPr>
          <w:rFonts w:ascii="Arial" w:hAnsi="Arial" w:cs="Arial"/>
          <w:sz w:val="20"/>
          <w:szCs w:val="20"/>
        </w:rPr>
        <w:t>Document control and profiling in maritime border control</w:t>
      </w:r>
      <w:r>
        <w:rPr>
          <w:rFonts w:ascii="Arial" w:hAnsi="Arial" w:cs="Arial"/>
          <w:sz w:val="20"/>
          <w:szCs w:val="20"/>
        </w:rPr>
        <w:t>”</w:t>
      </w:r>
      <w:r w:rsidR="00D226EE" w:rsidRPr="004C6CC5">
        <w:rPr>
          <w:rFonts w:ascii="Arial" w:hAnsi="Arial" w:cs="Arial"/>
          <w:sz w:val="20"/>
          <w:szCs w:val="20"/>
        </w:rPr>
        <w:t>, którego celem była wymiana informacji dotyczących najnowszych trendów</w:t>
      </w:r>
      <w:r w:rsidR="004C6CC5">
        <w:rPr>
          <w:rFonts w:ascii="Arial" w:hAnsi="Arial" w:cs="Arial"/>
          <w:sz w:val="20"/>
          <w:szCs w:val="20"/>
        </w:rPr>
        <w:t xml:space="preserve"> w </w:t>
      </w:r>
      <w:r w:rsidR="00D226EE" w:rsidRPr="004C6CC5">
        <w:rPr>
          <w:rFonts w:ascii="Arial" w:hAnsi="Arial" w:cs="Arial"/>
          <w:sz w:val="20"/>
          <w:szCs w:val="20"/>
        </w:rPr>
        <w:t>zakresie metod wykrywania fałszerstw dokumentów</w:t>
      </w:r>
      <w:r w:rsidR="004C6CC5">
        <w:rPr>
          <w:rFonts w:ascii="Arial" w:hAnsi="Arial" w:cs="Arial"/>
          <w:sz w:val="20"/>
          <w:szCs w:val="20"/>
        </w:rPr>
        <w:t xml:space="preserve"> i </w:t>
      </w:r>
      <w:r w:rsidR="00D226EE" w:rsidRPr="004C6CC5">
        <w:rPr>
          <w:rFonts w:ascii="Arial" w:hAnsi="Arial" w:cs="Arial"/>
          <w:sz w:val="20"/>
          <w:szCs w:val="20"/>
        </w:rPr>
        <w:t>identyfikacji osób na podstawie dokumentów podróży oraz sposobu profilowania zagrożeń</w:t>
      </w:r>
      <w:r w:rsidR="004C6CC5">
        <w:rPr>
          <w:rFonts w:ascii="Arial" w:hAnsi="Arial" w:cs="Arial"/>
          <w:sz w:val="20"/>
          <w:szCs w:val="20"/>
        </w:rPr>
        <w:t xml:space="preserve"> i </w:t>
      </w:r>
      <w:r w:rsidR="00D226EE" w:rsidRPr="004C6CC5">
        <w:rPr>
          <w:rFonts w:ascii="Arial" w:hAnsi="Arial" w:cs="Arial"/>
          <w:sz w:val="20"/>
          <w:szCs w:val="20"/>
        </w:rPr>
        <w:t>typowania osó</w:t>
      </w:r>
      <w:r>
        <w:rPr>
          <w:rFonts w:ascii="Arial" w:hAnsi="Arial" w:cs="Arial"/>
          <w:sz w:val="20"/>
          <w:szCs w:val="20"/>
        </w:rPr>
        <w:t>b przez pierwszą linię kontroli - Kopenhaga/</w:t>
      </w:r>
      <w:r w:rsidR="00D226EE" w:rsidRPr="004C6CC5">
        <w:rPr>
          <w:rFonts w:ascii="Arial" w:hAnsi="Arial" w:cs="Arial"/>
          <w:sz w:val="20"/>
          <w:szCs w:val="20"/>
        </w:rPr>
        <w:t>Dania</w:t>
      </w:r>
      <w:r w:rsidR="004C6CC5">
        <w:rPr>
          <w:rFonts w:ascii="Arial" w:hAnsi="Arial" w:cs="Arial"/>
          <w:sz w:val="20"/>
          <w:szCs w:val="20"/>
        </w:rPr>
        <w:t xml:space="preserve"> w </w:t>
      </w:r>
      <w:r w:rsidR="00D226EE" w:rsidRPr="004C6CC5">
        <w:rPr>
          <w:rFonts w:ascii="Arial" w:hAnsi="Arial" w:cs="Arial"/>
          <w:sz w:val="20"/>
          <w:szCs w:val="20"/>
        </w:rPr>
        <w:t>d</w:t>
      </w:r>
      <w:r>
        <w:rPr>
          <w:rFonts w:ascii="Arial" w:hAnsi="Arial" w:cs="Arial"/>
          <w:sz w:val="20"/>
          <w:szCs w:val="20"/>
        </w:rPr>
        <w:t>niach od 3 do 5 czerwca 2019 r.;</w:t>
      </w:r>
    </w:p>
    <w:p w14:paraId="7D974C4F" w14:textId="1CA4CA5D" w:rsidR="00D226EE" w:rsidRPr="004C6CC5" w:rsidRDefault="00D226EE" w:rsidP="003C6ECA">
      <w:pPr>
        <w:pStyle w:val="Akapitzlist"/>
        <w:numPr>
          <w:ilvl w:val="0"/>
          <w:numId w:val="10"/>
        </w:numPr>
        <w:spacing w:after="120" w:line="276" w:lineRule="auto"/>
        <w:jc w:val="both"/>
        <w:rPr>
          <w:rFonts w:ascii="Arial" w:hAnsi="Arial" w:cs="Arial"/>
          <w:sz w:val="20"/>
          <w:szCs w:val="20"/>
        </w:rPr>
      </w:pPr>
      <w:r w:rsidRPr="004C6CC5">
        <w:rPr>
          <w:rFonts w:ascii="Arial" w:hAnsi="Arial" w:cs="Arial"/>
          <w:sz w:val="20"/>
          <w:szCs w:val="20"/>
        </w:rPr>
        <w:t>seminarium</w:t>
      </w:r>
      <w:r w:rsidR="004C6CC5">
        <w:rPr>
          <w:rFonts w:ascii="Arial" w:hAnsi="Arial" w:cs="Arial"/>
          <w:sz w:val="20"/>
          <w:szCs w:val="20"/>
        </w:rPr>
        <w:t xml:space="preserve"> w </w:t>
      </w:r>
      <w:r w:rsidRPr="004C6CC5">
        <w:rPr>
          <w:rFonts w:ascii="Arial" w:hAnsi="Arial" w:cs="Arial"/>
          <w:sz w:val="20"/>
          <w:szCs w:val="20"/>
        </w:rPr>
        <w:t xml:space="preserve">zakresie doskonalenia technik </w:t>
      </w:r>
      <w:r w:rsidR="00627757">
        <w:rPr>
          <w:rFonts w:ascii="Arial" w:hAnsi="Arial" w:cs="Arial"/>
          <w:sz w:val="20"/>
          <w:szCs w:val="20"/>
        </w:rPr>
        <w:t>przeszukania statku, Kopenhaga/</w:t>
      </w:r>
      <w:r w:rsidRPr="004C6CC5">
        <w:rPr>
          <w:rFonts w:ascii="Arial" w:hAnsi="Arial" w:cs="Arial"/>
          <w:sz w:val="20"/>
          <w:szCs w:val="20"/>
        </w:rPr>
        <w:t>Dania</w:t>
      </w:r>
      <w:r w:rsidR="004C6CC5">
        <w:rPr>
          <w:rFonts w:ascii="Arial" w:hAnsi="Arial" w:cs="Arial"/>
          <w:sz w:val="20"/>
          <w:szCs w:val="20"/>
        </w:rPr>
        <w:t xml:space="preserve"> w </w:t>
      </w:r>
      <w:r w:rsidRPr="004C6CC5">
        <w:rPr>
          <w:rFonts w:ascii="Arial" w:hAnsi="Arial" w:cs="Arial"/>
          <w:sz w:val="20"/>
          <w:szCs w:val="20"/>
        </w:rPr>
        <w:t xml:space="preserve">dniach od 10 do 13 września 2019 r.; </w:t>
      </w:r>
    </w:p>
    <w:p w14:paraId="30577454" w14:textId="46FE900B" w:rsidR="00D226EE" w:rsidRPr="004C6CC5" w:rsidRDefault="00D226EE" w:rsidP="003C6ECA">
      <w:pPr>
        <w:pStyle w:val="Akapitzlist"/>
        <w:numPr>
          <w:ilvl w:val="0"/>
          <w:numId w:val="10"/>
        </w:numPr>
        <w:spacing w:after="120" w:line="276" w:lineRule="auto"/>
        <w:jc w:val="both"/>
        <w:rPr>
          <w:rFonts w:ascii="Arial" w:hAnsi="Arial" w:cs="Arial"/>
          <w:sz w:val="20"/>
          <w:szCs w:val="20"/>
        </w:rPr>
      </w:pPr>
      <w:r w:rsidRPr="004C6CC5">
        <w:rPr>
          <w:rFonts w:ascii="Arial" w:hAnsi="Arial" w:cs="Arial"/>
          <w:sz w:val="20"/>
          <w:szCs w:val="20"/>
        </w:rPr>
        <w:t>warsztatach ekspertów ds. anal</w:t>
      </w:r>
      <w:r w:rsidR="00627757">
        <w:rPr>
          <w:rFonts w:ascii="Arial" w:hAnsi="Arial" w:cs="Arial"/>
          <w:sz w:val="20"/>
          <w:szCs w:val="20"/>
        </w:rPr>
        <w:t>izy ryzyka - ATA II, Kopenhaga/</w:t>
      </w:r>
      <w:r w:rsidRPr="004C6CC5">
        <w:rPr>
          <w:rFonts w:ascii="Arial" w:hAnsi="Arial" w:cs="Arial"/>
          <w:sz w:val="20"/>
          <w:szCs w:val="20"/>
        </w:rPr>
        <w:t>Dania</w:t>
      </w:r>
      <w:r w:rsidR="004C6CC5">
        <w:rPr>
          <w:rFonts w:ascii="Arial" w:hAnsi="Arial" w:cs="Arial"/>
          <w:sz w:val="20"/>
          <w:szCs w:val="20"/>
        </w:rPr>
        <w:t xml:space="preserve"> w </w:t>
      </w:r>
      <w:r w:rsidRPr="004C6CC5">
        <w:rPr>
          <w:rFonts w:ascii="Arial" w:hAnsi="Arial" w:cs="Arial"/>
          <w:sz w:val="20"/>
          <w:szCs w:val="20"/>
        </w:rPr>
        <w:t>dniach od</w:t>
      </w:r>
      <w:r w:rsidR="00B66FCE" w:rsidRPr="004C6CC5">
        <w:rPr>
          <w:rFonts w:ascii="Arial" w:hAnsi="Arial" w:cs="Arial"/>
          <w:sz w:val="20"/>
          <w:szCs w:val="20"/>
        </w:rPr>
        <w:t xml:space="preserve"> 1 </w:t>
      </w:r>
      <w:r w:rsidRPr="004C6CC5">
        <w:rPr>
          <w:rFonts w:ascii="Arial" w:hAnsi="Arial" w:cs="Arial"/>
          <w:sz w:val="20"/>
          <w:szCs w:val="20"/>
        </w:rPr>
        <w:t>do 2 października 2019 r.;</w:t>
      </w:r>
    </w:p>
    <w:p w14:paraId="26167749" w14:textId="34129B12" w:rsidR="00D226EE" w:rsidRPr="004C6CC5" w:rsidRDefault="00D226EE" w:rsidP="003C6ECA">
      <w:pPr>
        <w:pStyle w:val="Akapitzlist"/>
        <w:numPr>
          <w:ilvl w:val="0"/>
          <w:numId w:val="10"/>
        </w:numPr>
        <w:spacing w:after="120" w:line="276" w:lineRule="auto"/>
        <w:jc w:val="both"/>
        <w:rPr>
          <w:rFonts w:ascii="Arial" w:hAnsi="Arial" w:cs="Arial"/>
          <w:sz w:val="20"/>
          <w:szCs w:val="20"/>
        </w:rPr>
      </w:pPr>
      <w:r w:rsidRPr="004C6CC5">
        <w:rPr>
          <w:rFonts w:ascii="Arial" w:hAnsi="Arial" w:cs="Arial"/>
          <w:sz w:val="20"/>
          <w:szCs w:val="20"/>
        </w:rPr>
        <w:t>II spot</w:t>
      </w:r>
      <w:r w:rsidR="00627757">
        <w:rPr>
          <w:rFonts w:ascii="Arial" w:hAnsi="Arial" w:cs="Arial"/>
          <w:sz w:val="20"/>
          <w:szCs w:val="20"/>
        </w:rPr>
        <w:t>kaniu ekspertów BBC, Kopenhaga/</w:t>
      </w:r>
      <w:r w:rsidRPr="004C6CC5">
        <w:rPr>
          <w:rFonts w:ascii="Arial" w:hAnsi="Arial" w:cs="Arial"/>
          <w:sz w:val="20"/>
          <w:szCs w:val="20"/>
        </w:rPr>
        <w:t>Dania</w:t>
      </w:r>
      <w:r w:rsidR="004C6CC5">
        <w:rPr>
          <w:rFonts w:ascii="Arial" w:hAnsi="Arial" w:cs="Arial"/>
          <w:sz w:val="20"/>
          <w:szCs w:val="20"/>
        </w:rPr>
        <w:t xml:space="preserve"> w </w:t>
      </w:r>
      <w:r w:rsidRPr="004C6CC5">
        <w:rPr>
          <w:rFonts w:ascii="Arial" w:hAnsi="Arial" w:cs="Arial"/>
          <w:sz w:val="20"/>
          <w:szCs w:val="20"/>
        </w:rPr>
        <w:t xml:space="preserve">dniach od 4 do 6 listopada 2019 r.; </w:t>
      </w:r>
    </w:p>
    <w:p w14:paraId="46EAEAE9" w14:textId="243D50A5" w:rsidR="00D226EE" w:rsidRPr="004C6CC5" w:rsidRDefault="00D226EE" w:rsidP="003C6ECA">
      <w:pPr>
        <w:pStyle w:val="Akapitzlist"/>
        <w:numPr>
          <w:ilvl w:val="0"/>
          <w:numId w:val="10"/>
        </w:numPr>
        <w:spacing w:after="120" w:line="276" w:lineRule="auto"/>
        <w:jc w:val="both"/>
        <w:rPr>
          <w:rFonts w:ascii="Arial" w:hAnsi="Arial" w:cs="Arial"/>
          <w:sz w:val="20"/>
          <w:szCs w:val="20"/>
        </w:rPr>
      </w:pPr>
      <w:r w:rsidRPr="004C6CC5">
        <w:rPr>
          <w:rFonts w:ascii="Arial" w:hAnsi="Arial" w:cs="Arial"/>
          <w:sz w:val="20"/>
          <w:szCs w:val="20"/>
        </w:rPr>
        <w:t>XXII Konfer</w:t>
      </w:r>
      <w:r w:rsidR="00627757">
        <w:rPr>
          <w:rFonts w:ascii="Arial" w:hAnsi="Arial" w:cs="Arial"/>
          <w:sz w:val="20"/>
          <w:szCs w:val="20"/>
        </w:rPr>
        <w:t>encji Szefów BSRBCC, Kopenhaga/</w:t>
      </w:r>
      <w:r w:rsidRPr="004C6CC5">
        <w:rPr>
          <w:rFonts w:ascii="Arial" w:hAnsi="Arial" w:cs="Arial"/>
          <w:sz w:val="20"/>
          <w:szCs w:val="20"/>
        </w:rPr>
        <w:t>Dania</w:t>
      </w:r>
      <w:r w:rsidR="004C6CC5">
        <w:rPr>
          <w:rFonts w:ascii="Arial" w:hAnsi="Arial" w:cs="Arial"/>
          <w:sz w:val="20"/>
          <w:szCs w:val="20"/>
        </w:rPr>
        <w:t xml:space="preserve"> w </w:t>
      </w:r>
      <w:r w:rsidRPr="004C6CC5">
        <w:rPr>
          <w:rFonts w:ascii="Arial" w:hAnsi="Arial" w:cs="Arial"/>
          <w:sz w:val="20"/>
          <w:szCs w:val="20"/>
        </w:rPr>
        <w:t>dniach od 3 do 5 grudnia 2019 r., podczas której dokonano podsumowania</w:t>
      </w:r>
      <w:r w:rsidR="00627757">
        <w:rPr>
          <w:rFonts w:ascii="Arial" w:hAnsi="Arial" w:cs="Arial"/>
          <w:sz w:val="20"/>
          <w:szCs w:val="20"/>
        </w:rPr>
        <w:t xml:space="preserve"> i </w:t>
      </w:r>
      <w:r w:rsidRPr="004C6CC5">
        <w:rPr>
          <w:rFonts w:ascii="Arial" w:hAnsi="Arial" w:cs="Arial"/>
          <w:sz w:val="20"/>
          <w:szCs w:val="20"/>
        </w:rPr>
        <w:t>oceny planu duńskiej prezydencji oraz zaplanowano</w:t>
      </w:r>
      <w:r w:rsidR="004C6CC5">
        <w:rPr>
          <w:rFonts w:ascii="Arial" w:hAnsi="Arial" w:cs="Arial"/>
          <w:sz w:val="20"/>
          <w:szCs w:val="20"/>
        </w:rPr>
        <w:t xml:space="preserve"> i </w:t>
      </w:r>
      <w:r w:rsidRPr="004C6CC5">
        <w:rPr>
          <w:rFonts w:ascii="Arial" w:hAnsi="Arial" w:cs="Arial"/>
          <w:sz w:val="20"/>
          <w:szCs w:val="20"/>
        </w:rPr>
        <w:t>zatwierdzono cele</w:t>
      </w:r>
      <w:r w:rsidR="0041225E">
        <w:rPr>
          <w:rFonts w:ascii="Arial" w:hAnsi="Arial" w:cs="Arial"/>
          <w:sz w:val="20"/>
          <w:szCs w:val="20"/>
        </w:rPr>
        <w:t xml:space="preserve"> i </w:t>
      </w:r>
      <w:r w:rsidRPr="004C6CC5">
        <w:rPr>
          <w:rFonts w:ascii="Arial" w:hAnsi="Arial" w:cs="Arial"/>
          <w:sz w:val="20"/>
          <w:szCs w:val="20"/>
        </w:rPr>
        <w:t>założenia do realizacji</w:t>
      </w:r>
      <w:r w:rsidR="004C6CC5">
        <w:rPr>
          <w:rFonts w:ascii="Arial" w:hAnsi="Arial" w:cs="Arial"/>
          <w:sz w:val="20"/>
          <w:szCs w:val="20"/>
        </w:rPr>
        <w:t xml:space="preserve"> w </w:t>
      </w:r>
      <w:r w:rsidRPr="004C6CC5">
        <w:rPr>
          <w:rFonts w:ascii="Arial" w:hAnsi="Arial" w:cs="Arial"/>
          <w:sz w:val="20"/>
          <w:szCs w:val="20"/>
        </w:rPr>
        <w:t>ramach planu przewodnictwa Niemiec (Policji Federalnej Niemiec - BPOL), która będzie koordynować współpracę służb granicznych</w:t>
      </w:r>
      <w:r w:rsidR="004C6CC5">
        <w:rPr>
          <w:rFonts w:ascii="Arial" w:hAnsi="Arial" w:cs="Arial"/>
          <w:sz w:val="20"/>
          <w:szCs w:val="20"/>
        </w:rPr>
        <w:t xml:space="preserve"> w </w:t>
      </w:r>
      <w:r w:rsidRPr="004C6CC5">
        <w:rPr>
          <w:rFonts w:ascii="Arial" w:hAnsi="Arial" w:cs="Arial"/>
          <w:sz w:val="20"/>
          <w:szCs w:val="20"/>
        </w:rPr>
        <w:t>BSRBCC</w:t>
      </w:r>
      <w:r w:rsidR="004C6CC5">
        <w:rPr>
          <w:rFonts w:ascii="Arial" w:hAnsi="Arial" w:cs="Arial"/>
          <w:sz w:val="20"/>
          <w:szCs w:val="20"/>
        </w:rPr>
        <w:t xml:space="preserve"> w </w:t>
      </w:r>
      <w:r w:rsidR="00627757">
        <w:rPr>
          <w:rFonts w:ascii="Arial" w:hAnsi="Arial" w:cs="Arial"/>
          <w:sz w:val="20"/>
          <w:szCs w:val="20"/>
        </w:rPr>
        <w:t>2020 r</w:t>
      </w:r>
      <w:r w:rsidRPr="004C6CC5">
        <w:rPr>
          <w:rFonts w:ascii="Arial" w:hAnsi="Arial" w:cs="Arial"/>
          <w:sz w:val="20"/>
          <w:szCs w:val="20"/>
        </w:rPr>
        <w:t xml:space="preserve">.  </w:t>
      </w:r>
    </w:p>
    <w:p w14:paraId="3D42B9BF" w14:textId="2C67CA35" w:rsidR="00D226EE" w:rsidRPr="004C6CC5" w:rsidRDefault="00040061" w:rsidP="003C6ECA">
      <w:pPr>
        <w:pStyle w:val="Akapitzlist"/>
        <w:numPr>
          <w:ilvl w:val="0"/>
          <w:numId w:val="10"/>
        </w:numPr>
        <w:spacing w:after="120" w:line="276" w:lineRule="auto"/>
        <w:jc w:val="both"/>
        <w:rPr>
          <w:rFonts w:ascii="Arial" w:hAnsi="Arial" w:cs="Arial"/>
          <w:sz w:val="20"/>
          <w:szCs w:val="20"/>
        </w:rPr>
      </w:pPr>
      <w:r>
        <w:rPr>
          <w:rFonts w:ascii="Arial" w:hAnsi="Arial" w:cs="Arial"/>
          <w:sz w:val="20"/>
          <w:szCs w:val="20"/>
        </w:rPr>
        <w:t>d</w:t>
      </w:r>
      <w:r w:rsidR="00D226EE" w:rsidRPr="004C6CC5">
        <w:rPr>
          <w:rFonts w:ascii="Arial" w:hAnsi="Arial" w:cs="Arial"/>
          <w:sz w:val="20"/>
          <w:szCs w:val="20"/>
        </w:rPr>
        <w:t>odatkowo,</w:t>
      </w:r>
      <w:r w:rsidR="004C6CC5">
        <w:rPr>
          <w:rFonts w:ascii="Arial" w:hAnsi="Arial" w:cs="Arial"/>
          <w:sz w:val="20"/>
          <w:szCs w:val="20"/>
        </w:rPr>
        <w:t xml:space="preserve"> w </w:t>
      </w:r>
      <w:r w:rsidR="00D226EE" w:rsidRPr="004C6CC5">
        <w:rPr>
          <w:rFonts w:ascii="Arial" w:hAnsi="Arial" w:cs="Arial"/>
          <w:sz w:val="20"/>
          <w:szCs w:val="20"/>
        </w:rPr>
        <w:t>2019</w:t>
      </w:r>
      <w:r w:rsidR="009D01B9" w:rsidRPr="004C6CC5">
        <w:rPr>
          <w:rFonts w:ascii="Arial" w:hAnsi="Arial" w:cs="Arial"/>
          <w:sz w:val="20"/>
          <w:szCs w:val="20"/>
        </w:rPr>
        <w:t xml:space="preserve"> r. </w:t>
      </w:r>
      <w:r w:rsidR="00D226EE" w:rsidRPr="004C6CC5">
        <w:rPr>
          <w:rFonts w:ascii="Arial" w:hAnsi="Arial" w:cs="Arial"/>
          <w:sz w:val="20"/>
          <w:szCs w:val="20"/>
        </w:rPr>
        <w:t>prowadzono bieżącą wymianę informacji</w:t>
      </w:r>
      <w:r w:rsidR="004C6CC5">
        <w:rPr>
          <w:rFonts w:ascii="Arial" w:hAnsi="Arial" w:cs="Arial"/>
          <w:sz w:val="20"/>
          <w:szCs w:val="20"/>
        </w:rPr>
        <w:t xml:space="preserve"> z </w:t>
      </w:r>
      <w:r w:rsidR="00D226EE" w:rsidRPr="004C6CC5">
        <w:rPr>
          <w:rFonts w:ascii="Arial" w:hAnsi="Arial" w:cs="Arial"/>
          <w:sz w:val="20"/>
          <w:szCs w:val="20"/>
        </w:rPr>
        <w:t>wybranymi uczestnikami forum dotyczącą ruchu jednostek pływających, osób, dokumentów, środków transportu oraz przeciwdziałania</w:t>
      </w:r>
      <w:r w:rsidR="004C6CC5">
        <w:rPr>
          <w:rFonts w:ascii="Arial" w:hAnsi="Arial" w:cs="Arial"/>
          <w:sz w:val="20"/>
          <w:szCs w:val="20"/>
        </w:rPr>
        <w:t xml:space="preserve"> i </w:t>
      </w:r>
      <w:r w:rsidR="00D226EE" w:rsidRPr="004C6CC5">
        <w:rPr>
          <w:rFonts w:ascii="Arial" w:hAnsi="Arial" w:cs="Arial"/>
          <w:sz w:val="20"/>
          <w:szCs w:val="20"/>
        </w:rPr>
        <w:t xml:space="preserve">zwalczania przestępczości transgranicznej. </w:t>
      </w:r>
    </w:p>
    <w:p w14:paraId="43DCAAB4" w14:textId="37F7D9F6"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00687113">
        <w:rPr>
          <w:rFonts w:ascii="Arial" w:hAnsi="Arial" w:cs="Arial"/>
          <w:sz w:val="20"/>
          <w:szCs w:val="20"/>
        </w:rPr>
        <w:t>w ramach</w:t>
      </w:r>
      <w:r w:rsidRPr="004C6CC5">
        <w:rPr>
          <w:rFonts w:ascii="Arial" w:hAnsi="Arial" w:cs="Arial"/>
          <w:sz w:val="20"/>
          <w:szCs w:val="20"/>
        </w:rPr>
        <w:t xml:space="preserve"> </w:t>
      </w:r>
      <w:r w:rsidRPr="004C6CC5">
        <w:rPr>
          <w:rFonts w:ascii="Arial" w:eastAsia="Calibri" w:hAnsi="Arial" w:cs="Arial"/>
          <w:sz w:val="20"/>
          <w:szCs w:val="20"/>
          <w:lang w:eastAsia="ar-SA"/>
        </w:rPr>
        <w:t xml:space="preserve">Forum Współpracy Służb Granicznych Państw Regionu Morza Bałtyckiego przeprowadzono wspólnie </w:t>
      </w:r>
      <w:r w:rsidR="00FB05F8">
        <w:rPr>
          <w:rFonts w:ascii="Arial" w:eastAsia="Calibri" w:hAnsi="Arial" w:cs="Arial"/>
          <w:sz w:val="20"/>
          <w:szCs w:val="20"/>
          <w:lang w:eastAsia="ar-SA"/>
        </w:rPr>
        <w:t xml:space="preserve">następujące </w:t>
      </w:r>
      <w:r w:rsidRPr="004C6CC5">
        <w:rPr>
          <w:rFonts w:ascii="Arial" w:hAnsi="Arial" w:cs="Arial"/>
          <w:sz w:val="20"/>
          <w:szCs w:val="20"/>
        </w:rPr>
        <w:t>operacje morskie:</w:t>
      </w:r>
    </w:p>
    <w:p w14:paraId="038D9ED3" w14:textId="43EE6246" w:rsidR="00D226EE" w:rsidRPr="00544EAB" w:rsidRDefault="00544EAB" w:rsidP="00544EAB">
      <w:pPr>
        <w:spacing w:after="120" w:line="276" w:lineRule="auto"/>
        <w:jc w:val="both"/>
        <w:rPr>
          <w:rFonts w:ascii="Arial" w:hAnsi="Arial" w:cs="Arial"/>
          <w:sz w:val="20"/>
          <w:szCs w:val="20"/>
        </w:rPr>
      </w:pPr>
      <w:r>
        <w:rPr>
          <w:rFonts w:ascii="Arial" w:hAnsi="Arial" w:cs="Arial"/>
          <w:sz w:val="20"/>
          <w:szCs w:val="20"/>
        </w:rPr>
        <w:lastRenderedPageBreak/>
        <w:t xml:space="preserve">- </w:t>
      </w:r>
      <w:r w:rsidR="00D226EE" w:rsidRPr="00544EAB">
        <w:rPr>
          <w:rFonts w:ascii="Arial" w:hAnsi="Arial" w:cs="Arial"/>
          <w:sz w:val="20"/>
          <w:szCs w:val="20"/>
        </w:rPr>
        <w:t>Baltic Approach</w:t>
      </w:r>
      <w:r w:rsidR="00360553">
        <w:rPr>
          <w:rFonts w:ascii="Arial" w:hAnsi="Arial" w:cs="Arial"/>
          <w:sz w:val="20"/>
          <w:szCs w:val="20"/>
        </w:rPr>
        <w:t xml:space="preserve"> I</w:t>
      </w:r>
      <w:r w:rsidR="004C6CC5" w:rsidRPr="00544EAB">
        <w:rPr>
          <w:rFonts w:ascii="Arial" w:hAnsi="Arial" w:cs="Arial"/>
          <w:sz w:val="20"/>
          <w:szCs w:val="20"/>
        </w:rPr>
        <w:t xml:space="preserve"> w </w:t>
      </w:r>
      <w:r w:rsidR="00D226EE" w:rsidRPr="00544EAB">
        <w:rPr>
          <w:rFonts w:ascii="Arial" w:hAnsi="Arial" w:cs="Arial"/>
          <w:sz w:val="20"/>
          <w:szCs w:val="20"/>
        </w:rPr>
        <w:t>dniach od 3 do 7 kwietnia 2019</w:t>
      </w:r>
      <w:r w:rsidR="009D01B9" w:rsidRPr="00544EAB">
        <w:rPr>
          <w:rFonts w:ascii="Arial" w:hAnsi="Arial" w:cs="Arial"/>
          <w:sz w:val="20"/>
          <w:szCs w:val="20"/>
        </w:rPr>
        <w:t xml:space="preserve"> r. </w:t>
      </w:r>
      <w:r w:rsidR="00D226EE" w:rsidRPr="00544EAB">
        <w:rPr>
          <w:rFonts w:ascii="Arial" w:hAnsi="Arial" w:cs="Arial"/>
          <w:sz w:val="20"/>
          <w:szCs w:val="20"/>
        </w:rPr>
        <w:t>Działania prowadzone były</w:t>
      </w:r>
      <w:r w:rsidR="004C6CC5" w:rsidRPr="00544EAB">
        <w:rPr>
          <w:rFonts w:ascii="Arial" w:hAnsi="Arial" w:cs="Arial"/>
          <w:sz w:val="20"/>
          <w:szCs w:val="20"/>
        </w:rPr>
        <w:t xml:space="preserve"> w </w:t>
      </w:r>
      <w:r w:rsidR="00D226EE" w:rsidRPr="00544EAB">
        <w:rPr>
          <w:rFonts w:ascii="Arial" w:hAnsi="Arial" w:cs="Arial"/>
          <w:sz w:val="20"/>
          <w:szCs w:val="20"/>
        </w:rPr>
        <w:t>regionie Morza Bałtyckiego.</w:t>
      </w:r>
      <w:r w:rsidR="00360553">
        <w:rPr>
          <w:rFonts w:ascii="Arial" w:hAnsi="Arial" w:cs="Arial"/>
          <w:sz w:val="20"/>
          <w:szCs w:val="20"/>
        </w:rPr>
        <w:t xml:space="preserve"> W </w:t>
      </w:r>
      <w:r w:rsidR="00D226EE" w:rsidRPr="00544EAB">
        <w:rPr>
          <w:rFonts w:ascii="Arial" w:hAnsi="Arial" w:cs="Arial"/>
          <w:sz w:val="20"/>
          <w:szCs w:val="20"/>
        </w:rPr>
        <w:t>założeniach do</w:t>
      </w:r>
      <w:r w:rsidR="00F9692E">
        <w:rPr>
          <w:rFonts w:ascii="Arial" w:hAnsi="Arial" w:cs="Arial"/>
          <w:sz w:val="20"/>
          <w:szCs w:val="20"/>
        </w:rPr>
        <w:t xml:space="preserve"> operacji podkreślono zagrożenia</w:t>
      </w:r>
      <w:r w:rsidR="00D226EE" w:rsidRPr="00544EAB">
        <w:rPr>
          <w:rFonts w:ascii="Arial" w:hAnsi="Arial" w:cs="Arial"/>
          <w:sz w:val="20"/>
          <w:szCs w:val="20"/>
        </w:rPr>
        <w:t xml:space="preserve"> płynące</w:t>
      </w:r>
      <w:r w:rsidR="00360553">
        <w:rPr>
          <w:rFonts w:ascii="Arial" w:hAnsi="Arial" w:cs="Arial"/>
          <w:sz w:val="20"/>
          <w:szCs w:val="20"/>
        </w:rPr>
        <w:t xml:space="preserve"> z </w:t>
      </w:r>
      <w:r w:rsidR="00D226EE" w:rsidRPr="00544EAB">
        <w:rPr>
          <w:rFonts w:ascii="Arial" w:hAnsi="Arial" w:cs="Arial"/>
          <w:sz w:val="20"/>
          <w:szCs w:val="20"/>
        </w:rPr>
        <w:t>działalności zorganizowanych grup przestępczych zajmujących się przemytem,</w:t>
      </w:r>
      <w:r w:rsidR="00360553">
        <w:rPr>
          <w:rFonts w:ascii="Arial" w:hAnsi="Arial" w:cs="Arial"/>
          <w:sz w:val="20"/>
          <w:szCs w:val="20"/>
        </w:rPr>
        <w:t xml:space="preserve"> w </w:t>
      </w:r>
      <w:r w:rsidR="00D226EE" w:rsidRPr="00544EAB">
        <w:rPr>
          <w:rFonts w:ascii="Arial" w:hAnsi="Arial" w:cs="Arial"/>
          <w:sz w:val="20"/>
          <w:szCs w:val="20"/>
        </w:rPr>
        <w:t>tym m.in. samochodów luksusowych;</w:t>
      </w:r>
    </w:p>
    <w:p w14:paraId="6B12B98D" w14:textId="63E8C59C" w:rsidR="00D226EE" w:rsidRPr="00544EAB" w:rsidRDefault="00544EAB" w:rsidP="00544EAB">
      <w:pPr>
        <w:spacing w:after="120" w:line="276" w:lineRule="auto"/>
        <w:jc w:val="both"/>
        <w:rPr>
          <w:rFonts w:ascii="Arial" w:hAnsi="Arial" w:cs="Arial"/>
          <w:sz w:val="20"/>
          <w:szCs w:val="20"/>
        </w:rPr>
      </w:pPr>
      <w:r>
        <w:rPr>
          <w:rFonts w:ascii="Arial" w:hAnsi="Arial" w:cs="Arial"/>
          <w:sz w:val="20"/>
          <w:szCs w:val="20"/>
        </w:rPr>
        <w:t xml:space="preserve">- </w:t>
      </w:r>
      <w:r w:rsidR="00D226EE" w:rsidRPr="00544EAB">
        <w:rPr>
          <w:rFonts w:ascii="Arial" w:hAnsi="Arial" w:cs="Arial"/>
          <w:sz w:val="20"/>
          <w:szCs w:val="20"/>
        </w:rPr>
        <w:t>Baltic Tracking</w:t>
      </w:r>
      <w:r w:rsidR="004C6CC5" w:rsidRPr="00544EAB">
        <w:rPr>
          <w:rFonts w:ascii="Arial" w:hAnsi="Arial" w:cs="Arial"/>
          <w:sz w:val="20"/>
          <w:szCs w:val="20"/>
        </w:rPr>
        <w:t xml:space="preserve"> w </w:t>
      </w:r>
      <w:r w:rsidR="00D226EE" w:rsidRPr="00544EAB">
        <w:rPr>
          <w:rFonts w:ascii="Arial" w:hAnsi="Arial" w:cs="Arial"/>
          <w:sz w:val="20"/>
          <w:szCs w:val="20"/>
        </w:rPr>
        <w:t>dniach od 27 maja do 7 czerwca 2019</w:t>
      </w:r>
      <w:r w:rsidR="009D01B9" w:rsidRPr="00544EAB">
        <w:rPr>
          <w:rFonts w:ascii="Arial" w:hAnsi="Arial" w:cs="Arial"/>
          <w:sz w:val="20"/>
          <w:szCs w:val="20"/>
        </w:rPr>
        <w:t xml:space="preserve"> r. </w:t>
      </w:r>
      <w:r w:rsidR="00D226EE" w:rsidRPr="00544EAB">
        <w:rPr>
          <w:rFonts w:ascii="Arial" w:hAnsi="Arial" w:cs="Arial"/>
          <w:sz w:val="20"/>
          <w:szCs w:val="20"/>
        </w:rPr>
        <w:t xml:space="preserve">Głównym celem operacji były skoordynowane, wzmożone działania monitorująco </w:t>
      </w:r>
      <w:r w:rsidR="00165F51">
        <w:rPr>
          <w:rFonts w:ascii="Arial" w:hAnsi="Arial" w:cs="Arial"/>
          <w:sz w:val="20"/>
          <w:szCs w:val="20"/>
        </w:rPr>
        <w:t>- kontrolne, takie jak</w:t>
      </w:r>
      <w:r w:rsidR="00D226EE" w:rsidRPr="00544EAB">
        <w:rPr>
          <w:rFonts w:ascii="Arial" w:hAnsi="Arial" w:cs="Arial"/>
          <w:sz w:val="20"/>
          <w:szCs w:val="20"/>
        </w:rPr>
        <w:t xml:space="preserve"> działania</w:t>
      </w:r>
      <w:r w:rsidR="004C6CC5" w:rsidRPr="00544EAB">
        <w:rPr>
          <w:rFonts w:ascii="Arial" w:hAnsi="Arial" w:cs="Arial"/>
          <w:sz w:val="20"/>
          <w:szCs w:val="20"/>
        </w:rPr>
        <w:t xml:space="preserve"> w </w:t>
      </w:r>
      <w:r w:rsidR="00D226EE" w:rsidRPr="00544EAB">
        <w:rPr>
          <w:rFonts w:ascii="Arial" w:hAnsi="Arial" w:cs="Arial"/>
          <w:sz w:val="20"/>
          <w:szCs w:val="20"/>
        </w:rPr>
        <w:t>ramach odprawy granicznej, ochrony granicy morskiej</w:t>
      </w:r>
      <w:r w:rsidR="004C6CC5" w:rsidRPr="00544EAB">
        <w:rPr>
          <w:rFonts w:ascii="Arial" w:hAnsi="Arial" w:cs="Arial"/>
          <w:sz w:val="20"/>
          <w:szCs w:val="20"/>
        </w:rPr>
        <w:t xml:space="preserve"> i </w:t>
      </w:r>
      <w:r w:rsidR="00D226EE" w:rsidRPr="00544EAB">
        <w:rPr>
          <w:rFonts w:ascii="Arial" w:hAnsi="Arial" w:cs="Arial"/>
          <w:sz w:val="20"/>
          <w:szCs w:val="20"/>
        </w:rPr>
        <w:t>nadzór nad przestrzeganiem przepisów na obszarach morskich. Operacja była realizowana</w:t>
      </w:r>
      <w:r w:rsidR="004C6CC5" w:rsidRPr="00544EAB">
        <w:rPr>
          <w:rFonts w:ascii="Arial" w:hAnsi="Arial" w:cs="Arial"/>
          <w:sz w:val="20"/>
          <w:szCs w:val="20"/>
        </w:rPr>
        <w:t xml:space="preserve"> w </w:t>
      </w:r>
      <w:r w:rsidR="00D226EE" w:rsidRPr="00544EAB">
        <w:rPr>
          <w:rFonts w:ascii="Arial" w:hAnsi="Arial" w:cs="Arial"/>
          <w:sz w:val="20"/>
          <w:szCs w:val="20"/>
        </w:rPr>
        <w:t>regionie Morza Bałtyckiego</w:t>
      </w:r>
      <w:r w:rsidR="004C6CC5" w:rsidRPr="00544EAB">
        <w:rPr>
          <w:rFonts w:ascii="Arial" w:hAnsi="Arial" w:cs="Arial"/>
          <w:sz w:val="20"/>
          <w:szCs w:val="20"/>
        </w:rPr>
        <w:t xml:space="preserve"> i </w:t>
      </w:r>
      <w:r w:rsidR="00D226EE" w:rsidRPr="00544EAB">
        <w:rPr>
          <w:rFonts w:ascii="Arial" w:hAnsi="Arial" w:cs="Arial"/>
          <w:sz w:val="20"/>
          <w:szCs w:val="20"/>
        </w:rPr>
        <w:t>obejmowała głównie kontrole</w:t>
      </w:r>
      <w:r w:rsidR="004C6CC5" w:rsidRPr="00544EAB">
        <w:rPr>
          <w:rFonts w:ascii="Arial" w:hAnsi="Arial" w:cs="Arial"/>
          <w:sz w:val="20"/>
          <w:szCs w:val="20"/>
        </w:rPr>
        <w:t xml:space="preserve"> w </w:t>
      </w:r>
      <w:r w:rsidR="00D226EE" w:rsidRPr="00544EAB">
        <w:rPr>
          <w:rFonts w:ascii="Arial" w:hAnsi="Arial" w:cs="Arial"/>
          <w:sz w:val="20"/>
          <w:szCs w:val="20"/>
        </w:rPr>
        <w:t xml:space="preserve">portach, </w:t>
      </w:r>
      <w:r w:rsidR="00165F51">
        <w:rPr>
          <w:rFonts w:ascii="Arial" w:hAnsi="Arial" w:cs="Arial"/>
          <w:sz w:val="20"/>
          <w:szCs w:val="20"/>
        </w:rPr>
        <w:br/>
      </w:r>
      <w:r w:rsidR="00D226EE" w:rsidRPr="00544EAB">
        <w:rPr>
          <w:rFonts w:ascii="Arial" w:hAnsi="Arial" w:cs="Arial"/>
          <w:sz w:val="20"/>
          <w:szCs w:val="20"/>
        </w:rPr>
        <w:t>a także</w:t>
      </w:r>
      <w:r w:rsidR="004C6CC5" w:rsidRPr="00544EAB">
        <w:rPr>
          <w:rFonts w:ascii="Arial" w:hAnsi="Arial" w:cs="Arial"/>
          <w:sz w:val="20"/>
          <w:szCs w:val="20"/>
        </w:rPr>
        <w:t xml:space="preserve"> w </w:t>
      </w:r>
      <w:r w:rsidR="00D226EE" w:rsidRPr="00544EAB">
        <w:rPr>
          <w:rFonts w:ascii="Arial" w:hAnsi="Arial" w:cs="Arial"/>
          <w:sz w:val="20"/>
          <w:szCs w:val="20"/>
        </w:rPr>
        <w:t>rejonach przyległych;</w:t>
      </w:r>
    </w:p>
    <w:p w14:paraId="48653934" w14:textId="4A9508A6" w:rsidR="00D226EE" w:rsidRPr="00544EAB" w:rsidRDefault="00544EAB" w:rsidP="00544EAB">
      <w:pPr>
        <w:spacing w:after="120" w:line="276" w:lineRule="auto"/>
        <w:jc w:val="both"/>
        <w:rPr>
          <w:rFonts w:ascii="Arial" w:hAnsi="Arial" w:cs="Arial"/>
          <w:sz w:val="20"/>
          <w:szCs w:val="20"/>
        </w:rPr>
      </w:pPr>
      <w:r>
        <w:rPr>
          <w:rFonts w:ascii="Arial" w:hAnsi="Arial" w:cs="Arial"/>
          <w:sz w:val="20"/>
          <w:szCs w:val="20"/>
        </w:rPr>
        <w:t xml:space="preserve">- </w:t>
      </w:r>
      <w:r w:rsidR="00D226EE" w:rsidRPr="00544EAB">
        <w:rPr>
          <w:rFonts w:ascii="Arial" w:hAnsi="Arial" w:cs="Arial"/>
          <w:sz w:val="20"/>
          <w:szCs w:val="20"/>
        </w:rPr>
        <w:t>Customs Control sea borders with focus at cruise liners</w:t>
      </w:r>
      <w:r w:rsidR="004C6CC5" w:rsidRPr="00544EAB">
        <w:rPr>
          <w:rFonts w:ascii="Arial" w:hAnsi="Arial" w:cs="Arial"/>
          <w:sz w:val="20"/>
          <w:szCs w:val="20"/>
        </w:rPr>
        <w:t xml:space="preserve"> w </w:t>
      </w:r>
      <w:r w:rsidR="00D226EE" w:rsidRPr="00544EAB">
        <w:rPr>
          <w:rFonts w:ascii="Arial" w:hAnsi="Arial" w:cs="Arial"/>
          <w:sz w:val="20"/>
          <w:szCs w:val="20"/>
        </w:rPr>
        <w:t>dniach od 17 do 28 czerwca 2019 r.;</w:t>
      </w:r>
    </w:p>
    <w:p w14:paraId="7E7BDA17" w14:textId="10A7765B" w:rsidR="00134108" w:rsidRPr="00B15956" w:rsidRDefault="00544EAB" w:rsidP="00B15956">
      <w:pPr>
        <w:spacing w:after="120" w:line="276" w:lineRule="auto"/>
        <w:jc w:val="both"/>
        <w:rPr>
          <w:rFonts w:ascii="Arial" w:hAnsi="Arial" w:cs="Arial"/>
          <w:sz w:val="20"/>
          <w:szCs w:val="20"/>
        </w:rPr>
      </w:pPr>
      <w:r>
        <w:rPr>
          <w:rFonts w:ascii="Arial" w:hAnsi="Arial" w:cs="Arial"/>
          <w:sz w:val="20"/>
          <w:szCs w:val="20"/>
        </w:rPr>
        <w:t xml:space="preserve">- </w:t>
      </w:r>
      <w:r w:rsidR="00D226EE" w:rsidRPr="00544EAB">
        <w:rPr>
          <w:rFonts w:ascii="Arial" w:hAnsi="Arial" w:cs="Arial"/>
          <w:sz w:val="20"/>
          <w:szCs w:val="20"/>
        </w:rPr>
        <w:t>Baltic Approach II</w:t>
      </w:r>
      <w:r w:rsidR="004C6CC5" w:rsidRPr="00544EAB">
        <w:rPr>
          <w:rFonts w:ascii="Arial" w:hAnsi="Arial" w:cs="Arial"/>
          <w:sz w:val="20"/>
          <w:szCs w:val="20"/>
        </w:rPr>
        <w:t xml:space="preserve"> w </w:t>
      </w:r>
      <w:r w:rsidR="00D226EE" w:rsidRPr="00544EAB">
        <w:rPr>
          <w:rFonts w:ascii="Arial" w:hAnsi="Arial" w:cs="Arial"/>
          <w:sz w:val="20"/>
          <w:szCs w:val="20"/>
        </w:rPr>
        <w:t>dniach od 9 do 22 września 2019</w:t>
      </w:r>
      <w:r w:rsidR="009D01B9" w:rsidRPr="00544EAB">
        <w:rPr>
          <w:rFonts w:ascii="Arial" w:hAnsi="Arial" w:cs="Arial"/>
          <w:sz w:val="20"/>
          <w:szCs w:val="20"/>
        </w:rPr>
        <w:t xml:space="preserve"> r. </w:t>
      </w:r>
    </w:p>
    <w:p w14:paraId="1B446FF8" w14:textId="77777777" w:rsidR="00D226EE" w:rsidRPr="00601820" w:rsidRDefault="00D226EE" w:rsidP="003C6ECA">
      <w:pPr>
        <w:pStyle w:val="Akapitzlist"/>
        <w:numPr>
          <w:ilvl w:val="0"/>
          <w:numId w:val="39"/>
        </w:numPr>
        <w:spacing w:after="120" w:line="276" w:lineRule="auto"/>
        <w:jc w:val="both"/>
        <w:rPr>
          <w:rFonts w:ascii="Arial" w:hAnsi="Arial" w:cs="Arial"/>
          <w:b/>
          <w:sz w:val="20"/>
          <w:szCs w:val="20"/>
        </w:rPr>
      </w:pPr>
      <w:r w:rsidRPr="00601820">
        <w:rPr>
          <w:rFonts w:ascii="Arial" w:hAnsi="Arial" w:cs="Arial"/>
          <w:b/>
          <w:sz w:val="20"/>
          <w:szCs w:val="20"/>
        </w:rPr>
        <w:t>Agencja Frontex</w:t>
      </w:r>
    </w:p>
    <w:p w14:paraId="2739EEFB" w14:textId="366CDCEF" w:rsidR="00D226EE" w:rsidRPr="004C6CC5" w:rsidRDefault="00D226EE" w:rsidP="005F0BCB">
      <w:pPr>
        <w:spacing w:before="120" w:after="120" w:line="276" w:lineRule="auto"/>
        <w:jc w:val="both"/>
        <w:rPr>
          <w:rFonts w:ascii="Arial" w:eastAsia="Times New Roman" w:hAnsi="Arial" w:cs="Arial"/>
          <w:sz w:val="20"/>
          <w:szCs w:val="20"/>
          <w:lang w:eastAsia="pl-PL"/>
        </w:rPr>
      </w:pPr>
      <w:r w:rsidRPr="004C6CC5">
        <w:rPr>
          <w:rFonts w:ascii="Arial" w:eastAsia="Times New Roman" w:hAnsi="Arial" w:cs="Arial"/>
          <w:bCs/>
          <w:sz w:val="20"/>
          <w:szCs w:val="20"/>
          <w:lang w:eastAsia="pl-PL"/>
        </w:rPr>
        <w:t>Straż Graniczna bierze aktywny udział</w:t>
      </w:r>
      <w:r w:rsidR="004C6CC5">
        <w:rPr>
          <w:rFonts w:ascii="Arial" w:eastAsia="Times New Roman" w:hAnsi="Arial" w:cs="Arial"/>
          <w:bCs/>
          <w:sz w:val="20"/>
          <w:szCs w:val="20"/>
          <w:lang w:eastAsia="pl-PL"/>
        </w:rPr>
        <w:t xml:space="preserve"> w </w:t>
      </w:r>
      <w:r w:rsidRPr="004C6CC5">
        <w:rPr>
          <w:rFonts w:ascii="Arial" w:eastAsia="Times New Roman" w:hAnsi="Arial" w:cs="Arial"/>
          <w:bCs/>
          <w:sz w:val="20"/>
          <w:szCs w:val="20"/>
          <w:lang w:eastAsia="pl-PL"/>
        </w:rPr>
        <w:t>działaniach podejmowanyc</w:t>
      </w:r>
      <w:r w:rsidR="001963D5">
        <w:rPr>
          <w:rFonts w:ascii="Arial" w:eastAsia="Times New Roman" w:hAnsi="Arial" w:cs="Arial"/>
          <w:bCs/>
          <w:sz w:val="20"/>
          <w:szCs w:val="20"/>
          <w:lang w:eastAsia="pl-PL"/>
        </w:rPr>
        <w:t>h przez Europejską Agencję Straż</w:t>
      </w:r>
      <w:r w:rsidRPr="004C6CC5">
        <w:rPr>
          <w:rFonts w:ascii="Arial" w:eastAsia="Times New Roman" w:hAnsi="Arial" w:cs="Arial"/>
          <w:bCs/>
          <w:sz w:val="20"/>
          <w:szCs w:val="20"/>
          <w:lang w:eastAsia="pl-PL"/>
        </w:rPr>
        <w:t>y Granicznej</w:t>
      </w:r>
      <w:r w:rsidR="004C6CC5">
        <w:rPr>
          <w:rFonts w:ascii="Arial" w:eastAsia="Times New Roman" w:hAnsi="Arial" w:cs="Arial"/>
          <w:bCs/>
          <w:sz w:val="20"/>
          <w:szCs w:val="20"/>
          <w:lang w:eastAsia="pl-PL"/>
        </w:rPr>
        <w:t xml:space="preserve"> i </w:t>
      </w:r>
      <w:r w:rsidR="00906D62">
        <w:rPr>
          <w:rFonts w:ascii="Arial" w:eastAsia="Times New Roman" w:hAnsi="Arial" w:cs="Arial"/>
          <w:bCs/>
          <w:sz w:val="20"/>
          <w:szCs w:val="20"/>
          <w:lang w:eastAsia="pl-PL"/>
        </w:rPr>
        <w:t xml:space="preserve">Przybrzeżnej </w:t>
      </w:r>
      <w:r w:rsidR="007135B2">
        <w:rPr>
          <w:rFonts w:ascii="Arial" w:eastAsia="Times New Roman" w:hAnsi="Arial" w:cs="Arial"/>
          <w:bCs/>
          <w:sz w:val="20"/>
          <w:szCs w:val="20"/>
          <w:lang w:eastAsia="pl-PL"/>
        </w:rPr>
        <w:t xml:space="preserve">- </w:t>
      </w:r>
      <w:r w:rsidRPr="004C6CC5">
        <w:rPr>
          <w:rFonts w:ascii="Arial" w:eastAsia="Times New Roman" w:hAnsi="Arial" w:cs="Arial"/>
          <w:bCs/>
          <w:sz w:val="20"/>
          <w:szCs w:val="20"/>
          <w:lang w:eastAsia="pl-PL"/>
        </w:rPr>
        <w:t>Frontex</w:t>
      </w:r>
      <w:r w:rsidR="00906D62">
        <w:rPr>
          <w:rFonts w:ascii="Arial" w:eastAsia="Times New Roman" w:hAnsi="Arial" w:cs="Arial"/>
          <w:sz w:val="20"/>
          <w:szCs w:val="20"/>
          <w:lang w:eastAsia="pl-PL"/>
        </w:rPr>
        <w:t xml:space="preserve"> </w:t>
      </w:r>
      <w:r w:rsidRPr="004C6CC5">
        <w:rPr>
          <w:rFonts w:ascii="Arial" w:eastAsia="Times New Roman" w:hAnsi="Arial" w:cs="Arial"/>
          <w:sz w:val="20"/>
          <w:szCs w:val="20"/>
          <w:lang w:eastAsia="pl-PL"/>
        </w:rPr>
        <w:t>włączając</w:t>
      </w:r>
      <w:r w:rsidR="00817D16">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to: uczestnictwo we wspólnych operacjach na granicach, szczególnie</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rejonach Europy narażonych na wzmożoną nielegalną migrację,</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tym</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działaniach Europejskich Zespołów Straży Granicznej (EBGT), dostarczanie sprzętu</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ramach Puli Wyposażenia Technicznego (TEP), wymianę informacji</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analiz ryzyka, udział</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warsztatach</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różnego rodzaju szkoleniach, a także uczestnictwo we wspólnych operacjach służących readmisji cudzoziemców</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związanych</w:t>
      </w:r>
      <w:r w:rsidR="004C6CC5">
        <w:rPr>
          <w:rFonts w:ascii="Arial" w:eastAsia="Times New Roman" w:hAnsi="Arial" w:cs="Arial"/>
          <w:sz w:val="20"/>
          <w:szCs w:val="20"/>
          <w:lang w:eastAsia="pl-PL"/>
        </w:rPr>
        <w:t xml:space="preserve"> z </w:t>
      </w:r>
      <w:r w:rsidRPr="004C6CC5">
        <w:rPr>
          <w:rFonts w:ascii="Arial" w:eastAsia="Times New Roman" w:hAnsi="Arial" w:cs="Arial"/>
          <w:sz w:val="20"/>
          <w:szCs w:val="20"/>
          <w:lang w:eastAsia="pl-PL"/>
        </w:rPr>
        <w:t>nimi działaniach.</w:t>
      </w:r>
      <w:r w:rsidR="00F13D07">
        <w:rPr>
          <w:rFonts w:ascii="Arial" w:eastAsia="Times New Roman" w:hAnsi="Arial" w:cs="Arial"/>
          <w:sz w:val="20"/>
          <w:szCs w:val="20"/>
          <w:lang w:eastAsia="pl-PL"/>
        </w:rPr>
        <w:t xml:space="preserve"> </w:t>
      </w:r>
      <w:r w:rsidRPr="004C6CC5">
        <w:rPr>
          <w:rFonts w:ascii="Arial" w:eastAsia="Times New Roman" w:hAnsi="Arial" w:cs="Arial"/>
          <w:sz w:val="20"/>
          <w:szCs w:val="20"/>
          <w:lang w:eastAsia="pl-PL"/>
        </w:rPr>
        <w:t>W ramach działań Frontexu utworzono platformę skupiającą analityków ze</w:t>
      </w:r>
      <w:r w:rsidR="00F13D07">
        <w:rPr>
          <w:rFonts w:ascii="Arial" w:eastAsia="Times New Roman" w:hAnsi="Arial" w:cs="Arial"/>
          <w:sz w:val="20"/>
          <w:szCs w:val="20"/>
          <w:lang w:eastAsia="pl-PL"/>
        </w:rPr>
        <w:t xml:space="preserve"> służb granicznych/policyjnych państw c</w:t>
      </w:r>
      <w:r w:rsidRPr="004C6CC5">
        <w:rPr>
          <w:rFonts w:ascii="Arial" w:eastAsia="Times New Roman" w:hAnsi="Arial" w:cs="Arial"/>
          <w:sz w:val="20"/>
          <w:szCs w:val="20"/>
          <w:lang w:eastAsia="pl-PL"/>
        </w:rPr>
        <w:t>złonkowskich UE (FRAN). Ich współpraca obejmuje przede wszystkim bieżącą wymianę informacji</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analiz n</w:t>
      </w:r>
      <w:r w:rsidR="00233665">
        <w:rPr>
          <w:rFonts w:ascii="Arial" w:eastAsia="Times New Roman" w:hAnsi="Arial" w:cs="Arial"/>
          <w:sz w:val="20"/>
          <w:szCs w:val="20"/>
          <w:lang w:eastAsia="pl-PL"/>
        </w:rPr>
        <w:t>a temat</w:t>
      </w:r>
      <w:r w:rsidRPr="004C6CC5">
        <w:rPr>
          <w:rFonts w:ascii="Arial" w:eastAsia="Times New Roman" w:hAnsi="Arial" w:cs="Arial"/>
          <w:sz w:val="20"/>
          <w:szCs w:val="20"/>
          <w:lang w:eastAsia="pl-PL"/>
        </w:rPr>
        <w:t xml:space="preserve"> zdarzeń oraz zagrożeń dotyczących zjawiska nielegalnej migracji.</w:t>
      </w:r>
    </w:p>
    <w:p w14:paraId="7491EDC5" w14:textId="59F939EF" w:rsidR="00D226EE" w:rsidRPr="004C6CC5" w:rsidRDefault="00D226EE" w:rsidP="005F0BCB">
      <w:pPr>
        <w:spacing w:before="120"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Corocznie Straż Graniczna bierze udział we wzrastającej liczbie wspólnych operacji Agencji Frontex na granicach lądowych, morskich</w:t>
      </w:r>
      <w:r w:rsidR="00F13D07">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powietrznych państw członkowskich UE wysyłając swoich funkcjonariuszy, jak również sprzęt (głównie obserwacyjny</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lotniczy). Operacje służą zarówno bieżącemu wsparciu</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kontroli granic na odcinkach szczególnie zagrożonych (zwłaszcza</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obszarze Morza Śródziemnego), zwalczaniu przestępczości granicznej, jak również prewencji, doskonaleniu współdziałania</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wymianie najlepszych praktyk. Straż Graniczna przyjmuje także funkcjonariuszy</w:t>
      </w:r>
      <w:r w:rsidR="00F13D07">
        <w:rPr>
          <w:rFonts w:ascii="Arial" w:eastAsia="Times New Roman" w:hAnsi="Arial" w:cs="Arial"/>
          <w:sz w:val="20"/>
          <w:szCs w:val="20"/>
          <w:lang w:eastAsia="pl-PL"/>
        </w:rPr>
        <w:t xml:space="preserve"> </w:t>
      </w:r>
      <w:r w:rsidRPr="004C6CC5">
        <w:rPr>
          <w:rFonts w:ascii="Arial" w:eastAsia="Times New Roman" w:hAnsi="Arial" w:cs="Arial"/>
          <w:sz w:val="20"/>
          <w:szCs w:val="20"/>
          <w:lang w:eastAsia="pl-PL"/>
        </w:rPr>
        <w:t>-ekspertów innych państw UE</w:t>
      </w:r>
      <w:r w:rsidR="004C6CC5">
        <w:rPr>
          <w:rFonts w:ascii="Arial" w:eastAsia="Times New Roman" w:hAnsi="Arial" w:cs="Arial"/>
          <w:sz w:val="20"/>
          <w:szCs w:val="20"/>
          <w:lang w:eastAsia="pl-PL"/>
        </w:rPr>
        <w:t xml:space="preserve"> i </w:t>
      </w:r>
      <w:r w:rsidRPr="004C6CC5">
        <w:rPr>
          <w:rFonts w:ascii="Arial" w:eastAsia="Times New Roman" w:hAnsi="Arial" w:cs="Arial"/>
          <w:sz w:val="20"/>
          <w:szCs w:val="20"/>
          <w:lang w:eastAsia="pl-PL"/>
        </w:rPr>
        <w:t>państw trzecich</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Polsce</w:t>
      </w:r>
    </w:p>
    <w:p w14:paraId="1D5B8F90" w14:textId="15E2B926" w:rsidR="00D226EE" w:rsidRPr="004C6CC5" w:rsidRDefault="00D226EE" w:rsidP="005F0BCB">
      <w:pPr>
        <w:spacing w:before="120"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Współpraca</w:t>
      </w:r>
      <w:r w:rsidR="004C6CC5">
        <w:rPr>
          <w:rFonts w:ascii="Arial" w:eastAsia="Times New Roman" w:hAnsi="Arial" w:cs="Arial"/>
          <w:sz w:val="20"/>
          <w:szCs w:val="20"/>
          <w:lang w:eastAsia="pl-PL"/>
        </w:rPr>
        <w:t xml:space="preserve"> z </w:t>
      </w:r>
      <w:r w:rsidRPr="004C6CC5">
        <w:rPr>
          <w:rFonts w:ascii="Arial" w:eastAsia="Times New Roman" w:hAnsi="Arial" w:cs="Arial"/>
          <w:sz w:val="20"/>
          <w:szCs w:val="20"/>
          <w:lang w:eastAsia="pl-PL"/>
        </w:rPr>
        <w:t>Agencją Frontex, a także współkształtowanie rozwoju Agencji ma bardzo istotne znaczenie dla polskiej Straży Granicznej</w:t>
      </w:r>
      <w:r w:rsidR="004C6CC5">
        <w:rPr>
          <w:rFonts w:ascii="Arial" w:eastAsia="Times New Roman" w:hAnsi="Arial" w:cs="Arial"/>
          <w:sz w:val="20"/>
          <w:szCs w:val="20"/>
          <w:lang w:eastAsia="pl-PL"/>
        </w:rPr>
        <w:t xml:space="preserve"> z </w:t>
      </w:r>
      <w:r w:rsidRPr="004C6CC5">
        <w:rPr>
          <w:rFonts w:ascii="Arial" w:eastAsia="Times New Roman" w:hAnsi="Arial" w:cs="Arial"/>
          <w:sz w:val="20"/>
          <w:szCs w:val="20"/>
          <w:lang w:eastAsia="pl-PL"/>
        </w:rPr>
        <w:t>uwagi na ochronę szczególnie dłu</w:t>
      </w:r>
      <w:r w:rsidR="00EE1B74">
        <w:rPr>
          <w:rFonts w:ascii="Arial" w:eastAsia="Times New Roman" w:hAnsi="Arial" w:cs="Arial"/>
          <w:sz w:val="20"/>
          <w:szCs w:val="20"/>
          <w:lang w:eastAsia="pl-PL"/>
        </w:rPr>
        <w:t>giego odcinka </w:t>
      </w:r>
      <w:r w:rsidRPr="004C6CC5">
        <w:rPr>
          <w:rFonts w:ascii="Arial" w:eastAsia="Times New Roman" w:hAnsi="Arial" w:cs="Arial"/>
          <w:sz w:val="20"/>
          <w:szCs w:val="20"/>
          <w:lang w:eastAsia="pl-PL"/>
        </w:rPr>
        <w:t>zewnętrznej granicy UE. </w:t>
      </w:r>
    </w:p>
    <w:p w14:paraId="5C9F377D" w14:textId="597173F0" w:rsidR="00D226EE" w:rsidRPr="004C6CC5" w:rsidRDefault="00D226EE" w:rsidP="005F0BCB">
      <w:pPr>
        <w:spacing w:before="120" w:after="120" w:line="276" w:lineRule="auto"/>
        <w:jc w:val="both"/>
        <w:rPr>
          <w:rFonts w:ascii="Arial" w:eastAsia="Times New Roman" w:hAnsi="Arial" w:cs="Arial"/>
          <w:sz w:val="20"/>
          <w:szCs w:val="20"/>
          <w:lang w:eastAsia="pl-PL"/>
        </w:rPr>
      </w:pPr>
      <w:r w:rsidRPr="004C6CC5">
        <w:rPr>
          <w:rFonts w:ascii="Arial" w:eastAsia="Times New Roman" w:hAnsi="Arial" w:cs="Arial"/>
          <w:sz w:val="20"/>
          <w:szCs w:val="20"/>
          <w:lang w:eastAsia="pl-PL"/>
        </w:rPr>
        <w:t>W 2019</w:t>
      </w:r>
      <w:r w:rsidR="009D01B9" w:rsidRPr="004C6CC5">
        <w:rPr>
          <w:rFonts w:ascii="Arial" w:eastAsia="Times New Roman" w:hAnsi="Arial" w:cs="Arial"/>
          <w:sz w:val="20"/>
          <w:szCs w:val="20"/>
          <w:lang w:eastAsia="pl-PL"/>
        </w:rPr>
        <w:t xml:space="preserve"> r. </w:t>
      </w:r>
      <w:r w:rsidRPr="004C6CC5">
        <w:rPr>
          <w:rFonts w:ascii="Arial" w:eastAsia="Times New Roman" w:hAnsi="Arial" w:cs="Arial"/>
          <w:sz w:val="20"/>
          <w:szCs w:val="20"/>
          <w:lang w:eastAsia="pl-PL"/>
        </w:rPr>
        <w:t>przedstawiciele Straży Granicznej brali udział</w:t>
      </w:r>
      <w:r w:rsidR="004C6CC5">
        <w:rPr>
          <w:rFonts w:ascii="Arial" w:eastAsia="Times New Roman" w:hAnsi="Arial" w:cs="Arial"/>
          <w:sz w:val="20"/>
          <w:szCs w:val="20"/>
          <w:lang w:eastAsia="pl-PL"/>
        </w:rPr>
        <w:t xml:space="preserve"> w </w:t>
      </w:r>
      <w:r w:rsidRPr="004C6CC5">
        <w:rPr>
          <w:rFonts w:ascii="Arial" w:eastAsia="Times New Roman" w:hAnsi="Arial" w:cs="Arial"/>
          <w:sz w:val="20"/>
          <w:szCs w:val="20"/>
          <w:lang w:eastAsia="pl-PL"/>
        </w:rPr>
        <w:t>następujących przedsięwzięciach agencji Frontex:</w:t>
      </w:r>
    </w:p>
    <w:p w14:paraId="6320AEBE" w14:textId="4FC217DE" w:rsidR="00D226EE" w:rsidRPr="00EE1B74" w:rsidRDefault="00EE1B74" w:rsidP="00EE1B74">
      <w:pPr>
        <w:spacing w:after="120" w:line="276" w:lineRule="auto"/>
        <w:jc w:val="both"/>
        <w:rPr>
          <w:rFonts w:ascii="Arial" w:hAnsi="Arial" w:cs="Arial"/>
          <w:sz w:val="20"/>
          <w:szCs w:val="20"/>
        </w:rPr>
      </w:pPr>
      <w:r>
        <w:rPr>
          <w:rFonts w:ascii="Arial" w:hAnsi="Arial" w:cs="Arial"/>
          <w:sz w:val="20"/>
          <w:szCs w:val="20"/>
        </w:rPr>
        <w:t xml:space="preserve">- </w:t>
      </w:r>
      <w:r w:rsidR="00D226EE" w:rsidRPr="00EE1B74">
        <w:rPr>
          <w:rFonts w:ascii="Arial" w:hAnsi="Arial" w:cs="Arial"/>
          <w:sz w:val="20"/>
          <w:szCs w:val="20"/>
        </w:rPr>
        <w:t>Coast Guard Event 2019</w:t>
      </w:r>
      <w:r w:rsidR="004C6CC5" w:rsidRPr="00EE1B74">
        <w:rPr>
          <w:rFonts w:ascii="Arial" w:hAnsi="Arial" w:cs="Arial"/>
          <w:sz w:val="20"/>
          <w:szCs w:val="20"/>
        </w:rPr>
        <w:t xml:space="preserve"> w </w:t>
      </w:r>
      <w:r w:rsidR="00D226EE" w:rsidRPr="00EE1B74">
        <w:rPr>
          <w:rFonts w:ascii="Arial" w:hAnsi="Arial" w:cs="Arial"/>
          <w:sz w:val="20"/>
          <w:szCs w:val="20"/>
        </w:rPr>
        <w:t xml:space="preserve">dniach 15 </w:t>
      </w:r>
      <w:r w:rsidR="00D8109D">
        <w:rPr>
          <w:rFonts w:ascii="Arial" w:hAnsi="Arial" w:cs="Arial"/>
          <w:sz w:val="20"/>
          <w:szCs w:val="20"/>
        </w:rPr>
        <w:t>-</w:t>
      </w:r>
      <w:r w:rsidR="00D226EE" w:rsidRPr="00EE1B74">
        <w:rPr>
          <w:rFonts w:ascii="Arial" w:hAnsi="Arial" w:cs="Arial"/>
          <w:sz w:val="20"/>
          <w:szCs w:val="20"/>
        </w:rPr>
        <w:t xml:space="preserve"> 17.04.2019</w:t>
      </w:r>
      <w:r w:rsidR="009D01B9" w:rsidRPr="00EE1B74">
        <w:rPr>
          <w:rFonts w:ascii="Arial" w:hAnsi="Arial" w:cs="Arial"/>
          <w:sz w:val="20"/>
          <w:szCs w:val="20"/>
        </w:rPr>
        <w:t xml:space="preserve"> r.</w:t>
      </w:r>
      <w:r w:rsidR="004C6CC5" w:rsidRPr="00EE1B74">
        <w:rPr>
          <w:rFonts w:ascii="Arial" w:hAnsi="Arial" w:cs="Arial"/>
          <w:sz w:val="20"/>
          <w:szCs w:val="20"/>
        </w:rPr>
        <w:t xml:space="preserve"> w </w:t>
      </w:r>
      <w:r w:rsidR="00D226EE" w:rsidRPr="00EE1B74">
        <w:rPr>
          <w:rFonts w:ascii="Arial" w:hAnsi="Arial" w:cs="Arial"/>
          <w:sz w:val="20"/>
          <w:szCs w:val="20"/>
        </w:rPr>
        <w:t xml:space="preserve">Świnoujściu;  </w:t>
      </w:r>
    </w:p>
    <w:p w14:paraId="77DCA448" w14:textId="7378F659" w:rsidR="00D226EE" w:rsidRPr="00EE1B74" w:rsidRDefault="00EE1B74" w:rsidP="00EE1B74">
      <w:pPr>
        <w:spacing w:after="120" w:line="276" w:lineRule="auto"/>
        <w:jc w:val="both"/>
        <w:rPr>
          <w:rFonts w:ascii="Arial" w:hAnsi="Arial" w:cs="Arial"/>
          <w:sz w:val="20"/>
          <w:szCs w:val="20"/>
        </w:rPr>
      </w:pPr>
      <w:r>
        <w:rPr>
          <w:rFonts w:ascii="Arial" w:hAnsi="Arial" w:cs="Arial"/>
          <w:sz w:val="20"/>
          <w:szCs w:val="20"/>
        </w:rPr>
        <w:t xml:space="preserve">- </w:t>
      </w:r>
      <w:r w:rsidR="00D226EE" w:rsidRPr="00EE1B74">
        <w:rPr>
          <w:rFonts w:ascii="Arial" w:hAnsi="Arial" w:cs="Arial"/>
          <w:sz w:val="20"/>
          <w:szCs w:val="20"/>
        </w:rPr>
        <w:t>warsztatach</w:t>
      </w:r>
      <w:r w:rsidR="004C6CC5" w:rsidRPr="00EE1B74">
        <w:rPr>
          <w:rFonts w:ascii="Arial" w:hAnsi="Arial" w:cs="Arial"/>
          <w:sz w:val="20"/>
          <w:szCs w:val="20"/>
        </w:rPr>
        <w:t xml:space="preserve"> z </w:t>
      </w:r>
      <w:r w:rsidR="00D226EE" w:rsidRPr="00EE1B74">
        <w:rPr>
          <w:rFonts w:ascii="Arial" w:hAnsi="Arial" w:cs="Arial"/>
          <w:sz w:val="20"/>
          <w:szCs w:val="20"/>
        </w:rPr>
        <w:t>zakresu ochrony żeglugi</w:t>
      </w:r>
      <w:r w:rsidR="004C6CC5" w:rsidRPr="00EE1B74">
        <w:rPr>
          <w:rFonts w:ascii="Arial" w:hAnsi="Arial" w:cs="Arial"/>
          <w:sz w:val="20"/>
          <w:szCs w:val="20"/>
        </w:rPr>
        <w:t xml:space="preserve"> w </w:t>
      </w:r>
      <w:r w:rsidR="00D226EE" w:rsidRPr="00EE1B74">
        <w:rPr>
          <w:rFonts w:ascii="Arial" w:hAnsi="Arial" w:cs="Arial"/>
          <w:sz w:val="20"/>
          <w:szCs w:val="20"/>
        </w:rPr>
        <w:t>dniu 14.05.2019</w:t>
      </w:r>
      <w:r w:rsidR="009D01B9" w:rsidRPr="00EE1B74">
        <w:rPr>
          <w:rFonts w:ascii="Arial" w:hAnsi="Arial" w:cs="Arial"/>
          <w:sz w:val="20"/>
          <w:szCs w:val="20"/>
        </w:rPr>
        <w:t xml:space="preserve"> r.</w:t>
      </w:r>
      <w:r w:rsidR="004C6CC5" w:rsidRPr="00EE1B74">
        <w:rPr>
          <w:rFonts w:ascii="Arial" w:hAnsi="Arial" w:cs="Arial"/>
          <w:sz w:val="20"/>
          <w:szCs w:val="20"/>
        </w:rPr>
        <w:t xml:space="preserve"> w </w:t>
      </w:r>
      <w:r w:rsidR="00D226EE" w:rsidRPr="00EE1B74">
        <w:rPr>
          <w:rFonts w:ascii="Arial" w:hAnsi="Arial" w:cs="Arial"/>
          <w:sz w:val="20"/>
          <w:szCs w:val="20"/>
        </w:rPr>
        <w:t>Lizbonie, komponent morski systemu Copernicus – „Copernicus Maritime Surveillance” (CMS);</w:t>
      </w:r>
    </w:p>
    <w:p w14:paraId="6697689F" w14:textId="4B3F5E93" w:rsidR="00D226EE" w:rsidRPr="00EE1B74" w:rsidRDefault="00EE1B74" w:rsidP="00EE1B74">
      <w:pPr>
        <w:spacing w:after="120" w:line="276" w:lineRule="auto"/>
        <w:jc w:val="both"/>
        <w:rPr>
          <w:rFonts w:ascii="Arial" w:hAnsi="Arial" w:cs="Arial"/>
          <w:sz w:val="20"/>
          <w:szCs w:val="20"/>
          <w:lang w:val="en-US"/>
        </w:rPr>
      </w:pPr>
      <w:r>
        <w:rPr>
          <w:rFonts w:ascii="Arial" w:hAnsi="Arial" w:cs="Arial"/>
          <w:sz w:val="20"/>
          <w:szCs w:val="20"/>
          <w:lang w:val="en-US"/>
        </w:rPr>
        <w:t xml:space="preserve">- </w:t>
      </w:r>
      <w:r w:rsidR="00D226EE" w:rsidRPr="00EE1B74">
        <w:rPr>
          <w:rFonts w:ascii="Arial" w:hAnsi="Arial" w:cs="Arial"/>
          <w:sz w:val="20"/>
          <w:szCs w:val="20"/>
          <w:lang w:val="en-US"/>
        </w:rPr>
        <w:t xml:space="preserve">szkoleniu European Coast Guard Functions Officers Training 2 </w:t>
      </w:r>
      <w:r w:rsidR="00D8109D">
        <w:rPr>
          <w:rFonts w:ascii="Arial" w:hAnsi="Arial" w:cs="Arial"/>
          <w:sz w:val="20"/>
          <w:szCs w:val="20"/>
          <w:lang w:val="en-US"/>
        </w:rPr>
        <w:t>-</w:t>
      </w:r>
      <w:r w:rsidR="00D226EE" w:rsidRPr="00EE1B74">
        <w:rPr>
          <w:rFonts w:ascii="Arial" w:hAnsi="Arial" w:cs="Arial"/>
          <w:sz w:val="20"/>
          <w:szCs w:val="20"/>
          <w:lang w:val="en-US"/>
        </w:rPr>
        <w:t xml:space="preserve"> 2019</w:t>
      </w:r>
      <w:r w:rsidR="004C6CC5" w:rsidRPr="00EE1B74">
        <w:rPr>
          <w:rFonts w:ascii="Arial" w:hAnsi="Arial" w:cs="Arial"/>
          <w:sz w:val="20"/>
          <w:szCs w:val="20"/>
          <w:lang w:val="en-US"/>
        </w:rPr>
        <w:t xml:space="preserve"> w </w:t>
      </w:r>
      <w:r w:rsidR="00D226EE" w:rsidRPr="00EE1B74">
        <w:rPr>
          <w:rFonts w:ascii="Arial" w:hAnsi="Arial" w:cs="Arial"/>
          <w:sz w:val="20"/>
          <w:szCs w:val="20"/>
          <w:lang w:val="en-US"/>
        </w:rPr>
        <w:t xml:space="preserve">dniach 20 </w:t>
      </w:r>
      <w:r w:rsidR="00D8109D">
        <w:rPr>
          <w:rFonts w:ascii="Arial" w:hAnsi="Arial" w:cs="Arial"/>
          <w:sz w:val="20"/>
          <w:szCs w:val="20"/>
          <w:lang w:val="en-US"/>
        </w:rPr>
        <w:t>-</w:t>
      </w:r>
      <w:r w:rsidR="00D226EE" w:rsidRPr="00EE1B74">
        <w:rPr>
          <w:rFonts w:ascii="Arial" w:hAnsi="Arial" w:cs="Arial"/>
          <w:sz w:val="20"/>
          <w:szCs w:val="20"/>
          <w:lang w:val="en-US"/>
        </w:rPr>
        <w:t xml:space="preserve"> 24.05.2019</w:t>
      </w:r>
      <w:r w:rsidR="009D01B9" w:rsidRPr="00EE1B74">
        <w:rPr>
          <w:rFonts w:ascii="Arial" w:hAnsi="Arial" w:cs="Arial"/>
          <w:sz w:val="20"/>
          <w:szCs w:val="20"/>
          <w:lang w:val="en-US"/>
        </w:rPr>
        <w:t xml:space="preserve"> r.</w:t>
      </w:r>
      <w:r w:rsidR="004C6CC5" w:rsidRPr="00EE1B74">
        <w:rPr>
          <w:rFonts w:ascii="Arial" w:hAnsi="Arial" w:cs="Arial"/>
          <w:sz w:val="20"/>
          <w:szCs w:val="20"/>
          <w:lang w:val="en-US"/>
        </w:rPr>
        <w:t xml:space="preserve"> w </w:t>
      </w:r>
      <w:r w:rsidR="00D226EE" w:rsidRPr="00EE1B74">
        <w:rPr>
          <w:rFonts w:ascii="Arial" w:hAnsi="Arial" w:cs="Arial"/>
          <w:sz w:val="20"/>
          <w:szCs w:val="20"/>
          <w:lang w:val="en-US"/>
        </w:rPr>
        <w:t>Pratica di Mare/ Włochy;</w:t>
      </w:r>
    </w:p>
    <w:p w14:paraId="59958F60" w14:textId="211860AD" w:rsidR="00D226EE" w:rsidRPr="00EE1B74" w:rsidRDefault="00EE1B74" w:rsidP="00EE1B74">
      <w:pPr>
        <w:spacing w:after="120" w:line="276" w:lineRule="auto"/>
        <w:jc w:val="both"/>
        <w:rPr>
          <w:rFonts w:ascii="Arial" w:hAnsi="Arial" w:cs="Arial"/>
          <w:sz w:val="20"/>
          <w:szCs w:val="20"/>
        </w:rPr>
      </w:pPr>
      <w:r>
        <w:rPr>
          <w:rFonts w:ascii="Arial" w:hAnsi="Arial" w:cs="Arial"/>
          <w:sz w:val="20"/>
          <w:szCs w:val="20"/>
        </w:rPr>
        <w:t xml:space="preserve">- </w:t>
      </w:r>
      <w:r w:rsidR="00D226EE" w:rsidRPr="00EE1B74">
        <w:rPr>
          <w:rFonts w:ascii="Arial" w:hAnsi="Arial" w:cs="Arial"/>
          <w:sz w:val="20"/>
          <w:szCs w:val="20"/>
        </w:rPr>
        <w:t>warsztatach „Maritime Surveillance aerostat Trial”</w:t>
      </w:r>
      <w:r w:rsidR="004C6CC5" w:rsidRPr="00EE1B74">
        <w:rPr>
          <w:rFonts w:ascii="Arial" w:hAnsi="Arial" w:cs="Arial"/>
          <w:sz w:val="20"/>
          <w:szCs w:val="20"/>
        </w:rPr>
        <w:t xml:space="preserve"> w </w:t>
      </w:r>
      <w:r w:rsidR="00D226EE" w:rsidRPr="00EE1B74">
        <w:rPr>
          <w:rFonts w:ascii="Arial" w:hAnsi="Arial" w:cs="Arial"/>
          <w:sz w:val="20"/>
          <w:szCs w:val="20"/>
        </w:rPr>
        <w:t xml:space="preserve">dniach 24 </w:t>
      </w:r>
      <w:r w:rsidR="00D8109D">
        <w:rPr>
          <w:rFonts w:ascii="Arial" w:hAnsi="Arial" w:cs="Arial"/>
          <w:sz w:val="20"/>
          <w:szCs w:val="20"/>
        </w:rPr>
        <w:t>-</w:t>
      </w:r>
      <w:r w:rsidR="00D226EE" w:rsidRPr="00EE1B74">
        <w:rPr>
          <w:rFonts w:ascii="Arial" w:hAnsi="Arial" w:cs="Arial"/>
          <w:sz w:val="20"/>
          <w:szCs w:val="20"/>
        </w:rPr>
        <w:t xml:space="preserve"> 26.07.2019</w:t>
      </w:r>
      <w:r w:rsidR="009D01B9" w:rsidRPr="00EE1B74">
        <w:rPr>
          <w:rFonts w:ascii="Arial" w:hAnsi="Arial" w:cs="Arial"/>
          <w:sz w:val="20"/>
          <w:szCs w:val="20"/>
        </w:rPr>
        <w:t xml:space="preserve"> r.</w:t>
      </w:r>
      <w:r w:rsidR="004C6CC5" w:rsidRPr="00EE1B74">
        <w:rPr>
          <w:rFonts w:ascii="Arial" w:hAnsi="Arial" w:cs="Arial"/>
          <w:sz w:val="20"/>
          <w:szCs w:val="20"/>
        </w:rPr>
        <w:t xml:space="preserve"> w </w:t>
      </w:r>
      <w:r w:rsidR="00D226EE" w:rsidRPr="00EE1B74">
        <w:rPr>
          <w:rFonts w:ascii="Arial" w:hAnsi="Arial" w:cs="Arial"/>
          <w:sz w:val="20"/>
          <w:szCs w:val="20"/>
        </w:rPr>
        <w:t>Samos/ Grecja;</w:t>
      </w:r>
    </w:p>
    <w:p w14:paraId="59AA3A21" w14:textId="6512B4D5" w:rsidR="00D226EE" w:rsidRPr="00EE1B74" w:rsidRDefault="00EE1B74" w:rsidP="00EE1B74">
      <w:pPr>
        <w:spacing w:after="120" w:line="276" w:lineRule="auto"/>
        <w:jc w:val="both"/>
        <w:rPr>
          <w:rFonts w:ascii="Arial" w:hAnsi="Arial" w:cs="Arial"/>
          <w:sz w:val="20"/>
          <w:szCs w:val="20"/>
        </w:rPr>
      </w:pPr>
      <w:r>
        <w:rPr>
          <w:rFonts w:ascii="Arial" w:hAnsi="Arial" w:cs="Arial"/>
          <w:sz w:val="20"/>
          <w:szCs w:val="20"/>
        </w:rPr>
        <w:t xml:space="preserve">- </w:t>
      </w:r>
      <w:r w:rsidR="00D226EE" w:rsidRPr="00EE1B74">
        <w:rPr>
          <w:rFonts w:ascii="Arial" w:hAnsi="Arial" w:cs="Arial"/>
          <w:sz w:val="20"/>
          <w:szCs w:val="20"/>
        </w:rPr>
        <w:t>szkoleniu dla funkcjonariuszy ds. nadzoru granic – granica morska (Border Surveillance Officer – Maritime Operations)</w:t>
      </w:r>
      <w:r w:rsidR="004C6CC5" w:rsidRPr="00EE1B74">
        <w:rPr>
          <w:rFonts w:ascii="Arial" w:hAnsi="Arial" w:cs="Arial"/>
          <w:sz w:val="20"/>
          <w:szCs w:val="20"/>
        </w:rPr>
        <w:t xml:space="preserve"> w </w:t>
      </w:r>
      <w:r w:rsidR="00D226EE" w:rsidRPr="00EE1B74">
        <w:rPr>
          <w:rFonts w:ascii="Arial" w:hAnsi="Arial" w:cs="Arial"/>
          <w:sz w:val="20"/>
          <w:szCs w:val="20"/>
        </w:rPr>
        <w:t xml:space="preserve">dniach 11 </w:t>
      </w:r>
      <w:r w:rsidR="00D8109D">
        <w:rPr>
          <w:rFonts w:ascii="Arial" w:hAnsi="Arial" w:cs="Arial"/>
          <w:sz w:val="20"/>
          <w:szCs w:val="20"/>
        </w:rPr>
        <w:t>-</w:t>
      </w:r>
      <w:r w:rsidR="00D226EE" w:rsidRPr="00EE1B74">
        <w:rPr>
          <w:rFonts w:ascii="Arial" w:hAnsi="Arial" w:cs="Arial"/>
          <w:sz w:val="20"/>
          <w:szCs w:val="20"/>
        </w:rPr>
        <w:t xml:space="preserve"> 12.09.2019</w:t>
      </w:r>
      <w:r w:rsidR="009D01B9" w:rsidRPr="00EE1B74">
        <w:rPr>
          <w:rFonts w:ascii="Arial" w:hAnsi="Arial" w:cs="Arial"/>
          <w:sz w:val="20"/>
          <w:szCs w:val="20"/>
        </w:rPr>
        <w:t xml:space="preserve"> r.</w:t>
      </w:r>
      <w:r w:rsidR="004C6CC5" w:rsidRPr="00EE1B74">
        <w:rPr>
          <w:rFonts w:ascii="Arial" w:hAnsi="Arial" w:cs="Arial"/>
          <w:sz w:val="20"/>
          <w:szCs w:val="20"/>
        </w:rPr>
        <w:t xml:space="preserve"> w </w:t>
      </w:r>
      <w:r w:rsidR="00D226EE" w:rsidRPr="00EE1B74">
        <w:rPr>
          <w:rFonts w:ascii="Arial" w:hAnsi="Arial" w:cs="Arial"/>
          <w:sz w:val="20"/>
          <w:szCs w:val="20"/>
        </w:rPr>
        <w:t>Warszawie;</w:t>
      </w:r>
    </w:p>
    <w:p w14:paraId="7284DF2C" w14:textId="3CB7FE66" w:rsidR="00D226EE" w:rsidRDefault="00EE1B74" w:rsidP="00EE1B74">
      <w:pPr>
        <w:spacing w:after="120" w:line="276" w:lineRule="auto"/>
        <w:jc w:val="both"/>
        <w:rPr>
          <w:rFonts w:ascii="Arial" w:hAnsi="Arial" w:cs="Arial"/>
          <w:sz w:val="20"/>
          <w:szCs w:val="20"/>
        </w:rPr>
      </w:pPr>
      <w:r>
        <w:rPr>
          <w:rFonts w:ascii="Arial" w:hAnsi="Arial" w:cs="Arial"/>
          <w:sz w:val="20"/>
          <w:szCs w:val="20"/>
        </w:rPr>
        <w:t xml:space="preserve">- </w:t>
      </w:r>
      <w:r w:rsidR="00D226EE" w:rsidRPr="00EE1B74">
        <w:rPr>
          <w:rFonts w:ascii="Arial" w:hAnsi="Arial" w:cs="Arial"/>
          <w:sz w:val="20"/>
          <w:szCs w:val="20"/>
        </w:rPr>
        <w:t xml:space="preserve">szkoleniu dla funkcjonariuszy ds. nadzoru granic </w:t>
      </w:r>
      <w:r w:rsidR="00D8109D">
        <w:rPr>
          <w:rFonts w:ascii="Arial" w:hAnsi="Arial" w:cs="Arial"/>
          <w:sz w:val="20"/>
          <w:szCs w:val="20"/>
        </w:rPr>
        <w:t>-</w:t>
      </w:r>
      <w:r w:rsidR="00D226EE" w:rsidRPr="00EE1B74">
        <w:rPr>
          <w:rFonts w:ascii="Arial" w:hAnsi="Arial" w:cs="Arial"/>
          <w:sz w:val="20"/>
          <w:szCs w:val="20"/>
        </w:rPr>
        <w:t xml:space="preserve"> granica morska (Border Surveillance Officer – Maritime Operations)</w:t>
      </w:r>
      <w:r w:rsidR="004C6CC5" w:rsidRPr="00EE1B74">
        <w:rPr>
          <w:rFonts w:ascii="Arial" w:hAnsi="Arial" w:cs="Arial"/>
          <w:sz w:val="20"/>
          <w:szCs w:val="20"/>
        </w:rPr>
        <w:t xml:space="preserve"> w </w:t>
      </w:r>
      <w:r w:rsidR="00D226EE" w:rsidRPr="00EE1B74">
        <w:rPr>
          <w:rFonts w:ascii="Arial" w:hAnsi="Arial" w:cs="Arial"/>
          <w:sz w:val="20"/>
          <w:szCs w:val="20"/>
        </w:rPr>
        <w:t xml:space="preserve">dniach 14 </w:t>
      </w:r>
      <w:r w:rsidR="00D8109D">
        <w:rPr>
          <w:rFonts w:ascii="Arial" w:hAnsi="Arial" w:cs="Arial"/>
          <w:sz w:val="20"/>
          <w:szCs w:val="20"/>
        </w:rPr>
        <w:t>-</w:t>
      </w:r>
      <w:r w:rsidR="00D226EE" w:rsidRPr="00EE1B74">
        <w:rPr>
          <w:rFonts w:ascii="Arial" w:hAnsi="Arial" w:cs="Arial"/>
          <w:sz w:val="20"/>
          <w:szCs w:val="20"/>
        </w:rPr>
        <w:t xml:space="preserve"> 18.10.2019</w:t>
      </w:r>
      <w:r w:rsidR="009D01B9" w:rsidRPr="00EE1B74">
        <w:rPr>
          <w:rFonts w:ascii="Arial" w:hAnsi="Arial" w:cs="Arial"/>
          <w:sz w:val="20"/>
          <w:szCs w:val="20"/>
        </w:rPr>
        <w:t xml:space="preserve"> r.</w:t>
      </w:r>
      <w:r w:rsidR="004C6CC5" w:rsidRPr="00EE1B74">
        <w:rPr>
          <w:rFonts w:ascii="Arial" w:hAnsi="Arial" w:cs="Arial"/>
          <w:sz w:val="20"/>
          <w:szCs w:val="20"/>
        </w:rPr>
        <w:t xml:space="preserve"> w </w:t>
      </w:r>
      <w:r>
        <w:rPr>
          <w:rFonts w:ascii="Arial" w:hAnsi="Arial" w:cs="Arial"/>
          <w:sz w:val="20"/>
          <w:szCs w:val="20"/>
        </w:rPr>
        <w:t>Turku/ Finlandia.</w:t>
      </w:r>
    </w:p>
    <w:p w14:paraId="79A76AB0" w14:textId="77777777" w:rsidR="00FF3723" w:rsidRPr="00EE1B74" w:rsidRDefault="00FF3723" w:rsidP="00EE1B74">
      <w:pPr>
        <w:spacing w:after="120" w:line="276" w:lineRule="auto"/>
        <w:jc w:val="both"/>
        <w:rPr>
          <w:rFonts w:ascii="Arial" w:hAnsi="Arial" w:cs="Arial"/>
          <w:sz w:val="20"/>
          <w:szCs w:val="20"/>
        </w:rPr>
      </w:pPr>
    </w:p>
    <w:p w14:paraId="6E729D5B" w14:textId="121E404F" w:rsidR="00D226EE" w:rsidRPr="00601820" w:rsidRDefault="00D226EE" w:rsidP="003C6ECA">
      <w:pPr>
        <w:pStyle w:val="Akapitzlist"/>
        <w:numPr>
          <w:ilvl w:val="0"/>
          <w:numId w:val="39"/>
        </w:numPr>
        <w:spacing w:after="120" w:line="276" w:lineRule="auto"/>
        <w:jc w:val="both"/>
        <w:rPr>
          <w:rFonts w:ascii="Arial" w:hAnsi="Arial" w:cs="Arial"/>
          <w:b/>
          <w:sz w:val="20"/>
          <w:szCs w:val="20"/>
        </w:rPr>
      </w:pPr>
      <w:r w:rsidRPr="00601820">
        <w:rPr>
          <w:rFonts w:ascii="Arial" w:hAnsi="Arial" w:cs="Arial"/>
          <w:b/>
          <w:sz w:val="20"/>
          <w:szCs w:val="20"/>
        </w:rPr>
        <w:lastRenderedPageBreak/>
        <w:t>Współpraca</w:t>
      </w:r>
      <w:r w:rsidR="004C6CC5" w:rsidRPr="00601820">
        <w:rPr>
          <w:rFonts w:ascii="Arial" w:hAnsi="Arial" w:cs="Arial"/>
          <w:b/>
          <w:sz w:val="20"/>
          <w:szCs w:val="20"/>
        </w:rPr>
        <w:t xml:space="preserve"> w </w:t>
      </w:r>
      <w:r w:rsidRPr="00601820">
        <w:rPr>
          <w:rFonts w:ascii="Arial" w:hAnsi="Arial" w:cs="Arial"/>
          <w:b/>
          <w:sz w:val="20"/>
          <w:szCs w:val="20"/>
        </w:rPr>
        <w:t>ramach Europejskiego Forum Funkcji Straży Przybrzeżnych  –</w:t>
      </w:r>
      <w:r w:rsidR="00774D81">
        <w:rPr>
          <w:rFonts w:ascii="Arial" w:hAnsi="Arial" w:cs="Arial"/>
          <w:b/>
          <w:sz w:val="20"/>
          <w:szCs w:val="20"/>
        </w:rPr>
        <w:t xml:space="preserve"> </w:t>
      </w:r>
      <w:r w:rsidRPr="00601820">
        <w:rPr>
          <w:rFonts w:ascii="Arial" w:hAnsi="Arial" w:cs="Arial"/>
          <w:b/>
          <w:sz w:val="20"/>
          <w:szCs w:val="20"/>
        </w:rPr>
        <w:t>European Coast Guard Functions Forum (ECGFF)</w:t>
      </w:r>
    </w:p>
    <w:p w14:paraId="3E0BAE5C" w14:textId="195DCEDD"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Straż Graniczna zaangażowana jest również</w:t>
      </w:r>
      <w:r w:rsidR="004C6CC5">
        <w:rPr>
          <w:rFonts w:ascii="Arial" w:hAnsi="Arial" w:cs="Arial"/>
          <w:sz w:val="20"/>
          <w:szCs w:val="20"/>
        </w:rPr>
        <w:t xml:space="preserve"> w </w:t>
      </w:r>
      <w:r w:rsidRPr="004C6CC5">
        <w:rPr>
          <w:rFonts w:ascii="Arial" w:hAnsi="Arial" w:cs="Arial"/>
          <w:sz w:val="20"/>
          <w:szCs w:val="20"/>
        </w:rPr>
        <w:t xml:space="preserve">działania Europejskiego Forum Funkcji Straży Przybrzeżnych (European Coast Guard Functions Forum </w:t>
      </w:r>
      <w:r w:rsidR="00802246">
        <w:rPr>
          <w:rFonts w:ascii="Arial" w:hAnsi="Arial" w:cs="Arial"/>
          <w:sz w:val="20"/>
          <w:szCs w:val="20"/>
        </w:rPr>
        <w:t>-</w:t>
      </w:r>
      <w:r w:rsidRPr="004C6CC5">
        <w:rPr>
          <w:rFonts w:ascii="Arial" w:hAnsi="Arial" w:cs="Arial"/>
          <w:sz w:val="20"/>
          <w:szCs w:val="20"/>
        </w:rPr>
        <w:t xml:space="preserve"> ECGFF). Jest to forum mające na celu koordynację współpracy służb europejskich</w:t>
      </w:r>
      <w:r w:rsidR="004C6CC5">
        <w:rPr>
          <w:rFonts w:ascii="Arial" w:hAnsi="Arial" w:cs="Arial"/>
          <w:sz w:val="20"/>
          <w:szCs w:val="20"/>
        </w:rPr>
        <w:t xml:space="preserve"> z </w:t>
      </w:r>
      <w:r w:rsidRPr="004C6CC5">
        <w:rPr>
          <w:rFonts w:ascii="Arial" w:hAnsi="Arial" w:cs="Arial"/>
          <w:sz w:val="20"/>
          <w:szCs w:val="20"/>
        </w:rPr>
        <w:t>funkcjami straży przybrzeżnych oraz rozwój funkcji straży przybrzeżnej, realizowanych</w:t>
      </w:r>
      <w:r w:rsidR="004C6CC5">
        <w:rPr>
          <w:rFonts w:ascii="Arial" w:hAnsi="Arial" w:cs="Arial"/>
          <w:sz w:val="20"/>
          <w:szCs w:val="20"/>
        </w:rPr>
        <w:t xml:space="preserve"> w </w:t>
      </w:r>
      <w:r w:rsidRPr="004C6CC5">
        <w:rPr>
          <w:rFonts w:ascii="Arial" w:hAnsi="Arial" w:cs="Arial"/>
          <w:sz w:val="20"/>
          <w:szCs w:val="20"/>
        </w:rPr>
        <w:t>poszczególnych krajach przez różne służby</w:t>
      </w:r>
      <w:r w:rsidR="004C6CC5">
        <w:rPr>
          <w:rFonts w:ascii="Arial" w:hAnsi="Arial" w:cs="Arial"/>
          <w:sz w:val="20"/>
          <w:szCs w:val="20"/>
        </w:rPr>
        <w:t xml:space="preserve"> i </w:t>
      </w:r>
      <w:r w:rsidRPr="004C6CC5">
        <w:rPr>
          <w:rFonts w:ascii="Arial" w:hAnsi="Arial" w:cs="Arial"/>
          <w:sz w:val="20"/>
          <w:szCs w:val="20"/>
        </w:rPr>
        <w:t>instytucje. Straż Graniczna uczestniczy</w:t>
      </w:r>
      <w:r w:rsidR="004C6CC5">
        <w:rPr>
          <w:rFonts w:ascii="Arial" w:hAnsi="Arial" w:cs="Arial"/>
          <w:sz w:val="20"/>
          <w:szCs w:val="20"/>
        </w:rPr>
        <w:t xml:space="preserve"> w </w:t>
      </w:r>
      <w:r w:rsidRPr="004C6CC5">
        <w:rPr>
          <w:rFonts w:ascii="Arial" w:hAnsi="Arial" w:cs="Arial"/>
          <w:sz w:val="20"/>
          <w:szCs w:val="20"/>
        </w:rPr>
        <w:t>pracach forum  poprzez udział</w:t>
      </w:r>
      <w:r w:rsidR="004C6CC5">
        <w:rPr>
          <w:rFonts w:ascii="Arial" w:hAnsi="Arial" w:cs="Arial"/>
          <w:sz w:val="20"/>
          <w:szCs w:val="20"/>
        </w:rPr>
        <w:t xml:space="preserve"> w </w:t>
      </w:r>
      <w:r w:rsidRPr="004C6CC5">
        <w:rPr>
          <w:rFonts w:ascii="Arial" w:hAnsi="Arial" w:cs="Arial"/>
          <w:sz w:val="20"/>
          <w:szCs w:val="20"/>
        </w:rPr>
        <w:t>szkoleniach, wspólnych ćwiczeniach oraz corocznych Konferencjach Plenarnych</w:t>
      </w:r>
      <w:r w:rsidR="008950C5">
        <w:rPr>
          <w:rFonts w:ascii="Arial" w:hAnsi="Arial" w:cs="Arial"/>
          <w:sz w:val="20"/>
          <w:szCs w:val="20"/>
        </w:rPr>
        <w:t xml:space="preserve">, podczas których </w:t>
      </w:r>
      <w:r w:rsidRPr="004C6CC5">
        <w:rPr>
          <w:rFonts w:ascii="Arial" w:hAnsi="Arial" w:cs="Arial"/>
          <w:sz w:val="20"/>
          <w:szCs w:val="20"/>
        </w:rPr>
        <w:t>m.in. przekazywane jest</w:t>
      </w:r>
      <w:r w:rsidR="008950C5">
        <w:rPr>
          <w:rFonts w:ascii="Arial" w:hAnsi="Arial" w:cs="Arial"/>
          <w:sz w:val="20"/>
          <w:szCs w:val="20"/>
        </w:rPr>
        <w:t xml:space="preserve"> przewodnictwo na kolejny okres</w:t>
      </w:r>
      <w:r w:rsidRPr="004C6CC5">
        <w:rPr>
          <w:rFonts w:ascii="Arial" w:hAnsi="Arial" w:cs="Arial"/>
          <w:sz w:val="20"/>
          <w:szCs w:val="20"/>
        </w:rPr>
        <w:t>.</w:t>
      </w:r>
      <w:r w:rsidR="008950C5">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ramach Forum Straż Graniczna jest także uczestnikiem -</w:t>
      </w:r>
      <w:r w:rsidR="008950C5">
        <w:rPr>
          <w:rFonts w:ascii="Arial" w:hAnsi="Arial" w:cs="Arial"/>
          <w:sz w:val="20"/>
          <w:szCs w:val="20"/>
        </w:rPr>
        <w:t xml:space="preserve"> </w:t>
      </w:r>
      <w:r w:rsidRPr="004C6CC5">
        <w:rPr>
          <w:rFonts w:ascii="Arial" w:hAnsi="Arial" w:cs="Arial"/>
          <w:sz w:val="20"/>
          <w:szCs w:val="20"/>
        </w:rPr>
        <w:t>obserwatorem projektu ECGFA</w:t>
      </w:r>
      <w:r w:rsidR="008950C5">
        <w:rPr>
          <w:rFonts w:ascii="Arial" w:hAnsi="Arial" w:cs="Arial"/>
          <w:sz w:val="20"/>
          <w:szCs w:val="20"/>
        </w:rPr>
        <w:t xml:space="preserve"> NET, którego celem jest m.in.</w:t>
      </w:r>
      <w:r w:rsidRPr="004C6CC5">
        <w:rPr>
          <w:rFonts w:ascii="Arial" w:hAnsi="Arial" w:cs="Arial"/>
          <w:sz w:val="20"/>
          <w:szCs w:val="20"/>
        </w:rPr>
        <w:t xml:space="preserve"> utworzenie sieci Akademii Funkcji Straży Przybrzeżnych, wzmocnienie współpracy między służbami oraz wymiana studentów/ekspertów</w:t>
      </w:r>
      <w:r w:rsidR="004C6CC5">
        <w:rPr>
          <w:rFonts w:ascii="Arial" w:hAnsi="Arial" w:cs="Arial"/>
          <w:sz w:val="20"/>
          <w:szCs w:val="20"/>
        </w:rPr>
        <w:t xml:space="preserve"> w </w:t>
      </w:r>
      <w:r w:rsidRPr="004C6CC5">
        <w:rPr>
          <w:rFonts w:ascii="Arial" w:hAnsi="Arial" w:cs="Arial"/>
          <w:sz w:val="20"/>
          <w:szCs w:val="20"/>
        </w:rPr>
        <w:t>ramach akademii. </w:t>
      </w:r>
    </w:p>
    <w:p w14:paraId="612CD477" w14:textId="6830C545"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 xml:space="preserve">ramach współpracy ECGFF </w:t>
      </w:r>
      <w:r w:rsidR="007C6DF1">
        <w:rPr>
          <w:rFonts w:ascii="Arial" w:hAnsi="Arial" w:cs="Arial"/>
          <w:sz w:val="20"/>
          <w:szCs w:val="20"/>
        </w:rPr>
        <w:t>przedstawiciele</w:t>
      </w:r>
      <w:r w:rsidRPr="004C6CC5">
        <w:rPr>
          <w:rFonts w:ascii="Arial" w:hAnsi="Arial" w:cs="Arial"/>
          <w:sz w:val="20"/>
          <w:szCs w:val="20"/>
        </w:rPr>
        <w:t xml:space="preserve"> Straży Granicznej uczestniczyli</w:t>
      </w:r>
      <w:r w:rsidR="004C6CC5">
        <w:rPr>
          <w:rFonts w:ascii="Arial" w:hAnsi="Arial" w:cs="Arial"/>
          <w:sz w:val="20"/>
          <w:szCs w:val="20"/>
        </w:rPr>
        <w:t xml:space="preserve"> w </w:t>
      </w:r>
      <w:r w:rsidRPr="004C6CC5">
        <w:rPr>
          <w:rFonts w:ascii="Arial" w:hAnsi="Arial" w:cs="Arial"/>
          <w:sz w:val="20"/>
          <w:szCs w:val="20"/>
        </w:rPr>
        <w:t>następujących działaniach:</w:t>
      </w:r>
    </w:p>
    <w:p w14:paraId="0FDFB94B" w14:textId="395144A8" w:rsidR="00D226EE" w:rsidRPr="008950C5" w:rsidRDefault="008950C5" w:rsidP="008950C5">
      <w:pPr>
        <w:spacing w:after="120" w:line="276" w:lineRule="auto"/>
        <w:jc w:val="both"/>
        <w:rPr>
          <w:rFonts w:ascii="Arial" w:hAnsi="Arial" w:cs="Arial"/>
          <w:sz w:val="20"/>
          <w:szCs w:val="20"/>
        </w:rPr>
      </w:pPr>
      <w:r>
        <w:rPr>
          <w:rFonts w:ascii="Arial" w:hAnsi="Arial" w:cs="Arial"/>
          <w:sz w:val="20"/>
          <w:szCs w:val="20"/>
        </w:rPr>
        <w:t xml:space="preserve">- </w:t>
      </w:r>
      <w:r w:rsidR="00D226EE" w:rsidRPr="008950C5">
        <w:rPr>
          <w:rFonts w:ascii="Arial" w:hAnsi="Arial" w:cs="Arial"/>
          <w:sz w:val="20"/>
          <w:szCs w:val="20"/>
        </w:rPr>
        <w:t>warsztatach „A new European environmental commitment”, Lizbona/Portugalia</w:t>
      </w:r>
      <w:r>
        <w:rPr>
          <w:rFonts w:ascii="Arial" w:hAnsi="Arial" w:cs="Arial"/>
          <w:sz w:val="20"/>
          <w:szCs w:val="20"/>
        </w:rPr>
        <w:t xml:space="preserve"> </w:t>
      </w:r>
      <w:r w:rsidR="00D226EE" w:rsidRPr="008950C5">
        <w:rPr>
          <w:rFonts w:ascii="Arial" w:hAnsi="Arial" w:cs="Arial"/>
          <w:sz w:val="20"/>
          <w:szCs w:val="20"/>
        </w:rPr>
        <w:t>w dniach od 26 do 28 lutego 2019 r.;</w:t>
      </w:r>
    </w:p>
    <w:p w14:paraId="14D4207B" w14:textId="680A5E05" w:rsidR="00D226EE" w:rsidRPr="008950C5" w:rsidRDefault="008950C5" w:rsidP="008950C5">
      <w:pPr>
        <w:spacing w:after="120" w:line="276" w:lineRule="auto"/>
        <w:jc w:val="both"/>
        <w:rPr>
          <w:rFonts w:ascii="Arial" w:hAnsi="Arial" w:cs="Arial"/>
          <w:sz w:val="20"/>
          <w:szCs w:val="20"/>
        </w:rPr>
      </w:pPr>
      <w:r>
        <w:rPr>
          <w:rFonts w:ascii="Arial" w:hAnsi="Arial" w:cs="Arial"/>
          <w:sz w:val="20"/>
          <w:szCs w:val="20"/>
        </w:rPr>
        <w:t xml:space="preserve">- </w:t>
      </w:r>
      <w:r w:rsidR="00D226EE" w:rsidRPr="008950C5">
        <w:rPr>
          <w:rFonts w:ascii="Arial" w:hAnsi="Arial" w:cs="Arial"/>
          <w:sz w:val="20"/>
          <w:szCs w:val="20"/>
        </w:rPr>
        <w:t>warsztatach „Coast Guard functions in the framework of maritime security”, Rzym/Włochy</w:t>
      </w:r>
      <w:r w:rsidR="004C6CC5" w:rsidRPr="008950C5">
        <w:rPr>
          <w:rFonts w:ascii="Arial" w:hAnsi="Arial" w:cs="Arial"/>
          <w:sz w:val="20"/>
          <w:szCs w:val="20"/>
        </w:rPr>
        <w:t xml:space="preserve"> w </w:t>
      </w:r>
      <w:r w:rsidR="00D226EE" w:rsidRPr="008950C5">
        <w:rPr>
          <w:rFonts w:ascii="Arial" w:hAnsi="Arial" w:cs="Arial"/>
          <w:sz w:val="20"/>
          <w:szCs w:val="20"/>
        </w:rPr>
        <w:t xml:space="preserve">dniach </w:t>
      </w:r>
      <w:r w:rsidR="00C64E70">
        <w:rPr>
          <w:rFonts w:ascii="Arial" w:hAnsi="Arial" w:cs="Arial"/>
          <w:sz w:val="20"/>
          <w:szCs w:val="20"/>
        </w:rPr>
        <w:br/>
      </w:r>
      <w:r w:rsidR="00D226EE" w:rsidRPr="008950C5">
        <w:rPr>
          <w:rFonts w:ascii="Arial" w:hAnsi="Arial" w:cs="Arial"/>
          <w:sz w:val="20"/>
          <w:szCs w:val="20"/>
        </w:rPr>
        <w:t>od 2 do 4 kwietnia 2019 r.;</w:t>
      </w:r>
    </w:p>
    <w:p w14:paraId="28EEC4EF" w14:textId="3EFCD4A7" w:rsidR="00D226EE" w:rsidRPr="008950C5" w:rsidRDefault="008950C5" w:rsidP="008950C5">
      <w:pPr>
        <w:spacing w:after="120" w:line="276" w:lineRule="auto"/>
        <w:jc w:val="both"/>
        <w:rPr>
          <w:rFonts w:ascii="Arial" w:hAnsi="Arial" w:cs="Arial"/>
          <w:sz w:val="20"/>
          <w:szCs w:val="20"/>
        </w:rPr>
      </w:pPr>
      <w:r>
        <w:rPr>
          <w:rFonts w:ascii="Arial" w:hAnsi="Arial" w:cs="Arial"/>
          <w:sz w:val="20"/>
          <w:szCs w:val="20"/>
        </w:rPr>
        <w:t xml:space="preserve">- </w:t>
      </w:r>
      <w:r w:rsidR="00D226EE" w:rsidRPr="008950C5">
        <w:rPr>
          <w:rFonts w:ascii="Arial" w:hAnsi="Arial" w:cs="Arial"/>
          <w:sz w:val="20"/>
          <w:szCs w:val="20"/>
        </w:rPr>
        <w:t>warsztatach ECGFF</w:t>
      </w:r>
      <w:r w:rsidR="004C6CC5" w:rsidRPr="008950C5">
        <w:rPr>
          <w:rFonts w:ascii="Arial" w:hAnsi="Arial" w:cs="Arial"/>
          <w:sz w:val="20"/>
          <w:szCs w:val="20"/>
        </w:rPr>
        <w:t xml:space="preserve"> i </w:t>
      </w:r>
      <w:r w:rsidR="00D226EE" w:rsidRPr="008950C5">
        <w:rPr>
          <w:rFonts w:ascii="Arial" w:hAnsi="Arial" w:cs="Arial"/>
          <w:sz w:val="20"/>
          <w:szCs w:val="20"/>
        </w:rPr>
        <w:t>EFCA „Multipurpose Maritime Operation”, Katania/ Włochy</w:t>
      </w:r>
      <w:r w:rsidR="004C6CC5" w:rsidRPr="008950C5">
        <w:rPr>
          <w:rFonts w:ascii="Arial" w:hAnsi="Arial" w:cs="Arial"/>
          <w:sz w:val="20"/>
          <w:szCs w:val="20"/>
        </w:rPr>
        <w:t xml:space="preserve"> w </w:t>
      </w:r>
      <w:r w:rsidR="00D226EE" w:rsidRPr="008950C5">
        <w:rPr>
          <w:rFonts w:ascii="Arial" w:hAnsi="Arial" w:cs="Arial"/>
          <w:sz w:val="20"/>
          <w:szCs w:val="20"/>
        </w:rPr>
        <w:t>dniach od 3 do 5 czerwca 2019 r.;</w:t>
      </w:r>
    </w:p>
    <w:p w14:paraId="6B05CBC7" w14:textId="265904D3" w:rsidR="00D226EE" w:rsidRPr="008950C5" w:rsidRDefault="008950C5" w:rsidP="008950C5">
      <w:pPr>
        <w:spacing w:after="120" w:line="276" w:lineRule="auto"/>
        <w:jc w:val="both"/>
        <w:rPr>
          <w:rFonts w:ascii="Arial" w:hAnsi="Arial" w:cs="Arial"/>
          <w:sz w:val="20"/>
          <w:szCs w:val="20"/>
        </w:rPr>
      </w:pPr>
      <w:r>
        <w:rPr>
          <w:rFonts w:ascii="Arial" w:hAnsi="Arial" w:cs="Arial"/>
          <w:sz w:val="20"/>
          <w:szCs w:val="20"/>
        </w:rPr>
        <w:t xml:space="preserve">- </w:t>
      </w:r>
      <w:r w:rsidR="00D226EE" w:rsidRPr="008950C5">
        <w:rPr>
          <w:rFonts w:ascii="Arial" w:hAnsi="Arial" w:cs="Arial"/>
          <w:sz w:val="20"/>
          <w:szCs w:val="20"/>
        </w:rPr>
        <w:t>Konferencji Plenarnej, Wenecja/Włochy</w:t>
      </w:r>
      <w:r w:rsidR="004C6CC5" w:rsidRPr="008950C5">
        <w:rPr>
          <w:rFonts w:ascii="Arial" w:hAnsi="Arial" w:cs="Arial"/>
          <w:sz w:val="20"/>
          <w:szCs w:val="20"/>
        </w:rPr>
        <w:t xml:space="preserve"> w </w:t>
      </w:r>
      <w:r w:rsidR="00D226EE" w:rsidRPr="008950C5">
        <w:rPr>
          <w:rFonts w:ascii="Arial" w:hAnsi="Arial" w:cs="Arial"/>
          <w:sz w:val="20"/>
          <w:szCs w:val="20"/>
        </w:rPr>
        <w:t>dniach od 12 do 15 listopada 2019 r.</w:t>
      </w:r>
    </w:p>
    <w:p w14:paraId="58679205" w14:textId="12421F6B"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Ponadto, partycypowano</w:t>
      </w:r>
      <w:r w:rsidR="004C6CC5">
        <w:rPr>
          <w:rFonts w:ascii="Arial" w:hAnsi="Arial" w:cs="Arial"/>
          <w:sz w:val="20"/>
          <w:szCs w:val="20"/>
        </w:rPr>
        <w:t xml:space="preserve"> w </w:t>
      </w:r>
      <w:r w:rsidRPr="004C6CC5">
        <w:rPr>
          <w:rFonts w:ascii="Arial" w:hAnsi="Arial" w:cs="Arial"/>
          <w:sz w:val="20"/>
          <w:szCs w:val="20"/>
        </w:rPr>
        <w:t>opracowaniu podręcznika dotyczącego współpracy</w:t>
      </w:r>
      <w:r w:rsidR="004C6CC5">
        <w:rPr>
          <w:rFonts w:ascii="Arial" w:hAnsi="Arial" w:cs="Arial"/>
          <w:sz w:val="20"/>
          <w:szCs w:val="20"/>
        </w:rPr>
        <w:t xml:space="preserve"> w </w:t>
      </w:r>
      <w:r w:rsidRPr="004C6CC5">
        <w:rPr>
          <w:rFonts w:ascii="Arial" w:hAnsi="Arial" w:cs="Arial"/>
          <w:sz w:val="20"/>
          <w:szCs w:val="20"/>
        </w:rPr>
        <w:t>zakresie funkcji europejskiej straży przybrzeżnej (</w:t>
      </w:r>
      <w:r w:rsidR="005D4116">
        <w:rPr>
          <w:rFonts w:ascii="Arial" w:hAnsi="Arial" w:cs="Arial"/>
          <w:sz w:val="20"/>
          <w:szCs w:val="20"/>
        </w:rPr>
        <w:t>„</w:t>
      </w:r>
      <w:r w:rsidRPr="004C6CC5">
        <w:rPr>
          <w:rFonts w:ascii="Arial" w:hAnsi="Arial" w:cs="Arial"/>
          <w:sz w:val="20"/>
          <w:szCs w:val="20"/>
        </w:rPr>
        <w:t>Practical Handbook on European cooperation on coast guard functions</w:t>
      </w:r>
      <w:r w:rsidR="005D4116">
        <w:rPr>
          <w:rFonts w:ascii="Arial" w:hAnsi="Arial" w:cs="Arial"/>
          <w:sz w:val="20"/>
          <w:szCs w:val="20"/>
        </w:rPr>
        <w:t>”</w:t>
      </w:r>
      <w:r w:rsidRPr="004C6CC5">
        <w:rPr>
          <w:rFonts w:ascii="Arial" w:hAnsi="Arial" w:cs="Arial"/>
          <w:sz w:val="20"/>
          <w:szCs w:val="20"/>
        </w:rPr>
        <w:t>).</w:t>
      </w:r>
    </w:p>
    <w:p w14:paraId="1859A60E" w14:textId="6A455264" w:rsidR="00D226EE" w:rsidRPr="000F468A" w:rsidRDefault="00D226EE" w:rsidP="003C6ECA">
      <w:pPr>
        <w:pStyle w:val="Akapitzlist"/>
        <w:numPr>
          <w:ilvl w:val="0"/>
          <w:numId w:val="7"/>
        </w:numPr>
        <w:spacing w:after="120" w:line="276" w:lineRule="auto"/>
        <w:jc w:val="both"/>
        <w:rPr>
          <w:rFonts w:ascii="Arial" w:hAnsi="Arial" w:cs="Arial"/>
          <w:b/>
          <w:sz w:val="20"/>
          <w:szCs w:val="20"/>
        </w:rPr>
      </w:pPr>
      <w:r w:rsidRPr="000F468A">
        <w:rPr>
          <w:rFonts w:ascii="Arial" w:hAnsi="Arial" w:cs="Arial"/>
          <w:b/>
          <w:sz w:val="20"/>
          <w:szCs w:val="20"/>
        </w:rPr>
        <w:t>Współpraca</w:t>
      </w:r>
      <w:r w:rsidR="004C6CC5">
        <w:rPr>
          <w:rFonts w:ascii="Arial" w:hAnsi="Arial" w:cs="Arial"/>
          <w:b/>
          <w:sz w:val="20"/>
          <w:szCs w:val="20"/>
        </w:rPr>
        <w:t xml:space="preserve"> w </w:t>
      </w:r>
      <w:r w:rsidRPr="000F468A">
        <w:rPr>
          <w:rFonts w:ascii="Arial" w:hAnsi="Arial" w:cs="Arial"/>
          <w:b/>
          <w:sz w:val="20"/>
          <w:szCs w:val="20"/>
        </w:rPr>
        <w:t xml:space="preserve">ramach instytucji Pełnomocnika Granicznego RP Odcinka Bałtyckiego </w:t>
      </w:r>
    </w:p>
    <w:p w14:paraId="42443191" w14:textId="544135A8"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Współpracę</w:t>
      </w:r>
      <w:r w:rsidR="004C6CC5">
        <w:rPr>
          <w:rFonts w:ascii="Arial" w:hAnsi="Arial" w:cs="Arial"/>
          <w:sz w:val="20"/>
          <w:szCs w:val="20"/>
        </w:rPr>
        <w:t xml:space="preserve"> w </w:t>
      </w:r>
      <w:r w:rsidRPr="004C6CC5">
        <w:rPr>
          <w:rFonts w:ascii="Arial" w:hAnsi="Arial" w:cs="Arial"/>
          <w:sz w:val="20"/>
          <w:szCs w:val="20"/>
        </w:rPr>
        <w:t xml:space="preserve">ramach </w:t>
      </w:r>
      <w:r w:rsidR="002E3467">
        <w:rPr>
          <w:rFonts w:ascii="Arial" w:hAnsi="Arial" w:cs="Arial"/>
          <w:sz w:val="20"/>
          <w:szCs w:val="20"/>
        </w:rPr>
        <w:t>instytucji Pełnomocnika Granicznego</w:t>
      </w:r>
      <w:r w:rsidRPr="004C6CC5">
        <w:rPr>
          <w:rFonts w:ascii="Arial" w:hAnsi="Arial" w:cs="Arial"/>
          <w:sz w:val="20"/>
          <w:szCs w:val="20"/>
        </w:rPr>
        <w:t xml:space="preserve"> RP Odcinka Bałtyckiego</w:t>
      </w:r>
      <w:r w:rsidR="00E11052">
        <w:rPr>
          <w:rFonts w:ascii="Arial" w:hAnsi="Arial" w:cs="Arial"/>
          <w:sz w:val="20"/>
          <w:szCs w:val="20"/>
        </w:rPr>
        <w:t xml:space="preserve"> i FR </w:t>
      </w:r>
      <w:r w:rsidRPr="004C6CC5">
        <w:rPr>
          <w:rFonts w:ascii="Arial" w:hAnsi="Arial" w:cs="Arial"/>
          <w:sz w:val="20"/>
          <w:szCs w:val="20"/>
        </w:rPr>
        <w:t>Odcinka Kaliningradzkiego należy ocenić pozytywnie. Postanowienia Planu współdziałania obu słu</w:t>
      </w:r>
      <w:r w:rsidR="00F50F70">
        <w:rPr>
          <w:rFonts w:ascii="Arial" w:hAnsi="Arial" w:cs="Arial"/>
          <w:sz w:val="20"/>
          <w:szCs w:val="20"/>
        </w:rPr>
        <w:t xml:space="preserve">żb były realizowane na bieżąco. </w:t>
      </w:r>
      <w:r w:rsidRPr="004C6CC5">
        <w:rPr>
          <w:rFonts w:ascii="Arial" w:hAnsi="Arial" w:cs="Arial"/>
          <w:sz w:val="20"/>
          <w:szCs w:val="20"/>
        </w:rPr>
        <w:t>Spotkania robocze stron były wywoływane zgodnie</w:t>
      </w:r>
      <w:r w:rsidR="002B7C29">
        <w:rPr>
          <w:rFonts w:ascii="Arial" w:hAnsi="Arial" w:cs="Arial"/>
          <w:sz w:val="20"/>
          <w:szCs w:val="20"/>
        </w:rPr>
        <w:t xml:space="preserve"> z </w:t>
      </w:r>
      <w:r w:rsidRPr="004C6CC5">
        <w:rPr>
          <w:rFonts w:ascii="Arial" w:hAnsi="Arial" w:cs="Arial"/>
          <w:sz w:val="20"/>
          <w:szCs w:val="20"/>
        </w:rPr>
        <w:t>potrzebami wynikającymi</w:t>
      </w:r>
      <w:r w:rsidR="004C6CC5">
        <w:rPr>
          <w:rFonts w:ascii="Arial" w:hAnsi="Arial" w:cs="Arial"/>
          <w:sz w:val="20"/>
          <w:szCs w:val="20"/>
        </w:rPr>
        <w:t xml:space="preserve"> z </w:t>
      </w:r>
      <w:r w:rsidRPr="004C6CC5">
        <w:rPr>
          <w:rFonts w:ascii="Arial" w:hAnsi="Arial" w:cs="Arial"/>
          <w:sz w:val="20"/>
          <w:szCs w:val="20"/>
        </w:rPr>
        <w:t>bieżącej oceny sytuacji na wspólnie ochranianym odcinku granicy państwowej. Nie odnotowano utrudnień</w:t>
      </w:r>
      <w:r w:rsidR="004C6CC5">
        <w:rPr>
          <w:rFonts w:ascii="Arial" w:hAnsi="Arial" w:cs="Arial"/>
          <w:sz w:val="20"/>
          <w:szCs w:val="20"/>
        </w:rPr>
        <w:t xml:space="preserve"> w </w:t>
      </w:r>
      <w:r w:rsidRPr="004C6CC5">
        <w:rPr>
          <w:rFonts w:ascii="Arial" w:hAnsi="Arial" w:cs="Arial"/>
          <w:sz w:val="20"/>
          <w:szCs w:val="20"/>
        </w:rPr>
        <w:t>zakresie organizacji spotkań, które przebiegały sprawnie</w:t>
      </w:r>
      <w:r w:rsidR="00A05945">
        <w:rPr>
          <w:rFonts w:ascii="Arial" w:hAnsi="Arial" w:cs="Arial"/>
          <w:sz w:val="20"/>
          <w:szCs w:val="20"/>
        </w:rPr>
        <w:t xml:space="preserve"> i </w:t>
      </w:r>
      <w:r w:rsidRPr="004C6CC5">
        <w:rPr>
          <w:rFonts w:ascii="Arial" w:hAnsi="Arial" w:cs="Arial"/>
          <w:sz w:val="20"/>
          <w:szCs w:val="20"/>
        </w:rPr>
        <w:t>bez zakłóceń. Zgodnie</w:t>
      </w:r>
      <w:r w:rsidR="004C6CC5">
        <w:rPr>
          <w:rFonts w:ascii="Arial" w:hAnsi="Arial" w:cs="Arial"/>
          <w:sz w:val="20"/>
          <w:szCs w:val="20"/>
        </w:rPr>
        <w:t xml:space="preserve"> z </w:t>
      </w:r>
      <w:r w:rsidRPr="004C6CC5">
        <w:rPr>
          <w:rFonts w:ascii="Arial" w:hAnsi="Arial" w:cs="Arial"/>
          <w:sz w:val="20"/>
          <w:szCs w:val="20"/>
        </w:rPr>
        <w:t>zasadami współdziałania określonymi</w:t>
      </w:r>
      <w:r w:rsidR="004C6CC5">
        <w:rPr>
          <w:rFonts w:ascii="Arial" w:hAnsi="Arial" w:cs="Arial"/>
          <w:sz w:val="20"/>
          <w:szCs w:val="20"/>
        </w:rPr>
        <w:t xml:space="preserve"> w </w:t>
      </w:r>
      <w:r w:rsidRPr="004C6CC5">
        <w:rPr>
          <w:rFonts w:ascii="Arial" w:hAnsi="Arial" w:cs="Arial"/>
          <w:sz w:val="20"/>
          <w:szCs w:val="20"/>
        </w:rPr>
        <w:t>Protokole</w:t>
      </w:r>
      <w:r w:rsidR="004C6CC5">
        <w:rPr>
          <w:rFonts w:ascii="Arial" w:hAnsi="Arial" w:cs="Arial"/>
          <w:sz w:val="20"/>
          <w:szCs w:val="20"/>
        </w:rPr>
        <w:t xml:space="preserve"> z </w:t>
      </w:r>
      <w:r w:rsidRPr="004C6CC5">
        <w:rPr>
          <w:rFonts w:ascii="Arial" w:hAnsi="Arial" w:cs="Arial"/>
          <w:sz w:val="20"/>
          <w:szCs w:val="20"/>
        </w:rPr>
        <w:t>posiedzenia Pełnomocników Granicznych Stron prowadzona była wymiana informacji dotycząca zdarzeń na granicy państwowej związanych</w:t>
      </w:r>
      <w:r w:rsidR="00401499">
        <w:rPr>
          <w:rFonts w:ascii="Arial" w:hAnsi="Arial" w:cs="Arial"/>
          <w:sz w:val="20"/>
          <w:szCs w:val="20"/>
        </w:rPr>
        <w:t xml:space="preserve"> z jej ochroną. </w:t>
      </w:r>
      <w:r w:rsidRPr="004C6CC5">
        <w:rPr>
          <w:rFonts w:ascii="Arial" w:hAnsi="Arial" w:cs="Arial"/>
          <w:sz w:val="20"/>
          <w:szCs w:val="20"/>
        </w:rPr>
        <w:t>Utrzymywana była także bieżąca łączność pomiędzy jednostkami organizacyjnymi realizującymi bezpośrednie zadania</w:t>
      </w:r>
      <w:r w:rsidR="004C6CC5">
        <w:rPr>
          <w:rFonts w:ascii="Arial" w:hAnsi="Arial" w:cs="Arial"/>
          <w:sz w:val="20"/>
          <w:szCs w:val="20"/>
        </w:rPr>
        <w:t xml:space="preserve"> w </w:t>
      </w:r>
      <w:r w:rsidRPr="004C6CC5">
        <w:rPr>
          <w:rFonts w:ascii="Arial" w:hAnsi="Arial" w:cs="Arial"/>
          <w:sz w:val="20"/>
          <w:szCs w:val="20"/>
        </w:rPr>
        <w:t>ochronie morskiej (Zatoka Gdańska</w:t>
      </w:r>
      <w:r w:rsidR="004C6CC5">
        <w:rPr>
          <w:rFonts w:ascii="Arial" w:hAnsi="Arial" w:cs="Arial"/>
          <w:sz w:val="20"/>
          <w:szCs w:val="20"/>
        </w:rPr>
        <w:t xml:space="preserve"> i </w:t>
      </w:r>
      <w:r w:rsidRPr="004C6CC5">
        <w:rPr>
          <w:rFonts w:ascii="Arial" w:hAnsi="Arial" w:cs="Arial"/>
          <w:sz w:val="20"/>
          <w:szCs w:val="20"/>
        </w:rPr>
        <w:t>Zalew Wiślany)</w:t>
      </w:r>
      <w:r w:rsidR="004C6CC5">
        <w:rPr>
          <w:rFonts w:ascii="Arial" w:hAnsi="Arial" w:cs="Arial"/>
          <w:sz w:val="20"/>
          <w:szCs w:val="20"/>
        </w:rPr>
        <w:t xml:space="preserve"> i </w:t>
      </w:r>
      <w:r w:rsidRPr="004C6CC5">
        <w:rPr>
          <w:rFonts w:ascii="Arial" w:hAnsi="Arial" w:cs="Arial"/>
          <w:sz w:val="20"/>
          <w:szCs w:val="20"/>
        </w:rPr>
        <w:t>lądowej (Mierzeja Wiślana) granicy państwowej. Wymiana informacji była realizowana na stosunkowo wysokim poziomie</w:t>
      </w:r>
      <w:r w:rsidR="004C6CC5">
        <w:rPr>
          <w:rFonts w:ascii="Arial" w:hAnsi="Arial" w:cs="Arial"/>
          <w:sz w:val="20"/>
          <w:szCs w:val="20"/>
        </w:rPr>
        <w:t xml:space="preserve"> i </w:t>
      </w:r>
      <w:r w:rsidRPr="004C6CC5">
        <w:rPr>
          <w:rFonts w:ascii="Arial" w:hAnsi="Arial" w:cs="Arial"/>
          <w:sz w:val="20"/>
          <w:szCs w:val="20"/>
        </w:rPr>
        <w:t>nie odnotowano utrudnień</w:t>
      </w:r>
      <w:r w:rsidR="004C6CC5">
        <w:rPr>
          <w:rFonts w:ascii="Arial" w:hAnsi="Arial" w:cs="Arial"/>
          <w:sz w:val="20"/>
          <w:szCs w:val="20"/>
        </w:rPr>
        <w:t xml:space="preserve"> w </w:t>
      </w:r>
      <w:r w:rsidRPr="004C6CC5">
        <w:rPr>
          <w:rFonts w:ascii="Arial" w:hAnsi="Arial" w:cs="Arial"/>
          <w:sz w:val="20"/>
          <w:szCs w:val="20"/>
        </w:rPr>
        <w:t>tym zakresie.</w:t>
      </w:r>
    </w:p>
    <w:p w14:paraId="4D2E5048" w14:textId="62464523"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odbyły się dwa spotkania Pełnomocników Granicznych Stron, jedno spotkanie Zastępców Pełnomocników Granicznych Stron</w:t>
      </w:r>
      <w:r w:rsidR="004C6CC5">
        <w:rPr>
          <w:rFonts w:ascii="Arial" w:hAnsi="Arial" w:cs="Arial"/>
          <w:sz w:val="20"/>
          <w:szCs w:val="20"/>
        </w:rPr>
        <w:t xml:space="preserve"> i </w:t>
      </w:r>
      <w:r w:rsidRPr="004C6CC5">
        <w:rPr>
          <w:rFonts w:ascii="Arial" w:hAnsi="Arial" w:cs="Arial"/>
          <w:sz w:val="20"/>
          <w:szCs w:val="20"/>
        </w:rPr>
        <w:t>jedno spotkanie Pomocników Pełnomocników Granicznych Stron.</w:t>
      </w:r>
    </w:p>
    <w:p w14:paraId="2D80348B" w14:textId="656193C0"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Poza wspomnianą współpracą funkcjonariusze Straży Granicznej brali udział</w:t>
      </w:r>
      <w:r w:rsidR="004C6CC5">
        <w:rPr>
          <w:rFonts w:ascii="Arial" w:hAnsi="Arial" w:cs="Arial"/>
          <w:sz w:val="20"/>
          <w:szCs w:val="20"/>
        </w:rPr>
        <w:t xml:space="preserve"> w </w:t>
      </w:r>
      <w:r w:rsidRPr="004C6CC5">
        <w:rPr>
          <w:rFonts w:ascii="Arial" w:hAnsi="Arial" w:cs="Arial"/>
          <w:sz w:val="20"/>
          <w:szCs w:val="20"/>
        </w:rPr>
        <w:t xml:space="preserve">szeregu wydarzeń </w:t>
      </w:r>
      <w:r w:rsidR="0094584B">
        <w:rPr>
          <w:rFonts w:ascii="Arial" w:hAnsi="Arial" w:cs="Arial"/>
          <w:sz w:val="20"/>
          <w:szCs w:val="20"/>
        </w:rPr>
        <w:br/>
      </w:r>
      <w:r w:rsidRPr="004C6CC5">
        <w:rPr>
          <w:rFonts w:ascii="Arial" w:hAnsi="Arial" w:cs="Arial"/>
          <w:sz w:val="20"/>
          <w:szCs w:val="20"/>
        </w:rPr>
        <w:t>o charakterze międzynarodowym</w:t>
      </w:r>
      <w:r w:rsidR="0094584B">
        <w:rPr>
          <w:rFonts w:ascii="Arial" w:hAnsi="Arial" w:cs="Arial"/>
          <w:sz w:val="20"/>
          <w:szCs w:val="20"/>
        </w:rPr>
        <w:t>,</w:t>
      </w:r>
      <w:r w:rsidRPr="004C6CC5">
        <w:rPr>
          <w:rFonts w:ascii="Arial" w:hAnsi="Arial" w:cs="Arial"/>
          <w:sz w:val="20"/>
          <w:szCs w:val="20"/>
        </w:rPr>
        <w:t xml:space="preserve"> </w:t>
      </w:r>
      <w:r w:rsidR="0094584B">
        <w:rPr>
          <w:rFonts w:ascii="Arial" w:hAnsi="Arial" w:cs="Arial"/>
          <w:sz w:val="20"/>
          <w:szCs w:val="20"/>
        </w:rPr>
        <w:t>wśród</w:t>
      </w:r>
      <w:r w:rsidRPr="004C6CC5">
        <w:rPr>
          <w:rFonts w:ascii="Arial" w:hAnsi="Arial" w:cs="Arial"/>
          <w:sz w:val="20"/>
          <w:szCs w:val="20"/>
        </w:rPr>
        <w:t xml:space="preserve"> których wymienić należy :</w:t>
      </w:r>
    </w:p>
    <w:p w14:paraId="2A6C88BF" w14:textId="1BDAC4BF" w:rsidR="00D226EE" w:rsidRPr="004C6CC5" w:rsidRDefault="00D226EE" w:rsidP="003C6ECA">
      <w:pPr>
        <w:pStyle w:val="Akapitzlist"/>
        <w:numPr>
          <w:ilvl w:val="0"/>
          <w:numId w:val="11"/>
        </w:numPr>
        <w:spacing w:after="120" w:line="276" w:lineRule="auto"/>
        <w:jc w:val="both"/>
        <w:rPr>
          <w:rFonts w:ascii="Arial" w:hAnsi="Arial" w:cs="Arial"/>
          <w:sz w:val="20"/>
          <w:szCs w:val="20"/>
        </w:rPr>
      </w:pPr>
      <w:r w:rsidRPr="004C6CC5">
        <w:rPr>
          <w:rFonts w:ascii="Arial" w:hAnsi="Arial" w:cs="Arial"/>
          <w:sz w:val="20"/>
          <w:szCs w:val="20"/>
        </w:rPr>
        <w:t>udział</w:t>
      </w:r>
      <w:r w:rsidR="004C6CC5">
        <w:rPr>
          <w:rFonts w:ascii="Arial" w:hAnsi="Arial" w:cs="Arial"/>
          <w:sz w:val="20"/>
          <w:szCs w:val="20"/>
        </w:rPr>
        <w:t xml:space="preserve"> w </w:t>
      </w:r>
      <w:r w:rsidRPr="004C6CC5">
        <w:rPr>
          <w:rFonts w:ascii="Arial" w:hAnsi="Arial" w:cs="Arial"/>
          <w:sz w:val="20"/>
          <w:szCs w:val="20"/>
        </w:rPr>
        <w:t xml:space="preserve">spotkaniu </w:t>
      </w:r>
      <w:r w:rsidR="00AE007D">
        <w:rPr>
          <w:rFonts w:ascii="Arial" w:hAnsi="Arial" w:cs="Arial"/>
          <w:sz w:val="20"/>
          <w:szCs w:val="20"/>
        </w:rPr>
        <w:t>Cruise ship meeting, Kopenhaga/</w:t>
      </w:r>
      <w:r w:rsidRPr="004C6CC5">
        <w:rPr>
          <w:rFonts w:ascii="Arial" w:hAnsi="Arial" w:cs="Arial"/>
          <w:sz w:val="20"/>
          <w:szCs w:val="20"/>
        </w:rPr>
        <w:t>Dania</w:t>
      </w:r>
      <w:r w:rsidR="004C6CC5">
        <w:rPr>
          <w:rFonts w:ascii="Arial" w:hAnsi="Arial" w:cs="Arial"/>
          <w:sz w:val="20"/>
          <w:szCs w:val="20"/>
        </w:rPr>
        <w:t xml:space="preserve"> w </w:t>
      </w:r>
      <w:r w:rsidRPr="004C6CC5">
        <w:rPr>
          <w:rFonts w:ascii="Arial" w:hAnsi="Arial" w:cs="Arial"/>
          <w:sz w:val="20"/>
          <w:szCs w:val="20"/>
        </w:rPr>
        <w:t>dniu 29.01.2019 r.;</w:t>
      </w:r>
    </w:p>
    <w:p w14:paraId="20C6CF78" w14:textId="1DAC91FD" w:rsidR="00D226EE" w:rsidRPr="004C6CC5" w:rsidRDefault="00D226EE" w:rsidP="003C6ECA">
      <w:pPr>
        <w:pStyle w:val="Akapitzlist"/>
        <w:numPr>
          <w:ilvl w:val="0"/>
          <w:numId w:val="11"/>
        </w:numPr>
        <w:spacing w:after="120" w:line="276" w:lineRule="auto"/>
        <w:jc w:val="both"/>
        <w:rPr>
          <w:rFonts w:ascii="Arial" w:hAnsi="Arial" w:cs="Arial"/>
          <w:sz w:val="20"/>
          <w:szCs w:val="20"/>
        </w:rPr>
      </w:pPr>
      <w:r w:rsidRPr="004C6CC5">
        <w:rPr>
          <w:rFonts w:ascii="Arial" w:hAnsi="Arial" w:cs="Arial"/>
          <w:sz w:val="20"/>
          <w:szCs w:val="20"/>
        </w:rPr>
        <w:t>uczestniczono</w:t>
      </w:r>
      <w:r w:rsidR="004C6CC5">
        <w:rPr>
          <w:rFonts w:ascii="Arial" w:hAnsi="Arial" w:cs="Arial"/>
          <w:sz w:val="20"/>
          <w:szCs w:val="20"/>
        </w:rPr>
        <w:t xml:space="preserve"> w </w:t>
      </w:r>
      <w:r w:rsidRPr="004C6CC5">
        <w:rPr>
          <w:rFonts w:ascii="Arial" w:hAnsi="Arial" w:cs="Arial"/>
          <w:sz w:val="20"/>
          <w:szCs w:val="20"/>
        </w:rPr>
        <w:t>spotkaniach</w:t>
      </w:r>
      <w:r w:rsidR="004C6CC5">
        <w:rPr>
          <w:rFonts w:ascii="Arial" w:hAnsi="Arial" w:cs="Arial"/>
          <w:sz w:val="20"/>
          <w:szCs w:val="20"/>
        </w:rPr>
        <w:t xml:space="preserve"> w </w:t>
      </w:r>
      <w:r w:rsidRPr="004C6CC5">
        <w:rPr>
          <w:rFonts w:ascii="Arial" w:hAnsi="Arial" w:cs="Arial"/>
          <w:sz w:val="20"/>
          <w:szCs w:val="20"/>
        </w:rPr>
        <w:t>sprawie opracowania podręcznika nt. współpracy europejskiej</w:t>
      </w:r>
      <w:r w:rsidR="004C6CC5">
        <w:rPr>
          <w:rFonts w:ascii="Arial" w:hAnsi="Arial" w:cs="Arial"/>
          <w:sz w:val="20"/>
          <w:szCs w:val="20"/>
        </w:rPr>
        <w:t xml:space="preserve"> w </w:t>
      </w:r>
      <w:r w:rsidRPr="004C6CC5">
        <w:rPr>
          <w:rFonts w:ascii="Arial" w:hAnsi="Arial" w:cs="Arial"/>
          <w:sz w:val="20"/>
          <w:szCs w:val="20"/>
        </w:rPr>
        <w:t>zakresie funkcji straży przybrzeżnej, Vigo/ Hiszpania</w:t>
      </w:r>
      <w:r w:rsidR="004C6CC5">
        <w:rPr>
          <w:rFonts w:ascii="Arial" w:hAnsi="Arial" w:cs="Arial"/>
          <w:sz w:val="20"/>
          <w:szCs w:val="20"/>
        </w:rPr>
        <w:t xml:space="preserve"> w </w:t>
      </w:r>
      <w:r w:rsidRPr="004C6CC5">
        <w:rPr>
          <w:rFonts w:ascii="Arial" w:hAnsi="Arial" w:cs="Arial"/>
          <w:sz w:val="20"/>
          <w:szCs w:val="20"/>
        </w:rPr>
        <w:t>dniach 29.01.2019</w:t>
      </w:r>
      <w:r w:rsidR="009D01B9" w:rsidRPr="004C6CC5">
        <w:rPr>
          <w:rFonts w:ascii="Arial" w:hAnsi="Arial" w:cs="Arial"/>
          <w:sz w:val="20"/>
          <w:szCs w:val="20"/>
        </w:rPr>
        <w:t xml:space="preserve"> r. </w:t>
      </w:r>
      <w:r w:rsidRPr="004C6CC5">
        <w:rPr>
          <w:rFonts w:ascii="Arial" w:hAnsi="Arial" w:cs="Arial"/>
          <w:sz w:val="20"/>
          <w:szCs w:val="20"/>
        </w:rPr>
        <w:t>oraz 28.11.2019 r.;</w:t>
      </w:r>
    </w:p>
    <w:p w14:paraId="0611FE65" w14:textId="508BB52C" w:rsidR="00D226EE" w:rsidRPr="004C6CC5" w:rsidRDefault="00D226EE" w:rsidP="003C6ECA">
      <w:pPr>
        <w:pStyle w:val="Akapitzlist"/>
        <w:numPr>
          <w:ilvl w:val="0"/>
          <w:numId w:val="11"/>
        </w:numPr>
        <w:spacing w:after="120" w:line="276" w:lineRule="auto"/>
        <w:jc w:val="both"/>
        <w:rPr>
          <w:rFonts w:ascii="Arial" w:hAnsi="Arial" w:cs="Arial"/>
          <w:sz w:val="20"/>
          <w:szCs w:val="20"/>
        </w:rPr>
      </w:pPr>
      <w:r w:rsidRPr="004C6CC5">
        <w:rPr>
          <w:rFonts w:ascii="Arial" w:hAnsi="Arial" w:cs="Arial"/>
          <w:sz w:val="20"/>
          <w:szCs w:val="20"/>
        </w:rPr>
        <w:t>udział</w:t>
      </w:r>
      <w:r w:rsidR="003835C2">
        <w:rPr>
          <w:rFonts w:ascii="Arial" w:hAnsi="Arial" w:cs="Arial"/>
          <w:sz w:val="20"/>
          <w:szCs w:val="20"/>
        </w:rPr>
        <w:t xml:space="preserve"> w 43 </w:t>
      </w:r>
      <w:r w:rsidRPr="004C6CC5">
        <w:rPr>
          <w:rFonts w:ascii="Arial" w:hAnsi="Arial" w:cs="Arial"/>
          <w:sz w:val="20"/>
          <w:szCs w:val="20"/>
        </w:rPr>
        <w:t>sesji Komitetu Ułatwień (FAL) oraz</w:t>
      </w:r>
      <w:r w:rsidR="004C6CC5">
        <w:rPr>
          <w:rFonts w:ascii="Arial" w:hAnsi="Arial" w:cs="Arial"/>
          <w:sz w:val="20"/>
          <w:szCs w:val="20"/>
        </w:rPr>
        <w:t xml:space="preserve"> w </w:t>
      </w:r>
      <w:r w:rsidRPr="004C6CC5">
        <w:rPr>
          <w:rFonts w:ascii="Arial" w:hAnsi="Arial" w:cs="Arial"/>
          <w:sz w:val="20"/>
          <w:szCs w:val="20"/>
        </w:rPr>
        <w:t>pracach powołanych na sesji Grup Roboczych/Redakcyjnych,</w:t>
      </w:r>
      <w:r w:rsidR="004C6CC5">
        <w:rPr>
          <w:rFonts w:ascii="Arial" w:hAnsi="Arial" w:cs="Arial"/>
          <w:sz w:val="20"/>
          <w:szCs w:val="20"/>
        </w:rPr>
        <w:t xml:space="preserve"> </w:t>
      </w:r>
      <w:r w:rsidR="00AE007D" w:rsidRPr="004C6CC5">
        <w:rPr>
          <w:rFonts w:ascii="Arial" w:hAnsi="Arial" w:cs="Arial"/>
          <w:sz w:val="20"/>
          <w:szCs w:val="20"/>
        </w:rPr>
        <w:t xml:space="preserve">International Maritime Organization </w:t>
      </w:r>
      <w:r w:rsidR="00AE007D">
        <w:rPr>
          <w:rFonts w:ascii="Arial" w:hAnsi="Arial" w:cs="Arial"/>
          <w:sz w:val="20"/>
          <w:szCs w:val="20"/>
        </w:rPr>
        <w:t>(IMO</w:t>
      </w:r>
      <w:r w:rsidRPr="004C6CC5">
        <w:rPr>
          <w:rFonts w:ascii="Arial" w:hAnsi="Arial" w:cs="Arial"/>
          <w:sz w:val="20"/>
          <w:szCs w:val="20"/>
        </w:rPr>
        <w:t>)</w:t>
      </w:r>
      <w:r w:rsidR="004C6CC5">
        <w:rPr>
          <w:rFonts w:ascii="Arial" w:hAnsi="Arial" w:cs="Arial"/>
          <w:sz w:val="20"/>
          <w:szCs w:val="20"/>
        </w:rPr>
        <w:t xml:space="preserve"> </w:t>
      </w:r>
      <w:r w:rsidR="003835C2">
        <w:rPr>
          <w:rFonts w:ascii="Arial" w:hAnsi="Arial" w:cs="Arial"/>
          <w:sz w:val="20"/>
          <w:szCs w:val="20"/>
        </w:rPr>
        <w:t>w </w:t>
      </w:r>
      <w:r w:rsidR="003835C2" w:rsidRPr="004C6CC5">
        <w:rPr>
          <w:rFonts w:ascii="Arial" w:hAnsi="Arial" w:cs="Arial"/>
          <w:sz w:val="20"/>
          <w:szCs w:val="20"/>
        </w:rPr>
        <w:t xml:space="preserve">siedzibie </w:t>
      </w:r>
      <w:r w:rsidR="004C6CC5">
        <w:rPr>
          <w:rFonts w:ascii="Arial" w:hAnsi="Arial" w:cs="Arial"/>
          <w:sz w:val="20"/>
          <w:szCs w:val="20"/>
        </w:rPr>
        <w:t>w </w:t>
      </w:r>
      <w:r w:rsidRPr="004C6CC5">
        <w:rPr>
          <w:rFonts w:ascii="Arial" w:hAnsi="Arial" w:cs="Arial"/>
          <w:sz w:val="20"/>
          <w:szCs w:val="20"/>
        </w:rPr>
        <w:t>Londynie</w:t>
      </w:r>
      <w:r w:rsidR="004C6CC5">
        <w:rPr>
          <w:rFonts w:ascii="Arial" w:hAnsi="Arial" w:cs="Arial"/>
          <w:sz w:val="20"/>
          <w:szCs w:val="20"/>
        </w:rPr>
        <w:t xml:space="preserve"> w </w:t>
      </w:r>
      <w:r w:rsidR="00AE007D">
        <w:rPr>
          <w:rFonts w:ascii="Arial" w:hAnsi="Arial" w:cs="Arial"/>
          <w:sz w:val="20"/>
          <w:szCs w:val="20"/>
        </w:rPr>
        <w:t xml:space="preserve">dniach od 8 </w:t>
      </w:r>
      <w:r w:rsidR="00845AE1">
        <w:rPr>
          <w:rFonts w:ascii="Arial" w:hAnsi="Arial" w:cs="Arial"/>
          <w:sz w:val="20"/>
          <w:szCs w:val="20"/>
        </w:rPr>
        <w:t>-</w:t>
      </w:r>
      <w:r w:rsidR="00AE007D">
        <w:rPr>
          <w:rFonts w:ascii="Arial" w:hAnsi="Arial" w:cs="Arial"/>
          <w:sz w:val="20"/>
          <w:szCs w:val="20"/>
        </w:rPr>
        <w:t xml:space="preserve"> 12.04.</w:t>
      </w:r>
      <w:r w:rsidRPr="004C6CC5">
        <w:rPr>
          <w:rFonts w:ascii="Arial" w:hAnsi="Arial" w:cs="Arial"/>
          <w:sz w:val="20"/>
          <w:szCs w:val="20"/>
        </w:rPr>
        <w:t>2019 r.;</w:t>
      </w:r>
    </w:p>
    <w:p w14:paraId="7B592D53" w14:textId="0B0A6F74" w:rsidR="00D226EE" w:rsidRPr="004C6CC5" w:rsidRDefault="00D226EE" w:rsidP="003C6ECA">
      <w:pPr>
        <w:pStyle w:val="Akapitzlist"/>
        <w:numPr>
          <w:ilvl w:val="0"/>
          <w:numId w:val="11"/>
        </w:numPr>
        <w:spacing w:after="120" w:line="276" w:lineRule="auto"/>
        <w:jc w:val="both"/>
        <w:rPr>
          <w:rFonts w:ascii="Arial" w:hAnsi="Arial" w:cs="Arial"/>
          <w:sz w:val="20"/>
          <w:szCs w:val="20"/>
        </w:rPr>
      </w:pPr>
      <w:r w:rsidRPr="004C6CC5">
        <w:rPr>
          <w:rFonts w:ascii="Arial" w:hAnsi="Arial" w:cs="Arial"/>
          <w:sz w:val="20"/>
          <w:szCs w:val="20"/>
        </w:rPr>
        <w:lastRenderedPageBreak/>
        <w:t>międzynarodowa wizyta prokuratorów ENPRO (Sieci Prokuratorów do Spraw Przestępczości Przeciwko Środowisku Naturalnemu Państw Regionu Morza Bałtyckiego),</w:t>
      </w:r>
      <w:r w:rsidR="00330F30">
        <w:rPr>
          <w:rFonts w:ascii="Arial" w:hAnsi="Arial" w:cs="Arial"/>
          <w:sz w:val="20"/>
          <w:szCs w:val="20"/>
        </w:rPr>
        <w:t xml:space="preserve"> z </w:t>
      </w:r>
      <w:r w:rsidRPr="004C6CC5">
        <w:rPr>
          <w:rFonts w:ascii="Arial" w:hAnsi="Arial" w:cs="Arial"/>
          <w:sz w:val="20"/>
          <w:szCs w:val="20"/>
        </w:rPr>
        <w:t>udziałem 11 przedstawicieli</w:t>
      </w:r>
      <w:r w:rsidR="00330F30">
        <w:rPr>
          <w:rFonts w:ascii="Arial" w:hAnsi="Arial" w:cs="Arial"/>
          <w:sz w:val="20"/>
          <w:szCs w:val="20"/>
        </w:rPr>
        <w:t xml:space="preserve"> </w:t>
      </w:r>
      <w:r w:rsidRPr="004C6CC5">
        <w:rPr>
          <w:rFonts w:ascii="Arial" w:hAnsi="Arial" w:cs="Arial"/>
          <w:sz w:val="20"/>
          <w:szCs w:val="20"/>
        </w:rPr>
        <w:t>państw członkowskich</w:t>
      </w:r>
      <w:r w:rsidR="004C6CC5">
        <w:rPr>
          <w:rFonts w:ascii="Arial" w:hAnsi="Arial" w:cs="Arial"/>
          <w:sz w:val="20"/>
          <w:szCs w:val="20"/>
        </w:rPr>
        <w:t xml:space="preserve"> w </w:t>
      </w:r>
      <w:r w:rsidRPr="004C6CC5">
        <w:rPr>
          <w:rFonts w:ascii="Arial" w:hAnsi="Arial" w:cs="Arial"/>
          <w:sz w:val="20"/>
          <w:szCs w:val="20"/>
        </w:rPr>
        <w:t>dniu 11.06.2019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Morskim Oddziale Straży Granicznej;</w:t>
      </w:r>
    </w:p>
    <w:p w14:paraId="272CB1AE" w14:textId="0508465E" w:rsidR="00D226EE" w:rsidRPr="004C6CC5" w:rsidRDefault="00D226EE" w:rsidP="003C6ECA">
      <w:pPr>
        <w:pStyle w:val="Akapitzlist"/>
        <w:numPr>
          <w:ilvl w:val="0"/>
          <w:numId w:val="11"/>
        </w:numPr>
        <w:spacing w:after="120" w:line="276" w:lineRule="auto"/>
        <w:jc w:val="both"/>
        <w:rPr>
          <w:rFonts w:ascii="Arial" w:hAnsi="Arial" w:cs="Arial"/>
          <w:sz w:val="20"/>
          <w:szCs w:val="20"/>
        </w:rPr>
      </w:pPr>
      <w:r w:rsidRPr="004C6CC5">
        <w:rPr>
          <w:rFonts w:ascii="Arial" w:hAnsi="Arial" w:cs="Arial"/>
          <w:sz w:val="20"/>
          <w:szCs w:val="20"/>
        </w:rPr>
        <w:t>wizyta robocza Doradcy ds. Mor</w:t>
      </w:r>
      <w:r w:rsidR="00B45AA1">
        <w:rPr>
          <w:rFonts w:ascii="Arial" w:hAnsi="Arial" w:cs="Arial"/>
          <w:sz w:val="20"/>
          <w:szCs w:val="20"/>
        </w:rPr>
        <w:t xml:space="preserve">skich Programu EXBS na Ukrainie w </w:t>
      </w:r>
      <w:r w:rsidR="00A05C77">
        <w:rPr>
          <w:rFonts w:ascii="Arial" w:hAnsi="Arial" w:cs="Arial"/>
          <w:sz w:val="20"/>
          <w:szCs w:val="20"/>
        </w:rPr>
        <w:t xml:space="preserve">dniach od 17 do </w:t>
      </w:r>
      <w:r w:rsidR="004F7AC4">
        <w:rPr>
          <w:rFonts w:ascii="Arial" w:hAnsi="Arial" w:cs="Arial"/>
          <w:sz w:val="20"/>
          <w:szCs w:val="20"/>
        </w:rPr>
        <w:br/>
      </w:r>
      <w:r w:rsidR="00A05C77">
        <w:rPr>
          <w:rFonts w:ascii="Arial" w:hAnsi="Arial" w:cs="Arial"/>
          <w:sz w:val="20"/>
          <w:szCs w:val="20"/>
        </w:rPr>
        <w:t xml:space="preserve">20.09.2020 r. </w:t>
      </w:r>
      <w:r w:rsidR="004C6CC5">
        <w:rPr>
          <w:rFonts w:ascii="Arial" w:hAnsi="Arial" w:cs="Arial"/>
          <w:sz w:val="20"/>
          <w:szCs w:val="20"/>
        </w:rPr>
        <w:t>w </w:t>
      </w:r>
      <w:r w:rsidRPr="004C6CC5">
        <w:rPr>
          <w:rFonts w:ascii="Arial" w:hAnsi="Arial" w:cs="Arial"/>
          <w:sz w:val="20"/>
          <w:szCs w:val="20"/>
        </w:rPr>
        <w:t>Morskim Oddziale Straży Granicznej - spotkanie poświęcone omówieniu struktury Morskiego Oddziału Straży Granicznej</w:t>
      </w:r>
      <w:r w:rsidR="00845AE1">
        <w:rPr>
          <w:rFonts w:ascii="Arial" w:hAnsi="Arial" w:cs="Arial"/>
          <w:sz w:val="20"/>
          <w:szCs w:val="20"/>
        </w:rPr>
        <w:t>,</w:t>
      </w:r>
      <w:r w:rsidRPr="004C6CC5">
        <w:rPr>
          <w:rFonts w:ascii="Arial" w:hAnsi="Arial" w:cs="Arial"/>
          <w:sz w:val="20"/>
          <w:szCs w:val="20"/>
        </w:rPr>
        <w:t xml:space="preserve"> ze szczególnym uwzględnieniem dywizjonów, ich zadań oraz uprawnień na polskich obszarach morskich. Zaprezentowane zostały jednostki pływające Straży Granicznej</w:t>
      </w:r>
      <w:r w:rsidR="00F6710B">
        <w:rPr>
          <w:rFonts w:ascii="Arial" w:hAnsi="Arial" w:cs="Arial"/>
          <w:sz w:val="20"/>
          <w:szCs w:val="20"/>
        </w:rPr>
        <w:t xml:space="preserve">, a także </w:t>
      </w:r>
      <w:r w:rsidRPr="004C6CC5">
        <w:rPr>
          <w:rFonts w:ascii="Arial" w:hAnsi="Arial" w:cs="Arial"/>
          <w:sz w:val="20"/>
          <w:szCs w:val="20"/>
        </w:rPr>
        <w:t>omówiono proces szkolenia grup kontrolnych jednostek pływających Straży Granicznej;</w:t>
      </w:r>
    </w:p>
    <w:p w14:paraId="0BA3FEBF" w14:textId="5CB5E207" w:rsidR="00D226EE" w:rsidRPr="004C6CC5" w:rsidRDefault="00D226EE" w:rsidP="003C6ECA">
      <w:pPr>
        <w:pStyle w:val="Akapitzlist"/>
        <w:numPr>
          <w:ilvl w:val="0"/>
          <w:numId w:val="11"/>
        </w:numPr>
        <w:spacing w:after="120" w:line="276" w:lineRule="auto"/>
        <w:jc w:val="both"/>
        <w:rPr>
          <w:rFonts w:ascii="Arial" w:hAnsi="Arial" w:cs="Arial"/>
          <w:sz w:val="20"/>
          <w:szCs w:val="20"/>
        </w:rPr>
      </w:pPr>
      <w:r w:rsidRPr="004C6CC5">
        <w:rPr>
          <w:rFonts w:ascii="Arial" w:hAnsi="Arial" w:cs="Arial"/>
          <w:sz w:val="20"/>
          <w:szCs w:val="20"/>
        </w:rPr>
        <w:t>polsko - niemieckie ćwiczenie</w:t>
      </w:r>
      <w:r w:rsidR="004C6CC5">
        <w:rPr>
          <w:rFonts w:ascii="Arial" w:hAnsi="Arial" w:cs="Arial"/>
          <w:sz w:val="20"/>
          <w:szCs w:val="20"/>
        </w:rPr>
        <w:t xml:space="preserve"> z </w:t>
      </w:r>
      <w:r w:rsidRPr="004C6CC5">
        <w:rPr>
          <w:rFonts w:ascii="Arial" w:hAnsi="Arial" w:cs="Arial"/>
          <w:sz w:val="20"/>
          <w:szCs w:val="20"/>
        </w:rPr>
        <w:t>zakresu zwalczania zagrożeń chemicznych</w:t>
      </w:r>
      <w:r w:rsidR="004C6CC5">
        <w:rPr>
          <w:rFonts w:ascii="Arial" w:hAnsi="Arial" w:cs="Arial"/>
          <w:sz w:val="20"/>
          <w:szCs w:val="20"/>
        </w:rPr>
        <w:t xml:space="preserve"> i </w:t>
      </w:r>
      <w:r w:rsidRPr="004C6CC5">
        <w:rPr>
          <w:rFonts w:ascii="Arial" w:hAnsi="Arial" w:cs="Arial"/>
          <w:sz w:val="20"/>
          <w:szCs w:val="20"/>
        </w:rPr>
        <w:t>olejowych na morzu pk. POLGER 2019</w:t>
      </w:r>
      <w:r w:rsidR="004C6CC5">
        <w:rPr>
          <w:rFonts w:ascii="Arial" w:hAnsi="Arial" w:cs="Arial"/>
          <w:sz w:val="20"/>
          <w:szCs w:val="20"/>
        </w:rPr>
        <w:t xml:space="preserve"> w </w:t>
      </w:r>
      <w:r w:rsidRPr="004C6CC5">
        <w:rPr>
          <w:rFonts w:ascii="Arial" w:hAnsi="Arial" w:cs="Arial"/>
          <w:sz w:val="20"/>
          <w:szCs w:val="20"/>
        </w:rPr>
        <w:t>dniu 25.09.2019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Świnoujściu;</w:t>
      </w:r>
    </w:p>
    <w:p w14:paraId="2D70AC58" w14:textId="6774FFE1" w:rsidR="00D226EE" w:rsidRDefault="00D226EE" w:rsidP="003C6ECA">
      <w:pPr>
        <w:pStyle w:val="Akapitzlist"/>
        <w:numPr>
          <w:ilvl w:val="0"/>
          <w:numId w:val="11"/>
        </w:numPr>
        <w:spacing w:after="120" w:line="276" w:lineRule="auto"/>
        <w:jc w:val="both"/>
        <w:rPr>
          <w:rFonts w:ascii="Arial" w:hAnsi="Arial" w:cs="Arial"/>
          <w:sz w:val="20"/>
          <w:szCs w:val="20"/>
        </w:rPr>
      </w:pPr>
      <w:r w:rsidRPr="004C6CC5">
        <w:rPr>
          <w:rFonts w:ascii="Arial" w:hAnsi="Arial" w:cs="Arial"/>
          <w:sz w:val="20"/>
          <w:szCs w:val="20"/>
        </w:rPr>
        <w:t>spotkanie Coast Guard Global Summit Working Level Meeting 2019</w:t>
      </w:r>
      <w:r w:rsidR="004C6CC5">
        <w:rPr>
          <w:rFonts w:ascii="Arial" w:hAnsi="Arial" w:cs="Arial"/>
          <w:sz w:val="20"/>
          <w:szCs w:val="20"/>
        </w:rPr>
        <w:t xml:space="preserve"> w </w:t>
      </w:r>
      <w:r w:rsidR="00B63010">
        <w:rPr>
          <w:rFonts w:ascii="Arial" w:hAnsi="Arial" w:cs="Arial"/>
          <w:sz w:val="20"/>
          <w:szCs w:val="20"/>
        </w:rPr>
        <w:t xml:space="preserve">dniach od 19 </w:t>
      </w:r>
      <w:r w:rsidR="005518AC">
        <w:rPr>
          <w:rFonts w:ascii="Arial" w:hAnsi="Arial" w:cs="Arial"/>
          <w:sz w:val="20"/>
          <w:szCs w:val="20"/>
        </w:rPr>
        <w:t>-</w:t>
      </w:r>
      <w:r w:rsidR="00B63010">
        <w:rPr>
          <w:rFonts w:ascii="Arial" w:hAnsi="Arial" w:cs="Arial"/>
          <w:sz w:val="20"/>
          <w:szCs w:val="20"/>
        </w:rPr>
        <w:t xml:space="preserve"> 22.11.</w:t>
      </w:r>
      <w:r w:rsidRPr="004C6CC5">
        <w:rPr>
          <w:rFonts w:ascii="Arial" w:hAnsi="Arial" w:cs="Arial"/>
          <w:sz w:val="20"/>
          <w:szCs w:val="20"/>
        </w:rPr>
        <w:t>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To</w:t>
      </w:r>
      <w:r w:rsidR="00B63010">
        <w:rPr>
          <w:rFonts w:ascii="Arial" w:hAnsi="Arial" w:cs="Arial"/>
          <w:sz w:val="20"/>
          <w:szCs w:val="20"/>
        </w:rPr>
        <w:t>kio</w:t>
      </w:r>
      <w:r w:rsidRPr="004C6CC5">
        <w:rPr>
          <w:rFonts w:ascii="Arial" w:hAnsi="Arial" w:cs="Arial"/>
          <w:sz w:val="20"/>
          <w:szCs w:val="20"/>
        </w:rPr>
        <w:t>/Japonia;</w:t>
      </w:r>
    </w:p>
    <w:p w14:paraId="56908655" w14:textId="3BE601B8" w:rsidR="00D226EE" w:rsidRPr="001E3FEC" w:rsidRDefault="001E3FEC" w:rsidP="003C6ECA">
      <w:pPr>
        <w:pStyle w:val="Akapitzlist"/>
        <w:numPr>
          <w:ilvl w:val="0"/>
          <w:numId w:val="11"/>
        </w:numPr>
        <w:spacing w:after="120" w:line="276" w:lineRule="auto"/>
        <w:jc w:val="both"/>
        <w:rPr>
          <w:rFonts w:ascii="Arial" w:hAnsi="Arial" w:cs="Arial"/>
          <w:sz w:val="20"/>
          <w:szCs w:val="20"/>
        </w:rPr>
      </w:pPr>
      <w:r>
        <w:rPr>
          <w:rFonts w:ascii="Arial" w:hAnsi="Arial" w:cs="Arial"/>
          <w:sz w:val="20"/>
          <w:szCs w:val="20"/>
        </w:rPr>
        <w:t xml:space="preserve">dwa </w:t>
      </w:r>
      <w:r w:rsidR="00D226EE" w:rsidRPr="001E3FEC">
        <w:rPr>
          <w:rFonts w:ascii="Arial" w:hAnsi="Arial" w:cs="Arial"/>
          <w:sz w:val="20"/>
          <w:szCs w:val="20"/>
        </w:rPr>
        <w:t>spotkania Grupy Zadaniowej Państw Morza Bałtyckiego ds. Zwalczania Przestępczości Zorganizowanej (BSTF),</w:t>
      </w:r>
      <w:r w:rsidR="00251603">
        <w:rPr>
          <w:rFonts w:ascii="Arial" w:hAnsi="Arial" w:cs="Arial"/>
          <w:sz w:val="20"/>
          <w:szCs w:val="20"/>
        </w:rPr>
        <w:t xml:space="preserve"> w </w:t>
      </w:r>
      <w:r w:rsidR="00D226EE" w:rsidRPr="001E3FEC">
        <w:rPr>
          <w:rFonts w:ascii="Arial" w:hAnsi="Arial" w:cs="Arial"/>
          <w:sz w:val="20"/>
          <w:szCs w:val="20"/>
        </w:rPr>
        <w:t>skład której wchodzą: Niemcy, Estonia, Islandia, Finlandia, Dania, Łotwa, Litwa, Szwecja, Norwegia, Rosja, Polska oraz przedstawiciele EUROPOL-u, Interpolu</w:t>
      </w:r>
      <w:r w:rsidR="004C6CC5" w:rsidRPr="001E3FEC">
        <w:rPr>
          <w:rFonts w:ascii="Arial" w:hAnsi="Arial" w:cs="Arial"/>
          <w:sz w:val="20"/>
          <w:szCs w:val="20"/>
        </w:rPr>
        <w:t xml:space="preserve"> i </w:t>
      </w:r>
      <w:r w:rsidR="00D226EE" w:rsidRPr="001E3FEC">
        <w:rPr>
          <w:rFonts w:ascii="Arial" w:hAnsi="Arial" w:cs="Arial"/>
          <w:sz w:val="20"/>
          <w:szCs w:val="20"/>
        </w:rPr>
        <w:t>Sekretariatu Rady Państw Morza Bałtyckiego (CBSS). Ze strony Polski zespołowi przewodniczy krajowy koordynator</w:t>
      </w:r>
      <w:r w:rsidR="004C6CC5" w:rsidRPr="001E3FEC">
        <w:rPr>
          <w:rFonts w:ascii="Arial" w:hAnsi="Arial" w:cs="Arial"/>
          <w:sz w:val="20"/>
          <w:szCs w:val="20"/>
        </w:rPr>
        <w:t xml:space="preserve"> z </w:t>
      </w:r>
      <w:r w:rsidR="00D226EE" w:rsidRPr="001E3FEC">
        <w:rPr>
          <w:rFonts w:ascii="Arial" w:hAnsi="Arial" w:cs="Arial"/>
          <w:sz w:val="20"/>
          <w:szCs w:val="20"/>
        </w:rPr>
        <w:t>Komendy Głównej Policji.</w:t>
      </w:r>
      <w:r w:rsidR="00835174">
        <w:rPr>
          <w:rFonts w:ascii="Arial" w:hAnsi="Arial" w:cs="Arial"/>
          <w:sz w:val="20"/>
          <w:szCs w:val="20"/>
        </w:rPr>
        <w:t xml:space="preserve"> W</w:t>
      </w:r>
      <w:r w:rsidR="004C6CC5" w:rsidRPr="001E3FEC">
        <w:rPr>
          <w:rFonts w:ascii="Arial" w:hAnsi="Arial" w:cs="Arial"/>
          <w:sz w:val="20"/>
          <w:szCs w:val="20"/>
        </w:rPr>
        <w:t> </w:t>
      </w:r>
      <w:r w:rsidR="00D226EE" w:rsidRPr="001E3FEC">
        <w:rPr>
          <w:rFonts w:ascii="Arial" w:hAnsi="Arial" w:cs="Arial"/>
          <w:sz w:val="20"/>
          <w:szCs w:val="20"/>
        </w:rPr>
        <w:t xml:space="preserve">skład delegacji wchodzi również przedstawiciel </w:t>
      </w:r>
      <w:r w:rsidR="009E3E3F" w:rsidRPr="001E3FEC">
        <w:rPr>
          <w:rFonts w:ascii="Arial" w:hAnsi="Arial" w:cs="Arial"/>
          <w:sz w:val="20"/>
          <w:szCs w:val="20"/>
        </w:rPr>
        <w:t xml:space="preserve">Departamentu Zwalczania Przestępczości Ekonomicznej </w:t>
      </w:r>
      <w:r w:rsidR="00D226EE" w:rsidRPr="001E3FEC">
        <w:rPr>
          <w:rFonts w:ascii="Arial" w:hAnsi="Arial" w:cs="Arial"/>
          <w:sz w:val="20"/>
          <w:szCs w:val="20"/>
        </w:rPr>
        <w:t>Ministerstwa Finansów. BSTF zajmuje się problematyką dotyczącą walki</w:t>
      </w:r>
      <w:r w:rsidR="004C6CC5" w:rsidRPr="001E3FEC">
        <w:rPr>
          <w:rFonts w:ascii="Arial" w:hAnsi="Arial" w:cs="Arial"/>
          <w:sz w:val="20"/>
          <w:szCs w:val="20"/>
        </w:rPr>
        <w:t xml:space="preserve"> z </w:t>
      </w:r>
      <w:r w:rsidR="00D226EE" w:rsidRPr="001E3FEC">
        <w:rPr>
          <w:rFonts w:ascii="Arial" w:hAnsi="Arial" w:cs="Arial"/>
          <w:sz w:val="20"/>
          <w:szCs w:val="20"/>
        </w:rPr>
        <w:t>przestępczością zorganizowaną</w:t>
      </w:r>
      <w:r w:rsidR="00F6710B">
        <w:rPr>
          <w:rFonts w:ascii="Arial" w:hAnsi="Arial" w:cs="Arial"/>
          <w:sz w:val="20"/>
          <w:szCs w:val="20"/>
        </w:rPr>
        <w:t xml:space="preserve"> w </w:t>
      </w:r>
      <w:r w:rsidR="00D226EE" w:rsidRPr="001E3FEC">
        <w:rPr>
          <w:rFonts w:ascii="Arial" w:hAnsi="Arial" w:cs="Arial"/>
          <w:sz w:val="20"/>
          <w:szCs w:val="20"/>
        </w:rPr>
        <w:t>państwach regionu, której priorytetem jest zwalczanie nielegalnego handlu narkotykami oraz przeciwdziałanie nielegalnej migracji.</w:t>
      </w:r>
      <w:r w:rsidR="00835174">
        <w:rPr>
          <w:rFonts w:ascii="Arial" w:hAnsi="Arial" w:cs="Arial"/>
          <w:sz w:val="20"/>
          <w:szCs w:val="20"/>
        </w:rPr>
        <w:t xml:space="preserve"> W</w:t>
      </w:r>
      <w:r w:rsidR="004C6CC5" w:rsidRPr="001E3FEC">
        <w:rPr>
          <w:rFonts w:ascii="Arial" w:hAnsi="Arial" w:cs="Arial"/>
          <w:sz w:val="20"/>
          <w:szCs w:val="20"/>
        </w:rPr>
        <w:t> </w:t>
      </w:r>
      <w:r w:rsidR="00D226EE" w:rsidRPr="001E3FEC">
        <w:rPr>
          <w:rFonts w:ascii="Arial" w:hAnsi="Arial" w:cs="Arial"/>
          <w:sz w:val="20"/>
          <w:szCs w:val="20"/>
        </w:rPr>
        <w:t>związku</w:t>
      </w:r>
      <w:r w:rsidR="004C6CC5" w:rsidRPr="001E3FEC">
        <w:rPr>
          <w:rFonts w:ascii="Arial" w:hAnsi="Arial" w:cs="Arial"/>
          <w:sz w:val="20"/>
          <w:szCs w:val="20"/>
        </w:rPr>
        <w:t xml:space="preserve"> z </w:t>
      </w:r>
      <w:r w:rsidR="00835174">
        <w:rPr>
          <w:rFonts w:ascii="Arial" w:hAnsi="Arial" w:cs="Arial"/>
          <w:sz w:val="20"/>
          <w:szCs w:val="20"/>
        </w:rPr>
        <w:t>tym</w:t>
      </w:r>
      <w:r w:rsidR="004C6CC5" w:rsidRPr="001E3FEC">
        <w:rPr>
          <w:rFonts w:ascii="Arial" w:hAnsi="Arial" w:cs="Arial"/>
          <w:sz w:val="20"/>
          <w:szCs w:val="20"/>
        </w:rPr>
        <w:t xml:space="preserve"> w </w:t>
      </w:r>
      <w:r w:rsidR="00D226EE" w:rsidRPr="001E3FEC">
        <w:rPr>
          <w:rFonts w:ascii="Arial" w:hAnsi="Arial" w:cs="Arial"/>
          <w:sz w:val="20"/>
          <w:szCs w:val="20"/>
        </w:rPr>
        <w:t>powyższych obszarach zostały powołane grupy eksperckie, których spotkania odbywają się równolegle do posiedzeń BSTF. Do pozostałych</w:t>
      </w:r>
      <w:r w:rsidR="00835174">
        <w:rPr>
          <w:rFonts w:ascii="Arial" w:hAnsi="Arial" w:cs="Arial"/>
          <w:sz w:val="20"/>
          <w:szCs w:val="20"/>
        </w:rPr>
        <w:t xml:space="preserve"> kluczowych zadań BSTF zalicza</w:t>
      </w:r>
      <w:r w:rsidR="00D226EE" w:rsidRPr="001E3FEC">
        <w:rPr>
          <w:rFonts w:ascii="Arial" w:hAnsi="Arial" w:cs="Arial"/>
          <w:sz w:val="20"/>
          <w:szCs w:val="20"/>
        </w:rPr>
        <w:t xml:space="preserve"> si</w:t>
      </w:r>
      <w:r w:rsidR="00835174">
        <w:rPr>
          <w:rFonts w:ascii="Arial" w:hAnsi="Arial" w:cs="Arial"/>
          <w:sz w:val="20"/>
          <w:szCs w:val="20"/>
        </w:rPr>
        <w:t>ę m.in.: planowanie przeprowadza</w:t>
      </w:r>
      <w:r w:rsidR="00D226EE" w:rsidRPr="001E3FEC">
        <w:rPr>
          <w:rFonts w:ascii="Arial" w:hAnsi="Arial" w:cs="Arial"/>
          <w:sz w:val="20"/>
          <w:szCs w:val="20"/>
        </w:rPr>
        <w:t>nia wspólnych operacji ukierunkowanych na przestępczość zorganizowaną, prowadzenie prac zmierzających do opracowania regionalnej analizy zagrożeń przestępczością oraz działania na rzecz poprawy współpracy</w:t>
      </w:r>
      <w:r w:rsidR="00F6710B">
        <w:rPr>
          <w:rFonts w:ascii="Arial" w:hAnsi="Arial" w:cs="Arial"/>
          <w:sz w:val="20"/>
          <w:szCs w:val="20"/>
        </w:rPr>
        <w:t xml:space="preserve"> i </w:t>
      </w:r>
      <w:r w:rsidR="00D226EE" w:rsidRPr="001E3FEC">
        <w:rPr>
          <w:rFonts w:ascii="Arial" w:hAnsi="Arial" w:cs="Arial"/>
          <w:sz w:val="20"/>
          <w:szCs w:val="20"/>
        </w:rPr>
        <w:t>usprawnienia procesu wymiany informacji pomiędzy organami ścigania państw regionu. Przewodnictwo</w:t>
      </w:r>
      <w:r w:rsidR="004C6CC5" w:rsidRPr="001E3FEC">
        <w:rPr>
          <w:rFonts w:ascii="Arial" w:hAnsi="Arial" w:cs="Arial"/>
          <w:sz w:val="20"/>
          <w:szCs w:val="20"/>
        </w:rPr>
        <w:t xml:space="preserve"> w </w:t>
      </w:r>
      <w:r w:rsidR="00D226EE" w:rsidRPr="001E3FEC">
        <w:rPr>
          <w:rFonts w:ascii="Arial" w:hAnsi="Arial" w:cs="Arial"/>
          <w:sz w:val="20"/>
          <w:szCs w:val="20"/>
        </w:rPr>
        <w:t>Grupie sprawowane jest rotacyjnie przez okres dwóch lat przez każde</w:t>
      </w:r>
      <w:r w:rsidR="004C6CC5" w:rsidRPr="001E3FEC">
        <w:rPr>
          <w:rFonts w:ascii="Arial" w:hAnsi="Arial" w:cs="Arial"/>
          <w:sz w:val="20"/>
          <w:szCs w:val="20"/>
        </w:rPr>
        <w:t xml:space="preserve"> z </w:t>
      </w:r>
      <w:r w:rsidR="00D226EE" w:rsidRPr="001E3FEC">
        <w:rPr>
          <w:rFonts w:ascii="Arial" w:hAnsi="Arial" w:cs="Arial"/>
          <w:sz w:val="20"/>
          <w:szCs w:val="20"/>
        </w:rPr>
        <w:t>państw.</w:t>
      </w:r>
      <w:r w:rsidR="00221009">
        <w:rPr>
          <w:rFonts w:ascii="Arial" w:hAnsi="Arial" w:cs="Arial"/>
          <w:sz w:val="20"/>
          <w:szCs w:val="20"/>
        </w:rPr>
        <w:t xml:space="preserve"> W</w:t>
      </w:r>
      <w:r w:rsidR="004C6CC5" w:rsidRPr="001E3FEC">
        <w:rPr>
          <w:rFonts w:ascii="Arial" w:hAnsi="Arial" w:cs="Arial"/>
          <w:sz w:val="20"/>
          <w:szCs w:val="20"/>
        </w:rPr>
        <w:t> </w:t>
      </w:r>
      <w:r w:rsidR="00D226EE" w:rsidRPr="001E3FEC">
        <w:rPr>
          <w:rFonts w:ascii="Arial" w:hAnsi="Arial" w:cs="Arial"/>
          <w:sz w:val="20"/>
          <w:szCs w:val="20"/>
        </w:rPr>
        <w:t>latach 2019 - 2020 grupie przewodniczą Niemcy, a Polska udziela wsparcia</w:t>
      </w:r>
      <w:r w:rsidR="00221009">
        <w:rPr>
          <w:rFonts w:ascii="Arial" w:hAnsi="Arial" w:cs="Arial"/>
          <w:sz w:val="20"/>
          <w:szCs w:val="20"/>
        </w:rPr>
        <w:t xml:space="preserve"> w </w:t>
      </w:r>
      <w:r w:rsidR="00D226EE" w:rsidRPr="001E3FEC">
        <w:rPr>
          <w:rFonts w:ascii="Arial" w:hAnsi="Arial" w:cs="Arial"/>
          <w:sz w:val="20"/>
          <w:szCs w:val="20"/>
        </w:rPr>
        <w:t>zakresie organizacji spotkań operacyjnych.</w:t>
      </w:r>
    </w:p>
    <w:p w14:paraId="017E46F8" w14:textId="3AC5B97F" w:rsidR="00E142DA" w:rsidRPr="00835174" w:rsidRDefault="00D226EE" w:rsidP="00835174">
      <w:pPr>
        <w:pStyle w:val="Nagwek2"/>
        <w:spacing w:before="120" w:after="120"/>
        <w:rPr>
          <w:rFonts w:ascii="Arial" w:hAnsi="Arial" w:cs="Arial"/>
          <w:b/>
          <w:sz w:val="20"/>
          <w:szCs w:val="20"/>
        </w:rPr>
      </w:pPr>
      <w:bookmarkStart w:id="48" w:name="_Toc72745060"/>
      <w:r w:rsidRPr="00835174">
        <w:rPr>
          <w:rFonts w:ascii="Arial" w:hAnsi="Arial" w:cs="Arial"/>
          <w:b/>
          <w:color w:val="auto"/>
          <w:sz w:val="20"/>
          <w:szCs w:val="20"/>
        </w:rPr>
        <w:t>Działania Marynarki Wojennej</w:t>
      </w:r>
      <w:r w:rsidR="008D7729">
        <w:rPr>
          <w:rFonts w:ascii="Arial" w:hAnsi="Arial" w:cs="Arial"/>
          <w:b/>
          <w:color w:val="auto"/>
          <w:sz w:val="20"/>
          <w:szCs w:val="20"/>
        </w:rPr>
        <w:t xml:space="preserve"> RP.</w:t>
      </w:r>
      <w:bookmarkEnd w:id="48"/>
    </w:p>
    <w:p w14:paraId="1953114B" w14:textId="1E7FABEE" w:rsidR="007A65A1" w:rsidRPr="004C6CC5" w:rsidRDefault="007A65A1" w:rsidP="007A65A1">
      <w:pPr>
        <w:spacing w:after="120" w:line="276" w:lineRule="auto"/>
        <w:jc w:val="both"/>
        <w:rPr>
          <w:rFonts w:ascii="Arial" w:hAnsi="Arial" w:cs="Arial"/>
          <w:bCs/>
          <w:sz w:val="20"/>
          <w:szCs w:val="20"/>
        </w:rPr>
      </w:pPr>
      <w:r w:rsidRPr="004C6CC5">
        <w:rPr>
          <w:rFonts w:ascii="Arial" w:hAnsi="Arial" w:cs="Arial"/>
          <w:bCs/>
          <w:sz w:val="20"/>
          <w:szCs w:val="20"/>
        </w:rPr>
        <w:t>W 2019 r. Inspektor Marynarki</w:t>
      </w:r>
      <w:r>
        <w:rPr>
          <w:rFonts w:ascii="Arial" w:hAnsi="Arial" w:cs="Arial"/>
          <w:bCs/>
          <w:sz w:val="20"/>
          <w:szCs w:val="20"/>
        </w:rPr>
        <w:t xml:space="preserve"> Wojennej </w:t>
      </w:r>
      <w:r w:rsidRPr="004C6CC5">
        <w:rPr>
          <w:rFonts w:ascii="Arial" w:hAnsi="Arial" w:cs="Arial"/>
          <w:bCs/>
          <w:sz w:val="20"/>
          <w:szCs w:val="20"/>
        </w:rPr>
        <w:t>podpisał</w:t>
      </w:r>
      <w:r>
        <w:rPr>
          <w:rFonts w:ascii="Arial" w:hAnsi="Arial" w:cs="Arial"/>
          <w:bCs/>
          <w:sz w:val="20"/>
          <w:szCs w:val="20"/>
        </w:rPr>
        <w:t xml:space="preserve"> z </w:t>
      </w:r>
      <w:r w:rsidRPr="004C6CC5">
        <w:rPr>
          <w:rFonts w:ascii="Arial" w:hAnsi="Arial" w:cs="Arial"/>
          <w:bCs/>
          <w:sz w:val="20"/>
          <w:szCs w:val="20"/>
        </w:rPr>
        <w:t>upoważnienia Ministra Obrony Narodowej umowę międzynarodową (Amendment n. 1 to the Project Arrangement No B-1481-CAT)</w:t>
      </w:r>
      <w:r>
        <w:rPr>
          <w:rFonts w:ascii="Arial" w:hAnsi="Arial" w:cs="Arial"/>
          <w:bCs/>
          <w:sz w:val="20"/>
          <w:szCs w:val="20"/>
        </w:rPr>
        <w:t xml:space="preserve"> w </w:t>
      </w:r>
      <w:r w:rsidRPr="004C6CC5">
        <w:rPr>
          <w:rFonts w:ascii="Arial" w:hAnsi="Arial" w:cs="Arial"/>
          <w:bCs/>
          <w:sz w:val="20"/>
          <w:szCs w:val="20"/>
        </w:rPr>
        <w:t xml:space="preserve">sprawie dalszego wsparcia systemu Maritime Surveillance Networking (MARSUR) przez </w:t>
      </w:r>
      <w:r>
        <w:rPr>
          <w:rFonts w:ascii="Arial" w:hAnsi="Arial" w:cs="Arial"/>
          <w:bCs/>
          <w:sz w:val="20"/>
          <w:szCs w:val="20"/>
        </w:rPr>
        <w:t xml:space="preserve">Europejską Agencję Obrony (European Defence Agency - </w:t>
      </w:r>
      <w:r w:rsidRPr="004C6CC5">
        <w:rPr>
          <w:rFonts w:ascii="Arial" w:hAnsi="Arial" w:cs="Arial"/>
          <w:bCs/>
          <w:sz w:val="20"/>
          <w:szCs w:val="20"/>
        </w:rPr>
        <w:t>EDA</w:t>
      </w:r>
      <w:r>
        <w:rPr>
          <w:rFonts w:ascii="Arial" w:hAnsi="Arial" w:cs="Arial"/>
          <w:bCs/>
          <w:sz w:val="20"/>
          <w:szCs w:val="20"/>
        </w:rPr>
        <w:t>)</w:t>
      </w:r>
      <w:r w:rsidRPr="004C6CC5">
        <w:rPr>
          <w:rFonts w:ascii="Arial" w:hAnsi="Arial" w:cs="Arial"/>
          <w:bCs/>
          <w:sz w:val="20"/>
          <w:szCs w:val="20"/>
        </w:rPr>
        <w:t>.</w:t>
      </w:r>
      <w:r>
        <w:rPr>
          <w:rFonts w:ascii="Arial" w:hAnsi="Arial" w:cs="Arial"/>
          <w:bCs/>
          <w:sz w:val="20"/>
          <w:szCs w:val="20"/>
        </w:rPr>
        <w:t xml:space="preserve"> W </w:t>
      </w:r>
      <w:r w:rsidR="00AD4BD2">
        <w:rPr>
          <w:rFonts w:ascii="Arial" w:hAnsi="Arial" w:cs="Arial"/>
          <w:bCs/>
          <w:sz w:val="20"/>
          <w:szCs w:val="20"/>
        </w:rPr>
        <w:t xml:space="preserve">maju </w:t>
      </w:r>
      <w:r w:rsidRPr="004C6CC5">
        <w:rPr>
          <w:rFonts w:ascii="Arial" w:hAnsi="Arial" w:cs="Arial"/>
          <w:bCs/>
          <w:sz w:val="20"/>
          <w:szCs w:val="20"/>
        </w:rPr>
        <w:t xml:space="preserve">2019 r. </w:t>
      </w:r>
      <w:r w:rsidR="00BF44A5">
        <w:rPr>
          <w:rFonts w:ascii="Arial" w:hAnsi="Arial" w:cs="Arial"/>
          <w:bCs/>
          <w:sz w:val="20"/>
          <w:szCs w:val="20"/>
        </w:rPr>
        <w:t>st</w:t>
      </w:r>
      <w:r w:rsidR="00A643AC">
        <w:rPr>
          <w:rFonts w:ascii="Arial" w:hAnsi="Arial" w:cs="Arial"/>
          <w:bCs/>
          <w:sz w:val="20"/>
          <w:szCs w:val="20"/>
        </w:rPr>
        <w:t>r</w:t>
      </w:r>
      <w:r w:rsidR="00BF44A5">
        <w:rPr>
          <w:rFonts w:ascii="Arial" w:hAnsi="Arial" w:cs="Arial"/>
          <w:bCs/>
          <w:sz w:val="20"/>
          <w:szCs w:val="20"/>
        </w:rPr>
        <w:t>o</w:t>
      </w:r>
      <w:r w:rsidR="00A643AC">
        <w:rPr>
          <w:rFonts w:ascii="Arial" w:hAnsi="Arial" w:cs="Arial"/>
          <w:bCs/>
          <w:sz w:val="20"/>
          <w:szCs w:val="20"/>
        </w:rPr>
        <w:t>na polska</w:t>
      </w:r>
      <w:r w:rsidRPr="004C6CC5">
        <w:rPr>
          <w:rFonts w:ascii="Arial" w:hAnsi="Arial" w:cs="Arial"/>
          <w:bCs/>
          <w:sz w:val="20"/>
          <w:szCs w:val="20"/>
        </w:rPr>
        <w:t xml:space="preserve"> przekazał</w:t>
      </w:r>
      <w:r w:rsidR="00A643AC">
        <w:rPr>
          <w:rFonts w:ascii="Arial" w:hAnsi="Arial" w:cs="Arial"/>
          <w:bCs/>
          <w:sz w:val="20"/>
          <w:szCs w:val="20"/>
        </w:rPr>
        <w:t>a</w:t>
      </w:r>
      <w:r w:rsidRPr="004C6CC5">
        <w:rPr>
          <w:rFonts w:ascii="Arial" w:hAnsi="Arial" w:cs="Arial"/>
          <w:bCs/>
          <w:sz w:val="20"/>
          <w:szCs w:val="20"/>
        </w:rPr>
        <w:t xml:space="preserve"> obowiązki Przewodniczącego Grupy Sterującej MARSUR przedstawicielowi Grecji.</w:t>
      </w:r>
    </w:p>
    <w:p w14:paraId="22CB18C7" w14:textId="77777777" w:rsidR="007A65A1" w:rsidRDefault="00835174" w:rsidP="00835174">
      <w:pPr>
        <w:spacing w:before="120" w:after="120" w:line="276" w:lineRule="auto"/>
        <w:jc w:val="both"/>
        <w:rPr>
          <w:rFonts w:ascii="Arial" w:hAnsi="Arial" w:cs="Arial"/>
          <w:bCs/>
          <w:sz w:val="20"/>
          <w:szCs w:val="20"/>
        </w:rPr>
      </w:pPr>
      <w:r>
        <w:rPr>
          <w:rFonts w:ascii="Arial" w:hAnsi="Arial" w:cs="Arial"/>
          <w:bCs/>
          <w:sz w:val="20"/>
          <w:szCs w:val="20"/>
        </w:rPr>
        <w:t>W 2019 r.</w:t>
      </w:r>
      <w:r w:rsidR="00D226EE" w:rsidRPr="004C6CC5">
        <w:rPr>
          <w:rFonts w:ascii="Arial" w:hAnsi="Arial" w:cs="Arial"/>
          <w:bCs/>
          <w:sz w:val="20"/>
          <w:szCs w:val="20"/>
        </w:rPr>
        <w:t xml:space="preserve"> kontynuowano udział</w:t>
      </w:r>
      <w:r w:rsidR="004C6CC5">
        <w:rPr>
          <w:rFonts w:ascii="Arial" w:hAnsi="Arial" w:cs="Arial"/>
          <w:bCs/>
          <w:sz w:val="20"/>
          <w:szCs w:val="20"/>
        </w:rPr>
        <w:t xml:space="preserve"> w </w:t>
      </w:r>
      <w:r w:rsidR="00D226EE" w:rsidRPr="004C6CC5">
        <w:rPr>
          <w:rFonts w:ascii="Arial" w:hAnsi="Arial" w:cs="Arial"/>
          <w:bCs/>
          <w:sz w:val="20"/>
          <w:szCs w:val="20"/>
        </w:rPr>
        <w:t>projekcie dotyczącym morskich bezzałogowych środkó</w:t>
      </w:r>
      <w:r w:rsidR="00753EF3">
        <w:rPr>
          <w:rFonts w:ascii="Arial" w:hAnsi="Arial" w:cs="Arial"/>
          <w:bCs/>
          <w:sz w:val="20"/>
          <w:szCs w:val="20"/>
        </w:rPr>
        <w:t>w przeciwminowych MAS MCM (</w:t>
      </w:r>
      <w:r w:rsidR="00D226EE" w:rsidRPr="004C6CC5">
        <w:rPr>
          <w:rFonts w:ascii="Arial" w:hAnsi="Arial" w:cs="Arial"/>
          <w:bCs/>
          <w:sz w:val="20"/>
          <w:szCs w:val="20"/>
        </w:rPr>
        <w:t>Maritime Semi-Autonomous Mine Counter Measures) realizowanym</w:t>
      </w:r>
      <w:r w:rsidR="004C6CC5">
        <w:rPr>
          <w:rFonts w:ascii="Arial" w:hAnsi="Arial" w:cs="Arial"/>
          <w:bCs/>
          <w:sz w:val="20"/>
          <w:szCs w:val="20"/>
        </w:rPr>
        <w:t xml:space="preserve"> w </w:t>
      </w:r>
      <w:r w:rsidR="00D226EE" w:rsidRPr="004C6CC5">
        <w:rPr>
          <w:rFonts w:ascii="Arial" w:hAnsi="Arial" w:cs="Arial"/>
          <w:bCs/>
          <w:sz w:val="20"/>
          <w:szCs w:val="20"/>
        </w:rPr>
        <w:t>ramach Stałej Współ</w:t>
      </w:r>
      <w:r w:rsidR="00753EF3">
        <w:rPr>
          <w:rFonts w:ascii="Arial" w:hAnsi="Arial" w:cs="Arial"/>
          <w:bCs/>
          <w:sz w:val="20"/>
          <w:szCs w:val="20"/>
        </w:rPr>
        <w:t>pracy Strukturalnej PESCO (</w:t>
      </w:r>
      <w:r w:rsidR="00D226EE" w:rsidRPr="004C6CC5">
        <w:rPr>
          <w:rFonts w:ascii="Arial" w:hAnsi="Arial" w:cs="Arial"/>
          <w:bCs/>
          <w:sz w:val="20"/>
          <w:szCs w:val="20"/>
        </w:rPr>
        <w:t xml:space="preserve">Permament Structured Cooperation). </w:t>
      </w:r>
    </w:p>
    <w:p w14:paraId="647554A2" w14:textId="170D36A1" w:rsidR="00D226EE" w:rsidRPr="004C6CC5" w:rsidRDefault="00D226EE" w:rsidP="00835174">
      <w:pPr>
        <w:spacing w:before="120" w:after="120" w:line="276" w:lineRule="auto"/>
        <w:jc w:val="both"/>
        <w:rPr>
          <w:rFonts w:ascii="Arial" w:hAnsi="Arial" w:cs="Arial"/>
          <w:sz w:val="20"/>
          <w:szCs w:val="20"/>
        </w:rPr>
      </w:pPr>
      <w:r w:rsidRPr="004C6CC5">
        <w:rPr>
          <w:rFonts w:ascii="Arial" w:hAnsi="Arial" w:cs="Arial"/>
          <w:bCs/>
          <w:sz w:val="20"/>
          <w:szCs w:val="20"/>
        </w:rPr>
        <w:t>Ponadto, kontynuowano udział</w:t>
      </w:r>
      <w:r w:rsidR="007A65A1">
        <w:rPr>
          <w:rFonts w:ascii="Arial" w:hAnsi="Arial" w:cs="Arial"/>
          <w:bCs/>
          <w:sz w:val="20"/>
          <w:szCs w:val="20"/>
        </w:rPr>
        <w:t xml:space="preserve"> w </w:t>
      </w:r>
      <w:r w:rsidRPr="004C6CC5">
        <w:rPr>
          <w:rFonts w:ascii="Arial" w:hAnsi="Arial" w:cs="Arial"/>
          <w:bCs/>
          <w:sz w:val="20"/>
          <w:szCs w:val="20"/>
        </w:rPr>
        <w:t xml:space="preserve">międzynarodowym projekcie </w:t>
      </w:r>
      <w:r w:rsidRPr="004C6CC5">
        <w:rPr>
          <w:rFonts w:ascii="Arial" w:hAnsi="Arial" w:cs="Arial"/>
          <w:sz w:val="20"/>
          <w:szCs w:val="20"/>
          <w:lang w:val="en-US"/>
        </w:rPr>
        <w:t xml:space="preserve">Harbour </w:t>
      </w:r>
      <w:r w:rsidR="007A65A1">
        <w:rPr>
          <w:rFonts w:ascii="Arial" w:hAnsi="Arial" w:cs="Arial"/>
          <w:sz w:val="20"/>
          <w:szCs w:val="20"/>
          <w:lang w:val="en-US"/>
        </w:rPr>
        <w:t>and Maritime areas Surveillance</w:t>
      </w:r>
      <w:r w:rsidR="00561BB6">
        <w:rPr>
          <w:rFonts w:ascii="Arial" w:hAnsi="Arial" w:cs="Arial"/>
          <w:sz w:val="20"/>
          <w:szCs w:val="20"/>
          <w:lang w:val="en-US"/>
        </w:rPr>
        <w:t xml:space="preserve"> </w:t>
      </w:r>
      <w:r w:rsidR="007A65A1">
        <w:rPr>
          <w:rFonts w:ascii="Arial" w:hAnsi="Arial" w:cs="Arial"/>
          <w:sz w:val="20"/>
          <w:szCs w:val="20"/>
          <w:lang w:val="en-US"/>
        </w:rPr>
        <w:t>&amp;</w:t>
      </w:r>
      <w:r w:rsidR="00561BB6">
        <w:rPr>
          <w:rFonts w:ascii="Arial" w:hAnsi="Arial" w:cs="Arial"/>
          <w:sz w:val="20"/>
          <w:szCs w:val="20"/>
          <w:lang w:val="en-US"/>
        </w:rPr>
        <w:t xml:space="preserve"> </w:t>
      </w:r>
      <w:r w:rsidRPr="004C6CC5">
        <w:rPr>
          <w:rFonts w:ascii="Arial" w:hAnsi="Arial" w:cs="Arial"/>
          <w:sz w:val="20"/>
          <w:szCs w:val="20"/>
          <w:lang w:val="en-US"/>
        </w:rPr>
        <w:t>Protection (HARMSPRO) </w:t>
      </w:r>
      <w:r w:rsidR="007A65A1">
        <w:rPr>
          <w:rFonts w:ascii="Arial" w:hAnsi="Arial" w:cs="Arial"/>
          <w:sz w:val="20"/>
          <w:szCs w:val="20"/>
          <w:lang w:val="en-US"/>
        </w:rPr>
        <w:t>-</w:t>
      </w:r>
      <w:r w:rsidRPr="004C6CC5">
        <w:rPr>
          <w:rFonts w:ascii="Arial" w:hAnsi="Arial" w:cs="Arial"/>
          <w:sz w:val="20"/>
          <w:szCs w:val="20"/>
          <w:lang w:val="en-US"/>
        </w:rPr>
        <w:t> Nadzór</w:t>
      </w:r>
      <w:r w:rsidR="004C6CC5">
        <w:rPr>
          <w:rFonts w:ascii="Arial" w:hAnsi="Arial" w:cs="Arial"/>
          <w:sz w:val="20"/>
          <w:szCs w:val="20"/>
          <w:lang w:val="en-US"/>
        </w:rPr>
        <w:t xml:space="preserve"> i </w:t>
      </w:r>
      <w:r w:rsidRPr="004C6CC5">
        <w:rPr>
          <w:rFonts w:ascii="Arial" w:hAnsi="Arial" w:cs="Arial"/>
          <w:sz w:val="20"/>
          <w:szCs w:val="20"/>
          <w:lang w:val="en-US"/>
        </w:rPr>
        <w:t>ochrona wód portowych</w:t>
      </w:r>
      <w:r w:rsidR="00F6710B">
        <w:rPr>
          <w:rFonts w:ascii="Arial" w:hAnsi="Arial" w:cs="Arial"/>
          <w:sz w:val="20"/>
          <w:szCs w:val="20"/>
          <w:lang w:val="en-US"/>
        </w:rPr>
        <w:t xml:space="preserve"> i </w:t>
      </w:r>
      <w:r w:rsidRPr="004C6CC5">
        <w:rPr>
          <w:rFonts w:ascii="Arial" w:hAnsi="Arial" w:cs="Arial"/>
          <w:sz w:val="20"/>
          <w:szCs w:val="20"/>
          <w:lang w:val="en-US"/>
        </w:rPr>
        <w:t>przybrzeżnych</w:t>
      </w:r>
      <w:r w:rsidR="00F6710B">
        <w:rPr>
          <w:rFonts w:ascii="Arial" w:hAnsi="Arial" w:cs="Arial"/>
          <w:sz w:val="20"/>
          <w:szCs w:val="20"/>
          <w:lang w:val="en-US"/>
        </w:rPr>
        <w:t xml:space="preserve"> w </w:t>
      </w:r>
      <w:r w:rsidRPr="004C6CC5">
        <w:rPr>
          <w:rFonts w:ascii="Arial" w:hAnsi="Arial" w:cs="Arial"/>
          <w:sz w:val="20"/>
          <w:szCs w:val="20"/>
          <w:lang w:val="en-US"/>
        </w:rPr>
        <w:t xml:space="preserve">ramach </w:t>
      </w:r>
      <w:r w:rsidRPr="004C6CC5">
        <w:rPr>
          <w:rFonts w:ascii="Arial" w:hAnsi="Arial" w:cs="Arial"/>
          <w:sz w:val="20"/>
          <w:szCs w:val="20"/>
        </w:rPr>
        <w:t>Stałej Współpracy Strukturalnej PESCO</w:t>
      </w:r>
      <w:r w:rsidRPr="004C6CC5">
        <w:rPr>
          <w:rFonts w:ascii="Arial" w:hAnsi="Arial" w:cs="Arial"/>
          <w:bCs/>
          <w:sz w:val="20"/>
          <w:szCs w:val="20"/>
        </w:rPr>
        <w:t xml:space="preserve">. </w:t>
      </w:r>
      <w:r w:rsidRPr="004C6CC5">
        <w:rPr>
          <w:rFonts w:ascii="Arial" w:hAnsi="Arial" w:cs="Arial"/>
          <w:sz w:val="20"/>
          <w:szCs w:val="20"/>
        </w:rPr>
        <w:t xml:space="preserve">Celem jest opracowanie systemu </w:t>
      </w:r>
      <w:r w:rsidRPr="004C6CC5">
        <w:rPr>
          <w:rFonts w:ascii="Arial" w:hAnsi="Arial" w:cs="Arial"/>
          <w:sz w:val="20"/>
          <w:szCs w:val="20"/>
          <w:lang w:val="en-US"/>
        </w:rPr>
        <w:t>nadzoru </w:t>
      </w:r>
      <w:r w:rsidR="004C6CC5">
        <w:rPr>
          <w:rFonts w:ascii="Arial" w:hAnsi="Arial" w:cs="Arial"/>
          <w:sz w:val="20"/>
          <w:szCs w:val="20"/>
          <w:lang w:val="en-US"/>
        </w:rPr>
        <w:t xml:space="preserve"> i </w:t>
      </w:r>
      <w:r w:rsidRPr="004C6CC5">
        <w:rPr>
          <w:rFonts w:ascii="Arial" w:hAnsi="Arial" w:cs="Arial"/>
          <w:sz w:val="20"/>
          <w:szCs w:val="20"/>
          <w:lang w:val="en-US"/>
        </w:rPr>
        <w:t>ochrony wód portowych</w:t>
      </w:r>
      <w:r w:rsidR="004C6CC5">
        <w:rPr>
          <w:rFonts w:ascii="Arial" w:hAnsi="Arial" w:cs="Arial"/>
          <w:sz w:val="20"/>
          <w:szCs w:val="20"/>
          <w:lang w:val="en-US"/>
        </w:rPr>
        <w:t xml:space="preserve"> i </w:t>
      </w:r>
      <w:r w:rsidRPr="004C6CC5">
        <w:rPr>
          <w:rFonts w:ascii="Arial" w:hAnsi="Arial" w:cs="Arial"/>
          <w:sz w:val="20"/>
          <w:szCs w:val="20"/>
          <w:lang w:val="en-US"/>
        </w:rPr>
        <w:t>przybrzeżnych</w:t>
      </w:r>
      <w:r w:rsidRPr="004C6CC5">
        <w:rPr>
          <w:rFonts w:ascii="Arial" w:hAnsi="Arial" w:cs="Arial"/>
          <w:sz w:val="20"/>
          <w:szCs w:val="20"/>
        </w:rPr>
        <w:t>, który</w:t>
      </w:r>
      <w:r w:rsidR="004C6CC5">
        <w:rPr>
          <w:rFonts w:ascii="Arial" w:hAnsi="Arial" w:cs="Arial"/>
          <w:sz w:val="20"/>
          <w:szCs w:val="20"/>
        </w:rPr>
        <w:t xml:space="preserve"> w </w:t>
      </w:r>
      <w:r w:rsidRPr="004C6CC5">
        <w:rPr>
          <w:rFonts w:ascii="Arial" w:hAnsi="Arial" w:cs="Arial"/>
          <w:sz w:val="20"/>
          <w:szCs w:val="20"/>
        </w:rPr>
        <w:t xml:space="preserve">aspekcie Polski </w:t>
      </w:r>
      <w:r w:rsidRPr="004C6CC5">
        <w:rPr>
          <w:rFonts w:ascii="Arial" w:hAnsi="Arial" w:cs="Arial"/>
          <w:sz w:val="20"/>
          <w:szCs w:val="20"/>
          <w:lang w:val="en-US"/>
        </w:rPr>
        <w:t>będzie przydatny</w:t>
      </w:r>
      <w:r w:rsidR="004C6CC5">
        <w:rPr>
          <w:rFonts w:ascii="Arial" w:hAnsi="Arial" w:cs="Arial"/>
          <w:sz w:val="20"/>
          <w:szCs w:val="20"/>
          <w:lang w:val="en-US"/>
        </w:rPr>
        <w:t xml:space="preserve"> z </w:t>
      </w:r>
      <w:r w:rsidRPr="004C6CC5">
        <w:rPr>
          <w:rFonts w:ascii="Arial" w:hAnsi="Arial" w:cs="Arial"/>
          <w:sz w:val="20"/>
          <w:szCs w:val="20"/>
          <w:lang w:val="en-US"/>
        </w:rPr>
        <w:t>punktu widzenia ochrony głównych portów cywilnych</w:t>
      </w:r>
      <w:r w:rsidR="004C6CC5">
        <w:rPr>
          <w:rFonts w:ascii="Arial" w:hAnsi="Arial" w:cs="Arial"/>
          <w:sz w:val="20"/>
          <w:szCs w:val="20"/>
          <w:lang w:val="en-US"/>
        </w:rPr>
        <w:t xml:space="preserve"> i </w:t>
      </w:r>
      <w:r w:rsidRPr="004C6CC5">
        <w:rPr>
          <w:rFonts w:ascii="Arial" w:hAnsi="Arial" w:cs="Arial"/>
          <w:sz w:val="20"/>
          <w:szCs w:val="20"/>
          <w:lang w:val="en-US"/>
        </w:rPr>
        <w:t>baz morskich znajdujących się</w:t>
      </w:r>
      <w:r w:rsidR="004C6CC5">
        <w:rPr>
          <w:rFonts w:ascii="Arial" w:hAnsi="Arial" w:cs="Arial"/>
          <w:sz w:val="20"/>
          <w:szCs w:val="20"/>
          <w:lang w:val="en-US"/>
        </w:rPr>
        <w:t xml:space="preserve"> w </w:t>
      </w:r>
      <w:r w:rsidR="00753EF3">
        <w:rPr>
          <w:rFonts w:ascii="Arial" w:hAnsi="Arial" w:cs="Arial"/>
          <w:sz w:val="20"/>
          <w:szCs w:val="20"/>
          <w:lang w:val="en-US"/>
        </w:rPr>
        <w:t>obszarze p</w:t>
      </w:r>
      <w:r w:rsidR="00753EF3" w:rsidRPr="004C6CC5">
        <w:rPr>
          <w:rFonts w:ascii="Arial" w:hAnsi="Arial" w:cs="Arial"/>
          <w:sz w:val="20"/>
          <w:szCs w:val="20"/>
          <w:lang w:val="en-US"/>
        </w:rPr>
        <w:t>olskiego</w:t>
      </w:r>
      <w:r w:rsidR="00753EF3">
        <w:rPr>
          <w:rFonts w:ascii="Arial" w:hAnsi="Arial" w:cs="Arial"/>
          <w:sz w:val="20"/>
          <w:szCs w:val="20"/>
          <w:lang w:val="en-US"/>
        </w:rPr>
        <w:t xml:space="preserve"> wybrzeża</w:t>
      </w:r>
      <w:r w:rsidR="00A178BA">
        <w:rPr>
          <w:rFonts w:ascii="Arial" w:hAnsi="Arial" w:cs="Arial"/>
          <w:sz w:val="20"/>
          <w:szCs w:val="20"/>
          <w:lang w:val="en-US"/>
        </w:rPr>
        <w:t xml:space="preserve">, tj. Gdynia, </w:t>
      </w:r>
      <w:r w:rsidRPr="004C6CC5">
        <w:rPr>
          <w:rFonts w:ascii="Arial" w:hAnsi="Arial" w:cs="Arial"/>
          <w:sz w:val="20"/>
          <w:szCs w:val="20"/>
          <w:lang w:val="en-US"/>
        </w:rPr>
        <w:t>Gdańsk oraz Świnoujście</w:t>
      </w:r>
      <w:r w:rsidR="005E4CC2">
        <w:rPr>
          <w:rFonts w:ascii="Arial" w:hAnsi="Arial" w:cs="Arial"/>
          <w:sz w:val="20"/>
          <w:szCs w:val="20"/>
          <w:lang w:val="en-US"/>
        </w:rPr>
        <w:t xml:space="preserve"> </w:t>
      </w:r>
      <w:r w:rsidRPr="004C6CC5">
        <w:rPr>
          <w:rFonts w:ascii="Arial" w:hAnsi="Arial" w:cs="Arial"/>
          <w:sz w:val="20"/>
          <w:szCs w:val="20"/>
          <w:lang w:val="en-US"/>
        </w:rPr>
        <w:t>-</w:t>
      </w:r>
      <w:r w:rsidR="005E4CC2">
        <w:rPr>
          <w:rFonts w:ascii="Arial" w:hAnsi="Arial" w:cs="Arial"/>
          <w:sz w:val="20"/>
          <w:szCs w:val="20"/>
          <w:lang w:val="en-US"/>
        </w:rPr>
        <w:t xml:space="preserve"> </w:t>
      </w:r>
      <w:r w:rsidRPr="004C6CC5">
        <w:rPr>
          <w:rFonts w:ascii="Arial" w:hAnsi="Arial" w:cs="Arial"/>
          <w:sz w:val="20"/>
          <w:szCs w:val="20"/>
          <w:lang w:val="en-US"/>
        </w:rPr>
        <w:t xml:space="preserve">Szczecin. </w:t>
      </w:r>
      <w:r w:rsidRPr="004C6CC5">
        <w:rPr>
          <w:rFonts w:ascii="Arial" w:hAnsi="Arial" w:cs="Arial"/>
          <w:sz w:val="20"/>
          <w:szCs w:val="20"/>
        </w:rPr>
        <w:t>Państwa uczestniczące</w:t>
      </w:r>
      <w:r w:rsidR="00DD3131">
        <w:rPr>
          <w:rFonts w:ascii="Arial" w:hAnsi="Arial" w:cs="Arial"/>
          <w:sz w:val="20"/>
          <w:szCs w:val="20"/>
        </w:rPr>
        <w:t xml:space="preserve"> w projekcie to</w:t>
      </w:r>
      <w:r w:rsidRPr="004C6CC5">
        <w:rPr>
          <w:rFonts w:ascii="Arial" w:hAnsi="Arial" w:cs="Arial"/>
          <w:sz w:val="20"/>
          <w:szCs w:val="20"/>
        </w:rPr>
        <w:t>: Włochy (państwo wiodące), Polska, Grecja</w:t>
      </w:r>
      <w:r w:rsidR="004C6CC5">
        <w:rPr>
          <w:rFonts w:ascii="Arial" w:hAnsi="Arial" w:cs="Arial"/>
          <w:sz w:val="20"/>
          <w:szCs w:val="20"/>
        </w:rPr>
        <w:t xml:space="preserve"> i </w:t>
      </w:r>
      <w:r w:rsidRPr="004C6CC5">
        <w:rPr>
          <w:rFonts w:ascii="Arial" w:hAnsi="Arial" w:cs="Arial"/>
          <w:sz w:val="20"/>
          <w:szCs w:val="20"/>
        </w:rPr>
        <w:t>Portugalia.</w:t>
      </w:r>
      <w:r w:rsidR="005E4CC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zdefiniowane zostały ogólne cele projektowe (Common Staff Target), zidentyfikowane zostały założenia projektowanego systemu</w:t>
      </w:r>
      <w:r w:rsidR="004C6CC5">
        <w:rPr>
          <w:rFonts w:ascii="Arial" w:hAnsi="Arial" w:cs="Arial"/>
          <w:sz w:val="20"/>
          <w:szCs w:val="20"/>
        </w:rPr>
        <w:t xml:space="preserve"> w </w:t>
      </w:r>
      <w:r w:rsidRPr="004C6CC5">
        <w:rPr>
          <w:rFonts w:ascii="Arial" w:hAnsi="Arial" w:cs="Arial"/>
          <w:sz w:val="20"/>
          <w:szCs w:val="20"/>
        </w:rPr>
        <w:t>zakresie sensorów</w:t>
      </w:r>
      <w:r w:rsidR="004C6CC5">
        <w:rPr>
          <w:rFonts w:ascii="Arial" w:hAnsi="Arial" w:cs="Arial"/>
          <w:sz w:val="20"/>
          <w:szCs w:val="20"/>
        </w:rPr>
        <w:t xml:space="preserve"> i </w:t>
      </w:r>
      <w:r w:rsidRPr="004C6CC5">
        <w:rPr>
          <w:rFonts w:ascii="Arial" w:hAnsi="Arial" w:cs="Arial"/>
          <w:sz w:val="20"/>
          <w:szCs w:val="20"/>
        </w:rPr>
        <w:t xml:space="preserve">efektorów (Work Breakdown Structure) oraz przystąpiono do opracowywania wymagań projektowanego systemu </w:t>
      </w:r>
      <w:r w:rsidRPr="004C6CC5">
        <w:rPr>
          <w:rFonts w:ascii="Arial" w:hAnsi="Arial" w:cs="Arial"/>
          <w:sz w:val="20"/>
          <w:szCs w:val="20"/>
          <w:lang w:val="en-US"/>
        </w:rPr>
        <w:t>(Common Staff Requirement).</w:t>
      </w:r>
    </w:p>
    <w:p w14:paraId="29EDC4BE" w14:textId="534A379B" w:rsidR="00D226EE" w:rsidRPr="004C6CC5" w:rsidRDefault="00D226EE" w:rsidP="008D2321">
      <w:pPr>
        <w:tabs>
          <w:tab w:val="left" w:pos="426"/>
        </w:tabs>
        <w:spacing w:after="120" w:line="276" w:lineRule="auto"/>
        <w:jc w:val="both"/>
        <w:rPr>
          <w:rFonts w:ascii="Arial" w:hAnsi="Arial" w:cs="Arial"/>
          <w:b/>
          <w:sz w:val="20"/>
          <w:szCs w:val="20"/>
        </w:rPr>
      </w:pPr>
      <w:r w:rsidRPr="004C6CC5">
        <w:rPr>
          <w:rFonts w:ascii="Arial" w:hAnsi="Arial" w:cs="Arial"/>
          <w:sz w:val="20"/>
          <w:szCs w:val="20"/>
        </w:rPr>
        <w:lastRenderedPageBreak/>
        <w:t>Uczestniczono także</w:t>
      </w:r>
      <w:r w:rsidR="004C6CC5">
        <w:rPr>
          <w:rFonts w:ascii="Arial" w:hAnsi="Arial" w:cs="Arial"/>
          <w:sz w:val="20"/>
          <w:szCs w:val="20"/>
        </w:rPr>
        <w:t xml:space="preserve"> w </w:t>
      </w:r>
      <w:r w:rsidRPr="004C6CC5">
        <w:rPr>
          <w:rFonts w:ascii="Arial" w:hAnsi="Arial" w:cs="Arial"/>
          <w:sz w:val="20"/>
          <w:szCs w:val="20"/>
        </w:rPr>
        <w:t xml:space="preserve">pracach nad dokumentem </w:t>
      </w:r>
      <w:r w:rsidR="005B6A46">
        <w:rPr>
          <w:rFonts w:ascii="Arial" w:hAnsi="Arial" w:cs="Arial"/>
          <w:sz w:val="20"/>
          <w:szCs w:val="20"/>
        </w:rPr>
        <w:t>pn. „</w:t>
      </w:r>
      <w:r w:rsidRPr="004C6CC5">
        <w:rPr>
          <w:rFonts w:ascii="Arial" w:hAnsi="Arial" w:cs="Arial"/>
          <w:sz w:val="20"/>
          <w:szCs w:val="20"/>
        </w:rPr>
        <w:t>Skoordynowana Obecność Morska</w:t>
      </w:r>
      <w:r w:rsidR="005B6A46">
        <w:rPr>
          <w:rFonts w:ascii="Arial" w:hAnsi="Arial" w:cs="Arial"/>
          <w:sz w:val="20"/>
          <w:szCs w:val="20"/>
        </w:rPr>
        <w:t>”</w:t>
      </w:r>
      <w:r w:rsidR="004C6CC5">
        <w:rPr>
          <w:rFonts w:ascii="Arial" w:hAnsi="Arial" w:cs="Arial"/>
          <w:sz w:val="20"/>
          <w:szCs w:val="20"/>
        </w:rPr>
        <w:t xml:space="preserve"> w </w:t>
      </w:r>
      <w:r w:rsidR="00561BB6">
        <w:rPr>
          <w:rFonts w:ascii="Arial" w:hAnsi="Arial" w:cs="Arial"/>
          <w:sz w:val="20"/>
          <w:szCs w:val="20"/>
        </w:rPr>
        <w:t xml:space="preserve">ramach Military </w:t>
      </w:r>
      <w:r w:rsidRPr="004C6CC5">
        <w:rPr>
          <w:rFonts w:ascii="Arial" w:hAnsi="Arial" w:cs="Arial"/>
          <w:sz w:val="20"/>
          <w:szCs w:val="20"/>
        </w:rPr>
        <w:t>Advice on Coordinated Maritime Presence Concept oraz</w:t>
      </w:r>
      <w:r w:rsidR="004C6CC5">
        <w:rPr>
          <w:rFonts w:ascii="Arial" w:hAnsi="Arial" w:cs="Arial"/>
          <w:sz w:val="20"/>
          <w:szCs w:val="20"/>
        </w:rPr>
        <w:t xml:space="preserve"> w </w:t>
      </w:r>
      <w:r w:rsidRPr="004C6CC5">
        <w:rPr>
          <w:rFonts w:ascii="Arial" w:hAnsi="Arial" w:cs="Arial"/>
          <w:sz w:val="20"/>
          <w:szCs w:val="20"/>
        </w:rPr>
        <w:t>opracowaniu zasad współpracy</w:t>
      </w:r>
      <w:r w:rsidR="004C6CC5">
        <w:rPr>
          <w:rFonts w:ascii="Arial" w:hAnsi="Arial" w:cs="Arial"/>
          <w:sz w:val="20"/>
          <w:szCs w:val="20"/>
        </w:rPr>
        <w:t xml:space="preserve"> i </w:t>
      </w:r>
      <w:r w:rsidRPr="004C6CC5">
        <w:rPr>
          <w:rFonts w:ascii="Arial" w:hAnsi="Arial" w:cs="Arial"/>
          <w:sz w:val="20"/>
          <w:szCs w:val="20"/>
        </w:rPr>
        <w:t xml:space="preserve">obiegu informacji między wszystkimi krajowymi podmiotami realizującymi zadania, które na poziomie </w:t>
      </w:r>
      <w:r w:rsidR="00B1095A">
        <w:rPr>
          <w:rFonts w:ascii="Arial" w:hAnsi="Arial" w:cs="Arial"/>
          <w:sz w:val="20"/>
          <w:szCs w:val="20"/>
        </w:rPr>
        <w:t>UE</w:t>
      </w:r>
      <w:r w:rsidRPr="004C6CC5">
        <w:rPr>
          <w:rFonts w:ascii="Arial" w:hAnsi="Arial" w:cs="Arial"/>
          <w:sz w:val="20"/>
          <w:szCs w:val="20"/>
        </w:rPr>
        <w:t xml:space="preserve"> zakwalifikowane zostały do tzw. Funkcji Europejskiej Straży Przybrzeżnej</w:t>
      </w:r>
      <w:r w:rsidR="004C6CC5">
        <w:rPr>
          <w:rFonts w:ascii="Arial" w:hAnsi="Arial" w:cs="Arial"/>
          <w:sz w:val="20"/>
          <w:szCs w:val="20"/>
        </w:rPr>
        <w:t xml:space="preserve"> w </w:t>
      </w:r>
      <w:r w:rsidRPr="004C6CC5">
        <w:rPr>
          <w:rFonts w:ascii="Arial" w:hAnsi="Arial" w:cs="Arial"/>
          <w:sz w:val="20"/>
          <w:szCs w:val="20"/>
        </w:rPr>
        <w:t>ramach European Cost Guard Functions.</w:t>
      </w:r>
    </w:p>
    <w:p w14:paraId="21A17A34" w14:textId="50B874B1"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00DD3D1A">
        <w:rPr>
          <w:rFonts w:ascii="Arial" w:hAnsi="Arial" w:cs="Arial"/>
          <w:sz w:val="20"/>
          <w:szCs w:val="20"/>
        </w:rPr>
        <w:t>Dowództwo Operacyjne Rodzajów Sił Zbrojnych (</w:t>
      </w:r>
      <w:r w:rsidRPr="004C6CC5">
        <w:rPr>
          <w:rFonts w:ascii="Arial" w:hAnsi="Arial" w:cs="Arial"/>
          <w:sz w:val="20"/>
          <w:szCs w:val="20"/>
        </w:rPr>
        <w:t>DO RSZ) poprzez Centrum Operacji Morskich - Dowództwo Komponentu Morskiego (COM-DKM</w:t>
      </w:r>
      <w:r w:rsidR="00DD3D1A">
        <w:rPr>
          <w:rFonts w:ascii="Arial" w:hAnsi="Arial" w:cs="Arial"/>
          <w:sz w:val="20"/>
          <w:szCs w:val="20"/>
        </w:rPr>
        <w:t>), realizując swoje zadania</w:t>
      </w:r>
      <w:r w:rsidR="004C6CC5">
        <w:rPr>
          <w:rFonts w:ascii="Arial" w:hAnsi="Arial" w:cs="Arial"/>
          <w:sz w:val="20"/>
          <w:szCs w:val="20"/>
        </w:rPr>
        <w:t xml:space="preserve"> w </w:t>
      </w:r>
      <w:r w:rsidRPr="004C6CC5">
        <w:rPr>
          <w:rFonts w:ascii="Arial" w:hAnsi="Arial" w:cs="Arial"/>
          <w:sz w:val="20"/>
          <w:szCs w:val="20"/>
        </w:rPr>
        <w:t>ramach szeroko rozumianego zapewnienia bezpieczeństwa</w:t>
      </w:r>
      <w:r w:rsidR="004C6CC5">
        <w:rPr>
          <w:rFonts w:ascii="Arial" w:hAnsi="Arial" w:cs="Arial"/>
          <w:sz w:val="20"/>
          <w:szCs w:val="20"/>
        </w:rPr>
        <w:t xml:space="preserve"> i </w:t>
      </w:r>
      <w:r w:rsidRPr="004C6CC5">
        <w:rPr>
          <w:rFonts w:ascii="Arial" w:hAnsi="Arial" w:cs="Arial"/>
          <w:sz w:val="20"/>
          <w:szCs w:val="20"/>
        </w:rPr>
        <w:t>ochrony żeglugi na morzu oraz realizacji polityki morskiej RP, wykonało szereg przedsięwzięć,</w:t>
      </w:r>
      <w:r w:rsidR="004C6CC5">
        <w:rPr>
          <w:rFonts w:ascii="Arial" w:hAnsi="Arial" w:cs="Arial"/>
          <w:sz w:val="20"/>
          <w:szCs w:val="20"/>
        </w:rPr>
        <w:t xml:space="preserve"> z </w:t>
      </w:r>
      <w:r w:rsidRPr="004C6CC5">
        <w:rPr>
          <w:rFonts w:ascii="Arial" w:hAnsi="Arial" w:cs="Arial"/>
          <w:sz w:val="20"/>
          <w:szCs w:val="20"/>
        </w:rPr>
        <w:t>których najważniejsze to:</w:t>
      </w:r>
    </w:p>
    <w:p w14:paraId="4AD9D3D0" w14:textId="13F860A1" w:rsidR="00D226EE" w:rsidRPr="004C6CC5" w:rsidRDefault="00D226EE" w:rsidP="003C6ECA">
      <w:pPr>
        <w:pStyle w:val="Akapitzlist"/>
        <w:numPr>
          <w:ilvl w:val="0"/>
          <w:numId w:val="7"/>
        </w:numPr>
        <w:spacing w:after="120" w:line="276" w:lineRule="auto"/>
        <w:contextualSpacing w:val="0"/>
        <w:jc w:val="both"/>
        <w:rPr>
          <w:rFonts w:ascii="Arial" w:hAnsi="Arial" w:cs="Arial"/>
          <w:sz w:val="20"/>
          <w:szCs w:val="20"/>
        </w:rPr>
      </w:pPr>
      <w:r w:rsidRPr="004C6CC5">
        <w:rPr>
          <w:rFonts w:ascii="Arial" w:hAnsi="Arial" w:cs="Arial"/>
          <w:sz w:val="20"/>
          <w:szCs w:val="20"/>
        </w:rPr>
        <w:t>zapewnienie standardów bezpiecznego uprawiania żeglugi przez statki morskie oraz działania na rzecz zapewnienia bezpieczeństwa żeglugi</w:t>
      </w:r>
      <w:r w:rsidR="004C6CC5">
        <w:rPr>
          <w:rFonts w:ascii="Arial" w:hAnsi="Arial" w:cs="Arial"/>
          <w:sz w:val="20"/>
          <w:szCs w:val="20"/>
        </w:rPr>
        <w:t xml:space="preserve"> i </w:t>
      </w:r>
      <w:r w:rsidRPr="004C6CC5">
        <w:rPr>
          <w:rFonts w:ascii="Arial" w:hAnsi="Arial" w:cs="Arial"/>
          <w:sz w:val="20"/>
          <w:szCs w:val="20"/>
        </w:rPr>
        <w:t>ochrony portów morskich, poprzez współdziałanie z:</w:t>
      </w:r>
    </w:p>
    <w:p w14:paraId="219FB1E0" w14:textId="0E94F204" w:rsidR="00D226EE" w:rsidRPr="00EF201E" w:rsidRDefault="00EF201E" w:rsidP="00EF201E">
      <w:pPr>
        <w:spacing w:after="120" w:line="276" w:lineRule="auto"/>
        <w:jc w:val="both"/>
        <w:rPr>
          <w:rFonts w:ascii="Arial" w:hAnsi="Arial" w:cs="Arial"/>
          <w:sz w:val="20"/>
          <w:szCs w:val="20"/>
        </w:rPr>
      </w:pPr>
      <w:r>
        <w:rPr>
          <w:rFonts w:ascii="Arial" w:hAnsi="Arial" w:cs="Arial"/>
          <w:sz w:val="20"/>
          <w:szCs w:val="20"/>
        </w:rPr>
        <w:t>- administracją morską;</w:t>
      </w:r>
    </w:p>
    <w:p w14:paraId="067793A7" w14:textId="60E60EC0" w:rsidR="00D226EE" w:rsidRPr="00EF201E" w:rsidRDefault="00EF201E" w:rsidP="00EF201E">
      <w:pPr>
        <w:spacing w:after="120" w:line="276" w:lineRule="auto"/>
        <w:jc w:val="both"/>
        <w:rPr>
          <w:rFonts w:ascii="Arial" w:hAnsi="Arial" w:cs="Arial"/>
          <w:sz w:val="20"/>
          <w:szCs w:val="20"/>
        </w:rPr>
      </w:pPr>
      <w:r>
        <w:rPr>
          <w:rFonts w:ascii="Arial" w:hAnsi="Arial" w:cs="Arial"/>
          <w:sz w:val="20"/>
          <w:szCs w:val="20"/>
        </w:rPr>
        <w:t xml:space="preserve">- </w:t>
      </w:r>
      <w:r w:rsidR="00D226EE" w:rsidRPr="00EF201E">
        <w:rPr>
          <w:rFonts w:ascii="Arial" w:hAnsi="Arial" w:cs="Arial"/>
          <w:sz w:val="20"/>
          <w:szCs w:val="20"/>
        </w:rPr>
        <w:t>Mors</w:t>
      </w:r>
      <w:r>
        <w:rPr>
          <w:rFonts w:ascii="Arial" w:hAnsi="Arial" w:cs="Arial"/>
          <w:sz w:val="20"/>
          <w:szCs w:val="20"/>
        </w:rPr>
        <w:t>kim Oddziałem Straży Granicznej;</w:t>
      </w:r>
    </w:p>
    <w:p w14:paraId="346826C4" w14:textId="08E6E719" w:rsidR="00D226EE" w:rsidRPr="00EF201E" w:rsidRDefault="00EF201E" w:rsidP="00EF201E">
      <w:pPr>
        <w:spacing w:after="120" w:line="276" w:lineRule="auto"/>
        <w:jc w:val="both"/>
        <w:rPr>
          <w:rFonts w:ascii="Arial" w:hAnsi="Arial" w:cs="Arial"/>
          <w:sz w:val="20"/>
          <w:szCs w:val="20"/>
        </w:rPr>
      </w:pPr>
      <w:r>
        <w:rPr>
          <w:rFonts w:ascii="Arial" w:hAnsi="Arial" w:cs="Arial"/>
          <w:sz w:val="20"/>
          <w:szCs w:val="20"/>
        </w:rPr>
        <w:t xml:space="preserve">- </w:t>
      </w:r>
      <w:r w:rsidR="00D226EE" w:rsidRPr="00EF201E">
        <w:rPr>
          <w:rFonts w:ascii="Arial" w:hAnsi="Arial" w:cs="Arial"/>
          <w:sz w:val="20"/>
          <w:szCs w:val="20"/>
        </w:rPr>
        <w:t xml:space="preserve">NATO Shipping Centre (NSC) przy Dowództwie Morskim NATO </w:t>
      </w:r>
      <w:r>
        <w:rPr>
          <w:rFonts w:ascii="Arial" w:hAnsi="Arial" w:cs="Arial"/>
          <w:sz w:val="20"/>
          <w:szCs w:val="20"/>
        </w:rPr>
        <w:t>(MARCOM);</w:t>
      </w:r>
    </w:p>
    <w:p w14:paraId="1AA3F06B" w14:textId="622E192C" w:rsidR="00D226EE" w:rsidRPr="00EF201E" w:rsidRDefault="00EF201E" w:rsidP="00EF201E">
      <w:pPr>
        <w:spacing w:after="120" w:line="276" w:lineRule="auto"/>
        <w:jc w:val="both"/>
        <w:rPr>
          <w:rFonts w:ascii="Arial" w:hAnsi="Arial" w:cs="Arial"/>
          <w:sz w:val="20"/>
          <w:szCs w:val="20"/>
        </w:rPr>
      </w:pPr>
      <w:r>
        <w:rPr>
          <w:rFonts w:ascii="Arial" w:hAnsi="Arial" w:cs="Arial"/>
          <w:sz w:val="20"/>
          <w:szCs w:val="20"/>
        </w:rPr>
        <w:t xml:space="preserve">- </w:t>
      </w:r>
      <w:r w:rsidR="00D226EE" w:rsidRPr="00EF201E">
        <w:rPr>
          <w:rFonts w:ascii="Arial" w:hAnsi="Arial" w:cs="Arial"/>
          <w:sz w:val="20"/>
          <w:szCs w:val="20"/>
        </w:rPr>
        <w:t>NSWG (NATO Shipping Working Gr</w:t>
      </w:r>
      <w:r w:rsidR="006D73DF">
        <w:rPr>
          <w:rFonts w:ascii="Arial" w:hAnsi="Arial" w:cs="Arial"/>
          <w:sz w:val="20"/>
          <w:szCs w:val="20"/>
        </w:rPr>
        <w:t xml:space="preserve">oup) – Grupą Roboczą SM sojuszu </w:t>
      </w:r>
      <w:r w:rsidR="00D226EE" w:rsidRPr="00EF201E">
        <w:rPr>
          <w:rFonts w:ascii="Arial" w:hAnsi="Arial" w:cs="Arial"/>
          <w:sz w:val="20"/>
          <w:szCs w:val="20"/>
        </w:rPr>
        <w:t>ds. współpracy</w:t>
      </w:r>
      <w:r w:rsidR="004C6CC5" w:rsidRPr="00EF201E">
        <w:rPr>
          <w:rFonts w:ascii="Arial" w:hAnsi="Arial" w:cs="Arial"/>
          <w:sz w:val="20"/>
          <w:szCs w:val="20"/>
        </w:rPr>
        <w:t xml:space="preserve"> z </w:t>
      </w:r>
      <w:r>
        <w:rPr>
          <w:rFonts w:ascii="Arial" w:hAnsi="Arial" w:cs="Arial"/>
          <w:sz w:val="20"/>
          <w:szCs w:val="20"/>
        </w:rPr>
        <w:t>żeglugą;</w:t>
      </w:r>
    </w:p>
    <w:p w14:paraId="1E4AE9BA" w14:textId="3F4CB1AD" w:rsidR="00D226EE" w:rsidRPr="00EF201E" w:rsidRDefault="00EF201E" w:rsidP="00EF201E">
      <w:pPr>
        <w:spacing w:after="120" w:line="276" w:lineRule="auto"/>
        <w:jc w:val="both"/>
        <w:rPr>
          <w:rFonts w:ascii="Arial" w:hAnsi="Arial" w:cs="Arial"/>
          <w:sz w:val="20"/>
          <w:szCs w:val="20"/>
        </w:rPr>
      </w:pPr>
      <w:r>
        <w:rPr>
          <w:rFonts w:ascii="Arial" w:hAnsi="Arial" w:cs="Arial"/>
          <w:sz w:val="20"/>
          <w:szCs w:val="20"/>
        </w:rPr>
        <w:t xml:space="preserve">- </w:t>
      </w:r>
      <w:r w:rsidR="00D226EE" w:rsidRPr="00EF201E">
        <w:rPr>
          <w:rFonts w:ascii="Arial" w:hAnsi="Arial" w:cs="Arial"/>
          <w:sz w:val="20"/>
          <w:szCs w:val="20"/>
        </w:rPr>
        <w:t>BOSB WG (Baltic Ordnance Safety Board Working Group) </w:t>
      </w:r>
      <w:r w:rsidR="00672307">
        <w:rPr>
          <w:rFonts w:ascii="Arial" w:hAnsi="Arial" w:cs="Arial"/>
          <w:sz w:val="20"/>
          <w:szCs w:val="20"/>
        </w:rPr>
        <w:t>-</w:t>
      </w:r>
      <w:r w:rsidR="00D226EE" w:rsidRPr="00EF201E">
        <w:rPr>
          <w:rFonts w:ascii="Arial" w:hAnsi="Arial" w:cs="Arial"/>
          <w:sz w:val="20"/>
          <w:szCs w:val="20"/>
        </w:rPr>
        <w:t> Grupy Roboczej państw nadbałtyckich ds. konwencjonalnych historycznych obiektów niebezpiecznych;</w:t>
      </w:r>
    </w:p>
    <w:p w14:paraId="3AF54888" w14:textId="77777777" w:rsidR="00D226EE" w:rsidRPr="004C6CC5" w:rsidRDefault="00D226EE" w:rsidP="003C6ECA">
      <w:pPr>
        <w:pStyle w:val="Akapitzlist"/>
        <w:numPr>
          <w:ilvl w:val="0"/>
          <w:numId w:val="7"/>
        </w:numPr>
        <w:spacing w:after="120" w:line="276" w:lineRule="auto"/>
        <w:jc w:val="both"/>
        <w:rPr>
          <w:rFonts w:ascii="Arial" w:hAnsi="Arial" w:cs="Arial"/>
          <w:sz w:val="20"/>
          <w:szCs w:val="20"/>
        </w:rPr>
      </w:pPr>
      <w:r w:rsidRPr="004C6CC5">
        <w:rPr>
          <w:rFonts w:ascii="Arial" w:hAnsi="Arial" w:cs="Arial"/>
          <w:sz w:val="20"/>
          <w:szCs w:val="20"/>
        </w:rPr>
        <w:t>monitorowanie stanu bezpieczeństwa żeglugi:</w:t>
      </w:r>
    </w:p>
    <w:p w14:paraId="6EEC5994" w14:textId="6A23CB97" w:rsidR="00D226EE" w:rsidRPr="006D3BB8" w:rsidRDefault="006D3BB8" w:rsidP="006D3BB8">
      <w:pPr>
        <w:spacing w:after="120" w:line="276" w:lineRule="auto"/>
        <w:jc w:val="both"/>
        <w:rPr>
          <w:rFonts w:ascii="Arial" w:hAnsi="Arial" w:cs="Arial"/>
          <w:sz w:val="20"/>
          <w:szCs w:val="20"/>
        </w:rPr>
      </w:pPr>
      <w:r>
        <w:rPr>
          <w:rFonts w:ascii="Arial" w:hAnsi="Arial" w:cs="Arial"/>
          <w:sz w:val="20"/>
          <w:szCs w:val="20"/>
        </w:rPr>
        <w:t xml:space="preserve">- </w:t>
      </w:r>
      <w:r w:rsidR="002E1EF6">
        <w:rPr>
          <w:rFonts w:ascii="Arial" w:hAnsi="Arial" w:cs="Arial"/>
          <w:sz w:val="20"/>
          <w:szCs w:val="20"/>
        </w:rPr>
        <w:t>uczestnictwo</w:t>
      </w:r>
      <w:r w:rsidR="004C6CC5" w:rsidRPr="006D3BB8">
        <w:rPr>
          <w:rFonts w:ascii="Arial" w:hAnsi="Arial" w:cs="Arial"/>
          <w:sz w:val="20"/>
          <w:szCs w:val="20"/>
        </w:rPr>
        <w:t xml:space="preserve"> w </w:t>
      </w:r>
      <w:r w:rsidR="00D226EE" w:rsidRPr="006D3BB8">
        <w:rPr>
          <w:rFonts w:ascii="Arial" w:hAnsi="Arial" w:cs="Arial"/>
          <w:sz w:val="20"/>
          <w:szCs w:val="20"/>
        </w:rPr>
        <w:t>pracach międzynarodowej inicjatywy SUCBAS (Sea Surveillance Cooperation Baltic Sea) oraz</w:t>
      </w:r>
      <w:r w:rsidR="004C6CC5" w:rsidRPr="006D3BB8">
        <w:rPr>
          <w:rFonts w:ascii="Arial" w:hAnsi="Arial" w:cs="Arial"/>
          <w:sz w:val="20"/>
          <w:szCs w:val="20"/>
        </w:rPr>
        <w:t xml:space="preserve"> w </w:t>
      </w:r>
      <w:r w:rsidR="00D226EE" w:rsidRPr="006D3BB8">
        <w:rPr>
          <w:rFonts w:ascii="Arial" w:hAnsi="Arial" w:cs="Arial"/>
          <w:sz w:val="20"/>
          <w:szCs w:val="20"/>
        </w:rPr>
        <w:t>projekcie UE MARSUR (Maritime Surveillance), zwiększających morską świadomość sytuacyjną (Maritime Situational Awareness – MSA);</w:t>
      </w:r>
    </w:p>
    <w:p w14:paraId="7C356A3D" w14:textId="755399FC" w:rsidR="00D226EE" w:rsidRPr="006D3BB8" w:rsidRDefault="006D3BB8" w:rsidP="006D3BB8">
      <w:pPr>
        <w:spacing w:after="120" w:line="276" w:lineRule="auto"/>
        <w:jc w:val="both"/>
        <w:rPr>
          <w:rFonts w:ascii="Arial" w:hAnsi="Arial" w:cs="Arial"/>
          <w:sz w:val="20"/>
          <w:szCs w:val="20"/>
        </w:rPr>
      </w:pPr>
      <w:r>
        <w:rPr>
          <w:rFonts w:ascii="Arial" w:hAnsi="Arial" w:cs="Arial"/>
          <w:sz w:val="20"/>
          <w:szCs w:val="20"/>
        </w:rPr>
        <w:t xml:space="preserve">- </w:t>
      </w:r>
      <w:r w:rsidR="002E1EF6">
        <w:rPr>
          <w:rFonts w:ascii="Arial" w:hAnsi="Arial" w:cs="Arial"/>
          <w:sz w:val="20"/>
          <w:szCs w:val="20"/>
        </w:rPr>
        <w:t>realizacja</w:t>
      </w:r>
      <w:r w:rsidR="00D226EE" w:rsidRPr="006D3BB8">
        <w:rPr>
          <w:rFonts w:ascii="Arial" w:hAnsi="Arial" w:cs="Arial"/>
          <w:sz w:val="20"/>
          <w:szCs w:val="20"/>
        </w:rPr>
        <w:t xml:space="preserve"> trójstronnego porozumienia Dyrektora Urzędu Morskiego</w:t>
      </w:r>
      <w:r w:rsidR="004C6CC5" w:rsidRPr="006D3BB8">
        <w:rPr>
          <w:rFonts w:ascii="Arial" w:hAnsi="Arial" w:cs="Arial"/>
          <w:sz w:val="20"/>
          <w:szCs w:val="20"/>
        </w:rPr>
        <w:t xml:space="preserve"> w </w:t>
      </w:r>
      <w:r w:rsidR="00D226EE" w:rsidRPr="006D3BB8">
        <w:rPr>
          <w:rFonts w:ascii="Arial" w:hAnsi="Arial" w:cs="Arial"/>
          <w:sz w:val="20"/>
          <w:szCs w:val="20"/>
        </w:rPr>
        <w:t>Gdyni, Dowódcy Marynarki Wojennej Rzeczypospolitej Polskiej</w:t>
      </w:r>
      <w:r w:rsidR="004C6CC5" w:rsidRPr="006D3BB8">
        <w:rPr>
          <w:rFonts w:ascii="Arial" w:hAnsi="Arial" w:cs="Arial"/>
          <w:sz w:val="20"/>
          <w:szCs w:val="20"/>
        </w:rPr>
        <w:t xml:space="preserve"> i </w:t>
      </w:r>
      <w:r w:rsidR="00D226EE" w:rsidRPr="006D3BB8">
        <w:rPr>
          <w:rFonts w:ascii="Arial" w:hAnsi="Arial" w:cs="Arial"/>
          <w:sz w:val="20"/>
          <w:szCs w:val="20"/>
        </w:rPr>
        <w:t>Komendanta Morsk</w:t>
      </w:r>
      <w:r w:rsidR="00D33D92">
        <w:rPr>
          <w:rFonts w:ascii="Arial" w:hAnsi="Arial" w:cs="Arial"/>
          <w:sz w:val="20"/>
          <w:szCs w:val="20"/>
        </w:rPr>
        <w:t>iego Oddziału Straży Granicznej</w:t>
      </w:r>
      <w:r w:rsidR="004C6CC5" w:rsidRPr="006D3BB8">
        <w:rPr>
          <w:rFonts w:ascii="Arial" w:hAnsi="Arial" w:cs="Arial"/>
          <w:sz w:val="20"/>
          <w:szCs w:val="20"/>
        </w:rPr>
        <w:t xml:space="preserve"> z </w:t>
      </w:r>
      <w:r w:rsidR="00D226EE" w:rsidRPr="006D3BB8">
        <w:rPr>
          <w:rFonts w:ascii="Arial" w:hAnsi="Arial" w:cs="Arial"/>
          <w:sz w:val="20"/>
          <w:szCs w:val="20"/>
        </w:rPr>
        <w:t>dnia 09.01.2004</w:t>
      </w:r>
      <w:r w:rsidR="009D01B9" w:rsidRPr="006D3BB8">
        <w:rPr>
          <w:rFonts w:ascii="Arial" w:hAnsi="Arial" w:cs="Arial"/>
          <w:sz w:val="20"/>
          <w:szCs w:val="20"/>
        </w:rPr>
        <w:t xml:space="preserve"> r.</w:t>
      </w:r>
      <w:r w:rsidR="004C6CC5" w:rsidRPr="006D3BB8">
        <w:rPr>
          <w:rFonts w:ascii="Arial" w:hAnsi="Arial" w:cs="Arial"/>
          <w:sz w:val="20"/>
          <w:szCs w:val="20"/>
        </w:rPr>
        <w:t xml:space="preserve"> w </w:t>
      </w:r>
      <w:r w:rsidR="00D226EE" w:rsidRPr="006D3BB8">
        <w:rPr>
          <w:rFonts w:ascii="Arial" w:hAnsi="Arial" w:cs="Arial"/>
          <w:sz w:val="20"/>
          <w:szCs w:val="20"/>
        </w:rPr>
        <w:t>oparciu o System Wymiany Informacji Bezpieczeństwa Żeglugi (SWIBŻ)</w:t>
      </w:r>
      <w:r w:rsidR="004C6CC5" w:rsidRPr="006D3BB8">
        <w:rPr>
          <w:rFonts w:ascii="Arial" w:hAnsi="Arial" w:cs="Arial"/>
          <w:sz w:val="20"/>
          <w:szCs w:val="20"/>
        </w:rPr>
        <w:t xml:space="preserve"> w </w:t>
      </w:r>
      <w:r w:rsidR="00D226EE" w:rsidRPr="006D3BB8">
        <w:rPr>
          <w:rFonts w:ascii="Arial" w:hAnsi="Arial" w:cs="Arial"/>
          <w:sz w:val="20"/>
          <w:szCs w:val="20"/>
        </w:rPr>
        <w:t>krajowym systemie monitorowania ruchu morskiego;</w:t>
      </w:r>
    </w:p>
    <w:p w14:paraId="2839A085" w14:textId="474D6E48" w:rsidR="00D226EE" w:rsidRPr="006D3BB8" w:rsidRDefault="006D3BB8" w:rsidP="006D3BB8">
      <w:pPr>
        <w:spacing w:after="120" w:line="276" w:lineRule="auto"/>
        <w:jc w:val="both"/>
        <w:rPr>
          <w:rFonts w:ascii="Arial" w:hAnsi="Arial" w:cs="Arial"/>
          <w:sz w:val="20"/>
          <w:szCs w:val="20"/>
        </w:rPr>
      </w:pPr>
      <w:r>
        <w:rPr>
          <w:rFonts w:ascii="Arial" w:hAnsi="Arial" w:cs="Arial"/>
          <w:sz w:val="20"/>
          <w:szCs w:val="20"/>
        </w:rPr>
        <w:t xml:space="preserve">- </w:t>
      </w:r>
      <w:r w:rsidR="00D226EE" w:rsidRPr="006D3BB8">
        <w:rPr>
          <w:rFonts w:ascii="Arial" w:hAnsi="Arial" w:cs="Arial"/>
          <w:sz w:val="20"/>
          <w:szCs w:val="20"/>
        </w:rPr>
        <w:t>w zakresie ochrony granicy państwowej Rzecz</w:t>
      </w:r>
      <w:r w:rsidR="00F73C69">
        <w:rPr>
          <w:rFonts w:ascii="Arial" w:hAnsi="Arial" w:cs="Arial"/>
          <w:sz w:val="20"/>
          <w:szCs w:val="20"/>
        </w:rPr>
        <w:t>ypospolitej Polskiej realizacja przedsięwzięć wynikających</w:t>
      </w:r>
      <w:r w:rsidR="00F96A84">
        <w:rPr>
          <w:rFonts w:ascii="Arial" w:hAnsi="Arial" w:cs="Arial"/>
          <w:sz w:val="20"/>
          <w:szCs w:val="20"/>
        </w:rPr>
        <w:t xml:space="preserve"> z </w:t>
      </w:r>
      <w:r w:rsidR="00D226EE" w:rsidRPr="006D3BB8">
        <w:rPr>
          <w:rFonts w:ascii="Arial" w:hAnsi="Arial" w:cs="Arial"/>
          <w:sz w:val="20"/>
          <w:szCs w:val="20"/>
        </w:rPr>
        <w:t>zapisów Planu Współdziałania Komendanta Morskiego Oddziału Straży Granicznej</w:t>
      </w:r>
      <w:r w:rsidR="004C6CC5" w:rsidRPr="006D3BB8">
        <w:rPr>
          <w:rFonts w:ascii="Arial" w:hAnsi="Arial" w:cs="Arial"/>
          <w:sz w:val="20"/>
          <w:szCs w:val="20"/>
        </w:rPr>
        <w:t xml:space="preserve"> i </w:t>
      </w:r>
      <w:r w:rsidR="00D226EE" w:rsidRPr="006D3BB8">
        <w:rPr>
          <w:rFonts w:ascii="Arial" w:hAnsi="Arial" w:cs="Arial"/>
          <w:sz w:val="20"/>
          <w:szCs w:val="20"/>
        </w:rPr>
        <w:t>Dowódcy Centrum Operacji Morskich </w:t>
      </w:r>
      <w:r w:rsidR="00ED4992">
        <w:rPr>
          <w:rFonts w:ascii="Arial" w:hAnsi="Arial" w:cs="Arial"/>
          <w:sz w:val="20"/>
          <w:szCs w:val="20"/>
        </w:rPr>
        <w:t>-</w:t>
      </w:r>
      <w:r w:rsidR="00D226EE" w:rsidRPr="006D3BB8">
        <w:rPr>
          <w:rFonts w:ascii="Arial" w:hAnsi="Arial" w:cs="Arial"/>
          <w:sz w:val="20"/>
          <w:szCs w:val="20"/>
        </w:rPr>
        <w:t> Dowódcy Komponentu Morskiego</w:t>
      </w:r>
      <w:r w:rsidR="004C6CC5" w:rsidRPr="006D3BB8">
        <w:rPr>
          <w:rFonts w:ascii="Arial" w:hAnsi="Arial" w:cs="Arial"/>
          <w:sz w:val="20"/>
          <w:szCs w:val="20"/>
        </w:rPr>
        <w:t xml:space="preserve"> z </w:t>
      </w:r>
      <w:r w:rsidR="00D226EE" w:rsidRPr="006D3BB8">
        <w:rPr>
          <w:rFonts w:ascii="Arial" w:hAnsi="Arial" w:cs="Arial"/>
          <w:sz w:val="20"/>
          <w:szCs w:val="20"/>
        </w:rPr>
        <w:t>dnia 18 lutego 2019</w:t>
      </w:r>
      <w:r w:rsidR="009D01B9" w:rsidRPr="006D3BB8">
        <w:rPr>
          <w:rFonts w:ascii="Arial" w:hAnsi="Arial" w:cs="Arial"/>
          <w:sz w:val="20"/>
          <w:szCs w:val="20"/>
        </w:rPr>
        <w:t xml:space="preserve"> r.</w:t>
      </w:r>
      <w:r w:rsidR="004C6CC5" w:rsidRPr="006D3BB8">
        <w:rPr>
          <w:rFonts w:ascii="Arial" w:hAnsi="Arial" w:cs="Arial"/>
          <w:sz w:val="20"/>
          <w:szCs w:val="20"/>
        </w:rPr>
        <w:t xml:space="preserve"> w </w:t>
      </w:r>
      <w:r w:rsidR="00D226EE" w:rsidRPr="006D3BB8">
        <w:rPr>
          <w:rFonts w:ascii="Arial" w:hAnsi="Arial" w:cs="Arial"/>
          <w:sz w:val="20"/>
          <w:szCs w:val="20"/>
        </w:rPr>
        <w:t>zakresie ochrony granicy państwowej, obe</w:t>
      </w:r>
      <w:r w:rsidR="00815395">
        <w:rPr>
          <w:rFonts w:ascii="Arial" w:hAnsi="Arial" w:cs="Arial"/>
          <w:sz w:val="20"/>
          <w:szCs w:val="20"/>
        </w:rPr>
        <w:t>jmującego m.</w:t>
      </w:r>
      <w:r>
        <w:rPr>
          <w:rFonts w:ascii="Arial" w:hAnsi="Arial" w:cs="Arial"/>
          <w:sz w:val="20"/>
          <w:szCs w:val="20"/>
        </w:rPr>
        <w:t xml:space="preserve">in. przekazywanie </w:t>
      </w:r>
      <w:r w:rsidR="00D226EE" w:rsidRPr="006D3BB8">
        <w:rPr>
          <w:rFonts w:ascii="Arial" w:hAnsi="Arial" w:cs="Arial"/>
          <w:sz w:val="20"/>
          <w:szCs w:val="20"/>
        </w:rPr>
        <w:t>w systemie służb dyżurnych informacji o ważn</w:t>
      </w:r>
      <w:r>
        <w:rPr>
          <w:rFonts w:ascii="Arial" w:hAnsi="Arial" w:cs="Arial"/>
          <w:sz w:val="20"/>
          <w:szCs w:val="20"/>
        </w:rPr>
        <w:t xml:space="preserve">ych zdarzeniach mających wpływ </w:t>
      </w:r>
      <w:r w:rsidR="00D226EE" w:rsidRPr="006D3BB8">
        <w:rPr>
          <w:rFonts w:ascii="Arial" w:hAnsi="Arial" w:cs="Arial"/>
          <w:sz w:val="20"/>
          <w:szCs w:val="20"/>
        </w:rPr>
        <w:t>na bezpieczeństwo obszarów morskich;</w:t>
      </w:r>
    </w:p>
    <w:p w14:paraId="45CFD99F" w14:textId="2FA8BE88" w:rsidR="00D226EE" w:rsidRPr="006D3BB8" w:rsidRDefault="006D3BB8" w:rsidP="006D3BB8">
      <w:pPr>
        <w:spacing w:after="120" w:line="276" w:lineRule="auto"/>
        <w:jc w:val="both"/>
        <w:rPr>
          <w:rFonts w:ascii="Arial" w:hAnsi="Arial" w:cs="Arial"/>
          <w:sz w:val="20"/>
          <w:szCs w:val="20"/>
        </w:rPr>
      </w:pPr>
      <w:r>
        <w:rPr>
          <w:rFonts w:ascii="Arial" w:hAnsi="Arial" w:cs="Arial"/>
          <w:sz w:val="20"/>
          <w:szCs w:val="20"/>
        </w:rPr>
        <w:t xml:space="preserve">- </w:t>
      </w:r>
      <w:r w:rsidR="00D226EE" w:rsidRPr="006D3BB8">
        <w:rPr>
          <w:rFonts w:ascii="Arial" w:hAnsi="Arial" w:cs="Arial"/>
          <w:sz w:val="20"/>
          <w:szCs w:val="20"/>
        </w:rPr>
        <w:t>ciągły monitoring</w:t>
      </w:r>
      <w:r w:rsidR="004C6CC5" w:rsidRPr="006D3BB8">
        <w:rPr>
          <w:rFonts w:ascii="Arial" w:hAnsi="Arial" w:cs="Arial"/>
          <w:sz w:val="20"/>
          <w:szCs w:val="20"/>
        </w:rPr>
        <w:t xml:space="preserve"> i </w:t>
      </w:r>
      <w:r w:rsidR="00F73C69">
        <w:rPr>
          <w:rFonts w:ascii="Arial" w:hAnsi="Arial" w:cs="Arial"/>
          <w:sz w:val="20"/>
          <w:szCs w:val="20"/>
        </w:rPr>
        <w:t>analiza</w:t>
      </w:r>
      <w:r w:rsidR="00D226EE" w:rsidRPr="006D3BB8">
        <w:rPr>
          <w:rFonts w:ascii="Arial" w:hAnsi="Arial" w:cs="Arial"/>
          <w:sz w:val="20"/>
          <w:szCs w:val="20"/>
        </w:rPr>
        <w:t xml:space="preserve"> ruchu statków</w:t>
      </w:r>
      <w:r w:rsidR="004C6CC5" w:rsidRPr="006D3BB8">
        <w:rPr>
          <w:rFonts w:ascii="Arial" w:hAnsi="Arial" w:cs="Arial"/>
          <w:sz w:val="20"/>
          <w:szCs w:val="20"/>
        </w:rPr>
        <w:t xml:space="preserve"> z </w:t>
      </w:r>
      <w:r w:rsidR="00D226EE" w:rsidRPr="006D3BB8">
        <w:rPr>
          <w:rFonts w:ascii="Arial" w:hAnsi="Arial" w:cs="Arial"/>
          <w:sz w:val="20"/>
          <w:szCs w:val="20"/>
        </w:rPr>
        <w:t>ładunkami niebezpiecznymi oraz jed</w:t>
      </w:r>
      <w:r w:rsidR="00815395">
        <w:rPr>
          <w:rFonts w:ascii="Arial" w:hAnsi="Arial" w:cs="Arial"/>
          <w:sz w:val="20"/>
          <w:szCs w:val="20"/>
        </w:rPr>
        <w:t xml:space="preserve">nostek badawczych, </w:t>
      </w:r>
      <w:r w:rsidR="00815395">
        <w:rPr>
          <w:rFonts w:ascii="Arial" w:hAnsi="Arial" w:cs="Arial"/>
          <w:sz w:val="20"/>
          <w:szCs w:val="20"/>
        </w:rPr>
        <w:br/>
        <w:t>z wykorzystaniem</w:t>
      </w:r>
      <w:r w:rsidR="004C6CC5" w:rsidRPr="006D3BB8">
        <w:rPr>
          <w:rFonts w:ascii="Arial" w:hAnsi="Arial" w:cs="Arial"/>
          <w:sz w:val="20"/>
          <w:szCs w:val="20"/>
        </w:rPr>
        <w:t xml:space="preserve"> w </w:t>
      </w:r>
      <w:r w:rsidR="00815395">
        <w:rPr>
          <w:rFonts w:ascii="Arial" w:hAnsi="Arial" w:cs="Arial"/>
          <w:sz w:val="20"/>
          <w:szCs w:val="20"/>
        </w:rPr>
        <w:t>tym celu systemów</w:t>
      </w:r>
      <w:r w:rsidR="00D226EE" w:rsidRPr="006D3BB8">
        <w:rPr>
          <w:rFonts w:ascii="Arial" w:hAnsi="Arial" w:cs="Arial"/>
          <w:sz w:val="20"/>
          <w:szCs w:val="20"/>
        </w:rPr>
        <w:t xml:space="preserve"> SWIBŻ</w:t>
      </w:r>
      <w:r w:rsidR="004C6CC5" w:rsidRPr="006D3BB8">
        <w:rPr>
          <w:rFonts w:ascii="Arial" w:hAnsi="Arial" w:cs="Arial"/>
          <w:sz w:val="20"/>
          <w:szCs w:val="20"/>
        </w:rPr>
        <w:t xml:space="preserve"> i </w:t>
      </w:r>
      <w:r w:rsidR="00D226EE" w:rsidRPr="006D3BB8">
        <w:rPr>
          <w:rFonts w:ascii="Arial" w:hAnsi="Arial" w:cs="Arial"/>
          <w:sz w:val="20"/>
          <w:szCs w:val="20"/>
        </w:rPr>
        <w:t>PHICS (Polish Harbours Information &amp; Control System). Dane</w:t>
      </w:r>
      <w:r w:rsidR="004C6CC5" w:rsidRPr="006D3BB8">
        <w:rPr>
          <w:rFonts w:ascii="Arial" w:hAnsi="Arial" w:cs="Arial"/>
          <w:sz w:val="20"/>
          <w:szCs w:val="20"/>
        </w:rPr>
        <w:t xml:space="preserve"> z </w:t>
      </w:r>
      <w:r w:rsidR="00D226EE" w:rsidRPr="006D3BB8">
        <w:rPr>
          <w:rFonts w:ascii="Arial" w:hAnsi="Arial" w:cs="Arial"/>
          <w:sz w:val="20"/>
          <w:szCs w:val="20"/>
        </w:rPr>
        <w:t>monitoringu</w:t>
      </w:r>
      <w:r w:rsidR="004C6CC5" w:rsidRPr="006D3BB8">
        <w:rPr>
          <w:rFonts w:ascii="Arial" w:hAnsi="Arial" w:cs="Arial"/>
          <w:sz w:val="20"/>
          <w:szCs w:val="20"/>
        </w:rPr>
        <w:t xml:space="preserve"> i </w:t>
      </w:r>
      <w:r w:rsidR="00D226EE" w:rsidRPr="006D3BB8">
        <w:rPr>
          <w:rFonts w:ascii="Arial" w:hAnsi="Arial" w:cs="Arial"/>
          <w:sz w:val="20"/>
          <w:szCs w:val="20"/>
        </w:rPr>
        <w:t>analizy ruchu statków</w:t>
      </w:r>
      <w:r w:rsidR="004C6CC5" w:rsidRPr="006D3BB8">
        <w:rPr>
          <w:rFonts w:ascii="Arial" w:hAnsi="Arial" w:cs="Arial"/>
          <w:sz w:val="20"/>
          <w:szCs w:val="20"/>
        </w:rPr>
        <w:t xml:space="preserve"> z </w:t>
      </w:r>
      <w:r w:rsidR="00D226EE" w:rsidRPr="006D3BB8">
        <w:rPr>
          <w:rFonts w:ascii="Arial" w:hAnsi="Arial" w:cs="Arial"/>
          <w:sz w:val="20"/>
          <w:szCs w:val="20"/>
        </w:rPr>
        <w:t>ładunkami niebezpiecznym były przekazywane do Centralnego Ośrodka Analizy Skażeń, który pełni rolę Centrum Dyspozycyjnego jednolitego Krajowego Systemu Wykrywania Skażeń</w:t>
      </w:r>
      <w:r w:rsidR="004C6CC5" w:rsidRPr="006D3BB8">
        <w:rPr>
          <w:rFonts w:ascii="Arial" w:hAnsi="Arial" w:cs="Arial"/>
          <w:sz w:val="20"/>
          <w:szCs w:val="20"/>
        </w:rPr>
        <w:t xml:space="preserve"> i </w:t>
      </w:r>
      <w:r w:rsidR="00D226EE" w:rsidRPr="006D3BB8">
        <w:rPr>
          <w:rFonts w:ascii="Arial" w:hAnsi="Arial" w:cs="Arial"/>
          <w:sz w:val="20"/>
          <w:szCs w:val="20"/>
        </w:rPr>
        <w:t>Alarmowania;</w:t>
      </w:r>
    </w:p>
    <w:p w14:paraId="51DC714B" w14:textId="65B8EF21" w:rsidR="00D226EE" w:rsidRPr="006D3BB8" w:rsidRDefault="006D3BB8" w:rsidP="006D3BB8">
      <w:pPr>
        <w:spacing w:after="120" w:line="276" w:lineRule="auto"/>
        <w:jc w:val="both"/>
        <w:rPr>
          <w:rFonts w:ascii="Arial" w:hAnsi="Arial" w:cs="Arial"/>
          <w:sz w:val="20"/>
          <w:szCs w:val="20"/>
        </w:rPr>
      </w:pPr>
      <w:r>
        <w:rPr>
          <w:rFonts w:ascii="Arial" w:hAnsi="Arial" w:cs="Arial"/>
          <w:sz w:val="20"/>
          <w:szCs w:val="20"/>
        </w:rPr>
        <w:t xml:space="preserve">- </w:t>
      </w:r>
      <w:r w:rsidR="00D226EE" w:rsidRPr="006D3BB8">
        <w:rPr>
          <w:rFonts w:ascii="Arial" w:hAnsi="Arial" w:cs="Arial"/>
          <w:sz w:val="20"/>
          <w:szCs w:val="20"/>
        </w:rPr>
        <w:t>zgodnie</w:t>
      </w:r>
      <w:r w:rsidR="00097206">
        <w:rPr>
          <w:rFonts w:ascii="Arial" w:hAnsi="Arial" w:cs="Arial"/>
          <w:sz w:val="20"/>
          <w:szCs w:val="20"/>
        </w:rPr>
        <w:t xml:space="preserve"> z </w:t>
      </w:r>
      <w:r w:rsidR="00D226EE" w:rsidRPr="006D3BB8">
        <w:rPr>
          <w:rFonts w:ascii="Arial" w:hAnsi="Arial" w:cs="Arial"/>
          <w:sz w:val="20"/>
          <w:szCs w:val="20"/>
        </w:rPr>
        <w:t>zadaniami Ośr</w:t>
      </w:r>
      <w:r w:rsidR="00C75F75">
        <w:rPr>
          <w:rFonts w:ascii="Arial" w:hAnsi="Arial" w:cs="Arial"/>
          <w:sz w:val="20"/>
          <w:szCs w:val="20"/>
        </w:rPr>
        <w:t>odka Analizy Skażeń, utrzymywanie</w:t>
      </w:r>
      <w:r w:rsidR="00D226EE" w:rsidRPr="006D3BB8">
        <w:rPr>
          <w:rFonts w:ascii="Arial" w:hAnsi="Arial" w:cs="Arial"/>
          <w:sz w:val="20"/>
          <w:szCs w:val="20"/>
        </w:rPr>
        <w:t xml:space="preserve"> g</w:t>
      </w:r>
      <w:r w:rsidR="00C75F75">
        <w:rPr>
          <w:rFonts w:ascii="Arial" w:hAnsi="Arial" w:cs="Arial"/>
          <w:sz w:val="20"/>
          <w:szCs w:val="20"/>
        </w:rPr>
        <w:t>otowości</w:t>
      </w:r>
      <w:r>
        <w:rPr>
          <w:rFonts w:ascii="Arial" w:hAnsi="Arial" w:cs="Arial"/>
          <w:sz w:val="20"/>
          <w:szCs w:val="20"/>
        </w:rPr>
        <w:t xml:space="preserve"> </w:t>
      </w:r>
      <w:r w:rsidR="00D226EE" w:rsidRPr="006D3BB8">
        <w:rPr>
          <w:rFonts w:ascii="Arial" w:hAnsi="Arial" w:cs="Arial"/>
          <w:sz w:val="20"/>
          <w:szCs w:val="20"/>
        </w:rPr>
        <w:t>do sporządzania</w:t>
      </w:r>
      <w:r w:rsidR="004C6CC5" w:rsidRPr="006D3BB8">
        <w:rPr>
          <w:rFonts w:ascii="Arial" w:hAnsi="Arial" w:cs="Arial"/>
          <w:sz w:val="20"/>
          <w:szCs w:val="20"/>
        </w:rPr>
        <w:t xml:space="preserve"> i </w:t>
      </w:r>
      <w:r w:rsidR="00D226EE" w:rsidRPr="006D3BB8">
        <w:rPr>
          <w:rFonts w:ascii="Arial" w:hAnsi="Arial" w:cs="Arial"/>
          <w:sz w:val="20"/>
          <w:szCs w:val="20"/>
        </w:rPr>
        <w:t>przekazywania do Krajowego Koordynatora Ostrzeżeń Nawigacyjnych komunikatów ostrzegawczych o skażeniach dla cywilnych jednostek pływających</w:t>
      </w:r>
      <w:r w:rsidR="004C6CC5" w:rsidRPr="006D3BB8">
        <w:rPr>
          <w:rFonts w:ascii="Arial" w:hAnsi="Arial" w:cs="Arial"/>
          <w:sz w:val="20"/>
          <w:szCs w:val="20"/>
        </w:rPr>
        <w:t xml:space="preserve"> w </w:t>
      </w:r>
      <w:r w:rsidR="00D226EE" w:rsidRPr="006D3BB8">
        <w:rPr>
          <w:rFonts w:ascii="Arial" w:hAnsi="Arial" w:cs="Arial"/>
          <w:sz w:val="20"/>
          <w:szCs w:val="20"/>
        </w:rPr>
        <w:t>formatach komunikatów CBRN (Chemical, Biological, Radiological &amp; Nuclear) MERWARN (Warnings to Merchant Ships at Sea).</w:t>
      </w:r>
    </w:p>
    <w:p w14:paraId="59BF3D0B" w14:textId="68C3C592" w:rsidR="00D226EE" w:rsidRPr="004C6CC5" w:rsidRDefault="00D226EE" w:rsidP="008D2321">
      <w:pPr>
        <w:pStyle w:val="NormalnyWeb"/>
        <w:kinsoku w:val="0"/>
        <w:overflowPunct w:val="0"/>
        <w:spacing w:before="0" w:beforeAutospacing="0" w:after="120" w:afterAutospacing="0" w:line="276" w:lineRule="auto"/>
        <w:jc w:val="both"/>
        <w:textAlignment w:val="baseline"/>
        <w:rPr>
          <w:rFonts w:ascii="Arial" w:hAnsi="Arial" w:cs="Arial"/>
          <w:sz w:val="20"/>
          <w:szCs w:val="20"/>
        </w:rPr>
      </w:pPr>
      <w:r w:rsidRPr="004C6CC5">
        <w:rPr>
          <w:rFonts w:ascii="Arial" w:hAnsi="Arial" w:cs="Arial"/>
          <w:sz w:val="20"/>
          <w:szCs w:val="20"/>
        </w:rPr>
        <w:t>Ochrona żeglugi, portów</w:t>
      </w:r>
      <w:r w:rsidR="00D277D9">
        <w:rPr>
          <w:rFonts w:ascii="Arial" w:hAnsi="Arial" w:cs="Arial"/>
          <w:sz w:val="20"/>
          <w:szCs w:val="20"/>
        </w:rPr>
        <w:t xml:space="preserve"> i </w:t>
      </w:r>
      <w:r w:rsidRPr="004C6CC5">
        <w:rPr>
          <w:rFonts w:ascii="Arial" w:hAnsi="Arial" w:cs="Arial"/>
          <w:sz w:val="20"/>
          <w:szCs w:val="20"/>
        </w:rPr>
        <w:t>innych obiektów infrastruktury krytycznej przed zagrożeniami terrorystycznymi realizowana była poprzez udział</w:t>
      </w:r>
      <w:r w:rsidR="004C6CC5">
        <w:rPr>
          <w:rFonts w:ascii="Arial" w:hAnsi="Arial" w:cs="Arial"/>
          <w:sz w:val="20"/>
          <w:szCs w:val="20"/>
        </w:rPr>
        <w:t xml:space="preserve"> w </w:t>
      </w:r>
      <w:r w:rsidRPr="004C6CC5">
        <w:rPr>
          <w:rFonts w:ascii="Arial" w:hAnsi="Arial" w:cs="Arial"/>
          <w:sz w:val="20"/>
          <w:szCs w:val="20"/>
        </w:rPr>
        <w:t>ćwiczeniu</w:t>
      </w:r>
      <w:r w:rsidR="004C6CC5">
        <w:rPr>
          <w:rFonts w:ascii="Arial" w:hAnsi="Arial" w:cs="Arial"/>
          <w:sz w:val="20"/>
          <w:szCs w:val="20"/>
        </w:rPr>
        <w:t xml:space="preserve"> z </w:t>
      </w:r>
      <w:r w:rsidRPr="004C6CC5">
        <w:rPr>
          <w:rFonts w:ascii="Arial" w:hAnsi="Arial" w:cs="Arial"/>
          <w:sz w:val="20"/>
          <w:szCs w:val="20"/>
        </w:rPr>
        <w:t xml:space="preserve">zakresu reagowania kryzysowego </w:t>
      </w:r>
      <w:r w:rsidR="00D277D9">
        <w:rPr>
          <w:rFonts w:ascii="Arial" w:hAnsi="Arial" w:cs="Arial"/>
          <w:sz w:val="20"/>
          <w:szCs w:val="20"/>
        </w:rPr>
        <w:br/>
      </w:r>
      <w:r w:rsidRPr="004C6CC5">
        <w:rPr>
          <w:rFonts w:ascii="Arial" w:hAnsi="Arial" w:cs="Arial"/>
          <w:sz w:val="20"/>
          <w:szCs w:val="20"/>
        </w:rPr>
        <w:t>pk. KAPER, którego głównym celem było zgrywanie</w:t>
      </w:r>
      <w:r w:rsidR="004C6CC5">
        <w:rPr>
          <w:rFonts w:ascii="Arial" w:hAnsi="Arial" w:cs="Arial"/>
          <w:sz w:val="20"/>
          <w:szCs w:val="20"/>
        </w:rPr>
        <w:t xml:space="preserve"> i </w:t>
      </w:r>
      <w:r w:rsidRPr="004C6CC5">
        <w:rPr>
          <w:rFonts w:ascii="Arial" w:hAnsi="Arial" w:cs="Arial"/>
          <w:sz w:val="20"/>
          <w:szCs w:val="20"/>
        </w:rPr>
        <w:t>sprawdzenie procedur współdziałania S</w:t>
      </w:r>
      <w:r w:rsidR="00F81D02">
        <w:rPr>
          <w:rFonts w:ascii="Arial" w:hAnsi="Arial" w:cs="Arial"/>
          <w:sz w:val="20"/>
          <w:szCs w:val="20"/>
        </w:rPr>
        <w:t xml:space="preserve">ił </w:t>
      </w:r>
      <w:r w:rsidRPr="004C6CC5">
        <w:rPr>
          <w:rFonts w:ascii="Arial" w:hAnsi="Arial" w:cs="Arial"/>
          <w:sz w:val="20"/>
          <w:szCs w:val="20"/>
        </w:rPr>
        <w:t>Z</w:t>
      </w:r>
      <w:r w:rsidR="00F81D02">
        <w:rPr>
          <w:rFonts w:ascii="Arial" w:hAnsi="Arial" w:cs="Arial"/>
          <w:sz w:val="20"/>
          <w:szCs w:val="20"/>
        </w:rPr>
        <w:t>brojnych</w:t>
      </w:r>
      <w:r w:rsidRPr="004C6CC5">
        <w:rPr>
          <w:rFonts w:ascii="Arial" w:hAnsi="Arial" w:cs="Arial"/>
          <w:sz w:val="20"/>
          <w:szCs w:val="20"/>
        </w:rPr>
        <w:t xml:space="preserve"> RP</w:t>
      </w:r>
      <w:r w:rsidR="004C6CC5">
        <w:rPr>
          <w:rFonts w:ascii="Arial" w:hAnsi="Arial" w:cs="Arial"/>
          <w:sz w:val="20"/>
          <w:szCs w:val="20"/>
        </w:rPr>
        <w:t xml:space="preserve"> w </w:t>
      </w:r>
      <w:r w:rsidRPr="004C6CC5">
        <w:rPr>
          <w:rFonts w:ascii="Arial" w:hAnsi="Arial" w:cs="Arial"/>
          <w:sz w:val="20"/>
          <w:szCs w:val="20"/>
        </w:rPr>
        <w:t>zakresie reagowania na zagrożenie terrorystyczne</w:t>
      </w:r>
      <w:r w:rsidR="004C6CC5">
        <w:rPr>
          <w:rFonts w:ascii="Arial" w:hAnsi="Arial" w:cs="Arial"/>
          <w:sz w:val="20"/>
          <w:szCs w:val="20"/>
        </w:rPr>
        <w:t xml:space="preserve"> z </w:t>
      </w:r>
      <w:r w:rsidRPr="004C6CC5">
        <w:rPr>
          <w:rFonts w:ascii="Arial" w:hAnsi="Arial" w:cs="Arial"/>
          <w:sz w:val="20"/>
          <w:szCs w:val="20"/>
        </w:rPr>
        <w:t>morza. Koordynacja działań na morzu</w:t>
      </w:r>
      <w:r w:rsidR="00F350A6">
        <w:rPr>
          <w:rFonts w:ascii="Arial" w:hAnsi="Arial" w:cs="Arial"/>
          <w:sz w:val="20"/>
          <w:szCs w:val="20"/>
        </w:rPr>
        <w:t xml:space="preserve">, w </w:t>
      </w:r>
      <w:r w:rsidRPr="004C6CC5">
        <w:rPr>
          <w:rFonts w:ascii="Arial" w:hAnsi="Arial" w:cs="Arial"/>
          <w:sz w:val="20"/>
          <w:szCs w:val="20"/>
        </w:rPr>
        <w:t>tym wsparcie wojsk specjalnych</w:t>
      </w:r>
      <w:r w:rsidR="004C6CC5">
        <w:rPr>
          <w:rFonts w:ascii="Arial" w:hAnsi="Arial" w:cs="Arial"/>
          <w:sz w:val="20"/>
          <w:szCs w:val="20"/>
        </w:rPr>
        <w:t xml:space="preserve"> w </w:t>
      </w:r>
      <w:r w:rsidRPr="004C6CC5">
        <w:rPr>
          <w:rFonts w:ascii="Arial" w:hAnsi="Arial" w:cs="Arial"/>
          <w:sz w:val="20"/>
          <w:szCs w:val="20"/>
        </w:rPr>
        <w:t>prowadzeniu operacji było główn</w:t>
      </w:r>
      <w:r w:rsidR="00F81D02">
        <w:rPr>
          <w:rFonts w:ascii="Arial" w:hAnsi="Arial" w:cs="Arial"/>
          <w:sz w:val="20"/>
          <w:szCs w:val="20"/>
        </w:rPr>
        <w:t xml:space="preserve">ym zadaniem realizowanym przez </w:t>
      </w:r>
      <w:r w:rsidRPr="004C6CC5">
        <w:rPr>
          <w:rFonts w:ascii="Arial" w:hAnsi="Arial" w:cs="Arial"/>
          <w:sz w:val="20"/>
          <w:szCs w:val="20"/>
        </w:rPr>
        <w:t>COM-DKM.</w:t>
      </w:r>
      <w:r w:rsidR="00F350A6">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celu ochrony żeglugi, portów</w:t>
      </w:r>
      <w:r w:rsidR="00861EBD">
        <w:rPr>
          <w:rFonts w:ascii="Arial" w:hAnsi="Arial" w:cs="Arial"/>
          <w:sz w:val="20"/>
          <w:szCs w:val="20"/>
        </w:rPr>
        <w:t xml:space="preserve"> i </w:t>
      </w:r>
      <w:r w:rsidRPr="004C6CC5">
        <w:rPr>
          <w:rFonts w:ascii="Arial" w:hAnsi="Arial" w:cs="Arial"/>
          <w:sz w:val="20"/>
          <w:szCs w:val="20"/>
        </w:rPr>
        <w:t>innych obiektów infrastruktury prowadzono koordynację działalności operacyjnej wydzielonych sił dyżurnych</w:t>
      </w:r>
      <w:r w:rsidR="004C6CC5">
        <w:rPr>
          <w:rFonts w:ascii="Arial" w:hAnsi="Arial" w:cs="Arial"/>
          <w:sz w:val="20"/>
          <w:szCs w:val="20"/>
        </w:rPr>
        <w:t xml:space="preserve"> w </w:t>
      </w:r>
      <w:r w:rsidRPr="004C6CC5">
        <w:rPr>
          <w:rFonts w:ascii="Arial" w:hAnsi="Arial" w:cs="Arial"/>
          <w:sz w:val="20"/>
          <w:szCs w:val="20"/>
        </w:rPr>
        <w:t xml:space="preserve">czasie zawinięć </w:t>
      </w:r>
      <w:r w:rsidRPr="004C6CC5">
        <w:rPr>
          <w:rFonts w:ascii="Arial" w:hAnsi="Arial" w:cs="Arial"/>
          <w:sz w:val="20"/>
          <w:szCs w:val="20"/>
        </w:rPr>
        <w:lastRenderedPageBreak/>
        <w:t>jednostek specjalistycznych (tankowce klasyczne </w:t>
      </w:r>
      <w:r w:rsidR="00F350A6">
        <w:rPr>
          <w:rFonts w:ascii="Arial" w:hAnsi="Arial" w:cs="Arial"/>
          <w:sz w:val="20"/>
          <w:szCs w:val="20"/>
        </w:rPr>
        <w:t>-</w:t>
      </w:r>
      <w:r w:rsidRPr="004C6CC5">
        <w:rPr>
          <w:rFonts w:ascii="Arial" w:hAnsi="Arial" w:cs="Arial"/>
          <w:sz w:val="20"/>
          <w:szCs w:val="20"/>
        </w:rPr>
        <w:t> przewóz ropy</w:t>
      </w:r>
      <w:r w:rsidR="004C6CC5">
        <w:rPr>
          <w:rFonts w:ascii="Arial" w:hAnsi="Arial" w:cs="Arial"/>
          <w:sz w:val="20"/>
          <w:szCs w:val="20"/>
        </w:rPr>
        <w:t xml:space="preserve"> i </w:t>
      </w:r>
      <w:r w:rsidRPr="004C6CC5">
        <w:rPr>
          <w:rFonts w:ascii="Arial" w:hAnsi="Arial" w:cs="Arial"/>
          <w:sz w:val="20"/>
          <w:szCs w:val="20"/>
        </w:rPr>
        <w:t>materiałów pochodnych, tankowce LNG </w:t>
      </w:r>
      <w:r w:rsidR="00F350A6">
        <w:rPr>
          <w:rFonts w:ascii="Arial" w:hAnsi="Arial" w:cs="Arial"/>
          <w:sz w:val="20"/>
          <w:szCs w:val="20"/>
        </w:rPr>
        <w:t>-</w:t>
      </w:r>
      <w:r w:rsidRPr="004C6CC5">
        <w:rPr>
          <w:rFonts w:ascii="Arial" w:hAnsi="Arial" w:cs="Arial"/>
          <w:sz w:val="20"/>
          <w:szCs w:val="20"/>
        </w:rPr>
        <w:t> dostawy gazu skroplonego) do terminali</w:t>
      </w:r>
      <w:r w:rsidR="004C6CC5">
        <w:rPr>
          <w:rFonts w:ascii="Arial" w:hAnsi="Arial" w:cs="Arial"/>
          <w:sz w:val="20"/>
          <w:szCs w:val="20"/>
        </w:rPr>
        <w:t xml:space="preserve"> w </w:t>
      </w:r>
      <w:r w:rsidRPr="004C6CC5">
        <w:rPr>
          <w:rFonts w:ascii="Arial" w:hAnsi="Arial" w:cs="Arial"/>
          <w:sz w:val="20"/>
          <w:szCs w:val="20"/>
        </w:rPr>
        <w:t>Świnoujściu (LNG)</w:t>
      </w:r>
      <w:r w:rsidR="004C6CC5">
        <w:rPr>
          <w:rFonts w:ascii="Arial" w:hAnsi="Arial" w:cs="Arial"/>
          <w:sz w:val="20"/>
          <w:szCs w:val="20"/>
        </w:rPr>
        <w:t xml:space="preserve"> i </w:t>
      </w:r>
      <w:r w:rsidRPr="004C6CC5">
        <w:rPr>
          <w:rFonts w:ascii="Arial" w:hAnsi="Arial" w:cs="Arial"/>
          <w:sz w:val="20"/>
          <w:szCs w:val="20"/>
        </w:rPr>
        <w:t>Naftoportu</w:t>
      </w:r>
      <w:r w:rsidR="004C6CC5">
        <w:rPr>
          <w:rFonts w:ascii="Arial" w:hAnsi="Arial" w:cs="Arial"/>
          <w:sz w:val="20"/>
          <w:szCs w:val="20"/>
        </w:rPr>
        <w:t xml:space="preserve"> w </w:t>
      </w:r>
      <w:r w:rsidRPr="004C6CC5">
        <w:rPr>
          <w:rFonts w:ascii="Arial" w:hAnsi="Arial" w:cs="Arial"/>
          <w:sz w:val="20"/>
          <w:szCs w:val="20"/>
        </w:rPr>
        <w:t>Gdańsku. Dzięki koordynacji tych działań możliwa jest bezpośrednia wymiana informacji</w:t>
      </w:r>
      <w:r w:rsidR="004C6CC5">
        <w:rPr>
          <w:rFonts w:ascii="Arial" w:hAnsi="Arial" w:cs="Arial"/>
          <w:sz w:val="20"/>
          <w:szCs w:val="20"/>
        </w:rPr>
        <w:t xml:space="preserve"> z </w:t>
      </w:r>
      <w:r w:rsidRPr="004C6CC5">
        <w:rPr>
          <w:rFonts w:ascii="Arial" w:hAnsi="Arial" w:cs="Arial"/>
          <w:sz w:val="20"/>
          <w:szCs w:val="20"/>
        </w:rPr>
        <w:t>przedstawicielami zar</w:t>
      </w:r>
      <w:r w:rsidR="00F81D02">
        <w:rPr>
          <w:rFonts w:ascii="Arial" w:hAnsi="Arial" w:cs="Arial"/>
          <w:sz w:val="20"/>
          <w:szCs w:val="20"/>
        </w:rPr>
        <w:t xml:space="preserve">ządów portów, odpowiedzialnymi </w:t>
      </w:r>
      <w:r w:rsidRPr="004C6CC5">
        <w:rPr>
          <w:rFonts w:ascii="Arial" w:hAnsi="Arial" w:cs="Arial"/>
          <w:sz w:val="20"/>
          <w:szCs w:val="20"/>
        </w:rPr>
        <w:t>za bezpieczeństwo obiektów</w:t>
      </w:r>
      <w:r w:rsidR="004C6CC5">
        <w:rPr>
          <w:rFonts w:ascii="Arial" w:hAnsi="Arial" w:cs="Arial"/>
          <w:sz w:val="20"/>
          <w:szCs w:val="20"/>
        </w:rPr>
        <w:t xml:space="preserve"> i </w:t>
      </w:r>
      <w:r w:rsidRPr="004C6CC5">
        <w:rPr>
          <w:rFonts w:ascii="Arial" w:hAnsi="Arial" w:cs="Arial"/>
          <w:sz w:val="20"/>
          <w:szCs w:val="20"/>
        </w:rPr>
        <w:t>infrastruktury portowej oraz jednostek tam cumujących, pozwala na efektywne zarządzanie siłami Marynarki Wojennej.</w:t>
      </w:r>
    </w:p>
    <w:p w14:paraId="1895B9C6" w14:textId="207C0B68"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W ramach realizacji zadań działalności operacyjnej M</w:t>
      </w:r>
      <w:r w:rsidR="0013101B">
        <w:rPr>
          <w:rFonts w:ascii="Arial" w:hAnsi="Arial" w:cs="Arial"/>
          <w:sz w:val="20"/>
          <w:szCs w:val="20"/>
        </w:rPr>
        <w:t xml:space="preserve">arynarki </w:t>
      </w:r>
      <w:r w:rsidRPr="004C6CC5">
        <w:rPr>
          <w:rFonts w:ascii="Arial" w:hAnsi="Arial" w:cs="Arial"/>
          <w:sz w:val="20"/>
          <w:szCs w:val="20"/>
        </w:rPr>
        <w:t>W</w:t>
      </w:r>
      <w:r w:rsidR="0013101B">
        <w:rPr>
          <w:rFonts w:ascii="Arial" w:hAnsi="Arial" w:cs="Arial"/>
          <w:sz w:val="20"/>
          <w:szCs w:val="20"/>
        </w:rPr>
        <w:t>ojennej</w:t>
      </w:r>
      <w:r w:rsidRPr="004C6CC5">
        <w:rPr>
          <w:rFonts w:ascii="Arial" w:hAnsi="Arial" w:cs="Arial"/>
          <w:sz w:val="20"/>
          <w:szCs w:val="20"/>
        </w:rPr>
        <w:t xml:space="preserve"> okręty wydzielone do pełnienia dyżurów bojowych prowadziły monitorowanie sytuacji morskiej</w:t>
      </w:r>
      <w:r w:rsidR="0013101B">
        <w:rPr>
          <w:rFonts w:ascii="Arial" w:hAnsi="Arial" w:cs="Arial"/>
          <w:sz w:val="20"/>
          <w:szCs w:val="20"/>
        </w:rPr>
        <w:t xml:space="preserve"> w</w:t>
      </w:r>
      <w:r w:rsidR="0013101B" w:rsidRPr="004C6CC5">
        <w:rPr>
          <w:rFonts w:ascii="Arial" w:hAnsi="Arial" w:cs="Arial"/>
          <w:sz w:val="20"/>
          <w:szCs w:val="20"/>
        </w:rPr>
        <w:t xml:space="preserve"> </w:t>
      </w:r>
      <w:r w:rsidRPr="004C6CC5">
        <w:rPr>
          <w:rFonts w:ascii="Arial" w:hAnsi="Arial" w:cs="Arial"/>
          <w:sz w:val="20"/>
          <w:szCs w:val="20"/>
        </w:rPr>
        <w:t>polskic</w:t>
      </w:r>
      <w:r w:rsidR="0013101B">
        <w:rPr>
          <w:rFonts w:ascii="Arial" w:hAnsi="Arial" w:cs="Arial"/>
          <w:sz w:val="20"/>
          <w:szCs w:val="20"/>
        </w:rPr>
        <w:t>h obszarach morskich</w:t>
      </w:r>
      <w:r w:rsidR="004C6CC5">
        <w:rPr>
          <w:rFonts w:ascii="Arial" w:hAnsi="Arial" w:cs="Arial"/>
          <w:sz w:val="20"/>
          <w:szCs w:val="20"/>
        </w:rPr>
        <w:t xml:space="preserve"> w </w:t>
      </w:r>
      <w:r w:rsidRPr="004C6CC5">
        <w:rPr>
          <w:rFonts w:ascii="Arial" w:hAnsi="Arial" w:cs="Arial"/>
          <w:sz w:val="20"/>
          <w:szCs w:val="20"/>
        </w:rPr>
        <w:t>czasie dostaw drogą morską gazu do terminala LNG</w:t>
      </w:r>
      <w:r w:rsidR="004C6CC5">
        <w:rPr>
          <w:rFonts w:ascii="Arial" w:hAnsi="Arial" w:cs="Arial"/>
          <w:sz w:val="20"/>
          <w:szCs w:val="20"/>
        </w:rPr>
        <w:t xml:space="preserve"> w </w:t>
      </w:r>
      <w:r w:rsidRPr="004C6CC5">
        <w:rPr>
          <w:rFonts w:ascii="Arial" w:hAnsi="Arial" w:cs="Arial"/>
          <w:sz w:val="20"/>
          <w:szCs w:val="20"/>
        </w:rPr>
        <w:t>Świnoujściu.</w:t>
      </w:r>
      <w:r w:rsidR="00CB3D3C">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roku 2019 zrealizowano 14 rejsów patrolowych</w:t>
      </w:r>
      <w:r w:rsidR="004C6CC5">
        <w:rPr>
          <w:rFonts w:ascii="Arial" w:hAnsi="Arial" w:cs="Arial"/>
          <w:sz w:val="20"/>
          <w:szCs w:val="20"/>
        </w:rPr>
        <w:t xml:space="preserve"> w </w:t>
      </w:r>
      <w:r w:rsidRPr="004C6CC5">
        <w:rPr>
          <w:rFonts w:ascii="Arial" w:hAnsi="Arial" w:cs="Arial"/>
          <w:sz w:val="20"/>
          <w:szCs w:val="20"/>
        </w:rPr>
        <w:t>czasie przejścia tankowców LNG.</w:t>
      </w:r>
    </w:p>
    <w:p w14:paraId="43048E30" w14:textId="7B9F540E" w:rsidR="00D226EE" w:rsidRPr="004C6CC5" w:rsidRDefault="00D226EE" w:rsidP="008D2321">
      <w:pPr>
        <w:pStyle w:val="NormalnyWeb"/>
        <w:kinsoku w:val="0"/>
        <w:overflowPunct w:val="0"/>
        <w:spacing w:before="0" w:beforeAutospacing="0" w:after="120" w:afterAutospacing="0" w:line="276" w:lineRule="auto"/>
        <w:jc w:val="both"/>
        <w:textAlignment w:val="baseline"/>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Marynarka Wojenna prowadziła również przedsięwzięcia</w:t>
      </w:r>
      <w:r w:rsidR="004C6CC5">
        <w:rPr>
          <w:rFonts w:ascii="Arial" w:hAnsi="Arial" w:cs="Arial"/>
          <w:sz w:val="20"/>
          <w:szCs w:val="20"/>
        </w:rPr>
        <w:t xml:space="preserve"> z </w:t>
      </w:r>
      <w:r w:rsidRPr="004C6CC5">
        <w:rPr>
          <w:rFonts w:ascii="Arial" w:hAnsi="Arial" w:cs="Arial"/>
          <w:sz w:val="20"/>
          <w:szCs w:val="20"/>
        </w:rPr>
        <w:t>zakresu ratownictwa morskiego</w:t>
      </w:r>
      <w:r w:rsidR="004C6CC5">
        <w:rPr>
          <w:rFonts w:ascii="Arial" w:hAnsi="Arial" w:cs="Arial"/>
          <w:sz w:val="20"/>
          <w:szCs w:val="20"/>
        </w:rPr>
        <w:t xml:space="preserve"> i </w:t>
      </w:r>
      <w:r w:rsidR="00CB3D3C">
        <w:rPr>
          <w:rFonts w:ascii="Arial" w:hAnsi="Arial" w:cs="Arial"/>
          <w:sz w:val="20"/>
          <w:szCs w:val="20"/>
        </w:rPr>
        <w:t>lotniczego realizowane</w:t>
      </w:r>
      <w:r w:rsidRPr="004C6CC5">
        <w:rPr>
          <w:rFonts w:ascii="Arial" w:hAnsi="Arial" w:cs="Arial"/>
          <w:sz w:val="20"/>
          <w:szCs w:val="20"/>
        </w:rPr>
        <w:t xml:space="preserve"> poprzez sprawowanie taktycznego dowodzenia wydzielonymi siłami biorącymi udział</w:t>
      </w:r>
      <w:r w:rsidR="004C6CC5">
        <w:rPr>
          <w:rFonts w:ascii="Arial" w:hAnsi="Arial" w:cs="Arial"/>
          <w:sz w:val="20"/>
          <w:szCs w:val="20"/>
        </w:rPr>
        <w:t xml:space="preserve"> w </w:t>
      </w:r>
      <w:r w:rsidRPr="004C6CC5">
        <w:rPr>
          <w:rFonts w:ascii="Arial" w:hAnsi="Arial" w:cs="Arial"/>
          <w:sz w:val="20"/>
          <w:szCs w:val="20"/>
        </w:rPr>
        <w:t>akcjach ratowniczych,</w:t>
      </w:r>
      <w:r w:rsidR="004C6CC5">
        <w:rPr>
          <w:rFonts w:ascii="Arial" w:hAnsi="Arial" w:cs="Arial"/>
          <w:sz w:val="20"/>
          <w:szCs w:val="20"/>
        </w:rPr>
        <w:t xml:space="preserve"> w </w:t>
      </w:r>
      <w:r w:rsidRPr="004C6CC5">
        <w:rPr>
          <w:rFonts w:ascii="Arial" w:hAnsi="Arial" w:cs="Arial"/>
          <w:sz w:val="20"/>
          <w:szCs w:val="20"/>
        </w:rPr>
        <w:t>polskiej strefie odpowiedzialności SAR</w:t>
      </w:r>
      <w:r w:rsidR="004C6CC5">
        <w:rPr>
          <w:rFonts w:ascii="Arial" w:hAnsi="Arial" w:cs="Arial"/>
          <w:sz w:val="20"/>
          <w:szCs w:val="20"/>
        </w:rPr>
        <w:t xml:space="preserve"> i </w:t>
      </w:r>
      <w:r w:rsidRPr="004C6CC5">
        <w:rPr>
          <w:rFonts w:ascii="Arial" w:hAnsi="Arial" w:cs="Arial"/>
          <w:sz w:val="20"/>
          <w:szCs w:val="20"/>
        </w:rPr>
        <w:t>ASAR oraz współdziałanie</w:t>
      </w:r>
      <w:r w:rsidR="004C6CC5">
        <w:rPr>
          <w:rFonts w:ascii="Arial" w:hAnsi="Arial" w:cs="Arial"/>
          <w:sz w:val="20"/>
          <w:szCs w:val="20"/>
        </w:rPr>
        <w:t xml:space="preserve"> w </w:t>
      </w:r>
      <w:r w:rsidRPr="004C6CC5">
        <w:rPr>
          <w:rFonts w:ascii="Arial" w:hAnsi="Arial" w:cs="Arial"/>
          <w:sz w:val="20"/>
          <w:szCs w:val="20"/>
        </w:rPr>
        <w:t>tym obszarze</w:t>
      </w:r>
      <w:r w:rsidR="00E02982">
        <w:rPr>
          <w:rFonts w:ascii="Arial" w:hAnsi="Arial" w:cs="Arial"/>
          <w:sz w:val="20"/>
          <w:szCs w:val="20"/>
        </w:rPr>
        <w:t xml:space="preserve"> z </w:t>
      </w:r>
      <w:r w:rsidRPr="004C6CC5">
        <w:rPr>
          <w:rFonts w:ascii="Arial" w:hAnsi="Arial" w:cs="Arial"/>
          <w:sz w:val="20"/>
          <w:szCs w:val="20"/>
        </w:rPr>
        <w:t>Morską Służbą Poszukiwania</w:t>
      </w:r>
      <w:r w:rsidR="00E02982">
        <w:rPr>
          <w:rFonts w:ascii="Arial" w:hAnsi="Arial" w:cs="Arial"/>
          <w:sz w:val="20"/>
          <w:szCs w:val="20"/>
        </w:rPr>
        <w:t xml:space="preserve"> i </w:t>
      </w:r>
      <w:r w:rsidRPr="004C6CC5">
        <w:rPr>
          <w:rFonts w:ascii="Arial" w:hAnsi="Arial" w:cs="Arial"/>
          <w:sz w:val="20"/>
          <w:szCs w:val="20"/>
        </w:rPr>
        <w:t>Ratownictwa oraz międzynarodowymi systemami ratowniczymi państw Morza Bałtyckiego.</w:t>
      </w:r>
      <w:r w:rsidR="00CB3D3C">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uczestniczono</w:t>
      </w:r>
      <w:r w:rsidR="004C6CC5">
        <w:rPr>
          <w:rFonts w:ascii="Arial" w:hAnsi="Arial" w:cs="Arial"/>
          <w:sz w:val="20"/>
          <w:szCs w:val="20"/>
        </w:rPr>
        <w:t xml:space="preserve"> w </w:t>
      </w:r>
      <w:r w:rsidRPr="004C6CC5">
        <w:rPr>
          <w:rFonts w:ascii="Arial" w:hAnsi="Arial" w:cs="Arial"/>
          <w:sz w:val="20"/>
          <w:szCs w:val="20"/>
        </w:rPr>
        <w:t>28 akcjach poszukiwawczo-ratowniczych, realizując 33 wyloty dyżurnych statków powietrznych.</w:t>
      </w:r>
      <w:r w:rsidR="00CB3D3C">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ramach działań udzielono pomocy 16 osobom.</w:t>
      </w:r>
    </w:p>
    <w:p w14:paraId="20CF9630" w14:textId="5C88E151" w:rsidR="00D226EE" w:rsidRPr="004C6CC5" w:rsidRDefault="00D22010" w:rsidP="008D2321">
      <w:pPr>
        <w:spacing w:after="120" w:line="276" w:lineRule="auto"/>
        <w:jc w:val="both"/>
        <w:rPr>
          <w:rFonts w:ascii="Arial" w:hAnsi="Arial" w:cs="Arial"/>
          <w:sz w:val="20"/>
          <w:szCs w:val="20"/>
        </w:rPr>
      </w:pPr>
      <w:r>
        <w:rPr>
          <w:rFonts w:ascii="Arial" w:hAnsi="Arial" w:cs="Arial"/>
          <w:sz w:val="20"/>
          <w:szCs w:val="20"/>
        </w:rPr>
        <w:t>W 2019 r.</w:t>
      </w:r>
      <w:r w:rsidR="00080F8F">
        <w:rPr>
          <w:rFonts w:ascii="Arial" w:hAnsi="Arial" w:cs="Arial"/>
          <w:sz w:val="20"/>
          <w:szCs w:val="20"/>
        </w:rPr>
        <w:t xml:space="preserve"> w </w:t>
      </w:r>
      <w:r w:rsidR="00D226EE" w:rsidRPr="004C6CC5">
        <w:rPr>
          <w:rFonts w:ascii="Arial" w:hAnsi="Arial" w:cs="Arial"/>
          <w:sz w:val="20"/>
          <w:szCs w:val="20"/>
        </w:rPr>
        <w:t>Marynarce Wojennej kontynuowano działania zmierzające do pozyskania nowych zdolności operacyjnych, poprzez realizację projektów zapisanych</w:t>
      </w:r>
      <w:r>
        <w:rPr>
          <w:rFonts w:ascii="Arial" w:hAnsi="Arial" w:cs="Arial"/>
          <w:sz w:val="20"/>
          <w:szCs w:val="20"/>
        </w:rPr>
        <w:t xml:space="preserve"> w „Programie </w:t>
      </w:r>
      <w:r w:rsidR="00D226EE" w:rsidRPr="004C6CC5">
        <w:rPr>
          <w:rFonts w:ascii="Arial" w:hAnsi="Arial" w:cs="Arial"/>
          <w:sz w:val="20"/>
          <w:szCs w:val="20"/>
        </w:rPr>
        <w:t>operacyjnym </w:t>
      </w:r>
      <w:r w:rsidR="007F67BA">
        <w:rPr>
          <w:rFonts w:ascii="Arial" w:hAnsi="Arial" w:cs="Arial"/>
          <w:sz w:val="20"/>
          <w:szCs w:val="20"/>
        </w:rPr>
        <w:t>-</w:t>
      </w:r>
      <w:r w:rsidR="00D226EE" w:rsidRPr="004C6CC5">
        <w:rPr>
          <w:rFonts w:ascii="Arial" w:hAnsi="Arial" w:cs="Arial"/>
          <w:sz w:val="20"/>
          <w:szCs w:val="20"/>
        </w:rPr>
        <w:t> zwalczanie zagrożeń na morzu</w:t>
      </w:r>
      <w:r w:rsidR="004C6CC5">
        <w:rPr>
          <w:rFonts w:ascii="Arial" w:hAnsi="Arial" w:cs="Arial"/>
          <w:sz w:val="20"/>
          <w:szCs w:val="20"/>
        </w:rPr>
        <w:t xml:space="preserve"> w </w:t>
      </w:r>
      <w:r w:rsidR="00D226EE" w:rsidRPr="004C6CC5">
        <w:rPr>
          <w:rFonts w:ascii="Arial" w:hAnsi="Arial" w:cs="Arial"/>
          <w:sz w:val="20"/>
          <w:szCs w:val="20"/>
        </w:rPr>
        <w:t xml:space="preserve">latach 2013 - 2022/2030”, m.in. zakończono próby morskie SAT (Sea Acceptance Trials) oraz próby zdawczo-odbiorcze korwety patrolowej ORP „ŚLĄZAK”. </w:t>
      </w:r>
      <w:r w:rsidR="007F67BA">
        <w:rPr>
          <w:rFonts w:ascii="Arial" w:hAnsi="Arial" w:cs="Arial"/>
          <w:sz w:val="20"/>
          <w:szCs w:val="20"/>
        </w:rPr>
        <w:t xml:space="preserve">W dniu </w:t>
      </w:r>
      <w:r w:rsidR="00D226EE" w:rsidRPr="004C6CC5">
        <w:rPr>
          <w:rFonts w:ascii="Arial" w:hAnsi="Arial" w:cs="Arial"/>
          <w:sz w:val="20"/>
          <w:szCs w:val="20"/>
        </w:rPr>
        <w:t xml:space="preserve">8 listopada </w:t>
      </w:r>
      <w:r w:rsidR="007F67BA">
        <w:rPr>
          <w:rFonts w:ascii="Arial" w:hAnsi="Arial" w:cs="Arial"/>
          <w:sz w:val="20"/>
          <w:szCs w:val="20"/>
        </w:rPr>
        <w:t xml:space="preserve">2019 r. </w:t>
      </w:r>
      <w:r w:rsidR="00D226EE" w:rsidRPr="004C6CC5">
        <w:rPr>
          <w:rFonts w:ascii="Arial" w:hAnsi="Arial" w:cs="Arial"/>
          <w:sz w:val="20"/>
          <w:szCs w:val="20"/>
        </w:rPr>
        <w:t xml:space="preserve">podpisano protokół zdawczo-odbiorczy, a </w:t>
      </w:r>
      <w:r w:rsidR="007F67BA">
        <w:rPr>
          <w:rFonts w:ascii="Arial" w:hAnsi="Arial" w:cs="Arial"/>
          <w:sz w:val="20"/>
          <w:szCs w:val="20"/>
        </w:rPr>
        <w:t xml:space="preserve">w dniu </w:t>
      </w:r>
      <w:r w:rsidR="00D226EE" w:rsidRPr="004C6CC5">
        <w:rPr>
          <w:rFonts w:ascii="Arial" w:hAnsi="Arial" w:cs="Arial"/>
          <w:sz w:val="20"/>
          <w:szCs w:val="20"/>
        </w:rPr>
        <w:t>28 listopada 2019</w:t>
      </w:r>
      <w:r w:rsidR="009D01B9" w:rsidRPr="004C6CC5">
        <w:rPr>
          <w:rFonts w:ascii="Arial" w:hAnsi="Arial" w:cs="Arial"/>
          <w:sz w:val="20"/>
          <w:szCs w:val="20"/>
        </w:rPr>
        <w:t xml:space="preserve"> r. </w:t>
      </w:r>
      <w:r w:rsidR="00D226EE" w:rsidRPr="004C6CC5">
        <w:rPr>
          <w:rFonts w:ascii="Arial" w:hAnsi="Arial" w:cs="Arial"/>
          <w:sz w:val="20"/>
          <w:szCs w:val="20"/>
        </w:rPr>
        <w:t xml:space="preserve">odbyło się pierwsze podniesienie bandery wojennej na okręcie. </w:t>
      </w:r>
    </w:p>
    <w:p w14:paraId="56C1859B" w14:textId="629B1A86" w:rsidR="00D226EE" w:rsidRPr="004C6CC5" w:rsidRDefault="00B57058" w:rsidP="008D2321">
      <w:pPr>
        <w:spacing w:after="120" w:line="276" w:lineRule="auto"/>
        <w:jc w:val="both"/>
        <w:rPr>
          <w:rFonts w:ascii="Arial" w:hAnsi="Arial" w:cs="Arial"/>
          <w:sz w:val="20"/>
          <w:szCs w:val="20"/>
        </w:rPr>
      </w:pPr>
      <w:r>
        <w:rPr>
          <w:rFonts w:ascii="Arial" w:hAnsi="Arial" w:cs="Arial"/>
          <w:sz w:val="20"/>
          <w:szCs w:val="20"/>
        </w:rPr>
        <w:t>W 2019 r.</w:t>
      </w:r>
      <w:r w:rsidR="00D22010">
        <w:rPr>
          <w:rFonts w:ascii="Arial" w:hAnsi="Arial" w:cs="Arial"/>
          <w:sz w:val="20"/>
          <w:szCs w:val="20"/>
        </w:rPr>
        <w:t xml:space="preserve"> w </w:t>
      </w:r>
      <w:r w:rsidR="00D226EE" w:rsidRPr="004C6CC5">
        <w:rPr>
          <w:rFonts w:ascii="Arial" w:hAnsi="Arial" w:cs="Arial"/>
          <w:sz w:val="20"/>
          <w:szCs w:val="20"/>
        </w:rPr>
        <w:t>Związkach Taktycznych Marynarki Wojennej (ZT MW)</w:t>
      </w:r>
      <w:r w:rsidR="004C6CC5">
        <w:rPr>
          <w:rFonts w:ascii="Arial" w:hAnsi="Arial" w:cs="Arial"/>
          <w:sz w:val="20"/>
          <w:szCs w:val="20"/>
        </w:rPr>
        <w:t xml:space="preserve"> i </w:t>
      </w:r>
      <w:r w:rsidR="00D226EE" w:rsidRPr="004C6CC5">
        <w:rPr>
          <w:rFonts w:ascii="Arial" w:hAnsi="Arial" w:cs="Arial"/>
          <w:sz w:val="20"/>
          <w:szCs w:val="20"/>
        </w:rPr>
        <w:t>jednostkach podległych zorganizowano</w:t>
      </w:r>
      <w:r w:rsidR="004C6CC5">
        <w:rPr>
          <w:rFonts w:ascii="Arial" w:hAnsi="Arial" w:cs="Arial"/>
          <w:sz w:val="20"/>
          <w:szCs w:val="20"/>
        </w:rPr>
        <w:t xml:space="preserve"> i </w:t>
      </w:r>
      <w:r w:rsidR="00D226EE" w:rsidRPr="004C6CC5">
        <w:rPr>
          <w:rFonts w:ascii="Arial" w:hAnsi="Arial" w:cs="Arial"/>
          <w:sz w:val="20"/>
          <w:szCs w:val="20"/>
        </w:rPr>
        <w:t>przeprowadzono ponad 20 ćwiczeń różnego szczebla. Ich celem było sprawdzenie poziomu wyszkolenia</w:t>
      </w:r>
      <w:r w:rsidR="0024009A">
        <w:rPr>
          <w:rFonts w:ascii="Arial" w:hAnsi="Arial" w:cs="Arial"/>
          <w:sz w:val="20"/>
          <w:szCs w:val="20"/>
        </w:rPr>
        <w:t xml:space="preserve"> i </w:t>
      </w:r>
      <w:r w:rsidR="00D226EE" w:rsidRPr="004C6CC5">
        <w:rPr>
          <w:rFonts w:ascii="Arial" w:hAnsi="Arial" w:cs="Arial"/>
          <w:sz w:val="20"/>
          <w:szCs w:val="20"/>
        </w:rPr>
        <w:t>przygotowania do realizacji zadań zgodnie</w:t>
      </w:r>
      <w:r w:rsidR="004C6CC5">
        <w:rPr>
          <w:rFonts w:ascii="Arial" w:hAnsi="Arial" w:cs="Arial"/>
          <w:sz w:val="20"/>
          <w:szCs w:val="20"/>
        </w:rPr>
        <w:t xml:space="preserve"> z </w:t>
      </w:r>
      <w:r w:rsidR="00D226EE" w:rsidRPr="004C6CC5">
        <w:rPr>
          <w:rFonts w:ascii="Arial" w:hAnsi="Arial" w:cs="Arial"/>
          <w:sz w:val="20"/>
          <w:szCs w:val="20"/>
        </w:rPr>
        <w:t>przeznaczeniem przez siły wydzielane do operacji</w:t>
      </w:r>
      <w:r w:rsidR="004C6CC5">
        <w:rPr>
          <w:rFonts w:ascii="Arial" w:hAnsi="Arial" w:cs="Arial"/>
          <w:sz w:val="20"/>
          <w:szCs w:val="20"/>
        </w:rPr>
        <w:t xml:space="preserve"> i </w:t>
      </w:r>
      <w:r w:rsidR="00D226EE" w:rsidRPr="004C6CC5">
        <w:rPr>
          <w:rFonts w:ascii="Arial" w:hAnsi="Arial" w:cs="Arial"/>
          <w:sz w:val="20"/>
          <w:szCs w:val="20"/>
        </w:rPr>
        <w:t>pozostające</w:t>
      </w:r>
      <w:r w:rsidR="004C6CC5">
        <w:rPr>
          <w:rFonts w:ascii="Arial" w:hAnsi="Arial" w:cs="Arial"/>
          <w:sz w:val="20"/>
          <w:szCs w:val="20"/>
        </w:rPr>
        <w:t xml:space="preserve"> w </w:t>
      </w:r>
      <w:r w:rsidR="00D226EE" w:rsidRPr="004C6CC5">
        <w:rPr>
          <w:rFonts w:ascii="Arial" w:hAnsi="Arial" w:cs="Arial"/>
          <w:sz w:val="20"/>
          <w:szCs w:val="20"/>
        </w:rPr>
        <w:t xml:space="preserve">podporządkowaniu dowódców ZT MW. </w:t>
      </w:r>
    </w:p>
    <w:p w14:paraId="592F60CD" w14:textId="6942A5AD" w:rsidR="00D226EE" w:rsidRPr="004C6CC5" w:rsidRDefault="00D226EE" w:rsidP="008D2321">
      <w:pPr>
        <w:spacing w:after="120" w:line="276" w:lineRule="auto"/>
        <w:jc w:val="both"/>
        <w:rPr>
          <w:rFonts w:ascii="Arial" w:hAnsi="Arial" w:cs="Arial"/>
          <w:sz w:val="20"/>
          <w:szCs w:val="20"/>
        </w:rPr>
      </w:pPr>
      <w:r w:rsidRPr="004C6CC5">
        <w:rPr>
          <w:rFonts w:ascii="Arial" w:hAnsi="Arial" w:cs="Arial"/>
          <w:bCs/>
          <w:sz w:val="20"/>
          <w:szCs w:val="20"/>
        </w:rPr>
        <w:t>Najważniejszymi przedsięwzięciami szkoleniowymi realizowanymi</w:t>
      </w:r>
      <w:r w:rsidR="004C6CC5">
        <w:rPr>
          <w:rFonts w:ascii="Arial" w:hAnsi="Arial" w:cs="Arial"/>
          <w:bCs/>
          <w:sz w:val="20"/>
          <w:szCs w:val="20"/>
        </w:rPr>
        <w:t xml:space="preserve"> w </w:t>
      </w:r>
      <w:r w:rsidRPr="004C6CC5">
        <w:rPr>
          <w:rFonts w:ascii="Arial" w:hAnsi="Arial" w:cs="Arial"/>
          <w:bCs/>
          <w:sz w:val="20"/>
          <w:szCs w:val="20"/>
        </w:rPr>
        <w:t>układzie</w:t>
      </w:r>
      <w:r w:rsidRPr="004C6CC5">
        <w:rPr>
          <w:rFonts w:ascii="Arial" w:hAnsi="Arial" w:cs="Arial"/>
          <w:sz w:val="20"/>
          <w:szCs w:val="20"/>
        </w:rPr>
        <w:t xml:space="preserve"> narodowym</w:t>
      </w:r>
      <w:r w:rsidR="004C6CC5">
        <w:rPr>
          <w:rFonts w:ascii="Arial" w:hAnsi="Arial" w:cs="Arial"/>
          <w:sz w:val="20"/>
          <w:szCs w:val="20"/>
        </w:rPr>
        <w:t xml:space="preserve"> w </w:t>
      </w:r>
      <w:r w:rsidR="00B57058">
        <w:rPr>
          <w:rFonts w:ascii="Arial" w:hAnsi="Arial" w:cs="Arial"/>
          <w:sz w:val="20"/>
          <w:szCs w:val="20"/>
        </w:rPr>
        <w:t>2019 r.</w:t>
      </w:r>
      <w:r w:rsidRPr="004C6CC5">
        <w:rPr>
          <w:rFonts w:ascii="Arial" w:hAnsi="Arial" w:cs="Arial"/>
          <w:sz w:val="20"/>
          <w:szCs w:val="20"/>
        </w:rPr>
        <w:t xml:space="preserve"> było ćwiczenie taktyczne</w:t>
      </w:r>
      <w:r w:rsidR="004C6CC5">
        <w:rPr>
          <w:rFonts w:ascii="Arial" w:hAnsi="Arial" w:cs="Arial"/>
          <w:sz w:val="20"/>
          <w:szCs w:val="20"/>
        </w:rPr>
        <w:t xml:space="preserve"> z </w:t>
      </w:r>
      <w:r w:rsidR="00B57058">
        <w:rPr>
          <w:rFonts w:ascii="Arial" w:hAnsi="Arial" w:cs="Arial"/>
          <w:sz w:val="20"/>
          <w:szCs w:val="20"/>
        </w:rPr>
        <w:t>wojskami pk. DRAGON-19</w:t>
      </w:r>
      <w:r w:rsidRPr="004C6CC5">
        <w:rPr>
          <w:rFonts w:ascii="Arial" w:hAnsi="Arial" w:cs="Arial"/>
          <w:sz w:val="20"/>
          <w:szCs w:val="20"/>
        </w:rPr>
        <w:t xml:space="preserve"> oraz główne przedsięwzięcie szkoleniowe</w:t>
      </w:r>
      <w:r w:rsidR="004C6CC5">
        <w:rPr>
          <w:rFonts w:ascii="Arial" w:hAnsi="Arial" w:cs="Arial"/>
          <w:sz w:val="20"/>
          <w:szCs w:val="20"/>
        </w:rPr>
        <w:t xml:space="preserve"> z </w:t>
      </w:r>
      <w:r w:rsidRPr="004C6CC5">
        <w:rPr>
          <w:rFonts w:ascii="Arial" w:hAnsi="Arial" w:cs="Arial"/>
          <w:sz w:val="20"/>
          <w:szCs w:val="20"/>
        </w:rPr>
        <w:t>zakresu ochrony bezpieczeństwa żeglugi oraz przeciwdziałania zagrożeniom terrorystycznym</w:t>
      </w:r>
      <w:r w:rsidR="004C6CC5">
        <w:rPr>
          <w:rFonts w:ascii="Arial" w:hAnsi="Arial" w:cs="Arial"/>
          <w:sz w:val="20"/>
          <w:szCs w:val="20"/>
        </w:rPr>
        <w:t xml:space="preserve"> z </w:t>
      </w:r>
      <w:r w:rsidRPr="004C6CC5">
        <w:rPr>
          <w:rFonts w:ascii="Arial" w:hAnsi="Arial" w:cs="Arial"/>
          <w:sz w:val="20"/>
          <w:szCs w:val="20"/>
        </w:rPr>
        <w:t>morza, jakim było ćwiczenie taktyczno-specjalne pk. KAPER-19</w:t>
      </w:r>
      <w:r w:rsidR="00B57058">
        <w:rPr>
          <w:rFonts w:ascii="Arial" w:hAnsi="Arial" w:cs="Arial"/>
          <w:sz w:val="20"/>
          <w:szCs w:val="20"/>
        </w:rPr>
        <w:t>,</w:t>
      </w:r>
      <w:r w:rsidRPr="004C6CC5">
        <w:rPr>
          <w:rFonts w:ascii="Arial" w:hAnsi="Arial" w:cs="Arial"/>
          <w:sz w:val="20"/>
          <w:szCs w:val="20"/>
        </w:rPr>
        <w:t xml:space="preserve"> polegające na doskonaleniu procedur przeciwdziałania zagrożeniom terrorystycznym</w:t>
      </w:r>
      <w:r w:rsidR="004C6CC5">
        <w:rPr>
          <w:rFonts w:ascii="Arial" w:hAnsi="Arial" w:cs="Arial"/>
          <w:sz w:val="20"/>
          <w:szCs w:val="20"/>
        </w:rPr>
        <w:t xml:space="preserve"> z </w:t>
      </w:r>
      <w:r w:rsidRPr="004C6CC5">
        <w:rPr>
          <w:rFonts w:ascii="Arial" w:hAnsi="Arial" w:cs="Arial"/>
          <w:sz w:val="20"/>
          <w:szCs w:val="20"/>
        </w:rPr>
        <w:t>morza oraz wsparcie Straży Granicznej</w:t>
      </w:r>
      <w:r w:rsidR="004C6CC5">
        <w:rPr>
          <w:rFonts w:ascii="Arial" w:hAnsi="Arial" w:cs="Arial"/>
          <w:sz w:val="20"/>
          <w:szCs w:val="20"/>
        </w:rPr>
        <w:t xml:space="preserve"> i </w:t>
      </w:r>
      <w:r w:rsidRPr="004C6CC5">
        <w:rPr>
          <w:rFonts w:ascii="Arial" w:hAnsi="Arial" w:cs="Arial"/>
          <w:sz w:val="20"/>
          <w:szCs w:val="20"/>
        </w:rPr>
        <w:t>współdziałanie</w:t>
      </w:r>
      <w:r w:rsidR="004C6CC5">
        <w:rPr>
          <w:rFonts w:ascii="Arial" w:hAnsi="Arial" w:cs="Arial"/>
          <w:sz w:val="20"/>
          <w:szCs w:val="20"/>
        </w:rPr>
        <w:t xml:space="preserve"> z </w:t>
      </w:r>
      <w:r w:rsidRPr="004C6CC5">
        <w:rPr>
          <w:rFonts w:ascii="Arial" w:hAnsi="Arial" w:cs="Arial"/>
          <w:sz w:val="20"/>
          <w:szCs w:val="20"/>
        </w:rPr>
        <w:t>układem niemilitarnym.</w:t>
      </w:r>
    </w:p>
    <w:p w14:paraId="09A17BFB" w14:textId="48BDA2CA" w:rsidR="00D226EE" w:rsidRPr="004C6CC5" w:rsidRDefault="00D226EE" w:rsidP="008D2321">
      <w:pPr>
        <w:spacing w:after="120" w:line="276" w:lineRule="auto"/>
        <w:jc w:val="both"/>
        <w:rPr>
          <w:rFonts w:ascii="Arial" w:hAnsi="Arial" w:cs="Arial"/>
          <w:sz w:val="20"/>
          <w:szCs w:val="20"/>
        </w:rPr>
      </w:pPr>
      <w:r w:rsidRPr="004C6CC5">
        <w:rPr>
          <w:rFonts w:ascii="Arial" w:hAnsi="Arial" w:cs="Arial"/>
          <w:sz w:val="20"/>
          <w:szCs w:val="20"/>
        </w:rPr>
        <w:t>Procedury współdziałania</w:t>
      </w:r>
      <w:r w:rsidR="008E69DA">
        <w:rPr>
          <w:rFonts w:ascii="Arial" w:hAnsi="Arial" w:cs="Arial"/>
          <w:sz w:val="20"/>
          <w:szCs w:val="20"/>
        </w:rPr>
        <w:t xml:space="preserve"> z </w:t>
      </w:r>
      <w:r w:rsidRPr="004C6CC5">
        <w:rPr>
          <w:rFonts w:ascii="Arial" w:hAnsi="Arial" w:cs="Arial"/>
          <w:sz w:val="20"/>
          <w:szCs w:val="20"/>
        </w:rPr>
        <w:t>układem pozamilitarnym realizowane były aplikacyjnie, skupiono się natomiast</w:t>
      </w:r>
      <w:r w:rsidR="00CB0D06">
        <w:rPr>
          <w:rFonts w:ascii="Arial" w:hAnsi="Arial" w:cs="Arial"/>
          <w:sz w:val="20"/>
          <w:szCs w:val="20"/>
        </w:rPr>
        <w:t xml:space="preserve"> w </w:t>
      </w:r>
      <w:r w:rsidRPr="004C6CC5">
        <w:rPr>
          <w:rFonts w:ascii="Arial" w:hAnsi="Arial" w:cs="Arial"/>
          <w:sz w:val="20"/>
          <w:szCs w:val="20"/>
        </w:rPr>
        <w:t>głównej mierze na doskonaleniu procedur współdziałania</w:t>
      </w:r>
      <w:r w:rsidR="004C6CC5">
        <w:rPr>
          <w:rFonts w:ascii="Arial" w:hAnsi="Arial" w:cs="Arial"/>
          <w:sz w:val="20"/>
          <w:szCs w:val="20"/>
        </w:rPr>
        <w:t xml:space="preserve"> w </w:t>
      </w:r>
      <w:r w:rsidRPr="004C6CC5">
        <w:rPr>
          <w:rFonts w:ascii="Arial" w:hAnsi="Arial" w:cs="Arial"/>
          <w:sz w:val="20"/>
          <w:szCs w:val="20"/>
        </w:rPr>
        <w:t>relacji dyżurnych służb operacyjnych wszystkich zaangażowanych</w:t>
      </w:r>
      <w:r w:rsidR="00BD21CD">
        <w:rPr>
          <w:rFonts w:ascii="Arial" w:hAnsi="Arial" w:cs="Arial"/>
          <w:sz w:val="20"/>
          <w:szCs w:val="20"/>
        </w:rPr>
        <w:t xml:space="preserve"> w trening</w:t>
      </w:r>
      <w:r w:rsidRPr="004C6CC5">
        <w:rPr>
          <w:rFonts w:ascii="Arial" w:hAnsi="Arial" w:cs="Arial"/>
          <w:sz w:val="20"/>
          <w:szCs w:val="20"/>
        </w:rPr>
        <w:t xml:space="preserve"> elementów, a</w:t>
      </w:r>
      <w:r w:rsidR="00CB0D06">
        <w:rPr>
          <w:rFonts w:ascii="Arial" w:hAnsi="Arial" w:cs="Arial"/>
          <w:sz w:val="20"/>
          <w:szCs w:val="20"/>
        </w:rPr>
        <w:t xml:space="preserve"> w </w:t>
      </w:r>
      <w:r w:rsidRPr="004C6CC5">
        <w:rPr>
          <w:rFonts w:ascii="Arial" w:hAnsi="Arial" w:cs="Arial"/>
          <w:sz w:val="20"/>
          <w:szCs w:val="20"/>
        </w:rPr>
        <w:t>szczególności na przeprowadzeniu procesu planowania operacji, wypracowaniu dokumentów rozkazodawczych oraz opracowaniu wariantów użycia sił</w:t>
      </w:r>
      <w:r w:rsidR="004C6CC5">
        <w:rPr>
          <w:rFonts w:ascii="Arial" w:hAnsi="Arial" w:cs="Arial"/>
          <w:sz w:val="20"/>
          <w:szCs w:val="20"/>
        </w:rPr>
        <w:t xml:space="preserve"> i </w:t>
      </w:r>
      <w:r w:rsidRPr="004C6CC5">
        <w:rPr>
          <w:rFonts w:ascii="Arial" w:hAnsi="Arial" w:cs="Arial"/>
          <w:sz w:val="20"/>
          <w:szCs w:val="20"/>
        </w:rPr>
        <w:t>środków wydzielonych</w:t>
      </w:r>
      <w:r w:rsidR="004C6CC5">
        <w:rPr>
          <w:rFonts w:ascii="Arial" w:hAnsi="Arial" w:cs="Arial"/>
          <w:sz w:val="20"/>
          <w:szCs w:val="20"/>
        </w:rPr>
        <w:t xml:space="preserve"> z </w:t>
      </w:r>
      <w:r w:rsidRPr="004C6CC5">
        <w:rPr>
          <w:rFonts w:ascii="Arial" w:hAnsi="Arial" w:cs="Arial"/>
          <w:sz w:val="20"/>
          <w:szCs w:val="20"/>
        </w:rPr>
        <w:t>S</w:t>
      </w:r>
      <w:r w:rsidR="00133AD0">
        <w:rPr>
          <w:rFonts w:ascii="Arial" w:hAnsi="Arial" w:cs="Arial"/>
          <w:sz w:val="20"/>
          <w:szCs w:val="20"/>
        </w:rPr>
        <w:t xml:space="preserve">ił </w:t>
      </w:r>
      <w:r w:rsidRPr="004C6CC5">
        <w:rPr>
          <w:rFonts w:ascii="Arial" w:hAnsi="Arial" w:cs="Arial"/>
          <w:sz w:val="20"/>
          <w:szCs w:val="20"/>
        </w:rPr>
        <w:t>Z</w:t>
      </w:r>
      <w:r w:rsidR="00133AD0">
        <w:rPr>
          <w:rFonts w:ascii="Arial" w:hAnsi="Arial" w:cs="Arial"/>
          <w:sz w:val="20"/>
          <w:szCs w:val="20"/>
        </w:rPr>
        <w:t>brojnych</w:t>
      </w:r>
      <w:r w:rsidRPr="004C6CC5">
        <w:rPr>
          <w:rFonts w:ascii="Arial" w:hAnsi="Arial" w:cs="Arial"/>
          <w:sz w:val="20"/>
          <w:szCs w:val="20"/>
        </w:rPr>
        <w:t xml:space="preserve"> RP.</w:t>
      </w:r>
    </w:p>
    <w:p w14:paraId="131E080E" w14:textId="19E1A3B7" w:rsidR="00D226EE" w:rsidRPr="004C6CC5" w:rsidRDefault="00D226EE" w:rsidP="008D2321">
      <w:pPr>
        <w:spacing w:before="120" w:after="120" w:line="276" w:lineRule="auto"/>
        <w:jc w:val="both"/>
        <w:rPr>
          <w:rFonts w:ascii="Arial" w:hAnsi="Arial" w:cs="Arial"/>
          <w:sz w:val="20"/>
          <w:szCs w:val="20"/>
        </w:rPr>
      </w:pPr>
      <w:r w:rsidRPr="004C6CC5">
        <w:rPr>
          <w:rFonts w:ascii="Arial" w:hAnsi="Arial" w:cs="Arial"/>
          <w:bCs/>
          <w:sz w:val="20"/>
          <w:szCs w:val="20"/>
        </w:rPr>
        <w:t>Realizacja ćwiczeń potwierdziła sprawnie funkcjonujący system kierowania</w:t>
      </w:r>
      <w:r w:rsidR="004C6CC5">
        <w:rPr>
          <w:rFonts w:ascii="Arial" w:hAnsi="Arial" w:cs="Arial"/>
          <w:bCs/>
          <w:sz w:val="20"/>
          <w:szCs w:val="20"/>
        </w:rPr>
        <w:t xml:space="preserve"> i </w:t>
      </w:r>
      <w:r w:rsidRPr="004C6CC5">
        <w:rPr>
          <w:rFonts w:ascii="Arial" w:hAnsi="Arial" w:cs="Arial"/>
          <w:bCs/>
          <w:sz w:val="20"/>
          <w:szCs w:val="20"/>
        </w:rPr>
        <w:t>dowodzenia, właściwą współpracę pomiędzy komponentami</w:t>
      </w:r>
      <w:r w:rsidR="004C6CC5">
        <w:rPr>
          <w:rFonts w:ascii="Arial" w:hAnsi="Arial" w:cs="Arial"/>
          <w:bCs/>
          <w:sz w:val="20"/>
          <w:szCs w:val="20"/>
        </w:rPr>
        <w:t xml:space="preserve"> w </w:t>
      </w:r>
      <w:r w:rsidRPr="004C6CC5">
        <w:rPr>
          <w:rFonts w:ascii="Arial" w:hAnsi="Arial" w:cs="Arial"/>
          <w:bCs/>
          <w:sz w:val="20"/>
          <w:szCs w:val="20"/>
        </w:rPr>
        <w:t>trakcie planowania użycia sił oraz zasadność obowiązujących procedur</w:t>
      </w:r>
      <w:r w:rsidR="004C6CC5">
        <w:rPr>
          <w:rFonts w:ascii="Arial" w:hAnsi="Arial" w:cs="Arial"/>
          <w:bCs/>
          <w:sz w:val="20"/>
          <w:szCs w:val="20"/>
        </w:rPr>
        <w:t xml:space="preserve"> i </w:t>
      </w:r>
      <w:r w:rsidRPr="004C6CC5">
        <w:rPr>
          <w:rFonts w:ascii="Arial" w:hAnsi="Arial" w:cs="Arial"/>
          <w:bCs/>
          <w:sz w:val="20"/>
          <w:szCs w:val="20"/>
        </w:rPr>
        <w:t>przyjętych rozwiązań</w:t>
      </w:r>
      <w:r w:rsidR="004C6CC5">
        <w:rPr>
          <w:rFonts w:ascii="Arial" w:hAnsi="Arial" w:cs="Arial"/>
          <w:bCs/>
          <w:sz w:val="20"/>
          <w:szCs w:val="20"/>
        </w:rPr>
        <w:t xml:space="preserve"> w </w:t>
      </w:r>
      <w:r w:rsidRPr="004C6CC5">
        <w:rPr>
          <w:rFonts w:ascii="Arial" w:hAnsi="Arial" w:cs="Arial"/>
          <w:bCs/>
          <w:sz w:val="20"/>
          <w:szCs w:val="20"/>
        </w:rPr>
        <w:t xml:space="preserve">reagowaniu na </w:t>
      </w:r>
      <w:r w:rsidRPr="004C6CC5">
        <w:rPr>
          <w:rFonts w:ascii="Arial" w:hAnsi="Arial" w:cs="Arial"/>
          <w:sz w:val="20"/>
          <w:szCs w:val="20"/>
        </w:rPr>
        <w:t>zagrożenia terrorystyczne</w:t>
      </w:r>
      <w:r w:rsidR="004C6CC5">
        <w:rPr>
          <w:rFonts w:ascii="Arial" w:hAnsi="Arial" w:cs="Arial"/>
          <w:sz w:val="20"/>
          <w:szCs w:val="20"/>
        </w:rPr>
        <w:t xml:space="preserve"> z </w:t>
      </w:r>
      <w:r w:rsidRPr="004C6CC5">
        <w:rPr>
          <w:rFonts w:ascii="Arial" w:hAnsi="Arial" w:cs="Arial"/>
          <w:sz w:val="20"/>
          <w:szCs w:val="20"/>
        </w:rPr>
        <w:t>morza.</w:t>
      </w:r>
    </w:p>
    <w:p w14:paraId="6703CF1B" w14:textId="7B137215" w:rsidR="006A644D" w:rsidRDefault="00D226EE"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kontynuowano udział przedstawicieli Sił Zbrojnych RP</w:t>
      </w:r>
      <w:r w:rsidR="004C6CC5">
        <w:rPr>
          <w:rFonts w:ascii="Arial" w:hAnsi="Arial" w:cs="Arial"/>
          <w:sz w:val="20"/>
          <w:szCs w:val="20"/>
        </w:rPr>
        <w:t xml:space="preserve"> w </w:t>
      </w:r>
      <w:r w:rsidRPr="004C6CC5">
        <w:rPr>
          <w:rFonts w:ascii="Arial" w:hAnsi="Arial" w:cs="Arial"/>
          <w:sz w:val="20"/>
          <w:szCs w:val="20"/>
        </w:rPr>
        <w:t>PKW EU SOPHIA (na mocy postanowienia Prezydenta RP) związany</w:t>
      </w:r>
      <w:r w:rsidR="004C6CC5">
        <w:rPr>
          <w:rFonts w:ascii="Arial" w:hAnsi="Arial" w:cs="Arial"/>
          <w:sz w:val="20"/>
          <w:szCs w:val="20"/>
        </w:rPr>
        <w:t xml:space="preserve"> z </w:t>
      </w:r>
      <w:r w:rsidRPr="004C6CC5">
        <w:rPr>
          <w:rFonts w:ascii="Arial" w:hAnsi="Arial" w:cs="Arial"/>
          <w:sz w:val="20"/>
          <w:szCs w:val="20"/>
        </w:rPr>
        <w:t>zaangażowaniem</w:t>
      </w:r>
      <w:r w:rsidR="004C6CC5">
        <w:rPr>
          <w:rFonts w:ascii="Arial" w:hAnsi="Arial" w:cs="Arial"/>
          <w:sz w:val="20"/>
          <w:szCs w:val="20"/>
        </w:rPr>
        <w:t xml:space="preserve"> w </w:t>
      </w:r>
      <w:r w:rsidR="00ED5C55">
        <w:rPr>
          <w:rFonts w:ascii="Arial" w:hAnsi="Arial" w:cs="Arial"/>
          <w:sz w:val="20"/>
          <w:szCs w:val="20"/>
        </w:rPr>
        <w:t xml:space="preserve">operacji wojskowej UE </w:t>
      </w:r>
      <w:r w:rsidR="004C6CC5">
        <w:rPr>
          <w:rFonts w:ascii="Arial" w:hAnsi="Arial" w:cs="Arial"/>
          <w:sz w:val="20"/>
          <w:szCs w:val="20"/>
        </w:rPr>
        <w:t>w </w:t>
      </w:r>
      <w:r w:rsidRPr="004C6CC5">
        <w:rPr>
          <w:rFonts w:ascii="Arial" w:hAnsi="Arial" w:cs="Arial"/>
          <w:sz w:val="20"/>
          <w:szCs w:val="20"/>
        </w:rPr>
        <w:t xml:space="preserve">południowym rejonie środkowej części Morza Śródziemnego </w:t>
      </w:r>
      <w:r w:rsidR="00ED5C55">
        <w:rPr>
          <w:rFonts w:ascii="Arial" w:hAnsi="Arial" w:cs="Arial"/>
          <w:sz w:val="20"/>
          <w:szCs w:val="20"/>
        </w:rPr>
        <w:t>-</w:t>
      </w:r>
      <w:r w:rsidRPr="004C6CC5">
        <w:rPr>
          <w:rFonts w:ascii="Arial" w:hAnsi="Arial" w:cs="Arial"/>
          <w:sz w:val="20"/>
          <w:szCs w:val="20"/>
        </w:rPr>
        <w:t xml:space="preserve"> Operacja EUNAVFOR MED SOPHIA. Jest to operacja, która rozpoczęła się </w:t>
      </w:r>
      <w:r w:rsidR="00ED5C55">
        <w:rPr>
          <w:rFonts w:ascii="Arial" w:hAnsi="Arial" w:cs="Arial"/>
          <w:sz w:val="20"/>
          <w:szCs w:val="20"/>
        </w:rPr>
        <w:t xml:space="preserve">w dniu 18 maja </w:t>
      </w:r>
      <w:r w:rsidRPr="004C6CC5">
        <w:rPr>
          <w:rFonts w:ascii="Arial" w:hAnsi="Arial" w:cs="Arial"/>
          <w:sz w:val="20"/>
          <w:szCs w:val="20"/>
        </w:rPr>
        <w:t>2015</w:t>
      </w:r>
      <w:r w:rsidR="009D01B9" w:rsidRPr="004C6CC5">
        <w:rPr>
          <w:rFonts w:ascii="Arial" w:hAnsi="Arial" w:cs="Arial"/>
          <w:sz w:val="20"/>
          <w:szCs w:val="20"/>
        </w:rPr>
        <w:t xml:space="preserve"> r. </w:t>
      </w:r>
      <w:r w:rsidRPr="004C6CC5">
        <w:rPr>
          <w:rFonts w:ascii="Arial" w:hAnsi="Arial" w:cs="Arial"/>
          <w:sz w:val="20"/>
          <w:szCs w:val="20"/>
        </w:rPr>
        <w:t>jako część kompleksowego podejścia UE</w:t>
      </w:r>
      <w:r w:rsidR="004C6CC5">
        <w:rPr>
          <w:rFonts w:ascii="Arial" w:hAnsi="Arial" w:cs="Arial"/>
          <w:sz w:val="20"/>
          <w:szCs w:val="20"/>
        </w:rPr>
        <w:t xml:space="preserve"> w </w:t>
      </w:r>
      <w:r w:rsidRPr="004C6CC5">
        <w:rPr>
          <w:rFonts w:ascii="Arial" w:hAnsi="Arial" w:cs="Arial"/>
          <w:sz w:val="20"/>
          <w:szCs w:val="20"/>
        </w:rPr>
        <w:t>obszarze nielegalnej imigracji. Ma na celu podjęcie próby ro</w:t>
      </w:r>
      <w:r w:rsidR="00ED5C55">
        <w:rPr>
          <w:rFonts w:ascii="Arial" w:hAnsi="Arial" w:cs="Arial"/>
          <w:sz w:val="20"/>
          <w:szCs w:val="20"/>
        </w:rPr>
        <w:t xml:space="preserve">zbicia przemytniczo-biznesowego </w:t>
      </w:r>
      <w:r w:rsidRPr="004C6CC5">
        <w:rPr>
          <w:rFonts w:ascii="Arial" w:hAnsi="Arial" w:cs="Arial"/>
          <w:sz w:val="20"/>
          <w:szCs w:val="20"/>
        </w:rPr>
        <w:t>modelu nielegalnego handlu</w:t>
      </w:r>
      <w:r w:rsidR="00905AD5">
        <w:rPr>
          <w:rFonts w:ascii="Arial" w:hAnsi="Arial" w:cs="Arial"/>
          <w:sz w:val="20"/>
          <w:szCs w:val="20"/>
        </w:rPr>
        <w:t xml:space="preserve"> i </w:t>
      </w:r>
      <w:r w:rsidRPr="004C6CC5">
        <w:rPr>
          <w:rFonts w:ascii="Arial" w:hAnsi="Arial" w:cs="Arial"/>
          <w:sz w:val="20"/>
          <w:szCs w:val="20"/>
        </w:rPr>
        <w:t>przerzutu ludzi</w:t>
      </w:r>
      <w:r w:rsidR="004C6CC5">
        <w:rPr>
          <w:rFonts w:ascii="Arial" w:hAnsi="Arial" w:cs="Arial"/>
          <w:sz w:val="20"/>
          <w:szCs w:val="20"/>
        </w:rPr>
        <w:t xml:space="preserve"> z </w:t>
      </w:r>
      <w:r w:rsidR="00ED5C55">
        <w:rPr>
          <w:rFonts w:ascii="Arial" w:hAnsi="Arial" w:cs="Arial"/>
          <w:sz w:val="20"/>
          <w:szCs w:val="20"/>
        </w:rPr>
        <w:t>Libii do Europy przez</w:t>
      </w:r>
      <w:r w:rsidRPr="004C6CC5">
        <w:rPr>
          <w:rFonts w:ascii="Arial" w:hAnsi="Arial" w:cs="Arial"/>
          <w:sz w:val="20"/>
          <w:szCs w:val="20"/>
        </w:rPr>
        <w:t xml:space="preserve"> południowo-centralną część Morza Śródziemnego. EUNAVFOR MED Operation SOPHIA jest ważnym elementem</w:t>
      </w:r>
      <w:r w:rsidR="00C147BB">
        <w:rPr>
          <w:rFonts w:ascii="Arial" w:hAnsi="Arial" w:cs="Arial"/>
          <w:sz w:val="20"/>
          <w:szCs w:val="20"/>
        </w:rPr>
        <w:t xml:space="preserve"> w </w:t>
      </w:r>
      <w:r w:rsidRPr="004C6CC5">
        <w:rPr>
          <w:rFonts w:ascii="Arial" w:hAnsi="Arial" w:cs="Arial"/>
          <w:sz w:val="20"/>
          <w:szCs w:val="20"/>
        </w:rPr>
        <w:t>zwalczaniu nielegalnej imigracji</w:t>
      </w:r>
      <w:r w:rsidR="004C6CC5">
        <w:rPr>
          <w:rFonts w:ascii="Arial" w:hAnsi="Arial" w:cs="Arial"/>
          <w:sz w:val="20"/>
          <w:szCs w:val="20"/>
        </w:rPr>
        <w:t xml:space="preserve"> i </w:t>
      </w:r>
      <w:r w:rsidRPr="004C6CC5">
        <w:rPr>
          <w:rFonts w:ascii="Arial" w:hAnsi="Arial" w:cs="Arial"/>
          <w:sz w:val="20"/>
          <w:szCs w:val="20"/>
        </w:rPr>
        <w:t>handlu, jak również</w:t>
      </w:r>
      <w:r w:rsidR="004C6CC5">
        <w:rPr>
          <w:rFonts w:ascii="Arial" w:hAnsi="Arial" w:cs="Arial"/>
          <w:sz w:val="20"/>
          <w:szCs w:val="20"/>
        </w:rPr>
        <w:t xml:space="preserve"> w </w:t>
      </w:r>
      <w:r w:rsidRPr="004C6CC5">
        <w:rPr>
          <w:rFonts w:ascii="Arial" w:hAnsi="Arial" w:cs="Arial"/>
          <w:sz w:val="20"/>
          <w:szCs w:val="20"/>
        </w:rPr>
        <w:t>budowaniu</w:t>
      </w:r>
      <w:r w:rsidR="0059640B">
        <w:rPr>
          <w:rFonts w:ascii="Arial" w:hAnsi="Arial" w:cs="Arial"/>
          <w:sz w:val="20"/>
          <w:szCs w:val="20"/>
        </w:rPr>
        <w:t xml:space="preserve"> i </w:t>
      </w:r>
      <w:r w:rsidRPr="004C6CC5">
        <w:rPr>
          <w:rFonts w:ascii="Arial" w:hAnsi="Arial" w:cs="Arial"/>
          <w:sz w:val="20"/>
          <w:szCs w:val="20"/>
        </w:rPr>
        <w:t>szkoleniu sił Straży Przybrzeżnej oraz Marynarki Wojennej Libii. PKW EU SOPHIA prowadził działania związane</w:t>
      </w:r>
      <w:r w:rsidR="004C6CC5">
        <w:rPr>
          <w:rFonts w:ascii="Arial" w:hAnsi="Arial" w:cs="Arial"/>
          <w:sz w:val="20"/>
          <w:szCs w:val="20"/>
        </w:rPr>
        <w:t xml:space="preserve"> z </w:t>
      </w:r>
      <w:r w:rsidRPr="004C6CC5">
        <w:rPr>
          <w:rFonts w:ascii="Arial" w:hAnsi="Arial" w:cs="Arial"/>
          <w:sz w:val="20"/>
          <w:szCs w:val="20"/>
        </w:rPr>
        <w:t>pozyskiwaniem</w:t>
      </w:r>
      <w:r w:rsidR="00ED1F60">
        <w:rPr>
          <w:rFonts w:ascii="Arial" w:hAnsi="Arial" w:cs="Arial"/>
          <w:sz w:val="20"/>
          <w:szCs w:val="20"/>
        </w:rPr>
        <w:t xml:space="preserve"> i </w:t>
      </w:r>
      <w:r w:rsidRPr="004C6CC5">
        <w:rPr>
          <w:rFonts w:ascii="Arial" w:hAnsi="Arial" w:cs="Arial"/>
          <w:sz w:val="20"/>
          <w:szCs w:val="20"/>
        </w:rPr>
        <w:t xml:space="preserve">wymianą informacji </w:t>
      </w:r>
      <w:r w:rsidRPr="004C6CC5">
        <w:rPr>
          <w:rFonts w:ascii="Arial" w:hAnsi="Arial" w:cs="Arial"/>
          <w:sz w:val="20"/>
          <w:szCs w:val="20"/>
        </w:rPr>
        <w:lastRenderedPageBreak/>
        <w:t>dotyczących nielegalnego handlu oraz przemytu ludzi</w:t>
      </w:r>
      <w:r w:rsidR="004C6CC5">
        <w:rPr>
          <w:rFonts w:ascii="Arial" w:hAnsi="Arial" w:cs="Arial"/>
          <w:sz w:val="20"/>
          <w:szCs w:val="20"/>
        </w:rPr>
        <w:t xml:space="preserve"> w </w:t>
      </w:r>
      <w:r w:rsidRPr="004C6CC5">
        <w:rPr>
          <w:rFonts w:ascii="Arial" w:hAnsi="Arial" w:cs="Arial"/>
          <w:sz w:val="20"/>
          <w:szCs w:val="20"/>
        </w:rPr>
        <w:t>rejonie południowego rejonu środkowej części Morza Śródziemnego.</w:t>
      </w:r>
      <w:r w:rsidR="00141101">
        <w:rPr>
          <w:rFonts w:ascii="Arial" w:hAnsi="Arial" w:cs="Arial"/>
          <w:sz w:val="20"/>
          <w:szCs w:val="20"/>
        </w:rPr>
        <w:t xml:space="preserve"> </w:t>
      </w:r>
      <w:r w:rsidRPr="004C6CC5">
        <w:rPr>
          <w:rFonts w:ascii="Arial" w:hAnsi="Arial" w:cs="Arial"/>
          <w:sz w:val="20"/>
          <w:szCs w:val="20"/>
        </w:rPr>
        <w:t xml:space="preserve">Ponadto, oficerowie Marynarki Wojennej </w:t>
      </w:r>
      <w:r w:rsidR="007D37F5">
        <w:rPr>
          <w:rFonts w:ascii="Arial" w:hAnsi="Arial" w:cs="Arial"/>
          <w:sz w:val="20"/>
          <w:szCs w:val="20"/>
        </w:rPr>
        <w:t xml:space="preserve">RP </w:t>
      </w:r>
      <w:r w:rsidRPr="004C6CC5">
        <w:rPr>
          <w:rFonts w:ascii="Arial" w:hAnsi="Arial" w:cs="Arial"/>
          <w:sz w:val="20"/>
          <w:szCs w:val="20"/>
        </w:rPr>
        <w:t>realizowali zadania</w:t>
      </w:r>
      <w:r w:rsidR="004C6CC5">
        <w:rPr>
          <w:rFonts w:ascii="Arial" w:hAnsi="Arial" w:cs="Arial"/>
          <w:sz w:val="20"/>
          <w:szCs w:val="20"/>
        </w:rPr>
        <w:t xml:space="preserve"> w </w:t>
      </w:r>
      <w:r w:rsidRPr="004C6CC5">
        <w:rPr>
          <w:rFonts w:ascii="Arial" w:hAnsi="Arial" w:cs="Arial"/>
          <w:sz w:val="20"/>
          <w:szCs w:val="20"/>
        </w:rPr>
        <w:t>ramach operacji ATALANTA (je</w:t>
      </w:r>
      <w:r w:rsidR="007D37F5">
        <w:rPr>
          <w:rFonts w:ascii="Arial" w:hAnsi="Arial" w:cs="Arial"/>
          <w:sz w:val="20"/>
          <w:szCs w:val="20"/>
        </w:rPr>
        <w:t xml:space="preserve">st to operacja antypiracka UE </w:t>
      </w:r>
      <w:r w:rsidR="007C2D07">
        <w:rPr>
          <w:rFonts w:ascii="Arial" w:hAnsi="Arial" w:cs="Arial"/>
          <w:sz w:val="20"/>
          <w:szCs w:val="20"/>
        </w:rPr>
        <w:t>-</w:t>
      </w:r>
      <w:r w:rsidRPr="004C6CC5">
        <w:rPr>
          <w:rFonts w:ascii="Arial" w:hAnsi="Arial" w:cs="Arial"/>
          <w:sz w:val="20"/>
          <w:szCs w:val="20"/>
        </w:rPr>
        <w:t> dowództwo obecnie znajduje się</w:t>
      </w:r>
      <w:r w:rsidR="004C6CC5">
        <w:rPr>
          <w:rFonts w:ascii="Arial" w:hAnsi="Arial" w:cs="Arial"/>
          <w:sz w:val="20"/>
          <w:szCs w:val="20"/>
        </w:rPr>
        <w:t xml:space="preserve"> w </w:t>
      </w:r>
      <w:r w:rsidR="0050412F">
        <w:rPr>
          <w:rFonts w:ascii="Arial" w:hAnsi="Arial" w:cs="Arial"/>
          <w:sz w:val="20"/>
          <w:szCs w:val="20"/>
        </w:rPr>
        <w:t>Rocie</w:t>
      </w:r>
      <w:r w:rsidR="00D74719">
        <w:rPr>
          <w:rFonts w:ascii="Arial" w:hAnsi="Arial" w:cs="Arial"/>
          <w:sz w:val="20"/>
          <w:szCs w:val="20"/>
        </w:rPr>
        <w:t>)</w:t>
      </w:r>
      <w:r w:rsidR="0050412F">
        <w:rPr>
          <w:rFonts w:ascii="Arial" w:hAnsi="Arial" w:cs="Arial"/>
          <w:sz w:val="20"/>
          <w:szCs w:val="20"/>
        </w:rPr>
        <w:t>.</w:t>
      </w:r>
    </w:p>
    <w:p w14:paraId="3B2D589D" w14:textId="2A523D51" w:rsidR="00D226EE" w:rsidRPr="007D37F5" w:rsidRDefault="00D226EE" w:rsidP="007D37F5">
      <w:pPr>
        <w:pStyle w:val="Nagwek2"/>
        <w:spacing w:before="120" w:after="120"/>
        <w:rPr>
          <w:rFonts w:ascii="Arial" w:hAnsi="Arial" w:cs="Arial"/>
          <w:b/>
          <w:sz w:val="20"/>
          <w:szCs w:val="20"/>
        </w:rPr>
      </w:pPr>
      <w:bookmarkStart w:id="49" w:name="_Toc72745061"/>
      <w:r w:rsidRPr="007D37F5">
        <w:rPr>
          <w:rFonts w:ascii="Arial" w:hAnsi="Arial" w:cs="Arial"/>
          <w:b/>
          <w:color w:val="auto"/>
          <w:sz w:val="20"/>
          <w:szCs w:val="20"/>
        </w:rPr>
        <w:t>Działania Biura Hydrograficznego Marynarki Wojennej</w:t>
      </w:r>
      <w:r w:rsidR="00FC53AC">
        <w:rPr>
          <w:rFonts w:ascii="Arial" w:hAnsi="Arial" w:cs="Arial"/>
          <w:b/>
          <w:color w:val="auto"/>
          <w:sz w:val="20"/>
          <w:szCs w:val="20"/>
        </w:rPr>
        <w:t>.</w:t>
      </w:r>
      <w:bookmarkEnd w:id="49"/>
      <w:r w:rsidRPr="007D37F5">
        <w:rPr>
          <w:rFonts w:ascii="Arial" w:hAnsi="Arial" w:cs="Arial"/>
          <w:b/>
          <w:color w:val="auto"/>
          <w:sz w:val="20"/>
          <w:szCs w:val="20"/>
        </w:rPr>
        <w:t xml:space="preserve"> </w:t>
      </w:r>
    </w:p>
    <w:p w14:paraId="55AD5700" w14:textId="00E092AF" w:rsidR="00D226EE" w:rsidRPr="004C6CC5" w:rsidRDefault="00D226EE" w:rsidP="007D37F5">
      <w:pPr>
        <w:tabs>
          <w:tab w:val="left" w:pos="708"/>
        </w:tabs>
        <w:spacing w:before="120"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Biuro Hy</w:t>
      </w:r>
      <w:r w:rsidR="007D37F5">
        <w:rPr>
          <w:rFonts w:ascii="Arial" w:eastAsia="Calibri" w:hAnsi="Arial" w:cs="Arial"/>
          <w:sz w:val="20"/>
          <w:szCs w:val="20"/>
          <w:lang w:eastAsia="pl-PL"/>
        </w:rPr>
        <w:t>drograficzne Marynarki Wojennej</w:t>
      </w:r>
      <w:r w:rsidRPr="004C6CC5">
        <w:rPr>
          <w:rFonts w:ascii="Arial" w:eastAsia="Calibri" w:hAnsi="Arial" w:cs="Arial"/>
          <w:sz w:val="20"/>
          <w:szCs w:val="20"/>
          <w:lang w:eastAsia="pl-PL"/>
        </w:rPr>
        <w:t xml:space="preserve"> </w:t>
      </w:r>
      <w:r w:rsidR="00017362">
        <w:rPr>
          <w:rFonts w:ascii="Arial" w:eastAsia="Calibri" w:hAnsi="Arial" w:cs="Arial"/>
          <w:sz w:val="20"/>
          <w:szCs w:val="20"/>
          <w:lang w:eastAsia="pl-PL"/>
        </w:rPr>
        <w:t xml:space="preserve">(BHMW) </w:t>
      </w:r>
      <w:r w:rsidRPr="004C6CC5">
        <w:rPr>
          <w:rFonts w:ascii="Arial" w:eastAsia="Calibri" w:hAnsi="Arial" w:cs="Arial"/>
          <w:sz w:val="20"/>
          <w:szCs w:val="20"/>
          <w:lang w:eastAsia="pl-PL"/>
        </w:rPr>
        <w:t>będąc sł</w:t>
      </w:r>
      <w:r w:rsidR="00017362">
        <w:rPr>
          <w:rFonts w:ascii="Arial" w:eastAsia="Calibri" w:hAnsi="Arial" w:cs="Arial"/>
          <w:sz w:val="20"/>
          <w:szCs w:val="20"/>
          <w:lang w:eastAsia="pl-PL"/>
        </w:rPr>
        <w:t xml:space="preserve">użbą zabezpieczenia nawigacyjno - </w:t>
      </w:r>
      <w:r w:rsidRPr="004C6CC5">
        <w:rPr>
          <w:rFonts w:ascii="Arial" w:eastAsia="Calibri" w:hAnsi="Arial" w:cs="Arial"/>
          <w:sz w:val="20"/>
          <w:szCs w:val="20"/>
          <w:lang w:eastAsia="pl-PL"/>
        </w:rPr>
        <w:t>hydrograficznego</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meteorologiczno</w:t>
      </w:r>
      <w:r w:rsidR="00017362">
        <w:rPr>
          <w:rFonts w:ascii="Arial" w:eastAsia="Calibri" w:hAnsi="Arial" w:cs="Arial"/>
          <w:sz w:val="20"/>
          <w:szCs w:val="20"/>
          <w:lang w:eastAsia="pl-PL"/>
        </w:rPr>
        <w:t xml:space="preserve"> - </w:t>
      </w:r>
      <w:r w:rsidRPr="004C6CC5">
        <w:rPr>
          <w:rFonts w:ascii="Arial" w:eastAsia="Calibri" w:hAnsi="Arial" w:cs="Arial"/>
          <w:sz w:val="20"/>
          <w:szCs w:val="20"/>
          <w:lang w:eastAsia="pl-PL"/>
        </w:rPr>
        <w:t>oceanograficznego Marynarki Wojennej wykonuje jednocześnie zadania Państwowej Morskiej Służby Hydrograficznej</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zakresie hydrografii</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kartografii morskiej.</w:t>
      </w:r>
      <w:r w:rsidR="00017362">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Pr="004C6CC5">
        <w:rPr>
          <w:rFonts w:ascii="Arial" w:eastAsia="Calibri" w:hAnsi="Arial" w:cs="Arial"/>
          <w:sz w:val="20"/>
          <w:szCs w:val="20"/>
          <w:lang w:eastAsia="pl-PL"/>
        </w:rPr>
        <w:t>2019</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BHMW</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ramach realizacji zadań służby państwowej było zaangażowane</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szereg przedsięwzięć związanych</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bezpieczeństwem żeglugi na obszarach morskich RP, zarówno na forum krajowym, jak</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międzynarodowym.</w:t>
      </w:r>
    </w:p>
    <w:p w14:paraId="75EF7E47" w14:textId="37A5AF76"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Realizując zadania morskiej służby hydrograficznej BHMW prowadzi krajow</w:t>
      </w:r>
      <w:r w:rsidR="00017362">
        <w:rPr>
          <w:rFonts w:ascii="Arial" w:eastAsia="Calibri" w:hAnsi="Arial" w:cs="Arial"/>
          <w:sz w:val="20"/>
          <w:szCs w:val="20"/>
          <w:lang w:eastAsia="pl-PL"/>
        </w:rPr>
        <w:t>y zasób danych hydrograficznych,</w:t>
      </w:r>
      <w:r w:rsidRPr="004C6CC5">
        <w:rPr>
          <w:rFonts w:ascii="Arial" w:eastAsia="Calibri" w:hAnsi="Arial" w:cs="Arial"/>
          <w:sz w:val="20"/>
          <w:szCs w:val="20"/>
          <w:lang w:eastAsia="pl-PL"/>
        </w:rPr>
        <w:t xml:space="preserve"> </w:t>
      </w:r>
      <w:r w:rsidR="00017362">
        <w:rPr>
          <w:rFonts w:ascii="Arial" w:eastAsia="Calibri" w:hAnsi="Arial" w:cs="Arial"/>
          <w:sz w:val="20"/>
          <w:szCs w:val="20"/>
          <w:lang w:eastAsia="pl-PL"/>
        </w:rPr>
        <w:t xml:space="preserve">gromadząc </w:t>
      </w:r>
      <w:r w:rsidR="004C6CC5">
        <w:rPr>
          <w:rFonts w:ascii="Arial" w:eastAsia="Calibri" w:hAnsi="Arial" w:cs="Arial"/>
          <w:sz w:val="20"/>
          <w:szCs w:val="20"/>
          <w:lang w:eastAsia="pl-PL"/>
        </w:rPr>
        <w:t>i </w:t>
      </w:r>
      <w:r w:rsidR="00017362">
        <w:rPr>
          <w:rFonts w:ascii="Arial" w:eastAsia="Calibri" w:hAnsi="Arial" w:cs="Arial"/>
          <w:sz w:val="20"/>
          <w:szCs w:val="20"/>
          <w:lang w:eastAsia="pl-PL"/>
        </w:rPr>
        <w:t>weryfikując</w:t>
      </w:r>
      <w:r w:rsidRPr="004C6CC5">
        <w:rPr>
          <w:rFonts w:ascii="Arial" w:eastAsia="Calibri" w:hAnsi="Arial" w:cs="Arial"/>
          <w:sz w:val="20"/>
          <w:szCs w:val="20"/>
          <w:lang w:eastAsia="pl-PL"/>
        </w:rPr>
        <w:t xml:space="preserve"> dane hydrograficzne</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prac pomiarowych realizowanych przez administrację morską</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inne podmioty</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 xml:space="preserve">polskiej </w:t>
      </w:r>
      <w:r w:rsidR="005A333D">
        <w:rPr>
          <w:rFonts w:ascii="Arial" w:eastAsia="Calibri" w:hAnsi="Arial" w:cs="Arial"/>
          <w:sz w:val="20"/>
          <w:szCs w:val="20"/>
          <w:lang w:eastAsia="pl-PL"/>
        </w:rPr>
        <w:t>wyłącznej strefie ekonomicznej</w:t>
      </w:r>
      <w:r w:rsidRPr="004C6CC5">
        <w:rPr>
          <w:rFonts w:ascii="Arial" w:eastAsia="Calibri" w:hAnsi="Arial" w:cs="Arial"/>
          <w:sz w:val="20"/>
          <w:szCs w:val="20"/>
          <w:lang w:eastAsia="pl-PL"/>
        </w:rPr>
        <w:t>. B</w:t>
      </w:r>
      <w:r w:rsidR="00017362">
        <w:rPr>
          <w:rFonts w:ascii="Arial" w:eastAsia="Calibri" w:hAnsi="Arial" w:cs="Arial"/>
          <w:sz w:val="20"/>
          <w:szCs w:val="20"/>
          <w:lang w:eastAsia="pl-PL"/>
        </w:rPr>
        <w:t>HMW b</w:t>
      </w:r>
      <w:r w:rsidRPr="004C6CC5">
        <w:rPr>
          <w:rFonts w:ascii="Arial" w:eastAsia="Calibri" w:hAnsi="Arial" w:cs="Arial"/>
          <w:sz w:val="20"/>
          <w:szCs w:val="20"/>
          <w:lang w:eastAsia="pl-PL"/>
        </w:rPr>
        <w:t xml:space="preserve">ierze </w:t>
      </w:r>
      <w:r w:rsidR="00017362">
        <w:rPr>
          <w:rFonts w:ascii="Arial" w:eastAsia="Calibri" w:hAnsi="Arial" w:cs="Arial"/>
          <w:sz w:val="20"/>
          <w:szCs w:val="20"/>
          <w:lang w:eastAsia="pl-PL"/>
        </w:rPr>
        <w:t xml:space="preserve">również </w:t>
      </w:r>
      <w:r w:rsidRPr="004C6CC5">
        <w:rPr>
          <w:rFonts w:ascii="Arial" w:eastAsia="Calibri" w:hAnsi="Arial" w:cs="Arial"/>
          <w:sz w:val="20"/>
          <w:szCs w:val="20"/>
          <w:lang w:eastAsia="pl-PL"/>
        </w:rPr>
        <w:t>udział</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opiniowaniu projektów budowli hydrotechnicznych realizowanych na polskich obszarach morskich oraz</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opiniowaniu planów zagospodarowania przestrzennego.</w:t>
      </w:r>
    </w:p>
    <w:p w14:paraId="7FCC5D7B" w14:textId="0E0FCDA8"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Wypełniając zadania Krajowego Koordy</w:t>
      </w:r>
      <w:r w:rsidR="00CD3E26">
        <w:rPr>
          <w:rFonts w:ascii="Arial" w:eastAsia="Calibri" w:hAnsi="Arial" w:cs="Arial"/>
          <w:sz w:val="20"/>
          <w:szCs w:val="20"/>
          <w:lang w:eastAsia="pl-PL"/>
        </w:rPr>
        <w:t xml:space="preserve">natora Ostrzeżeń Nawigacyjnych </w:t>
      </w:r>
      <w:r w:rsidRPr="00D81C2D">
        <w:rPr>
          <w:rFonts w:ascii="Arial" w:eastAsia="Calibri" w:hAnsi="Arial" w:cs="Arial"/>
          <w:sz w:val="20"/>
          <w:szCs w:val="20"/>
          <w:lang w:eastAsia="pl-PL"/>
        </w:rPr>
        <w:t>(National Coordinator Navigational Warnings), BHMW uczestniczyło</w:t>
      </w:r>
      <w:r w:rsidR="004C6CC5" w:rsidRPr="00D81C2D">
        <w:rPr>
          <w:rFonts w:ascii="Arial" w:eastAsia="Calibri" w:hAnsi="Arial" w:cs="Arial"/>
          <w:sz w:val="20"/>
          <w:szCs w:val="20"/>
          <w:lang w:eastAsia="pl-PL"/>
        </w:rPr>
        <w:t xml:space="preserve"> w </w:t>
      </w:r>
      <w:r w:rsidRPr="00D81C2D">
        <w:rPr>
          <w:rFonts w:ascii="Arial" w:eastAsia="Calibri" w:hAnsi="Arial" w:cs="Arial"/>
          <w:sz w:val="20"/>
          <w:szCs w:val="20"/>
          <w:lang w:eastAsia="pl-PL"/>
        </w:rPr>
        <w:t xml:space="preserve">procesie wymiany Morskiej Informacji Bezpieczeństwa (MSI </w:t>
      </w:r>
      <w:r w:rsidR="00CD3E26">
        <w:rPr>
          <w:rFonts w:ascii="Arial" w:eastAsia="Calibri" w:hAnsi="Arial" w:cs="Arial"/>
          <w:sz w:val="20"/>
          <w:szCs w:val="20"/>
          <w:lang w:eastAsia="pl-PL"/>
        </w:rPr>
        <w:t>-</w:t>
      </w:r>
      <w:r w:rsidRPr="00D81C2D">
        <w:rPr>
          <w:rFonts w:ascii="Arial" w:eastAsia="Calibri" w:hAnsi="Arial" w:cs="Arial"/>
          <w:sz w:val="20"/>
          <w:szCs w:val="20"/>
          <w:lang w:eastAsia="pl-PL"/>
        </w:rPr>
        <w:t xml:space="preserve"> Maritime Safety Information)</w:t>
      </w:r>
      <w:r w:rsidR="004C6CC5" w:rsidRPr="00D81C2D">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Pr="004C6CC5">
        <w:rPr>
          <w:rFonts w:ascii="Arial" w:eastAsia="Calibri" w:hAnsi="Arial" w:cs="Arial"/>
          <w:sz w:val="20"/>
          <w:szCs w:val="20"/>
          <w:lang w:eastAsia="pl-PL"/>
        </w:rPr>
        <w:t>ramach fu</w:t>
      </w:r>
      <w:r w:rsidR="00CD3E26">
        <w:rPr>
          <w:rFonts w:ascii="Arial" w:eastAsia="Calibri" w:hAnsi="Arial" w:cs="Arial"/>
          <w:sz w:val="20"/>
          <w:szCs w:val="20"/>
          <w:lang w:eastAsia="pl-PL"/>
        </w:rPr>
        <w:t xml:space="preserve">nkcjonowania podobszaru BALTICO </w:t>
      </w:r>
      <w:r w:rsidRPr="004C6CC5">
        <w:rPr>
          <w:rFonts w:ascii="Arial" w:eastAsia="Calibri" w:hAnsi="Arial" w:cs="Arial"/>
          <w:sz w:val="20"/>
          <w:szCs w:val="20"/>
          <w:lang w:eastAsia="pl-PL"/>
        </w:rPr>
        <w:t>oraz koordynowało wszelkie działania</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 xml:space="preserve">tym związane, o ile dotyczyły obszarów morskich RP. Koordynacja dotyczyła między innymi działań takich instytucji </w:t>
      </w:r>
      <w:r w:rsidR="003E5EE0">
        <w:rPr>
          <w:rFonts w:ascii="Arial" w:eastAsia="Calibri" w:hAnsi="Arial" w:cs="Arial"/>
          <w:sz w:val="20"/>
          <w:szCs w:val="20"/>
          <w:lang w:eastAsia="pl-PL"/>
        </w:rPr>
        <w:t>jak: urzędy m</w:t>
      </w:r>
      <w:r w:rsidRPr="004C6CC5">
        <w:rPr>
          <w:rFonts w:ascii="Arial" w:eastAsia="Calibri" w:hAnsi="Arial" w:cs="Arial"/>
          <w:sz w:val="20"/>
          <w:szCs w:val="20"/>
          <w:lang w:eastAsia="pl-PL"/>
        </w:rPr>
        <w:t>orskie</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Gdyni, Słupsku</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Szczecinie, Morski Oddział Straży Granicznej, Uniwersytet Gdański, Lotos-Petrobaltic, Przedsiębiorstwo Robót Czerpalnych</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Pogłębiarskich, Instytut Morski</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 xml:space="preserve">Gdańsku, VTS Zatoka, VTMS Szczecin-Świnoujście, Słupsk Traffic Control. </w:t>
      </w:r>
    </w:p>
    <w:p w14:paraId="5E2B22E8" w14:textId="40E0DF0D"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W 2019</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rozpowszechniono łącznie 303 ostrzeżenia nawigacyjne, dotyczące działań na morzu prowadzonych na obszarach morskich RP,</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tym zamykanie</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ogłaszanie jako niebezpieczne dla żeglugi</w:t>
      </w:r>
      <w:r w:rsidR="00E34D3C">
        <w:rPr>
          <w:rFonts w:ascii="Arial" w:eastAsia="Calibri" w:hAnsi="Arial" w:cs="Arial"/>
          <w:sz w:val="20"/>
          <w:szCs w:val="20"/>
          <w:lang w:eastAsia="pl-PL"/>
        </w:rPr>
        <w:t xml:space="preserve"> i </w:t>
      </w:r>
      <w:r w:rsidRPr="004C6CC5">
        <w:rPr>
          <w:rFonts w:ascii="Arial" w:eastAsia="Calibri" w:hAnsi="Arial" w:cs="Arial"/>
          <w:sz w:val="20"/>
          <w:szCs w:val="20"/>
          <w:lang w:eastAsia="pl-PL"/>
        </w:rPr>
        <w:t>rybołówstwa stref</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poligonów morskich, operacji holowania platform wiertniczych, niesprawności nawigacyjnego oznakowania stałego</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pływającego, prac badawczych wykonywanych przez jednostki polskie</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zagraniczne.</w:t>
      </w:r>
    </w:p>
    <w:p w14:paraId="37E6F56C" w14:textId="77777777"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Realizując zadania obejmujące prowadzenie bieżącego serwisu publikacji nautycznych BHMW wydało:</w:t>
      </w:r>
    </w:p>
    <w:p w14:paraId="32621397" w14:textId="24C248C8" w:rsidR="00D226EE" w:rsidRPr="004C6CC5" w:rsidRDefault="00D226EE" w:rsidP="003C6ECA">
      <w:pPr>
        <w:pStyle w:val="Akapitzlist"/>
        <w:numPr>
          <w:ilvl w:val="0"/>
          <w:numId w:val="7"/>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„Spis Świateł</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Sygnałów Nawiga</w:t>
      </w:r>
      <w:r w:rsidR="007E4D43">
        <w:rPr>
          <w:rFonts w:ascii="Arial" w:eastAsia="Calibri" w:hAnsi="Arial" w:cs="Arial"/>
          <w:sz w:val="20"/>
          <w:szCs w:val="20"/>
          <w:lang w:eastAsia="pl-PL"/>
        </w:rPr>
        <w:t>cyjnych” (numer katalogowy 521);</w:t>
      </w:r>
      <w:r w:rsidRPr="004C6CC5">
        <w:rPr>
          <w:rFonts w:ascii="Arial" w:eastAsia="Calibri" w:hAnsi="Arial" w:cs="Arial"/>
          <w:sz w:val="20"/>
          <w:szCs w:val="20"/>
          <w:lang w:eastAsia="pl-PL"/>
        </w:rPr>
        <w:t xml:space="preserve"> </w:t>
      </w:r>
    </w:p>
    <w:p w14:paraId="77965C26" w14:textId="578157D6" w:rsidR="00D226EE" w:rsidRPr="004C6CC5" w:rsidRDefault="00D226EE" w:rsidP="003C6ECA">
      <w:pPr>
        <w:pStyle w:val="Akapitzlist"/>
        <w:numPr>
          <w:ilvl w:val="0"/>
          <w:numId w:val="7"/>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„Spis Świateł</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Sygnałów Nawiga</w:t>
      </w:r>
      <w:r w:rsidR="007E4D43">
        <w:rPr>
          <w:rFonts w:ascii="Arial" w:eastAsia="Calibri" w:hAnsi="Arial" w:cs="Arial"/>
          <w:sz w:val="20"/>
          <w:szCs w:val="20"/>
          <w:lang w:eastAsia="pl-PL"/>
        </w:rPr>
        <w:t>cyjnych” (numer katalogowy 522);</w:t>
      </w:r>
      <w:r w:rsidRPr="004C6CC5">
        <w:rPr>
          <w:rFonts w:ascii="Arial" w:eastAsia="Calibri" w:hAnsi="Arial" w:cs="Arial"/>
          <w:sz w:val="20"/>
          <w:szCs w:val="20"/>
          <w:lang w:eastAsia="pl-PL"/>
        </w:rPr>
        <w:t xml:space="preserve"> </w:t>
      </w:r>
    </w:p>
    <w:p w14:paraId="5E5A04E8" w14:textId="3FFF3539" w:rsidR="00D226EE" w:rsidRPr="004C6CC5" w:rsidRDefault="00D226EE" w:rsidP="003C6ECA">
      <w:pPr>
        <w:pStyle w:val="Akapitzlist"/>
        <w:numPr>
          <w:ilvl w:val="0"/>
          <w:numId w:val="7"/>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„Katalog map morskich</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publikacji nautycznych wydawanych przez  BHMW” (numer katalogowy 552) – wydawany wyłącznie</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 xml:space="preserve">wersji </w:t>
      </w:r>
      <w:r w:rsidR="007E4D43">
        <w:rPr>
          <w:rFonts w:ascii="Arial" w:eastAsia="Calibri" w:hAnsi="Arial" w:cs="Arial"/>
          <w:sz w:val="20"/>
          <w:szCs w:val="20"/>
          <w:lang w:eastAsia="pl-PL"/>
        </w:rPr>
        <w:t>PDF;</w:t>
      </w:r>
    </w:p>
    <w:p w14:paraId="3E7B0FB9" w14:textId="26F17FCA" w:rsidR="00D226EE" w:rsidRPr="004C6CC5" w:rsidRDefault="00D226EE" w:rsidP="003C6ECA">
      <w:pPr>
        <w:pStyle w:val="Akapitzlist"/>
        <w:numPr>
          <w:ilvl w:val="0"/>
          <w:numId w:val="7"/>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„Spis Radiostacji Nautycznych” (numer katalogowy 530) jako nową publikację zastępującą dotychczasowe trzy tomy Spisu Radiostacji Nautycznych o numerach 531, 532</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533. Publikacja ta,</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przyczyn niezależnych od BHMW ukazała się jednak dopiero na początku stycznia 2019 r.</w:t>
      </w:r>
    </w:p>
    <w:p w14:paraId="12170513" w14:textId="67F34B0E"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Ponadto, BHMW kontynuowało opracowywanie</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wydawanie zeszytów „Wiadomości Żeglarskie”, które od</w:t>
      </w:r>
      <w:r w:rsidR="00B66FCE" w:rsidRPr="004C6CC5">
        <w:rPr>
          <w:rFonts w:ascii="Arial" w:eastAsia="Calibri" w:hAnsi="Arial" w:cs="Arial"/>
          <w:sz w:val="20"/>
          <w:szCs w:val="20"/>
          <w:lang w:eastAsia="pl-PL"/>
        </w:rPr>
        <w:t xml:space="preserve"> 1 </w:t>
      </w:r>
      <w:r w:rsidRPr="004C6CC5">
        <w:rPr>
          <w:rFonts w:ascii="Arial" w:eastAsia="Calibri" w:hAnsi="Arial" w:cs="Arial"/>
          <w:sz w:val="20"/>
          <w:szCs w:val="20"/>
          <w:lang w:eastAsia="pl-PL"/>
        </w:rPr>
        <w:t>stycznia 2013</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rozpowszechniane są wyłącznie</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ogólno</w:t>
      </w:r>
      <w:r w:rsidR="009E61B2">
        <w:rPr>
          <w:rFonts w:ascii="Arial" w:eastAsia="Calibri" w:hAnsi="Arial" w:cs="Arial"/>
          <w:sz w:val="20"/>
          <w:szCs w:val="20"/>
          <w:lang w:eastAsia="pl-PL"/>
        </w:rPr>
        <w:t>dostępnej elektronicznej formie</w:t>
      </w:r>
      <w:r w:rsidRPr="004C6CC5">
        <w:rPr>
          <w:rFonts w:ascii="Arial" w:eastAsia="Calibri" w:hAnsi="Arial" w:cs="Arial"/>
          <w:sz w:val="20"/>
          <w:szCs w:val="20"/>
          <w:lang w:eastAsia="pl-PL"/>
        </w:rPr>
        <w:t xml:space="preserve"> na stronie internetowej BHMW</w:t>
      </w:r>
      <w:r w:rsidR="009E61B2">
        <w:rPr>
          <w:rFonts w:ascii="Arial" w:eastAsia="Calibri" w:hAnsi="Arial" w:cs="Arial"/>
          <w:sz w:val="20"/>
          <w:szCs w:val="20"/>
          <w:lang w:eastAsia="pl-PL"/>
        </w:rPr>
        <w:t>.</w:t>
      </w:r>
      <w:r w:rsidRPr="004C6CC5">
        <w:rPr>
          <w:rFonts w:ascii="Arial" w:eastAsia="Calibri" w:hAnsi="Arial" w:cs="Arial"/>
          <w:sz w:val="20"/>
          <w:szCs w:val="20"/>
          <w:lang w:eastAsia="pl-PL"/>
        </w:rPr>
        <w:t xml:space="preserve"> </w:t>
      </w:r>
      <w:r w:rsidR="009E61B2">
        <w:rPr>
          <w:rFonts w:ascii="Arial" w:eastAsia="Calibri" w:hAnsi="Arial" w:cs="Arial"/>
          <w:sz w:val="20"/>
          <w:szCs w:val="20"/>
          <w:lang w:eastAsia="pl-PL"/>
        </w:rPr>
        <w:t>Kontynuowan</w:t>
      </w:r>
      <w:r w:rsidRPr="004C6CC5">
        <w:rPr>
          <w:rFonts w:ascii="Arial" w:eastAsia="Calibri" w:hAnsi="Arial" w:cs="Arial"/>
          <w:sz w:val="20"/>
          <w:szCs w:val="20"/>
          <w:lang w:eastAsia="pl-PL"/>
        </w:rPr>
        <w:t xml:space="preserve">o </w:t>
      </w:r>
      <w:r w:rsidR="009E61B2">
        <w:rPr>
          <w:rFonts w:ascii="Arial" w:eastAsia="Calibri" w:hAnsi="Arial" w:cs="Arial"/>
          <w:sz w:val="20"/>
          <w:szCs w:val="20"/>
          <w:lang w:eastAsia="pl-PL"/>
        </w:rPr>
        <w:t xml:space="preserve">również </w:t>
      </w:r>
      <w:r w:rsidRPr="004C6CC5">
        <w:rPr>
          <w:rFonts w:ascii="Arial" w:eastAsia="Calibri" w:hAnsi="Arial" w:cs="Arial"/>
          <w:sz w:val="20"/>
          <w:szCs w:val="20"/>
          <w:lang w:eastAsia="pl-PL"/>
        </w:rPr>
        <w:t>opracowanie informacji związanej</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prowadzeniem korekty publikacji nautycznych BHMW (numery katalogowe 502, 521, 522, 523, 531, 532, 533</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552)</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oparciu o dane przetwarzane</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zagranicznych map</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publikacji nautycznych</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państw obszaru Morza Bałtyckiego (GE, DK, SE, FI, RU, EST, LV, LT).</w:t>
      </w:r>
    </w:p>
    <w:p w14:paraId="182A6DB7" w14:textId="66B92470"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BHMW utrzymywało również serwis internetowy ostrzeżeń nawigacyjnych prowadzony na bazie strony internetowej BHMW (www.bhmw.mw.mil.pl, zakładka Ostrzeżenia Nawigacyjne)</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 xml:space="preserve">uwzględnieniem treści ostrzeżeń </w:t>
      </w:r>
      <w:r w:rsidRPr="00CD1DE7">
        <w:rPr>
          <w:rFonts w:ascii="Arial" w:eastAsia="Calibri" w:hAnsi="Arial" w:cs="Arial"/>
          <w:sz w:val="20"/>
          <w:szCs w:val="20"/>
          <w:lang w:eastAsia="pl-PL"/>
        </w:rPr>
        <w:t>NAVTEX, Coastal</w:t>
      </w:r>
      <w:r w:rsidR="004C6CC5" w:rsidRPr="00CD1DE7">
        <w:rPr>
          <w:rFonts w:ascii="Arial" w:eastAsia="Calibri" w:hAnsi="Arial" w:cs="Arial"/>
          <w:sz w:val="20"/>
          <w:szCs w:val="20"/>
          <w:lang w:eastAsia="pl-PL"/>
        </w:rPr>
        <w:t xml:space="preserve"> i </w:t>
      </w:r>
      <w:r w:rsidRPr="00CD1DE7">
        <w:rPr>
          <w:rFonts w:ascii="Arial" w:eastAsia="Calibri" w:hAnsi="Arial" w:cs="Arial"/>
          <w:sz w:val="20"/>
          <w:szCs w:val="20"/>
          <w:lang w:eastAsia="pl-PL"/>
        </w:rPr>
        <w:t>Local,</w:t>
      </w:r>
      <w:r w:rsidRPr="004C6CC5">
        <w:rPr>
          <w:rFonts w:ascii="Arial" w:eastAsia="Calibri" w:hAnsi="Arial" w:cs="Arial"/>
          <w:sz w:val="20"/>
          <w:szCs w:val="20"/>
          <w:lang w:eastAsia="pl-PL"/>
        </w:rPr>
        <w:t xml:space="preserve"> rozpowszechni</w:t>
      </w:r>
      <w:r w:rsidR="00CD1DE7">
        <w:rPr>
          <w:rFonts w:ascii="Arial" w:eastAsia="Calibri" w:hAnsi="Arial" w:cs="Arial"/>
          <w:sz w:val="20"/>
          <w:szCs w:val="20"/>
          <w:lang w:eastAsia="pl-PL"/>
        </w:rPr>
        <w:t>anych przez BALTICO, BHMW oraz urzędy m</w:t>
      </w:r>
      <w:r w:rsidRPr="004C6CC5">
        <w:rPr>
          <w:rFonts w:ascii="Arial" w:eastAsia="Calibri" w:hAnsi="Arial" w:cs="Arial"/>
          <w:sz w:val="20"/>
          <w:szCs w:val="20"/>
          <w:lang w:eastAsia="pl-PL"/>
        </w:rPr>
        <w:t>orskie</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Gdyni, Słupsku</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Szczecinie. Serwis ten ma za zadanie ułatwić dostęp do jednolitej informacji dotyczącej ostrzeżeń nawigacyjnych wszystkim użytkownikom morza. Jednocześnie</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2019</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podjęto działania mające na celu opracowanie</w:t>
      </w:r>
      <w:r w:rsidR="00C70371">
        <w:rPr>
          <w:rFonts w:ascii="Arial" w:eastAsia="Calibri" w:hAnsi="Arial" w:cs="Arial"/>
          <w:sz w:val="20"/>
          <w:szCs w:val="20"/>
          <w:lang w:eastAsia="pl-PL"/>
        </w:rPr>
        <w:t xml:space="preserve"> i </w:t>
      </w:r>
      <w:r w:rsidRPr="004C6CC5">
        <w:rPr>
          <w:rFonts w:ascii="Arial" w:eastAsia="Calibri" w:hAnsi="Arial" w:cs="Arial"/>
          <w:sz w:val="20"/>
          <w:szCs w:val="20"/>
          <w:lang w:eastAsia="pl-PL"/>
        </w:rPr>
        <w:t xml:space="preserve">wdrożenie nowej strony internetowej dostosowanej do </w:t>
      </w:r>
      <w:r w:rsidRPr="004C6CC5">
        <w:rPr>
          <w:rFonts w:ascii="Arial" w:eastAsia="Calibri" w:hAnsi="Arial" w:cs="Arial"/>
          <w:sz w:val="20"/>
          <w:szCs w:val="20"/>
          <w:lang w:eastAsia="pl-PL"/>
        </w:rPr>
        <w:lastRenderedPageBreak/>
        <w:t>współczesnych oczekiwań użyt</w:t>
      </w:r>
      <w:r w:rsidR="00E81040">
        <w:rPr>
          <w:rFonts w:ascii="Arial" w:eastAsia="Calibri" w:hAnsi="Arial" w:cs="Arial"/>
          <w:sz w:val="20"/>
          <w:szCs w:val="20"/>
          <w:lang w:eastAsia="pl-PL"/>
        </w:rPr>
        <w:t>kowników, m.in.</w:t>
      </w:r>
      <w:r w:rsidRPr="004C6CC5">
        <w:rPr>
          <w:rFonts w:ascii="Arial" w:eastAsia="Calibri" w:hAnsi="Arial" w:cs="Arial"/>
          <w:sz w:val="20"/>
          <w:szCs w:val="20"/>
          <w:lang w:eastAsia="pl-PL"/>
        </w:rPr>
        <w:t xml:space="preserve"> dającej się wyświetlać</w:t>
      </w:r>
      <w:r w:rsidR="004C6CC5">
        <w:rPr>
          <w:rFonts w:ascii="Arial" w:eastAsia="Calibri" w:hAnsi="Arial" w:cs="Arial"/>
          <w:sz w:val="20"/>
          <w:szCs w:val="20"/>
          <w:lang w:eastAsia="pl-PL"/>
        </w:rPr>
        <w:t xml:space="preserve"> </w:t>
      </w:r>
      <w:r w:rsidR="005D18C0">
        <w:rPr>
          <w:rFonts w:ascii="Arial" w:eastAsia="Calibri" w:hAnsi="Arial" w:cs="Arial"/>
          <w:sz w:val="20"/>
          <w:szCs w:val="20"/>
          <w:lang w:eastAsia="pl-PL"/>
        </w:rPr>
        <w:t>na</w:t>
      </w:r>
      <w:r w:rsidR="004C6CC5">
        <w:rPr>
          <w:rFonts w:ascii="Arial" w:eastAsia="Calibri" w:hAnsi="Arial" w:cs="Arial"/>
          <w:sz w:val="20"/>
          <w:szCs w:val="20"/>
          <w:lang w:eastAsia="pl-PL"/>
        </w:rPr>
        <w:t> </w:t>
      </w:r>
      <w:r w:rsidRPr="004C6CC5">
        <w:rPr>
          <w:rFonts w:ascii="Arial" w:eastAsia="Calibri" w:hAnsi="Arial" w:cs="Arial"/>
          <w:sz w:val="20"/>
          <w:szCs w:val="20"/>
          <w:lang w:eastAsia="pl-PL"/>
        </w:rPr>
        <w:t>urząd</w:t>
      </w:r>
      <w:r w:rsidR="00E81040">
        <w:rPr>
          <w:rFonts w:ascii="Arial" w:eastAsia="Calibri" w:hAnsi="Arial" w:cs="Arial"/>
          <w:sz w:val="20"/>
          <w:szCs w:val="20"/>
          <w:lang w:eastAsia="pl-PL"/>
        </w:rPr>
        <w:t>zeniach mobilnych</w:t>
      </w:r>
      <w:r w:rsidR="004B18AD">
        <w:rPr>
          <w:rFonts w:ascii="Arial" w:eastAsia="Calibri" w:hAnsi="Arial" w:cs="Arial"/>
          <w:sz w:val="20"/>
          <w:szCs w:val="20"/>
          <w:lang w:eastAsia="pl-PL"/>
        </w:rPr>
        <w:t>. Strona taka</w:t>
      </w:r>
      <w:r w:rsidR="004C6CC5">
        <w:rPr>
          <w:rFonts w:ascii="Arial" w:eastAsia="Calibri" w:hAnsi="Arial" w:cs="Arial"/>
          <w:sz w:val="20"/>
          <w:szCs w:val="20"/>
          <w:lang w:eastAsia="pl-PL"/>
        </w:rPr>
        <w:t xml:space="preserve"> w </w:t>
      </w:r>
      <w:r w:rsidR="004B18AD">
        <w:rPr>
          <w:rFonts w:ascii="Arial" w:eastAsia="Calibri" w:hAnsi="Arial" w:cs="Arial"/>
          <w:sz w:val="20"/>
          <w:szCs w:val="20"/>
          <w:lang w:eastAsia="pl-PL"/>
        </w:rPr>
        <w:t>nowej domenie (bhmw.gov.pl)</w:t>
      </w:r>
      <w:r w:rsidRPr="004C6CC5">
        <w:rPr>
          <w:rFonts w:ascii="Arial" w:eastAsia="Calibri" w:hAnsi="Arial" w:cs="Arial"/>
          <w:sz w:val="20"/>
          <w:szCs w:val="20"/>
          <w:lang w:eastAsia="pl-PL"/>
        </w:rPr>
        <w:t xml:space="preserve"> została uruchomiona</w:t>
      </w:r>
      <w:r w:rsidR="004C6CC5">
        <w:rPr>
          <w:rFonts w:ascii="Arial" w:eastAsia="Calibri" w:hAnsi="Arial" w:cs="Arial"/>
          <w:sz w:val="20"/>
          <w:szCs w:val="20"/>
          <w:lang w:eastAsia="pl-PL"/>
        </w:rPr>
        <w:t xml:space="preserve"> w </w:t>
      </w:r>
      <w:r w:rsidR="00BD0A2C">
        <w:rPr>
          <w:rFonts w:ascii="Arial" w:eastAsia="Calibri" w:hAnsi="Arial" w:cs="Arial"/>
          <w:sz w:val="20"/>
          <w:szCs w:val="20"/>
          <w:lang w:eastAsia="pl-PL"/>
        </w:rPr>
        <w:t xml:space="preserve">dniu </w:t>
      </w:r>
      <w:r w:rsidRPr="004C6CC5">
        <w:rPr>
          <w:rFonts w:ascii="Arial" w:eastAsia="Calibri" w:hAnsi="Arial" w:cs="Arial"/>
          <w:sz w:val="20"/>
          <w:szCs w:val="20"/>
          <w:lang w:eastAsia="pl-PL"/>
        </w:rPr>
        <w:t>7 stycznia 2019 r.</w:t>
      </w:r>
    </w:p>
    <w:p w14:paraId="2EBFC7B8" w14:textId="453A9F34"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Wypełniając zadania</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zakresie kartografii morskiej, BHMW utrzymuje kolekcję 60 map morskich dla obszaru Morza Bałtyckiego,</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których 19 należy d</w:t>
      </w:r>
      <w:r w:rsidR="00D2535E">
        <w:rPr>
          <w:rFonts w:ascii="Arial" w:eastAsia="Calibri" w:hAnsi="Arial" w:cs="Arial"/>
          <w:sz w:val="20"/>
          <w:szCs w:val="20"/>
          <w:lang w:eastAsia="pl-PL"/>
        </w:rPr>
        <w:t>o kolekcji międzynarodowej</w:t>
      </w:r>
      <w:r w:rsidRPr="004C6CC5">
        <w:rPr>
          <w:rFonts w:ascii="Arial" w:eastAsia="Calibri" w:hAnsi="Arial" w:cs="Arial"/>
          <w:sz w:val="20"/>
          <w:szCs w:val="20"/>
          <w:lang w:eastAsia="pl-PL"/>
        </w:rPr>
        <w:t>.</w:t>
      </w:r>
      <w:r w:rsidR="00BD0A2C">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Pr="004C6CC5">
        <w:rPr>
          <w:rFonts w:ascii="Arial" w:eastAsia="Calibri" w:hAnsi="Arial" w:cs="Arial"/>
          <w:sz w:val="20"/>
          <w:szCs w:val="20"/>
          <w:lang w:eastAsia="pl-PL"/>
        </w:rPr>
        <w:t>2019</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wydano ogółem 15 nowych wydań map morskich,</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tym 4 mapy kolekcji międzynarodowej. Ponadto</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ramach zawartego porozumienia</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 xml:space="preserve">niemiecką służbą hydrograficzną (BSH </w:t>
      </w:r>
      <w:r w:rsidR="00932772">
        <w:rPr>
          <w:rFonts w:ascii="Arial" w:eastAsia="Calibri" w:hAnsi="Arial" w:cs="Arial"/>
          <w:sz w:val="20"/>
          <w:szCs w:val="20"/>
          <w:lang w:eastAsia="pl-PL"/>
        </w:rPr>
        <w:t>-</w:t>
      </w:r>
      <w:r w:rsidRPr="004C6CC5">
        <w:rPr>
          <w:rFonts w:ascii="Arial" w:eastAsia="Calibri" w:hAnsi="Arial" w:cs="Arial"/>
          <w:sz w:val="20"/>
          <w:szCs w:val="20"/>
          <w:lang w:eastAsia="pl-PL"/>
        </w:rPr>
        <w:t xml:space="preserve"> </w:t>
      </w:r>
      <w:r w:rsidRPr="00932772">
        <w:rPr>
          <w:rFonts w:ascii="Arial" w:eastAsia="Calibri" w:hAnsi="Arial" w:cs="Arial"/>
          <w:sz w:val="20"/>
          <w:szCs w:val="20"/>
          <w:lang w:eastAsia="pl-PL"/>
        </w:rPr>
        <w:t>Federal Maritime and Hydrographic Agency)</w:t>
      </w:r>
      <w:r w:rsidRPr="004C6CC5">
        <w:rPr>
          <w:rFonts w:ascii="Arial" w:eastAsia="Calibri" w:hAnsi="Arial" w:cs="Arial"/>
          <w:sz w:val="20"/>
          <w:szCs w:val="20"/>
          <w:lang w:eastAsia="pl-PL"/>
        </w:rPr>
        <w:t>, BHMW systematycznie opracowuje 3 zestawy „Map dla małych jednostek”, obejmujące swym zasięgiem polskie obszary morskie.</w:t>
      </w:r>
      <w:r w:rsidR="00DB199B">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Pr="004C6CC5">
        <w:rPr>
          <w:rFonts w:ascii="Arial" w:eastAsia="Calibri" w:hAnsi="Arial" w:cs="Arial"/>
          <w:sz w:val="20"/>
          <w:szCs w:val="20"/>
          <w:lang w:eastAsia="pl-PL"/>
        </w:rPr>
        <w:t>2019</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 xml:space="preserve">wydano jeden zestaw obejmujący rejon Zatoki Gdańskiej </w:t>
      </w:r>
      <w:r w:rsidRPr="004C6CC5">
        <w:rPr>
          <w:rFonts w:ascii="Arial" w:eastAsia="Calibri" w:hAnsi="Arial" w:cs="Arial"/>
          <w:sz w:val="20"/>
          <w:szCs w:val="20"/>
          <w:lang w:eastAsia="pl-PL"/>
        </w:rPr>
        <w:br/>
        <w:t>i Zalewu Wiślanego (nr 3022)</w:t>
      </w:r>
      <w:r w:rsidR="00DB199B">
        <w:rPr>
          <w:rFonts w:ascii="Arial" w:eastAsia="Calibri" w:hAnsi="Arial" w:cs="Arial"/>
          <w:sz w:val="20"/>
          <w:szCs w:val="20"/>
          <w:lang w:eastAsia="pl-PL"/>
        </w:rPr>
        <w:t>,</w:t>
      </w:r>
      <w:r w:rsidRPr="004C6CC5">
        <w:rPr>
          <w:rFonts w:ascii="Arial" w:eastAsia="Calibri" w:hAnsi="Arial" w:cs="Arial"/>
          <w:sz w:val="20"/>
          <w:szCs w:val="20"/>
          <w:lang w:eastAsia="pl-PL"/>
        </w:rPr>
        <w:t xml:space="preserve"> a także opracowano zestawy map dla małych jednostek na Zatokę Pomorską</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Zalew Szczeciński (nr 3020) oraz rejon polskiego wybrzeża od Zatoki Pomorskiej do Mierzei Helskiej (nr 3021), których wydanie planuje się przed otwarciem sezonu żeglarskiego</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2020 r.</w:t>
      </w:r>
    </w:p>
    <w:p w14:paraId="0E5DA734" w14:textId="35E1897F"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Poza klasycznymi, papierowymi mapami morskimi BHMW utrzymuje serwis 63 komórek Elektronicznej Mapy Nawigacyjnej (ENC), obejmujący swym zasięgiem polskie obszary morskie. Zgodnie</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podpisanym przez Polskę (reprezentowaną przez BHMW) porozumieniem</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 xml:space="preserve">Norweską Służbą Hydrograficzną (NHS </w:t>
      </w:r>
      <w:r w:rsidR="00AD77BD">
        <w:rPr>
          <w:rFonts w:ascii="Arial" w:eastAsia="Calibri" w:hAnsi="Arial" w:cs="Arial"/>
          <w:sz w:val="20"/>
          <w:szCs w:val="20"/>
          <w:lang w:eastAsia="pl-PL"/>
        </w:rPr>
        <w:t>-</w:t>
      </w:r>
      <w:r w:rsidRPr="004C6CC5">
        <w:rPr>
          <w:rFonts w:ascii="Arial" w:eastAsia="Calibri" w:hAnsi="Arial" w:cs="Arial"/>
          <w:sz w:val="20"/>
          <w:szCs w:val="20"/>
          <w:lang w:eastAsia="pl-PL"/>
        </w:rPr>
        <w:t xml:space="preserve"> </w:t>
      </w:r>
      <w:r w:rsidRPr="00527AC3">
        <w:rPr>
          <w:rFonts w:ascii="Arial" w:eastAsia="Calibri" w:hAnsi="Arial" w:cs="Arial"/>
          <w:sz w:val="20"/>
          <w:szCs w:val="20"/>
          <w:lang w:eastAsia="pl-PL"/>
        </w:rPr>
        <w:t>Norwegian Hydrographic Service</w:t>
      </w:r>
      <w:r w:rsidRPr="004C6CC5">
        <w:rPr>
          <w:rFonts w:ascii="Arial" w:eastAsia="Calibri" w:hAnsi="Arial" w:cs="Arial"/>
          <w:sz w:val="20"/>
          <w:szCs w:val="20"/>
          <w:lang w:eastAsia="pl-PL"/>
        </w:rPr>
        <w:t>) dystrybucję ENC dla celów nawigacyjnych prowadzono</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ramach Regionalnego Centrum Elektronicznej Mapy Nawigacyjnej PRIMAR (Stavanger, Norwegia). Ponadto, dystrybucję ENC prowadzono</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ramach utrzymywanego przez BHMW serwisu narodowego, poprzez który ENC były przekazywane na okręty Marynarki Wojennej.</w:t>
      </w:r>
      <w:r w:rsidR="00AB7C57">
        <w:rPr>
          <w:rFonts w:ascii="Arial" w:eastAsia="Calibri" w:hAnsi="Arial" w:cs="Arial"/>
          <w:sz w:val="20"/>
          <w:szCs w:val="20"/>
          <w:lang w:eastAsia="pl-PL"/>
        </w:rPr>
        <w:t xml:space="preserve"> W </w:t>
      </w:r>
      <w:r w:rsidRPr="004C6CC5">
        <w:rPr>
          <w:rFonts w:ascii="Arial" w:eastAsia="Calibri" w:hAnsi="Arial" w:cs="Arial"/>
          <w:sz w:val="20"/>
          <w:szCs w:val="20"/>
          <w:lang w:eastAsia="pl-PL"/>
        </w:rPr>
        <w:t>ramach oddzielnych umów</w:t>
      </w:r>
      <w:r w:rsidR="004C6CC5">
        <w:rPr>
          <w:rFonts w:ascii="Arial" w:eastAsia="Calibri" w:hAnsi="Arial" w:cs="Arial"/>
          <w:sz w:val="20"/>
          <w:szCs w:val="20"/>
          <w:lang w:eastAsia="pl-PL"/>
        </w:rPr>
        <w:t xml:space="preserve"> i </w:t>
      </w:r>
      <w:r w:rsidR="00395067">
        <w:rPr>
          <w:rFonts w:ascii="Arial" w:eastAsia="Calibri" w:hAnsi="Arial" w:cs="Arial"/>
          <w:sz w:val="20"/>
          <w:szCs w:val="20"/>
          <w:lang w:eastAsia="pl-PL"/>
        </w:rPr>
        <w:t>porozumień odbiorcami ENC były m.in.</w:t>
      </w:r>
      <w:r w:rsidRPr="004C6CC5">
        <w:rPr>
          <w:rFonts w:ascii="Arial" w:eastAsia="Calibri" w:hAnsi="Arial" w:cs="Arial"/>
          <w:sz w:val="20"/>
          <w:szCs w:val="20"/>
          <w:lang w:eastAsia="pl-PL"/>
        </w:rPr>
        <w:t xml:space="preserve">: Morski Oddział Straży </w:t>
      </w:r>
      <w:r w:rsidR="002B7B17">
        <w:rPr>
          <w:rFonts w:ascii="Arial" w:eastAsia="Calibri" w:hAnsi="Arial" w:cs="Arial"/>
          <w:sz w:val="20"/>
          <w:szCs w:val="20"/>
          <w:lang w:eastAsia="pl-PL"/>
        </w:rPr>
        <w:t>Granicznej, służby ratownicze, urzędy m</w:t>
      </w:r>
      <w:r w:rsidRPr="004C6CC5">
        <w:rPr>
          <w:rFonts w:ascii="Arial" w:eastAsia="Calibri" w:hAnsi="Arial" w:cs="Arial"/>
          <w:sz w:val="20"/>
          <w:szCs w:val="20"/>
          <w:lang w:eastAsia="pl-PL"/>
        </w:rPr>
        <w:t>orskie, instytucje rządowe</w:t>
      </w:r>
      <w:r w:rsidR="007A5FE5">
        <w:rPr>
          <w:rFonts w:ascii="Arial" w:eastAsia="Calibri" w:hAnsi="Arial" w:cs="Arial"/>
          <w:sz w:val="20"/>
          <w:szCs w:val="20"/>
          <w:lang w:eastAsia="pl-PL"/>
        </w:rPr>
        <w:t xml:space="preserve"> i </w:t>
      </w:r>
      <w:r w:rsidRPr="004C6CC5">
        <w:rPr>
          <w:rFonts w:ascii="Arial" w:eastAsia="Calibri" w:hAnsi="Arial" w:cs="Arial"/>
          <w:sz w:val="20"/>
          <w:szCs w:val="20"/>
          <w:lang w:eastAsia="pl-PL"/>
        </w:rPr>
        <w:t>uczelnie morskie.</w:t>
      </w:r>
      <w:r w:rsidR="002B7B17">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Pr="004C6CC5">
        <w:rPr>
          <w:rFonts w:ascii="Arial" w:eastAsia="Calibri" w:hAnsi="Arial" w:cs="Arial"/>
          <w:sz w:val="20"/>
          <w:szCs w:val="20"/>
          <w:lang w:eastAsia="pl-PL"/>
        </w:rPr>
        <w:t>ramach podpisanych umów licencyjnych przekazywano ENC podmiotom prywatnym</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celu tworzenia produktów pochodnych (DPP) lub formatów systemowych (SENC).</w:t>
      </w:r>
    </w:p>
    <w:p w14:paraId="39E422B3" w14:textId="1A476819"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W 2019</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przedstawiciele BHMW uczestniczyli</w:t>
      </w:r>
      <w:r w:rsidR="00105AC8">
        <w:rPr>
          <w:rFonts w:ascii="Arial" w:eastAsia="Calibri" w:hAnsi="Arial" w:cs="Arial"/>
          <w:sz w:val="20"/>
          <w:szCs w:val="20"/>
          <w:lang w:eastAsia="pl-PL"/>
        </w:rPr>
        <w:t xml:space="preserve"> w </w:t>
      </w:r>
      <w:r w:rsidRPr="004C6CC5">
        <w:rPr>
          <w:rFonts w:ascii="Arial" w:eastAsia="Calibri" w:hAnsi="Arial" w:cs="Arial"/>
          <w:sz w:val="20"/>
          <w:szCs w:val="20"/>
          <w:lang w:eastAsia="pl-PL"/>
        </w:rPr>
        <w:t>pracach komitetów</w:t>
      </w:r>
      <w:r w:rsidR="00932772">
        <w:rPr>
          <w:rFonts w:ascii="Arial" w:eastAsia="Calibri" w:hAnsi="Arial" w:cs="Arial"/>
          <w:sz w:val="20"/>
          <w:szCs w:val="20"/>
          <w:lang w:eastAsia="pl-PL"/>
        </w:rPr>
        <w:t xml:space="preserve"> oraz </w:t>
      </w:r>
      <w:r w:rsidRPr="004C6CC5">
        <w:rPr>
          <w:rFonts w:ascii="Arial" w:eastAsia="Calibri" w:hAnsi="Arial" w:cs="Arial"/>
          <w:sz w:val="20"/>
          <w:szCs w:val="20"/>
          <w:lang w:eastAsia="pl-PL"/>
        </w:rPr>
        <w:t>grup roboczych międzynarodowych organizacji morskich:</w:t>
      </w:r>
    </w:p>
    <w:p w14:paraId="0013F856" w14:textId="2A831EEC"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 xml:space="preserve">Radzie Międzynarodowej Organizacji Hydrograficznej (International Hydrographic Organisation Council) </w:t>
      </w:r>
      <w:r w:rsidR="00602C31">
        <w:rPr>
          <w:rFonts w:ascii="Arial" w:eastAsia="Calibri" w:hAnsi="Arial" w:cs="Arial"/>
          <w:sz w:val="20"/>
          <w:szCs w:val="20"/>
          <w:lang w:eastAsia="pl-PL"/>
        </w:rPr>
        <w:t>-</w:t>
      </w:r>
      <w:r w:rsidRPr="004C6CC5">
        <w:rPr>
          <w:rFonts w:ascii="Arial" w:eastAsia="Calibri" w:hAnsi="Arial" w:cs="Arial"/>
          <w:sz w:val="20"/>
          <w:szCs w:val="20"/>
          <w:lang w:eastAsia="pl-PL"/>
        </w:rPr>
        <w:t xml:space="preserve"> organ zarządzający IHO, działający</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okresie między kolejnymi Zgromadzeniami Ogólnymi IHO; 2. Posiedzenie Rady</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dniach 15</w:t>
      </w:r>
      <w:r w:rsidR="00602C31">
        <w:rPr>
          <w:rFonts w:ascii="Arial" w:eastAsia="Calibri" w:hAnsi="Arial" w:cs="Arial"/>
          <w:sz w:val="20"/>
          <w:szCs w:val="20"/>
          <w:lang w:eastAsia="pl-PL"/>
        </w:rPr>
        <w:t xml:space="preserve"> </w:t>
      </w:r>
      <w:r w:rsidRPr="004C6CC5">
        <w:rPr>
          <w:rFonts w:ascii="Arial" w:eastAsia="Calibri" w:hAnsi="Arial" w:cs="Arial"/>
          <w:sz w:val="20"/>
          <w:szCs w:val="20"/>
          <w:lang w:eastAsia="pl-PL"/>
        </w:rPr>
        <w:t>-</w:t>
      </w:r>
      <w:r w:rsidR="00602C31">
        <w:rPr>
          <w:rFonts w:ascii="Arial" w:eastAsia="Calibri" w:hAnsi="Arial" w:cs="Arial"/>
          <w:sz w:val="20"/>
          <w:szCs w:val="20"/>
          <w:lang w:eastAsia="pl-PL"/>
        </w:rPr>
        <w:t xml:space="preserve"> </w:t>
      </w:r>
      <w:r w:rsidRPr="004C6CC5">
        <w:rPr>
          <w:rFonts w:ascii="Arial" w:eastAsia="Calibri" w:hAnsi="Arial" w:cs="Arial"/>
          <w:sz w:val="20"/>
          <w:szCs w:val="20"/>
          <w:lang w:eastAsia="pl-PL"/>
        </w:rPr>
        <w:t>17 października 2019 r., Monaco;</w:t>
      </w:r>
    </w:p>
    <w:p w14:paraId="192A9D6A" w14:textId="3CD0B03B"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Podkomitecie Bezpieczeństwa Żeglugi, Radiokomunikacji oraz Poszukiwań</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 xml:space="preserve">Ratownictwa (NCSR </w:t>
      </w:r>
      <w:r w:rsidR="00602C31">
        <w:rPr>
          <w:rFonts w:ascii="Arial" w:eastAsia="Calibri" w:hAnsi="Arial" w:cs="Arial"/>
          <w:sz w:val="20"/>
          <w:szCs w:val="20"/>
          <w:lang w:eastAsia="pl-PL"/>
        </w:rPr>
        <w:t>-</w:t>
      </w:r>
      <w:r w:rsidRPr="004C6CC5">
        <w:rPr>
          <w:rFonts w:ascii="Arial" w:eastAsia="Calibri" w:hAnsi="Arial" w:cs="Arial"/>
          <w:sz w:val="20"/>
          <w:szCs w:val="20"/>
          <w:lang w:eastAsia="pl-PL"/>
        </w:rPr>
        <w:t xml:space="preserve"> Navigation, Communications and Search and Rescue) Międzynaro</w:t>
      </w:r>
      <w:r w:rsidR="00DC58E4">
        <w:rPr>
          <w:rFonts w:ascii="Arial" w:eastAsia="Calibri" w:hAnsi="Arial" w:cs="Arial"/>
          <w:sz w:val="20"/>
          <w:szCs w:val="20"/>
          <w:lang w:eastAsia="pl-PL"/>
        </w:rPr>
        <w:t>dowej Organizacji Morskiej (IMO</w:t>
      </w:r>
      <w:r w:rsidRPr="004C6CC5">
        <w:rPr>
          <w:rFonts w:ascii="Arial" w:eastAsia="Calibri" w:hAnsi="Arial" w:cs="Arial"/>
          <w:sz w:val="20"/>
          <w:szCs w:val="20"/>
          <w:lang w:eastAsia="pl-PL"/>
        </w:rPr>
        <w:t>). Podkomitet zajmuje się tematyką</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zakresu tras żeglugowych, systemów meldunkowych, systemów rozgraniczenia ruchu, E-nawigac</w:t>
      </w:r>
      <w:r w:rsidR="00602C31">
        <w:rPr>
          <w:rFonts w:ascii="Arial" w:eastAsia="Calibri" w:hAnsi="Arial" w:cs="Arial"/>
          <w:sz w:val="20"/>
          <w:szCs w:val="20"/>
          <w:lang w:eastAsia="pl-PL"/>
        </w:rPr>
        <w:t xml:space="preserve">ji, standardów systemów ECDIS, </w:t>
      </w:r>
      <w:r w:rsidRPr="004C6CC5">
        <w:rPr>
          <w:rFonts w:ascii="Arial" w:eastAsia="Calibri" w:hAnsi="Arial" w:cs="Arial"/>
          <w:sz w:val="20"/>
          <w:szCs w:val="20"/>
          <w:lang w:eastAsia="pl-PL"/>
        </w:rPr>
        <w:t>rozpowszechniania ostrzeżeń nawigacyjnych Służby NAVTEX</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ramach światowego systemu NAVAREA, wymagań technicznych urządzeń okrętowych LRIT, problematyki dotyczącej SAR, przeglądu wytycznych</w:t>
      </w:r>
      <w:r w:rsidR="00DC58E4">
        <w:rPr>
          <w:rFonts w:ascii="Arial" w:eastAsia="Calibri" w:hAnsi="Arial" w:cs="Arial"/>
          <w:sz w:val="20"/>
          <w:szCs w:val="20"/>
          <w:lang w:eastAsia="pl-PL"/>
        </w:rPr>
        <w:t xml:space="preserve"> </w:t>
      </w:r>
      <w:r w:rsidR="00AC15DF">
        <w:rPr>
          <w:rFonts w:ascii="Arial" w:eastAsia="Calibri" w:hAnsi="Arial" w:cs="Arial"/>
          <w:sz w:val="20"/>
          <w:szCs w:val="20"/>
          <w:lang w:eastAsia="pl-PL"/>
        </w:rPr>
        <w:br/>
      </w:r>
      <w:r w:rsidR="00DC58E4">
        <w:rPr>
          <w:rFonts w:ascii="Arial" w:eastAsia="Calibri" w:hAnsi="Arial" w:cs="Arial"/>
          <w:sz w:val="20"/>
          <w:szCs w:val="20"/>
          <w:lang w:eastAsia="pl-PL"/>
        </w:rPr>
        <w:t xml:space="preserve">w </w:t>
      </w:r>
      <w:r w:rsidRPr="004C6CC5">
        <w:rPr>
          <w:rFonts w:ascii="Arial" w:eastAsia="Calibri" w:hAnsi="Arial" w:cs="Arial"/>
          <w:sz w:val="20"/>
          <w:szCs w:val="20"/>
          <w:lang w:eastAsia="pl-PL"/>
        </w:rPr>
        <w:t>zakresie wykorzystania Systemów Automatycznej Identyfikacji (AIS)</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norm eksploatacyjnych dla urządzeń radiokomunikacyjnych. Przedstawiciele B</w:t>
      </w:r>
      <w:r w:rsidR="00602C31">
        <w:rPr>
          <w:rFonts w:ascii="Arial" w:eastAsia="Calibri" w:hAnsi="Arial" w:cs="Arial"/>
          <w:sz w:val="20"/>
          <w:szCs w:val="20"/>
          <w:lang w:eastAsia="pl-PL"/>
        </w:rPr>
        <w:t>HMW</w:t>
      </w:r>
      <w:r w:rsidRPr="004C6CC5">
        <w:rPr>
          <w:rFonts w:ascii="Arial" w:eastAsia="Calibri" w:hAnsi="Arial" w:cs="Arial"/>
          <w:sz w:val="20"/>
          <w:szCs w:val="20"/>
          <w:lang w:eastAsia="pl-PL"/>
        </w:rPr>
        <w:t xml:space="preserve"> uczestniczyli</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obradach jako eksperci wspierający polską delegację, jednocześnie uczestnicząc</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p</w:t>
      </w:r>
      <w:r w:rsidR="00DC58E4">
        <w:rPr>
          <w:rFonts w:ascii="Arial" w:eastAsia="Calibri" w:hAnsi="Arial" w:cs="Arial"/>
          <w:sz w:val="20"/>
          <w:szCs w:val="20"/>
          <w:lang w:eastAsia="pl-PL"/>
        </w:rPr>
        <w:t xml:space="preserve">racach grupy roboczej ds. tras </w:t>
      </w:r>
      <w:r w:rsidRPr="004C6CC5">
        <w:rPr>
          <w:rFonts w:ascii="Arial" w:eastAsia="Calibri" w:hAnsi="Arial" w:cs="Arial"/>
          <w:sz w:val="20"/>
          <w:szCs w:val="20"/>
          <w:lang w:eastAsia="pl-PL"/>
        </w:rPr>
        <w:t xml:space="preserve">żeglugowych; termin 16 </w:t>
      </w:r>
      <w:r w:rsidR="00602C31">
        <w:rPr>
          <w:rFonts w:ascii="Arial" w:eastAsia="Calibri" w:hAnsi="Arial" w:cs="Arial"/>
          <w:sz w:val="20"/>
          <w:szCs w:val="20"/>
          <w:lang w:eastAsia="pl-PL"/>
        </w:rPr>
        <w:t>-</w:t>
      </w:r>
      <w:r w:rsidRPr="004C6CC5">
        <w:rPr>
          <w:rFonts w:ascii="Arial" w:eastAsia="Calibri" w:hAnsi="Arial" w:cs="Arial"/>
          <w:sz w:val="20"/>
          <w:szCs w:val="20"/>
          <w:lang w:eastAsia="pl-PL"/>
        </w:rPr>
        <w:t xml:space="preserve"> 25 stycznia 2019</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Londyn, Wielka Brytania;</w:t>
      </w:r>
    </w:p>
    <w:p w14:paraId="12E59865" w14:textId="42B23C2B"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 xml:space="preserve">Komisji Hydrograficznej Morza Bałtyckiego (BSHC </w:t>
      </w:r>
      <w:r w:rsidR="00AF0E1A">
        <w:rPr>
          <w:rFonts w:ascii="Arial" w:eastAsia="Calibri" w:hAnsi="Arial" w:cs="Arial"/>
          <w:sz w:val="20"/>
          <w:szCs w:val="20"/>
          <w:lang w:eastAsia="pl-PL"/>
        </w:rPr>
        <w:t>-</w:t>
      </w:r>
      <w:r w:rsidRPr="004C6CC5">
        <w:rPr>
          <w:rFonts w:ascii="Arial" w:eastAsia="Calibri" w:hAnsi="Arial" w:cs="Arial"/>
          <w:sz w:val="20"/>
          <w:szCs w:val="20"/>
          <w:lang w:eastAsia="pl-PL"/>
        </w:rPr>
        <w:t xml:space="preserve"> Baltic Sea Hydrographic Commission), która ma za zadanie koordynację współpracy międzynarodowej</w:t>
      </w:r>
      <w:r w:rsidR="00AF0E1A">
        <w:rPr>
          <w:rFonts w:ascii="Arial" w:eastAsia="Calibri" w:hAnsi="Arial" w:cs="Arial"/>
          <w:sz w:val="20"/>
          <w:szCs w:val="20"/>
          <w:lang w:eastAsia="pl-PL"/>
        </w:rPr>
        <w:t xml:space="preserve"> w </w:t>
      </w:r>
      <w:r w:rsidRPr="004C6CC5">
        <w:rPr>
          <w:rFonts w:ascii="Arial" w:eastAsia="Calibri" w:hAnsi="Arial" w:cs="Arial"/>
          <w:sz w:val="20"/>
          <w:szCs w:val="20"/>
          <w:lang w:eastAsia="pl-PL"/>
        </w:rPr>
        <w:t>zakresie realizacji zadań hydrograficznych na obszarze Morza Bałtyckiego przez państwa członkowskie.</w:t>
      </w:r>
      <w:r w:rsidR="00AF0E1A">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00AF0E1A">
        <w:rPr>
          <w:rFonts w:ascii="Arial" w:eastAsia="Calibri" w:hAnsi="Arial" w:cs="Arial"/>
          <w:sz w:val="20"/>
          <w:szCs w:val="20"/>
          <w:lang w:eastAsia="pl-PL"/>
        </w:rPr>
        <w:t xml:space="preserve">2019 r. </w:t>
      </w:r>
      <w:r w:rsidRPr="004C6CC5">
        <w:rPr>
          <w:rFonts w:ascii="Arial" w:eastAsia="Calibri" w:hAnsi="Arial" w:cs="Arial"/>
          <w:sz w:val="20"/>
          <w:szCs w:val="20"/>
          <w:lang w:eastAsia="pl-PL"/>
        </w:rPr>
        <w:t>Komisja obradowała</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 xml:space="preserve">terminie 11 - 12 września </w:t>
      </w:r>
      <w:r w:rsidR="004C6CC5">
        <w:rPr>
          <w:rFonts w:ascii="Arial" w:eastAsia="Calibri" w:hAnsi="Arial" w:cs="Arial"/>
          <w:sz w:val="20"/>
          <w:szCs w:val="20"/>
          <w:lang w:eastAsia="pl-PL"/>
        </w:rPr>
        <w:t>w </w:t>
      </w:r>
      <w:r w:rsidR="009D11A9">
        <w:rPr>
          <w:rFonts w:ascii="Arial" w:eastAsia="Calibri" w:hAnsi="Arial" w:cs="Arial"/>
          <w:sz w:val="20"/>
          <w:szCs w:val="20"/>
          <w:lang w:eastAsia="pl-PL"/>
        </w:rPr>
        <w:t>Gdańsku;</w:t>
      </w:r>
    </w:p>
    <w:p w14:paraId="0D141442" w14:textId="615B797B"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Komitecie Standardów</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 xml:space="preserve">Serwisów Hydrograficznych (HSSC </w:t>
      </w:r>
      <w:r w:rsidR="009D11A9">
        <w:rPr>
          <w:rFonts w:ascii="Arial" w:eastAsia="Calibri" w:hAnsi="Arial" w:cs="Arial"/>
          <w:sz w:val="20"/>
          <w:szCs w:val="20"/>
          <w:lang w:eastAsia="pl-PL"/>
        </w:rPr>
        <w:t>-</w:t>
      </w:r>
      <w:r w:rsidRPr="004C6CC5">
        <w:rPr>
          <w:rFonts w:ascii="Arial" w:eastAsia="Calibri" w:hAnsi="Arial" w:cs="Arial"/>
          <w:sz w:val="20"/>
          <w:szCs w:val="20"/>
          <w:lang w:eastAsia="pl-PL"/>
        </w:rPr>
        <w:t xml:space="preserve"> The Hydrographic Services and Standards Committee) - jednym</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dwóch głównych komitetów IHO, zajmującym się kierowaniem pracami nad utrzymywaniem</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rozwojem obecnych standardów hydrograficznych oraz wdrażaniem nowych</w:t>
      </w:r>
      <w:r w:rsidR="004C6CC5">
        <w:rPr>
          <w:rFonts w:ascii="Arial" w:eastAsia="Calibri" w:hAnsi="Arial" w:cs="Arial"/>
          <w:sz w:val="20"/>
          <w:szCs w:val="20"/>
          <w:lang w:eastAsia="pl-PL"/>
        </w:rPr>
        <w:t xml:space="preserve"> </w:t>
      </w:r>
      <w:r w:rsidR="009D11A9">
        <w:rPr>
          <w:rFonts w:ascii="Arial" w:eastAsia="Calibri" w:hAnsi="Arial" w:cs="Arial"/>
          <w:sz w:val="20"/>
          <w:szCs w:val="20"/>
          <w:lang w:eastAsia="pl-PL"/>
        </w:rPr>
        <w:t xml:space="preserve">- </w:t>
      </w:r>
      <w:r w:rsidR="004C6CC5">
        <w:rPr>
          <w:rFonts w:ascii="Arial" w:eastAsia="Calibri" w:hAnsi="Arial" w:cs="Arial"/>
          <w:sz w:val="20"/>
          <w:szCs w:val="20"/>
          <w:lang w:eastAsia="pl-PL"/>
        </w:rPr>
        <w:t>w </w:t>
      </w:r>
      <w:r w:rsidR="009D11A9">
        <w:rPr>
          <w:rFonts w:ascii="Arial" w:eastAsia="Calibri" w:hAnsi="Arial" w:cs="Arial"/>
          <w:sz w:val="20"/>
          <w:szCs w:val="20"/>
          <w:lang w:eastAsia="pl-PL"/>
        </w:rPr>
        <w:t xml:space="preserve">dniach 6 - </w:t>
      </w:r>
      <w:r w:rsidRPr="004C6CC5">
        <w:rPr>
          <w:rFonts w:ascii="Arial" w:eastAsia="Calibri" w:hAnsi="Arial" w:cs="Arial"/>
          <w:sz w:val="20"/>
          <w:szCs w:val="20"/>
          <w:lang w:eastAsia="pl-PL"/>
        </w:rPr>
        <w:t>9 maja 2019</w:t>
      </w:r>
      <w:r w:rsidR="009D01B9" w:rsidRPr="004C6CC5">
        <w:rPr>
          <w:rFonts w:ascii="Arial" w:eastAsia="Calibri" w:hAnsi="Arial" w:cs="Arial"/>
          <w:sz w:val="20"/>
          <w:szCs w:val="20"/>
          <w:lang w:eastAsia="pl-PL"/>
        </w:rPr>
        <w:t xml:space="preserve"> r.</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Cape Town, Afryka Południowa;</w:t>
      </w:r>
    </w:p>
    <w:p w14:paraId="5659E6C9" w14:textId="2404A5DB"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 xml:space="preserve">Komitecie Doradczym PRIMAR (PAC </w:t>
      </w:r>
      <w:r w:rsidR="009D11A9">
        <w:rPr>
          <w:rFonts w:ascii="Arial" w:eastAsia="Calibri" w:hAnsi="Arial" w:cs="Arial"/>
          <w:sz w:val="20"/>
          <w:szCs w:val="20"/>
          <w:lang w:eastAsia="pl-PL"/>
        </w:rPr>
        <w:t>-</w:t>
      </w:r>
      <w:r w:rsidRPr="004C6CC5">
        <w:rPr>
          <w:rFonts w:ascii="Arial" w:eastAsia="Calibri" w:hAnsi="Arial" w:cs="Arial"/>
          <w:sz w:val="20"/>
          <w:szCs w:val="20"/>
          <w:lang w:eastAsia="pl-PL"/>
        </w:rPr>
        <w:t xml:space="preserve"> PRIMAR Advisory Committee), stanowiącego najwyższą władzę zarządzającą Regionalnego Centrum Elektronicznej Map</w:t>
      </w:r>
      <w:r w:rsidR="009D11A9">
        <w:rPr>
          <w:rFonts w:ascii="Arial" w:eastAsia="Calibri" w:hAnsi="Arial" w:cs="Arial"/>
          <w:sz w:val="20"/>
          <w:szCs w:val="20"/>
          <w:lang w:eastAsia="pl-PL"/>
        </w:rPr>
        <w:t>y Nawigacyjnej PRIMAR, zajmującą</w:t>
      </w:r>
      <w:r w:rsidRPr="004C6CC5">
        <w:rPr>
          <w:rFonts w:ascii="Arial" w:eastAsia="Calibri" w:hAnsi="Arial" w:cs="Arial"/>
          <w:sz w:val="20"/>
          <w:szCs w:val="20"/>
          <w:lang w:eastAsia="pl-PL"/>
        </w:rPr>
        <w:t xml:space="preserve"> się strategicznymi</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finansowymi aspektami funkcjonowania PRIMAR</w:t>
      </w:r>
      <w:r w:rsidR="004C6CC5">
        <w:rPr>
          <w:rFonts w:ascii="Arial" w:eastAsia="Calibri" w:hAnsi="Arial" w:cs="Arial"/>
          <w:sz w:val="20"/>
          <w:szCs w:val="20"/>
          <w:lang w:eastAsia="pl-PL"/>
        </w:rPr>
        <w:t xml:space="preserve"> </w:t>
      </w:r>
      <w:r w:rsidR="009D11A9">
        <w:rPr>
          <w:rFonts w:ascii="Arial" w:eastAsia="Calibri" w:hAnsi="Arial" w:cs="Arial"/>
          <w:sz w:val="20"/>
          <w:szCs w:val="20"/>
          <w:lang w:eastAsia="pl-PL"/>
        </w:rPr>
        <w:t xml:space="preserve"> - </w:t>
      </w:r>
      <w:r w:rsidR="004C6CC5">
        <w:rPr>
          <w:rFonts w:ascii="Arial" w:eastAsia="Calibri" w:hAnsi="Arial" w:cs="Arial"/>
          <w:sz w:val="20"/>
          <w:szCs w:val="20"/>
          <w:lang w:eastAsia="pl-PL"/>
        </w:rPr>
        <w:t>w </w:t>
      </w:r>
      <w:r w:rsidR="009D11A9">
        <w:rPr>
          <w:rFonts w:ascii="Arial" w:eastAsia="Calibri" w:hAnsi="Arial" w:cs="Arial"/>
          <w:sz w:val="20"/>
          <w:szCs w:val="20"/>
          <w:lang w:eastAsia="pl-PL"/>
        </w:rPr>
        <w:t>dniach 2 -</w:t>
      </w:r>
      <w:r w:rsidRPr="004C6CC5">
        <w:rPr>
          <w:rFonts w:ascii="Arial" w:eastAsia="Calibri" w:hAnsi="Arial" w:cs="Arial"/>
          <w:sz w:val="20"/>
          <w:szCs w:val="20"/>
          <w:lang w:eastAsia="pl-PL"/>
        </w:rPr>
        <w:t>3 październik</w:t>
      </w:r>
      <w:r w:rsidR="009D11A9">
        <w:rPr>
          <w:rFonts w:ascii="Arial" w:eastAsia="Calibri" w:hAnsi="Arial" w:cs="Arial"/>
          <w:sz w:val="20"/>
          <w:szCs w:val="20"/>
          <w:lang w:eastAsia="pl-PL"/>
        </w:rPr>
        <w:t>a</w:t>
      </w:r>
      <w:r w:rsidRPr="004C6CC5">
        <w:rPr>
          <w:rFonts w:ascii="Arial" w:eastAsia="Calibri" w:hAnsi="Arial" w:cs="Arial"/>
          <w:sz w:val="20"/>
          <w:szCs w:val="20"/>
          <w:lang w:eastAsia="pl-PL"/>
        </w:rPr>
        <w:t xml:space="preserve"> 2019</w:t>
      </w:r>
      <w:r w:rsidR="009D01B9" w:rsidRPr="004C6CC5">
        <w:rPr>
          <w:rFonts w:ascii="Arial" w:eastAsia="Calibri" w:hAnsi="Arial" w:cs="Arial"/>
          <w:sz w:val="20"/>
          <w:szCs w:val="20"/>
          <w:lang w:eastAsia="pl-PL"/>
        </w:rPr>
        <w:t xml:space="preserve"> r.</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Stavanger, Norwegia.</w:t>
      </w:r>
    </w:p>
    <w:p w14:paraId="51F78740" w14:textId="16ABBC0D"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lastRenderedPageBreak/>
        <w:t xml:space="preserve">grupie roboczej ds. monitorowania postępu prac hydrograficznych na torach żeglugowych HELCOM (MWG </w:t>
      </w:r>
      <w:r w:rsidR="00E0153F">
        <w:rPr>
          <w:rFonts w:ascii="Arial" w:eastAsia="Calibri" w:hAnsi="Arial" w:cs="Arial"/>
          <w:sz w:val="20"/>
          <w:szCs w:val="20"/>
          <w:lang w:eastAsia="pl-PL"/>
        </w:rPr>
        <w:t>-</w:t>
      </w:r>
      <w:r w:rsidRPr="004C6CC5">
        <w:rPr>
          <w:rFonts w:ascii="Arial" w:eastAsia="Calibri" w:hAnsi="Arial" w:cs="Arial"/>
          <w:sz w:val="20"/>
          <w:szCs w:val="20"/>
          <w:lang w:eastAsia="pl-PL"/>
        </w:rPr>
        <w:t xml:space="preserve"> Re Survey Monitoring Working Goup). Grupa monitoruje postęp prac hydrograficznych oraz wypracowuje zalecenia dla Komisji Hydrograficznej Morza Bałtyckiego</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sprawie bezpieczeństwa żeglugi na torach żeglugowych. Obszarem zainteresowania grupy są także standardy prowadzenia pomiarów oraz wykorzystanie środków UE na realizację prowadzenia pomiarów hydrograficznych</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rejonach torów żeglugowych HELCOM.</w:t>
      </w:r>
      <w:r w:rsidR="00E0153F">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00E0153F">
        <w:rPr>
          <w:rFonts w:ascii="Arial" w:eastAsia="Calibri" w:hAnsi="Arial" w:cs="Arial"/>
          <w:sz w:val="20"/>
          <w:szCs w:val="20"/>
          <w:lang w:eastAsia="pl-PL"/>
        </w:rPr>
        <w:t>2019 r.</w:t>
      </w:r>
      <w:r w:rsidRPr="004C6CC5">
        <w:rPr>
          <w:rFonts w:ascii="Arial" w:eastAsia="Calibri" w:hAnsi="Arial" w:cs="Arial"/>
          <w:sz w:val="20"/>
          <w:szCs w:val="20"/>
          <w:lang w:eastAsia="pl-PL"/>
        </w:rPr>
        <w:t xml:space="preserve"> grupa obradowała</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dniach 16-17 kwietnia</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Tallinie</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Estonii oraz 10 września</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Gdańsku</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Polsce;</w:t>
      </w:r>
    </w:p>
    <w:p w14:paraId="200C8EE6" w14:textId="2427C39D"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grupie roboczej do spraw morskiej infrastruktury informacji przestrzenne (MSDI - Baltic Sea North Sea Marine Spatial Data Infrastructure Working Group). Grupa zajmuje się zagadnieniami dotyczącymi zarządzania informacją geoprzestrzenną, formatów wymiany danych geoprzestrzennych, dostępem użytkownika publicznego do danych geoprzestrzen</w:t>
      </w:r>
      <w:r w:rsidR="00E0153F">
        <w:rPr>
          <w:rFonts w:ascii="Arial" w:eastAsia="Calibri" w:hAnsi="Arial" w:cs="Arial"/>
          <w:sz w:val="20"/>
          <w:szCs w:val="20"/>
          <w:lang w:eastAsia="pl-PL"/>
        </w:rPr>
        <w:t>nych oraz krajową infrastrukturą</w:t>
      </w:r>
      <w:r w:rsidRPr="004C6CC5">
        <w:rPr>
          <w:rFonts w:ascii="Arial" w:eastAsia="Calibri" w:hAnsi="Arial" w:cs="Arial"/>
          <w:sz w:val="20"/>
          <w:szCs w:val="20"/>
          <w:lang w:eastAsia="pl-PL"/>
        </w:rPr>
        <w:t xml:space="preserve"> informacji geoprzestrzennej.</w:t>
      </w:r>
      <w:r w:rsidR="00E0153F">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00E0153F">
        <w:rPr>
          <w:rFonts w:ascii="Arial" w:eastAsia="Calibri" w:hAnsi="Arial" w:cs="Arial"/>
          <w:sz w:val="20"/>
          <w:szCs w:val="20"/>
          <w:lang w:eastAsia="pl-PL"/>
        </w:rPr>
        <w:t xml:space="preserve">2019 r. grupa obradowała </w:t>
      </w:r>
      <w:r w:rsidRPr="004C6CC5">
        <w:rPr>
          <w:rFonts w:ascii="Arial" w:eastAsia="Calibri" w:hAnsi="Arial" w:cs="Arial"/>
          <w:sz w:val="20"/>
          <w:szCs w:val="20"/>
          <w:lang w:eastAsia="pl-PL"/>
        </w:rPr>
        <w:t>w dniach 20-21 sierpnia</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Gdańsku</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Polsce;</w:t>
      </w:r>
    </w:p>
    <w:p w14:paraId="1CD2CF92" w14:textId="2EC2C657"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 xml:space="preserve">grupie roboczej do spraw koordynacji wytwarzania międzynarodowych map morskich Morza Bałtyckiego (BSICCWG </w:t>
      </w:r>
      <w:r w:rsidR="00E0153F">
        <w:rPr>
          <w:rFonts w:ascii="Arial" w:eastAsia="Calibri" w:hAnsi="Arial" w:cs="Arial"/>
          <w:sz w:val="20"/>
          <w:szCs w:val="20"/>
          <w:lang w:eastAsia="pl-PL"/>
        </w:rPr>
        <w:t>-</w:t>
      </w:r>
      <w:r w:rsidRPr="004C6CC5">
        <w:rPr>
          <w:rFonts w:ascii="Arial" w:eastAsia="Calibri" w:hAnsi="Arial" w:cs="Arial"/>
          <w:sz w:val="20"/>
          <w:szCs w:val="20"/>
          <w:lang w:eastAsia="pl-PL"/>
        </w:rPr>
        <w:t xml:space="preserve"> Baltic Sea International Charting Coordination Working Group) jest podgrupą Komisji Hydrograficznej Morza Bałtyckiego (BSHC </w:t>
      </w:r>
      <w:r w:rsidR="00AB0A1D">
        <w:rPr>
          <w:rFonts w:ascii="Arial" w:eastAsia="Calibri" w:hAnsi="Arial" w:cs="Arial"/>
          <w:sz w:val="20"/>
          <w:szCs w:val="20"/>
          <w:lang w:eastAsia="pl-PL"/>
        </w:rPr>
        <w:t>-</w:t>
      </w:r>
      <w:r w:rsidRPr="004C6CC5">
        <w:rPr>
          <w:rFonts w:ascii="Arial" w:eastAsia="Calibri" w:hAnsi="Arial" w:cs="Arial"/>
          <w:sz w:val="20"/>
          <w:szCs w:val="20"/>
          <w:lang w:eastAsia="pl-PL"/>
        </w:rPr>
        <w:t xml:space="preserve"> the Baltic Sea Hydrographic Commission) odpowiadającą za koordynowanie prac związanych</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wytwarzaniem oficjalnych map nawigacyjnych zarówno</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formie papierowej</w:t>
      </w:r>
      <w:r w:rsidR="00AB0A1D">
        <w:rPr>
          <w:rFonts w:ascii="Arial" w:eastAsia="Calibri" w:hAnsi="Arial" w:cs="Arial"/>
          <w:sz w:val="20"/>
          <w:szCs w:val="20"/>
          <w:lang w:eastAsia="pl-PL"/>
        </w:rPr>
        <w:t>,</w:t>
      </w:r>
      <w:r w:rsidRPr="004C6CC5">
        <w:rPr>
          <w:rFonts w:ascii="Arial" w:eastAsia="Calibri" w:hAnsi="Arial" w:cs="Arial"/>
          <w:sz w:val="20"/>
          <w:szCs w:val="20"/>
          <w:lang w:eastAsia="pl-PL"/>
        </w:rPr>
        <w:t xml:space="preserve"> jak</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cyfrowej (ENC) na obszar Morza Bałtyckiego, opracowywanych</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aktualizowanych przez narodowe służby hydrograficzne.</w:t>
      </w:r>
      <w:r w:rsidR="00AB0A1D">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00AB0A1D">
        <w:rPr>
          <w:rFonts w:ascii="Arial" w:eastAsia="Calibri" w:hAnsi="Arial" w:cs="Arial"/>
          <w:sz w:val="20"/>
          <w:szCs w:val="20"/>
          <w:lang w:eastAsia="pl-PL"/>
        </w:rPr>
        <w:t>2019 r.</w:t>
      </w:r>
      <w:r w:rsidRPr="004C6CC5">
        <w:rPr>
          <w:rFonts w:ascii="Arial" w:eastAsia="Calibri" w:hAnsi="Arial" w:cs="Arial"/>
          <w:sz w:val="20"/>
          <w:szCs w:val="20"/>
          <w:lang w:eastAsia="pl-PL"/>
        </w:rPr>
        <w:t xml:space="preserve"> grupa obradowała</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dniach</w:t>
      </w:r>
      <w:r w:rsidR="00AB0A1D">
        <w:rPr>
          <w:rFonts w:ascii="Arial" w:eastAsia="Calibri" w:hAnsi="Arial" w:cs="Arial"/>
          <w:sz w:val="20"/>
          <w:szCs w:val="20"/>
          <w:lang w:eastAsia="pl-PL"/>
        </w:rPr>
        <w:t xml:space="preserve"> 3 - </w:t>
      </w:r>
      <w:r w:rsidRPr="004C6CC5">
        <w:rPr>
          <w:rFonts w:ascii="Arial" w:eastAsia="Calibri" w:hAnsi="Arial" w:cs="Arial"/>
          <w:sz w:val="20"/>
          <w:szCs w:val="20"/>
          <w:lang w:eastAsia="pl-PL"/>
        </w:rPr>
        <w:t>4 kwietnia</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Rydze, Łotwa;</w:t>
      </w:r>
    </w:p>
    <w:p w14:paraId="5E71C87D" w14:textId="7197B76F"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 xml:space="preserve">stałej grupie technicznej PRIMAR (TEWG </w:t>
      </w:r>
      <w:r w:rsidR="00AB0A1D">
        <w:rPr>
          <w:rFonts w:ascii="Arial" w:eastAsia="Calibri" w:hAnsi="Arial" w:cs="Arial"/>
          <w:sz w:val="20"/>
          <w:szCs w:val="20"/>
          <w:lang w:eastAsia="pl-PL"/>
        </w:rPr>
        <w:t>-</w:t>
      </w:r>
      <w:r w:rsidRPr="004C6CC5">
        <w:rPr>
          <w:rFonts w:ascii="Arial" w:eastAsia="Calibri" w:hAnsi="Arial" w:cs="Arial"/>
          <w:sz w:val="20"/>
          <w:szCs w:val="20"/>
          <w:lang w:eastAsia="pl-PL"/>
        </w:rPr>
        <w:t xml:space="preserve"> Technical Experts Working Group), która zajmuje się aspektami technicznymi funkcjonowania Regionalnego Centrum Elektronicznej Mapy Nawigacyjnej PRIMAR (RENC PRIMAR)</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dniach 29</w:t>
      </w:r>
      <w:r w:rsidR="00F73B45">
        <w:rPr>
          <w:rFonts w:ascii="Arial" w:eastAsia="Calibri" w:hAnsi="Arial" w:cs="Arial"/>
          <w:sz w:val="20"/>
          <w:szCs w:val="20"/>
          <w:lang w:eastAsia="pl-PL"/>
        </w:rPr>
        <w:t xml:space="preserve"> </w:t>
      </w:r>
      <w:r w:rsidRPr="004C6CC5">
        <w:rPr>
          <w:rFonts w:ascii="Arial" w:eastAsia="Calibri" w:hAnsi="Arial" w:cs="Arial"/>
          <w:sz w:val="20"/>
          <w:szCs w:val="20"/>
          <w:lang w:eastAsia="pl-PL"/>
        </w:rPr>
        <w:t>-</w:t>
      </w:r>
      <w:r w:rsidR="00F73B45">
        <w:rPr>
          <w:rFonts w:ascii="Arial" w:eastAsia="Calibri" w:hAnsi="Arial" w:cs="Arial"/>
          <w:sz w:val="20"/>
          <w:szCs w:val="20"/>
          <w:lang w:eastAsia="pl-PL"/>
        </w:rPr>
        <w:t xml:space="preserve"> </w:t>
      </w:r>
      <w:r w:rsidRPr="004C6CC5">
        <w:rPr>
          <w:rFonts w:ascii="Arial" w:eastAsia="Calibri" w:hAnsi="Arial" w:cs="Arial"/>
          <w:sz w:val="20"/>
          <w:szCs w:val="20"/>
          <w:lang w:eastAsia="pl-PL"/>
        </w:rPr>
        <w:t>30 października 2019</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Stavanger, Norwegia;</w:t>
      </w:r>
    </w:p>
    <w:p w14:paraId="4E2542F1" w14:textId="144B86F4" w:rsidR="00D226EE" w:rsidRPr="004C6CC5" w:rsidRDefault="00D226EE" w:rsidP="003C6ECA">
      <w:pPr>
        <w:pStyle w:val="Akapitzlist"/>
        <w:numPr>
          <w:ilvl w:val="0"/>
          <w:numId w:val="13"/>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 xml:space="preserve">grupie roboczej do spraw układu wysokościowego map morskich (CDWG </w:t>
      </w:r>
      <w:r w:rsidR="00F73B45">
        <w:rPr>
          <w:rFonts w:ascii="Arial" w:eastAsia="Calibri" w:hAnsi="Arial" w:cs="Arial"/>
          <w:sz w:val="20"/>
          <w:szCs w:val="20"/>
          <w:lang w:eastAsia="pl-PL"/>
        </w:rPr>
        <w:t>-</w:t>
      </w:r>
      <w:r w:rsidRPr="004C6CC5">
        <w:rPr>
          <w:rFonts w:ascii="Arial" w:eastAsia="Calibri" w:hAnsi="Arial" w:cs="Arial"/>
          <w:sz w:val="20"/>
          <w:szCs w:val="20"/>
          <w:lang w:eastAsia="pl-PL"/>
        </w:rPr>
        <w:t xml:space="preserve"> Chart Datum Working Group). Głównym celem grupy jest koordynacja działań mających na celu wprowadzenie przez wszystkie państwa nadbałtyckie wspólnego układu wysokościowego Baltic Sea Chart Datum 2000 (BSCD2000).</w:t>
      </w:r>
      <w:r w:rsidR="00F73B45">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00F73B45">
        <w:rPr>
          <w:rFonts w:ascii="Arial" w:eastAsia="Calibri" w:hAnsi="Arial" w:cs="Arial"/>
          <w:sz w:val="20"/>
          <w:szCs w:val="20"/>
          <w:lang w:eastAsia="pl-PL"/>
        </w:rPr>
        <w:t>2019 r.</w:t>
      </w:r>
      <w:r w:rsidRPr="004C6CC5">
        <w:rPr>
          <w:rFonts w:ascii="Arial" w:eastAsia="Calibri" w:hAnsi="Arial" w:cs="Arial"/>
          <w:sz w:val="20"/>
          <w:szCs w:val="20"/>
          <w:lang w:eastAsia="pl-PL"/>
        </w:rPr>
        <w:t xml:space="preserve"> grupa obradowała</w:t>
      </w:r>
      <w:r w:rsidR="004C6CC5">
        <w:rPr>
          <w:rFonts w:ascii="Arial" w:eastAsia="Calibri" w:hAnsi="Arial" w:cs="Arial"/>
          <w:sz w:val="20"/>
          <w:szCs w:val="20"/>
          <w:lang w:eastAsia="pl-PL"/>
        </w:rPr>
        <w:t xml:space="preserve"> w </w:t>
      </w:r>
      <w:r w:rsidR="00F73B45">
        <w:rPr>
          <w:rFonts w:ascii="Arial" w:eastAsia="Calibri" w:hAnsi="Arial" w:cs="Arial"/>
          <w:sz w:val="20"/>
          <w:szCs w:val="20"/>
          <w:lang w:eastAsia="pl-PL"/>
        </w:rPr>
        <w:t xml:space="preserve">dniach 5 - </w:t>
      </w:r>
      <w:r w:rsidRPr="004C6CC5">
        <w:rPr>
          <w:rFonts w:ascii="Arial" w:eastAsia="Calibri" w:hAnsi="Arial" w:cs="Arial"/>
          <w:sz w:val="20"/>
          <w:szCs w:val="20"/>
          <w:lang w:eastAsia="pl-PL"/>
        </w:rPr>
        <w:t>6 lutego</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Aalborgu</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 xml:space="preserve">Danii. </w:t>
      </w:r>
    </w:p>
    <w:p w14:paraId="06860819" w14:textId="7545D1EF" w:rsidR="00D226EE" w:rsidRPr="004C6CC5" w:rsidRDefault="00D226EE" w:rsidP="008D2321">
      <w:p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W ra</w:t>
      </w:r>
      <w:r w:rsidR="00E37DA2">
        <w:rPr>
          <w:rFonts w:ascii="Arial" w:eastAsia="Calibri" w:hAnsi="Arial" w:cs="Arial"/>
          <w:sz w:val="20"/>
          <w:szCs w:val="20"/>
          <w:lang w:eastAsia="pl-PL"/>
        </w:rPr>
        <w:t>mach realizacji projektu HELCOM</w:t>
      </w:r>
      <w:r w:rsidRPr="004C6CC5">
        <w:rPr>
          <w:rFonts w:ascii="Arial" w:eastAsia="Calibri" w:hAnsi="Arial" w:cs="Arial"/>
          <w:sz w:val="20"/>
          <w:szCs w:val="20"/>
          <w:lang w:eastAsia="pl-PL"/>
        </w:rPr>
        <w:t xml:space="preserve"> BHMW koordynowało</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polskiej wyłącznej strefie ekonomicznej prace hydrograficzne na zalecanych trasach żeglugowych HELCOM kategorii I, II</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III.</w:t>
      </w:r>
      <w:r w:rsidR="00501E22">
        <w:rPr>
          <w:rFonts w:ascii="Arial" w:eastAsia="Calibri" w:hAnsi="Arial" w:cs="Arial"/>
          <w:sz w:val="20"/>
          <w:szCs w:val="20"/>
          <w:lang w:eastAsia="pl-PL"/>
        </w:rPr>
        <w:t xml:space="preserve"> W</w:t>
      </w:r>
      <w:r w:rsidR="004C6CC5">
        <w:rPr>
          <w:rFonts w:ascii="Arial" w:eastAsia="Calibri" w:hAnsi="Arial" w:cs="Arial"/>
          <w:sz w:val="20"/>
          <w:szCs w:val="20"/>
          <w:lang w:eastAsia="pl-PL"/>
        </w:rPr>
        <w:t> </w:t>
      </w:r>
      <w:r w:rsidRPr="004C6CC5">
        <w:rPr>
          <w:rFonts w:ascii="Arial" w:eastAsia="Calibri" w:hAnsi="Arial" w:cs="Arial"/>
          <w:sz w:val="20"/>
          <w:szCs w:val="20"/>
          <w:lang w:eastAsia="pl-PL"/>
        </w:rPr>
        <w:t>2019</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wykonano pomiary hydrografic</w:t>
      </w:r>
      <w:r w:rsidR="00501E22">
        <w:rPr>
          <w:rFonts w:ascii="Arial" w:eastAsia="Calibri" w:hAnsi="Arial" w:cs="Arial"/>
          <w:sz w:val="20"/>
          <w:szCs w:val="20"/>
          <w:lang w:eastAsia="pl-PL"/>
        </w:rPr>
        <w:t>zne na kolejnych odcinkach tras</w:t>
      </w:r>
      <w:r w:rsidRPr="004C6CC5">
        <w:rPr>
          <w:rFonts w:ascii="Arial" w:eastAsia="Calibri" w:hAnsi="Arial" w:cs="Arial"/>
          <w:sz w:val="20"/>
          <w:szCs w:val="20"/>
          <w:lang w:eastAsia="pl-PL"/>
        </w:rPr>
        <w:t xml:space="preserve"> o powierzchni około 570 km². </w:t>
      </w:r>
      <w:r w:rsidR="00F02FDA">
        <w:rPr>
          <w:rFonts w:ascii="Arial" w:eastAsia="Calibri" w:hAnsi="Arial" w:cs="Arial"/>
          <w:sz w:val="20"/>
          <w:szCs w:val="20"/>
          <w:lang w:eastAsia="pl-PL"/>
        </w:rPr>
        <w:br/>
      </w:r>
      <w:r w:rsidRPr="004C6CC5">
        <w:rPr>
          <w:rFonts w:ascii="Arial" w:eastAsia="Calibri" w:hAnsi="Arial" w:cs="Arial"/>
          <w:sz w:val="20"/>
          <w:szCs w:val="20"/>
          <w:lang w:eastAsia="pl-PL"/>
        </w:rPr>
        <w:t>Do wykonania pozostało:</w:t>
      </w:r>
    </w:p>
    <w:p w14:paraId="5EF153D0" w14:textId="77777777" w:rsidR="00D226EE" w:rsidRPr="004C6CC5" w:rsidRDefault="00D226EE" w:rsidP="003C6ECA">
      <w:pPr>
        <w:numPr>
          <w:ilvl w:val="0"/>
          <w:numId w:val="12"/>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trasy HELCOM kategorii I: 1001,5 km² (29% całości obszaru kat. I),</w:t>
      </w:r>
    </w:p>
    <w:p w14:paraId="6B293D42" w14:textId="77777777" w:rsidR="00D226EE" w:rsidRPr="004C6CC5" w:rsidRDefault="00D226EE" w:rsidP="003C6ECA">
      <w:pPr>
        <w:numPr>
          <w:ilvl w:val="0"/>
          <w:numId w:val="12"/>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trasy HELCOM kategorii II: 104,4 km² (12% całości obszaru kat. II),</w:t>
      </w:r>
    </w:p>
    <w:p w14:paraId="281FFFFE" w14:textId="77777777" w:rsidR="00D226EE" w:rsidRPr="004C6CC5" w:rsidRDefault="00D226EE" w:rsidP="003C6ECA">
      <w:pPr>
        <w:numPr>
          <w:ilvl w:val="0"/>
          <w:numId w:val="12"/>
        </w:numPr>
        <w:tabs>
          <w:tab w:val="left" w:pos="708"/>
        </w:tabs>
        <w:spacing w:after="120" w:line="276" w:lineRule="auto"/>
        <w:jc w:val="both"/>
        <w:rPr>
          <w:rFonts w:ascii="Arial" w:eastAsia="Calibri" w:hAnsi="Arial" w:cs="Arial"/>
          <w:sz w:val="20"/>
          <w:szCs w:val="20"/>
          <w:lang w:eastAsia="pl-PL"/>
        </w:rPr>
      </w:pPr>
      <w:r w:rsidRPr="004C6CC5">
        <w:rPr>
          <w:rFonts w:ascii="Arial" w:eastAsia="Calibri" w:hAnsi="Arial" w:cs="Arial"/>
          <w:sz w:val="20"/>
          <w:szCs w:val="20"/>
          <w:lang w:eastAsia="pl-PL"/>
        </w:rPr>
        <w:t>trasy HELCOM kategorii III: 20826,2 km² (83% całości obszaru kat. III).</w:t>
      </w:r>
    </w:p>
    <w:p w14:paraId="6BA5EF1A" w14:textId="5FE18F7C" w:rsidR="00D226EE" w:rsidRPr="004C6CC5" w:rsidRDefault="00D226EE" w:rsidP="008D2321">
      <w:pPr>
        <w:spacing w:after="120" w:line="276" w:lineRule="auto"/>
        <w:jc w:val="both"/>
        <w:rPr>
          <w:rFonts w:ascii="Arial" w:hAnsi="Arial" w:cs="Arial"/>
          <w:sz w:val="20"/>
          <w:szCs w:val="20"/>
        </w:rPr>
      </w:pPr>
      <w:r w:rsidRPr="004C6CC5">
        <w:rPr>
          <w:rFonts w:ascii="Arial" w:eastAsia="Calibri" w:hAnsi="Arial" w:cs="Arial"/>
          <w:sz w:val="20"/>
          <w:szCs w:val="20"/>
          <w:lang w:eastAsia="pl-PL"/>
        </w:rPr>
        <w:t xml:space="preserve">Kontynuowano </w:t>
      </w:r>
      <w:r w:rsidR="0061641C">
        <w:rPr>
          <w:rFonts w:ascii="Arial" w:eastAsia="Calibri" w:hAnsi="Arial" w:cs="Arial"/>
          <w:sz w:val="20"/>
          <w:szCs w:val="20"/>
          <w:lang w:eastAsia="pl-PL"/>
        </w:rPr>
        <w:t>równie</w:t>
      </w:r>
      <w:r w:rsidRPr="004C6CC5">
        <w:rPr>
          <w:rFonts w:ascii="Arial" w:eastAsia="Calibri" w:hAnsi="Arial" w:cs="Arial"/>
          <w:sz w:val="20"/>
          <w:szCs w:val="20"/>
          <w:lang w:eastAsia="pl-PL"/>
        </w:rPr>
        <w:t>ż modernizację hydrograficznego sprzętu pomiarowego. Zamontowano na okrętowych łodziach pomiarowych</w:t>
      </w:r>
      <w:r w:rsidR="00FB0D3C">
        <w:rPr>
          <w:rFonts w:ascii="Arial" w:eastAsia="Calibri" w:hAnsi="Arial" w:cs="Arial"/>
          <w:sz w:val="20"/>
          <w:szCs w:val="20"/>
          <w:lang w:eastAsia="pl-PL"/>
        </w:rPr>
        <w:t xml:space="preserve"> i </w:t>
      </w:r>
      <w:r w:rsidRPr="004C6CC5">
        <w:rPr>
          <w:rFonts w:ascii="Arial" w:eastAsia="Calibri" w:hAnsi="Arial" w:cs="Arial"/>
          <w:sz w:val="20"/>
          <w:szCs w:val="20"/>
          <w:lang w:eastAsia="pl-PL"/>
        </w:rPr>
        <w:t>uruchomiono dwa systemy przeznaczone do prowadzenia pomiarów batymetrycznych</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sonarowych na obszarach przybrzeżnych</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 xml:space="preserve">płytkowodnych. Pozyskano </w:t>
      </w:r>
      <w:r w:rsidR="0090735E">
        <w:rPr>
          <w:rFonts w:ascii="Arial" w:eastAsia="Calibri" w:hAnsi="Arial" w:cs="Arial"/>
          <w:sz w:val="20"/>
          <w:szCs w:val="20"/>
          <w:lang w:eastAsia="pl-PL"/>
        </w:rPr>
        <w:t xml:space="preserve">sześć </w:t>
      </w:r>
      <w:r w:rsidRPr="004C6CC5">
        <w:rPr>
          <w:rFonts w:ascii="Arial" w:eastAsia="Calibri" w:hAnsi="Arial" w:cs="Arial"/>
          <w:sz w:val="20"/>
          <w:szCs w:val="20"/>
          <w:lang w:eastAsia="pl-PL"/>
        </w:rPr>
        <w:t>szt. dronów do wsparcia realizacji pomiarów geodezyjnych na potrzeby kartografii morskiej. Podnosząc zdolność BHMW</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zakresie produkcji map morskich</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specjalnych pozyskano nowe oraz uaktualniono dotychczas wykorzystywane oprogramowanie</w:t>
      </w:r>
      <w:r w:rsidR="009A714F">
        <w:rPr>
          <w:rFonts w:ascii="Arial" w:eastAsia="Calibri" w:hAnsi="Arial" w:cs="Arial"/>
          <w:sz w:val="20"/>
          <w:szCs w:val="20"/>
          <w:lang w:eastAsia="pl-PL"/>
        </w:rPr>
        <w:t xml:space="preserve"> specjalistyczne. Kontynuowano </w:t>
      </w:r>
      <w:r w:rsidRPr="004C6CC5">
        <w:rPr>
          <w:rFonts w:ascii="Arial" w:eastAsia="Calibri" w:hAnsi="Arial" w:cs="Arial"/>
          <w:sz w:val="20"/>
          <w:szCs w:val="20"/>
          <w:lang w:eastAsia="pl-PL"/>
        </w:rPr>
        <w:t>zapoczątkowany</w:t>
      </w:r>
      <w:r w:rsidR="004C6CC5">
        <w:rPr>
          <w:rFonts w:ascii="Arial" w:eastAsia="Calibri" w:hAnsi="Arial" w:cs="Arial"/>
          <w:sz w:val="20"/>
          <w:szCs w:val="20"/>
          <w:lang w:eastAsia="pl-PL"/>
        </w:rPr>
        <w:t xml:space="preserve"> w </w:t>
      </w:r>
      <w:r w:rsidRPr="004C6CC5">
        <w:rPr>
          <w:rFonts w:ascii="Arial" w:eastAsia="Calibri" w:hAnsi="Arial" w:cs="Arial"/>
          <w:sz w:val="20"/>
          <w:szCs w:val="20"/>
          <w:lang w:eastAsia="pl-PL"/>
        </w:rPr>
        <w:t>2015</w:t>
      </w:r>
      <w:r w:rsidR="009D01B9" w:rsidRPr="004C6CC5">
        <w:rPr>
          <w:rFonts w:ascii="Arial" w:eastAsia="Calibri" w:hAnsi="Arial" w:cs="Arial"/>
          <w:sz w:val="20"/>
          <w:szCs w:val="20"/>
          <w:lang w:eastAsia="pl-PL"/>
        </w:rPr>
        <w:t xml:space="preserve"> r. </w:t>
      </w:r>
      <w:r w:rsidRPr="004C6CC5">
        <w:rPr>
          <w:rFonts w:ascii="Arial" w:eastAsia="Calibri" w:hAnsi="Arial" w:cs="Arial"/>
          <w:sz w:val="20"/>
          <w:szCs w:val="20"/>
          <w:lang w:eastAsia="pl-PL"/>
        </w:rPr>
        <w:t>proces implementacji Systemu Jednolitej Bazy Danych Morskiej Informacji Geoprzestrzennej (HPD), pozwalającego na wytwarzanie map morskich</w:t>
      </w:r>
      <w:r w:rsidR="004C6CC5">
        <w:rPr>
          <w:rFonts w:ascii="Arial" w:eastAsia="Calibri" w:hAnsi="Arial" w:cs="Arial"/>
          <w:sz w:val="20"/>
          <w:szCs w:val="20"/>
          <w:lang w:eastAsia="pl-PL"/>
        </w:rPr>
        <w:t xml:space="preserve"> i </w:t>
      </w:r>
      <w:r w:rsidRPr="004C6CC5">
        <w:rPr>
          <w:rFonts w:ascii="Arial" w:eastAsia="Calibri" w:hAnsi="Arial" w:cs="Arial"/>
          <w:sz w:val="20"/>
          <w:szCs w:val="20"/>
          <w:lang w:eastAsia="pl-PL"/>
        </w:rPr>
        <w:t>publikacji nautycznych</w:t>
      </w:r>
      <w:r w:rsidR="004C6CC5">
        <w:rPr>
          <w:rFonts w:ascii="Arial" w:eastAsia="Calibri" w:hAnsi="Arial" w:cs="Arial"/>
          <w:sz w:val="20"/>
          <w:szCs w:val="20"/>
          <w:lang w:eastAsia="pl-PL"/>
        </w:rPr>
        <w:t xml:space="preserve"> z </w:t>
      </w:r>
      <w:r w:rsidRPr="004C6CC5">
        <w:rPr>
          <w:rFonts w:ascii="Arial" w:eastAsia="Calibri" w:hAnsi="Arial" w:cs="Arial"/>
          <w:sz w:val="20"/>
          <w:szCs w:val="20"/>
          <w:lang w:eastAsia="pl-PL"/>
        </w:rPr>
        <w:t>jednej centralnej bazy danych.</w:t>
      </w:r>
    </w:p>
    <w:p w14:paraId="57D2B3DA" w14:textId="3827511A" w:rsidR="00D226EE" w:rsidRPr="005413E8" w:rsidRDefault="00D226EE" w:rsidP="005413E8">
      <w:pPr>
        <w:pStyle w:val="Nagwek1"/>
        <w:spacing w:before="120" w:after="120"/>
        <w:rPr>
          <w:rFonts w:ascii="Arial" w:hAnsi="Arial" w:cs="Arial"/>
          <w:b/>
          <w:sz w:val="20"/>
          <w:szCs w:val="20"/>
        </w:rPr>
      </w:pPr>
      <w:bookmarkStart w:id="50" w:name="_Toc72745062"/>
      <w:r w:rsidRPr="005413E8">
        <w:rPr>
          <w:rFonts w:ascii="Arial" w:hAnsi="Arial" w:cs="Arial"/>
          <w:b/>
          <w:color w:val="auto"/>
          <w:sz w:val="20"/>
          <w:szCs w:val="20"/>
        </w:rPr>
        <w:t>WZMOCNIENIE BEZPIECZEŃSTWA ENERGETYCZNEGO KRAJU</w:t>
      </w:r>
      <w:r w:rsidR="002E2FFA">
        <w:rPr>
          <w:rFonts w:ascii="Arial" w:hAnsi="Arial" w:cs="Arial"/>
          <w:b/>
          <w:color w:val="auto"/>
          <w:sz w:val="20"/>
          <w:szCs w:val="20"/>
        </w:rPr>
        <w:t>.</w:t>
      </w:r>
      <w:bookmarkEnd w:id="50"/>
      <w:r w:rsidRPr="005413E8">
        <w:rPr>
          <w:rFonts w:ascii="Arial" w:hAnsi="Arial" w:cs="Arial"/>
          <w:b/>
          <w:color w:val="auto"/>
          <w:sz w:val="20"/>
          <w:szCs w:val="20"/>
        </w:rPr>
        <w:t xml:space="preserve"> </w:t>
      </w:r>
    </w:p>
    <w:p w14:paraId="494A9254" w14:textId="1B50176C" w:rsidR="004D536E" w:rsidRDefault="008A00BB" w:rsidP="005413E8">
      <w:pPr>
        <w:spacing w:before="120" w:after="120" w:line="276" w:lineRule="auto"/>
        <w:jc w:val="both"/>
        <w:rPr>
          <w:rFonts w:ascii="Arial" w:hAnsi="Arial" w:cs="Arial"/>
          <w:sz w:val="20"/>
          <w:szCs w:val="20"/>
        </w:rPr>
      </w:pPr>
      <w:r>
        <w:rPr>
          <w:rFonts w:ascii="Arial" w:hAnsi="Arial" w:cs="Arial"/>
          <w:sz w:val="20"/>
          <w:szCs w:val="20"/>
        </w:rPr>
        <w:t>Jednym z priorytetów</w:t>
      </w:r>
      <w:r w:rsidR="004D536E" w:rsidRPr="004C6CC5">
        <w:rPr>
          <w:rFonts w:ascii="Arial" w:hAnsi="Arial" w:cs="Arial"/>
          <w:sz w:val="20"/>
          <w:szCs w:val="20"/>
        </w:rPr>
        <w:t xml:space="preserve"> </w:t>
      </w:r>
      <w:r>
        <w:rPr>
          <w:rFonts w:ascii="Arial" w:hAnsi="Arial" w:cs="Arial"/>
          <w:sz w:val="20"/>
          <w:szCs w:val="20"/>
        </w:rPr>
        <w:t>polityki</w:t>
      </w:r>
      <w:r w:rsidR="004D536E" w:rsidRPr="004C6CC5">
        <w:rPr>
          <w:rFonts w:ascii="Arial" w:hAnsi="Arial" w:cs="Arial"/>
          <w:sz w:val="20"/>
          <w:szCs w:val="20"/>
        </w:rPr>
        <w:t xml:space="preserve"> morskiej RP </w:t>
      </w:r>
      <w:r>
        <w:rPr>
          <w:rFonts w:ascii="Arial" w:hAnsi="Arial" w:cs="Arial"/>
          <w:sz w:val="20"/>
          <w:szCs w:val="20"/>
        </w:rPr>
        <w:t>jest</w:t>
      </w:r>
      <w:r w:rsidR="004D536E" w:rsidRPr="004C6CC5">
        <w:rPr>
          <w:rFonts w:ascii="Arial" w:hAnsi="Arial" w:cs="Arial"/>
          <w:sz w:val="20"/>
          <w:szCs w:val="20"/>
        </w:rPr>
        <w:t xml:space="preserve"> wzmocnienie bezpieczeństwa energetycznego kraju, którego celem jest wykorzystanie obszarów morskich </w:t>
      </w:r>
      <w:r w:rsidR="00075483" w:rsidRPr="004C6CC5">
        <w:rPr>
          <w:rFonts w:ascii="Arial" w:hAnsi="Arial" w:cs="Arial"/>
          <w:sz w:val="20"/>
          <w:szCs w:val="20"/>
        </w:rPr>
        <w:t>dla produkcji energii</w:t>
      </w:r>
      <w:r w:rsidR="004C6CC5">
        <w:rPr>
          <w:rFonts w:ascii="Arial" w:hAnsi="Arial" w:cs="Arial"/>
          <w:sz w:val="20"/>
          <w:szCs w:val="20"/>
        </w:rPr>
        <w:t xml:space="preserve"> i </w:t>
      </w:r>
      <w:r w:rsidR="00075483" w:rsidRPr="004C6CC5">
        <w:rPr>
          <w:rFonts w:ascii="Arial" w:hAnsi="Arial" w:cs="Arial"/>
          <w:sz w:val="20"/>
          <w:szCs w:val="20"/>
        </w:rPr>
        <w:t>dostaw surowców energetycznych.</w:t>
      </w:r>
      <w:r>
        <w:rPr>
          <w:rFonts w:ascii="Arial" w:hAnsi="Arial" w:cs="Arial"/>
          <w:sz w:val="20"/>
          <w:szCs w:val="20"/>
        </w:rPr>
        <w:t xml:space="preserve"> </w:t>
      </w:r>
      <w:r w:rsidR="00BE6DB5">
        <w:rPr>
          <w:rFonts w:ascii="Arial" w:hAnsi="Arial" w:cs="Arial"/>
          <w:sz w:val="20"/>
          <w:szCs w:val="20"/>
        </w:rPr>
        <w:t xml:space="preserve">Zgodnie z projektem „Polityki energetycznej Polski do 2040 r.” energetyka wiatrowa na </w:t>
      </w:r>
      <w:r w:rsidR="00BE6DB5">
        <w:rPr>
          <w:rFonts w:ascii="Arial" w:hAnsi="Arial" w:cs="Arial"/>
          <w:sz w:val="20"/>
          <w:szCs w:val="20"/>
        </w:rPr>
        <w:lastRenderedPageBreak/>
        <w:t>morzu wdrożona zostanie od 2025 r., a moc zainstalowana osiągnie ok. 5,9 GW w 20</w:t>
      </w:r>
      <w:r w:rsidR="009F0B72">
        <w:rPr>
          <w:rFonts w:ascii="Arial" w:hAnsi="Arial" w:cs="Arial"/>
          <w:sz w:val="20"/>
          <w:szCs w:val="20"/>
        </w:rPr>
        <w:t>3</w:t>
      </w:r>
      <w:r w:rsidR="00BE6DB5">
        <w:rPr>
          <w:rFonts w:ascii="Arial" w:hAnsi="Arial" w:cs="Arial"/>
          <w:sz w:val="20"/>
          <w:szCs w:val="20"/>
        </w:rPr>
        <w:t>0 r. oraz ok. 8-11 GW w 2040 r.</w:t>
      </w:r>
      <w:r w:rsidR="000171A9">
        <w:rPr>
          <w:rStyle w:val="Odwoanieprzypisudolnego"/>
          <w:rFonts w:ascii="Arial" w:hAnsi="Arial" w:cs="Arial"/>
          <w:sz w:val="20"/>
          <w:szCs w:val="20"/>
        </w:rPr>
        <w:footnoteReference w:id="4"/>
      </w:r>
    </w:p>
    <w:p w14:paraId="2A4D44E2" w14:textId="4A4C531B" w:rsidR="00C85624" w:rsidRPr="004C6CC5" w:rsidRDefault="00C85624" w:rsidP="00C85624">
      <w:pPr>
        <w:spacing w:line="276" w:lineRule="auto"/>
        <w:jc w:val="both"/>
        <w:rPr>
          <w:rFonts w:ascii="Arial" w:hAnsi="Arial" w:cs="Arial"/>
          <w:sz w:val="20"/>
          <w:szCs w:val="20"/>
        </w:rPr>
      </w:pPr>
      <w:r w:rsidRPr="004C6CC5">
        <w:rPr>
          <w:rFonts w:ascii="Arial" w:hAnsi="Arial" w:cs="Arial"/>
          <w:sz w:val="20"/>
          <w:szCs w:val="20"/>
        </w:rPr>
        <w:t xml:space="preserve">W roku 2019 </w:t>
      </w:r>
      <w:r w:rsidR="001077B3">
        <w:rPr>
          <w:rFonts w:ascii="Arial" w:hAnsi="Arial" w:cs="Arial"/>
          <w:sz w:val="20"/>
          <w:szCs w:val="20"/>
        </w:rPr>
        <w:t>Minister Energii, a następnie Minister Aktywów Państwowych prowadził</w:t>
      </w:r>
      <w:r w:rsidRPr="004C6CC5">
        <w:rPr>
          <w:rFonts w:ascii="Arial" w:hAnsi="Arial" w:cs="Arial"/>
          <w:sz w:val="20"/>
          <w:szCs w:val="20"/>
        </w:rPr>
        <w:t xml:space="preserve"> prace nad projektem ustawy</w:t>
      </w:r>
      <w:r w:rsidR="001077B3">
        <w:rPr>
          <w:rFonts w:ascii="Arial" w:hAnsi="Arial" w:cs="Arial"/>
          <w:sz w:val="20"/>
          <w:szCs w:val="20"/>
        </w:rPr>
        <w:t xml:space="preserve"> o </w:t>
      </w:r>
      <w:r w:rsidRPr="004C6CC5">
        <w:rPr>
          <w:rFonts w:ascii="Arial" w:hAnsi="Arial" w:cs="Arial"/>
          <w:sz w:val="20"/>
          <w:szCs w:val="20"/>
        </w:rPr>
        <w:t>promowaniu wytwarzania energii elektrycznej</w:t>
      </w:r>
      <w:r>
        <w:rPr>
          <w:rFonts w:ascii="Arial" w:hAnsi="Arial" w:cs="Arial"/>
          <w:sz w:val="20"/>
          <w:szCs w:val="20"/>
        </w:rPr>
        <w:t xml:space="preserve"> w </w:t>
      </w:r>
      <w:r w:rsidRPr="004C6CC5">
        <w:rPr>
          <w:rFonts w:ascii="Arial" w:hAnsi="Arial" w:cs="Arial"/>
          <w:sz w:val="20"/>
          <w:szCs w:val="20"/>
        </w:rPr>
        <w:t>morskich farmach wiatrowy</w:t>
      </w:r>
      <w:r w:rsidR="007B2D76">
        <w:rPr>
          <w:rFonts w:ascii="Arial" w:hAnsi="Arial" w:cs="Arial"/>
          <w:sz w:val="20"/>
          <w:szCs w:val="20"/>
        </w:rPr>
        <w:t>ch</w:t>
      </w:r>
      <w:r w:rsidRPr="004C6CC5">
        <w:rPr>
          <w:rFonts w:ascii="Arial" w:hAnsi="Arial" w:cs="Arial"/>
          <w:sz w:val="20"/>
          <w:szCs w:val="20"/>
        </w:rPr>
        <w:t xml:space="preserve">. </w:t>
      </w:r>
      <w:r w:rsidR="001077B3">
        <w:rPr>
          <w:rFonts w:ascii="Arial" w:hAnsi="Arial" w:cs="Arial"/>
          <w:sz w:val="20"/>
          <w:szCs w:val="20"/>
        </w:rPr>
        <w:t xml:space="preserve">Prace te wspierało Ministerstwo Gospodarki Morskiej i Żeglugi Śródlądowej. </w:t>
      </w:r>
      <w:r w:rsidRPr="004C6CC5">
        <w:rPr>
          <w:rFonts w:ascii="Arial" w:hAnsi="Arial" w:cs="Arial"/>
          <w:sz w:val="20"/>
          <w:szCs w:val="20"/>
        </w:rPr>
        <w:t>Projekt ustawy jest odpowiedzią na potrzebę znacznego zwiększenia udziału odnawialnych źródeł energii</w:t>
      </w:r>
      <w:r>
        <w:rPr>
          <w:rFonts w:ascii="Arial" w:hAnsi="Arial" w:cs="Arial"/>
          <w:sz w:val="20"/>
          <w:szCs w:val="20"/>
        </w:rPr>
        <w:t xml:space="preserve"> w </w:t>
      </w:r>
      <w:r w:rsidRPr="004C6CC5">
        <w:rPr>
          <w:rFonts w:ascii="Arial" w:hAnsi="Arial" w:cs="Arial"/>
          <w:sz w:val="20"/>
          <w:szCs w:val="20"/>
        </w:rPr>
        <w:t xml:space="preserve">krajowym miksie energetycznym, poprzez wprowadzenie systemu wsparcia </w:t>
      </w:r>
      <w:r w:rsidR="00013D5D">
        <w:rPr>
          <w:rFonts w:ascii="Arial" w:hAnsi="Arial" w:cs="Arial"/>
          <w:sz w:val="20"/>
          <w:szCs w:val="20"/>
        </w:rPr>
        <w:t xml:space="preserve">dla sektora morskiej energetyki wiatrowej </w:t>
      </w:r>
      <w:r w:rsidRPr="004C6CC5">
        <w:rPr>
          <w:rFonts w:ascii="Arial" w:hAnsi="Arial" w:cs="Arial"/>
          <w:sz w:val="20"/>
          <w:szCs w:val="20"/>
        </w:rPr>
        <w:t>oraz usprawnień administracyjnych, umożliwiających bardziej efektywne prowadzenie procesu inwestycyjnego</w:t>
      </w:r>
      <w:r>
        <w:rPr>
          <w:rFonts w:ascii="Arial" w:hAnsi="Arial" w:cs="Arial"/>
          <w:sz w:val="20"/>
          <w:szCs w:val="20"/>
        </w:rPr>
        <w:t xml:space="preserve"> w </w:t>
      </w:r>
      <w:r w:rsidRPr="004C6CC5">
        <w:rPr>
          <w:rFonts w:ascii="Arial" w:hAnsi="Arial" w:cs="Arial"/>
          <w:sz w:val="20"/>
          <w:szCs w:val="20"/>
        </w:rPr>
        <w:t xml:space="preserve">zakresie morskich </w:t>
      </w:r>
      <w:r w:rsidR="00013D5D">
        <w:rPr>
          <w:rFonts w:ascii="Arial" w:hAnsi="Arial" w:cs="Arial"/>
          <w:sz w:val="20"/>
          <w:szCs w:val="20"/>
        </w:rPr>
        <w:t>elektrowni</w:t>
      </w:r>
      <w:r w:rsidRPr="004C6CC5">
        <w:rPr>
          <w:rFonts w:ascii="Arial" w:hAnsi="Arial" w:cs="Arial"/>
          <w:sz w:val="20"/>
          <w:szCs w:val="20"/>
        </w:rPr>
        <w:t xml:space="preserve"> wiatrowych. Systemowe wydzielenie morskiej energetyki wiatrowej</w:t>
      </w:r>
      <w:r>
        <w:rPr>
          <w:rFonts w:ascii="Arial" w:hAnsi="Arial" w:cs="Arial"/>
          <w:sz w:val="20"/>
          <w:szCs w:val="20"/>
        </w:rPr>
        <w:t xml:space="preserve"> z </w:t>
      </w:r>
      <w:r w:rsidRPr="004C6CC5">
        <w:rPr>
          <w:rFonts w:ascii="Arial" w:hAnsi="Arial" w:cs="Arial"/>
          <w:sz w:val="20"/>
          <w:szCs w:val="20"/>
        </w:rPr>
        <w:t>dotychczasowych regulacji</w:t>
      </w:r>
      <w:r>
        <w:rPr>
          <w:rFonts w:ascii="Arial" w:hAnsi="Arial" w:cs="Arial"/>
          <w:sz w:val="20"/>
          <w:szCs w:val="20"/>
        </w:rPr>
        <w:t xml:space="preserve"> w </w:t>
      </w:r>
      <w:r w:rsidRPr="004C6CC5">
        <w:rPr>
          <w:rFonts w:ascii="Arial" w:hAnsi="Arial" w:cs="Arial"/>
          <w:sz w:val="20"/>
          <w:szCs w:val="20"/>
        </w:rPr>
        <w:t>obszarze odnawialnych źródeł energii ma na celu stworzenie jednolitego, zamkniętego obszaru dedykowanego temu zagadnieniu, co poprawi przejrzystość przepisów, a tym samym ułatwi proces inwestycyjny.</w:t>
      </w:r>
    </w:p>
    <w:p w14:paraId="77F365E3" w14:textId="6D658ECA" w:rsidR="005D0B7E" w:rsidRDefault="00C85624" w:rsidP="005D0B7E">
      <w:pPr>
        <w:spacing w:line="276" w:lineRule="auto"/>
        <w:jc w:val="both"/>
        <w:rPr>
          <w:rFonts w:ascii="Arial" w:hAnsi="Arial" w:cs="Arial"/>
          <w:sz w:val="20"/>
          <w:szCs w:val="20"/>
        </w:rPr>
      </w:pPr>
      <w:r w:rsidRPr="004C6CC5">
        <w:rPr>
          <w:rFonts w:ascii="Arial" w:hAnsi="Arial" w:cs="Arial"/>
          <w:sz w:val="20"/>
          <w:szCs w:val="20"/>
        </w:rPr>
        <w:t>W projekcie ustawy zawarto również zagadnienie odnoszące się do ro</w:t>
      </w:r>
      <w:r w:rsidR="004F5B1A">
        <w:rPr>
          <w:rFonts w:ascii="Arial" w:hAnsi="Arial" w:cs="Arial"/>
          <w:sz w:val="20"/>
          <w:szCs w:val="20"/>
        </w:rPr>
        <w:t xml:space="preserve">zwoju lokalnego łańcucha dostaw oraz zawarto regulacje, które </w:t>
      </w:r>
      <w:r w:rsidR="00E6041F">
        <w:rPr>
          <w:rFonts w:ascii="Arial" w:hAnsi="Arial" w:cs="Arial"/>
          <w:sz w:val="20"/>
          <w:szCs w:val="20"/>
        </w:rPr>
        <w:t>wspierać</w:t>
      </w:r>
      <w:r w:rsidR="004F5B1A">
        <w:rPr>
          <w:rFonts w:ascii="Arial" w:hAnsi="Arial" w:cs="Arial"/>
          <w:sz w:val="20"/>
          <w:szCs w:val="20"/>
        </w:rPr>
        <w:t xml:space="preserve"> będą rozwój portów morskich ukierunkowanych na obsługę sektora morskiej energetyki wiatrowej oraz kwestie związane z rozwojem sieci przesyłowych dedykowanych dla sektora morskiej energetyki wiatrowej.</w:t>
      </w:r>
      <w:r w:rsidRPr="004C6CC5">
        <w:rPr>
          <w:rFonts w:ascii="Arial" w:hAnsi="Arial" w:cs="Arial"/>
          <w:sz w:val="20"/>
          <w:szCs w:val="20"/>
        </w:rPr>
        <w:t xml:space="preserve"> </w:t>
      </w:r>
      <w:r w:rsidR="004F5B1A">
        <w:rPr>
          <w:rFonts w:ascii="Arial" w:hAnsi="Arial" w:cs="Arial"/>
          <w:sz w:val="20"/>
          <w:szCs w:val="20"/>
        </w:rPr>
        <w:t xml:space="preserve">Prace nad tą regulacją </w:t>
      </w:r>
      <w:r w:rsidR="00413A82">
        <w:rPr>
          <w:rFonts w:ascii="Arial" w:hAnsi="Arial" w:cs="Arial"/>
          <w:sz w:val="20"/>
          <w:szCs w:val="20"/>
        </w:rPr>
        <w:t>trwały do końca 2019 roku.</w:t>
      </w:r>
      <w:r w:rsidR="00354C34">
        <w:rPr>
          <w:rStyle w:val="Odwoanieprzypisudolnego"/>
          <w:rFonts w:ascii="Arial" w:hAnsi="Arial" w:cs="Arial"/>
          <w:sz w:val="20"/>
          <w:szCs w:val="20"/>
        </w:rPr>
        <w:footnoteReference w:id="5"/>
      </w:r>
    </w:p>
    <w:p w14:paraId="4CDC7C14" w14:textId="4F98A1A9" w:rsidR="00075483" w:rsidRPr="005D0B7E" w:rsidRDefault="00811AB9" w:rsidP="003C6ECA">
      <w:pPr>
        <w:pStyle w:val="Akapitzlist"/>
        <w:numPr>
          <w:ilvl w:val="0"/>
          <w:numId w:val="38"/>
        </w:numPr>
        <w:spacing w:line="276" w:lineRule="auto"/>
        <w:jc w:val="both"/>
        <w:rPr>
          <w:rFonts w:ascii="Arial" w:hAnsi="Arial" w:cs="Arial"/>
          <w:b/>
          <w:sz w:val="20"/>
          <w:szCs w:val="20"/>
        </w:rPr>
      </w:pPr>
      <w:r w:rsidRPr="005D0B7E">
        <w:rPr>
          <w:rFonts w:ascii="Arial" w:hAnsi="Arial" w:cs="Arial"/>
          <w:b/>
          <w:sz w:val="20"/>
          <w:szCs w:val="20"/>
        </w:rPr>
        <w:t xml:space="preserve">Budowa gazociągu Baltic Pipe </w:t>
      </w:r>
    </w:p>
    <w:p w14:paraId="4190E3C2" w14:textId="33C0911B" w:rsidR="00811AB9" w:rsidRPr="004C6CC5" w:rsidRDefault="00811AB9" w:rsidP="008D2321">
      <w:pPr>
        <w:spacing w:after="120" w:line="276" w:lineRule="auto"/>
        <w:jc w:val="both"/>
        <w:rPr>
          <w:rFonts w:ascii="Arial" w:hAnsi="Arial" w:cs="Arial"/>
          <w:sz w:val="20"/>
          <w:szCs w:val="20"/>
        </w:rPr>
      </w:pPr>
      <w:r w:rsidRPr="004C6CC5">
        <w:rPr>
          <w:rFonts w:ascii="Arial" w:hAnsi="Arial" w:cs="Arial"/>
          <w:sz w:val="20"/>
          <w:szCs w:val="20"/>
        </w:rPr>
        <w:t>Budowa gazociągu ma na celu połączenie polskiego</w:t>
      </w:r>
      <w:r w:rsidR="004C6CC5">
        <w:rPr>
          <w:rFonts w:ascii="Arial" w:hAnsi="Arial" w:cs="Arial"/>
          <w:sz w:val="20"/>
          <w:szCs w:val="20"/>
        </w:rPr>
        <w:t xml:space="preserve"> i </w:t>
      </w:r>
      <w:r w:rsidRPr="004C6CC5">
        <w:rPr>
          <w:rFonts w:ascii="Arial" w:hAnsi="Arial" w:cs="Arial"/>
          <w:sz w:val="20"/>
          <w:szCs w:val="20"/>
        </w:rPr>
        <w:t>duńskiego systemu przesyłowego</w:t>
      </w:r>
      <w:r w:rsidR="004C6CC5">
        <w:rPr>
          <w:rFonts w:ascii="Arial" w:hAnsi="Arial" w:cs="Arial"/>
          <w:sz w:val="20"/>
          <w:szCs w:val="20"/>
        </w:rPr>
        <w:t xml:space="preserve"> z </w:t>
      </w:r>
      <w:r w:rsidRPr="004C6CC5">
        <w:rPr>
          <w:rFonts w:ascii="Arial" w:hAnsi="Arial" w:cs="Arial"/>
          <w:sz w:val="20"/>
          <w:szCs w:val="20"/>
        </w:rPr>
        <w:t xml:space="preserve">norweskimi złożami gazu. Gazociąg umożliwi przesył norweskiego </w:t>
      </w:r>
      <w:r w:rsidR="00D10DE7" w:rsidRPr="004C6CC5">
        <w:rPr>
          <w:rFonts w:ascii="Arial" w:hAnsi="Arial" w:cs="Arial"/>
          <w:sz w:val="20"/>
          <w:szCs w:val="20"/>
        </w:rPr>
        <w:t>gazu do Danii, Polski</w:t>
      </w:r>
      <w:r w:rsidR="004C6CC5">
        <w:rPr>
          <w:rFonts w:ascii="Arial" w:hAnsi="Arial" w:cs="Arial"/>
          <w:sz w:val="20"/>
          <w:szCs w:val="20"/>
        </w:rPr>
        <w:t xml:space="preserve"> i </w:t>
      </w:r>
      <w:r w:rsidR="00D10DE7" w:rsidRPr="004C6CC5">
        <w:rPr>
          <w:rFonts w:ascii="Arial" w:hAnsi="Arial" w:cs="Arial"/>
          <w:sz w:val="20"/>
          <w:szCs w:val="20"/>
        </w:rPr>
        <w:t>krajów sąsiedzkich, jak również eksport gazu do Danii</w:t>
      </w:r>
      <w:r w:rsidR="004C6CC5">
        <w:rPr>
          <w:rFonts w:ascii="Arial" w:hAnsi="Arial" w:cs="Arial"/>
          <w:sz w:val="20"/>
          <w:szCs w:val="20"/>
        </w:rPr>
        <w:t xml:space="preserve"> i </w:t>
      </w:r>
      <w:r w:rsidR="00D10DE7" w:rsidRPr="004C6CC5">
        <w:rPr>
          <w:rFonts w:ascii="Arial" w:hAnsi="Arial" w:cs="Arial"/>
          <w:sz w:val="20"/>
          <w:szCs w:val="20"/>
        </w:rPr>
        <w:t>Szwecji. Przepustowość gazociągu</w:t>
      </w:r>
      <w:r w:rsidR="004C6CC5">
        <w:rPr>
          <w:rFonts w:ascii="Arial" w:hAnsi="Arial" w:cs="Arial"/>
          <w:sz w:val="20"/>
          <w:szCs w:val="20"/>
        </w:rPr>
        <w:t xml:space="preserve"> w </w:t>
      </w:r>
      <w:r w:rsidR="00D10DE7" w:rsidRPr="004C6CC5">
        <w:rPr>
          <w:rFonts w:ascii="Arial" w:hAnsi="Arial" w:cs="Arial"/>
          <w:sz w:val="20"/>
          <w:szCs w:val="20"/>
        </w:rPr>
        <w:t>kierunku Polski wyniesie 10 mld m</w:t>
      </w:r>
      <w:r w:rsidR="00D10DE7" w:rsidRPr="004C6CC5">
        <w:rPr>
          <w:rFonts w:ascii="Arial" w:hAnsi="Arial" w:cs="Arial"/>
          <w:sz w:val="20"/>
          <w:szCs w:val="20"/>
          <w:vertAlign w:val="superscript"/>
        </w:rPr>
        <w:t>3</w:t>
      </w:r>
      <w:r w:rsidR="00D10DE7" w:rsidRPr="004C6CC5">
        <w:rPr>
          <w:rFonts w:ascii="Arial" w:hAnsi="Arial" w:cs="Arial"/>
          <w:sz w:val="20"/>
          <w:szCs w:val="20"/>
        </w:rPr>
        <w:t xml:space="preserve"> rocznie, natomiast</w:t>
      </w:r>
      <w:r w:rsidR="004C6CC5">
        <w:rPr>
          <w:rFonts w:ascii="Arial" w:hAnsi="Arial" w:cs="Arial"/>
          <w:sz w:val="20"/>
          <w:szCs w:val="20"/>
        </w:rPr>
        <w:t xml:space="preserve"> w </w:t>
      </w:r>
      <w:r w:rsidR="00D10DE7" w:rsidRPr="004C6CC5">
        <w:rPr>
          <w:rFonts w:ascii="Arial" w:hAnsi="Arial" w:cs="Arial"/>
          <w:sz w:val="20"/>
          <w:szCs w:val="20"/>
        </w:rPr>
        <w:t>kierunku Danii</w:t>
      </w:r>
      <w:r w:rsidR="004C6CC5">
        <w:rPr>
          <w:rFonts w:ascii="Arial" w:hAnsi="Arial" w:cs="Arial"/>
          <w:sz w:val="20"/>
          <w:szCs w:val="20"/>
        </w:rPr>
        <w:t xml:space="preserve"> i </w:t>
      </w:r>
      <w:r w:rsidR="00D10DE7" w:rsidRPr="004C6CC5">
        <w:rPr>
          <w:rFonts w:ascii="Arial" w:hAnsi="Arial" w:cs="Arial"/>
          <w:sz w:val="20"/>
          <w:szCs w:val="20"/>
        </w:rPr>
        <w:t>Szwecji 3 mld m</w:t>
      </w:r>
      <w:r w:rsidR="00D10DE7" w:rsidRPr="004C6CC5">
        <w:rPr>
          <w:rFonts w:ascii="Arial" w:hAnsi="Arial" w:cs="Arial"/>
          <w:sz w:val="20"/>
          <w:szCs w:val="20"/>
          <w:vertAlign w:val="superscript"/>
        </w:rPr>
        <w:t>3</w:t>
      </w:r>
      <w:r w:rsidR="00D10DE7" w:rsidRPr="004C6CC5">
        <w:rPr>
          <w:rFonts w:ascii="Arial" w:hAnsi="Arial" w:cs="Arial"/>
          <w:sz w:val="20"/>
          <w:szCs w:val="20"/>
        </w:rPr>
        <w:t>. Budowa Baltic Pipe niesie ze sobą konieczność rozbudowy polskiego systemu przesyłowego.</w:t>
      </w:r>
      <w:r w:rsidR="00687A31">
        <w:rPr>
          <w:rFonts w:ascii="Arial" w:hAnsi="Arial" w:cs="Arial"/>
          <w:sz w:val="20"/>
          <w:szCs w:val="20"/>
        </w:rPr>
        <w:t xml:space="preserve"> W</w:t>
      </w:r>
      <w:r w:rsidR="004C6CC5">
        <w:rPr>
          <w:rFonts w:ascii="Arial" w:hAnsi="Arial" w:cs="Arial"/>
          <w:sz w:val="20"/>
          <w:szCs w:val="20"/>
        </w:rPr>
        <w:t> </w:t>
      </w:r>
      <w:r w:rsidR="00D10DE7" w:rsidRPr="004C6CC5">
        <w:rPr>
          <w:rFonts w:ascii="Arial" w:hAnsi="Arial" w:cs="Arial"/>
          <w:sz w:val="20"/>
          <w:szCs w:val="20"/>
        </w:rPr>
        <w:t>2019</w:t>
      </w:r>
      <w:r w:rsidR="009D01B9" w:rsidRPr="004C6CC5">
        <w:rPr>
          <w:rFonts w:ascii="Arial" w:hAnsi="Arial" w:cs="Arial"/>
          <w:sz w:val="20"/>
          <w:szCs w:val="20"/>
        </w:rPr>
        <w:t xml:space="preserve"> r. </w:t>
      </w:r>
      <w:r w:rsidR="00D10DE7" w:rsidRPr="004C6CC5">
        <w:rPr>
          <w:rFonts w:ascii="Arial" w:hAnsi="Arial" w:cs="Arial"/>
          <w:sz w:val="20"/>
          <w:szCs w:val="20"/>
        </w:rPr>
        <w:t>realizowano proces uzyskiwania decyzji administracyjnych dla odcinków lądowych</w:t>
      </w:r>
      <w:r w:rsidR="004C6CC5">
        <w:rPr>
          <w:rFonts w:ascii="Arial" w:hAnsi="Arial" w:cs="Arial"/>
          <w:sz w:val="20"/>
          <w:szCs w:val="20"/>
        </w:rPr>
        <w:t xml:space="preserve"> i </w:t>
      </w:r>
      <w:r w:rsidR="00D10DE7" w:rsidRPr="004C6CC5">
        <w:rPr>
          <w:rFonts w:ascii="Arial" w:hAnsi="Arial" w:cs="Arial"/>
          <w:sz w:val="20"/>
          <w:szCs w:val="20"/>
        </w:rPr>
        <w:t xml:space="preserve">morskich niezbędnych do planowanego na maj </w:t>
      </w:r>
      <w:r w:rsidR="0074698C">
        <w:rPr>
          <w:rFonts w:ascii="Arial" w:hAnsi="Arial" w:cs="Arial"/>
          <w:sz w:val="20"/>
          <w:szCs w:val="20"/>
        </w:rPr>
        <w:br/>
      </w:r>
      <w:r w:rsidR="00D10DE7" w:rsidRPr="004C6CC5">
        <w:rPr>
          <w:rFonts w:ascii="Arial" w:hAnsi="Arial" w:cs="Arial"/>
          <w:sz w:val="20"/>
          <w:szCs w:val="20"/>
        </w:rPr>
        <w:t>2020</w:t>
      </w:r>
      <w:r w:rsidR="009D01B9" w:rsidRPr="004C6CC5">
        <w:rPr>
          <w:rFonts w:ascii="Arial" w:hAnsi="Arial" w:cs="Arial"/>
          <w:sz w:val="20"/>
          <w:szCs w:val="20"/>
        </w:rPr>
        <w:t xml:space="preserve"> r. </w:t>
      </w:r>
      <w:r w:rsidR="00D10DE7" w:rsidRPr="004C6CC5">
        <w:rPr>
          <w:rFonts w:ascii="Arial" w:hAnsi="Arial" w:cs="Arial"/>
          <w:sz w:val="20"/>
          <w:szCs w:val="20"/>
        </w:rPr>
        <w:t>rozpoczęcia prac związanych</w:t>
      </w:r>
      <w:r w:rsidR="0092146A">
        <w:rPr>
          <w:rFonts w:ascii="Arial" w:hAnsi="Arial" w:cs="Arial"/>
          <w:sz w:val="20"/>
          <w:szCs w:val="20"/>
        </w:rPr>
        <w:t xml:space="preserve"> z </w:t>
      </w:r>
      <w:r w:rsidR="00D10DE7" w:rsidRPr="004C6CC5">
        <w:rPr>
          <w:rFonts w:ascii="Arial" w:hAnsi="Arial" w:cs="Arial"/>
          <w:sz w:val="20"/>
          <w:szCs w:val="20"/>
        </w:rPr>
        <w:t>układaniem gazociągu. Ponadto uzyskano 215 mln euro dofinansowania</w:t>
      </w:r>
      <w:r w:rsidR="0074698C">
        <w:rPr>
          <w:rFonts w:ascii="Arial" w:hAnsi="Arial" w:cs="Arial"/>
          <w:sz w:val="20"/>
          <w:szCs w:val="20"/>
        </w:rPr>
        <w:t xml:space="preserve"> z </w:t>
      </w:r>
      <w:r w:rsidR="00D10DE7" w:rsidRPr="004C6CC5">
        <w:rPr>
          <w:rFonts w:ascii="Arial" w:hAnsi="Arial" w:cs="Arial"/>
          <w:sz w:val="20"/>
          <w:szCs w:val="20"/>
        </w:rPr>
        <w:t>funduszy UE</w:t>
      </w:r>
      <w:r w:rsidR="004C6CC5">
        <w:rPr>
          <w:rFonts w:ascii="Arial" w:hAnsi="Arial" w:cs="Arial"/>
          <w:sz w:val="20"/>
          <w:szCs w:val="20"/>
        </w:rPr>
        <w:t xml:space="preserve"> w </w:t>
      </w:r>
      <w:r w:rsidR="00D10DE7" w:rsidRPr="004C6CC5">
        <w:rPr>
          <w:rFonts w:ascii="Arial" w:hAnsi="Arial" w:cs="Arial"/>
          <w:sz w:val="20"/>
          <w:szCs w:val="20"/>
        </w:rPr>
        <w:t>ramach instrumentu finansowego CEF-Energy na realizację prac budowlanych. Dokonano również wyboru dostawców rur, a także uruchomiono postępowania przetargowe na wybór wykonawcy inwestycji. Należy wskazać, że inwestycja uzyskała status projektu wspólnego zainteresowania UEV na lata 2020-2022.</w:t>
      </w:r>
    </w:p>
    <w:p w14:paraId="6E7E50CE" w14:textId="19D4187B" w:rsidR="00D10DE7" w:rsidRPr="000F468A" w:rsidRDefault="00D10DE7" w:rsidP="003C6ECA">
      <w:pPr>
        <w:pStyle w:val="Akapitzlist"/>
        <w:numPr>
          <w:ilvl w:val="0"/>
          <w:numId w:val="14"/>
        </w:numPr>
        <w:spacing w:after="120" w:line="276" w:lineRule="auto"/>
        <w:jc w:val="both"/>
        <w:rPr>
          <w:rFonts w:ascii="Arial" w:hAnsi="Arial" w:cs="Arial"/>
          <w:b/>
          <w:sz w:val="20"/>
          <w:szCs w:val="20"/>
        </w:rPr>
      </w:pPr>
      <w:r w:rsidRPr="000F468A">
        <w:rPr>
          <w:rFonts w:ascii="Arial" w:hAnsi="Arial" w:cs="Arial"/>
          <w:b/>
          <w:sz w:val="20"/>
          <w:szCs w:val="20"/>
        </w:rPr>
        <w:t>Rozbudowa terminalu regazyfikacyjnego LNG</w:t>
      </w:r>
      <w:r w:rsidR="004C6CC5">
        <w:rPr>
          <w:rFonts w:ascii="Arial" w:hAnsi="Arial" w:cs="Arial"/>
          <w:b/>
          <w:sz w:val="20"/>
          <w:szCs w:val="20"/>
        </w:rPr>
        <w:t xml:space="preserve"> w </w:t>
      </w:r>
      <w:r w:rsidRPr="000F468A">
        <w:rPr>
          <w:rFonts w:ascii="Arial" w:hAnsi="Arial" w:cs="Arial"/>
          <w:b/>
          <w:sz w:val="20"/>
          <w:szCs w:val="20"/>
        </w:rPr>
        <w:t xml:space="preserve">Świnoujściu </w:t>
      </w:r>
    </w:p>
    <w:p w14:paraId="30FDA568" w14:textId="4A6A0402" w:rsidR="007064D9" w:rsidRPr="004C6CC5" w:rsidRDefault="00D10DE7" w:rsidP="008D2321">
      <w:pPr>
        <w:spacing w:after="120" w:line="276" w:lineRule="auto"/>
        <w:jc w:val="both"/>
        <w:rPr>
          <w:rFonts w:ascii="Arial" w:hAnsi="Arial" w:cs="Arial"/>
          <w:sz w:val="20"/>
          <w:szCs w:val="20"/>
        </w:rPr>
      </w:pPr>
      <w:r w:rsidRPr="004C6CC5">
        <w:rPr>
          <w:rFonts w:ascii="Arial" w:hAnsi="Arial" w:cs="Arial"/>
          <w:sz w:val="20"/>
          <w:szCs w:val="20"/>
        </w:rPr>
        <w:t>Ze względu na prognozowane zwiększenie zapotrzebowania na gaz ziemny</w:t>
      </w:r>
      <w:r w:rsidR="004C6CC5">
        <w:rPr>
          <w:rFonts w:ascii="Arial" w:hAnsi="Arial" w:cs="Arial"/>
          <w:sz w:val="20"/>
          <w:szCs w:val="20"/>
        </w:rPr>
        <w:t xml:space="preserve"> w </w:t>
      </w:r>
      <w:r w:rsidRPr="004C6CC5">
        <w:rPr>
          <w:rFonts w:ascii="Arial" w:hAnsi="Arial" w:cs="Arial"/>
          <w:sz w:val="20"/>
          <w:szCs w:val="20"/>
        </w:rPr>
        <w:t>Polsce podjęto decyzję o rozbudowie instalacji</w:t>
      </w:r>
      <w:r w:rsidR="00845802">
        <w:rPr>
          <w:rFonts w:ascii="Arial" w:hAnsi="Arial" w:cs="Arial"/>
          <w:sz w:val="20"/>
          <w:szCs w:val="20"/>
        </w:rPr>
        <w:t>,</w:t>
      </w:r>
      <w:r w:rsidRPr="004C6CC5">
        <w:rPr>
          <w:rFonts w:ascii="Arial" w:hAnsi="Arial" w:cs="Arial"/>
          <w:sz w:val="20"/>
          <w:szCs w:val="20"/>
        </w:rPr>
        <w:t xml:space="preserve"> co doprowadzi m.in. do zwiększenia przepustowości terminalu do 7,5 mld m</w:t>
      </w:r>
      <w:r w:rsidRPr="004C6CC5">
        <w:rPr>
          <w:rFonts w:ascii="Arial" w:hAnsi="Arial" w:cs="Arial"/>
          <w:sz w:val="20"/>
          <w:szCs w:val="20"/>
          <w:vertAlign w:val="superscript"/>
        </w:rPr>
        <w:t>3</w:t>
      </w:r>
      <w:r w:rsidRPr="004C6CC5">
        <w:rPr>
          <w:rFonts w:ascii="Arial" w:hAnsi="Arial" w:cs="Arial"/>
          <w:sz w:val="20"/>
          <w:szCs w:val="20"/>
        </w:rPr>
        <w:t xml:space="preserve"> rocznie. Realizowany Program Rozbudowy Terminalu, oprócz zwiększenia przepustowości zakłada umożliwienie przeładunku LNG na cysterny kolejowe</w:t>
      </w:r>
      <w:r w:rsidR="004C6CC5">
        <w:rPr>
          <w:rFonts w:ascii="Arial" w:hAnsi="Arial" w:cs="Arial"/>
          <w:sz w:val="20"/>
          <w:szCs w:val="20"/>
        </w:rPr>
        <w:t xml:space="preserve"> i </w:t>
      </w:r>
      <w:r w:rsidRPr="004C6CC5">
        <w:rPr>
          <w:rFonts w:ascii="Arial" w:hAnsi="Arial" w:cs="Arial"/>
          <w:sz w:val="20"/>
          <w:szCs w:val="20"/>
        </w:rPr>
        <w:t>kontenery ISO, budowę III zbiornika oraz budowę nabrzeża do przyjmowania</w:t>
      </w:r>
      <w:r w:rsidR="004C6CC5">
        <w:rPr>
          <w:rFonts w:ascii="Arial" w:hAnsi="Arial" w:cs="Arial"/>
          <w:sz w:val="20"/>
          <w:szCs w:val="20"/>
        </w:rPr>
        <w:t xml:space="preserve"> i </w:t>
      </w:r>
      <w:r w:rsidRPr="004C6CC5">
        <w:rPr>
          <w:rFonts w:ascii="Arial" w:hAnsi="Arial" w:cs="Arial"/>
          <w:sz w:val="20"/>
          <w:szCs w:val="20"/>
        </w:rPr>
        <w:t>przeładunku LNG na mniejsze jednostki</w:t>
      </w:r>
      <w:r w:rsidR="004C6CC5">
        <w:rPr>
          <w:rFonts w:ascii="Arial" w:hAnsi="Arial" w:cs="Arial"/>
          <w:sz w:val="20"/>
          <w:szCs w:val="20"/>
        </w:rPr>
        <w:t xml:space="preserve"> i </w:t>
      </w:r>
      <w:r w:rsidRPr="004C6CC5">
        <w:rPr>
          <w:rFonts w:ascii="Arial" w:hAnsi="Arial" w:cs="Arial"/>
          <w:sz w:val="20"/>
          <w:szCs w:val="20"/>
        </w:rPr>
        <w:t>bunkrowania statków.</w:t>
      </w:r>
      <w:r w:rsidR="00845802">
        <w:rPr>
          <w:rFonts w:ascii="Arial" w:hAnsi="Arial" w:cs="Arial"/>
          <w:sz w:val="20"/>
          <w:szCs w:val="20"/>
        </w:rPr>
        <w:t xml:space="preserve"> W</w:t>
      </w:r>
      <w:r w:rsidR="004C6CC5">
        <w:rPr>
          <w:rFonts w:ascii="Arial" w:hAnsi="Arial" w:cs="Arial"/>
          <w:sz w:val="20"/>
          <w:szCs w:val="20"/>
        </w:rPr>
        <w:t> </w:t>
      </w:r>
      <w:r w:rsidR="006F062A">
        <w:rPr>
          <w:rFonts w:ascii="Arial" w:hAnsi="Arial" w:cs="Arial"/>
          <w:sz w:val="20"/>
          <w:szCs w:val="20"/>
        </w:rPr>
        <w:t xml:space="preserve">dniu 24 kwietnia </w:t>
      </w:r>
      <w:r w:rsidRPr="004C6CC5">
        <w:rPr>
          <w:rFonts w:ascii="Arial" w:hAnsi="Arial" w:cs="Arial"/>
          <w:sz w:val="20"/>
          <w:szCs w:val="20"/>
        </w:rPr>
        <w:t>2019</w:t>
      </w:r>
      <w:r w:rsidR="009D01B9" w:rsidRPr="004C6CC5">
        <w:rPr>
          <w:rFonts w:ascii="Arial" w:hAnsi="Arial" w:cs="Arial"/>
          <w:sz w:val="20"/>
          <w:szCs w:val="20"/>
        </w:rPr>
        <w:t xml:space="preserve"> r. </w:t>
      </w:r>
      <w:r w:rsidR="006F062A">
        <w:rPr>
          <w:rFonts w:ascii="Arial" w:hAnsi="Arial" w:cs="Arial"/>
          <w:sz w:val="20"/>
          <w:szCs w:val="20"/>
        </w:rPr>
        <w:t>została podpisana umowa o dofinansowanie pomiędzy spółk</w:t>
      </w:r>
      <w:r w:rsidR="00834716">
        <w:rPr>
          <w:rFonts w:ascii="Arial" w:hAnsi="Arial" w:cs="Arial"/>
          <w:sz w:val="20"/>
          <w:szCs w:val="20"/>
        </w:rPr>
        <w:t>ą</w:t>
      </w:r>
      <w:r w:rsidR="006F062A">
        <w:rPr>
          <w:rFonts w:ascii="Arial" w:hAnsi="Arial" w:cs="Arial"/>
          <w:sz w:val="20"/>
          <w:szCs w:val="20"/>
        </w:rPr>
        <w:t xml:space="preserve"> Polskie LNG a Instytutem Nafty i Gazu, zgodnie z którą realizacja inwestycji zostanie wsparta kwotą 461 mln zł ze środków UE </w:t>
      </w:r>
      <w:r w:rsidR="004C6CC5">
        <w:rPr>
          <w:rFonts w:ascii="Arial" w:hAnsi="Arial" w:cs="Arial"/>
          <w:sz w:val="20"/>
          <w:szCs w:val="20"/>
        </w:rPr>
        <w:t>w </w:t>
      </w:r>
      <w:r w:rsidRPr="004C6CC5">
        <w:rPr>
          <w:rFonts w:ascii="Arial" w:hAnsi="Arial" w:cs="Arial"/>
          <w:sz w:val="20"/>
          <w:szCs w:val="20"/>
        </w:rPr>
        <w:t>ramach Programu Operacyjnego I</w:t>
      </w:r>
      <w:r w:rsidR="002B2603" w:rsidRPr="004C6CC5">
        <w:rPr>
          <w:rFonts w:ascii="Arial" w:hAnsi="Arial" w:cs="Arial"/>
          <w:sz w:val="20"/>
          <w:szCs w:val="20"/>
        </w:rPr>
        <w:t>nfrastruktura</w:t>
      </w:r>
      <w:r w:rsidR="004C6CC5">
        <w:rPr>
          <w:rFonts w:ascii="Arial" w:hAnsi="Arial" w:cs="Arial"/>
          <w:sz w:val="20"/>
          <w:szCs w:val="20"/>
        </w:rPr>
        <w:t xml:space="preserve"> i </w:t>
      </w:r>
      <w:r w:rsidR="00845802">
        <w:rPr>
          <w:rFonts w:ascii="Arial" w:hAnsi="Arial" w:cs="Arial"/>
          <w:sz w:val="20"/>
          <w:szCs w:val="20"/>
        </w:rPr>
        <w:t xml:space="preserve">Środowisko </w:t>
      </w:r>
      <w:r w:rsidR="002B2603" w:rsidRPr="004C6CC5">
        <w:rPr>
          <w:rFonts w:ascii="Arial" w:hAnsi="Arial" w:cs="Arial"/>
          <w:sz w:val="20"/>
          <w:szCs w:val="20"/>
        </w:rPr>
        <w:t>2014</w:t>
      </w:r>
      <w:r w:rsidR="00556819">
        <w:rPr>
          <w:rFonts w:ascii="Arial" w:hAnsi="Arial" w:cs="Arial"/>
          <w:sz w:val="20"/>
          <w:szCs w:val="20"/>
        </w:rPr>
        <w:t xml:space="preserve"> </w:t>
      </w:r>
      <w:r w:rsidR="002B2603" w:rsidRPr="004C6CC5">
        <w:rPr>
          <w:rFonts w:ascii="Arial" w:hAnsi="Arial" w:cs="Arial"/>
          <w:sz w:val="20"/>
          <w:szCs w:val="20"/>
        </w:rPr>
        <w:t>-</w:t>
      </w:r>
      <w:r w:rsidR="00556819">
        <w:rPr>
          <w:rFonts w:ascii="Arial" w:hAnsi="Arial" w:cs="Arial"/>
          <w:sz w:val="20"/>
          <w:szCs w:val="20"/>
        </w:rPr>
        <w:t xml:space="preserve"> </w:t>
      </w:r>
      <w:r w:rsidR="002B2603" w:rsidRPr="004C6CC5">
        <w:rPr>
          <w:rFonts w:ascii="Arial" w:hAnsi="Arial" w:cs="Arial"/>
          <w:sz w:val="20"/>
          <w:szCs w:val="20"/>
        </w:rPr>
        <w:t>2020. Przeprowadzono analizy techniczne</w:t>
      </w:r>
      <w:r w:rsidR="002401C3">
        <w:rPr>
          <w:rFonts w:ascii="Arial" w:hAnsi="Arial" w:cs="Arial"/>
          <w:sz w:val="20"/>
          <w:szCs w:val="20"/>
        </w:rPr>
        <w:t xml:space="preserve"> oraz </w:t>
      </w:r>
      <w:r w:rsidR="002B2603" w:rsidRPr="004C6CC5">
        <w:rPr>
          <w:rFonts w:ascii="Arial" w:hAnsi="Arial" w:cs="Arial"/>
          <w:sz w:val="20"/>
          <w:szCs w:val="20"/>
        </w:rPr>
        <w:t>dialog</w:t>
      </w:r>
      <w:r w:rsidR="004C6CC5">
        <w:rPr>
          <w:rFonts w:ascii="Arial" w:hAnsi="Arial" w:cs="Arial"/>
          <w:sz w:val="20"/>
          <w:szCs w:val="20"/>
        </w:rPr>
        <w:t xml:space="preserve"> z </w:t>
      </w:r>
      <w:r w:rsidR="002B2603" w:rsidRPr="004C6CC5">
        <w:rPr>
          <w:rFonts w:ascii="Arial" w:hAnsi="Arial" w:cs="Arial"/>
          <w:sz w:val="20"/>
          <w:szCs w:val="20"/>
        </w:rPr>
        <w:t xml:space="preserve">potencjalnymi wykonawcami inwestycji oraz uruchomiono postępowania przetargowe na realizację prac budowlanych. </w:t>
      </w:r>
    </w:p>
    <w:p w14:paraId="2EE2298E" w14:textId="0401164D" w:rsidR="002B2603" w:rsidRPr="000F468A" w:rsidRDefault="002B2603" w:rsidP="003C6ECA">
      <w:pPr>
        <w:pStyle w:val="Akapitzlist"/>
        <w:numPr>
          <w:ilvl w:val="0"/>
          <w:numId w:val="14"/>
        </w:numPr>
        <w:spacing w:after="120" w:line="276" w:lineRule="auto"/>
        <w:jc w:val="both"/>
        <w:rPr>
          <w:rFonts w:ascii="Arial" w:hAnsi="Arial" w:cs="Arial"/>
          <w:b/>
          <w:sz w:val="20"/>
          <w:szCs w:val="20"/>
        </w:rPr>
      </w:pPr>
      <w:r w:rsidRPr="000F468A">
        <w:rPr>
          <w:rFonts w:ascii="Arial" w:hAnsi="Arial" w:cs="Arial"/>
          <w:b/>
          <w:sz w:val="20"/>
          <w:szCs w:val="20"/>
        </w:rPr>
        <w:t xml:space="preserve">Terminal </w:t>
      </w:r>
      <w:r w:rsidR="00225241">
        <w:rPr>
          <w:rFonts w:ascii="Arial" w:hAnsi="Arial" w:cs="Arial"/>
          <w:b/>
          <w:sz w:val="20"/>
          <w:szCs w:val="20"/>
        </w:rPr>
        <w:t>regazyfikacyjny typu FRSU (</w:t>
      </w:r>
      <w:r w:rsidRPr="000F468A">
        <w:rPr>
          <w:rFonts w:ascii="Arial" w:hAnsi="Arial" w:cs="Arial"/>
          <w:b/>
          <w:sz w:val="20"/>
          <w:szCs w:val="20"/>
        </w:rPr>
        <w:t>Floating and Regasification Unit)</w:t>
      </w:r>
      <w:r w:rsidR="004C6CC5">
        <w:rPr>
          <w:rFonts w:ascii="Arial" w:hAnsi="Arial" w:cs="Arial"/>
          <w:b/>
          <w:sz w:val="20"/>
          <w:szCs w:val="20"/>
        </w:rPr>
        <w:t xml:space="preserve"> w </w:t>
      </w:r>
      <w:r w:rsidRPr="000F468A">
        <w:rPr>
          <w:rFonts w:ascii="Arial" w:hAnsi="Arial" w:cs="Arial"/>
          <w:b/>
          <w:sz w:val="20"/>
          <w:szCs w:val="20"/>
        </w:rPr>
        <w:t>Zatoce Gdańskiej</w:t>
      </w:r>
    </w:p>
    <w:p w14:paraId="709E9640" w14:textId="3C433EDE" w:rsidR="00615318" w:rsidRPr="004C6CC5" w:rsidRDefault="002B2603"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uzyskano status projektu wspólnego zainteresowa</w:t>
      </w:r>
      <w:r w:rsidR="003656A3" w:rsidRPr="004C6CC5">
        <w:rPr>
          <w:rFonts w:ascii="Arial" w:hAnsi="Arial" w:cs="Arial"/>
          <w:sz w:val="20"/>
          <w:szCs w:val="20"/>
        </w:rPr>
        <w:t>n</w:t>
      </w:r>
      <w:r w:rsidRPr="004C6CC5">
        <w:rPr>
          <w:rFonts w:ascii="Arial" w:hAnsi="Arial" w:cs="Arial"/>
          <w:sz w:val="20"/>
          <w:szCs w:val="20"/>
        </w:rPr>
        <w:t>ia UE (PCI) na lata 2020-2022, co umożliwia ubieganie się o dotacje</w:t>
      </w:r>
      <w:r w:rsidR="004C6CC5">
        <w:rPr>
          <w:rFonts w:ascii="Arial" w:hAnsi="Arial" w:cs="Arial"/>
          <w:sz w:val="20"/>
          <w:szCs w:val="20"/>
        </w:rPr>
        <w:t xml:space="preserve"> z </w:t>
      </w:r>
      <w:r w:rsidRPr="004C6CC5">
        <w:rPr>
          <w:rFonts w:ascii="Arial" w:hAnsi="Arial" w:cs="Arial"/>
          <w:sz w:val="20"/>
          <w:szCs w:val="20"/>
        </w:rPr>
        <w:t>instrumentu „Łącząc Europę”. Realizowano również prace planistyczne</w:t>
      </w:r>
      <w:r w:rsidR="004C6CC5">
        <w:rPr>
          <w:rFonts w:ascii="Arial" w:hAnsi="Arial" w:cs="Arial"/>
          <w:sz w:val="20"/>
          <w:szCs w:val="20"/>
        </w:rPr>
        <w:t xml:space="preserve"> i </w:t>
      </w:r>
      <w:r w:rsidRPr="004C6CC5">
        <w:rPr>
          <w:rFonts w:ascii="Arial" w:hAnsi="Arial" w:cs="Arial"/>
          <w:sz w:val="20"/>
          <w:szCs w:val="20"/>
        </w:rPr>
        <w:t>koncepcyjne związane</w:t>
      </w:r>
      <w:r w:rsidR="004C6CC5">
        <w:rPr>
          <w:rFonts w:ascii="Arial" w:hAnsi="Arial" w:cs="Arial"/>
          <w:sz w:val="20"/>
          <w:szCs w:val="20"/>
        </w:rPr>
        <w:t xml:space="preserve"> z </w:t>
      </w:r>
      <w:r w:rsidRPr="004C6CC5">
        <w:rPr>
          <w:rFonts w:ascii="Arial" w:hAnsi="Arial" w:cs="Arial"/>
          <w:sz w:val="20"/>
          <w:szCs w:val="20"/>
        </w:rPr>
        <w:t xml:space="preserve">realizacją projektu. </w:t>
      </w:r>
    </w:p>
    <w:p w14:paraId="63327872" w14:textId="4A08AF3D" w:rsidR="002B2603" w:rsidRPr="000F468A" w:rsidRDefault="002B2603" w:rsidP="003C6ECA">
      <w:pPr>
        <w:pStyle w:val="Akapitzlist"/>
        <w:numPr>
          <w:ilvl w:val="0"/>
          <w:numId w:val="14"/>
        </w:numPr>
        <w:spacing w:after="120" w:line="276" w:lineRule="auto"/>
        <w:jc w:val="both"/>
        <w:rPr>
          <w:rFonts w:ascii="Arial" w:hAnsi="Arial" w:cs="Arial"/>
          <w:b/>
          <w:sz w:val="20"/>
          <w:szCs w:val="20"/>
        </w:rPr>
      </w:pPr>
      <w:r w:rsidRPr="000F468A">
        <w:rPr>
          <w:rFonts w:ascii="Arial" w:hAnsi="Arial" w:cs="Arial"/>
          <w:b/>
          <w:sz w:val="20"/>
          <w:szCs w:val="20"/>
        </w:rPr>
        <w:lastRenderedPageBreak/>
        <w:t>Terminal Naftowy</w:t>
      </w:r>
      <w:r w:rsidR="004C6CC5">
        <w:rPr>
          <w:rFonts w:ascii="Arial" w:hAnsi="Arial" w:cs="Arial"/>
          <w:b/>
          <w:sz w:val="20"/>
          <w:szCs w:val="20"/>
        </w:rPr>
        <w:t xml:space="preserve"> w </w:t>
      </w:r>
      <w:r w:rsidRPr="000F468A">
        <w:rPr>
          <w:rFonts w:ascii="Arial" w:hAnsi="Arial" w:cs="Arial"/>
          <w:b/>
          <w:sz w:val="20"/>
          <w:szCs w:val="20"/>
        </w:rPr>
        <w:t>Gdańsku</w:t>
      </w:r>
    </w:p>
    <w:p w14:paraId="22438F33" w14:textId="497BB53A" w:rsidR="002B2603" w:rsidRPr="004C6CC5" w:rsidRDefault="002B2603" w:rsidP="008D2321">
      <w:pPr>
        <w:spacing w:after="120" w:line="276" w:lineRule="auto"/>
        <w:jc w:val="both"/>
        <w:rPr>
          <w:rFonts w:ascii="Arial" w:hAnsi="Arial" w:cs="Arial"/>
          <w:sz w:val="20"/>
          <w:szCs w:val="20"/>
        </w:rPr>
      </w:pPr>
      <w:r w:rsidRPr="004C6CC5">
        <w:rPr>
          <w:rFonts w:ascii="Arial" w:hAnsi="Arial" w:cs="Arial"/>
          <w:sz w:val="20"/>
          <w:szCs w:val="20"/>
        </w:rPr>
        <w:t>W 2016</w:t>
      </w:r>
      <w:r w:rsidR="009D01B9" w:rsidRPr="004C6CC5">
        <w:rPr>
          <w:rFonts w:ascii="Arial" w:hAnsi="Arial" w:cs="Arial"/>
          <w:sz w:val="20"/>
          <w:szCs w:val="20"/>
        </w:rPr>
        <w:t xml:space="preserve"> r. </w:t>
      </w:r>
      <w:r w:rsidRPr="004C6CC5">
        <w:rPr>
          <w:rFonts w:ascii="Arial" w:hAnsi="Arial" w:cs="Arial"/>
          <w:sz w:val="20"/>
          <w:szCs w:val="20"/>
        </w:rPr>
        <w:t>PERN S.A. zakończył budowę</w:t>
      </w:r>
      <w:r w:rsidR="00357FFA">
        <w:rPr>
          <w:rFonts w:ascii="Arial" w:hAnsi="Arial" w:cs="Arial"/>
          <w:sz w:val="20"/>
          <w:szCs w:val="20"/>
        </w:rPr>
        <w:t xml:space="preserve"> I</w:t>
      </w:r>
      <w:r w:rsidR="004C6CC5">
        <w:rPr>
          <w:rFonts w:ascii="Arial" w:hAnsi="Arial" w:cs="Arial"/>
          <w:sz w:val="20"/>
          <w:szCs w:val="20"/>
        </w:rPr>
        <w:t> </w:t>
      </w:r>
      <w:r w:rsidRPr="004C6CC5">
        <w:rPr>
          <w:rFonts w:ascii="Arial" w:hAnsi="Arial" w:cs="Arial"/>
          <w:sz w:val="20"/>
          <w:szCs w:val="20"/>
        </w:rPr>
        <w:t>etapu Terminalu Naftowego.</w:t>
      </w:r>
      <w:r w:rsidR="009A7B5F">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jego wyniku zbudowane zostało sześć zbiorników na ropę naftową o łącznej pojemności 375 tys. m</w:t>
      </w:r>
      <w:r w:rsidRPr="004C6CC5">
        <w:rPr>
          <w:rFonts w:ascii="Arial" w:hAnsi="Arial" w:cs="Arial"/>
          <w:sz w:val="20"/>
          <w:szCs w:val="20"/>
          <w:vertAlign w:val="superscript"/>
        </w:rPr>
        <w:t>3</w:t>
      </w:r>
      <w:r w:rsidRPr="004C6CC5">
        <w:rPr>
          <w:rFonts w:ascii="Arial" w:hAnsi="Arial" w:cs="Arial"/>
          <w:sz w:val="20"/>
          <w:szCs w:val="20"/>
        </w:rPr>
        <w:t>.</w:t>
      </w:r>
      <w:r w:rsidR="0090735E">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dalszej kolejności realizując strategię firmy</w:t>
      </w:r>
      <w:r w:rsidR="004C6CC5">
        <w:rPr>
          <w:rFonts w:ascii="Arial" w:hAnsi="Arial" w:cs="Arial"/>
          <w:sz w:val="20"/>
          <w:szCs w:val="20"/>
        </w:rPr>
        <w:t xml:space="preserve"> w </w:t>
      </w:r>
      <w:r w:rsidRPr="004C6CC5">
        <w:rPr>
          <w:rFonts w:ascii="Arial" w:hAnsi="Arial" w:cs="Arial"/>
          <w:sz w:val="20"/>
          <w:szCs w:val="20"/>
        </w:rPr>
        <w:t>roku 2016 uruchomiono realizację II etapu</w:t>
      </w:r>
      <w:r w:rsidR="004C6CC5">
        <w:rPr>
          <w:rFonts w:ascii="Arial" w:hAnsi="Arial" w:cs="Arial"/>
          <w:sz w:val="20"/>
          <w:szCs w:val="20"/>
        </w:rPr>
        <w:t xml:space="preserve"> w </w:t>
      </w:r>
      <w:r w:rsidRPr="004C6CC5">
        <w:rPr>
          <w:rFonts w:ascii="Arial" w:hAnsi="Arial" w:cs="Arial"/>
          <w:sz w:val="20"/>
          <w:szCs w:val="20"/>
        </w:rPr>
        <w:t>zakresie budowy kolejnych pojemności magazynowych.</w:t>
      </w:r>
      <w:r w:rsidR="0090735E">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 xml:space="preserve">zakres II etapu TNG wchodzi budowa </w:t>
      </w:r>
      <w:r w:rsidR="0090735E">
        <w:rPr>
          <w:rFonts w:ascii="Arial" w:hAnsi="Arial" w:cs="Arial"/>
          <w:sz w:val="20"/>
          <w:szCs w:val="20"/>
        </w:rPr>
        <w:t xml:space="preserve">trzech </w:t>
      </w:r>
      <w:r w:rsidRPr="004C6CC5">
        <w:rPr>
          <w:rFonts w:ascii="Arial" w:hAnsi="Arial" w:cs="Arial"/>
          <w:sz w:val="20"/>
          <w:szCs w:val="20"/>
        </w:rPr>
        <w:t>zbiorników o pojemności netto 100 tys. m</w:t>
      </w:r>
      <w:r w:rsidRPr="004C6CC5">
        <w:rPr>
          <w:rFonts w:ascii="Arial" w:hAnsi="Arial" w:cs="Arial"/>
          <w:sz w:val="20"/>
          <w:szCs w:val="20"/>
          <w:vertAlign w:val="superscript"/>
        </w:rPr>
        <w:t>3</w:t>
      </w:r>
      <w:r w:rsidRPr="004C6CC5">
        <w:rPr>
          <w:rFonts w:ascii="Arial" w:hAnsi="Arial" w:cs="Arial"/>
          <w:sz w:val="20"/>
          <w:szCs w:val="20"/>
        </w:rPr>
        <w:t xml:space="preserve"> każdy oraz </w:t>
      </w:r>
      <w:r w:rsidR="009F7A82">
        <w:rPr>
          <w:rFonts w:ascii="Arial" w:hAnsi="Arial" w:cs="Arial"/>
          <w:sz w:val="20"/>
          <w:szCs w:val="20"/>
        </w:rPr>
        <w:t>dwóch</w:t>
      </w:r>
      <w:r w:rsidRPr="004C6CC5">
        <w:rPr>
          <w:rFonts w:ascii="Arial" w:hAnsi="Arial" w:cs="Arial"/>
          <w:sz w:val="20"/>
          <w:szCs w:val="20"/>
        </w:rPr>
        <w:t xml:space="preserve"> zbiorników o pojemności netto 45 tys. m</w:t>
      </w:r>
      <w:r w:rsidRPr="004C6CC5">
        <w:rPr>
          <w:rFonts w:ascii="Arial" w:hAnsi="Arial" w:cs="Arial"/>
          <w:sz w:val="20"/>
          <w:szCs w:val="20"/>
          <w:vertAlign w:val="superscript"/>
        </w:rPr>
        <w:t>3</w:t>
      </w:r>
      <w:r w:rsidRPr="004C6CC5">
        <w:rPr>
          <w:rFonts w:ascii="Arial" w:hAnsi="Arial" w:cs="Arial"/>
          <w:sz w:val="20"/>
          <w:szCs w:val="20"/>
        </w:rPr>
        <w:t xml:space="preserve"> każdy. </w:t>
      </w:r>
    </w:p>
    <w:p w14:paraId="14D94C94" w14:textId="067E10C9" w:rsidR="002B2603" w:rsidRPr="004C6CC5" w:rsidRDefault="002B2603" w:rsidP="008D2321">
      <w:pPr>
        <w:spacing w:after="120" w:line="276" w:lineRule="auto"/>
        <w:jc w:val="both"/>
        <w:rPr>
          <w:rFonts w:ascii="Arial" w:hAnsi="Arial" w:cs="Arial"/>
          <w:sz w:val="20"/>
          <w:szCs w:val="20"/>
        </w:rPr>
      </w:pPr>
      <w:r w:rsidRPr="004C6CC5">
        <w:rPr>
          <w:rFonts w:ascii="Arial" w:hAnsi="Arial" w:cs="Arial"/>
          <w:sz w:val="20"/>
          <w:szCs w:val="20"/>
        </w:rPr>
        <w:t>Budowa II etapu Terminalu zwiększy</w:t>
      </w:r>
      <w:r w:rsidR="004C6CC5">
        <w:rPr>
          <w:rFonts w:ascii="Arial" w:hAnsi="Arial" w:cs="Arial"/>
          <w:sz w:val="20"/>
          <w:szCs w:val="20"/>
        </w:rPr>
        <w:t xml:space="preserve"> w </w:t>
      </w:r>
      <w:r w:rsidRPr="004C6CC5">
        <w:rPr>
          <w:rFonts w:ascii="Arial" w:hAnsi="Arial" w:cs="Arial"/>
          <w:sz w:val="20"/>
          <w:szCs w:val="20"/>
        </w:rPr>
        <w:t xml:space="preserve">znaczący sposób możliwość dywersyfikacji dostaw ropy naftowej dla krajowych rafinerii o dodatkowe </w:t>
      </w:r>
      <w:r w:rsidR="005F7A1C" w:rsidRPr="004C6CC5">
        <w:rPr>
          <w:rFonts w:ascii="Arial" w:hAnsi="Arial" w:cs="Arial"/>
          <w:sz w:val="20"/>
          <w:szCs w:val="20"/>
        </w:rPr>
        <w:t>390 m</w:t>
      </w:r>
      <w:r w:rsidR="005F7A1C" w:rsidRPr="004C6CC5">
        <w:rPr>
          <w:rFonts w:ascii="Arial" w:hAnsi="Arial" w:cs="Arial"/>
          <w:sz w:val="20"/>
          <w:szCs w:val="20"/>
          <w:vertAlign w:val="superscript"/>
        </w:rPr>
        <w:t>3</w:t>
      </w:r>
      <w:r w:rsidR="005F7A1C" w:rsidRPr="004C6CC5">
        <w:rPr>
          <w:rFonts w:ascii="Arial" w:hAnsi="Arial" w:cs="Arial"/>
          <w:sz w:val="20"/>
          <w:szCs w:val="20"/>
        </w:rPr>
        <w:t xml:space="preserve">, co pozytywnie wpłynie na bezpieczeństwo dostaw surowca do tychże rafinerii oraz tym samym podniesie bezpieczeństwo energetyczne kraju. Planowany termin przekazania do eksploatacji inwestycji szacowany jest na </w:t>
      </w:r>
      <w:r w:rsidR="0094021E">
        <w:rPr>
          <w:rFonts w:ascii="Arial" w:hAnsi="Arial" w:cs="Arial"/>
          <w:sz w:val="20"/>
          <w:szCs w:val="20"/>
        </w:rPr>
        <w:t>drugie</w:t>
      </w:r>
      <w:r w:rsidR="005F7A1C" w:rsidRPr="004C6CC5">
        <w:rPr>
          <w:rFonts w:ascii="Arial" w:hAnsi="Arial" w:cs="Arial"/>
          <w:sz w:val="20"/>
          <w:szCs w:val="20"/>
        </w:rPr>
        <w:t xml:space="preserve"> półrocze 2020 r.</w:t>
      </w:r>
    </w:p>
    <w:p w14:paraId="6F5B9451" w14:textId="5CB248DA" w:rsidR="005F7A1C" w:rsidRPr="000F468A" w:rsidRDefault="005F7A1C" w:rsidP="003C6ECA">
      <w:pPr>
        <w:pStyle w:val="Akapitzlist"/>
        <w:numPr>
          <w:ilvl w:val="0"/>
          <w:numId w:val="14"/>
        </w:numPr>
        <w:spacing w:after="120" w:line="276" w:lineRule="auto"/>
        <w:jc w:val="both"/>
        <w:rPr>
          <w:rFonts w:ascii="Arial" w:hAnsi="Arial" w:cs="Arial"/>
          <w:b/>
          <w:sz w:val="20"/>
          <w:szCs w:val="20"/>
        </w:rPr>
      </w:pPr>
      <w:r w:rsidRPr="000F468A">
        <w:rPr>
          <w:rFonts w:ascii="Arial" w:hAnsi="Arial" w:cs="Arial"/>
          <w:b/>
          <w:sz w:val="20"/>
          <w:szCs w:val="20"/>
        </w:rPr>
        <w:t>Rozbudowa parku zbiornikowego</w:t>
      </w:r>
      <w:r w:rsidR="004C6CC5">
        <w:rPr>
          <w:rFonts w:ascii="Arial" w:hAnsi="Arial" w:cs="Arial"/>
          <w:b/>
          <w:sz w:val="20"/>
          <w:szCs w:val="20"/>
        </w:rPr>
        <w:t xml:space="preserve"> w </w:t>
      </w:r>
      <w:r w:rsidRPr="000F468A">
        <w:rPr>
          <w:rFonts w:ascii="Arial" w:hAnsi="Arial" w:cs="Arial"/>
          <w:b/>
          <w:sz w:val="20"/>
          <w:szCs w:val="20"/>
        </w:rPr>
        <w:t>Bazie Gdańsk</w:t>
      </w:r>
    </w:p>
    <w:p w14:paraId="01FA4431" w14:textId="184E7BEC" w:rsidR="0077537E" w:rsidRDefault="005F7A1C" w:rsidP="008D2321">
      <w:pPr>
        <w:spacing w:after="120" w:line="276" w:lineRule="auto"/>
        <w:jc w:val="both"/>
        <w:rPr>
          <w:rFonts w:ascii="Arial" w:hAnsi="Arial" w:cs="Arial"/>
          <w:sz w:val="20"/>
          <w:szCs w:val="20"/>
        </w:rPr>
      </w:pPr>
      <w:r w:rsidRPr="004C6CC5">
        <w:rPr>
          <w:rFonts w:ascii="Arial" w:hAnsi="Arial" w:cs="Arial"/>
          <w:sz w:val="20"/>
          <w:szCs w:val="20"/>
        </w:rPr>
        <w:t>Projekt obejmuje wybudowanie dwóch zbiorników magazynowych na ropę naftową o pojemności 100 tys. m</w:t>
      </w:r>
      <w:r w:rsidRPr="004C6CC5">
        <w:rPr>
          <w:rFonts w:ascii="Arial" w:hAnsi="Arial" w:cs="Arial"/>
          <w:sz w:val="20"/>
          <w:szCs w:val="20"/>
          <w:vertAlign w:val="superscript"/>
        </w:rPr>
        <w:t>3</w:t>
      </w:r>
      <w:r w:rsidRPr="004C6CC5">
        <w:rPr>
          <w:rFonts w:ascii="Arial" w:hAnsi="Arial" w:cs="Arial"/>
          <w:sz w:val="20"/>
          <w:szCs w:val="20"/>
        </w:rPr>
        <w:t xml:space="preserve"> każdy wraz</w:t>
      </w:r>
      <w:r w:rsidR="004C6CC5">
        <w:rPr>
          <w:rFonts w:ascii="Arial" w:hAnsi="Arial" w:cs="Arial"/>
          <w:sz w:val="20"/>
          <w:szCs w:val="20"/>
        </w:rPr>
        <w:t xml:space="preserve"> z </w:t>
      </w:r>
      <w:r w:rsidRPr="004C6CC5">
        <w:rPr>
          <w:rFonts w:ascii="Arial" w:hAnsi="Arial" w:cs="Arial"/>
          <w:sz w:val="20"/>
          <w:szCs w:val="20"/>
        </w:rPr>
        <w:t>infrastrukturą towarzyszącą niezbędną do ich eksploatacji. Realizacja projektu</w:t>
      </w:r>
      <w:r w:rsidR="002F0D24">
        <w:rPr>
          <w:rFonts w:ascii="Arial" w:hAnsi="Arial" w:cs="Arial"/>
          <w:sz w:val="20"/>
          <w:szCs w:val="20"/>
        </w:rPr>
        <w:t>,</w:t>
      </w:r>
      <w:r w:rsidRPr="004C6CC5">
        <w:rPr>
          <w:rFonts w:ascii="Arial" w:hAnsi="Arial" w:cs="Arial"/>
          <w:sz w:val="20"/>
          <w:szCs w:val="20"/>
        </w:rPr>
        <w:t xml:space="preserve"> </w:t>
      </w:r>
      <w:r w:rsidR="000F4170">
        <w:rPr>
          <w:rFonts w:ascii="Arial" w:hAnsi="Arial" w:cs="Arial"/>
          <w:sz w:val="20"/>
          <w:szCs w:val="20"/>
        </w:rPr>
        <w:br/>
      </w:r>
      <w:r w:rsidRPr="004C6CC5">
        <w:rPr>
          <w:rFonts w:ascii="Arial" w:hAnsi="Arial" w:cs="Arial"/>
          <w:sz w:val="20"/>
          <w:szCs w:val="20"/>
        </w:rPr>
        <w:t>tj. rozbudowa pojemności magazynowej na ropę naftową</w:t>
      </w:r>
      <w:r w:rsidR="00DE535E">
        <w:rPr>
          <w:rFonts w:ascii="Arial" w:hAnsi="Arial" w:cs="Arial"/>
          <w:sz w:val="20"/>
          <w:szCs w:val="20"/>
        </w:rPr>
        <w:t xml:space="preserve"> w </w:t>
      </w:r>
      <w:r w:rsidRPr="004C6CC5">
        <w:rPr>
          <w:rFonts w:ascii="Arial" w:hAnsi="Arial" w:cs="Arial"/>
          <w:sz w:val="20"/>
          <w:szCs w:val="20"/>
        </w:rPr>
        <w:t>Bazie Gdańsk wspiera możliwości dywersyfikacji dostaw</w:t>
      </w:r>
      <w:r w:rsidR="004C6CC5">
        <w:rPr>
          <w:rFonts w:ascii="Arial" w:hAnsi="Arial" w:cs="Arial"/>
          <w:sz w:val="20"/>
          <w:szCs w:val="20"/>
        </w:rPr>
        <w:t xml:space="preserve"> z </w:t>
      </w:r>
      <w:r w:rsidRPr="004C6CC5">
        <w:rPr>
          <w:rFonts w:ascii="Arial" w:hAnsi="Arial" w:cs="Arial"/>
          <w:sz w:val="20"/>
          <w:szCs w:val="20"/>
        </w:rPr>
        <w:t>innych źródeł niż dostawy</w:t>
      </w:r>
      <w:r w:rsidR="004C6CC5">
        <w:rPr>
          <w:rFonts w:ascii="Arial" w:hAnsi="Arial" w:cs="Arial"/>
          <w:sz w:val="20"/>
          <w:szCs w:val="20"/>
        </w:rPr>
        <w:t xml:space="preserve"> z </w:t>
      </w:r>
      <w:r w:rsidRPr="004C6CC5">
        <w:rPr>
          <w:rFonts w:ascii="Arial" w:hAnsi="Arial" w:cs="Arial"/>
          <w:sz w:val="20"/>
          <w:szCs w:val="20"/>
        </w:rPr>
        <w:t>rurociągami ropy naftowej. Na odcinku wschodnim powiązanie inwestycji</w:t>
      </w:r>
      <w:r w:rsidR="004C6CC5">
        <w:rPr>
          <w:rFonts w:ascii="Arial" w:hAnsi="Arial" w:cs="Arial"/>
          <w:sz w:val="20"/>
          <w:szCs w:val="20"/>
        </w:rPr>
        <w:t xml:space="preserve"> z </w:t>
      </w:r>
      <w:r w:rsidRPr="004C6CC5">
        <w:rPr>
          <w:rFonts w:ascii="Arial" w:hAnsi="Arial" w:cs="Arial"/>
          <w:sz w:val="20"/>
          <w:szCs w:val="20"/>
        </w:rPr>
        <w:t>projektem budowy II nitki rurociągu Gdańsk</w:t>
      </w:r>
      <w:r w:rsidR="00DE535E">
        <w:rPr>
          <w:rFonts w:ascii="Arial" w:hAnsi="Arial" w:cs="Arial"/>
          <w:sz w:val="20"/>
          <w:szCs w:val="20"/>
        </w:rPr>
        <w:t xml:space="preserve"> </w:t>
      </w:r>
      <w:r w:rsidRPr="004C6CC5">
        <w:rPr>
          <w:rFonts w:ascii="Arial" w:hAnsi="Arial" w:cs="Arial"/>
          <w:sz w:val="20"/>
          <w:szCs w:val="20"/>
        </w:rPr>
        <w:t>-</w:t>
      </w:r>
      <w:r w:rsidR="00DE535E">
        <w:rPr>
          <w:rFonts w:ascii="Arial" w:hAnsi="Arial" w:cs="Arial"/>
          <w:sz w:val="20"/>
          <w:szCs w:val="20"/>
        </w:rPr>
        <w:t xml:space="preserve"> </w:t>
      </w:r>
      <w:r w:rsidRPr="004C6CC5">
        <w:rPr>
          <w:rFonts w:ascii="Arial" w:hAnsi="Arial" w:cs="Arial"/>
          <w:sz w:val="20"/>
          <w:szCs w:val="20"/>
        </w:rPr>
        <w:t>Płock znacznie wpłynie na możliwość tzw. separacji różnych gatunków ropy dostarczanej do Naftoportu. Przewidywany termin oddania do eksploatacji inwestycji to</w:t>
      </w:r>
      <w:r w:rsidR="005E6C0D">
        <w:rPr>
          <w:rFonts w:ascii="Arial" w:hAnsi="Arial" w:cs="Arial"/>
          <w:sz w:val="20"/>
          <w:szCs w:val="20"/>
        </w:rPr>
        <w:t xml:space="preserve"> </w:t>
      </w:r>
      <w:r w:rsidR="00A6472B">
        <w:rPr>
          <w:rFonts w:ascii="Arial" w:hAnsi="Arial" w:cs="Arial"/>
          <w:sz w:val="20"/>
          <w:szCs w:val="20"/>
        </w:rPr>
        <w:t>pierwsze</w:t>
      </w:r>
      <w:r w:rsidR="004C6CC5">
        <w:rPr>
          <w:rFonts w:ascii="Arial" w:hAnsi="Arial" w:cs="Arial"/>
          <w:sz w:val="20"/>
          <w:szCs w:val="20"/>
        </w:rPr>
        <w:t> </w:t>
      </w:r>
      <w:r w:rsidR="00A6472B">
        <w:rPr>
          <w:rFonts w:ascii="Arial" w:hAnsi="Arial" w:cs="Arial"/>
          <w:sz w:val="20"/>
          <w:szCs w:val="20"/>
        </w:rPr>
        <w:t>półrocze 2020 r.</w:t>
      </w:r>
    </w:p>
    <w:p w14:paraId="69E62B59" w14:textId="4629662E" w:rsidR="000773A5" w:rsidRPr="00723697" w:rsidRDefault="00DA373C" w:rsidP="00723697">
      <w:pPr>
        <w:pStyle w:val="Nagwek1"/>
        <w:spacing w:before="120" w:after="120"/>
        <w:rPr>
          <w:rFonts w:ascii="Arial" w:hAnsi="Arial" w:cs="Arial"/>
          <w:b/>
          <w:color w:val="auto"/>
          <w:sz w:val="20"/>
          <w:szCs w:val="20"/>
        </w:rPr>
      </w:pPr>
      <w:bookmarkStart w:id="51" w:name="_Toc72745063"/>
      <w:r w:rsidRPr="00723697">
        <w:rPr>
          <w:rFonts w:ascii="Arial" w:hAnsi="Arial" w:cs="Arial"/>
          <w:b/>
          <w:color w:val="auto"/>
          <w:sz w:val="20"/>
          <w:szCs w:val="20"/>
        </w:rPr>
        <w:t xml:space="preserve">RACJONALNE </w:t>
      </w:r>
      <w:r w:rsidR="004A0625" w:rsidRPr="00723697">
        <w:rPr>
          <w:rFonts w:ascii="Arial" w:hAnsi="Arial" w:cs="Arial"/>
          <w:b/>
          <w:color w:val="auto"/>
          <w:sz w:val="20"/>
          <w:szCs w:val="20"/>
        </w:rPr>
        <w:t>KORZYSTANIE</w:t>
      </w:r>
      <w:r w:rsidR="00853F5E" w:rsidRPr="00723697">
        <w:rPr>
          <w:rFonts w:ascii="Arial" w:hAnsi="Arial" w:cs="Arial"/>
          <w:b/>
          <w:color w:val="auto"/>
          <w:sz w:val="20"/>
          <w:szCs w:val="20"/>
        </w:rPr>
        <w:t xml:space="preserve"> </w:t>
      </w:r>
      <w:r w:rsidRPr="00723697">
        <w:rPr>
          <w:rFonts w:ascii="Arial" w:hAnsi="Arial" w:cs="Arial"/>
          <w:b/>
          <w:color w:val="auto"/>
          <w:sz w:val="20"/>
          <w:szCs w:val="20"/>
        </w:rPr>
        <w:t xml:space="preserve">Z </w:t>
      </w:r>
      <w:r w:rsidR="004A0625" w:rsidRPr="00723697">
        <w:rPr>
          <w:rFonts w:ascii="Arial" w:hAnsi="Arial" w:cs="Arial"/>
          <w:b/>
          <w:color w:val="auto"/>
          <w:sz w:val="20"/>
          <w:szCs w:val="20"/>
        </w:rPr>
        <w:t>ZASOBÓW NATURALNYCH ŚRODOWISKA MORSKIEGO</w:t>
      </w:r>
      <w:r w:rsidR="00047BCD">
        <w:rPr>
          <w:rFonts w:ascii="Arial" w:hAnsi="Arial" w:cs="Arial"/>
          <w:b/>
          <w:color w:val="auto"/>
          <w:sz w:val="20"/>
          <w:szCs w:val="20"/>
        </w:rPr>
        <w:t>.</w:t>
      </w:r>
      <w:bookmarkEnd w:id="51"/>
    </w:p>
    <w:p w14:paraId="1ECC28B9" w14:textId="70F08469" w:rsidR="00C77CF5" w:rsidRPr="00C77CF5" w:rsidRDefault="00FE47B9" w:rsidP="00C77CF5">
      <w:pPr>
        <w:spacing w:after="120" w:line="276" w:lineRule="auto"/>
        <w:jc w:val="both"/>
        <w:rPr>
          <w:rFonts w:ascii="Arial" w:hAnsi="Arial" w:cs="Arial"/>
          <w:bCs/>
          <w:sz w:val="20"/>
          <w:szCs w:val="20"/>
        </w:rPr>
      </w:pPr>
      <w:r>
        <w:rPr>
          <w:rFonts w:ascii="Arial" w:hAnsi="Arial" w:cs="Arial"/>
          <w:bCs/>
          <w:sz w:val="20"/>
          <w:szCs w:val="20"/>
        </w:rPr>
        <w:t xml:space="preserve">W 2019 r. </w:t>
      </w:r>
      <w:r w:rsidR="00C7787E">
        <w:rPr>
          <w:rFonts w:ascii="Arial" w:hAnsi="Arial" w:cs="Arial"/>
          <w:bCs/>
          <w:sz w:val="20"/>
          <w:szCs w:val="20"/>
        </w:rPr>
        <w:t>Ministerstwo Środowiska/</w:t>
      </w:r>
      <w:r w:rsidR="00C77CF5" w:rsidRPr="00C77CF5">
        <w:rPr>
          <w:rFonts w:ascii="Arial" w:hAnsi="Arial" w:cs="Arial"/>
          <w:bCs/>
          <w:sz w:val="20"/>
          <w:szCs w:val="20"/>
        </w:rPr>
        <w:t>M</w:t>
      </w:r>
      <w:r w:rsidR="00C77CF5">
        <w:rPr>
          <w:rFonts w:ascii="Arial" w:hAnsi="Arial" w:cs="Arial"/>
          <w:bCs/>
          <w:sz w:val="20"/>
          <w:szCs w:val="20"/>
        </w:rPr>
        <w:t xml:space="preserve">inisterstwo </w:t>
      </w:r>
      <w:r w:rsidR="00C77CF5" w:rsidRPr="00C77CF5">
        <w:rPr>
          <w:rFonts w:ascii="Arial" w:hAnsi="Arial" w:cs="Arial"/>
          <w:bCs/>
          <w:sz w:val="20"/>
          <w:szCs w:val="20"/>
        </w:rPr>
        <w:t>K</w:t>
      </w:r>
      <w:r w:rsidR="00C77CF5">
        <w:rPr>
          <w:rFonts w:ascii="Arial" w:hAnsi="Arial" w:cs="Arial"/>
          <w:bCs/>
          <w:sz w:val="20"/>
          <w:szCs w:val="20"/>
        </w:rPr>
        <w:t>limatu</w:t>
      </w:r>
      <w:r w:rsidR="00C77CF5" w:rsidRPr="00C77CF5">
        <w:rPr>
          <w:rFonts w:ascii="Arial" w:hAnsi="Arial" w:cs="Arial"/>
          <w:bCs/>
          <w:sz w:val="20"/>
          <w:szCs w:val="20"/>
        </w:rPr>
        <w:t xml:space="preserve"> </w:t>
      </w:r>
      <w:r>
        <w:rPr>
          <w:rFonts w:ascii="Arial" w:hAnsi="Arial" w:cs="Arial"/>
          <w:bCs/>
          <w:sz w:val="20"/>
          <w:szCs w:val="20"/>
        </w:rPr>
        <w:t>prowadziło prace związane z</w:t>
      </w:r>
      <w:r w:rsidR="00C77CF5" w:rsidRPr="00C77CF5">
        <w:rPr>
          <w:rFonts w:ascii="Arial" w:hAnsi="Arial" w:cs="Arial"/>
          <w:bCs/>
          <w:sz w:val="20"/>
          <w:szCs w:val="20"/>
        </w:rPr>
        <w:t xml:space="preserve"> realizacją „Programu Rozpo</w:t>
      </w:r>
      <w:r w:rsidR="00C77CF5">
        <w:rPr>
          <w:rFonts w:ascii="Arial" w:hAnsi="Arial" w:cs="Arial"/>
          <w:bCs/>
          <w:sz w:val="20"/>
          <w:szCs w:val="20"/>
        </w:rPr>
        <w:t xml:space="preserve">znania Geologicznego Oceanów” </w:t>
      </w:r>
      <w:r w:rsidR="002008EE">
        <w:rPr>
          <w:rFonts w:ascii="Arial" w:hAnsi="Arial" w:cs="Arial"/>
          <w:bCs/>
          <w:sz w:val="20"/>
          <w:szCs w:val="20"/>
        </w:rPr>
        <w:t>-</w:t>
      </w:r>
      <w:r w:rsidR="00C77CF5">
        <w:rPr>
          <w:rFonts w:ascii="Arial" w:hAnsi="Arial" w:cs="Arial"/>
          <w:bCs/>
          <w:sz w:val="20"/>
          <w:szCs w:val="20"/>
        </w:rPr>
        <w:t xml:space="preserve"> </w:t>
      </w:r>
      <w:r w:rsidR="00C77CF5" w:rsidRPr="00C77CF5">
        <w:rPr>
          <w:rFonts w:ascii="Arial" w:hAnsi="Arial" w:cs="Arial"/>
          <w:bCs/>
          <w:sz w:val="20"/>
          <w:szCs w:val="20"/>
        </w:rPr>
        <w:t>PRoGeO,</w:t>
      </w:r>
      <w:r w:rsidR="00C77CF5">
        <w:rPr>
          <w:rFonts w:ascii="Arial" w:hAnsi="Arial" w:cs="Arial"/>
          <w:bCs/>
          <w:sz w:val="20"/>
          <w:szCs w:val="20"/>
        </w:rPr>
        <w:t xml:space="preserve"> </w:t>
      </w:r>
      <w:r w:rsidR="00C77CF5" w:rsidRPr="00C77CF5">
        <w:rPr>
          <w:rFonts w:ascii="Arial" w:hAnsi="Arial" w:cs="Arial"/>
          <w:bCs/>
          <w:sz w:val="20"/>
          <w:szCs w:val="20"/>
        </w:rPr>
        <w:t>a także Umowy w sprawie eksploracji siarczków polimetalicznych pomiędzy Ministrem Środowiska RP</w:t>
      </w:r>
      <w:r w:rsidR="00C77CF5">
        <w:rPr>
          <w:rFonts w:ascii="Arial" w:hAnsi="Arial" w:cs="Arial"/>
          <w:bCs/>
          <w:sz w:val="20"/>
          <w:szCs w:val="20"/>
        </w:rPr>
        <w:t xml:space="preserve"> </w:t>
      </w:r>
      <w:r w:rsidR="00C77CF5" w:rsidRPr="00C77CF5">
        <w:rPr>
          <w:rFonts w:ascii="Arial" w:hAnsi="Arial" w:cs="Arial"/>
          <w:bCs/>
          <w:sz w:val="20"/>
          <w:szCs w:val="20"/>
        </w:rPr>
        <w:t>a Międzynarodową Organizacją Dna Mo</w:t>
      </w:r>
      <w:r w:rsidR="005C76C8">
        <w:rPr>
          <w:rFonts w:ascii="Arial" w:hAnsi="Arial" w:cs="Arial"/>
          <w:bCs/>
          <w:sz w:val="20"/>
          <w:szCs w:val="20"/>
        </w:rPr>
        <w:t>rskiego (MODM). Polscy delegaci</w:t>
      </w:r>
      <w:r w:rsidR="00C77CF5" w:rsidRPr="00C77CF5">
        <w:rPr>
          <w:rFonts w:ascii="Arial" w:hAnsi="Arial" w:cs="Arial"/>
          <w:bCs/>
          <w:sz w:val="20"/>
          <w:szCs w:val="20"/>
        </w:rPr>
        <w:t xml:space="preserve"> uczestniczyli w dwóch</w:t>
      </w:r>
      <w:r w:rsidR="00C77CF5">
        <w:rPr>
          <w:rFonts w:ascii="Arial" w:hAnsi="Arial" w:cs="Arial"/>
          <w:bCs/>
          <w:sz w:val="20"/>
          <w:szCs w:val="20"/>
        </w:rPr>
        <w:t xml:space="preserve"> </w:t>
      </w:r>
      <w:r w:rsidR="00C77CF5" w:rsidRPr="00C77CF5">
        <w:rPr>
          <w:rFonts w:ascii="Arial" w:hAnsi="Arial" w:cs="Arial"/>
          <w:bCs/>
          <w:sz w:val="20"/>
          <w:szCs w:val="20"/>
        </w:rPr>
        <w:t>częściach 25. sesji MODM, współpracując na arenie międzynarodowej m.in. w zakresie opracowania</w:t>
      </w:r>
      <w:r w:rsidR="00C77CF5">
        <w:rPr>
          <w:rFonts w:ascii="Arial" w:hAnsi="Arial" w:cs="Arial"/>
          <w:bCs/>
          <w:sz w:val="20"/>
          <w:szCs w:val="20"/>
        </w:rPr>
        <w:t xml:space="preserve"> </w:t>
      </w:r>
      <w:r w:rsidR="00C77CF5" w:rsidRPr="00C77CF5">
        <w:rPr>
          <w:rFonts w:ascii="Arial" w:hAnsi="Arial" w:cs="Arial"/>
          <w:bCs/>
          <w:sz w:val="20"/>
          <w:szCs w:val="20"/>
        </w:rPr>
        <w:t>regulacji wydobywczych (</w:t>
      </w:r>
      <w:r w:rsidR="00C77CF5" w:rsidRPr="00EC0969">
        <w:rPr>
          <w:rFonts w:ascii="Arial" w:hAnsi="Arial" w:cs="Arial"/>
          <w:bCs/>
          <w:iCs/>
          <w:sz w:val="20"/>
          <w:szCs w:val="20"/>
        </w:rPr>
        <w:t>Mining Code</w:t>
      </w:r>
      <w:r w:rsidR="00C77CF5" w:rsidRPr="00C77CF5">
        <w:rPr>
          <w:rFonts w:ascii="Arial" w:hAnsi="Arial" w:cs="Arial"/>
          <w:bCs/>
          <w:sz w:val="20"/>
          <w:szCs w:val="20"/>
        </w:rPr>
        <w:t>).</w:t>
      </w:r>
    </w:p>
    <w:p w14:paraId="1F92A7B5" w14:textId="6E539181" w:rsidR="00C77CF5" w:rsidRPr="00C77CF5" w:rsidRDefault="00C77CF5" w:rsidP="00C77CF5">
      <w:pPr>
        <w:spacing w:after="120" w:line="276" w:lineRule="auto"/>
        <w:jc w:val="both"/>
        <w:rPr>
          <w:rFonts w:ascii="Arial" w:hAnsi="Arial" w:cs="Arial"/>
          <w:bCs/>
          <w:sz w:val="20"/>
          <w:szCs w:val="20"/>
        </w:rPr>
      </w:pPr>
      <w:r w:rsidRPr="00C77CF5">
        <w:rPr>
          <w:rFonts w:ascii="Arial" w:hAnsi="Arial" w:cs="Arial"/>
          <w:bCs/>
          <w:sz w:val="20"/>
          <w:szCs w:val="20"/>
        </w:rPr>
        <w:t xml:space="preserve">W 2019 r. </w:t>
      </w:r>
      <w:r w:rsidR="000A2C61" w:rsidRPr="000A2C61">
        <w:rPr>
          <w:rFonts w:ascii="Arial" w:hAnsi="Arial" w:cs="Arial"/>
          <w:bCs/>
          <w:sz w:val="20"/>
          <w:szCs w:val="20"/>
        </w:rPr>
        <w:t>Ministerstwo Środowiska/Ministerstwo Klimatu</w:t>
      </w:r>
      <w:r w:rsidRPr="00C77CF5">
        <w:rPr>
          <w:rFonts w:ascii="Arial" w:hAnsi="Arial" w:cs="Arial"/>
          <w:bCs/>
          <w:sz w:val="20"/>
          <w:szCs w:val="20"/>
        </w:rPr>
        <w:t xml:space="preserve"> uczestniczyło w opiniowaniu projektów decyzji Ministra Gospodarki Morskiej i Żeglugi</w:t>
      </w:r>
      <w:r>
        <w:rPr>
          <w:rFonts w:ascii="Arial" w:hAnsi="Arial" w:cs="Arial"/>
          <w:bCs/>
          <w:sz w:val="20"/>
          <w:szCs w:val="20"/>
        </w:rPr>
        <w:t xml:space="preserve"> </w:t>
      </w:r>
      <w:r w:rsidRPr="00C77CF5">
        <w:rPr>
          <w:rFonts w:ascii="Arial" w:hAnsi="Arial" w:cs="Arial"/>
          <w:bCs/>
          <w:sz w:val="20"/>
          <w:szCs w:val="20"/>
        </w:rPr>
        <w:t>Śródlądowej o pozwolenie na prowadzenie badań naukowych na polskich obszarach morskich przez</w:t>
      </w:r>
      <w:r>
        <w:rPr>
          <w:rFonts w:ascii="Arial" w:hAnsi="Arial" w:cs="Arial"/>
          <w:bCs/>
          <w:sz w:val="20"/>
          <w:szCs w:val="20"/>
        </w:rPr>
        <w:t xml:space="preserve"> </w:t>
      </w:r>
      <w:r w:rsidRPr="00C77CF5">
        <w:rPr>
          <w:rFonts w:ascii="Arial" w:hAnsi="Arial" w:cs="Arial"/>
          <w:bCs/>
          <w:sz w:val="20"/>
          <w:szCs w:val="20"/>
        </w:rPr>
        <w:t>obce państwa (zgodnie z art. 28 ust. 1 ustawy z dnia 21 marca 1991 r. o obszarach morskich</w:t>
      </w:r>
      <w:r>
        <w:rPr>
          <w:rFonts w:ascii="Arial" w:hAnsi="Arial" w:cs="Arial"/>
          <w:bCs/>
          <w:sz w:val="20"/>
          <w:szCs w:val="20"/>
        </w:rPr>
        <w:t xml:space="preserve"> </w:t>
      </w:r>
      <w:r w:rsidRPr="00C77CF5">
        <w:rPr>
          <w:rFonts w:ascii="Arial" w:hAnsi="Arial" w:cs="Arial"/>
          <w:bCs/>
          <w:sz w:val="20"/>
          <w:szCs w:val="20"/>
        </w:rPr>
        <w:t>Rzeczypospolitej Polskiej i administracji morskiej). Dodatkowo, w dwóch rejsach badawczych brali</w:t>
      </w:r>
      <w:r>
        <w:rPr>
          <w:rFonts w:ascii="Arial" w:hAnsi="Arial" w:cs="Arial"/>
          <w:bCs/>
          <w:sz w:val="20"/>
          <w:szCs w:val="20"/>
        </w:rPr>
        <w:t xml:space="preserve"> </w:t>
      </w:r>
      <w:r w:rsidRPr="00C77CF5">
        <w:rPr>
          <w:rFonts w:ascii="Arial" w:hAnsi="Arial" w:cs="Arial"/>
          <w:bCs/>
          <w:sz w:val="20"/>
          <w:szCs w:val="20"/>
        </w:rPr>
        <w:t>udział przedstawiciele wyznaczeni przez Ministra Środowiska/Klimatu. Efektem ich pobytu na statkach</w:t>
      </w:r>
      <w:r>
        <w:rPr>
          <w:rFonts w:ascii="Arial" w:hAnsi="Arial" w:cs="Arial"/>
          <w:bCs/>
          <w:sz w:val="20"/>
          <w:szCs w:val="20"/>
        </w:rPr>
        <w:t xml:space="preserve"> </w:t>
      </w:r>
      <w:r w:rsidRPr="00C77CF5">
        <w:rPr>
          <w:rFonts w:ascii="Arial" w:hAnsi="Arial" w:cs="Arial"/>
          <w:bCs/>
          <w:sz w:val="20"/>
          <w:szCs w:val="20"/>
        </w:rPr>
        <w:t>podczas rejsów badawczych są przekazane do MGMiŻŚ sprawozdania.</w:t>
      </w:r>
    </w:p>
    <w:p w14:paraId="4D12A1B3" w14:textId="7AACF614" w:rsidR="00C77CF5" w:rsidRPr="00C77CF5" w:rsidRDefault="00C77CF5" w:rsidP="00C77CF5">
      <w:pPr>
        <w:spacing w:after="120" w:line="276" w:lineRule="auto"/>
        <w:jc w:val="both"/>
        <w:rPr>
          <w:rFonts w:ascii="Arial" w:hAnsi="Arial" w:cs="Arial"/>
          <w:bCs/>
          <w:sz w:val="20"/>
          <w:szCs w:val="20"/>
        </w:rPr>
      </w:pPr>
      <w:r w:rsidRPr="00C77CF5">
        <w:rPr>
          <w:rFonts w:ascii="Arial" w:hAnsi="Arial" w:cs="Arial"/>
          <w:bCs/>
          <w:sz w:val="20"/>
          <w:szCs w:val="20"/>
        </w:rPr>
        <w:t xml:space="preserve">W 2019 r. na polskich obszarach morskich zostały zatwierdzone </w:t>
      </w:r>
      <w:r w:rsidR="00DE001E">
        <w:rPr>
          <w:rFonts w:ascii="Arial" w:hAnsi="Arial" w:cs="Arial"/>
          <w:bCs/>
          <w:sz w:val="20"/>
          <w:szCs w:val="20"/>
        </w:rPr>
        <w:t>dwie</w:t>
      </w:r>
      <w:r w:rsidRPr="00C77CF5">
        <w:rPr>
          <w:rFonts w:ascii="Arial" w:hAnsi="Arial" w:cs="Arial"/>
          <w:bCs/>
          <w:sz w:val="20"/>
          <w:szCs w:val="20"/>
        </w:rPr>
        <w:t xml:space="preserve"> dokumentacje</w:t>
      </w:r>
      <w:r>
        <w:rPr>
          <w:rFonts w:ascii="Arial" w:hAnsi="Arial" w:cs="Arial"/>
          <w:bCs/>
          <w:sz w:val="20"/>
          <w:szCs w:val="20"/>
        </w:rPr>
        <w:t xml:space="preserve"> </w:t>
      </w:r>
      <w:r w:rsidRPr="00C77CF5">
        <w:rPr>
          <w:rFonts w:ascii="Arial" w:hAnsi="Arial" w:cs="Arial"/>
          <w:bCs/>
          <w:sz w:val="20"/>
          <w:szCs w:val="20"/>
        </w:rPr>
        <w:t>geologiczno</w:t>
      </w:r>
      <w:r w:rsidR="00DE001E">
        <w:rPr>
          <w:rFonts w:ascii="Arial" w:hAnsi="Arial" w:cs="Arial"/>
          <w:bCs/>
          <w:sz w:val="20"/>
          <w:szCs w:val="20"/>
        </w:rPr>
        <w:t>-</w:t>
      </w:r>
      <w:r w:rsidRPr="00C77CF5">
        <w:rPr>
          <w:rFonts w:ascii="Arial" w:hAnsi="Arial" w:cs="Arial"/>
          <w:bCs/>
          <w:sz w:val="20"/>
          <w:szCs w:val="20"/>
        </w:rPr>
        <w:t>inwestycyjne złóż gazu</w:t>
      </w:r>
      <w:r w:rsidR="00D236CF">
        <w:rPr>
          <w:rFonts w:ascii="Arial" w:hAnsi="Arial" w:cs="Arial"/>
          <w:bCs/>
          <w:sz w:val="20"/>
          <w:szCs w:val="20"/>
        </w:rPr>
        <w:t xml:space="preserve"> ziemnego B-4 i B-6 oraz zostało zmienionych</w:t>
      </w:r>
      <w:r w:rsidRPr="00C77CF5">
        <w:rPr>
          <w:rFonts w:ascii="Arial" w:hAnsi="Arial" w:cs="Arial"/>
          <w:bCs/>
          <w:sz w:val="20"/>
          <w:szCs w:val="20"/>
        </w:rPr>
        <w:t xml:space="preserve"> </w:t>
      </w:r>
      <w:r w:rsidR="00D236CF">
        <w:rPr>
          <w:rFonts w:ascii="Arial" w:hAnsi="Arial" w:cs="Arial"/>
          <w:bCs/>
          <w:sz w:val="20"/>
          <w:szCs w:val="20"/>
        </w:rPr>
        <w:t>sześć koncesji</w:t>
      </w:r>
      <w:r w:rsidRPr="00C77CF5">
        <w:rPr>
          <w:rFonts w:ascii="Arial" w:hAnsi="Arial" w:cs="Arial"/>
          <w:bCs/>
          <w:sz w:val="20"/>
          <w:szCs w:val="20"/>
        </w:rPr>
        <w:t xml:space="preserve"> w zakresie</w:t>
      </w:r>
      <w:r>
        <w:rPr>
          <w:rFonts w:ascii="Arial" w:hAnsi="Arial" w:cs="Arial"/>
          <w:bCs/>
          <w:sz w:val="20"/>
          <w:szCs w:val="20"/>
        </w:rPr>
        <w:t xml:space="preserve"> </w:t>
      </w:r>
      <w:r w:rsidRPr="00C77CF5">
        <w:rPr>
          <w:rFonts w:ascii="Arial" w:hAnsi="Arial" w:cs="Arial"/>
          <w:bCs/>
          <w:sz w:val="20"/>
          <w:szCs w:val="20"/>
        </w:rPr>
        <w:t>dostosowania do wymogów Prawa geologicznego i górniczego.</w:t>
      </w:r>
    </w:p>
    <w:p w14:paraId="3C5E8DC7" w14:textId="173CA06D" w:rsidR="00A2427C" w:rsidRDefault="008C4140" w:rsidP="00C77CF5">
      <w:pPr>
        <w:spacing w:after="120" w:line="276" w:lineRule="auto"/>
        <w:jc w:val="both"/>
        <w:rPr>
          <w:rFonts w:ascii="Arial" w:hAnsi="Arial" w:cs="Arial"/>
          <w:bCs/>
          <w:sz w:val="20"/>
          <w:szCs w:val="20"/>
        </w:rPr>
      </w:pPr>
      <w:r w:rsidRPr="008C4140">
        <w:rPr>
          <w:rFonts w:ascii="Arial" w:hAnsi="Arial" w:cs="Arial"/>
          <w:bCs/>
          <w:sz w:val="20"/>
          <w:szCs w:val="20"/>
        </w:rPr>
        <w:t xml:space="preserve">Ministerstwo Środowiska/Ministerstwo Klimatu </w:t>
      </w:r>
      <w:r w:rsidR="00C77CF5" w:rsidRPr="00C77CF5">
        <w:rPr>
          <w:rFonts w:ascii="Arial" w:hAnsi="Arial" w:cs="Arial"/>
          <w:bCs/>
          <w:sz w:val="20"/>
          <w:szCs w:val="20"/>
        </w:rPr>
        <w:t>w zakresie swoich właściwości jako organu administracji geologicznej</w:t>
      </w:r>
      <w:r w:rsidR="00C77CF5">
        <w:rPr>
          <w:rFonts w:ascii="Arial" w:hAnsi="Arial" w:cs="Arial"/>
          <w:bCs/>
          <w:sz w:val="20"/>
          <w:szCs w:val="20"/>
        </w:rPr>
        <w:t xml:space="preserve"> </w:t>
      </w:r>
      <w:r w:rsidR="00A2427C">
        <w:rPr>
          <w:rFonts w:ascii="Arial" w:hAnsi="Arial" w:cs="Arial"/>
          <w:bCs/>
          <w:sz w:val="20"/>
          <w:szCs w:val="20"/>
        </w:rPr>
        <w:t>realizowało zadania związane z zatwierdzaniem projektów robót geologicznych oraz dokumentacji geologicznych dotyczących obszarów morskich Rzeczypospolitej Polskiej na podstawie ustawy – Prawo geologiczne i górnicze.</w:t>
      </w:r>
      <w:r w:rsidR="00A2427C" w:rsidRPr="00A2427C">
        <w:rPr>
          <w:rFonts w:ascii="Arial" w:hAnsi="Arial" w:cs="Arial"/>
          <w:bCs/>
          <w:sz w:val="20"/>
          <w:szCs w:val="20"/>
        </w:rPr>
        <w:t xml:space="preserve"> </w:t>
      </w:r>
      <w:r w:rsidR="00A2427C" w:rsidRPr="00C77CF5">
        <w:rPr>
          <w:rFonts w:ascii="Arial" w:hAnsi="Arial" w:cs="Arial"/>
          <w:bCs/>
          <w:sz w:val="20"/>
          <w:szCs w:val="20"/>
        </w:rPr>
        <w:t>W tym zakresie</w:t>
      </w:r>
      <w:r w:rsidR="00A2427C">
        <w:rPr>
          <w:rFonts w:ascii="Arial" w:hAnsi="Arial" w:cs="Arial"/>
          <w:bCs/>
          <w:sz w:val="20"/>
          <w:szCs w:val="20"/>
        </w:rPr>
        <w:t xml:space="preserve"> w 2019 r. minister właściwy do spraw środowiska wydał decyzje zatwierdzające m.in. dla takich inwestycji jak:</w:t>
      </w:r>
    </w:p>
    <w:p w14:paraId="0BE32E9F" w14:textId="063AB2D5" w:rsidR="00A2427C" w:rsidRDefault="00A2427C" w:rsidP="00C77CF5">
      <w:pPr>
        <w:spacing w:after="120" w:line="276" w:lineRule="auto"/>
        <w:jc w:val="both"/>
        <w:rPr>
          <w:rFonts w:ascii="Arial" w:hAnsi="Arial" w:cs="Arial"/>
          <w:bCs/>
          <w:sz w:val="20"/>
          <w:szCs w:val="20"/>
        </w:rPr>
      </w:pPr>
      <w:r>
        <w:rPr>
          <w:rFonts w:ascii="Arial" w:hAnsi="Arial" w:cs="Arial"/>
          <w:bCs/>
          <w:sz w:val="20"/>
          <w:szCs w:val="20"/>
        </w:rPr>
        <w:t>- Modernizacja toru wodnego Świnoujście-Szczecin do głębokości 12,5 m;</w:t>
      </w:r>
    </w:p>
    <w:p w14:paraId="14EB3DC5" w14:textId="743304C1" w:rsidR="00A2427C" w:rsidRDefault="00A2427C" w:rsidP="00C77CF5">
      <w:pPr>
        <w:spacing w:after="120" w:line="276" w:lineRule="auto"/>
        <w:jc w:val="both"/>
        <w:rPr>
          <w:rFonts w:ascii="Arial" w:hAnsi="Arial" w:cs="Arial"/>
          <w:bCs/>
          <w:sz w:val="20"/>
          <w:szCs w:val="20"/>
        </w:rPr>
      </w:pPr>
      <w:r>
        <w:rPr>
          <w:rFonts w:ascii="Arial" w:hAnsi="Arial" w:cs="Arial"/>
          <w:bCs/>
          <w:sz w:val="20"/>
          <w:szCs w:val="20"/>
        </w:rPr>
        <w:t>- Badania dna morskiego dla gazociągu podmorskiego B4-B6-Władysławowo;</w:t>
      </w:r>
    </w:p>
    <w:p w14:paraId="644A6123" w14:textId="71C3EF5B" w:rsidR="00A2427C" w:rsidRDefault="00A2427C" w:rsidP="00C77CF5">
      <w:pPr>
        <w:spacing w:after="120" w:line="276" w:lineRule="auto"/>
        <w:jc w:val="both"/>
        <w:rPr>
          <w:rFonts w:ascii="Arial" w:hAnsi="Arial" w:cs="Arial"/>
          <w:bCs/>
          <w:sz w:val="20"/>
          <w:szCs w:val="20"/>
        </w:rPr>
      </w:pPr>
      <w:r>
        <w:rPr>
          <w:rFonts w:ascii="Arial" w:hAnsi="Arial" w:cs="Arial"/>
          <w:bCs/>
          <w:sz w:val="20"/>
          <w:szCs w:val="20"/>
        </w:rPr>
        <w:t>- Pogłębienie toru podejściowego i akwenów wewnętrznych Portu Gdynia;</w:t>
      </w:r>
    </w:p>
    <w:p w14:paraId="76D532EA" w14:textId="33C6D7D7" w:rsidR="00A2427C" w:rsidRDefault="00A2427C" w:rsidP="00C77CF5">
      <w:pPr>
        <w:spacing w:after="120" w:line="276" w:lineRule="auto"/>
        <w:jc w:val="both"/>
        <w:rPr>
          <w:rFonts w:ascii="Arial" w:hAnsi="Arial" w:cs="Arial"/>
          <w:bCs/>
          <w:sz w:val="20"/>
          <w:szCs w:val="20"/>
        </w:rPr>
      </w:pPr>
      <w:r>
        <w:rPr>
          <w:rFonts w:ascii="Arial" w:hAnsi="Arial" w:cs="Arial"/>
          <w:bCs/>
          <w:sz w:val="20"/>
          <w:szCs w:val="20"/>
        </w:rPr>
        <w:t xml:space="preserve">- </w:t>
      </w:r>
      <w:r w:rsidR="004D430A">
        <w:rPr>
          <w:rFonts w:ascii="Arial" w:hAnsi="Arial" w:cs="Arial"/>
          <w:bCs/>
          <w:sz w:val="20"/>
          <w:szCs w:val="20"/>
        </w:rPr>
        <w:t>Budowa nabrzeża statkowego do załadunku, rozładunku i bunkrowania statków w Porcie Zewnętrznym w Świnoujściu;</w:t>
      </w:r>
    </w:p>
    <w:p w14:paraId="6E531231" w14:textId="616785EA" w:rsidR="00DB74AA" w:rsidRDefault="00DB74AA" w:rsidP="00C77CF5">
      <w:pPr>
        <w:spacing w:after="120" w:line="276" w:lineRule="auto"/>
        <w:jc w:val="both"/>
        <w:rPr>
          <w:rFonts w:ascii="Arial" w:hAnsi="Arial" w:cs="Arial"/>
          <w:bCs/>
          <w:sz w:val="20"/>
          <w:szCs w:val="20"/>
        </w:rPr>
      </w:pPr>
      <w:r>
        <w:rPr>
          <w:rFonts w:ascii="Arial" w:hAnsi="Arial" w:cs="Arial"/>
          <w:bCs/>
          <w:sz w:val="20"/>
          <w:szCs w:val="20"/>
        </w:rPr>
        <w:t>- Terminal Paliw PKN ORLEN S.A.;</w:t>
      </w:r>
    </w:p>
    <w:p w14:paraId="5B893C12" w14:textId="43B4DA02" w:rsidR="00DB74AA" w:rsidRDefault="00DB74AA" w:rsidP="00C77CF5">
      <w:pPr>
        <w:spacing w:after="120" w:line="276" w:lineRule="auto"/>
        <w:jc w:val="both"/>
        <w:rPr>
          <w:rFonts w:ascii="Arial" w:hAnsi="Arial" w:cs="Arial"/>
          <w:bCs/>
          <w:sz w:val="20"/>
          <w:szCs w:val="20"/>
        </w:rPr>
      </w:pPr>
      <w:r>
        <w:rPr>
          <w:rFonts w:ascii="Arial" w:hAnsi="Arial" w:cs="Arial"/>
          <w:bCs/>
          <w:sz w:val="20"/>
          <w:szCs w:val="20"/>
        </w:rPr>
        <w:t>- na potrzeby projektu polskiej części gazociągu BALTIC PIPE,</w:t>
      </w:r>
    </w:p>
    <w:p w14:paraId="0C1C580B" w14:textId="5A519A72" w:rsidR="00DB74AA" w:rsidRDefault="00DB74AA" w:rsidP="00C77CF5">
      <w:pPr>
        <w:spacing w:after="120" w:line="276" w:lineRule="auto"/>
        <w:jc w:val="both"/>
        <w:rPr>
          <w:rFonts w:ascii="Arial" w:hAnsi="Arial" w:cs="Arial"/>
          <w:bCs/>
          <w:sz w:val="20"/>
          <w:szCs w:val="20"/>
        </w:rPr>
      </w:pPr>
      <w:r>
        <w:rPr>
          <w:rFonts w:ascii="Arial" w:hAnsi="Arial" w:cs="Arial"/>
          <w:bCs/>
          <w:sz w:val="20"/>
          <w:szCs w:val="20"/>
        </w:rPr>
        <w:lastRenderedPageBreak/>
        <w:t>- planowanego zespołu morskich farm wiatrowych Baltic Power.</w:t>
      </w:r>
    </w:p>
    <w:p w14:paraId="6610581F" w14:textId="04BAEFA4" w:rsidR="00C77CF5" w:rsidRPr="00C77CF5" w:rsidRDefault="00DB03B0" w:rsidP="00C77CF5">
      <w:pPr>
        <w:spacing w:after="120" w:line="276" w:lineRule="auto"/>
        <w:jc w:val="both"/>
        <w:rPr>
          <w:rFonts w:ascii="Arial" w:hAnsi="Arial" w:cs="Arial"/>
          <w:bCs/>
          <w:sz w:val="20"/>
          <w:szCs w:val="20"/>
        </w:rPr>
      </w:pPr>
      <w:r>
        <w:rPr>
          <w:rFonts w:ascii="Arial" w:hAnsi="Arial" w:cs="Arial"/>
          <w:bCs/>
          <w:sz w:val="20"/>
          <w:szCs w:val="20"/>
        </w:rPr>
        <w:t>W</w:t>
      </w:r>
      <w:r w:rsidRPr="00C77CF5">
        <w:rPr>
          <w:rFonts w:ascii="Arial" w:hAnsi="Arial" w:cs="Arial"/>
          <w:bCs/>
          <w:sz w:val="20"/>
          <w:szCs w:val="20"/>
        </w:rPr>
        <w:t xml:space="preserve"> 2019 r. </w:t>
      </w:r>
      <w:r w:rsidR="00A2427C" w:rsidRPr="00C77CF5">
        <w:rPr>
          <w:rFonts w:ascii="Arial" w:hAnsi="Arial" w:cs="Arial"/>
          <w:bCs/>
          <w:sz w:val="20"/>
          <w:szCs w:val="20"/>
        </w:rPr>
        <w:t>M</w:t>
      </w:r>
      <w:r w:rsidR="00A2427C">
        <w:rPr>
          <w:rFonts w:ascii="Arial" w:hAnsi="Arial" w:cs="Arial"/>
          <w:bCs/>
          <w:sz w:val="20"/>
          <w:szCs w:val="20"/>
        </w:rPr>
        <w:t xml:space="preserve">inisterstwo </w:t>
      </w:r>
      <w:r w:rsidR="004A3C96">
        <w:rPr>
          <w:rFonts w:ascii="Arial" w:hAnsi="Arial" w:cs="Arial"/>
          <w:bCs/>
          <w:sz w:val="20"/>
          <w:szCs w:val="20"/>
        </w:rPr>
        <w:t xml:space="preserve">ponadto </w:t>
      </w:r>
      <w:r w:rsidR="00C77CF5" w:rsidRPr="00C77CF5">
        <w:rPr>
          <w:rFonts w:ascii="Arial" w:hAnsi="Arial" w:cs="Arial"/>
          <w:bCs/>
          <w:sz w:val="20"/>
          <w:szCs w:val="20"/>
        </w:rPr>
        <w:t xml:space="preserve">zajmowało się opiniowaniem </w:t>
      </w:r>
      <w:r w:rsidR="00E75908">
        <w:rPr>
          <w:rFonts w:ascii="Arial" w:hAnsi="Arial" w:cs="Arial"/>
          <w:bCs/>
          <w:sz w:val="20"/>
          <w:szCs w:val="20"/>
        </w:rPr>
        <w:t xml:space="preserve">wniosków dotyczących </w:t>
      </w:r>
      <w:r w:rsidR="00C77CF5" w:rsidRPr="00C77CF5">
        <w:rPr>
          <w:rFonts w:ascii="Arial" w:hAnsi="Arial" w:cs="Arial"/>
          <w:bCs/>
          <w:sz w:val="20"/>
          <w:szCs w:val="20"/>
        </w:rPr>
        <w:t>wznoszenia lub wykorzystywania sztucznych wysp, konstrukcji</w:t>
      </w:r>
      <w:r w:rsidR="00C77CF5">
        <w:rPr>
          <w:rFonts w:ascii="Arial" w:hAnsi="Arial" w:cs="Arial"/>
          <w:bCs/>
          <w:sz w:val="20"/>
          <w:szCs w:val="20"/>
        </w:rPr>
        <w:t xml:space="preserve"> </w:t>
      </w:r>
      <w:r w:rsidR="00C77CF5" w:rsidRPr="00C77CF5">
        <w:rPr>
          <w:rFonts w:ascii="Arial" w:hAnsi="Arial" w:cs="Arial"/>
          <w:bCs/>
          <w:sz w:val="20"/>
          <w:szCs w:val="20"/>
        </w:rPr>
        <w:t>i urządzeń oraz kabli lub rurociągów</w:t>
      </w:r>
      <w:r w:rsidR="00835A42">
        <w:rPr>
          <w:rFonts w:ascii="Arial" w:hAnsi="Arial" w:cs="Arial"/>
          <w:bCs/>
          <w:sz w:val="20"/>
          <w:szCs w:val="20"/>
        </w:rPr>
        <w:t xml:space="preserve"> w polskich obszarach morskich, a także </w:t>
      </w:r>
      <w:r w:rsidR="00C77CF5" w:rsidRPr="00C77CF5">
        <w:rPr>
          <w:rFonts w:ascii="Arial" w:hAnsi="Arial" w:cs="Arial"/>
          <w:bCs/>
          <w:sz w:val="20"/>
          <w:szCs w:val="20"/>
        </w:rPr>
        <w:t>opiniowało</w:t>
      </w:r>
      <w:r w:rsidR="00C77CF5">
        <w:rPr>
          <w:rFonts w:ascii="Arial" w:hAnsi="Arial" w:cs="Arial"/>
          <w:bCs/>
          <w:sz w:val="20"/>
          <w:szCs w:val="20"/>
        </w:rPr>
        <w:t xml:space="preserve"> </w:t>
      </w:r>
      <w:r w:rsidR="00C77CF5" w:rsidRPr="00C77CF5">
        <w:rPr>
          <w:rFonts w:ascii="Arial" w:hAnsi="Arial" w:cs="Arial"/>
          <w:bCs/>
          <w:sz w:val="20"/>
          <w:szCs w:val="20"/>
        </w:rPr>
        <w:t xml:space="preserve">posadowienie i wykorzystywanie </w:t>
      </w:r>
      <w:r w:rsidR="00816E5C">
        <w:rPr>
          <w:rFonts w:ascii="Arial" w:hAnsi="Arial" w:cs="Arial"/>
          <w:bCs/>
          <w:sz w:val="20"/>
          <w:szCs w:val="20"/>
        </w:rPr>
        <w:t>ujęt</w:t>
      </w:r>
      <w:r w:rsidR="00CE47B7">
        <w:rPr>
          <w:rFonts w:ascii="Arial" w:hAnsi="Arial" w:cs="Arial"/>
          <w:bCs/>
          <w:sz w:val="20"/>
          <w:szCs w:val="20"/>
        </w:rPr>
        <w:t>ych w P</w:t>
      </w:r>
      <w:r w:rsidR="00C77CF5" w:rsidRPr="00C77CF5">
        <w:rPr>
          <w:rFonts w:ascii="Arial" w:hAnsi="Arial" w:cs="Arial"/>
          <w:bCs/>
          <w:sz w:val="20"/>
          <w:szCs w:val="20"/>
        </w:rPr>
        <w:t>olityce morskiej Rzeczypospolitej Polskiej</w:t>
      </w:r>
      <w:r w:rsidR="00C77CF5">
        <w:rPr>
          <w:rFonts w:ascii="Arial" w:hAnsi="Arial" w:cs="Arial"/>
          <w:bCs/>
          <w:sz w:val="20"/>
          <w:szCs w:val="20"/>
        </w:rPr>
        <w:t xml:space="preserve"> </w:t>
      </w:r>
      <w:r w:rsidR="00C77CF5" w:rsidRPr="00C77CF5">
        <w:rPr>
          <w:rFonts w:ascii="Arial" w:hAnsi="Arial" w:cs="Arial"/>
          <w:bCs/>
          <w:sz w:val="20"/>
          <w:szCs w:val="20"/>
        </w:rPr>
        <w:t xml:space="preserve">morskich farm wiatrowych. </w:t>
      </w:r>
      <w:r w:rsidR="00483461">
        <w:rPr>
          <w:rFonts w:ascii="Arial" w:hAnsi="Arial" w:cs="Arial"/>
          <w:bCs/>
          <w:sz w:val="20"/>
          <w:szCs w:val="20"/>
        </w:rPr>
        <w:t>Ministerstwo</w:t>
      </w:r>
      <w:r w:rsidR="00DE001E" w:rsidRPr="00C77CF5">
        <w:rPr>
          <w:rFonts w:ascii="Arial" w:hAnsi="Arial" w:cs="Arial"/>
          <w:bCs/>
          <w:sz w:val="20"/>
          <w:szCs w:val="20"/>
        </w:rPr>
        <w:t xml:space="preserve"> brało także udział w opracowywaniu projektów morskich planów zagospodarowania</w:t>
      </w:r>
      <w:r w:rsidR="00DE001E">
        <w:rPr>
          <w:rFonts w:ascii="Arial" w:hAnsi="Arial" w:cs="Arial"/>
          <w:bCs/>
          <w:sz w:val="20"/>
          <w:szCs w:val="20"/>
        </w:rPr>
        <w:t xml:space="preserve"> </w:t>
      </w:r>
      <w:r w:rsidR="00DE001E" w:rsidRPr="00C77CF5">
        <w:rPr>
          <w:rFonts w:ascii="Arial" w:hAnsi="Arial" w:cs="Arial"/>
          <w:bCs/>
          <w:sz w:val="20"/>
          <w:szCs w:val="20"/>
        </w:rPr>
        <w:t>przestrzennego Morza Bałtyckiego</w:t>
      </w:r>
      <w:r w:rsidR="00DE001E">
        <w:rPr>
          <w:rFonts w:ascii="Arial" w:hAnsi="Arial" w:cs="Arial"/>
          <w:bCs/>
          <w:sz w:val="20"/>
          <w:szCs w:val="20"/>
        </w:rPr>
        <w:t xml:space="preserve">, </w:t>
      </w:r>
      <w:r w:rsidR="009C51C1">
        <w:rPr>
          <w:rFonts w:ascii="Arial" w:hAnsi="Arial" w:cs="Arial"/>
          <w:bCs/>
          <w:sz w:val="20"/>
          <w:szCs w:val="20"/>
        </w:rPr>
        <w:t>w tym</w:t>
      </w:r>
      <w:r w:rsidR="00DE001E">
        <w:rPr>
          <w:rFonts w:ascii="Arial" w:hAnsi="Arial" w:cs="Arial"/>
          <w:bCs/>
          <w:sz w:val="20"/>
          <w:szCs w:val="20"/>
        </w:rPr>
        <w:t xml:space="preserve"> </w:t>
      </w:r>
      <w:r w:rsidR="00D236CF">
        <w:rPr>
          <w:rFonts w:ascii="Arial" w:hAnsi="Arial" w:cs="Arial"/>
          <w:bCs/>
          <w:sz w:val="20"/>
          <w:szCs w:val="20"/>
        </w:rPr>
        <w:t>uzgadniało</w:t>
      </w:r>
      <w:r w:rsidR="00C77CF5" w:rsidRPr="00C77CF5">
        <w:rPr>
          <w:rFonts w:ascii="Arial" w:hAnsi="Arial" w:cs="Arial"/>
          <w:bCs/>
          <w:sz w:val="20"/>
          <w:szCs w:val="20"/>
        </w:rPr>
        <w:t xml:space="preserve"> projekty morskich planów zagospodarowania</w:t>
      </w:r>
      <w:r w:rsidR="00C77CF5">
        <w:rPr>
          <w:rFonts w:ascii="Arial" w:hAnsi="Arial" w:cs="Arial"/>
          <w:bCs/>
          <w:sz w:val="20"/>
          <w:szCs w:val="20"/>
        </w:rPr>
        <w:t xml:space="preserve"> </w:t>
      </w:r>
      <w:r w:rsidR="00C77CF5" w:rsidRPr="00C77CF5">
        <w:rPr>
          <w:rFonts w:ascii="Arial" w:hAnsi="Arial" w:cs="Arial"/>
          <w:bCs/>
          <w:sz w:val="20"/>
          <w:szCs w:val="20"/>
        </w:rPr>
        <w:t>przestrzen</w:t>
      </w:r>
      <w:r w:rsidR="009C51C1">
        <w:rPr>
          <w:rFonts w:ascii="Arial" w:hAnsi="Arial" w:cs="Arial"/>
          <w:bCs/>
          <w:sz w:val="20"/>
          <w:szCs w:val="20"/>
        </w:rPr>
        <w:t>nego Morza Bałtyckiego, zalewów</w:t>
      </w:r>
      <w:r w:rsidR="00C77CF5" w:rsidRPr="00C77CF5">
        <w:rPr>
          <w:rFonts w:ascii="Arial" w:hAnsi="Arial" w:cs="Arial"/>
          <w:bCs/>
          <w:sz w:val="20"/>
          <w:szCs w:val="20"/>
        </w:rPr>
        <w:t xml:space="preserve"> Szczecińskiego i Kamieńskiego oraz portów</w:t>
      </w:r>
      <w:r w:rsidR="00C77CF5">
        <w:rPr>
          <w:rFonts w:ascii="Arial" w:hAnsi="Arial" w:cs="Arial"/>
          <w:bCs/>
          <w:sz w:val="20"/>
          <w:szCs w:val="20"/>
        </w:rPr>
        <w:t xml:space="preserve"> </w:t>
      </w:r>
      <w:r w:rsidR="009C51C1">
        <w:rPr>
          <w:rFonts w:ascii="Arial" w:hAnsi="Arial" w:cs="Arial"/>
          <w:bCs/>
          <w:sz w:val="20"/>
          <w:szCs w:val="20"/>
        </w:rPr>
        <w:t>w</w:t>
      </w:r>
      <w:r w:rsidR="00C77CF5" w:rsidRPr="00C77CF5">
        <w:rPr>
          <w:rFonts w:ascii="Arial" w:hAnsi="Arial" w:cs="Arial"/>
          <w:bCs/>
          <w:sz w:val="20"/>
          <w:szCs w:val="20"/>
        </w:rPr>
        <w:t xml:space="preserve"> Świnoujściu,</w:t>
      </w:r>
      <w:r w:rsidR="00D9517F">
        <w:rPr>
          <w:rFonts w:ascii="Arial" w:hAnsi="Arial" w:cs="Arial"/>
          <w:bCs/>
          <w:sz w:val="20"/>
          <w:szCs w:val="20"/>
        </w:rPr>
        <w:t xml:space="preserve"> </w:t>
      </w:r>
      <w:r w:rsidR="008C4140">
        <w:rPr>
          <w:rFonts w:ascii="Arial" w:hAnsi="Arial" w:cs="Arial"/>
          <w:bCs/>
          <w:sz w:val="20"/>
          <w:szCs w:val="20"/>
        </w:rPr>
        <w:t xml:space="preserve">Trzebieży, Dziwnowie, Policach </w:t>
      </w:r>
      <w:r w:rsidR="00E426F7">
        <w:rPr>
          <w:rFonts w:ascii="Arial" w:hAnsi="Arial" w:cs="Arial"/>
          <w:bCs/>
          <w:sz w:val="20"/>
          <w:szCs w:val="20"/>
        </w:rPr>
        <w:br/>
      </w:r>
      <w:r w:rsidR="00C77CF5" w:rsidRPr="00C77CF5">
        <w:rPr>
          <w:rFonts w:ascii="Arial" w:hAnsi="Arial" w:cs="Arial"/>
          <w:bCs/>
          <w:sz w:val="20"/>
          <w:szCs w:val="20"/>
        </w:rPr>
        <w:t>i Szczecinie.</w:t>
      </w:r>
      <w:r w:rsidR="004C0218">
        <w:rPr>
          <w:rFonts w:ascii="Arial" w:hAnsi="Arial" w:cs="Arial"/>
          <w:bCs/>
          <w:sz w:val="20"/>
          <w:szCs w:val="20"/>
        </w:rPr>
        <w:t xml:space="preserve"> Minister właściwy do spraw środowiska postanowieniem z dnia 18 lipca 2018 r. odmówił uzgodnienia planu zagospodarowania przestrzennego morskich wód wewnętrznych, morza terytorialnego i wyłącznej strefy ekonomicznej w skali 1:200 000 (RD267).</w:t>
      </w:r>
    </w:p>
    <w:p w14:paraId="089F8C3D" w14:textId="3425A455" w:rsidR="00D31573" w:rsidRPr="00B05A97" w:rsidRDefault="00463674" w:rsidP="00B05A97">
      <w:pPr>
        <w:pStyle w:val="Nagwek2"/>
        <w:spacing w:before="120" w:after="120"/>
        <w:jc w:val="both"/>
        <w:rPr>
          <w:rFonts w:ascii="Arial" w:hAnsi="Arial" w:cs="Arial"/>
          <w:b/>
          <w:color w:val="auto"/>
          <w:sz w:val="20"/>
          <w:szCs w:val="20"/>
        </w:rPr>
      </w:pPr>
      <w:bookmarkStart w:id="52" w:name="_Toc72745064"/>
      <w:r w:rsidRPr="00B05A97">
        <w:rPr>
          <w:rFonts w:ascii="Arial" w:hAnsi="Arial" w:cs="Arial"/>
          <w:b/>
          <w:color w:val="auto"/>
          <w:sz w:val="20"/>
          <w:szCs w:val="20"/>
        </w:rPr>
        <w:t>Realizacja</w:t>
      </w:r>
      <w:r w:rsidR="00D31573" w:rsidRPr="00B05A97">
        <w:rPr>
          <w:rFonts w:ascii="Arial" w:hAnsi="Arial" w:cs="Arial"/>
          <w:b/>
          <w:color w:val="auto"/>
          <w:sz w:val="20"/>
          <w:szCs w:val="20"/>
        </w:rPr>
        <w:t xml:space="preserve"> zadań wynikających z kontraktu na eksplor</w:t>
      </w:r>
      <w:r w:rsidR="00D9517F">
        <w:rPr>
          <w:rFonts w:ascii="Arial" w:hAnsi="Arial" w:cs="Arial"/>
          <w:b/>
          <w:color w:val="auto"/>
          <w:sz w:val="20"/>
          <w:szCs w:val="20"/>
        </w:rPr>
        <w:t xml:space="preserve">ację polimetalicznych siarczków </w:t>
      </w:r>
      <w:r w:rsidR="00D31573" w:rsidRPr="00B05A97">
        <w:rPr>
          <w:rFonts w:ascii="Arial" w:hAnsi="Arial" w:cs="Arial"/>
          <w:b/>
          <w:color w:val="auto"/>
          <w:sz w:val="20"/>
          <w:szCs w:val="20"/>
        </w:rPr>
        <w:t>masywnych na Atlantyku</w:t>
      </w:r>
      <w:r w:rsidRPr="00B05A97">
        <w:rPr>
          <w:rFonts w:ascii="Arial" w:hAnsi="Arial" w:cs="Arial"/>
          <w:b/>
          <w:color w:val="auto"/>
          <w:sz w:val="20"/>
          <w:szCs w:val="20"/>
        </w:rPr>
        <w:t>.</w:t>
      </w:r>
      <w:bookmarkEnd w:id="52"/>
      <w:r w:rsidR="00D31573" w:rsidRPr="00B05A97">
        <w:rPr>
          <w:rFonts w:ascii="Arial" w:hAnsi="Arial" w:cs="Arial"/>
          <w:b/>
          <w:color w:val="auto"/>
          <w:sz w:val="20"/>
          <w:szCs w:val="20"/>
        </w:rPr>
        <w:t xml:space="preserve"> </w:t>
      </w:r>
    </w:p>
    <w:p w14:paraId="53A6F9A7" w14:textId="2642FB97" w:rsidR="00D31573" w:rsidRPr="009F7EE0" w:rsidRDefault="00D31573" w:rsidP="00D31573">
      <w:pPr>
        <w:spacing w:after="120" w:line="276" w:lineRule="auto"/>
        <w:jc w:val="both"/>
        <w:rPr>
          <w:rFonts w:ascii="Arial" w:hAnsi="Arial" w:cs="Arial"/>
          <w:bCs/>
          <w:sz w:val="20"/>
          <w:szCs w:val="20"/>
        </w:rPr>
      </w:pPr>
      <w:r w:rsidRPr="009F7EE0">
        <w:rPr>
          <w:rFonts w:ascii="Arial" w:hAnsi="Arial" w:cs="Arial"/>
          <w:bCs/>
          <w:sz w:val="20"/>
          <w:szCs w:val="20"/>
        </w:rPr>
        <w:t>W dniu</w:t>
      </w:r>
      <w:r w:rsidR="00774594" w:rsidRPr="009F7EE0">
        <w:rPr>
          <w:rFonts w:ascii="Arial" w:hAnsi="Arial" w:cs="Arial"/>
          <w:bCs/>
          <w:sz w:val="20"/>
          <w:szCs w:val="20"/>
        </w:rPr>
        <w:t xml:space="preserve"> </w:t>
      </w:r>
      <w:r w:rsidRPr="009F7EE0">
        <w:rPr>
          <w:rFonts w:ascii="Arial" w:hAnsi="Arial" w:cs="Arial"/>
          <w:bCs/>
          <w:sz w:val="20"/>
          <w:szCs w:val="20"/>
        </w:rPr>
        <w:t>12 lutego 2018 r. Ministe</w:t>
      </w:r>
      <w:r w:rsidR="00E30C3D">
        <w:rPr>
          <w:rFonts w:ascii="Arial" w:hAnsi="Arial" w:cs="Arial"/>
          <w:bCs/>
          <w:sz w:val="20"/>
          <w:szCs w:val="20"/>
        </w:rPr>
        <w:t>r Środowiska w imieniu Rządu RP</w:t>
      </w:r>
      <w:r w:rsidRPr="009F7EE0">
        <w:rPr>
          <w:rFonts w:ascii="Arial" w:hAnsi="Arial" w:cs="Arial"/>
          <w:bCs/>
          <w:sz w:val="20"/>
          <w:szCs w:val="20"/>
        </w:rPr>
        <w:t xml:space="preserve"> podpisał kontrakt </w:t>
      </w:r>
      <w:r w:rsidR="00463674" w:rsidRPr="009F7EE0">
        <w:rPr>
          <w:rFonts w:ascii="Arial" w:hAnsi="Arial" w:cs="Arial"/>
          <w:bCs/>
          <w:sz w:val="20"/>
          <w:szCs w:val="20"/>
        </w:rPr>
        <w:t xml:space="preserve">na eksplorację polimetalicznych siarczków masywnych na Atlantyku zawartego pomiędzy Ministerstwem Środowiska a Międzynarodową Organizacją Dna Morskiego (MODM) </w:t>
      </w:r>
      <w:r w:rsidRPr="009F7EE0">
        <w:rPr>
          <w:rFonts w:ascii="Arial" w:hAnsi="Arial" w:cs="Arial"/>
          <w:bCs/>
          <w:sz w:val="20"/>
          <w:szCs w:val="20"/>
        </w:rPr>
        <w:t xml:space="preserve">upoważniający do 15-letniej eksploracji dna morskiego w obszarze północnej części Grzbietu Śródatlantyckiego. </w:t>
      </w:r>
      <w:r w:rsidR="009F7EE0" w:rsidRPr="009F7EE0">
        <w:rPr>
          <w:rFonts w:ascii="Arial" w:hAnsi="Arial" w:cs="Arial"/>
          <w:bCs/>
          <w:sz w:val="20"/>
          <w:szCs w:val="20"/>
        </w:rPr>
        <w:t>W ramach przygotowań do realizacji zadań wynikających z zapisów kontraktu c</w:t>
      </w:r>
      <w:r w:rsidRPr="009F7EE0">
        <w:rPr>
          <w:rFonts w:ascii="Arial" w:hAnsi="Arial" w:cs="Arial"/>
          <w:bCs/>
          <w:sz w:val="20"/>
          <w:szCs w:val="20"/>
        </w:rPr>
        <w:t xml:space="preserve">zęść zadań </w:t>
      </w:r>
      <w:r w:rsidR="009C51C1" w:rsidRPr="009F7EE0">
        <w:rPr>
          <w:rFonts w:ascii="Arial" w:hAnsi="Arial" w:cs="Arial"/>
          <w:bCs/>
          <w:sz w:val="20"/>
          <w:szCs w:val="20"/>
        </w:rPr>
        <w:t>powierzono PIG-PIB. W 2019 r.</w:t>
      </w:r>
      <w:r w:rsidRPr="009F7EE0">
        <w:rPr>
          <w:rFonts w:ascii="Arial" w:hAnsi="Arial" w:cs="Arial"/>
          <w:bCs/>
          <w:sz w:val="20"/>
          <w:szCs w:val="20"/>
        </w:rPr>
        <w:t xml:space="preserve"> głównym celem </w:t>
      </w:r>
      <w:r w:rsidR="00A253C2" w:rsidRPr="009F7EE0">
        <w:rPr>
          <w:rFonts w:ascii="Arial" w:hAnsi="Arial" w:cs="Arial"/>
          <w:bCs/>
          <w:sz w:val="20"/>
          <w:szCs w:val="20"/>
        </w:rPr>
        <w:t>przedsięwzięcia było prowadzenie</w:t>
      </w:r>
      <w:r w:rsidRPr="009F7EE0">
        <w:rPr>
          <w:rFonts w:ascii="Arial" w:hAnsi="Arial" w:cs="Arial"/>
          <w:bCs/>
          <w:sz w:val="20"/>
          <w:szCs w:val="20"/>
        </w:rPr>
        <w:t xml:space="preserve"> prac przygotowawczych do realizacji pierwszego rejsu badawczego w obszarze objętym kontraktem.</w:t>
      </w:r>
    </w:p>
    <w:p w14:paraId="6750FC5F" w14:textId="068DE4EF" w:rsidR="00D31573" w:rsidRPr="00D31573" w:rsidRDefault="00D31573" w:rsidP="00D31573">
      <w:pPr>
        <w:spacing w:after="120" w:line="276" w:lineRule="auto"/>
        <w:jc w:val="both"/>
        <w:rPr>
          <w:rFonts w:ascii="Arial" w:hAnsi="Arial" w:cs="Arial"/>
          <w:bCs/>
          <w:sz w:val="20"/>
          <w:szCs w:val="20"/>
        </w:rPr>
      </w:pPr>
      <w:r w:rsidRPr="00D31573">
        <w:rPr>
          <w:rFonts w:ascii="Arial" w:hAnsi="Arial" w:cs="Arial"/>
          <w:bCs/>
          <w:sz w:val="20"/>
          <w:szCs w:val="20"/>
        </w:rPr>
        <w:t>W ramach realizacji powierzonego zadania wykonane zostało opracowanie pn.: „Przegląd informacji</w:t>
      </w:r>
      <w:r>
        <w:rPr>
          <w:rFonts w:ascii="Arial" w:hAnsi="Arial" w:cs="Arial"/>
          <w:bCs/>
          <w:sz w:val="20"/>
          <w:szCs w:val="20"/>
        </w:rPr>
        <w:t xml:space="preserve"> </w:t>
      </w:r>
      <w:r w:rsidRPr="00D31573">
        <w:rPr>
          <w:rFonts w:ascii="Arial" w:hAnsi="Arial" w:cs="Arial"/>
          <w:bCs/>
          <w:sz w:val="20"/>
          <w:szCs w:val="20"/>
        </w:rPr>
        <w:t>(publikacji) zawierających wyniki dotychczasowych badań przeprowadzonych w obrębie (bądź</w:t>
      </w:r>
      <w:r>
        <w:rPr>
          <w:rFonts w:ascii="Arial" w:hAnsi="Arial" w:cs="Arial"/>
          <w:bCs/>
          <w:sz w:val="20"/>
          <w:szCs w:val="20"/>
        </w:rPr>
        <w:t xml:space="preserve"> </w:t>
      </w:r>
      <w:r w:rsidRPr="00D31573">
        <w:rPr>
          <w:rFonts w:ascii="Arial" w:hAnsi="Arial" w:cs="Arial"/>
          <w:bCs/>
          <w:sz w:val="20"/>
          <w:szCs w:val="20"/>
        </w:rPr>
        <w:t>w bliskim otoczeniu) obszaru koncesyjnego Rzeczpospolitej Polskiej na Grzbiecie Śródatlantyckim</w:t>
      </w:r>
      <w:r>
        <w:rPr>
          <w:rFonts w:ascii="Arial" w:hAnsi="Arial" w:cs="Arial"/>
          <w:bCs/>
          <w:sz w:val="20"/>
          <w:szCs w:val="20"/>
        </w:rPr>
        <w:t xml:space="preserve"> </w:t>
      </w:r>
      <w:r w:rsidRPr="00D31573">
        <w:rPr>
          <w:rFonts w:ascii="Arial" w:hAnsi="Arial" w:cs="Arial"/>
          <w:bCs/>
          <w:sz w:val="20"/>
          <w:szCs w:val="20"/>
        </w:rPr>
        <w:t>w ramach realizowanego kontraktu z Międzynarodową Organizacją Dna Morskiego (MODM), w tym</w:t>
      </w:r>
      <w:r>
        <w:rPr>
          <w:rFonts w:ascii="Arial" w:hAnsi="Arial" w:cs="Arial"/>
          <w:bCs/>
          <w:sz w:val="20"/>
          <w:szCs w:val="20"/>
        </w:rPr>
        <w:t xml:space="preserve"> </w:t>
      </w:r>
      <w:r w:rsidRPr="00D31573">
        <w:rPr>
          <w:rFonts w:ascii="Arial" w:hAnsi="Arial" w:cs="Arial"/>
          <w:bCs/>
          <w:sz w:val="20"/>
          <w:szCs w:val="20"/>
        </w:rPr>
        <w:t>na przeprowadzenia badań podstawowych oraz oszacowanie zasięgu wystąpień oraz wielkości złóż</w:t>
      </w:r>
      <w:r>
        <w:rPr>
          <w:rFonts w:ascii="Arial" w:hAnsi="Arial" w:cs="Arial"/>
          <w:bCs/>
          <w:sz w:val="20"/>
          <w:szCs w:val="20"/>
        </w:rPr>
        <w:t xml:space="preserve"> </w:t>
      </w:r>
      <w:r w:rsidRPr="00D31573">
        <w:rPr>
          <w:rFonts w:ascii="Arial" w:hAnsi="Arial" w:cs="Arial"/>
          <w:bCs/>
          <w:sz w:val="20"/>
          <w:szCs w:val="20"/>
        </w:rPr>
        <w:t>masywnych siarczków”.</w:t>
      </w:r>
    </w:p>
    <w:p w14:paraId="62B162AA" w14:textId="306F8EF3" w:rsidR="00D31573" w:rsidRPr="001A5E6C" w:rsidRDefault="00D31573" w:rsidP="000773A5">
      <w:pPr>
        <w:spacing w:after="120" w:line="276" w:lineRule="auto"/>
        <w:jc w:val="both"/>
        <w:rPr>
          <w:rFonts w:ascii="Arial" w:hAnsi="Arial" w:cs="Arial"/>
          <w:bCs/>
          <w:sz w:val="20"/>
          <w:szCs w:val="20"/>
        </w:rPr>
      </w:pPr>
      <w:r w:rsidRPr="00D31573">
        <w:rPr>
          <w:rFonts w:ascii="Arial" w:hAnsi="Arial" w:cs="Arial"/>
          <w:bCs/>
          <w:sz w:val="20"/>
          <w:szCs w:val="20"/>
        </w:rPr>
        <w:t>Rozpoczęto również prace nad opracowaniem planu rejsu badawczego na Ryft Śródatlantycki.</w:t>
      </w:r>
      <w:r>
        <w:rPr>
          <w:rFonts w:ascii="Arial" w:hAnsi="Arial" w:cs="Arial"/>
          <w:bCs/>
          <w:sz w:val="20"/>
          <w:szCs w:val="20"/>
        </w:rPr>
        <w:t xml:space="preserve"> </w:t>
      </w:r>
      <w:r w:rsidRPr="00D31573">
        <w:rPr>
          <w:rFonts w:ascii="Arial" w:hAnsi="Arial" w:cs="Arial"/>
          <w:bCs/>
          <w:sz w:val="20"/>
          <w:szCs w:val="20"/>
        </w:rPr>
        <w:t>W tym celu zlecono Akademii Morskiej wykonanie projektu pomiarów batymetrycznych w obrębie</w:t>
      </w:r>
      <w:r>
        <w:rPr>
          <w:rFonts w:ascii="Arial" w:hAnsi="Arial" w:cs="Arial"/>
          <w:bCs/>
          <w:sz w:val="20"/>
          <w:szCs w:val="20"/>
        </w:rPr>
        <w:t xml:space="preserve"> </w:t>
      </w:r>
      <w:r w:rsidRPr="00D31573">
        <w:rPr>
          <w:rFonts w:ascii="Arial" w:hAnsi="Arial" w:cs="Arial"/>
          <w:bCs/>
          <w:sz w:val="20"/>
          <w:szCs w:val="20"/>
        </w:rPr>
        <w:t>obsz</w:t>
      </w:r>
      <w:r w:rsidR="00995A37">
        <w:rPr>
          <w:rFonts w:ascii="Arial" w:hAnsi="Arial" w:cs="Arial"/>
          <w:bCs/>
          <w:sz w:val="20"/>
          <w:szCs w:val="20"/>
        </w:rPr>
        <w:t>aru objętego kontraktem z ISA: „</w:t>
      </w:r>
      <w:r w:rsidRPr="00D31573">
        <w:rPr>
          <w:rFonts w:ascii="Arial" w:hAnsi="Arial" w:cs="Arial"/>
          <w:bCs/>
          <w:sz w:val="20"/>
          <w:szCs w:val="20"/>
        </w:rPr>
        <w:t>Bathymetric survey and positioning procedure for the exploration</w:t>
      </w:r>
      <w:r>
        <w:rPr>
          <w:rFonts w:ascii="Arial" w:hAnsi="Arial" w:cs="Arial"/>
          <w:bCs/>
          <w:sz w:val="20"/>
          <w:szCs w:val="20"/>
        </w:rPr>
        <w:t xml:space="preserve"> </w:t>
      </w:r>
      <w:r w:rsidRPr="00D31573">
        <w:rPr>
          <w:rFonts w:ascii="Arial" w:hAnsi="Arial" w:cs="Arial"/>
          <w:bCs/>
          <w:sz w:val="20"/>
          <w:szCs w:val="20"/>
        </w:rPr>
        <w:t>area of Mid-Atlantic Ridge located between the Hayes, Atlantis and Kane transforms faults/fracture</w:t>
      </w:r>
      <w:r>
        <w:rPr>
          <w:rFonts w:ascii="Arial" w:hAnsi="Arial" w:cs="Arial"/>
          <w:bCs/>
          <w:sz w:val="20"/>
          <w:szCs w:val="20"/>
        </w:rPr>
        <w:t xml:space="preserve"> </w:t>
      </w:r>
      <w:r w:rsidR="00995A37">
        <w:rPr>
          <w:rFonts w:ascii="Arial" w:hAnsi="Arial" w:cs="Arial"/>
          <w:bCs/>
          <w:sz w:val="20"/>
          <w:szCs w:val="20"/>
        </w:rPr>
        <w:t>zones (26°09'-32°50' N)”</w:t>
      </w:r>
      <w:r w:rsidRPr="00D31573">
        <w:rPr>
          <w:rFonts w:ascii="Arial" w:hAnsi="Arial" w:cs="Arial"/>
          <w:bCs/>
          <w:sz w:val="20"/>
          <w:szCs w:val="20"/>
        </w:rPr>
        <w:t>.</w:t>
      </w:r>
    </w:p>
    <w:p w14:paraId="6B177718" w14:textId="3CAAA7F0" w:rsidR="000773A5" w:rsidRPr="00C96CD2" w:rsidRDefault="000773A5" w:rsidP="00C96CD2">
      <w:pPr>
        <w:pStyle w:val="Nagwek2"/>
        <w:spacing w:before="120" w:after="120"/>
        <w:jc w:val="both"/>
        <w:rPr>
          <w:rFonts w:ascii="Arial" w:hAnsi="Arial" w:cs="Arial"/>
          <w:b/>
          <w:color w:val="auto"/>
          <w:sz w:val="20"/>
          <w:szCs w:val="20"/>
        </w:rPr>
      </w:pPr>
      <w:bookmarkStart w:id="53" w:name="_Toc72745065"/>
      <w:r w:rsidRPr="00C96CD2">
        <w:rPr>
          <w:rFonts w:ascii="Arial" w:hAnsi="Arial" w:cs="Arial"/>
          <w:b/>
          <w:color w:val="auto"/>
          <w:sz w:val="20"/>
          <w:szCs w:val="20"/>
        </w:rPr>
        <w:t>Wspólna Organizacja Interoceanmetal</w:t>
      </w:r>
      <w:r w:rsidR="00C96CD2" w:rsidRPr="00C96CD2">
        <w:rPr>
          <w:rFonts w:ascii="Arial" w:hAnsi="Arial" w:cs="Arial"/>
          <w:b/>
          <w:color w:val="auto"/>
          <w:sz w:val="20"/>
          <w:szCs w:val="20"/>
        </w:rPr>
        <w:t>.</w:t>
      </w:r>
      <w:bookmarkEnd w:id="53"/>
    </w:p>
    <w:p w14:paraId="195BE94B" w14:textId="3CC7E656" w:rsidR="000773A5" w:rsidRPr="000773A5" w:rsidRDefault="000773A5" w:rsidP="000773A5">
      <w:pPr>
        <w:spacing w:after="120" w:line="276" w:lineRule="auto"/>
        <w:jc w:val="both"/>
        <w:rPr>
          <w:rFonts w:ascii="Arial" w:hAnsi="Arial" w:cs="Arial"/>
          <w:sz w:val="20"/>
          <w:szCs w:val="20"/>
        </w:rPr>
      </w:pPr>
      <w:r w:rsidRPr="000773A5">
        <w:rPr>
          <w:rFonts w:ascii="Arial" w:hAnsi="Arial" w:cs="Arial"/>
          <w:sz w:val="20"/>
          <w:szCs w:val="20"/>
        </w:rPr>
        <w:t>W Radzie Wspólnej Organizacji Interoceanmetal (IOM) pełnomocnym przedstawicielem R</w:t>
      </w:r>
      <w:r w:rsidR="00704DFC">
        <w:rPr>
          <w:rFonts w:ascii="Arial" w:hAnsi="Arial" w:cs="Arial"/>
          <w:sz w:val="20"/>
          <w:szCs w:val="20"/>
        </w:rPr>
        <w:t xml:space="preserve">zeczypospolitej </w:t>
      </w:r>
      <w:r w:rsidRPr="000773A5">
        <w:rPr>
          <w:rFonts w:ascii="Arial" w:hAnsi="Arial" w:cs="Arial"/>
          <w:sz w:val="20"/>
          <w:szCs w:val="20"/>
        </w:rPr>
        <w:t>P</w:t>
      </w:r>
      <w:r w:rsidR="00704DFC">
        <w:rPr>
          <w:rFonts w:ascii="Arial" w:hAnsi="Arial" w:cs="Arial"/>
          <w:sz w:val="20"/>
          <w:szCs w:val="20"/>
        </w:rPr>
        <w:t>olskiej</w:t>
      </w:r>
      <w:r w:rsidRPr="000773A5">
        <w:rPr>
          <w:rFonts w:ascii="Arial" w:hAnsi="Arial" w:cs="Arial"/>
          <w:sz w:val="20"/>
          <w:szCs w:val="20"/>
        </w:rPr>
        <w:t xml:space="preserve"> jest </w:t>
      </w:r>
      <w:r w:rsidR="00FE7207">
        <w:rPr>
          <w:rFonts w:ascii="Arial" w:hAnsi="Arial" w:cs="Arial"/>
          <w:sz w:val="20"/>
          <w:szCs w:val="20"/>
        </w:rPr>
        <w:t xml:space="preserve">obecnie </w:t>
      </w:r>
      <w:r w:rsidRPr="000773A5">
        <w:rPr>
          <w:rFonts w:ascii="Arial" w:hAnsi="Arial" w:cs="Arial"/>
          <w:sz w:val="20"/>
          <w:szCs w:val="20"/>
        </w:rPr>
        <w:t xml:space="preserve">Dyrektor Departamentu Geologii i Koncesji Geologicznych </w:t>
      </w:r>
      <w:r w:rsidR="007E159F">
        <w:rPr>
          <w:rFonts w:ascii="Arial" w:hAnsi="Arial" w:cs="Arial"/>
          <w:sz w:val="20"/>
          <w:szCs w:val="20"/>
        </w:rPr>
        <w:br/>
      </w:r>
      <w:r w:rsidRPr="000773A5">
        <w:rPr>
          <w:rFonts w:ascii="Arial" w:hAnsi="Arial" w:cs="Arial"/>
          <w:sz w:val="20"/>
          <w:szCs w:val="20"/>
        </w:rPr>
        <w:t xml:space="preserve">w Ministerstwie </w:t>
      </w:r>
      <w:r w:rsidR="008739CA">
        <w:rPr>
          <w:rFonts w:ascii="Arial" w:hAnsi="Arial" w:cs="Arial"/>
          <w:sz w:val="20"/>
          <w:szCs w:val="20"/>
        </w:rPr>
        <w:t>Środowiska/</w:t>
      </w:r>
      <w:r w:rsidRPr="000773A5">
        <w:rPr>
          <w:rFonts w:ascii="Arial" w:hAnsi="Arial" w:cs="Arial"/>
          <w:sz w:val="20"/>
          <w:szCs w:val="20"/>
        </w:rPr>
        <w:t>Klimatu.</w:t>
      </w:r>
      <w:r>
        <w:rPr>
          <w:rFonts w:ascii="Arial" w:hAnsi="Arial" w:cs="Arial"/>
          <w:sz w:val="20"/>
          <w:szCs w:val="20"/>
        </w:rPr>
        <w:t xml:space="preserve"> </w:t>
      </w:r>
      <w:r w:rsidRPr="000773A5">
        <w:rPr>
          <w:rFonts w:ascii="Arial" w:hAnsi="Arial" w:cs="Arial"/>
          <w:sz w:val="20"/>
          <w:szCs w:val="20"/>
        </w:rPr>
        <w:t>Zgodnie z ustaleniami podejmowany</w:t>
      </w:r>
      <w:r w:rsidR="00704DFC">
        <w:rPr>
          <w:rFonts w:ascii="Arial" w:hAnsi="Arial" w:cs="Arial"/>
          <w:sz w:val="20"/>
          <w:szCs w:val="20"/>
        </w:rPr>
        <w:t xml:space="preserve">mi podczas posiedzeń </w:t>
      </w:r>
      <w:r w:rsidR="00796079">
        <w:rPr>
          <w:rFonts w:ascii="Arial" w:hAnsi="Arial" w:cs="Arial"/>
          <w:sz w:val="20"/>
          <w:szCs w:val="20"/>
        </w:rPr>
        <w:br/>
      </w:r>
      <w:r w:rsidR="00704DFC">
        <w:rPr>
          <w:rFonts w:ascii="Arial" w:hAnsi="Arial" w:cs="Arial"/>
          <w:sz w:val="20"/>
          <w:szCs w:val="20"/>
        </w:rPr>
        <w:t>w 2019 r.</w:t>
      </w:r>
      <w:r w:rsidRPr="000773A5">
        <w:rPr>
          <w:rFonts w:ascii="Arial" w:hAnsi="Arial" w:cs="Arial"/>
          <w:sz w:val="20"/>
          <w:szCs w:val="20"/>
        </w:rPr>
        <w:t xml:space="preserve"> Wspólna Organizacja</w:t>
      </w:r>
      <w:r>
        <w:rPr>
          <w:rFonts w:ascii="Arial" w:hAnsi="Arial" w:cs="Arial"/>
          <w:sz w:val="20"/>
          <w:szCs w:val="20"/>
        </w:rPr>
        <w:t xml:space="preserve"> </w:t>
      </w:r>
      <w:r w:rsidRPr="000773A5">
        <w:rPr>
          <w:rFonts w:ascii="Arial" w:hAnsi="Arial" w:cs="Arial"/>
          <w:sz w:val="20"/>
          <w:szCs w:val="20"/>
        </w:rPr>
        <w:t>Interoceanmetal kontynuowała prace związane z kolejnymi etapami eksploracji działki na polu</w:t>
      </w:r>
      <w:r>
        <w:rPr>
          <w:rFonts w:ascii="Arial" w:hAnsi="Arial" w:cs="Arial"/>
          <w:sz w:val="20"/>
          <w:szCs w:val="20"/>
        </w:rPr>
        <w:t xml:space="preserve"> </w:t>
      </w:r>
      <w:r w:rsidRPr="000773A5">
        <w:rPr>
          <w:rFonts w:ascii="Arial" w:hAnsi="Arial" w:cs="Arial"/>
          <w:sz w:val="20"/>
          <w:szCs w:val="20"/>
        </w:rPr>
        <w:t>konkrecji polimetalicznych</w:t>
      </w:r>
      <w:r w:rsidR="002A7173">
        <w:rPr>
          <w:rFonts w:ascii="Arial" w:hAnsi="Arial" w:cs="Arial"/>
          <w:sz w:val="20"/>
          <w:szCs w:val="20"/>
        </w:rPr>
        <w:t>,</w:t>
      </w:r>
      <w:r w:rsidRPr="000773A5">
        <w:rPr>
          <w:rFonts w:ascii="Arial" w:hAnsi="Arial" w:cs="Arial"/>
          <w:sz w:val="20"/>
          <w:szCs w:val="20"/>
        </w:rPr>
        <w:t xml:space="preserve"> na którym posiada prawa do badań udzielone przez Międzynarodową</w:t>
      </w:r>
      <w:r>
        <w:rPr>
          <w:rFonts w:ascii="Arial" w:hAnsi="Arial" w:cs="Arial"/>
          <w:sz w:val="20"/>
          <w:szCs w:val="20"/>
        </w:rPr>
        <w:t xml:space="preserve"> </w:t>
      </w:r>
      <w:r w:rsidRPr="000773A5">
        <w:rPr>
          <w:rFonts w:ascii="Arial" w:hAnsi="Arial" w:cs="Arial"/>
          <w:sz w:val="20"/>
          <w:szCs w:val="20"/>
        </w:rPr>
        <w:t>Organizację Dna Morskiego. W ramach prowadzonych prac przeprowadzono oceaniczną ekspedycję</w:t>
      </w:r>
      <w:r>
        <w:rPr>
          <w:rFonts w:ascii="Arial" w:hAnsi="Arial" w:cs="Arial"/>
          <w:sz w:val="20"/>
          <w:szCs w:val="20"/>
        </w:rPr>
        <w:t xml:space="preserve"> </w:t>
      </w:r>
      <w:r w:rsidRPr="000773A5">
        <w:rPr>
          <w:rFonts w:ascii="Arial" w:hAnsi="Arial" w:cs="Arial"/>
          <w:sz w:val="20"/>
          <w:szCs w:val="20"/>
        </w:rPr>
        <w:t>badawczą w rejon eksploracji.</w:t>
      </w:r>
    </w:p>
    <w:p w14:paraId="2915EAAD" w14:textId="3D19E44A" w:rsidR="000773A5" w:rsidRPr="000773A5" w:rsidRDefault="000773A5" w:rsidP="000773A5">
      <w:pPr>
        <w:spacing w:after="120" w:line="276" w:lineRule="auto"/>
        <w:jc w:val="both"/>
        <w:rPr>
          <w:rFonts w:ascii="Arial" w:hAnsi="Arial" w:cs="Arial"/>
          <w:sz w:val="20"/>
          <w:szCs w:val="20"/>
        </w:rPr>
      </w:pPr>
      <w:r w:rsidRPr="000773A5">
        <w:rPr>
          <w:rFonts w:ascii="Arial" w:hAnsi="Arial" w:cs="Arial"/>
          <w:sz w:val="20"/>
          <w:szCs w:val="20"/>
        </w:rPr>
        <w:t xml:space="preserve">Celem badań od strony geologicznej </w:t>
      </w:r>
      <w:r w:rsidR="002A7173">
        <w:rPr>
          <w:rFonts w:ascii="Arial" w:hAnsi="Arial" w:cs="Arial"/>
          <w:sz w:val="20"/>
          <w:szCs w:val="20"/>
        </w:rPr>
        <w:t xml:space="preserve">było </w:t>
      </w:r>
      <w:r w:rsidRPr="000773A5">
        <w:rPr>
          <w:rFonts w:ascii="Arial" w:hAnsi="Arial" w:cs="Arial"/>
          <w:sz w:val="20"/>
          <w:szCs w:val="20"/>
        </w:rPr>
        <w:t>wykonanie prac pozwalających na określenie potencjału</w:t>
      </w:r>
      <w:r w:rsidR="00557927">
        <w:rPr>
          <w:rFonts w:ascii="Arial" w:hAnsi="Arial" w:cs="Arial"/>
          <w:sz w:val="20"/>
          <w:szCs w:val="20"/>
        </w:rPr>
        <w:t xml:space="preserve"> </w:t>
      </w:r>
      <w:r w:rsidRPr="000773A5">
        <w:rPr>
          <w:rFonts w:ascii="Arial" w:hAnsi="Arial" w:cs="Arial"/>
          <w:sz w:val="20"/>
          <w:szCs w:val="20"/>
        </w:rPr>
        <w:t>złożowego i warunków geologicznych usytuowania złoża konkrecji dla bloków pierwszej kolejności</w:t>
      </w:r>
      <w:r w:rsidR="00557927">
        <w:rPr>
          <w:rFonts w:ascii="Arial" w:hAnsi="Arial" w:cs="Arial"/>
          <w:sz w:val="20"/>
          <w:szCs w:val="20"/>
        </w:rPr>
        <w:t xml:space="preserve"> </w:t>
      </w:r>
      <w:r w:rsidRPr="000773A5">
        <w:rPr>
          <w:rFonts w:ascii="Arial" w:hAnsi="Arial" w:cs="Arial"/>
          <w:sz w:val="20"/>
          <w:szCs w:val="20"/>
        </w:rPr>
        <w:t>wydobycia znajdujących się w granicach działki eksploracyjnej. Dodatkowo badano topograficzne</w:t>
      </w:r>
      <w:r w:rsidR="00557927">
        <w:rPr>
          <w:rFonts w:ascii="Arial" w:hAnsi="Arial" w:cs="Arial"/>
          <w:sz w:val="20"/>
          <w:szCs w:val="20"/>
        </w:rPr>
        <w:t xml:space="preserve"> </w:t>
      </w:r>
      <w:r w:rsidR="008304A4">
        <w:rPr>
          <w:rFonts w:ascii="Arial" w:hAnsi="Arial" w:cs="Arial"/>
          <w:sz w:val="20"/>
          <w:szCs w:val="20"/>
        </w:rPr>
        <w:br/>
      </w:r>
      <w:r w:rsidRPr="000773A5">
        <w:rPr>
          <w:rFonts w:ascii="Arial" w:hAnsi="Arial" w:cs="Arial"/>
          <w:sz w:val="20"/>
          <w:szCs w:val="20"/>
        </w:rPr>
        <w:t>i morfologiczne cechy dna w celu określenia granic dla operacji wydobywczych. W czasie prac</w:t>
      </w:r>
      <w:r w:rsidR="00557927">
        <w:rPr>
          <w:rFonts w:ascii="Arial" w:hAnsi="Arial" w:cs="Arial"/>
          <w:sz w:val="20"/>
          <w:szCs w:val="20"/>
        </w:rPr>
        <w:t xml:space="preserve"> </w:t>
      </w:r>
      <w:r w:rsidRPr="000773A5">
        <w:rPr>
          <w:rFonts w:ascii="Arial" w:hAnsi="Arial" w:cs="Arial"/>
          <w:sz w:val="20"/>
          <w:szCs w:val="20"/>
        </w:rPr>
        <w:t>geologicznych wykonano badania sonarem bocznym (łącznie 313 km profili), podwodną kamerą</w:t>
      </w:r>
      <w:r w:rsidR="00557927">
        <w:rPr>
          <w:rFonts w:ascii="Arial" w:hAnsi="Arial" w:cs="Arial"/>
          <w:sz w:val="20"/>
          <w:szCs w:val="20"/>
        </w:rPr>
        <w:t xml:space="preserve"> </w:t>
      </w:r>
      <w:r w:rsidRPr="000773A5">
        <w:rPr>
          <w:rFonts w:ascii="Arial" w:hAnsi="Arial" w:cs="Arial"/>
          <w:sz w:val="20"/>
          <w:szCs w:val="20"/>
        </w:rPr>
        <w:t xml:space="preserve">holowaną (łącznie 418 km profili), odebrano </w:t>
      </w:r>
      <w:r w:rsidR="0084630E">
        <w:rPr>
          <w:rFonts w:ascii="Arial" w:hAnsi="Arial" w:cs="Arial"/>
          <w:sz w:val="20"/>
          <w:szCs w:val="20"/>
        </w:rPr>
        <w:t>32 próby próbnikiem skrzynkowym oraz</w:t>
      </w:r>
      <w:r w:rsidRPr="000773A5">
        <w:rPr>
          <w:rFonts w:ascii="Arial" w:hAnsi="Arial" w:cs="Arial"/>
          <w:sz w:val="20"/>
          <w:szCs w:val="20"/>
        </w:rPr>
        <w:t xml:space="preserve"> 4 próby próbnikiem</w:t>
      </w:r>
      <w:r w:rsidR="00557927">
        <w:rPr>
          <w:rFonts w:ascii="Arial" w:hAnsi="Arial" w:cs="Arial"/>
          <w:sz w:val="20"/>
          <w:szCs w:val="20"/>
        </w:rPr>
        <w:t xml:space="preserve"> </w:t>
      </w:r>
      <w:r w:rsidRPr="000773A5">
        <w:rPr>
          <w:rFonts w:ascii="Arial" w:hAnsi="Arial" w:cs="Arial"/>
          <w:sz w:val="20"/>
          <w:szCs w:val="20"/>
        </w:rPr>
        <w:t>grawitacyjnym. Wszystkie próby geologiczne zostały następnie przebadane w laboratoriach statkowych,</w:t>
      </w:r>
      <w:r w:rsidR="00557927">
        <w:rPr>
          <w:rFonts w:ascii="Arial" w:hAnsi="Arial" w:cs="Arial"/>
          <w:sz w:val="20"/>
          <w:szCs w:val="20"/>
        </w:rPr>
        <w:t xml:space="preserve"> </w:t>
      </w:r>
      <w:r w:rsidRPr="000773A5">
        <w:rPr>
          <w:rFonts w:ascii="Arial" w:hAnsi="Arial" w:cs="Arial"/>
          <w:sz w:val="20"/>
          <w:szCs w:val="20"/>
        </w:rPr>
        <w:t>określano charakterystyki geologiczne osadów, stopień pokrycia dna konkrecjami i masową gęstość</w:t>
      </w:r>
      <w:r w:rsidR="00557927">
        <w:rPr>
          <w:rFonts w:ascii="Arial" w:hAnsi="Arial" w:cs="Arial"/>
          <w:sz w:val="20"/>
          <w:szCs w:val="20"/>
        </w:rPr>
        <w:t xml:space="preserve"> </w:t>
      </w:r>
      <w:r w:rsidRPr="000773A5">
        <w:rPr>
          <w:rFonts w:ascii="Arial" w:hAnsi="Arial" w:cs="Arial"/>
          <w:sz w:val="20"/>
          <w:szCs w:val="20"/>
        </w:rPr>
        <w:t>pokryci</w:t>
      </w:r>
      <w:r w:rsidR="00557927">
        <w:rPr>
          <w:rFonts w:ascii="Arial" w:hAnsi="Arial" w:cs="Arial"/>
          <w:sz w:val="20"/>
          <w:szCs w:val="20"/>
        </w:rPr>
        <w:t>a</w:t>
      </w:r>
      <w:r w:rsidRPr="000773A5">
        <w:rPr>
          <w:rFonts w:ascii="Arial" w:hAnsi="Arial" w:cs="Arial"/>
          <w:sz w:val="20"/>
          <w:szCs w:val="20"/>
        </w:rPr>
        <w:t xml:space="preserve">, </w:t>
      </w:r>
      <w:r w:rsidR="0084630E">
        <w:rPr>
          <w:rFonts w:ascii="Arial" w:hAnsi="Arial" w:cs="Arial"/>
          <w:sz w:val="20"/>
          <w:szCs w:val="20"/>
        </w:rPr>
        <w:t xml:space="preserve">a także </w:t>
      </w:r>
      <w:r w:rsidRPr="000773A5">
        <w:rPr>
          <w:rFonts w:ascii="Arial" w:hAnsi="Arial" w:cs="Arial"/>
          <w:sz w:val="20"/>
          <w:szCs w:val="20"/>
        </w:rPr>
        <w:t xml:space="preserve">badania geologii inżynierskiej. Zabezpieczono próby dla badań zawartości metali, </w:t>
      </w:r>
      <w:r w:rsidRPr="000773A5">
        <w:rPr>
          <w:rFonts w:ascii="Arial" w:hAnsi="Arial" w:cs="Arial"/>
          <w:sz w:val="20"/>
          <w:szCs w:val="20"/>
        </w:rPr>
        <w:lastRenderedPageBreak/>
        <w:t>które</w:t>
      </w:r>
      <w:r w:rsidR="00557927">
        <w:rPr>
          <w:rFonts w:ascii="Arial" w:hAnsi="Arial" w:cs="Arial"/>
          <w:sz w:val="20"/>
          <w:szCs w:val="20"/>
        </w:rPr>
        <w:t xml:space="preserve"> </w:t>
      </w:r>
      <w:r w:rsidR="0084630E">
        <w:rPr>
          <w:rFonts w:ascii="Arial" w:hAnsi="Arial" w:cs="Arial"/>
          <w:sz w:val="20"/>
          <w:szCs w:val="20"/>
        </w:rPr>
        <w:t>następnie</w:t>
      </w:r>
      <w:r w:rsidRPr="000773A5">
        <w:rPr>
          <w:rFonts w:ascii="Arial" w:hAnsi="Arial" w:cs="Arial"/>
          <w:sz w:val="20"/>
          <w:szCs w:val="20"/>
        </w:rPr>
        <w:t xml:space="preserve"> przeprowadzane </w:t>
      </w:r>
      <w:r w:rsidR="0084630E">
        <w:rPr>
          <w:rFonts w:ascii="Arial" w:hAnsi="Arial" w:cs="Arial"/>
          <w:sz w:val="20"/>
          <w:szCs w:val="20"/>
        </w:rPr>
        <w:t>będ</w:t>
      </w:r>
      <w:r w:rsidRPr="000773A5">
        <w:rPr>
          <w:rFonts w:ascii="Arial" w:hAnsi="Arial" w:cs="Arial"/>
          <w:sz w:val="20"/>
          <w:szCs w:val="20"/>
        </w:rPr>
        <w:t>ą w instytucjach krajów Interoceanmetal. W oparciu o nowe wyniki badań</w:t>
      </w:r>
      <w:r w:rsidR="00557927">
        <w:rPr>
          <w:rFonts w:ascii="Arial" w:hAnsi="Arial" w:cs="Arial"/>
          <w:sz w:val="20"/>
          <w:szCs w:val="20"/>
        </w:rPr>
        <w:t xml:space="preserve"> </w:t>
      </w:r>
      <w:r w:rsidRPr="000773A5">
        <w:rPr>
          <w:rFonts w:ascii="Arial" w:hAnsi="Arial" w:cs="Arial"/>
          <w:sz w:val="20"/>
          <w:szCs w:val="20"/>
        </w:rPr>
        <w:t xml:space="preserve">przeprowadzone </w:t>
      </w:r>
      <w:r w:rsidR="00BD76BA">
        <w:rPr>
          <w:rFonts w:ascii="Arial" w:hAnsi="Arial" w:cs="Arial"/>
          <w:sz w:val="20"/>
          <w:szCs w:val="20"/>
        </w:rPr>
        <w:t xml:space="preserve">zostanie </w:t>
      </w:r>
      <w:r w:rsidRPr="000773A5">
        <w:rPr>
          <w:rFonts w:ascii="Arial" w:hAnsi="Arial" w:cs="Arial"/>
          <w:sz w:val="20"/>
          <w:szCs w:val="20"/>
        </w:rPr>
        <w:t>nowe wyliczenie zasobów konkrecji.</w:t>
      </w:r>
    </w:p>
    <w:p w14:paraId="0A28D136" w14:textId="26E98456" w:rsidR="000773A5" w:rsidRPr="000773A5" w:rsidRDefault="000773A5" w:rsidP="000773A5">
      <w:pPr>
        <w:spacing w:after="120" w:line="276" w:lineRule="auto"/>
        <w:jc w:val="both"/>
        <w:rPr>
          <w:rFonts w:ascii="Arial" w:hAnsi="Arial" w:cs="Arial"/>
          <w:sz w:val="20"/>
          <w:szCs w:val="20"/>
        </w:rPr>
      </w:pPr>
      <w:r w:rsidRPr="000773A5">
        <w:rPr>
          <w:rFonts w:ascii="Arial" w:hAnsi="Arial" w:cs="Arial"/>
          <w:sz w:val="20"/>
          <w:szCs w:val="20"/>
        </w:rPr>
        <w:t>Celem badań środowiskowych było pozyskanie danych o parametrach fauny głębokowodnej</w:t>
      </w:r>
      <w:r w:rsidR="00557927">
        <w:rPr>
          <w:rFonts w:ascii="Arial" w:hAnsi="Arial" w:cs="Arial"/>
          <w:sz w:val="20"/>
          <w:szCs w:val="20"/>
        </w:rPr>
        <w:t xml:space="preserve"> </w:t>
      </w:r>
      <w:r w:rsidRPr="000773A5">
        <w:rPr>
          <w:rFonts w:ascii="Arial" w:hAnsi="Arial" w:cs="Arial"/>
          <w:sz w:val="20"/>
          <w:szCs w:val="20"/>
        </w:rPr>
        <w:t>oraz fizyko-chemicznych właściwości wybranych bloków eksploracyjnych i obszarów chronionych.</w:t>
      </w:r>
      <w:r w:rsidR="00557927">
        <w:rPr>
          <w:rFonts w:ascii="Arial" w:hAnsi="Arial" w:cs="Arial"/>
          <w:sz w:val="20"/>
          <w:szCs w:val="20"/>
        </w:rPr>
        <w:t xml:space="preserve"> </w:t>
      </w:r>
      <w:r w:rsidRPr="000773A5">
        <w:rPr>
          <w:rFonts w:ascii="Arial" w:hAnsi="Arial" w:cs="Arial"/>
          <w:sz w:val="20"/>
          <w:szCs w:val="20"/>
        </w:rPr>
        <w:t>Badano cztery kategorie: parametry fizyczno-chemiczne oceanograficzne, charakterystyki osadów,</w:t>
      </w:r>
      <w:r w:rsidR="00557927">
        <w:rPr>
          <w:rFonts w:ascii="Arial" w:hAnsi="Arial" w:cs="Arial"/>
          <w:sz w:val="20"/>
          <w:szCs w:val="20"/>
        </w:rPr>
        <w:t xml:space="preserve"> </w:t>
      </w:r>
      <w:r w:rsidRPr="000773A5">
        <w:rPr>
          <w:rFonts w:ascii="Arial" w:hAnsi="Arial" w:cs="Arial"/>
          <w:sz w:val="20"/>
          <w:szCs w:val="20"/>
        </w:rPr>
        <w:t>wody porowe oraz właściwości biologiczne. W tym celu przeprowadzono następujące badania:</w:t>
      </w:r>
      <w:r w:rsidR="00557927">
        <w:rPr>
          <w:rFonts w:ascii="Arial" w:hAnsi="Arial" w:cs="Arial"/>
          <w:sz w:val="20"/>
          <w:szCs w:val="20"/>
        </w:rPr>
        <w:t xml:space="preserve"> </w:t>
      </w:r>
      <w:r w:rsidRPr="000773A5">
        <w:rPr>
          <w:rFonts w:ascii="Arial" w:hAnsi="Arial" w:cs="Arial"/>
          <w:sz w:val="20"/>
          <w:szCs w:val="20"/>
        </w:rPr>
        <w:t>sondowanie wody i pobór prób dla badań fitoplanktonu i zawartości zawiesin metali przy pomocy sondy</w:t>
      </w:r>
      <w:r w:rsidR="00557927">
        <w:rPr>
          <w:rFonts w:ascii="Arial" w:hAnsi="Arial" w:cs="Arial"/>
          <w:sz w:val="20"/>
          <w:szCs w:val="20"/>
        </w:rPr>
        <w:t xml:space="preserve"> </w:t>
      </w:r>
      <w:r w:rsidRPr="000773A5">
        <w:rPr>
          <w:rFonts w:ascii="Arial" w:hAnsi="Arial" w:cs="Arial"/>
          <w:sz w:val="20"/>
          <w:szCs w:val="20"/>
        </w:rPr>
        <w:t>CTD, badania prób podjętych próbnikiem skrzynkowym, badania makrofauny oraz fauny konkrecji,</w:t>
      </w:r>
      <w:r w:rsidR="00557927">
        <w:rPr>
          <w:rFonts w:ascii="Arial" w:hAnsi="Arial" w:cs="Arial"/>
          <w:sz w:val="20"/>
          <w:szCs w:val="20"/>
        </w:rPr>
        <w:t xml:space="preserve"> </w:t>
      </w:r>
      <w:r w:rsidRPr="000773A5">
        <w:rPr>
          <w:rFonts w:ascii="Arial" w:hAnsi="Arial" w:cs="Arial"/>
          <w:sz w:val="20"/>
          <w:szCs w:val="20"/>
        </w:rPr>
        <w:t>pobór prób dla badań molekularnej taksonomii, badania fotograficzne dla określenia struktury</w:t>
      </w:r>
      <w:r w:rsidR="00557927">
        <w:rPr>
          <w:rFonts w:ascii="Arial" w:hAnsi="Arial" w:cs="Arial"/>
          <w:sz w:val="20"/>
          <w:szCs w:val="20"/>
        </w:rPr>
        <w:t xml:space="preserve"> </w:t>
      </w:r>
      <w:r w:rsidRPr="000773A5">
        <w:rPr>
          <w:rFonts w:ascii="Arial" w:hAnsi="Arial" w:cs="Arial"/>
          <w:sz w:val="20"/>
          <w:szCs w:val="20"/>
        </w:rPr>
        <w:t>i bioróżnorodności megafauny. W chwili obecnej pozyskane dane poddawane są analizom w instytutach</w:t>
      </w:r>
      <w:r w:rsidR="00557927">
        <w:rPr>
          <w:rFonts w:ascii="Arial" w:hAnsi="Arial" w:cs="Arial"/>
          <w:sz w:val="20"/>
          <w:szCs w:val="20"/>
        </w:rPr>
        <w:t xml:space="preserve"> </w:t>
      </w:r>
      <w:r w:rsidRPr="000773A5">
        <w:rPr>
          <w:rFonts w:ascii="Arial" w:hAnsi="Arial" w:cs="Arial"/>
          <w:sz w:val="20"/>
          <w:szCs w:val="20"/>
        </w:rPr>
        <w:t>krajów IOM.</w:t>
      </w:r>
    </w:p>
    <w:p w14:paraId="039749D6" w14:textId="46854BDF" w:rsidR="000773A5" w:rsidRPr="004C6CC5" w:rsidRDefault="000773A5" w:rsidP="008D2321">
      <w:pPr>
        <w:spacing w:after="120" w:line="276" w:lineRule="auto"/>
        <w:jc w:val="both"/>
        <w:rPr>
          <w:rFonts w:ascii="Arial" w:hAnsi="Arial" w:cs="Arial"/>
          <w:sz w:val="20"/>
          <w:szCs w:val="20"/>
        </w:rPr>
      </w:pPr>
      <w:r w:rsidRPr="000773A5">
        <w:rPr>
          <w:rFonts w:ascii="Arial" w:hAnsi="Arial" w:cs="Arial"/>
          <w:sz w:val="20"/>
          <w:szCs w:val="20"/>
        </w:rPr>
        <w:t>Podczas 73</w:t>
      </w:r>
      <w:r w:rsidR="001E522D">
        <w:rPr>
          <w:rFonts w:ascii="Arial" w:hAnsi="Arial" w:cs="Arial"/>
          <w:sz w:val="20"/>
          <w:szCs w:val="20"/>
        </w:rPr>
        <w:t>.</w:t>
      </w:r>
      <w:r w:rsidRPr="000773A5">
        <w:rPr>
          <w:rFonts w:ascii="Arial" w:hAnsi="Arial" w:cs="Arial"/>
          <w:sz w:val="20"/>
          <w:szCs w:val="20"/>
        </w:rPr>
        <w:t xml:space="preserve"> posiedzenia Rady IOM </w:t>
      </w:r>
      <w:r w:rsidR="00BC17DA">
        <w:rPr>
          <w:rFonts w:ascii="Arial" w:hAnsi="Arial" w:cs="Arial"/>
          <w:sz w:val="20"/>
          <w:szCs w:val="20"/>
        </w:rPr>
        <w:t xml:space="preserve">w 2019 </w:t>
      </w:r>
      <w:r w:rsidRPr="000773A5">
        <w:rPr>
          <w:rFonts w:ascii="Arial" w:hAnsi="Arial" w:cs="Arial"/>
          <w:sz w:val="20"/>
          <w:szCs w:val="20"/>
        </w:rPr>
        <w:t>r</w:t>
      </w:r>
      <w:r w:rsidR="00BC17DA">
        <w:rPr>
          <w:rFonts w:ascii="Arial" w:hAnsi="Arial" w:cs="Arial"/>
          <w:sz w:val="20"/>
          <w:szCs w:val="20"/>
        </w:rPr>
        <w:t>.</w:t>
      </w:r>
      <w:r w:rsidRPr="000773A5">
        <w:rPr>
          <w:rFonts w:ascii="Arial" w:hAnsi="Arial" w:cs="Arial"/>
          <w:sz w:val="20"/>
          <w:szCs w:val="20"/>
        </w:rPr>
        <w:t xml:space="preserve"> podjęto decyzję o przygotowaniu wniosku</w:t>
      </w:r>
      <w:r w:rsidR="00557927">
        <w:rPr>
          <w:rFonts w:ascii="Arial" w:hAnsi="Arial" w:cs="Arial"/>
          <w:sz w:val="20"/>
          <w:szCs w:val="20"/>
        </w:rPr>
        <w:t xml:space="preserve"> </w:t>
      </w:r>
      <w:r w:rsidRPr="000773A5">
        <w:rPr>
          <w:rFonts w:ascii="Arial" w:hAnsi="Arial" w:cs="Arial"/>
          <w:sz w:val="20"/>
          <w:szCs w:val="20"/>
        </w:rPr>
        <w:t>do Międzynarodowej Organizacji Dna Morskiego o przedłużenie licencji eksploracyjnej na kolejne pięć</w:t>
      </w:r>
      <w:r w:rsidR="00557927">
        <w:rPr>
          <w:rFonts w:ascii="Arial" w:hAnsi="Arial" w:cs="Arial"/>
          <w:sz w:val="20"/>
          <w:szCs w:val="20"/>
        </w:rPr>
        <w:t xml:space="preserve"> </w:t>
      </w:r>
      <w:r w:rsidRPr="000773A5">
        <w:rPr>
          <w:rFonts w:ascii="Arial" w:hAnsi="Arial" w:cs="Arial"/>
          <w:sz w:val="20"/>
          <w:szCs w:val="20"/>
        </w:rPr>
        <w:t xml:space="preserve">lat w okresie 2021 </w:t>
      </w:r>
      <w:r w:rsidR="00BC17DA">
        <w:rPr>
          <w:rFonts w:ascii="Arial" w:hAnsi="Arial" w:cs="Arial"/>
          <w:sz w:val="20"/>
          <w:szCs w:val="20"/>
        </w:rPr>
        <w:t>-</w:t>
      </w:r>
      <w:r w:rsidRPr="000773A5">
        <w:rPr>
          <w:rFonts w:ascii="Arial" w:hAnsi="Arial" w:cs="Arial"/>
          <w:sz w:val="20"/>
          <w:szCs w:val="20"/>
        </w:rPr>
        <w:t xml:space="preserve"> 2026.</w:t>
      </w:r>
    </w:p>
    <w:p w14:paraId="347DA5C9" w14:textId="08158562" w:rsidR="0077537E" w:rsidRPr="00B201DD" w:rsidRDefault="0077537E" w:rsidP="00B201DD">
      <w:pPr>
        <w:pStyle w:val="Nagwek1"/>
        <w:spacing w:before="120" w:after="120"/>
        <w:rPr>
          <w:rFonts w:ascii="Arial" w:hAnsi="Arial" w:cs="Arial"/>
          <w:b/>
          <w:sz w:val="20"/>
          <w:szCs w:val="20"/>
        </w:rPr>
      </w:pPr>
      <w:bookmarkStart w:id="54" w:name="_Toc72745066"/>
      <w:r w:rsidRPr="00B201DD">
        <w:rPr>
          <w:rFonts w:ascii="Arial" w:hAnsi="Arial" w:cs="Arial"/>
          <w:b/>
          <w:color w:val="auto"/>
          <w:sz w:val="20"/>
          <w:szCs w:val="20"/>
        </w:rPr>
        <w:t>SYTUACJA PRZEMYSŁU STOCZNIOWEGO</w:t>
      </w:r>
      <w:r w:rsidR="00C96CD2">
        <w:rPr>
          <w:rFonts w:ascii="Arial" w:hAnsi="Arial" w:cs="Arial"/>
          <w:b/>
          <w:color w:val="auto"/>
          <w:sz w:val="20"/>
          <w:szCs w:val="20"/>
        </w:rPr>
        <w:t>.</w:t>
      </w:r>
      <w:bookmarkEnd w:id="54"/>
      <w:r w:rsidRPr="00B201DD">
        <w:rPr>
          <w:rFonts w:ascii="Arial" w:hAnsi="Arial" w:cs="Arial"/>
          <w:b/>
          <w:color w:val="auto"/>
          <w:sz w:val="20"/>
          <w:szCs w:val="20"/>
        </w:rPr>
        <w:t xml:space="preserve"> </w:t>
      </w:r>
    </w:p>
    <w:p w14:paraId="42142963" w14:textId="1A849DB9" w:rsidR="00482334" w:rsidRPr="00BF572C" w:rsidRDefault="00482334" w:rsidP="00BF572C">
      <w:pPr>
        <w:pStyle w:val="Nagwek2"/>
        <w:spacing w:before="120" w:after="120"/>
        <w:jc w:val="both"/>
        <w:rPr>
          <w:rFonts w:ascii="Arial" w:hAnsi="Arial" w:cs="Arial"/>
          <w:b/>
          <w:color w:val="auto"/>
          <w:sz w:val="20"/>
          <w:szCs w:val="20"/>
        </w:rPr>
      </w:pPr>
      <w:bookmarkStart w:id="55" w:name="_Toc72745067"/>
      <w:r w:rsidRPr="00BF572C">
        <w:rPr>
          <w:rFonts w:ascii="Arial" w:hAnsi="Arial" w:cs="Arial"/>
          <w:b/>
          <w:color w:val="auto"/>
          <w:sz w:val="20"/>
          <w:szCs w:val="20"/>
        </w:rPr>
        <w:t>Światowy rynek stoczniowy w 2019 r.</w:t>
      </w:r>
      <w:bookmarkEnd w:id="55"/>
    </w:p>
    <w:p w14:paraId="4D8B1B1E" w14:textId="09E648CE" w:rsidR="003656A3" w:rsidRPr="004C6CC5" w:rsidRDefault="003656A3" w:rsidP="00B201DD">
      <w:pPr>
        <w:spacing w:before="120" w:after="120" w:line="276" w:lineRule="auto"/>
        <w:jc w:val="both"/>
        <w:rPr>
          <w:rFonts w:ascii="Arial" w:hAnsi="Arial" w:cs="Arial"/>
          <w:sz w:val="20"/>
          <w:szCs w:val="20"/>
        </w:rPr>
      </w:pPr>
      <w:r w:rsidRPr="004C6CC5">
        <w:rPr>
          <w:rFonts w:ascii="Arial" w:hAnsi="Arial" w:cs="Arial"/>
          <w:sz w:val="20"/>
          <w:szCs w:val="20"/>
        </w:rPr>
        <w:t>Światowy rynek stoczniowy</w:t>
      </w:r>
      <w:r w:rsidR="004C6CC5">
        <w:rPr>
          <w:rFonts w:ascii="Arial" w:hAnsi="Arial" w:cs="Arial"/>
          <w:sz w:val="20"/>
          <w:szCs w:val="20"/>
        </w:rPr>
        <w:t xml:space="preserve"> w </w:t>
      </w:r>
      <w:r w:rsidR="00B201DD">
        <w:rPr>
          <w:rFonts w:ascii="Arial" w:hAnsi="Arial" w:cs="Arial"/>
          <w:sz w:val="20"/>
          <w:szCs w:val="20"/>
        </w:rPr>
        <w:t>2019 r.</w:t>
      </w:r>
      <w:r w:rsidRPr="004C6CC5">
        <w:rPr>
          <w:rFonts w:ascii="Arial" w:hAnsi="Arial" w:cs="Arial"/>
          <w:sz w:val="20"/>
          <w:szCs w:val="20"/>
        </w:rPr>
        <w:t xml:space="preserve"> nadal był</w:t>
      </w:r>
      <w:r w:rsidR="004C6CC5">
        <w:rPr>
          <w:rFonts w:ascii="Arial" w:hAnsi="Arial" w:cs="Arial"/>
          <w:sz w:val="20"/>
          <w:szCs w:val="20"/>
        </w:rPr>
        <w:t xml:space="preserve"> w </w:t>
      </w:r>
      <w:r w:rsidRPr="004C6CC5">
        <w:rPr>
          <w:rFonts w:ascii="Arial" w:hAnsi="Arial" w:cs="Arial"/>
          <w:sz w:val="20"/>
          <w:szCs w:val="20"/>
        </w:rPr>
        <w:t>głębokim kryzysie. Portfel zamówień na nowe statki osiągnął nowe, historyczne minimalne wartości, a liczba nowych zamówień znów spadła</w:t>
      </w:r>
      <w:r w:rsidR="004C6CC5">
        <w:rPr>
          <w:rFonts w:ascii="Arial" w:hAnsi="Arial" w:cs="Arial"/>
          <w:sz w:val="20"/>
          <w:szCs w:val="20"/>
        </w:rPr>
        <w:t xml:space="preserve"> w </w:t>
      </w:r>
      <w:r w:rsidRPr="004C6CC5">
        <w:rPr>
          <w:rFonts w:ascii="Arial" w:hAnsi="Arial" w:cs="Arial"/>
          <w:sz w:val="20"/>
          <w:szCs w:val="20"/>
        </w:rPr>
        <w:t>stosunku do poprze</w:t>
      </w:r>
      <w:r w:rsidR="00F11228">
        <w:rPr>
          <w:rFonts w:ascii="Arial" w:hAnsi="Arial" w:cs="Arial"/>
          <w:sz w:val="20"/>
          <w:szCs w:val="20"/>
        </w:rPr>
        <w:t xml:space="preserve">dniego roku. Wzrosła natomiast </w:t>
      </w:r>
      <w:r w:rsidRPr="004C6CC5">
        <w:rPr>
          <w:rFonts w:ascii="Arial" w:hAnsi="Arial" w:cs="Arial"/>
          <w:sz w:val="20"/>
          <w:szCs w:val="20"/>
        </w:rPr>
        <w:t>nieco wielkość produkcji nowych statków, co jest wynikiem wzrostu nowych zamówień</w:t>
      </w:r>
      <w:r w:rsidR="004C6CC5">
        <w:rPr>
          <w:rFonts w:ascii="Arial" w:hAnsi="Arial" w:cs="Arial"/>
          <w:sz w:val="20"/>
          <w:szCs w:val="20"/>
        </w:rPr>
        <w:t xml:space="preserve"> w </w:t>
      </w:r>
      <w:r w:rsidRPr="004C6CC5">
        <w:rPr>
          <w:rFonts w:ascii="Arial" w:hAnsi="Arial" w:cs="Arial"/>
          <w:sz w:val="20"/>
          <w:szCs w:val="20"/>
        </w:rPr>
        <w:t>latach 2017</w:t>
      </w:r>
      <w:r w:rsidR="00F11228">
        <w:rPr>
          <w:rFonts w:ascii="Arial" w:hAnsi="Arial" w:cs="Arial"/>
          <w:sz w:val="20"/>
          <w:szCs w:val="20"/>
        </w:rPr>
        <w:t xml:space="preserve"> </w:t>
      </w:r>
      <w:r w:rsidRPr="004C6CC5">
        <w:rPr>
          <w:rFonts w:ascii="Arial" w:hAnsi="Arial" w:cs="Arial"/>
          <w:sz w:val="20"/>
          <w:szCs w:val="20"/>
        </w:rPr>
        <w:t>-</w:t>
      </w:r>
      <w:r w:rsidR="00F11228">
        <w:rPr>
          <w:rFonts w:ascii="Arial" w:hAnsi="Arial" w:cs="Arial"/>
          <w:sz w:val="20"/>
          <w:szCs w:val="20"/>
        </w:rPr>
        <w:t xml:space="preserve"> </w:t>
      </w:r>
      <w:r w:rsidRPr="004C6CC5">
        <w:rPr>
          <w:rFonts w:ascii="Arial" w:hAnsi="Arial" w:cs="Arial"/>
          <w:sz w:val="20"/>
          <w:szCs w:val="20"/>
        </w:rPr>
        <w:t>2018. Ceny na nowe statki pozostały stabilne, a indeks cen ut</w:t>
      </w:r>
      <w:r w:rsidR="00F11228">
        <w:rPr>
          <w:rFonts w:ascii="Arial" w:hAnsi="Arial" w:cs="Arial"/>
          <w:sz w:val="20"/>
          <w:szCs w:val="20"/>
        </w:rPr>
        <w:t>rzymał się na poziomie 2018 r</w:t>
      </w:r>
      <w:r w:rsidRPr="004C6CC5">
        <w:rPr>
          <w:rFonts w:ascii="Arial" w:hAnsi="Arial" w:cs="Arial"/>
          <w:sz w:val="20"/>
          <w:szCs w:val="20"/>
        </w:rPr>
        <w:t>.</w:t>
      </w:r>
    </w:p>
    <w:p w14:paraId="3D70F20C" w14:textId="4DECB361"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Najsłabszym punktem światowego rynku okrętowego</w:t>
      </w:r>
      <w:r w:rsidR="004C6CC5">
        <w:rPr>
          <w:rFonts w:ascii="Arial" w:hAnsi="Arial" w:cs="Arial"/>
          <w:sz w:val="20"/>
          <w:szCs w:val="20"/>
        </w:rPr>
        <w:t xml:space="preserve"> w </w:t>
      </w:r>
      <w:r w:rsidR="00F11228">
        <w:rPr>
          <w:rFonts w:ascii="Arial" w:hAnsi="Arial" w:cs="Arial"/>
          <w:sz w:val="20"/>
          <w:szCs w:val="20"/>
        </w:rPr>
        <w:t>2019 r.</w:t>
      </w:r>
      <w:r w:rsidRPr="004C6CC5">
        <w:rPr>
          <w:rFonts w:ascii="Arial" w:hAnsi="Arial" w:cs="Arial"/>
          <w:sz w:val="20"/>
          <w:szCs w:val="20"/>
        </w:rPr>
        <w:t>, podobnie jak</w:t>
      </w:r>
      <w:r w:rsidR="004C6CC5">
        <w:rPr>
          <w:rFonts w:ascii="Arial" w:hAnsi="Arial" w:cs="Arial"/>
          <w:sz w:val="20"/>
          <w:szCs w:val="20"/>
        </w:rPr>
        <w:t xml:space="preserve"> w </w:t>
      </w:r>
      <w:r w:rsidR="00F11228">
        <w:rPr>
          <w:rFonts w:ascii="Arial" w:hAnsi="Arial" w:cs="Arial"/>
          <w:sz w:val="20"/>
          <w:szCs w:val="20"/>
        </w:rPr>
        <w:t>latach poprzednich</w:t>
      </w:r>
      <w:r w:rsidRPr="004C6CC5">
        <w:rPr>
          <w:rFonts w:ascii="Arial" w:hAnsi="Arial" w:cs="Arial"/>
          <w:sz w:val="20"/>
          <w:szCs w:val="20"/>
        </w:rPr>
        <w:t xml:space="preserve"> była bardzo niska liczba kontraktów na nowe statki, co</w:t>
      </w:r>
      <w:r w:rsidR="004C6CC5">
        <w:rPr>
          <w:rFonts w:ascii="Arial" w:hAnsi="Arial" w:cs="Arial"/>
          <w:sz w:val="20"/>
          <w:szCs w:val="20"/>
        </w:rPr>
        <w:t xml:space="preserve"> w </w:t>
      </w:r>
      <w:r w:rsidRPr="004C6CC5">
        <w:rPr>
          <w:rFonts w:ascii="Arial" w:hAnsi="Arial" w:cs="Arial"/>
          <w:sz w:val="20"/>
          <w:szCs w:val="20"/>
        </w:rPr>
        <w:t>konsekwencji doprowadziło do zmniejszen</w:t>
      </w:r>
      <w:r w:rsidR="003D092C">
        <w:rPr>
          <w:rFonts w:ascii="Arial" w:hAnsi="Arial" w:cs="Arial"/>
          <w:sz w:val="20"/>
          <w:szCs w:val="20"/>
        </w:rPr>
        <w:t xml:space="preserve">ia światowego portfela zamówień w </w:t>
      </w:r>
      <w:r w:rsidR="00F11228">
        <w:rPr>
          <w:rFonts w:ascii="Arial" w:hAnsi="Arial" w:cs="Arial"/>
          <w:sz w:val="20"/>
          <w:szCs w:val="20"/>
        </w:rPr>
        <w:t>stosunku do 2018 r.</w:t>
      </w:r>
      <w:r w:rsidRPr="004C6CC5">
        <w:rPr>
          <w:rFonts w:ascii="Arial" w:hAnsi="Arial" w:cs="Arial"/>
          <w:sz w:val="20"/>
          <w:szCs w:val="20"/>
        </w:rPr>
        <w:t xml:space="preserve"> o około 17,4% pod względem nośności, a pod względem liczby o około 16,5%.</w:t>
      </w:r>
    </w:p>
    <w:p w14:paraId="4BCCF5E7" w14:textId="47BB41D1"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W tej trudnej sytuacji na światowym rynku okrętowym trudno dostrzec pozytywne aspekty.</w:t>
      </w:r>
      <w:r w:rsidR="00CE1A87">
        <w:rPr>
          <w:rFonts w:ascii="Arial" w:hAnsi="Arial" w:cs="Arial"/>
          <w:sz w:val="20"/>
          <w:szCs w:val="20"/>
        </w:rPr>
        <w:t xml:space="preserve"> W</w:t>
      </w:r>
      <w:r w:rsidR="004C6CC5">
        <w:rPr>
          <w:rFonts w:ascii="Arial" w:hAnsi="Arial" w:cs="Arial"/>
          <w:sz w:val="20"/>
          <w:szCs w:val="20"/>
        </w:rPr>
        <w:t> </w:t>
      </w:r>
      <w:r w:rsidR="00CE1A87">
        <w:rPr>
          <w:rFonts w:ascii="Arial" w:hAnsi="Arial" w:cs="Arial"/>
          <w:sz w:val="20"/>
          <w:szCs w:val="20"/>
        </w:rPr>
        <w:t>2019 r. wzrosła co prawda</w:t>
      </w:r>
      <w:r w:rsidRPr="004C6CC5">
        <w:rPr>
          <w:rFonts w:ascii="Arial" w:hAnsi="Arial" w:cs="Arial"/>
          <w:sz w:val="20"/>
          <w:szCs w:val="20"/>
        </w:rPr>
        <w:t xml:space="preserve"> produkc</w:t>
      </w:r>
      <w:r w:rsidR="00CE1A87">
        <w:rPr>
          <w:rFonts w:ascii="Arial" w:hAnsi="Arial" w:cs="Arial"/>
          <w:sz w:val="20"/>
          <w:szCs w:val="20"/>
        </w:rPr>
        <w:t xml:space="preserve">ja nowych statków </w:t>
      </w:r>
      <w:r w:rsidRPr="004C6CC5">
        <w:rPr>
          <w:rFonts w:ascii="Arial" w:hAnsi="Arial" w:cs="Arial"/>
          <w:sz w:val="20"/>
          <w:szCs w:val="20"/>
        </w:rPr>
        <w:t>o 6,3% pod względem liczby statków, 6,1% pod względem CGT</w:t>
      </w:r>
      <w:r w:rsidR="004C6CC5">
        <w:rPr>
          <w:rFonts w:ascii="Arial" w:hAnsi="Arial" w:cs="Arial"/>
          <w:sz w:val="20"/>
          <w:szCs w:val="20"/>
        </w:rPr>
        <w:t xml:space="preserve"> i </w:t>
      </w:r>
      <w:r w:rsidRPr="004C6CC5">
        <w:rPr>
          <w:rFonts w:ascii="Arial" w:hAnsi="Arial" w:cs="Arial"/>
          <w:sz w:val="20"/>
          <w:szCs w:val="20"/>
        </w:rPr>
        <w:t>o 21,9% pod względem nośności, jednak jest to wzrost spowodowany nieznacznym zwiększeniem nowych zamówień</w:t>
      </w:r>
      <w:r w:rsidR="004C6CC5">
        <w:rPr>
          <w:rFonts w:ascii="Arial" w:hAnsi="Arial" w:cs="Arial"/>
          <w:sz w:val="20"/>
          <w:szCs w:val="20"/>
        </w:rPr>
        <w:t xml:space="preserve"> w </w:t>
      </w:r>
      <w:r w:rsidRPr="004C6CC5">
        <w:rPr>
          <w:rFonts w:ascii="Arial" w:hAnsi="Arial" w:cs="Arial"/>
          <w:sz w:val="20"/>
          <w:szCs w:val="20"/>
        </w:rPr>
        <w:t>poprzednich dwóch latach, który nie wpłynął znacząco na wielkość całego portfela zamówień.</w:t>
      </w:r>
    </w:p>
    <w:p w14:paraId="297A5E26" w14:textId="3AAB7BF5"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O ponad trzy punkty procentowe wzrósł również udział</w:t>
      </w:r>
      <w:r w:rsidR="004C6CC5">
        <w:rPr>
          <w:rFonts w:ascii="Arial" w:hAnsi="Arial" w:cs="Arial"/>
          <w:sz w:val="20"/>
          <w:szCs w:val="20"/>
        </w:rPr>
        <w:t xml:space="preserve"> w </w:t>
      </w:r>
      <w:r w:rsidRPr="004C6CC5">
        <w:rPr>
          <w:rFonts w:ascii="Arial" w:hAnsi="Arial" w:cs="Arial"/>
          <w:sz w:val="20"/>
          <w:szCs w:val="20"/>
        </w:rPr>
        <w:t>światowym portfelu zamówień (pod względem CGT) stoczni europejskich</w:t>
      </w:r>
      <w:r w:rsidR="004C6CC5">
        <w:rPr>
          <w:rFonts w:ascii="Arial" w:hAnsi="Arial" w:cs="Arial"/>
          <w:sz w:val="20"/>
          <w:szCs w:val="20"/>
        </w:rPr>
        <w:t xml:space="preserve"> </w:t>
      </w:r>
      <w:r w:rsidR="00316B83">
        <w:rPr>
          <w:rFonts w:ascii="Arial" w:hAnsi="Arial" w:cs="Arial"/>
          <w:sz w:val="20"/>
          <w:szCs w:val="20"/>
        </w:rPr>
        <w:t xml:space="preserve">- </w:t>
      </w:r>
      <w:r w:rsidR="004C6CC5">
        <w:rPr>
          <w:rFonts w:ascii="Arial" w:hAnsi="Arial" w:cs="Arial"/>
          <w:sz w:val="20"/>
          <w:szCs w:val="20"/>
        </w:rPr>
        <w:t>z </w:t>
      </w:r>
      <w:r w:rsidRPr="004C6CC5">
        <w:rPr>
          <w:rFonts w:ascii="Arial" w:hAnsi="Arial" w:cs="Arial"/>
          <w:sz w:val="20"/>
          <w:szCs w:val="20"/>
        </w:rPr>
        <w:t>13,9% na koniec 2018 r</w:t>
      </w:r>
      <w:r w:rsidR="00DD26AE">
        <w:rPr>
          <w:rFonts w:ascii="Arial" w:hAnsi="Arial" w:cs="Arial"/>
          <w:sz w:val="20"/>
          <w:szCs w:val="20"/>
        </w:rPr>
        <w:t>. do 16,7</w:t>
      </w:r>
      <w:r w:rsidR="00316B83">
        <w:rPr>
          <w:rFonts w:ascii="Arial" w:hAnsi="Arial" w:cs="Arial"/>
          <w:sz w:val="20"/>
          <w:szCs w:val="20"/>
        </w:rPr>
        <w:t>% na koniec 2019 r.</w:t>
      </w:r>
      <w:r w:rsidR="004C6CC5">
        <w:rPr>
          <w:rFonts w:ascii="Arial" w:hAnsi="Arial" w:cs="Arial"/>
          <w:sz w:val="20"/>
          <w:szCs w:val="20"/>
        </w:rPr>
        <w:t xml:space="preserve"> i </w:t>
      </w:r>
      <w:r w:rsidRPr="004C6CC5">
        <w:rPr>
          <w:rFonts w:ascii="Arial" w:hAnsi="Arial" w:cs="Arial"/>
          <w:sz w:val="20"/>
          <w:szCs w:val="20"/>
        </w:rPr>
        <w:t>to pomimo tylko nieznacznego zwiększenia wielkości tego portfela.</w:t>
      </w:r>
      <w:r w:rsidR="00316B83">
        <w:rPr>
          <w:rFonts w:ascii="Arial" w:hAnsi="Arial" w:cs="Arial"/>
          <w:sz w:val="20"/>
          <w:szCs w:val="20"/>
        </w:rPr>
        <w:t xml:space="preserve"> W</w:t>
      </w:r>
      <w:r w:rsidR="004C6CC5">
        <w:rPr>
          <w:rFonts w:ascii="Arial" w:hAnsi="Arial" w:cs="Arial"/>
          <w:sz w:val="20"/>
          <w:szCs w:val="20"/>
        </w:rPr>
        <w:t> </w:t>
      </w:r>
      <w:r w:rsidR="00316B83">
        <w:rPr>
          <w:rFonts w:ascii="Arial" w:hAnsi="Arial" w:cs="Arial"/>
          <w:sz w:val="20"/>
          <w:szCs w:val="20"/>
        </w:rPr>
        <w:t>2019 r.</w:t>
      </w:r>
      <w:r w:rsidRPr="004C6CC5">
        <w:rPr>
          <w:rFonts w:ascii="Arial" w:hAnsi="Arial" w:cs="Arial"/>
          <w:sz w:val="20"/>
          <w:szCs w:val="20"/>
        </w:rPr>
        <w:t xml:space="preserve"> nastąpiło również zwiększenie wielkości produkcji nowych statków</w:t>
      </w:r>
      <w:r w:rsidR="004C6CC5">
        <w:rPr>
          <w:rFonts w:ascii="Arial" w:hAnsi="Arial" w:cs="Arial"/>
          <w:sz w:val="20"/>
          <w:szCs w:val="20"/>
        </w:rPr>
        <w:t xml:space="preserve"> w </w:t>
      </w:r>
      <w:r w:rsidRPr="004C6CC5">
        <w:rPr>
          <w:rFonts w:ascii="Arial" w:hAnsi="Arial" w:cs="Arial"/>
          <w:sz w:val="20"/>
          <w:szCs w:val="20"/>
        </w:rPr>
        <w:t>stoczniach europejskich pod względem liczby jednostek</w:t>
      </w:r>
      <w:r w:rsidR="004C6CC5">
        <w:rPr>
          <w:rFonts w:ascii="Arial" w:hAnsi="Arial" w:cs="Arial"/>
          <w:sz w:val="20"/>
          <w:szCs w:val="20"/>
        </w:rPr>
        <w:t xml:space="preserve"> i </w:t>
      </w:r>
      <w:r w:rsidRPr="004C6CC5">
        <w:rPr>
          <w:rFonts w:ascii="Arial" w:hAnsi="Arial" w:cs="Arial"/>
          <w:sz w:val="20"/>
          <w:szCs w:val="20"/>
        </w:rPr>
        <w:t>CGT oraz ich łącznej wartości.</w:t>
      </w:r>
    </w:p>
    <w:p w14:paraId="369FD66F" w14:textId="30F9325F" w:rsidR="003656A3" w:rsidRDefault="00316B83" w:rsidP="008D2321">
      <w:pPr>
        <w:spacing w:after="120" w:line="276" w:lineRule="auto"/>
        <w:jc w:val="both"/>
        <w:rPr>
          <w:rFonts w:ascii="Arial" w:hAnsi="Arial" w:cs="Arial"/>
          <w:sz w:val="20"/>
          <w:szCs w:val="20"/>
        </w:rPr>
      </w:pPr>
      <w:r>
        <w:rPr>
          <w:rFonts w:ascii="Arial" w:hAnsi="Arial" w:cs="Arial"/>
          <w:sz w:val="20"/>
          <w:szCs w:val="20"/>
        </w:rPr>
        <w:t>W 2019 r.</w:t>
      </w:r>
      <w:r w:rsidR="003656A3" w:rsidRPr="004C6CC5">
        <w:rPr>
          <w:rFonts w:ascii="Arial" w:hAnsi="Arial" w:cs="Arial"/>
          <w:sz w:val="20"/>
          <w:szCs w:val="20"/>
        </w:rPr>
        <w:t xml:space="preserve"> wycofano</w:t>
      </w:r>
      <w:r w:rsidR="004C6CC5">
        <w:rPr>
          <w:rFonts w:ascii="Arial" w:hAnsi="Arial" w:cs="Arial"/>
          <w:sz w:val="20"/>
          <w:szCs w:val="20"/>
        </w:rPr>
        <w:t xml:space="preserve"> z </w:t>
      </w:r>
      <w:r w:rsidR="003656A3" w:rsidRPr="004C6CC5">
        <w:rPr>
          <w:rFonts w:ascii="Arial" w:hAnsi="Arial" w:cs="Arial"/>
          <w:sz w:val="20"/>
          <w:szCs w:val="20"/>
        </w:rPr>
        <w:t>eksploatacji</w:t>
      </w:r>
      <w:r w:rsidR="004C6CC5">
        <w:rPr>
          <w:rFonts w:ascii="Arial" w:hAnsi="Arial" w:cs="Arial"/>
          <w:sz w:val="20"/>
          <w:szCs w:val="20"/>
        </w:rPr>
        <w:t xml:space="preserve"> i </w:t>
      </w:r>
      <w:r w:rsidR="003656A3" w:rsidRPr="004C6CC5">
        <w:rPr>
          <w:rFonts w:ascii="Arial" w:hAnsi="Arial" w:cs="Arial"/>
          <w:sz w:val="20"/>
          <w:szCs w:val="20"/>
        </w:rPr>
        <w:t>oddano do recyklingu o około 25% mniej jednostek (pod względem liczby)</w:t>
      </w:r>
      <w:r>
        <w:rPr>
          <w:rFonts w:ascii="Arial" w:hAnsi="Arial" w:cs="Arial"/>
          <w:sz w:val="20"/>
          <w:szCs w:val="20"/>
        </w:rPr>
        <w:t>,</w:t>
      </w:r>
      <w:r w:rsidR="003656A3" w:rsidRPr="004C6CC5">
        <w:rPr>
          <w:rFonts w:ascii="Arial" w:hAnsi="Arial" w:cs="Arial"/>
          <w:sz w:val="20"/>
          <w:szCs w:val="20"/>
        </w:rPr>
        <w:t xml:space="preserve"> niż</w:t>
      </w:r>
      <w:r w:rsidR="004C6CC5">
        <w:rPr>
          <w:rFonts w:ascii="Arial" w:hAnsi="Arial" w:cs="Arial"/>
          <w:sz w:val="20"/>
          <w:szCs w:val="20"/>
        </w:rPr>
        <w:t xml:space="preserve"> w </w:t>
      </w:r>
      <w:r>
        <w:rPr>
          <w:rFonts w:ascii="Arial" w:hAnsi="Arial" w:cs="Arial"/>
          <w:sz w:val="20"/>
          <w:szCs w:val="20"/>
        </w:rPr>
        <w:t>2018 r.</w:t>
      </w:r>
      <w:r w:rsidR="00030B48">
        <w:rPr>
          <w:rFonts w:ascii="Arial" w:hAnsi="Arial" w:cs="Arial"/>
          <w:sz w:val="20"/>
          <w:szCs w:val="20"/>
        </w:rPr>
        <w:t xml:space="preserve"> i </w:t>
      </w:r>
      <w:r w:rsidR="003656A3" w:rsidRPr="004C6CC5">
        <w:rPr>
          <w:rFonts w:ascii="Arial" w:hAnsi="Arial" w:cs="Arial"/>
          <w:sz w:val="20"/>
          <w:szCs w:val="20"/>
        </w:rPr>
        <w:t>o 45% mnie</w:t>
      </w:r>
      <w:r>
        <w:rPr>
          <w:rFonts w:ascii="Arial" w:hAnsi="Arial" w:cs="Arial"/>
          <w:sz w:val="20"/>
          <w:szCs w:val="20"/>
        </w:rPr>
        <w:t>jszej łącznej nośności.</w:t>
      </w:r>
      <w:r w:rsidR="003656A3" w:rsidRPr="004C6CC5">
        <w:rPr>
          <w:rFonts w:ascii="Arial" w:hAnsi="Arial" w:cs="Arial"/>
          <w:sz w:val="20"/>
          <w:szCs w:val="20"/>
        </w:rPr>
        <w:t xml:space="preserve"> Wzrósł nieco średni wiek złomowanych jednostek.</w:t>
      </w:r>
    </w:p>
    <w:p w14:paraId="4D9F1E0D" w14:textId="6B357541" w:rsidR="00811ECC" w:rsidRPr="003729A5" w:rsidRDefault="00811ECC" w:rsidP="009B5E61">
      <w:pPr>
        <w:pStyle w:val="Nagwek2"/>
        <w:spacing w:before="120" w:after="120"/>
        <w:jc w:val="both"/>
        <w:rPr>
          <w:rFonts w:ascii="Arial" w:hAnsi="Arial" w:cs="Arial"/>
          <w:b/>
          <w:color w:val="auto"/>
          <w:sz w:val="20"/>
          <w:szCs w:val="20"/>
        </w:rPr>
      </w:pPr>
      <w:bookmarkStart w:id="56" w:name="_Toc72745068"/>
      <w:r w:rsidRPr="003729A5">
        <w:rPr>
          <w:rFonts w:ascii="Arial" w:hAnsi="Arial" w:cs="Arial"/>
          <w:b/>
          <w:color w:val="auto"/>
          <w:sz w:val="20"/>
          <w:szCs w:val="20"/>
        </w:rPr>
        <w:t>Sytuacja polskich stoczni w 2019 r.</w:t>
      </w:r>
      <w:bookmarkEnd w:id="56"/>
    </w:p>
    <w:p w14:paraId="0B39DA11" w14:textId="77777777" w:rsidR="00811ECC" w:rsidRPr="00811ECC" w:rsidRDefault="00811ECC" w:rsidP="00811ECC">
      <w:pPr>
        <w:spacing w:after="120" w:line="276" w:lineRule="auto"/>
        <w:jc w:val="both"/>
        <w:rPr>
          <w:rFonts w:ascii="Arial" w:hAnsi="Arial" w:cs="Arial"/>
          <w:sz w:val="20"/>
          <w:szCs w:val="20"/>
        </w:rPr>
      </w:pPr>
      <w:r w:rsidRPr="00811ECC">
        <w:rPr>
          <w:rFonts w:ascii="Arial" w:hAnsi="Arial" w:cs="Arial"/>
          <w:sz w:val="20"/>
          <w:szCs w:val="20"/>
        </w:rPr>
        <w:t xml:space="preserve">W 2019 r. polskie stocznie funkcjonowały na tle trudnego rynku światowego, ale polska branża stoczniowa utrzymywała zdolność do realizacji i pozyskiwania kontraktów. Należy przy tym podkreślić, że firmy zaplecza kooperacyjnego swoimi możliwościami zdecydowanie przekraczają możliwości absorbcji ich potencjału przez polskie stocznie, zarówno te nowo budujące, jak i remontowe. Dlatego stanowią również zaplecze kooperacyjne innych stoczni w Europie, m.in. w zakresie wytwarzania konstrukcji stalowych, sekcji oraz bloków kadłubowych. </w:t>
      </w:r>
    </w:p>
    <w:p w14:paraId="456F85F5" w14:textId="2B8FCAAB" w:rsidR="00811ECC" w:rsidRPr="00811ECC" w:rsidRDefault="00811ECC" w:rsidP="00811ECC">
      <w:pPr>
        <w:spacing w:after="120" w:line="276" w:lineRule="auto"/>
        <w:jc w:val="both"/>
        <w:rPr>
          <w:rFonts w:ascii="Arial" w:hAnsi="Arial" w:cs="Arial"/>
          <w:sz w:val="20"/>
          <w:szCs w:val="20"/>
        </w:rPr>
      </w:pPr>
      <w:r w:rsidRPr="00811ECC">
        <w:rPr>
          <w:rFonts w:ascii="Arial" w:hAnsi="Arial" w:cs="Arial"/>
          <w:sz w:val="20"/>
          <w:szCs w:val="20"/>
        </w:rPr>
        <w:t xml:space="preserve">Według danych </w:t>
      </w:r>
      <w:r w:rsidR="00277835">
        <w:rPr>
          <w:rFonts w:ascii="Arial" w:hAnsi="Arial" w:cs="Arial"/>
          <w:sz w:val="20"/>
          <w:szCs w:val="20"/>
        </w:rPr>
        <w:t xml:space="preserve">i opracowań </w:t>
      </w:r>
      <w:r w:rsidRPr="00811ECC">
        <w:rPr>
          <w:rFonts w:ascii="Arial" w:hAnsi="Arial" w:cs="Arial"/>
          <w:sz w:val="20"/>
          <w:szCs w:val="20"/>
        </w:rPr>
        <w:t xml:space="preserve">będących w posiadaniu MGMiŻŚ na koniec roku 2019 polskie stocznie wybudowały przynajmniej 5 jednostek: 2 kontenerowce, 2 statki rybackie oraz 1 prom. Na koniec </w:t>
      </w:r>
      <w:r w:rsidR="00065C5D">
        <w:rPr>
          <w:rFonts w:ascii="Arial" w:hAnsi="Arial" w:cs="Arial"/>
          <w:sz w:val="20"/>
          <w:szCs w:val="20"/>
        </w:rPr>
        <w:br/>
      </w:r>
      <w:r w:rsidRPr="00811ECC">
        <w:rPr>
          <w:rFonts w:ascii="Arial" w:hAnsi="Arial" w:cs="Arial"/>
          <w:sz w:val="20"/>
          <w:szCs w:val="20"/>
        </w:rPr>
        <w:lastRenderedPageBreak/>
        <w:t>2019 r. polskie stocznie dysponowały zamówieniami na 24 statki, o łącznym tonażu skompensowanym brutto na poziomie znacznie ponad 75,9 tys. CGT. Na eksport zostało przekazanych 12 jednostek.</w:t>
      </w:r>
    </w:p>
    <w:p w14:paraId="5BAE461C" w14:textId="1D177A40" w:rsidR="00811ECC" w:rsidRPr="00811ECC" w:rsidRDefault="00811ECC" w:rsidP="00811ECC">
      <w:pPr>
        <w:spacing w:after="120" w:line="276" w:lineRule="auto"/>
        <w:jc w:val="both"/>
        <w:rPr>
          <w:rFonts w:ascii="Arial" w:hAnsi="Arial" w:cs="Arial"/>
          <w:sz w:val="20"/>
          <w:szCs w:val="20"/>
        </w:rPr>
      </w:pPr>
      <w:r w:rsidRPr="00811ECC">
        <w:rPr>
          <w:rFonts w:ascii="Arial" w:hAnsi="Arial" w:cs="Arial"/>
          <w:sz w:val="20"/>
          <w:szCs w:val="20"/>
        </w:rPr>
        <w:t>Polskie stocznie nadal, podobnie jak w latach poprzednich, specjalizowały się w budowie kadłubów całkowicie lub częściowo wyposażonych. W 2019 r. zleceniodawcom przekazano aż 38 kadłubów, co stanowi ponad dwukrotny wzrost w stosunku do roku ubiegłego (18 kadłubów). Najwięcej zbudowano kadłubów statków rybackich (24), a w drugiej kolejności innych statków nietowarowych. W 2019 r. w polskich stoczniach powstał także kadłub jednego promu ora</w:t>
      </w:r>
      <w:r w:rsidR="00277835">
        <w:rPr>
          <w:rFonts w:ascii="Arial" w:hAnsi="Arial" w:cs="Arial"/>
          <w:sz w:val="20"/>
          <w:szCs w:val="20"/>
        </w:rPr>
        <w:t>z jednego statku pasażerskiego.</w:t>
      </w:r>
    </w:p>
    <w:p w14:paraId="47C48420" w14:textId="0759C729" w:rsidR="00811ECC" w:rsidRPr="00811ECC" w:rsidRDefault="00811ECC" w:rsidP="00811ECC">
      <w:pPr>
        <w:spacing w:after="120" w:line="276" w:lineRule="auto"/>
        <w:jc w:val="both"/>
        <w:rPr>
          <w:rFonts w:ascii="Arial" w:hAnsi="Arial" w:cs="Arial"/>
          <w:sz w:val="20"/>
          <w:szCs w:val="20"/>
        </w:rPr>
      </w:pPr>
      <w:r w:rsidRPr="00811ECC">
        <w:rPr>
          <w:rFonts w:ascii="Arial" w:hAnsi="Arial" w:cs="Arial"/>
          <w:sz w:val="20"/>
          <w:szCs w:val="20"/>
        </w:rPr>
        <w:t xml:space="preserve">Na koniec 2019 roku polskie stocznie dysponowały zamówieniami na 55 kadłubów dla jednostek: rybackich (35), innych statków nietowarowych (17), statków pasażerskich (2) i promu (1). To również ponad dwukrotny wzrost w stosunku do roku 2018, w którym stocznie miały 21 kadłubów w portfelu zamówień na koniec roku. Należy podkreślić, że wszystkie ww. kadłuby z portfela zamówień przeznaczone </w:t>
      </w:r>
      <w:r w:rsidR="00A00010">
        <w:rPr>
          <w:rFonts w:ascii="Arial" w:hAnsi="Arial" w:cs="Arial"/>
          <w:sz w:val="20"/>
          <w:szCs w:val="20"/>
        </w:rPr>
        <w:t>były</w:t>
      </w:r>
      <w:r w:rsidRPr="00811ECC">
        <w:rPr>
          <w:rFonts w:ascii="Arial" w:hAnsi="Arial" w:cs="Arial"/>
          <w:sz w:val="20"/>
          <w:szCs w:val="20"/>
        </w:rPr>
        <w:t xml:space="preserve"> na eksport.</w:t>
      </w:r>
    </w:p>
    <w:p w14:paraId="590DA54D" w14:textId="56A72518" w:rsidR="00811ECC" w:rsidRPr="00811ECC" w:rsidRDefault="00811ECC" w:rsidP="00811ECC">
      <w:pPr>
        <w:spacing w:after="120" w:line="276" w:lineRule="auto"/>
        <w:jc w:val="both"/>
        <w:rPr>
          <w:rFonts w:ascii="Arial" w:hAnsi="Arial" w:cs="Arial"/>
          <w:sz w:val="20"/>
          <w:szCs w:val="20"/>
        </w:rPr>
      </w:pPr>
      <w:r w:rsidRPr="00811ECC">
        <w:rPr>
          <w:rFonts w:ascii="Arial" w:hAnsi="Arial" w:cs="Arial"/>
          <w:sz w:val="20"/>
          <w:szCs w:val="20"/>
        </w:rPr>
        <w:t>W 2019 r. polskie stoczn</w:t>
      </w:r>
      <w:r w:rsidR="00A00010">
        <w:rPr>
          <w:rFonts w:ascii="Arial" w:hAnsi="Arial" w:cs="Arial"/>
          <w:sz w:val="20"/>
          <w:szCs w:val="20"/>
        </w:rPr>
        <w:t>ie wykonały łącznie 504 remonty</w:t>
      </w:r>
      <w:r w:rsidRPr="00811ECC">
        <w:rPr>
          <w:rFonts w:ascii="Arial" w:hAnsi="Arial" w:cs="Arial"/>
          <w:sz w:val="20"/>
          <w:szCs w:val="20"/>
        </w:rPr>
        <w:t xml:space="preserve"> o wartości 292,2 mln USD, z czego ponad 85% stanowiły remonty eksportowe (pod względem liczby). Dane liczbowe za 2018 rok są bardzo podobne </w:t>
      </w:r>
      <w:r w:rsidR="00A00010">
        <w:rPr>
          <w:rFonts w:ascii="Arial" w:hAnsi="Arial" w:cs="Arial"/>
          <w:sz w:val="20"/>
          <w:szCs w:val="20"/>
        </w:rPr>
        <w:t>-</w:t>
      </w:r>
      <w:r w:rsidRPr="00811ECC">
        <w:rPr>
          <w:rFonts w:ascii="Arial" w:hAnsi="Arial" w:cs="Arial"/>
          <w:sz w:val="20"/>
          <w:szCs w:val="20"/>
        </w:rPr>
        <w:t xml:space="preserve"> wykonano łącznie 527 remontów, w tym 82% remontów na eksport.</w:t>
      </w:r>
    </w:p>
    <w:p w14:paraId="6C50C956" w14:textId="11BAD943" w:rsidR="00811ECC" w:rsidRDefault="00811ECC" w:rsidP="008D2321">
      <w:pPr>
        <w:spacing w:after="120" w:line="276" w:lineRule="auto"/>
        <w:jc w:val="both"/>
        <w:rPr>
          <w:rFonts w:ascii="Arial" w:hAnsi="Arial" w:cs="Arial"/>
          <w:sz w:val="20"/>
          <w:szCs w:val="20"/>
        </w:rPr>
      </w:pPr>
      <w:r w:rsidRPr="00811ECC">
        <w:rPr>
          <w:rFonts w:ascii="Arial" w:hAnsi="Arial" w:cs="Arial"/>
          <w:sz w:val="20"/>
          <w:szCs w:val="20"/>
        </w:rPr>
        <w:t>W</w:t>
      </w:r>
      <w:r w:rsidR="00A00010">
        <w:rPr>
          <w:rFonts w:ascii="Arial" w:hAnsi="Arial" w:cs="Arial"/>
          <w:sz w:val="20"/>
          <w:szCs w:val="20"/>
        </w:rPr>
        <w:t>edług danych na koniec 2019 r.</w:t>
      </w:r>
      <w:r w:rsidRPr="00811ECC">
        <w:rPr>
          <w:rFonts w:ascii="Arial" w:hAnsi="Arial" w:cs="Arial"/>
          <w:sz w:val="20"/>
          <w:szCs w:val="20"/>
        </w:rPr>
        <w:t xml:space="preserve"> portfel zamówień na remonty statków obejm</w:t>
      </w:r>
      <w:r w:rsidR="00A00010">
        <w:rPr>
          <w:rFonts w:ascii="Arial" w:hAnsi="Arial" w:cs="Arial"/>
          <w:sz w:val="20"/>
          <w:szCs w:val="20"/>
        </w:rPr>
        <w:t>ował 119 remontów</w:t>
      </w:r>
      <w:r w:rsidRPr="00811ECC">
        <w:rPr>
          <w:rFonts w:ascii="Arial" w:hAnsi="Arial" w:cs="Arial"/>
          <w:sz w:val="20"/>
          <w:szCs w:val="20"/>
        </w:rPr>
        <w:t xml:space="preserve"> </w:t>
      </w:r>
      <w:r w:rsidR="002817F7">
        <w:rPr>
          <w:rFonts w:ascii="Arial" w:hAnsi="Arial" w:cs="Arial"/>
          <w:sz w:val="20"/>
          <w:szCs w:val="20"/>
        </w:rPr>
        <w:br/>
      </w:r>
      <w:r w:rsidRPr="00811ECC">
        <w:rPr>
          <w:rFonts w:ascii="Arial" w:hAnsi="Arial" w:cs="Arial"/>
          <w:sz w:val="20"/>
          <w:szCs w:val="20"/>
        </w:rPr>
        <w:t xml:space="preserve">o łącznej wartości 114,1 mln USD, z czego </w:t>
      </w:r>
      <w:r w:rsidR="00A00010">
        <w:rPr>
          <w:rFonts w:ascii="Arial" w:hAnsi="Arial" w:cs="Arial"/>
          <w:sz w:val="20"/>
          <w:szCs w:val="20"/>
        </w:rPr>
        <w:t>86,5% stanowiły</w:t>
      </w:r>
      <w:r w:rsidRPr="00811ECC">
        <w:rPr>
          <w:rFonts w:ascii="Arial" w:hAnsi="Arial" w:cs="Arial"/>
          <w:sz w:val="20"/>
          <w:szCs w:val="20"/>
        </w:rPr>
        <w:t xml:space="preserve"> remonty na eksport (pod względem liczby). Dane te znacznie różnią się od danych za rok poprzedni pod względem ilości remontów w portfelu zamówień (rok 2018 </w:t>
      </w:r>
      <w:r w:rsidR="00A00010">
        <w:rPr>
          <w:rFonts w:ascii="Arial" w:hAnsi="Arial" w:cs="Arial"/>
          <w:sz w:val="20"/>
          <w:szCs w:val="20"/>
        </w:rPr>
        <w:t>to</w:t>
      </w:r>
      <w:r w:rsidRPr="00811ECC">
        <w:rPr>
          <w:rFonts w:ascii="Arial" w:hAnsi="Arial" w:cs="Arial"/>
          <w:sz w:val="20"/>
          <w:szCs w:val="20"/>
        </w:rPr>
        <w:t xml:space="preserve"> 66 remontów), natomiast udział remontów na eksport pozosta</w:t>
      </w:r>
      <w:r w:rsidR="00F56276">
        <w:rPr>
          <w:rFonts w:ascii="Arial" w:hAnsi="Arial" w:cs="Arial"/>
          <w:sz w:val="20"/>
          <w:szCs w:val="20"/>
        </w:rPr>
        <w:t>wał</w:t>
      </w:r>
      <w:r w:rsidRPr="00811ECC">
        <w:rPr>
          <w:rFonts w:ascii="Arial" w:hAnsi="Arial" w:cs="Arial"/>
          <w:sz w:val="20"/>
          <w:szCs w:val="20"/>
        </w:rPr>
        <w:t xml:space="preserve"> na porównywalnym poziomie (rok 2018 </w:t>
      </w:r>
      <w:r w:rsidR="00F56276">
        <w:rPr>
          <w:rFonts w:ascii="Arial" w:hAnsi="Arial" w:cs="Arial"/>
          <w:sz w:val="20"/>
          <w:szCs w:val="20"/>
        </w:rPr>
        <w:t>- 86%).</w:t>
      </w:r>
    </w:p>
    <w:p w14:paraId="0581AF4E" w14:textId="5F771172" w:rsidR="002216EC" w:rsidRPr="00BF572C" w:rsidRDefault="002216EC" w:rsidP="00BF572C">
      <w:pPr>
        <w:pStyle w:val="Nagwek2"/>
        <w:spacing w:before="120" w:after="120"/>
        <w:jc w:val="both"/>
        <w:rPr>
          <w:rFonts w:ascii="Arial" w:hAnsi="Arial" w:cs="Arial"/>
          <w:b/>
          <w:color w:val="auto"/>
          <w:sz w:val="20"/>
          <w:szCs w:val="20"/>
        </w:rPr>
      </w:pPr>
      <w:bookmarkStart w:id="57" w:name="_Toc72745069"/>
      <w:r w:rsidRPr="00BF572C">
        <w:rPr>
          <w:rFonts w:ascii="Arial" w:hAnsi="Arial" w:cs="Arial"/>
          <w:b/>
          <w:color w:val="auto"/>
          <w:sz w:val="20"/>
          <w:szCs w:val="20"/>
        </w:rPr>
        <w:t xml:space="preserve">Realizacja projektów </w:t>
      </w:r>
      <w:r w:rsidR="0021217D" w:rsidRPr="00BF572C">
        <w:rPr>
          <w:rFonts w:ascii="Arial" w:hAnsi="Arial" w:cs="Arial"/>
          <w:b/>
          <w:color w:val="auto"/>
          <w:sz w:val="20"/>
          <w:szCs w:val="20"/>
        </w:rPr>
        <w:t xml:space="preserve">i programów </w:t>
      </w:r>
      <w:r w:rsidRPr="00BF572C">
        <w:rPr>
          <w:rFonts w:ascii="Arial" w:hAnsi="Arial" w:cs="Arial"/>
          <w:b/>
          <w:color w:val="auto"/>
          <w:sz w:val="20"/>
          <w:szCs w:val="20"/>
        </w:rPr>
        <w:t>stoczniowych w 2019 r.</w:t>
      </w:r>
      <w:bookmarkEnd w:id="57"/>
    </w:p>
    <w:p w14:paraId="42DA42F4" w14:textId="2D3DED64" w:rsidR="00AF436A" w:rsidRPr="00F64AB8" w:rsidRDefault="00316B83" w:rsidP="008D2321">
      <w:pPr>
        <w:spacing w:after="120" w:line="276" w:lineRule="auto"/>
        <w:jc w:val="both"/>
        <w:rPr>
          <w:rFonts w:ascii="Arial" w:hAnsi="Arial" w:cs="Arial"/>
          <w:sz w:val="20"/>
          <w:szCs w:val="20"/>
        </w:rPr>
      </w:pPr>
      <w:r w:rsidRPr="00621F7D">
        <w:rPr>
          <w:rFonts w:ascii="Arial" w:hAnsi="Arial" w:cs="Arial"/>
          <w:sz w:val="20"/>
          <w:szCs w:val="20"/>
        </w:rPr>
        <w:t>W</w:t>
      </w:r>
      <w:r w:rsidR="004C6CC5" w:rsidRPr="00621F7D">
        <w:rPr>
          <w:rFonts w:ascii="Arial" w:hAnsi="Arial" w:cs="Arial"/>
          <w:sz w:val="20"/>
          <w:szCs w:val="20"/>
        </w:rPr>
        <w:t> </w:t>
      </w:r>
      <w:r w:rsidR="003656A3" w:rsidRPr="00621F7D">
        <w:rPr>
          <w:rFonts w:ascii="Arial" w:hAnsi="Arial" w:cs="Arial"/>
          <w:sz w:val="20"/>
          <w:szCs w:val="20"/>
        </w:rPr>
        <w:t>ramach realizacji Strategii na rzecz Odpowiedzialnego Rozwoju</w:t>
      </w:r>
      <w:r w:rsidR="004C6CC5" w:rsidRPr="00621F7D">
        <w:rPr>
          <w:rFonts w:ascii="Arial" w:hAnsi="Arial" w:cs="Arial"/>
          <w:sz w:val="20"/>
          <w:szCs w:val="20"/>
        </w:rPr>
        <w:t xml:space="preserve"> w </w:t>
      </w:r>
      <w:r w:rsidR="003656A3" w:rsidRPr="00621F7D">
        <w:rPr>
          <w:rFonts w:ascii="Arial" w:hAnsi="Arial" w:cs="Arial"/>
          <w:sz w:val="20"/>
          <w:szCs w:val="20"/>
        </w:rPr>
        <w:t>części dotyczącej reindustrializacji M</w:t>
      </w:r>
      <w:r w:rsidR="0062625E">
        <w:rPr>
          <w:rFonts w:ascii="Arial" w:hAnsi="Arial" w:cs="Arial"/>
          <w:sz w:val="20"/>
          <w:szCs w:val="20"/>
        </w:rPr>
        <w:t xml:space="preserve">inisterstwo </w:t>
      </w:r>
      <w:r w:rsidR="003656A3" w:rsidRPr="00621F7D">
        <w:rPr>
          <w:rFonts w:ascii="Arial" w:hAnsi="Arial" w:cs="Arial"/>
          <w:sz w:val="20"/>
          <w:szCs w:val="20"/>
        </w:rPr>
        <w:t>G</w:t>
      </w:r>
      <w:r w:rsidR="0062625E">
        <w:rPr>
          <w:rFonts w:ascii="Arial" w:hAnsi="Arial" w:cs="Arial"/>
          <w:sz w:val="20"/>
          <w:szCs w:val="20"/>
        </w:rPr>
        <w:t xml:space="preserve">ospodarki </w:t>
      </w:r>
      <w:r w:rsidR="003656A3" w:rsidRPr="00621F7D">
        <w:rPr>
          <w:rFonts w:ascii="Arial" w:hAnsi="Arial" w:cs="Arial"/>
          <w:sz w:val="20"/>
          <w:szCs w:val="20"/>
        </w:rPr>
        <w:t>M</w:t>
      </w:r>
      <w:r w:rsidR="0062625E">
        <w:rPr>
          <w:rFonts w:ascii="Arial" w:hAnsi="Arial" w:cs="Arial"/>
          <w:sz w:val="20"/>
          <w:szCs w:val="20"/>
        </w:rPr>
        <w:t xml:space="preserve">orskiej </w:t>
      </w:r>
      <w:r w:rsidR="003656A3" w:rsidRPr="00621F7D">
        <w:rPr>
          <w:rFonts w:ascii="Arial" w:hAnsi="Arial" w:cs="Arial"/>
          <w:sz w:val="20"/>
          <w:szCs w:val="20"/>
        </w:rPr>
        <w:t>i</w:t>
      </w:r>
      <w:r w:rsidR="0062625E">
        <w:rPr>
          <w:rFonts w:ascii="Arial" w:hAnsi="Arial" w:cs="Arial"/>
          <w:sz w:val="20"/>
          <w:szCs w:val="20"/>
        </w:rPr>
        <w:t xml:space="preserve"> </w:t>
      </w:r>
      <w:r w:rsidR="003656A3" w:rsidRPr="00621F7D">
        <w:rPr>
          <w:rFonts w:ascii="Arial" w:hAnsi="Arial" w:cs="Arial"/>
          <w:sz w:val="20"/>
          <w:szCs w:val="20"/>
        </w:rPr>
        <w:t>Ż</w:t>
      </w:r>
      <w:r w:rsidR="0062625E">
        <w:rPr>
          <w:rFonts w:ascii="Arial" w:hAnsi="Arial" w:cs="Arial"/>
          <w:sz w:val="20"/>
          <w:szCs w:val="20"/>
        </w:rPr>
        <w:t xml:space="preserve">eglugi </w:t>
      </w:r>
      <w:r w:rsidR="003656A3" w:rsidRPr="00621F7D">
        <w:rPr>
          <w:rFonts w:ascii="Arial" w:hAnsi="Arial" w:cs="Arial"/>
          <w:sz w:val="20"/>
          <w:szCs w:val="20"/>
        </w:rPr>
        <w:t>Ś</w:t>
      </w:r>
      <w:r w:rsidR="0062625E">
        <w:rPr>
          <w:rFonts w:ascii="Arial" w:hAnsi="Arial" w:cs="Arial"/>
          <w:sz w:val="20"/>
          <w:szCs w:val="20"/>
        </w:rPr>
        <w:t>ródlądowej</w:t>
      </w:r>
      <w:r w:rsidR="003656A3" w:rsidRPr="00621F7D">
        <w:rPr>
          <w:rFonts w:ascii="Arial" w:hAnsi="Arial" w:cs="Arial"/>
          <w:sz w:val="20"/>
          <w:szCs w:val="20"/>
        </w:rPr>
        <w:t xml:space="preserve"> patronuje m.in. pracom nad projektem flagowym „Batory”. Celem projektu jest stymulowanie </w:t>
      </w:r>
      <w:r w:rsidR="00621F7D" w:rsidRPr="00621F7D">
        <w:rPr>
          <w:rFonts w:ascii="Arial" w:hAnsi="Arial" w:cs="Arial"/>
          <w:sz w:val="20"/>
          <w:szCs w:val="20"/>
        </w:rPr>
        <w:t xml:space="preserve">rozwoju gospodarki morskiej i przemysłu stoczniowego (w zakresie projektowania, technologii i budowy nowych jednostek pływających </w:t>
      </w:r>
      <w:r w:rsidR="0062625E">
        <w:rPr>
          <w:rFonts w:ascii="Arial" w:hAnsi="Arial" w:cs="Arial"/>
          <w:sz w:val="20"/>
          <w:szCs w:val="20"/>
        </w:rPr>
        <w:br/>
      </w:r>
      <w:r w:rsidR="00621F7D" w:rsidRPr="00621F7D">
        <w:rPr>
          <w:rFonts w:ascii="Arial" w:hAnsi="Arial" w:cs="Arial"/>
          <w:sz w:val="20"/>
          <w:szCs w:val="20"/>
        </w:rPr>
        <w:t xml:space="preserve">i konstrukcji morskich oraz ich recyklingu) w oparciu o nowe technologie, innowacje i specjalizacje </w:t>
      </w:r>
      <w:r w:rsidR="0062625E">
        <w:rPr>
          <w:rFonts w:ascii="Arial" w:hAnsi="Arial" w:cs="Arial"/>
          <w:sz w:val="20"/>
          <w:szCs w:val="20"/>
        </w:rPr>
        <w:br/>
      </w:r>
      <w:r w:rsidR="00621F7D" w:rsidRPr="00621F7D">
        <w:rPr>
          <w:rFonts w:ascii="Arial" w:hAnsi="Arial" w:cs="Arial"/>
          <w:sz w:val="20"/>
          <w:szCs w:val="20"/>
        </w:rPr>
        <w:t xml:space="preserve">o wysokiej wartości dodanej. Działania te spowodują </w:t>
      </w:r>
      <w:r w:rsidR="003656A3" w:rsidRPr="00621F7D">
        <w:rPr>
          <w:rFonts w:ascii="Arial" w:hAnsi="Arial" w:cs="Arial"/>
          <w:sz w:val="20"/>
          <w:szCs w:val="20"/>
        </w:rPr>
        <w:t>przesunięcie sektora stoczniowego</w:t>
      </w:r>
      <w:r w:rsidR="00C66CD1" w:rsidRPr="00621F7D">
        <w:rPr>
          <w:rFonts w:ascii="Arial" w:hAnsi="Arial" w:cs="Arial"/>
          <w:sz w:val="20"/>
          <w:szCs w:val="20"/>
        </w:rPr>
        <w:t xml:space="preserve"> w </w:t>
      </w:r>
      <w:r w:rsidR="00621F7D" w:rsidRPr="00621F7D">
        <w:rPr>
          <w:rFonts w:ascii="Arial" w:hAnsi="Arial" w:cs="Arial"/>
          <w:sz w:val="20"/>
          <w:szCs w:val="20"/>
        </w:rPr>
        <w:t>kierunku produkcji</w:t>
      </w:r>
      <w:r w:rsidR="003656A3" w:rsidRPr="00621F7D">
        <w:rPr>
          <w:rFonts w:ascii="Arial" w:hAnsi="Arial" w:cs="Arial"/>
          <w:sz w:val="20"/>
          <w:szCs w:val="20"/>
        </w:rPr>
        <w:t xml:space="preserve"> innowacyjnych produktów</w:t>
      </w:r>
      <w:r w:rsidR="00621F7D" w:rsidRPr="00621F7D">
        <w:rPr>
          <w:rFonts w:ascii="Arial" w:hAnsi="Arial" w:cs="Arial"/>
          <w:sz w:val="20"/>
          <w:szCs w:val="20"/>
        </w:rPr>
        <w:t xml:space="preserve"> oraz zapewnią jak najpełniejsze wykorzystanie</w:t>
      </w:r>
      <w:r w:rsidR="003656A3" w:rsidRPr="00621F7D">
        <w:rPr>
          <w:rFonts w:ascii="Arial" w:hAnsi="Arial" w:cs="Arial"/>
          <w:sz w:val="20"/>
          <w:szCs w:val="20"/>
        </w:rPr>
        <w:t xml:space="preserve"> potencjału polskich stoczni.</w:t>
      </w:r>
      <w:r w:rsidR="00621F7D" w:rsidRPr="00621F7D">
        <w:rPr>
          <w:rFonts w:ascii="Arial" w:hAnsi="Arial" w:cs="Arial"/>
          <w:sz w:val="20"/>
          <w:szCs w:val="20"/>
        </w:rPr>
        <w:t xml:space="preserve"> W</w:t>
      </w:r>
      <w:r w:rsidR="004C6CC5" w:rsidRPr="00621F7D">
        <w:rPr>
          <w:rFonts w:ascii="Arial" w:hAnsi="Arial" w:cs="Arial"/>
          <w:sz w:val="20"/>
          <w:szCs w:val="20"/>
        </w:rPr>
        <w:t> </w:t>
      </w:r>
      <w:r w:rsidR="003656A3" w:rsidRPr="00621F7D">
        <w:rPr>
          <w:rFonts w:ascii="Arial" w:hAnsi="Arial" w:cs="Arial"/>
          <w:sz w:val="20"/>
          <w:szCs w:val="20"/>
        </w:rPr>
        <w:t xml:space="preserve">ramach projektu „Batory” ustanowione zostały </w:t>
      </w:r>
      <w:r w:rsidR="000B7467" w:rsidRPr="00621F7D">
        <w:rPr>
          <w:rFonts w:ascii="Arial" w:hAnsi="Arial" w:cs="Arial"/>
          <w:sz w:val="20"/>
          <w:szCs w:val="20"/>
        </w:rPr>
        <w:t>poniżej wymienione cztery filary.</w:t>
      </w:r>
    </w:p>
    <w:p w14:paraId="7B9CA97A" w14:textId="2D172684" w:rsidR="003656A3" w:rsidRPr="000F468A" w:rsidRDefault="003656A3" w:rsidP="003C6ECA">
      <w:pPr>
        <w:pStyle w:val="Akapitzlist"/>
        <w:numPr>
          <w:ilvl w:val="0"/>
          <w:numId w:val="14"/>
        </w:numPr>
        <w:spacing w:after="120" w:line="276" w:lineRule="auto"/>
        <w:jc w:val="both"/>
        <w:rPr>
          <w:rFonts w:ascii="Arial" w:hAnsi="Arial" w:cs="Arial"/>
          <w:b/>
          <w:sz w:val="20"/>
          <w:szCs w:val="20"/>
        </w:rPr>
      </w:pPr>
      <w:r w:rsidRPr="000F468A">
        <w:rPr>
          <w:rFonts w:ascii="Arial" w:hAnsi="Arial" w:cs="Arial"/>
          <w:b/>
          <w:sz w:val="20"/>
          <w:szCs w:val="20"/>
        </w:rPr>
        <w:t>B</w:t>
      </w:r>
      <w:r w:rsidR="00134108" w:rsidRPr="000F468A">
        <w:rPr>
          <w:rFonts w:ascii="Arial" w:hAnsi="Arial" w:cs="Arial"/>
          <w:b/>
          <w:sz w:val="20"/>
          <w:szCs w:val="20"/>
        </w:rPr>
        <w:t>udowa nowego promu typu ro-pax dla polskiego armatora</w:t>
      </w:r>
      <w:r w:rsidRPr="000F468A">
        <w:rPr>
          <w:rFonts w:ascii="Arial" w:hAnsi="Arial" w:cs="Arial"/>
          <w:b/>
          <w:sz w:val="20"/>
          <w:szCs w:val="20"/>
        </w:rPr>
        <w:t xml:space="preserve"> </w:t>
      </w:r>
    </w:p>
    <w:p w14:paraId="670DC9C5" w14:textId="60CB81E4"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 xml:space="preserve">Projekt jest realizowany </w:t>
      </w:r>
      <w:r w:rsidR="00C04CE3">
        <w:rPr>
          <w:rFonts w:ascii="Arial" w:hAnsi="Arial" w:cs="Arial"/>
          <w:sz w:val="20"/>
          <w:szCs w:val="20"/>
        </w:rPr>
        <w:t>przez podmioty prawa handlowego</w:t>
      </w:r>
      <w:r w:rsidRPr="004C6CC5">
        <w:rPr>
          <w:rFonts w:ascii="Arial" w:hAnsi="Arial" w:cs="Arial"/>
          <w:sz w:val="20"/>
          <w:szCs w:val="20"/>
        </w:rPr>
        <w:t xml:space="preserve"> na rynkowych warunkach</w:t>
      </w:r>
      <w:r w:rsidR="00AF1AFE">
        <w:rPr>
          <w:rFonts w:ascii="Arial" w:hAnsi="Arial" w:cs="Arial"/>
          <w:sz w:val="20"/>
          <w:szCs w:val="20"/>
        </w:rPr>
        <w:t xml:space="preserve"> i </w:t>
      </w:r>
      <w:r w:rsidRPr="004C6CC5">
        <w:rPr>
          <w:rFonts w:ascii="Arial" w:hAnsi="Arial" w:cs="Arial"/>
          <w:sz w:val="20"/>
          <w:szCs w:val="20"/>
        </w:rPr>
        <w:t>jest weryfikowany przez Skarb Państwa na poziomie korporacyjnym.</w:t>
      </w:r>
      <w:r w:rsidR="004C6CC5">
        <w:rPr>
          <w:rFonts w:ascii="Arial" w:hAnsi="Arial" w:cs="Arial"/>
          <w:sz w:val="20"/>
          <w:szCs w:val="20"/>
        </w:rPr>
        <w:t xml:space="preserve"> </w:t>
      </w:r>
      <w:r w:rsidRPr="004C6CC5">
        <w:rPr>
          <w:rFonts w:ascii="Arial" w:hAnsi="Arial" w:cs="Arial"/>
          <w:sz w:val="20"/>
          <w:szCs w:val="20"/>
        </w:rPr>
        <w:t>W dniu 8 marca 2017</w:t>
      </w:r>
      <w:r w:rsidR="009D01B9" w:rsidRPr="004C6CC5">
        <w:rPr>
          <w:rFonts w:ascii="Arial" w:hAnsi="Arial" w:cs="Arial"/>
          <w:sz w:val="20"/>
          <w:szCs w:val="20"/>
        </w:rPr>
        <w:t xml:space="preserve"> r. </w:t>
      </w:r>
      <w:r w:rsidRPr="004C6CC5">
        <w:rPr>
          <w:rFonts w:ascii="Arial" w:hAnsi="Arial" w:cs="Arial"/>
          <w:sz w:val="20"/>
          <w:szCs w:val="20"/>
        </w:rPr>
        <w:t>Morska Stocznia Remontowa Gryfia S.A.</w:t>
      </w:r>
      <w:r w:rsidR="001E3BB7">
        <w:rPr>
          <w:rFonts w:ascii="Arial" w:hAnsi="Arial" w:cs="Arial"/>
          <w:sz w:val="20"/>
          <w:szCs w:val="20"/>
        </w:rPr>
        <w:t xml:space="preserve"> i </w:t>
      </w:r>
      <w:r w:rsidRPr="004C6CC5">
        <w:rPr>
          <w:rFonts w:ascii="Arial" w:hAnsi="Arial" w:cs="Arial"/>
          <w:sz w:val="20"/>
          <w:szCs w:val="20"/>
        </w:rPr>
        <w:t>Polska Żegluga Bałtycka S.A. zawarły kontrakt dotyczący zaprojektowania</w:t>
      </w:r>
      <w:r w:rsidR="002216EC">
        <w:rPr>
          <w:rFonts w:ascii="Arial" w:hAnsi="Arial" w:cs="Arial"/>
          <w:sz w:val="20"/>
          <w:szCs w:val="20"/>
        </w:rPr>
        <w:t xml:space="preserve"> i </w:t>
      </w:r>
      <w:r w:rsidRPr="004C6CC5">
        <w:rPr>
          <w:rFonts w:ascii="Arial" w:hAnsi="Arial" w:cs="Arial"/>
          <w:sz w:val="20"/>
          <w:szCs w:val="20"/>
        </w:rPr>
        <w:t xml:space="preserve">wybudowania promu samochodowo-pasażerskiego </w:t>
      </w:r>
      <w:r w:rsidR="001E3BB7">
        <w:rPr>
          <w:rFonts w:ascii="Arial" w:hAnsi="Arial" w:cs="Arial"/>
          <w:sz w:val="20"/>
          <w:szCs w:val="20"/>
        </w:rPr>
        <w:t>ro-pax</w:t>
      </w:r>
      <w:r w:rsidRPr="004C6CC5">
        <w:rPr>
          <w:rFonts w:ascii="Arial" w:hAnsi="Arial" w:cs="Arial"/>
          <w:sz w:val="20"/>
          <w:szCs w:val="20"/>
        </w:rPr>
        <w:t>, przeznaczonego do eksploatacji</w:t>
      </w:r>
      <w:r w:rsidR="004C6CC5">
        <w:rPr>
          <w:rFonts w:ascii="Arial" w:hAnsi="Arial" w:cs="Arial"/>
          <w:sz w:val="20"/>
          <w:szCs w:val="20"/>
        </w:rPr>
        <w:t xml:space="preserve"> w </w:t>
      </w:r>
      <w:r w:rsidRPr="004C6CC5">
        <w:rPr>
          <w:rFonts w:ascii="Arial" w:hAnsi="Arial" w:cs="Arial"/>
          <w:sz w:val="20"/>
          <w:szCs w:val="20"/>
        </w:rPr>
        <w:t>żegludze morskiej oraz przewozów drogą morską pasażerów</w:t>
      </w:r>
      <w:r w:rsidR="004C6CC5">
        <w:rPr>
          <w:rFonts w:ascii="Arial" w:hAnsi="Arial" w:cs="Arial"/>
          <w:sz w:val="20"/>
          <w:szCs w:val="20"/>
        </w:rPr>
        <w:t xml:space="preserve"> i </w:t>
      </w:r>
      <w:r w:rsidRPr="004C6CC5">
        <w:rPr>
          <w:rFonts w:ascii="Arial" w:hAnsi="Arial" w:cs="Arial"/>
          <w:sz w:val="20"/>
          <w:szCs w:val="20"/>
        </w:rPr>
        <w:t>ładunków ro-ro między polskim portem Świnoujście</w:t>
      </w:r>
      <w:r w:rsidR="004C6CC5">
        <w:rPr>
          <w:rFonts w:ascii="Arial" w:hAnsi="Arial" w:cs="Arial"/>
          <w:sz w:val="20"/>
          <w:szCs w:val="20"/>
        </w:rPr>
        <w:t xml:space="preserve"> i </w:t>
      </w:r>
      <w:r w:rsidRPr="004C6CC5">
        <w:rPr>
          <w:rFonts w:ascii="Arial" w:hAnsi="Arial" w:cs="Arial"/>
          <w:sz w:val="20"/>
          <w:szCs w:val="20"/>
        </w:rPr>
        <w:t>szwedzkim portem Ystad. Prace te prowadzone są</w:t>
      </w:r>
      <w:r w:rsidR="004C6CC5">
        <w:rPr>
          <w:rFonts w:ascii="Arial" w:hAnsi="Arial" w:cs="Arial"/>
          <w:sz w:val="20"/>
          <w:szCs w:val="20"/>
        </w:rPr>
        <w:t xml:space="preserve"> w </w:t>
      </w:r>
      <w:r w:rsidRPr="004C6CC5">
        <w:rPr>
          <w:rFonts w:ascii="Arial" w:hAnsi="Arial" w:cs="Arial"/>
          <w:sz w:val="20"/>
          <w:szCs w:val="20"/>
        </w:rPr>
        <w:t>ramach wymiany floty polskich armatorów na nowoczesne jednostki, wykorzystujące aktualne rozwiązania technologiczne</w:t>
      </w:r>
      <w:r w:rsidR="004C6CC5">
        <w:rPr>
          <w:rFonts w:ascii="Arial" w:hAnsi="Arial" w:cs="Arial"/>
          <w:sz w:val="20"/>
          <w:szCs w:val="20"/>
        </w:rPr>
        <w:t xml:space="preserve"> i </w:t>
      </w:r>
      <w:r w:rsidRPr="004C6CC5">
        <w:rPr>
          <w:rFonts w:ascii="Arial" w:hAnsi="Arial" w:cs="Arial"/>
          <w:sz w:val="20"/>
          <w:szCs w:val="20"/>
        </w:rPr>
        <w:t>spełniające wymogi</w:t>
      </w:r>
      <w:r w:rsidR="004C6CC5">
        <w:rPr>
          <w:rFonts w:ascii="Arial" w:hAnsi="Arial" w:cs="Arial"/>
          <w:sz w:val="20"/>
          <w:szCs w:val="20"/>
        </w:rPr>
        <w:t xml:space="preserve"> w </w:t>
      </w:r>
      <w:r w:rsidRPr="004C6CC5">
        <w:rPr>
          <w:rFonts w:ascii="Arial" w:hAnsi="Arial" w:cs="Arial"/>
          <w:sz w:val="20"/>
          <w:szCs w:val="20"/>
        </w:rPr>
        <w:t>zakresie ochrony środowiska naturalnego.</w:t>
      </w:r>
    </w:p>
    <w:p w14:paraId="09F9E5C8" w14:textId="0245E5CA"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Zgodnie</w:t>
      </w:r>
      <w:r w:rsidR="004C6CC5">
        <w:rPr>
          <w:rFonts w:ascii="Arial" w:hAnsi="Arial" w:cs="Arial"/>
          <w:sz w:val="20"/>
          <w:szCs w:val="20"/>
        </w:rPr>
        <w:t xml:space="preserve"> z </w:t>
      </w:r>
      <w:r w:rsidRPr="004C6CC5">
        <w:rPr>
          <w:rFonts w:ascii="Arial" w:hAnsi="Arial" w:cs="Arial"/>
          <w:sz w:val="20"/>
          <w:szCs w:val="20"/>
        </w:rPr>
        <w:t>zawartym kontraktem Morska Stocznia Remontowa „G</w:t>
      </w:r>
      <w:r w:rsidR="001E3BB7">
        <w:rPr>
          <w:rFonts w:ascii="Arial" w:hAnsi="Arial" w:cs="Arial"/>
          <w:sz w:val="20"/>
          <w:szCs w:val="20"/>
        </w:rPr>
        <w:t>ryfia” S.A. jest odpowiedzialna</w:t>
      </w:r>
      <w:r w:rsidRPr="004C6CC5">
        <w:rPr>
          <w:rFonts w:ascii="Arial" w:hAnsi="Arial" w:cs="Arial"/>
          <w:sz w:val="20"/>
          <w:szCs w:val="20"/>
        </w:rPr>
        <w:t xml:space="preserve"> za realizację projektu od strony projektowej oraz budowlanej. Wykonawca promu działa</w:t>
      </w:r>
      <w:r w:rsidR="004C6CC5">
        <w:rPr>
          <w:rFonts w:ascii="Arial" w:hAnsi="Arial" w:cs="Arial"/>
          <w:sz w:val="20"/>
          <w:szCs w:val="20"/>
        </w:rPr>
        <w:t xml:space="preserve"> w </w:t>
      </w:r>
      <w:r w:rsidRPr="004C6CC5">
        <w:rPr>
          <w:rFonts w:ascii="Arial" w:hAnsi="Arial" w:cs="Arial"/>
          <w:sz w:val="20"/>
          <w:szCs w:val="20"/>
        </w:rPr>
        <w:t>uzgodnionej przez strony Kontraktu formule zaprojektuj</w:t>
      </w:r>
      <w:r w:rsidR="004C6CC5">
        <w:rPr>
          <w:rFonts w:ascii="Arial" w:hAnsi="Arial" w:cs="Arial"/>
          <w:sz w:val="20"/>
          <w:szCs w:val="20"/>
        </w:rPr>
        <w:t xml:space="preserve"> i </w:t>
      </w:r>
      <w:r w:rsidRPr="004C6CC5">
        <w:rPr>
          <w:rFonts w:ascii="Arial" w:hAnsi="Arial" w:cs="Arial"/>
          <w:sz w:val="20"/>
          <w:szCs w:val="20"/>
        </w:rPr>
        <w:t>zbuduj.</w:t>
      </w:r>
      <w:r w:rsidR="001E3BB7">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ramach realizacji Kontraktu zostały ukończone</w:t>
      </w:r>
      <w:r w:rsidR="004C6CC5">
        <w:rPr>
          <w:rFonts w:ascii="Arial" w:hAnsi="Arial" w:cs="Arial"/>
          <w:sz w:val="20"/>
          <w:szCs w:val="20"/>
        </w:rPr>
        <w:t xml:space="preserve"> i </w:t>
      </w:r>
      <w:r w:rsidRPr="004C6CC5">
        <w:rPr>
          <w:rFonts w:ascii="Arial" w:hAnsi="Arial" w:cs="Arial"/>
          <w:sz w:val="20"/>
          <w:szCs w:val="20"/>
        </w:rPr>
        <w:t>odebrane prace nad Projektem kontraktowym.</w:t>
      </w:r>
      <w:r w:rsidR="001E3BB7">
        <w:rPr>
          <w:rFonts w:ascii="Arial" w:hAnsi="Arial" w:cs="Arial"/>
          <w:sz w:val="20"/>
          <w:szCs w:val="20"/>
        </w:rPr>
        <w:t xml:space="preserve"> W </w:t>
      </w:r>
      <w:r w:rsidRPr="004C6CC5">
        <w:rPr>
          <w:rFonts w:ascii="Arial" w:hAnsi="Arial" w:cs="Arial"/>
          <w:sz w:val="20"/>
          <w:szCs w:val="20"/>
        </w:rPr>
        <w:t xml:space="preserve">ramach realizowanej przez </w:t>
      </w:r>
      <w:r w:rsidR="009C3EDB">
        <w:rPr>
          <w:rFonts w:ascii="Arial" w:hAnsi="Arial" w:cs="Arial"/>
          <w:sz w:val="20"/>
          <w:szCs w:val="20"/>
        </w:rPr>
        <w:t>Morską Stocznię Remontową</w:t>
      </w:r>
      <w:r w:rsidR="009C3EDB" w:rsidRPr="004C6CC5">
        <w:rPr>
          <w:rFonts w:ascii="Arial" w:hAnsi="Arial" w:cs="Arial"/>
          <w:sz w:val="20"/>
          <w:szCs w:val="20"/>
        </w:rPr>
        <w:t xml:space="preserve"> Gryfia S.A.</w:t>
      </w:r>
      <w:r w:rsidR="009C3EDB">
        <w:rPr>
          <w:rFonts w:ascii="Arial" w:hAnsi="Arial" w:cs="Arial"/>
          <w:sz w:val="20"/>
          <w:szCs w:val="20"/>
        </w:rPr>
        <w:t xml:space="preserve"> i Polską Żeglugę Bałtycką</w:t>
      </w:r>
      <w:r w:rsidR="009C3EDB" w:rsidRPr="004C6CC5">
        <w:rPr>
          <w:rFonts w:ascii="Arial" w:hAnsi="Arial" w:cs="Arial"/>
          <w:sz w:val="20"/>
          <w:szCs w:val="20"/>
        </w:rPr>
        <w:t xml:space="preserve"> S.A. </w:t>
      </w:r>
      <w:r w:rsidRPr="004C6CC5">
        <w:rPr>
          <w:rFonts w:ascii="Arial" w:hAnsi="Arial" w:cs="Arial"/>
          <w:sz w:val="20"/>
          <w:szCs w:val="20"/>
        </w:rPr>
        <w:t>inwestycji wystąpiły opóźnienia.</w:t>
      </w:r>
      <w:r w:rsidR="001E3BB7">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związku</w:t>
      </w:r>
      <w:r w:rsidR="004C6CC5">
        <w:rPr>
          <w:rFonts w:ascii="Arial" w:hAnsi="Arial" w:cs="Arial"/>
          <w:sz w:val="20"/>
          <w:szCs w:val="20"/>
        </w:rPr>
        <w:t xml:space="preserve"> z </w:t>
      </w:r>
      <w:r w:rsidRPr="004C6CC5">
        <w:rPr>
          <w:rFonts w:ascii="Arial" w:hAnsi="Arial" w:cs="Arial"/>
          <w:sz w:val="20"/>
          <w:szCs w:val="20"/>
        </w:rPr>
        <w:t>opóźnieniami</w:t>
      </w:r>
      <w:r w:rsidR="004C6CC5">
        <w:rPr>
          <w:rFonts w:ascii="Arial" w:hAnsi="Arial" w:cs="Arial"/>
          <w:sz w:val="20"/>
          <w:szCs w:val="20"/>
        </w:rPr>
        <w:t xml:space="preserve"> w </w:t>
      </w:r>
      <w:r w:rsidRPr="004C6CC5">
        <w:rPr>
          <w:rFonts w:ascii="Arial" w:hAnsi="Arial" w:cs="Arial"/>
          <w:sz w:val="20"/>
          <w:szCs w:val="20"/>
        </w:rPr>
        <w:t>procesie projektowy</w:t>
      </w:r>
      <w:r w:rsidR="001E3BB7">
        <w:rPr>
          <w:rFonts w:ascii="Arial" w:hAnsi="Arial" w:cs="Arial"/>
          <w:sz w:val="20"/>
          <w:szCs w:val="20"/>
        </w:rPr>
        <w:t>m przewiduje się zakup na rynku</w:t>
      </w:r>
      <w:r w:rsidRPr="004C6CC5">
        <w:rPr>
          <w:rFonts w:ascii="Arial" w:hAnsi="Arial" w:cs="Arial"/>
          <w:sz w:val="20"/>
          <w:szCs w:val="20"/>
        </w:rPr>
        <w:t xml:space="preserve"> gotowego projektu promu, który będzie mógł być wykorzystany przez polskich armatorów.</w:t>
      </w:r>
    </w:p>
    <w:p w14:paraId="52F0F0EA" w14:textId="20F038F5" w:rsidR="003656A3" w:rsidRPr="000F468A" w:rsidRDefault="00134108" w:rsidP="003C6ECA">
      <w:pPr>
        <w:pStyle w:val="Akapitzlist"/>
        <w:numPr>
          <w:ilvl w:val="0"/>
          <w:numId w:val="14"/>
        </w:numPr>
        <w:spacing w:after="120" w:line="276" w:lineRule="auto"/>
        <w:jc w:val="both"/>
        <w:rPr>
          <w:rFonts w:ascii="Arial" w:hAnsi="Arial" w:cs="Arial"/>
          <w:b/>
          <w:sz w:val="20"/>
          <w:szCs w:val="20"/>
        </w:rPr>
      </w:pPr>
      <w:r w:rsidRPr="000F468A">
        <w:rPr>
          <w:rFonts w:ascii="Arial" w:hAnsi="Arial" w:cs="Arial"/>
          <w:b/>
          <w:sz w:val="20"/>
          <w:szCs w:val="20"/>
        </w:rPr>
        <w:t>Zielona Stocznia</w:t>
      </w:r>
    </w:p>
    <w:p w14:paraId="635CD2CB" w14:textId="172E54F4"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M</w:t>
      </w:r>
      <w:r w:rsidR="00F52A6A">
        <w:rPr>
          <w:rFonts w:ascii="Arial" w:hAnsi="Arial" w:cs="Arial"/>
          <w:sz w:val="20"/>
          <w:szCs w:val="20"/>
        </w:rPr>
        <w:t xml:space="preserve">inisterstwo </w:t>
      </w:r>
      <w:r w:rsidRPr="004C6CC5">
        <w:rPr>
          <w:rFonts w:ascii="Arial" w:hAnsi="Arial" w:cs="Arial"/>
          <w:sz w:val="20"/>
          <w:szCs w:val="20"/>
        </w:rPr>
        <w:t>G</w:t>
      </w:r>
      <w:r w:rsidR="00F52A6A">
        <w:rPr>
          <w:rFonts w:ascii="Arial" w:hAnsi="Arial" w:cs="Arial"/>
          <w:sz w:val="20"/>
          <w:szCs w:val="20"/>
        </w:rPr>
        <w:t xml:space="preserve">ospodarki </w:t>
      </w:r>
      <w:r w:rsidRPr="004C6CC5">
        <w:rPr>
          <w:rFonts w:ascii="Arial" w:hAnsi="Arial" w:cs="Arial"/>
          <w:sz w:val="20"/>
          <w:szCs w:val="20"/>
        </w:rPr>
        <w:t>M</w:t>
      </w:r>
      <w:r w:rsidR="00F52A6A">
        <w:rPr>
          <w:rFonts w:ascii="Arial" w:hAnsi="Arial" w:cs="Arial"/>
          <w:sz w:val="20"/>
          <w:szCs w:val="20"/>
        </w:rPr>
        <w:t xml:space="preserve">orskiej </w:t>
      </w:r>
      <w:r w:rsidRPr="004C6CC5">
        <w:rPr>
          <w:rFonts w:ascii="Arial" w:hAnsi="Arial" w:cs="Arial"/>
          <w:sz w:val="20"/>
          <w:szCs w:val="20"/>
        </w:rPr>
        <w:t>i</w:t>
      </w:r>
      <w:r w:rsidR="00F52A6A">
        <w:rPr>
          <w:rFonts w:ascii="Arial" w:hAnsi="Arial" w:cs="Arial"/>
          <w:sz w:val="20"/>
          <w:szCs w:val="20"/>
        </w:rPr>
        <w:t xml:space="preserve"> </w:t>
      </w:r>
      <w:r w:rsidRPr="004C6CC5">
        <w:rPr>
          <w:rFonts w:ascii="Arial" w:hAnsi="Arial" w:cs="Arial"/>
          <w:sz w:val="20"/>
          <w:szCs w:val="20"/>
        </w:rPr>
        <w:t>Ż</w:t>
      </w:r>
      <w:r w:rsidR="00F52A6A">
        <w:rPr>
          <w:rFonts w:ascii="Arial" w:hAnsi="Arial" w:cs="Arial"/>
          <w:sz w:val="20"/>
          <w:szCs w:val="20"/>
        </w:rPr>
        <w:t xml:space="preserve">eglugi </w:t>
      </w:r>
      <w:r w:rsidRPr="004C6CC5">
        <w:rPr>
          <w:rFonts w:ascii="Arial" w:hAnsi="Arial" w:cs="Arial"/>
          <w:sz w:val="20"/>
          <w:szCs w:val="20"/>
        </w:rPr>
        <w:t>Ś</w:t>
      </w:r>
      <w:r w:rsidR="00F52A6A">
        <w:rPr>
          <w:rFonts w:ascii="Arial" w:hAnsi="Arial" w:cs="Arial"/>
          <w:sz w:val="20"/>
          <w:szCs w:val="20"/>
        </w:rPr>
        <w:t>ródlądowej</w:t>
      </w:r>
      <w:r w:rsidRPr="004C6CC5">
        <w:rPr>
          <w:rFonts w:ascii="Arial" w:hAnsi="Arial" w:cs="Arial"/>
          <w:sz w:val="20"/>
          <w:szCs w:val="20"/>
        </w:rPr>
        <w:t xml:space="preserve"> zaangażowane jest</w:t>
      </w:r>
      <w:r w:rsidR="004C6CC5">
        <w:rPr>
          <w:rFonts w:ascii="Arial" w:hAnsi="Arial" w:cs="Arial"/>
          <w:sz w:val="20"/>
          <w:szCs w:val="20"/>
        </w:rPr>
        <w:t xml:space="preserve"> w </w:t>
      </w:r>
      <w:r w:rsidRPr="004C6CC5">
        <w:rPr>
          <w:rFonts w:ascii="Arial" w:hAnsi="Arial" w:cs="Arial"/>
          <w:sz w:val="20"/>
          <w:szCs w:val="20"/>
        </w:rPr>
        <w:t>prace związane</w:t>
      </w:r>
      <w:r w:rsidR="004C6CC5">
        <w:rPr>
          <w:rFonts w:ascii="Arial" w:hAnsi="Arial" w:cs="Arial"/>
          <w:sz w:val="20"/>
          <w:szCs w:val="20"/>
        </w:rPr>
        <w:t xml:space="preserve"> z </w:t>
      </w:r>
      <w:r w:rsidRPr="004C6CC5">
        <w:rPr>
          <w:rFonts w:ascii="Arial" w:hAnsi="Arial" w:cs="Arial"/>
          <w:sz w:val="20"/>
          <w:szCs w:val="20"/>
        </w:rPr>
        <w:t>nowoczesnym projektem</w:t>
      </w:r>
      <w:r w:rsidR="004C6CC5">
        <w:rPr>
          <w:rFonts w:ascii="Arial" w:hAnsi="Arial" w:cs="Arial"/>
          <w:sz w:val="20"/>
          <w:szCs w:val="20"/>
        </w:rPr>
        <w:t xml:space="preserve"> z </w:t>
      </w:r>
      <w:r w:rsidRPr="004C6CC5">
        <w:rPr>
          <w:rFonts w:ascii="Arial" w:hAnsi="Arial" w:cs="Arial"/>
          <w:sz w:val="20"/>
          <w:szCs w:val="20"/>
        </w:rPr>
        <w:t>zakresu gospodarki</w:t>
      </w:r>
      <w:r w:rsidR="004C6CC5">
        <w:rPr>
          <w:rFonts w:ascii="Arial" w:hAnsi="Arial" w:cs="Arial"/>
          <w:sz w:val="20"/>
          <w:szCs w:val="20"/>
        </w:rPr>
        <w:t xml:space="preserve"> w </w:t>
      </w:r>
      <w:r w:rsidRPr="004C6CC5">
        <w:rPr>
          <w:rFonts w:ascii="Arial" w:hAnsi="Arial" w:cs="Arial"/>
          <w:sz w:val="20"/>
          <w:szCs w:val="20"/>
        </w:rPr>
        <w:t xml:space="preserve">obiegu zamkniętym </w:t>
      </w:r>
      <w:r w:rsidR="00F52A6A">
        <w:rPr>
          <w:rFonts w:ascii="Arial" w:hAnsi="Arial" w:cs="Arial"/>
          <w:sz w:val="20"/>
          <w:szCs w:val="20"/>
        </w:rPr>
        <w:t xml:space="preserve">pn. </w:t>
      </w:r>
      <w:r w:rsidRPr="004C6CC5">
        <w:rPr>
          <w:rFonts w:ascii="Arial" w:hAnsi="Arial" w:cs="Arial"/>
          <w:sz w:val="20"/>
          <w:szCs w:val="20"/>
        </w:rPr>
        <w:t>„Zielona Stocznia</w:t>
      </w:r>
      <w:r w:rsidR="004C6CC5">
        <w:rPr>
          <w:rFonts w:ascii="Arial" w:hAnsi="Arial" w:cs="Arial"/>
          <w:sz w:val="20"/>
          <w:szCs w:val="20"/>
        </w:rPr>
        <w:t xml:space="preserve"> w </w:t>
      </w:r>
      <w:r w:rsidRPr="004C6CC5">
        <w:rPr>
          <w:rFonts w:ascii="Arial" w:hAnsi="Arial" w:cs="Arial"/>
          <w:sz w:val="20"/>
          <w:szCs w:val="20"/>
        </w:rPr>
        <w:t xml:space="preserve">Polsce”, </w:t>
      </w:r>
      <w:r w:rsidRPr="004C6CC5">
        <w:rPr>
          <w:rFonts w:ascii="Arial" w:hAnsi="Arial" w:cs="Arial"/>
          <w:sz w:val="20"/>
          <w:szCs w:val="20"/>
        </w:rPr>
        <w:lastRenderedPageBreak/>
        <w:t>kt</w:t>
      </w:r>
      <w:r w:rsidR="00F52A6A">
        <w:rPr>
          <w:rFonts w:ascii="Arial" w:hAnsi="Arial" w:cs="Arial"/>
          <w:sz w:val="20"/>
          <w:szCs w:val="20"/>
        </w:rPr>
        <w:t>óry dotyczy recyklingu statków. Resort</w:t>
      </w:r>
      <w:r w:rsidRPr="004C6CC5">
        <w:rPr>
          <w:rFonts w:ascii="Arial" w:hAnsi="Arial" w:cs="Arial"/>
          <w:sz w:val="20"/>
          <w:szCs w:val="20"/>
        </w:rPr>
        <w:t xml:space="preserve"> wspólnie</w:t>
      </w:r>
      <w:r w:rsidR="004C6CC5">
        <w:rPr>
          <w:rFonts w:ascii="Arial" w:hAnsi="Arial" w:cs="Arial"/>
          <w:sz w:val="20"/>
          <w:szCs w:val="20"/>
        </w:rPr>
        <w:t xml:space="preserve"> z </w:t>
      </w:r>
      <w:r w:rsidRPr="004C6CC5">
        <w:rPr>
          <w:rFonts w:ascii="Arial" w:hAnsi="Arial" w:cs="Arial"/>
          <w:sz w:val="20"/>
          <w:szCs w:val="20"/>
        </w:rPr>
        <w:t>Krajową I</w:t>
      </w:r>
      <w:r w:rsidR="00F52A6A">
        <w:rPr>
          <w:rFonts w:ascii="Arial" w:hAnsi="Arial" w:cs="Arial"/>
          <w:sz w:val="20"/>
          <w:szCs w:val="20"/>
        </w:rPr>
        <w:t>zbą Gospodarczą (KIG) rozpoczął</w:t>
      </w:r>
      <w:r w:rsidRPr="004C6CC5">
        <w:rPr>
          <w:rFonts w:ascii="Arial" w:hAnsi="Arial" w:cs="Arial"/>
          <w:sz w:val="20"/>
          <w:szCs w:val="20"/>
        </w:rPr>
        <w:t xml:space="preserve"> pr</w:t>
      </w:r>
      <w:r w:rsidR="00F52A6A">
        <w:rPr>
          <w:rFonts w:ascii="Arial" w:hAnsi="Arial" w:cs="Arial"/>
          <w:sz w:val="20"/>
          <w:szCs w:val="20"/>
        </w:rPr>
        <w:t>ace nad projektem</w:t>
      </w:r>
      <w:r w:rsidRPr="004C6CC5">
        <w:rPr>
          <w:rFonts w:ascii="Arial" w:hAnsi="Arial" w:cs="Arial"/>
          <w:sz w:val="20"/>
          <w:szCs w:val="20"/>
        </w:rPr>
        <w:t>,</w:t>
      </w:r>
      <w:r w:rsidR="004C6CC5">
        <w:rPr>
          <w:rFonts w:ascii="Arial" w:hAnsi="Arial" w:cs="Arial"/>
          <w:sz w:val="20"/>
          <w:szCs w:val="20"/>
        </w:rPr>
        <w:t xml:space="preserve"> </w:t>
      </w:r>
      <w:r w:rsidR="00F52A6A">
        <w:rPr>
          <w:rFonts w:ascii="Arial" w:hAnsi="Arial" w:cs="Arial"/>
          <w:sz w:val="20"/>
          <w:szCs w:val="20"/>
        </w:rPr>
        <w:t>m.in. utworzono</w:t>
      </w:r>
      <w:r w:rsidRPr="004C6CC5">
        <w:rPr>
          <w:rFonts w:ascii="Arial" w:hAnsi="Arial" w:cs="Arial"/>
          <w:sz w:val="20"/>
          <w:szCs w:val="20"/>
        </w:rPr>
        <w:t xml:space="preserve"> pod auspicjami MGMiŻŚ</w:t>
      </w:r>
      <w:r w:rsidR="004C6CC5">
        <w:rPr>
          <w:rFonts w:ascii="Arial" w:hAnsi="Arial" w:cs="Arial"/>
          <w:sz w:val="20"/>
          <w:szCs w:val="20"/>
        </w:rPr>
        <w:t xml:space="preserve"> i </w:t>
      </w:r>
      <w:r w:rsidR="00F52A6A">
        <w:rPr>
          <w:rFonts w:ascii="Arial" w:hAnsi="Arial" w:cs="Arial"/>
          <w:sz w:val="20"/>
          <w:szCs w:val="20"/>
        </w:rPr>
        <w:t>KIG grupę roboczą, której głównym zadaniem są dalsze</w:t>
      </w:r>
      <w:r w:rsidRPr="004C6CC5">
        <w:rPr>
          <w:rFonts w:ascii="Arial" w:hAnsi="Arial" w:cs="Arial"/>
          <w:sz w:val="20"/>
          <w:szCs w:val="20"/>
        </w:rPr>
        <w:t xml:space="preserve"> prac</w:t>
      </w:r>
      <w:r w:rsidR="00F52A6A">
        <w:rPr>
          <w:rFonts w:ascii="Arial" w:hAnsi="Arial" w:cs="Arial"/>
          <w:sz w:val="20"/>
          <w:szCs w:val="20"/>
        </w:rPr>
        <w:t>e</w:t>
      </w:r>
      <w:r w:rsidRPr="004C6CC5">
        <w:rPr>
          <w:rFonts w:ascii="Arial" w:hAnsi="Arial" w:cs="Arial"/>
          <w:sz w:val="20"/>
          <w:szCs w:val="20"/>
        </w:rPr>
        <w:t xml:space="preserve"> nad rozwojem projektu oraz opracowanie założeń do studium wykonalności projektu</w:t>
      </w:r>
      <w:r w:rsidR="004C6CC5">
        <w:rPr>
          <w:rFonts w:ascii="Arial" w:hAnsi="Arial" w:cs="Arial"/>
          <w:sz w:val="20"/>
          <w:szCs w:val="20"/>
        </w:rPr>
        <w:t xml:space="preserve"> i </w:t>
      </w:r>
      <w:r w:rsidRPr="004C6CC5">
        <w:rPr>
          <w:rFonts w:ascii="Arial" w:hAnsi="Arial" w:cs="Arial"/>
          <w:sz w:val="20"/>
          <w:szCs w:val="20"/>
        </w:rPr>
        <w:t>źródeł jego finansowania oraz wstępnych rekomendacji. Prace nad utworzeniem „Zielonej stoczni” są już zaawansowane - umowa powołująca spółkę celową została podpisana</w:t>
      </w:r>
      <w:r w:rsidR="004C6CC5">
        <w:rPr>
          <w:rFonts w:ascii="Arial" w:hAnsi="Arial" w:cs="Arial"/>
          <w:sz w:val="20"/>
          <w:szCs w:val="20"/>
        </w:rPr>
        <w:t xml:space="preserve"> w </w:t>
      </w:r>
      <w:r w:rsidRPr="004C6CC5">
        <w:rPr>
          <w:rFonts w:ascii="Arial" w:hAnsi="Arial" w:cs="Arial"/>
          <w:sz w:val="20"/>
          <w:szCs w:val="20"/>
        </w:rPr>
        <w:t>dniu 4 lipca 2019</w:t>
      </w:r>
      <w:r w:rsidR="009D01B9" w:rsidRPr="004C6CC5">
        <w:rPr>
          <w:rFonts w:ascii="Arial" w:hAnsi="Arial" w:cs="Arial"/>
          <w:sz w:val="20"/>
          <w:szCs w:val="20"/>
        </w:rPr>
        <w:t xml:space="preserve"> r. </w:t>
      </w:r>
      <w:r w:rsidRPr="004C6CC5">
        <w:rPr>
          <w:rFonts w:ascii="Arial" w:hAnsi="Arial" w:cs="Arial"/>
          <w:sz w:val="20"/>
          <w:szCs w:val="20"/>
        </w:rPr>
        <w:t>przez Krajową Izbę Gospodarczą</w:t>
      </w:r>
      <w:r w:rsidR="004C6CC5">
        <w:rPr>
          <w:rFonts w:ascii="Arial" w:hAnsi="Arial" w:cs="Arial"/>
          <w:sz w:val="20"/>
          <w:szCs w:val="20"/>
        </w:rPr>
        <w:t xml:space="preserve"> i </w:t>
      </w:r>
      <w:r w:rsidRPr="004C6CC5">
        <w:rPr>
          <w:rFonts w:ascii="Arial" w:hAnsi="Arial" w:cs="Arial"/>
          <w:sz w:val="20"/>
          <w:szCs w:val="20"/>
        </w:rPr>
        <w:t>M</w:t>
      </w:r>
      <w:r w:rsidR="00F52A6A">
        <w:rPr>
          <w:rFonts w:ascii="Arial" w:hAnsi="Arial" w:cs="Arial"/>
          <w:sz w:val="20"/>
          <w:szCs w:val="20"/>
        </w:rPr>
        <w:t xml:space="preserve">orską </w:t>
      </w:r>
      <w:r w:rsidRPr="004C6CC5">
        <w:rPr>
          <w:rFonts w:ascii="Arial" w:hAnsi="Arial" w:cs="Arial"/>
          <w:sz w:val="20"/>
          <w:szCs w:val="20"/>
        </w:rPr>
        <w:t>S</w:t>
      </w:r>
      <w:r w:rsidR="00F52A6A">
        <w:rPr>
          <w:rFonts w:ascii="Arial" w:hAnsi="Arial" w:cs="Arial"/>
          <w:sz w:val="20"/>
          <w:szCs w:val="20"/>
        </w:rPr>
        <w:t xml:space="preserve">tocznię </w:t>
      </w:r>
      <w:r w:rsidRPr="004C6CC5">
        <w:rPr>
          <w:rFonts w:ascii="Arial" w:hAnsi="Arial" w:cs="Arial"/>
          <w:sz w:val="20"/>
          <w:szCs w:val="20"/>
        </w:rPr>
        <w:t>R</w:t>
      </w:r>
      <w:r w:rsidR="00F52A6A">
        <w:rPr>
          <w:rFonts w:ascii="Arial" w:hAnsi="Arial" w:cs="Arial"/>
          <w:sz w:val="20"/>
          <w:szCs w:val="20"/>
        </w:rPr>
        <w:t>emontową</w:t>
      </w:r>
      <w:r w:rsidRPr="004C6CC5">
        <w:rPr>
          <w:rFonts w:ascii="Arial" w:hAnsi="Arial" w:cs="Arial"/>
          <w:sz w:val="20"/>
          <w:szCs w:val="20"/>
        </w:rPr>
        <w:t xml:space="preserve"> Gryfia</w:t>
      </w:r>
      <w:r w:rsidR="00F52A6A">
        <w:rPr>
          <w:rFonts w:ascii="Arial" w:hAnsi="Arial" w:cs="Arial"/>
          <w:sz w:val="20"/>
          <w:szCs w:val="20"/>
        </w:rPr>
        <w:t xml:space="preserve"> S.A</w:t>
      </w:r>
      <w:r w:rsidRPr="004C6CC5">
        <w:rPr>
          <w:rFonts w:ascii="Arial" w:hAnsi="Arial" w:cs="Arial"/>
          <w:sz w:val="20"/>
          <w:szCs w:val="20"/>
        </w:rPr>
        <w:t>. Równolegle prowadzone są też inne działania</w:t>
      </w:r>
      <w:r w:rsidR="004C6CC5">
        <w:rPr>
          <w:rFonts w:ascii="Arial" w:hAnsi="Arial" w:cs="Arial"/>
          <w:sz w:val="20"/>
          <w:szCs w:val="20"/>
        </w:rPr>
        <w:t xml:space="preserve"> w </w:t>
      </w:r>
      <w:r w:rsidRPr="004C6CC5">
        <w:rPr>
          <w:rFonts w:ascii="Arial" w:hAnsi="Arial" w:cs="Arial"/>
          <w:sz w:val="20"/>
          <w:szCs w:val="20"/>
        </w:rPr>
        <w:t xml:space="preserve">ramach projektu, takie jak uruchomienie projektu badawczo </w:t>
      </w:r>
      <w:r w:rsidR="00F52A6A">
        <w:rPr>
          <w:rFonts w:ascii="Arial" w:hAnsi="Arial" w:cs="Arial"/>
          <w:sz w:val="20"/>
          <w:szCs w:val="20"/>
        </w:rPr>
        <w:t>- rozwojowego</w:t>
      </w:r>
      <w:r w:rsidRPr="004C6CC5">
        <w:rPr>
          <w:rFonts w:ascii="Arial" w:hAnsi="Arial" w:cs="Arial"/>
          <w:sz w:val="20"/>
          <w:szCs w:val="20"/>
        </w:rPr>
        <w:t xml:space="preserve"> związanego</w:t>
      </w:r>
      <w:r w:rsidR="004C6CC5">
        <w:rPr>
          <w:rFonts w:ascii="Arial" w:hAnsi="Arial" w:cs="Arial"/>
          <w:sz w:val="20"/>
          <w:szCs w:val="20"/>
        </w:rPr>
        <w:t xml:space="preserve"> z </w:t>
      </w:r>
      <w:r w:rsidRPr="004C6CC5">
        <w:rPr>
          <w:rFonts w:ascii="Arial" w:hAnsi="Arial" w:cs="Arial"/>
          <w:sz w:val="20"/>
          <w:szCs w:val="20"/>
        </w:rPr>
        <w:t>recyklingiem statków,</w:t>
      </w:r>
      <w:r w:rsidR="004C6CC5">
        <w:rPr>
          <w:rFonts w:ascii="Arial" w:hAnsi="Arial" w:cs="Arial"/>
          <w:sz w:val="20"/>
          <w:szCs w:val="20"/>
        </w:rPr>
        <w:t xml:space="preserve"> w </w:t>
      </w:r>
      <w:r w:rsidRPr="004C6CC5">
        <w:rPr>
          <w:rFonts w:ascii="Arial" w:hAnsi="Arial" w:cs="Arial"/>
          <w:sz w:val="20"/>
          <w:szCs w:val="20"/>
        </w:rPr>
        <w:t>który jest zaangażowana m.in. Akademia Morska</w:t>
      </w:r>
      <w:r w:rsidR="004C6CC5">
        <w:rPr>
          <w:rFonts w:ascii="Arial" w:hAnsi="Arial" w:cs="Arial"/>
          <w:sz w:val="20"/>
          <w:szCs w:val="20"/>
        </w:rPr>
        <w:t xml:space="preserve"> w </w:t>
      </w:r>
      <w:r w:rsidRPr="004C6CC5">
        <w:rPr>
          <w:rFonts w:ascii="Arial" w:hAnsi="Arial" w:cs="Arial"/>
          <w:sz w:val="20"/>
          <w:szCs w:val="20"/>
        </w:rPr>
        <w:t>Szczecinie. Oficjalne rozpoczęcie realizacji projektu badawczego nastąpiło</w:t>
      </w:r>
      <w:r w:rsidR="004C6CC5">
        <w:rPr>
          <w:rFonts w:ascii="Arial" w:hAnsi="Arial" w:cs="Arial"/>
          <w:sz w:val="20"/>
          <w:szCs w:val="20"/>
        </w:rPr>
        <w:t xml:space="preserve"> w </w:t>
      </w:r>
      <w:r w:rsidR="00F52A6A">
        <w:rPr>
          <w:rFonts w:ascii="Arial" w:hAnsi="Arial" w:cs="Arial"/>
          <w:sz w:val="20"/>
          <w:szCs w:val="20"/>
        </w:rPr>
        <w:t>pierwszej połowie 2019 r</w:t>
      </w:r>
      <w:r w:rsidRPr="004C6CC5">
        <w:rPr>
          <w:rFonts w:ascii="Arial" w:hAnsi="Arial" w:cs="Arial"/>
          <w:sz w:val="20"/>
          <w:szCs w:val="20"/>
        </w:rPr>
        <w:t>.</w:t>
      </w:r>
    </w:p>
    <w:p w14:paraId="508C6162" w14:textId="0F4DCECB" w:rsidR="00483C6F"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Powodem dla podjęcia realizacji tego projektu jest chęć optymalnego wykorzystania posiadanych przez Polskę zasobów przemysłowych,</w:t>
      </w:r>
      <w:r w:rsidR="004C6CC5">
        <w:rPr>
          <w:rFonts w:ascii="Arial" w:hAnsi="Arial" w:cs="Arial"/>
          <w:sz w:val="20"/>
          <w:szCs w:val="20"/>
        </w:rPr>
        <w:t xml:space="preserve"> w </w:t>
      </w:r>
      <w:r w:rsidRPr="004C6CC5">
        <w:rPr>
          <w:rFonts w:ascii="Arial" w:hAnsi="Arial" w:cs="Arial"/>
          <w:sz w:val="20"/>
          <w:szCs w:val="20"/>
        </w:rPr>
        <w:t>tym możliwość wykorzystania cz</w:t>
      </w:r>
      <w:r w:rsidR="001245C7">
        <w:rPr>
          <w:rFonts w:ascii="Arial" w:hAnsi="Arial" w:cs="Arial"/>
          <w:sz w:val="20"/>
          <w:szCs w:val="20"/>
        </w:rPr>
        <w:t>ęści infrastruktury stoczniowej</w:t>
      </w:r>
      <w:r w:rsidRPr="004C6CC5">
        <w:rPr>
          <w:rFonts w:ascii="Arial" w:hAnsi="Arial" w:cs="Arial"/>
          <w:sz w:val="20"/>
          <w:szCs w:val="20"/>
        </w:rPr>
        <w:t xml:space="preserve">, </w:t>
      </w:r>
      <w:r w:rsidR="00D34B99">
        <w:rPr>
          <w:rFonts w:ascii="Arial" w:hAnsi="Arial" w:cs="Arial"/>
          <w:sz w:val="20"/>
          <w:szCs w:val="20"/>
        </w:rPr>
        <w:br/>
      </w:r>
      <w:r w:rsidRPr="004C6CC5">
        <w:rPr>
          <w:rFonts w:ascii="Arial" w:hAnsi="Arial" w:cs="Arial"/>
          <w:sz w:val="20"/>
          <w:szCs w:val="20"/>
        </w:rPr>
        <w:t>a</w:t>
      </w:r>
      <w:r w:rsidR="004C6CC5">
        <w:rPr>
          <w:rFonts w:ascii="Arial" w:hAnsi="Arial" w:cs="Arial"/>
          <w:sz w:val="20"/>
          <w:szCs w:val="20"/>
        </w:rPr>
        <w:t xml:space="preserve"> w </w:t>
      </w:r>
      <w:r w:rsidRPr="004C6CC5">
        <w:rPr>
          <w:rFonts w:ascii="Arial" w:hAnsi="Arial" w:cs="Arial"/>
          <w:sz w:val="20"/>
          <w:szCs w:val="20"/>
        </w:rPr>
        <w:t>ślad za tym wykreowanie nowych miejsc pracy. Zakład ma prowadzić działalność polegającą na demontażu statków</w:t>
      </w:r>
      <w:r w:rsidR="004C6CC5">
        <w:rPr>
          <w:rFonts w:ascii="Arial" w:hAnsi="Arial" w:cs="Arial"/>
          <w:sz w:val="20"/>
          <w:szCs w:val="20"/>
        </w:rPr>
        <w:t xml:space="preserve"> w </w:t>
      </w:r>
      <w:r w:rsidRPr="004C6CC5">
        <w:rPr>
          <w:rFonts w:ascii="Arial" w:hAnsi="Arial" w:cs="Arial"/>
          <w:sz w:val="20"/>
          <w:szCs w:val="20"/>
        </w:rPr>
        <w:t>celu odzyskania tych elementów, które mogą być ponownie przetworzone oraz przygotowania ich do ponownego użycia. Jednocześnie zakład ma</w:t>
      </w:r>
      <w:r w:rsidR="004C6CC5">
        <w:rPr>
          <w:rFonts w:ascii="Arial" w:hAnsi="Arial" w:cs="Arial"/>
          <w:sz w:val="20"/>
          <w:szCs w:val="20"/>
        </w:rPr>
        <w:t xml:space="preserve"> w </w:t>
      </w:r>
      <w:r w:rsidRPr="004C6CC5">
        <w:rPr>
          <w:rFonts w:ascii="Arial" w:hAnsi="Arial" w:cs="Arial"/>
          <w:sz w:val="20"/>
          <w:szCs w:val="20"/>
        </w:rPr>
        <w:t>sposób bezpieczny</w:t>
      </w:r>
      <w:r w:rsidR="004C6CC5">
        <w:rPr>
          <w:rFonts w:ascii="Arial" w:hAnsi="Arial" w:cs="Arial"/>
          <w:sz w:val="20"/>
          <w:szCs w:val="20"/>
        </w:rPr>
        <w:t xml:space="preserve"> i </w:t>
      </w:r>
      <w:r w:rsidRPr="004C6CC5">
        <w:rPr>
          <w:rFonts w:ascii="Arial" w:hAnsi="Arial" w:cs="Arial"/>
          <w:sz w:val="20"/>
          <w:szCs w:val="20"/>
        </w:rPr>
        <w:t>zgodny</w:t>
      </w:r>
      <w:r w:rsidR="004C6CC5">
        <w:rPr>
          <w:rFonts w:ascii="Arial" w:hAnsi="Arial" w:cs="Arial"/>
          <w:sz w:val="20"/>
          <w:szCs w:val="20"/>
        </w:rPr>
        <w:t xml:space="preserve"> z </w:t>
      </w:r>
      <w:r w:rsidRPr="004C6CC5">
        <w:rPr>
          <w:rFonts w:ascii="Arial" w:hAnsi="Arial" w:cs="Arial"/>
          <w:sz w:val="20"/>
          <w:szCs w:val="20"/>
        </w:rPr>
        <w:t xml:space="preserve">normami środowiskowymi zabezpieczać odpady niebezpieczne. </w:t>
      </w:r>
    </w:p>
    <w:p w14:paraId="23768BF4" w14:textId="77986909" w:rsidR="003656A3" w:rsidRPr="000F468A" w:rsidRDefault="00134108" w:rsidP="003C6ECA">
      <w:pPr>
        <w:pStyle w:val="Akapitzlist"/>
        <w:numPr>
          <w:ilvl w:val="0"/>
          <w:numId w:val="14"/>
        </w:numPr>
        <w:spacing w:after="120" w:line="276" w:lineRule="auto"/>
        <w:jc w:val="both"/>
        <w:rPr>
          <w:rFonts w:ascii="Arial" w:hAnsi="Arial" w:cs="Arial"/>
          <w:b/>
          <w:sz w:val="20"/>
          <w:szCs w:val="20"/>
        </w:rPr>
      </w:pPr>
      <w:r w:rsidRPr="000F468A">
        <w:rPr>
          <w:rFonts w:ascii="Arial" w:hAnsi="Arial" w:cs="Arial"/>
          <w:b/>
          <w:sz w:val="20"/>
          <w:szCs w:val="20"/>
        </w:rPr>
        <w:t xml:space="preserve">Inteligentne technologie okrętowe INNOship </w:t>
      </w:r>
      <w:r w:rsidR="003656A3" w:rsidRPr="000F468A">
        <w:rPr>
          <w:rFonts w:ascii="Arial" w:hAnsi="Arial" w:cs="Arial"/>
          <w:b/>
          <w:sz w:val="20"/>
          <w:szCs w:val="20"/>
        </w:rPr>
        <w:t xml:space="preserve"> </w:t>
      </w:r>
    </w:p>
    <w:p w14:paraId="417D6C29" w14:textId="77777777" w:rsidR="00150373" w:rsidRPr="004C6CC5" w:rsidRDefault="00150373" w:rsidP="00150373">
      <w:pPr>
        <w:spacing w:after="120" w:line="276" w:lineRule="auto"/>
        <w:jc w:val="both"/>
        <w:rPr>
          <w:rFonts w:ascii="Arial" w:hAnsi="Arial" w:cs="Arial"/>
          <w:sz w:val="20"/>
          <w:szCs w:val="20"/>
        </w:rPr>
      </w:pPr>
      <w:r w:rsidRPr="004C6CC5">
        <w:rPr>
          <w:rFonts w:ascii="Arial" w:hAnsi="Arial" w:cs="Arial"/>
          <w:sz w:val="20"/>
          <w:szCs w:val="20"/>
        </w:rPr>
        <w:t>Program sektorowy INNOship został zainicjowany przez Związek Pracodawców FORUM OKRĘTOWE, którego członkami są stocznie produkcyjne</w:t>
      </w:r>
      <w:r>
        <w:rPr>
          <w:rFonts w:ascii="Arial" w:hAnsi="Arial" w:cs="Arial"/>
          <w:sz w:val="20"/>
          <w:szCs w:val="20"/>
        </w:rPr>
        <w:t xml:space="preserve"> i </w:t>
      </w:r>
      <w:r w:rsidRPr="004C6CC5">
        <w:rPr>
          <w:rFonts w:ascii="Arial" w:hAnsi="Arial" w:cs="Arial"/>
          <w:sz w:val="20"/>
          <w:szCs w:val="20"/>
        </w:rPr>
        <w:t>remontowe, dostawcy usług, kooperanci</w:t>
      </w:r>
      <w:r>
        <w:rPr>
          <w:rFonts w:ascii="Arial" w:hAnsi="Arial" w:cs="Arial"/>
          <w:sz w:val="20"/>
          <w:szCs w:val="20"/>
        </w:rPr>
        <w:t xml:space="preserve"> i </w:t>
      </w:r>
      <w:r w:rsidRPr="004C6CC5">
        <w:rPr>
          <w:rFonts w:ascii="Arial" w:hAnsi="Arial" w:cs="Arial"/>
          <w:sz w:val="20"/>
          <w:szCs w:val="20"/>
        </w:rPr>
        <w:t>producenci wyposażenia okrętowego, a także inne firmy</w:t>
      </w:r>
      <w:r>
        <w:rPr>
          <w:rFonts w:ascii="Arial" w:hAnsi="Arial" w:cs="Arial"/>
          <w:sz w:val="20"/>
          <w:szCs w:val="20"/>
        </w:rPr>
        <w:t xml:space="preserve"> i </w:t>
      </w:r>
      <w:r w:rsidRPr="004C6CC5">
        <w:rPr>
          <w:rFonts w:ascii="Arial" w:hAnsi="Arial" w:cs="Arial"/>
          <w:sz w:val="20"/>
          <w:szCs w:val="20"/>
        </w:rPr>
        <w:t>instytucje aktywne</w:t>
      </w:r>
      <w:r>
        <w:rPr>
          <w:rFonts w:ascii="Arial" w:hAnsi="Arial" w:cs="Arial"/>
          <w:sz w:val="20"/>
          <w:szCs w:val="20"/>
        </w:rPr>
        <w:t xml:space="preserve"> w </w:t>
      </w:r>
      <w:r w:rsidRPr="004C6CC5">
        <w:rPr>
          <w:rFonts w:ascii="Arial" w:hAnsi="Arial" w:cs="Arial"/>
          <w:sz w:val="20"/>
          <w:szCs w:val="20"/>
        </w:rPr>
        <w:t xml:space="preserve">branży przemysłu stoczniowego. </w:t>
      </w:r>
    </w:p>
    <w:p w14:paraId="03AB4740" w14:textId="77777777" w:rsidR="00150373" w:rsidRPr="004C6CC5" w:rsidRDefault="00150373" w:rsidP="00150373">
      <w:pPr>
        <w:spacing w:after="120" w:line="276" w:lineRule="auto"/>
        <w:jc w:val="both"/>
        <w:rPr>
          <w:rFonts w:ascii="Arial" w:hAnsi="Arial" w:cs="Arial"/>
          <w:sz w:val="20"/>
          <w:szCs w:val="20"/>
        </w:rPr>
      </w:pPr>
      <w:r w:rsidRPr="004C6CC5">
        <w:rPr>
          <w:rFonts w:ascii="Arial" w:hAnsi="Arial" w:cs="Arial"/>
          <w:sz w:val="20"/>
          <w:szCs w:val="20"/>
        </w:rPr>
        <w:t>W odpowiedzi na skierowane przez N</w:t>
      </w:r>
      <w:r>
        <w:rPr>
          <w:rFonts w:ascii="Arial" w:hAnsi="Arial" w:cs="Arial"/>
          <w:sz w:val="20"/>
          <w:szCs w:val="20"/>
        </w:rPr>
        <w:t xml:space="preserve">arodowe </w:t>
      </w:r>
      <w:r w:rsidRPr="004C6CC5">
        <w:rPr>
          <w:rFonts w:ascii="Arial" w:hAnsi="Arial" w:cs="Arial"/>
          <w:sz w:val="20"/>
          <w:szCs w:val="20"/>
        </w:rPr>
        <w:t>C</w:t>
      </w:r>
      <w:r>
        <w:rPr>
          <w:rFonts w:ascii="Arial" w:hAnsi="Arial" w:cs="Arial"/>
          <w:sz w:val="20"/>
          <w:szCs w:val="20"/>
        </w:rPr>
        <w:t xml:space="preserve">entrum </w:t>
      </w:r>
      <w:r w:rsidRPr="004C6CC5">
        <w:rPr>
          <w:rFonts w:ascii="Arial" w:hAnsi="Arial" w:cs="Arial"/>
          <w:sz w:val="20"/>
          <w:szCs w:val="20"/>
        </w:rPr>
        <w:t>B</w:t>
      </w:r>
      <w:r>
        <w:rPr>
          <w:rFonts w:ascii="Arial" w:hAnsi="Arial" w:cs="Arial"/>
          <w:sz w:val="20"/>
          <w:szCs w:val="20"/>
        </w:rPr>
        <w:t xml:space="preserve">adań i </w:t>
      </w:r>
      <w:r w:rsidRPr="004C6CC5">
        <w:rPr>
          <w:rFonts w:ascii="Arial" w:hAnsi="Arial" w:cs="Arial"/>
          <w:sz w:val="20"/>
          <w:szCs w:val="20"/>
        </w:rPr>
        <w:t>R</w:t>
      </w:r>
      <w:r>
        <w:rPr>
          <w:rFonts w:ascii="Arial" w:hAnsi="Arial" w:cs="Arial"/>
          <w:sz w:val="20"/>
          <w:szCs w:val="20"/>
        </w:rPr>
        <w:t>ozwoju</w:t>
      </w:r>
      <w:r w:rsidRPr="004C6CC5">
        <w:rPr>
          <w:rFonts w:ascii="Arial" w:hAnsi="Arial" w:cs="Arial"/>
          <w:sz w:val="20"/>
          <w:szCs w:val="20"/>
        </w:rPr>
        <w:t xml:space="preserve"> do podmiotów zrzeszających przedstawicieli poszczególnych sektorów gospodarki zaproszenie do składania ofert na przygotowanie studium wykonalności programu sektorowego, Związek Pracodawców FORUM OKRĘTOWE</w:t>
      </w:r>
      <w:r>
        <w:rPr>
          <w:rFonts w:ascii="Arial" w:hAnsi="Arial" w:cs="Arial"/>
          <w:sz w:val="20"/>
          <w:szCs w:val="20"/>
        </w:rPr>
        <w:t xml:space="preserve"> w </w:t>
      </w:r>
      <w:r w:rsidRPr="004C6CC5">
        <w:rPr>
          <w:rFonts w:ascii="Arial" w:hAnsi="Arial" w:cs="Arial"/>
          <w:sz w:val="20"/>
          <w:szCs w:val="20"/>
        </w:rPr>
        <w:t>2017 r. złożył studium wykonalności programu sektorowego, będące jednocześnie wnioskiem o jego ustanowienie. Głównym celem Programu jest wzrost konkurencyjności polskiego sektora stoczniowego.</w:t>
      </w:r>
    </w:p>
    <w:p w14:paraId="5CD91A5F" w14:textId="77777777" w:rsidR="00150373" w:rsidRPr="00C74AC5" w:rsidRDefault="00150373" w:rsidP="00150373">
      <w:pPr>
        <w:spacing w:after="120" w:line="276" w:lineRule="auto"/>
        <w:jc w:val="both"/>
        <w:rPr>
          <w:rFonts w:ascii="Arial" w:eastAsia="Calibri" w:hAnsi="Arial" w:cs="Arial"/>
          <w:sz w:val="20"/>
          <w:szCs w:val="20"/>
        </w:rPr>
      </w:pPr>
      <w:r w:rsidRPr="00C74AC5">
        <w:rPr>
          <w:rFonts w:ascii="Arial" w:eastAsia="Calibri" w:hAnsi="Arial" w:cs="Arial"/>
          <w:sz w:val="20"/>
          <w:szCs w:val="20"/>
        </w:rPr>
        <w:t>Cel główny programu będzie realizowany w powiązaniu z następującymi celami szczegółowymi wyznaczającymi strategię osiągnięcia celu głównego:</w:t>
      </w:r>
    </w:p>
    <w:p w14:paraId="0FD58A3A" w14:textId="77777777" w:rsidR="00150373" w:rsidRPr="00C74AC5" w:rsidRDefault="00150373" w:rsidP="00150373">
      <w:pPr>
        <w:spacing w:after="120" w:line="276" w:lineRule="auto"/>
        <w:jc w:val="both"/>
        <w:rPr>
          <w:rFonts w:ascii="Arial" w:eastAsia="Calibri" w:hAnsi="Arial" w:cs="Arial"/>
          <w:sz w:val="20"/>
          <w:szCs w:val="20"/>
        </w:rPr>
      </w:pPr>
      <w:r>
        <w:rPr>
          <w:rFonts w:ascii="Arial" w:eastAsia="Calibri" w:hAnsi="Arial" w:cs="Arial"/>
          <w:sz w:val="20"/>
          <w:szCs w:val="20"/>
        </w:rPr>
        <w:t xml:space="preserve">- </w:t>
      </w:r>
      <w:r w:rsidRPr="00C74AC5">
        <w:rPr>
          <w:rFonts w:ascii="Arial" w:eastAsia="Calibri" w:hAnsi="Arial" w:cs="Arial"/>
          <w:sz w:val="20"/>
          <w:szCs w:val="20"/>
        </w:rPr>
        <w:t>Cel szczegółowy 1. Wzrost innowacji produktowej i technologicznej w polsk</w:t>
      </w:r>
      <w:r>
        <w:rPr>
          <w:rFonts w:ascii="Arial" w:eastAsia="Calibri" w:hAnsi="Arial" w:cs="Arial"/>
          <w:sz w:val="20"/>
          <w:szCs w:val="20"/>
        </w:rPr>
        <w:t>im sektorze stoczniowym</w:t>
      </w:r>
      <w:r w:rsidRPr="00C74AC5">
        <w:rPr>
          <w:rFonts w:ascii="Arial" w:eastAsia="Calibri" w:hAnsi="Arial" w:cs="Arial"/>
          <w:sz w:val="20"/>
          <w:szCs w:val="20"/>
        </w:rPr>
        <w:t>. Cel ten będzie realizowany poprzez wdrożenie innowacyjnych rozwiązań takich jak:</w:t>
      </w:r>
      <w:r>
        <w:rPr>
          <w:rFonts w:ascii="Arial" w:eastAsia="Calibri" w:hAnsi="Arial" w:cs="Arial"/>
          <w:sz w:val="20"/>
          <w:szCs w:val="20"/>
        </w:rPr>
        <w:t xml:space="preserve"> technologie, metody, procedury i</w:t>
      </w:r>
      <w:r w:rsidRPr="00C74AC5">
        <w:rPr>
          <w:rFonts w:ascii="Arial" w:eastAsia="Calibri" w:hAnsi="Arial" w:cs="Arial"/>
          <w:sz w:val="20"/>
          <w:szCs w:val="20"/>
        </w:rPr>
        <w:t xml:space="preserve"> wyroby opracowane podczas realizacji programu sektorowego. </w:t>
      </w:r>
    </w:p>
    <w:p w14:paraId="0E249323" w14:textId="77777777" w:rsidR="00150373" w:rsidRPr="00C74AC5" w:rsidRDefault="00150373" w:rsidP="00150373">
      <w:pPr>
        <w:spacing w:after="120" w:line="276" w:lineRule="auto"/>
        <w:jc w:val="both"/>
        <w:rPr>
          <w:rFonts w:ascii="Arial" w:eastAsia="Calibri" w:hAnsi="Arial" w:cs="Arial"/>
          <w:sz w:val="20"/>
          <w:szCs w:val="20"/>
        </w:rPr>
      </w:pPr>
      <w:r>
        <w:rPr>
          <w:rFonts w:ascii="Arial" w:eastAsia="Calibri" w:hAnsi="Arial" w:cs="Arial"/>
          <w:sz w:val="20"/>
          <w:szCs w:val="20"/>
        </w:rPr>
        <w:t xml:space="preserve">- </w:t>
      </w:r>
      <w:r w:rsidRPr="00C74AC5">
        <w:rPr>
          <w:rFonts w:ascii="Arial" w:eastAsia="Calibri" w:hAnsi="Arial" w:cs="Arial"/>
          <w:sz w:val="20"/>
          <w:szCs w:val="20"/>
        </w:rPr>
        <w:t xml:space="preserve">Cel szczegółowy 2. Zwiększenie aktywności podmiotów z sektora stoczniowego w zakresie działalności B+R. Cel ten będzie realizowany poprzez finansowe wsparcie dla projektów innowacyjnych przedsiębiorstw sektora. Współfinansowanie prac badawczych i rozwojowych technologii/produktów </w:t>
      </w:r>
      <w:r>
        <w:rPr>
          <w:rFonts w:ascii="Arial" w:eastAsia="Calibri" w:hAnsi="Arial" w:cs="Arial"/>
          <w:sz w:val="20"/>
          <w:szCs w:val="20"/>
        </w:rPr>
        <w:br/>
      </w:r>
      <w:r w:rsidRPr="00C74AC5">
        <w:rPr>
          <w:rFonts w:ascii="Arial" w:eastAsia="Calibri" w:hAnsi="Arial" w:cs="Arial"/>
          <w:sz w:val="20"/>
          <w:szCs w:val="20"/>
        </w:rPr>
        <w:t xml:space="preserve">z zaangażowaniem środków publicznych otworzy nowe możliwości rozwoju polskich przedsiębiorstw </w:t>
      </w:r>
      <w:r>
        <w:rPr>
          <w:rFonts w:ascii="Arial" w:eastAsia="Calibri" w:hAnsi="Arial" w:cs="Arial"/>
          <w:sz w:val="20"/>
          <w:szCs w:val="20"/>
        </w:rPr>
        <w:br/>
      </w:r>
      <w:r w:rsidRPr="00C74AC5">
        <w:rPr>
          <w:rFonts w:ascii="Arial" w:eastAsia="Calibri" w:hAnsi="Arial" w:cs="Arial"/>
          <w:sz w:val="20"/>
          <w:szCs w:val="20"/>
        </w:rPr>
        <w:t>w sektorze stoczniowym i pozytywnie przełoży się na wzrost aktywności tych podmiotów w zakresie działalności B+R, pozwalając na wzrost ich konkurencyjności i pozyskiwanie zleceń w nowych niszach rynkowych</w:t>
      </w:r>
      <w:r>
        <w:rPr>
          <w:rFonts w:ascii="Arial" w:eastAsia="Calibri" w:hAnsi="Arial" w:cs="Arial"/>
          <w:sz w:val="20"/>
          <w:szCs w:val="20"/>
        </w:rPr>
        <w:t>.</w:t>
      </w:r>
    </w:p>
    <w:p w14:paraId="2C2D64CE" w14:textId="77777777" w:rsidR="00150373" w:rsidRPr="004C6CC5" w:rsidRDefault="00150373" w:rsidP="00150373">
      <w:pPr>
        <w:spacing w:after="120" w:line="276" w:lineRule="auto"/>
        <w:jc w:val="both"/>
        <w:rPr>
          <w:rFonts w:ascii="Arial" w:hAnsi="Arial" w:cs="Arial"/>
          <w:sz w:val="20"/>
          <w:szCs w:val="20"/>
        </w:rPr>
      </w:pPr>
      <w:r w:rsidRPr="004C6CC5">
        <w:rPr>
          <w:rFonts w:ascii="Arial" w:hAnsi="Arial" w:cs="Arial"/>
          <w:sz w:val="20"/>
          <w:szCs w:val="20"/>
        </w:rPr>
        <w:t>Konkurs INNOship skierowany był do przedsiębiorstw składających wniosek o dofinasowanie samodzielnie lub</w:t>
      </w:r>
      <w:r>
        <w:rPr>
          <w:rFonts w:ascii="Arial" w:hAnsi="Arial" w:cs="Arial"/>
          <w:sz w:val="20"/>
          <w:szCs w:val="20"/>
        </w:rPr>
        <w:t xml:space="preserve"> w </w:t>
      </w:r>
      <w:r w:rsidRPr="004C6CC5">
        <w:rPr>
          <w:rFonts w:ascii="Arial" w:hAnsi="Arial" w:cs="Arial"/>
          <w:sz w:val="20"/>
          <w:szCs w:val="20"/>
        </w:rPr>
        <w:t>konsorcjum. Dofinansowane mogły być tylk</w:t>
      </w:r>
      <w:r>
        <w:rPr>
          <w:rFonts w:ascii="Arial" w:hAnsi="Arial" w:cs="Arial"/>
          <w:sz w:val="20"/>
          <w:szCs w:val="20"/>
        </w:rPr>
        <w:t>o projekty realizowane poza województwem</w:t>
      </w:r>
      <w:r w:rsidRPr="004C6CC5">
        <w:rPr>
          <w:rFonts w:ascii="Arial" w:hAnsi="Arial" w:cs="Arial"/>
          <w:sz w:val="20"/>
          <w:szCs w:val="20"/>
        </w:rPr>
        <w:t xml:space="preserve"> mazowieckim (kategoria regionów słabiej rozwiniętych).</w:t>
      </w:r>
      <w:r>
        <w:rPr>
          <w:rFonts w:ascii="Arial" w:hAnsi="Arial" w:cs="Arial"/>
          <w:sz w:val="20"/>
          <w:szCs w:val="20"/>
        </w:rPr>
        <w:t xml:space="preserve"> </w:t>
      </w:r>
      <w:r w:rsidRPr="004C6CC5">
        <w:rPr>
          <w:rFonts w:ascii="Arial" w:hAnsi="Arial" w:cs="Arial"/>
          <w:sz w:val="20"/>
          <w:szCs w:val="20"/>
        </w:rPr>
        <w:t>Termin nadsyłania zgłoszeń minął 31 lipca 2018 r. Do dnia 30 listopada 2018 r. trwała ocena wniosków. Zgodnie</w:t>
      </w:r>
      <w:r>
        <w:rPr>
          <w:rFonts w:ascii="Arial" w:hAnsi="Arial" w:cs="Arial"/>
          <w:sz w:val="20"/>
          <w:szCs w:val="20"/>
        </w:rPr>
        <w:t xml:space="preserve"> z </w:t>
      </w:r>
      <w:r w:rsidRPr="004C6CC5">
        <w:rPr>
          <w:rFonts w:ascii="Arial" w:hAnsi="Arial" w:cs="Arial"/>
          <w:sz w:val="20"/>
          <w:szCs w:val="20"/>
        </w:rPr>
        <w:t>harmonogramem II konkurs</w:t>
      </w:r>
      <w:r>
        <w:rPr>
          <w:rFonts w:ascii="Arial" w:hAnsi="Arial" w:cs="Arial"/>
          <w:sz w:val="20"/>
          <w:szCs w:val="20"/>
        </w:rPr>
        <w:t xml:space="preserve"> w </w:t>
      </w:r>
      <w:r w:rsidRPr="004C6CC5">
        <w:rPr>
          <w:rFonts w:ascii="Arial" w:hAnsi="Arial" w:cs="Arial"/>
          <w:sz w:val="20"/>
          <w:szCs w:val="20"/>
        </w:rPr>
        <w:t xml:space="preserve">ramach programu INNOship </w:t>
      </w:r>
      <w:r>
        <w:rPr>
          <w:rFonts w:ascii="Arial" w:hAnsi="Arial" w:cs="Arial"/>
          <w:sz w:val="20"/>
          <w:szCs w:val="20"/>
        </w:rPr>
        <w:t>o</w:t>
      </w:r>
      <w:r w:rsidRPr="004C6CC5">
        <w:rPr>
          <w:rFonts w:ascii="Arial" w:hAnsi="Arial" w:cs="Arial"/>
          <w:sz w:val="20"/>
          <w:szCs w:val="20"/>
        </w:rPr>
        <w:t xml:space="preserve">głoszony został </w:t>
      </w:r>
      <w:r>
        <w:rPr>
          <w:rFonts w:ascii="Arial" w:hAnsi="Arial" w:cs="Arial"/>
          <w:sz w:val="20"/>
          <w:szCs w:val="20"/>
        </w:rPr>
        <w:t xml:space="preserve">w dniu </w:t>
      </w:r>
      <w:r w:rsidRPr="004C6CC5">
        <w:rPr>
          <w:rFonts w:ascii="Arial" w:hAnsi="Arial" w:cs="Arial"/>
          <w:sz w:val="20"/>
          <w:szCs w:val="20"/>
        </w:rPr>
        <w:t>15 kwietnia 2019</w:t>
      </w:r>
      <w:r>
        <w:rPr>
          <w:rFonts w:ascii="Arial" w:hAnsi="Arial" w:cs="Arial"/>
          <w:sz w:val="20"/>
          <w:szCs w:val="20"/>
        </w:rPr>
        <w:t xml:space="preserve"> r., a n</w:t>
      </w:r>
      <w:r w:rsidRPr="004C6CC5">
        <w:rPr>
          <w:rFonts w:ascii="Arial" w:hAnsi="Arial" w:cs="Arial"/>
          <w:sz w:val="20"/>
          <w:szCs w:val="20"/>
        </w:rPr>
        <w:t>abór wniosków trwał od 17 czerwca 2019 r. do 16 września 2019 r.</w:t>
      </w:r>
      <w:r>
        <w:rPr>
          <w:rFonts w:ascii="Arial" w:hAnsi="Arial" w:cs="Arial"/>
          <w:sz w:val="20"/>
          <w:szCs w:val="20"/>
        </w:rPr>
        <w:t xml:space="preserve"> W 2019 r. nie zakończyła się procedura oceny wniosków złożonych w ramach II konkursu.</w:t>
      </w:r>
    </w:p>
    <w:p w14:paraId="674AD9CC" w14:textId="2A647355" w:rsidR="003656A3" w:rsidRPr="000F468A" w:rsidRDefault="00134108" w:rsidP="003C6ECA">
      <w:pPr>
        <w:pStyle w:val="Akapitzlist"/>
        <w:numPr>
          <w:ilvl w:val="0"/>
          <w:numId w:val="14"/>
        </w:numPr>
        <w:spacing w:after="120" w:line="276" w:lineRule="auto"/>
        <w:jc w:val="both"/>
        <w:rPr>
          <w:rFonts w:ascii="Arial" w:hAnsi="Arial" w:cs="Arial"/>
          <w:b/>
          <w:sz w:val="20"/>
          <w:szCs w:val="20"/>
        </w:rPr>
      </w:pPr>
      <w:r w:rsidRPr="000F468A">
        <w:rPr>
          <w:rFonts w:ascii="Arial" w:hAnsi="Arial" w:cs="Arial"/>
          <w:b/>
          <w:sz w:val="20"/>
          <w:szCs w:val="20"/>
        </w:rPr>
        <w:t>O</w:t>
      </w:r>
      <w:r w:rsidRPr="004C6CC5">
        <w:rPr>
          <w:rFonts w:ascii="Arial" w:hAnsi="Arial" w:cs="Arial"/>
          <w:b/>
          <w:sz w:val="20"/>
          <w:szCs w:val="20"/>
        </w:rPr>
        <w:t>ffshore</w:t>
      </w:r>
    </w:p>
    <w:p w14:paraId="2F0079E2" w14:textId="554D2B77" w:rsidR="003656A3" w:rsidRPr="004C6CC5" w:rsidRDefault="0029074D" w:rsidP="008D2321">
      <w:pPr>
        <w:spacing w:after="120" w:line="276" w:lineRule="auto"/>
        <w:jc w:val="both"/>
        <w:rPr>
          <w:rFonts w:ascii="Arial" w:hAnsi="Arial" w:cs="Arial"/>
          <w:sz w:val="20"/>
          <w:szCs w:val="20"/>
        </w:rPr>
      </w:pPr>
      <w:r>
        <w:rPr>
          <w:rFonts w:ascii="Arial" w:hAnsi="Arial" w:cs="Arial"/>
          <w:sz w:val="20"/>
          <w:szCs w:val="20"/>
        </w:rPr>
        <w:t xml:space="preserve">W dniu </w:t>
      </w:r>
      <w:r w:rsidR="003656A3" w:rsidRPr="004C6CC5">
        <w:rPr>
          <w:rFonts w:ascii="Arial" w:hAnsi="Arial" w:cs="Arial"/>
          <w:sz w:val="20"/>
          <w:szCs w:val="20"/>
        </w:rPr>
        <w:t>4 grudnia 2017</w:t>
      </w:r>
      <w:r w:rsidR="009D01B9" w:rsidRPr="004C6CC5">
        <w:rPr>
          <w:rFonts w:ascii="Arial" w:hAnsi="Arial" w:cs="Arial"/>
          <w:sz w:val="20"/>
          <w:szCs w:val="20"/>
        </w:rPr>
        <w:t xml:space="preserve"> r. </w:t>
      </w:r>
      <w:r w:rsidR="003656A3" w:rsidRPr="004C6CC5">
        <w:rPr>
          <w:rFonts w:ascii="Arial" w:hAnsi="Arial" w:cs="Arial"/>
          <w:sz w:val="20"/>
          <w:szCs w:val="20"/>
        </w:rPr>
        <w:t xml:space="preserve">podpisany został list intencyjny pomiędzy Grupą MARS Shipyards &amp; Offshore </w:t>
      </w:r>
      <w:r w:rsidR="004C6CC5">
        <w:rPr>
          <w:rFonts w:ascii="Arial" w:hAnsi="Arial" w:cs="Arial"/>
          <w:sz w:val="20"/>
          <w:szCs w:val="20"/>
        </w:rPr>
        <w:t xml:space="preserve"> i </w:t>
      </w:r>
      <w:r w:rsidR="003656A3" w:rsidRPr="004C6CC5">
        <w:rPr>
          <w:rFonts w:ascii="Arial" w:hAnsi="Arial" w:cs="Arial"/>
          <w:sz w:val="20"/>
          <w:szCs w:val="20"/>
        </w:rPr>
        <w:t>Grupą LOTOS S.A. dotyczący współpracy</w:t>
      </w:r>
      <w:r w:rsidR="004C6CC5">
        <w:rPr>
          <w:rFonts w:ascii="Arial" w:hAnsi="Arial" w:cs="Arial"/>
          <w:sz w:val="20"/>
          <w:szCs w:val="20"/>
        </w:rPr>
        <w:t xml:space="preserve"> w </w:t>
      </w:r>
      <w:r w:rsidR="003656A3" w:rsidRPr="004C6CC5">
        <w:rPr>
          <w:rFonts w:ascii="Arial" w:hAnsi="Arial" w:cs="Arial"/>
          <w:sz w:val="20"/>
          <w:szCs w:val="20"/>
        </w:rPr>
        <w:t>zakresie recyklingu platform używanych</w:t>
      </w:r>
      <w:r w:rsidR="004C6CC5">
        <w:rPr>
          <w:rFonts w:ascii="Arial" w:hAnsi="Arial" w:cs="Arial"/>
          <w:sz w:val="20"/>
          <w:szCs w:val="20"/>
        </w:rPr>
        <w:t xml:space="preserve"> w </w:t>
      </w:r>
      <w:r w:rsidR="003656A3" w:rsidRPr="004C6CC5">
        <w:rPr>
          <w:rFonts w:ascii="Arial" w:hAnsi="Arial" w:cs="Arial"/>
          <w:sz w:val="20"/>
          <w:szCs w:val="20"/>
        </w:rPr>
        <w:t>górnictwie morskim. Projekt I-offshor</w:t>
      </w:r>
      <w:r w:rsidR="000D17C4">
        <w:rPr>
          <w:rFonts w:ascii="Arial" w:hAnsi="Arial" w:cs="Arial"/>
          <w:sz w:val="20"/>
          <w:szCs w:val="20"/>
        </w:rPr>
        <w:t>e</w:t>
      </w:r>
      <w:r w:rsidR="003656A3" w:rsidRPr="004C6CC5">
        <w:rPr>
          <w:rFonts w:ascii="Arial" w:hAnsi="Arial" w:cs="Arial"/>
          <w:sz w:val="20"/>
          <w:szCs w:val="20"/>
        </w:rPr>
        <w:t xml:space="preserve"> będzie miał za zadanie przygotowanie podstaw do stworzenia nowoczesnych produktów szeroko rozumianej branży offshore,</w:t>
      </w:r>
      <w:r w:rsidR="004C6CC5">
        <w:rPr>
          <w:rFonts w:ascii="Arial" w:hAnsi="Arial" w:cs="Arial"/>
          <w:sz w:val="20"/>
          <w:szCs w:val="20"/>
        </w:rPr>
        <w:t xml:space="preserve"> w </w:t>
      </w:r>
      <w:r w:rsidR="003656A3" w:rsidRPr="004C6CC5">
        <w:rPr>
          <w:rFonts w:ascii="Arial" w:hAnsi="Arial" w:cs="Arial"/>
          <w:sz w:val="20"/>
          <w:szCs w:val="20"/>
        </w:rPr>
        <w:t xml:space="preserve">tym nowoczesnej modułowej </w:t>
      </w:r>
      <w:r w:rsidR="003656A3" w:rsidRPr="004C6CC5">
        <w:rPr>
          <w:rFonts w:ascii="Arial" w:hAnsi="Arial" w:cs="Arial"/>
          <w:sz w:val="20"/>
          <w:szCs w:val="20"/>
        </w:rPr>
        <w:lastRenderedPageBreak/>
        <w:t>platformy offshore, usystematyzowanie potrzeb</w:t>
      </w:r>
      <w:r w:rsidR="004C6CC5">
        <w:rPr>
          <w:rFonts w:ascii="Arial" w:hAnsi="Arial" w:cs="Arial"/>
          <w:sz w:val="20"/>
          <w:szCs w:val="20"/>
        </w:rPr>
        <w:t xml:space="preserve"> i </w:t>
      </w:r>
      <w:r w:rsidR="003656A3" w:rsidRPr="004C6CC5">
        <w:rPr>
          <w:rFonts w:ascii="Arial" w:hAnsi="Arial" w:cs="Arial"/>
          <w:sz w:val="20"/>
          <w:szCs w:val="20"/>
        </w:rPr>
        <w:t>możliwości pełnego wykorzystania branży. M</w:t>
      </w:r>
      <w:r w:rsidR="000D17C4">
        <w:rPr>
          <w:rFonts w:ascii="Arial" w:hAnsi="Arial" w:cs="Arial"/>
          <w:sz w:val="20"/>
          <w:szCs w:val="20"/>
        </w:rPr>
        <w:t xml:space="preserve">inisterstwo </w:t>
      </w:r>
      <w:r w:rsidR="003656A3" w:rsidRPr="004C6CC5">
        <w:rPr>
          <w:rFonts w:ascii="Arial" w:hAnsi="Arial" w:cs="Arial"/>
          <w:sz w:val="20"/>
          <w:szCs w:val="20"/>
        </w:rPr>
        <w:t>G</w:t>
      </w:r>
      <w:r w:rsidR="000D17C4">
        <w:rPr>
          <w:rFonts w:ascii="Arial" w:hAnsi="Arial" w:cs="Arial"/>
          <w:sz w:val="20"/>
          <w:szCs w:val="20"/>
        </w:rPr>
        <w:t xml:space="preserve">ospodarki </w:t>
      </w:r>
      <w:r w:rsidR="003656A3" w:rsidRPr="004C6CC5">
        <w:rPr>
          <w:rFonts w:ascii="Arial" w:hAnsi="Arial" w:cs="Arial"/>
          <w:sz w:val="20"/>
          <w:szCs w:val="20"/>
        </w:rPr>
        <w:t>M</w:t>
      </w:r>
      <w:r w:rsidR="000D17C4">
        <w:rPr>
          <w:rFonts w:ascii="Arial" w:hAnsi="Arial" w:cs="Arial"/>
          <w:sz w:val="20"/>
          <w:szCs w:val="20"/>
        </w:rPr>
        <w:t xml:space="preserve">orskiej </w:t>
      </w:r>
      <w:r w:rsidR="003656A3" w:rsidRPr="004C6CC5">
        <w:rPr>
          <w:rFonts w:ascii="Arial" w:hAnsi="Arial" w:cs="Arial"/>
          <w:sz w:val="20"/>
          <w:szCs w:val="20"/>
        </w:rPr>
        <w:t>i</w:t>
      </w:r>
      <w:r w:rsidR="000D17C4">
        <w:rPr>
          <w:rFonts w:ascii="Arial" w:hAnsi="Arial" w:cs="Arial"/>
          <w:sz w:val="20"/>
          <w:szCs w:val="20"/>
        </w:rPr>
        <w:t xml:space="preserve"> </w:t>
      </w:r>
      <w:r w:rsidR="003656A3" w:rsidRPr="004C6CC5">
        <w:rPr>
          <w:rFonts w:ascii="Arial" w:hAnsi="Arial" w:cs="Arial"/>
          <w:sz w:val="20"/>
          <w:szCs w:val="20"/>
        </w:rPr>
        <w:t>Ż</w:t>
      </w:r>
      <w:r w:rsidR="000D17C4">
        <w:rPr>
          <w:rFonts w:ascii="Arial" w:hAnsi="Arial" w:cs="Arial"/>
          <w:sz w:val="20"/>
          <w:szCs w:val="20"/>
        </w:rPr>
        <w:t xml:space="preserve">eglugi </w:t>
      </w:r>
      <w:r w:rsidR="003656A3" w:rsidRPr="004C6CC5">
        <w:rPr>
          <w:rFonts w:ascii="Arial" w:hAnsi="Arial" w:cs="Arial"/>
          <w:sz w:val="20"/>
          <w:szCs w:val="20"/>
        </w:rPr>
        <w:t>Ś</w:t>
      </w:r>
      <w:r w:rsidR="000D17C4">
        <w:rPr>
          <w:rFonts w:ascii="Arial" w:hAnsi="Arial" w:cs="Arial"/>
          <w:sz w:val="20"/>
          <w:szCs w:val="20"/>
        </w:rPr>
        <w:t>ródlądowej</w:t>
      </w:r>
      <w:r w:rsidR="003656A3" w:rsidRPr="004C6CC5">
        <w:rPr>
          <w:rFonts w:ascii="Arial" w:hAnsi="Arial" w:cs="Arial"/>
          <w:sz w:val="20"/>
          <w:szCs w:val="20"/>
        </w:rPr>
        <w:t xml:space="preserve"> wytypował</w:t>
      </w:r>
      <w:r w:rsidR="000D17C4">
        <w:rPr>
          <w:rFonts w:ascii="Arial" w:hAnsi="Arial" w:cs="Arial"/>
          <w:sz w:val="20"/>
          <w:szCs w:val="20"/>
        </w:rPr>
        <w:t>o</w:t>
      </w:r>
      <w:r w:rsidR="003656A3" w:rsidRPr="004C6CC5">
        <w:rPr>
          <w:rFonts w:ascii="Arial" w:hAnsi="Arial" w:cs="Arial"/>
          <w:sz w:val="20"/>
          <w:szCs w:val="20"/>
        </w:rPr>
        <w:t xml:space="preserve"> podmioty potencjalnie zainteresowane współpracą</w:t>
      </w:r>
      <w:r w:rsidR="004C6CC5">
        <w:rPr>
          <w:rFonts w:ascii="Arial" w:hAnsi="Arial" w:cs="Arial"/>
          <w:sz w:val="20"/>
          <w:szCs w:val="20"/>
        </w:rPr>
        <w:t xml:space="preserve"> w </w:t>
      </w:r>
      <w:r w:rsidR="003656A3" w:rsidRPr="004C6CC5">
        <w:rPr>
          <w:rFonts w:ascii="Arial" w:hAnsi="Arial" w:cs="Arial"/>
          <w:sz w:val="20"/>
          <w:szCs w:val="20"/>
        </w:rPr>
        <w:t>ramach przedmiotowego projektu.</w:t>
      </w:r>
      <w:r w:rsidR="000D17C4">
        <w:rPr>
          <w:rFonts w:ascii="Arial" w:hAnsi="Arial" w:cs="Arial"/>
          <w:sz w:val="20"/>
          <w:szCs w:val="20"/>
        </w:rPr>
        <w:t xml:space="preserve"> W</w:t>
      </w:r>
      <w:r w:rsidR="004C6CC5">
        <w:rPr>
          <w:rFonts w:ascii="Arial" w:hAnsi="Arial" w:cs="Arial"/>
          <w:sz w:val="20"/>
          <w:szCs w:val="20"/>
        </w:rPr>
        <w:t> </w:t>
      </w:r>
      <w:r w:rsidR="003656A3" w:rsidRPr="004C6CC5">
        <w:rPr>
          <w:rFonts w:ascii="Arial" w:hAnsi="Arial" w:cs="Arial"/>
          <w:sz w:val="20"/>
          <w:szCs w:val="20"/>
        </w:rPr>
        <w:t>chwili obecnej trwają działania zmierzające do powołania członków grupy roboczej do spraw realizacji projektu I-offshore jako przedstawicieli zaproszonych podmiotów. Grupa robocza złożona będzie</w:t>
      </w:r>
      <w:r w:rsidR="004C6CC5">
        <w:rPr>
          <w:rFonts w:ascii="Arial" w:hAnsi="Arial" w:cs="Arial"/>
          <w:sz w:val="20"/>
          <w:szCs w:val="20"/>
        </w:rPr>
        <w:t xml:space="preserve"> z </w:t>
      </w:r>
      <w:r w:rsidR="003656A3" w:rsidRPr="004C6CC5">
        <w:rPr>
          <w:rFonts w:ascii="Arial" w:hAnsi="Arial" w:cs="Arial"/>
          <w:sz w:val="20"/>
          <w:szCs w:val="20"/>
        </w:rPr>
        <w:t>przedstawicieli administracji rządowej, ekspertów branżowych</w:t>
      </w:r>
      <w:r w:rsidR="004C6CC5">
        <w:rPr>
          <w:rFonts w:ascii="Arial" w:hAnsi="Arial" w:cs="Arial"/>
          <w:sz w:val="20"/>
          <w:szCs w:val="20"/>
        </w:rPr>
        <w:t xml:space="preserve"> i </w:t>
      </w:r>
      <w:r w:rsidR="003656A3" w:rsidRPr="004C6CC5">
        <w:rPr>
          <w:rFonts w:ascii="Arial" w:hAnsi="Arial" w:cs="Arial"/>
          <w:sz w:val="20"/>
          <w:szCs w:val="20"/>
        </w:rPr>
        <w:t>nauki.</w:t>
      </w:r>
    </w:p>
    <w:p w14:paraId="6DD45B97" w14:textId="0582EC8F" w:rsidR="003656A3" w:rsidRPr="00BF572C" w:rsidRDefault="003656A3" w:rsidP="00BF572C">
      <w:pPr>
        <w:pStyle w:val="Nagwek2"/>
        <w:spacing w:before="120" w:after="120"/>
        <w:jc w:val="both"/>
        <w:rPr>
          <w:rFonts w:ascii="Arial" w:hAnsi="Arial" w:cs="Arial"/>
          <w:b/>
          <w:color w:val="auto"/>
          <w:sz w:val="20"/>
          <w:szCs w:val="20"/>
        </w:rPr>
      </w:pPr>
      <w:bookmarkStart w:id="58" w:name="_Toc72745070"/>
      <w:r w:rsidRPr="00BF572C">
        <w:rPr>
          <w:rFonts w:ascii="Arial" w:hAnsi="Arial" w:cs="Arial"/>
          <w:b/>
          <w:color w:val="auto"/>
          <w:sz w:val="20"/>
          <w:szCs w:val="20"/>
        </w:rPr>
        <w:t>Sytuacja</w:t>
      </w:r>
      <w:r w:rsidR="002F044B" w:rsidRPr="00BF572C">
        <w:rPr>
          <w:rFonts w:ascii="Arial" w:hAnsi="Arial" w:cs="Arial"/>
          <w:b/>
          <w:color w:val="auto"/>
          <w:sz w:val="20"/>
          <w:szCs w:val="20"/>
        </w:rPr>
        <w:t xml:space="preserve"> spółek stoczniowych</w:t>
      </w:r>
      <w:r w:rsidR="004C6CC5" w:rsidRPr="00BF572C">
        <w:rPr>
          <w:rFonts w:ascii="Arial" w:hAnsi="Arial" w:cs="Arial"/>
          <w:b/>
          <w:color w:val="auto"/>
          <w:sz w:val="20"/>
          <w:szCs w:val="20"/>
        </w:rPr>
        <w:t xml:space="preserve"> w </w:t>
      </w:r>
      <w:r w:rsidR="00F77BCB" w:rsidRPr="00BF572C">
        <w:rPr>
          <w:rFonts w:ascii="Arial" w:hAnsi="Arial" w:cs="Arial"/>
          <w:b/>
          <w:color w:val="auto"/>
          <w:sz w:val="20"/>
          <w:szCs w:val="20"/>
        </w:rPr>
        <w:t>2019 r.</w:t>
      </w:r>
      <w:bookmarkEnd w:id="58"/>
    </w:p>
    <w:p w14:paraId="06CA8FFE" w14:textId="4D371ADD" w:rsidR="003656A3" w:rsidRPr="00873DAA" w:rsidRDefault="003656A3" w:rsidP="003C6ECA">
      <w:pPr>
        <w:pStyle w:val="Akapitzlist"/>
        <w:numPr>
          <w:ilvl w:val="0"/>
          <w:numId w:val="31"/>
        </w:numPr>
        <w:spacing w:after="120" w:line="276" w:lineRule="auto"/>
        <w:jc w:val="both"/>
        <w:rPr>
          <w:rFonts w:ascii="Arial" w:hAnsi="Arial" w:cs="Arial"/>
          <w:sz w:val="20"/>
          <w:szCs w:val="20"/>
        </w:rPr>
      </w:pPr>
      <w:r w:rsidRPr="00873DAA">
        <w:rPr>
          <w:rFonts w:ascii="Arial" w:hAnsi="Arial" w:cs="Arial"/>
          <w:b/>
          <w:sz w:val="20"/>
          <w:szCs w:val="20"/>
        </w:rPr>
        <w:t>Fundusz Rozwoju Spółek S.A.</w:t>
      </w:r>
    </w:p>
    <w:p w14:paraId="2402B88D" w14:textId="47085D34"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Fundusz Rozwoju Spółek S.A.</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00411065">
        <w:rPr>
          <w:rFonts w:ascii="Arial" w:hAnsi="Arial" w:cs="Arial"/>
          <w:sz w:val="20"/>
          <w:szCs w:val="20"/>
        </w:rPr>
        <w:t>Warszawie (FRS</w:t>
      </w:r>
      <w:r w:rsidRPr="004C6CC5">
        <w:rPr>
          <w:rFonts w:ascii="Arial" w:hAnsi="Arial" w:cs="Arial"/>
          <w:sz w:val="20"/>
          <w:szCs w:val="20"/>
        </w:rPr>
        <w:t>), dzia</w:t>
      </w:r>
      <w:r w:rsidR="00411065">
        <w:rPr>
          <w:rFonts w:ascii="Arial" w:hAnsi="Arial" w:cs="Arial"/>
          <w:sz w:val="20"/>
          <w:szCs w:val="20"/>
        </w:rPr>
        <w:t xml:space="preserve">łający pod obecną nazwą </w:t>
      </w:r>
      <w:r w:rsidRPr="004C6CC5">
        <w:rPr>
          <w:rFonts w:ascii="Arial" w:hAnsi="Arial" w:cs="Arial"/>
          <w:sz w:val="20"/>
          <w:szCs w:val="20"/>
        </w:rPr>
        <w:t>utworzono dnia 5 sierpnia 2016</w:t>
      </w:r>
      <w:r w:rsidR="009D01B9" w:rsidRPr="004C6CC5">
        <w:rPr>
          <w:rFonts w:ascii="Arial" w:hAnsi="Arial" w:cs="Arial"/>
          <w:sz w:val="20"/>
          <w:szCs w:val="20"/>
        </w:rPr>
        <w:t xml:space="preserve"> r. </w:t>
      </w:r>
      <w:r w:rsidRPr="004C6CC5">
        <w:rPr>
          <w:rFonts w:ascii="Arial" w:hAnsi="Arial" w:cs="Arial"/>
          <w:sz w:val="20"/>
          <w:szCs w:val="20"/>
        </w:rPr>
        <w:t>na bazie majątku spółki Zakłady Graficzne „Dom Słowa Polskiego” S.A.</w:t>
      </w:r>
      <w:r w:rsidR="004C6CC5">
        <w:rPr>
          <w:rFonts w:ascii="Arial" w:hAnsi="Arial" w:cs="Arial"/>
          <w:sz w:val="20"/>
          <w:szCs w:val="20"/>
        </w:rPr>
        <w:t xml:space="preserve"> w </w:t>
      </w:r>
      <w:r w:rsidRPr="004C6CC5">
        <w:rPr>
          <w:rFonts w:ascii="Arial" w:hAnsi="Arial" w:cs="Arial"/>
          <w:sz w:val="20"/>
          <w:szCs w:val="20"/>
        </w:rPr>
        <w:t>likwidacji. Jedynym właścicielem Funduszu od chwili jego powstania jest Skarb Państwa, reprezentowany obecnie przez Ministra Gospodarki Morskiej</w:t>
      </w:r>
      <w:r w:rsidR="004C6CC5">
        <w:rPr>
          <w:rFonts w:ascii="Arial" w:hAnsi="Arial" w:cs="Arial"/>
          <w:sz w:val="20"/>
          <w:szCs w:val="20"/>
        </w:rPr>
        <w:t xml:space="preserve"> i </w:t>
      </w:r>
      <w:r w:rsidRPr="004C6CC5">
        <w:rPr>
          <w:rFonts w:ascii="Arial" w:hAnsi="Arial" w:cs="Arial"/>
          <w:sz w:val="20"/>
          <w:szCs w:val="20"/>
        </w:rPr>
        <w:t>Żeglugi Śródlądowej.</w:t>
      </w:r>
    </w:p>
    <w:p w14:paraId="0CBBB701" w14:textId="1B3B7A9E"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W wyniku alokacji do F</w:t>
      </w:r>
      <w:r w:rsidR="000F0E43">
        <w:rPr>
          <w:rFonts w:ascii="Arial" w:hAnsi="Arial" w:cs="Arial"/>
          <w:sz w:val="20"/>
          <w:szCs w:val="20"/>
        </w:rPr>
        <w:t>RS</w:t>
      </w:r>
      <w:r w:rsidRPr="004C6CC5">
        <w:rPr>
          <w:rFonts w:ascii="Arial" w:hAnsi="Arial" w:cs="Arial"/>
          <w:sz w:val="20"/>
          <w:szCs w:val="20"/>
        </w:rPr>
        <w:t xml:space="preserve"> celowo wyodrębnionych środków finansowych (na rozwój gospodarki morskiej oraz obszarów bezpośrednio</w:t>
      </w:r>
      <w:r w:rsidR="004C6CC5">
        <w:rPr>
          <w:rFonts w:ascii="Arial" w:hAnsi="Arial" w:cs="Arial"/>
          <w:sz w:val="20"/>
          <w:szCs w:val="20"/>
        </w:rPr>
        <w:t xml:space="preserve"> z </w:t>
      </w:r>
      <w:r w:rsidRPr="004C6CC5">
        <w:rPr>
          <w:rFonts w:ascii="Arial" w:hAnsi="Arial" w:cs="Arial"/>
          <w:sz w:val="20"/>
          <w:szCs w:val="20"/>
        </w:rPr>
        <w:t>nią powiązanych), a także poprzez nabycie 100% udziałów</w:t>
      </w:r>
      <w:r w:rsidR="004C6CC5">
        <w:rPr>
          <w:rFonts w:ascii="Arial" w:hAnsi="Arial" w:cs="Arial"/>
          <w:sz w:val="20"/>
          <w:szCs w:val="20"/>
        </w:rPr>
        <w:t xml:space="preserve"> w </w:t>
      </w:r>
      <w:r w:rsidR="000F0E43">
        <w:rPr>
          <w:rFonts w:ascii="Arial" w:hAnsi="Arial" w:cs="Arial"/>
          <w:sz w:val="20"/>
          <w:szCs w:val="20"/>
        </w:rPr>
        <w:t>Stoczni Szczecińskiej S</w:t>
      </w:r>
      <w:r w:rsidRPr="004C6CC5">
        <w:rPr>
          <w:rFonts w:ascii="Arial" w:hAnsi="Arial" w:cs="Arial"/>
          <w:sz w:val="20"/>
          <w:szCs w:val="20"/>
        </w:rPr>
        <w:t>p.</w:t>
      </w:r>
      <w:r w:rsidR="004C6CC5">
        <w:rPr>
          <w:rFonts w:ascii="Arial" w:hAnsi="Arial" w:cs="Arial"/>
          <w:sz w:val="20"/>
          <w:szCs w:val="20"/>
        </w:rPr>
        <w:t xml:space="preserve"> z </w:t>
      </w:r>
      <w:r w:rsidRPr="004C6CC5">
        <w:rPr>
          <w:rFonts w:ascii="Arial" w:hAnsi="Arial" w:cs="Arial"/>
          <w:sz w:val="20"/>
          <w:szCs w:val="20"/>
        </w:rPr>
        <w:t>o.o.</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Pr="004C6CC5">
        <w:rPr>
          <w:rFonts w:ascii="Arial" w:hAnsi="Arial" w:cs="Arial"/>
          <w:sz w:val="20"/>
          <w:szCs w:val="20"/>
        </w:rPr>
        <w:t>S</w:t>
      </w:r>
      <w:r w:rsidR="004B54C4">
        <w:rPr>
          <w:rFonts w:ascii="Arial" w:hAnsi="Arial" w:cs="Arial"/>
          <w:sz w:val="20"/>
          <w:szCs w:val="20"/>
        </w:rPr>
        <w:t xml:space="preserve">zczecinie oraz większościowego </w:t>
      </w:r>
      <w:r w:rsidRPr="004C6CC5">
        <w:rPr>
          <w:rFonts w:ascii="Arial" w:hAnsi="Arial" w:cs="Arial"/>
          <w:sz w:val="20"/>
          <w:szCs w:val="20"/>
        </w:rPr>
        <w:t>pakietu (92,36%) akc</w:t>
      </w:r>
      <w:r w:rsidR="004B54C4">
        <w:rPr>
          <w:rFonts w:ascii="Arial" w:hAnsi="Arial" w:cs="Arial"/>
          <w:sz w:val="20"/>
          <w:szCs w:val="20"/>
        </w:rPr>
        <w:t>ji Morskiej Stoczni Remontowej Gryfia</w:t>
      </w:r>
      <w:r w:rsidRPr="004C6CC5">
        <w:rPr>
          <w:rFonts w:ascii="Arial" w:hAnsi="Arial" w:cs="Arial"/>
          <w:sz w:val="20"/>
          <w:szCs w:val="20"/>
        </w:rPr>
        <w:t xml:space="preserve"> S.A.</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Pr="004C6CC5">
        <w:rPr>
          <w:rFonts w:ascii="Arial" w:hAnsi="Arial" w:cs="Arial"/>
          <w:sz w:val="20"/>
          <w:szCs w:val="20"/>
        </w:rPr>
        <w:t>Szczecinie (MSR Gryfia), FRS stał się wyspecjalizowaną spółką finansową, która wraz</w:t>
      </w:r>
      <w:r w:rsidR="004C6CC5">
        <w:rPr>
          <w:rFonts w:ascii="Arial" w:hAnsi="Arial" w:cs="Arial"/>
          <w:sz w:val="20"/>
          <w:szCs w:val="20"/>
        </w:rPr>
        <w:t xml:space="preserve"> z </w:t>
      </w:r>
      <w:r w:rsidRPr="004C6CC5">
        <w:rPr>
          <w:rFonts w:ascii="Arial" w:hAnsi="Arial" w:cs="Arial"/>
          <w:sz w:val="20"/>
          <w:szCs w:val="20"/>
        </w:rPr>
        <w:t xml:space="preserve">przejętymi aktywami stoczniowymi tworzy grupę kapitałową o łącznych aktywach przekraczających wartość 0,5 mld zł (na koniec roku 2019).     </w:t>
      </w:r>
    </w:p>
    <w:p w14:paraId="722A6A82" w14:textId="2A780833"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Szczególną rolą FRS miał być udział</w:t>
      </w:r>
      <w:r w:rsidR="004C6CC5">
        <w:rPr>
          <w:rFonts w:ascii="Arial" w:hAnsi="Arial" w:cs="Arial"/>
          <w:sz w:val="20"/>
          <w:szCs w:val="20"/>
        </w:rPr>
        <w:t xml:space="preserve"> w </w:t>
      </w:r>
      <w:r w:rsidRPr="004C6CC5">
        <w:rPr>
          <w:rFonts w:ascii="Arial" w:hAnsi="Arial" w:cs="Arial"/>
          <w:sz w:val="20"/>
          <w:szCs w:val="20"/>
        </w:rPr>
        <w:t>odbudowie potencjału produkcyjnego</w:t>
      </w:r>
      <w:r w:rsidR="004C6CC5">
        <w:rPr>
          <w:rFonts w:ascii="Arial" w:hAnsi="Arial" w:cs="Arial"/>
          <w:sz w:val="20"/>
          <w:szCs w:val="20"/>
        </w:rPr>
        <w:t xml:space="preserve"> w </w:t>
      </w:r>
      <w:r w:rsidRPr="004C6CC5">
        <w:rPr>
          <w:rFonts w:ascii="Arial" w:hAnsi="Arial" w:cs="Arial"/>
          <w:sz w:val="20"/>
          <w:szCs w:val="20"/>
        </w:rPr>
        <w:t>spółkach zależnych do stopnia umożliwiającego realizowanie budów</w:t>
      </w:r>
      <w:r w:rsidR="004C6CC5">
        <w:rPr>
          <w:rFonts w:ascii="Arial" w:hAnsi="Arial" w:cs="Arial"/>
          <w:sz w:val="20"/>
          <w:szCs w:val="20"/>
        </w:rPr>
        <w:t xml:space="preserve"> i </w:t>
      </w:r>
      <w:r w:rsidRPr="004C6CC5">
        <w:rPr>
          <w:rFonts w:ascii="Arial" w:hAnsi="Arial" w:cs="Arial"/>
          <w:sz w:val="20"/>
          <w:szCs w:val="20"/>
        </w:rPr>
        <w:t>remontów dużych jednostek,</w:t>
      </w:r>
      <w:r w:rsidR="004C6CC5">
        <w:rPr>
          <w:rFonts w:ascii="Arial" w:hAnsi="Arial" w:cs="Arial"/>
          <w:sz w:val="20"/>
          <w:szCs w:val="20"/>
        </w:rPr>
        <w:t xml:space="preserve"> w </w:t>
      </w:r>
      <w:r w:rsidRPr="004C6CC5">
        <w:rPr>
          <w:rFonts w:ascii="Arial" w:hAnsi="Arial" w:cs="Arial"/>
          <w:sz w:val="20"/>
          <w:szCs w:val="20"/>
        </w:rPr>
        <w:t xml:space="preserve">tym promów typu </w:t>
      </w:r>
      <w:r w:rsidR="00DD65C2">
        <w:rPr>
          <w:rFonts w:ascii="Arial" w:hAnsi="Arial" w:cs="Arial"/>
          <w:sz w:val="20"/>
          <w:szCs w:val="20"/>
        </w:rPr>
        <w:t>ro-pax</w:t>
      </w:r>
      <w:r w:rsidRPr="004C6CC5">
        <w:rPr>
          <w:rFonts w:ascii="Arial" w:hAnsi="Arial" w:cs="Arial"/>
          <w:sz w:val="20"/>
          <w:szCs w:val="20"/>
        </w:rPr>
        <w:t>.</w:t>
      </w:r>
      <w:r w:rsidR="00DD65C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roku 2019 F</w:t>
      </w:r>
      <w:r w:rsidR="00DD65C2">
        <w:rPr>
          <w:rFonts w:ascii="Arial" w:hAnsi="Arial" w:cs="Arial"/>
          <w:sz w:val="20"/>
          <w:szCs w:val="20"/>
        </w:rPr>
        <w:t>RS</w:t>
      </w:r>
      <w:r w:rsidRPr="004C6CC5">
        <w:rPr>
          <w:rFonts w:ascii="Arial" w:hAnsi="Arial" w:cs="Arial"/>
          <w:sz w:val="20"/>
          <w:szCs w:val="20"/>
        </w:rPr>
        <w:t xml:space="preserve"> konsekwentnie wspierał te działania, natomiast</w:t>
      </w:r>
      <w:r w:rsidR="004C6CC5">
        <w:rPr>
          <w:rFonts w:ascii="Arial" w:hAnsi="Arial" w:cs="Arial"/>
          <w:sz w:val="20"/>
          <w:szCs w:val="20"/>
        </w:rPr>
        <w:t xml:space="preserve"> z </w:t>
      </w:r>
      <w:r w:rsidRPr="004C6CC5">
        <w:rPr>
          <w:rFonts w:ascii="Arial" w:hAnsi="Arial" w:cs="Arial"/>
          <w:sz w:val="20"/>
          <w:szCs w:val="20"/>
        </w:rPr>
        <w:t>przyczyn niezależnych od FRS nie doszło do wiążących ustaleń dotyczących budowy serii promów</w:t>
      </w:r>
      <w:r w:rsidR="004C6CC5">
        <w:rPr>
          <w:rFonts w:ascii="Arial" w:hAnsi="Arial" w:cs="Arial"/>
          <w:sz w:val="20"/>
          <w:szCs w:val="20"/>
        </w:rPr>
        <w:t xml:space="preserve"> w </w:t>
      </w:r>
      <w:r w:rsidRPr="004C6CC5">
        <w:rPr>
          <w:rFonts w:ascii="Arial" w:hAnsi="Arial" w:cs="Arial"/>
          <w:sz w:val="20"/>
          <w:szCs w:val="20"/>
        </w:rPr>
        <w:t>ramach realizacji projektu „Batory”.</w:t>
      </w:r>
    </w:p>
    <w:p w14:paraId="19B679E6" w14:textId="476C2257"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W roku 2019 F</w:t>
      </w:r>
      <w:r w:rsidR="00DD65C2">
        <w:rPr>
          <w:rFonts w:ascii="Arial" w:hAnsi="Arial" w:cs="Arial"/>
          <w:sz w:val="20"/>
          <w:szCs w:val="20"/>
        </w:rPr>
        <w:t>RS</w:t>
      </w:r>
      <w:r w:rsidRPr="004C6CC5">
        <w:rPr>
          <w:rFonts w:ascii="Arial" w:hAnsi="Arial" w:cs="Arial"/>
          <w:sz w:val="20"/>
          <w:szCs w:val="20"/>
        </w:rPr>
        <w:t xml:space="preserve"> efektywnie zarządzał posiadanymi aktywami</w:t>
      </w:r>
      <w:r w:rsidR="004C6CC5">
        <w:rPr>
          <w:rFonts w:ascii="Arial" w:hAnsi="Arial" w:cs="Arial"/>
          <w:sz w:val="20"/>
          <w:szCs w:val="20"/>
        </w:rPr>
        <w:t xml:space="preserve"> i </w:t>
      </w:r>
      <w:r w:rsidRPr="004C6CC5">
        <w:rPr>
          <w:rFonts w:ascii="Arial" w:hAnsi="Arial" w:cs="Arial"/>
          <w:sz w:val="20"/>
          <w:szCs w:val="20"/>
        </w:rPr>
        <w:t>kapitałem oraz brał aktywny udział</w:t>
      </w:r>
      <w:r w:rsidR="004C6CC5">
        <w:rPr>
          <w:rFonts w:ascii="Arial" w:hAnsi="Arial" w:cs="Arial"/>
          <w:sz w:val="20"/>
          <w:szCs w:val="20"/>
        </w:rPr>
        <w:t xml:space="preserve"> w </w:t>
      </w:r>
      <w:r w:rsidRPr="004C6CC5">
        <w:rPr>
          <w:rFonts w:ascii="Arial" w:hAnsi="Arial" w:cs="Arial"/>
          <w:sz w:val="20"/>
          <w:szCs w:val="20"/>
        </w:rPr>
        <w:t>restrukturyzacji</w:t>
      </w:r>
      <w:r w:rsidR="004C6CC5">
        <w:rPr>
          <w:rFonts w:ascii="Arial" w:hAnsi="Arial" w:cs="Arial"/>
          <w:sz w:val="20"/>
          <w:szCs w:val="20"/>
        </w:rPr>
        <w:t xml:space="preserve"> i </w:t>
      </w:r>
      <w:r w:rsidRPr="004C6CC5">
        <w:rPr>
          <w:rFonts w:ascii="Arial" w:hAnsi="Arial" w:cs="Arial"/>
          <w:sz w:val="20"/>
          <w:szCs w:val="20"/>
        </w:rPr>
        <w:t>wsparciu finansowym spółek zależnych. Na początku 2019</w:t>
      </w:r>
      <w:r w:rsidR="009D01B9" w:rsidRPr="004C6CC5">
        <w:rPr>
          <w:rFonts w:ascii="Arial" w:hAnsi="Arial" w:cs="Arial"/>
          <w:sz w:val="20"/>
          <w:szCs w:val="20"/>
        </w:rPr>
        <w:t xml:space="preserve"> r. </w:t>
      </w:r>
      <w:r w:rsidRPr="004C6CC5">
        <w:rPr>
          <w:rFonts w:ascii="Arial" w:hAnsi="Arial" w:cs="Arial"/>
          <w:sz w:val="20"/>
          <w:szCs w:val="20"/>
        </w:rPr>
        <w:t>FRS rozpoczął przeprowadzanie koniecznych zmian osobowych</w:t>
      </w:r>
      <w:r w:rsidR="004C6CC5">
        <w:rPr>
          <w:rFonts w:ascii="Arial" w:hAnsi="Arial" w:cs="Arial"/>
          <w:sz w:val="20"/>
          <w:szCs w:val="20"/>
        </w:rPr>
        <w:t xml:space="preserve"> w </w:t>
      </w:r>
      <w:r w:rsidRPr="004C6CC5">
        <w:rPr>
          <w:rFonts w:ascii="Arial" w:hAnsi="Arial" w:cs="Arial"/>
          <w:sz w:val="20"/>
          <w:szCs w:val="20"/>
        </w:rPr>
        <w:t>organach zarządzających</w:t>
      </w:r>
      <w:r w:rsidR="004C6CC5">
        <w:rPr>
          <w:rFonts w:ascii="Arial" w:hAnsi="Arial" w:cs="Arial"/>
          <w:sz w:val="20"/>
          <w:szCs w:val="20"/>
        </w:rPr>
        <w:t xml:space="preserve"> i </w:t>
      </w:r>
      <w:r w:rsidRPr="004C6CC5">
        <w:rPr>
          <w:rFonts w:ascii="Arial" w:hAnsi="Arial" w:cs="Arial"/>
          <w:sz w:val="20"/>
          <w:szCs w:val="20"/>
        </w:rPr>
        <w:t>nadzorczych swoich spółek zależnych, a</w:t>
      </w:r>
      <w:r w:rsidR="004C6CC5">
        <w:rPr>
          <w:rFonts w:ascii="Arial" w:hAnsi="Arial" w:cs="Arial"/>
          <w:sz w:val="20"/>
          <w:szCs w:val="20"/>
        </w:rPr>
        <w:t xml:space="preserve"> w </w:t>
      </w:r>
      <w:r w:rsidRPr="004C6CC5">
        <w:rPr>
          <w:rFonts w:ascii="Arial" w:hAnsi="Arial" w:cs="Arial"/>
          <w:sz w:val="20"/>
          <w:szCs w:val="20"/>
        </w:rPr>
        <w:t>połowie roku 2019 znacząco zaangażował się</w:t>
      </w:r>
      <w:r w:rsidR="004C6CC5">
        <w:rPr>
          <w:rFonts w:ascii="Arial" w:hAnsi="Arial" w:cs="Arial"/>
          <w:sz w:val="20"/>
          <w:szCs w:val="20"/>
        </w:rPr>
        <w:t xml:space="preserve"> w </w:t>
      </w:r>
      <w:r w:rsidRPr="004C6CC5">
        <w:rPr>
          <w:rFonts w:ascii="Arial" w:hAnsi="Arial" w:cs="Arial"/>
          <w:sz w:val="20"/>
          <w:szCs w:val="20"/>
        </w:rPr>
        <w:t>pro</w:t>
      </w:r>
      <w:r w:rsidR="00DD65C2">
        <w:rPr>
          <w:rFonts w:ascii="Arial" w:hAnsi="Arial" w:cs="Arial"/>
          <w:sz w:val="20"/>
          <w:szCs w:val="20"/>
        </w:rPr>
        <w:t xml:space="preserve">ces restrukturyzacji MSR Gryfia, a także </w:t>
      </w:r>
      <w:r w:rsidRPr="004C6CC5">
        <w:rPr>
          <w:rFonts w:ascii="Arial" w:hAnsi="Arial" w:cs="Arial"/>
          <w:sz w:val="20"/>
          <w:szCs w:val="20"/>
        </w:rPr>
        <w:t>finansowe wsparcie właścicielskie dla tej spółki.</w:t>
      </w:r>
      <w:r w:rsidR="00DD65C2">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 xml:space="preserve">szczególności FRS zorganizował dla MSR Gryfia finansowanie remontu jednostki ORP „Lublin” oraz budowę </w:t>
      </w:r>
      <w:r w:rsidR="00DD65C2">
        <w:rPr>
          <w:rFonts w:ascii="Arial" w:hAnsi="Arial" w:cs="Arial"/>
          <w:sz w:val="20"/>
          <w:szCs w:val="20"/>
        </w:rPr>
        <w:t>czterech</w:t>
      </w:r>
      <w:r w:rsidRPr="004C6CC5">
        <w:rPr>
          <w:rFonts w:ascii="Arial" w:hAnsi="Arial" w:cs="Arial"/>
          <w:sz w:val="20"/>
          <w:szCs w:val="20"/>
        </w:rPr>
        <w:t xml:space="preserve"> lodołamaczy dla RZGW Gdańsk, na co wydatkował kwotę 38,1 mln zł. Ponadto przejął zabezpieczenia udzielonych poręczeń</w:t>
      </w:r>
      <w:r w:rsidR="004C6CC5">
        <w:rPr>
          <w:rFonts w:ascii="Arial" w:hAnsi="Arial" w:cs="Arial"/>
          <w:sz w:val="20"/>
          <w:szCs w:val="20"/>
        </w:rPr>
        <w:t xml:space="preserve"> i </w:t>
      </w:r>
      <w:r w:rsidRPr="004C6CC5">
        <w:rPr>
          <w:rFonts w:ascii="Arial" w:hAnsi="Arial" w:cs="Arial"/>
          <w:sz w:val="20"/>
          <w:szCs w:val="20"/>
        </w:rPr>
        <w:t>gwarancji. Tym samym F</w:t>
      </w:r>
      <w:r w:rsidR="00EB6216">
        <w:rPr>
          <w:rFonts w:ascii="Arial" w:hAnsi="Arial" w:cs="Arial"/>
          <w:sz w:val="20"/>
          <w:szCs w:val="20"/>
        </w:rPr>
        <w:t>RS</w:t>
      </w:r>
      <w:r w:rsidRPr="004C6CC5">
        <w:rPr>
          <w:rFonts w:ascii="Arial" w:hAnsi="Arial" w:cs="Arial"/>
          <w:sz w:val="20"/>
          <w:szCs w:val="20"/>
        </w:rPr>
        <w:t xml:space="preserve"> udzielił  poręczeń</w:t>
      </w:r>
      <w:r w:rsidR="004C6CC5">
        <w:rPr>
          <w:rFonts w:ascii="Arial" w:hAnsi="Arial" w:cs="Arial"/>
          <w:sz w:val="20"/>
          <w:szCs w:val="20"/>
        </w:rPr>
        <w:t xml:space="preserve"> i </w:t>
      </w:r>
      <w:r w:rsidRPr="004C6CC5">
        <w:rPr>
          <w:rFonts w:ascii="Arial" w:hAnsi="Arial" w:cs="Arial"/>
          <w:sz w:val="20"/>
          <w:szCs w:val="20"/>
        </w:rPr>
        <w:t>gwarancji MSR Gryfia na kwotę 23,5 mln zł. Niezależnie o</w:t>
      </w:r>
      <w:r w:rsidR="00CB1B7D">
        <w:rPr>
          <w:rFonts w:ascii="Arial" w:hAnsi="Arial" w:cs="Arial"/>
          <w:sz w:val="20"/>
          <w:szCs w:val="20"/>
        </w:rPr>
        <w:t>d</w:t>
      </w:r>
      <w:r w:rsidRPr="004C6CC5">
        <w:rPr>
          <w:rFonts w:ascii="Arial" w:hAnsi="Arial" w:cs="Arial"/>
          <w:sz w:val="20"/>
          <w:szCs w:val="20"/>
        </w:rPr>
        <w:t xml:space="preserve"> tego FRS udzielił MSR Gryfia także poręczenia limitu kontraktowych gwarancji ubezpieczeniowych</w:t>
      </w:r>
      <w:r w:rsidR="004C6CC5">
        <w:rPr>
          <w:rFonts w:ascii="Arial" w:hAnsi="Arial" w:cs="Arial"/>
          <w:sz w:val="20"/>
          <w:szCs w:val="20"/>
        </w:rPr>
        <w:t xml:space="preserve"> w </w:t>
      </w:r>
      <w:r w:rsidRPr="004C6CC5">
        <w:rPr>
          <w:rFonts w:ascii="Arial" w:hAnsi="Arial" w:cs="Arial"/>
          <w:sz w:val="20"/>
          <w:szCs w:val="20"/>
        </w:rPr>
        <w:t>PZU S.A. Transakcja ta została uruchomiona poprzez zawarcie pomiędzy Funduszem a MSR Gryfia umowy o udzieleniu poręczenia wekslowego</w:t>
      </w:r>
      <w:r w:rsidR="004C6CC5">
        <w:rPr>
          <w:rFonts w:ascii="Arial" w:hAnsi="Arial" w:cs="Arial"/>
          <w:sz w:val="20"/>
          <w:szCs w:val="20"/>
        </w:rPr>
        <w:t xml:space="preserve"> i </w:t>
      </w:r>
      <w:r w:rsidRPr="004C6CC5">
        <w:rPr>
          <w:rFonts w:ascii="Arial" w:hAnsi="Arial" w:cs="Arial"/>
          <w:sz w:val="20"/>
          <w:szCs w:val="20"/>
        </w:rPr>
        <w:t>wystawienie przez FRS weksla in blanco wraz</w:t>
      </w:r>
      <w:r w:rsidR="004C6CC5">
        <w:rPr>
          <w:rFonts w:ascii="Arial" w:hAnsi="Arial" w:cs="Arial"/>
          <w:sz w:val="20"/>
          <w:szCs w:val="20"/>
        </w:rPr>
        <w:t xml:space="preserve"> z </w:t>
      </w:r>
      <w:r w:rsidRPr="004C6CC5">
        <w:rPr>
          <w:rFonts w:ascii="Arial" w:hAnsi="Arial" w:cs="Arial"/>
          <w:sz w:val="20"/>
          <w:szCs w:val="20"/>
        </w:rPr>
        <w:t>deklaracją wekslową na rzecz PZU S.A.</w:t>
      </w:r>
    </w:p>
    <w:p w14:paraId="5AE0696A" w14:textId="3AC7A797"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W ramach działań wskazanych</w:t>
      </w:r>
      <w:r w:rsidR="004C6CC5">
        <w:rPr>
          <w:rFonts w:ascii="Arial" w:hAnsi="Arial" w:cs="Arial"/>
          <w:sz w:val="20"/>
          <w:szCs w:val="20"/>
        </w:rPr>
        <w:t xml:space="preserve"> w </w:t>
      </w:r>
      <w:r w:rsidRPr="004C6CC5">
        <w:rPr>
          <w:rFonts w:ascii="Arial" w:hAnsi="Arial" w:cs="Arial"/>
          <w:sz w:val="20"/>
          <w:szCs w:val="20"/>
        </w:rPr>
        <w:t>strategicznych dokumentach kierunkowych F</w:t>
      </w:r>
      <w:r w:rsidR="002251B1">
        <w:rPr>
          <w:rFonts w:ascii="Arial" w:hAnsi="Arial" w:cs="Arial"/>
          <w:sz w:val="20"/>
          <w:szCs w:val="20"/>
        </w:rPr>
        <w:t>RS</w:t>
      </w:r>
      <w:r w:rsidRPr="004C6CC5">
        <w:rPr>
          <w:rFonts w:ascii="Arial" w:hAnsi="Arial" w:cs="Arial"/>
          <w:sz w:val="20"/>
          <w:szCs w:val="20"/>
        </w:rPr>
        <w:t xml:space="preserve"> prowadził także prace związane</w:t>
      </w:r>
      <w:r w:rsidR="002D7E1A">
        <w:rPr>
          <w:rFonts w:ascii="Arial" w:hAnsi="Arial" w:cs="Arial"/>
          <w:sz w:val="20"/>
          <w:szCs w:val="20"/>
        </w:rPr>
        <w:t xml:space="preserve"> z </w:t>
      </w:r>
      <w:r w:rsidRPr="004C6CC5">
        <w:rPr>
          <w:rFonts w:ascii="Arial" w:hAnsi="Arial" w:cs="Arial"/>
          <w:sz w:val="20"/>
          <w:szCs w:val="20"/>
        </w:rPr>
        <w:t>zarządzaniem nieruchomościami, dążąc do ich ostatecznego zbycia.</w:t>
      </w:r>
      <w:r w:rsidR="002251B1">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celu obniżenia obciążeń finansowych dotyczących zarządzanych nieruchomości, FRS podejmował przedsięwzięcia związane</w:t>
      </w:r>
      <w:r w:rsidR="004C6CC5">
        <w:rPr>
          <w:rFonts w:ascii="Arial" w:hAnsi="Arial" w:cs="Arial"/>
          <w:sz w:val="20"/>
          <w:szCs w:val="20"/>
        </w:rPr>
        <w:t xml:space="preserve"> z </w:t>
      </w:r>
      <w:r w:rsidRPr="004C6CC5">
        <w:rPr>
          <w:rFonts w:ascii="Arial" w:hAnsi="Arial" w:cs="Arial"/>
          <w:sz w:val="20"/>
          <w:szCs w:val="20"/>
        </w:rPr>
        <w:t>uzyskaniem dochodów</w:t>
      </w:r>
      <w:r w:rsidR="004C6CC5">
        <w:rPr>
          <w:rFonts w:ascii="Arial" w:hAnsi="Arial" w:cs="Arial"/>
          <w:sz w:val="20"/>
          <w:szCs w:val="20"/>
        </w:rPr>
        <w:t xml:space="preserve"> z </w:t>
      </w:r>
      <w:r w:rsidRPr="004C6CC5">
        <w:rPr>
          <w:rFonts w:ascii="Arial" w:hAnsi="Arial" w:cs="Arial"/>
          <w:sz w:val="20"/>
          <w:szCs w:val="20"/>
        </w:rPr>
        <w:t>posiadanych nieruchomości oraz działania ograniczające koszty utrzymania</w:t>
      </w:r>
      <w:r w:rsidR="002D7E1A">
        <w:rPr>
          <w:rFonts w:ascii="Arial" w:hAnsi="Arial" w:cs="Arial"/>
          <w:sz w:val="20"/>
          <w:szCs w:val="20"/>
        </w:rPr>
        <w:t xml:space="preserve"> i </w:t>
      </w:r>
      <w:r w:rsidRPr="004C6CC5">
        <w:rPr>
          <w:rFonts w:ascii="Arial" w:hAnsi="Arial" w:cs="Arial"/>
          <w:sz w:val="20"/>
          <w:szCs w:val="20"/>
        </w:rPr>
        <w:t>zarządzania tymi nieruchomościami.</w:t>
      </w:r>
      <w:r w:rsidR="002F044B" w:rsidRPr="004C6CC5">
        <w:rPr>
          <w:rFonts w:ascii="Arial" w:hAnsi="Arial" w:cs="Arial"/>
          <w:sz w:val="20"/>
          <w:szCs w:val="20"/>
        </w:rPr>
        <w:t xml:space="preserve"> </w:t>
      </w:r>
      <w:r w:rsidRPr="004C6CC5">
        <w:rPr>
          <w:rFonts w:ascii="Arial" w:hAnsi="Arial" w:cs="Arial"/>
          <w:sz w:val="20"/>
          <w:szCs w:val="20"/>
        </w:rPr>
        <w:t>Wszelkie działania podejmowane przez FRS</w:t>
      </w:r>
      <w:r w:rsidR="00CB049E">
        <w:rPr>
          <w:rFonts w:ascii="Arial" w:hAnsi="Arial" w:cs="Arial"/>
          <w:sz w:val="20"/>
          <w:szCs w:val="20"/>
        </w:rPr>
        <w:t xml:space="preserve"> </w:t>
      </w:r>
      <w:r w:rsidRPr="004C6CC5">
        <w:rPr>
          <w:rFonts w:ascii="Arial" w:hAnsi="Arial" w:cs="Arial"/>
          <w:sz w:val="20"/>
          <w:szCs w:val="20"/>
        </w:rPr>
        <w:t xml:space="preserve">2019 </w:t>
      </w:r>
      <w:r w:rsidR="00CB049E">
        <w:rPr>
          <w:rFonts w:ascii="Arial" w:hAnsi="Arial" w:cs="Arial"/>
          <w:sz w:val="20"/>
          <w:szCs w:val="20"/>
        </w:rPr>
        <w:t xml:space="preserve">r. </w:t>
      </w:r>
      <w:r w:rsidRPr="004C6CC5">
        <w:rPr>
          <w:rFonts w:ascii="Arial" w:hAnsi="Arial" w:cs="Arial"/>
          <w:sz w:val="20"/>
          <w:szCs w:val="20"/>
        </w:rPr>
        <w:t>nadal pozostawały</w:t>
      </w:r>
      <w:r w:rsidR="004C6CC5">
        <w:rPr>
          <w:rFonts w:ascii="Arial" w:hAnsi="Arial" w:cs="Arial"/>
          <w:sz w:val="20"/>
          <w:szCs w:val="20"/>
        </w:rPr>
        <w:t xml:space="preserve"> w </w:t>
      </w:r>
      <w:r w:rsidRPr="004C6CC5">
        <w:rPr>
          <w:rFonts w:ascii="Arial" w:hAnsi="Arial" w:cs="Arial"/>
          <w:sz w:val="20"/>
          <w:szCs w:val="20"/>
        </w:rPr>
        <w:t>ścisłym związku</w:t>
      </w:r>
      <w:r w:rsidR="004C6CC5">
        <w:rPr>
          <w:rFonts w:ascii="Arial" w:hAnsi="Arial" w:cs="Arial"/>
          <w:sz w:val="20"/>
          <w:szCs w:val="20"/>
        </w:rPr>
        <w:t xml:space="preserve"> z </w:t>
      </w:r>
      <w:r w:rsidRPr="004C6CC5">
        <w:rPr>
          <w:rFonts w:ascii="Arial" w:hAnsi="Arial" w:cs="Arial"/>
          <w:sz w:val="20"/>
          <w:szCs w:val="20"/>
        </w:rPr>
        <w:t xml:space="preserve">założeniami „Strategii na rzecz Odpowiedzialnego Rozwoju do roku </w:t>
      </w:r>
      <w:r w:rsidR="002251B1">
        <w:rPr>
          <w:rFonts w:ascii="Arial" w:hAnsi="Arial" w:cs="Arial"/>
          <w:sz w:val="20"/>
          <w:szCs w:val="20"/>
        </w:rPr>
        <w:t>20</w:t>
      </w:r>
      <w:r w:rsidR="004617A4">
        <w:rPr>
          <w:rFonts w:ascii="Arial" w:hAnsi="Arial" w:cs="Arial"/>
          <w:sz w:val="20"/>
          <w:szCs w:val="20"/>
        </w:rPr>
        <w:t>2</w:t>
      </w:r>
      <w:r w:rsidR="002251B1">
        <w:rPr>
          <w:rFonts w:ascii="Arial" w:hAnsi="Arial" w:cs="Arial"/>
          <w:sz w:val="20"/>
          <w:szCs w:val="20"/>
        </w:rPr>
        <w:t>0</w:t>
      </w:r>
      <w:r w:rsidR="004617A4">
        <w:rPr>
          <w:rFonts w:ascii="Arial" w:hAnsi="Arial" w:cs="Arial"/>
          <w:sz w:val="20"/>
          <w:szCs w:val="20"/>
        </w:rPr>
        <w:t>” (z perspektywą do 2030 r</w:t>
      </w:r>
      <w:r w:rsidR="002251B1">
        <w:rPr>
          <w:rFonts w:ascii="Arial" w:hAnsi="Arial" w:cs="Arial"/>
          <w:sz w:val="20"/>
          <w:szCs w:val="20"/>
        </w:rPr>
        <w:t>.</w:t>
      </w:r>
      <w:r w:rsidR="004617A4">
        <w:rPr>
          <w:rFonts w:ascii="Arial" w:hAnsi="Arial" w:cs="Arial"/>
          <w:sz w:val="20"/>
          <w:szCs w:val="20"/>
        </w:rPr>
        <w:t>)”.</w:t>
      </w:r>
      <w:r w:rsidR="002251B1">
        <w:rPr>
          <w:rFonts w:ascii="Arial" w:hAnsi="Arial" w:cs="Arial"/>
          <w:sz w:val="20"/>
          <w:szCs w:val="20"/>
        </w:rPr>
        <w:t xml:space="preserve"> </w:t>
      </w:r>
      <w:r w:rsidRPr="004C6CC5">
        <w:rPr>
          <w:rFonts w:ascii="Arial" w:hAnsi="Arial" w:cs="Arial"/>
          <w:sz w:val="20"/>
          <w:szCs w:val="20"/>
        </w:rPr>
        <w:t>Natomiast aktywność FRS</w:t>
      </w:r>
      <w:r w:rsidR="004C6CC5">
        <w:rPr>
          <w:rFonts w:ascii="Arial" w:hAnsi="Arial" w:cs="Arial"/>
          <w:sz w:val="20"/>
          <w:szCs w:val="20"/>
        </w:rPr>
        <w:t xml:space="preserve"> w </w:t>
      </w:r>
      <w:r w:rsidRPr="004C6CC5">
        <w:rPr>
          <w:rFonts w:ascii="Arial" w:hAnsi="Arial" w:cs="Arial"/>
          <w:sz w:val="20"/>
          <w:szCs w:val="20"/>
        </w:rPr>
        <w:t>realizacjach wszystkich przedsięwzięć gospodarczych opierała się na zasadach</w:t>
      </w:r>
      <w:r w:rsidR="004C6CC5">
        <w:rPr>
          <w:rFonts w:ascii="Arial" w:hAnsi="Arial" w:cs="Arial"/>
          <w:sz w:val="20"/>
          <w:szCs w:val="20"/>
        </w:rPr>
        <w:t xml:space="preserve"> w </w:t>
      </w:r>
      <w:r w:rsidRPr="004C6CC5">
        <w:rPr>
          <w:rFonts w:ascii="Arial" w:hAnsi="Arial" w:cs="Arial"/>
          <w:sz w:val="20"/>
          <w:szCs w:val="20"/>
        </w:rPr>
        <w:t>pełni rynkowych, komercyjnych, popartych testami prywatnego inwestora/wierzyciela, a zatem przy wykluczeniu wszelkich elementów, które mogłyby skutkować uznaniem działań finansowych F</w:t>
      </w:r>
      <w:r w:rsidR="002251B1">
        <w:rPr>
          <w:rFonts w:ascii="Arial" w:hAnsi="Arial" w:cs="Arial"/>
          <w:sz w:val="20"/>
          <w:szCs w:val="20"/>
        </w:rPr>
        <w:t>RS</w:t>
      </w:r>
      <w:r w:rsidRPr="004C6CC5">
        <w:rPr>
          <w:rFonts w:ascii="Arial" w:hAnsi="Arial" w:cs="Arial"/>
          <w:sz w:val="20"/>
          <w:szCs w:val="20"/>
        </w:rPr>
        <w:t xml:space="preserve"> za niedozwoloną pomoc publiczną.</w:t>
      </w:r>
    </w:p>
    <w:p w14:paraId="6E38E730" w14:textId="0AE76CAB" w:rsidR="003656A3" w:rsidRPr="005237A9" w:rsidRDefault="001926F2" w:rsidP="003C6ECA">
      <w:pPr>
        <w:pStyle w:val="Akapitzlist"/>
        <w:numPr>
          <w:ilvl w:val="0"/>
          <w:numId w:val="31"/>
        </w:numPr>
        <w:spacing w:after="120" w:line="276" w:lineRule="auto"/>
        <w:jc w:val="both"/>
        <w:rPr>
          <w:rFonts w:ascii="Arial" w:hAnsi="Arial" w:cs="Arial"/>
          <w:b/>
          <w:sz w:val="20"/>
          <w:szCs w:val="20"/>
        </w:rPr>
      </w:pPr>
      <w:r>
        <w:rPr>
          <w:rFonts w:ascii="Arial" w:hAnsi="Arial" w:cs="Arial"/>
          <w:b/>
          <w:sz w:val="20"/>
          <w:szCs w:val="20"/>
        </w:rPr>
        <w:t>Morska Stocznia Remontowa „</w:t>
      </w:r>
      <w:r w:rsidR="003656A3" w:rsidRPr="005237A9">
        <w:rPr>
          <w:rFonts w:ascii="Arial" w:hAnsi="Arial" w:cs="Arial"/>
          <w:b/>
          <w:sz w:val="20"/>
          <w:szCs w:val="20"/>
        </w:rPr>
        <w:t>Gryfia” S.A.</w:t>
      </w:r>
    </w:p>
    <w:p w14:paraId="2E70F1CF" w14:textId="77F8E0F2" w:rsidR="002F044B"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M</w:t>
      </w:r>
      <w:r w:rsidR="001926F2">
        <w:rPr>
          <w:rFonts w:ascii="Arial" w:hAnsi="Arial" w:cs="Arial"/>
          <w:sz w:val="20"/>
          <w:szCs w:val="20"/>
        </w:rPr>
        <w:t>orska Stocznia Remontowa Gryfia</w:t>
      </w:r>
      <w:r w:rsidRPr="004C6CC5">
        <w:rPr>
          <w:rFonts w:ascii="Arial" w:hAnsi="Arial" w:cs="Arial"/>
          <w:sz w:val="20"/>
          <w:szCs w:val="20"/>
        </w:rPr>
        <w:t xml:space="preserve"> S.A.</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Pr="004C6CC5">
        <w:rPr>
          <w:rFonts w:ascii="Arial" w:hAnsi="Arial" w:cs="Arial"/>
          <w:sz w:val="20"/>
          <w:szCs w:val="20"/>
        </w:rPr>
        <w:t>Szczecinie (MSR Gryfia) oferuje usługi</w:t>
      </w:r>
      <w:r w:rsidR="004C6CC5">
        <w:rPr>
          <w:rFonts w:ascii="Arial" w:hAnsi="Arial" w:cs="Arial"/>
          <w:sz w:val="20"/>
          <w:szCs w:val="20"/>
        </w:rPr>
        <w:t xml:space="preserve"> w </w:t>
      </w:r>
      <w:r w:rsidRPr="004C6CC5">
        <w:rPr>
          <w:rFonts w:ascii="Arial" w:hAnsi="Arial" w:cs="Arial"/>
          <w:sz w:val="20"/>
          <w:szCs w:val="20"/>
        </w:rPr>
        <w:t>zakresie remontów, przebudowy</w:t>
      </w:r>
      <w:r w:rsidR="00F96204">
        <w:rPr>
          <w:rFonts w:ascii="Arial" w:hAnsi="Arial" w:cs="Arial"/>
          <w:sz w:val="20"/>
          <w:szCs w:val="20"/>
        </w:rPr>
        <w:t xml:space="preserve"> i </w:t>
      </w:r>
      <w:r w:rsidRPr="004C6CC5">
        <w:rPr>
          <w:rFonts w:ascii="Arial" w:hAnsi="Arial" w:cs="Arial"/>
          <w:sz w:val="20"/>
          <w:szCs w:val="20"/>
        </w:rPr>
        <w:t xml:space="preserve">budowy nowych jednostek pływających. Wykonuje remonty </w:t>
      </w:r>
      <w:r w:rsidR="002F044B" w:rsidRPr="004C6CC5">
        <w:rPr>
          <w:rFonts w:ascii="Arial" w:hAnsi="Arial" w:cs="Arial"/>
          <w:sz w:val="20"/>
          <w:szCs w:val="20"/>
        </w:rPr>
        <w:lastRenderedPageBreak/>
        <w:t>a</w:t>
      </w:r>
      <w:r w:rsidRPr="004C6CC5">
        <w:rPr>
          <w:rFonts w:ascii="Arial" w:hAnsi="Arial" w:cs="Arial"/>
          <w:sz w:val="20"/>
          <w:szCs w:val="20"/>
        </w:rPr>
        <w:t>waryjne</w:t>
      </w:r>
      <w:r w:rsidR="00F96204">
        <w:rPr>
          <w:rFonts w:ascii="Arial" w:hAnsi="Arial" w:cs="Arial"/>
          <w:sz w:val="20"/>
          <w:szCs w:val="20"/>
        </w:rPr>
        <w:t xml:space="preserve"> i </w:t>
      </w:r>
      <w:r w:rsidRPr="004C6CC5">
        <w:rPr>
          <w:rFonts w:ascii="Arial" w:hAnsi="Arial" w:cs="Arial"/>
          <w:sz w:val="20"/>
          <w:szCs w:val="20"/>
        </w:rPr>
        <w:t>przeglądy klasowe statków. Spółka prowadzi działalność</w:t>
      </w:r>
      <w:r w:rsidR="004C6CC5">
        <w:rPr>
          <w:rFonts w:ascii="Arial" w:hAnsi="Arial" w:cs="Arial"/>
          <w:sz w:val="20"/>
          <w:szCs w:val="20"/>
        </w:rPr>
        <w:t xml:space="preserve"> w </w:t>
      </w:r>
      <w:r w:rsidRPr="004C6CC5">
        <w:rPr>
          <w:rFonts w:ascii="Arial" w:hAnsi="Arial" w:cs="Arial"/>
          <w:sz w:val="20"/>
          <w:szCs w:val="20"/>
        </w:rPr>
        <w:t>dwóch lokalizacjach:</w:t>
      </w:r>
      <w:r w:rsidR="004C6CC5">
        <w:rPr>
          <w:rFonts w:ascii="Arial" w:hAnsi="Arial" w:cs="Arial"/>
          <w:sz w:val="20"/>
          <w:szCs w:val="20"/>
        </w:rPr>
        <w:t xml:space="preserve"> w </w:t>
      </w:r>
      <w:r w:rsidRPr="004C6CC5">
        <w:rPr>
          <w:rFonts w:ascii="Arial" w:hAnsi="Arial" w:cs="Arial"/>
          <w:sz w:val="20"/>
          <w:szCs w:val="20"/>
        </w:rPr>
        <w:t xml:space="preserve">Szczecinie </w:t>
      </w:r>
      <w:r w:rsidR="00053C24">
        <w:rPr>
          <w:rFonts w:ascii="Arial" w:hAnsi="Arial" w:cs="Arial"/>
          <w:sz w:val="20"/>
          <w:szCs w:val="20"/>
        </w:rPr>
        <w:t>i</w:t>
      </w:r>
      <w:r w:rsidRPr="004C6CC5">
        <w:rPr>
          <w:rFonts w:ascii="Arial" w:hAnsi="Arial" w:cs="Arial"/>
          <w:sz w:val="20"/>
          <w:szCs w:val="20"/>
        </w:rPr>
        <w:t xml:space="preserve"> Świnoujściu. </w:t>
      </w:r>
    </w:p>
    <w:p w14:paraId="0028531B" w14:textId="7F17E330"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006B0E4F">
        <w:rPr>
          <w:rFonts w:ascii="Arial" w:hAnsi="Arial" w:cs="Arial"/>
          <w:sz w:val="20"/>
          <w:szCs w:val="20"/>
        </w:rPr>
        <w:t xml:space="preserve">stocznia </w:t>
      </w:r>
      <w:r w:rsidRPr="004C6CC5">
        <w:rPr>
          <w:rFonts w:ascii="Arial" w:hAnsi="Arial" w:cs="Arial"/>
          <w:sz w:val="20"/>
          <w:szCs w:val="20"/>
        </w:rPr>
        <w:t>zrealizowała 162 projekty różnego typu,</w:t>
      </w:r>
      <w:r w:rsidR="004C6CC5">
        <w:rPr>
          <w:rFonts w:ascii="Arial" w:hAnsi="Arial" w:cs="Arial"/>
          <w:sz w:val="20"/>
          <w:szCs w:val="20"/>
        </w:rPr>
        <w:t xml:space="preserve"> w </w:t>
      </w:r>
      <w:r w:rsidRPr="004C6CC5">
        <w:rPr>
          <w:rFonts w:ascii="Arial" w:hAnsi="Arial" w:cs="Arial"/>
          <w:sz w:val="20"/>
          <w:szCs w:val="20"/>
        </w:rPr>
        <w:t>tym na 7 jednostkach dokonała montażu systemu Ballast Water Treatment System.</w:t>
      </w:r>
      <w:r w:rsidR="006B0E4F">
        <w:rPr>
          <w:rFonts w:ascii="Arial" w:hAnsi="Arial" w:cs="Arial"/>
          <w:sz w:val="20"/>
          <w:szCs w:val="20"/>
        </w:rPr>
        <w:t xml:space="preserve"> W</w:t>
      </w:r>
      <w:r w:rsidR="004C6CC5">
        <w:rPr>
          <w:rFonts w:ascii="Arial" w:hAnsi="Arial" w:cs="Arial"/>
          <w:sz w:val="20"/>
          <w:szCs w:val="20"/>
        </w:rPr>
        <w:t> </w:t>
      </w:r>
      <w:r w:rsidR="00F8629F">
        <w:rPr>
          <w:rFonts w:ascii="Arial" w:hAnsi="Arial" w:cs="Arial"/>
          <w:sz w:val="20"/>
          <w:szCs w:val="20"/>
        </w:rPr>
        <w:t xml:space="preserve"> roku </w:t>
      </w:r>
      <w:r w:rsidRPr="004C6CC5">
        <w:rPr>
          <w:rFonts w:ascii="Arial" w:hAnsi="Arial" w:cs="Arial"/>
          <w:sz w:val="20"/>
          <w:szCs w:val="20"/>
        </w:rPr>
        <w:t>2019 kontynuowano realizację zamówienia Państwowego Gospodarstwa Wodnego Wody Polskie, Regionalny Zarząd Gospodarki Wodnej</w:t>
      </w:r>
      <w:r w:rsidR="004C6CC5">
        <w:rPr>
          <w:rFonts w:ascii="Arial" w:hAnsi="Arial" w:cs="Arial"/>
          <w:sz w:val="20"/>
          <w:szCs w:val="20"/>
        </w:rPr>
        <w:t xml:space="preserve"> w </w:t>
      </w:r>
      <w:r w:rsidRPr="004C6CC5">
        <w:rPr>
          <w:rFonts w:ascii="Arial" w:hAnsi="Arial" w:cs="Arial"/>
          <w:sz w:val="20"/>
          <w:szCs w:val="20"/>
        </w:rPr>
        <w:t>Gdańsku na wybudowanie czterech lodołamaczy rzecznych. We wrześniu 2019</w:t>
      </w:r>
      <w:r w:rsidR="009D01B9" w:rsidRPr="004C6CC5">
        <w:rPr>
          <w:rFonts w:ascii="Arial" w:hAnsi="Arial" w:cs="Arial"/>
          <w:sz w:val="20"/>
          <w:szCs w:val="20"/>
        </w:rPr>
        <w:t xml:space="preserve"> r. </w:t>
      </w:r>
      <w:r w:rsidRPr="004C6CC5">
        <w:rPr>
          <w:rFonts w:ascii="Arial" w:hAnsi="Arial" w:cs="Arial"/>
          <w:sz w:val="20"/>
          <w:szCs w:val="20"/>
        </w:rPr>
        <w:t>zakończono budowę kadłuba lodołamacza czołowego, a</w:t>
      </w:r>
      <w:r w:rsidR="004C6CC5">
        <w:rPr>
          <w:rFonts w:ascii="Arial" w:hAnsi="Arial" w:cs="Arial"/>
          <w:sz w:val="20"/>
          <w:szCs w:val="20"/>
        </w:rPr>
        <w:t xml:space="preserve"> w </w:t>
      </w:r>
      <w:r w:rsidRPr="004C6CC5">
        <w:rPr>
          <w:rFonts w:ascii="Arial" w:hAnsi="Arial" w:cs="Arial"/>
          <w:sz w:val="20"/>
          <w:szCs w:val="20"/>
        </w:rPr>
        <w:t>listopadzie 2019</w:t>
      </w:r>
      <w:r w:rsidR="009D01B9" w:rsidRPr="004C6CC5">
        <w:rPr>
          <w:rFonts w:ascii="Arial" w:hAnsi="Arial" w:cs="Arial"/>
          <w:sz w:val="20"/>
          <w:szCs w:val="20"/>
        </w:rPr>
        <w:t xml:space="preserve"> r. </w:t>
      </w:r>
      <w:r w:rsidRPr="004C6CC5">
        <w:rPr>
          <w:rFonts w:ascii="Arial" w:hAnsi="Arial" w:cs="Arial"/>
          <w:sz w:val="20"/>
          <w:szCs w:val="20"/>
        </w:rPr>
        <w:t>kadłuba lodołamacza liniowego</w:t>
      </w:r>
      <w:r w:rsidR="004C6CC5">
        <w:rPr>
          <w:rFonts w:ascii="Arial" w:hAnsi="Arial" w:cs="Arial"/>
          <w:sz w:val="20"/>
          <w:szCs w:val="20"/>
        </w:rPr>
        <w:t xml:space="preserve"> i </w:t>
      </w:r>
      <w:r w:rsidRPr="004C6CC5">
        <w:rPr>
          <w:rFonts w:ascii="Arial" w:hAnsi="Arial" w:cs="Arial"/>
          <w:sz w:val="20"/>
          <w:szCs w:val="20"/>
        </w:rPr>
        <w:t>rozpoczęto prace wyposażeniowe na tych jednostkach. Ponadto kontynuowano remont jednostki „ORP Lublin” dla Komendy Portu Wojennego</w:t>
      </w:r>
      <w:r w:rsidR="004C6CC5">
        <w:rPr>
          <w:rFonts w:ascii="Arial" w:hAnsi="Arial" w:cs="Arial"/>
          <w:sz w:val="20"/>
          <w:szCs w:val="20"/>
        </w:rPr>
        <w:t xml:space="preserve"> w </w:t>
      </w:r>
      <w:r w:rsidRPr="004C6CC5">
        <w:rPr>
          <w:rFonts w:ascii="Arial" w:hAnsi="Arial" w:cs="Arial"/>
          <w:sz w:val="20"/>
          <w:szCs w:val="20"/>
        </w:rPr>
        <w:t>Świnoujściu, który jest realizowany</w:t>
      </w:r>
      <w:r w:rsidR="004C6CC5">
        <w:rPr>
          <w:rFonts w:ascii="Arial" w:hAnsi="Arial" w:cs="Arial"/>
          <w:sz w:val="20"/>
          <w:szCs w:val="20"/>
        </w:rPr>
        <w:t xml:space="preserve"> w </w:t>
      </w:r>
      <w:r w:rsidRPr="004C6CC5">
        <w:rPr>
          <w:rFonts w:ascii="Arial" w:hAnsi="Arial" w:cs="Arial"/>
          <w:sz w:val="20"/>
          <w:szCs w:val="20"/>
        </w:rPr>
        <w:t>konsorcjum ze Stocznią Remontową „Nauta” S.A.</w:t>
      </w:r>
      <w:r w:rsidR="004C6CC5">
        <w:rPr>
          <w:rFonts w:ascii="Arial" w:hAnsi="Arial" w:cs="Arial"/>
          <w:sz w:val="20"/>
          <w:szCs w:val="20"/>
        </w:rPr>
        <w:t xml:space="preserve"> </w:t>
      </w:r>
      <w:r w:rsidR="006B0E4F">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listopadzie 2019</w:t>
      </w:r>
      <w:r w:rsidR="009D01B9" w:rsidRPr="004C6CC5">
        <w:rPr>
          <w:rFonts w:ascii="Arial" w:hAnsi="Arial" w:cs="Arial"/>
          <w:sz w:val="20"/>
          <w:szCs w:val="20"/>
        </w:rPr>
        <w:t xml:space="preserve"> r. </w:t>
      </w:r>
      <w:r w:rsidRPr="004C6CC5">
        <w:rPr>
          <w:rFonts w:ascii="Arial" w:hAnsi="Arial" w:cs="Arial"/>
          <w:sz w:val="20"/>
          <w:szCs w:val="20"/>
        </w:rPr>
        <w:t xml:space="preserve">został zakończony drugi etap remontu tego okrętu.  </w:t>
      </w:r>
    </w:p>
    <w:p w14:paraId="02F7DDE5" w14:textId="461DFD5B"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Ponadto</w:t>
      </w:r>
      <w:r w:rsidR="004C6CC5">
        <w:rPr>
          <w:rFonts w:ascii="Arial" w:hAnsi="Arial" w:cs="Arial"/>
          <w:sz w:val="20"/>
          <w:szCs w:val="20"/>
        </w:rPr>
        <w:t xml:space="preserve"> w </w:t>
      </w:r>
      <w:r w:rsidRPr="004C6CC5">
        <w:rPr>
          <w:rFonts w:ascii="Arial" w:hAnsi="Arial" w:cs="Arial"/>
          <w:sz w:val="20"/>
          <w:szCs w:val="20"/>
        </w:rPr>
        <w:t>lipcu 2019</w:t>
      </w:r>
      <w:r w:rsidR="009D01B9" w:rsidRPr="004C6CC5">
        <w:rPr>
          <w:rFonts w:ascii="Arial" w:hAnsi="Arial" w:cs="Arial"/>
          <w:sz w:val="20"/>
          <w:szCs w:val="20"/>
        </w:rPr>
        <w:t xml:space="preserve"> r. </w:t>
      </w:r>
      <w:r w:rsidRPr="004C6CC5">
        <w:rPr>
          <w:rFonts w:ascii="Arial" w:hAnsi="Arial" w:cs="Arial"/>
          <w:sz w:val="20"/>
          <w:szCs w:val="20"/>
        </w:rPr>
        <w:t>MSR Gryfia zawiązała wraz</w:t>
      </w:r>
      <w:r w:rsidR="004C6CC5">
        <w:rPr>
          <w:rFonts w:ascii="Arial" w:hAnsi="Arial" w:cs="Arial"/>
          <w:sz w:val="20"/>
          <w:szCs w:val="20"/>
        </w:rPr>
        <w:t xml:space="preserve"> z </w:t>
      </w:r>
      <w:r w:rsidRPr="004C6CC5">
        <w:rPr>
          <w:rFonts w:ascii="Arial" w:hAnsi="Arial" w:cs="Arial"/>
          <w:sz w:val="20"/>
          <w:szCs w:val="20"/>
        </w:rPr>
        <w:t>Krajową Izbą Gospodarczą</w:t>
      </w:r>
      <w:r w:rsidR="004C6CC5">
        <w:rPr>
          <w:rFonts w:ascii="Arial" w:hAnsi="Arial" w:cs="Arial"/>
          <w:sz w:val="20"/>
          <w:szCs w:val="20"/>
        </w:rPr>
        <w:t xml:space="preserve"> w </w:t>
      </w:r>
      <w:r w:rsidRPr="004C6CC5">
        <w:rPr>
          <w:rFonts w:ascii="Arial" w:hAnsi="Arial" w:cs="Arial"/>
          <w:sz w:val="20"/>
          <w:szCs w:val="20"/>
        </w:rPr>
        <w:t>Warszawie spółkę „Zakła</w:t>
      </w:r>
      <w:r w:rsidR="006B0E4F">
        <w:rPr>
          <w:rFonts w:ascii="Arial" w:hAnsi="Arial" w:cs="Arial"/>
          <w:sz w:val="20"/>
          <w:szCs w:val="20"/>
        </w:rPr>
        <w:t>d Recyklingu Statków Szczecin” S</w:t>
      </w:r>
      <w:r w:rsidRPr="004C6CC5">
        <w:rPr>
          <w:rFonts w:ascii="Arial" w:hAnsi="Arial" w:cs="Arial"/>
          <w:sz w:val="20"/>
          <w:szCs w:val="20"/>
        </w:rPr>
        <w:t>p.</w:t>
      </w:r>
      <w:r w:rsidR="004C6CC5">
        <w:rPr>
          <w:rFonts w:ascii="Arial" w:hAnsi="Arial" w:cs="Arial"/>
          <w:sz w:val="20"/>
          <w:szCs w:val="20"/>
        </w:rPr>
        <w:t xml:space="preserve"> z </w:t>
      </w:r>
      <w:r w:rsidRPr="004C6CC5">
        <w:rPr>
          <w:rFonts w:ascii="Arial" w:hAnsi="Arial" w:cs="Arial"/>
          <w:sz w:val="20"/>
          <w:szCs w:val="20"/>
        </w:rPr>
        <w:t xml:space="preserve">o.o. </w:t>
      </w:r>
      <w:r w:rsidR="00EE4981">
        <w:rPr>
          <w:rFonts w:ascii="Arial" w:hAnsi="Arial" w:cs="Arial"/>
          <w:sz w:val="20"/>
          <w:szCs w:val="20"/>
        </w:rPr>
        <w:t>jako</w:t>
      </w:r>
      <w:r w:rsidRPr="004C6CC5">
        <w:rPr>
          <w:rFonts w:ascii="Arial" w:hAnsi="Arial" w:cs="Arial"/>
          <w:sz w:val="20"/>
          <w:szCs w:val="20"/>
        </w:rPr>
        <w:t xml:space="preserve"> spółkę cel</w:t>
      </w:r>
      <w:r w:rsidR="002F044B" w:rsidRPr="004C6CC5">
        <w:rPr>
          <w:rFonts w:ascii="Arial" w:hAnsi="Arial" w:cs="Arial"/>
          <w:sz w:val="20"/>
          <w:szCs w:val="20"/>
        </w:rPr>
        <w:t xml:space="preserve">ową, przeznaczoną do realizacji </w:t>
      </w:r>
      <w:r w:rsidRPr="004C6CC5">
        <w:rPr>
          <w:rFonts w:ascii="Arial" w:hAnsi="Arial" w:cs="Arial"/>
          <w:sz w:val="20"/>
          <w:szCs w:val="20"/>
        </w:rPr>
        <w:t>rządowego projektu „Zielona Stocznia</w:t>
      </w:r>
      <w:r w:rsidR="004C6CC5">
        <w:rPr>
          <w:rFonts w:ascii="Arial" w:hAnsi="Arial" w:cs="Arial"/>
          <w:sz w:val="20"/>
          <w:szCs w:val="20"/>
        </w:rPr>
        <w:t xml:space="preserve"> w </w:t>
      </w:r>
      <w:r w:rsidRPr="004C6CC5">
        <w:rPr>
          <w:rFonts w:ascii="Arial" w:hAnsi="Arial" w:cs="Arial"/>
          <w:sz w:val="20"/>
          <w:szCs w:val="20"/>
        </w:rPr>
        <w:t>Polsce”.</w:t>
      </w:r>
      <w:r w:rsidR="002F044B" w:rsidRPr="004C6CC5">
        <w:rPr>
          <w:rFonts w:ascii="Arial" w:hAnsi="Arial" w:cs="Arial"/>
          <w:sz w:val="20"/>
          <w:szCs w:val="20"/>
        </w:rPr>
        <w:t xml:space="preserve"> </w:t>
      </w:r>
      <w:r w:rsidRPr="004C6CC5">
        <w:rPr>
          <w:rFonts w:ascii="Arial" w:hAnsi="Arial" w:cs="Arial"/>
          <w:sz w:val="20"/>
          <w:szCs w:val="20"/>
        </w:rPr>
        <w:t>Realizując zapisy umowy zamiany udziałów</w:t>
      </w:r>
      <w:r w:rsidR="004C6CC5">
        <w:rPr>
          <w:rFonts w:ascii="Arial" w:hAnsi="Arial" w:cs="Arial"/>
          <w:sz w:val="20"/>
          <w:szCs w:val="20"/>
        </w:rPr>
        <w:t xml:space="preserve"> i </w:t>
      </w:r>
      <w:r w:rsidRPr="004C6CC5">
        <w:rPr>
          <w:rFonts w:ascii="Arial" w:hAnsi="Arial" w:cs="Arial"/>
          <w:sz w:val="20"/>
          <w:szCs w:val="20"/>
        </w:rPr>
        <w:t>akcji, zawartej</w:t>
      </w:r>
      <w:r w:rsidR="004C6CC5">
        <w:rPr>
          <w:rFonts w:ascii="Arial" w:hAnsi="Arial" w:cs="Arial"/>
          <w:sz w:val="20"/>
          <w:szCs w:val="20"/>
        </w:rPr>
        <w:t xml:space="preserve"> </w:t>
      </w:r>
      <w:r w:rsidR="006B0E4F">
        <w:rPr>
          <w:rFonts w:ascii="Arial" w:hAnsi="Arial" w:cs="Arial"/>
          <w:sz w:val="20"/>
          <w:szCs w:val="20"/>
        </w:rPr>
        <w:t>w</w:t>
      </w:r>
      <w:r w:rsidR="004C6CC5">
        <w:rPr>
          <w:rFonts w:ascii="Arial" w:hAnsi="Arial" w:cs="Arial"/>
          <w:sz w:val="20"/>
          <w:szCs w:val="20"/>
        </w:rPr>
        <w:t> </w:t>
      </w:r>
      <w:r w:rsidR="006B0E4F">
        <w:rPr>
          <w:rFonts w:ascii="Arial" w:hAnsi="Arial" w:cs="Arial"/>
          <w:sz w:val="20"/>
          <w:szCs w:val="20"/>
        </w:rPr>
        <w:t>dniu</w:t>
      </w:r>
      <w:r w:rsidRPr="004C6CC5">
        <w:rPr>
          <w:rFonts w:ascii="Arial" w:hAnsi="Arial" w:cs="Arial"/>
          <w:sz w:val="20"/>
          <w:szCs w:val="20"/>
        </w:rPr>
        <w:t xml:space="preserve"> 19 grudnia 2018</w:t>
      </w:r>
      <w:r w:rsidR="009D01B9" w:rsidRPr="004C6CC5">
        <w:rPr>
          <w:rFonts w:ascii="Arial" w:hAnsi="Arial" w:cs="Arial"/>
          <w:sz w:val="20"/>
          <w:szCs w:val="20"/>
        </w:rPr>
        <w:t xml:space="preserve"> r. </w:t>
      </w:r>
      <w:r w:rsidRPr="004C6CC5">
        <w:rPr>
          <w:rFonts w:ascii="Arial" w:hAnsi="Arial" w:cs="Arial"/>
          <w:sz w:val="20"/>
          <w:szCs w:val="20"/>
        </w:rPr>
        <w:t>pomiędzy MARS FIZ</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Pr="004C6CC5">
        <w:rPr>
          <w:rFonts w:ascii="Arial" w:hAnsi="Arial" w:cs="Arial"/>
          <w:sz w:val="20"/>
          <w:szCs w:val="20"/>
        </w:rPr>
        <w:t>Warszawie a Funduszem Rozwoju Spółek S.A.</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Pr="004C6CC5">
        <w:rPr>
          <w:rFonts w:ascii="Arial" w:hAnsi="Arial" w:cs="Arial"/>
          <w:sz w:val="20"/>
          <w:szCs w:val="20"/>
        </w:rPr>
        <w:t>Warszawie,</w:t>
      </w:r>
      <w:r w:rsidR="004C6CC5">
        <w:rPr>
          <w:rFonts w:ascii="Arial" w:hAnsi="Arial" w:cs="Arial"/>
          <w:sz w:val="20"/>
          <w:szCs w:val="20"/>
        </w:rPr>
        <w:t xml:space="preserve"> w </w:t>
      </w:r>
      <w:r w:rsidRPr="004C6CC5">
        <w:rPr>
          <w:rFonts w:ascii="Arial" w:hAnsi="Arial" w:cs="Arial"/>
          <w:sz w:val="20"/>
          <w:szCs w:val="20"/>
        </w:rPr>
        <w:t>lipcu 2019</w:t>
      </w:r>
      <w:r w:rsidR="009D01B9" w:rsidRPr="004C6CC5">
        <w:rPr>
          <w:rFonts w:ascii="Arial" w:hAnsi="Arial" w:cs="Arial"/>
          <w:sz w:val="20"/>
          <w:szCs w:val="20"/>
        </w:rPr>
        <w:t xml:space="preserve"> r. </w:t>
      </w:r>
      <w:r w:rsidRPr="004C6CC5">
        <w:rPr>
          <w:rFonts w:ascii="Arial" w:hAnsi="Arial" w:cs="Arial"/>
          <w:sz w:val="20"/>
          <w:szCs w:val="20"/>
        </w:rPr>
        <w:t>nastąpiło ostateczne przeniesienie reszty akcji imiennych MSR Gryfia (posiadanych dotychczas przez MARS FIZ) na Fundusz Rozwoju Spółek. Tym samym FRS S.A.</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00DD26AE">
        <w:rPr>
          <w:rFonts w:ascii="Arial" w:hAnsi="Arial" w:cs="Arial"/>
          <w:sz w:val="20"/>
          <w:szCs w:val="20"/>
        </w:rPr>
        <w:t>Warszawie posiada 92,36</w:t>
      </w:r>
      <w:r w:rsidRPr="004C6CC5">
        <w:rPr>
          <w:rFonts w:ascii="Arial" w:hAnsi="Arial" w:cs="Arial"/>
          <w:sz w:val="20"/>
          <w:szCs w:val="20"/>
        </w:rPr>
        <w:t>% akcji MSR Gryfia. Pozostałą część akcji posiadają obecni</w:t>
      </w:r>
      <w:r w:rsidR="004C6CC5">
        <w:rPr>
          <w:rFonts w:ascii="Arial" w:hAnsi="Arial" w:cs="Arial"/>
          <w:sz w:val="20"/>
          <w:szCs w:val="20"/>
        </w:rPr>
        <w:t xml:space="preserve"> i </w:t>
      </w:r>
      <w:r w:rsidRPr="004C6CC5">
        <w:rPr>
          <w:rFonts w:ascii="Arial" w:hAnsi="Arial" w:cs="Arial"/>
          <w:sz w:val="20"/>
          <w:szCs w:val="20"/>
        </w:rPr>
        <w:t xml:space="preserve">byli pracownicy MSR Gryfia oraz krajowe osoby prawne.  </w:t>
      </w:r>
    </w:p>
    <w:p w14:paraId="7A085B9A" w14:textId="3078F88B" w:rsidR="003656A3" w:rsidRPr="000F3D8E" w:rsidRDefault="003656A3" w:rsidP="003C6ECA">
      <w:pPr>
        <w:pStyle w:val="Akapitzlist"/>
        <w:numPr>
          <w:ilvl w:val="0"/>
          <w:numId w:val="31"/>
        </w:numPr>
        <w:spacing w:after="120" w:line="276" w:lineRule="auto"/>
        <w:jc w:val="both"/>
        <w:rPr>
          <w:rFonts w:ascii="Arial" w:hAnsi="Arial" w:cs="Arial"/>
          <w:b/>
          <w:sz w:val="20"/>
          <w:szCs w:val="20"/>
        </w:rPr>
      </w:pPr>
      <w:r w:rsidRPr="000F3D8E">
        <w:rPr>
          <w:rFonts w:ascii="Arial" w:hAnsi="Arial" w:cs="Arial"/>
          <w:b/>
          <w:sz w:val="20"/>
          <w:szCs w:val="20"/>
        </w:rPr>
        <w:t>Stocznia Szczecińska Sp.</w:t>
      </w:r>
      <w:r w:rsidR="004C6CC5" w:rsidRPr="000F3D8E">
        <w:rPr>
          <w:rFonts w:ascii="Arial" w:hAnsi="Arial" w:cs="Arial"/>
          <w:b/>
          <w:sz w:val="20"/>
          <w:szCs w:val="20"/>
        </w:rPr>
        <w:t xml:space="preserve"> z </w:t>
      </w:r>
      <w:r w:rsidRPr="000F3D8E">
        <w:rPr>
          <w:rFonts w:ascii="Arial" w:hAnsi="Arial" w:cs="Arial"/>
          <w:b/>
          <w:sz w:val="20"/>
          <w:szCs w:val="20"/>
        </w:rPr>
        <w:t>o.o.</w:t>
      </w:r>
    </w:p>
    <w:p w14:paraId="25DCF5D3" w14:textId="4F41CDD5"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100% udziałów</w:t>
      </w:r>
      <w:r w:rsidR="004C6CC5">
        <w:rPr>
          <w:rFonts w:ascii="Arial" w:hAnsi="Arial" w:cs="Arial"/>
          <w:sz w:val="20"/>
          <w:szCs w:val="20"/>
        </w:rPr>
        <w:t xml:space="preserve"> w </w:t>
      </w:r>
      <w:r w:rsidRPr="004C6CC5">
        <w:rPr>
          <w:rFonts w:ascii="Arial" w:hAnsi="Arial" w:cs="Arial"/>
          <w:sz w:val="20"/>
          <w:szCs w:val="20"/>
        </w:rPr>
        <w:t>spółce Stocznia Szcz</w:t>
      </w:r>
      <w:r w:rsidR="00C33444">
        <w:rPr>
          <w:rFonts w:ascii="Arial" w:hAnsi="Arial" w:cs="Arial"/>
          <w:sz w:val="20"/>
          <w:szCs w:val="20"/>
        </w:rPr>
        <w:t>ecińska S</w:t>
      </w:r>
      <w:r w:rsidRPr="004C6CC5">
        <w:rPr>
          <w:rFonts w:ascii="Arial" w:hAnsi="Arial" w:cs="Arial"/>
          <w:sz w:val="20"/>
          <w:szCs w:val="20"/>
        </w:rPr>
        <w:t>p.</w:t>
      </w:r>
      <w:r w:rsidR="004C6CC5">
        <w:rPr>
          <w:rFonts w:ascii="Arial" w:hAnsi="Arial" w:cs="Arial"/>
          <w:sz w:val="20"/>
          <w:szCs w:val="20"/>
        </w:rPr>
        <w:t xml:space="preserve"> z </w:t>
      </w:r>
      <w:r w:rsidRPr="004C6CC5">
        <w:rPr>
          <w:rFonts w:ascii="Arial" w:hAnsi="Arial" w:cs="Arial"/>
          <w:sz w:val="20"/>
          <w:szCs w:val="20"/>
        </w:rPr>
        <w:t>o.o.</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Pr="004C6CC5">
        <w:rPr>
          <w:rFonts w:ascii="Arial" w:hAnsi="Arial" w:cs="Arial"/>
          <w:sz w:val="20"/>
          <w:szCs w:val="20"/>
        </w:rPr>
        <w:t>Szczecinie należy do Funduszu Rozwoju Spółek S.A.</w:t>
      </w:r>
      <w:r w:rsidR="004C6CC5">
        <w:rPr>
          <w:rFonts w:ascii="Arial" w:hAnsi="Arial" w:cs="Arial"/>
          <w:sz w:val="20"/>
          <w:szCs w:val="20"/>
        </w:rPr>
        <w:t xml:space="preserve"> z </w:t>
      </w:r>
      <w:r w:rsidRPr="004C6CC5">
        <w:rPr>
          <w:rFonts w:ascii="Arial" w:hAnsi="Arial" w:cs="Arial"/>
          <w:sz w:val="20"/>
          <w:szCs w:val="20"/>
        </w:rPr>
        <w:t>siedzibą</w:t>
      </w:r>
      <w:r w:rsidR="004C6CC5">
        <w:rPr>
          <w:rFonts w:ascii="Arial" w:hAnsi="Arial" w:cs="Arial"/>
          <w:sz w:val="20"/>
          <w:szCs w:val="20"/>
        </w:rPr>
        <w:t xml:space="preserve"> w </w:t>
      </w:r>
      <w:r w:rsidRPr="004C6CC5">
        <w:rPr>
          <w:rFonts w:ascii="Arial" w:hAnsi="Arial" w:cs="Arial"/>
          <w:sz w:val="20"/>
          <w:szCs w:val="20"/>
        </w:rPr>
        <w:t>Warszawie. Stocznia Szczecińska zarządza majątkiem, który umożliwia prowadzenie produkcji</w:t>
      </w:r>
      <w:r w:rsidR="004C6CC5">
        <w:rPr>
          <w:rFonts w:ascii="Arial" w:hAnsi="Arial" w:cs="Arial"/>
          <w:sz w:val="20"/>
          <w:szCs w:val="20"/>
        </w:rPr>
        <w:t xml:space="preserve"> w </w:t>
      </w:r>
      <w:r w:rsidRPr="004C6CC5">
        <w:rPr>
          <w:rFonts w:ascii="Arial" w:hAnsi="Arial" w:cs="Arial"/>
          <w:sz w:val="20"/>
          <w:szCs w:val="20"/>
        </w:rPr>
        <w:t>zakresie budowy statków</w:t>
      </w:r>
      <w:r w:rsidR="004C6CC5">
        <w:rPr>
          <w:rFonts w:ascii="Arial" w:hAnsi="Arial" w:cs="Arial"/>
          <w:sz w:val="20"/>
          <w:szCs w:val="20"/>
        </w:rPr>
        <w:t xml:space="preserve"> i </w:t>
      </w:r>
      <w:r w:rsidRPr="004C6CC5">
        <w:rPr>
          <w:rFonts w:ascii="Arial" w:hAnsi="Arial" w:cs="Arial"/>
          <w:sz w:val="20"/>
          <w:szCs w:val="20"/>
        </w:rPr>
        <w:t>wielkogaba</w:t>
      </w:r>
      <w:r w:rsidR="00861550">
        <w:rPr>
          <w:rFonts w:ascii="Arial" w:hAnsi="Arial" w:cs="Arial"/>
          <w:sz w:val="20"/>
          <w:szCs w:val="20"/>
        </w:rPr>
        <w:t xml:space="preserve">rytowych konstrukcji stalowych. </w:t>
      </w:r>
      <w:r w:rsidR="00C33444">
        <w:rPr>
          <w:rFonts w:ascii="Arial" w:hAnsi="Arial" w:cs="Arial"/>
          <w:sz w:val="20"/>
          <w:szCs w:val="20"/>
        </w:rPr>
        <w:t>Na terenie s</w:t>
      </w:r>
      <w:r w:rsidRPr="004C6CC5">
        <w:rPr>
          <w:rFonts w:ascii="Arial" w:hAnsi="Arial" w:cs="Arial"/>
          <w:sz w:val="20"/>
          <w:szCs w:val="20"/>
        </w:rPr>
        <w:t>toczni funkcjonuje ok. 70 podmiotów. Są to podmioty</w:t>
      </w:r>
      <w:r w:rsidR="004C6CC5">
        <w:rPr>
          <w:rFonts w:ascii="Arial" w:hAnsi="Arial" w:cs="Arial"/>
          <w:sz w:val="20"/>
          <w:szCs w:val="20"/>
        </w:rPr>
        <w:t xml:space="preserve"> z </w:t>
      </w:r>
      <w:r w:rsidRPr="004C6CC5">
        <w:rPr>
          <w:rFonts w:ascii="Arial" w:hAnsi="Arial" w:cs="Arial"/>
          <w:sz w:val="20"/>
          <w:szCs w:val="20"/>
        </w:rPr>
        <w:t>branż związanych przede wszystkim</w:t>
      </w:r>
      <w:r w:rsidR="004C6CC5">
        <w:rPr>
          <w:rFonts w:ascii="Arial" w:hAnsi="Arial" w:cs="Arial"/>
          <w:sz w:val="20"/>
          <w:szCs w:val="20"/>
        </w:rPr>
        <w:t xml:space="preserve"> z </w:t>
      </w:r>
      <w:r w:rsidRPr="004C6CC5">
        <w:rPr>
          <w:rFonts w:ascii="Arial" w:hAnsi="Arial" w:cs="Arial"/>
          <w:sz w:val="20"/>
          <w:szCs w:val="20"/>
        </w:rPr>
        <w:t>produkcją okrętową</w:t>
      </w:r>
      <w:r w:rsidR="004C6CC5">
        <w:rPr>
          <w:rFonts w:ascii="Arial" w:hAnsi="Arial" w:cs="Arial"/>
          <w:sz w:val="20"/>
          <w:szCs w:val="20"/>
        </w:rPr>
        <w:t xml:space="preserve"> i </w:t>
      </w:r>
      <w:r w:rsidRPr="004C6CC5">
        <w:rPr>
          <w:rFonts w:ascii="Arial" w:hAnsi="Arial" w:cs="Arial"/>
          <w:sz w:val="20"/>
          <w:szCs w:val="20"/>
        </w:rPr>
        <w:t>offshore, które prowadzą m.in. budowy kadłubów statków, sekcji okrętowych, konstrukcji offshore, konstrukcji obiektów lądowych, ins</w:t>
      </w:r>
      <w:r w:rsidR="00861550">
        <w:rPr>
          <w:rFonts w:ascii="Arial" w:hAnsi="Arial" w:cs="Arial"/>
          <w:sz w:val="20"/>
          <w:szCs w:val="20"/>
        </w:rPr>
        <w:t xml:space="preserve">talacji technicznych do fabryk </w:t>
      </w:r>
      <w:r w:rsidR="00861550">
        <w:rPr>
          <w:rFonts w:ascii="Arial" w:hAnsi="Arial" w:cs="Arial"/>
          <w:sz w:val="20"/>
          <w:szCs w:val="20"/>
        </w:rPr>
        <w:br/>
      </w:r>
      <w:r w:rsidRPr="004C6CC5">
        <w:rPr>
          <w:rFonts w:ascii="Arial" w:hAnsi="Arial" w:cs="Arial"/>
          <w:sz w:val="20"/>
          <w:szCs w:val="20"/>
        </w:rPr>
        <w:t>i elektrowni, remonty</w:t>
      </w:r>
      <w:r w:rsidR="004C6CC5">
        <w:rPr>
          <w:rFonts w:ascii="Arial" w:hAnsi="Arial" w:cs="Arial"/>
          <w:sz w:val="20"/>
          <w:szCs w:val="20"/>
        </w:rPr>
        <w:t xml:space="preserve"> i </w:t>
      </w:r>
      <w:r w:rsidRPr="004C6CC5">
        <w:rPr>
          <w:rFonts w:ascii="Arial" w:hAnsi="Arial" w:cs="Arial"/>
          <w:sz w:val="20"/>
          <w:szCs w:val="20"/>
        </w:rPr>
        <w:t>przebudowy jednostek pływających, czy dostawy gazów technicznych.</w:t>
      </w:r>
    </w:p>
    <w:p w14:paraId="28CF6543" w14:textId="078D781C"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Spółka posiada kapitał obrotowy wystarczający do finansowania bieżącej działalności operacyjnej. Stocznia prowadzi aktywnie akcję kontraktacyjną. Budow</w:t>
      </w:r>
      <w:r w:rsidR="00861550">
        <w:rPr>
          <w:rFonts w:ascii="Arial" w:hAnsi="Arial" w:cs="Arial"/>
          <w:sz w:val="20"/>
          <w:szCs w:val="20"/>
        </w:rPr>
        <w:t>a</w:t>
      </w:r>
      <w:r w:rsidRPr="004C6CC5">
        <w:rPr>
          <w:rFonts w:ascii="Arial" w:hAnsi="Arial" w:cs="Arial"/>
          <w:sz w:val="20"/>
          <w:szCs w:val="20"/>
        </w:rPr>
        <w:t xml:space="preserve"> wielkogabarytowych konstrukcji stalowych dla kont</w:t>
      </w:r>
      <w:r w:rsidR="00861550">
        <w:rPr>
          <w:rFonts w:ascii="Arial" w:hAnsi="Arial" w:cs="Arial"/>
          <w:sz w:val="20"/>
          <w:szCs w:val="20"/>
        </w:rPr>
        <w:t>rahenta zagranicznego przyniosła</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ponad 50% przychodów. Długoterminowym celem jest rozwój działalności</w:t>
      </w:r>
      <w:r w:rsidR="004C6CC5">
        <w:rPr>
          <w:rFonts w:ascii="Arial" w:hAnsi="Arial" w:cs="Arial"/>
          <w:sz w:val="20"/>
          <w:szCs w:val="20"/>
        </w:rPr>
        <w:t xml:space="preserve"> w </w:t>
      </w:r>
      <w:r w:rsidRPr="004C6CC5">
        <w:rPr>
          <w:rFonts w:ascii="Arial" w:hAnsi="Arial" w:cs="Arial"/>
          <w:sz w:val="20"/>
          <w:szCs w:val="20"/>
        </w:rPr>
        <w:t>zakresie budowy statków.</w:t>
      </w:r>
    </w:p>
    <w:p w14:paraId="50AA83A5" w14:textId="0E2CACB2"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Stocznia Szczecińska posiada certyfikaty towarzystw klasyfikacyjnych potwierdzające jej pełną zdolność do budo</w:t>
      </w:r>
      <w:r w:rsidR="001156F9">
        <w:rPr>
          <w:rFonts w:ascii="Arial" w:hAnsi="Arial" w:cs="Arial"/>
          <w:sz w:val="20"/>
          <w:szCs w:val="20"/>
        </w:rPr>
        <w:t>wy statków. We wrześniu 2019 r.</w:t>
      </w:r>
      <w:r w:rsidR="004C6CC5">
        <w:rPr>
          <w:rFonts w:ascii="Arial" w:hAnsi="Arial" w:cs="Arial"/>
          <w:sz w:val="20"/>
          <w:szCs w:val="20"/>
        </w:rPr>
        <w:t xml:space="preserve"> w </w:t>
      </w:r>
      <w:r w:rsidRPr="004C6CC5">
        <w:rPr>
          <w:rFonts w:ascii="Arial" w:hAnsi="Arial" w:cs="Arial"/>
          <w:sz w:val="20"/>
          <w:szCs w:val="20"/>
        </w:rPr>
        <w:t>ramach rozszerzenia zakresu technologicznego objętego certyfikacją, odbył się audyt prowadzony pod nadzorem DNV GL, mający na celu uznanie stosowanych</w:t>
      </w:r>
      <w:r w:rsidR="001156F9">
        <w:rPr>
          <w:rFonts w:ascii="Arial" w:hAnsi="Arial" w:cs="Arial"/>
          <w:sz w:val="20"/>
          <w:szCs w:val="20"/>
        </w:rPr>
        <w:t xml:space="preserve"> w s</w:t>
      </w:r>
      <w:r w:rsidRPr="004C6CC5">
        <w:rPr>
          <w:rFonts w:ascii="Arial" w:hAnsi="Arial" w:cs="Arial"/>
          <w:sz w:val="20"/>
          <w:szCs w:val="20"/>
        </w:rPr>
        <w:t>toczni technologii spawalniczych. Audyt zakończył się pozytywnie przyznaniem</w:t>
      </w:r>
      <w:r w:rsidR="004C6CC5">
        <w:rPr>
          <w:rFonts w:ascii="Arial" w:hAnsi="Arial" w:cs="Arial"/>
          <w:sz w:val="20"/>
          <w:szCs w:val="20"/>
        </w:rPr>
        <w:t xml:space="preserve"> w </w:t>
      </w:r>
      <w:r w:rsidRPr="004C6CC5">
        <w:rPr>
          <w:rFonts w:ascii="Arial" w:hAnsi="Arial" w:cs="Arial"/>
          <w:sz w:val="20"/>
          <w:szCs w:val="20"/>
        </w:rPr>
        <w:t>listopadzie 2019</w:t>
      </w:r>
      <w:r w:rsidR="009D01B9" w:rsidRPr="004C6CC5">
        <w:rPr>
          <w:rFonts w:ascii="Arial" w:hAnsi="Arial" w:cs="Arial"/>
          <w:sz w:val="20"/>
          <w:szCs w:val="20"/>
        </w:rPr>
        <w:t xml:space="preserve"> r. </w:t>
      </w:r>
      <w:r w:rsidRPr="004C6CC5">
        <w:rPr>
          <w:rFonts w:ascii="Arial" w:hAnsi="Arial" w:cs="Arial"/>
          <w:sz w:val="20"/>
          <w:szCs w:val="20"/>
        </w:rPr>
        <w:t>Stoczni Szczecińskiej certyfikatu Welding Workshop Approval WWA00001Y3, uznającego stosowane</w:t>
      </w:r>
      <w:r w:rsidR="004C6CC5">
        <w:rPr>
          <w:rFonts w:ascii="Arial" w:hAnsi="Arial" w:cs="Arial"/>
          <w:sz w:val="20"/>
          <w:szCs w:val="20"/>
        </w:rPr>
        <w:t xml:space="preserve"> w </w:t>
      </w:r>
      <w:r w:rsidR="00875AB4">
        <w:rPr>
          <w:rFonts w:ascii="Arial" w:hAnsi="Arial" w:cs="Arial"/>
          <w:sz w:val="20"/>
          <w:szCs w:val="20"/>
        </w:rPr>
        <w:t>s</w:t>
      </w:r>
      <w:r w:rsidRPr="004C6CC5">
        <w:rPr>
          <w:rFonts w:ascii="Arial" w:hAnsi="Arial" w:cs="Arial"/>
          <w:sz w:val="20"/>
          <w:szCs w:val="20"/>
        </w:rPr>
        <w:t>toczni technologie spawania</w:t>
      </w:r>
      <w:r w:rsidR="004C6CC5">
        <w:rPr>
          <w:rFonts w:ascii="Arial" w:hAnsi="Arial" w:cs="Arial"/>
          <w:sz w:val="20"/>
          <w:szCs w:val="20"/>
        </w:rPr>
        <w:t xml:space="preserve"> w </w:t>
      </w:r>
      <w:r w:rsidRPr="004C6CC5">
        <w:rPr>
          <w:rFonts w:ascii="Arial" w:hAnsi="Arial" w:cs="Arial"/>
          <w:sz w:val="20"/>
          <w:szCs w:val="20"/>
        </w:rPr>
        <w:t>zakresie spawania kadłuba, nadbudówek oraz elementów wyposażenia kadłubowego. Stocznia uzyskała również certyfikat wydany przez Centrum Certyfikacji Jakości przy Wojskowej Akademii Technicznej potwierdzający, że „SZJ”</w:t>
      </w:r>
      <w:r w:rsidR="004C6CC5">
        <w:rPr>
          <w:rFonts w:ascii="Arial" w:hAnsi="Arial" w:cs="Arial"/>
          <w:sz w:val="20"/>
          <w:szCs w:val="20"/>
        </w:rPr>
        <w:t xml:space="preserve"> w </w:t>
      </w:r>
      <w:r w:rsidRPr="004C6CC5">
        <w:rPr>
          <w:rFonts w:ascii="Arial" w:hAnsi="Arial" w:cs="Arial"/>
          <w:sz w:val="20"/>
          <w:szCs w:val="20"/>
        </w:rPr>
        <w:t>Stoczni Szczecińskiej</w:t>
      </w:r>
      <w:r w:rsidR="004C6CC5">
        <w:rPr>
          <w:rFonts w:ascii="Arial" w:hAnsi="Arial" w:cs="Arial"/>
          <w:sz w:val="20"/>
          <w:szCs w:val="20"/>
        </w:rPr>
        <w:t xml:space="preserve"> w </w:t>
      </w:r>
      <w:r w:rsidRPr="004C6CC5">
        <w:rPr>
          <w:rFonts w:ascii="Arial" w:hAnsi="Arial" w:cs="Arial"/>
          <w:sz w:val="20"/>
          <w:szCs w:val="20"/>
        </w:rPr>
        <w:t>zakresie „Budowa</w:t>
      </w:r>
      <w:r w:rsidR="004C6CC5">
        <w:rPr>
          <w:rFonts w:ascii="Arial" w:hAnsi="Arial" w:cs="Arial"/>
          <w:sz w:val="20"/>
          <w:szCs w:val="20"/>
        </w:rPr>
        <w:t xml:space="preserve"> i </w:t>
      </w:r>
      <w:r w:rsidRPr="004C6CC5">
        <w:rPr>
          <w:rFonts w:ascii="Arial" w:hAnsi="Arial" w:cs="Arial"/>
          <w:sz w:val="20"/>
          <w:szCs w:val="20"/>
        </w:rPr>
        <w:t>remonty jednostek pływających" jest zgodny</w:t>
      </w:r>
      <w:r w:rsidR="004C6CC5">
        <w:rPr>
          <w:rFonts w:ascii="Arial" w:hAnsi="Arial" w:cs="Arial"/>
          <w:sz w:val="20"/>
          <w:szCs w:val="20"/>
        </w:rPr>
        <w:t xml:space="preserve"> z </w:t>
      </w:r>
      <w:r w:rsidRPr="004C6CC5">
        <w:rPr>
          <w:rFonts w:ascii="Arial" w:hAnsi="Arial" w:cs="Arial"/>
          <w:sz w:val="20"/>
          <w:szCs w:val="20"/>
        </w:rPr>
        <w:t>wymaganiami normy ISO 9001:2015 oraz spełniający wymagania publikacji NATO AQAP 2110:2016.</w:t>
      </w:r>
    </w:p>
    <w:p w14:paraId="4B42C864" w14:textId="59457ACD"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W listopadzie 2019</w:t>
      </w:r>
      <w:r w:rsidR="009D01B9" w:rsidRPr="004C6CC5">
        <w:rPr>
          <w:rFonts w:ascii="Arial" w:hAnsi="Arial" w:cs="Arial"/>
          <w:sz w:val="20"/>
          <w:szCs w:val="20"/>
        </w:rPr>
        <w:t xml:space="preserve"> r. </w:t>
      </w:r>
      <w:r w:rsidR="00875AB4">
        <w:rPr>
          <w:rFonts w:ascii="Arial" w:hAnsi="Arial" w:cs="Arial"/>
          <w:sz w:val="20"/>
          <w:szCs w:val="20"/>
        </w:rPr>
        <w:t>odbył się audyt nadzoru „SZJ” wg normy ISO 9001:2015</w:t>
      </w:r>
      <w:r w:rsidR="004C6CC5">
        <w:rPr>
          <w:rFonts w:ascii="Arial" w:hAnsi="Arial" w:cs="Arial"/>
          <w:sz w:val="20"/>
          <w:szCs w:val="20"/>
        </w:rPr>
        <w:t xml:space="preserve"> w </w:t>
      </w:r>
      <w:r w:rsidRPr="004C6CC5">
        <w:rPr>
          <w:rFonts w:ascii="Arial" w:hAnsi="Arial" w:cs="Arial"/>
          <w:sz w:val="20"/>
          <w:szCs w:val="20"/>
        </w:rPr>
        <w:t>zakresie „Zarządzanie projektami budowy</w:t>
      </w:r>
      <w:r w:rsidR="004C6CC5">
        <w:rPr>
          <w:rFonts w:ascii="Arial" w:hAnsi="Arial" w:cs="Arial"/>
          <w:sz w:val="20"/>
          <w:szCs w:val="20"/>
        </w:rPr>
        <w:t xml:space="preserve"> i </w:t>
      </w:r>
      <w:r w:rsidRPr="004C6CC5">
        <w:rPr>
          <w:rFonts w:ascii="Arial" w:hAnsi="Arial" w:cs="Arial"/>
          <w:sz w:val="20"/>
          <w:szCs w:val="20"/>
        </w:rPr>
        <w:t>remontu jednostek pływających” prowadzony pod nadzorem DNV GL, na okoliczność zgodności istniejącego systemu zarządzania</w:t>
      </w:r>
      <w:r w:rsidR="004C6CC5">
        <w:rPr>
          <w:rFonts w:ascii="Arial" w:hAnsi="Arial" w:cs="Arial"/>
          <w:sz w:val="20"/>
          <w:szCs w:val="20"/>
        </w:rPr>
        <w:t xml:space="preserve"> z </w:t>
      </w:r>
      <w:r w:rsidRPr="004C6CC5">
        <w:rPr>
          <w:rFonts w:ascii="Arial" w:hAnsi="Arial" w:cs="Arial"/>
          <w:sz w:val="20"/>
          <w:szCs w:val="20"/>
        </w:rPr>
        <w:t>wymogami normy oraz skuteczności jego f</w:t>
      </w:r>
      <w:r w:rsidR="001A2EC9">
        <w:rPr>
          <w:rFonts w:ascii="Arial" w:hAnsi="Arial" w:cs="Arial"/>
          <w:sz w:val="20"/>
          <w:szCs w:val="20"/>
        </w:rPr>
        <w:t>unkcjonowania. Audytorzy DNV GL</w:t>
      </w:r>
      <w:r w:rsidRPr="004C6CC5">
        <w:rPr>
          <w:rFonts w:ascii="Arial" w:hAnsi="Arial" w:cs="Arial"/>
          <w:sz w:val="20"/>
          <w:szCs w:val="20"/>
        </w:rPr>
        <w:t xml:space="preserve"> zarekomendowali utrzymanie certyfikatu DNV GL do grudnia </w:t>
      </w:r>
      <w:r w:rsidR="00DD26AE">
        <w:rPr>
          <w:rFonts w:ascii="Arial" w:hAnsi="Arial" w:cs="Arial"/>
          <w:sz w:val="20"/>
          <w:szCs w:val="20"/>
        </w:rPr>
        <w:br/>
      </w:r>
      <w:r w:rsidRPr="004C6CC5">
        <w:rPr>
          <w:rFonts w:ascii="Arial" w:hAnsi="Arial" w:cs="Arial"/>
          <w:sz w:val="20"/>
          <w:szCs w:val="20"/>
        </w:rPr>
        <w:t>2021 r.</w:t>
      </w:r>
    </w:p>
    <w:p w14:paraId="69E6A551" w14:textId="7BEB18CA" w:rsidR="003656A3" w:rsidRPr="004C6CC5" w:rsidRDefault="001A2EC9" w:rsidP="008D2321">
      <w:pPr>
        <w:spacing w:after="120" w:line="276" w:lineRule="auto"/>
        <w:jc w:val="both"/>
        <w:rPr>
          <w:rFonts w:ascii="Arial" w:hAnsi="Arial" w:cs="Arial"/>
          <w:sz w:val="20"/>
          <w:szCs w:val="20"/>
        </w:rPr>
      </w:pPr>
      <w:r>
        <w:rPr>
          <w:rFonts w:ascii="Arial" w:hAnsi="Arial" w:cs="Arial"/>
          <w:sz w:val="20"/>
          <w:szCs w:val="20"/>
        </w:rPr>
        <w:t>W 2019 r.</w:t>
      </w:r>
      <w:r w:rsidR="003656A3" w:rsidRPr="004C6CC5">
        <w:rPr>
          <w:rFonts w:ascii="Arial" w:hAnsi="Arial" w:cs="Arial"/>
          <w:sz w:val="20"/>
          <w:szCs w:val="20"/>
        </w:rPr>
        <w:t xml:space="preserve"> spółka osiągała stabilne wyniki finansowe, wykazywała dodatnią rentowność, weszła na ścieżkę organicznego wzrostu. Aktywizuje wynajem nieruchomości poprzez projektowanie zabudowy wolnych powierzchni, budowę tzw. udźwigowionych hal produkcyjnych</w:t>
      </w:r>
      <w:r w:rsidR="00275102">
        <w:rPr>
          <w:rFonts w:ascii="Arial" w:hAnsi="Arial" w:cs="Arial"/>
          <w:sz w:val="20"/>
          <w:szCs w:val="20"/>
        </w:rPr>
        <w:t xml:space="preserve"> i </w:t>
      </w:r>
      <w:r w:rsidR="003656A3" w:rsidRPr="004C6CC5">
        <w:rPr>
          <w:rFonts w:ascii="Arial" w:hAnsi="Arial" w:cs="Arial"/>
          <w:sz w:val="20"/>
          <w:szCs w:val="20"/>
        </w:rPr>
        <w:t>jednocześnie sukcesywnie zwiększa działalność produkcyjną. Stocznia Szczecińska czwarty rok</w:t>
      </w:r>
      <w:r w:rsidR="004C6CC5">
        <w:rPr>
          <w:rFonts w:ascii="Arial" w:hAnsi="Arial" w:cs="Arial"/>
          <w:sz w:val="20"/>
          <w:szCs w:val="20"/>
        </w:rPr>
        <w:t xml:space="preserve"> z </w:t>
      </w:r>
      <w:r w:rsidR="003656A3" w:rsidRPr="004C6CC5">
        <w:rPr>
          <w:rFonts w:ascii="Arial" w:hAnsi="Arial" w:cs="Arial"/>
          <w:sz w:val="20"/>
          <w:szCs w:val="20"/>
        </w:rPr>
        <w:t xml:space="preserve">rzędu wypracowała dodatni </w:t>
      </w:r>
      <w:r w:rsidR="003656A3" w:rsidRPr="004C6CC5">
        <w:rPr>
          <w:rFonts w:ascii="Arial" w:hAnsi="Arial" w:cs="Arial"/>
          <w:sz w:val="20"/>
          <w:szCs w:val="20"/>
        </w:rPr>
        <w:lastRenderedPageBreak/>
        <w:t>wynik finansowy. Generowane własne środki finansowe spółka konsekwentnie inwestuje</w:t>
      </w:r>
      <w:r>
        <w:rPr>
          <w:rFonts w:ascii="Arial" w:hAnsi="Arial" w:cs="Arial"/>
          <w:sz w:val="20"/>
          <w:szCs w:val="20"/>
        </w:rPr>
        <w:t xml:space="preserve"> </w:t>
      </w:r>
      <w:r w:rsidR="004C6CC5">
        <w:rPr>
          <w:rFonts w:ascii="Arial" w:hAnsi="Arial" w:cs="Arial"/>
          <w:sz w:val="20"/>
          <w:szCs w:val="20"/>
        </w:rPr>
        <w:t>w </w:t>
      </w:r>
      <w:r w:rsidR="003656A3" w:rsidRPr="004C6CC5">
        <w:rPr>
          <w:rFonts w:ascii="Arial" w:hAnsi="Arial" w:cs="Arial"/>
          <w:sz w:val="20"/>
          <w:szCs w:val="20"/>
        </w:rPr>
        <w:t>modernizację</w:t>
      </w:r>
      <w:r w:rsidR="004C6CC5">
        <w:rPr>
          <w:rFonts w:ascii="Arial" w:hAnsi="Arial" w:cs="Arial"/>
          <w:sz w:val="20"/>
          <w:szCs w:val="20"/>
        </w:rPr>
        <w:t xml:space="preserve"> i </w:t>
      </w:r>
      <w:r w:rsidR="003656A3" w:rsidRPr="004C6CC5">
        <w:rPr>
          <w:rFonts w:ascii="Arial" w:hAnsi="Arial" w:cs="Arial"/>
          <w:sz w:val="20"/>
          <w:szCs w:val="20"/>
        </w:rPr>
        <w:t>rozwój infrastruktury stoczniowej.</w:t>
      </w:r>
    </w:p>
    <w:p w14:paraId="5060FFA6" w14:textId="14DCBA9B" w:rsidR="003656A3" w:rsidRPr="001A2EC9" w:rsidRDefault="003656A3" w:rsidP="003C6ECA">
      <w:pPr>
        <w:pStyle w:val="Akapitzlist"/>
        <w:numPr>
          <w:ilvl w:val="0"/>
          <w:numId w:val="31"/>
        </w:numPr>
        <w:spacing w:after="120" w:line="276" w:lineRule="auto"/>
        <w:jc w:val="both"/>
        <w:rPr>
          <w:rFonts w:ascii="Arial" w:hAnsi="Arial" w:cs="Arial"/>
          <w:b/>
          <w:sz w:val="20"/>
          <w:szCs w:val="20"/>
        </w:rPr>
      </w:pPr>
      <w:r w:rsidRPr="001A2EC9">
        <w:rPr>
          <w:rFonts w:ascii="Arial" w:hAnsi="Arial" w:cs="Arial"/>
          <w:b/>
          <w:sz w:val="20"/>
          <w:szCs w:val="20"/>
        </w:rPr>
        <w:t>Stocznia Remontowa NAUTA</w:t>
      </w:r>
      <w:r w:rsidR="00AF2D00">
        <w:rPr>
          <w:rFonts w:ascii="Arial" w:hAnsi="Arial" w:cs="Arial"/>
          <w:b/>
          <w:sz w:val="20"/>
          <w:szCs w:val="20"/>
        </w:rPr>
        <w:t xml:space="preserve"> S.A.</w:t>
      </w:r>
    </w:p>
    <w:p w14:paraId="316BB1F9" w14:textId="563605FE"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Stocznia Remontowa NAUTA S.A. jest najstarszą stocznią działającą</w:t>
      </w:r>
      <w:r w:rsidR="004C6CC5">
        <w:rPr>
          <w:rFonts w:ascii="Arial" w:hAnsi="Arial" w:cs="Arial"/>
          <w:sz w:val="20"/>
          <w:szCs w:val="20"/>
        </w:rPr>
        <w:t xml:space="preserve"> w </w:t>
      </w:r>
      <w:r w:rsidRPr="004C6CC5">
        <w:rPr>
          <w:rFonts w:ascii="Arial" w:hAnsi="Arial" w:cs="Arial"/>
          <w:sz w:val="20"/>
          <w:szCs w:val="20"/>
        </w:rPr>
        <w:t>Polsce</w:t>
      </w:r>
      <w:r w:rsidR="004C6CC5">
        <w:rPr>
          <w:rFonts w:ascii="Arial" w:hAnsi="Arial" w:cs="Arial"/>
          <w:sz w:val="20"/>
          <w:szCs w:val="20"/>
        </w:rPr>
        <w:t xml:space="preserve"> z </w:t>
      </w:r>
      <w:r w:rsidRPr="004C6CC5">
        <w:rPr>
          <w:rFonts w:ascii="Arial" w:hAnsi="Arial" w:cs="Arial"/>
          <w:sz w:val="20"/>
          <w:szCs w:val="20"/>
        </w:rPr>
        <w:t>ponad 90</w:t>
      </w:r>
      <w:r w:rsidR="00190752">
        <w:rPr>
          <w:rFonts w:ascii="Arial" w:hAnsi="Arial" w:cs="Arial"/>
          <w:sz w:val="20"/>
          <w:szCs w:val="20"/>
        </w:rPr>
        <w:t>-</w:t>
      </w:r>
      <w:r w:rsidRPr="004C6CC5">
        <w:rPr>
          <w:rFonts w:ascii="Arial" w:hAnsi="Arial" w:cs="Arial"/>
          <w:sz w:val="20"/>
          <w:szCs w:val="20"/>
        </w:rPr>
        <w:t>letnim doświadczeniem na ryn</w:t>
      </w:r>
      <w:r w:rsidR="00190752">
        <w:rPr>
          <w:rFonts w:ascii="Arial" w:hAnsi="Arial" w:cs="Arial"/>
          <w:sz w:val="20"/>
          <w:szCs w:val="20"/>
        </w:rPr>
        <w:t>ku stoczniowym. Stocznia zajmuje</w:t>
      </w:r>
      <w:r w:rsidRPr="004C6CC5">
        <w:rPr>
          <w:rFonts w:ascii="Arial" w:hAnsi="Arial" w:cs="Arial"/>
          <w:sz w:val="20"/>
          <w:szCs w:val="20"/>
        </w:rPr>
        <w:t xml:space="preserve"> się remontami cywilnych</w:t>
      </w:r>
      <w:r w:rsidR="004C6CC5">
        <w:rPr>
          <w:rFonts w:ascii="Arial" w:hAnsi="Arial" w:cs="Arial"/>
          <w:sz w:val="20"/>
          <w:szCs w:val="20"/>
        </w:rPr>
        <w:t xml:space="preserve"> i </w:t>
      </w:r>
      <w:r w:rsidRPr="004C6CC5">
        <w:rPr>
          <w:rFonts w:ascii="Arial" w:hAnsi="Arial" w:cs="Arial"/>
          <w:sz w:val="20"/>
          <w:szCs w:val="20"/>
        </w:rPr>
        <w:t xml:space="preserve">wojskowych jednostek pływających. </w:t>
      </w:r>
      <w:r w:rsidR="007F7BE4">
        <w:rPr>
          <w:rFonts w:ascii="Arial" w:hAnsi="Arial" w:cs="Arial"/>
          <w:sz w:val="20"/>
          <w:szCs w:val="20"/>
        </w:rPr>
        <w:t>Stocznia</w:t>
      </w:r>
      <w:r w:rsidRPr="004C6CC5">
        <w:rPr>
          <w:rFonts w:ascii="Arial" w:hAnsi="Arial" w:cs="Arial"/>
          <w:sz w:val="20"/>
          <w:szCs w:val="20"/>
        </w:rPr>
        <w:t xml:space="preserve"> jest posiadaczem licznych certyfikatów pozwalających na realizację projektów dla Ministerstwa Obrony Narodowej</w:t>
      </w:r>
      <w:r w:rsidR="004C6CC5">
        <w:rPr>
          <w:rFonts w:ascii="Arial" w:hAnsi="Arial" w:cs="Arial"/>
          <w:sz w:val="20"/>
          <w:szCs w:val="20"/>
        </w:rPr>
        <w:t xml:space="preserve"> w </w:t>
      </w:r>
      <w:r w:rsidRPr="004C6CC5">
        <w:rPr>
          <w:rFonts w:ascii="Arial" w:hAnsi="Arial" w:cs="Arial"/>
          <w:sz w:val="20"/>
          <w:szCs w:val="20"/>
        </w:rPr>
        <w:t>zakresie modernizacji okrętów Marynarki Wojen</w:t>
      </w:r>
      <w:r w:rsidR="00190752">
        <w:rPr>
          <w:rFonts w:ascii="Arial" w:hAnsi="Arial" w:cs="Arial"/>
          <w:sz w:val="20"/>
          <w:szCs w:val="20"/>
        </w:rPr>
        <w:t>nej RP.  Na początku roku 2019 s</w:t>
      </w:r>
      <w:r w:rsidRPr="004C6CC5">
        <w:rPr>
          <w:rFonts w:ascii="Arial" w:hAnsi="Arial" w:cs="Arial"/>
          <w:sz w:val="20"/>
          <w:szCs w:val="20"/>
        </w:rPr>
        <w:t>tocznia zakończyła przebudowę trałowca ORP Drużno oraz zwodowała jednostkę realizowaną na rzecz norweskiego kontrahenta</w:t>
      </w:r>
      <w:r w:rsidR="00F10AC4">
        <w:rPr>
          <w:rFonts w:ascii="Arial" w:hAnsi="Arial" w:cs="Arial"/>
          <w:sz w:val="20"/>
          <w:szCs w:val="20"/>
        </w:rPr>
        <w:t>. Warto odnotować, że s</w:t>
      </w:r>
      <w:r w:rsidRPr="004C6CC5">
        <w:rPr>
          <w:rFonts w:ascii="Arial" w:hAnsi="Arial" w:cs="Arial"/>
          <w:sz w:val="20"/>
          <w:szCs w:val="20"/>
        </w:rPr>
        <w:t>półka</w:t>
      </w:r>
      <w:r w:rsidR="00A5358A">
        <w:rPr>
          <w:rFonts w:ascii="Arial" w:hAnsi="Arial" w:cs="Arial"/>
          <w:sz w:val="20"/>
          <w:szCs w:val="20"/>
        </w:rPr>
        <w:t xml:space="preserve"> </w:t>
      </w:r>
      <w:r w:rsidR="00D311F4" w:rsidRPr="004C6CC5">
        <w:rPr>
          <w:rFonts w:ascii="Arial" w:hAnsi="Arial" w:cs="Arial"/>
          <w:sz w:val="20"/>
          <w:szCs w:val="20"/>
        </w:rPr>
        <w:t>reagując na zmiany zachodzące na rynku pracy</w:t>
      </w:r>
      <w:r w:rsidR="00D311F4">
        <w:rPr>
          <w:rFonts w:ascii="Arial" w:hAnsi="Arial" w:cs="Arial"/>
          <w:sz w:val="20"/>
          <w:szCs w:val="20"/>
        </w:rPr>
        <w:t xml:space="preserve"> w Polsce</w:t>
      </w:r>
      <w:r w:rsidR="00660AD3">
        <w:rPr>
          <w:rFonts w:ascii="Arial" w:hAnsi="Arial" w:cs="Arial"/>
          <w:sz w:val="20"/>
          <w:szCs w:val="20"/>
        </w:rPr>
        <w:t>,</w:t>
      </w:r>
      <w:r w:rsidR="00D311F4">
        <w:rPr>
          <w:rFonts w:ascii="Arial" w:hAnsi="Arial" w:cs="Arial"/>
          <w:sz w:val="20"/>
          <w:szCs w:val="20"/>
        </w:rPr>
        <w:t xml:space="preserve"> </w:t>
      </w:r>
      <w:r w:rsidR="00A5358A">
        <w:rPr>
          <w:rFonts w:ascii="Arial" w:hAnsi="Arial" w:cs="Arial"/>
          <w:sz w:val="20"/>
          <w:szCs w:val="20"/>
        </w:rPr>
        <w:t>podpisała umowę o współpracy z</w:t>
      </w:r>
      <w:r w:rsidRPr="004C6CC5">
        <w:rPr>
          <w:rFonts w:ascii="Arial" w:hAnsi="Arial" w:cs="Arial"/>
          <w:sz w:val="20"/>
          <w:szCs w:val="20"/>
        </w:rPr>
        <w:t xml:space="preserve"> </w:t>
      </w:r>
      <w:r w:rsidR="00A5358A" w:rsidRPr="004C6CC5">
        <w:rPr>
          <w:rFonts w:ascii="Arial" w:hAnsi="Arial" w:cs="Arial"/>
          <w:sz w:val="20"/>
          <w:szCs w:val="20"/>
        </w:rPr>
        <w:t xml:space="preserve">Branżową </w:t>
      </w:r>
      <w:r w:rsidRPr="004C6CC5">
        <w:rPr>
          <w:rFonts w:ascii="Arial" w:hAnsi="Arial" w:cs="Arial"/>
          <w:sz w:val="20"/>
          <w:szCs w:val="20"/>
        </w:rPr>
        <w:t xml:space="preserve">Szkołą </w:t>
      </w:r>
      <w:r w:rsidR="00660AD3">
        <w:rPr>
          <w:rFonts w:ascii="Arial" w:hAnsi="Arial" w:cs="Arial"/>
          <w:sz w:val="20"/>
          <w:szCs w:val="20"/>
        </w:rPr>
        <w:br/>
      </w:r>
      <w:r w:rsidR="00A5358A">
        <w:rPr>
          <w:rFonts w:ascii="Arial" w:hAnsi="Arial" w:cs="Arial"/>
          <w:sz w:val="20"/>
          <w:szCs w:val="20"/>
        </w:rPr>
        <w:t>I</w:t>
      </w:r>
      <w:r w:rsidRPr="004C6CC5">
        <w:rPr>
          <w:rFonts w:ascii="Arial" w:hAnsi="Arial" w:cs="Arial"/>
          <w:sz w:val="20"/>
          <w:szCs w:val="20"/>
        </w:rPr>
        <w:t xml:space="preserve"> Stopnia Powiatowego Zespołu Szkół im. Stanisława Staszica</w:t>
      </w:r>
      <w:r w:rsidR="004C6CC5">
        <w:rPr>
          <w:rFonts w:ascii="Arial" w:hAnsi="Arial" w:cs="Arial"/>
          <w:sz w:val="20"/>
          <w:szCs w:val="20"/>
        </w:rPr>
        <w:t xml:space="preserve"> w </w:t>
      </w:r>
      <w:r w:rsidRPr="004C6CC5">
        <w:rPr>
          <w:rFonts w:ascii="Arial" w:hAnsi="Arial" w:cs="Arial"/>
          <w:sz w:val="20"/>
          <w:szCs w:val="20"/>
        </w:rPr>
        <w:t>Kłaninie</w:t>
      </w:r>
      <w:r w:rsidR="00A5358A">
        <w:rPr>
          <w:rFonts w:ascii="Arial" w:hAnsi="Arial" w:cs="Arial"/>
          <w:sz w:val="20"/>
          <w:szCs w:val="20"/>
        </w:rPr>
        <w:t>. P</w:t>
      </w:r>
      <w:r w:rsidRPr="004C6CC5">
        <w:rPr>
          <w:rFonts w:ascii="Arial" w:hAnsi="Arial" w:cs="Arial"/>
          <w:sz w:val="20"/>
          <w:szCs w:val="20"/>
        </w:rPr>
        <w:t>onadto</w:t>
      </w:r>
      <w:r w:rsidR="004C6CC5">
        <w:rPr>
          <w:rFonts w:ascii="Arial" w:hAnsi="Arial" w:cs="Arial"/>
          <w:sz w:val="20"/>
          <w:szCs w:val="20"/>
        </w:rPr>
        <w:t xml:space="preserve"> w </w:t>
      </w:r>
      <w:r w:rsidRPr="004C6CC5">
        <w:rPr>
          <w:rFonts w:ascii="Arial" w:hAnsi="Arial" w:cs="Arial"/>
          <w:sz w:val="20"/>
          <w:szCs w:val="20"/>
        </w:rPr>
        <w:t>roku 2019 Nauta rozpoczęła współpracę przy realizacji prac do projektu badawczo-rozwojowego mogącego przyczynić się do wzrostu jej innowacyjności.</w:t>
      </w:r>
    </w:p>
    <w:p w14:paraId="10DD68F4" w14:textId="35676FA3" w:rsidR="00B65B8A"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Stocznia przez lata zbudowała swoją renomę na ryku stoczniowym, co pozwoliło na znaczną poprawę przychodów</w:t>
      </w:r>
      <w:r w:rsidR="00EC2979">
        <w:rPr>
          <w:rFonts w:ascii="Arial" w:hAnsi="Arial" w:cs="Arial"/>
          <w:sz w:val="20"/>
          <w:szCs w:val="20"/>
        </w:rPr>
        <w:t xml:space="preserve"> z </w:t>
      </w:r>
      <w:r w:rsidRPr="004C6CC5">
        <w:rPr>
          <w:rFonts w:ascii="Arial" w:hAnsi="Arial" w:cs="Arial"/>
          <w:sz w:val="20"/>
          <w:szCs w:val="20"/>
        </w:rPr>
        <w:t>tytułu remontów</w:t>
      </w:r>
      <w:r w:rsidR="00520937">
        <w:rPr>
          <w:rFonts w:ascii="Arial" w:hAnsi="Arial" w:cs="Arial"/>
          <w:sz w:val="20"/>
          <w:szCs w:val="20"/>
        </w:rPr>
        <w:t xml:space="preserve"> i </w:t>
      </w:r>
      <w:r w:rsidRPr="004C6CC5">
        <w:rPr>
          <w:rFonts w:ascii="Arial" w:hAnsi="Arial" w:cs="Arial"/>
          <w:sz w:val="20"/>
          <w:szCs w:val="20"/>
        </w:rPr>
        <w:t>przebudów jednostek cywilnych</w:t>
      </w:r>
      <w:r w:rsidR="00520937">
        <w:rPr>
          <w:rFonts w:ascii="Arial" w:hAnsi="Arial" w:cs="Arial"/>
          <w:sz w:val="20"/>
          <w:szCs w:val="20"/>
        </w:rPr>
        <w:t xml:space="preserve"> w </w:t>
      </w:r>
      <w:r w:rsidR="00D70D73">
        <w:rPr>
          <w:rFonts w:ascii="Arial" w:hAnsi="Arial" w:cs="Arial"/>
          <w:sz w:val="20"/>
          <w:szCs w:val="20"/>
        </w:rPr>
        <w:t>2019 r</w:t>
      </w:r>
      <w:r w:rsidRPr="004C6CC5">
        <w:rPr>
          <w:rFonts w:ascii="Arial" w:hAnsi="Arial" w:cs="Arial"/>
          <w:sz w:val="20"/>
          <w:szCs w:val="20"/>
        </w:rPr>
        <w:t>. Spółka</w:t>
      </w:r>
      <w:r w:rsidR="004C6CC5">
        <w:rPr>
          <w:rFonts w:ascii="Arial" w:hAnsi="Arial" w:cs="Arial"/>
          <w:sz w:val="20"/>
          <w:szCs w:val="20"/>
        </w:rPr>
        <w:t xml:space="preserve"> w </w:t>
      </w:r>
      <w:r w:rsidRPr="004C6CC5">
        <w:rPr>
          <w:rFonts w:ascii="Arial" w:hAnsi="Arial" w:cs="Arial"/>
          <w:sz w:val="20"/>
          <w:szCs w:val="20"/>
        </w:rPr>
        <w:t>roku 2019 pozyskała nowego klienta</w:t>
      </w:r>
      <w:r w:rsidR="004C6CC5">
        <w:rPr>
          <w:rFonts w:ascii="Arial" w:hAnsi="Arial" w:cs="Arial"/>
          <w:sz w:val="20"/>
          <w:szCs w:val="20"/>
        </w:rPr>
        <w:t xml:space="preserve"> z </w:t>
      </w:r>
      <w:r w:rsidRPr="004C6CC5">
        <w:rPr>
          <w:rFonts w:ascii="Arial" w:hAnsi="Arial" w:cs="Arial"/>
          <w:sz w:val="20"/>
          <w:szCs w:val="20"/>
        </w:rPr>
        <w:t xml:space="preserve">Monako, dla którego zrealizowała </w:t>
      </w:r>
      <w:r w:rsidR="00D70D73">
        <w:rPr>
          <w:rFonts w:ascii="Arial" w:hAnsi="Arial" w:cs="Arial"/>
          <w:sz w:val="20"/>
          <w:szCs w:val="20"/>
        </w:rPr>
        <w:t>sześć</w:t>
      </w:r>
      <w:r w:rsidRPr="004C6CC5">
        <w:rPr>
          <w:rFonts w:ascii="Arial" w:hAnsi="Arial" w:cs="Arial"/>
          <w:sz w:val="20"/>
          <w:szCs w:val="20"/>
        </w:rPr>
        <w:t xml:space="preserve"> remontów klasowych połączonych</w:t>
      </w:r>
      <w:r w:rsidR="004C6CC5">
        <w:rPr>
          <w:rFonts w:ascii="Arial" w:hAnsi="Arial" w:cs="Arial"/>
          <w:sz w:val="20"/>
          <w:szCs w:val="20"/>
        </w:rPr>
        <w:t xml:space="preserve"> z </w:t>
      </w:r>
      <w:r w:rsidRPr="004C6CC5">
        <w:rPr>
          <w:rFonts w:ascii="Arial" w:hAnsi="Arial" w:cs="Arial"/>
          <w:sz w:val="20"/>
          <w:szCs w:val="20"/>
        </w:rPr>
        <w:t>instalacją Ballast Water Treatment System. Realizacja ponad 120 projektów oraz zwiększony udział projektów charakteryzujących się wyższą wartością dodaną</w:t>
      </w:r>
      <w:r w:rsidR="00D70D73">
        <w:rPr>
          <w:rFonts w:ascii="Arial" w:hAnsi="Arial" w:cs="Arial"/>
          <w:sz w:val="20"/>
          <w:szCs w:val="20"/>
        </w:rPr>
        <w:t>,</w:t>
      </w:r>
      <w:r w:rsidRPr="004C6CC5">
        <w:rPr>
          <w:rFonts w:ascii="Arial" w:hAnsi="Arial" w:cs="Arial"/>
          <w:sz w:val="20"/>
          <w:szCs w:val="20"/>
        </w:rPr>
        <w:t xml:space="preserve"> tj. instalacje BWTS</w:t>
      </w:r>
      <w:r w:rsidR="004C6CC5">
        <w:rPr>
          <w:rFonts w:ascii="Arial" w:hAnsi="Arial" w:cs="Arial"/>
          <w:sz w:val="20"/>
          <w:szCs w:val="20"/>
        </w:rPr>
        <w:t xml:space="preserve"> i </w:t>
      </w:r>
      <w:r w:rsidRPr="004C6CC5">
        <w:rPr>
          <w:rFonts w:ascii="Arial" w:hAnsi="Arial" w:cs="Arial"/>
          <w:sz w:val="20"/>
          <w:szCs w:val="20"/>
        </w:rPr>
        <w:t>scrubberów, których realizacja wymaga specjalistycznego know-how</w:t>
      </w:r>
      <w:r w:rsidR="00D70D73">
        <w:rPr>
          <w:rFonts w:ascii="Arial" w:hAnsi="Arial" w:cs="Arial"/>
          <w:sz w:val="20"/>
          <w:szCs w:val="20"/>
        </w:rPr>
        <w:t>, pozwoliły s</w:t>
      </w:r>
      <w:r w:rsidRPr="004C6CC5">
        <w:rPr>
          <w:rFonts w:ascii="Arial" w:hAnsi="Arial" w:cs="Arial"/>
          <w:sz w:val="20"/>
          <w:szCs w:val="20"/>
        </w:rPr>
        <w:t>półce na zauważalny wzrost marży brutto ze sprzedaży</w:t>
      </w:r>
      <w:r w:rsidR="004C6CC5">
        <w:rPr>
          <w:rFonts w:ascii="Arial" w:hAnsi="Arial" w:cs="Arial"/>
          <w:sz w:val="20"/>
          <w:szCs w:val="20"/>
        </w:rPr>
        <w:t xml:space="preserve"> z </w:t>
      </w:r>
      <w:r w:rsidRPr="004C6CC5">
        <w:rPr>
          <w:rFonts w:ascii="Arial" w:hAnsi="Arial" w:cs="Arial"/>
          <w:sz w:val="20"/>
          <w:szCs w:val="20"/>
        </w:rPr>
        <w:t>tytułu remontów</w:t>
      </w:r>
      <w:r w:rsidR="004C6CC5">
        <w:rPr>
          <w:rFonts w:ascii="Arial" w:hAnsi="Arial" w:cs="Arial"/>
          <w:sz w:val="20"/>
          <w:szCs w:val="20"/>
        </w:rPr>
        <w:t xml:space="preserve"> i </w:t>
      </w:r>
      <w:r w:rsidRPr="004C6CC5">
        <w:rPr>
          <w:rFonts w:ascii="Arial" w:hAnsi="Arial" w:cs="Arial"/>
          <w:sz w:val="20"/>
          <w:szCs w:val="20"/>
        </w:rPr>
        <w:t>przebudów jednostek cywilnych względem 201</w:t>
      </w:r>
      <w:r w:rsidR="00DD26AE">
        <w:rPr>
          <w:rFonts w:ascii="Arial" w:hAnsi="Arial" w:cs="Arial"/>
          <w:sz w:val="20"/>
          <w:szCs w:val="20"/>
        </w:rPr>
        <w:t>8 r.</w:t>
      </w:r>
      <w:r w:rsidR="00D70D73">
        <w:rPr>
          <w:rFonts w:ascii="Arial" w:hAnsi="Arial" w:cs="Arial"/>
          <w:sz w:val="20"/>
          <w:szCs w:val="20"/>
        </w:rPr>
        <w:t>, ponadto s</w:t>
      </w:r>
      <w:r w:rsidRPr="004C6CC5">
        <w:rPr>
          <w:rFonts w:ascii="Arial" w:hAnsi="Arial" w:cs="Arial"/>
          <w:sz w:val="20"/>
          <w:szCs w:val="20"/>
        </w:rPr>
        <w:t>półka dzięki utrzymaniu strategicznej decyzji</w:t>
      </w:r>
      <w:r w:rsidR="004C6CC5">
        <w:rPr>
          <w:rFonts w:ascii="Arial" w:hAnsi="Arial" w:cs="Arial"/>
          <w:sz w:val="20"/>
          <w:szCs w:val="20"/>
        </w:rPr>
        <w:t xml:space="preserve"> z </w:t>
      </w:r>
      <w:r w:rsidR="00D70D73">
        <w:rPr>
          <w:rFonts w:ascii="Arial" w:hAnsi="Arial" w:cs="Arial"/>
          <w:sz w:val="20"/>
          <w:szCs w:val="20"/>
        </w:rPr>
        <w:t>2018 r. dotyczącej</w:t>
      </w:r>
      <w:r w:rsidRPr="004C6CC5">
        <w:rPr>
          <w:rFonts w:ascii="Arial" w:hAnsi="Arial" w:cs="Arial"/>
          <w:sz w:val="20"/>
          <w:szCs w:val="20"/>
        </w:rPr>
        <w:t xml:space="preserve"> ograniczenia działalności</w:t>
      </w:r>
      <w:r w:rsidR="004C6CC5">
        <w:rPr>
          <w:rFonts w:ascii="Arial" w:hAnsi="Arial" w:cs="Arial"/>
          <w:sz w:val="20"/>
          <w:szCs w:val="20"/>
        </w:rPr>
        <w:t xml:space="preserve"> w </w:t>
      </w:r>
      <w:r w:rsidRPr="004C6CC5">
        <w:rPr>
          <w:rFonts w:ascii="Arial" w:hAnsi="Arial" w:cs="Arial"/>
          <w:sz w:val="20"/>
          <w:szCs w:val="20"/>
        </w:rPr>
        <w:t>segmencie nowych budów</w:t>
      </w:r>
      <w:r w:rsidR="00D70D73">
        <w:rPr>
          <w:rFonts w:ascii="Arial" w:hAnsi="Arial" w:cs="Arial"/>
          <w:sz w:val="20"/>
          <w:szCs w:val="20"/>
        </w:rPr>
        <w:t>,</w:t>
      </w:r>
      <w:r w:rsidRPr="004C6CC5">
        <w:rPr>
          <w:rFonts w:ascii="Arial" w:hAnsi="Arial" w:cs="Arial"/>
          <w:sz w:val="20"/>
          <w:szCs w:val="20"/>
        </w:rPr>
        <w:t xml:space="preserve"> istotnie poprawiła wysokość zrealizowanej marzy brutto ze sprzedaży ogółem.  </w:t>
      </w:r>
    </w:p>
    <w:p w14:paraId="0E085A2D" w14:textId="31CC07A4" w:rsidR="003656A3" w:rsidRPr="00C5509F" w:rsidRDefault="003656A3" w:rsidP="003C6ECA">
      <w:pPr>
        <w:pStyle w:val="Akapitzlist"/>
        <w:numPr>
          <w:ilvl w:val="0"/>
          <w:numId w:val="31"/>
        </w:numPr>
        <w:spacing w:after="120" w:line="276" w:lineRule="auto"/>
        <w:jc w:val="both"/>
        <w:rPr>
          <w:rFonts w:ascii="Arial" w:hAnsi="Arial" w:cs="Arial"/>
          <w:b/>
          <w:sz w:val="20"/>
          <w:szCs w:val="20"/>
        </w:rPr>
      </w:pPr>
      <w:r w:rsidRPr="00C5509F">
        <w:rPr>
          <w:rFonts w:ascii="Arial" w:hAnsi="Arial" w:cs="Arial"/>
          <w:b/>
          <w:sz w:val="20"/>
          <w:szCs w:val="20"/>
        </w:rPr>
        <w:t>ST3 Offshore</w:t>
      </w:r>
    </w:p>
    <w:p w14:paraId="038566E7" w14:textId="6DB0D47C" w:rsidR="00890310" w:rsidRPr="00890310" w:rsidRDefault="00890310" w:rsidP="00890310">
      <w:pPr>
        <w:spacing w:after="120" w:line="276" w:lineRule="auto"/>
        <w:jc w:val="both"/>
        <w:rPr>
          <w:rFonts w:ascii="Arial" w:hAnsi="Arial" w:cs="Arial"/>
          <w:sz w:val="20"/>
          <w:szCs w:val="20"/>
        </w:rPr>
      </w:pPr>
      <w:r w:rsidRPr="00890310">
        <w:rPr>
          <w:rFonts w:ascii="Arial" w:hAnsi="Arial" w:cs="Arial"/>
          <w:sz w:val="20"/>
          <w:szCs w:val="20"/>
        </w:rPr>
        <w:t xml:space="preserve">Spółka ST3 Offshore Sp. z o.o. (dalej „ST3 Offshore”) była właścicielem majątku fabryki umożliwiającej produkcję stalowych fundamentów do morskich farm wiatrowych. Szczecińska fabryka została zaprojektowana jako zakład produkcji seryjnej kratownic, fundamentów pośrednich i jednopalowych. </w:t>
      </w:r>
      <w:r w:rsidR="0078788C">
        <w:rPr>
          <w:rFonts w:ascii="Arial" w:hAnsi="Arial" w:cs="Arial"/>
          <w:sz w:val="20"/>
          <w:szCs w:val="20"/>
        </w:rPr>
        <w:br/>
      </w:r>
      <w:r w:rsidRPr="00890310">
        <w:rPr>
          <w:rFonts w:ascii="Arial" w:hAnsi="Arial" w:cs="Arial"/>
          <w:sz w:val="20"/>
          <w:szCs w:val="20"/>
        </w:rPr>
        <w:t>W skład majątku fabryki wchodziła najwyższa w Europie suwnica (120 m wysokości, 1400 t udźwigu), przeznaczona do finalnego montażu i załadunku produkowanych konstrukcji.</w:t>
      </w:r>
    </w:p>
    <w:p w14:paraId="2FC9550E" w14:textId="142BE7B8" w:rsidR="00890310" w:rsidRPr="00890310" w:rsidRDefault="006F322B" w:rsidP="00890310">
      <w:pPr>
        <w:spacing w:after="120" w:line="276" w:lineRule="auto"/>
        <w:jc w:val="both"/>
        <w:rPr>
          <w:rFonts w:ascii="Arial" w:hAnsi="Arial" w:cs="Arial"/>
          <w:sz w:val="20"/>
          <w:szCs w:val="20"/>
        </w:rPr>
      </w:pPr>
      <w:r>
        <w:rPr>
          <w:rFonts w:ascii="Arial" w:hAnsi="Arial" w:cs="Arial"/>
          <w:sz w:val="20"/>
          <w:szCs w:val="20"/>
        </w:rPr>
        <w:t>ST3 Offshore S</w:t>
      </w:r>
      <w:r w:rsidR="003D1FB6">
        <w:rPr>
          <w:rFonts w:ascii="Arial" w:hAnsi="Arial" w:cs="Arial"/>
          <w:sz w:val="20"/>
          <w:szCs w:val="20"/>
        </w:rPr>
        <w:t>p. z o.o. w 2019 r.</w:t>
      </w:r>
      <w:r w:rsidR="00890310" w:rsidRPr="00890310">
        <w:rPr>
          <w:rFonts w:ascii="Arial" w:hAnsi="Arial" w:cs="Arial"/>
          <w:sz w:val="20"/>
          <w:szCs w:val="20"/>
        </w:rPr>
        <w:t xml:space="preserve"> była Spółką, w której uprawnienia w zakresie wykonywania praw </w:t>
      </w:r>
      <w:r w:rsidR="003D1FB6">
        <w:rPr>
          <w:rFonts w:ascii="Arial" w:hAnsi="Arial" w:cs="Arial"/>
          <w:sz w:val="20"/>
          <w:szCs w:val="20"/>
        </w:rPr>
        <w:br/>
      </w:r>
      <w:r w:rsidR="00890310" w:rsidRPr="00890310">
        <w:rPr>
          <w:rFonts w:ascii="Arial" w:hAnsi="Arial" w:cs="Arial"/>
          <w:sz w:val="20"/>
          <w:szCs w:val="20"/>
        </w:rPr>
        <w:t xml:space="preserve">z udziałów nie należały do Skarbu Państwa. Spółka posiadała dwóch udziałowców, nie posiadających statusu podmiotu publicznoprawnego - MARS Fundusz Inwestycyjny Zamknięty (80% udziału w kapitale Spółki) i ST3 Holding GmbH (20% udziału w kapitale). MARS FIZ, działający zgodnie z ustawą z dnia 27 maja 2004 r. o funduszach inwestycyjnych i zarządzaniu alternatywnymi funduszami inwestycyjnymi </w:t>
      </w:r>
      <w:r w:rsidR="00586E96">
        <w:rPr>
          <w:rFonts w:ascii="Arial" w:hAnsi="Arial" w:cs="Arial"/>
          <w:sz w:val="20"/>
          <w:szCs w:val="20"/>
        </w:rPr>
        <w:t>(</w:t>
      </w:r>
      <w:r w:rsidR="00890310" w:rsidRPr="00890310">
        <w:rPr>
          <w:rFonts w:ascii="Arial" w:hAnsi="Arial" w:cs="Arial"/>
          <w:sz w:val="20"/>
          <w:szCs w:val="20"/>
        </w:rPr>
        <w:t>Dz. U. z 2020 r. poz. 95) nie podlegał również nadzorowi Ministra Aktywów Państwowych i był zarządzany przez spółkę zależną od spółki z udziałem Skarbu Państwa – Polską Grupę Zbrojeniową S.A., tj. MS Towarzystwo Funduszy Inwestycyjnych S.A. Spółka ST3 Offshore zgodnie z przepisami ustawy o rachunkowości (…) oraz Kodeksu spółek handlowych, nie była również Spółką zależną od PGZ S.A.</w:t>
      </w:r>
    </w:p>
    <w:p w14:paraId="59D0C935" w14:textId="28B3AB20" w:rsidR="00890310" w:rsidRPr="00890310" w:rsidRDefault="00890310" w:rsidP="00890310">
      <w:pPr>
        <w:spacing w:after="120" w:line="276" w:lineRule="auto"/>
        <w:jc w:val="both"/>
        <w:rPr>
          <w:rFonts w:ascii="Arial" w:hAnsi="Arial" w:cs="Arial"/>
          <w:sz w:val="20"/>
          <w:szCs w:val="20"/>
        </w:rPr>
      </w:pPr>
      <w:r w:rsidRPr="00890310">
        <w:rPr>
          <w:rFonts w:ascii="Arial" w:hAnsi="Arial" w:cs="Arial"/>
          <w:sz w:val="20"/>
          <w:szCs w:val="20"/>
        </w:rPr>
        <w:t xml:space="preserve">Trudna sytuacja ST3 Offshore w 2019 </w:t>
      </w:r>
      <w:r w:rsidR="00586E96">
        <w:rPr>
          <w:rFonts w:ascii="Arial" w:hAnsi="Arial" w:cs="Arial"/>
          <w:sz w:val="20"/>
          <w:szCs w:val="20"/>
        </w:rPr>
        <w:t xml:space="preserve">r. </w:t>
      </w:r>
      <w:r w:rsidRPr="00890310">
        <w:rPr>
          <w:rFonts w:ascii="Arial" w:hAnsi="Arial" w:cs="Arial"/>
          <w:sz w:val="20"/>
          <w:szCs w:val="20"/>
        </w:rPr>
        <w:t xml:space="preserve">w porównaniu do 2018 r. </w:t>
      </w:r>
      <w:r w:rsidR="00474149" w:rsidRPr="00474149">
        <w:rPr>
          <w:rFonts w:ascii="Arial" w:eastAsia="Calibri" w:hAnsi="Arial" w:cs="Arial"/>
          <w:sz w:val="20"/>
          <w:szCs w:val="20"/>
          <w:lang w:eastAsia="pl-PL"/>
        </w:rPr>
        <w:t xml:space="preserve">(pomimo przyjętego w 2018 r. planu restrukturyzacji i trwających działań dotyczących </w:t>
      </w:r>
      <w:r w:rsidR="00474149" w:rsidRPr="00474149">
        <w:rPr>
          <w:rFonts w:ascii="Arial" w:eastAsia="Calibri" w:hAnsi="Arial" w:cs="Arial"/>
          <w:sz w:val="20"/>
          <w:szCs w:val="20"/>
        </w:rPr>
        <w:t>poszukiwania inwestora branżowego dla Spółki</w:t>
      </w:r>
      <w:r w:rsidR="00474149" w:rsidRPr="00474149">
        <w:rPr>
          <w:rFonts w:ascii="Arial" w:eastAsia="Calibri" w:hAnsi="Arial" w:cs="Arial"/>
          <w:sz w:val="20"/>
          <w:szCs w:val="20"/>
          <w:lang w:eastAsia="pl-PL"/>
        </w:rPr>
        <w:t xml:space="preserve">) </w:t>
      </w:r>
      <w:r w:rsidRPr="00890310">
        <w:rPr>
          <w:rFonts w:ascii="Arial" w:hAnsi="Arial" w:cs="Arial"/>
          <w:sz w:val="20"/>
          <w:szCs w:val="20"/>
        </w:rPr>
        <w:t>nie uległa zmianie. Sytuacja Spółki była konsekwencją strat poniesi</w:t>
      </w:r>
      <w:r w:rsidR="00586E96">
        <w:rPr>
          <w:rFonts w:ascii="Arial" w:hAnsi="Arial" w:cs="Arial"/>
          <w:sz w:val="20"/>
          <w:szCs w:val="20"/>
        </w:rPr>
        <w:t>onych na pierwszych kontraktach</w:t>
      </w:r>
      <w:r w:rsidRPr="00890310">
        <w:rPr>
          <w:rFonts w:ascii="Arial" w:hAnsi="Arial" w:cs="Arial"/>
          <w:sz w:val="20"/>
          <w:szCs w:val="20"/>
        </w:rPr>
        <w:t xml:space="preserve"> zawartych w latach 2015-2016, kiedy to udziałowcem większościowym był inwestor niemiecki i które to kontrakty okazały się nierentowne. W związku z realizacją wyżej wymienionych kontraktów Spółka regularnie notowała wielomilionowe straty na koniec każdego roku swojej działalnoś</w:t>
      </w:r>
      <w:r w:rsidR="00CE776E">
        <w:rPr>
          <w:rFonts w:ascii="Arial" w:hAnsi="Arial" w:cs="Arial"/>
          <w:sz w:val="20"/>
          <w:szCs w:val="20"/>
        </w:rPr>
        <w:t>ci. W efekcie ponoszonych strat,</w:t>
      </w:r>
      <w:r w:rsidRPr="00890310">
        <w:rPr>
          <w:rFonts w:ascii="Arial" w:hAnsi="Arial" w:cs="Arial"/>
          <w:sz w:val="20"/>
          <w:szCs w:val="20"/>
        </w:rPr>
        <w:t xml:space="preserve"> już w drugiej połowie 2017 r., Spółka złożyła do sądu wniosek o wszczęcie restrukturyzacji uproszczonej, a sąd w październiku 2017 r. otworzył przyspieszone postępowanie układowe. Przyspieszone postępowanie układowe trwało niewspółmiernie długo względem założeń ustawodawcy, wywierając bardzo negatywny wpływ na zdolności kontraktowe Spółki i jej finanse. </w:t>
      </w:r>
      <w:r w:rsidR="00862676">
        <w:rPr>
          <w:rFonts w:ascii="Arial" w:hAnsi="Arial" w:cs="Arial"/>
          <w:sz w:val="20"/>
          <w:szCs w:val="20"/>
        </w:rPr>
        <w:br/>
      </w:r>
      <w:r w:rsidRPr="00890310">
        <w:rPr>
          <w:rFonts w:ascii="Arial" w:hAnsi="Arial" w:cs="Arial"/>
          <w:sz w:val="20"/>
          <w:szCs w:val="20"/>
        </w:rPr>
        <w:t>W celu stabilizacji finansowej większościowy wspóln</w:t>
      </w:r>
      <w:r w:rsidR="00B47B2A">
        <w:rPr>
          <w:rFonts w:ascii="Arial" w:hAnsi="Arial" w:cs="Arial"/>
          <w:sz w:val="20"/>
          <w:szCs w:val="20"/>
        </w:rPr>
        <w:t>ik w pierwszej połowie 2019 r.</w:t>
      </w:r>
      <w:r w:rsidRPr="00890310">
        <w:rPr>
          <w:rFonts w:ascii="Arial" w:hAnsi="Arial" w:cs="Arial"/>
          <w:sz w:val="20"/>
          <w:szCs w:val="20"/>
        </w:rPr>
        <w:t xml:space="preserve"> udzielał i organizował </w:t>
      </w:r>
      <w:r w:rsidRPr="00890310">
        <w:rPr>
          <w:rFonts w:ascii="Arial" w:hAnsi="Arial" w:cs="Arial"/>
          <w:sz w:val="20"/>
          <w:szCs w:val="20"/>
        </w:rPr>
        <w:lastRenderedPageBreak/>
        <w:t>udzielenie Spółce pożyczek przeznaczonych na pozyskanie nowych kontraktów i zabe</w:t>
      </w:r>
      <w:r w:rsidR="002B5945">
        <w:rPr>
          <w:rFonts w:ascii="Arial" w:hAnsi="Arial" w:cs="Arial"/>
          <w:sz w:val="20"/>
          <w:szCs w:val="20"/>
        </w:rPr>
        <w:t>zpieczenie zatwierdzenia układu</w:t>
      </w:r>
      <w:r w:rsidRPr="00890310">
        <w:rPr>
          <w:rFonts w:ascii="Arial" w:hAnsi="Arial" w:cs="Arial"/>
          <w:sz w:val="20"/>
          <w:szCs w:val="20"/>
        </w:rPr>
        <w:t xml:space="preserve"> w celu uniknięcia upadłości i konieczności zwrotu dotacji. W dniu 2 czerwca </w:t>
      </w:r>
      <w:r w:rsidR="003F11F8">
        <w:rPr>
          <w:rFonts w:ascii="Arial" w:hAnsi="Arial" w:cs="Arial"/>
          <w:sz w:val="20"/>
          <w:szCs w:val="20"/>
        </w:rPr>
        <w:br/>
      </w:r>
      <w:r w:rsidRPr="00890310">
        <w:rPr>
          <w:rFonts w:ascii="Arial" w:hAnsi="Arial" w:cs="Arial"/>
          <w:sz w:val="20"/>
          <w:szCs w:val="20"/>
        </w:rPr>
        <w:t>2019 r. Zgromadzenie Wierzycieli przyjęło propoz</w:t>
      </w:r>
      <w:r w:rsidR="002B5945">
        <w:rPr>
          <w:rFonts w:ascii="Arial" w:hAnsi="Arial" w:cs="Arial"/>
          <w:sz w:val="20"/>
          <w:szCs w:val="20"/>
        </w:rPr>
        <w:t>ycje układowe. W lipcu 2019 r.</w:t>
      </w:r>
      <w:r w:rsidRPr="00890310">
        <w:rPr>
          <w:rFonts w:ascii="Arial" w:hAnsi="Arial" w:cs="Arial"/>
          <w:sz w:val="20"/>
          <w:szCs w:val="20"/>
        </w:rPr>
        <w:t xml:space="preserve"> nastąpiło zawarcie</w:t>
      </w:r>
      <w:r w:rsidR="002B5945" w:rsidRPr="002B5945">
        <w:rPr>
          <w:rFonts w:ascii="Arial" w:hAnsi="Arial" w:cs="Arial"/>
          <w:sz w:val="20"/>
          <w:szCs w:val="20"/>
        </w:rPr>
        <w:t xml:space="preserve"> </w:t>
      </w:r>
      <w:r w:rsidR="002B5945" w:rsidRPr="00890310">
        <w:rPr>
          <w:rFonts w:ascii="Arial" w:hAnsi="Arial" w:cs="Arial"/>
          <w:sz w:val="20"/>
          <w:szCs w:val="20"/>
        </w:rPr>
        <w:t>umowy</w:t>
      </w:r>
      <w:r w:rsidRPr="00890310">
        <w:rPr>
          <w:rFonts w:ascii="Arial" w:hAnsi="Arial" w:cs="Arial"/>
          <w:sz w:val="20"/>
          <w:szCs w:val="20"/>
        </w:rPr>
        <w:t>, pomiędzy MARS FIZ a ARP S.A., w sprawie zaliczki na poczet transakcji nabycia udziałów ST3 Offshore przez ARP S.A., umożliwiającej wsparcie finansowe ST3 Offshore przed zatwierdzeniem układu przez sąd w Szczecinie.</w:t>
      </w:r>
    </w:p>
    <w:p w14:paraId="5757F576" w14:textId="5E850229" w:rsidR="003656A3" w:rsidRPr="004C6CC5" w:rsidRDefault="00890310" w:rsidP="008D2321">
      <w:pPr>
        <w:spacing w:after="120" w:line="276" w:lineRule="auto"/>
        <w:jc w:val="both"/>
        <w:rPr>
          <w:rFonts w:ascii="Arial" w:hAnsi="Arial" w:cs="Arial"/>
          <w:sz w:val="20"/>
          <w:szCs w:val="20"/>
        </w:rPr>
      </w:pPr>
      <w:r w:rsidRPr="00890310">
        <w:rPr>
          <w:rFonts w:ascii="Arial" w:hAnsi="Arial" w:cs="Arial"/>
          <w:sz w:val="20"/>
          <w:szCs w:val="20"/>
        </w:rPr>
        <w:t>W okresie III i IV kwartału 2019 r. MARS FIZAN udzielił następnych pożyczek na rzecz ST3 Offshore, w celu umożliwienia Spółce spełnienia wymogów niezbędnych do zatwierdzenia układu przez sąd. Dodatkowo, we wrześniu 2019 r. ARP S.A. złożyła do depozytu notarialnego środki na poczet nabycia przedsiębiorstwa od Spółki, z przeznaczeniem na spłatę układu z wierzycielami. W dniu 8 października 2019 r. odbyło się pierwsze posiedzenie sądu w sprawie zatwierdzenia układu, na którym sąd odroczył posiedzenie do 5 listopad</w:t>
      </w:r>
      <w:r w:rsidR="004E52D3">
        <w:rPr>
          <w:rFonts w:ascii="Arial" w:hAnsi="Arial" w:cs="Arial"/>
          <w:sz w:val="20"/>
          <w:szCs w:val="20"/>
        </w:rPr>
        <w:t>a 2019 r. Na drugim posiedzeniu</w:t>
      </w:r>
      <w:r w:rsidRPr="00890310">
        <w:rPr>
          <w:rFonts w:ascii="Arial" w:hAnsi="Arial" w:cs="Arial"/>
          <w:sz w:val="20"/>
          <w:szCs w:val="20"/>
        </w:rPr>
        <w:t xml:space="preserve"> w dniu 5 listopada 2019 r., nastąpiło kolejne odroczenie do 26 listopada 2019</w:t>
      </w:r>
      <w:r w:rsidR="008C0DED">
        <w:rPr>
          <w:rFonts w:ascii="Arial" w:hAnsi="Arial" w:cs="Arial"/>
          <w:sz w:val="20"/>
          <w:szCs w:val="20"/>
        </w:rPr>
        <w:t xml:space="preserve"> r. W dniu 26 listopada 2019 r. na trzecim posiedzeniu</w:t>
      </w:r>
      <w:r w:rsidRPr="00890310">
        <w:rPr>
          <w:rFonts w:ascii="Arial" w:hAnsi="Arial" w:cs="Arial"/>
          <w:sz w:val="20"/>
          <w:szCs w:val="20"/>
        </w:rPr>
        <w:t xml:space="preserve"> sąd w Szczecinie wydał postanowienie o zatwierdzeniu układu z wierzycielami Spółki, który następnie czekał na uprawomocnienie. Zatwierdzenie układu dawało Spółce szansę na pomyślne zakończenie</w:t>
      </w:r>
      <w:r w:rsidR="00DA6AD0">
        <w:rPr>
          <w:rFonts w:ascii="Arial" w:hAnsi="Arial" w:cs="Arial"/>
          <w:sz w:val="20"/>
          <w:szCs w:val="20"/>
        </w:rPr>
        <w:t xml:space="preserve"> </w:t>
      </w:r>
      <w:r w:rsidR="008C0DED">
        <w:rPr>
          <w:rFonts w:ascii="Arial" w:hAnsi="Arial" w:cs="Arial"/>
          <w:sz w:val="20"/>
          <w:szCs w:val="20"/>
        </w:rPr>
        <w:t>restrukturyzacji. W</w:t>
      </w:r>
      <w:r w:rsidRPr="00890310">
        <w:rPr>
          <w:rFonts w:ascii="Arial" w:hAnsi="Arial" w:cs="Arial"/>
          <w:sz w:val="20"/>
          <w:szCs w:val="20"/>
        </w:rPr>
        <w:t xml:space="preserve"> dniach 26-27 listopada 2019 r. sędzia komisarz wydał postanowienie blokujące możliwość udzielania dalszych pożyczek Spółce przez jakikolwiek podmiot, w tym blokujące ST3 Offshore już udzieloną zaliczkę przez ARP S.A. na poczet spłaty układu. Tym samym Spółka została odcięta</w:t>
      </w:r>
      <w:r w:rsidR="00043592">
        <w:rPr>
          <w:rFonts w:ascii="Arial" w:hAnsi="Arial" w:cs="Arial"/>
          <w:sz w:val="20"/>
          <w:szCs w:val="20"/>
        </w:rPr>
        <w:t xml:space="preserve"> </w:t>
      </w:r>
      <w:r w:rsidRPr="00890310">
        <w:rPr>
          <w:rFonts w:ascii="Arial" w:hAnsi="Arial" w:cs="Arial"/>
          <w:sz w:val="20"/>
          <w:szCs w:val="20"/>
        </w:rPr>
        <w:t>od jakiejkolwiek możliwości pozyskania środków finansowych z zewnątrz, w tym od MARS FIZ, ARP S.A. i PGZ S.A. Wobec negatywnego wyniku Testu Prywatnego Inwestora, który został wykonany na zlecenie ARP S.A. oraz uchylenia przez sędziego komisarza uchwały Rady Wierzycieli w sprawie wyrażenia zgody na udzielenie spółce zaliczki, niezbędnej dla spłaty układu z wierzycielami, ARP S.A. wycofała się z transakcji nabycia przedsiębiorstwa lub udziałów spółki. Utrata perspektyw na pozyskanie środków niezbędnych dla podtrzymania płynności i spłaty układu, brak własnych środków i możliwości zawarcia nowych kontraktów oraz wycofanie się inwestora strategicznego, spowodowało, że Spółka złożyła w dniu 30 grudnia 2019 r. wniosek o ogłoszenie upadłości. Spółka uregulowała wszystkie należne do dnia 31 grudnia 20</w:t>
      </w:r>
      <w:r w:rsidR="00750F77">
        <w:rPr>
          <w:rFonts w:ascii="Arial" w:hAnsi="Arial" w:cs="Arial"/>
          <w:sz w:val="20"/>
          <w:szCs w:val="20"/>
        </w:rPr>
        <w:t>19 r.</w:t>
      </w:r>
      <w:r w:rsidRPr="00890310">
        <w:rPr>
          <w:rFonts w:ascii="Arial" w:hAnsi="Arial" w:cs="Arial"/>
          <w:sz w:val="20"/>
          <w:szCs w:val="20"/>
        </w:rPr>
        <w:t xml:space="preserve"> wynagrodzenia pracowników ST3 Offshore, wykorzystując środki </w:t>
      </w:r>
      <w:r w:rsidR="00750F77">
        <w:rPr>
          <w:rFonts w:ascii="Arial" w:hAnsi="Arial" w:cs="Arial"/>
          <w:sz w:val="20"/>
          <w:szCs w:val="20"/>
        </w:rPr>
        <w:br/>
      </w:r>
      <w:r w:rsidRPr="00890310">
        <w:rPr>
          <w:rFonts w:ascii="Arial" w:hAnsi="Arial" w:cs="Arial"/>
          <w:sz w:val="20"/>
          <w:szCs w:val="20"/>
        </w:rPr>
        <w:t>z pożyczek właścicielskich.</w:t>
      </w:r>
    </w:p>
    <w:p w14:paraId="509885CC" w14:textId="01DA568B" w:rsidR="003656A3" w:rsidRPr="002143AA" w:rsidRDefault="003656A3" w:rsidP="003C6ECA">
      <w:pPr>
        <w:pStyle w:val="Akapitzlist"/>
        <w:numPr>
          <w:ilvl w:val="0"/>
          <w:numId w:val="31"/>
        </w:numPr>
        <w:spacing w:after="120" w:line="276" w:lineRule="auto"/>
        <w:jc w:val="both"/>
        <w:rPr>
          <w:rFonts w:ascii="Arial" w:hAnsi="Arial" w:cs="Arial"/>
          <w:b/>
          <w:sz w:val="20"/>
          <w:szCs w:val="20"/>
        </w:rPr>
      </w:pPr>
      <w:r w:rsidRPr="002143AA">
        <w:rPr>
          <w:rFonts w:ascii="Arial" w:hAnsi="Arial" w:cs="Arial"/>
          <w:b/>
          <w:sz w:val="20"/>
          <w:szCs w:val="20"/>
        </w:rPr>
        <w:t xml:space="preserve">Stocznia Marynarki Wojennej S.A. / PGZ Stocznia Wojenna </w:t>
      </w:r>
    </w:p>
    <w:p w14:paraId="2CF8E136" w14:textId="0D790AA3"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Podstawowym przedmiotem działalności przedmiotowej stoczni jest produkcja, modernizacja</w:t>
      </w:r>
      <w:r w:rsidR="004C6CC5">
        <w:rPr>
          <w:rFonts w:ascii="Arial" w:hAnsi="Arial" w:cs="Arial"/>
          <w:sz w:val="20"/>
          <w:szCs w:val="20"/>
        </w:rPr>
        <w:t xml:space="preserve"> i </w:t>
      </w:r>
      <w:r w:rsidRPr="004C6CC5">
        <w:rPr>
          <w:rFonts w:ascii="Arial" w:hAnsi="Arial" w:cs="Arial"/>
          <w:sz w:val="20"/>
          <w:szCs w:val="20"/>
        </w:rPr>
        <w:t>serwis okrętów wojennych oraz innych specjalistycznych okrętów</w:t>
      </w:r>
      <w:r w:rsidR="004C6CC5">
        <w:rPr>
          <w:rFonts w:ascii="Arial" w:hAnsi="Arial" w:cs="Arial"/>
          <w:sz w:val="20"/>
          <w:szCs w:val="20"/>
        </w:rPr>
        <w:t xml:space="preserve"> i </w:t>
      </w:r>
      <w:r w:rsidRPr="004C6CC5">
        <w:rPr>
          <w:rFonts w:ascii="Arial" w:hAnsi="Arial" w:cs="Arial"/>
          <w:sz w:val="20"/>
          <w:szCs w:val="20"/>
        </w:rPr>
        <w:t>pomocniczych jednostek pływających. Spółka posiada także kompetencje</w:t>
      </w:r>
      <w:r w:rsidR="004C6CC5">
        <w:rPr>
          <w:rFonts w:ascii="Arial" w:hAnsi="Arial" w:cs="Arial"/>
          <w:sz w:val="20"/>
          <w:szCs w:val="20"/>
        </w:rPr>
        <w:t xml:space="preserve"> w </w:t>
      </w:r>
      <w:r w:rsidRPr="004C6CC5">
        <w:rPr>
          <w:rFonts w:ascii="Arial" w:hAnsi="Arial" w:cs="Arial"/>
          <w:sz w:val="20"/>
          <w:szCs w:val="20"/>
        </w:rPr>
        <w:t>zakresie projektowania, produkcji oraz serwisowania różnego rodzaju systemów</w:t>
      </w:r>
      <w:r w:rsidR="004C6CC5">
        <w:rPr>
          <w:rFonts w:ascii="Arial" w:hAnsi="Arial" w:cs="Arial"/>
          <w:sz w:val="20"/>
          <w:szCs w:val="20"/>
        </w:rPr>
        <w:t xml:space="preserve"> w </w:t>
      </w:r>
      <w:r w:rsidRPr="004C6CC5">
        <w:rPr>
          <w:rFonts w:ascii="Arial" w:hAnsi="Arial" w:cs="Arial"/>
          <w:sz w:val="20"/>
          <w:szCs w:val="20"/>
        </w:rPr>
        <w:t>zakresie łączności, nawigacji, zabezpieczeń technicznych, a także sieci teleinformatycznych, uzbrojenia</w:t>
      </w:r>
      <w:r w:rsidR="004C6CC5">
        <w:rPr>
          <w:rFonts w:ascii="Arial" w:hAnsi="Arial" w:cs="Arial"/>
          <w:sz w:val="20"/>
          <w:szCs w:val="20"/>
        </w:rPr>
        <w:t xml:space="preserve"> i </w:t>
      </w:r>
      <w:r w:rsidRPr="004C6CC5">
        <w:rPr>
          <w:rFonts w:ascii="Arial" w:hAnsi="Arial" w:cs="Arial"/>
          <w:sz w:val="20"/>
          <w:szCs w:val="20"/>
        </w:rPr>
        <w:t>broni podwodnej.</w:t>
      </w:r>
      <w:r w:rsidR="00EE7DCD">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tym zakresie PGZ Stocznia Wojenna</w:t>
      </w:r>
      <w:r w:rsidR="004C6CC5">
        <w:rPr>
          <w:rFonts w:ascii="Arial" w:hAnsi="Arial" w:cs="Arial"/>
          <w:sz w:val="20"/>
          <w:szCs w:val="20"/>
        </w:rPr>
        <w:t xml:space="preserve"> w </w:t>
      </w:r>
      <w:r w:rsidR="00EE7DCD">
        <w:rPr>
          <w:rFonts w:ascii="Arial" w:hAnsi="Arial" w:cs="Arial"/>
          <w:sz w:val="20"/>
          <w:szCs w:val="20"/>
        </w:rPr>
        <w:t>ostatnim kwartale 2019 r.</w:t>
      </w:r>
      <w:r w:rsidRPr="004C6CC5">
        <w:rPr>
          <w:rFonts w:ascii="Arial" w:hAnsi="Arial" w:cs="Arial"/>
          <w:sz w:val="20"/>
          <w:szCs w:val="20"/>
        </w:rPr>
        <w:t xml:space="preserve"> rozpoczęła współpracę strategiczną</w:t>
      </w:r>
      <w:r w:rsidR="004C6CC5">
        <w:rPr>
          <w:rFonts w:ascii="Arial" w:hAnsi="Arial" w:cs="Arial"/>
          <w:sz w:val="20"/>
          <w:szCs w:val="20"/>
        </w:rPr>
        <w:t xml:space="preserve"> z </w:t>
      </w:r>
      <w:r w:rsidRPr="004C6CC5">
        <w:rPr>
          <w:rFonts w:ascii="Arial" w:hAnsi="Arial" w:cs="Arial"/>
          <w:sz w:val="20"/>
          <w:szCs w:val="20"/>
        </w:rPr>
        <w:t>OSI Maritime Systems (OSI)</w:t>
      </w:r>
      <w:r w:rsidR="004C6CC5">
        <w:rPr>
          <w:rFonts w:ascii="Arial" w:hAnsi="Arial" w:cs="Arial"/>
          <w:sz w:val="20"/>
          <w:szCs w:val="20"/>
        </w:rPr>
        <w:t xml:space="preserve"> w </w:t>
      </w:r>
      <w:r w:rsidRPr="004C6CC5">
        <w:rPr>
          <w:rFonts w:ascii="Arial" w:hAnsi="Arial" w:cs="Arial"/>
          <w:sz w:val="20"/>
          <w:szCs w:val="20"/>
        </w:rPr>
        <w:t>zakresie dostaw Zintegrowanych Systemów Nawigacyjnych</w:t>
      </w:r>
      <w:r w:rsidR="004C6CC5">
        <w:rPr>
          <w:rFonts w:ascii="Arial" w:hAnsi="Arial" w:cs="Arial"/>
          <w:sz w:val="20"/>
          <w:szCs w:val="20"/>
        </w:rPr>
        <w:t xml:space="preserve"> i </w:t>
      </w:r>
      <w:r w:rsidRPr="004C6CC5">
        <w:rPr>
          <w:rFonts w:ascii="Arial" w:hAnsi="Arial" w:cs="Arial"/>
          <w:sz w:val="20"/>
          <w:szCs w:val="20"/>
        </w:rPr>
        <w:t>Taktycznych na wyposaż</w:t>
      </w:r>
      <w:r w:rsidR="00EE7DCD">
        <w:rPr>
          <w:rFonts w:ascii="Arial" w:hAnsi="Arial" w:cs="Arial"/>
          <w:sz w:val="20"/>
          <w:szCs w:val="20"/>
        </w:rPr>
        <w:t>enie okrętów Marynarki Wojennej. T</w:t>
      </w:r>
      <w:r w:rsidRPr="004C6CC5">
        <w:rPr>
          <w:rFonts w:ascii="Arial" w:hAnsi="Arial" w:cs="Arial"/>
          <w:sz w:val="20"/>
          <w:szCs w:val="20"/>
        </w:rPr>
        <w:t xml:space="preserve">rwała </w:t>
      </w:r>
      <w:r w:rsidR="00EE7DCD">
        <w:rPr>
          <w:rFonts w:ascii="Arial" w:hAnsi="Arial" w:cs="Arial"/>
          <w:sz w:val="20"/>
          <w:szCs w:val="20"/>
        </w:rPr>
        <w:t xml:space="preserve">również </w:t>
      </w:r>
      <w:r w:rsidRPr="004C6CC5">
        <w:rPr>
          <w:rFonts w:ascii="Arial" w:hAnsi="Arial" w:cs="Arial"/>
          <w:sz w:val="20"/>
          <w:szCs w:val="20"/>
        </w:rPr>
        <w:t>realizacja projektu badawczego</w:t>
      </w:r>
      <w:r w:rsidR="005A54EF">
        <w:rPr>
          <w:rFonts w:ascii="Arial" w:hAnsi="Arial" w:cs="Arial"/>
          <w:sz w:val="20"/>
          <w:szCs w:val="20"/>
        </w:rPr>
        <w:t xml:space="preserve"> w </w:t>
      </w:r>
      <w:r w:rsidRPr="004C6CC5">
        <w:rPr>
          <w:rFonts w:ascii="Arial" w:hAnsi="Arial" w:cs="Arial"/>
          <w:sz w:val="20"/>
          <w:szCs w:val="20"/>
        </w:rPr>
        <w:t>ramach programu INNOship „Wykonanie demonstracyjnego laboratorium Zintegrowanego Systemu Łączności”</w:t>
      </w:r>
      <w:r w:rsidR="004C6CC5">
        <w:rPr>
          <w:rFonts w:ascii="Arial" w:hAnsi="Arial" w:cs="Arial"/>
          <w:sz w:val="20"/>
          <w:szCs w:val="20"/>
        </w:rPr>
        <w:t xml:space="preserve"> z </w:t>
      </w:r>
      <w:r w:rsidRPr="004C6CC5">
        <w:rPr>
          <w:rFonts w:ascii="Arial" w:hAnsi="Arial" w:cs="Arial"/>
          <w:sz w:val="20"/>
          <w:szCs w:val="20"/>
        </w:rPr>
        <w:t xml:space="preserve">terminem realizacji do 2022 </w:t>
      </w:r>
      <w:r w:rsidR="00EE7DCD">
        <w:rPr>
          <w:rFonts w:ascii="Arial" w:hAnsi="Arial" w:cs="Arial"/>
          <w:sz w:val="20"/>
          <w:szCs w:val="20"/>
        </w:rPr>
        <w:t>r</w:t>
      </w:r>
      <w:r w:rsidRPr="004C6CC5">
        <w:rPr>
          <w:rFonts w:ascii="Arial" w:hAnsi="Arial" w:cs="Arial"/>
          <w:sz w:val="20"/>
          <w:szCs w:val="20"/>
        </w:rPr>
        <w:t>.</w:t>
      </w:r>
    </w:p>
    <w:p w14:paraId="62E4A264" w14:textId="7A161232"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W zakresie infrastruktury stoczniowej stocznia dysponuje m.in. dokiem pływającym o długości 150 m, podnośnikiem SL o możliwości obsługi jednostek o długości do 100 m, dwoma halami wyposażeniowymi/montażowymi</w:t>
      </w:r>
      <w:r w:rsidR="004C6CC5">
        <w:rPr>
          <w:rFonts w:ascii="Arial" w:hAnsi="Arial" w:cs="Arial"/>
          <w:sz w:val="20"/>
          <w:szCs w:val="20"/>
        </w:rPr>
        <w:t xml:space="preserve"> i </w:t>
      </w:r>
      <w:r w:rsidRPr="004C6CC5">
        <w:rPr>
          <w:rFonts w:ascii="Arial" w:hAnsi="Arial" w:cs="Arial"/>
          <w:sz w:val="20"/>
          <w:szCs w:val="20"/>
        </w:rPr>
        <w:t>dobrym udźwigowieniem.</w:t>
      </w:r>
      <w:r w:rsidR="001B571D">
        <w:rPr>
          <w:rFonts w:ascii="Arial" w:hAnsi="Arial" w:cs="Arial"/>
          <w:sz w:val="20"/>
          <w:szCs w:val="20"/>
        </w:rPr>
        <w:t xml:space="preserve"> W</w:t>
      </w:r>
      <w:r w:rsidR="004C6CC5">
        <w:rPr>
          <w:rFonts w:ascii="Arial" w:hAnsi="Arial" w:cs="Arial"/>
          <w:sz w:val="20"/>
          <w:szCs w:val="20"/>
        </w:rPr>
        <w:t> </w:t>
      </w:r>
      <w:r w:rsidR="001B571D">
        <w:rPr>
          <w:rFonts w:ascii="Arial" w:hAnsi="Arial" w:cs="Arial"/>
          <w:sz w:val="20"/>
          <w:szCs w:val="20"/>
        </w:rPr>
        <w:t>2019 r.</w:t>
      </w:r>
      <w:r w:rsidRPr="004C6CC5">
        <w:rPr>
          <w:rFonts w:ascii="Arial" w:hAnsi="Arial" w:cs="Arial"/>
          <w:sz w:val="20"/>
          <w:szCs w:val="20"/>
        </w:rPr>
        <w:t xml:space="preserve"> zrealizowano liczne inwestycje związane</w:t>
      </w:r>
      <w:r w:rsidR="004C6CC5">
        <w:rPr>
          <w:rFonts w:ascii="Arial" w:hAnsi="Arial" w:cs="Arial"/>
          <w:sz w:val="20"/>
          <w:szCs w:val="20"/>
        </w:rPr>
        <w:t xml:space="preserve"> z </w:t>
      </w:r>
      <w:r w:rsidR="001B571D">
        <w:rPr>
          <w:rFonts w:ascii="Arial" w:hAnsi="Arial" w:cs="Arial"/>
          <w:sz w:val="20"/>
          <w:szCs w:val="20"/>
        </w:rPr>
        <w:t>modernizacją infrastruktury s</w:t>
      </w:r>
      <w:r w:rsidRPr="004C6CC5">
        <w:rPr>
          <w:rFonts w:ascii="Arial" w:hAnsi="Arial" w:cs="Arial"/>
          <w:sz w:val="20"/>
          <w:szCs w:val="20"/>
        </w:rPr>
        <w:t>toczni, mające na celu optymalizację procesów operacyjnych</w:t>
      </w:r>
      <w:r w:rsidR="004C6CC5">
        <w:rPr>
          <w:rFonts w:ascii="Arial" w:hAnsi="Arial" w:cs="Arial"/>
          <w:sz w:val="20"/>
          <w:szCs w:val="20"/>
        </w:rPr>
        <w:t xml:space="preserve"> i </w:t>
      </w:r>
      <w:r w:rsidRPr="004C6CC5">
        <w:rPr>
          <w:rFonts w:ascii="Arial" w:hAnsi="Arial" w:cs="Arial"/>
          <w:sz w:val="20"/>
          <w:szCs w:val="20"/>
        </w:rPr>
        <w:t>zwiększenie efektywności (m.in. modernizacja oświetlenia, przeprowadzka części wydziałów produkcyjnych do zmodernizowanych pomieszczeń</w:t>
      </w:r>
      <w:r w:rsidR="004C6CC5">
        <w:rPr>
          <w:rFonts w:ascii="Arial" w:hAnsi="Arial" w:cs="Arial"/>
          <w:sz w:val="20"/>
          <w:szCs w:val="20"/>
        </w:rPr>
        <w:t xml:space="preserve"> i </w:t>
      </w:r>
      <w:r w:rsidRPr="004C6CC5">
        <w:rPr>
          <w:rFonts w:ascii="Arial" w:hAnsi="Arial" w:cs="Arial"/>
          <w:sz w:val="20"/>
          <w:szCs w:val="20"/>
        </w:rPr>
        <w:t>hal, opisane powyżej działania mające na celu odbudowę potencjału Ośrodka Uzbrojenia</w:t>
      </w:r>
      <w:r w:rsidR="004C6CC5">
        <w:rPr>
          <w:rFonts w:ascii="Arial" w:hAnsi="Arial" w:cs="Arial"/>
          <w:sz w:val="20"/>
          <w:szCs w:val="20"/>
        </w:rPr>
        <w:t xml:space="preserve"> i </w:t>
      </w:r>
      <w:r w:rsidRPr="004C6CC5">
        <w:rPr>
          <w:rFonts w:ascii="Arial" w:hAnsi="Arial" w:cs="Arial"/>
          <w:sz w:val="20"/>
          <w:szCs w:val="20"/>
        </w:rPr>
        <w:t>Elektroniki PGZ SW). Majątek spółki jest wolny od obciążeń. Stocznia graniczy</w:t>
      </w:r>
      <w:r w:rsidR="004C6CC5">
        <w:rPr>
          <w:rFonts w:ascii="Arial" w:hAnsi="Arial" w:cs="Arial"/>
          <w:sz w:val="20"/>
          <w:szCs w:val="20"/>
        </w:rPr>
        <w:t xml:space="preserve"> z </w:t>
      </w:r>
      <w:r w:rsidRPr="004C6CC5">
        <w:rPr>
          <w:rFonts w:ascii="Arial" w:hAnsi="Arial" w:cs="Arial"/>
          <w:sz w:val="20"/>
          <w:szCs w:val="20"/>
        </w:rPr>
        <w:t>obu stron</w:t>
      </w:r>
      <w:r w:rsidR="004C6CC5">
        <w:rPr>
          <w:rFonts w:ascii="Arial" w:hAnsi="Arial" w:cs="Arial"/>
          <w:sz w:val="20"/>
          <w:szCs w:val="20"/>
        </w:rPr>
        <w:t xml:space="preserve"> z </w:t>
      </w:r>
      <w:r w:rsidRPr="004C6CC5">
        <w:rPr>
          <w:rFonts w:ascii="Arial" w:hAnsi="Arial" w:cs="Arial"/>
          <w:sz w:val="20"/>
          <w:szCs w:val="20"/>
        </w:rPr>
        <w:t>Portem Wojennym</w:t>
      </w:r>
      <w:r w:rsidR="004C6CC5">
        <w:rPr>
          <w:rFonts w:ascii="Arial" w:hAnsi="Arial" w:cs="Arial"/>
          <w:sz w:val="20"/>
          <w:szCs w:val="20"/>
        </w:rPr>
        <w:t xml:space="preserve"> w </w:t>
      </w:r>
      <w:r w:rsidRPr="004C6CC5">
        <w:rPr>
          <w:rFonts w:ascii="Arial" w:hAnsi="Arial" w:cs="Arial"/>
          <w:sz w:val="20"/>
          <w:szCs w:val="20"/>
        </w:rPr>
        <w:t>Gdyni, co stanowi istotną zaletę</w:t>
      </w:r>
      <w:r w:rsidR="004C6CC5">
        <w:rPr>
          <w:rFonts w:ascii="Arial" w:hAnsi="Arial" w:cs="Arial"/>
          <w:sz w:val="20"/>
          <w:szCs w:val="20"/>
        </w:rPr>
        <w:t xml:space="preserve"> w </w:t>
      </w:r>
      <w:r w:rsidRPr="004C6CC5">
        <w:rPr>
          <w:rFonts w:ascii="Arial" w:hAnsi="Arial" w:cs="Arial"/>
          <w:sz w:val="20"/>
          <w:szCs w:val="20"/>
        </w:rPr>
        <w:t>zakresie lokalizacji, ułatwiając bieżącą współpracę. Dla dalszej działalności stoczni podstawowe znaczenie będzie miała realizacja programów morskich</w:t>
      </w:r>
      <w:r w:rsidR="004C6CC5">
        <w:rPr>
          <w:rFonts w:ascii="Arial" w:hAnsi="Arial" w:cs="Arial"/>
          <w:sz w:val="20"/>
          <w:szCs w:val="20"/>
        </w:rPr>
        <w:t xml:space="preserve"> w </w:t>
      </w:r>
      <w:r w:rsidRPr="004C6CC5">
        <w:rPr>
          <w:rFonts w:ascii="Arial" w:hAnsi="Arial" w:cs="Arial"/>
          <w:sz w:val="20"/>
          <w:szCs w:val="20"/>
        </w:rPr>
        <w:t>ramach Planu modernizacji technicznej Sił Zbrojnych RP,</w:t>
      </w:r>
      <w:r w:rsidR="004C6CC5">
        <w:rPr>
          <w:rFonts w:ascii="Arial" w:hAnsi="Arial" w:cs="Arial"/>
          <w:sz w:val="20"/>
          <w:szCs w:val="20"/>
        </w:rPr>
        <w:t xml:space="preserve"> w </w:t>
      </w:r>
      <w:r w:rsidRPr="004C6CC5">
        <w:rPr>
          <w:rFonts w:ascii="Arial" w:hAnsi="Arial" w:cs="Arial"/>
          <w:sz w:val="20"/>
          <w:szCs w:val="20"/>
        </w:rPr>
        <w:t xml:space="preserve">tym zwłaszcza projektu MIECZNIK. </w:t>
      </w:r>
    </w:p>
    <w:p w14:paraId="7836C4FE" w14:textId="0B91A7C4"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lastRenderedPageBreak/>
        <w:t>Wśród kontraktów realizowanych przez stocznię najważniejsze</w:t>
      </w:r>
      <w:r w:rsidR="004C6CC5">
        <w:rPr>
          <w:rFonts w:ascii="Arial" w:hAnsi="Arial" w:cs="Arial"/>
          <w:sz w:val="20"/>
          <w:szCs w:val="20"/>
        </w:rPr>
        <w:t xml:space="preserve"> w </w:t>
      </w:r>
      <w:r w:rsidR="006D694D">
        <w:rPr>
          <w:rFonts w:ascii="Arial" w:hAnsi="Arial" w:cs="Arial"/>
          <w:sz w:val="20"/>
          <w:szCs w:val="20"/>
        </w:rPr>
        <w:t>2019 r.</w:t>
      </w:r>
      <w:r w:rsidRPr="004C6CC5">
        <w:rPr>
          <w:rFonts w:ascii="Arial" w:hAnsi="Arial" w:cs="Arial"/>
          <w:sz w:val="20"/>
          <w:szCs w:val="20"/>
        </w:rPr>
        <w:t xml:space="preserve"> były naprawy </w:t>
      </w:r>
      <w:r w:rsidRPr="00D82E0A">
        <w:rPr>
          <w:rFonts w:ascii="Arial" w:hAnsi="Arial" w:cs="Arial"/>
          <w:sz w:val="20"/>
          <w:szCs w:val="20"/>
        </w:rPr>
        <w:t>główne-dokowe tr</w:t>
      </w:r>
      <w:r w:rsidRPr="004C6CC5">
        <w:rPr>
          <w:rFonts w:ascii="Arial" w:hAnsi="Arial" w:cs="Arial"/>
          <w:sz w:val="20"/>
          <w:szCs w:val="20"/>
        </w:rPr>
        <w:t>zech okrętów: ORP Czernicki, ORP Arctowski</w:t>
      </w:r>
      <w:r w:rsidR="004C6CC5">
        <w:rPr>
          <w:rFonts w:ascii="Arial" w:hAnsi="Arial" w:cs="Arial"/>
          <w:sz w:val="20"/>
          <w:szCs w:val="20"/>
        </w:rPr>
        <w:t xml:space="preserve"> i </w:t>
      </w:r>
      <w:r w:rsidRPr="004C6CC5">
        <w:rPr>
          <w:rFonts w:ascii="Arial" w:hAnsi="Arial" w:cs="Arial"/>
          <w:sz w:val="20"/>
          <w:szCs w:val="20"/>
        </w:rPr>
        <w:t>ORP Gen.</w:t>
      </w:r>
      <w:r w:rsidR="00D82E0A">
        <w:rPr>
          <w:rFonts w:ascii="Arial" w:hAnsi="Arial" w:cs="Arial"/>
          <w:sz w:val="20"/>
          <w:szCs w:val="20"/>
        </w:rPr>
        <w:t xml:space="preserve"> Tadeusz Kościuszko </w:t>
      </w:r>
      <w:r w:rsidRPr="004C6CC5">
        <w:rPr>
          <w:rFonts w:ascii="Arial" w:hAnsi="Arial" w:cs="Arial"/>
          <w:sz w:val="20"/>
          <w:szCs w:val="20"/>
        </w:rPr>
        <w:t>zakontraktowane</w:t>
      </w:r>
      <w:r w:rsidR="004C6CC5">
        <w:rPr>
          <w:rFonts w:ascii="Arial" w:hAnsi="Arial" w:cs="Arial"/>
          <w:sz w:val="20"/>
          <w:szCs w:val="20"/>
        </w:rPr>
        <w:t xml:space="preserve"> w </w:t>
      </w:r>
      <w:r w:rsidR="007A3A71">
        <w:rPr>
          <w:rFonts w:ascii="Arial" w:hAnsi="Arial" w:cs="Arial"/>
          <w:sz w:val="20"/>
          <w:szCs w:val="20"/>
        </w:rPr>
        <w:t>2019 r.</w:t>
      </w:r>
      <w:r w:rsidR="004C6CC5">
        <w:rPr>
          <w:rFonts w:ascii="Arial" w:hAnsi="Arial" w:cs="Arial"/>
          <w:sz w:val="20"/>
          <w:szCs w:val="20"/>
        </w:rPr>
        <w:t xml:space="preserve"> z </w:t>
      </w:r>
      <w:r w:rsidRPr="004C6CC5">
        <w:rPr>
          <w:rFonts w:ascii="Arial" w:hAnsi="Arial" w:cs="Arial"/>
          <w:sz w:val="20"/>
          <w:szCs w:val="20"/>
        </w:rPr>
        <w:t>perspektywą zakończenia prac na wszystkich trz</w:t>
      </w:r>
      <w:r w:rsidR="007A3A71">
        <w:rPr>
          <w:rFonts w:ascii="Arial" w:hAnsi="Arial" w:cs="Arial"/>
          <w:sz w:val="20"/>
          <w:szCs w:val="20"/>
        </w:rPr>
        <w:t>ech jednostkach do końca 2020 r</w:t>
      </w:r>
      <w:r w:rsidRPr="004C6CC5">
        <w:rPr>
          <w:rFonts w:ascii="Arial" w:hAnsi="Arial" w:cs="Arial"/>
          <w:sz w:val="20"/>
          <w:szCs w:val="20"/>
        </w:rPr>
        <w:t>. Dodatkowo</w:t>
      </w:r>
      <w:r w:rsidR="004C6CC5">
        <w:rPr>
          <w:rFonts w:ascii="Arial" w:hAnsi="Arial" w:cs="Arial"/>
          <w:sz w:val="20"/>
          <w:szCs w:val="20"/>
        </w:rPr>
        <w:t xml:space="preserve"> w </w:t>
      </w:r>
      <w:r w:rsidR="007A3A71">
        <w:rPr>
          <w:rFonts w:ascii="Arial" w:hAnsi="Arial" w:cs="Arial"/>
          <w:sz w:val="20"/>
          <w:szCs w:val="20"/>
        </w:rPr>
        <w:t>2019 r.</w:t>
      </w:r>
      <w:r w:rsidRPr="004C6CC5">
        <w:rPr>
          <w:rFonts w:ascii="Arial" w:hAnsi="Arial" w:cs="Arial"/>
          <w:sz w:val="20"/>
          <w:szCs w:val="20"/>
        </w:rPr>
        <w:t xml:space="preserve"> PGZ Stocznia Wojenna przekazała do Marynarki Wojen</w:t>
      </w:r>
      <w:r w:rsidR="007A3A71">
        <w:rPr>
          <w:rFonts w:ascii="Arial" w:hAnsi="Arial" w:cs="Arial"/>
          <w:sz w:val="20"/>
          <w:szCs w:val="20"/>
        </w:rPr>
        <w:t xml:space="preserve">nej okręt patrolowy ORP Ślązak. </w:t>
      </w:r>
      <w:r w:rsidRPr="004C6CC5">
        <w:rPr>
          <w:rFonts w:ascii="Arial" w:hAnsi="Arial" w:cs="Arial"/>
          <w:sz w:val="20"/>
          <w:szCs w:val="20"/>
        </w:rPr>
        <w:t>Dodatkowo przez cały rok 2019 trwały prace związane</w:t>
      </w:r>
      <w:r w:rsidR="004C6CC5">
        <w:rPr>
          <w:rFonts w:ascii="Arial" w:hAnsi="Arial" w:cs="Arial"/>
          <w:sz w:val="20"/>
          <w:szCs w:val="20"/>
        </w:rPr>
        <w:t xml:space="preserve"> z </w:t>
      </w:r>
      <w:r w:rsidRPr="004C6CC5">
        <w:rPr>
          <w:rFonts w:ascii="Arial" w:hAnsi="Arial" w:cs="Arial"/>
          <w:sz w:val="20"/>
          <w:szCs w:val="20"/>
        </w:rPr>
        <w:t xml:space="preserve">przygotowaniem dokumentacji (projektu wykonawczego) dla okrętu ratowniczego kr. Ratownik. </w:t>
      </w:r>
    </w:p>
    <w:p w14:paraId="68304F57" w14:textId="0FC85EB7" w:rsidR="003656A3" w:rsidRPr="00877CFB" w:rsidRDefault="003656A3" w:rsidP="003C6ECA">
      <w:pPr>
        <w:pStyle w:val="Akapitzlist"/>
        <w:numPr>
          <w:ilvl w:val="0"/>
          <w:numId w:val="31"/>
        </w:numPr>
        <w:spacing w:after="120" w:line="276" w:lineRule="auto"/>
        <w:jc w:val="both"/>
        <w:rPr>
          <w:rFonts w:ascii="Arial" w:hAnsi="Arial" w:cs="Arial"/>
          <w:b/>
          <w:sz w:val="20"/>
          <w:szCs w:val="20"/>
        </w:rPr>
      </w:pPr>
      <w:r w:rsidRPr="00877CFB">
        <w:rPr>
          <w:rFonts w:ascii="Arial" w:hAnsi="Arial" w:cs="Arial"/>
          <w:b/>
          <w:sz w:val="20"/>
          <w:szCs w:val="20"/>
        </w:rPr>
        <w:t xml:space="preserve">Stocznia Crist S.A. </w:t>
      </w:r>
    </w:p>
    <w:p w14:paraId="20609B3E" w14:textId="3610786F" w:rsidR="003656A3" w:rsidRPr="004C6CC5" w:rsidRDefault="00030C46" w:rsidP="008D2321">
      <w:pPr>
        <w:spacing w:after="120" w:line="276" w:lineRule="auto"/>
        <w:jc w:val="both"/>
        <w:rPr>
          <w:rFonts w:ascii="Arial" w:hAnsi="Arial" w:cs="Arial"/>
          <w:sz w:val="20"/>
          <w:szCs w:val="20"/>
        </w:rPr>
      </w:pPr>
      <w:r>
        <w:rPr>
          <w:rFonts w:ascii="Arial" w:hAnsi="Arial" w:cs="Arial"/>
          <w:sz w:val="20"/>
          <w:szCs w:val="20"/>
        </w:rPr>
        <w:t xml:space="preserve">Stocznia </w:t>
      </w:r>
      <w:r w:rsidR="003656A3" w:rsidRPr="004C6CC5">
        <w:rPr>
          <w:rFonts w:ascii="Arial" w:hAnsi="Arial" w:cs="Arial"/>
          <w:sz w:val="20"/>
          <w:szCs w:val="20"/>
        </w:rPr>
        <w:t xml:space="preserve">CRIST S.A. </w:t>
      </w:r>
      <w:r w:rsidR="00D36D4F">
        <w:rPr>
          <w:rFonts w:ascii="Arial" w:hAnsi="Arial" w:cs="Arial"/>
          <w:sz w:val="20"/>
          <w:szCs w:val="20"/>
        </w:rPr>
        <w:t xml:space="preserve">obecnie </w:t>
      </w:r>
      <w:r w:rsidR="003656A3" w:rsidRPr="004C6CC5">
        <w:rPr>
          <w:rFonts w:ascii="Arial" w:hAnsi="Arial" w:cs="Arial"/>
          <w:sz w:val="20"/>
          <w:szCs w:val="20"/>
        </w:rPr>
        <w:t>jest</w:t>
      </w:r>
      <w:r w:rsidR="004C6CC5">
        <w:rPr>
          <w:rFonts w:ascii="Arial" w:hAnsi="Arial" w:cs="Arial"/>
          <w:sz w:val="20"/>
          <w:szCs w:val="20"/>
        </w:rPr>
        <w:t xml:space="preserve"> </w:t>
      </w:r>
      <w:r w:rsidR="003656A3" w:rsidRPr="004C6CC5">
        <w:rPr>
          <w:rFonts w:ascii="Arial" w:hAnsi="Arial" w:cs="Arial"/>
          <w:sz w:val="20"/>
          <w:szCs w:val="20"/>
        </w:rPr>
        <w:t>jedną</w:t>
      </w:r>
      <w:r w:rsidR="004C6CC5">
        <w:rPr>
          <w:rFonts w:ascii="Arial" w:hAnsi="Arial" w:cs="Arial"/>
          <w:sz w:val="20"/>
          <w:szCs w:val="20"/>
        </w:rPr>
        <w:t xml:space="preserve"> z </w:t>
      </w:r>
      <w:r w:rsidR="003656A3" w:rsidRPr="004C6CC5">
        <w:rPr>
          <w:rFonts w:ascii="Arial" w:hAnsi="Arial" w:cs="Arial"/>
          <w:sz w:val="20"/>
          <w:szCs w:val="20"/>
        </w:rPr>
        <w:t xml:space="preserve">najszybciej rozwijających się firm branży stoczniowej, która </w:t>
      </w:r>
      <w:r w:rsidR="00D36D4F">
        <w:rPr>
          <w:rFonts w:ascii="Arial" w:hAnsi="Arial" w:cs="Arial"/>
          <w:sz w:val="20"/>
          <w:szCs w:val="20"/>
        </w:rPr>
        <w:t>dobrze</w:t>
      </w:r>
      <w:r w:rsidR="003656A3" w:rsidRPr="004C6CC5">
        <w:rPr>
          <w:rFonts w:ascii="Arial" w:hAnsi="Arial" w:cs="Arial"/>
          <w:sz w:val="20"/>
          <w:szCs w:val="20"/>
        </w:rPr>
        <w:t xml:space="preserve"> radzi sobie</w:t>
      </w:r>
      <w:r w:rsidR="004C6CC5">
        <w:rPr>
          <w:rFonts w:ascii="Arial" w:hAnsi="Arial" w:cs="Arial"/>
          <w:sz w:val="20"/>
          <w:szCs w:val="20"/>
        </w:rPr>
        <w:t xml:space="preserve"> z </w:t>
      </w:r>
      <w:r w:rsidR="003656A3" w:rsidRPr="004C6CC5">
        <w:rPr>
          <w:rFonts w:ascii="Arial" w:hAnsi="Arial" w:cs="Arial"/>
          <w:sz w:val="20"/>
          <w:szCs w:val="20"/>
        </w:rPr>
        <w:t>niepewnością</w:t>
      </w:r>
      <w:r w:rsidR="004C6CC5">
        <w:rPr>
          <w:rFonts w:ascii="Arial" w:hAnsi="Arial" w:cs="Arial"/>
          <w:sz w:val="20"/>
          <w:szCs w:val="20"/>
        </w:rPr>
        <w:t xml:space="preserve"> i </w:t>
      </w:r>
      <w:r w:rsidR="003656A3" w:rsidRPr="004C6CC5">
        <w:rPr>
          <w:rFonts w:ascii="Arial" w:hAnsi="Arial" w:cs="Arial"/>
          <w:sz w:val="20"/>
          <w:szCs w:val="20"/>
        </w:rPr>
        <w:t>ryzykiem</w:t>
      </w:r>
      <w:r>
        <w:rPr>
          <w:rFonts w:ascii="Arial" w:hAnsi="Arial" w:cs="Arial"/>
          <w:sz w:val="20"/>
          <w:szCs w:val="20"/>
        </w:rPr>
        <w:t>,</w:t>
      </w:r>
      <w:r w:rsidR="003656A3" w:rsidRPr="004C6CC5">
        <w:rPr>
          <w:rFonts w:ascii="Arial" w:hAnsi="Arial" w:cs="Arial"/>
          <w:sz w:val="20"/>
          <w:szCs w:val="20"/>
        </w:rPr>
        <w:t xml:space="preserve"> jakie niesie ze sobą </w:t>
      </w:r>
      <w:r w:rsidR="00D4354A">
        <w:rPr>
          <w:rFonts w:ascii="Arial" w:hAnsi="Arial" w:cs="Arial"/>
          <w:sz w:val="20"/>
          <w:szCs w:val="20"/>
        </w:rPr>
        <w:t>działalność w szeroko pojętej gospodarce morskiej</w:t>
      </w:r>
      <w:r w:rsidR="003656A3" w:rsidRPr="004C6CC5">
        <w:rPr>
          <w:rFonts w:ascii="Arial" w:hAnsi="Arial" w:cs="Arial"/>
          <w:sz w:val="20"/>
          <w:szCs w:val="20"/>
        </w:rPr>
        <w:t>. Stocznia koncentruje swój rozwój wokół budowy specjalistycznych statków</w:t>
      </w:r>
      <w:r w:rsidR="004C6CC5">
        <w:rPr>
          <w:rFonts w:ascii="Arial" w:hAnsi="Arial" w:cs="Arial"/>
          <w:sz w:val="20"/>
          <w:szCs w:val="20"/>
        </w:rPr>
        <w:t xml:space="preserve"> i </w:t>
      </w:r>
      <w:r w:rsidR="003656A3" w:rsidRPr="004C6CC5">
        <w:rPr>
          <w:rFonts w:ascii="Arial" w:hAnsi="Arial" w:cs="Arial"/>
          <w:sz w:val="20"/>
          <w:szCs w:val="20"/>
        </w:rPr>
        <w:t xml:space="preserve">konstrukcji dla przemysłu morskiego. </w:t>
      </w:r>
    </w:p>
    <w:p w14:paraId="124FAE8F" w14:textId="1D0161A4"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Stocznia CRIST zakończyła rok 2019</w:t>
      </w:r>
      <w:r w:rsidR="004C6CC5">
        <w:rPr>
          <w:rFonts w:ascii="Arial" w:hAnsi="Arial" w:cs="Arial"/>
          <w:sz w:val="20"/>
          <w:szCs w:val="20"/>
        </w:rPr>
        <w:t xml:space="preserve"> z </w:t>
      </w:r>
      <w:r w:rsidRPr="004C6CC5">
        <w:rPr>
          <w:rFonts w:ascii="Arial" w:hAnsi="Arial" w:cs="Arial"/>
          <w:sz w:val="20"/>
          <w:szCs w:val="20"/>
        </w:rPr>
        <w:t>wieloma rozpoczętymi</w:t>
      </w:r>
      <w:r w:rsidR="004C6CC5">
        <w:rPr>
          <w:rFonts w:ascii="Arial" w:hAnsi="Arial" w:cs="Arial"/>
          <w:sz w:val="20"/>
          <w:szCs w:val="20"/>
        </w:rPr>
        <w:t xml:space="preserve"> i </w:t>
      </w:r>
      <w:r w:rsidRPr="004C6CC5">
        <w:rPr>
          <w:rFonts w:ascii="Arial" w:hAnsi="Arial" w:cs="Arial"/>
          <w:sz w:val="20"/>
          <w:szCs w:val="20"/>
        </w:rPr>
        <w:t>zakończonymi projektami dla zagranicznych armatorów. Stocznia zbudowała częściowo wyposażony kadłub największego na świecie promu hybrydowego Color hybrid typu plug-in (ładowanego</w:t>
      </w:r>
      <w:r w:rsidR="004C6CC5">
        <w:rPr>
          <w:rFonts w:ascii="Arial" w:hAnsi="Arial" w:cs="Arial"/>
          <w:sz w:val="20"/>
          <w:szCs w:val="20"/>
        </w:rPr>
        <w:t xml:space="preserve"> z </w:t>
      </w:r>
      <w:r w:rsidRPr="004C6CC5">
        <w:rPr>
          <w:rFonts w:ascii="Arial" w:hAnsi="Arial" w:cs="Arial"/>
          <w:sz w:val="20"/>
          <w:szCs w:val="20"/>
        </w:rPr>
        <w:t>lądu). Prom jest wyposażony</w:t>
      </w:r>
      <w:r w:rsidR="004C6CC5">
        <w:rPr>
          <w:rFonts w:ascii="Arial" w:hAnsi="Arial" w:cs="Arial"/>
          <w:sz w:val="20"/>
          <w:szCs w:val="20"/>
        </w:rPr>
        <w:t xml:space="preserve"> w </w:t>
      </w:r>
      <w:r w:rsidRPr="004C6CC5">
        <w:rPr>
          <w:rFonts w:ascii="Arial" w:hAnsi="Arial" w:cs="Arial"/>
          <w:sz w:val="20"/>
          <w:szCs w:val="20"/>
        </w:rPr>
        <w:t>hybrydowy system napędu głównego, który połączony</w:t>
      </w:r>
      <w:r w:rsidR="004C6CC5">
        <w:rPr>
          <w:rFonts w:ascii="Arial" w:hAnsi="Arial" w:cs="Arial"/>
          <w:sz w:val="20"/>
          <w:szCs w:val="20"/>
        </w:rPr>
        <w:t xml:space="preserve"> z </w:t>
      </w:r>
      <w:r w:rsidRPr="004C6CC5">
        <w:rPr>
          <w:rFonts w:ascii="Arial" w:hAnsi="Arial" w:cs="Arial"/>
          <w:sz w:val="20"/>
          <w:szCs w:val="20"/>
        </w:rPr>
        <w:t>odpowiednimi parametrami jednostki zapewnia jej wysoką manewrowość. Na promie zastosowano nowoczesne rozwiązania</w:t>
      </w:r>
      <w:r w:rsidR="004C6CC5">
        <w:rPr>
          <w:rFonts w:ascii="Arial" w:hAnsi="Arial" w:cs="Arial"/>
          <w:sz w:val="20"/>
          <w:szCs w:val="20"/>
        </w:rPr>
        <w:t xml:space="preserve"> w </w:t>
      </w:r>
      <w:r w:rsidRPr="004C6CC5">
        <w:rPr>
          <w:rFonts w:ascii="Arial" w:hAnsi="Arial" w:cs="Arial"/>
          <w:sz w:val="20"/>
          <w:szCs w:val="20"/>
        </w:rPr>
        <w:t>zakresie zmniejszenia hałasu</w:t>
      </w:r>
      <w:r w:rsidR="004C6CC5">
        <w:rPr>
          <w:rFonts w:ascii="Arial" w:hAnsi="Arial" w:cs="Arial"/>
          <w:sz w:val="20"/>
          <w:szCs w:val="20"/>
        </w:rPr>
        <w:t xml:space="preserve"> i </w:t>
      </w:r>
      <w:r w:rsidRPr="004C6CC5">
        <w:rPr>
          <w:rFonts w:ascii="Arial" w:hAnsi="Arial" w:cs="Arial"/>
          <w:sz w:val="20"/>
          <w:szCs w:val="20"/>
        </w:rPr>
        <w:t>emisji. Statek nie emituje przy tym szkodliwych związków azotu</w:t>
      </w:r>
      <w:r w:rsidR="006A5B12">
        <w:rPr>
          <w:rFonts w:ascii="Arial" w:hAnsi="Arial" w:cs="Arial"/>
          <w:sz w:val="20"/>
          <w:szCs w:val="20"/>
        </w:rPr>
        <w:t xml:space="preserve"> i </w:t>
      </w:r>
      <w:r w:rsidRPr="004C6CC5">
        <w:rPr>
          <w:rFonts w:ascii="Arial" w:hAnsi="Arial" w:cs="Arial"/>
          <w:sz w:val="20"/>
          <w:szCs w:val="20"/>
        </w:rPr>
        <w:t>siarki oraz dwutlenku węgla.</w:t>
      </w:r>
      <w:r w:rsidR="006319C9">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stoczni został zbudowany oraz</w:t>
      </w:r>
      <w:r w:rsidR="004C6CC5">
        <w:rPr>
          <w:rFonts w:ascii="Arial" w:hAnsi="Arial" w:cs="Arial"/>
          <w:sz w:val="20"/>
          <w:szCs w:val="20"/>
        </w:rPr>
        <w:t xml:space="preserve"> w </w:t>
      </w:r>
      <w:r w:rsidRPr="004C6CC5">
        <w:rPr>
          <w:rFonts w:ascii="Arial" w:hAnsi="Arial" w:cs="Arial"/>
          <w:sz w:val="20"/>
          <w:szCs w:val="20"/>
        </w:rPr>
        <w:t>pełni wyposażony fish carrier NB SC 75/2 - druga</w:t>
      </w:r>
      <w:r w:rsidR="004C6CC5">
        <w:rPr>
          <w:rFonts w:ascii="Arial" w:hAnsi="Arial" w:cs="Arial"/>
          <w:sz w:val="20"/>
          <w:szCs w:val="20"/>
        </w:rPr>
        <w:t xml:space="preserve"> z </w:t>
      </w:r>
      <w:r w:rsidRPr="004C6CC5">
        <w:rPr>
          <w:rFonts w:ascii="Arial" w:hAnsi="Arial" w:cs="Arial"/>
          <w:sz w:val="20"/>
          <w:szCs w:val="20"/>
        </w:rPr>
        <w:t>serii, a trzecia</w:t>
      </w:r>
      <w:r w:rsidR="004C6CC5">
        <w:rPr>
          <w:rFonts w:ascii="Arial" w:hAnsi="Arial" w:cs="Arial"/>
          <w:sz w:val="20"/>
          <w:szCs w:val="20"/>
        </w:rPr>
        <w:t xml:space="preserve"> w </w:t>
      </w:r>
      <w:r w:rsidRPr="004C6CC5">
        <w:rPr>
          <w:rFonts w:ascii="Arial" w:hAnsi="Arial" w:cs="Arial"/>
          <w:sz w:val="20"/>
          <w:szCs w:val="20"/>
        </w:rPr>
        <w:t>historii jednostka budowana dla Arctic Group AS. Jednostka zwodowana</w:t>
      </w:r>
      <w:r w:rsidR="004C6CC5">
        <w:rPr>
          <w:rFonts w:ascii="Arial" w:hAnsi="Arial" w:cs="Arial"/>
          <w:sz w:val="20"/>
          <w:szCs w:val="20"/>
        </w:rPr>
        <w:t xml:space="preserve"> w </w:t>
      </w:r>
      <w:r w:rsidR="006319C9">
        <w:rPr>
          <w:rFonts w:ascii="Arial" w:hAnsi="Arial" w:cs="Arial"/>
          <w:sz w:val="20"/>
          <w:szCs w:val="20"/>
        </w:rPr>
        <w:t>lipcu 2019 r.</w:t>
      </w:r>
      <w:r w:rsidRPr="004C6CC5">
        <w:rPr>
          <w:rFonts w:ascii="Arial" w:hAnsi="Arial" w:cs="Arial"/>
          <w:sz w:val="20"/>
          <w:szCs w:val="20"/>
        </w:rPr>
        <w:t xml:space="preserve"> zajmuje się transportem ryb</w:t>
      </w:r>
      <w:r w:rsidR="004C6CC5">
        <w:rPr>
          <w:rFonts w:ascii="Arial" w:hAnsi="Arial" w:cs="Arial"/>
          <w:sz w:val="20"/>
          <w:szCs w:val="20"/>
        </w:rPr>
        <w:t xml:space="preserve"> i </w:t>
      </w:r>
      <w:r w:rsidRPr="004C6CC5">
        <w:rPr>
          <w:rFonts w:ascii="Arial" w:hAnsi="Arial" w:cs="Arial"/>
          <w:sz w:val="20"/>
          <w:szCs w:val="20"/>
        </w:rPr>
        <w:t>owoców morza</w:t>
      </w:r>
      <w:r w:rsidR="004C6CC5">
        <w:rPr>
          <w:rFonts w:ascii="Arial" w:hAnsi="Arial" w:cs="Arial"/>
          <w:sz w:val="20"/>
          <w:szCs w:val="20"/>
        </w:rPr>
        <w:t xml:space="preserve"> z </w:t>
      </w:r>
      <w:r w:rsidRPr="004C6CC5">
        <w:rPr>
          <w:rFonts w:ascii="Arial" w:hAnsi="Arial" w:cs="Arial"/>
          <w:sz w:val="20"/>
          <w:szCs w:val="20"/>
        </w:rPr>
        <w:t>farm morskich prosto do przetwórni. Statek został zaprojektowany do transportu żywego łososia, pstrąga, dorsza</w:t>
      </w:r>
      <w:r w:rsidR="004C6CC5">
        <w:rPr>
          <w:rFonts w:ascii="Arial" w:hAnsi="Arial" w:cs="Arial"/>
          <w:sz w:val="20"/>
          <w:szCs w:val="20"/>
        </w:rPr>
        <w:t xml:space="preserve"> i </w:t>
      </w:r>
      <w:r w:rsidRPr="004C6CC5">
        <w:rPr>
          <w:rFonts w:ascii="Arial" w:hAnsi="Arial" w:cs="Arial"/>
          <w:sz w:val="20"/>
          <w:szCs w:val="20"/>
        </w:rPr>
        <w:t>innych gatunków hodowlanych ryb morskich.</w:t>
      </w:r>
    </w:p>
    <w:p w14:paraId="15E86344" w14:textId="6F32BF6E"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W czerwcu 2019</w:t>
      </w:r>
      <w:r w:rsidR="009D01B9" w:rsidRPr="004C6CC5">
        <w:rPr>
          <w:rFonts w:ascii="Arial" w:hAnsi="Arial" w:cs="Arial"/>
          <w:sz w:val="20"/>
          <w:szCs w:val="20"/>
        </w:rPr>
        <w:t xml:space="preserve"> r. </w:t>
      </w:r>
      <w:r w:rsidR="006319C9">
        <w:rPr>
          <w:rFonts w:ascii="Arial" w:hAnsi="Arial" w:cs="Arial"/>
          <w:sz w:val="20"/>
          <w:szCs w:val="20"/>
        </w:rPr>
        <w:t xml:space="preserve">stocznię </w:t>
      </w:r>
      <w:r w:rsidRPr="004C6CC5">
        <w:rPr>
          <w:rFonts w:ascii="Arial" w:hAnsi="Arial" w:cs="Arial"/>
          <w:sz w:val="20"/>
          <w:szCs w:val="20"/>
        </w:rPr>
        <w:t>opuścił</w:t>
      </w:r>
      <w:r w:rsidR="004C6CC5">
        <w:rPr>
          <w:rFonts w:ascii="Arial" w:hAnsi="Arial" w:cs="Arial"/>
          <w:sz w:val="20"/>
          <w:szCs w:val="20"/>
        </w:rPr>
        <w:t xml:space="preserve"> w </w:t>
      </w:r>
      <w:r w:rsidRPr="004C6CC5">
        <w:rPr>
          <w:rFonts w:ascii="Arial" w:hAnsi="Arial" w:cs="Arial"/>
          <w:sz w:val="20"/>
          <w:szCs w:val="20"/>
        </w:rPr>
        <w:t>pełni wyposażony, hybrydowy prom pasażersko-samochodowy przekazany islandzkiemu armatorowi Vegagerðinowi. Jednostka ma obsługiwać wymagające kursy pomiędzy wyspami islandzkiego archipelagu Westmana. Statek jest wyposażony</w:t>
      </w:r>
      <w:r w:rsidR="004C6CC5">
        <w:rPr>
          <w:rFonts w:ascii="Arial" w:hAnsi="Arial" w:cs="Arial"/>
          <w:sz w:val="20"/>
          <w:szCs w:val="20"/>
        </w:rPr>
        <w:t xml:space="preserve"> w </w:t>
      </w:r>
      <w:r w:rsidRPr="004C6CC5">
        <w:rPr>
          <w:rFonts w:ascii="Arial" w:hAnsi="Arial" w:cs="Arial"/>
          <w:sz w:val="20"/>
          <w:szCs w:val="20"/>
        </w:rPr>
        <w:t>hybrydowy system napędu głównego.</w:t>
      </w:r>
    </w:p>
    <w:p w14:paraId="0F34EDD7" w14:textId="25A0A509"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 xml:space="preserve">Na początku września 2019 </w:t>
      </w:r>
      <w:r w:rsidR="002935F5">
        <w:rPr>
          <w:rFonts w:ascii="Arial" w:hAnsi="Arial" w:cs="Arial"/>
          <w:sz w:val="20"/>
          <w:szCs w:val="20"/>
        </w:rPr>
        <w:t xml:space="preserve">r. </w:t>
      </w:r>
      <w:r w:rsidRPr="004C6CC5">
        <w:rPr>
          <w:rFonts w:ascii="Arial" w:hAnsi="Arial" w:cs="Arial"/>
          <w:sz w:val="20"/>
          <w:szCs w:val="20"/>
        </w:rPr>
        <w:t>Stocznia CRIST przekazała częściowo wyposażony statek dla morskiej energetyki wiatrowej. Jednostka powstała na zamówienie stoczni Ulstein Verft AS. To statek typu Offshore Service Vessel, wykorzystywany podczas budowy, montażu oraz prac konserwacyjnych na morskich farmach wiatrowych.</w:t>
      </w:r>
    </w:p>
    <w:p w14:paraId="78930506" w14:textId="0FD56A84" w:rsidR="00645E86"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 xml:space="preserve">Stocznia </w:t>
      </w:r>
      <w:r w:rsidR="004C6CC5">
        <w:rPr>
          <w:rFonts w:ascii="Arial" w:hAnsi="Arial" w:cs="Arial"/>
          <w:sz w:val="20"/>
          <w:szCs w:val="20"/>
        </w:rPr>
        <w:t>w </w:t>
      </w:r>
      <w:r w:rsidRPr="004C6CC5">
        <w:rPr>
          <w:rFonts w:ascii="Arial" w:hAnsi="Arial" w:cs="Arial"/>
          <w:sz w:val="20"/>
          <w:szCs w:val="20"/>
        </w:rPr>
        <w:t xml:space="preserve">kwietniu </w:t>
      </w:r>
      <w:r w:rsidR="00B90C5E">
        <w:rPr>
          <w:rFonts w:ascii="Arial" w:hAnsi="Arial" w:cs="Arial"/>
          <w:sz w:val="20"/>
          <w:szCs w:val="20"/>
        </w:rPr>
        <w:t>2019 r.</w:t>
      </w:r>
      <w:r w:rsidRPr="004C6CC5">
        <w:rPr>
          <w:rFonts w:ascii="Arial" w:hAnsi="Arial" w:cs="Arial"/>
          <w:sz w:val="20"/>
          <w:szCs w:val="20"/>
        </w:rPr>
        <w:t xml:space="preserve"> zakończyła budowę częściowo wyposażonego kadłuba jednego</w:t>
      </w:r>
      <w:r w:rsidR="004C6CC5">
        <w:rPr>
          <w:rFonts w:ascii="Arial" w:hAnsi="Arial" w:cs="Arial"/>
          <w:sz w:val="20"/>
          <w:szCs w:val="20"/>
        </w:rPr>
        <w:t xml:space="preserve"> z </w:t>
      </w:r>
      <w:r w:rsidRPr="004C6CC5">
        <w:rPr>
          <w:rFonts w:ascii="Arial" w:hAnsi="Arial" w:cs="Arial"/>
          <w:sz w:val="20"/>
          <w:szCs w:val="20"/>
        </w:rPr>
        <w:t>najbardziej innowacyjnych statków pasażerskich na świecie za zlecenie armatora Lindblad Expeditions - National Geographic Endurance. Jednostka mieści 126 pasażerów</w:t>
      </w:r>
      <w:r w:rsidR="004C6CC5">
        <w:rPr>
          <w:rFonts w:ascii="Arial" w:hAnsi="Arial" w:cs="Arial"/>
          <w:sz w:val="20"/>
          <w:szCs w:val="20"/>
        </w:rPr>
        <w:t xml:space="preserve"> w </w:t>
      </w:r>
      <w:r w:rsidRPr="004C6CC5">
        <w:rPr>
          <w:rFonts w:ascii="Arial" w:hAnsi="Arial" w:cs="Arial"/>
          <w:sz w:val="20"/>
          <w:szCs w:val="20"/>
        </w:rPr>
        <w:t>69 przestronnych kabinach</w:t>
      </w:r>
      <w:r w:rsidR="004C6CC5">
        <w:rPr>
          <w:rFonts w:ascii="Arial" w:hAnsi="Arial" w:cs="Arial"/>
          <w:sz w:val="20"/>
          <w:szCs w:val="20"/>
        </w:rPr>
        <w:t xml:space="preserve"> i </w:t>
      </w:r>
      <w:r w:rsidRPr="004C6CC5">
        <w:rPr>
          <w:rFonts w:ascii="Arial" w:hAnsi="Arial" w:cs="Arial"/>
          <w:sz w:val="20"/>
          <w:szCs w:val="20"/>
        </w:rPr>
        <w:t>apartamentach. Endurance posiada najwyższą klasę lodową</w:t>
      </w:r>
      <w:r w:rsidR="004C6CC5">
        <w:rPr>
          <w:rFonts w:ascii="Arial" w:hAnsi="Arial" w:cs="Arial"/>
          <w:sz w:val="20"/>
          <w:szCs w:val="20"/>
        </w:rPr>
        <w:t xml:space="preserve"> i </w:t>
      </w:r>
      <w:r w:rsidRPr="004C6CC5">
        <w:rPr>
          <w:rFonts w:ascii="Arial" w:hAnsi="Arial" w:cs="Arial"/>
          <w:sz w:val="20"/>
          <w:szCs w:val="20"/>
        </w:rPr>
        <w:t>jest budowany zgodnie</w:t>
      </w:r>
      <w:r w:rsidR="004C6CC5">
        <w:rPr>
          <w:rFonts w:ascii="Arial" w:hAnsi="Arial" w:cs="Arial"/>
          <w:sz w:val="20"/>
          <w:szCs w:val="20"/>
        </w:rPr>
        <w:t xml:space="preserve"> z </w:t>
      </w:r>
      <w:r w:rsidRPr="004C6CC5">
        <w:rPr>
          <w:rFonts w:ascii="Arial" w:hAnsi="Arial" w:cs="Arial"/>
          <w:sz w:val="20"/>
          <w:szCs w:val="20"/>
        </w:rPr>
        <w:t>opatentowanym projektem kadłubów</w:t>
      </w:r>
      <w:r w:rsidR="007655FD">
        <w:rPr>
          <w:rFonts w:ascii="Arial" w:hAnsi="Arial" w:cs="Arial"/>
          <w:sz w:val="20"/>
          <w:szCs w:val="20"/>
        </w:rPr>
        <w:t xml:space="preserve"> z </w:t>
      </w:r>
      <w:r w:rsidR="00B90C5E">
        <w:rPr>
          <w:rFonts w:ascii="Arial" w:hAnsi="Arial" w:cs="Arial"/>
          <w:sz w:val="20"/>
          <w:szCs w:val="20"/>
        </w:rPr>
        <w:t>linii X-</w:t>
      </w:r>
      <w:r w:rsidRPr="004C6CC5">
        <w:rPr>
          <w:rFonts w:ascii="Arial" w:hAnsi="Arial" w:cs="Arial"/>
          <w:sz w:val="20"/>
          <w:szCs w:val="20"/>
        </w:rPr>
        <w:t>BOW. Zastosowanie tego rozwiązania</w:t>
      </w:r>
      <w:r w:rsidR="004C6CC5">
        <w:rPr>
          <w:rFonts w:ascii="Arial" w:hAnsi="Arial" w:cs="Arial"/>
          <w:sz w:val="20"/>
          <w:szCs w:val="20"/>
        </w:rPr>
        <w:t xml:space="preserve"> w </w:t>
      </w:r>
      <w:r w:rsidRPr="004C6CC5">
        <w:rPr>
          <w:rFonts w:ascii="Arial" w:hAnsi="Arial" w:cs="Arial"/>
          <w:sz w:val="20"/>
          <w:szCs w:val="20"/>
        </w:rPr>
        <w:t>statku pasażerskim zmniejsza uderzenia fal o kadłub, co zwiększa komfort podróżowania oraz ogranicza hałas</w:t>
      </w:r>
      <w:r w:rsidR="004C6CC5">
        <w:rPr>
          <w:rFonts w:ascii="Arial" w:hAnsi="Arial" w:cs="Arial"/>
          <w:sz w:val="20"/>
          <w:szCs w:val="20"/>
        </w:rPr>
        <w:t xml:space="preserve"> i </w:t>
      </w:r>
      <w:r w:rsidRPr="004C6CC5">
        <w:rPr>
          <w:rFonts w:ascii="Arial" w:hAnsi="Arial" w:cs="Arial"/>
          <w:sz w:val="20"/>
          <w:szCs w:val="20"/>
        </w:rPr>
        <w:t>wibracje. Endurance jest</w:t>
      </w:r>
      <w:r w:rsidR="004C6CC5">
        <w:rPr>
          <w:rFonts w:ascii="Arial" w:hAnsi="Arial" w:cs="Arial"/>
          <w:sz w:val="20"/>
          <w:szCs w:val="20"/>
        </w:rPr>
        <w:t xml:space="preserve"> w </w:t>
      </w:r>
      <w:r w:rsidRPr="004C6CC5">
        <w:rPr>
          <w:rFonts w:ascii="Arial" w:hAnsi="Arial" w:cs="Arial"/>
          <w:sz w:val="20"/>
          <w:szCs w:val="20"/>
        </w:rPr>
        <w:t>stanie dostosować się do niesprzyjających warunków na morzu, przepływając przez obszary arktyczne. Dzięki zastosowaniu opatentowanego kadłuba X-BOW jednostka będzie miała dużo mniejszy wpływ na środowisko, przy jednoczesnym zmniejszeniu codziennych kosztów operacyjnych.</w:t>
      </w:r>
    </w:p>
    <w:p w14:paraId="71957622" w14:textId="489D78C9" w:rsidR="003656A3" w:rsidRPr="00B467E3" w:rsidRDefault="003656A3" w:rsidP="003C6ECA">
      <w:pPr>
        <w:pStyle w:val="Akapitzlist"/>
        <w:numPr>
          <w:ilvl w:val="0"/>
          <w:numId w:val="31"/>
        </w:numPr>
        <w:spacing w:after="120" w:line="276" w:lineRule="auto"/>
        <w:jc w:val="both"/>
        <w:rPr>
          <w:rFonts w:ascii="Arial" w:hAnsi="Arial" w:cs="Arial"/>
          <w:b/>
          <w:sz w:val="20"/>
          <w:szCs w:val="20"/>
        </w:rPr>
      </w:pPr>
      <w:r w:rsidRPr="00B467E3">
        <w:rPr>
          <w:rFonts w:ascii="Arial" w:hAnsi="Arial" w:cs="Arial"/>
          <w:b/>
          <w:sz w:val="20"/>
          <w:szCs w:val="20"/>
        </w:rPr>
        <w:t>Remontowa Holding</w:t>
      </w:r>
    </w:p>
    <w:p w14:paraId="0DE1FBF4" w14:textId="4754C446" w:rsidR="003656A3" w:rsidRDefault="003656A3" w:rsidP="008D2321">
      <w:pPr>
        <w:spacing w:after="120" w:line="276" w:lineRule="auto"/>
        <w:jc w:val="both"/>
        <w:rPr>
          <w:rFonts w:ascii="Arial" w:hAnsi="Arial" w:cs="Arial"/>
          <w:sz w:val="20"/>
          <w:szCs w:val="20"/>
        </w:rPr>
      </w:pPr>
      <w:r w:rsidRPr="004C6CC5">
        <w:rPr>
          <w:rFonts w:ascii="Arial" w:hAnsi="Arial" w:cs="Arial"/>
          <w:sz w:val="20"/>
          <w:szCs w:val="20"/>
        </w:rPr>
        <w:t>Remontowa Holding jest największą grupą kapitałową</w:t>
      </w:r>
      <w:r w:rsidR="004C6CC5">
        <w:rPr>
          <w:rFonts w:ascii="Arial" w:hAnsi="Arial" w:cs="Arial"/>
          <w:sz w:val="20"/>
          <w:szCs w:val="20"/>
        </w:rPr>
        <w:t xml:space="preserve"> w </w:t>
      </w:r>
      <w:r w:rsidRPr="004C6CC5">
        <w:rPr>
          <w:rFonts w:ascii="Arial" w:hAnsi="Arial" w:cs="Arial"/>
          <w:sz w:val="20"/>
          <w:szCs w:val="20"/>
        </w:rPr>
        <w:t>polskim przemyśle stoczniowym. Liderami grupy są dwie stocznie, tj. Remontowa Shipbuilding S.A. budująca</w:t>
      </w:r>
      <w:r w:rsidR="004C6CC5">
        <w:rPr>
          <w:rFonts w:ascii="Arial" w:hAnsi="Arial" w:cs="Arial"/>
          <w:sz w:val="20"/>
          <w:szCs w:val="20"/>
        </w:rPr>
        <w:t xml:space="preserve"> w </w:t>
      </w:r>
      <w:r w:rsidRPr="004C6CC5">
        <w:rPr>
          <w:rFonts w:ascii="Arial" w:hAnsi="Arial" w:cs="Arial"/>
          <w:sz w:val="20"/>
          <w:szCs w:val="20"/>
        </w:rPr>
        <w:t>pełni wyposażone statki</w:t>
      </w:r>
      <w:r w:rsidR="004C6CC5">
        <w:rPr>
          <w:rFonts w:ascii="Arial" w:hAnsi="Arial" w:cs="Arial"/>
          <w:sz w:val="20"/>
          <w:szCs w:val="20"/>
        </w:rPr>
        <w:t xml:space="preserve"> i </w:t>
      </w:r>
      <w:r w:rsidRPr="004C6CC5">
        <w:rPr>
          <w:rFonts w:ascii="Arial" w:hAnsi="Arial" w:cs="Arial"/>
          <w:sz w:val="20"/>
          <w:szCs w:val="20"/>
        </w:rPr>
        <w:t>okręty oraz Gdańska Stocznia „Remontowa” S.A., która specjalizuje się</w:t>
      </w:r>
      <w:r w:rsidR="004C6CC5">
        <w:rPr>
          <w:rFonts w:ascii="Arial" w:hAnsi="Arial" w:cs="Arial"/>
          <w:sz w:val="20"/>
          <w:szCs w:val="20"/>
        </w:rPr>
        <w:t xml:space="preserve"> w </w:t>
      </w:r>
      <w:r w:rsidRPr="004C6CC5">
        <w:rPr>
          <w:rFonts w:ascii="Arial" w:hAnsi="Arial" w:cs="Arial"/>
          <w:sz w:val="20"/>
          <w:szCs w:val="20"/>
        </w:rPr>
        <w:t>remontach</w:t>
      </w:r>
      <w:r w:rsidR="004C6CC5">
        <w:rPr>
          <w:rFonts w:ascii="Arial" w:hAnsi="Arial" w:cs="Arial"/>
          <w:sz w:val="20"/>
          <w:szCs w:val="20"/>
        </w:rPr>
        <w:t xml:space="preserve"> i </w:t>
      </w:r>
      <w:r w:rsidRPr="004C6CC5">
        <w:rPr>
          <w:rFonts w:ascii="Arial" w:hAnsi="Arial" w:cs="Arial"/>
          <w:sz w:val="20"/>
          <w:szCs w:val="20"/>
        </w:rPr>
        <w:t>przebudowach statków różnych typów oraz platform wiertniczych, a także utrzymuje pozycję europejskiego lidera</w:t>
      </w:r>
      <w:r w:rsidR="004C6CC5">
        <w:rPr>
          <w:rFonts w:ascii="Arial" w:hAnsi="Arial" w:cs="Arial"/>
          <w:sz w:val="20"/>
          <w:szCs w:val="20"/>
        </w:rPr>
        <w:t xml:space="preserve"> w </w:t>
      </w:r>
      <w:r w:rsidRPr="004C6CC5">
        <w:rPr>
          <w:rFonts w:ascii="Arial" w:hAnsi="Arial" w:cs="Arial"/>
          <w:sz w:val="20"/>
          <w:szCs w:val="20"/>
        </w:rPr>
        <w:t xml:space="preserve">instalowaniu na statkach scrubberów, czyli płuczek do odsiarczania spalin oraz instalacjach systemów oczyszczania wód balastowych. </w:t>
      </w:r>
    </w:p>
    <w:p w14:paraId="19FA97EF" w14:textId="1A217DFE" w:rsidR="00B93745" w:rsidRDefault="00B93745" w:rsidP="008D2321">
      <w:pPr>
        <w:spacing w:after="120" w:line="276" w:lineRule="auto"/>
        <w:jc w:val="both"/>
        <w:rPr>
          <w:rFonts w:ascii="Arial" w:hAnsi="Arial" w:cs="Arial"/>
          <w:sz w:val="20"/>
          <w:szCs w:val="20"/>
        </w:rPr>
      </w:pPr>
    </w:p>
    <w:p w14:paraId="11EB384B" w14:textId="77777777" w:rsidR="00B93745" w:rsidRPr="004C6CC5" w:rsidRDefault="00B93745" w:rsidP="008D2321">
      <w:pPr>
        <w:spacing w:after="120" w:line="276" w:lineRule="auto"/>
        <w:jc w:val="both"/>
        <w:rPr>
          <w:rFonts w:ascii="Arial" w:hAnsi="Arial" w:cs="Arial"/>
          <w:sz w:val="20"/>
          <w:szCs w:val="20"/>
        </w:rPr>
      </w:pPr>
    </w:p>
    <w:p w14:paraId="5EFCF4DD" w14:textId="52859234" w:rsidR="003656A3" w:rsidRPr="00B467E3" w:rsidRDefault="003656A3" w:rsidP="003C6ECA">
      <w:pPr>
        <w:pStyle w:val="Akapitzlist"/>
        <w:numPr>
          <w:ilvl w:val="0"/>
          <w:numId w:val="31"/>
        </w:numPr>
        <w:spacing w:after="120" w:line="276" w:lineRule="auto"/>
        <w:jc w:val="both"/>
        <w:rPr>
          <w:rFonts w:ascii="Arial" w:hAnsi="Arial" w:cs="Arial"/>
          <w:b/>
          <w:sz w:val="20"/>
          <w:szCs w:val="20"/>
        </w:rPr>
      </w:pPr>
      <w:r w:rsidRPr="00B467E3">
        <w:rPr>
          <w:rFonts w:ascii="Arial" w:hAnsi="Arial" w:cs="Arial"/>
          <w:b/>
          <w:sz w:val="20"/>
          <w:szCs w:val="20"/>
        </w:rPr>
        <w:lastRenderedPageBreak/>
        <w:t>Remontowa Shipbuilding S.A.</w:t>
      </w:r>
    </w:p>
    <w:p w14:paraId="4539CA24" w14:textId="2B1BEA87"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Remontowa Shipbuilding S.A. członek grupy Remontowa Holding od wielu lat jest jedną</w:t>
      </w:r>
      <w:r w:rsidR="004C6CC5">
        <w:rPr>
          <w:rFonts w:ascii="Arial" w:hAnsi="Arial" w:cs="Arial"/>
          <w:sz w:val="20"/>
          <w:szCs w:val="20"/>
        </w:rPr>
        <w:t xml:space="preserve"> z </w:t>
      </w:r>
      <w:r w:rsidRPr="004C6CC5">
        <w:rPr>
          <w:rFonts w:ascii="Arial" w:hAnsi="Arial" w:cs="Arial"/>
          <w:sz w:val="20"/>
          <w:szCs w:val="20"/>
        </w:rPr>
        <w:t>najbardziej cenionych</w:t>
      </w:r>
      <w:r w:rsidR="00697631">
        <w:rPr>
          <w:rFonts w:ascii="Arial" w:hAnsi="Arial" w:cs="Arial"/>
          <w:sz w:val="20"/>
          <w:szCs w:val="20"/>
        </w:rPr>
        <w:t xml:space="preserve"> stoczni budujących nowoczesne </w:t>
      </w:r>
      <w:r w:rsidRPr="004C6CC5">
        <w:rPr>
          <w:rFonts w:ascii="Arial" w:hAnsi="Arial" w:cs="Arial"/>
          <w:sz w:val="20"/>
          <w:szCs w:val="20"/>
        </w:rPr>
        <w:t>statki</w:t>
      </w:r>
      <w:r w:rsidR="004C6CC5">
        <w:rPr>
          <w:rFonts w:ascii="Arial" w:hAnsi="Arial" w:cs="Arial"/>
          <w:sz w:val="20"/>
          <w:szCs w:val="20"/>
        </w:rPr>
        <w:t xml:space="preserve"> i </w:t>
      </w:r>
      <w:r w:rsidRPr="004C6CC5">
        <w:rPr>
          <w:rFonts w:ascii="Arial" w:hAnsi="Arial" w:cs="Arial"/>
          <w:sz w:val="20"/>
          <w:szCs w:val="20"/>
        </w:rPr>
        <w:t xml:space="preserve">okręty, </w:t>
      </w:r>
      <w:r w:rsidR="00697631">
        <w:rPr>
          <w:rFonts w:ascii="Arial" w:hAnsi="Arial" w:cs="Arial"/>
          <w:sz w:val="20"/>
          <w:szCs w:val="20"/>
        </w:rPr>
        <w:t>m.in.</w:t>
      </w:r>
      <w:r w:rsidRPr="004C6CC5">
        <w:rPr>
          <w:rFonts w:ascii="Arial" w:hAnsi="Arial" w:cs="Arial"/>
          <w:sz w:val="20"/>
          <w:szCs w:val="20"/>
        </w:rPr>
        <w:t xml:space="preserve"> promy pasażersko </w:t>
      </w:r>
      <w:r w:rsidR="00697631">
        <w:rPr>
          <w:rFonts w:ascii="Arial" w:hAnsi="Arial" w:cs="Arial"/>
          <w:sz w:val="20"/>
          <w:szCs w:val="20"/>
        </w:rPr>
        <w:t>-</w:t>
      </w:r>
      <w:r w:rsidRPr="004C6CC5">
        <w:rPr>
          <w:rFonts w:ascii="Arial" w:hAnsi="Arial" w:cs="Arial"/>
          <w:sz w:val="20"/>
          <w:szCs w:val="20"/>
        </w:rPr>
        <w:t xml:space="preserve"> samochodowe, statki zaopatrzeniowe, okręty wojenne, jednostki specjalistyczne oraz wielozadaniowe statki przeznaczone do obsługi szeroko pojętej branży offshore.</w:t>
      </w:r>
      <w:r w:rsidR="004C6CC5">
        <w:rPr>
          <w:rFonts w:ascii="Arial" w:hAnsi="Arial" w:cs="Arial"/>
          <w:sz w:val="20"/>
          <w:szCs w:val="20"/>
        </w:rPr>
        <w:t xml:space="preserve"> </w:t>
      </w:r>
      <w:r w:rsidR="00697631">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2019 r</w:t>
      </w:r>
      <w:r w:rsidR="00697631">
        <w:rPr>
          <w:rFonts w:ascii="Arial" w:hAnsi="Arial" w:cs="Arial"/>
          <w:sz w:val="20"/>
          <w:szCs w:val="20"/>
        </w:rPr>
        <w:t>.</w:t>
      </w:r>
      <w:r w:rsidRPr="004C6CC5">
        <w:rPr>
          <w:rFonts w:ascii="Arial" w:hAnsi="Arial" w:cs="Arial"/>
          <w:sz w:val="20"/>
          <w:szCs w:val="20"/>
        </w:rPr>
        <w:t xml:space="preserve"> stocznia przekazała trzy częściowo wyposażone trawlery. Dwa</w:t>
      </w:r>
      <w:r w:rsidR="004C6CC5">
        <w:rPr>
          <w:rFonts w:ascii="Arial" w:hAnsi="Arial" w:cs="Arial"/>
          <w:sz w:val="20"/>
          <w:szCs w:val="20"/>
        </w:rPr>
        <w:t xml:space="preserve"> z </w:t>
      </w:r>
      <w:r w:rsidR="00697631">
        <w:rPr>
          <w:rFonts w:ascii="Arial" w:hAnsi="Arial" w:cs="Arial"/>
          <w:sz w:val="20"/>
          <w:szCs w:val="20"/>
        </w:rPr>
        <w:t>nich</w:t>
      </w:r>
      <w:r w:rsidRPr="004C6CC5">
        <w:rPr>
          <w:rFonts w:ascii="Arial" w:hAnsi="Arial" w:cs="Arial"/>
          <w:sz w:val="20"/>
          <w:szCs w:val="20"/>
        </w:rPr>
        <w:t xml:space="preserve"> przeznaczone do połowu ryb za pomocą włoków dennych</w:t>
      </w:r>
      <w:r w:rsidR="004C6CC5">
        <w:rPr>
          <w:rFonts w:ascii="Arial" w:hAnsi="Arial" w:cs="Arial"/>
          <w:sz w:val="20"/>
          <w:szCs w:val="20"/>
        </w:rPr>
        <w:t xml:space="preserve"> i </w:t>
      </w:r>
      <w:r w:rsidR="00530540">
        <w:rPr>
          <w:rFonts w:ascii="Arial" w:hAnsi="Arial" w:cs="Arial"/>
          <w:sz w:val="20"/>
          <w:szCs w:val="20"/>
        </w:rPr>
        <w:t>pelagicznych</w:t>
      </w:r>
      <w:r w:rsidRPr="004C6CC5">
        <w:rPr>
          <w:rFonts w:ascii="Arial" w:hAnsi="Arial" w:cs="Arial"/>
          <w:sz w:val="20"/>
          <w:szCs w:val="20"/>
        </w:rPr>
        <w:t xml:space="preserve"> ciągnionych za statkiem, przekazano klientowi</w:t>
      </w:r>
      <w:r w:rsidR="004C6CC5">
        <w:rPr>
          <w:rFonts w:ascii="Arial" w:hAnsi="Arial" w:cs="Arial"/>
          <w:sz w:val="20"/>
          <w:szCs w:val="20"/>
        </w:rPr>
        <w:t xml:space="preserve"> z </w:t>
      </w:r>
      <w:r w:rsidRPr="004C6CC5">
        <w:rPr>
          <w:rFonts w:ascii="Arial" w:hAnsi="Arial" w:cs="Arial"/>
          <w:sz w:val="20"/>
          <w:szCs w:val="20"/>
        </w:rPr>
        <w:t>Dani</w:t>
      </w:r>
      <w:r w:rsidR="00697631">
        <w:rPr>
          <w:rFonts w:ascii="Arial" w:hAnsi="Arial" w:cs="Arial"/>
          <w:sz w:val="20"/>
          <w:szCs w:val="20"/>
        </w:rPr>
        <w:t xml:space="preserve">i, a jeden </w:t>
      </w:r>
      <w:r w:rsidRPr="004C6CC5">
        <w:rPr>
          <w:rFonts w:ascii="Arial" w:hAnsi="Arial" w:cs="Arial"/>
          <w:sz w:val="20"/>
          <w:szCs w:val="20"/>
        </w:rPr>
        <w:t>przystosowany do połowu ryb okrężnicą</w:t>
      </w:r>
      <w:r w:rsidR="004C6CC5">
        <w:rPr>
          <w:rFonts w:ascii="Arial" w:hAnsi="Arial" w:cs="Arial"/>
          <w:sz w:val="20"/>
          <w:szCs w:val="20"/>
        </w:rPr>
        <w:t xml:space="preserve"> i </w:t>
      </w:r>
      <w:r w:rsidRPr="004C6CC5">
        <w:rPr>
          <w:rFonts w:ascii="Arial" w:hAnsi="Arial" w:cs="Arial"/>
          <w:sz w:val="20"/>
          <w:szCs w:val="20"/>
        </w:rPr>
        <w:t>włokiem, wyposażony</w:t>
      </w:r>
      <w:r w:rsidR="004C6CC5">
        <w:rPr>
          <w:rFonts w:ascii="Arial" w:hAnsi="Arial" w:cs="Arial"/>
          <w:sz w:val="20"/>
          <w:szCs w:val="20"/>
        </w:rPr>
        <w:t xml:space="preserve"> w </w:t>
      </w:r>
      <w:r w:rsidRPr="004C6CC5">
        <w:rPr>
          <w:rFonts w:ascii="Arial" w:hAnsi="Arial" w:cs="Arial"/>
          <w:sz w:val="20"/>
          <w:szCs w:val="20"/>
        </w:rPr>
        <w:t>11 chłodzonych ładowni - dla klienta</w:t>
      </w:r>
      <w:r w:rsidR="004C6CC5">
        <w:rPr>
          <w:rFonts w:ascii="Arial" w:hAnsi="Arial" w:cs="Arial"/>
          <w:sz w:val="20"/>
          <w:szCs w:val="20"/>
        </w:rPr>
        <w:t xml:space="preserve"> z </w:t>
      </w:r>
      <w:r w:rsidRPr="004C6CC5">
        <w:rPr>
          <w:rFonts w:ascii="Arial" w:hAnsi="Arial" w:cs="Arial"/>
          <w:sz w:val="20"/>
          <w:szCs w:val="20"/>
        </w:rPr>
        <w:t>Norwegii.</w:t>
      </w:r>
      <w:r w:rsidR="00697631">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ciągu roku stocznia zwodowała 10 jednostek pływających.</w:t>
      </w:r>
    </w:p>
    <w:p w14:paraId="550C9BAC" w14:textId="3CB3F066" w:rsidR="003656A3" w:rsidRPr="004C6CC5" w:rsidRDefault="003656A3" w:rsidP="00BC24D3">
      <w:pPr>
        <w:spacing w:after="0" w:line="276" w:lineRule="auto"/>
        <w:jc w:val="both"/>
        <w:rPr>
          <w:rFonts w:ascii="Arial" w:hAnsi="Arial" w:cs="Arial"/>
          <w:sz w:val="20"/>
          <w:szCs w:val="20"/>
        </w:rPr>
      </w:pPr>
      <w:r w:rsidRPr="004C6CC5">
        <w:rPr>
          <w:rFonts w:ascii="Arial" w:hAnsi="Arial" w:cs="Arial"/>
          <w:sz w:val="20"/>
          <w:szCs w:val="20"/>
        </w:rPr>
        <w:t>Ponadto stocznia zawarła nowy kontrakt na budowę</w:t>
      </w:r>
      <w:r w:rsidR="004C6CC5">
        <w:rPr>
          <w:rFonts w:ascii="Arial" w:hAnsi="Arial" w:cs="Arial"/>
          <w:sz w:val="20"/>
          <w:szCs w:val="20"/>
        </w:rPr>
        <w:t xml:space="preserve"> w </w:t>
      </w:r>
      <w:r w:rsidRPr="004C6CC5">
        <w:rPr>
          <w:rFonts w:ascii="Arial" w:hAnsi="Arial" w:cs="Arial"/>
          <w:sz w:val="20"/>
          <w:szCs w:val="20"/>
        </w:rPr>
        <w:t>pełni wyposażonego promu klasy „Salish”, napędzanego skroplonym gazem ziemnym (LNG) dla największego</w:t>
      </w:r>
      <w:r w:rsidR="004C6CC5">
        <w:rPr>
          <w:rFonts w:ascii="Arial" w:hAnsi="Arial" w:cs="Arial"/>
          <w:sz w:val="20"/>
          <w:szCs w:val="20"/>
        </w:rPr>
        <w:t xml:space="preserve"> w </w:t>
      </w:r>
      <w:r w:rsidRPr="004C6CC5">
        <w:rPr>
          <w:rFonts w:ascii="Arial" w:hAnsi="Arial" w:cs="Arial"/>
          <w:sz w:val="20"/>
          <w:szCs w:val="20"/>
        </w:rPr>
        <w:t>Ameryce Pó</w:t>
      </w:r>
      <w:r w:rsidR="00A86FD5">
        <w:rPr>
          <w:rFonts w:ascii="Arial" w:hAnsi="Arial" w:cs="Arial"/>
          <w:sz w:val="20"/>
          <w:szCs w:val="20"/>
        </w:rPr>
        <w:t>łnocnej operatora promowego, a także</w:t>
      </w:r>
      <w:r w:rsidRPr="004C6CC5">
        <w:rPr>
          <w:rFonts w:ascii="Arial" w:hAnsi="Arial" w:cs="Arial"/>
          <w:sz w:val="20"/>
          <w:szCs w:val="20"/>
        </w:rPr>
        <w:t xml:space="preserve"> kontynuowała realizację programu produkcyjnego liczącego 18 jednostek,</w:t>
      </w:r>
      <w:r w:rsidR="004C6CC5">
        <w:rPr>
          <w:rFonts w:ascii="Arial" w:hAnsi="Arial" w:cs="Arial"/>
          <w:sz w:val="20"/>
          <w:szCs w:val="20"/>
        </w:rPr>
        <w:t xml:space="preserve"> w </w:t>
      </w:r>
      <w:r w:rsidRPr="004C6CC5">
        <w:rPr>
          <w:rFonts w:ascii="Arial" w:hAnsi="Arial" w:cs="Arial"/>
          <w:sz w:val="20"/>
          <w:szCs w:val="20"/>
        </w:rPr>
        <w:t xml:space="preserve">tym: </w:t>
      </w:r>
    </w:p>
    <w:p w14:paraId="5FBCF218" w14:textId="0E19C1F1" w:rsidR="003656A3" w:rsidRPr="004C6CC5" w:rsidRDefault="00A86FD5" w:rsidP="00BC24D3">
      <w:pPr>
        <w:spacing w:after="0" w:line="276" w:lineRule="auto"/>
        <w:jc w:val="both"/>
        <w:rPr>
          <w:rFonts w:ascii="Arial" w:hAnsi="Arial" w:cs="Arial"/>
          <w:sz w:val="20"/>
          <w:szCs w:val="20"/>
        </w:rPr>
      </w:pPr>
      <w:r>
        <w:rPr>
          <w:rFonts w:ascii="Arial" w:hAnsi="Arial" w:cs="Arial"/>
          <w:sz w:val="20"/>
          <w:szCs w:val="20"/>
        </w:rPr>
        <w:t xml:space="preserve">- </w:t>
      </w:r>
      <w:r w:rsidR="003656A3" w:rsidRPr="004C6CC5">
        <w:rPr>
          <w:rFonts w:ascii="Arial" w:hAnsi="Arial" w:cs="Arial"/>
          <w:sz w:val="20"/>
          <w:szCs w:val="20"/>
        </w:rPr>
        <w:t>dwa seryjne niszczyciele min projektu</w:t>
      </w:r>
      <w:r w:rsidR="00530540">
        <w:rPr>
          <w:rFonts w:ascii="Arial" w:hAnsi="Arial" w:cs="Arial"/>
          <w:sz w:val="20"/>
          <w:szCs w:val="20"/>
        </w:rPr>
        <w:t xml:space="preserve"> 258 „Kormoran II” dla </w:t>
      </w:r>
      <w:r w:rsidR="003656A3" w:rsidRPr="004C6CC5">
        <w:rPr>
          <w:rFonts w:ascii="Arial" w:hAnsi="Arial" w:cs="Arial"/>
          <w:sz w:val="20"/>
          <w:szCs w:val="20"/>
        </w:rPr>
        <w:t>Marynarki Wojennej</w:t>
      </w:r>
      <w:r w:rsidR="00530540">
        <w:rPr>
          <w:rFonts w:ascii="Arial" w:hAnsi="Arial" w:cs="Arial"/>
          <w:sz w:val="20"/>
          <w:szCs w:val="20"/>
        </w:rPr>
        <w:t xml:space="preserve"> RP</w:t>
      </w:r>
      <w:r w:rsidR="003656A3" w:rsidRPr="004C6CC5">
        <w:rPr>
          <w:rFonts w:ascii="Arial" w:hAnsi="Arial" w:cs="Arial"/>
          <w:sz w:val="20"/>
          <w:szCs w:val="20"/>
        </w:rPr>
        <w:t>,</w:t>
      </w:r>
    </w:p>
    <w:p w14:paraId="6EA07009" w14:textId="51E05F9A" w:rsidR="003656A3" w:rsidRPr="004C6CC5" w:rsidRDefault="00A86FD5" w:rsidP="007E6921">
      <w:pPr>
        <w:spacing w:after="0" w:line="276" w:lineRule="auto"/>
        <w:jc w:val="both"/>
        <w:rPr>
          <w:rFonts w:ascii="Arial" w:hAnsi="Arial" w:cs="Arial"/>
          <w:sz w:val="20"/>
          <w:szCs w:val="20"/>
        </w:rPr>
      </w:pPr>
      <w:r>
        <w:rPr>
          <w:rFonts w:ascii="Arial" w:hAnsi="Arial" w:cs="Arial"/>
          <w:sz w:val="20"/>
          <w:szCs w:val="20"/>
        </w:rPr>
        <w:t xml:space="preserve">- </w:t>
      </w:r>
      <w:r w:rsidR="00530540">
        <w:rPr>
          <w:rFonts w:ascii="Arial" w:hAnsi="Arial" w:cs="Arial"/>
          <w:sz w:val="20"/>
          <w:szCs w:val="20"/>
        </w:rPr>
        <w:t xml:space="preserve">sześć holowników dla </w:t>
      </w:r>
      <w:r w:rsidR="003656A3" w:rsidRPr="004C6CC5">
        <w:rPr>
          <w:rFonts w:ascii="Arial" w:hAnsi="Arial" w:cs="Arial"/>
          <w:sz w:val="20"/>
          <w:szCs w:val="20"/>
        </w:rPr>
        <w:t>Marynarki Wojenne</w:t>
      </w:r>
      <w:r w:rsidR="00530540">
        <w:rPr>
          <w:rFonts w:ascii="Arial" w:hAnsi="Arial" w:cs="Arial"/>
          <w:sz w:val="20"/>
          <w:szCs w:val="20"/>
        </w:rPr>
        <w:t>j RP</w:t>
      </w:r>
      <w:r w:rsidR="003656A3" w:rsidRPr="004C6CC5">
        <w:rPr>
          <w:rFonts w:ascii="Arial" w:hAnsi="Arial" w:cs="Arial"/>
          <w:sz w:val="20"/>
          <w:szCs w:val="20"/>
        </w:rPr>
        <w:t>,</w:t>
      </w:r>
    </w:p>
    <w:p w14:paraId="1BF70A00" w14:textId="38286E11" w:rsidR="003656A3" w:rsidRPr="004C6CC5" w:rsidRDefault="00A86FD5" w:rsidP="007E6921">
      <w:pPr>
        <w:spacing w:after="0" w:line="276" w:lineRule="auto"/>
        <w:jc w:val="both"/>
        <w:rPr>
          <w:rFonts w:ascii="Arial" w:hAnsi="Arial" w:cs="Arial"/>
          <w:sz w:val="20"/>
          <w:szCs w:val="20"/>
        </w:rPr>
      </w:pPr>
      <w:r>
        <w:rPr>
          <w:rFonts w:ascii="Arial" w:hAnsi="Arial" w:cs="Arial"/>
          <w:sz w:val="20"/>
          <w:szCs w:val="20"/>
        </w:rPr>
        <w:t xml:space="preserve">- </w:t>
      </w:r>
      <w:r w:rsidR="003656A3" w:rsidRPr="004C6CC5">
        <w:rPr>
          <w:rFonts w:ascii="Arial" w:hAnsi="Arial" w:cs="Arial"/>
          <w:sz w:val="20"/>
          <w:szCs w:val="20"/>
        </w:rPr>
        <w:t>dwa statki wielozadaniowe dla Urzędu Morskiego</w:t>
      </w:r>
      <w:r w:rsidR="004C6CC5">
        <w:rPr>
          <w:rFonts w:ascii="Arial" w:hAnsi="Arial" w:cs="Arial"/>
          <w:sz w:val="20"/>
          <w:szCs w:val="20"/>
        </w:rPr>
        <w:t xml:space="preserve"> w </w:t>
      </w:r>
      <w:r w:rsidR="003656A3" w:rsidRPr="004C6CC5">
        <w:rPr>
          <w:rFonts w:ascii="Arial" w:hAnsi="Arial" w:cs="Arial"/>
          <w:sz w:val="20"/>
          <w:szCs w:val="20"/>
        </w:rPr>
        <w:t>Szczecinie</w:t>
      </w:r>
      <w:r w:rsidR="004C6CC5">
        <w:rPr>
          <w:rFonts w:ascii="Arial" w:hAnsi="Arial" w:cs="Arial"/>
          <w:sz w:val="20"/>
          <w:szCs w:val="20"/>
        </w:rPr>
        <w:t xml:space="preserve"> i </w:t>
      </w:r>
      <w:r w:rsidR="003656A3" w:rsidRPr="004C6CC5">
        <w:rPr>
          <w:rFonts w:ascii="Arial" w:hAnsi="Arial" w:cs="Arial"/>
          <w:sz w:val="20"/>
          <w:szCs w:val="20"/>
        </w:rPr>
        <w:t>Gdyni,</w:t>
      </w:r>
    </w:p>
    <w:p w14:paraId="6F4757DF" w14:textId="3A5C4708" w:rsidR="003656A3" w:rsidRPr="004C6CC5" w:rsidRDefault="00A86FD5" w:rsidP="007E6921">
      <w:pPr>
        <w:spacing w:after="0" w:line="276" w:lineRule="auto"/>
        <w:jc w:val="both"/>
        <w:rPr>
          <w:rFonts w:ascii="Arial" w:hAnsi="Arial" w:cs="Arial"/>
          <w:sz w:val="20"/>
          <w:szCs w:val="20"/>
        </w:rPr>
      </w:pPr>
      <w:r>
        <w:rPr>
          <w:rFonts w:ascii="Arial" w:hAnsi="Arial" w:cs="Arial"/>
          <w:sz w:val="20"/>
          <w:szCs w:val="20"/>
        </w:rPr>
        <w:t xml:space="preserve">- </w:t>
      </w:r>
      <w:r w:rsidR="003656A3" w:rsidRPr="004C6CC5">
        <w:rPr>
          <w:rFonts w:ascii="Arial" w:hAnsi="Arial" w:cs="Arial"/>
          <w:sz w:val="20"/>
          <w:szCs w:val="20"/>
        </w:rPr>
        <w:t>dwa lodołamacze liniowe dla Regionalnego Zarządu Gospodarki Wodnej</w:t>
      </w:r>
      <w:r w:rsidR="004C6CC5">
        <w:rPr>
          <w:rFonts w:ascii="Arial" w:hAnsi="Arial" w:cs="Arial"/>
          <w:sz w:val="20"/>
          <w:szCs w:val="20"/>
        </w:rPr>
        <w:t xml:space="preserve"> w </w:t>
      </w:r>
      <w:r w:rsidR="003656A3" w:rsidRPr="004C6CC5">
        <w:rPr>
          <w:rFonts w:ascii="Arial" w:hAnsi="Arial" w:cs="Arial"/>
          <w:sz w:val="20"/>
          <w:szCs w:val="20"/>
        </w:rPr>
        <w:t xml:space="preserve">Szczecinie, </w:t>
      </w:r>
    </w:p>
    <w:p w14:paraId="1F02F6DB" w14:textId="7232D9E9" w:rsidR="003656A3" w:rsidRPr="004C6CC5" w:rsidRDefault="00A86FD5" w:rsidP="007E6921">
      <w:pPr>
        <w:spacing w:after="0" w:line="276" w:lineRule="auto"/>
        <w:jc w:val="both"/>
        <w:rPr>
          <w:rFonts w:ascii="Arial" w:hAnsi="Arial" w:cs="Arial"/>
          <w:sz w:val="20"/>
          <w:szCs w:val="20"/>
        </w:rPr>
      </w:pPr>
      <w:r>
        <w:rPr>
          <w:rFonts w:ascii="Arial" w:hAnsi="Arial" w:cs="Arial"/>
          <w:sz w:val="20"/>
          <w:szCs w:val="20"/>
        </w:rPr>
        <w:t xml:space="preserve">- </w:t>
      </w:r>
      <w:r w:rsidR="003656A3" w:rsidRPr="004C6CC5">
        <w:rPr>
          <w:rFonts w:ascii="Arial" w:hAnsi="Arial" w:cs="Arial"/>
          <w:sz w:val="20"/>
          <w:szCs w:val="20"/>
        </w:rPr>
        <w:t>cztery dwustronne promy fiordowe</w:t>
      </w:r>
      <w:r w:rsidR="004C6CC5">
        <w:rPr>
          <w:rFonts w:ascii="Arial" w:hAnsi="Arial" w:cs="Arial"/>
          <w:sz w:val="20"/>
          <w:szCs w:val="20"/>
        </w:rPr>
        <w:t xml:space="preserve"> z </w:t>
      </w:r>
      <w:r w:rsidR="003656A3" w:rsidRPr="004C6CC5">
        <w:rPr>
          <w:rFonts w:ascii="Arial" w:hAnsi="Arial" w:cs="Arial"/>
          <w:sz w:val="20"/>
          <w:szCs w:val="20"/>
        </w:rPr>
        <w:t>elektrycznym napędem hybrydowym dla armatora</w:t>
      </w:r>
      <w:r w:rsidR="004C6CC5">
        <w:rPr>
          <w:rFonts w:ascii="Arial" w:hAnsi="Arial" w:cs="Arial"/>
          <w:sz w:val="20"/>
          <w:szCs w:val="20"/>
        </w:rPr>
        <w:t xml:space="preserve"> z </w:t>
      </w:r>
      <w:r w:rsidR="007E6921">
        <w:rPr>
          <w:rFonts w:ascii="Arial" w:hAnsi="Arial" w:cs="Arial"/>
          <w:sz w:val="20"/>
          <w:szCs w:val="20"/>
        </w:rPr>
        <w:t>Norwegii,</w:t>
      </w:r>
    </w:p>
    <w:p w14:paraId="4FC4F850" w14:textId="04E1F744" w:rsidR="003656A3" w:rsidRDefault="00A86FD5" w:rsidP="006D59A7">
      <w:pPr>
        <w:spacing w:after="120" w:line="276" w:lineRule="auto"/>
        <w:jc w:val="both"/>
        <w:rPr>
          <w:rFonts w:ascii="Arial" w:hAnsi="Arial" w:cs="Arial"/>
          <w:sz w:val="20"/>
          <w:szCs w:val="20"/>
        </w:rPr>
      </w:pPr>
      <w:r>
        <w:rPr>
          <w:rFonts w:ascii="Arial" w:hAnsi="Arial" w:cs="Arial"/>
          <w:sz w:val="20"/>
          <w:szCs w:val="20"/>
        </w:rPr>
        <w:t xml:space="preserve">- </w:t>
      </w:r>
      <w:r w:rsidR="003656A3" w:rsidRPr="004C6CC5">
        <w:rPr>
          <w:rFonts w:ascii="Arial" w:hAnsi="Arial" w:cs="Arial"/>
          <w:sz w:val="20"/>
          <w:szCs w:val="20"/>
        </w:rPr>
        <w:t>dwa serwisowce offshore</w:t>
      </w:r>
      <w:r w:rsidR="004C6CC5">
        <w:rPr>
          <w:rFonts w:ascii="Arial" w:hAnsi="Arial" w:cs="Arial"/>
          <w:sz w:val="20"/>
          <w:szCs w:val="20"/>
        </w:rPr>
        <w:t xml:space="preserve"> z </w:t>
      </w:r>
      <w:r w:rsidR="003656A3" w:rsidRPr="004C6CC5">
        <w:rPr>
          <w:rFonts w:ascii="Arial" w:hAnsi="Arial" w:cs="Arial"/>
          <w:sz w:val="20"/>
          <w:szCs w:val="20"/>
        </w:rPr>
        <w:t>elektrycznym napędem hybrydowym dla armatora ze Szwecji.</w:t>
      </w:r>
    </w:p>
    <w:p w14:paraId="0F7934D8" w14:textId="08FF2F31" w:rsidR="003656A3" w:rsidRPr="006D59A7" w:rsidRDefault="003656A3" w:rsidP="007E392A">
      <w:pPr>
        <w:pStyle w:val="Akapitzlist"/>
        <w:numPr>
          <w:ilvl w:val="0"/>
          <w:numId w:val="31"/>
        </w:numPr>
        <w:spacing w:after="120" w:line="276" w:lineRule="auto"/>
        <w:jc w:val="both"/>
        <w:rPr>
          <w:rFonts w:ascii="Arial" w:hAnsi="Arial" w:cs="Arial"/>
          <w:b/>
          <w:sz w:val="20"/>
          <w:szCs w:val="20"/>
        </w:rPr>
      </w:pPr>
      <w:r w:rsidRPr="006D59A7">
        <w:rPr>
          <w:rFonts w:ascii="Arial" w:hAnsi="Arial" w:cs="Arial"/>
          <w:b/>
          <w:sz w:val="20"/>
          <w:szCs w:val="20"/>
        </w:rPr>
        <w:t>Gdańska Stocznia Remontowa S.A.</w:t>
      </w:r>
    </w:p>
    <w:p w14:paraId="37ECF9D7" w14:textId="0064F478"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W roku 2019 stocznia wyremontowała 172 statki,</w:t>
      </w:r>
      <w:r w:rsidR="004C6CC5">
        <w:rPr>
          <w:rFonts w:ascii="Arial" w:hAnsi="Arial" w:cs="Arial"/>
          <w:sz w:val="20"/>
          <w:szCs w:val="20"/>
        </w:rPr>
        <w:t xml:space="preserve"> w </w:t>
      </w:r>
      <w:r w:rsidRPr="004C6CC5">
        <w:rPr>
          <w:rFonts w:ascii="Arial" w:hAnsi="Arial" w:cs="Arial"/>
          <w:sz w:val="20"/>
          <w:szCs w:val="20"/>
        </w:rPr>
        <w:t>tym a</w:t>
      </w:r>
      <w:r w:rsidR="00343311">
        <w:rPr>
          <w:rFonts w:ascii="Arial" w:hAnsi="Arial" w:cs="Arial"/>
          <w:sz w:val="20"/>
          <w:szCs w:val="20"/>
        </w:rPr>
        <w:t>ż 30 o długości ponad 200 m</w:t>
      </w:r>
      <w:r w:rsidRPr="004C6CC5">
        <w:rPr>
          <w:rFonts w:ascii="Arial" w:hAnsi="Arial" w:cs="Arial"/>
          <w:sz w:val="20"/>
          <w:szCs w:val="20"/>
        </w:rPr>
        <w:t>. Największymi</w:t>
      </w:r>
      <w:r w:rsidR="004C6CC5">
        <w:rPr>
          <w:rFonts w:ascii="Arial" w:hAnsi="Arial" w:cs="Arial"/>
          <w:sz w:val="20"/>
          <w:szCs w:val="20"/>
        </w:rPr>
        <w:t xml:space="preserve"> z </w:t>
      </w:r>
      <w:r w:rsidRPr="004C6CC5">
        <w:rPr>
          <w:rFonts w:ascii="Arial" w:hAnsi="Arial" w:cs="Arial"/>
          <w:sz w:val="20"/>
          <w:szCs w:val="20"/>
        </w:rPr>
        <w:t>nich były kontenerowce Safmarine Nomazwe, Laust Maersk</w:t>
      </w:r>
      <w:r w:rsidR="004C6CC5">
        <w:rPr>
          <w:rFonts w:ascii="Arial" w:hAnsi="Arial" w:cs="Arial"/>
          <w:sz w:val="20"/>
          <w:szCs w:val="20"/>
        </w:rPr>
        <w:t xml:space="preserve"> i </w:t>
      </w:r>
      <w:r w:rsidR="00343311">
        <w:rPr>
          <w:rFonts w:ascii="Arial" w:hAnsi="Arial" w:cs="Arial"/>
          <w:sz w:val="20"/>
          <w:szCs w:val="20"/>
        </w:rPr>
        <w:t>Lexa Maersk (265,84 m</w:t>
      </w:r>
      <w:r w:rsidRPr="004C6CC5">
        <w:rPr>
          <w:rFonts w:ascii="Arial" w:hAnsi="Arial" w:cs="Arial"/>
          <w:sz w:val="20"/>
          <w:szCs w:val="20"/>
        </w:rPr>
        <w:t xml:space="preserve">) oraz tankowiec wahadłowy Navion Oceania (265 m). Ponadto stocznia wykonała przebudowy na </w:t>
      </w:r>
      <w:r w:rsidR="00343311">
        <w:rPr>
          <w:rFonts w:ascii="Arial" w:hAnsi="Arial" w:cs="Arial"/>
          <w:sz w:val="20"/>
          <w:szCs w:val="20"/>
        </w:rPr>
        <w:t>czterech</w:t>
      </w:r>
      <w:r w:rsidR="007C2435">
        <w:rPr>
          <w:rFonts w:ascii="Arial" w:hAnsi="Arial" w:cs="Arial"/>
          <w:sz w:val="20"/>
          <w:szCs w:val="20"/>
        </w:rPr>
        <w:t xml:space="preserve"> jednostkach. Stocznia k</w:t>
      </w:r>
      <w:r w:rsidRPr="004C6CC5">
        <w:rPr>
          <w:rFonts w:ascii="Arial" w:hAnsi="Arial" w:cs="Arial"/>
          <w:sz w:val="20"/>
          <w:szCs w:val="20"/>
        </w:rPr>
        <w:t>ontynuowała także instalacje systemów odsiarczania spalin (scrubberów) oraz systemów zarządzania wodami balastowymi (Ballast Water Treatment) na statkach.</w:t>
      </w:r>
      <w:r w:rsidR="005E4771">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roku 2019 wyposażyła</w:t>
      </w:r>
      <w:r w:rsidR="004C6CC5">
        <w:rPr>
          <w:rFonts w:ascii="Arial" w:hAnsi="Arial" w:cs="Arial"/>
          <w:sz w:val="20"/>
          <w:szCs w:val="20"/>
        </w:rPr>
        <w:t xml:space="preserve"> w </w:t>
      </w:r>
      <w:r w:rsidRPr="004C6CC5">
        <w:rPr>
          <w:rFonts w:ascii="Arial" w:hAnsi="Arial" w:cs="Arial"/>
          <w:sz w:val="20"/>
          <w:szCs w:val="20"/>
        </w:rPr>
        <w:t>scrubbery kolejnych 10 statków,</w:t>
      </w:r>
      <w:r w:rsidR="004C6CC5">
        <w:rPr>
          <w:rFonts w:ascii="Arial" w:hAnsi="Arial" w:cs="Arial"/>
          <w:sz w:val="20"/>
          <w:szCs w:val="20"/>
        </w:rPr>
        <w:t xml:space="preserve"> w </w:t>
      </w:r>
      <w:r w:rsidRPr="004C6CC5">
        <w:rPr>
          <w:rFonts w:ascii="Arial" w:hAnsi="Arial" w:cs="Arial"/>
          <w:sz w:val="20"/>
          <w:szCs w:val="20"/>
        </w:rPr>
        <w:t>tym m.in. kontenerowców kombinowanych Grupy Grimaldi (seria Grande Lagos), podpisała też kontrakty na montaż takich systemów na kolejnej serii (Grande Marocco) teg</w:t>
      </w:r>
      <w:r w:rsidR="005E4771">
        <w:rPr>
          <w:rFonts w:ascii="Arial" w:hAnsi="Arial" w:cs="Arial"/>
          <w:sz w:val="20"/>
          <w:szCs w:val="20"/>
        </w:rPr>
        <w:t>o armatora. Pod koniec 2019 r.</w:t>
      </w:r>
      <w:r w:rsidR="004C6CC5">
        <w:rPr>
          <w:rFonts w:ascii="Arial" w:hAnsi="Arial" w:cs="Arial"/>
          <w:sz w:val="20"/>
          <w:szCs w:val="20"/>
        </w:rPr>
        <w:t xml:space="preserve"> w </w:t>
      </w:r>
      <w:r w:rsidRPr="004C6CC5">
        <w:rPr>
          <w:rFonts w:ascii="Arial" w:hAnsi="Arial" w:cs="Arial"/>
          <w:sz w:val="20"/>
          <w:szCs w:val="20"/>
        </w:rPr>
        <w:t>zestawieniu Clarksons Research stocznia została sklasyfikowana pod kątem łącznej liczby instalacji scrubberów na statkach na</w:t>
      </w:r>
      <w:r w:rsidR="00B66FCE" w:rsidRPr="004C6CC5">
        <w:rPr>
          <w:rFonts w:ascii="Arial" w:hAnsi="Arial" w:cs="Arial"/>
          <w:sz w:val="20"/>
          <w:szCs w:val="20"/>
        </w:rPr>
        <w:t xml:space="preserve"> 1 </w:t>
      </w:r>
      <w:r w:rsidRPr="004C6CC5">
        <w:rPr>
          <w:rFonts w:ascii="Arial" w:hAnsi="Arial" w:cs="Arial"/>
          <w:sz w:val="20"/>
          <w:szCs w:val="20"/>
        </w:rPr>
        <w:t>miejscu</w:t>
      </w:r>
      <w:r w:rsidR="004C6CC5">
        <w:rPr>
          <w:rFonts w:ascii="Arial" w:hAnsi="Arial" w:cs="Arial"/>
          <w:sz w:val="20"/>
          <w:szCs w:val="20"/>
        </w:rPr>
        <w:t xml:space="preserve"> w </w:t>
      </w:r>
      <w:r w:rsidRPr="004C6CC5">
        <w:rPr>
          <w:rFonts w:ascii="Arial" w:hAnsi="Arial" w:cs="Arial"/>
          <w:sz w:val="20"/>
          <w:szCs w:val="20"/>
        </w:rPr>
        <w:t>Europie</w:t>
      </w:r>
      <w:r w:rsidR="004C6CC5">
        <w:rPr>
          <w:rFonts w:ascii="Arial" w:hAnsi="Arial" w:cs="Arial"/>
          <w:sz w:val="20"/>
          <w:szCs w:val="20"/>
        </w:rPr>
        <w:t xml:space="preserve"> i </w:t>
      </w:r>
      <w:r w:rsidRPr="004C6CC5">
        <w:rPr>
          <w:rFonts w:ascii="Arial" w:hAnsi="Arial" w:cs="Arial"/>
          <w:sz w:val="20"/>
          <w:szCs w:val="20"/>
        </w:rPr>
        <w:t>7 na świecie (w tym</w:t>
      </w:r>
      <w:r w:rsidR="00B66FCE" w:rsidRPr="004C6CC5">
        <w:rPr>
          <w:rFonts w:ascii="Arial" w:hAnsi="Arial" w:cs="Arial"/>
          <w:sz w:val="20"/>
          <w:szCs w:val="20"/>
        </w:rPr>
        <w:t xml:space="preserve"> 1 </w:t>
      </w:r>
      <w:r w:rsidRPr="004C6CC5">
        <w:rPr>
          <w:rFonts w:ascii="Arial" w:hAnsi="Arial" w:cs="Arial"/>
          <w:sz w:val="20"/>
          <w:szCs w:val="20"/>
        </w:rPr>
        <w:t xml:space="preserve">wśród stoczni </w:t>
      </w:r>
      <w:r w:rsidR="005E4771">
        <w:rPr>
          <w:rFonts w:ascii="Arial" w:hAnsi="Arial" w:cs="Arial"/>
          <w:sz w:val="20"/>
          <w:szCs w:val="20"/>
        </w:rPr>
        <w:t>spoza Azji</w:t>
      </w:r>
      <w:r w:rsidRPr="004C6CC5">
        <w:rPr>
          <w:rFonts w:ascii="Arial" w:hAnsi="Arial" w:cs="Arial"/>
          <w:sz w:val="20"/>
          <w:szCs w:val="20"/>
        </w:rPr>
        <w:t xml:space="preserve">). Zamontowała też systemy BWT na 19 kolejnych statkach różnych typów. </w:t>
      </w:r>
    </w:p>
    <w:p w14:paraId="19398FDD" w14:textId="32EE1629"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Stocznia zakończyła także przebudowę platformy wiertniczej na morskie centrum produkcyjne ropy</w:t>
      </w:r>
      <w:r w:rsidR="004C6CC5">
        <w:rPr>
          <w:rFonts w:ascii="Arial" w:hAnsi="Arial" w:cs="Arial"/>
          <w:sz w:val="20"/>
          <w:szCs w:val="20"/>
        </w:rPr>
        <w:t xml:space="preserve"> i </w:t>
      </w:r>
      <w:r w:rsidRPr="004C6CC5">
        <w:rPr>
          <w:rFonts w:ascii="Arial" w:hAnsi="Arial" w:cs="Arial"/>
          <w:sz w:val="20"/>
          <w:szCs w:val="20"/>
        </w:rPr>
        <w:t>gazu dla LOTOS Petrobaltic S.A. Platforma Petrobaltic została przekazana</w:t>
      </w:r>
      <w:r w:rsidR="004C6CC5">
        <w:rPr>
          <w:rFonts w:ascii="Arial" w:hAnsi="Arial" w:cs="Arial"/>
          <w:sz w:val="20"/>
          <w:szCs w:val="20"/>
        </w:rPr>
        <w:t xml:space="preserve"> i </w:t>
      </w:r>
      <w:r w:rsidRPr="004C6CC5">
        <w:rPr>
          <w:rFonts w:ascii="Arial" w:hAnsi="Arial" w:cs="Arial"/>
          <w:sz w:val="20"/>
          <w:szCs w:val="20"/>
        </w:rPr>
        <w:t>odholowana na bałtyckie złoże B8.</w:t>
      </w:r>
    </w:p>
    <w:p w14:paraId="5050D432" w14:textId="6E135F6F"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Zakończono także program przebudowy dwóch promów pasażersko - samochodowych klasy Spirit 2 dla armatora</w:t>
      </w:r>
      <w:r w:rsidR="004C6CC5">
        <w:rPr>
          <w:rFonts w:ascii="Arial" w:hAnsi="Arial" w:cs="Arial"/>
          <w:sz w:val="20"/>
          <w:szCs w:val="20"/>
        </w:rPr>
        <w:t xml:space="preserve"> z </w:t>
      </w:r>
      <w:r w:rsidRPr="004C6CC5">
        <w:rPr>
          <w:rFonts w:ascii="Arial" w:hAnsi="Arial" w:cs="Arial"/>
          <w:sz w:val="20"/>
          <w:szCs w:val="20"/>
        </w:rPr>
        <w:t>Kanady (BC Ferries), polegający na wymianie systemu napędowego na nowy, zasilany skroplonym gazem ziemnym (LNG), modyfikacji systemów statku</w:t>
      </w:r>
      <w:r w:rsidR="004C6CC5">
        <w:rPr>
          <w:rFonts w:ascii="Arial" w:hAnsi="Arial" w:cs="Arial"/>
          <w:sz w:val="20"/>
          <w:szCs w:val="20"/>
        </w:rPr>
        <w:t xml:space="preserve"> i </w:t>
      </w:r>
      <w:r w:rsidRPr="004C6CC5">
        <w:rPr>
          <w:rFonts w:ascii="Arial" w:hAnsi="Arial" w:cs="Arial"/>
          <w:sz w:val="20"/>
          <w:szCs w:val="20"/>
        </w:rPr>
        <w:t xml:space="preserve">modernizacji przestrzeni pasażerskich. Stocznia przekazała armatorowi drugi prom tej serii (Spirit of Vancouver Island).  </w:t>
      </w:r>
    </w:p>
    <w:p w14:paraId="47E963DF" w14:textId="39106AD9"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Ponadto</w:t>
      </w:r>
      <w:r w:rsidR="004C6CC5">
        <w:rPr>
          <w:rFonts w:ascii="Arial" w:hAnsi="Arial" w:cs="Arial"/>
          <w:sz w:val="20"/>
          <w:szCs w:val="20"/>
        </w:rPr>
        <w:t xml:space="preserve"> w </w:t>
      </w:r>
      <w:r w:rsidRPr="004C6CC5">
        <w:rPr>
          <w:rFonts w:ascii="Arial" w:hAnsi="Arial" w:cs="Arial"/>
          <w:sz w:val="20"/>
          <w:szCs w:val="20"/>
        </w:rPr>
        <w:t>roku 2019 przebudowano także dwa (Mazarine, Palatine)</w:t>
      </w:r>
      <w:r w:rsidR="004C6CC5">
        <w:rPr>
          <w:rFonts w:ascii="Arial" w:hAnsi="Arial" w:cs="Arial"/>
          <w:sz w:val="20"/>
          <w:szCs w:val="20"/>
        </w:rPr>
        <w:t xml:space="preserve"> z </w:t>
      </w:r>
      <w:r w:rsidRPr="004C6CC5">
        <w:rPr>
          <w:rFonts w:ascii="Arial" w:hAnsi="Arial" w:cs="Arial"/>
          <w:sz w:val="20"/>
          <w:szCs w:val="20"/>
        </w:rPr>
        <w:t>trzech statków ro-ro dla firmy CLdN (Cobelfret). Projekt polegał na dobudowaniu dodatkowego, nowego pokładu ro-ro oraz zainstalowaniu nowej hydraulicznej rampy wjazdowej. Dzięki temu powierzchnia ładunkowa każdego</w:t>
      </w:r>
      <w:r w:rsidR="004C6CC5">
        <w:rPr>
          <w:rFonts w:ascii="Arial" w:hAnsi="Arial" w:cs="Arial"/>
          <w:sz w:val="20"/>
          <w:szCs w:val="20"/>
        </w:rPr>
        <w:t xml:space="preserve"> z </w:t>
      </w:r>
      <w:r w:rsidRPr="004C6CC5">
        <w:rPr>
          <w:rFonts w:ascii="Arial" w:hAnsi="Arial" w:cs="Arial"/>
          <w:sz w:val="20"/>
          <w:szCs w:val="20"/>
        </w:rPr>
        <w:t>tych statków zwiększyła się</w:t>
      </w:r>
      <w:r w:rsidR="004C6CC5">
        <w:rPr>
          <w:rFonts w:ascii="Arial" w:hAnsi="Arial" w:cs="Arial"/>
          <w:sz w:val="20"/>
          <w:szCs w:val="20"/>
        </w:rPr>
        <w:t xml:space="preserve"> z </w:t>
      </w:r>
      <w:r w:rsidR="000D310C">
        <w:rPr>
          <w:rFonts w:ascii="Arial" w:hAnsi="Arial" w:cs="Arial"/>
          <w:sz w:val="20"/>
          <w:szCs w:val="20"/>
        </w:rPr>
        <w:t>2907 do 3678 m</w:t>
      </w:r>
      <w:r w:rsidRPr="004C6CC5">
        <w:rPr>
          <w:rFonts w:ascii="Arial" w:hAnsi="Arial" w:cs="Arial"/>
          <w:sz w:val="20"/>
          <w:szCs w:val="20"/>
        </w:rPr>
        <w:t xml:space="preserve"> linii ładunkowej.</w:t>
      </w:r>
    </w:p>
    <w:p w14:paraId="5FA93674" w14:textId="70784B84"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Kontynuowano realizację kontraktu na dostawę, montaż</w:t>
      </w:r>
      <w:r w:rsidR="00DA0DF4">
        <w:rPr>
          <w:rFonts w:ascii="Arial" w:hAnsi="Arial" w:cs="Arial"/>
          <w:sz w:val="20"/>
          <w:szCs w:val="20"/>
        </w:rPr>
        <w:t xml:space="preserve"> i </w:t>
      </w:r>
      <w:r w:rsidRPr="004C6CC5">
        <w:rPr>
          <w:rFonts w:ascii="Arial" w:hAnsi="Arial" w:cs="Arial"/>
          <w:sz w:val="20"/>
          <w:szCs w:val="20"/>
        </w:rPr>
        <w:t>integrację systemów rozpoznania elektronicznego na okrętach ORP Hydrograf</w:t>
      </w:r>
      <w:r w:rsidR="004C6CC5">
        <w:rPr>
          <w:rFonts w:ascii="Arial" w:hAnsi="Arial" w:cs="Arial"/>
          <w:sz w:val="20"/>
          <w:szCs w:val="20"/>
        </w:rPr>
        <w:t xml:space="preserve"> i </w:t>
      </w:r>
      <w:r w:rsidRPr="004C6CC5">
        <w:rPr>
          <w:rFonts w:ascii="Arial" w:hAnsi="Arial" w:cs="Arial"/>
          <w:sz w:val="20"/>
          <w:szCs w:val="20"/>
        </w:rPr>
        <w:t>ORP Nawigator oraz naprawę główną</w:t>
      </w:r>
      <w:r w:rsidR="004C6CC5">
        <w:rPr>
          <w:rFonts w:ascii="Arial" w:hAnsi="Arial" w:cs="Arial"/>
          <w:sz w:val="20"/>
          <w:szCs w:val="20"/>
        </w:rPr>
        <w:t xml:space="preserve"> i </w:t>
      </w:r>
      <w:r w:rsidRPr="004C6CC5">
        <w:rPr>
          <w:rFonts w:ascii="Arial" w:hAnsi="Arial" w:cs="Arial"/>
          <w:sz w:val="20"/>
          <w:szCs w:val="20"/>
        </w:rPr>
        <w:t xml:space="preserve">dokową ORP Hydrograf, której zakres został rozszerzony. </w:t>
      </w:r>
    </w:p>
    <w:p w14:paraId="48BCB4E9" w14:textId="7EF53012" w:rsidR="003656A3" w:rsidRPr="00C169F0" w:rsidRDefault="003656A3" w:rsidP="003C6ECA">
      <w:pPr>
        <w:pStyle w:val="Akapitzlist"/>
        <w:numPr>
          <w:ilvl w:val="0"/>
          <w:numId w:val="31"/>
        </w:numPr>
        <w:spacing w:after="120" w:line="276" w:lineRule="auto"/>
        <w:jc w:val="both"/>
        <w:rPr>
          <w:rFonts w:ascii="Arial" w:hAnsi="Arial" w:cs="Arial"/>
          <w:sz w:val="20"/>
          <w:szCs w:val="20"/>
        </w:rPr>
      </w:pPr>
      <w:r w:rsidRPr="00C169F0">
        <w:rPr>
          <w:rFonts w:ascii="Arial" w:hAnsi="Arial" w:cs="Arial"/>
          <w:b/>
          <w:sz w:val="20"/>
          <w:szCs w:val="20"/>
        </w:rPr>
        <w:t>Baltic Operator / Stocznia Gdańsk / GSG Towers</w:t>
      </w:r>
    </w:p>
    <w:p w14:paraId="4B992EFA" w14:textId="6469F863"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B</w:t>
      </w:r>
      <w:r w:rsidR="00AA5CE4">
        <w:rPr>
          <w:rFonts w:ascii="Arial" w:hAnsi="Arial" w:cs="Arial"/>
          <w:sz w:val="20"/>
          <w:szCs w:val="20"/>
        </w:rPr>
        <w:t>altic Operator jest s</w:t>
      </w:r>
      <w:r w:rsidRPr="004C6CC5">
        <w:rPr>
          <w:rFonts w:ascii="Arial" w:hAnsi="Arial" w:cs="Arial"/>
          <w:sz w:val="20"/>
          <w:szCs w:val="20"/>
        </w:rPr>
        <w:t>półką</w:t>
      </w:r>
      <w:r w:rsidR="004C6CC5">
        <w:rPr>
          <w:rFonts w:ascii="Arial" w:hAnsi="Arial" w:cs="Arial"/>
          <w:sz w:val="20"/>
          <w:szCs w:val="20"/>
        </w:rPr>
        <w:t xml:space="preserve"> z </w:t>
      </w:r>
      <w:r w:rsidRPr="004C6CC5">
        <w:rPr>
          <w:rFonts w:ascii="Arial" w:hAnsi="Arial" w:cs="Arial"/>
          <w:sz w:val="20"/>
          <w:szCs w:val="20"/>
        </w:rPr>
        <w:t>ograniczoną odpowiedzialnością funkcjonującą</w:t>
      </w:r>
      <w:r w:rsidR="004C6CC5">
        <w:rPr>
          <w:rFonts w:ascii="Arial" w:hAnsi="Arial" w:cs="Arial"/>
          <w:sz w:val="20"/>
          <w:szCs w:val="20"/>
        </w:rPr>
        <w:t xml:space="preserve"> w </w:t>
      </w:r>
      <w:r w:rsidRPr="004C6CC5">
        <w:rPr>
          <w:rFonts w:ascii="Arial" w:hAnsi="Arial" w:cs="Arial"/>
          <w:sz w:val="20"/>
          <w:szCs w:val="20"/>
        </w:rPr>
        <w:t>ramach Gr</w:t>
      </w:r>
      <w:r w:rsidR="00AA5CE4">
        <w:rPr>
          <w:rFonts w:ascii="Arial" w:hAnsi="Arial" w:cs="Arial"/>
          <w:sz w:val="20"/>
          <w:szCs w:val="20"/>
        </w:rPr>
        <w:t>upy ARP od 2018 r</w:t>
      </w:r>
      <w:r w:rsidRPr="004C6CC5">
        <w:rPr>
          <w:rFonts w:ascii="Arial" w:hAnsi="Arial" w:cs="Arial"/>
          <w:sz w:val="20"/>
          <w:szCs w:val="20"/>
        </w:rPr>
        <w:t>. Spółka ta zajmuje się aktywnym zarządzaniem, optymalizacją</w:t>
      </w:r>
      <w:r w:rsidR="004C6CC5">
        <w:rPr>
          <w:rFonts w:ascii="Arial" w:hAnsi="Arial" w:cs="Arial"/>
          <w:sz w:val="20"/>
          <w:szCs w:val="20"/>
        </w:rPr>
        <w:t xml:space="preserve"> i </w:t>
      </w:r>
      <w:r w:rsidRPr="004C6CC5">
        <w:rPr>
          <w:rFonts w:ascii="Arial" w:hAnsi="Arial" w:cs="Arial"/>
          <w:sz w:val="20"/>
          <w:szCs w:val="20"/>
        </w:rPr>
        <w:t>rozwojem technik wytwórczych</w:t>
      </w:r>
      <w:r w:rsidR="004C6CC5">
        <w:rPr>
          <w:rFonts w:ascii="Arial" w:hAnsi="Arial" w:cs="Arial"/>
          <w:sz w:val="20"/>
          <w:szCs w:val="20"/>
        </w:rPr>
        <w:t xml:space="preserve"> w </w:t>
      </w:r>
      <w:r w:rsidRPr="004C6CC5">
        <w:rPr>
          <w:rFonts w:ascii="Arial" w:hAnsi="Arial" w:cs="Arial"/>
          <w:sz w:val="20"/>
          <w:szCs w:val="20"/>
        </w:rPr>
        <w:t>szeroko rozumianym segmencie produktów</w:t>
      </w:r>
      <w:r w:rsidR="004C6CC5">
        <w:rPr>
          <w:rFonts w:ascii="Arial" w:hAnsi="Arial" w:cs="Arial"/>
          <w:sz w:val="20"/>
          <w:szCs w:val="20"/>
        </w:rPr>
        <w:t xml:space="preserve"> z </w:t>
      </w:r>
      <w:r w:rsidR="00EF6233">
        <w:rPr>
          <w:rFonts w:ascii="Arial" w:hAnsi="Arial" w:cs="Arial"/>
          <w:sz w:val="20"/>
          <w:szCs w:val="20"/>
        </w:rPr>
        <w:t xml:space="preserve">branży stoczniowej i </w:t>
      </w:r>
      <w:r w:rsidRPr="004C6CC5">
        <w:rPr>
          <w:rFonts w:ascii="Arial" w:hAnsi="Arial" w:cs="Arial"/>
          <w:sz w:val="20"/>
          <w:szCs w:val="20"/>
        </w:rPr>
        <w:t>morskiej</w:t>
      </w:r>
      <w:r w:rsidR="00EF6233">
        <w:rPr>
          <w:rFonts w:ascii="Arial" w:hAnsi="Arial" w:cs="Arial"/>
          <w:sz w:val="20"/>
          <w:szCs w:val="20"/>
        </w:rPr>
        <w:t xml:space="preserve"> </w:t>
      </w:r>
      <w:r w:rsidRPr="004C6CC5">
        <w:rPr>
          <w:rFonts w:ascii="Arial" w:hAnsi="Arial" w:cs="Arial"/>
          <w:sz w:val="20"/>
          <w:szCs w:val="20"/>
        </w:rPr>
        <w:t>energetyki wiatrowej.</w:t>
      </w:r>
      <w:r w:rsidR="00602EB0">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zakresie swojej działalności ściśle współpracuje</w:t>
      </w:r>
      <w:r w:rsidR="004C6CC5">
        <w:rPr>
          <w:rFonts w:ascii="Arial" w:hAnsi="Arial" w:cs="Arial"/>
          <w:sz w:val="20"/>
          <w:szCs w:val="20"/>
        </w:rPr>
        <w:t xml:space="preserve"> i </w:t>
      </w:r>
      <w:r w:rsidRPr="004C6CC5">
        <w:rPr>
          <w:rFonts w:ascii="Arial" w:hAnsi="Arial" w:cs="Arial"/>
          <w:sz w:val="20"/>
          <w:szCs w:val="20"/>
        </w:rPr>
        <w:t>korzysta</w:t>
      </w:r>
      <w:r w:rsidR="004C6CC5">
        <w:rPr>
          <w:rFonts w:ascii="Arial" w:hAnsi="Arial" w:cs="Arial"/>
          <w:sz w:val="20"/>
          <w:szCs w:val="20"/>
        </w:rPr>
        <w:t xml:space="preserve"> z </w:t>
      </w:r>
      <w:r w:rsidR="00602EB0">
        <w:rPr>
          <w:rFonts w:ascii="Arial" w:hAnsi="Arial" w:cs="Arial"/>
          <w:sz w:val="20"/>
          <w:szCs w:val="20"/>
        </w:rPr>
        <w:t xml:space="preserve">doświadczeń </w:t>
      </w:r>
      <w:r w:rsidRPr="004C6CC5">
        <w:rPr>
          <w:rFonts w:ascii="Arial" w:hAnsi="Arial" w:cs="Arial"/>
          <w:sz w:val="20"/>
          <w:szCs w:val="20"/>
        </w:rPr>
        <w:t>Stoczni Gdańsk</w:t>
      </w:r>
      <w:r w:rsidR="004C6CC5">
        <w:rPr>
          <w:rFonts w:ascii="Arial" w:hAnsi="Arial" w:cs="Arial"/>
          <w:sz w:val="20"/>
          <w:szCs w:val="20"/>
        </w:rPr>
        <w:t xml:space="preserve"> i </w:t>
      </w:r>
      <w:r w:rsidRPr="004C6CC5">
        <w:rPr>
          <w:rFonts w:ascii="Arial" w:hAnsi="Arial" w:cs="Arial"/>
          <w:sz w:val="20"/>
          <w:szCs w:val="20"/>
        </w:rPr>
        <w:t xml:space="preserve">GSG </w:t>
      </w:r>
      <w:r w:rsidRPr="004C6CC5">
        <w:rPr>
          <w:rFonts w:ascii="Arial" w:hAnsi="Arial" w:cs="Arial"/>
          <w:sz w:val="20"/>
          <w:szCs w:val="20"/>
        </w:rPr>
        <w:lastRenderedPageBreak/>
        <w:t>Towers. Baltic Operator</w:t>
      </w:r>
      <w:r w:rsidR="004C6CC5">
        <w:rPr>
          <w:rFonts w:ascii="Arial" w:hAnsi="Arial" w:cs="Arial"/>
          <w:sz w:val="20"/>
          <w:szCs w:val="20"/>
        </w:rPr>
        <w:t xml:space="preserve"> w </w:t>
      </w:r>
      <w:r w:rsidRPr="004C6CC5">
        <w:rPr>
          <w:rFonts w:ascii="Arial" w:hAnsi="Arial" w:cs="Arial"/>
          <w:sz w:val="20"/>
          <w:szCs w:val="20"/>
        </w:rPr>
        <w:t>swoich działaniach koncentruje się</w:t>
      </w:r>
      <w:r w:rsidR="004C6CC5">
        <w:rPr>
          <w:rFonts w:ascii="Arial" w:hAnsi="Arial" w:cs="Arial"/>
          <w:sz w:val="20"/>
          <w:szCs w:val="20"/>
        </w:rPr>
        <w:t xml:space="preserve"> w </w:t>
      </w:r>
      <w:r w:rsidRPr="004C6CC5">
        <w:rPr>
          <w:rFonts w:ascii="Arial" w:hAnsi="Arial" w:cs="Arial"/>
          <w:sz w:val="20"/>
          <w:szCs w:val="20"/>
        </w:rPr>
        <w:t>szczególności na rozwoju biznesu</w:t>
      </w:r>
      <w:r w:rsidR="004C6CC5">
        <w:rPr>
          <w:rFonts w:ascii="Arial" w:hAnsi="Arial" w:cs="Arial"/>
          <w:sz w:val="20"/>
          <w:szCs w:val="20"/>
        </w:rPr>
        <w:t xml:space="preserve"> w </w:t>
      </w:r>
      <w:r w:rsidRPr="004C6CC5">
        <w:rPr>
          <w:rFonts w:ascii="Arial" w:hAnsi="Arial" w:cs="Arial"/>
          <w:sz w:val="20"/>
          <w:szCs w:val="20"/>
        </w:rPr>
        <w:t>kierunku nowoczesnych, wysoce przetworzonych produktów wytwarzanych</w:t>
      </w:r>
      <w:r w:rsidR="00E5373C">
        <w:rPr>
          <w:rFonts w:ascii="Arial" w:hAnsi="Arial" w:cs="Arial"/>
          <w:sz w:val="20"/>
          <w:szCs w:val="20"/>
        </w:rPr>
        <w:t xml:space="preserve"> z </w:t>
      </w:r>
      <w:r w:rsidR="000B1D3F">
        <w:rPr>
          <w:rFonts w:ascii="Arial" w:hAnsi="Arial" w:cs="Arial"/>
          <w:sz w:val="20"/>
          <w:szCs w:val="20"/>
        </w:rPr>
        <w:t xml:space="preserve">zastosowaniem najlepszych </w:t>
      </w:r>
      <w:r w:rsidRPr="004C6CC5">
        <w:rPr>
          <w:rFonts w:ascii="Arial" w:hAnsi="Arial" w:cs="Arial"/>
          <w:sz w:val="20"/>
          <w:szCs w:val="20"/>
        </w:rPr>
        <w:t>dostępnych technologii</w:t>
      </w:r>
      <w:r w:rsidR="004C6CC5">
        <w:rPr>
          <w:rFonts w:ascii="Arial" w:hAnsi="Arial" w:cs="Arial"/>
          <w:sz w:val="20"/>
          <w:szCs w:val="20"/>
        </w:rPr>
        <w:t xml:space="preserve"> i </w:t>
      </w:r>
      <w:r w:rsidR="00602EB0">
        <w:rPr>
          <w:rFonts w:ascii="Arial" w:hAnsi="Arial" w:cs="Arial"/>
          <w:sz w:val="20"/>
          <w:szCs w:val="20"/>
        </w:rPr>
        <w:t>technik</w:t>
      </w:r>
      <w:r w:rsidRPr="004C6CC5">
        <w:rPr>
          <w:rFonts w:ascii="Arial" w:hAnsi="Arial" w:cs="Arial"/>
          <w:sz w:val="20"/>
          <w:szCs w:val="20"/>
        </w:rPr>
        <w:t xml:space="preserve"> zarządzania. Dzięki zwiększeniu kapitału spółka uzyskała środki finansowe niezbędne do realizacji założonego planu inwestycyjnego, mającego na celu odbudowę</w:t>
      </w:r>
      <w:r w:rsidR="00DF52F3">
        <w:rPr>
          <w:rFonts w:ascii="Arial" w:hAnsi="Arial" w:cs="Arial"/>
          <w:sz w:val="20"/>
          <w:szCs w:val="20"/>
        </w:rPr>
        <w:t xml:space="preserve"> i </w:t>
      </w:r>
      <w:r w:rsidRPr="004C6CC5">
        <w:rPr>
          <w:rFonts w:ascii="Arial" w:hAnsi="Arial" w:cs="Arial"/>
          <w:sz w:val="20"/>
          <w:szCs w:val="20"/>
        </w:rPr>
        <w:t>rozwój potencjału wytwórczego grupy. Baltic Operator realizuje funk</w:t>
      </w:r>
      <w:r w:rsidR="00602EB0">
        <w:rPr>
          <w:rFonts w:ascii="Arial" w:hAnsi="Arial" w:cs="Arial"/>
          <w:sz w:val="20"/>
          <w:szCs w:val="20"/>
        </w:rPr>
        <w:t>cję</w:t>
      </w:r>
      <w:r w:rsidRPr="004C6CC5">
        <w:rPr>
          <w:rFonts w:ascii="Arial" w:hAnsi="Arial" w:cs="Arial"/>
          <w:sz w:val="20"/>
          <w:szCs w:val="20"/>
        </w:rPr>
        <w:t xml:space="preserve"> integratora organizacyjnego oraz występuje jako lider konsorcjum przemysłowego obejmującego zarówno Stocznię Gdańsk, jak</w:t>
      </w:r>
      <w:r w:rsidR="004C6CC5">
        <w:rPr>
          <w:rFonts w:ascii="Arial" w:hAnsi="Arial" w:cs="Arial"/>
          <w:sz w:val="20"/>
          <w:szCs w:val="20"/>
        </w:rPr>
        <w:t xml:space="preserve"> i </w:t>
      </w:r>
      <w:r w:rsidRPr="004C6CC5">
        <w:rPr>
          <w:rFonts w:ascii="Arial" w:hAnsi="Arial" w:cs="Arial"/>
          <w:sz w:val="20"/>
          <w:szCs w:val="20"/>
        </w:rPr>
        <w:t>GSG Towers. Konsolidacja działalności obu spółek Stoczni Gdańsk</w:t>
      </w:r>
      <w:r w:rsidR="004C6CC5">
        <w:rPr>
          <w:rFonts w:ascii="Arial" w:hAnsi="Arial" w:cs="Arial"/>
          <w:sz w:val="20"/>
          <w:szCs w:val="20"/>
        </w:rPr>
        <w:t xml:space="preserve"> i </w:t>
      </w:r>
      <w:r w:rsidRPr="004C6CC5">
        <w:rPr>
          <w:rFonts w:ascii="Arial" w:hAnsi="Arial" w:cs="Arial"/>
          <w:sz w:val="20"/>
          <w:szCs w:val="20"/>
        </w:rPr>
        <w:t>GSG Towers pozwala uzyskać efekt synergii</w:t>
      </w:r>
      <w:r w:rsidR="00DF52F3">
        <w:rPr>
          <w:rFonts w:ascii="Arial" w:hAnsi="Arial" w:cs="Arial"/>
          <w:sz w:val="20"/>
          <w:szCs w:val="20"/>
        </w:rPr>
        <w:t xml:space="preserve"> w </w:t>
      </w:r>
      <w:r w:rsidRPr="004C6CC5">
        <w:rPr>
          <w:rFonts w:ascii="Arial" w:hAnsi="Arial" w:cs="Arial"/>
          <w:sz w:val="20"/>
          <w:szCs w:val="20"/>
        </w:rPr>
        <w:t>zakresie produktowym oraz uzyskać wysoką efektywność  zarządzania</w:t>
      </w:r>
      <w:r w:rsidR="007372B5">
        <w:rPr>
          <w:rFonts w:ascii="Arial" w:hAnsi="Arial" w:cs="Arial"/>
          <w:sz w:val="20"/>
          <w:szCs w:val="20"/>
        </w:rPr>
        <w:t>,</w:t>
      </w:r>
      <w:r w:rsidRPr="004C6CC5">
        <w:rPr>
          <w:rFonts w:ascii="Arial" w:hAnsi="Arial" w:cs="Arial"/>
          <w:sz w:val="20"/>
          <w:szCs w:val="20"/>
        </w:rPr>
        <w:t xml:space="preserve"> szczególnie istotną</w:t>
      </w:r>
      <w:r w:rsidR="004C6CC5">
        <w:rPr>
          <w:rFonts w:ascii="Arial" w:hAnsi="Arial" w:cs="Arial"/>
          <w:sz w:val="20"/>
          <w:szCs w:val="20"/>
        </w:rPr>
        <w:t xml:space="preserve"> w </w:t>
      </w:r>
      <w:r w:rsidRPr="004C6CC5">
        <w:rPr>
          <w:rFonts w:ascii="Arial" w:hAnsi="Arial" w:cs="Arial"/>
          <w:sz w:val="20"/>
          <w:szCs w:val="20"/>
        </w:rPr>
        <w:t>aspekcie funkcjonowania</w:t>
      </w:r>
      <w:r w:rsidR="004C6CC5">
        <w:rPr>
          <w:rFonts w:ascii="Arial" w:hAnsi="Arial" w:cs="Arial"/>
          <w:sz w:val="20"/>
          <w:szCs w:val="20"/>
        </w:rPr>
        <w:t xml:space="preserve"> w </w:t>
      </w:r>
      <w:r w:rsidRPr="004C6CC5">
        <w:rPr>
          <w:rFonts w:ascii="Arial" w:hAnsi="Arial" w:cs="Arial"/>
          <w:sz w:val="20"/>
          <w:szCs w:val="20"/>
        </w:rPr>
        <w:t>obszarze wysoce konkurencyjnego globalnego rynku producentów szeroko pojętych konstrukcji stalowych.</w:t>
      </w:r>
    </w:p>
    <w:p w14:paraId="4EAC0E74" w14:textId="195887C4" w:rsidR="003656A3" w:rsidRPr="004C6CC5" w:rsidRDefault="003656A3" w:rsidP="008D2321">
      <w:pPr>
        <w:spacing w:after="120" w:line="276" w:lineRule="auto"/>
        <w:jc w:val="both"/>
        <w:rPr>
          <w:rFonts w:ascii="Arial" w:hAnsi="Arial" w:cs="Arial"/>
          <w:sz w:val="20"/>
          <w:szCs w:val="20"/>
        </w:rPr>
      </w:pPr>
      <w:r w:rsidRPr="004C6CC5">
        <w:rPr>
          <w:rFonts w:ascii="Arial" w:hAnsi="Arial" w:cs="Arial"/>
          <w:sz w:val="20"/>
          <w:szCs w:val="20"/>
        </w:rPr>
        <w:t>Po dzierżawie przedsiębiorstw Stoczni Gdańsk</w:t>
      </w:r>
      <w:r w:rsidR="004C6CC5">
        <w:rPr>
          <w:rFonts w:ascii="Arial" w:hAnsi="Arial" w:cs="Arial"/>
          <w:sz w:val="20"/>
          <w:szCs w:val="20"/>
        </w:rPr>
        <w:t xml:space="preserve"> i </w:t>
      </w:r>
      <w:r w:rsidRPr="004C6CC5">
        <w:rPr>
          <w:rFonts w:ascii="Arial" w:hAnsi="Arial" w:cs="Arial"/>
          <w:sz w:val="20"/>
          <w:szCs w:val="20"/>
        </w:rPr>
        <w:t>GSG Towers, Bal</w:t>
      </w:r>
      <w:r w:rsidR="00602EB0">
        <w:rPr>
          <w:rFonts w:ascii="Arial" w:hAnsi="Arial" w:cs="Arial"/>
          <w:sz w:val="20"/>
          <w:szCs w:val="20"/>
        </w:rPr>
        <w:t>tic Operator działa od 2019 r.</w:t>
      </w:r>
      <w:r w:rsidRPr="004C6CC5">
        <w:rPr>
          <w:rFonts w:ascii="Arial" w:hAnsi="Arial" w:cs="Arial"/>
          <w:sz w:val="20"/>
          <w:szCs w:val="20"/>
        </w:rPr>
        <w:t xml:space="preserve"> jako wiodący podmiot</w:t>
      </w:r>
      <w:r w:rsidR="004C6CC5">
        <w:rPr>
          <w:rFonts w:ascii="Arial" w:hAnsi="Arial" w:cs="Arial"/>
          <w:sz w:val="20"/>
          <w:szCs w:val="20"/>
        </w:rPr>
        <w:t xml:space="preserve"> w </w:t>
      </w:r>
      <w:r w:rsidRPr="004C6CC5">
        <w:rPr>
          <w:rFonts w:ascii="Arial" w:hAnsi="Arial" w:cs="Arial"/>
          <w:sz w:val="20"/>
          <w:szCs w:val="20"/>
        </w:rPr>
        <w:t>grupie, korzystając</w:t>
      </w:r>
      <w:r w:rsidR="004C6CC5">
        <w:rPr>
          <w:rFonts w:ascii="Arial" w:hAnsi="Arial" w:cs="Arial"/>
          <w:sz w:val="20"/>
          <w:szCs w:val="20"/>
        </w:rPr>
        <w:t xml:space="preserve"> z </w:t>
      </w:r>
      <w:r w:rsidRPr="004C6CC5">
        <w:rPr>
          <w:rFonts w:ascii="Arial" w:hAnsi="Arial" w:cs="Arial"/>
          <w:sz w:val="20"/>
          <w:szCs w:val="20"/>
        </w:rPr>
        <w:t>dostępu do nabrzeża, nowoczesnej płyty montażowej przy nabrzeżu, największej</w:t>
      </w:r>
      <w:r w:rsidR="004C6CC5">
        <w:rPr>
          <w:rFonts w:ascii="Arial" w:hAnsi="Arial" w:cs="Arial"/>
          <w:sz w:val="20"/>
          <w:szCs w:val="20"/>
        </w:rPr>
        <w:t xml:space="preserve"> w </w:t>
      </w:r>
      <w:r w:rsidRPr="004C6CC5">
        <w:rPr>
          <w:rFonts w:ascii="Arial" w:hAnsi="Arial" w:cs="Arial"/>
          <w:sz w:val="20"/>
          <w:szCs w:val="20"/>
        </w:rPr>
        <w:t>Europie hali produkcyjnej (6,5</w:t>
      </w:r>
      <w:r w:rsidR="00602EB0">
        <w:rPr>
          <w:rFonts w:ascii="Arial" w:hAnsi="Arial" w:cs="Arial"/>
          <w:sz w:val="20"/>
          <w:szCs w:val="20"/>
        </w:rPr>
        <w:t xml:space="preserve"> </w:t>
      </w:r>
      <w:r w:rsidRPr="004C6CC5">
        <w:rPr>
          <w:rFonts w:ascii="Arial" w:hAnsi="Arial" w:cs="Arial"/>
          <w:sz w:val="20"/>
          <w:szCs w:val="20"/>
        </w:rPr>
        <w:t>ha), nowoczesnych zautomatyzowanych linii spawalniczych</w:t>
      </w:r>
      <w:r w:rsidR="00BC2BE3">
        <w:rPr>
          <w:rFonts w:ascii="Arial" w:hAnsi="Arial" w:cs="Arial"/>
          <w:sz w:val="20"/>
          <w:szCs w:val="20"/>
        </w:rPr>
        <w:t xml:space="preserve"> oraz </w:t>
      </w:r>
      <w:r w:rsidRPr="004C6CC5">
        <w:rPr>
          <w:rFonts w:ascii="Arial" w:hAnsi="Arial" w:cs="Arial"/>
          <w:sz w:val="20"/>
          <w:szCs w:val="20"/>
        </w:rPr>
        <w:t>dużego obszaru produkcyjnego, umożliwiając firmie bycie integratorem prefabrykowanych elementów większych</w:t>
      </w:r>
      <w:r w:rsidR="00831625">
        <w:rPr>
          <w:rFonts w:ascii="Arial" w:hAnsi="Arial" w:cs="Arial"/>
          <w:sz w:val="20"/>
          <w:szCs w:val="20"/>
        </w:rPr>
        <w:t xml:space="preserve"> oraz </w:t>
      </w:r>
      <w:r w:rsidRPr="004C6CC5">
        <w:rPr>
          <w:rFonts w:ascii="Arial" w:hAnsi="Arial" w:cs="Arial"/>
          <w:sz w:val="20"/>
          <w:szCs w:val="20"/>
        </w:rPr>
        <w:t>bardziej skomplikowanych konstrukcji offshore</w:t>
      </w:r>
      <w:r w:rsidR="004C6CC5">
        <w:rPr>
          <w:rFonts w:ascii="Arial" w:hAnsi="Arial" w:cs="Arial"/>
          <w:sz w:val="20"/>
          <w:szCs w:val="20"/>
        </w:rPr>
        <w:t xml:space="preserve"> i </w:t>
      </w:r>
      <w:r w:rsidRPr="004C6CC5">
        <w:rPr>
          <w:rFonts w:ascii="Arial" w:hAnsi="Arial" w:cs="Arial"/>
          <w:sz w:val="20"/>
          <w:szCs w:val="20"/>
        </w:rPr>
        <w:t>infrastruktury morskiej (energetyka wiatrowa, oil&amp;gas). Ponadto Baltic Operator współpracuje</w:t>
      </w:r>
      <w:r w:rsidR="004C6CC5">
        <w:rPr>
          <w:rFonts w:ascii="Arial" w:hAnsi="Arial" w:cs="Arial"/>
          <w:sz w:val="20"/>
          <w:szCs w:val="20"/>
        </w:rPr>
        <w:t xml:space="preserve"> z </w:t>
      </w:r>
      <w:r w:rsidRPr="004C6CC5">
        <w:rPr>
          <w:rFonts w:ascii="Arial" w:hAnsi="Arial" w:cs="Arial"/>
          <w:sz w:val="20"/>
          <w:szCs w:val="20"/>
        </w:rPr>
        <w:t>największymi europejskimi stoczniami</w:t>
      </w:r>
      <w:r w:rsidR="004C6CC5">
        <w:rPr>
          <w:rFonts w:ascii="Arial" w:hAnsi="Arial" w:cs="Arial"/>
          <w:sz w:val="20"/>
          <w:szCs w:val="20"/>
        </w:rPr>
        <w:t xml:space="preserve"> w </w:t>
      </w:r>
      <w:r w:rsidRPr="004C6CC5">
        <w:rPr>
          <w:rFonts w:ascii="Arial" w:hAnsi="Arial" w:cs="Arial"/>
          <w:sz w:val="20"/>
          <w:szCs w:val="20"/>
        </w:rPr>
        <w:t>zakresie wykonywania bloków na promy pasażerskie.</w:t>
      </w:r>
      <w:r w:rsidR="00831625">
        <w:rPr>
          <w:rFonts w:ascii="Arial" w:hAnsi="Arial" w:cs="Arial"/>
          <w:sz w:val="20"/>
          <w:szCs w:val="20"/>
        </w:rPr>
        <w:t xml:space="preserve"> W</w:t>
      </w:r>
      <w:r w:rsidR="004C6CC5">
        <w:rPr>
          <w:rFonts w:ascii="Arial" w:hAnsi="Arial" w:cs="Arial"/>
          <w:sz w:val="20"/>
          <w:szCs w:val="20"/>
        </w:rPr>
        <w:t> </w:t>
      </w:r>
      <w:r w:rsidRPr="004C6CC5">
        <w:rPr>
          <w:rFonts w:ascii="Arial" w:hAnsi="Arial" w:cs="Arial"/>
          <w:sz w:val="20"/>
          <w:szCs w:val="20"/>
        </w:rPr>
        <w:t>tym zakresie celem jest bezkonkurencyjna jakość</w:t>
      </w:r>
      <w:r w:rsidR="004C6CC5">
        <w:rPr>
          <w:rFonts w:ascii="Arial" w:hAnsi="Arial" w:cs="Arial"/>
          <w:sz w:val="20"/>
          <w:szCs w:val="20"/>
        </w:rPr>
        <w:t xml:space="preserve"> i </w:t>
      </w:r>
      <w:r w:rsidRPr="004C6CC5">
        <w:rPr>
          <w:rFonts w:ascii="Arial" w:hAnsi="Arial" w:cs="Arial"/>
          <w:sz w:val="20"/>
          <w:szCs w:val="20"/>
        </w:rPr>
        <w:t>stała współpraca przy cienkościennych konstrukcjach. Baltic Operator rozwija również współpracę</w:t>
      </w:r>
      <w:r w:rsidR="004C6CC5">
        <w:rPr>
          <w:rFonts w:ascii="Arial" w:hAnsi="Arial" w:cs="Arial"/>
          <w:sz w:val="20"/>
          <w:szCs w:val="20"/>
        </w:rPr>
        <w:t xml:space="preserve"> </w:t>
      </w:r>
      <w:r w:rsidR="00831625">
        <w:rPr>
          <w:rFonts w:ascii="Arial" w:hAnsi="Arial" w:cs="Arial"/>
          <w:sz w:val="20"/>
          <w:szCs w:val="20"/>
        </w:rPr>
        <w:t>w obszarze</w:t>
      </w:r>
      <w:r w:rsidRPr="004C6CC5">
        <w:rPr>
          <w:rFonts w:ascii="Arial" w:hAnsi="Arial" w:cs="Arial"/>
          <w:sz w:val="20"/>
          <w:szCs w:val="20"/>
        </w:rPr>
        <w:t xml:space="preserve"> wykonywania częściowo wyposażonych kadłubów</w:t>
      </w:r>
      <w:r w:rsidR="004C6CC5">
        <w:rPr>
          <w:rFonts w:ascii="Arial" w:hAnsi="Arial" w:cs="Arial"/>
          <w:sz w:val="20"/>
          <w:szCs w:val="20"/>
        </w:rPr>
        <w:t xml:space="preserve"> i w </w:t>
      </w:r>
      <w:r w:rsidRPr="004C6CC5">
        <w:rPr>
          <w:rFonts w:ascii="Arial" w:hAnsi="Arial" w:cs="Arial"/>
          <w:sz w:val="20"/>
          <w:szCs w:val="20"/>
        </w:rPr>
        <w:t>pełni wyposażonych jednostek.</w:t>
      </w:r>
    </w:p>
    <w:p w14:paraId="39B3459E" w14:textId="65F14A87" w:rsidR="003656A3" w:rsidRPr="004C6CC5" w:rsidRDefault="005D2577" w:rsidP="008D2321">
      <w:pPr>
        <w:spacing w:after="120" w:line="276" w:lineRule="auto"/>
        <w:jc w:val="both"/>
        <w:rPr>
          <w:rFonts w:ascii="Arial" w:hAnsi="Arial" w:cs="Arial"/>
          <w:sz w:val="20"/>
          <w:szCs w:val="20"/>
        </w:rPr>
      </w:pPr>
      <w:r>
        <w:rPr>
          <w:rFonts w:ascii="Arial" w:hAnsi="Arial" w:cs="Arial"/>
          <w:sz w:val="20"/>
          <w:szCs w:val="20"/>
        </w:rPr>
        <w:t>W 2019 r.</w:t>
      </w:r>
      <w:r w:rsidR="003656A3" w:rsidRPr="004C6CC5">
        <w:rPr>
          <w:rFonts w:ascii="Arial" w:hAnsi="Arial" w:cs="Arial"/>
          <w:sz w:val="20"/>
          <w:szCs w:val="20"/>
        </w:rPr>
        <w:t xml:space="preserve"> Baltic Operator wykonał oraz zakontraktował ponad 40 projektów, dających łącznie ponad 35 000 ton konstrukcji stalowych. Wśród produktów są między innymi: sekcje</w:t>
      </w:r>
      <w:r w:rsidR="004C6CC5">
        <w:rPr>
          <w:rFonts w:ascii="Arial" w:hAnsi="Arial" w:cs="Arial"/>
          <w:sz w:val="20"/>
          <w:szCs w:val="20"/>
        </w:rPr>
        <w:t xml:space="preserve"> i </w:t>
      </w:r>
      <w:r w:rsidR="003656A3" w:rsidRPr="004C6CC5">
        <w:rPr>
          <w:rFonts w:ascii="Arial" w:hAnsi="Arial" w:cs="Arial"/>
          <w:sz w:val="20"/>
          <w:szCs w:val="20"/>
        </w:rPr>
        <w:t>bloki okrętowe dla stoczni fińskich, norweskich, duńskich</w:t>
      </w:r>
      <w:r w:rsidR="004C6CC5">
        <w:rPr>
          <w:rFonts w:ascii="Arial" w:hAnsi="Arial" w:cs="Arial"/>
          <w:sz w:val="20"/>
          <w:szCs w:val="20"/>
        </w:rPr>
        <w:t xml:space="preserve"> i </w:t>
      </w:r>
      <w:r w:rsidR="003656A3" w:rsidRPr="004C6CC5">
        <w:rPr>
          <w:rFonts w:ascii="Arial" w:hAnsi="Arial" w:cs="Arial"/>
          <w:sz w:val="20"/>
          <w:szCs w:val="20"/>
        </w:rPr>
        <w:t>francuskich, 125 sekcji wież wiatrowych oraz konstrukcje</w:t>
      </w:r>
      <w:r w:rsidR="004C6CC5">
        <w:rPr>
          <w:rFonts w:ascii="Arial" w:hAnsi="Arial" w:cs="Arial"/>
          <w:sz w:val="20"/>
          <w:szCs w:val="20"/>
        </w:rPr>
        <w:t xml:space="preserve"> z </w:t>
      </w:r>
      <w:r w:rsidR="003656A3" w:rsidRPr="004C6CC5">
        <w:rPr>
          <w:rFonts w:ascii="Arial" w:hAnsi="Arial" w:cs="Arial"/>
          <w:sz w:val="20"/>
          <w:szCs w:val="20"/>
        </w:rPr>
        <w:t>zakresu offshore</w:t>
      </w:r>
      <w:r w:rsidR="004C6CC5">
        <w:rPr>
          <w:rFonts w:ascii="Arial" w:hAnsi="Arial" w:cs="Arial"/>
          <w:sz w:val="20"/>
          <w:szCs w:val="20"/>
        </w:rPr>
        <w:t xml:space="preserve"> i </w:t>
      </w:r>
      <w:r w:rsidR="003656A3" w:rsidRPr="004C6CC5">
        <w:rPr>
          <w:rFonts w:ascii="Arial" w:hAnsi="Arial" w:cs="Arial"/>
          <w:sz w:val="20"/>
          <w:szCs w:val="20"/>
        </w:rPr>
        <w:t>infrastruktury dla firm skandynawskich.</w:t>
      </w:r>
      <w:r w:rsidR="00E37C3D">
        <w:rPr>
          <w:rFonts w:ascii="Arial" w:hAnsi="Arial" w:cs="Arial"/>
          <w:sz w:val="20"/>
          <w:szCs w:val="20"/>
        </w:rPr>
        <w:t xml:space="preserve"> W</w:t>
      </w:r>
      <w:r w:rsidR="004C6CC5">
        <w:rPr>
          <w:rFonts w:ascii="Arial" w:hAnsi="Arial" w:cs="Arial"/>
          <w:sz w:val="20"/>
          <w:szCs w:val="20"/>
        </w:rPr>
        <w:t> </w:t>
      </w:r>
      <w:r w:rsidR="003656A3" w:rsidRPr="004C6CC5">
        <w:rPr>
          <w:rFonts w:ascii="Arial" w:hAnsi="Arial" w:cs="Arial"/>
          <w:sz w:val="20"/>
          <w:szCs w:val="20"/>
        </w:rPr>
        <w:t>kolejnych latach Baltic Operator planuje dalszą współpracę</w:t>
      </w:r>
      <w:r w:rsidR="004C6CC5">
        <w:rPr>
          <w:rFonts w:ascii="Arial" w:hAnsi="Arial" w:cs="Arial"/>
          <w:sz w:val="20"/>
          <w:szCs w:val="20"/>
        </w:rPr>
        <w:t xml:space="preserve"> z </w:t>
      </w:r>
      <w:r w:rsidR="003656A3" w:rsidRPr="004C6CC5">
        <w:rPr>
          <w:rFonts w:ascii="Arial" w:hAnsi="Arial" w:cs="Arial"/>
          <w:sz w:val="20"/>
          <w:szCs w:val="20"/>
        </w:rPr>
        <w:t xml:space="preserve">obecnymi </w:t>
      </w:r>
      <w:r w:rsidR="00F36356">
        <w:rPr>
          <w:rFonts w:ascii="Arial" w:hAnsi="Arial" w:cs="Arial"/>
          <w:sz w:val="20"/>
          <w:szCs w:val="20"/>
        </w:rPr>
        <w:t>partnerami</w:t>
      </w:r>
      <w:r w:rsidR="003656A3" w:rsidRPr="004C6CC5">
        <w:rPr>
          <w:rFonts w:ascii="Arial" w:hAnsi="Arial" w:cs="Arial"/>
          <w:sz w:val="20"/>
          <w:szCs w:val="20"/>
        </w:rPr>
        <w:t xml:space="preserve"> oraz rozszerzenie zakresów produkcji</w:t>
      </w:r>
      <w:r w:rsidR="004C6CC5">
        <w:rPr>
          <w:rFonts w:ascii="Arial" w:hAnsi="Arial" w:cs="Arial"/>
          <w:sz w:val="20"/>
          <w:szCs w:val="20"/>
        </w:rPr>
        <w:t xml:space="preserve"> i </w:t>
      </w:r>
      <w:r w:rsidR="003656A3" w:rsidRPr="004C6CC5">
        <w:rPr>
          <w:rFonts w:ascii="Arial" w:hAnsi="Arial" w:cs="Arial"/>
          <w:sz w:val="20"/>
          <w:szCs w:val="20"/>
        </w:rPr>
        <w:t>rozpoczęcie projektów pilotażowych dla produktów, dla których firma nie posiada</w:t>
      </w:r>
      <w:r w:rsidR="004B4734">
        <w:rPr>
          <w:rFonts w:ascii="Arial" w:hAnsi="Arial" w:cs="Arial"/>
          <w:sz w:val="20"/>
          <w:szCs w:val="20"/>
        </w:rPr>
        <w:t>ła dotychczas</w:t>
      </w:r>
      <w:r w:rsidR="003656A3" w:rsidRPr="004C6CC5">
        <w:rPr>
          <w:rFonts w:ascii="Arial" w:hAnsi="Arial" w:cs="Arial"/>
          <w:sz w:val="20"/>
          <w:szCs w:val="20"/>
        </w:rPr>
        <w:t xml:space="preserve"> referencji.</w:t>
      </w:r>
    </w:p>
    <w:p w14:paraId="77C0E673" w14:textId="220CA63C" w:rsidR="00AD3814" w:rsidRPr="00E37C3D" w:rsidRDefault="00AD3814" w:rsidP="00E37C3D">
      <w:pPr>
        <w:pStyle w:val="Nagwek1"/>
        <w:spacing w:before="120" w:after="120"/>
        <w:rPr>
          <w:rFonts w:ascii="Arial" w:hAnsi="Arial" w:cs="Arial"/>
          <w:b/>
          <w:sz w:val="20"/>
          <w:szCs w:val="20"/>
        </w:rPr>
      </w:pPr>
      <w:bookmarkStart w:id="59" w:name="_Toc72745071"/>
      <w:r w:rsidRPr="00E37C3D">
        <w:rPr>
          <w:rFonts w:ascii="Arial" w:hAnsi="Arial" w:cs="Arial"/>
          <w:b/>
          <w:color w:val="auto"/>
          <w:sz w:val="20"/>
          <w:szCs w:val="20"/>
        </w:rPr>
        <w:t>PLANOWANIE PRZESTRZENNE NA MORZU</w:t>
      </w:r>
      <w:r w:rsidR="004C6CC5" w:rsidRPr="00E37C3D">
        <w:rPr>
          <w:rFonts w:ascii="Arial" w:hAnsi="Arial" w:cs="Arial"/>
          <w:b/>
          <w:color w:val="auto"/>
          <w:sz w:val="20"/>
          <w:szCs w:val="20"/>
        </w:rPr>
        <w:t xml:space="preserve"> i </w:t>
      </w:r>
      <w:r w:rsidRPr="00E37C3D">
        <w:rPr>
          <w:rFonts w:ascii="Arial" w:hAnsi="Arial" w:cs="Arial"/>
          <w:b/>
          <w:color w:val="auto"/>
          <w:sz w:val="20"/>
          <w:szCs w:val="20"/>
        </w:rPr>
        <w:t>LĄDZIE</w:t>
      </w:r>
      <w:r w:rsidR="009820CC">
        <w:rPr>
          <w:rFonts w:ascii="Arial" w:hAnsi="Arial" w:cs="Arial"/>
          <w:b/>
          <w:color w:val="auto"/>
          <w:sz w:val="20"/>
          <w:szCs w:val="20"/>
        </w:rPr>
        <w:t>.</w:t>
      </w:r>
      <w:bookmarkEnd w:id="59"/>
    </w:p>
    <w:p w14:paraId="78666B6B" w14:textId="6A52D4FD" w:rsidR="00AD3814" w:rsidRPr="00E37C3D" w:rsidRDefault="00AD3814" w:rsidP="00896A82">
      <w:pPr>
        <w:pStyle w:val="Nagwek2"/>
        <w:spacing w:before="120" w:after="120"/>
        <w:jc w:val="both"/>
        <w:rPr>
          <w:rFonts w:ascii="Arial" w:hAnsi="Arial" w:cs="Arial"/>
          <w:b/>
          <w:sz w:val="20"/>
          <w:szCs w:val="20"/>
        </w:rPr>
      </w:pPr>
      <w:bookmarkStart w:id="60" w:name="_Toc72745072"/>
      <w:r w:rsidRPr="00E37C3D">
        <w:rPr>
          <w:rFonts w:ascii="Arial" w:hAnsi="Arial" w:cs="Arial"/>
          <w:b/>
          <w:color w:val="auto"/>
          <w:sz w:val="20"/>
          <w:szCs w:val="20"/>
        </w:rPr>
        <w:t>Prace</w:t>
      </w:r>
      <w:r w:rsidR="004C6CC5" w:rsidRPr="00E37C3D">
        <w:rPr>
          <w:rFonts w:ascii="Arial" w:hAnsi="Arial" w:cs="Arial"/>
          <w:b/>
          <w:color w:val="auto"/>
          <w:sz w:val="20"/>
          <w:szCs w:val="20"/>
        </w:rPr>
        <w:t xml:space="preserve"> w </w:t>
      </w:r>
      <w:r w:rsidRPr="00E37C3D">
        <w:rPr>
          <w:rFonts w:ascii="Arial" w:hAnsi="Arial" w:cs="Arial"/>
          <w:b/>
          <w:color w:val="auto"/>
          <w:sz w:val="20"/>
          <w:szCs w:val="20"/>
        </w:rPr>
        <w:t>zakresie opracowania planów zagospodarowania przestrzennego polskich obszarów morskich</w:t>
      </w:r>
      <w:r w:rsidR="00134108" w:rsidRPr="00E37C3D">
        <w:rPr>
          <w:rFonts w:ascii="Arial" w:hAnsi="Arial" w:cs="Arial"/>
          <w:b/>
          <w:color w:val="auto"/>
          <w:sz w:val="20"/>
          <w:szCs w:val="20"/>
        </w:rPr>
        <w:t>.</w:t>
      </w:r>
      <w:bookmarkEnd w:id="60"/>
    </w:p>
    <w:p w14:paraId="65B57EDA" w14:textId="23995405" w:rsidR="00A05A12" w:rsidRPr="004C6CC5" w:rsidRDefault="00A05A12" w:rsidP="003C6ECA">
      <w:pPr>
        <w:widowControl w:val="0"/>
        <w:numPr>
          <w:ilvl w:val="0"/>
          <w:numId w:val="15"/>
        </w:numPr>
        <w:suppressAutoHyphens/>
        <w:spacing w:before="120" w:after="120" w:line="276" w:lineRule="auto"/>
        <w:jc w:val="both"/>
        <w:rPr>
          <w:rFonts w:ascii="Arial" w:hAnsi="Arial" w:cs="Arial"/>
          <w:sz w:val="20"/>
          <w:szCs w:val="20"/>
        </w:rPr>
      </w:pPr>
      <w:r w:rsidRPr="004C6CC5">
        <w:rPr>
          <w:rFonts w:ascii="Arial" w:hAnsi="Arial" w:cs="Arial"/>
          <w:b/>
          <w:bCs/>
          <w:sz w:val="20"/>
          <w:szCs w:val="20"/>
        </w:rPr>
        <w:t>Projekt planu zagospodarowania przestrzennego polskich obszarów morskich</w:t>
      </w:r>
      <w:r w:rsidR="004C6CC5">
        <w:rPr>
          <w:rFonts w:ascii="Arial" w:hAnsi="Arial" w:cs="Arial"/>
          <w:b/>
          <w:bCs/>
          <w:sz w:val="20"/>
          <w:szCs w:val="20"/>
        </w:rPr>
        <w:t xml:space="preserve"> w </w:t>
      </w:r>
      <w:r w:rsidRPr="004C6CC5">
        <w:rPr>
          <w:rFonts w:ascii="Arial" w:hAnsi="Arial" w:cs="Arial"/>
          <w:b/>
          <w:bCs/>
          <w:sz w:val="20"/>
          <w:szCs w:val="20"/>
        </w:rPr>
        <w:t>skali</w:t>
      </w:r>
      <w:r w:rsidR="00B66FCE" w:rsidRPr="004C6CC5">
        <w:rPr>
          <w:rFonts w:ascii="Arial" w:hAnsi="Arial" w:cs="Arial"/>
          <w:b/>
          <w:bCs/>
          <w:sz w:val="20"/>
          <w:szCs w:val="20"/>
        </w:rPr>
        <w:t xml:space="preserve"> </w:t>
      </w:r>
      <w:r w:rsidR="00C76FDA">
        <w:rPr>
          <w:rFonts w:ascii="Arial" w:hAnsi="Arial" w:cs="Arial"/>
          <w:b/>
          <w:bCs/>
          <w:sz w:val="20"/>
          <w:szCs w:val="20"/>
        </w:rPr>
        <w:br/>
      </w:r>
      <w:r w:rsidR="00B66FCE" w:rsidRPr="004C6CC5">
        <w:rPr>
          <w:rFonts w:ascii="Arial" w:hAnsi="Arial" w:cs="Arial"/>
          <w:b/>
          <w:bCs/>
          <w:sz w:val="20"/>
          <w:szCs w:val="20"/>
        </w:rPr>
        <w:t>1 </w:t>
      </w:r>
      <w:r w:rsidRPr="004C6CC5">
        <w:rPr>
          <w:rFonts w:ascii="Arial" w:hAnsi="Arial" w:cs="Arial"/>
          <w:b/>
          <w:bCs/>
          <w:sz w:val="20"/>
          <w:szCs w:val="20"/>
        </w:rPr>
        <w:t>:</w:t>
      </w:r>
      <w:r w:rsidR="00C76FDA">
        <w:rPr>
          <w:rFonts w:ascii="Arial" w:hAnsi="Arial" w:cs="Arial"/>
          <w:b/>
          <w:bCs/>
          <w:sz w:val="20"/>
          <w:szCs w:val="20"/>
        </w:rPr>
        <w:t xml:space="preserve"> </w:t>
      </w:r>
      <w:r w:rsidRPr="004C6CC5">
        <w:rPr>
          <w:rFonts w:ascii="Arial" w:hAnsi="Arial" w:cs="Arial"/>
          <w:b/>
          <w:bCs/>
          <w:sz w:val="20"/>
          <w:szCs w:val="20"/>
        </w:rPr>
        <w:t>200000.</w:t>
      </w:r>
    </w:p>
    <w:p w14:paraId="181D2CB0" w14:textId="7F346421" w:rsidR="00D405DA" w:rsidRPr="00D405DA" w:rsidRDefault="00357B97" w:rsidP="0083751B">
      <w:pPr>
        <w:spacing w:before="120" w:after="120" w:line="276" w:lineRule="auto"/>
        <w:jc w:val="both"/>
        <w:rPr>
          <w:rFonts w:ascii="Arial" w:hAnsi="Arial" w:cs="Arial"/>
          <w:color w:val="FF0000"/>
          <w:sz w:val="20"/>
          <w:szCs w:val="20"/>
        </w:rPr>
      </w:pPr>
      <w:r>
        <w:rPr>
          <w:rFonts w:ascii="Arial" w:hAnsi="Arial" w:cs="Arial"/>
          <w:sz w:val="20"/>
          <w:szCs w:val="20"/>
        </w:rPr>
        <w:t>W dniu 2 stycznia 2019 r.</w:t>
      </w:r>
      <w:r w:rsidR="00A05A12" w:rsidRPr="004C6CC5">
        <w:rPr>
          <w:rFonts w:ascii="Arial" w:hAnsi="Arial" w:cs="Arial"/>
          <w:sz w:val="20"/>
          <w:szCs w:val="20"/>
        </w:rPr>
        <w:t xml:space="preserve"> Dyrektor Urzędu Morskiego</w:t>
      </w:r>
      <w:r w:rsidR="004C6CC5">
        <w:rPr>
          <w:rFonts w:ascii="Arial" w:hAnsi="Arial" w:cs="Arial"/>
          <w:sz w:val="20"/>
          <w:szCs w:val="20"/>
        </w:rPr>
        <w:t xml:space="preserve"> w </w:t>
      </w:r>
      <w:r w:rsidR="00A05A12" w:rsidRPr="004C6CC5">
        <w:rPr>
          <w:rFonts w:ascii="Arial" w:hAnsi="Arial" w:cs="Arial"/>
          <w:sz w:val="20"/>
          <w:szCs w:val="20"/>
        </w:rPr>
        <w:t>Gdyni działając</w:t>
      </w:r>
      <w:r w:rsidR="004C6CC5">
        <w:rPr>
          <w:rFonts w:ascii="Arial" w:hAnsi="Arial" w:cs="Arial"/>
          <w:sz w:val="20"/>
          <w:szCs w:val="20"/>
        </w:rPr>
        <w:t xml:space="preserve"> w </w:t>
      </w:r>
      <w:r w:rsidR="00A05A12" w:rsidRPr="004C6CC5">
        <w:rPr>
          <w:rFonts w:ascii="Arial" w:hAnsi="Arial" w:cs="Arial"/>
          <w:sz w:val="20"/>
          <w:szCs w:val="20"/>
        </w:rPr>
        <w:t>imieniu Dyrektorów Urzędów Morskich</w:t>
      </w:r>
      <w:r w:rsidR="004C6CC5">
        <w:rPr>
          <w:rFonts w:ascii="Arial" w:hAnsi="Arial" w:cs="Arial"/>
          <w:sz w:val="20"/>
          <w:szCs w:val="20"/>
        </w:rPr>
        <w:t xml:space="preserve"> w </w:t>
      </w:r>
      <w:r w:rsidR="00A05A12" w:rsidRPr="004C6CC5">
        <w:rPr>
          <w:rFonts w:ascii="Arial" w:hAnsi="Arial" w:cs="Arial"/>
          <w:sz w:val="20"/>
          <w:szCs w:val="20"/>
        </w:rPr>
        <w:t>Słupsku</w:t>
      </w:r>
      <w:r w:rsidR="004C6CC5">
        <w:rPr>
          <w:rFonts w:ascii="Arial" w:hAnsi="Arial" w:cs="Arial"/>
          <w:sz w:val="20"/>
          <w:szCs w:val="20"/>
        </w:rPr>
        <w:t xml:space="preserve"> i </w:t>
      </w:r>
      <w:r w:rsidR="00A05A12" w:rsidRPr="004C6CC5">
        <w:rPr>
          <w:rFonts w:ascii="Arial" w:hAnsi="Arial" w:cs="Arial"/>
          <w:sz w:val="20"/>
          <w:szCs w:val="20"/>
        </w:rPr>
        <w:t>Szczecinie poinformował o zakończeniu kolejnego etapu prac nad projektem planu zagospodarowania przestrzennego morskich wód wewnętrznych, morza terytorialnego</w:t>
      </w:r>
      <w:r w:rsidR="004C6CC5">
        <w:rPr>
          <w:rFonts w:ascii="Arial" w:hAnsi="Arial" w:cs="Arial"/>
          <w:sz w:val="20"/>
          <w:szCs w:val="20"/>
        </w:rPr>
        <w:t xml:space="preserve"> i </w:t>
      </w:r>
      <w:r w:rsidR="00A05A12" w:rsidRPr="004C6CC5">
        <w:rPr>
          <w:rFonts w:ascii="Arial" w:hAnsi="Arial" w:cs="Arial"/>
          <w:sz w:val="20"/>
          <w:szCs w:val="20"/>
        </w:rPr>
        <w:t>wyłącznej strefy ekonomicznej</w:t>
      </w:r>
      <w:r w:rsidR="004C6CC5">
        <w:rPr>
          <w:rFonts w:ascii="Arial" w:hAnsi="Arial" w:cs="Arial"/>
          <w:sz w:val="20"/>
          <w:szCs w:val="20"/>
        </w:rPr>
        <w:t xml:space="preserve"> w </w:t>
      </w:r>
      <w:r w:rsidR="00A05A12" w:rsidRPr="004C6CC5">
        <w:rPr>
          <w:rFonts w:ascii="Arial" w:hAnsi="Arial" w:cs="Arial"/>
          <w:sz w:val="20"/>
          <w:szCs w:val="20"/>
        </w:rPr>
        <w:t>skali 1:200 000</w:t>
      </w:r>
      <w:r w:rsidR="004C6CC5">
        <w:rPr>
          <w:rFonts w:ascii="Arial" w:hAnsi="Arial" w:cs="Arial"/>
          <w:sz w:val="20"/>
          <w:szCs w:val="20"/>
        </w:rPr>
        <w:t xml:space="preserve"> w </w:t>
      </w:r>
      <w:r w:rsidR="00A05A12" w:rsidRPr="004C6CC5">
        <w:rPr>
          <w:rFonts w:ascii="Arial" w:hAnsi="Arial" w:cs="Arial"/>
          <w:sz w:val="20"/>
          <w:szCs w:val="20"/>
        </w:rPr>
        <w:t>wersji v2, wraz</w:t>
      </w:r>
      <w:r w:rsidR="004C6CC5">
        <w:rPr>
          <w:rFonts w:ascii="Arial" w:hAnsi="Arial" w:cs="Arial"/>
          <w:sz w:val="20"/>
          <w:szCs w:val="20"/>
        </w:rPr>
        <w:t xml:space="preserve"> z </w:t>
      </w:r>
      <w:r w:rsidR="00A05A12" w:rsidRPr="004C6CC5">
        <w:rPr>
          <w:rFonts w:ascii="Arial" w:hAnsi="Arial" w:cs="Arial"/>
          <w:sz w:val="20"/>
          <w:szCs w:val="20"/>
        </w:rPr>
        <w:t>oceną oddziaływania na środowisko, które zostały opracowane</w:t>
      </w:r>
      <w:r w:rsidR="004C6CC5">
        <w:rPr>
          <w:rFonts w:ascii="Arial" w:hAnsi="Arial" w:cs="Arial"/>
          <w:sz w:val="20"/>
          <w:szCs w:val="20"/>
        </w:rPr>
        <w:t xml:space="preserve"> w </w:t>
      </w:r>
      <w:r w:rsidR="00F37ADE">
        <w:rPr>
          <w:rFonts w:ascii="Arial" w:hAnsi="Arial" w:cs="Arial"/>
          <w:sz w:val="20"/>
          <w:szCs w:val="20"/>
        </w:rPr>
        <w:t>grudniu 2018 r</w:t>
      </w:r>
      <w:r w:rsidR="00A05A12" w:rsidRPr="004C6CC5">
        <w:rPr>
          <w:rFonts w:ascii="Arial" w:hAnsi="Arial" w:cs="Arial"/>
          <w:sz w:val="20"/>
          <w:szCs w:val="20"/>
        </w:rPr>
        <w:t>.</w:t>
      </w:r>
      <w:r w:rsidR="004C6CC5">
        <w:rPr>
          <w:rFonts w:ascii="Arial" w:hAnsi="Arial" w:cs="Arial"/>
          <w:sz w:val="20"/>
          <w:szCs w:val="20"/>
        </w:rPr>
        <w:t xml:space="preserve"> </w:t>
      </w:r>
    </w:p>
    <w:p w14:paraId="18E1152E" w14:textId="0CDAA659" w:rsidR="00A05A12" w:rsidRPr="00325CC7" w:rsidRDefault="00D21148" w:rsidP="008D2321">
      <w:pPr>
        <w:spacing w:line="276" w:lineRule="auto"/>
        <w:jc w:val="both"/>
        <w:rPr>
          <w:rFonts w:ascii="Arial" w:hAnsi="Arial" w:cs="Arial"/>
          <w:sz w:val="20"/>
          <w:szCs w:val="20"/>
        </w:rPr>
      </w:pPr>
      <w:r>
        <w:rPr>
          <w:rFonts w:ascii="Arial" w:hAnsi="Arial" w:cs="Arial"/>
          <w:sz w:val="20"/>
          <w:szCs w:val="20"/>
        </w:rPr>
        <w:t>W</w:t>
      </w:r>
      <w:r w:rsidR="004C6CC5">
        <w:rPr>
          <w:rFonts w:ascii="Arial" w:hAnsi="Arial" w:cs="Arial"/>
          <w:sz w:val="20"/>
          <w:szCs w:val="20"/>
        </w:rPr>
        <w:t> </w:t>
      </w:r>
      <w:r w:rsidR="00A05A12" w:rsidRPr="004C6CC5">
        <w:rPr>
          <w:rFonts w:ascii="Arial" w:hAnsi="Arial" w:cs="Arial"/>
          <w:sz w:val="20"/>
          <w:szCs w:val="20"/>
        </w:rPr>
        <w:t>okresie stycznia</w:t>
      </w:r>
      <w:r w:rsidR="004C6CC5">
        <w:rPr>
          <w:rFonts w:ascii="Arial" w:hAnsi="Arial" w:cs="Arial"/>
          <w:sz w:val="20"/>
          <w:szCs w:val="20"/>
        </w:rPr>
        <w:t xml:space="preserve"> i </w:t>
      </w:r>
      <w:r w:rsidR="00325CC7">
        <w:rPr>
          <w:rFonts w:ascii="Arial" w:hAnsi="Arial" w:cs="Arial"/>
          <w:sz w:val="20"/>
          <w:szCs w:val="20"/>
        </w:rPr>
        <w:t>lutego 2019 r.</w:t>
      </w:r>
      <w:r w:rsidR="00A05A12" w:rsidRPr="004C6CC5">
        <w:rPr>
          <w:rFonts w:ascii="Arial" w:hAnsi="Arial" w:cs="Arial"/>
          <w:sz w:val="20"/>
          <w:szCs w:val="20"/>
        </w:rPr>
        <w:t xml:space="preserve"> trwały uzgodnienia</w:t>
      </w:r>
      <w:r w:rsidR="004C6CC5">
        <w:rPr>
          <w:rFonts w:ascii="Arial" w:hAnsi="Arial" w:cs="Arial"/>
          <w:sz w:val="20"/>
          <w:szCs w:val="20"/>
        </w:rPr>
        <w:t xml:space="preserve"> z </w:t>
      </w:r>
      <w:r w:rsidR="00A05A12" w:rsidRPr="004C6CC5">
        <w:rPr>
          <w:rFonts w:ascii="Arial" w:hAnsi="Arial" w:cs="Arial"/>
          <w:sz w:val="20"/>
          <w:szCs w:val="20"/>
        </w:rPr>
        <w:t>właściwymi organami projektu planu, zgodnie</w:t>
      </w:r>
      <w:r w:rsidR="004C6CC5">
        <w:rPr>
          <w:rFonts w:ascii="Arial" w:hAnsi="Arial" w:cs="Arial"/>
          <w:sz w:val="20"/>
          <w:szCs w:val="20"/>
        </w:rPr>
        <w:t xml:space="preserve"> z </w:t>
      </w:r>
      <w:r w:rsidR="00A05A12" w:rsidRPr="004C6CC5">
        <w:rPr>
          <w:rFonts w:ascii="Arial" w:hAnsi="Arial" w:cs="Arial"/>
          <w:sz w:val="20"/>
          <w:szCs w:val="20"/>
        </w:rPr>
        <w:t>procedurą określoną</w:t>
      </w:r>
      <w:r w:rsidR="004C6CC5">
        <w:rPr>
          <w:rFonts w:ascii="Arial" w:hAnsi="Arial" w:cs="Arial"/>
          <w:sz w:val="20"/>
          <w:szCs w:val="20"/>
        </w:rPr>
        <w:t xml:space="preserve"> w </w:t>
      </w:r>
      <w:r w:rsidR="00A05A12" w:rsidRPr="004C6CC5">
        <w:rPr>
          <w:rFonts w:ascii="Arial" w:hAnsi="Arial" w:cs="Arial"/>
          <w:sz w:val="20"/>
          <w:szCs w:val="20"/>
        </w:rPr>
        <w:t>artykule 37e ust.</w:t>
      </w:r>
      <w:r w:rsidR="00B66FCE" w:rsidRPr="004C6CC5">
        <w:rPr>
          <w:rFonts w:ascii="Arial" w:hAnsi="Arial" w:cs="Arial"/>
          <w:sz w:val="20"/>
          <w:szCs w:val="20"/>
        </w:rPr>
        <w:t xml:space="preserve"> 1 </w:t>
      </w:r>
      <w:r w:rsidR="00A05A12" w:rsidRPr="004C6CC5">
        <w:rPr>
          <w:rFonts w:ascii="Arial" w:hAnsi="Arial" w:cs="Arial"/>
          <w:sz w:val="20"/>
          <w:szCs w:val="20"/>
        </w:rPr>
        <w:t>pkt. 8 ustawy</w:t>
      </w:r>
      <w:r w:rsidR="004C6CC5">
        <w:rPr>
          <w:rFonts w:ascii="Arial" w:hAnsi="Arial" w:cs="Arial"/>
          <w:sz w:val="20"/>
          <w:szCs w:val="20"/>
        </w:rPr>
        <w:t xml:space="preserve"> z </w:t>
      </w:r>
      <w:r w:rsidR="00A05A12" w:rsidRPr="004C6CC5">
        <w:rPr>
          <w:rFonts w:ascii="Arial" w:hAnsi="Arial" w:cs="Arial"/>
          <w:sz w:val="20"/>
          <w:szCs w:val="20"/>
        </w:rPr>
        <w:t>dnia 21 marca 1991</w:t>
      </w:r>
      <w:r w:rsidR="009D01B9" w:rsidRPr="004C6CC5">
        <w:rPr>
          <w:rFonts w:ascii="Arial" w:hAnsi="Arial" w:cs="Arial"/>
          <w:sz w:val="20"/>
          <w:szCs w:val="20"/>
        </w:rPr>
        <w:t xml:space="preserve"> r. </w:t>
      </w:r>
      <w:r w:rsidR="00A05A12" w:rsidRPr="00325CC7">
        <w:rPr>
          <w:rFonts w:ascii="Arial" w:hAnsi="Arial" w:cs="Arial"/>
          <w:iCs/>
          <w:sz w:val="20"/>
          <w:szCs w:val="20"/>
        </w:rPr>
        <w:t>o obszarach morskich Rzeczypospolitej Polski</w:t>
      </w:r>
      <w:r w:rsidR="004C6CC5" w:rsidRPr="00325CC7">
        <w:rPr>
          <w:rFonts w:ascii="Arial" w:hAnsi="Arial" w:cs="Arial"/>
          <w:iCs/>
          <w:sz w:val="20"/>
          <w:szCs w:val="20"/>
        </w:rPr>
        <w:t xml:space="preserve"> i </w:t>
      </w:r>
      <w:r w:rsidR="00A05A12" w:rsidRPr="00325CC7">
        <w:rPr>
          <w:rFonts w:ascii="Arial" w:hAnsi="Arial" w:cs="Arial"/>
          <w:iCs/>
          <w:sz w:val="20"/>
          <w:szCs w:val="20"/>
        </w:rPr>
        <w:t>administracji morskiej</w:t>
      </w:r>
      <w:r w:rsidR="00A05A12" w:rsidRPr="00325CC7">
        <w:rPr>
          <w:rFonts w:ascii="Arial" w:hAnsi="Arial" w:cs="Arial"/>
          <w:sz w:val="20"/>
          <w:szCs w:val="20"/>
        </w:rPr>
        <w:t>.</w:t>
      </w:r>
    </w:p>
    <w:p w14:paraId="0DF6384A" w14:textId="0542FEAA" w:rsidR="00A05A12" w:rsidRPr="004C6CC5" w:rsidRDefault="00A05A12" w:rsidP="008D2321">
      <w:pPr>
        <w:spacing w:line="276" w:lineRule="auto"/>
        <w:jc w:val="both"/>
        <w:rPr>
          <w:rFonts w:ascii="Arial" w:hAnsi="Arial" w:cs="Arial"/>
          <w:sz w:val="20"/>
          <w:szCs w:val="20"/>
        </w:rPr>
      </w:pPr>
      <w:r w:rsidRPr="004C6CC5">
        <w:rPr>
          <w:rFonts w:ascii="Arial" w:hAnsi="Arial" w:cs="Arial"/>
          <w:sz w:val="20"/>
          <w:szCs w:val="20"/>
        </w:rPr>
        <w:t>W dniach 4</w:t>
      </w:r>
      <w:r w:rsidR="004C6CC5">
        <w:rPr>
          <w:rFonts w:ascii="Arial" w:hAnsi="Arial" w:cs="Arial"/>
          <w:sz w:val="20"/>
          <w:szCs w:val="20"/>
        </w:rPr>
        <w:t xml:space="preserve"> i </w:t>
      </w:r>
      <w:r w:rsidRPr="004C6CC5">
        <w:rPr>
          <w:rFonts w:ascii="Arial" w:hAnsi="Arial" w:cs="Arial"/>
          <w:sz w:val="20"/>
          <w:szCs w:val="20"/>
        </w:rPr>
        <w:t xml:space="preserve">5 czerwca 2019 </w:t>
      </w:r>
      <w:r w:rsidR="00BD6F9E">
        <w:rPr>
          <w:rFonts w:ascii="Arial" w:hAnsi="Arial" w:cs="Arial"/>
          <w:sz w:val="20"/>
          <w:szCs w:val="20"/>
        </w:rPr>
        <w:t xml:space="preserve">r. </w:t>
      </w:r>
      <w:r w:rsidRPr="004C6CC5">
        <w:rPr>
          <w:rFonts w:ascii="Arial" w:hAnsi="Arial" w:cs="Arial"/>
          <w:sz w:val="20"/>
          <w:szCs w:val="20"/>
        </w:rPr>
        <w:t>odbyło się trzecie międzynarodowe spotkanie konsultacyjne. Spotkanie miało miejsce</w:t>
      </w:r>
      <w:r w:rsidR="004C6CC5">
        <w:rPr>
          <w:rFonts w:ascii="Arial" w:hAnsi="Arial" w:cs="Arial"/>
          <w:sz w:val="20"/>
          <w:szCs w:val="20"/>
        </w:rPr>
        <w:t xml:space="preserve"> w </w:t>
      </w:r>
      <w:r w:rsidRPr="004C6CC5">
        <w:rPr>
          <w:rFonts w:ascii="Arial" w:hAnsi="Arial" w:cs="Arial"/>
          <w:sz w:val="20"/>
          <w:szCs w:val="20"/>
        </w:rPr>
        <w:t>Warszawie</w:t>
      </w:r>
      <w:r w:rsidR="004C6CC5">
        <w:rPr>
          <w:rFonts w:ascii="Arial" w:hAnsi="Arial" w:cs="Arial"/>
          <w:sz w:val="20"/>
          <w:szCs w:val="20"/>
        </w:rPr>
        <w:t xml:space="preserve"> i </w:t>
      </w:r>
      <w:r w:rsidRPr="004C6CC5">
        <w:rPr>
          <w:rFonts w:ascii="Arial" w:hAnsi="Arial" w:cs="Arial"/>
          <w:sz w:val="20"/>
          <w:szCs w:val="20"/>
        </w:rPr>
        <w:t xml:space="preserve">byli na nim obecni przedstawiciele </w:t>
      </w:r>
      <w:r w:rsidR="00BD6F9E">
        <w:rPr>
          <w:rFonts w:ascii="Arial" w:hAnsi="Arial" w:cs="Arial"/>
          <w:sz w:val="20"/>
          <w:szCs w:val="20"/>
        </w:rPr>
        <w:t xml:space="preserve">wszystkich krajów bałtyckich, </w:t>
      </w:r>
      <w:r w:rsidR="004A6E37">
        <w:rPr>
          <w:rFonts w:ascii="Arial" w:hAnsi="Arial" w:cs="Arial"/>
          <w:sz w:val="20"/>
          <w:szCs w:val="20"/>
        </w:rPr>
        <w:br/>
      </w:r>
      <w:r w:rsidR="00BD6F9E">
        <w:rPr>
          <w:rFonts w:ascii="Arial" w:hAnsi="Arial" w:cs="Arial"/>
          <w:sz w:val="20"/>
          <w:szCs w:val="20"/>
        </w:rPr>
        <w:t>z</w:t>
      </w:r>
      <w:r w:rsidRPr="004C6CC5">
        <w:rPr>
          <w:rFonts w:ascii="Arial" w:hAnsi="Arial" w:cs="Arial"/>
          <w:sz w:val="20"/>
          <w:szCs w:val="20"/>
        </w:rPr>
        <w:t xml:space="preserve"> wyjątkiem Estonii. </w:t>
      </w:r>
    </w:p>
    <w:p w14:paraId="03E2ECE1" w14:textId="3FA4DA46" w:rsidR="00A05A12" w:rsidRPr="004C6CC5" w:rsidRDefault="00BD6F9E" w:rsidP="008D2321">
      <w:pPr>
        <w:spacing w:line="276" w:lineRule="auto"/>
        <w:jc w:val="both"/>
        <w:rPr>
          <w:rFonts w:ascii="Arial" w:hAnsi="Arial" w:cs="Arial"/>
          <w:sz w:val="20"/>
          <w:szCs w:val="20"/>
        </w:rPr>
      </w:pPr>
      <w:r>
        <w:rPr>
          <w:rFonts w:ascii="Arial" w:hAnsi="Arial" w:cs="Arial"/>
          <w:sz w:val="20"/>
          <w:szCs w:val="20"/>
        </w:rPr>
        <w:t>W dniu</w:t>
      </w:r>
      <w:r w:rsidR="00A05A12" w:rsidRPr="004C6CC5">
        <w:rPr>
          <w:rFonts w:ascii="Arial" w:hAnsi="Arial" w:cs="Arial"/>
          <w:sz w:val="20"/>
          <w:szCs w:val="20"/>
        </w:rPr>
        <w:t xml:space="preserve"> 6 czerwca</w:t>
      </w:r>
      <w:r w:rsidR="004C6CC5">
        <w:rPr>
          <w:rFonts w:ascii="Arial" w:hAnsi="Arial" w:cs="Arial"/>
          <w:sz w:val="20"/>
          <w:szCs w:val="20"/>
        </w:rPr>
        <w:t xml:space="preserve"> </w:t>
      </w:r>
      <w:r>
        <w:rPr>
          <w:rFonts w:ascii="Arial" w:hAnsi="Arial" w:cs="Arial"/>
          <w:sz w:val="20"/>
          <w:szCs w:val="20"/>
        </w:rPr>
        <w:t xml:space="preserve">2019 r. </w:t>
      </w:r>
      <w:r w:rsidR="004C6CC5">
        <w:rPr>
          <w:rFonts w:ascii="Arial" w:hAnsi="Arial" w:cs="Arial"/>
          <w:sz w:val="20"/>
          <w:szCs w:val="20"/>
        </w:rPr>
        <w:t>w </w:t>
      </w:r>
      <w:r w:rsidR="00A05A12" w:rsidRPr="004C6CC5">
        <w:rPr>
          <w:rFonts w:ascii="Arial" w:hAnsi="Arial" w:cs="Arial"/>
          <w:sz w:val="20"/>
          <w:szCs w:val="20"/>
        </w:rPr>
        <w:t>Warszawie doszło do czwartego krajowego spotkania konsultacyjnego – konferencji końcowej</w:t>
      </w:r>
      <w:r>
        <w:rPr>
          <w:rFonts w:ascii="Arial" w:hAnsi="Arial" w:cs="Arial"/>
          <w:sz w:val="20"/>
          <w:szCs w:val="20"/>
        </w:rPr>
        <w:t>,</w:t>
      </w:r>
      <w:r w:rsidR="004C6CC5">
        <w:rPr>
          <w:rFonts w:ascii="Arial" w:hAnsi="Arial" w:cs="Arial"/>
          <w:sz w:val="20"/>
          <w:szCs w:val="20"/>
        </w:rPr>
        <w:t xml:space="preserve"> w </w:t>
      </w:r>
      <w:r w:rsidR="00A05A12" w:rsidRPr="004C6CC5">
        <w:rPr>
          <w:rFonts w:ascii="Arial" w:hAnsi="Arial" w:cs="Arial"/>
          <w:sz w:val="20"/>
          <w:szCs w:val="20"/>
        </w:rPr>
        <w:t>której udział brało ponad 200 uczestników, zarówno przedstawicieli organów rządowych, samorządowych, organizacji pozarządowych, jak</w:t>
      </w:r>
      <w:r w:rsidR="004C6CC5">
        <w:rPr>
          <w:rFonts w:ascii="Arial" w:hAnsi="Arial" w:cs="Arial"/>
          <w:sz w:val="20"/>
          <w:szCs w:val="20"/>
        </w:rPr>
        <w:t xml:space="preserve"> i </w:t>
      </w:r>
      <w:r w:rsidR="00A05A12" w:rsidRPr="004C6CC5">
        <w:rPr>
          <w:rFonts w:ascii="Arial" w:hAnsi="Arial" w:cs="Arial"/>
          <w:sz w:val="20"/>
          <w:szCs w:val="20"/>
        </w:rPr>
        <w:t>prywatnych inwestorów. Konferencja miała charakter podsumowania całego trzyletniego procesu planistycznego</w:t>
      </w:r>
      <w:r w:rsidR="004C6CC5">
        <w:rPr>
          <w:rFonts w:ascii="Arial" w:hAnsi="Arial" w:cs="Arial"/>
          <w:sz w:val="20"/>
          <w:szCs w:val="20"/>
        </w:rPr>
        <w:t xml:space="preserve"> i </w:t>
      </w:r>
      <w:r w:rsidR="00A05A12" w:rsidRPr="004C6CC5">
        <w:rPr>
          <w:rFonts w:ascii="Arial" w:hAnsi="Arial" w:cs="Arial"/>
          <w:sz w:val="20"/>
          <w:szCs w:val="20"/>
        </w:rPr>
        <w:t>pracy związanej</w:t>
      </w:r>
      <w:r w:rsidR="004C6CC5">
        <w:rPr>
          <w:rFonts w:ascii="Arial" w:hAnsi="Arial" w:cs="Arial"/>
          <w:sz w:val="20"/>
          <w:szCs w:val="20"/>
        </w:rPr>
        <w:t xml:space="preserve"> z </w:t>
      </w:r>
      <w:r w:rsidR="007E76A0">
        <w:rPr>
          <w:rFonts w:ascii="Arial" w:hAnsi="Arial" w:cs="Arial"/>
          <w:sz w:val="20"/>
          <w:szCs w:val="20"/>
        </w:rPr>
        <w:t xml:space="preserve">tworzeniem planu. </w:t>
      </w:r>
      <w:r w:rsidR="00A05A12" w:rsidRPr="004C6CC5">
        <w:rPr>
          <w:rFonts w:ascii="Arial" w:hAnsi="Arial" w:cs="Arial"/>
          <w:sz w:val="20"/>
          <w:szCs w:val="20"/>
        </w:rPr>
        <w:t xml:space="preserve">W dniu 5 lipca 2019 </w:t>
      </w:r>
      <w:r w:rsidR="007E76A0">
        <w:rPr>
          <w:rFonts w:ascii="Arial" w:hAnsi="Arial" w:cs="Arial"/>
          <w:sz w:val="20"/>
          <w:szCs w:val="20"/>
        </w:rPr>
        <w:t xml:space="preserve">r. </w:t>
      </w:r>
      <w:r w:rsidR="00A05A12" w:rsidRPr="004C6CC5">
        <w:rPr>
          <w:rFonts w:ascii="Arial" w:hAnsi="Arial" w:cs="Arial"/>
          <w:sz w:val="20"/>
          <w:szCs w:val="20"/>
        </w:rPr>
        <w:t>opublikowano trzecią informację dla mediów (Artykuł III).</w:t>
      </w:r>
    </w:p>
    <w:p w14:paraId="33A6171B" w14:textId="1C242CA8" w:rsidR="00A05A12" w:rsidRDefault="007E76A0" w:rsidP="008D2321">
      <w:pPr>
        <w:spacing w:line="276" w:lineRule="auto"/>
        <w:jc w:val="both"/>
        <w:rPr>
          <w:rFonts w:ascii="Arial" w:hAnsi="Arial" w:cs="Arial"/>
          <w:sz w:val="20"/>
          <w:szCs w:val="20"/>
        </w:rPr>
      </w:pPr>
      <w:r>
        <w:rPr>
          <w:rFonts w:ascii="Arial" w:hAnsi="Arial" w:cs="Arial"/>
          <w:sz w:val="20"/>
          <w:szCs w:val="20"/>
        </w:rPr>
        <w:lastRenderedPageBreak/>
        <w:t>Dnia 8 sierpnia 2019 r.</w:t>
      </w:r>
      <w:r w:rsidR="00A05A12" w:rsidRPr="004C6CC5">
        <w:rPr>
          <w:rFonts w:ascii="Arial" w:hAnsi="Arial" w:cs="Arial"/>
          <w:sz w:val="20"/>
          <w:szCs w:val="20"/>
        </w:rPr>
        <w:t xml:space="preserve"> zaprezentowano wersję v3 planu zagospodarowania przestrzennego,</w:t>
      </w:r>
      <w:r w:rsidR="004C6CC5">
        <w:rPr>
          <w:rFonts w:ascii="Arial" w:hAnsi="Arial" w:cs="Arial"/>
          <w:sz w:val="20"/>
          <w:szCs w:val="20"/>
        </w:rPr>
        <w:t xml:space="preserve"> w </w:t>
      </w:r>
      <w:r w:rsidR="00A05A12" w:rsidRPr="004C6CC5">
        <w:rPr>
          <w:rFonts w:ascii="Arial" w:hAnsi="Arial" w:cs="Arial"/>
          <w:sz w:val="20"/>
          <w:szCs w:val="20"/>
        </w:rPr>
        <w:t>którym uwzględniono wniesione wcześniej opinie, uwagi</w:t>
      </w:r>
      <w:r w:rsidR="004C6CC5">
        <w:rPr>
          <w:rFonts w:ascii="Arial" w:hAnsi="Arial" w:cs="Arial"/>
          <w:sz w:val="20"/>
          <w:szCs w:val="20"/>
        </w:rPr>
        <w:t xml:space="preserve"> i </w:t>
      </w:r>
      <w:r w:rsidR="00A05A12" w:rsidRPr="004C6CC5">
        <w:rPr>
          <w:rFonts w:ascii="Arial" w:hAnsi="Arial" w:cs="Arial"/>
          <w:sz w:val="20"/>
          <w:szCs w:val="20"/>
        </w:rPr>
        <w:t>wnioski. Plan został opublikowany przez Dyrektora Urzędu Morskiego</w:t>
      </w:r>
      <w:r w:rsidR="00435101">
        <w:rPr>
          <w:rFonts w:ascii="Arial" w:hAnsi="Arial" w:cs="Arial"/>
          <w:sz w:val="20"/>
          <w:szCs w:val="20"/>
        </w:rPr>
        <w:t xml:space="preserve"> w </w:t>
      </w:r>
      <w:r w:rsidR="00A05A12" w:rsidRPr="004C6CC5">
        <w:rPr>
          <w:rFonts w:ascii="Arial" w:hAnsi="Arial" w:cs="Arial"/>
          <w:sz w:val="20"/>
          <w:szCs w:val="20"/>
        </w:rPr>
        <w:t>Gdyni działającego</w:t>
      </w:r>
      <w:r w:rsidR="00435101">
        <w:rPr>
          <w:rFonts w:ascii="Arial" w:hAnsi="Arial" w:cs="Arial"/>
          <w:sz w:val="20"/>
          <w:szCs w:val="20"/>
        </w:rPr>
        <w:t xml:space="preserve"> w </w:t>
      </w:r>
      <w:r w:rsidR="00A05A12" w:rsidRPr="004C6CC5">
        <w:rPr>
          <w:rFonts w:ascii="Arial" w:hAnsi="Arial" w:cs="Arial"/>
          <w:sz w:val="20"/>
          <w:szCs w:val="20"/>
        </w:rPr>
        <w:t>porozumieniu</w:t>
      </w:r>
      <w:r w:rsidR="00FB2229">
        <w:rPr>
          <w:rFonts w:ascii="Arial" w:hAnsi="Arial" w:cs="Arial"/>
          <w:sz w:val="20"/>
          <w:szCs w:val="20"/>
        </w:rPr>
        <w:t xml:space="preserve"> z </w:t>
      </w:r>
      <w:r w:rsidR="00A05A12" w:rsidRPr="004C6CC5">
        <w:rPr>
          <w:rFonts w:ascii="Arial" w:hAnsi="Arial" w:cs="Arial"/>
          <w:sz w:val="20"/>
          <w:szCs w:val="20"/>
        </w:rPr>
        <w:t>Dyrektorami Urzędów Morskich</w:t>
      </w:r>
      <w:r w:rsidR="004C6CC5">
        <w:rPr>
          <w:rFonts w:ascii="Arial" w:hAnsi="Arial" w:cs="Arial"/>
          <w:sz w:val="20"/>
          <w:szCs w:val="20"/>
        </w:rPr>
        <w:t xml:space="preserve"> w </w:t>
      </w:r>
      <w:r w:rsidR="00A05A12" w:rsidRPr="004C6CC5">
        <w:rPr>
          <w:rFonts w:ascii="Arial" w:hAnsi="Arial" w:cs="Arial"/>
          <w:sz w:val="20"/>
          <w:szCs w:val="20"/>
        </w:rPr>
        <w:t>Szczecinie</w:t>
      </w:r>
      <w:r w:rsidR="004C6CC5">
        <w:rPr>
          <w:rFonts w:ascii="Arial" w:hAnsi="Arial" w:cs="Arial"/>
          <w:sz w:val="20"/>
          <w:szCs w:val="20"/>
        </w:rPr>
        <w:t xml:space="preserve"> i </w:t>
      </w:r>
      <w:r w:rsidR="00A05A12" w:rsidRPr="004C6CC5">
        <w:rPr>
          <w:rFonts w:ascii="Arial" w:hAnsi="Arial" w:cs="Arial"/>
          <w:sz w:val="20"/>
          <w:szCs w:val="20"/>
        </w:rPr>
        <w:t>Słupsku. Wraz</w:t>
      </w:r>
      <w:r w:rsidR="004C6CC5">
        <w:rPr>
          <w:rFonts w:ascii="Arial" w:hAnsi="Arial" w:cs="Arial"/>
          <w:sz w:val="20"/>
          <w:szCs w:val="20"/>
        </w:rPr>
        <w:t xml:space="preserve"> z </w:t>
      </w:r>
      <w:r w:rsidR="00A05A12" w:rsidRPr="004C6CC5">
        <w:rPr>
          <w:rFonts w:ascii="Arial" w:hAnsi="Arial" w:cs="Arial"/>
          <w:sz w:val="20"/>
          <w:szCs w:val="20"/>
        </w:rPr>
        <w:t>wersją v3 wyłożono również aktualizację oceny oddziaływania na środowisko. Od dnia wyłożeni</w:t>
      </w:r>
      <w:r w:rsidR="00435101">
        <w:rPr>
          <w:rFonts w:ascii="Arial" w:hAnsi="Arial" w:cs="Arial"/>
          <w:sz w:val="20"/>
          <w:szCs w:val="20"/>
        </w:rPr>
        <w:t>a planu do 27 września 2019 r.</w:t>
      </w:r>
      <w:r w:rsidR="00A05A12" w:rsidRPr="004C6CC5">
        <w:rPr>
          <w:rFonts w:ascii="Arial" w:hAnsi="Arial" w:cs="Arial"/>
          <w:sz w:val="20"/>
          <w:szCs w:val="20"/>
        </w:rPr>
        <w:t xml:space="preserve"> możliwe było składanie nowych wniosków, uwag</w:t>
      </w:r>
      <w:r w:rsidR="004C6CC5">
        <w:rPr>
          <w:rFonts w:ascii="Arial" w:hAnsi="Arial" w:cs="Arial"/>
          <w:sz w:val="20"/>
          <w:szCs w:val="20"/>
        </w:rPr>
        <w:t xml:space="preserve"> i </w:t>
      </w:r>
      <w:r w:rsidR="00A05A12" w:rsidRPr="004C6CC5">
        <w:rPr>
          <w:rFonts w:ascii="Arial" w:hAnsi="Arial" w:cs="Arial"/>
          <w:sz w:val="20"/>
          <w:szCs w:val="20"/>
        </w:rPr>
        <w:t>opinii do ustaleń</w:t>
      </w:r>
      <w:r w:rsidR="004C6CC5">
        <w:rPr>
          <w:rFonts w:ascii="Arial" w:hAnsi="Arial" w:cs="Arial"/>
          <w:sz w:val="20"/>
          <w:szCs w:val="20"/>
        </w:rPr>
        <w:t xml:space="preserve"> w </w:t>
      </w:r>
      <w:r w:rsidR="00A05A12" w:rsidRPr="004C6CC5">
        <w:rPr>
          <w:rFonts w:ascii="Arial" w:hAnsi="Arial" w:cs="Arial"/>
          <w:sz w:val="20"/>
          <w:szCs w:val="20"/>
        </w:rPr>
        <w:t xml:space="preserve">zakresie oceny oddziaływania na środowisko. </w:t>
      </w:r>
    </w:p>
    <w:p w14:paraId="70BB2BD0" w14:textId="0150D0AA" w:rsidR="0083751B" w:rsidRDefault="0083751B" w:rsidP="0083751B">
      <w:pPr>
        <w:spacing w:before="120" w:after="120" w:line="276" w:lineRule="auto"/>
        <w:jc w:val="both"/>
        <w:rPr>
          <w:rFonts w:ascii="Arial" w:hAnsi="Arial" w:cs="Arial"/>
          <w:sz w:val="20"/>
          <w:szCs w:val="20"/>
        </w:rPr>
      </w:pPr>
      <w:r>
        <w:rPr>
          <w:rFonts w:ascii="Arial" w:hAnsi="Arial" w:cs="Arial"/>
          <w:sz w:val="20"/>
          <w:szCs w:val="20"/>
        </w:rPr>
        <w:t>W </w:t>
      </w:r>
      <w:r w:rsidRPr="004C6CC5">
        <w:rPr>
          <w:rFonts w:ascii="Arial" w:hAnsi="Arial" w:cs="Arial"/>
          <w:sz w:val="20"/>
          <w:szCs w:val="20"/>
        </w:rPr>
        <w:t xml:space="preserve">pracach nad projektem uczestniczyło wiele </w:t>
      </w:r>
      <w:r>
        <w:rPr>
          <w:rFonts w:ascii="Arial" w:hAnsi="Arial" w:cs="Arial"/>
          <w:sz w:val="20"/>
          <w:szCs w:val="20"/>
        </w:rPr>
        <w:t xml:space="preserve">resortów i </w:t>
      </w:r>
      <w:r w:rsidRPr="004C6CC5">
        <w:rPr>
          <w:rFonts w:ascii="Arial" w:hAnsi="Arial" w:cs="Arial"/>
          <w:sz w:val="20"/>
          <w:szCs w:val="20"/>
        </w:rPr>
        <w:t>instytucji,</w:t>
      </w:r>
      <w:r>
        <w:rPr>
          <w:rFonts w:ascii="Arial" w:hAnsi="Arial" w:cs="Arial"/>
          <w:sz w:val="20"/>
          <w:szCs w:val="20"/>
        </w:rPr>
        <w:t xml:space="preserve"> w </w:t>
      </w:r>
      <w:r w:rsidRPr="004C6CC5">
        <w:rPr>
          <w:rFonts w:ascii="Arial" w:hAnsi="Arial" w:cs="Arial"/>
          <w:sz w:val="20"/>
          <w:szCs w:val="20"/>
        </w:rPr>
        <w:t>tym również przedstawiciele Ministerstwa Kultury</w:t>
      </w:r>
      <w:r>
        <w:rPr>
          <w:rFonts w:ascii="Arial" w:hAnsi="Arial" w:cs="Arial"/>
          <w:sz w:val="20"/>
          <w:szCs w:val="20"/>
        </w:rPr>
        <w:t xml:space="preserve"> i </w:t>
      </w:r>
      <w:r w:rsidRPr="004C6CC5">
        <w:rPr>
          <w:rFonts w:ascii="Arial" w:hAnsi="Arial" w:cs="Arial"/>
          <w:sz w:val="20"/>
          <w:szCs w:val="20"/>
        </w:rPr>
        <w:t>Dziedzictwa Narodowego.</w:t>
      </w:r>
      <w:r>
        <w:rPr>
          <w:rFonts w:ascii="Arial" w:hAnsi="Arial" w:cs="Arial"/>
          <w:sz w:val="20"/>
          <w:szCs w:val="20"/>
        </w:rPr>
        <w:t xml:space="preserve"> W trakcie prac nad</w:t>
      </w:r>
      <w:r w:rsidRPr="004C6CC5">
        <w:rPr>
          <w:rFonts w:ascii="Arial" w:hAnsi="Arial" w:cs="Arial"/>
          <w:sz w:val="20"/>
          <w:szCs w:val="20"/>
        </w:rPr>
        <w:t xml:space="preserve"> </w:t>
      </w:r>
      <w:r>
        <w:rPr>
          <w:rFonts w:ascii="Arial" w:hAnsi="Arial" w:cs="Arial"/>
          <w:sz w:val="20"/>
          <w:szCs w:val="20"/>
        </w:rPr>
        <w:t xml:space="preserve">tym </w:t>
      </w:r>
      <w:r w:rsidRPr="004C6CC5">
        <w:rPr>
          <w:rFonts w:ascii="Arial" w:hAnsi="Arial" w:cs="Arial"/>
          <w:sz w:val="20"/>
          <w:szCs w:val="20"/>
        </w:rPr>
        <w:t>dokumentem planistycznym wypracowany został standard zasad ochrony dziedzictwa kulturowego</w:t>
      </w:r>
      <w:r w:rsidR="00063206">
        <w:rPr>
          <w:rFonts w:ascii="Arial" w:hAnsi="Arial" w:cs="Arial"/>
          <w:sz w:val="20"/>
          <w:szCs w:val="20"/>
        </w:rPr>
        <w:t xml:space="preserve"> i </w:t>
      </w:r>
      <w:r w:rsidRPr="004C6CC5">
        <w:rPr>
          <w:rFonts w:ascii="Arial" w:hAnsi="Arial" w:cs="Arial"/>
          <w:sz w:val="20"/>
          <w:szCs w:val="20"/>
        </w:rPr>
        <w:t>zabytków na polskich obszarach morskich, zaakceptowany zarówno przez organ planistyczny, jak</w:t>
      </w:r>
      <w:r>
        <w:rPr>
          <w:rFonts w:ascii="Arial" w:hAnsi="Arial" w:cs="Arial"/>
          <w:sz w:val="20"/>
          <w:szCs w:val="20"/>
        </w:rPr>
        <w:t xml:space="preserve"> i </w:t>
      </w:r>
      <w:r w:rsidRPr="004C6CC5">
        <w:rPr>
          <w:rFonts w:ascii="Arial" w:hAnsi="Arial" w:cs="Arial"/>
          <w:sz w:val="20"/>
          <w:szCs w:val="20"/>
        </w:rPr>
        <w:t xml:space="preserve">organ nadzorujący. </w:t>
      </w:r>
    </w:p>
    <w:p w14:paraId="1A114D55" w14:textId="0636C65D" w:rsidR="006F78DA" w:rsidRPr="00026E42" w:rsidRDefault="0083751B" w:rsidP="00510EBF">
      <w:pPr>
        <w:spacing w:before="120" w:after="120" w:line="276" w:lineRule="auto"/>
        <w:jc w:val="both"/>
        <w:rPr>
          <w:rFonts w:ascii="Arial" w:hAnsi="Arial" w:cs="Arial"/>
          <w:sz w:val="20"/>
          <w:szCs w:val="20"/>
        </w:rPr>
      </w:pPr>
      <w:r w:rsidRPr="00026E42">
        <w:rPr>
          <w:rFonts w:ascii="Arial" w:hAnsi="Arial" w:cs="Arial"/>
          <w:sz w:val="20"/>
          <w:szCs w:val="20"/>
        </w:rPr>
        <w:t>Należy</w:t>
      </w:r>
      <w:r w:rsidRPr="00026E42">
        <w:rPr>
          <w:rFonts w:ascii="Georgia" w:hAnsi="Georgia" w:cs="Georgia"/>
        </w:rPr>
        <w:t xml:space="preserve"> </w:t>
      </w:r>
      <w:r w:rsidRPr="00026E42">
        <w:rPr>
          <w:rFonts w:ascii="Arial" w:hAnsi="Arial" w:cs="Arial"/>
          <w:sz w:val="20"/>
          <w:szCs w:val="20"/>
        </w:rPr>
        <w:t xml:space="preserve">również odnotować, że Ministerstwo Kultury i Dziedzictwa Narodowego prowadziło prace zmierzające do opracowania standardu podwodnych badań archeologicznych. Działająca przy Ministrze Rada Ochrony Dziedzictwa Archeologicznego podjęła na posiedzeniu w dniu 18 grudnia 2019 r. decyzję o powołaniu odrębnego zespołu, któremu powierzone zostanie opracowanie ww. standardów, co powinno nastąpić w 2020 r. Po ich opracowaniu standardy te zostaną przekazane wojewódzkim konserwatorom zabytków, w trybie art. 90 ust. 3 ustawy o ochronie zabytków i opiece nad zabytkami, </w:t>
      </w:r>
      <w:r w:rsidR="00003439">
        <w:rPr>
          <w:rFonts w:ascii="Arial" w:hAnsi="Arial" w:cs="Arial"/>
          <w:sz w:val="20"/>
          <w:szCs w:val="20"/>
        </w:rPr>
        <w:br/>
      </w:r>
      <w:r w:rsidRPr="00026E42">
        <w:rPr>
          <w:rFonts w:ascii="Arial" w:hAnsi="Arial" w:cs="Arial"/>
          <w:sz w:val="20"/>
          <w:szCs w:val="20"/>
        </w:rPr>
        <w:t xml:space="preserve">w formie wytycznych Generalnego Konserwatora Zabytków dotyczących postępowania organów konserwatorskich w sytuacji, gdy zaistnieje konieczność przeprowadzenia badań archeologicznych na obszarze morskich wód wewnętrznych, morza terytorialnego i wyłącznej </w:t>
      </w:r>
      <w:r w:rsidR="00510EBF" w:rsidRPr="00026E42">
        <w:rPr>
          <w:rFonts w:ascii="Arial" w:hAnsi="Arial" w:cs="Arial"/>
          <w:sz w:val="20"/>
          <w:szCs w:val="20"/>
        </w:rPr>
        <w:t>strefy ekonomicznej RP.</w:t>
      </w:r>
    </w:p>
    <w:p w14:paraId="46230391" w14:textId="25E4E907" w:rsidR="00A05A12" w:rsidRPr="004C6CC5" w:rsidRDefault="00A05A12" w:rsidP="003C6ECA">
      <w:pPr>
        <w:widowControl w:val="0"/>
        <w:numPr>
          <w:ilvl w:val="0"/>
          <w:numId w:val="17"/>
        </w:numPr>
        <w:suppressAutoHyphens/>
        <w:spacing w:after="0" w:line="276" w:lineRule="auto"/>
        <w:jc w:val="both"/>
        <w:rPr>
          <w:rFonts w:ascii="Arial" w:hAnsi="Arial" w:cs="Arial"/>
          <w:sz w:val="20"/>
          <w:szCs w:val="20"/>
        </w:rPr>
      </w:pPr>
      <w:r w:rsidRPr="004C6CC5">
        <w:rPr>
          <w:rFonts w:ascii="Arial" w:hAnsi="Arial" w:cs="Arial"/>
          <w:b/>
          <w:bCs/>
          <w:sz w:val="20"/>
          <w:szCs w:val="20"/>
        </w:rPr>
        <w:t>Plany zagospodarowania przestrzennego polskich obszarów morskich we właściwości Dyrektora Urzędu Morskiego</w:t>
      </w:r>
      <w:r w:rsidR="004C6CC5">
        <w:rPr>
          <w:rFonts w:ascii="Arial" w:hAnsi="Arial" w:cs="Arial"/>
          <w:b/>
          <w:bCs/>
          <w:sz w:val="20"/>
          <w:szCs w:val="20"/>
        </w:rPr>
        <w:t xml:space="preserve"> w </w:t>
      </w:r>
      <w:r w:rsidRPr="004C6CC5">
        <w:rPr>
          <w:rFonts w:ascii="Arial" w:hAnsi="Arial" w:cs="Arial"/>
          <w:b/>
          <w:bCs/>
          <w:sz w:val="20"/>
          <w:szCs w:val="20"/>
        </w:rPr>
        <w:t>Gdyni</w:t>
      </w:r>
    </w:p>
    <w:p w14:paraId="500C00A7" w14:textId="77777777" w:rsidR="00A05A12" w:rsidRPr="004C6CC5" w:rsidRDefault="00A05A12" w:rsidP="008D2321">
      <w:pPr>
        <w:widowControl w:val="0"/>
        <w:suppressAutoHyphens/>
        <w:spacing w:after="0" w:line="276" w:lineRule="auto"/>
        <w:ind w:left="720"/>
        <w:jc w:val="both"/>
        <w:rPr>
          <w:rFonts w:ascii="Arial" w:hAnsi="Arial" w:cs="Arial"/>
          <w:sz w:val="20"/>
          <w:szCs w:val="20"/>
        </w:rPr>
      </w:pPr>
    </w:p>
    <w:p w14:paraId="3E0C9344" w14:textId="1EB6404C" w:rsidR="00A05A12" w:rsidRPr="004C6CC5" w:rsidRDefault="001A1147" w:rsidP="008D2321">
      <w:pPr>
        <w:spacing w:line="276" w:lineRule="auto"/>
        <w:jc w:val="both"/>
        <w:rPr>
          <w:rFonts w:ascii="Arial" w:hAnsi="Arial" w:cs="Arial"/>
          <w:sz w:val="20"/>
          <w:szCs w:val="20"/>
        </w:rPr>
      </w:pPr>
      <w:r>
        <w:rPr>
          <w:rFonts w:ascii="Arial" w:hAnsi="Arial" w:cs="Arial"/>
          <w:sz w:val="20"/>
          <w:szCs w:val="20"/>
        </w:rPr>
        <w:t xml:space="preserve">W dniu </w:t>
      </w:r>
      <w:r w:rsidR="00A05A12" w:rsidRPr="004C6CC5">
        <w:rPr>
          <w:rFonts w:ascii="Arial" w:hAnsi="Arial" w:cs="Arial"/>
          <w:sz w:val="20"/>
          <w:szCs w:val="20"/>
        </w:rPr>
        <w:t xml:space="preserve">10 kwietnia 2019 </w:t>
      </w:r>
      <w:r>
        <w:rPr>
          <w:rFonts w:ascii="Arial" w:hAnsi="Arial" w:cs="Arial"/>
          <w:sz w:val="20"/>
          <w:szCs w:val="20"/>
        </w:rPr>
        <w:t xml:space="preserve">r. </w:t>
      </w:r>
      <w:r w:rsidR="00A05A12" w:rsidRPr="004C6CC5">
        <w:rPr>
          <w:rFonts w:ascii="Arial" w:hAnsi="Arial" w:cs="Arial"/>
          <w:sz w:val="20"/>
          <w:szCs w:val="20"/>
        </w:rPr>
        <w:t>Dyrektor Urzędu Morskiego</w:t>
      </w:r>
      <w:r>
        <w:rPr>
          <w:rFonts w:ascii="Arial" w:hAnsi="Arial" w:cs="Arial"/>
          <w:sz w:val="20"/>
          <w:szCs w:val="20"/>
        </w:rPr>
        <w:t xml:space="preserve"> w </w:t>
      </w:r>
      <w:r w:rsidR="00A05A12" w:rsidRPr="004C6CC5">
        <w:rPr>
          <w:rFonts w:ascii="Arial" w:hAnsi="Arial" w:cs="Arial"/>
          <w:sz w:val="20"/>
          <w:szCs w:val="20"/>
        </w:rPr>
        <w:t>Gdyni ogłosił postępowanie</w:t>
      </w:r>
      <w:r w:rsidR="004C6CC5">
        <w:rPr>
          <w:rFonts w:ascii="Arial" w:hAnsi="Arial" w:cs="Arial"/>
          <w:sz w:val="20"/>
          <w:szCs w:val="20"/>
        </w:rPr>
        <w:t xml:space="preserve"> w </w:t>
      </w:r>
      <w:r w:rsidR="00A05A12" w:rsidRPr="004C6CC5">
        <w:rPr>
          <w:rFonts w:ascii="Arial" w:hAnsi="Arial" w:cs="Arial"/>
          <w:sz w:val="20"/>
          <w:szCs w:val="20"/>
        </w:rPr>
        <w:t>trybie nieograniczonego przetargu na wybór wykonawcy O</w:t>
      </w:r>
      <w:r w:rsidR="00A05A12" w:rsidRPr="004C6CC5">
        <w:rPr>
          <w:rStyle w:val="Pogrubienie"/>
          <w:rFonts w:ascii="Arial" w:hAnsi="Arial" w:cs="Arial"/>
          <w:b w:val="0"/>
          <w:sz w:val="20"/>
          <w:szCs w:val="20"/>
        </w:rPr>
        <w:t>pracowań projektów planów zagospodarowania przestrzennego wraz</w:t>
      </w:r>
      <w:r w:rsidR="004C6CC5">
        <w:rPr>
          <w:rStyle w:val="Pogrubienie"/>
          <w:rFonts w:ascii="Arial" w:hAnsi="Arial" w:cs="Arial"/>
          <w:b w:val="0"/>
          <w:sz w:val="20"/>
          <w:szCs w:val="20"/>
        </w:rPr>
        <w:t xml:space="preserve"> z </w:t>
      </w:r>
      <w:r w:rsidR="00A05A12" w:rsidRPr="004C6CC5">
        <w:rPr>
          <w:rStyle w:val="Pogrubienie"/>
          <w:rFonts w:ascii="Arial" w:hAnsi="Arial" w:cs="Arial"/>
          <w:b w:val="0"/>
          <w:sz w:val="20"/>
          <w:szCs w:val="20"/>
        </w:rPr>
        <w:t>prognozami oddziaływania na środowisko dla wód portowych Gdańska, Gdyni, Władysławowa</w:t>
      </w:r>
      <w:r w:rsidR="004C6CC5">
        <w:rPr>
          <w:rStyle w:val="Pogrubienie"/>
          <w:rFonts w:ascii="Arial" w:hAnsi="Arial" w:cs="Arial"/>
          <w:b w:val="0"/>
          <w:sz w:val="20"/>
          <w:szCs w:val="20"/>
        </w:rPr>
        <w:t xml:space="preserve"> i </w:t>
      </w:r>
      <w:r w:rsidR="00A05A12" w:rsidRPr="004C6CC5">
        <w:rPr>
          <w:rStyle w:val="Pogrubienie"/>
          <w:rFonts w:ascii="Arial" w:hAnsi="Arial" w:cs="Arial"/>
          <w:b w:val="0"/>
          <w:sz w:val="20"/>
          <w:szCs w:val="20"/>
        </w:rPr>
        <w:t>Helu</w:t>
      </w:r>
      <w:r w:rsidR="00A05A12" w:rsidRPr="004C6CC5">
        <w:rPr>
          <w:rFonts w:ascii="Arial" w:hAnsi="Arial" w:cs="Arial"/>
          <w:sz w:val="20"/>
          <w:szCs w:val="20"/>
        </w:rPr>
        <w:t>. Ogłoszenie zostało zamieszczone na głównej stronie urzędu, a także na stronie internetowej Platforma e-Usług Smart PZP oraz</w:t>
      </w:r>
      <w:r w:rsidR="004C6CC5">
        <w:rPr>
          <w:rFonts w:ascii="Arial" w:hAnsi="Arial" w:cs="Arial"/>
          <w:sz w:val="20"/>
          <w:szCs w:val="20"/>
        </w:rPr>
        <w:t xml:space="preserve"> w </w:t>
      </w:r>
      <w:r w:rsidR="00A05A12" w:rsidRPr="004C6CC5">
        <w:rPr>
          <w:rFonts w:ascii="Arial" w:hAnsi="Arial" w:cs="Arial"/>
          <w:sz w:val="20"/>
          <w:szCs w:val="20"/>
        </w:rPr>
        <w:t xml:space="preserve">Suplemencie do Dziennika Unii Europejskiej. </w:t>
      </w:r>
      <w:r>
        <w:rPr>
          <w:rFonts w:ascii="Arial" w:hAnsi="Arial" w:cs="Arial"/>
          <w:sz w:val="20"/>
          <w:szCs w:val="20"/>
        </w:rPr>
        <w:t xml:space="preserve">W dniu </w:t>
      </w:r>
      <w:r w:rsidR="00A05A12" w:rsidRPr="004C6CC5">
        <w:rPr>
          <w:rFonts w:ascii="Arial" w:hAnsi="Arial" w:cs="Arial"/>
          <w:sz w:val="20"/>
          <w:szCs w:val="20"/>
        </w:rPr>
        <w:t xml:space="preserve">25 maja </w:t>
      </w:r>
      <w:r>
        <w:rPr>
          <w:rFonts w:ascii="Arial" w:hAnsi="Arial" w:cs="Arial"/>
          <w:sz w:val="20"/>
          <w:szCs w:val="20"/>
        </w:rPr>
        <w:t xml:space="preserve">2019 r. </w:t>
      </w:r>
      <w:r w:rsidR="00A05A12" w:rsidRPr="004C6CC5">
        <w:rPr>
          <w:rFonts w:ascii="Arial" w:hAnsi="Arial" w:cs="Arial"/>
          <w:sz w:val="20"/>
          <w:szCs w:val="20"/>
        </w:rPr>
        <w:t>postępowanie zostało unieważnione, ponieważ nie zgłoszono żadnej oferty niepodlegającej odrzuceniu.</w:t>
      </w:r>
    </w:p>
    <w:p w14:paraId="037A760B" w14:textId="279F1452" w:rsidR="00A05A12" w:rsidRPr="004C6CC5" w:rsidRDefault="00F45A83" w:rsidP="008D2321">
      <w:pPr>
        <w:spacing w:line="276" w:lineRule="auto"/>
        <w:jc w:val="both"/>
        <w:rPr>
          <w:rStyle w:val="Pogrubienie"/>
          <w:rFonts w:ascii="Arial" w:hAnsi="Arial" w:cs="Arial"/>
          <w:b w:val="0"/>
          <w:sz w:val="20"/>
          <w:szCs w:val="20"/>
        </w:rPr>
      </w:pPr>
      <w:r>
        <w:rPr>
          <w:rFonts w:ascii="Arial" w:hAnsi="Arial" w:cs="Arial"/>
          <w:sz w:val="20"/>
          <w:szCs w:val="20"/>
        </w:rPr>
        <w:t xml:space="preserve">W dniu </w:t>
      </w:r>
      <w:r w:rsidR="00A05A12" w:rsidRPr="000F468A">
        <w:rPr>
          <w:rFonts w:ascii="Arial" w:hAnsi="Arial" w:cs="Arial"/>
          <w:sz w:val="20"/>
          <w:szCs w:val="20"/>
        </w:rPr>
        <w:t xml:space="preserve">11 października </w:t>
      </w:r>
      <w:r>
        <w:rPr>
          <w:rFonts w:ascii="Arial" w:hAnsi="Arial" w:cs="Arial"/>
          <w:sz w:val="20"/>
          <w:szCs w:val="20"/>
        </w:rPr>
        <w:t xml:space="preserve">2019 r. </w:t>
      </w:r>
      <w:r w:rsidR="00A05A12" w:rsidRPr="000F468A">
        <w:rPr>
          <w:rFonts w:ascii="Arial" w:hAnsi="Arial" w:cs="Arial"/>
          <w:sz w:val="20"/>
          <w:szCs w:val="20"/>
        </w:rPr>
        <w:t>Dyrektor ogłosił postępowanie</w:t>
      </w:r>
      <w:r w:rsidR="004C6CC5">
        <w:rPr>
          <w:rFonts w:ascii="Arial" w:hAnsi="Arial" w:cs="Arial"/>
          <w:sz w:val="20"/>
          <w:szCs w:val="20"/>
        </w:rPr>
        <w:t xml:space="preserve"> w </w:t>
      </w:r>
      <w:r w:rsidR="00A05A12" w:rsidRPr="004C6CC5">
        <w:rPr>
          <w:rFonts w:ascii="Arial" w:hAnsi="Arial" w:cs="Arial"/>
          <w:sz w:val="20"/>
          <w:szCs w:val="20"/>
        </w:rPr>
        <w:t>trybie nieograniczonego przetargu na wybór wykonawcy O</w:t>
      </w:r>
      <w:r w:rsidR="00A05A12" w:rsidRPr="004C6CC5">
        <w:rPr>
          <w:rStyle w:val="Pogrubienie"/>
          <w:rFonts w:ascii="Arial" w:hAnsi="Arial" w:cs="Arial"/>
          <w:b w:val="0"/>
          <w:sz w:val="20"/>
          <w:szCs w:val="20"/>
        </w:rPr>
        <w:t>pracowań projektów planów zagospodarowania przestrzennego wraz</w:t>
      </w:r>
      <w:r w:rsidR="004C6CC5">
        <w:rPr>
          <w:rStyle w:val="Pogrubienie"/>
          <w:rFonts w:ascii="Arial" w:hAnsi="Arial" w:cs="Arial"/>
          <w:b w:val="0"/>
          <w:sz w:val="20"/>
          <w:szCs w:val="20"/>
        </w:rPr>
        <w:t xml:space="preserve"> z </w:t>
      </w:r>
      <w:r w:rsidR="00A05A12" w:rsidRPr="004C6CC5">
        <w:rPr>
          <w:rStyle w:val="Pogrubienie"/>
          <w:rFonts w:ascii="Arial" w:hAnsi="Arial" w:cs="Arial"/>
          <w:b w:val="0"/>
          <w:sz w:val="20"/>
          <w:szCs w:val="20"/>
        </w:rPr>
        <w:t>prognozami oddziaływania na środowisko dla wód portowych Gdańska, Gdyni</w:t>
      </w:r>
      <w:r w:rsidR="003749B3">
        <w:rPr>
          <w:rStyle w:val="Pogrubienie"/>
          <w:rFonts w:ascii="Arial" w:hAnsi="Arial" w:cs="Arial"/>
          <w:b w:val="0"/>
          <w:sz w:val="20"/>
          <w:szCs w:val="20"/>
        </w:rPr>
        <w:t xml:space="preserve"> i </w:t>
      </w:r>
      <w:r w:rsidR="00A05A12" w:rsidRPr="004C6CC5">
        <w:rPr>
          <w:rStyle w:val="Pogrubienie"/>
          <w:rFonts w:ascii="Arial" w:hAnsi="Arial" w:cs="Arial"/>
          <w:b w:val="0"/>
          <w:sz w:val="20"/>
          <w:szCs w:val="20"/>
        </w:rPr>
        <w:t>Helu oraz Opracowanie projektu planu zagospodarowania przestrzennego wraz</w:t>
      </w:r>
      <w:r w:rsidR="004C6CC5">
        <w:rPr>
          <w:rStyle w:val="Pogrubienie"/>
          <w:rFonts w:ascii="Arial" w:hAnsi="Arial" w:cs="Arial"/>
          <w:b w:val="0"/>
          <w:sz w:val="20"/>
          <w:szCs w:val="20"/>
        </w:rPr>
        <w:t xml:space="preserve"> z </w:t>
      </w:r>
      <w:r w:rsidR="00A05A12" w:rsidRPr="004C6CC5">
        <w:rPr>
          <w:rStyle w:val="Pogrubienie"/>
          <w:rFonts w:ascii="Arial" w:hAnsi="Arial" w:cs="Arial"/>
          <w:b w:val="0"/>
          <w:sz w:val="20"/>
          <w:szCs w:val="20"/>
        </w:rPr>
        <w:t>prognozą oddziaływania na środowisko dla Zatoki Gdańskiej.</w:t>
      </w:r>
      <w:r>
        <w:rPr>
          <w:rStyle w:val="Pogrubienie"/>
          <w:rFonts w:ascii="Arial" w:hAnsi="Arial" w:cs="Arial"/>
          <w:b w:val="0"/>
          <w:sz w:val="20"/>
          <w:szCs w:val="20"/>
        </w:rPr>
        <w:t xml:space="preserve"> W</w:t>
      </w:r>
      <w:r w:rsidR="004C6CC5">
        <w:rPr>
          <w:rStyle w:val="Pogrubienie"/>
          <w:rFonts w:ascii="Arial" w:hAnsi="Arial" w:cs="Arial"/>
          <w:b w:val="0"/>
          <w:sz w:val="20"/>
          <w:szCs w:val="20"/>
        </w:rPr>
        <w:t> </w:t>
      </w:r>
      <w:r w:rsidR="00A05A12" w:rsidRPr="004C6CC5">
        <w:rPr>
          <w:rStyle w:val="Pogrubienie"/>
          <w:rFonts w:ascii="Arial" w:hAnsi="Arial" w:cs="Arial"/>
          <w:b w:val="0"/>
          <w:sz w:val="20"/>
          <w:szCs w:val="20"/>
        </w:rPr>
        <w:t xml:space="preserve">dniu 23 października </w:t>
      </w:r>
      <w:r>
        <w:rPr>
          <w:rStyle w:val="Pogrubienie"/>
          <w:rFonts w:ascii="Arial" w:hAnsi="Arial" w:cs="Arial"/>
          <w:b w:val="0"/>
          <w:sz w:val="20"/>
          <w:szCs w:val="20"/>
        </w:rPr>
        <w:t xml:space="preserve">2019 r. </w:t>
      </w:r>
      <w:r w:rsidR="00A05A12" w:rsidRPr="004C6CC5">
        <w:rPr>
          <w:rStyle w:val="Pogrubienie"/>
          <w:rFonts w:ascii="Arial" w:hAnsi="Arial" w:cs="Arial"/>
          <w:b w:val="0"/>
          <w:sz w:val="20"/>
          <w:szCs w:val="20"/>
        </w:rPr>
        <w:t>zamawiający dokonał wyboru najkorzystniejszej oferty.</w:t>
      </w:r>
    </w:p>
    <w:p w14:paraId="7E649BD3" w14:textId="0C676C07" w:rsidR="001E1728" w:rsidRPr="002D4867" w:rsidRDefault="00F45A83" w:rsidP="008D2321">
      <w:pPr>
        <w:spacing w:line="276" w:lineRule="auto"/>
        <w:jc w:val="both"/>
        <w:rPr>
          <w:rFonts w:ascii="Arial" w:hAnsi="Arial" w:cs="Arial"/>
          <w:bCs/>
          <w:sz w:val="20"/>
          <w:szCs w:val="20"/>
        </w:rPr>
      </w:pPr>
      <w:r>
        <w:rPr>
          <w:rStyle w:val="Pogrubienie"/>
          <w:rFonts w:ascii="Arial" w:hAnsi="Arial" w:cs="Arial"/>
          <w:b w:val="0"/>
          <w:sz w:val="20"/>
          <w:szCs w:val="20"/>
        </w:rPr>
        <w:t xml:space="preserve">Następnie w dniu </w:t>
      </w:r>
      <w:r w:rsidR="00A05A12" w:rsidRPr="004C6CC5">
        <w:rPr>
          <w:rStyle w:val="Pogrubienie"/>
          <w:rFonts w:ascii="Arial" w:hAnsi="Arial" w:cs="Arial"/>
          <w:b w:val="0"/>
          <w:sz w:val="20"/>
          <w:szCs w:val="20"/>
        </w:rPr>
        <w:t xml:space="preserve">30 października </w:t>
      </w:r>
      <w:r>
        <w:rPr>
          <w:rStyle w:val="Pogrubienie"/>
          <w:rFonts w:ascii="Arial" w:hAnsi="Arial" w:cs="Arial"/>
          <w:b w:val="0"/>
          <w:sz w:val="20"/>
          <w:szCs w:val="20"/>
        </w:rPr>
        <w:t xml:space="preserve">2019 r. </w:t>
      </w:r>
      <w:r w:rsidR="00A05A12" w:rsidRPr="004C6CC5">
        <w:rPr>
          <w:rStyle w:val="Pogrubienie"/>
          <w:rFonts w:ascii="Arial" w:hAnsi="Arial" w:cs="Arial"/>
          <w:b w:val="0"/>
          <w:sz w:val="20"/>
          <w:szCs w:val="20"/>
        </w:rPr>
        <w:t>Dyrektor ogłosił postępowanie</w:t>
      </w:r>
      <w:r w:rsidR="004C6CC5">
        <w:rPr>
          <w:rStyle w:val="Pogrubienie"/>
          <w:rFonts w:ascii="Arial" w:hAnsi="Arial" w:cs="Arial"/>
          <w:b w:val="0"/>
          <w:sz w:val="20"/>
          <w:szCs w:val="20"/>
        </w:rPr>
        <w:t xml:space="preserve"> w </w:t>
      </w:r>
      <w:r w:rsidR="00A05A12" w:rsidRPr="004C6CC5">
        <w:rPr>
          <w:rStyle w:val="Pogrubienie"/>
          <w:rFonts w:ascii="Arial" w:hAnsi="Arial" w:cs="Arial"/>
          <w:b w:val="0"/>
          <w:sz w:val="20"/>
          <w:szCs w:val="20"/>
        </w:rPr>
        <w:t>trybie nieograniczonego przetargu na wybór wykonawcy Opracowania projektu planu zagospodarowania przestrzennego wraz</w:t>
      </w:r>
      <w:r w:rsidR="004C6CC5">
        <w:rPr>
          <w:rStyle w:val="Pogrubienie"/>
          <w:rFonts w:ascii="Arial" w:hAnsi="Arial" w:cs="Arial"/>
          <w:b w:val="0"/>
          <w:sz w:val="20"/>
          <w:szCs w:val="20"/>
        </w:rPr>
        <w:t xml:space="preserve"> z </w:t>
      </w:r>
      <w:r w:rsidR="00A05A12" w:rsidRPr="004C6CC5">
        <w:rPr>
          <w:rStyle w:val="Pogrubienie"/>
          <w:rFonts w:ascii="Arial" w:hAnsi="Arial" w:cs="Arial"/>
          <w:b w:val="0"/>
          <w:sz w:val="20"/>
          <w:szCs w:val="20"/>
        </w:rPr>
        <w:t>prognozami oddziaływania na środowisko dla wód portowych Władysławowa.</w:t>
      </w:r>
      <w:r w:rsidR="004C6CC5">
        <w:rPr>
          <w:rStyle w:val="Pogrubienie"/>
          <w:rFonts w:ascii="Arial" w:hAnsi="Arial" w:cs="Arial"/>
          <w:b w:val="0"/>
          <w:sz w:val="20"/>
          <w:szCs w:val="20"/>
        </w:rPr>
        <w:t xml:space="preserve"> </w:t>
      </w:r>
      <w:r>
        <w:rPr>
          <w:rStyle w:val="Pogrubienie"/>
          <w:rFonts w:ascii="Arial" w:hAnsi="Arial" w:cs="Arial"/>
          <w:b w:val="0"/>
          <w:sz w:val="20"/>
          <w:szCs w:val="20"/>
        </w:rPr>
        <w:t>W</w:t>
      </w:r>
      <w:r w:rsidR="004C6CC5">
        <w:rPr>
          <w:rStyle w:val="Pogrubienie"/>
          <w:rFonts w:ascii="Arial" w:hAnsi="Arial" w:cs="Arial"/>
          <w:b w:val="0"/>
          <w:sz w:val="20"/>
          <w:szCs w:val="20"/>
        </w:rPr>
        <w:t> </w:t>
      </w:r>
      <w:r w:rsidR="00A05A12" w:rsidRPr="004C6CC5">
        <w:rPr>
          <w:rStyle w:val="Pogrubienie"/>
          <w:rFonts w:ascii="Arial" w:hAnsi="Arial" w:cs="Arial"/>
          <w:b w:val="0"/>
          <w:sz w:val="20"/>
          <w:szCs w:val="20"/>
        </w:rPr>
        <w:t xml:space="preserve">dniu 28 listopada </w:t>
      </w:r>
      <w:r>
        <w:rPr>
          <w:rStyle w:val="Pogrubienie"/>
          <w:rFonts w:ascii="Arial" w:hAnsi="Arial" w:cs="Arial"/>
          <w:b w:val="0"/>
          <w:sz w:val="20"/>
          <w:szCs w:val="20"/>
        </w:rPr>
        <w:t xml:space="preserve">2019 r. </w:t>
      </w:r>
      <w:r w:rsidR="00A05A12" w:rsidRPr="004C6CC5">
        <w:rPr>
          <w:rStyle w:val="Pogrubienie"/>
          <w:rFonts w:ascii="Arial" w:hAnsi="Arial" w:cs="Arial"/>
          <w:b w:val="0"/>
          <w:sz w:val="20"/>
          <w:szCs w:val="20"/>
        </w:rPr>
        <w:t>dokonano wyboru najkorzystniej</w:t>
      </w:r>
      <w:r w:rsidR="007726C4">
        <w:rPr>
          <w:rStyle w:val="Pogrubienie"/>
          <w:rFonts w:ascii="Arial" w:hAnsi="Arial" w:cs="Arial"/>
          <w:b w:val="0"/>
          <w:sz w:val="20"/>
          <w:szCs w:val="20"/>
        </w:rPr>
        <w:t>szej</w:t>
      </w:r>
      <w:r w:rsidR="00A05A12" w:rsidRPr="004C6CC5">
        <w:rPr>
          <w:rStyle w:val="Pogrubienie"/>
          <w:rFonts w:ascii="Arial" w:hAnsi="Arial" w:cs="Arial"/>
          <w:b w:val="0"/>
          <w:sz w:val="20"/>
          <w:szCs w:val="20"/>
        </w:rPr>
        <w:t xml:space="preserve"> oferty.</w:t>
      </w:r>
    </w:p>
    <w:p w14:paraId="6FB9D77A" w14:textId="1B160656" w:rsidR="00A05A12" w:rsidRPr="004C6CC5" w:rsidRDefault="00A05A12" w:rsidP="003C6ECA">
      <w:pPr>
        <w:widowControl w:val="0"/>
        <w:numPr>
          <w:ilvl w:val="0"/>
          <w:numId w:val="16"/>
        </w:numPr>
        <w:suppressAutoHyphens/>
        <w:spacing w:after="0" w:line="276" w:lineRule="auto"/>
        <w:jc w:val="both"/>
        <w:rPr>
          <w:rFonts w:ascii="Arial" w:hAnsi="Arial" w:cs="Arial"/>
          <w:b/>
          <w:bCs/>
          <w:sz w:val="20"/>
          <w:szCs w:val="20"/>
        </w:rPr>
      </w:pPr>
      <w:r w:rsidRPr="004C6CC5">
        <w:rPr>
          <w:rFonts w:ascii="Arial" w:hAnsi="Arial" w:cs="Arial"/>
          <w:b/>
          <w:bCs/>
          <w:sz w:val="20"/>
          <w:szCs w:val="20"/>
        </w:rPr>
        <w:t>Plany zagospodarowania przestrzennego polskich obszarów morskich we właściwości Dyrektora Urzędu Morskiego</w:t>
      </w:r>
      <w:r w:rsidR="004C6CC5">
        <w:rPr>
          <w:rFonts w:ascii="Arial" w:hAnsi="Arial" w:cs="Arial"/>
          <w:b/>
          <w:bCs/>
          <w:sz w:val="20"/>
          <w:szCs w:val="20"/>
        </w:rPr>
        <w:t xml:space="preserve"> w </w:t>
      </w:r>
      <w:r w:rsidRPr="004C6CC5">
        <w:rPr>
          <w:rFonts w:ascii="Arial" w:hAnsi="Arial" w:cs="Arial"/>
          <w:b/>
          <w:bCs/>
          <w:sz w:val="20"/>
          <w:szCs w:val="20"/>
        </w:rPr>
        <w:t>Słupsku</w:t>
      </w:r>
    </w:p>
    <w:p w14:paraId="4F436DBB" w14:textId="77777777" w:rsidR="00A05A12" w:rsidRPr="004C6CC5" w:rsidRDefault="00A05A12" w:rsidP="008D2321">
      <w:pPr>
        <w:widowControl w:val="0"/>
        <w:suppressAutoHyphens/>
        <w:spacing w:after="0" w:line="276" w:lineRule="auto"/>
        <w:ind w:left="720"/>
        <w:jc w:val="both"/>
        <w:rPr>
          <w:rFonts w:ascii="Arial" w:hAnsi="Arial" w:cs="Arial"/>
          <w:b/>
          <w:bCs/>
          <w:sz w:val="20"/>
          <w:szCs w:val="20"/>
        </w:rPr>
      </w:pPr>
    </w:p>
    <w:p w14:paraId="708AD526" w14:textId="57FCFB42" w:rsidR="00A05A12" w:rsidRDefault="00BC39A7" w:rsidP="008D2321">
      <w:pPr>
        <w:spacing w:line="276" w:lineRule="auto"/>
        <w:jc w:val="both"/>
        <w:rPr>
          <w:rFonts w:ascii="Arial" w:hAnsi="Arial" w:cs="Arial"/>
          <w:sz w:val="20"/>
          <w:szCs w:val="20"/>
        </w:rPr>
      </w:pPr>
      <w:r>
        <w:rPr>
          <w:rFonts w:ascii="Arial" w:hAnsi="Arial" w:cs="Arial"/>
          <w:sz w:val="20"/>
          <w:szCs w:val="20"/>
        </w:rPr>
        <w:t>W dniu 10 lipca 2019 r.</w:t>
      </w:r>
      <w:r w:rsidR="00A05A12" w:rsidRPr="004C6CC5">
        <w:rPr>
          <w:rFonts w:ascii="Arial" w:hAnsi="Arial" w:cs="Arial"/>
          <w:sz w:val="20"/>
          <w:szCs w:val="20"/>
        </w:rPr>
        <w:t xml:space="preserve"> odbyło się pierwsze spotkanie konsultacyjne dotyczące projektów planu zagospodarowania wód wewnętrznych portów morskich</w:t>
      </w:r>
      <w:r w:rsidR="004C6CC5">
        <w:rPr>
          <w:rFonts w:ascii="Arial" w:hAnsi="Arial" w:cs="Arial"/>
          <w:sz w:val="20"/>
          <w:szCs w:val="20"/>
        </w:rPr>
        <w:t xml:space="preserve"> w </w:t>
      </w:r>
      <w:r w:rsidR="00A05A12" w:rsidRPr="004C6CC5">
        <w:rPr>
          <w:rFonts w:ascii="Arial" w:hAnsi="Arial" w:cs="Arial"/>
          <w:sz w:val="20"/>
          <w:szCs w:val="20"/>
        </w:rPr>
        <w:t>Łebie, Rowach</w:t>
      </w:r>
      <w:r w:rsidR="004C6CC5">
        <w:rPr>
          <w:rFonts w:ascii="Arial" w:hAnsi="Arial" w:cs="Arial"/>
          <w:sz w:val="20"/>
          <w:szCs w:val="20"/>
        </w:rPr>
        <w:t xml:space="preserve"> i </w:t>
      </w:r>
      <w:r w:rsidR="00A05A12" w:rsidRPr="004C6CC5">
        <w:rPr>
          <w:rFonts w:ascii="Arial" w:hAnsi="Arial" w:cs="Arial"/>
          <w:sz w:val="20"/>
          <w:szCs w:val="20"/>
        </w:rPr>
        <w:t>Ustce. Spotkanie odbyło się</w:t>
      </w:r>
      <w:r w:rsidR="004C6CC5">
        <w:rPr>
          <w:rFonts w:ascii="Arial" w:hAnsi="Arial" w:cs="Arial"/>
          <w:sz w:val="20"/>
          <w:szCs w:val="20"/>
        </w:rPr>
        <w:t xml:space="preserve"> w </w:t>
      </w:r>
      <w:r w:rsidR="00A05A12" w:rsidRPr="004C6CC5">
        <w:rPr>
          <w:rFonts w:ascii="Arial" w:hAnsi="Arial" w:cs="Arial"/>
          <w:sz w:val="20"/>
          <w:szCs w:val="20"/>
        </w:rPr>
        <w:t xml:space="preserve">Ustce. </w:t>
      </w:r>
      <w:r w:rsidR="009723FE">
        <w:rPr>
          <w:rFonts w:ascii="Arial" w:hAnsi="Arial" w:cs="Arial"/>
          <w:sz w:val="20"/>
          <w:szCs w:val="20"/>
        </w:rPr>
        <w:t>W dniu 4 września 2019 r.</w:t>
      </w:r>
      <w:r w:rsidR="00A05A12" w:rsidRPr="004C6CC5">
        <w:rPr>
          <w:rFonts w:ascii="Arial" w:hAnsi="Arial" w:cs="Arial"/>
          <w:sz w:val="20"/>
          <w:szCs w:val="20"/>
        </w:rPr>
        <w:t xml:space="preserve"> odbyło się pierwsze spotkanie dotyczące projektów planu zagospodarowania wód wewnętrznych portów morskich</w:t>
      </w:r>
      <w:r w:rsidR="00544E86">
        <w:rPr>
          <w:rFonts w:ascii="Arial" w:hAnsi="Arial" w:cs="Arial"/>
          <w:sz w:val="20"/>
          <w:szCs w:val="20"/>
        </w:rPr>
        <w:t xml:space="preserve"> w </w:t>
      </w:r>
      <w:r w:rsidR="00A05A12" w:rsidRPr="004C6CC5">
        <w:rPr>
          <w:rFonts w:ascii="Arial" w:hAnsi="Arial" w:cs="Arial"/>
          <w:sz w:val="20"/>
          <w:szCs w:val="20"/>
        </w:rPr>
        <w:t>Darłowie, Kołobrzegu</w:t>
      </w:r>
      <w:r w:rsidR="00970797">
        <w:rPr>
          <w:rFonts w:ascii="Arial" w:hAnsi="Arial" w:cs="Arial"/>
          <w:sz w:val="20"/>
          <w:szCs w:val="20"/>
        </w:rPr>
        <w:t xml:space="preserve"> i </w:t>
      </w:r>
      <w:r w:rsidR="00A05A12" w:rsidRPr="004C6CC5">
        <w:rPr>
          <w:rFonts w:ascii="Arial" w:hAnsi="Arial" w:cs="Arial"/>
          <w:sz w:val="20"/>
          <w:szCs w:val="20"/>
        </w:rPr>
        <w:t>Dźwirzynie. Spotkanie odbyło się</w:t>
      </w:r>
      <w:r w:rsidR="004C6CC5">
        <w:rPr>
          <w:rFonts w:ascii="Arial" w:hAnsi="Arial" w:cs="Arial"/>
          <w:sz w:val="20"/>
          <w:szCs w:val="20"/>
        </w:rPr>
        <w:t xml:space="preserve"> </w:t>
      </w:r>
      <w:r w:rsidR="009723FE">
        <w:rPr>
          <w:rFonts w:ascii="Arial" w:hAnsi="Arial" w:cs="Arial"/>
          <w:sz w:val="20"/>
          <w:szCs w:val="20"/>
        </w:rPr>
        <w:t>w</w:t>
      </w:r>
      <w:r w:rsidR="009723FE" w:rsidRPr="004C6CC5">
        <w:rPr>
          <w:rFonts w:ascii="Arial" w:hAnsi="Arial" w:cs="Arial"/>
          <w:sz w:val="20"/>
          <w:szCs w:val="20"/>
        </w:rPr>
        <w:t xml:space="preserve"> </w:t>
      </w:r>
      <w:r w:rsidR="00A05A12" w:rsidRPr="004C6CC5">
        <w:rPr>
          <w:rFonts w:ascii="Arial" w:hAnsi="Arial" w:cs="Arial"/>
          <w:sz w:val="20"/>
          <w:szCs w:val="20"/>
        </w:rPr>
        <w:t>Kołobrzegu.</w:t>
      </w:r>
    </w:p>
    <w:p w14:paraId="1F3FE793" w14:textId="77777777" w:rsidR="00C72C87" w:rsidRPr="004C6CC5" w:rsidRDefault="00C72C87" w:rsidP="008D2321">
      <w:pPr>
        <w:spacing w:line="276" w:lineRule="auto"/>
        <w:jc w:val="both"/>
        <w:rPr>
          <w:rFonts w:ascii="Arial" w:hAnsi="Arial" w:cs="Arial"/>
          <w:b/>
          <w:bCs/>
          <w:sz w:val="20"/>
          <w:szCs w:val="20"/>
        </w:rPr>
      </w:pPr>
    </w:p>
    <w:p w14:paraId="7A78543B" w14:textId="79C2BCCA" w:rsidR="00A05A12" w:rsidRPr="004C6CC5" w:rsidRDefault="00A05A12" w:rsidP="003C6ECA">
      <w:pPr>
        <w:widowControl w:val="0"/>
        <w:numPr>
          <w:ilvl w:val="0"/>
          <w:numId w:val="16"/>
        </w:numPr>
        <w:suppressAutoHyphens/>
        <w:spacing w:after="0" w:line="276" w:lineRule="auto"/>
        <w:jc w:val="both"/>
        <w:rPr>
          <w:rFonts w:ascii="Arial" w:hAnsi="Arial" w:cs="Arial"/>
          <w:b/>
          <w:bCs/>
          <w:sz w:val="20"/>
          <w:szCs w:val="20"/>
        </w:rPr>
      </w:pPr>
      <w:r w:rsidRPr="004C6CC5">
        <w:rPr>
          <w:rFonts w:ascii="Arial" w:hAnsi="Arial" w:cs="Arial"/>
          <w:b/>
          <w:bCs/>
          <w:sz w:val="20"/>
          <w:szCs w:val="20"/>
        </w:rPr>
        <w:lastRenderedPageBreak/>
        <w:t>Plany zagospodarowania przestrzennego polskich obszarów morskich we właściwości Dyrektora Urzędu Morskiego</w:t>
      </w:r>
      <w:r w:rsidR="004C6CC5">
        <w:rPr>
          <w:rFonts w:ascii="Arial" w:hAnsi="Arial" w:cs="Arial"/>
          <w:b/>
          <w:bCs/>
          <w:sz w:val="20"/>
          <w:szCs w:val="20"/>
        </w:rPr>
        <w:t xml:space="preserve"> w </w:t>
      </w:r>
      <w:r w:rsidRPr="004C6CC5">
        <w:rPr>
          <w:rFonts w:ascii="Arial" w:hAnsi="Arial" w:cs="Arial"/>
          <w:b/>
          <w:bCs/>
          <w:sz w:val="20"/>
          <w:szCs w:val="20"/>
        </w:rPr>
        <w:t>Szczecinie</w:t>
      </w:r>
    </w:p>
    <w:p w14:paraId="18780C20" w14:textId="77777777" w:rsidR="00B66FCE" w:rsidRPr="004C6CC5" w:rsidRDefault="00B66FCE" w:rsidP="008D2321">
      <w:pPr>
        <w:widowControl w:val="0"/>
        <w:suppressAutoHyphens/>
        <w:spacing w:after="0" w:line="276" w:lineRule="auto"/>
        <w:ind w:left="720"/>
        <w:jc w:val="both"/>
        <w:rPr>
          <w:rFonts w:ascii="Arial" w:hAnsi="Arial" w:cs="Arial"/>
          <w:b/>
          <w:bCs/>
          <w:sz w:val="20"/>
          <w:szCs w:val="20"/>
        </w:rPr>
      </w:pPr>
    </w:p>
    <w:p w14:paraId="5B3CE55F" w14:textId="575027FC" w:rsidR="00A05A12" w:rsidRPr="00D05298" w:rsidRDefault="00D05298" w:rsidP="008D2321">
      <w:pPr>
        <w:spacing w:line="276" w:lineRule="auto"/>
        <w:jc w:val="both"/>
        <w:rPr>
          <w:rFonts w:ascii="Arial" w:hAnsi="Arial" w:cs="Arial"/>
          <w:sz w:val="20"/>
          <w:szCs w:val="20"/>
        </w:rPr>
      </w:pPr>
      <w:r>
        <w:rPr>
          <w:rFonts w:ascii="Arial" w:hAnsi="Arial" w:cs="Arial"/>
          <w:sz w:val="20"/>
          <w:szCs w:val="20"/>
        </w:rPr>
        <w:t>W dniu 13 lutego 2019 r.</w:t>
      </w:r>
      <w:r w:rsidR="00A05A12" w:rsidRPr="004C6CC5">
        <w:rPr>
          <w:rFonts w:ascii="Arial" w:hAnsi="Arial" w:cs="Arial"/>
          <w:sz w:val="20"/>
          <w:szCs w:val="20"/>
        </w:rPr>
        <w:t xml:space="preserve"> zakończono proces zbierania uwag</w:t>
      </w:r>
      <w:r w:rsidR="004C6CC5">
        <w:rPr>
          <w:rFonts w:ascii="Arial" w:hAnsi="Arial" w:cs="Arial"/>
          <w:sz w:val="20"/>
          <w:szCs w:val="20"/>
        </w:rPr>
        <w:t xml:space="preserve"> i </w:t>
      </w:r>
      <w:r w:rsidR="00A05A12" w:rsidRPr="004C6CC5">
        <w:rPr>
          <w:rFonts w:ascii="Arial" w:hAnsi="Arial" w:cs="Arial"/>
          <w:sz w:val="20"/>
          <w:szCs w:val="20"/>
        </w:rPr>
        <w:t>wniosków do projektów planów zagospodarowania przestrzennego polskich obszarów morskich dla Zalewu Szczecińskiego</w:t>
      </w:r>
      <w:r w:rsidR="004C6CC5">
        <w:rPr>
          <w:rFonts w:ascii="Arial" w:hAnsi="Arial" w:cs="Arial"/>
          <w:sz w:val="20"/>
          <w:szCs w:val="20"/>
        </w:rPr>
        <w:t xml:space="preserve"> i </w:t>
      </w:r>
      <w:r w:rsidR="00A05A12" w:rsidRPr="004C6CC5">
        <w:rPr>
          <w:rFonts w:ascii="Arial" w:hAnsi="Arial" w:cs="Arial"/>
          <w:sz w:val="20"/>
          <w:szCs w:val="20"/>
        </w:rPr>
        <w:t>Kamieńskiego wraz</w:t>
      </w:r>
      <w:r w:rsidR="004C6CC5">
        <w:rPr>
          <w:rFonts w:ascii="Arial" w:hAnsi="Arial" w:cs="Arial"/>
          <w:sz w:val="20"/>
          <w:szCs w:val="20"/>
        </w:rPr>
        <w:t xml:space="preserve"> z </w:t>
      </w:r>
      <w:r w:rsidR="007733DA">
        <w:rPr>
          <w:rFonts w:ascii="Arial" w:hAnsi="Arial" w:cs="Arial"/>
          <w:sz w:val="20"/>
          <w:szCs w:val="20"/>
        </w:rPr>
        <w:t>oceną</w:t>
      </w:r>
      <w:r w:rsidR="00A05A12" w:rsidRPr="004C6CC5">
        <w:rPr>
          <w:rFonts w:ascii="Arial" w:hAnsi="Arial" w:cs="Arial"/>
          <w:sz w:val="20"/>
          <w:szCs w:val="20"/>
        </w:rPr>
        <w:t xml:space="preserve"> oddziaływania na środowisko (Projekty zostały wyłożone do publicznej konsultacji </w:t>
      </w:r>
      <w:r w:rsidR="00BE3C19">
        <w:rPr>
          <w:rFonts w:ascii="Arial" w:hAnsi="Arial" w:cs="Arial"/>
          <w:sz w:val="20"/>
          <w:szCs w:val="20"/>
        </w:rPr>
        <w:t>w dniu 27 grudnia 2018 r.</w:t>
      </w:r>
      <w:r w:rsidR="00A05A12" w:rsidRPr="004C6CC5">
        <w:rPr>
          <w:rFonts w:ascii="Arial" w:hAnsi="Arial" w:cs="Arial"/>
          <w:sz w:val="20"/>
          <w:szCs w:val="20"/>
        </w:rPr>
        <w:t xml:space="preserve">). Dnia 16 stycznia </w:t>
      </w:r>
      <w:r w:rsidR="00BE3C19">
        <w:rPr>
          <w:rFonts w:ascii="Arial" w:hAnsi="Arial" w:cs="Arial"/>
          <w:sz w:val="20"/>
          <w:szCs w:val="20"/>
        </w:rPr>
        <w:t xml:space="preserve">2019 r. </w:t>
      </w:r>
      <w:r w:rsidR="00A05A12" w:rsidRPr="004C6CC5">
        <w:rPr>
          <w:rFonts w:ascii="Arial" w:hAnsi="Arial" w:cs="Arial"/>
          <w:sz w:val="20"/>
          <w:szCs w:val="20"/>
        </w:rPr>
        <w:t>odbyła się publiczna debata nad projektami planów</w:t>
      </w:r>
      <w:r w:rsidR="004C6CC5">
        <w:rPr>
          <w:rFonts w:ascii="Arial" w:hAnsi="Arial" w:cs="Arial"/>
          <w:sz w:val="20"/>
          <w:szCs w:val="20"/>
        </w:rPr>
        <w:t xml:space="preserve"> w </w:t>
      </w:r>
      <w:r w:rsidR="00A05A12" w:rsidRPr="004C6CC5">
        <w:rPr>
          <w:rFonts w:ascii="Arial" w:hAnsi="Arial" w:cs="Arial"/>
          <w:sz w:val="20"/>
          <w:szCs w:val="20"/>
        </w:rPr>
        <w:t>siedzibie Urzędu Morskiego</w:t>
      </w:r>
      <w:r w:rsidR="007733DA">
        <w:rPr>
          <w:rFonts w:ascii="Arial" w:hAnsi="Arial" w:cs="Arial"/>
          <w:sz w:val="20"/>
          <w:szCs w:val="20"/>
        </w:rPr>
        <w:t xml:space="preserve"> w Szczecinie</w:t>
      </w:r>
      <w:r w:rsidR="00A05A12" w:rsidRPr="004C6CC5">
        <w:rPr>
          <w:rFonts w:ascii="Arial" w:hAnsi="Arial" w:cs="Arial"/>
          <w:sz w:val="20"/>
          <w:szCs w:val="20"/>
        </w:rPr>
        <w:t>. Po zakończeniu procesu zbierania uwag</w:t>
      </w:r>
      <w:r w:rsidR="004C6CC5">
        <w:rPr>
          <w:rFonts w:ascii="Arial" w:hAnsi="Arial" w:cs="Arial"/>
          <w:sz w:val="20"/>
          <w:szCs w:val="20"/>
        </w:rPr>
        <w:t xml:space="preserve"> i </w:t>
      </w:r>
      <w:r w:rsidR="00A05A12" w:rsidRPr="004C6CC5">
        <w:rPr>
          <w:rFonts w:ascii="Arial" w:hAnsi="Arial" w:cs="Arial"/>
          <w:sz w:val="20"/>
          <w:szCs w:val="20"/>
        </w:rPr>
        <w:t>wniosków projekty zostały przekazane do ponownych uzgodnień</w:t>
      </w:r>
      <w:r w:rsidR="004C6CC5">
        <w:rPr>
          <w:rFonts w:ascii="Arial" w:hAnsi="Arial" w:cs="Arial"/>
          <w:sz w:val="20"/>
          <w:szCs w:val="20"/>
        </w:rPr>
        <w:t xml:space="preserve"> z </w:t>
      </w:r>
      <w:r w:rsidR="00A05A12" w:rsidRPr="004C6CC5">
        <w:rPr>
          <w:rFonts w:ascii="Arial" w:hAnsi="Arial" w:cs="Arial"/>
          <w:sz w:val="20"/>
          <w:szCs w:val="20"/>
        </w:rPr>
        <w:t>właściwymi organami projektu planu, zgodnie</w:t>
      </w:r>
      <w:r w:rsidR="004C6CC5">
        <w:rPr>
          <w:rFonts w:ascii="Arial" w:hAnsi="Arial" w:cs="Arial"/>
          <w:sz w:val="20"/>
          <w:szCs w:val="20"/>
        </w:rPr>
        <w:t xml:space="preserve"> z </w:t>
      </w:r>
      <w:r w:rsidR="00A05A12" w:rsidRPr="004C6CC5">
        <w:rPr>
          <w:rFonts w:ascii="Arial" w:hAnsi="Arial" w:cs="Arial"/>
          <w:sz w:val="20"/>
          <w:szCs w:val="20"/>
        </w:rPr>
        <w:t>procedurą określoną</w:t>
      </w:r>
      <w:r w:rsidR="004C6CC5">
        <w:rPr>
          <w:rFonts w:ascii="Arial" w:hAnsi="Arial" w:cs="Arial"/>
          <w:sz w:val="20"/>
          <w:szCs w:val="20"/>
        </w:rPr>
        <w:t xml:space="preserve"> w </w:t>
      </w:r>
      <w:r w:rsidR="00A05A12" w:rsidRPr="004C6CC5">
        <w:rPr>
          <w:rFonts w:ascii="Arial" w:hAnsi="Arial" w:cs="Arial"/>
          <w:sz w:val="20"/>
          <w:szCs w:val="20"/>
        </w:rPr>
        <w:t>artykule 37e ust.</w:t>
      </w:r>
      <w:r w:rsidR="00B66FCE" w:rsidRPr="004C6CC5">
        <w:rPr>
          <w:rFonts w:ascii="Arial" w:hAnsi="Arial" w:cs="Arial"/>
          <w:sz w:val="20"/>
          <w:szCs w:val="20"/>
        </w:rPr>
        <w:t xml:space="preserve"> 1 </w:t>
      </w:r>
      <w:r w:rsidR="00A05A12" w:rsidRPr="004C6CC5">
        <w:rPr>
          <w:rFonts w:ascii="Arial" w:hAnsi="Arial" w:cs="Arial"/>
          <w:sz w:val="20"/>
          <w:szCs w:val="20"/>
        </w:rPr>
        <w:t>pkt. 8 ustawy</w:t>
      </w:r>
      <w:r w:rsidR="004C6CC5">
        <w:rPr>
          <w:rFonts w:ascii="Arial" w:hAnsi="Arial" w:cs="Arial"/>
          <w:sz w:val="20"/>
          <w:szCs w:val="20"/>
        </w:rPr>
        <w:t xml:space="preserve"> z </w:t>
      </w:r>
      <w:r w:rsidR="00A05A12" w:rsidRPr="004C6CC5">
        <w:rPr>
          <w:rFonts w:ascii="Arial" w:hAnsi="Arial" w:cs="Arial"/>
          <w:sz w:val="20"/>
          <w:szCs w:val="20"/>
        </w:rPr>
        <w:t xml:space="preserve">dnia 21 marca </w:t>
      </w:r>
      <w:r w:rsidR="00161D29">
        <w:rPr>
          <w:rFonts w:ascii="Arial" w:hAnsi="Arial" w:cs="Arial"/>
          <w:sz w:val="20"/>
          <w:szCs w:val="20"/>
        </w:rPr>
        <w:br/>
      </w:r>
      <w:r w:rsidR="00A05A12" w:rsidRPr="004C6CC5">
        <w:rPr>
          <w:rFonts w:ascii="Arial" w:hAnsi="Arial" w:cs="Arial"/>
          <w:sz w:val="20"/>
          <w:szCs w:val="20"/>
        </w:rPr>
        <w:t>1991</w:t>
      </w:r>
      <w:r w:rsidR="009D01B9" w:rsidRPr="004C6CC5">
        <w:rPr>
          <w:rFonts w:ascii="Arial" w:hAnsi="Arial" w:cs="Arial"/>
          <w:sz w:val="20"/>
          <w:szCs w:val="20"/>
        </w:rPr>
        <w:t xml:space="preserve"> r. </w:t>
      </w:r>
      <w:r w:rsidR="00A05A12" w:rsidRPr="00D05298">
        <w:rPr>
          <w:rFonts w:ascii="Arial" w:hAnsi="Arial" w:cs="Arial"/>
          <w:iCs/>
          <w:sz w:val="20"/>
          <w:szCs w:val="20"/>
        </w:rPr>
        <w:t>o obszarach morskich Rzeczypospolitej Polski</w:t>
      </w:r>
      <w:r w:rsidR="004C6CC5" w:rsidRPr="00D05298">
        <w:rPr>
          <w:rFonts w:ascii="Arial" w:hAnsi="Arial" w:cs="Arial"/>
          <w:iCs/>
          <w:sz w:val="20"/>
          <w:szCs w:val="20"/>
        </w:rPr>
        <w:t xml:space="preserve"> i </w:t>
      </w:r>
      <w:r w:rsidR="00A05A12" w:rsidRPr="00D05298">
        <w:rPr>
          <w:rFonts w:ascii="Arial" w:hAnsi="Arial" w:cs="Arial"/>
          <w:iCs/>
          <w:sz w:val="20"/>
          <w:szCs w:val="20"/>
        </w:rPr>
        <w:t>administracji morskiej</w:t>
      </w:r>
      <w:r w:rsidR="00A05A12" w:rsidRPr="00D05298">
        <w:rPr>
          <w:rFonts w:ascii="Arial" w:hAnsi="Arial" w:cs="Arial"/>
          <w:sz w:val="20"/>
          <w:szCs w:val="20"/>
        </w:rPr>
        <w:t>.</w:t>
      </w:r>
    </w:p>
    <w:p w14:paraId="6CFC0F05" w14:textId="091F7D60" w:rsidR="00A05A12" w:rsidRPr="004C6CC5" w:rsidRDefault="00D05298" w:rsidP="008D2321">
      <w:pPr>
        <w:spacing w:line="276" w:lineRule="auto"/>
        <w:jc w:val="both"/>
        <w:rPr>
          <w:rFonts w:ascii="Arial" w:hAnsi="Arial" w:cs="Arial"/>
          <w:sz w:val="20"/>
          <w:szCs w:val="20"/>
        </w:rPr>
      </w:pPr>
      <w:r>
        <w:rPr>
          <w:rFonts w:ascii="Arial" w:hAnsi="Arial" w:cs="Arial"/>
          <w:sz w:val="20"/>
          <w:szCs w:val="20"/>
        </w:rPr>
        <w:t>W dniu 23 maja 2019 r.</w:t>
      </w:r>
      <w:r w:rsidR="004C6CC5">
        <w:rPr>
          <w:rFonts w:ascii="Arial" w:hAnsi="Arial" w:cs="Arial"/>
          <w:sz w:val="20"/>
          <w:szCs w:val="20"/>
        </w:rPr>
        <w:t xml:space="preserve"> w </w:t>
      </w:r>
      <w:r w:rsidR="00A05A12" w:rsidRPr="004C6CC5">
        <w:rPr>
          <w:rFonts w:ascii="Arial" w:hAnsi="Arial" w:cs="Arial"/>
          <w:sz w:val="20"/>
          <w:szCs w:val="20"/>
        </w:rPr>
        <w:t>siedzibie Urzędu Morskiego</w:t>
      </w:r>
      <w:r w:rsidR="0040367A">
        <w:rPr>
          <w:rFonts w:ascii="Arial" w:hAnsi="Arial" w:cs="Arial"/>
          <w:sz w:val="20"/>
          <w:szCs w:val="20"/>
        </w:rPr>
        <w:t xml:space="preserve"> w </w:t>
      </w:r>
      <w:r w:rsidR="00A05A12" w:rsidRPr="004C6CC5">
        <w:rPr>
          <w:rFonts w:ascii="Arial" w:hAnsi="Arial" w:cs="Arial"/>
          <w:sz w:val="20"/>
          <w:szCs w:val="20"/>
        </w:rPr>
        <w:t>Szczecinie odbyło się spotkanie</w:t>
      </w:r>
      <w:r w:rsidR="004C6CC5">
        <w:rPr>
          <w:rFonts w:ascii="Arial" w:hAnsi="Arial" w:cs="Arial"/>
          <w:sz w:val="20"/>
          <w:szCs w:val="20"/>
        </w:rPr>
        <w:t xml:space="preserve"> z </w:t>
      </w:r>
      <w:r w:rsidR="00A05A12" w:rsidRPr="004C6CC5">
        <w:rPr>
          <w:rFonts w:ascii="Arial" w:hAnsi="Arial" w:cs="Arial"/>
          <w:sz w:val="20"/>
          <w:szCs w:val="20"/>
        </w:rPr>
        <w:t>przedstawicielami Republiki Federalnej Niemiec</w:t>
      </w:r>
      <w:r w:rsidR="0040367A">
        <w:rPr>
          <w:rFonts w:ascii="Arial" w:hAnsi="Arial" w:cs="Arial"/>
          <w:sz w:val="20"/>
          <w:szCs w:val="20"/>
        </w:rPr>
        <w:t xml:space="preserve"> w </w:t>
      </w:r>
      <w:r w:rsidR="00A05A12" w:rsidRPr="004C6CC5">
        <w:rPr>
          <w:rFonts w:ascii="Arial" w:hAnsi="Arial" w:cs="Arial"/>
          <w:sz w:val="20"/>
          <w:szCs w:val="20"/>
        </w:rPr>
        <w:t>sprawie planów zagospodarowania przestrzennego morskich wód wewnętrznych zalewu Szczecińskiego. Strona niemiecka była reprezentowana przez przedstawicieli Ministerstwa Energii, Infrastruktury</w:t>
      </w:r>
      <w:r w:rsidR="004C6CC5">
        <w:rPr>
          <w:rFonts w:ascii="Arial" w:hAnsi="Arial" w:cs="Arial"/>
          <w:sz w:val="20"/>
          <w:szCs w:val="20"/>
        </w:rPr>
        <w:t xml:space="preserve"> i </w:t>
      </w:r>
      <w:r w:rsidR="00A05A12" w:rsidRPr="004C6CC5">
        <w:rPr>
          <w:rFonts w:ascii="Arial" w:hAnsi="Arial" w:cs="Arial"/>
          <w:sz w:val="20"/>
          <w:szCs w:val="20"/>
        </w:rPr>
        <w:t>Rozwoju Kraju Meklemburgii - Pomorza Przedniego, Biura Planowania Przestrzennego</w:t>
      </w:r>
      <w:r w:rsidR="004C6CC5">
        <w:rPr>
          <w:rFonts w:ascii="Arial" w:hAnsi="Arial" w:cs="Arial"/>
          <w:sz w:val="20"/>
          <w:szCs w:val="20"/>
        </w:rPr>
        <w:t xml:space="preserve"> i </w:t>
      </w:r>
      <w:r w:rsidR="00A05A12" w:rsidRPr="004C6CC5">
        <w:rPr>
          <w:rFonts w:ascii="Arial" w:hAnsi="Arial" w:cs="Arial"/>
          <w:sz w:val="20"/>
          <w:szCs w:val="20"/>
        </w:rPr>
        <w:t>Zagospodarowania Pomorza Przedniego oraz Federalnego Urzędu Żeglugi Morskiej</w:t>
      </w:r>
      <w:r w:rsidR="004C6CC5">
        <w:rPr>
          <w:rFonts w:ascii="Arial" w:hAnsi="Arial" w:cs="Arial"/>
          <w:sz w:val="20"/>
          <w:szCs w:val="20"/>
        </w:rPr>
        <w:t xml:space="preserve"> i </w:t>
      </w:r>
      <w:r w:rsidR="00A05A12" w:rsidRPr="004C6CC5">
        <w:rPr>
          <w:rFonts w:ascii="Arial" w:hAnsi="Arial" w:cs="Arial"/>
          <w:sz w:val="20"/>
          <w:szCs w:val="20"/>
        </w:rPr>
        <w:t xml:space="preserve">Hydrografii. Stronę polską reprezentowali pracownicy </w:t>
      </w:r>
      <w:r w:rsidR="0040367A">
        <w:rPr>
          <w:rFonts w:ascii="Arial" w:hAnsi="Arial" w:cs="Arial"/>
          <w:sz w:val="20"/>
          <w:szCs w:val="20"/>
        </w:rPr>
        <w:t>u</w:t>
      </w:r>
      <w:r w:rsidR="00A05A12" w:rsidRPr="004C6CC5">
        <w:rPr>
          <w:rFonts w:ascii="Arial" w:hAnsi="Arial" w:cs="Arial"/>
          <w:sz w:val="20"/>
          <w:szCs w:val="20"/>
        </w:rPr>
        <w:t xml:space="preserve">rzędu </w:t>
      </w:r>
      <w:r w:rsidR="0040367A">
        <w:rPr>
          <w:rFonts w:ascii="Arial" w:hAnsi="Arial" w:cs="Arial"/>
          <w:sz w:val="20"/>
          <w:szCs w:val="20"/>
        </w:rPr>
        <w:t>m</w:t>
      </w:r>
      <w:r w:rsidR="00A05A12" w:rsidRPr="004C6CC5">
        <w:rPr>
          <w:rFonts w:ascii="Arial" w:hAnsi="Arial" w:cs="Arial"/>
          <w:sz w:val="20"/>
          <w:szCs w:val="20"/>
        </w:rPr>
        <w:t>orskiego, pracownicy Ministerstwa Gospodarki Morskiej</w:t>
      </w:r>
      <w:r w:rsidR="00CC2F87">
        <w:rPr>
          <w:rFonts w:ascii="Arial" w:hAnsi="Arial" w:cs="Arial"/>
          <w:sz w:val="20"/>
          <w:szCs w:val="20"/>
        </w:rPr>
        <w:t xml:space="preserve"> i </w:t>
      </w:r>
      <w:r w:rsidR="0040367A">
        <w:rPr>
          <w:rFonts w:ascii="Arial" w:hAnsi="Arial" w:cs="Arial"/>
          <w:sz w:val="20"/>
          <w:szCs w:val="20"/>
        </w:rPr>
        <w:t>Żeglugi Śródlądowej</w:t>
      </w:r>
      <w:r w:rsidR="00A05A12" w:rsidRPr="004C6CC5">
        <w:rPr>
          <w:rFonts w:ascii="Arial" w:hAnsi="Arial" w:cs="Arial"/>
          <w:sz w:val="20"/>
          <w:szCs w:val="20"/>
        </w:rPr>
        <w:t xml:space="preserve"> oraz wykonawcy opracowania. Celem spotkania było przedstawienie stronie niem</w:t>
      </w:r>
      <w:r w:rsidR="00CC2F87">
        <w:rPr>
          <w:rFonts w:ascii="Arial" w:hAnsi="Arial" w:cs="Arial"/>
          <w:sz w:val="20"/>
          <w:szCs w:val="20"/>
        </w:rPr>
        <w:t>ieckiej planu zagospodarowania Z</w:t>
      </w:r>
      <w:r w:rsidR="00A05A12" w:rsidRPr="004C6CC5">
        <w:rPr>
          <w:rFonts w:ascii="Arial" w:hAnsi="Arial" w:cs="Arial"/>
          <w:sz w:val="20"/>
          <w:szCs w:val="20"/>
        </w:rPr>
        <w:t>alewu Szczecińskiego oraz prezentacja oceny oddziaływania na środowisko.</w:t>
      </w:r>
    </w:p>
    <w:p w14:paraId="25E8FF87" w14:textId="63BDA45C" w:rsidR="00AD3814" w:rsidRPr="00460349" w:rsidRDefault="00B0123C" w:rsidP="00460349">
      <w:pPr>
        <w:pStyle w:val="Nagwek2"/>
        <w:spacing w:before="120" w:after="120"/>
        <w:jc w:val="both"/>
        <w:rPr>
          <w:rFonts w:ascii="Arial" w:hAnsi="Arial" w:cs="Arial"/>
          <w:b/>
          <w:color w:val="auto"/>
          <w:sz w:val="20"/>
          <w:szCs w:val="20"/>
        </w:rPr>
      </w:pPr>
      <w:bookmarkStart w:id="61" w:name="_Toc72745073"/>
      <w:r w:rsidRPr="00CC2F87">
        <w:rPr>
          <w:rFonts w:ascii="Arial" w:hAnsi="Arial" w:cs="Arial"/>
          <w:b/>
          <w:color w:val="auto"/>
          <w:sz w:val="20"/>
          <w:szCs w:val="20"/>
        </w:rPr>
        <w:t>System Informacji Przestrzennej Administracji Morskiej (SIPAM)</w:t>
      </w:r>
      <w:r w:rsidR="00460349">
        <w:rPr>
          <w:rFonts w:ascii="Arial" w:hAnsi="Arial" w:cs="Arial"/>
          <w:b/>
          <w:color w:val="auto"/>
          <w:sz w:val="20"/>
          <w:szCs w:val="20"/>
        </w:rPr>
        <w:t>.</w:t>
      </w:r>
      <w:bookmarkEnd w:id="61"/>
    </w:p>
    <w:p w14:paraId="2F944454" w14:textId="2DFC6EB5" w:rsidR="00B0123C" w:rsidRPr="004C6CC5" w:rsidRDefault="00B0123C" w:rsidP="008D2321">
      <w:pPr>
        <w:spacing w:before="120" w:after="120" w:line="276" w:lineRule="auto"/>
        <w:jc w:val="both"/>
        <w:rPr>
          <w:rFonts w:ascii="Arial" w:hAnsi="Arial" w:cs="Arial"/>
          <w:sz w:val="20"/>
          <w:szCs w:val="20"/>
        </w:rPr>
      </w:pPr>
      <w:r w:rsidRPr="004C6CC5">
        <w:rPr>
          <w:rFonts w:ascii="Arial" w:hAnsi="Arial" w:cs="Arial"/>
          <w:sz w:val="20"/>
          <w:szCs w:val="20"/>
        </w:rPr>
        <w:t>Liderem projektu jest Ministerstwo Gospodarki Morskiej</w:t>
      </w:r>
      <w:r w:rsidR="004C6CC5">
        <w:rPr>
          <w:rFonts w:ascii="Arial" w:hAnsi="Arial" w:cs="Arial"/>
          <w:sz w:val="20"/>
          <w:szCs w:val="20"/>
        </w:rPr>
        <w:t xml:space="preserve"> i </w:t>
      </w:r>
      <w:r w:rsidRPr="004C6CC5">
        <w:rPr>
          <w:rFonts w:ascii="Arial" w:hAnsi="Arial" w:cs="Arial"/>
          <w:sz w:val="20"/>
          <w:szCs w:val="20"/>
        </w:rPr>
        <w:t>Żeglugi Śródlądowej, a partnerami urzędy morskie</w:t>
      </w:r>
      <w:r w:rsidR="004C6CC5">
        <w:rPr>
          <w:rFonts w:ascii="Arial" w:hAnsi="Arial" w:cs="Arial"/>
          <w:sz w:val="20"/>
          <w:szCs w:val="20"/>
        </w:rPr>
        <w:t xml:space="preserve"> w </w:t>
      </w:r>
      <w:r w:rsidR="00204EEC">
        <w:rPr>
          <w:rFonts w:ascii="Arial" w:hAnsi="Arial" w:cs="Arial"/>
          <w:sz w:val="20"/>
          <w:szCs w:val="20"/>
        </w:rPr>
        <w:t xml:space="preserve">Gdyni, Słupsku </w:t>
      </w:r>
      <w:r w:rsidR="004C6CC5">
        <w:rPr>
          <w:rFonts w:ascii="Arial" w:hAnsi="Arial" w:cs="Arial"/>
          <w:sz w:val="20"/>
          <w:szCs w:val="20"/>
        </w:rPr>
        <w:t>i </w:t>
      </w:r>
      <w:r w:rsidRPr="004C6CC5">
        <w:rPr>
          <w:rFonts w:ascii="Arial" w:hAnsi="Arial" w:cs="Arial"/>
          <w:sz w:val="20"/>
          <w:szCs w:val="20"/>
        </w:rPr>
        <w:t>Szczecinie. Głównym celem przedsięwzięcia jest cyfryzacja</w:t>
      </w:r>
      <w:r w:rsidR="004C6CC5">
        <w:rPr>
          <w:rFonts w:ascii="Arial" w:hAnsi="Arial" w:cs="Arial"/>
          <w:sz w:val="20"/>
          <w:szCs w:val="20"/>
        </w:rPr>
        <w:t xml:space="preserve"> i </w:t>
      </w:r>
      <w:r w:rsidRPr="004C6CC5">
        <w:rPr>
          <w:rFonts w:ascii="Arial" w:hAnsi="Arial" w:cs="Arial"/>
          <w:sz w:val="20"/>
          <w:szCs w:val="20"/>
        </w:rPr>
        <w:t>udostępnianie danych przestrzennych gromadzonych przez administrację morską poprzez digitalizację zasobów analogowych, integrację</w:t>
      </w:r>
      <w:r w:rsidR="004C6CC5">
        <w:rPr>
          <w:rFonts w:ascii="Arial" w:hAnsi="Arial" w:cs="Arial"/>
          <w:sz w:val="20"/>
          <w:szCs w:val="20"/>
        </w:rPr>
        <w:t xml:space="preserve"> i </w:t>
      </w:r>
      <w:r w:rsidRPr="004C6CC5">
        <w:rPr>
          <w:rFonts w:ascii="Arial" w:hAnsi="Arial" w:cs="Arial"/>
          <w:sz w:val="20"/>
          <w:szCs w:val="20"/>
        </w:rPr>
        <w:t xml:space="preserve">harmonizację danych oraz zbudowanie cyfrowego repozytorium, a także upowszechnienie informacji na temat zgromadzonych zasobów poprzez promocję wśród odbiorców. </w:t>
      </w:r>
    </w:p>
    <w:p w14:paraId="660E2840" w14:textId="6E053A0F" w:rsidR="00B0123C" w:rsidRPr="004C6CC5" w:rsidRDefault="00B0123C" w:rsidP="008D2321">
      <w:pPr>
        <w:spacing w:before="120" w:after="120" w:line="276" w:lineRule="auto"/>
        <w:jc w:val="both"/>
        <w:rPr>
          <w:rFonts w:ascii="Arial" w:hAnsi="Arial" w:cs="Arial"/>
          <w:sz w:val="20"/>
          <w:szCs w:val="20"/>
        </w:rPr>
      </w:pPr>
      <w:r w:rsidRPr="004C6CC5">
        <w:rPr>
          <w:rFonts w:ascii="Arial" w:hAnsi="Arial" w:cs="Arial"/>
          <w:sz w:val="20"/>
          <w:szCs w:val="20"/>
        </w:rPr>
        <w:t>Na początku 2019</w:t>
      </w:r>
      <w:r w:rsidR="009D01B9" w:rsidRPr="004C6CC5">
        <w:rPr>
          <w:rFonts w:ascii="Arial" w:hAnsi="Arial" w:cs="Arial"/>
          <w:sz w:val="20"/>
          <w:szCs w:val="20"/>
        </w:rPr>
        <w:t xml:space="preserve"> r. </w:t>
      </w:r>
      <w:r w:rsidRPr="004C6CC5">
        <w:rPr>
          <w:rFonts w:ascii="Arial" w:hAnsi="Arial" w:cs="Arial"/>
          <w:sz w:val="20"/>
          <w:szCs w:val="20"/>
        </w:rPr>
        <w:t>odebrano ostatnie produkty</w:t>
      </w:r>
      <w:r w:rsidR="004C6CC5">
        <w:rPr>
          <w:rFonts w:ascii="Arial" w:hAnsi="Arial" w:cs="Arial"/>
          <w:sz w:val="20"/>
          <w:szCs w:val="20"/>
        </w:rPr>
        <w:t xml:space="preserve"> w </w:t>
      </w:r>
      <w:r w:rsidRPr="004C6CC5">
        <w:rPr>
          <w:rFonts w:ascii="Arial" w:hAnsi="Arial" w:cs="Arial"/>
          <w:sz w:val="20"/>
          <w:szCs w:val="20"/>
        </w:rPr>
        <w:t>ramach umowy na dostawę</w:t>
      </w:r>
      <w:r w:rsidR="004C6CC5">
        <w:rPr>
          <w:rFonts w:ascii="Arial" w:hAnsi="Arial" w:cs="Arial"/>
          <w:sz w:val="20"/>
          <w:szCs w:val="20"/>
        </w:rPr>
        <w:t xml:space="preserve"> i </w:t>
      </w:r>
      <w:r w:rsidRPr="004C6CC5">
        <w:rPr>
          <w:rFonts w:ascii="Arial" w:hAnsi="Arial" w:cs="Arial"/>
          <w:sz w:val="20"/>
          <w:szCs w:val="20"/>
        </w:rPr>
        <w:t>instalację infrastruktury sprzętowo</w:t>
      </w:r>
      <w:r w:rsidR="00204EEC">
        <w:rPr>
          <w:rFonts w:ascii="Arial" w:hAnsi="Arial" w:cs="Arial"/>
          <w:sz w:val="20"/>
          <w:szCs w:val="20"/>
        </w:rPr>
        <w:t xml:space="preserve"> </w:t>
      </w:r>
      <w:r w:rsidRPr="004C6CC5">
        <w:rPr>
          <w:rFonts w:ascii="Arial" w:hAnsi="Arial" w:cs="Arial"/>
          <w:sz w:val="20"/>
          <w:szCs w:val="20"/>
        </w:rPr>
        <w:t>-</w:t>
      </w:r>
      <w:r w:rsidR="00204EEC">
        <w:rPr>
          <w:rFonts w:ascii="Arial" w:hAnsi="Arial" w:cs="Arial"/>
          <w:sz w:val="20"/>
          <w:szCs w:val="20"/>
        </w:rPr>
        <w:t xml:space="preserve"> </w:t>
      </w:r>
      <w:r w:rsidRPr="004C6CC5">
        <w:rPr>
          <w:rFonts w:ascii="Arial" w:hAnsi="Arial" w:cs="Arial"/>
          <w:sz w:val="20"/>
          <w:szCs w:val="20"/>
        </w:rPr>
        <w:t xml:space="preserve">programowej na potrzeby wdrożenia projektu „System Informacji Przestrzennej Administracji Morskiej (SIPAM). </w:t>
      </w:r>
    </w:p>
    <w:p w14:paraId="482B0201" w14:textId="387E9EE1" w:rsidR="00B0123C" w:rsidRPr="004C6CC5" w:rsidRDefault="00B0123C" w:rsidP="008D2321">
      <w:pPr>
        <w:spacing w:before="120" w:after="120" w:line="276" w:lineRule="auto"/>
        <w:jc w:val="both"/>
        <w:rPr>
          <w:rFonts w:ascii="Arial" w:hAnsi="Arial" w:cs="Arial"/>
          <w:sz w:val="20"/>
          <w:szCs w:val="20"/>
        </w:rPr>
      </w:pPr>
      <w:r w:rsidRPr="004C6CC5">
        <w:rPr>
          <w:rFonts w:ascii="Arial" w:hAnsi="Arial" w:cs="Arial"/>
          <w:sz w:val="20"/>
          <w:szCs w:val="20"/>
        </w:rPr>
        <w:t xml:space="preserve">Przeprowadzono także postępowanie o udzielenie zamówienia publicznego na </w:t>
      </w:r>
      <w:r w:rsidR="00204EEC">
        <w:rPr>
          <w:rFonts w:ascii="Arial" w:hAnsi="Arial" w:cs="Arial"/>
          <w:sz w:val="20"/>
          <w:szCs w:val="20"/>
        </w:rPr>
        <w:t>„</w:t>
      </w:r>
      <w:r w:rsidRPr="004C6CC5">
        <w:rPr>
          <w:rFonts w:ascii="Arial" w:hAnsi="Arial" w:cs="Arial"/>
          <w:sz w:val="20"/>
          <w:szCs w:val="20"/>
        </w:rPr>
        <w:t>Zaprojektowanie, budowę</w:t>
      </w:r>
      <w:r w:rsidR="004C6CC5">
        <w:rPr>
          <w:rFonts w:ascii="Arial" w:hAnsi="Arial" w:cs="Arial"/>
          <w:sz w:val="20"/>
          <w:szCs w:val="20"/>
        </w:rPr>
        <w:t xml:space="preserve"> i </w:t>
      </w:r>
      <w:r w:rsidRPr="004C6CC5">
        <w:rPr>
          <w:rFonts w:ascii="Arial" w:hAnsi="Arial" w:cs="Arial"/>
          <w:sz w:val="20"/>
          <w:szCs w:val="20"/>
        </w:rPr>
        <w:t>wdrożenie Systemu Informacji Przestrzennej</w:t>
      </w:r>
      <w:r w:rsidR="00204EEC">
        <w:rPr>
          <w:rFonts w:ascii="Arial" w:hAnsi="Arial" w:cs="Arial"/>
          <w:sz w:val="20"/>
          <w:szCs w:val="20"/>
        </w:rPr>
        <w:t xml:space="preserve"> Administracji Morskiej (SIPAM) </w:t>
      </w:r>
      <w:r w:rsidRPr="004C6CC5">
        <w:rPr>
          <w:rFonts w:ascii="Arial" w:hAnsi="Arial" w:cs="Arial"/>
          <w:sz w:val="20"/>
          <w:szCs w:val="20"/>
        </w:rPr>
        <w:t>wraz</w:t>
      </w:r>
      <w:r w:rsidR="004C6CC5">
        <w:rPr>
          <w:rFonts w:ascii="Arial" w:hAnsi="Arial" w:cs="Arial"/>
          <w:sz w:val="20"/>
          <w:szCs w:val="20"/>
        </w:rPr>
        <w:t xml:space="preserve"> z </w:t>
      </w:r>
      <w:r w:rsidRPr="004C6CC5">
        <w:rPr>
          <w:rFonts w:ascii="Arial" w:hAnsi="Arial" w:cs="Arial"/>
          <w:sz w:val="20"/>
          <w:szCs w:val="20"/>
        </w:rPr>
        <w:t>przetworzeniem</w:t>
      </w:r>
      <w:r w:rsidR="004C6CC5">
        <w:rPr>
          <w:rFonts w:ascii="Arial" w:hAnsi="Arial" w:cs="Arial"/>
          <w:sz w:val="20"/>
          <w:szCs w:val="20"/>
        </w:rPr>
        <w:t xml:space="preserve"> i </w:t>
      </w:r>
      <w:r w:rsidR="0090667B">
        <w:rPr>
          <w:rFonts w:ascii="Arial" w:hAnsi="Arial" w:cs="Arial"/>
          <w:sz w:val="20"/>
          <w:szCs w:val="20"/>
        </w:rPr>
        <w:t>migracją danych”</w:t>
      </w:r>
      <w:r w:rsidRPr="004C6CC5">
        <w:rPr>
          <w:rFonts w:ascii="Arial" w:hAnsi="Arial" w:cs="Arial"/>
          <w:sz w:val="20"/>
          <w:szCs w:val="20"/>
        </w:rPr>
        <w:t xml:space="preserve">. </w:t>
      </w:r>
      <w:r w:rsidR="0040367A">
        <w:rPr>
          <w:rFonts w:ascii="Arial" w:hAnsi="Arial" w:cs="Arial"/>
          <w:sz w:val="20"/>
          <w:szCs w:val="20"/>
        </w:rPr>
        <w:t>W</w:t>
      </w:r>
      <w:r w:rsidR="004C6CC5">
        <w:rPr>
          <w:rFonts w:ascii="Arial" w:hAnsi="Arial" w:cs="Arial"/>
          <w:sz w:val="20"/>
          <w:szCs w:val="20"/>
        </w:rPr>
        <w:t> </w:t>
      </w:r>
      <w:r w:rsidR="0040367A">
        <w:rPr>
          <w:rFonts w:ascii="Arial" w:hAnsi="Arial" w:cs="Arial"/>
          <w:sz w:val="20"/>
          <w:szCs w:val="20"/>
        </w:rPr>
        <w:t>dniu 14 marca 2019 r.</w:t>
      </w:r>
      <w:r w:rsidRPr="004C6CC5">
        <w:rPr>
          <w:rFonts w:ascii="Arial" w:hAnsi="Arial" w:cs="Arial"/>
          <w:sz w:val="20"/>
          <w:szCs w:val="20"/>
        </w:rPr>
        <w:t xml:space="preserve"> podpisano umowę</w:t>
      </w:r>
      <w:r w:rsidR="004C6CC5">
        <w:rPr>
          <w:rFonts w:ascii="Arial" w:hAnsi="Arial" w:cs="Arial"/>
          <w:sz w:val="20"/>
          <w:szCs w:val="20"/>
        </w:rPr>
        <w:t xml:space="preserve"> w </w:t>
      </w:r>
      <w:r w:rsidRPr="004C6CC5">
        <w:rPr>
          <w:rFonts w:ascii="Arial" w:hAnsi="Arial" w:cs="Arial"/>
          <w:sz w:val="20"/>
          <w:szCs w:val="20"/>
        </w:rPr>
        <w:t>ramach ww. zamówienia</w:t>
      </w:r>
      <w:r w:rsidR="0040367A">
        <w:rPr>
          <w:rFonts w:ascii="Arial" w:hAnsi="Arial" w:cs="Arial"/>
          <w:sz w:val="20"/>
          <w:szCs w:val="20"/>
        </w:rPr>
        <w:t xml:space="preserve"> z </w:t>
      </w:r>
      <w:r w:rsidRPr="004C6CC5">
        <w:rPr>
          <w:rFonts w:ascii="Arial" w:hAnsi="Arial" w:cs="Arial"/>
          <w:sz w:val="20"/>
          <w:szCs w:val="20"/>
        </w:rPr>
        <w:t xml:space="preserve">terminem </w:t>
      </w:r>
      <w:r w:rsidR="0040367A">
        <w:rPr>
          <w:rFonts w:ascii="Arial" w:hAnsi="Arial" w:cs="Arial"/>
          <w:sz w:val="20"/>
          <w:szCs w:val="20"/>
        </w:rPr>
        <w:t xml:space="preserve">realizacji do </w:t>
      </w:r>
      <w:r w:rsidR="00FD09B0">
        <w:rPr>
          <w:rFonts w:ascii="Arial" w:hAnsi="Arial" w:cs="Arial"/>
          <w:sz w:val="20"/>
          <w:szCs w:val="20"/>
        </w:rPr>
        <w:t xml:space="preserve">dnia </w:t>
      </w:r>
      <w:r w:rsidR="0040367A">
        <w:rPr>
          <w:rFonts w:ascii="Arial" w:hAnsi="Arial" w:cs="Arial"/>
          <w:sz w:val="20"/>
          <w:szCs w:val="20"/>
        </w:rPr>
        <w:t>14 lipca 2020 r</w:t>
      </w:r>
      <w:r w:rsidRPr="004C6CC5">
        <w:rPr>
          <w:rFonts w:ascii="Arial" w:hAnsi="Arial" w:cs="Arial"/>
          <w:sz w:val="20"/>
          <w:szCs w:val="20"/>
        </w:rPr>
        <w:t xml:space="preserve">. Przedmiotem zamówienia </w:t>
      </w:r>
      <w:r w:rsidR="00FD09B0">
        <w:rPr>
          <w:rFonts w:ascii="Arial" w:hAnsi="Arial" w:cs="Arial"/>
          <w:sz w:val="20"/>
          <w:szCs w:val="20"/>
        </w:rPr>
        <w:t xml:space="preserve">było </w:t>
      </w:r>
      <w:r w:rsidRPr="004C6CC5">
        <w:rPr>
          <w:rFonts w:ascii="Arial" w:hAnsi="Arial" w:cs="Arial"/>
          <w:sz w:val="20"/>
          <w:szCs w:val="20"/>
        </w:rPr>
        <w:t>zaprojektowanie, budowa, instalacja, uruchomienie oraz wdrożenie oprogramowania Systemu Informacji Przestrzennej Administracji Morskiej (SIPAM), umożliwiającego gromadzenie szeroko rozumianych danych przestrzennych oraz opisowych, ich wyszukiwanie, przetwarzanie, przeglądanie, pobieranie, analizowanie</w:t>
      </w:r>
      <w:r w:rsidR="00627CB4">
        <w:rPr>
          <w:rFonts w:ascii="Arial" w:hAnsi="Arial" w:cs="Arial"/>
          <w:sz w:val="20"/>
          <w:szCs w:val="20"/>
        </w:rPr>
        <w:t>,</w:t>
      </w:r>
      <w:r w:rsidRPr="004C6CC5">
        <w:rPr>
          <w:rFonts w:ascii="Arial" w:hAnsi="Arial" w:cs="Arial"/>
          <w:sz w:val="20"/>
          <w:szCs w:val="20"/>
        </w:rPr>
        <w:t xml:space="preserve"> a także uruchomienie usług danych przestrzennych świadczonych drogą el</w:t>
      </w:r>
      <w:r w:rsidR="00B52458">
        <w:rPr>
          <w:rFonts w:ascii="Arial" w:hAnsi="Arial" w:cs="Arial"/>
          <w:sz w:val="20"/>
          <w:szCs w:val="20"/>
        </w:rPr>
        <w:t>ektroniczną. Zamówienie obejmowało</w:t>
      </w:r>
      <w:r w:rsidRPr="004C6CC5">
        <w:rPr>
          <w:rFonts w:ascii="Arial" w:hAnsi="Arial" w:cs="Arial"/>
          <w:sz w:val="20"/>
          <w:szCs w:val="20"/>
        </w:rPr>
        <w:t xml:space="preserve"> swoim zakresem: zaprojektowanie, wykonanie</w:t>
      </w:r>
      <w:r w:rsidR="00B52458">
        <w:rPr>
          <w:rFonts w:ascii="Arial" w:hAnsi="Arial" w:cs="Arial"/>
          <w:sz w:val="20"/>
          <w:szCs w:val="20"/>
        </w:rPr>
        <w:t xml:space="preserve"> i </w:t>
      </w:r>
      <w:r w:rsidRPr="004C6CC5">
        <w:rPr>
          <w:rFonts w:ascii="Arial" w:hAnsi="Arial" w:cs="Arial"/>
          <w:sz w:val="20"/>
          <w:szCs w:val="20"/>
        </w:rPr>
        <w:t>wdrożenie repozytorium danych plikowych; zaprojektowanie, wykonanie</w:t>
      </w:r>
      <w:r w:rsidR="00B52458">
        <w:rPr>
          <w:rFonts w:ascii="Arial" w:hAnsi="Arial" w:cs="Arial"/>
          <w:sz w:val="20"/>
          <w:szCs w:val="20"/>
        </w:rPr>
        <w:t xml:space="preserve"> i </w:t>
      </w:r>
      <w:r w:rsidRPr="004C6CC5">
        <w:rPr>
          <w:rFonts w:ascii="Arial" w:hAnsi="Arial" w:cs="Arial"/>
          <w:sz w:val="20"/>
          <w:szCs w:val="20"/>
        </w:rPr>
        <w:t>wdrożenie bazy danych GIS; opracowanie jednolitych modeli danych dla zbiorów danych objętych projektem; zaprojektowanie, wykonanie</w:t>
      </w:r>
      <w:r w:rsidR="00A50F0E">
        <w:rPr>
          <w:rFonts w:ascii="Arial" w:hAnsi="Arial" w:cs="Arial"/>
          <w:sz w:val="20"/>
          <w:szCs w:val="20"/>
        </w:rPr>
        <w:t xml:space="preserve"> i </w:t>
      </w:r>
      <w:r w:rsidRPr="004C6CC5">
        <w:rPr>
          <w:rFonts w:ascii="Arial" w:hAnsi="Arial" w:cs="Arial"/>
          <w:sz w:val="20"/>
          <w:szCs w:val="20"/>
        </w:rPr>
        <w:t>wdrożenie serwera danych przestrzennych; zaprojektowanie, wykonanie</w:t>
      </w:r>
      <w:r w:rsidR="00627CB4">
        <w:rPr>
          <w:rFonts w:ascii="Arial" w:hAnsi="Arial" w:cs="Arial"/>
          <w:sz w:val="20"/>
          <w:szCs w:val="20"/>
        </w:rPr>
        <w:t xml:space="preserve"> i uruchomienie </w:t>
      </w:r>
      <w:r w:rsidRPr="004C6CC5">
        <w:rPr>
          <w:rFonts w:ascii="Arial" w:hAnsi="Arial" w:cs="Arial"/>
          <w:sz w:val="20"/>
          <w:szCs w:val="20"/>
        </w:rPr>
        <w:t>serwera metadanych; zaprojektowanie, wykonanie</w:t>
      </w:r>
      <w:r w:rsidR="00A50F0E">
        <w:rPr>
          <w:rFonts w:ascii="Arial" w:hAnsi="Arial" w:cs="Arial"/>
          <w:sz w:val="20"/>
          <w:szCs w:val="20"/>
        </w:rPr>
        <w:t xml:space="preserve"> i </w:t>
      </w:r>
      <w:r w:rsidRPr="004C6CC5">
        <w:rPr>
          <w:rFonts w:ascii="Arial" w:hAnsi="Arial" w:cs="Arial"/>
          <w:sz w:val="20"/>
          <w:szCs w:val="20"/>
        </w:rPr>
        <w:t>wdrożenie repozytorium RDF</w:t>
      </w:r>
      <w:r w:rsidR="004C6CC5">
        <w:rPr>
          <w:rFonts w:ascii="Arial" w:hAnsi="Arial" w:cs="Arial"/>
          <w:sz w:val="20"/>
          <w:szCs w:val="20"/>
        </w:rPr>
        <w:t xml:space="preserve"> i </w:t>
      </w:r>
      <w:r w:rsidRPr="004C6CC5">
        <w:rPr>
          <w:rFonts w:ascii="Arial" w:hAnsi="Arial" w:cs="Arial"/>
          <w:sz w:val="20"/>
          <w:szCs w:val="20"/>
        </w:rPr>
        <w:t>interfejsu SPQRQL; zaprojektowanie, wykonanie</w:t>
      </w:r>
      <w:r w:rsidR="00A50F0E">
        <w:rPr>
          <w:rFonts w:ascii="Arial" w:hAnsi="Arial" w:cs="Arial"/>
          <w:sz w:val="20"/>
          <w:szCs w:val="20"/>
        </w:rPr>
        <w:t xml:space="preserve"> i </w:t>
      </w:r>
      <w:r w:rsidRPr="004C6CC5">
        <w:rPr>
          <w:rFonts w:ascii="Arial" w:hAnsi="Arial" w:cs="Arial"/>
          <w:sz w:val="20"/>
          <w:szCs w:val="20"/>
        </w:rPr>
        <w:t>wdrożenie systemu zasilającego SIPAM; zaprojektowanie</w:t>
      </w:r>
      <w:r w:rsidR="004C6CC5">
        <w:rPr>
          <w:rFonts w:ascii="Arial" w:hAnsi="Arial" w:cs="Arial"/>
          <w:sz w:val="20"/>
          <w:szCs w:val="20"/>
        </w:rPr>
        <w:t xml:space="preserve"> i </w:t>
      </w:r>
      <w:r w:rsidRPr="004C6CC5">
        <w:rPr>
          <w:rFonts w:ascii="Arial" w:hAnsi="Arial" w:cs="Arial"/>
          <w:sz w:val="20"/>
          <w:szCs w:val="20"/>
        </w:rPr>
        <w:t>wdrożenie dedykowanego oprogramowania; przetworzenie</w:t>
      </w:r>
      <w:r w:rsidR="004C6CC5">
        <w:rPr>
          <w:rFonts w:ascii="Arial" w:hAnsi="Arial" w:cs="Arial"/>
          <w:sz w:val="20"/>
          <w:szCs w:val="20"/>
        </w:rPr>
        <w:t xml:space="preserve"> i </w:t>
      </w:r>
      <w:r w:rsidRPr="004C6CC5">
        <w:rPr>
          <w:rFonts w:ascii="Arial" w:hAnsi="Arial" w:cs="Arial"/>
          <w:sz w:val="20"/>
          <w:szCs w:val="20"/>
        </w:rPr>
        <w:t>zharmonizowanie danych administracji morskiej; zaprojektowanie, wykonanie</w:t>
      </w:r>
      <w:r w:rsidR="004C6CC5">
        <w:rPr>
          <w:rFonts w:ascii="Arial" w:hAnsi="Arial" w:cs="Arial"/>
          <w:sz w:val="20"/>
          <w:szCs w:val="20"/>
        </w:rPr>
        <w:t xml:space="preserve"> i </w:t>
      </w:r>
      <w:r w:rsidRPr="004C6CC5">
        <w:rPr>
          <w:rFonts w:ascii="Arial" w:hAnsi="Arial" w:cs="Arial"/>
          <w:sz w:val="20"/>
          <w:szCs w:val="20"/>
        </w:rPr>
        <w:t>wdrożenie portalu informacyjnego</w:t>
      </w:r>
      <w:r w:rsidR="004C6CC5">
        <w:rPr>
          <w:rFonts w:ascii="Arial" w:hAnsi="Arial" w:cs="Arial"/>
          <w:sz w:val="20"/>
          <w:szCs w:val="20"/>
        </w:rPr>
        <w:t xml:space="preserve"> w </w:t>
      </w:r>
      <w:r w:rsidRPr="004C6CC5">
        <w:rPr>
          <w:rFonts w:ascii="Arial" w:hAnsi="Arial" w:cs="Arial"/>
          <w:sz w:val="20"/>
          <w:szCs w:val="20"/>
        </w:rPr>
        <w:t>technologii CMS; zaprojektowanie, wykonanie</w:t>
      </w:r>
      <w:r w:rsidR="004C6CC5">
        <w:rPr>
          <w:rFonts w:ascii="Arial" w:hAnsi="Arial" w:cs="Arial"/>
          <w:sz w:val="20"/>
          <w:szCs w:val="20"/>
        </w:rPr>
        <w:t xml:space="preserve"> i </w:t>
      </w:r>
      <w:r w:rsidRPr="004C6CC5">
        <w:rPr>
          <w:rFonts w:ascii="Arial" w:hAnsi="Arial" w:cs="Arial"/>
          <w:sz w:val="20"/>
          <w:szCs w:val="20"/>
        </w:rPr>
        <w:t>wdrożenie geoportalu</w:t>
      </w:r>
      <w:r w:rsidR="004C6CC5">
        <w:rPr>
          <w:rFonts w:ascii="Arial" w:hAnsi="Arial" w:cs="Arial"/>
          <w:sz w:val="20"/>
          <w:szCs w:val="20"/>
        </w:rPr>
        <w:t xml:space="preserve"> z </w:t>
      </w:r>
      <w:r w:rsidRPr="004C6CC5">
        <w:rPr>
          <w:rFonts w:ascii="Arial" w:hAnsi="Arial" w:cs="Arial"/>
          <w:sz w:val="20"/>
          <w:szCs w:val="20"/>
        </w:rPr>
        <w:t>warstwami GIS; zaprojektowanie, wykonanie</w:t>
      </w:r>
      <w:r w:rsidR="004C6CC5">
        <w:rPr>
          <w:rFonts w:ascii="Arial" w:hAnsi="Arial" w:cs="Arial"/>
          <w:sz w:val="20"/>
          <w:szCs w:val="20"/>
        </w:rPr>
        <w:t xml:space="preserve"> i </w:t>
      </w:r>
      <w:r w:rsidRPr="004C6CC5">
        <w:rPr>
          <w:rFonts w:ascii="Arial" w:hAnsi="Arial" w:cs="Arial"/>
          <w:sz w:val="20"/>
          <w:szCs w:val="20"/>
        </w:rPr>
        <w:t>wdrożenie interfejsu dostępu do danych (API),</w:t>
      </w:r>
      <w:r w:rsidR="004C6CC5">
        <w:rPr>
          <w:rFonts w:ascii="Arial" w:hAnsi="Arial" w:cs="Arial"/>
          <w:sz w:val="20"/>
          <w:szCs w:val="20"/>
        </w:rPr>
        <w:t xml:space="preserve"> w </w:t>
      </w:r>
      <w:r w:rsidRPr="004C6CC5">
        <w:rPr>
          <w:rFonts w:ascii="Arial" w:hAnsi="Arial" w:cs="Arial"/>
          <w:sz w:val="20"/>
          <w:szCs w:val="20"/>
        </w:rPr>
        <w:t>tym zaprojektowanie, wykonanie</w:t>
      </w:r>
      <w:r w:rsidR="004C6CC5">
        <w:rPr>
          <w:rFonts w:ascii="Arial" w:hAnsi="Arial" w:cs="Arial"/>
          <w:sz w:val="20"/>
          <w:szCs w:val="20"/>
        </w:rPr>
        <w:t xml:space="preserve"> i </w:t>
      </w:r>
      <w:r w:rsidRPr="004C6CC5">
        <w:rPr>
          <w:rFonts w:ascii="Arial" w:hAnsi="Arial" w:cs="Arial"/>
          <w:sz w:val="20"/>
          <w:szCs w:val="20"/>
        </w:rPr>
        <w:t>wdrożenie mechanizmu eksportu danych do PRG; przeprowadzenie testów funkcjonalnych</w:t>
      </w:r>
      <w:r w:rsidR="00A87910">
        <w:rPr>
          <w:rFonts w:ascii="Arial" w:hAnsi="Arial" w:cs="Arial"/>
          <w:sz w:val="20"/>
          <w:szCs w:val="20"/>
        </w:rPr>
        <w:t xml:space="preserve"> i </w:t>
      </w:r>
      <w:r w:rsidRPr="004C6CC5">
        <w:rPr>
          <w:rFonts w:ascii="Arial" w:hAnsi="Arial" w:cs="Arial"/>
          <w:sz w:val="20"/>
          <w:szCs w:val="20"/>
        </w:rPr>
        <w:t>wydajnościowych</w:t>
      </w:r>
      <w:r w:rsidR="00A87910">
        <w:rPr>
          <w:rFonts w:ascii="Arial" w:hAnsi="Arial" w:cs="Arial"/>
          <w:sz w:val="20"/>
          <w:szCs w:val="20"/>
        </w:rPr>
        <w:t xml:space="preserve"> w </w:t>
      </w:r>
      <w:r w:rsidRPr="004C6CC5">
        <w:rPr>
          <w:rFonts w:ascii="Arial" w:hAnsi="Arial" w:cs="Arial"/>
          <w:sz w:val="20"/>
          <w:szCs w:val="20"/>
        </w:rPr>
        <w:t>środowisku docelowym oraz przeprowadzenie cyklu szkoleń</w:t>
      </w:r>
      <w:r w:rsidR="004C6CC5">
        <w:rPr>
          <w:rFonts w:ascii="Arial" w:hAnsi="Arial" w:cs="Arial"/>
          <w:sz w:val="20"/>
          <w:szCs w:val="20"/>
        </w:rPr>
        <w:t xml:space="preserve"> z </w:t>
      </w:r>
      <w:r w:rsidRPr="004C6CC5">
        <w:rPr>
          <w:rFonts w:ascii="Arial" w:hAnsi="Arial" w:cs="Arial"/>
          <w:sz w:val="20"/>
          <w:szCs w:val="20"/>
        </w:rPr>
        <w:t>obsługi SIPAM. Wykonawca systemu SIPAM</w:t>
      </w:r>
      <w:r w:rsidR="004C6CC5">
        <w:rPr>
          <w:rFonts w:ascii="Arial" w:hAnsi="Arial" w:cs="Arial"/>
          <w:sz w:val="20"/>
          <w:szCs w:val="20"/>
        </w:rPr>
        <w:t xml:space="preserve"> w </w:t>
      </w:r>
      <w:r w:rsidR="001304EB">
        <w:rPr>
          <w:rFonts w:ascii="Arial" w:hAnsi="Arial" w:cs="Arial"/>
          <w:sz w:val="20"/>
          <w:szCs w:val="20"/>
        </w:rPr>
        <w:t>2019 r.</w:t>
      </w:r>
      <w:r w:rsidRPr="004C6CC5">
        <w:rPr>
          <w:rFonts w:ascii="Arial" w:hAnsi="Arial" w:cs="Arial"/>
          <w:sz w:val="20"/>
          <w:szCs w:val="20"/>
        </w:rPr>
        <w:t xml:space="preserve"> zrealizował </w:t>
      </w:r>
      <w:r w:rsidRPr="004C6CC5">
        <w:rPr>
          <w:rFonts w:ascii="Arial" w:hAnsi="Arial" w:cs="Arial"/>
          <w:sz w:val="20"/>
          <w:szCs w:val="20"/>
        </w:rPr>
        <w:lastRenderedPageBreak/>
        <w:t>następujące zadnia: Oprogramowanie lice</w:t>
      </w:r>
      <w:r w:rsidR="00A50F0E">
        <w:rPr>
          <w:rFonts w:ascii="Arial" w:hAnsi="Arial" w:cs="Arial"/>
          <w:sz w:val="20"/>
          <w:szCs w:val="20"/>
        </w:rPr>
        <w:t>ncyjne GIS,</w:t>
      </w:r>
      <w:r w:rsidRPr="004C6CC5">
        <w:rPr>
          <w:rFonts w:ascii="Arial" w:hAnsi="Arial" w:cs="Arial"/>
          <w:sz w:val="20"/>
          <w:szCs w:val="20"/>
        </w:rPr>
        <w:t xml:space="preserve"> Digitalizacja dokumentów administracji morskiej</w:t>
      </w:r>
      <w:r w:rsidR="004C6CC5">
        <w:rPr>
          <w:rFonts w:ascii="Arial" w:hAnsi="Arial" w:cs="Arial"/>
          <w:sz w:val="20"/>
          <w:szCs w:val="20"/>
        </w:rPr>
        <w:t xml:space="preserve"> i </w:t>
      </w:r>
      <w:r w:rsidRPr="004C6CC5">
        <w:rPr>
          <w:rFonts w:ascii="Arial" w:hAnsi="Arial" w:cs="Arial"/>
          <w:sz w:val="20"/>
          <w:szCs w:val="20"/>
        </w:rPr>
        <w:t>włączenie ich do SIPAM.</w:t>
      </w:r>
    </w:p>
    <w:p w14:paraId="34F8C9A3" w14:textId="35D368D7" w:rsidR="00B0123C" w:rsidRPr="004C6CC5" w:rsidRDefault="001304EB" w:rsidP="008D2321">
      <w:pPr>
        <w:spacing w:before="120" w:after="120" w:line="276" w:lineRule="auto"/>
        <w:jc w:val="both"/>
        <w:rPr>
          <w:rFonts w:ascii="Arial" w:hAnsi="Arial" w:cs="Arial"/>
          <w:sz w:val="20"/>
          <w:szCs w:val="20"/>
        </w:rPr>
      </w:pPr>
      <w:r>
        <w:rPr>
          <w:rFonts w:ascii="Arial" w:hAnsi="Arial" w:cs="Arial"/>
          <w:sz w:val="20"/>
          <w:szCs w:val="20"/>
        </w:rPr>
        <w:t>Pod koniec 2019 r.</w:t>
      </w:r>
      <w:r w:rsidR="00B0123C" w:rsidRPr="004C6CC5">
        <w:rPr>
          <w:rFonts w:ascii="Arial" w:hAnsi="Arial" w:cs="Arial"/>
          <w:sz w:val="20"/>
          <w:szCs w:val="20"/>
        </w:rPr>
        <w:t xml:space="preserve"> wszczęto podstępowanie o udzielenie zamówienia publicznego na usługi związane</w:t>
      </w:r>
      <w:r w:rsidR="004C6CC5">
        <w:rPr>
          <w:rFonts w:ascii="Arial" w:hAnsi="Arial" w:cs="Arial"/>
          <w:sz w:val="20"/>
          <w:szCs w:val="20"/>
        </w:rPr>
        <w:t xml:space="preserve"> z </w:t>
      </w:r>
      <w:r w:rsidR="00B0123C" w:rsidRPr="004C6CC5">
        <w:rPr>
          <w:rFonts w:ascii="Arial" w:hAnsi="Arial" w:cs="Arial"/>
          <w:sz w:val="20"/>
          <w:szCs w:val="20"/>
        </w:rPr>
        <w:t>informacją</w:t>
      </w:r>
      <w:r w:rsidR="004C6CC5">
        <w:rPr>
          <w:rFonts w:ascii="Arial" w:hAnsi="Arial" w:cs="Arial"/>
          <w:sz w:val="20"/>
          <w:szCs w:val="20"/>
        </w:rPr>
        <w:t xml:space="preserve"> i </w:t>
      </w:r>
      <w:r w:rsidR="00B0123C" w:rsidRPr="004C6CC5">
        <w:rPr>
          <w:rFonts w:ascii="Arial" w:hAnsi="Arial" w:cs="Arial"/>
          <w:sz w:val="20"/>
          <w:szCs w:val="20"/>
        </w:rPr>
        <w:t>promocją</w:t>
      </w:r>
      <w:r w:rsidR="00B33426">
        <w:rPr>
          <w:rFonts w:ascii="Arial" w:hAnsi="Arial" w:cs="Arial"/>
          <w:sz w:val="20"/>
          <w:szCs w:val="20"/>
        </w:rPr>
        <w:t xml:space="preserve"> projektu</w:t>
      </w:r>
      <w:r w:rsidR="00B0123C" w:rsidRPr="004C6CC5">
        <w:rPr>
          <w:rFonts w:ascii="Arial" w:hAnsi="Arial" w:cs="Arial"/>
          <w:sz w:val="20"/>
          <w:szCs w:val="20"/>
        </w:rPr>
        <w:t>. Celem działań informacyjno-promocyjnych jest rozpowszechnienie</w:t>
      </w:r>
      <w:r w:rsidR="004C6CC5">
        <w:rPr>
          <w:rFonts w:ascii="Arial" w:hAnsi="Arial" w:cs="Arial"/>
          <w:sz w:val="20"/>
          <w:szCs w:val="20"/>
        </w:rPr>
        <w:t xml:space="preserve"> i </w:t>
      </w:r>
      <w:r w:rsidR="00B0123C" w:rsidRPr="004C6CC5">
        <w:rPr>
          <w:rFonts w:ascii="Arial" w:hAnsi="Arial" w:cs="Arial"/>
          <w:sz w:val="20"/>
          <w:szCs w:val="20"/>
        </w:rPr>
        <w:t>skuteczne dotarcie</w:t>
      </w:r>
      <w:r w:rsidR="004C6CC5">
        <w:rPr>
          <w:rFonts w:ascii="Arial" w:hAnsi="Arial" w:cs="Arial"/>
          <w:sz w:val="20"/>
          <w:szCs w:val="20"/>
        </w:rPr>
        <w:t xml:space="preserve"> z </w:t>
      </w:r>
      <w:r w:rsidR="00B0123C" w:rsidRPr="004C6CC5">
        <w:rPr>
          <w:rFonts w:ascii="Arial" w:hAnsi="Arial" w:cs="Arial"/>
          <w:sz w:val="20"/>
          <w:szCs w:val="20"/>
        </w:rPr>
        <w:t>informacją o zakresie</w:t>
      </w:r>
      <w:r w:rsidR="004C6CC5">
        <w:rPr>
          <w:rFonts w:ascii="Arial" w:hAnsi="Arial" w:cs="Arial"/>
          <w:sz w:val="20"/>
          <w:szCs w:val="20"/>
        </w:rPr>
        <w:t xml:space="preserve"> i </w:t>
      </w:r>
      <w:r w:rsidR="00133D28">
        <w:rPr>
          <w:rFonts w:ascii="Arial" w:hAnsi="Arial" w:cs="Arial"/>
          <w:sz w:val="20"/>
          <w:szCs w:val="20"/>
        </w:rPr>
        <w:t>celu p</w:t>
      </w:r>
      <w:r w:rsidR="00B0123C" w:rsidRPr="004C6CC5">
        <w:rPr>
          <w:rFonts w:ascii="Arial" w:hAnsi="Arial" w:cs="Arial"/>
          <w:sz w:val="20"/>
          <w:szCs w:val="20"/>
        </w:rPr>
        <w:t>rojektu SIPAM oraz o produktach, które zostaną wytworzone</w:t>
      </w:r>
      <w:r w:rsidR="004C6CC5">
        <w:rPr>
          <w:rFonts w:ascii="Arial" w:hAnsi="Arial" w:cs="Arial"/>
          <w:sz w:val="20"/>
          <w:szCs w:val="20"/>
        </w:rPr>
        <w:t xml:space="preserve"> w </w:t>
      </w:r>
      <w:r w:rsidR="00B0123C" w:rsidRPr="004C6CC5">
        <w:rPr>
          <w:rFonts w:ascii="Arial" w:hAnsi="Arial" w:cs="Arial"/>
          <w:sz w:val="20"/>
          <w:szCs w:val="20"/>
        </w:rPr>
        <w:t>ramach jego realizacji, do wszystkich grup interesariuszy projektu oraz do jak największej liczby pojedynczych przedstawicieli tych grup (odbiorców rezultatów projektu), jak również szeroko pojętej opi</w:t>
      </w:r>
      <w:r w:rsidR="003C52BC">
        <w:rPr>
          <w:rFonts w:ascii="Arial" w:hAnsi="Arial" w:cs="Arial"/>
          <w:sz w:val="20"/>
          <w:szCs w:val="20"/>
        </w:rPr>
        <w:t>nii publicznej. Celem promocji p</w:t>
      </w:r>
      <w:r w:rsidR="00B0123C" w:rsidRPr="004C6CC5">
        <w:rPr>
          <w:rFonts w:ascii="Arial" w:hAnsi="Arial" w:cs="Arial"/>
          <w:sz w:val="20"/>
          <w:szCs w:val="20"/>
        </w:rPr>
        <w:t>rojektu jest również upowszechnienie wiedzy o usługach dedykowanych dla odbiorców projektu, jak również promowanie Europejskiego Funduszu Rozwoju Regionalnego</w:t>
      </w:r>
      <w:r w:rsidR="004C6CC5">
        <w:rPr>
          <w:rFonts w:ascii="Arial" w:hAnsi="Arial" w:cs="Arial"/>
          <w:sz w:val="20"/>
          <w:szCs w:val="20"/>
        </w:rPr>
        <w:t xml:space="preserve"> i </w:t>
      </w:r>
      <w:r w:rsidR="003C52BC">
        <w:rPr>
          <w:rFonts w:ascii="Arial" w:hAnsi="Arial" w:cs="Arial"/>
          <w:sz w:val="20"/>
          <w:szCs w:val="20"/>
        </w:rPr>
        <w:t>P</w:t>
      </w:r>
      <w:r w:rsidR="00B0123C" w:rsidRPr="004C6CC5">
        <w:rPr>
          <w:rFonts w:ascii="Arial" w:hAnsi="Arial" w:cs="Arial"/>
          <w:sz w:val="20"/>
          <w:szCs w:val="20"/>
        </w:rPr>
        <w:t>rogramu Operacyjnego Polska Cyfrowa.</w:t>
      </w:r>
    </w:p>
    <w:p w14:paraId="538A9FEF" w14:textId="3CD32714" w:rsidR="00E35F69" w:rsidRPr="001304EB" w:rsidRDefault="00E35F69" w:rsidP="003D41B6">
      <w:pPr>
        <w:pStyle w:val="Nagwek2"/>
        <w:spacing w:before="120" w:after="120"/>
        <w:jc w:val="both"/>
        <w:rPr>
          <w:rFonts w:ascii="Arial" w:hAnsi="Arial" w:cs="Arial"/>
          <w:b/>
          <w:color w:val="auto"/>
          <w:sz w:val="20"/>
          <w:szCs w:val="20"/>
        </w:rPr>
      </w:pPr>
      <w:bookmarkStart w:id="62" w:name="_Toc72745074"/>
      <w:r w:rsidRPr="001304EB">
        <w:rPr>
          <w:rFonts w:ascii="Arial" w:hAnsi="Arial" w:cs="Arial"/>
          <w:b/>
          <w:color w:val="auto"/>
          <w:sz w:val="20"/>
          <w:szCs w:val="20"/>
        </w:rPr>
        <w:t>Aktywność przedstawicieli Rzeczypospolitej Polskiej na forum międzynarodowym</w:t>
      </w:r>
      <w:r w:rsidR="00EE64E4" w:rsidRPr="001304EB">
        <w:rPr>
          <w:rFonts w:ascii="Arial" w:hAnsi="Arial" w:cs="Arial"/>
          <w:b/>
          <w:color w:val="auto"/>
          <w:sz w:val="20"/>
          <w:szCs w:val="20"/>
        </w:rPr>
        <w:t>.</w:t>
      </w:r>
      <w:bookmarkEnd w:id="62"/>
    </w:p>
    <w:p w14:paraId="082678C2" w14:textId="431B38C0" w:rsidR="00E35F69" w:rsidRPr="004C6CC5" w:rsidRDefault="00E35F69" w:rsidP="008D2321">
      <w:pPr>
        <w:spacing w:before="120" w:after="120" w:line="276" w:lineRule="auto"/>
        <w:jc w:val="both"/>
        <w:rPr>
          <w:rFonts w:ascii="Arial" w:hAnsi="Arial" w:cs="Arial"/>
          <w:color w:val="000000"/>
          <w:sz w:val="20"/>
          <w:szCs w:val="20"/>
        </w:rPr>
      </w:pPr>
      <w:r w:rsidRPr="004C6CC5">
        <w:rPr>
          <w:rFonts w:ascii="Arial" w:hAnsi="Arial" w:cs="Arial"/>
          <w:color w:val="000000"/>
          <w:sz w:val="20"/>
          <w:szCs w:val="20"/>
        </w:rPr>
        <w:t>W 2019</w:t>
      </w:r>
      <w:r w:rsidR="009D01B9" w:rsidRPr="004C6CC5">
        <w:rPr>
          <w:rFonts w:ascii="Arial" w:hAnsi="Arial" w:cs="Arial"/>
          <w:color w:val="000000"/>
          <w:sz w:val="20"/>
          <w:szCs w:val="20"/>
        </w:rPr>
        <w:t xml:space="preserve"> r. </w:t>
      </w:r>
      <w:r w:rsidRPr="004C6CC5">
        <w:rPr>
          <w:rFonts w:ascii="Arial" w:hAnsi="Arial" w:cs="Arial"/>
          <w:color w:val="000000"/>
          <w:sz w:val="20"/>
          <w:szCs w:val="20"/>
        </w:rPr>
        <w:t>kontynuowano współpracę transgraniczną</w:t>
      </w:r>
      <w:r w:rsidR="004C6CC5">
        <w:rPr>
          <w:rFonts w:ascii="Arial" w:hAnsi="Arial" w:cs="Arial"/>
          <w:color w:val="000000"/>
          <w:sz w:val="20"/>
          <w:szCs w:val="20"/>
        </w:rPr>
        <w:t xml:space="preserve"> w </w:t>
      </w:r>
      <w:r w:rsidRPr="004C6CC5">
        <w:rPr>
          <w:rFonts w:ascii="Arial" w:hAnsi="Arial" w:cs="Arial"/>
          <w:color w:val="000000"/>
          <w:sz w:val="20"/>
          <w:szCs w:val="20"/>
        </w:rPr>
        <w:t>zakresie morskiego planowania przestrzennego. Przedstawiciele polskiej administracji morskiej uczestniczyli</w:t>
      </w:r>
      <w:r w:rsidR="004C6CC5">
        <w:rPr>
          <w:rFonts w:ascii="Arial" w:hAnsi="Arial" w:cs="Arial"/>
          <w:color w:val="000000"/>
          <w:sz w:val="20"/>
          <w:szCs w:val="20"/>
        </w:rPr>
        <w:t xml:space="preserve"> w </w:t>
      </w:r>
      <w:r w:rsidR="005C7A4D">
        <w:rPr>
          <w:rFonts w:ascii="Arial" w:hAnsi="Arial" w:cs="Arial"/>
          <w:color w:val="000000"/>
          <w:sz w:val="20"/>
          <w:szCs w:val="20"/>
        </w:rPr>
        <w:t>spotkaniach Grupy E</w:t>
      </w:r>
      <w:r w:rsidRPr="004C6CC5">
        <w:rPr>
          <w:rFonts w:ascii="Arial" w:hAnsi="Arial" w:cs="Arial"/>
          <w:color w:val="000000"/>
          <w:sz w:val="20"/>
          <w:szCs w:val="20"/>
        </w:rPr>
        <w:t xml:space="preserve">kspertów </w:t>
      </w:r>
      <w:r w:rsidR="005E59B6">
        <w:rPr>
          <w:rFonts w:ascii="Arial" w:hAnsi="Arial" w:cs="Arial"/>
          <w:color w:val="000000"/>
          <w:sz w:val="20"/>
          <w:szCs w:val="20"/>
        </w:rPr>
        <w:t>państw członkowskich</w:t>
      </w:r>
      <w:r w:rsidRPr="004C6CC5">
        <w:rPr>
          <w:rFonts w:ascii="Arial" w:hAnsi="Arial" w:cs="Arial"/>
          <w:color w:val="000000"/>
          <w:sz w:val="20"/>
          <w:szCs w:val="20"/>
        </w:rPr>
        <w:t xml:space="preserve"> do spraw morskiego planowania </w:t>
      </w:r>
      <w:r w:rsidR="005C7A4D">
        <w:rPr>
          <w:rFonts w:ascii="Arial" w:hAnsi="Arial" w:cs="Arial"/>
          <w:color w:val="000000"/>
          <w:sz w:val="20"/>
          <w:szCs w:val="20"/>
        </w:rPr>
        <w:t>przestrzennego (MSEG MSP</w:t>
      </w:r>
      <w:r w:rsidR="005E59B6">
        <w:rPr>
          <w:rFonts w:ascii="Arial" w:hAnsi="Arial" w:cs="Arial"/>
          <w:color w:val="000000"/>
          <w:sz w:val="20"/>
          <w:szCs w:val="20"/>
        </w:rPr>
        <w:t xml:space="preserve"> - grupa KE</w:t>
      </w:r>
      <w:r w:rsidR="005C7A4D">
        <w:rPr>
          <w:rFonts w:ascii="Arial" w:hAnsi="Arial" w:cs="Arial"/>
          <w:color w:val="000000"/>
          <w:sz w:val="20"/>
          <w:szCs w:val="20"/>
        </w:rPr>
        <w:t>) oraz G</w:t>
      </w:r>
      <w:r w:rsidRPr="004C6CC5">
        <w:rPr>
          <w:rFonts w:ascii="Arial" w:hAnsi="Arial" w:cs="Arial"/>
          <w:color w:val="000000"/>
          <w:sz w:val="20"/>
          <w:szCs w:val="20"/>
        </w:rPr>
        <w:t>rupy roboczej HELCOM-VASAB do spraw morskiego planowania przestrzennego (HELCOM-VASAB MSP</w:t>
      </w:r>
      <w:r w:rsidR="00AB488B">
        <w:rPr>
          <w:rFonts w:ascii="Arial" w:hAnsi="Arial" w:cs="Arial"/>
          <w:color w:val="000000"/>
          <w:sz w:val="20"/>
          <w:szCs w:val="20"/>
        </w:rPr>
        <w:t xml:space="preserve"> WG</w:t>
      </w:r>
      <w:r w:rsidRPr="004C6CC5">
        <w:rPr>
          <w:rFonts w:ascii="Arial" w:hAnsi="Arial" w:cs="Arial"/>
          <w:color w:val="000000"/>
          <w:sz w:val="20"/>
          <w:szCs w:val="20"/>
        </w:rPr>
        <w:t xml:space="preserve">). </w:t>
      </w:r>
    </w:p>
    <w:p w14:paraId="2FC11AF0" w14:textId="0B2F02A2" w:rsidR="00B758AA" w:rsidRDefault="005E59B6" w:rsidP="00B758AA">
      <w:pPr>
        <w:spacing w:before="120" w:after="120" w:line="276" w:lineRule="auto"/>
        <w:jc w:val="both"/>
        <w:rPr>
          <w:rFonts w:ascii="Arial" w:hAnsi="Arial" w:cs="Arial"/>
          <w:color w:val="000000"/>
          <w:sz w:val="20"/>
          <w:szCs w:val="20"/>
        </w:rPr>
      </w:pPr>
      <w:r>
        <w:rPr>
          <w:rFonts w:ascii="Arial" w:hAnsi="Arial" w:cs="Arial"/>
          <w:color w:val="000000"/>
          <w:sz w:val="20"/>
          <w:szCs w:val="20"/>
        </w:rPr>
        <w:t>Celem G</w:t>
      </w:r>
      <w:r w:rsidR="00E35F69" w:rsidRPr="004C6CC5">
        <w:rPr>
          <w:rFonts w:ascii="Arial" w:hAnsi="Arial" w:cs="Arial"/>
          <w:color w:val="000000"/>
          <w:sz w:val="20"/>
          <w:szCs w:val="20"/>
        </w:rPr>
        <w:t>rupy ekspertów państw członkowskich ds. planowania przestrzennego obszarów morskich (MSEG MSP) jest doradztwo Komisji Europejskiej we wszystkich aspektach planowania przestrzennego obszarów morskich.</w:t>
      </w:r>
      <w:r w:rsidR="004C6CC5">
        <w:rPr>
          <w:rFonts w:ascii="Arial" w:hAnsi="Arial" w:cs="Arial"/>
          <w:color w:val="000000"/>
          <w:sz w:val="20"/>
          <w:szCs w:val="20"/>
        </w:rPr>
        <w:t xml:space="preserve"> </w:t>
      </w:r>
      <w:r w:rsidR="0092546D">
        <w:rPr>
          <w:rFonts w:ascii="Arial" w:hAnsi="Arial" w:cs="Arial"/>
          <w:color w:val="000000"/>
          <w:sz w:val="20"/>
          <w:szCs w:val="20"/>
        </w:rPr>
        <w:t>W</w:t>
      </w:r>
      <w:r w:rsidR="004C6CC5">
        <w:rPr>
          <w:rFonts w:ascii="Arial" w:hAnsi="Arial" w:cs="Arial"/>
          <w:color w:val="000000"/>
          <w:sz w:val="20"/>
          <w:szCs w:val="20"/>
        </w:rPr>
        <w:t> </w:t>
      </w:r>
      <w:r w:rsidR="00E35F69" w:rsidRPr="004C6CC5">
        <w:rPr>
          <w:rFonts w:ascii="Arial" w:hAnsi="Arial" w:cs="Arial"/>
          <w:color w:val="000000"/>
          <w:sz w:val="20"/>
          <w:szCs w:val="20"/>
        </w:rPr>
        <w:t>2019</w:t>
      </w:r>
      <w:r w:rsidR="009D01B9" w:rsidRPr="004C6CC5">
        <w:rPr>
          <w:rFonts w:ascii="Arial" w:hAnsi="Arial" w:cs="Arial"/>
          <w:color w:val="000000"/>
          <w:sz w:val="20"/>
          <w:szCs w:val="20"/>
        </w:rPr>
        <w:t xml:space="preserve"> r. </w:t>
      </w:r>
      <w:r w:rsidR="00E35F69" w:rsidRPr="004C6CC5">
        <w:rPr>
          <w:rFonts w:ascii="Arial" w:hAnsi="Arial" w:cs="Arial"/>
          <w:color w:val="000000"/>
          <w:sz w:val="20"/>
          <w:szCs w:val="20"/>
        </w:rPr>
        <w:t>odbyły się dwa spotkania MSEG MSP: 16-te</w:t>
      </w:r>
      <w:r w:rsidR="004C6CC5">
        <w:rPr>
          <w:rFonts w:ascii="Arial" w:hAnsi="Arial" w:cs="Arial"/>
          <w:color w:val="000000"/>
          <w:sz w:val="20"/>
          <w:szCs w:val="20"/>
        </w:rPr>
        <w:t xml:space="preserve"> w </w:t>
      </w:r>
      <w:r w:rsidR="00E35F69" w:rsidRPr="004C6CC5">
        <w:rPr>
          <w:rFonts w:ascii="Arial" w:hAnsi="Arial" w:cs="Arial"/>
          <w:color w:val="000000"/>
          <w:sz w:val="20"/>
          <w:szCs w:val="20"/>
        </w:rPr>
        <w:t>dniu 9 kwietnia</w:t>
      </w:r>
      <w:r w:rsidR="004C6CC5">
        <w:rPr>
          <w:rFonts w:ascii="Arial" w:hAnsi="Arial" w:cs="Arial"/>
          <w:color w:val="000000"/>
          <w:sz w:val="20"/>
          <w:szCs w:val="20"/>
        </w:rPr>
        <w:t xml:space="preserve"> w </w:t>
      </w:r>
      <w:r w:rsidR="00E35F69" w:rsidRPr="004C6CC5">
        <w:rPr>
          <w:rFonts w:ascii="Arial" w:hAnsi="Arial" w:cs="Arial"/>
          <w:color w:val="000000"/>
          <w:sz w:val="20"/>
          <w:szCs w:val="20"/>
        </w:rPr>
        <w:t>Brukseli (Belgia)</w:t>
      </w:r>
      <w:r w:rsidR="004C6CC5">
        <w:rPr>
          <w:rFonts w:ascii="Arial" w:hAnsi="Arial" w:cs="Arial"/>
          <w:color w:val="000000"/>
          <w:sz w:val="20"/>
          <w:szCs w:val="20"/>
        </w:rPr>
        <w:t xml:space="preserve"> i </w:t>
      </w:r>
      <w:r w:rsidR="00E35F69" w:rsidRPr="004C6CC5">
        <w:rPr>
          <w:rFonts w:ascii="Arial" w:hAnsi="Arial" w:cs="Arial"/>
          <w:color w:val="000000"/>
          <w:sz w:val="20"/>
          <w:szCs w:val="20"/>
        </w:rPr>
        <w:t>17-te</w:t>
      </w:r>
      <w:r w:rsidR="004C6CC5">
        <w:rPr>
          <w:rFonts w:ascii="Arial" w:hAnsi="Arial" w:cs="Arial"/>
          <w:color w:val="000000"/>
          <w:sz w:val="20"/>
          <w:szCs w:val="20"/>
        </w:rPr>
        <w:t xml:space="preserve"> w </w:t>
      </w:r>
      <w:r w:rsidR="00E35F69" w:rsidRPr="004C6CC5">
        <w:rPr>
          <w:rFonts w:ascii="Arial" w:hAnsi="Arial" w:cs="Arial"/>
          <w:color w:val="000000"/>
          <w:sz w:val="20"/>
          <w:szCs w:val="20"/>
        </w:rPr>
        <w:t>dniach 18-19 listopada</w:t>
      </w:r>
      <w:r w:rsidR="004C6CC5">
        <w:rPr>
          <w:rFonts w:ascii="Arial" w:hAnsi="Arial" w:cs="Arial"/>
          <w:color w:val="000000"/>
          <w:sz w:val="20"/>
          <w:szCs w:val="20"/>
        </w:rPr>
        <w:t xml:space="preserve"> w </w:t>
      </w:r>
      <w:r w:rsidR="00B758AA">
        <w:rPr>
          <w:rFonts w:ascii="Arial" w:hAnsi="Arial" w:cs="Arial"/>
          <w:color w:val="000000"/>
          <w:sz w:val="20"/>
          <w:szCs w:val="20"/>
        </w:rPr>
        <w:t xml:space="preserve">Rydze (Łotwa). </w:t>
      </w:r>
    </w:p>
    <w:p w14:paraId="7F82612A" w14:textId="0BD542DE" w:rsidR="00E35F69" w:rsidRDefault="00E35F69" w:rsidP="00B758AA">
      <w:pPr>
        <w:spacing w:before="120" w:after="120" w:line="276" w:lineRule="auto"/>
        <w:jc w:val="both"/>
        <w:rPr>
          <w:rFonts w:ascii="Arial" w:hAnsi="Arial" w:cs="Arial"/>
          <w:color w:val="000000"/>
          <w:sz w:val="20"/>
          <w:szCs w:val="20"/>
        </w:rPr>
      </w:pPr>
      <w:r w:rsidRPr="004C6CC5">
        <w:rPr>
          <w:rFonts w:ascii="Arial" w:hAnsi="Arial" w:cs="Arial"/>
          <w:color w:val="000000"/>
          <w:sz w:val="20"/>
          <w:szCs w:val="20"/>
        </w:rPr>
        <w:t xml:space="preserve">Celem grupy HELCOM-VASAB MSP </w:t>
      </w:r>
      <w:r w:rsidR="00AB488B">
        <w:rPr>
          <w:rFonts w:ascii="Arial" w:hAnsi="Arial" w:cs="Arial"/>
          <w:color w:val="000000"/>
          <w:sz w:val="20"/>
          <w:szCs w:val="20"/>
        </w:rPr>
        <w:t xml:space="preserve">WG </w:t>
      </w:r>
      <w:r w:rsidRPr="004C6CC5">
        <w:rPr>
          <w:rFonts w:ascii="Arial" w:hAnsi="Arial" w:cs="Arial"/>
          <w:color w:val="000000"/>
          <w:sz w:val="20"/>
          <w:szCs w:val="20"/>
        </w:rPr>
        <w:t>jest koordynacja działań</w:t>
      </w:r>
      <w:r w:rsidR="004C6CC5">
        <w:rPr>
          <w:rFonts w:ascii="Arial" w:hAnsi="Arial" w:cs="Arial"/>
          <w:color w:val="000000"/>
          <w:sz w:val="20"/>
          <w:szCs w:val="20"/>
        </w:rPr>
        <w:t xml:space="preserve"> w </w:t>
      </w:r>
      <w:r w:rsidRPr="004C6CC5">
        <w:rPr>
          <w:rFonts w:ascii="Arial" w:hAnsi="Arial" w:cs="Arial"/>
          <w:color w:val="000000"/>
          <w:sz w:val="20"/>
          <w:szCs w:val="20"/>
        </w:rPr>
        <w:t>regionie Morza Bałtyckiego oraz wypracowywanie wspólnych rozwiązań</w:t>
      </w:r>
      <w:r w:rsidR="0092546D">
        <w:rPr>
          <w:rFonts w:ascii="Arial" w:hAnsi="Arial" w:cs="Arial"/>
          <w:color w:val="000000"/>
          <w:sz w:val="20"/>
          <w:szCs w:val="20"/>
        </w:rPr>
        <w:t xml:space="preserve"> w </w:t>
      </w:r>
      <w:r w:rsidR="00EC20B5">
        <w:rPr>
          <w:rFonts w:ascii="Arial" w:hAnsi="Arial" w:cs="Arial"/>
          <w:color w:val="000000"/>
          <w:sz w:val="20"/>
          <w:szCs w:val="20"/>
        </w:rPr>
        <w:t>zakresie opraco</w:t>
      </w:r>
      <w:r w:rsidRPr="004C6CC5">
        <w:rPr>
          <w:rFonts w:ascii="Arial" w:hAnsi="Arial" w:cs="Arial"/>
          <w:color w:val="000000"/>
          <w:sz w:val="20"/>
          <w:szCs w:val="20"/>
        </w:rPr>
        <w:t>wania spójnych transgranicznie, gwarantujących zachowanie podejścia ekosystemowego planów zagospodarowania przestrzennego obszarów morskich. Grupa stanowi forum, na którym omawiane są także zagadnienia spójności planów dla Morza Bałtyckiego. Opracowanie takich planów jes</w:t>
      </w:r>
      <w:r w:rsidR="00105EE0">
        <w:rPr>
          <w:rFonts w:ascii="Arial" w:hAnsi="Arial" w:cs="Arial"/>
          <w:color w:val="000000"/>
          <w:sz w:val="20"/>
          <w:szCs w:val="20"/>
        </w:rPr>
        <w:t>t realizacją regionalnych celów</w:t>
      </w:r>
      <w:r w:rsidRPr="004C6CC5">
        <w:rPr>
          <w:rFonts w:ascii="Arial" w:hAnsi="Arial" w:cs="Arial"/>
          <w:color w:val="000000"/>
          <w:sz w:val="20"/>
          <w:szCs w:val="20"/>
        </w:rPr>
        <w:t xml:space="preserve"> zawartych</w:t>
      </w:r>
      <w:r w:rsidR="004C6CC5">
        <w:rPr>
          <w:rFonts w:ascii="Arial" w:hAnsi="Arial" w:cs="Arial"/>
          <w:color w:val="000000"/>
          <w:sz w:val="20"/>
          <w:szCs w:val="20"/>
        </w:rPr>
        <w:t xml:space="preserve"> w </w:t>
      </w:r>
      <w:r w:rsidRPr="004C6CC5">
        <w:rPr>
          <w:rFonts w:ascii="Arial" w:hAnsi="Arial" w:cs="Arial"/>
          <w:color w:val="000000"/>
          <w:sz w:val="20"/>
          <w:szCs w:val="20"/>
        </w:rPr>
        <w:t>Dyrektywie ustanawiającej ramy planowania przestrzennego obszarów mor</w:t>
      </w:r>
      <w:r w:rsidR="0092546D">
        <w:rPr>
          <w:rFonts w:ascii="Arial" w:hAnsi="Arial" w:cs="Arial"/>
          <w:color w:val="000000"/>
          <w:sz w:val="20"/>
          <w:szCs w:val="20"/>
        </w:rPr>
        <w:t xml:space="preserve">skich (2014/89/UE). </w:t>
      </w:r>
      <w:r w:rsidR="0092546D">
        <w:rPr>
          <w:rFonts w:ascii="Arial" w:hAnsi="Arial" w:cs="Arial"/>
          <w:color w:val="000000"/>
          <w:sz w:val="20"/>
          <w:szCs w:val="20"/>
        </w:rPr>
        <w:br/>
        <w:t>W pracach g</w:t>
      </w:r>
      <w:r w:rsidRPr="004C6CC5">
        <w:rPr>
          <w:rFonts w:ascii="Arial" w:hAnsi="Arial" w:cs="Arial"/>
          <w:color w:val="000000"/>
          <w:sz w:val="20"/>
          <w:szCs w:val="20"/>
        </w:rPr>
        <w:t>rupy biorą udział przedstawiciele Ministerstwa Gospodarki Morskiej</w:t>
      </w:r>
      <w:r w:rsidR="004C6CC5">
        <w:rPr>
          <w:rFonts w:ascii="Arial" w:hAnsi="Arial" w:cs="Arial"/>
          <w:color w:val="000000"/>
          <w:sz w:val="20"/>
          <w:szCs w:val="20"/>
        </w:rPr>
        <w:t xml:space="preserve"> i </w:t>
      </w:r>
      <w:r w:rsidRPr="004C6CC5">
        <w:rPr>
          <w:rFonts w:ascii="Arial" w:hAnsi="Arial" w:cs="Arial"/>
          <w:color w:val="000000"/>
          <w:sz w:val="20"/>
          <w:szCs w:val="20"/>
        </w:rPr>
        <w:t>Żeglugi Śródlądowej oraz Generalnej Dyrekcji Ochrony Środowiska.</w:t>
      </w:r>
      <w:r w:rsidR="004C6CC5">
        <w:rPr>
          <w:rFonts w:ascii="Arial" w:hAnsi="Arial" w:cs="Arial"/>
          <w:color w:val="000000"/>
          <w:sz w:val="20"/>
          <w:szCs w:val="20"/>
        </w:rPr>
        <w:t xml:space="preserve"> </w:t>
      </w:r>
      <w:r w:rsidR="0092546D">
        <w:rPr>
          <w:rFonts w:ascii="Arial" w:hAnsi="Arial" w:cs="Arial"/>
          <w:color w:val="000000"/>
          <w:sz w:val="20"/>
          <w:szCs w:val="20"/>
        </w:rPr>
        <w:t>W</w:t>
      </w:r>
      <w:r w:rsidR="004C6CC5">
        <w:rPr>
          <w:rFonts w:ascii="Arial" w:hAnsi="Arial" w:cs="Arial"/>
          <w:color w:val="000000"/>
          <w:sz w:val="20"/>
          <w:szCs w:val="20"/>
        </w:rPr>
        <w:t> </w:t>
      </w:r>
      <w:r w:rsidRPr="004C6CC5">
        <w:rPr>
          <w:rFonts w:ascii="Arial" w:hAnsi="Arial" w:cs="Arial"/>
          <w:color w:val="000000"/>
          <w:sz w:val="20"/>
          <w:szCs w:val="20"/>
        </w:rPr>
        <w:t>2019</w:t>
      </w:r>
      <w:r w:rsidR="009D01B9" w:rsidRPr="004C6CC5">
        <w:rPr>
          <w:rFonts w:ascii="Arial" w:hAnsi="Arial" w:cs="Arial"/>
          <w:color w:val="000000"/>
          <w:sz w:val="20"/>
          <w:szCs w:val="20"/>
        </w:rPr>
        <w:t xml:space="preserve"> r. </w:t>
      </w:r>
      <w:r w:rsidRPr="004C6CC5">
        <w:rPr>
          <w:rFonts w:ascii="Arial" w:hAnsi="Arial" w:cs="Arial"/>
          <w:color w:val="000000"/>
          <w:sz w:val="20"/>
          <w:szCs w:val="20"/>
        </w:rPr>
        <w:t>obyły się dwa spotkania grupy: 18-te</w:t>
      </w:r>
      <w:r w:rsidR="004C6CC5">
        <w:rPr>
          <w:rFonts w:ascii="Arial" w:hAnsi="Arial" w:cs="Arial"/>
          <w:color w:val="000000"/>
          <w:sz w:val="20"/>
          <w:szCs w:val="20"/>
        </w:rPr>
        <w:t xml:space="preserve"> w </w:t>
      </w:r>
      <w:r w:rsidRPr="004C6CC5">
        <w:rPr>
          <w:rFonts w:ascii="Arial" w:hAnsi="Arial" w:cs="Arial"/>
          <w:color w:val="000000"/>
          <w:sz w:val="20"/>
          <w:szCs w:val="20"/>
        </w:rPr>
        <w:t>dniach 27-28 marca 2019</w:t>
      </w:r>
      <w:r w:rsidR="009D01B9" w:rsidRPr="004C6CC5">
        <w:rPr>
          <w:rFonts w:ascii="Arial" w:hAnsi="Arial" w:cs="Arial"/>
          <w:color w:val="000000"/>
          <w:sz w:val="20"/>
          <w:szCs w:val="20"/>
        </w:rPr>
        <w:t xml:space="preserve"> r.</w:t>
      </w:r>
      <w:r w:rsidR="0092546D">
        <w:rPr>
          <w:rFonts w:ascii="Arial" w:hAnsi="Arial" w:cs="Arial"/>
          <w:color w:val="000000"/>
          <w:sz w:val="20"/>
          <w:szCs w:val="20"/>
        </w:rPr>
        <w:t xml:space="preserve"> w </w:t>
      </w:r>
      <w:r w:rsidRPr="004C6CC5">
        <w:rPr>
          <w:rFonts w:ascii="Arial" w:hAnsi="Arial" w:cs="Arial"/>
          <w:color w:val="000000"/>
          <w:sz w:val="20"/>
          <w:szCs w:val="20"/>
        </w:rPr>
        <w:t>Hamburgu (Niemcy) oraz 19-te</w:t>
      </w:r>
      <w:r w:rsidR="004C6CC5">
        <w:rPr>
          <w:rFonts w:ascii="Arial" w:hAnsi="Arial" w:cs="Arial"/>
          <w:color w:val="000000"/>
          <w:sz w:val="20"/>
          <w:szCs w:val="20"/>
        </w:rPr>
        <w:t xml:space="preserve"> w </w:t>
      </w:r>
      <w:r w:rsidRPr="004C6CC5">
        <w:rPr>
          <w:rFonts w:ascii="Arial" w:hAnsi="Arial" w:cs="Arial"/>
          <w:color w:val="000000"/>
          <w:sz w:val="20"/>
          <w:szCs w:val="20"/>
        </w:rPr>
        <w:t>dniach 28-29 października 2019</w:t>
      </w:r>
      <w:r w:rsidR="009D01B9" w:rsidRPr="004C6CC5">
        <w:rPr>
          <w:rFonts w:ascii="Arial" w:hAnsi="Arial" w:cs="Arial"/>
          <w:color w:val="000000"/>
          <w:sz w:val="20"/>
          <w:szCs w:val="20"/>
        </w:rPr>
        <w:t xml:space="preserve"> r.</w:t>
      </w:r>
      <w:r w:rsidR="004C6CC5">
        <w:rPr>
          <w:rFonts w:ascii="Arial" w:hAnsi="Arial" w:cs="Arial"/>
          <w:color w:val="000000"/>
          <w:sz w:val="20"/>
          <w:szCs w:val="20"/>
        </w:rPr>
        <w:t xml:space="preserve"> w </w:t>
      </w:r>
      <w:r w:rsidRPr="004C6CC5">
        <w:rPr>
          <w:rFonts w:ascii="Arial" w:hAnsi="Arial" w:cs="Arial"/>
          <w:color w:val="000000"/>
          <w:sz w:val="20"/>
          <w:szCs w:val="20"/>
        </w:rPr>
        <w:t>Petersburgu (Rosja).</w:t>
      </w:r>
      <w:r w:rsidR="004C6CC5">
        <w:rPr>
          <w:rFonts w:ascii="Arial" w:hAnsi="Arial" w:cs="Arial"/>
          <w:color w:val="000000"/>
          <w:sz w:val="20"/>
          <w:szCs w:val="20"/>
        </w:rPr>
        <w:t xml:space="preserve"> </w:t>
      </w:r>
      <w:r w:rsidR="007539C5">
        <w:rPr>
          <w:rFonts w:ascii="Arial" w:hAnsi="Arial" w:cs="Arial"/>
          <w:color w:val="000000"/>
          <w:sz w:val="20"/>
          <w:szCs w:val="20"/>
        </w:rPr>
        <w:t>W</w:t>
      </w:r>
      <w:r w:rsidR="004C6CC5">
        <w:rPr>
          <w:rFonts w:ascii="Arial" w:hAnsi="Arial" w:cs="Arial"/>
          <w:color w:val="000000"/>
          <w:sz w:val="20"/>
          <w:szCs w:val="20"/>
        </w:rPr>
        <w:t> </w:t>
      </w:r>
      <w:r w:rsidR="007539C5">
        <w:rPr>
          <w:rFonts w:ascii="Arial" w:hAnsi="Arial" w:cs="Arial"/>
          <w:color w:val="000000"/>
          <w:sz w:val="20"/>
          <w:szCs w:val="20"/>
        </w:rPr>
        <w:t>2019 r.</w:t>
      </w:r>
      <w:r w:rsidRPr="004C6CC5">
        <w:rPr>
          <w:rFonts w:ascii="Arial" w:hAnsi="Arial" w:cs="Arial"/>
          <w:color w:val="000000"/>
          <w:sz w:val="20"/>
          <w:szCs w:val="20"/>
        </w:rPr>
        <w:t xml:space="preserve"> kontynuowała prace także podgrupa HELCOM-VASAB do spraw danych przestrzennych do morskiego planowania przestrzennego (MSP Data Expert Sub-Group). </w:t>
      </w:r>
      <w:r w:rsidRPr="004C6CC5">
        <w:rPr>
          <w:rFonts w:ascii="Arial" w:hAnsi="Arial" w:cs="Arial"/>
          <w:color w:val="000000"/>
          <w:sz w:val="20"/>
          <w:szCs w:val="20"/>
        </w:rPr>
        <w:br/>
        <w:t>W 2019</w:t>
      </w:r>
      <w:r w:rsidR="009D01B9" w:rsidRPr="004C6CC5">
        <w:rPr>
          <w:rFonts w:ascii="Arial" w:hAnsi="Arial" w:cs="Arial"/>
          <w:color w:val="000000"/>
          <w:sz w:val="20"/>
          <w:szCs w:val="20"/>
        </w:rPr>
        <w:t xml:space="preserve"> r.</w:t>
      </w:r>
      <w:r w:rsidR="004C6CC5">
        <w:rPr>
          <w:rFonts w:ascii="Arial" w:hAnsi="Arial" w:cs="Arial"/>
          <w:color w:val="000000"/>
          <w:sz w:val="20"/>
          <w:szCs w:val="20"/>
        </w:rPr>
        <w:t xml:space="preserve"> w </w:t>
      </w:r>
      <w:r w:rsidRPr="004C6CC5">
        <w:rPr>
          <w:rFonts w:ascii="Arial" w:hAnsi="Arial" w:cs="Arial"/>
          <w:color w:val="000000"/>
          <w:sz w:val="20"/>
          <w:szCs w:val="20"/>
        </w:rPr>
        <w:t>ramach MSP Data Expert Sub-Group odbyły się następujące posiedzenia:</w:t>
      </w:r>
      <w:r w:rsidR="004C6CC5">
        <w:rPr>
          <w:rFonts w:ascii="Arial" w:hAnsi="Arial" w:cs="Arial"/>
          <w:color w:val="000000"/>
          <w:sz w:val="20"/>
          <w:szCs w:val="20"/>
        </w:rPr>
        <w:t xml:space="preserve"> w </w:t>
      </w:r>
      <w:r w:rsidRPr="004C6CC5">
        <w:rPr>
          <w:rFonts w:ascii="Arial" w:hAnsi="Arial" w:cs="Arial"/>
          <w:color w:val="000000"/>
          <w:sz w:val="20"/>
          <w:szCs w:val="20"/>
        </w:rPr>
        <w:t>dniach 3-4 kwietn</w:t>
      </w:r>
      <w:r w:rsidR="007539C5">
        <w:rPr>
          <w:rFonts w:ascii="Arial" w:hAnsi="Arial" w:cs="Arial"/>
          <w:color w:val="000000"/>
          <w:sz w:val="20"/>
          <w:szCs w:val="20"/>
        </w:rPr>
        <w:t>i</w:t>
      </w:r>
      <w:r w:rsidRPr="004C6CC5">
        <w:rPr>
          <w:rFonts w:ascii="Arial" w:hAnsi="Arial" w:cs="Arial"/>
          <w:color w:val="000000"/>
          <w:sz w:val="20"/>
          <w:szCs w:val="20"/>
        </w:rPr>
        <w:t xml:space="preserve">a </w:t>
      </w:r>
      <w:r w:rsidR="004C6CC5">
        <w:rPr>
          <w:rFonts w:ascii="Arial" w:hAnsi="Arial" w:cs="Arial"/>
          <w:color w:val="000000"/>
          <w:sz w:val="20"/>
          <w:szCs w:val="20"/>
        </w:rPr>
        <w:t>w </w:t>
      </w:r>
      <w:r w:rsidRPr="004C6CC5">
        <w:rPr>
          <w:rFonts w:ascii="Arial" w:hAnsi="Arial" w:cs="Arial"/>
          <w:color w:val="000000"/>
          <w:sz w:val="20"/>
          <w:szCs w:val="20"/>
        </w:rPr>
        <w:t>Kopenhadze (Dania)</w:t>
      </w:r>
      <w:r w:rsidR="009D01B9" w:rsidRPr="004C6CC5">
        <w:rPr>
          <w:rFonts w:ascii="Arial" w:hAnsi="Arial" w:cs="Arial"/>
          <w:color w:val="000000"/>
          <w:sz w:val="20"/>
          <w:szCs w:val="20"/>
        </w:rPr>
        <w:t xml:space="preserve"> r. </w:t>
      </w:r>
      <w:r w:rsidRPr="004C6CC5">
        <w:rPr>
          <w:rFonts w:ascii="Arial" w:hAnsi="Arial" w:cs="Arial"/>
          <w:color w:val="000000"/>
          <w:sz w:val="20"/>
          <w:szCs w:val="20"/>
        </w:rPr>
        <w:t>oraz 3-4 października</w:t>
      </w:r>
      <w:r w:rsidR="004C6CC5">
        <w:rPr>
          <w:rFonts w:ascii="Arial" w:hAnsi="Arial" w:cs="Arial"/>
          <w:color w:val="000000"/>
          <w:sz w:val="20"/>
          <w:szCs w:val="20"/>
        </w:rPr>
        <w:t xml:space="preserve"> w </w:t>
      </w:r>
      <w:r w:rsidR="007539C5">
        <w:rPr>
          <w:rFonts w:ascii="Arial" w:hAnsi="Arial" w:cs="Arial"/>
          <w:color w:val="000000"/>
          <w:sz w:val="20"/>
          <w:szCs w:val="20"/>
        </w:rPr>
        <w:t>Warszawie</w:t>
      </w:r>
      <w:r w:rsidRPr="004C6CC5">
        <w:rPr>
          <w:rFonts w:ascii="Arial" w:hAnsi="Arial" w:cs="Arial"/>
          <w:color w:val="000000"/>
          <w:sz w:val="20"/>
          <w:szCs w:val="20"/>
        </w:rPr>
        <w:t>. Celem grupy jest wypracowanie rekomendacji</w:t>
      </w:r>
      <w:r w:rsidR="007539C5">
        <w:rPr>
          <w:rFonts w:ascii="Arial" w:hAnsi="Arial" w:cs="Arial"/>
          <w:color w:val="000000"/>
          <w:sz w:val="20"/>
          <w:szCs w:val="20"/>
        </w:rPr>
        <w:t xml:space="preserve"> w </w:t>
      </w:r>
      <w:r w:rsidRPr="004C6CC5">
        <w:rPr>
          <w:rFonts w:ascii="Arial" w:hAnsi="Arial" w:cs="Arial"/>
          <w:color w:val="000000"/>
          <w:sz w:val="20"/>
          <w:szCs w:val="20"/>
        </w:rPr>
        <w:t>zakresie wymiany danych do morskiego planowania przestrzennego</w:t>
      </w:r>
      <w:r w:rsidR="00E347D5">
        <w:rPr>
          <w:rFonts w:ascii="Arial" w:hAnsi="Arial" w:cs="Arial"/>
          <w:color w:val="000000"/>
          <w:sz w:val="20"/>
          <w:szCs w:val="20"/>
        </w:rPr>
        <w:t xml:space="preserve"> </w:t>
      </w:r>
      <w:r w:rsidR="004C6CC5">
        <w:rPr>
          <w:rFonts w:ascii="Arial" w:hAnsi="Arial" w:cs="Arial"/>
          <w:color w:val="000000"/>
          <w:sz w:val="20"/>
          <w:szCs w:val="20"/>
        </w:rPr>
        <w:t>w </w:t>
      </w:r>
      <w:r w:rsidR="009A4CC5">
        <w:rPr>
          <w:rFonts w:ascii="Arial" w:hAnsi="Arial" w:cs="Arial"/>
          <w:color w:val="000000"/>
          <w:sz w:val="20"/>
          <w:szCs w:val="20"/>
        </w:rPr>
        <w:t xml:space="preserve">odniesieniu do obszaru </w:t>
      </w:r>
      <w:r w:rsidRPr="004C6CC5">
        <w:rPr>
          <w:rFonts w:ascii="Arial" w:hAnsi="Arial" w:cs="Arial"/>
          <w:color w:val="000000"/>
          <w:sz w:val="20"/>
          <w:szCs w:val="20"/>
        </w:rPr>
        <w:t xml:space="preserve">Morza Bałtyckiego. </w:t>
      </w:r>
    </w:p>
    <w:p w14:paraId="0E8F2A2E" w14:textId="3D3779CA" w:rsidR="00CD5EBD" w:rsidRPr="00CD5EBD" w:rsidRDefault="00CD5EBD" w:rsidP="00CD5EBD">
      <w:pPr>
        <w:spacing w:before="120" w:after="120" w:line="276" w:lineRule="auto"/>
        <w:jc w:val="both"/>
        <w:rPr>
          <w:rFonts w:ascii="Arial" w:hAnsi="Arial" w:cs="Arial"/>
          <w:color w:val="000000"/>
          <w:sz w:val="20"/>
          <w:szCs w:val="20"/>
        </w:rPr>
      </w:pPr>
      <w:r w:rsidRPr="00CD5EBD">
        <w:rPr>
          <w:rFonts w:ascii="Arial" w:hAnsi="Arial" w:cs="Arial"/>
          <w:color w:val="000000"/>
          <w:sz w:val="20"/>
          <w:szCs w:val="20"/>
        </w:rPr>
        <w:t>Strona polska prowadziła współpracę transgraniczną także w ramach projektu „Pan Baltic Scope”. Celem tej współpracy było osiągnięcie spójnych planów zagospodarowania przestrzennego obszarów morskich w obszarze Morza Bałtyckiego oraz zbudowanie długotrwałych mechanizmów współpracy transgranicznej w zakresie planowania. W ramach prac opracowano wspólne narzędzia i podejścia, które mają na celu wsparcie krajowych rozwiązań planistycznych.</w:t>
      </w:r>
      <w:r w:rsidR="00783319">
        <w:rPr>
          <w:rFonts w:ascii="Arial" w:hAnsi="Arial" w:cs="Arial"/>
          <w:color w:val="000000"/>
          <w:sz w:val="20"/>
          <w:szCs w:val="20"/>
        </w:rPr>
        <w:t xml:space="preserve"> Konferencja podsumowująca projekt odbyła się w dniach 17 - 19 listopada 2019 r. w Rydze. </w:t>
      </w:r>
      <w:r w:rsidRPr="00CD5EBD">
        <w:rPr>
          <w:rFonts w:ascii="Arial" w:hAnsi="Arial" w:cs="Arial"/>
          <w:color w:val="000000"/>
          <w:sz w:val="20"/>
          <w:szCs w:val="20"/>
        </w:rPr>
        <w:t xml:space="preserve">Wszystkie wyniki projektu: raporty, broszury </w:t>
      </w:r>
      <w:r w:rsidR="00783319">
        <w:rPr>
          <w:rFonts w:ascii="Arial" w:hAnsi="Arial" w:cs="Arial"/>
          <w:color w:val="000000"/>
          <w:sz w:val="20"/>
          <w:szCs w:val="20"/>
        </w:rPr>
        <w:t>oraz wykorzystywane</w:t>
      </w:r>
      <w:r w:rsidRPr="00CD5EBD">
        <w:rPr>
          <w:rFonts w:ascii="Arial" w:hAnsi="Arial" w:cs="Arial"/>
          <w:color w:val="000000"/>
          <w:sz w:val="20"/>
          <w:szCs w:val="20"/>
        </w:rPr>
        <w:t xml:space="preserve"> narzędzia dostępne są online na stronie internetowej poświęconej wynikom projektu.</w:t>
      </w:r>
    </w:p>
    <w:p w14:paraId="54D0A5D7" w14:textId="2767E69E" w:rsidR="00CD5EBD" w:rsidRPr="00CD5EBD" w:rsidRDefault="00CD5EBD" w:rsidP="00CD5EBD">
      <w:pPr>
        <w:spacing w:before="120" w:after="120" w:line="276" w:lineRule="auto"/>
        <w:jc w:val="both"/>
        <w:rPr>
          <w:rFonts w:ascii="Arial" w:hAnsi="Arial" w:cs="Arial"/>
          <w:color w:val="000000"/>
          <w:sz w:val="20"/>
          <w:szCs w:val="20"/>
        </w:rPr>
      </w:pPr>
      <w:r w:rsidRPr="00CD5EBD">
        <w:rPr>
          <w:rFonts w:ascii="Arial" w:hAnsi="Arial" w:cs="Arial"/>
          <w:color w:val="000000"/>
          <w:sz w:val="20"/>
          <w:szCs w:val="20"/>
        </w:rPr>
        <w:t>Strona polska wzięła także udział w 2019 r. w spotkaniu konsultacyjnym projektów planów zagospodarowania przestrzennego obszarów morskich zorganizowanych przez Szwecję oraz opiniowała projekt ww. planów.</w:t>
      </w:r>
    </w:p>
    <w:p w14:paraId="10E40D5D" w14:textId="06FC625C" w:rsidR="003F149C" w:rsidRPr="007539C5" w:rsidRDefault="003F149C" w:rsidP="00250CD0">
      <w:pPr>
        <w:pStyle w:val="Nagwek1"/>
        <w:spacing w:before="120" w:after="120"/>
        <w:rPr>
          <w:rFonts w:ascii="Arial" w:hAnsi="Arial" w:cs="Arial"/>
          <w:b/>
          <w:sz w:val="20"/>
          <w:szCs w:val="20"/>
        </w:rPr>
      </w:pPr>
      <w:bookmarkStart w:id="63" w:name="_Toc72745075"/>
      <w:r w:rsidRPr="007539C5">
        <w:rPr>
          <w:rFonts w:ascii="Arial" w:hAnsi="Arial" w:cs="Arial"/>
          <w:b/>
          <w:color w:val="auto"/>
          <w:sz w:val="20"/>
          <w:szCs w:val="20"/>
        </w:rPr>
        <w:lastRenderedPageBreak/>
        <w:t xml:space="preserve">RYBOŁÓWSTWO </w:t>
      </w:r>
      <w:r w:rsidR="00823361">
        <w:rPr>
          <w:rFonts w:ascii="Arial" w:hAnsi="Arial" w:cs="Arial"/>
          <w:b/>
          <w:color w:val="auto"/>
          <w:sz w:val="20"/>
          <w:szCs w:val="20"/>
        </w:rPr>
        <w:t>I</w:t>
      </w:r>
      <w:r w:rsidR="00D85662">
        <w:rPr>
          <w:rFonts w:ascii="Arial" w:hAnsi="Arial" w:cs="Arial"/>
          <w:b/>
          <w:color w:val="auto"/>
          <w:sz w:val="20"/>
          <w:szCs w:val="20"/>
        </w:rPr>
        <w:t xml:space="preserve"> PRZETWÓRSTWO RYB W POLSCE</w:t>
      </w:r>
      <w:r w:rsidR="00823361">
        <w:rPr>
          <w:rFonts w:ascii="Arial" w:hAnsi="Arial" w:cs="Arial"/>
          <w:b/>
          <w:color w:val="auto"/>
          <w:sz w:val="20"/>
          <w:szCs w:val="20"/>
        </w:rPr>
        <w:t>.</w:t>
      </w:r>
      <w:bookmarkEnd w:id="63"/>
    </w:p>
    <w:p w14:paraId="11D2D86D" w14:textId="253012D5" w:rsidR="00C61728" w:rsidRPr="007532FB" w:rsidRDefault="00C61728" w:rsidP="007532FB">
      <w:pPr>
        <w:pStyle w:val="Nagwek2"/>
        <w:spacing w:before="120" w:after="120"/>
        <w:rPr>
          <w:rFonts w:ascii="Arial" w:hAnsi="Arial" w:cs="Arial"/>
          <w:b/>
          <w:color w:val="auto"/>
          <w:sz w:val="20"/>
          <w:szCs w:val="20"/>
        </w:rPr>
      </w:pPr>
      <w:bookmarkStart w:id="64" w:name="_Toc72745076"/>
      <w:r w:rsidRPr="007532FB">
        <w:rPr>
          <w:rFonts w:ascii="Arial" w:hAnsi="Arial" w:cs="Arial"/>
          <w:b/>
          <w:color w:val="auto"/>
          <w:sz w:val="20"/>
          <w:szCs w:val="20"/>
        </w:rPr>
        <w:t>Polityka rybołówstwa</w:t>
      </w:r>
      <w:r w:rsidR="00774405">
        <w:rPr>
          <w:rFonts w:ascii="Arial" w:hAnsi="Arial" w:cs="Arial"/>
          <w:b/>
          <w:color w:val="auto"/>
          <w:sz w:val="20"/>
          <w:szCs w:val="20"/>
        </w:rPr>
        <w:t>.</w:t>
      </w:r>
      <w:bookmarkEnd w:id="64"/>
      <w:r w:rsidRPr="007532FB">
        <w:rPr>
          <w:rFonts w:ascii="Arial" w:hAnsi="Arial" w:cs="Arial"/>
          <w:b/>
          <w:color w:val="auto"/>
          <w:sz w:val="20"/>
          <w:szCs w:val="20"/>
        </w:rPr>
        <w:t xml:space="preserve"> </w:t>
      </w:r>
    </w:p>
    <w:p w14:paraId="161A619D" w14:textId="60CDFAFC" w:rsidR="001A124A" w:rsidRPr="001579C7" w:rsidRDefault="001A124A" w:rsidP="001579C7">
      <w:pPr>
        <w:spacing w:before="120" w:after="120" w:line="276" w:lineRule="auto"/>
        <w:jc w:val="both"/>
        <w:rPr>
          <w:rFonts w:ascii="Arial" w:hAnsi="Arial" w:cs="Arial"/>
          <w:color w:val="000000"/>
          <w:sz w:val="20"/>
          <w:szCs w:val="20"/>
        </w:rPr>
      </w:pPr>
      <w:r w:rsidRPr="00682021">
        <w:rPr>
          <w:rFonts w:ascii="Arial" w:hAnsi="Arial" w:cs="Arial"/>
          <w:color w:val="000000"/>
          <w:sz w:val="20"/>
          <w:szCs w:val="20"/>
        </w:rPr>
        <w:t>Podczas prezydencji rumuńskiej w Radzie kontynuowane były prace nad wypracowaniem mandatu negocjacyjnego Rady w odniesieniu do projektu rozporządzenia o Europejskim Funduszu Morskim i Rybackim (EFMR) na lata 2021-2027. Pra</w:t>
      </w:r>
      <w:r w:rsidR="003447F3" w:rsidRPr="00682021">
        <w:rPr>
          <w:rFonts w:ascii="Arial" w:hAnsi="Arial" w:cs="Arial"/>
          <w:color w:val="000000"/>
          <w:sz w:val="20"/>
          <w:szCs w:val="20"/>
        </w:rPr>
        <w:t>ce te prowadzone były na forum G</w:t>
      </w:r>
      <w:r w:rsidRPr="00682021">
        <w:rPr>
          <w:rFonts w:ascii="Arial" w:hAnsi="Arial" w:cs="Arial"/>
          <w:color w:val="000000"/>
          <w:sz w:val="20"/>
          <w:szCs w:val="20"/>
        </w:rPr>
        <w:t xml:space="preserve">rupy roboczej </w:t>
      </w:r>
      <w:r w:rsidR="00D92104">
        <w:rPr>
          <w:rFonts w:ascii="Arial" w:hAnsi="Arial" w:cs="Arial"/>
          <w:color w:val="000000"/>
          <w:sz w:val="20"/>
          <w:szCs w:val="20"/>
        </w:rPr>
        <w:br/>
      </w:r>
      <w:r w:rsidRPr="00682021">
        <w:rPr>
          <w:rFonts w:ascii="Arial" w:hAnsi="Arial" w:cs="Arial"/>
          <w:color w:val="000000"/>
          <w:sz w:val="20"/>
          <w:szCs w:val="20"/>
        </w:rPr>
        <w:t>ds. Wew</w:t>
      </w:r>
      <w:r w:rsidR="00C84132">
        <w:rPr>
          <w:rFonts w:ascii="Arial" w:hAnsi="Arial" w:cs="Arial"/>
          <w:color w:val="000000"/>
          <w:sz w:val="20"/>
          <w:szCs w:val="20"/>
        </w:rPr>
        <w:t xml:space="preserve">nętrznej Polityki Rybołówstwa. </w:t>
      </w:r>
      <w:r w:rsidRPr="00682021">
        <w:rPr>
          <w:rFonts w:ascii="Arial" w:hAnsi="Arial" w:cs="Arial"/>
          <w:color w:val="000000"/>
          <w:sz w:val="20"/>
          <w:szCs w:val="20"/>
        </w:rPr>
        <w:t>Priorytetem dla Polski jest kontynuacja wsparcia strukturalnego dla rybołówstwa morskiego, akwakultury i przetwórstwa w jak najszerszym zakresie, dlatego też przedstawiciele RP aktywnie uczestniczyli w pracach nad projektem rozporządzenia, zgłaszając propozycje istotnych dla polskiego rybactwa zmian przepisów oraz inicjując dyskusję w rama</w:t>
      </w:r>
      <w:r w:rsidR="00C84132">
        <w:rPr>
          <w:rFonts w:ascii="Arial" w:hAnsi="Arial" w:cs="Arial"/>
          <w:color w:val="000000"/>
          <w:sz w:val="20"/>
          <w:szCs w:val="20"/>
        </w:rPr>
        <w:t>ch grupy roboczej. Jednocześnie</w:t>
      </w:r>
      <w:r w:rsidRPr="00682021">
        <w:rPr>
          <w:rFonts w:ascii="Arial" w:hAnsi="Arial" w:cs="Arial"/>
          <w:color w:val="000000"/>
          <w:sz w:val="20"/>
          <w:szCs w:val="20"/>
        </w:rPr>
        <w:t xml:space="preserve"> od początku prac nad projektem </w:t>
      </w:r>
      <w:r w:rsidR="00C84132" w:rsidRPr="00682021">
        <w:rPr>
          <w:rFonts w:ascii="Arial" w:hAnsi="Arial" w:cs="Arial"/>
          <w:color w:val="000000"/>
          <w:sz w:val="20"/>
          <w:szCs w:val="20"/>
        </w:rPr>
        <w:t xml:space="preserve">przedstawiciele Polski </w:t>
      </w:r>
      <w:r w:rsidRPr="00682021">
        <w:rPr>
          <w:rFonts w:ascii="Arial" w:hAnsi="Arial" w:cs="Arial"/>
          <w:color w:val="000000"/>
          <w:sz w:val="20"/>
          <w:szCs w:val="20"/>
        </w:rPr>
        <w:t>zwracali uwagę na fakt, iż nowy fundusz nie odpowiada na potrzeby sektora rybactwa w regionie Morza Bałtyckiego, dla którego doradztwo Międzynarodowej Rady Badań Morz</w:t>
      </w:r>
      <w:r w:rsidR="008132C1">
        <w:rPr>
          <w:rFonts w:ascii="Arial" w:hAnsi="Arial" w:cs="Arial"/>
          <w:color w:val="000000"/>
          <w:sz w:val="20"/>
          <w:szCs w:val="20"/>
        </w:rPr>
        <w:t>a (ICES) na rok 2020 rekomendowało</w:t>
      </w:r>
      <w:r w:rsidRPr="00682021">
        <w:rPr>
          <w:rFonts w:ascii="Arial" w:hAnsi="Arial" w:cs="Arial"/>
          <w:color w:val="000000"/>
          <w:sz w:val="20"/>
          <w:szCs w:val="20"/>
        </w:rPr>
        <w:t xml:space="preserve"> TAC (całkowite dopuszczalne połowy) dla stada dorsza wschodniego oraz śledzia zachodniego na poziomie „0”. Zgłaszając u</w:t>
      </w:r>
      <w:r w:rsidR="00E71BAB">
        <w:rPr>
          <w:rFonts w:ascii="Arial" w:hAnsi="Arial" w:cs="Arial"/>
          <w:color w:val="000000"/>
          <w:sz w:val="20"/>
          <w:szCs w:val="20"/>
        </w:rPr>
        <w:t>wagi do projektu rozporządzenia</w:t>
      </w:r>
      <w:r w:rsidRPr="00682021">
        <w:rPr>
          <w:rFonts w:ascii="Arial" w:hAnsi="Arial" w:cs="Arial"/>
          <w:color w:val="000000"/>
          <w:sz w:val="20"/>
          <w:szCs w:val="20"/>
        </w:rPr>
        <w:t xml:space="preserve"> Polska szukała poparcia wśród innych państw </w:t>
      </w:r>
      <w:r w:rsidR="00E71BAB">
        <w:rPr>
          <w:rFonts w:ascii="Arial" w:hAnsi="Arial" w:cs="Arial"/>
          <w:color w:val="000000"/>
          <w:sz w:val="20"/>
          <w:szCs w:val="20"/>
        </w:rPr>
        <w:t xml:space="preserve">członkowskich </w:t>
      </w:r>
      <w:r w:rsidRPr="00682021">
        <w:rPr>
          <w:rFonts w:ascii="Arial" w:hAnsi="Arial" w:cs="Arial"/>
          <w:color w:val="000000"/>
          <w:sz w:val="20"/>
          <w:szCs w:val="20"/>
        </w:rPr>
        <w:t>dla dokonania stosownych zmian przepisów, tak aby nowy fundusz zawierał bardziej elastyczne mechanizmy, które pozwolą państwom członkowskim reagować na problemy p</w:t>
      </w:r>
      <w:r w:rsidR="00036C06">
        <w:rPr>
          <w:rFonts w:ascii="Arial" w:hAnsi="Arial" w:cs="Arial"/>
          <w:color w:val="000000"/>
          <w:sz w:val="20"/>
          <w:szCs w:val="20"/>
        </w:rPr>
        <w:t xml:space="preserve">ojawiające się w ich regionach. </w:t>
      </w:r>
      <w:r w:rsidR="001579C7">
        <w:rPr>
          <w:rFonts w:ascii="Arial" w:hAnsi="Arial" w:cs="Arial"/>
          <w:color w:val="000000"/>
          <w:sz w:val="20"/>
          <w:szCs w:val="20"/>
        </w:rPr>
        <w:t>W wyniku prac G</w:t>
      </w:r>
      <w:r w:rsidRPr="00682021">
        <w:rPr>
          <w:rFonts w:ascii="Arial" w:hAnsi="Arial" w:cs="Arial"/>
          <w:color w:val="000000"/>
          <w:sz w:val="20"/>
          <w:szCs w:val="20"/>
        </w:rPr>
        <w:t>ru</w:t>
      </w:r>
      <w:r w:rsidR="001579C7">
        <w:rPr>
          <w:rFonts w:ascii="Arial" w:hAnsi="Arial" w:cs="Arial"/>
          <w:color w:val="000000"/>
          <w:sz w:val="20"/>
          <w:szCs w:val="20"/>
        </w:rPr>
        <w:t>py roboczej ds. Wewnętrznej P</w:t>
      </w:r>
      <w:r w:rsidRPr="00682021">
        <w:rPr>
          <w:rFonts w:ascii="Arial" w:hAnsi="Arial" w:cs="Arial"/>
          <w:color w:val="000000"/>
          <w:sz w:val="20"/>
          <w:szCs w:val="20"/>
        </w:rPr>
        <w:t>ol</w:t>
      </w:r>
      <w:r w:rsidR="001579C7">
        <w:rPr>
          <w:rFonts w:ascii="Arial" w:hAnsi="Arial" w:cs="Arial"/>
          <w:color w:val="000000"/>
          <w:sz w:val="20"/>
          <w:szCs w:val="20"/>
        </w:rPr>
        <w:t>ityki R</w:t>
      </w:r>
      <w:r w:rsidRPr="00682021">
        <w:rPr>
          <w:rFonts w:ascii="Arial" w:hAnsi="Arial" w:cs="Arial"/>
          <w:color w:val="000000"/>
          <w:sz w:val="20"/>
          <w:szCs w:val="20"/>
        </w:rPr>
        <w:t xml:space="preserve">ybołówstwa </w:t>
      </w:r>
      <w:r w:rsidR="00D20121">
        <w:rPr>
          <w:rFonts w:ascii="Arial" w:hAnsi="Arial" w:cs="Arial"/>
          <w:color w:val="000000"/>
          <w:sz w:val="20"/>
          <w:szCs w:val="20"/>
        </w:rPr>
        <w:t>oraz</w:t>
      </w:r>
      <w:r w:rsidRPr="00682021">
        <w:rPr>
          <w:rFonts w:ascii="Arial" w:hAnsi="Arial" w:cs="Arial"/>
          <w:color w:val="000000"/>
          <w:sz w:val="20"/>
          <w:szCs w:val="20"/>
        </w:rPr>
        <w:t xml:space="preserve"> COREPER I przygotowany został dokument stanowiący częściowe podejście ogólne Rady </w:t>
      </w:r>
      <w:r w:rsidR="00D20121">
        <w:rPr>
          <w:rFonts w:ascii="Arial" w:hAnsi="Arial" w:cs="Arial"/>
          <w:color w:val="000000"/>
          <w:sz w:val="20"/>
          <w:szCs w:val="20"/>
        </w:rPr>
        <w:br/>
      </w:r>
      <w:r w:rsidRPr="00682021">
        <w:rPr>
          <w:rFonts w:ascii="Arial" w:hAnsi="Arial" w:cs="Arial"/>
          <w:color w:val="000000"/>
          <w:sz w:val="20"/>
          <w:szCs w:val="20"/>
        </w:rPr>
        <w:t>w odniesieniu do projektu rozporządzenia o EFMR. Dokument ten w dniu 18 czerwca 2019 r. został przyjęty przez Radę</w:t>
      </w:r>
      <w:r w:rsidR="00D20121">
        <w:rPr>
          <w:rFonts w:ascii="Arial" w:hAnsi="Arial" w:cs="Arial"/>
          <w:color w:val="000000"/>
          <w:sz w:val="20"/>
          <w:szCs w:val="20"/>
        </w:rPr>
        <w:t xml:space="preserve"> </w:t>
      </w:r>
      <w:r w:rsidR="001579C7">
        <w:rPr>
          <w:rFonts w:ascii="Arial" w:hAnsi="Arial" w:cs="Arial"/>
          <w:color w:val="000000"/>
          <w:sz w:val="20"/>
          <w:szCs w:val="20"/>
        </w:rPr>
        <w:t xml:space="preserve">ds. Rolnictwa i Rybołówstwa. </w:t>
      </w:r>
      <w:r w:rsidRPr="00682021">
        <w:rPr>
          <w:rFonts w:ascii="Arial" w:hAnsi="Arial" w:cs="Arial"/>
          <w:color w:val="000000"/>
          <w:sz w:val="20"/>
          <w:szCs w:val="20"/>
        </w:rPr>
        <w:t xml:space="preserve">Polska nie poparła propozycji kompromisowej opracowanej przez prezydencję rumuńską. </w:t>
      </w:r>
    </w:p>
    <w:p w14:paraId="60C58A23" w14:textId="426DDE7B" w:rsidR="00C61728" w:rsidRPr="00333B0D" w:rsidRDefault="00D20121" w:rsidP="00333B0D">
      <w:pPr>
        <w:spacing w:before="120" w:after="120" w:line="276" w:lineRule="auto"/>
        <w:jc w:val="both"/>
        <w:rPr>
          <w:rFonts w:ascii="Arial" w:hAnsi="Arial" w:cs="Arial"/>
          <w:color w:val="000000"/>
          <w:sz w:val="20"/>
          <w:szCs w:val="20"/>
        </w:rPr>
      </w:pPr>
      <w:r>
        <w:rPr>
          <w:rFonts w:ascii="Arial" w:hAnsi="Arial" w:cs="Arial"/>
          <w:color w:val="000000"/>
          <w:sz w:val="20"/>
          <w:szCs w:val="20"/>
        </w:rPr>
        <w:t>W drugiej połowie roku w</w:t>
      </w:r>
      <w:r w:rsidR="00C61728" w:rsidRPr="00333B0D">
        <w:rPr>
          <w:rFonts w:ascii="Arial" w:hAnsi="Arial" w:cs="Arial"/>
          <w:color w:val="000000"/>
          <w:sz w:val="20"/>
          <w:szCs w:val="20"/>
        </w:rPr>
        <w:t xml:space="preserve"> trakcie prezydencji fińskiej prowadzone były prace nad rozporządzeniem Rady ustalającym uprawnienia do połowów na 2020 rok w odniesieniu do niektórych stad ryb i grup stad ryb </w:t>
      </w:r>
      <w:r w:rsidR="00C61728" w:rsidRPr="00333B0D">
        <w:rPr>
          <w:rFonts w:ascii="Arial" w:hAnsi="Arial" w:cs="Arial"/>
          <w:color w:val="000000"/>
          <w:sz w:val="20"/>
          <w:szCs w:val="20"/>
        </w:rPr>
        <w:br/>
        <w:t xml:space="preserve">w Morzu Bałtyckim, które sfinalizowano podczas posiedzenia Rady UE ds. </w:t>
      </w:r>
      <w:r w:rsidR="00266DEC">
        <w:rPr>
          <w:rFonts w:ascii="Arial" w:hAnsi="Arial" w:cs="Arial"/>
          <w:color w:val="000000"/>
          <w:sz w:val="20"/>
          <w:szCs w:val="20"/>
        </w:rPr>
        <w:t xml:space="preserve">Rolnictwa i Rybołówstwa </w:t>
      </w:r>
      <w:r>
        <w:rPr>
          <w:rFonts w:ascii="Arial" w:hAnsi="Arial" w:cs="Arial"/>
          <w:color w:val="000000"/>
          <w:sz w:val="20"/>
          <w:szCs w:val="20"/>
        </w:rPr>
        <w:br/>
      </w:r>
      <w:r w:rsidR="00266DEC">
        <w:rPr>
          <w:rFonts w:ascii="Arial" w:hAnsi="Arial" w:cs="Arial"/>
          <w:color w:val="000000"/>
          <w:sz w:val="20"/>
          <w:szCs w:val="20"/>
        </w:rPr>
        <w:t>w dniach</w:t>
      </w:r>
      <w:r w:rsidR="00C61728" w:rsidRPr="00333B0D">
        <w:rPr>
          <w:rFonts w:ascii="Arial" w:hAnsi="Arial" w:cs="Arial"/>
          <w:color w:val="000000"/>
          <w:sz w:val="20"/>
          <w:szCs w:val="20"/>
        </w:rPr>
        <w:t xml:space="preserve"> 14-15 października 2019 r. </w:t>
      </w:r>
      <w:r w:rsidR="00A55121">
        <w:rPr>
          <w:rFonts w:ascii="Arial" w:hAnsi="Arial" w:cs="Arial"/>
          <w:color w:val="000000"/>
          <w:sz w:val="20"/>
          <w:szCs w:val="20"/>
        </w:rPr>
        <w:t>W odniesieniu</w:t>
      </w:r>
      <w:r w:rsidR="00C61728" w:rsidRPr="00333B0D">
        <w:rPr>
          <w:rFonts w:ascii="Arial" w:hAnsi="Arial" w:cs="Arial"/>
          <w:color w:val="000000"/>
          <w:sz w:val="20"/>
          <w:szCs w:val="20"/>
        </w:rPr>
        <w:t xml:space="preserve"> do poszczególnych st</w:t>
      </w:r>
      <w:r w:rsidR="00A55121">
        <w:rPr>
          <w:rFonts w:ascii="Arial" w:hAnsi="Arial" w:cs="Arial"/>
          <w:color w:val="000000"/>
          <w:sz w:val="20"/>
          <w:szCs w:val="20"/>
        </w:rPr>
        <w:t>ad eksploatowanych przez Polskę</w:t>
      </w:r>
      <w:r w:rsidR="00C61728" w:rsidRPr="00333B0D">
        <w:rPr>
          <w:rFonts w:ascii="Arial" w:hAnsi="Arial" w:cs="Arial"/>
          <w:color w:val="000000"/>
          <w:sz w:val="20"/>
          <w:szCs w:val="20"/>
        </w:rPr>
        <w:t xml:space="preserve"> Rada przyjęła następujące ustalenia na 2020 rok (w porównaniu do kwot połowowych obowiązujących na rok 2019): </w:t>
      </w:r>
    </w:p>
    <w:p w14:paraId="155157EE" w14:textId="2F4FFB85" w:rsidR="00C61728" w:rsidRPr="001579C7" w:rsidRDefault="00A55121" w:rsidP="00A55121">
      <w:pPr>
        <w:spacing w:before="120" w:after="120" w:line="240" w:lineRule="auto"/>
        <w:jc w:val="both"/>
        <w:rPr>
          <w:rFonts w:ascii="Arial" w:eastAsia="Calibri" w:hAnsi="Arial" w:cs="Arial"/>
          <w:bCs/>
          <w:sz w:val="20"/>
          <w:szCs w:val="20"/>
          <w:lang w:eastAsia="pl-PL"/>
        </w:rPr>
      </w:pPr>
      <w:r>
        <w:rPr>
          <w:rFonts w:ascii="Arial" w:eastAsia="Calibri" w:hAnsi="Arial" w:cs="Arial"/>
          <w:bCs/>
          <w:sz w:val="20"/>
          <w:szCs w:val="20"/>
          <w:lang w:eastAsia="pl-PL"/>
        </w:rPr>
        <w:t xml:space="preserve">- </w:t>
      </w:r>
      <w:r w:rsidR="00C61728" w:rsidRPr="001579C7">
        <w:rPr>
          <w:rFonts w:ascii="Arial" w:eastAsia="Calibri" w:hAnsi="Arial" w:cs="Arial"/>
          <w:bCs/>
          <w:sz w:val="20"/>
          <w:szCs w:val="20"/>
          <w:lang w:eastAsia="pl-PL"/>
        </w:rPr>
        <w:t>dorsz stada zachodniego (podobszary 22-24 Morza Bałtyckie</w:t>
      </w:r>
      <w:r w:rsidR="00DD769D">
        <w:rPr>
          <w:rFonts w:ascii="Arial" w:eastAsia="Calibri" w:hAnsi="Arial" w:cs="Arial"/>
          <w:bCs/>
          <w:sz w:val="20"/>
          <w:szCs w:val="20"/>
          <w:lang w:eastAsia="pl-PL"/>
        </w:rPr>
        <w:t>go) – zmniejszono kwotę o – 60%.</w:t>
      </w:r>
    </w:p>
    <w:p w14:paraId="6CA6F88F" w14:textId="73C55D0F" w:rsidR="00C61728" w:rsidRPr="00947BEB" w:rsidRDefault="00C61728" w:rsidP="00947BEB">
      <w:pPr>
        <w:spacing w:before="120" w:after="120" w:line="276" w:lineRule="auto"/>
        <w:jc w:val="both"/>
        <w:rPr>
          <w:rFonts w:ascii="Arial" w:hAnsi="Arial" w:cs="Arial"/>
          <w:color w:val="000000"/>
          <w:sz w:val="20"/>
          <w:szCs w:val="20"/>
        </w:rPr>
      </w:pPr>
      <w:r w:rsidRPr="00947BEB">
        <w:rPr>
          <w:rFonts w:ascii="Arial" w:hAnsi="Arial" w:cs="Arial"/>
          <w:color w:val="000000"/>
          <w:sz w:val="20"/>
          <w:szCs w:val="20"/>
        </w:rPr>
        <w:t xml:space="preserve">Dodatkowo dla dorsza stada zachodniego od dnia 1 lutego do 31 marca, w podrejonach 22-23 i od </w:t>
      </w:r>
      <w:r w:rsidRPr="00947BEB">
        <w:rPr>
          <w:rFonts w:ascii="Arial" w:hAnsi="Arial" w:cs="Arial"/>
          <w:color w:val="000000"/>
          <w:sz w:val="20"/>
          <w:szCs w:val="20"/>
        </w:rPr>
        <w:br/>
        <w:t xml:space="preserve">1 czerwca do 31 lipca w podrejonie 24, ustanowiony został okres ochronny. W podobszarze 24 niedozwolone są ukierunkowane połowy dorsza </w:t>
      </w:r>
      <w:r w:rsidR="00DD769D">
        <w:rPr>
          <w:rFonts w:ascii="Arial" w:hAnsi="Arial" w:cs="Arial"/>
          <w:color w:val="000000"/>
          <w:sz w:val="20"/>
          <w:szCs w:val="20"/>
        </w:rPr>
        <w:t>i jest możliwy włącznie przyłów;</w:t>
      </w:r>
    </w:p>
    <w:p w14:paraId="5C9A8181" w14:textId="27C2A5D3" w:rsidR="00C61728" w:rsidRPr="001579C7" w:rsidRDefault="00A55121" w:rsidP="00A55121">
      <w:pPr>
        <w:spacing w:before="120" w:after="120" w:line="240" w:lineRule="auto"/>
        <w:jc w:val="both"/>
        <w:rPr>
          <w:rFonts w:ascii="Arial" w:eastAsia="Calibri" w:hAnsi="Arial" w:cs="Arial"/>
          <w:bCs/>
          <w:sz w:val="20"/>
          <w:szCs w:val="20"/>
          <w:lang w:eastAsia="pl-PL"/>
        </w:rPr>
      </w:pPr>
      <w:r>
        <w:rPr>
          <w:rFonts w:ascii="Arial" w:eastAsia="Calibri" w:hAnsi="Arial" w:cs="Arial"/>
          <w:bCs/>
          <w:sz w:val="20"/>
          <w:szCs w:val="20"/>
          <w:lang w:eastAsia="pl-PL"/>
        </w:rPr>
        <w:t xml:space="preserve">- </w:t>
      </w:r>
      <w:r w:rsidR="00C61728" w:rsidRPr="001579C7">
        <w:rPr>
          <w:rFonts w:ascii="Arial" w:eastAsia="Calibri" w:hAnsi="Arial" w:cs="Arial"/>
          <w:bCs/>
          <w:sz w:val="20"/>
          <w:szCs w:val="20"/>
          <w:lang w:eastAsia="pl-PL"/>
        </w:rPr>
        <w:t xml:space="preserve">dorsz stada wschodniego (podobszary 25-32 Morza Bałtyckiego) – zmniejszono kwotę o – 92%. </w:t>
      </w:r>
    </w:p>
    <w:p w14:paraId="2E671FEF" w14:textId="77777777" w:rsidR="00C61728" w:rsidRPr="00765BE3" w:rsidRDefault="00C61728" w:rsidP="00333B0D">
      <w:pPr>
        <w:spacing w:before="120" w:after="120" w:line="276" w:lineRule="auto"/>
        <w:jc w:val="both"/>
        <w:rPr>
          <w:rFonts w:ascii="Arial" w:hAnsi="Arial" w:cs="Arial"/>
          <w:color w:val="000000"/>
          <w:sz w:val="20"/>
          <w:szCs w:val="20"/>
        </w:rPr>
      </w:pPr>
      <w:r w:rsidRPr="00765BE3">
        <w:rPr>
          <w:rFonts w:ascii="Arial" w:hAnsi="Arial" w:cs="Arial"/>
          <w:color w:val="000000"/>
          <w:sz w:val="20"/>
          <w:szCs w:val="20"/>
        </w:rPr>
        <w:t xml:space="preserve">Kwota połowowa dorsza stada wschodniego będzie mogła zostać wykorzystana wyłącznie na przyłów. Zakazane będą połowy ukierunkowane tego gatunku w celach innych niż naukowe. Dodatkowo dla dorsza stada wschodniego od dn. 1 maja do dn. 31 sierpnia, w podrejonach 25-26, ustanowiony został okres ochronny. </w:t>
      </w:r>
    </w:p>
    <w:p w14:paraId="4540E725" w14:textId="77777777" w:rsidR="00C61728" w:rsidRPr="00765BE3" w:rsidRDefault="00C61728" w:rsidP="00C61728">
      <w:pPr>
        <w:spacing w:before="120" w:after="120" w:line="240" w:lineRule="auto"/>
        <w:jc w:val="both"/>
        <w:rPr>
          <w:rFonts w:ascii="Arial" w:eastAsia="Calibri" w:hAnsi="Arial" w:cs="Arial"/>
          <w:bCs/>
          <w:sz w:val="20"/>
          <w:szCs w:val="20"/>
          <w:lang w:eastAsia="pl-PL"/>
        </w:rPr>
      </w:pPr>
      <w:r w:rsidRPr="00765BE3">
        <w:rPr>
          <w:rFonts w:ascii="Arial" w:eastAsia="Calibri" w:hAnsi="Arial" w:cs="Arial"/>
          <w:bCs/>
          <w:sz w:val="20"/>
          <w:szCs w:val="20"/>
          <w:lang w:eastAsia="pl-PL"/>
        </w:rPr>
        <w:t>W zakresie rybołówstwa rekreacyjnego Rada wprowadziła następujące rozwiązania:</w:t>
      </w:r>
    </w:p>
    <w:p w14:paraId="65F04FAE" w14:textId="4BB37501" w:rsidR="00C61728" w:rsidRPr="00765BE3" w:rsidRDefault="00A55121" w:rsidP="00947BEB">
      <w:pPr>
        <w:spacing w:before="120" w:after="120" w:line="276" w:lineRule="auto"/>
        <w:jc w:val="both"/>
        <w:rPr>
          <w:rFonts w:ascii="Arial" w:eastAsia="Calibri" w:hAnsi="Arial" w:cs="Arial"/>
          <w:bCs/>
          <w:sz w:val="20"/>
          <w:szCs w:val="20"/>
          <w:lang w:eastAsia="pl-PL"/>
        </w:rPr>
      </w:pPr>
      <w:r w:rsidRPr="00765BE3">
        <w:rPr>
          <w:rFonts w:ascii="Arial" w:eastAsia="Calibri" w:hAnsi="Arial" w:cs="Arial"/>
          <w:bCs/>
          <w:sz w:val="20"/>
          <w:szCs w:val="20"/>
          <w:lang w:eastAsia="pl-PL"/>
        </w:rPr>
        <w:t xml:space="preserve">- </w:t>
      </w:r>
      <w:r w:rsidR="00C61728" w:rsidRPr="00765BE3">
        <w:rPr>
          <w:rFonts w:ascii="Arial" w:eastAsia="Calibri" w:hAnsi="Arial" w:cs="Arial"/>
          <w:bCs/>
          <w:sz w:val="20"/>
          <w:szCs w:val="20"/>
          <w:lang w:eastAsia="pl-PL"/>
        </w:rPr>
        <w:t xml:space="preserve">połowy dorsza nie będą dopuszczalne w podobszarach 25-26; w </w:t>
      </w:r>
      <w:r w:rsidRPr="00765BE3">
        <w:rPr>
          <w:rFonts w:ascii="Arial" w:eastAsia="Calibri" w:hAnsi="Arial" w:cs="Arial"/>
          <w:bCs/>
          <w:sz w:val="20"/>
          <w:szCs w:val="20"/>
          <w:lang w:eastAsia="pl-PL"/>
        </w:rPr>
        <w:t>podobszarze 24 zakazane będą poł</w:t>
      </w:r>
      <w:r w:rsidR="00C61728" w:rsidRPr="00765BE3">
        <w:rPr>
          <w:rFonts w:ascii="Arial" w:eastAsia="Calibri" w:hAnsi="Arial" w:cs="Arial"/>
          <w:bCs/>
          <w:sz w:val="20"/>
          <w:szCs w:val="20"/>
          <w:lang w:eastAsia="pl-PL"/>
        </w:rPr>
        <w:t xml:space="preserve">owy powyżej 6 Mm; </w:t>
      </w:r>
    </w:p>
    <w:p w14:paraId="4F2DACDD" w14:textId="3E9C743D" w:rsidR="00C61728" w:rsidRPr="00947BEB" w:rsidRDefault="00A55121" w:rsidP="00947BEB">
      <w:pPr>
        <w:spacing w:before="120" w:after="120" w:line="276" w:lineRule="auto"/>
        <w:jc w:val="both"/>
        <w:rPr>
          <w:rFonts w:ascii="Arial" w:hAnsi="Arial" w:cs="Arial"/>
          <w:color w:val="000000"/>
          <w:sz w:val="20"/>
          <w:szCs w:val="20"/>
        </w:rPr>
      </w:pPr>
      <w:r w:rsidRPr="00765BE3">
        <w:rPr>
          <w:rFonts w:ascii="Arial" w:eastAsia="Calibri" w:hAnsi="Arial" w:cs="Arial"/>
          <w:bCs/>
          <w:sz w:val="20"/>
          <w:szCs w:val="20"/>
          <w:lang w:eastAsia="pl-PL"/>
        </w:rPr>
        <w:t xml:space="preserve">- </w:t>
      </w:r>
      <w:r w:rsidR="00C61728" w:rsidRPr="00947BEB">
        <w:rPr>
          <w:rFonts w:ascii="Arial" w:hAnsi="Arial" w:cs="Arial"/>
          <w:color w:val="000000"/>
          <w:sz w:val="20"/>
          <w:szCs w:val="20"/>
        </w:rPr>
        <w:t xml:space="preserve">w podobszarach 22-23 i w podobszarze 24 do 6 Mm zatrzymać będzie można maksymalnie </w:t>
      </w:r>
      <w:r w:rsidR="00C61728" w:rsidRPr="00947BEB">
        <w:rPr>
          <w:rFonts w:ascii="Arial" w:hAnsi="Arial" w:cs="Arial"/>
          <w:color w:val="000000"/>
          <w:sz w:val="20"/>
          <w:szCs w:val="20"/>
        </w:rPr>
        <w:br/>
        <w:t>5 sztuk dorsza na osobę na dzień, a w okresie od 1 lutego do 31 marca w podobszarach 22-23</w:t>
      </w:r>
      <w:r w:rsidR="00C61728" w:rsidRPr="00947BEB">
        <w:rPr>
          <w:rFonts w:ascii="Arial" w:hAnsi="Arial" w:cs="Arial"/>
          <w:color w:val="000000"/>
          <w:sz w:val="20"/>
          <w:szCs w:val="20"/>
        </w:rPr>
        <w:br/>
        <w:t>i w podobszarze 24 do 6 Mm maksymalnie 2 sztuki na osobę na dzień.</w:t>
      </w:r>
    </w:p>
    <w:p w14:paraId="264D6E48" w14:textId="687DC6AE" w:rsidR="00C61728" w:rsidRPr="00422CF7" w:rsidRDefault="00C61728" w:rsidP="002D2500">
      <w:pPr>
        <w:spacing w:before="120" w:after="120" w:line="276" w:lineRule="auto"/>
        <w:jc w:val="both"/>
        <w:rPr>
          <w:rFonts w:ascii="Arial" w:eastAsia="Calibri" w:hAnsi="Arial" w:cs="Arial"/>
          <w:bCs/>
          <w:sz w:val="20"/>
          <w:szCs w:val="20"/>
          <w:lang w:eastAsia="pl-PL"/>
        </w:rPr>
      </w:pPr>
      <w:r w:rsidRPr="00422CF7">
        <w:rPr>
          <w:rFonts w:ascii="Arial" w:eastAsia="Calibri" w:hAnsi="Arial" w:cs="Arial"/>
          <w:bCs/>
          <w:sz w:val="20"/>
          <w:szCs w:val="20"/>
          <w:lang w:eastAsia="pl-PL"/>
        </w:rPr>
        <w:t xml:space="preserve">Podczas prezydencji </w:t>
      </w:r>
      <w:r w:rsidR="00D20121">
        <w:rPr>
          <w:rFonts w:ascii="Arial" w:eastAsia="Calibri" w:hAnsi="Arial" w:cs="Arial"/>
          <w:bCs/>
          <w:sz w:val="20"/>
          <w:szCs w:val="20"/>
          <w:lang w:eastAsia="pl-PL"/>
        </w:rPr>
        <w:t>fińskiej</w:t>
      </w:r>
      <w:r w:rsidRPr="00422CF7">
        <w:rPr>
          <w:rFonts w:ascii="Arial" w:eastAsia="Calibri" w:hAnsi="Arial" w:cs="Arial"/>
          <w:bCs/>
          <w:sz w:val="20"/>
          <w:szCs w:val="20"/>
          <w:lang w:eastAsia="pl-PL"/>
        </w:rPr>
        <w:t xml:space="preserve"> prowadzone były </w:t>
      </w:r>
      <w:r w:rsidR="00D20121">
        <w:rPr>
          <w:rFonts w:ascii="Arial" w:eastAsia="Calibri" w:hAnsi="Arial" w:cs="Arial"/>
          <w:bCs/>
          <w:sz w:val="20"/>
          <w:szCs w:val="20"/>
          <w:lang w:eastAsia="pl-PL"/>
        </w:rPr>
        <w:t>również</w:t>
      </w:r>
      <w:r w:rsidR="00D20121" w:rsidRPr="00422CF7">
        <w:rPr>
          <w:rFonts w:ascii="Arial" w:eastAsia="Calibri" w:hAnsi="Arial" w:cs="Arial"/>
          <w:bCs/>
          <w:sz w:val="20"/>
          <w:szCs w:val="20"/>
          <w:lang w:eastAsia="pl-PL"/>
        </w:rPr>
        <w:t xml:space="preserve"> </w:t>
      </w:r>
      <w:r w:rsidRPr="00422CF7">
        <w:rPr>
          <w:rFonts w:ascii="Arial" w:eastAsia="Calibri" w:hAnsi="Arial" w:cs="Arial"/>
          <w:bCs/>
          <w:sz w:val="20"/>
          <w:szCs w:val="20"/>
          <w:lang w:eastAsia="pl-PL"/>
        </w:rPr>
        <w:t xml:space="preserve">prace nad rozporządzeniem Parlamentu Europejskiego i Rady zmieniającym rozporządzenie (UE) 2016/1139 w zakresie wprowadzenia pułapów zdolności połowowej w odniesieniu do dorsza atlantyckiego ze wschodniej części Morza Bałtyckiego, gromadzenia danych i środków kontroli na Morzu Bałtyckim oraz zmieniającym rozporządzenie (UE) </w:t>
      </w:r>
      <w:r w:rsidR="00DA633D">
        <w:rPr>
          <w:rFonts w:ascii="Arial" w:eastAsia="Calibri" w:hAnsi="Arial" w:cs="Arial"/>
          <w:bCs/>
          <w:sz w:val="20"/>
          <w:szCs w:val="20"/>
          <w:lang w:eastAsia="pl-PL"/>
        </w:rPr>
        <w:br/>
      </w:r>
      <w:r w:rsidRPr="00422CF7">
        <w:rPr>
          <w:rFonts w:ascii="Arial" w:eastAsia="Calibri" w:hAnsi="Arial" w:cs="Arial"/>
          <w:bCs/>
          <w:sz w:val="20"/>
          <w:szCs w:val="20"/>
          <w:lang w:eastAsia="pl-PL"/>
        </w:rPr>
        <w:t xml:space="preserve">nr 508/2014 w odniesieniu do trwałego zaprzestania działalności połowowej flot poławiających dorsza atlantyckiego ze wschodniej części Morza Bałtyckiego. Celem rozporządzenia jest łagodzenie skutków </w:t>
      </w:r>
      <w:r w:rsidRPr="00422CF7">
        <w:rPr>
          <w:rFonts w:ascii="Arial" w:eastAsia="Calibri" w:hAnsi="Arial" w:cs="Arial"/>
          <w:bCs/>
          <w:sz w:val="20"/>
          <w:szCs w:val="20"/>
          <w:lang w:eastAsia="pl-PL"/>
        </w:rPr>
        <w:lastRenderedPageBreak/>
        <w:t>społeczno-gospodarczych związanych z decyzją o zamknięciu w 2020 r. ukierunkowanych połowów dorsza we wschodnim Bałtyku i znacznym ograniczeniu działalności połowowej mającej wpływ na to stado dorsza. Doszło również do znacznego zmniejszenia możliwości połowowych dotyczących dorsza i śledzia w zachodniej części Bałtyku.</w:t>
      </w:r>
    </w:p>
    <w:p w14:paraId="038C8B63" w14:textId="7BE63457" w:rsidR="00C61728" w:rsidRPr="00422CF7" w:rsidRDefault="00C61728" w:rsidP="002D2500">
      <w:pPr>
        <w:spacing w:before="120" w:after="120" w:line="276" w:lineRule="auto"/>
        <w:jc w:val="both"/>
        <w:rPr>
          <w:rFonts w:ascii="Arial" w:eastAsia="Calibri" w:hAnsi="Arial" w:cs="Arial"/>
          <w:bCs/>
          <w:sz w:val="20"/>
          <w:szCs w:val="20"/>
          <w:lang w:eastAsia="pl-PL"/>
        </w:rPr>
      </w:pPr>
      <w:r w:rsidRPr="00422CF7">
        <w:rPr>
          <w:rFonts w:ascii="Arial" w:eastAsia="Calibri" w:hAnsi="Arial" w:cs="Arial"/>
          <w:bCs/>
          <w:sz w:val="20"/>
          <w:szCs w:val="20"/>
          <w:lang w:eastAsia="pl-PL"/>
        </w:rPr>
        <w:t>Podczas posiedzenia Rady UE d</w:t>
      </w:r>
      <w:r w:rsidR="002D2500">
        <w:rPr>
          <w:rFonts w:ascii="Arial" w:eastAsia="Calibri" w:hAnsi="Arial" w:cs="Arial"/>
          <w:bCs/>
          <w:sz w:val="20"/>
          <w:szCs w:val="20"/>
          <w:lang w:eastAsia="pl-PL"/>
        </w:rPr>
        <w:t>s. Rolnictwa i Rybołówstwa w dniach</w:t>
      </w:r>
      <w:r w:rsidR="00267986">
        <w:rPr>
          <w:rFonts w:ascii="Arial" w:eastAsia="Calibri" w:hAnsi="Arial" w:cs="Arial"/>
          <w:bCs/>
          <w:sz w:val="20"/>
          <w:szCs w:val="20"/>
          <w:lang w:eastAsia="pl-PL"/>
        </w:rPr>
        <w:t xml:space="preserve"> 16-17 grudnia 2019 r.</w:t>
      </w:r>
      <w:r w:rsidRPr="00422CF7">
        <w:rPr>
          <w:rFonts w:ascii="Arial" w:eastAsia="Calibri" w:hAnsi="Arial" w:cs="Arial"/>
          <w:bCs/>
          <w:sz w:val="20"/>
          <w:szCs w:val="20"/>
          <w:lang w:eastAsia="pl-PL"/>
        </w:rPr>
        <w:t xml:space="preserve"> Rada ustaliła podejście ogólne w sprawie ww. rozporządzenia nowelizującego. Zgodnie z uzgodnionym przez Radę UE kompromisowym tekstem pr</w:t>
      </w:r>
      <w:r w:rsidR="00114CC3">
        <w:rPr>
          <w:rFonts w:ascii="Arial" w:eastAsia="Calibri" w:hAnsi="Arial" w:cs="Arial"/>
          <w:bCs/>
          <w:sz w:val="20"/>
          <w:szCs w:val="20"/>
          <w:lang w:eastAsia="pl-PL"/>
        </w:rPr>
        <w:t>ezydencji, państwa członkowskie</w:t>
      </w:r>
      <w:r w:rsidRPr="00422CF7">
        <w:rPr>
          <w:rFonts w:ascii="Arial" w:eastAsia="Calibri" w:hAnsi="Arial" w:cs="Arial"/>
          <w:bCs/>
          <w:sz w:val="20"/>
          <w:szCs w:val="20"/>
          <w:lang w:eastAsia="pl-PL"/>
        </w:rPr>
        <w:t xml:space="preserve"> po spełnieniu warunkó</w:t>
      </w:r>
      <w:r w:rsidR="00114CC3">
        <w:rPr>
          <w:rFonts w:ascii="Arial" w:eastAsia="Calibri" w:hAnsi="Arial" w:cs="Arial"/>
          <w:bCs/>
          <w:sz w:val="20"/>
          <w:szCs w:val="20"/>
          <w:lang w:eastAsia="pl-PL"/>
        </w:rPr>
        <w:t xml:space="preserve">w określonych w rozporządzeniu </w:t>
      </w:r>
      <w:r w:rsidRPr="00422CF7">
        <w:rPr>
          <w:rFonts w:ascii="Arial" w:eastAsia="Calibri" w:hAnsi="Arial" w:cs="Arial"/>
          <w:bCs/>
          <w:sz w:val="20"/>
          <w:szCs w:val="20"/>
          <w:lang w:eastAsia="pl-PL"/>
        </w:rPr>
        <w:t>będą mogły stosować środki na rzecz trwałego zaprzestania działalności połowowej. Wypracowane podejście ogólne stanowi</w:t>
      </w:r>
      <w:r w:rsidR="00114CC3">
        <w:rPr>
          <w:rFonts w:ascii="Arial" w:eastAsia="Calibri" w:hAnsi="Arial" w:cs="Arial"/>
          <w:bCs/>
          <w:sz w:val="20"/>
          <w:szCs w:val="20"/>
          <w:lang w:eastAsia="pl-PL"/>
        </w:rPr>
        <w:t>ło</w:t>
      </w:r>
      <w:r w:rsidRPr="00422CF7">
        <w:rPr>
          <w:rFonts w:ascii="Arial" w:eastAsia="Calibri" w:hAnsi="Arial" w:cs="Arial"/>
          <w:bCs/>
          <w:sz w:val="20"/>
          <w:szCs w:val="20"/>
          <w:lang w:eastAsia="pl-PL"/>
        </w:rPr>
        <w:t xml:space="preserve"> mandat Rady UE do negocjacji z Parlamentem Europejskim. </w:t>
      </w:r>
    </w:p>
    <w:p w14:paraId="41CC1687" w14:textId="048A6441" w:rsidR="00C61728" w:rsidRPr="00422CF7" w:rsidRDefault="00C61728" w:rsidP="002D2500">
      <w:pPr>
        <w:spacing w:before="120" w:after="120" w:line="276" w:lineRule="auto"/>
        <w:jc w:val="both"/>
        <w:rPr>
          <w:rFonts w:ascii="Arial" w:eastAsia="Calibri" w:hAnsi="Arial" w:cs="Arial"/>
          <w:sz w:val="20"/>
          <w:szCs w:val="20"/>
          <w:lang w:eastAsia="pl-PL"/>
        </w:rPr>
      </w:pPr>
      <w:r w:rsidRPr="00422CF7">
        <w:rPr>
          <w:rFonts w:ascii="Arial" w:eastAsia="Calibri" w:hAnsi="Arial" w:cs="Arial"/>
          <w:sz w:val="20"/>
          <w:szCs w:val="20"/>
          <w:lang w:eastAsia="pl-PL"/>
        </w:rPr>
        <w:t>W zakresie realizacji polityki rybołówstwa poza obszarem Morza B</w:t>
      </w:r>
      <w:r w:rsidR="00114CC3">
        <w:rPr>
          <w:rFonts w:ascii="Arial" w:eastAsia="Calibri" w:hAnsi="Arial" w:cs="Arial"/>
          <w:sz w:val="20"/>
          <w:szCs w:val="20"/>
          <w:lang w:eastAsia="pl-PL"/>
        </w:rPr>
        <w:t>ałtyckiego najistotniejsze było</w:t>
      </w:r>
      <w:r w:rsidRPr="00422CF7">
        <w:rPr>
          <w:rFonts w:ascii="Arial" w:eastAsia="Calibri" w:hAnsi="Arial" w:cs="Arial"/>
          <w:sz w:val="20"/>
          <w:szCs w:val="20"/>
          <w:lang w:eastAsia="pl-PL"/>
        </w:rPr>
        <w:t xml:space="preserve"> przyjęcie na posiedzeniu Rady UE ds</w:t>
      </w:r>
      <w:r w:rsidR="00114CC3">
        <w:rPr>
          <w:rFonts w:ascii="Arial" w:eastAsia="Calibri" w:hAnsi="Arial" w:cs="Arial"/>
          <w:sz w:val="20"/>
          <w:szCs w:val="20"/>
          <w:lang w:eastAsia="pl-PL"/>
        </w:rPr>
        <w:t>. Rolnictwa i Rybołówstwa w dniach 16-17 grudnia 2019 r.</w:t>
      </w:r>
      <w:r w:rsidRPr="00422CF7">
        <w:rPr>
          <w:rFonts w:ascii="Arial" w:eastAsia="Calibri" w:hAnsi="Arial" w:cs="Arial"/>
          <w:sz w:val="20"/>
          <w:szCs w:val="20"/>
          <w:lang w:eastAsia="pl-PL"/>
        </w:rPr>
        <w:t xml:space="preserve"> </w:t>
      </w:r>
      <w:r w:rsidRPr="00422CF7">
        <w:rPr>
          <w:rFonts w:ascii="Arial" w:eastAsia="Calibri" w:hAnsi="Arial" w:cs="Arial"/>
          <w:bCs/>
          <w:sz w:val="20"/>
          <w:szCs w:val="20"/>
          <w:lang w:eastAsia="pl-PL"/>
        </w:rPr>
        <w:t>rozporządzenia Rady ustalającego uprawnienia do połowów na 2020 rok dla pewnych stad r</w:t>
      </w:r>
      <w:r w:rsidR="00114CC3">
        <w:rPr>
          <w:rFonts w:ascii="Arial" w:eastAsia="Calibri" w:hAnsi="Arial" w:cs="Arial"/>
          <w:bCs/>
          <w:sz w:val="20"/>
          <w:szCs w:val="20"/>
          <w:lang w:eastAsia="pl-PL"/>
        </w:rPr>
        <w:t xml:space="preserve">yb i grup stad ryb, stosowane w </w:t>
      </w:r>
      <w:r w:rsidRPr="00422CF7">
        <w:rPr>
          <w:rFonts w:ascii="Arial" w:eastAsia="Calibri" w:hAnsi="Arial" w:cs="Arial"/>
          <w:bCs/>
          <w:sz w:val="20"/>
          <w:szCs w:val="20"/>
          <w:lang w:eastAsia="pl-PL"/>
        </w:rPr>
        <w:t>wodach UE oraz – w odniesieniu do statków UE – w niektórych wodach nienależących do UE. Polska popiera zarządzanie zasobami zgodnie z celami WPRyb (ustalanie TAC na podstawie dostępnego doradztwa naukowego, przyjętych planów zarządzania i osiągniecia MSY do roku 2020). W zakresie TAC ustalanego dla stad ważnych dla Polski Polska zaakceptowała propozycję. Kluczowe d</w:t>
      </w:r>
      <w:r w:rsidRPr="00422CF7">
        <w:rPr>
          <w:rFonts w:ascii="Arial" w:eastAsia="Calibri" w:hAnsi="Arial" w:cs="Arial"/>
          <w:sz w:val="20"/>
          <w:szCs w:val="20"/>
          <w:lang w:eastAsia="pl-PL"/>
        </w:rPr>
        <w:t>la Polski przyjmowane na grudniowej Radzie UE kwoty to: dorsz na obszarze Svalbard (obszar I i IIB), halibut niebieski obszaru I,II (wody międzynarodowe NEAFC) karmazyn Morza Irmingera, karmazyn obszaru I,II (wody międzynarodowe NEAFC) oraz makrela</w:t>
      </w:r>
      <w:r w:rsidR="00114CC3">
        <w:rPr>
          <w:rFonts w:ascii="Arial" w:eastAsia="Calibri" w:hAnsi="Arial" w:cs="Arial"/>
          <w:sz w:val="20"/>
          <w:szCs w:val="20"/>
          <w:lang w:eastAsia="pl-PL"/>
        </w:rPr>
        <w:t xml:space="preserve"> i śledź na północnym Atlantyku,</w:t>
      </w:r>
      <w:r w:rsidRPr="00422CF7">
        <w:rPr>
          <w:rFonts w:ascii="Arial" w:eastAsia="Calibri" w:hAnsi="Arial" w:cs="Arial"/>
          <w:sz w:val="20"/>
          <w:szCs w:val="20"/>
          <w:lang w:eastAsia="pl-PL"/>
        </w:rPr>
        <w:t xml:space="preserve"> wykorzystywane przez flotę dalekomorską. </w:t>
      </w:r>
    </w:p>
    <w:p w14:paraId="1E475E0B" w14:textId="70C23465" w:rsidR="00C61728" w:rsidRPr="00660086" w:rsidRDefault="00660086" w:rsidP="00660086">
      <w:pPr>
        <w:pStyle w:val="NormalnyWeb"/>
        <w:spacing w:before="120" w:beforeAutospacing="0" w:after="120" w:afterAutospacing="0" w:line="276" w:lineRule="auto"/>
        <w:jc w:val="both"/>
        <w:rPr>
          <w:rFonts w:ascii="Arial" w:hAnsi="Arial" w:cs="Arial"/>
          <w:color w:val="000000"/>
          <w:sz w:val="20"/>
          <w:szCs w:val="20"/>
        </w:rPr>
      </w:pPr>
      <w:r w:rsidRPr="00660086">
        <w:rPr>
          <w:rFonts w:ascii="Arial" w:hAnsi="Arial" w:cs="Arial"/>
          <w:color w:val="000000"/>
          <w:sz w:val="20"/>
          <w:szCs w:val="20"/>
        </w:rPr>
        <w:t>Kontynuowano</w:t>
      </w:r>
      <w:r w:rsidR="00C61728" w:rsidRPr="00660086">
        <w:rPr>
          <w:rFonts w:ascii="Arial" w:hAnsi="Arial" w:cs="Arial"/>
          <w:color w:val="000000"/>
          <w:sz w:val="20"/>
          <w:szCs w:val="20"/>
        </w:rPr>
        <w:t xml:space="preserve"> </w:t>
      </w:r>
      <w:r w:rsidRPr="00660086">
        <w:rPr>
          <w:rFonts w:ascii="Arial" w:hAnsi="Arial" w:cs="Arial"/>
          <w:color w:val="000000"/>
          <w:sz w:val="20"/>
          <w:szCs w:val="20"/>
        </w:rPr>
        <w:t>również</w:t>
      </w:r>
      <w:r w:rsidR="00C61728" w:rsidRPr="00660086">
        <w:rPr>
          <w:rFonts w:ascii="Arial" w:hAnsi="Arial" w:cs="Arial"/>
          <w:color w:val="000000"/>
          <w:sz w:val="20"/>
          <w:szCs w:val="20"/>
        </w:rPr>
        <w:t xml:space="preserve"> prace nad projektem rozporządzenia o Europejskim Funduszu Morskim </w:t>
      </w:r>
      <w:r w:rsidR="00D30C60">
        <w:rPr>
          <w:rFonts w:ascii="Arial" w:hAnsi="Arial" w:cs="Arial"/>
          <w:color w:val="000000"/>
          <w:sz w:val="20"/>
          <w:szCs w:val="20"/>
        </w:rPr>
        <w:br/>
      </w:r>
      <w:r w:rsidR="00C61728" w:rsidRPr="00660086">
        <w:rPr>
          <w:rFonts w:ascii="Arial" w:hAnsi="Arial" w:cs="Arial"/>
          <w:color w:val="000000"/>
          <w:sz w:val="20"/>
          <w:szCs w:val="20"/>
        </w:rPr>
        <w:t>i Rybackim na lata 2</w:t>
      </w:r>
      <w:r w:rsidR="00D30C60">
        <w:rPr>
          <w:rFonts w:ascii="Arial" w:hAnsi="Arial" w:cs="Arial"/>
          <w:color w:val="000000"/>
          <w:sz w:val="20"/>
          <w:szCs w:val="20"/>
        </w:rPr>
        <w:t>021-2027. Kompromisowy dokument</w:t>
      </w:r>
      <w:r w:rsidR="00C61728" w:rsidRPr="00660086">
        <w:rPr>
          <w:rFonts w:ascii="Arial" w:hAnsi="Arial" w:cs="Arial"/>
          <w:color w:val="000000"/>
          <w:sz w:val="20"/>
          <w:szCs w:val="20"/>
        </w:rPr>
        <w:t xml:space="preserve"> opracowany pod przewodnictwem prezydencji fińskiej został rozpatrzony i przyjęty w trakcie posiedzenia Rady UE ds. Rolnictwa i Rybołó</w:t>
      </w:r>
      <w:r w:rsidRPr="00660086">
        <w:rPr>
          <w:rFonts w:ascii="Arial" w:hAnsi="Arial" w:cs="Arial"/>
          <w:color w:val="000000"/>
          <w:sz w:val="20"/>
          <w:szCs w:val="20"/>
        </w:rPr>
        <w:t>wstwa w dniu</w:t>
      </w:r>
      <w:r w:rsidR="008132C1">
        <w:rPr>
          <w:rFonts w:ascii="Arial" w:hAnsi="Arial" w:cs="Arial"/>
          <w:color w:val="000000"/>
          <w:sz w:val="20"/>
          <w:szCs w:val="20"/>
        </w:rPr>
        <w:t xml:space="preserve"> 15 października 2019 r. </w:t>
      </w:r>
      <w:r w:rsidR="00D30C60">
        <w:rPr>
          <w:rFonts w:ascii="Arial" w:hAnsi="Arial" w:cs="Arial"/>
          <w:color w:val="000000"/>
          <w:sz w:val="20"/>
          <w:szCs w:val="20"/>
        </w:rPr>
        <w:t>Jednocześnie</w:t>
      </w:r>
      <w:r w:rsidR="00C61728" w:rsidRPr="00660086">
        <w:rPr>
          <w:rFonts w:ascii="Arial" w:hAnsi="Arial" w:cs="Arial"/>
          <w:color w:val="000000"/>
          <w:sz w:val="20"/>
          <w:szCs w:val="20"/>
        </w:rPr>
        <w:t xml:space="preserve"> przedstawiciele Polski </w:t>
      </w:r>
      <w:r w:rsidR="004579B7">
        <w:rPr>
          <w:rFonts w:ascii="Arial" w:hAnsi="Arial" w:cs="Arial"/>
          <w:color w:val="000000"/>
          <w:sz w:val="20"/>
          <w:szCs w:val="20"/>
        </w:rPr>
        <w:t xml:space="preserve">ponownie </w:t>
      </w:r>
      <w:r w:rsidR="00C61728" w:rsidRPr="00660086">
        <w:rPr>
          <w:rFonts w:ascii="Arial" w:hAnsi="Arial" w:cs="Arial"/>
          <w:color w:val="000000"/>
          <w:sz w:val="20"/>
          <w:szCs w:val="20"/>
        </w:rPr>
        <w:t xml:space="preserve">zwracali uwagę na fakt, iż nowy fundusz nie odpowiada na potrzeby sektora rybactwa w regionie Morza Bałtyckiego. Dla Polski </w:t>
      </w:r>
      <w:r w:rsidR="00D30C60">
        <w:rPr>
          <w:rFonts w:ascii="Arial" w:hAnsi="Arial" w:cs="Arial"/>
          <w:color w:val="000000"/>
          <w:sz w:val="20"/>
          <w:szCs w:val="20"/>
        </w:rPr>
        <w:t>była</w:t>
      </w:r>
      <w:r w:rsidR="00C61728" w:rsidRPr="00660086">
        <w:rPr>
          <w:rFonts w:ascii="Arial" w:hAnsi="Arial" w:cs="Arial"/>
          <w:color w:val="000000"/>
          <w:sz w:val="20"/>
          <w:szCs w:val="20"/>
        </w:rPr>
        <w:t xml:space="preserve"> to kwestia fundamentalna, szczególnie wobec drastycznego pogorszenia w </w:t>
      </w:r>
      <w:r w:rsidR="00D30C60">
        <w:rPr>
          <w:rFonts w:ascii="Arial" w:hAnsi="Arial" w:cs="Arial"/>
          <w:color w:val="000000"/>
          <w:sz w:val="20"/>
          <w:szCs w:val="20"/>
        </w:rPr>
        <w:t>ostatnim czasie</w:t>
      </w:r>
      <w:r w:rsidR="00C61728" w:rsidRPr="00660086">
        <w:rPr>
          <w:rFonts w:ascii="Arial" w:hAnsi="Arial" w:cs="Arial"/>
          <w:color w:val="000000"/>
          <w:sz w:val="20"/>
          <w:szCs w:val="20"/>
        </w:rPr>
        <w:t xml:space="preserve"> sytuacji </w:t>
      </w:r>
      <w:r w:rsidR="00261B6A">
        <w:rPr>
          <w:rFonts w:ascii="Arial" w:hAnsi="Arial" w:cs="Arial"/>
          <w:color w:val="000000"/>
          <w:sz w:val="20"/>
          <w:szCs w:val="20"/>
        </w:rPr>
        <w:br/>
      </w:r>
      <w:r w:rsidR="00C61728" w:rsidRPr="00660086">
        <w:rPr>
          <w:rFonts w:ascii="Arial" w:hAnsi="Arial" w:cs="Arial"/>
          <w:color w:val="000000"/>
          <w:sz w:val="20"/>
          <w:szCs w:val="20"/>
        </w:rPr>
        <w:t>w sektorze rybołówstwa morskiego w związku z wejściem w życie rozporządzenia wykonawcze</w:t>
      </w:r>
      <w:r w:rsidR="00D30C60">
        <w:rPr>
          <w:rFonts w:ascii="Arial" w:hAnsi="Arial" w:cs="Arial"/>
          <w:color w:val="000000"/>
          <w:sz w:val="20"/>
          <w:szCs w:val="20"/>
        </w:rPr>
        <w:t>go Komisji (UE) 2019/1248 z dnia</w:t>
      </w:r>
      <w:r w:rsidR="00C61728" w:rsidRPr="00660086">
        <w:rPr>
          <w:rFonts w:ascii="Arial" w:hAnsi="Arial" w:cs="Arial"/>
          <w:color w:val="000000"/>
          <w:sz w:val="20"/>
          <w:szCs w:val="20"/>
        </w:rPr>
        <w:t xml:space="preserve"> 22 lipca 2019 r. ustanawiającego środki w celu zmniejszenia poważnego zagrożenia dla ochrony stada dorsza atlantyckiego (Gadus morhua) ze wsch</w:t>
      </w:r>
      <w:r w:rsidR="00D30C60">
        <w:rPr>
          <w:rFonts w:ascii="Arial" w:hAnsi="Arial" w:cs="Arial"/>
          <w:color w:val="000000"/>
          <w:sz w:val="20"/>
          <w:szCs w:val="20"/>
        </w:rPr>
        <w:t>odniej części Morza Bałtyckiego</w:t>
      </w:r>
      <w:r w:rsidR="00C61728" w:rsidRPr="00660086">
        <w:rPr>
          <w:rFonts w:ascii="Arial" w:hAnsi="Arial" w:cs="Arial"/>
          <w:color w:val="000000"/>
          <w:sz w:val="20"/>
          <w:szCs w:val="20"/>
        </w:rPr>
        <w:t xml:space="preserve"> oraz wydaniem rozporząd</w:t>
      </w:r>
      <w:r w:rsidR="00D30C60">
        <w:rPr>
          <w:rFonts w:ascii="Arial" w:hAnsi="Arial" w:cs="Arial"/>
          <w:color w:val="000000"/>
          <w:sz w:val="20"/>
          <w:szCs w:val="20"/>
        </w:rPr>
        <w:t>zenia Rady (UE) 2019/1838 z dnia</w:t>
      </w:r>
      <w:r w:rsidR="00C61728" w:rsidRPr="00660086">
        <w:rPr>
          <w:rFonts w:ascii="Arial" w:hAnsi="Arial" w:cs="Arial"/>
          <w:color w:val="000000"/>
          <w:sz w:val="20"/>
          <w:szCs w:val="20"/>
        </w:rPr>
        <w:t xml:space="preserve"> 30 października 2019 r. ustalającego uprawnienia do połowów na 2020 rok w odniesieniu do niektórych stad ryb i grup stad ryb w Morzu Bałtyckim oraz zmieniającego rozporządzenie (UE) 2019/124 w odniesieniu do uprawnień do połowów w innych wodach, co spowodowało dla większości polskich armatorów utratę możliwości prowadzenia działalności zarobkowej opartej na komercyjnych połowach dorsza. </w:t>
      </w:r>
    </w:p>
    <w:p w14:paraId="3BD5BD7A" w14:textId="1A57A30F" w:rsidR="00C61728" w:rsidRPr="00660086" w:rsidRDefault="00C61728" w:rsidP="00660086">
      <w:pPr>
        <w:pStyle w:val="NormalnyWeb"/>
        <w:spacing w:before="120" w:beforeAutospacing="0" w:after="120" w:afterAutospacing="0" w:line="276" w:lineRule="auto"/>
        <w:jc w:val="both"/>
        <w:rPr>
          <w:rFonts w:ascii="Arial" w:hAnsi="Arial" w:cs="Arial"/>
          <w:color w:val="000000"/>
          <w:sz w:val="20"/>
          <w:szCs w:val="20"/>
        </w:rPr>
      </w:pPr>
      <w:r w:rsidRPr="00660086">
        <w:rPr>
          <w:rFonts w:ascii="Arial" w:hAnsi="Arial" w:cs="Arial"/>
          <w:color w:val="000000"/>
          <w:sz w:val="20"/>
          <w:szCs w:val="20"/>
        </w:rPr>
        <w:t xml:space="preserve">Mając na uwadze dynamikę zmian uwarunkowań prawnych w odniesieniu do sektora rybołówstwa morskiego, Polska nie poparła dokumentu określającego stanowisko Rady UE wobec projektu rozporządzenia o EFMR na kolejną perspektywę finansową UE z uwagi na jego małą elastyczność </w:t>
      </w:r>
      <w:r w:rsidRPr="00660086">
        <w:rPr>
          <w:rFonts w:ascii="Arial" w:hAnsi="Arial" w:cs="Arial"/>
          <w:color w:val="000000"/>
          <w:sz w:val="20"/>
          <w:szCs w:val="20"/>
        </w:rPr>
        <w:br/>
        <w:t>w zakresie specyfik regionalnych. Przyjęcie podejścia ogólnego Rady UE umożliwiło prezydencji fińskiej sformułowanie założeń mandatu i podjęcie negocjacji trójstronnych. W trakcie prezydenc</w:t>
      </w:r>
      <w:r w:rsidR="00C430C0">
        <w:rPr>
          <w:rFonts w:ascii="Arial" w:hAnsi="Arial" w:cs="Arial"/>
          <w:color w:val="000000"/>
          <w:sz w:val="20"/>
          <w:szCs w:val="20"/>
        </w:rPr>
        <w:t>j</w:t>
      </w:r>
      <w:r w:rsidRPr="00660086">
        <w:rPr>
          <w:rFonts w:ascii="Arial" w:hAnsi="Arial" w:cs="Arial"/>
          <w:color w:val="000000"/>
          <w:sz w:val="20"/>
          <w:szCs w:val="20"/>
        </w:rPr>
        <w:t xml:space="preserve">i fińskiej zaplanowano dwa trilogi – </w:t>
      </w:r>
      <w:r w:rsidR="00C430C0">
        <w:rPr>
          <w:rFonts w:ascii="Arial" w:hAnsi="Arial" w:cs="Arial"/>
          <w:color w:val="000000"/>
          <w:sz w:val="20"/>
          <w:szCs w:val="20"/>
        </w:rPr>
        <w:t>w dniu</w:t>
      </w:r>
      <w:r w:rsidRPr="00660086">
        <w:rPr>
          <w:rFonts w:ascii="Arial" w:hAnsi="Arial" w:cs="Arial"/>
          <w:color w:val="000000"/>
          <w:sz w:val="20"/>
          <w:szCs w:val="20"/>
        </w:rPr>
        <w:t xml:space="preserve"> 19 listopada 2019 r. oraz </w:t>
      </w:r>
      <w:r w:rsidR="00C430C0">
        <w:rPr>
          <w:rFonts w:ascii="Arial" w:hAnsi="Arial" w:cs="Arial"/>
          <w:color w:val="000000"/>
          <w:sz w:val="20"/>
          <w:szCs w:val="20"/>
        </w:rPr>
        <w:t>w dniu</w:t>
      </w:r>
      <w:r w:rsidRPr="00660086">
        <w:rPr>
          <w:rFonts w:ascii="Arial" w:hAnsi="Arial" w:cs="Arial"/>
          <w:color w:val="000000"/>
          <w:sz w:val="20"/>
          <w:szCs w:val="20"/>
        </w:rPr>
        <w:t xml:space="preserve"> 10 grudnia 2019 r.</w:t>
      </w:r>
    </w:p>
    <w:p w14:paraId="47A0D98A" w14:textId="048093B4" w:rsidR="0085381D" w:rsidRPr="007539C5" w:rsidRDefault="0085381D" w:rsidP="00250CD0">
      <w:pPr>
        <w:pStyle w:val="Nagwek2"/>
        <w:spacing w:before="120" w:after="120"/>
        <w:rPr>
          <w:rFonts w:ascii="Arial" w:hAnsi="Arial" w:cs="Arial"/>
          <w:b/>
          <w:sz w:val="20"/>
          <w:szCs w:val="20"/>
        </w:rPr>
      </w:pPr>
      <w:bookmarkStart w:id="65" w:name="_Toc72745077"/>
      <w:r w:rsidRPr="007539C5">
        <w:rPr>
          <w:rFonts w:ascii="Arial" w:hAnsi="Arial" w:cs="Arial"/>
          <w:b/>
          <w:color w:val="auto"/>
          <w:sz w:val="20"/>
          <w:szCs w:val="20"/>
        </w:rPr>
        <w:t>Informacja o polskiej flocie rybackiej</w:t>
      </w:r>
      <w:r w:rsidR="00EE64E4" w:rsidRPr="007539C5">
        <w:rPr>
          <w:rFonts w:ascii="Arial" w:hAnsi="Arial" w:cs="Arial"/>
          <w:b/>
          <w:color w:val="auto"/>
          <w:sz w:val="20"/>
          <w:szCs w:val="20"/>
        </w:rPr>
        <w:t>.</w:t>
      </w:r>
      <w:bookmarkEnd w:id="65"/>
    </w:p>
    <w:p w14:paraId="3B890F3D" w14:textId="1A63034C" w:rsidR="0085381D" w:rsidRPr="004C6CC5" w:rsidRDefault="0085381D" w:rsidP="00250CD0">
      <w:pPr>
        <w:pStyle w:val="NormalnyWeb"/>
        <w:spacing w:before="120" w:beforeAutospacing="0" w:after="120" w:afterAutospacing="0" w:line="276" w:lineRule="auto"/>
        <w:jc w:val="both"/>
        <w:rPr>
          <w:rFonts w:ascii="Arial" w:hAnsi="Arial" w:cs="Arial"/>
          <w:b/>
          <w:color w:val="000000"/>
          <w:sz w:val="20"/>
          <w:szCs w:val="20"/>
        </w:rPr>
      </w:pPr>
      <w:bookmarkStart w:id="66" w:name="bookmark143"/>
      <w:r w:rsidRPr="004C6CC5">
        <w:rPr>
          <w:rFonts w:ascii="Arial" w:hAnsi="Arial" w:cs="Arial"/>
          <w:color w:val="000000"/>
          <w:sz w:val="20"/>
          <w:szCs w:val="20"/>
        </w:rPr>
        <w:t>Polskie rybołówstwo morskie dzieli się na dwa podstawowe sektory: rybołówstwo bałtyckie,</w:t>
      </w:r>
      <w:r w:rsidR="004C6CC5">
        <w:rPr>
          <w:rFonts w:ascii="Arial" w:hAnsi="Arial" w:cs="Arial"/>
          <w:color w:val="000000"/>
          <w:sz w:val="20"/>
          <w:szCs w:val="20"/>
        </w:rPr>
        <w:t xml:space="preserve"> w </w:t>
      </w:r>
      <w:r w:rsidRPr="004C6CC5">
        <w:rPr>
          <w:rFonts w:ascii="Arial" w:hAnsi="Arial" w:cs="Arial"/>
          <w:color w:val="000000"/>
          <w:sz w:val="20"/>
          <w:szCs w:val="20"/>
        </w:rPr>
        <w:t>które zaangażowana jest zdecydowanie przeważająca część polskiej floty rybackiej oraz rybołówstwo dalekomorskie. Na dzień 31 grudnia 2019</w:t>
      </w:r>
      <w:r w:rsidR="009D01B9" w:rsidRPr="004C6CC5">
        <w:rPr>
          <w:rFonts w:ascii="Arial" w:hAnsi="Arial" w:cs="Arial"/>
          <w:color w:val="000000"/>
          <w:sz w:val="20"/>
          <w:szCs w:val="20"/>
        </w:rPr>
        <w:t xml:space="preserve"> r. </w:t>
      </w:r>
      <w:r w:rsidRPr="004C6CC5">
        <w:rPr>
          <w:rFonts w:ascii="Arial" w:hAnsi="Arial" w:cs="Arial"/>
          <w:color w:val="000000"/>
          <w:sz w:val="20"/>
          <w:szCs w:val="20"/>
        </w:rPr>
        <w:t>polska flota bałtycka liczyła 825 statków rybackich o łącznej zdolności połowowej 15 924,84 GT</w:t>
      </w:r>
      <w:r w:rsidR="004C6CC5">
        <w:rPr>
          <w:rFonts w:ascii="Arial" w:hAnsi="Arial" w:cs="Arial"/>
          <w:color w:val="000000"/>
          <w:sz w:val="20"/>
          <w:szCs w:val="20"/>
        </w:rPr>
        <w:t xml:space="preserve"> i </w:t>
      </w:r>
      <w:r w:rsidRPr="004C6CC5">
        <w:rPr>
          <w:rFonts w:ascii="Arial" w:hAnsi="Arial" w:cs="Arial"/>
          <w:color w:val="000000"/>
          <w:sz w:val="20"/>
          <w:szCs w:val="20"/>
        </w:rPr>
        <w:t>62 820,10 kW.</w:t>
      </w:r>
      <w:r w:rsidR="004C6CC5">
        <w:rPr>
          <w:rFonts w:ascii="Arial" w:hAnsi="Arial" w:cs="Arial"/>
          <w:color w:val="000000"/>
          <w:sz w:val="20"/>
          <w:szCs w:val="20"/>
        </w:rPr>
        <w:t xml:space="preserve"> </w:t>
      </w:r>
      <w:r w:rsidR="00B561EE">
        <w:rPr>
          <w:rFonts w:ascii="Arial" w:hAnsi="Arial" w:cs="Arial"/>
          <w:color w:val="000000"/>
          <w:sz w:val="20"/>
          <w:szCs w:val="20"/>
        </w:rPr>
        <w:t>Z kolei polska flota dalekomorska</w:t>
      </w:r>
      <w:r w:rsidR="004C6CC5">
        <w:rPr>
          <w:rFonts w:ascii="Arial" w:hAnsi="Arial" w:cs="Arial"/>
          <w:color w:val="000000"/>
          <w:sz w:val="20"/>
          <w:szCs w:val="20"/>
        </w:rPr>
        <w:t xml:space="preserve"> w </w:t>
      </w:r>
      <w:r w:rsidR="00B561EE">
        <w:rPr>
          <w:rFonts w:ascii="Arial" w:hAnsi="Arial" w:cs="Arial"/>
          <w:color w:val="000000"/>
          <w:sz w:val="20"/>
          <w:szCs w:val="20"/>
        </w:rPr>
        <w:t>tym samym czasie</w:t>
      </w:r>
      <w:r w:rsidRPr="004C6CC5">
        <w:rPr>
          <w:rFonts w:ascii="Arial" w:hAnsi="Arial" w:cs="Arial"/>
          <w:color w:val="000000"/>
          <w:sz w:val="20"/>
          <w:szCs w:val="20"/>
        </w:rPr>
        <w:t xml:space="preserve"> liczyła 2 statki rybackie o łącznej zdolności połowowej 16 403,00 GT</w:t>
      </w:r>
      <w:r w:rsidR="004C6CC5">
        <w:rPr>
          <w:rFonts w:ascii="Arial" w:hAnsi="Arial" w:cs="Arial"/>
          <w:color w:val="000000"/>
          <w:sz w:val="20"/>
          <w:szCs w:val="20"/>
        </w:rPr>
        <w:t xml:space="preserve"> i </w:t>
      </w:r>
      <w:r w:rsidRPr="004C6CC5">
        <w:rPr>
          <w:rFonts w:ascii="Arial" w:hAnsi="Arial" w:cs="Arial"/>
          <w:color w:val="000000"/>
          <w:sz w:val="20"/>
          <w:szCs w:val="20"/>
        </w:rPr>
        <w:t>17 400,00 kW. Statki te operowały wyłącznie na wodach poza Morzem Bałtyckim oraz poza polskimi morskimi wodami wewnętrznymi.</w:t>
      </w:r>
      <w:bookmarkEnd w:id="66"/>
      <w:r w:rsidR="0002720C">
        <w:rPr>
          <w:rFonts w:ascii="Arial" w:hAnsi="Arial" w:cs="Arial"/>
          <w:color w:val="000000"/>
          <w:sz w:val="20"/>
          <w:szCs w:val="20"/>
        </w:rPr>
        <w:t xml:space="preserve">  </w:t>
      </w:r>
    </w:p>
    <w:p w14:paraId="2038E938" w14:textId="6DDC0549" w:rsidR="0085381D" w:rsidRPr="007539C5" w:rsidRDefault="0085381D" w:rsidP="00250CD0">
      <w:pPr>
        <w:pStyle w:val="Nagwek2"/>
        <w:spacing w:before="120" w:after="120"/>
        <w:rPr>
          <w:rFonts w:ascii="Arial" w:hAnsi="Arial" w:cs="Arial"/>
          <w:b/>
          <w:sz w:val="20"/>
          <w:szCs w:val="20"/>
        </w:rPr>
      </w:pPr>
      <w:bookmarkStart w:id="67" w:name="_Toc72745078"/>
      <w:r w:rsidRPr="007539C5">
        <w:rPr>
          <w:rFonts w:ascii="Arial" w:hAnsi="Arial" w:cs="Arial"/>
          <w:b/>
          <w:color w:val="auto"/>
          <w:sz w:val="20"/>
          <w:szCs w:val="20"/>
        </w:rPr>
        <w:lastRenderedPageBreak/>
        <w:t>Zarządzanie żywymi zasobami morza</w:t>
      </w:r>
      <w:r w:rsidR="00EE64E4" w:rsidRPr="007539C5">
        <w:rPr>
          <w:rFonts w:ascii="Arial" w:hAnsi="Arial" w:cs="Arial"/>
          <w:b/>
          <w:color w:val="auto"/>
          <w:sz w:val="20"/>
          <w:szCs w:val="20"/>
        </w:rPr>
        <w:t>.</w:t>
      </w:r>
      <w:bookmarkEnd w:id="67"/>
    </w:p>
    <w:p w14:paraId="71338C50" w14:textId="654661FD" w:rsidR="0085381D" w:rsidRPr="004C6CC5" w:rsidRDefault="0085381D" w:rsidP="00250CD0">
      <w:pPr>
        <w:pStyle w:val="NormalnyWeb"/>
        <w:spacing w:before="120" w:beforeAutospacing="0" w:after="120" w:afterAutospacing="0" w:line="276" w:lineRule="auto"/>
        <w:jc w:val="both"/>
        <w:rPr>
          <w:rFonts w:ascii="Arial" w:hAnsi="Arial" w:cs="Arial"/>
          <w:color w:val="000000"/>
          <w:sz w:val="20"/>
          <w:szCs w:val="20"/>
        </w:rPr>
      </w:pPr>
      <w:r w:rsidRPr="004C6CC5">
        <w:rPr>
          <w:rFonts w:ascii="Arial" w:hAnsi="Arial" w:cs="Arial"/>
          <w:color w:val="000000"/>
          <w:sz w:val="20"/>
          <w:szCs w:val="20"/>
        </w:rPr>
        <w:t>Zarządzanie żywymi zasobami morza opiera się na jak najlepszej dostępnej wiedzy naukowej co do stanu żywych zasobów morza. Instytucją przygotowującą doradztwo naukowe dla głównych stad ryb poławianych komercyjnie jest Międzynarodowa Rada Badań Morza (ICES). Przygotowuje ona corocznie ocenę stanu zasobów na podstawie badań naukowych (rejsów badawczych) tych zasobów,</w:t>
      </w:r>
      <w:r w:rsidR="004C6CC5">
        <w:rPr>
          <w:rFonts w:ascii="Arial" w:hAnsi="Arial" w:cs="Arial"/>
          <w:color w:val="000000"/>
          <w:sz w:val="20"/>
          <w:szCs w:val="20"/>
        </w:rPr>
        <w:t xml:space="preserve"> w </w:t>
      </w:r>
      <w:r w:rsidRPr="004C6CC5">
        <w:rPr>
          <w:rFonts w:ascii="Arial" w:hAnsi="Arial" w:cs="Arial"/>
          <w:color w:val="000000"/>
          <w:sz w:val="20"/>
          <w:szCs w:val="20"/>
        </w:rPr>
        <w:t>których uczestniczą jednostki naukowe wszystkich państw regionu, a także informacji przekazywanych przez rybaków oraz administrację państw członkowskich.</w:t>
      </w:r>
      <w:r w:rsidR="004C6CC5">
        <w:rPr>
          <w:rFonts w:ascii="Arial" w:hAnsi="Arial" w:cs="Arial"/>
          <w:color w:val="000000"/>
          <w:sz w:val="20"/>
          <w:szCs w:val="20"/>
        </w:rPr>
        <w:t xml:space="preserve"> </w:t>
      </w:r>
      <w:r w:rsidR="00B22AC2">
        <w:rPr>
          <w:rFonts w:ascii="Arial" w:hAnsi="Arial" w:cs="Arial"/>
          <w:color w:val="000000"/>
          <w:sz w:val="20"/>
          <w:szCs w:val="20"/>
        </w:rPr>
        <w:t>W</w:t>
      </w:r>
      <w:r w:rsidR="004C6CC5">
        <w:rPr>
          <w:rFonts w:ascii="Arial" w:hAnsi="Arial" w:cs="Arial"/>
          <w:color w:val="000000"/>
          <w:sz w:val="20"/>
          <w:szCs w:val="20"/>
        </w:rPr>
        <w:t> </w:t>
      </w:r>
      <w:r w:rsidRPr="004C6CC5">
        <w:rPr>
          <w:rFonts w:ascii="Arial" w:hAnsi="Arial" w:cs="Arial"/>
          <w:color w:val="000000"/>
          <w:sz w:val="20"/>
          <w:szCs w:val="20"/>
        </w:rPr>
        <w:t>ocenę stanu zasobów ryb zaangażowany jest również Komitet Naukowo-Techniczny</w:t>
      </w:r>
      <w:r w:rsidR="004C6CC5">
        <w:rPr>
          <w:rFonts w:ascii="Arial" w:hAnsi="Arial" w:cs="Arial"/>
          <w:color w:val="000000"/>
          <w:sz w:val="20"/>
          <w:szCs w:val="20"/>
        </w:rPr>
        <w:t xml:space="preserve"> i </w:t>
      </w:r>
      <w:r w:rsidRPr="004C6CC5">
        <w:rPr>
          <w:rFonts w:ascii="Arial" w:hAnsi="Arial" w:cs="Arial"/>
          <w:color w:val="000000"/>
          <w:sz w:val="20"/>
          <w:szCs w:val="20"/>
        </w:rPr>
        <w:t>Ekonomiczny ds. Rybołówstwa (STECF), który przygotowuje roczny raport na temat bieżącego stanu zasobów rybołówstwa</w:t>
      </w:r>
      <w:r w:rsidR="004C6CC5">
        <w:rPr>
          <w:rFonts w:ascii="Arial" w:hAnsi="Arial" w:cs="Arial"/>
          <w:color w:val="000000"/>
          <w:sz w:val="20"/>
          <w:szCs w:val="20"/>
        </w:rPr>
        <w:t xml:space="preserve"> i </w:t>
      </w:r>
      <w:r w:rsidRPr="004C6CC5">
        <w:rPr>
          <w:rFonts w:ascii="Arial" w:hAnsi="Arial" w:cs="Arial"/>
          <w:color w:val="000000"/>
          <w:sz w:val="20"/>
          <w:szCs w:val="20"/>
        </w:rPr>
        <w:t>jego przyszłego potencjału. STECF odgrywa ważną rolę, wspomagając Komisję Europejską</w:t>
      </w:r>
      <w:r w:rsidR="004C6CC5">
        <w:rPr>
          <w:rFonts w:ascii="Arial" w:hAnsi="Arial" w:cs="Arial"/>
          <w:color w:val="000000"/>
          <w:sz w:val="20"/>
          <w:szCs w:val="20"/>
        </w:rPr>
        <w:t xml:space="preserve"> w </w:t>
      </w:r>
      <w:r w:rsidRPr="004C6CC5">
        <w:rPr>
          <w:rFonts w:ascii="Arial" w:hAnsi="Arial" w:cs="Arial"/>
          <w:color w:val="000000"/>
          <w:sz w:val="20"/>
          <w:szCs w:val="20"/>
        </w:rPr>
        <w:t>formułowaniu kształtu polityki</w:t>
      </w:r>
      <w:r w:rsidR="004C6CC5">
        <w:rPr>
          <w:rFonts w:ascii="Arial" w:hAnsi="Arial" w:cs="Arial"/>
          <w:color w:val="000000"/>
          <w:sz w:val="20"/>
          <w:szCs w:val="20"/>
        </w:rPr>
        <w:t xml:space="preserve"> z </w:t>
      </w:r>
      <w:r w:rsidRPr="004C6CC5">
        <w:rPr>
          <w:rFonts w:ascii="Arial" w:hAnsi="Arial" w:cs="Arial"/>
          <w:color w:val="000000"/>
          <w:sz w:val="20"/>
          <w:szCs w:val="20"/>
        </w:rPr>
        <w:t>zakresu zarówno planowania długoterminowego</w:t>
      </w:r>
      <w:r w:rsidR="00B22AC2">
        <w:rPr>
          <w:rFonts w:ascii="Arial" w:hAnsi="Arial" w:cs="Arial"/>
          <w:color w:val="000000"/>
          <w:sz w:val="20"/>
          <w:szCs w:val="20"/>
        </w:rPr>
        <w:t>,</w:t>
      </w:r>
      <w:r w:rsidRPr="004C6CC5">
        <w:rPr>
          <w:rFonts w:ascii="Arial" w:hAnsi="Arial" w:cs="Arial"/>
          <w:color w:val="000000"/>
          <w:sz w:val="20"/>
          <w:szCs w:val="20"/>
        </w:rPr>
        <w:t xml:space="preserve"> jak</w:t>
      </w:r>
      <w:r w:rsidR="004C6CC5">
        <w:rPr>
          <w:rFonts w:ascii="Arial" w:hAnsi="Arial" w:cs="Arial"/>
          <w:color w:val="000000"/>
          <w:sz w:val="20"/>
          <w:szCs w:val="20"/>
        </w:rPr>
        <w:t xml:space="preserve"> i </w:t>
      </w:r>
      <w:r w:rsidRPr="004C6CC5">
        <w:rPr>
          <w:rFonts w:ascii="Arial" w:hAnsi="Arial" w:cs="Arial"/>
          <w:color w:val="000000"/>
          <w:sz w:val="20"/>
          <w:szCs w:val="20"/>
        </w:rPr>
        <w:t>nadzwyczajnych zamknięć obszarów połowowych, wydając miarodajną</w:t>
      </w:r>
      <w:r w:rsidR="004C6CC5">
        <w:rPr>
          <w:rFonts w:ascii="Arial" w:hAnsi="Arial" w:cs="Arial"/>
          <w:color w:val="000000"/>
          <w:sz w:val="20"/>
          <w:szCs w:val="20"/>
        </w:rPr>
        <w:t xml:space="preserve"> i </w:t>
      </w:r>
      <w:r w:rsidRPr="004C6CC5">
        <w:rPr>
          <w:rFonts w:ascii="Arial" w:hAnsi="Arial" w:cs="Arial"/>
          <w:color w:val="000000"/>
          <w:sz w:val="20"/>
          <w:szCs w:val="20"/>
        </w:rPr>
        <w:t>szczegółową opinię naukową. Komitet ten odpowiada również za doradztwo</w:t>
      </w:r>
      <w:r w:rsidR="004C6CC5">
        <w:rPr>
          <w:rFonts w:ascii="Arial" w:hAnsi="Arial" w:cs="Arial"/>
          <w:color w:val="000000"/>
          <w:sz w:val="20"/>
          <w:szCs w:val="20"/>
        </w:rPr>
        <w:t xml:space="preserve"> w </w:t>
      </w:r>
      <w:r w:rsidRPr="004C6CC5">
        <w:rPr>
          <w:rFonts w:ascii="Arial" w:hAnsi="Arial" w:cs="Arial"/>
          <w:color w:val="000000"/>
          <w:sz w:val="20"/>
          <w:szCs w:val="20"/>
        </w:rPr>
        <w:t>dziedzinie ekonomii</w:t>
      </w:r>
      <w:r w:rsidR="004C6CC5">
        <w:rPr>
          <w:rFonts w:ascii="Arial" w:hAnsi="Arial" w:cs="Arial"/>
          <w:color w:val="000000"/>
          <w:sz w:val="20"/>
          <w:szCs w:val="20"/>
        </w:rPr>
        <w:t xml:space="preserve"> i </w:t>
      </w:r>
      <w:r w:rsidRPr="004C6CC5">
        <w:rPr>
          <w:rFonts w:ascii="Arial" w:hAnsi="Arial" w:cs="Arial"/>
          <w:color w:val="000000"/>
          <w:sz w:val="20"/>
          <w:szCs w:val="20"/>
        </w:rPr>
        <w:t>zagadnień społecznych. Przygotowane przez ICES</w:t>
      </w:r>
      <w:r w:rsidR="004C6CC5">
        <w:rPr>
          <w:rFonts w:ascii="Arial" w:hAnsi="Arial" w:cs="Arial"/>
          <w:color w:val="000000"/>
          <w:sz w:val="20"/>
          <w:szCs w:val="20"/>
        </w:rPr>
        <w:t xml:space="preserve"> i </w:t>
      </w:r>
      <w:r w:rsidRPr="004C6CC5">
        <w:rPr>
          <w:rFonts w:ascii="Arial" w:hAnsi="Arial" w:cs="Arial"/>
          <w:color w:val="000000"/>
          <w:sz w:val="20"/>
          <w:szCs w:val="20"/>
        </w:rPr>
        <w:t>STECF corocznie oceny stanu zasobów zawierają szeroką analizę stanu zasobów wykorzystywaną jako podstawę do przygotowania przez Komisję Europejską propozycji podziału TAC</w:t>
      </w:r>
      <w:r w:rsidR="00B22AC2">
        <w:rPr>
          <w:rFonts w:ascii="Arial" w:hAnsi="Arial" w:cs="Arial"/>
          <w:color w:val="000000"/>
          <w:sz w:val="20"/>
          <w:szCs w:val="20"/>
        </w:rPr>
        <w:t xml:space="preserve"> i </w:t>
      </w:r>
      <w:r w:rsidRPr="004C6CC5">
        <w:rPr>
          <w:rFonts w:ascii="Arial" w:hAnsi="Arial" w:cs="Arial"/>
          <w:color w:val="000000"/>
          <w:sz w:val="20"/>
          <w:szCs w:val="20"/>
        </w:rPr>
        <w:t>kwot połowowych oraz długoterminowych propozycji na temat sposobów zrównoważonego zarządzania rybołówstwem na wodach europejskich. Kwoty połowowe są ustalane corocznie</w:t>
      </w:r>
      <w:r w:rsidR="004C6CC5">
        <w:rPr>
          <w:rFonts w:ascii="Arial" w:hAnsi="Arial" w:cs="Arial"/>
          <w:color w:val="000000"/>
          <w:sz w:val="20"/>
          <w:szCs w:val="20"/>
        </w:rPr>
        <w:t xml:space="preserve"> w </w:t>
      </w:r>
      <w:r w:rsidR="00603038">
        <w:rPr>
          <w:rFonts w:ascii="Arial" w:hAnsi="Arial" w:cs="Arial"/>
          <w:color w:val="000000"/>
          <w:sz w:val="20"/>
          <w:szCs w:val="20"/>
        </w:rPr>
        <w:t>drodze rozporządzenia Rady UE</w:t>
      </w:r>
      <w:r w:rsidRPr="004C6CC5">
        <w:rPr>
          <w:rFonts w:ascii="Arial" w:hAnsi="Arial" w:cs="Arial"/>
          <w:color w:val="000000"/>
          <w:sz w:val="20"/>
          <w:szCs w:val="20"/>
        </w:rPr>
        <w:t>, określającego możliwości połowowe odłowienia danych stad ryb na obszarze Morza Bałtyckiego.</w:t>
      </w:r>
    </w:p>
    <w:p w14:paraId="619AC931" w14:textId="44D11540" w:rsidR="0085381D" w:rsidRPr="004C6CC5" w:rsidRDefault="0085381D" w:rsidP="00250CD0">
      <w:pPr>
        <w:pStyle w:val="NormalnyWeb"/>
        <w:spacing w:before="120" w:beforeAutospacing="0" w:after="120" w:afterAutospacing="0" w:line="276" w:lineRule="auto"/>
        <w:jc w:val="both"/>
        <w:rPr>
          <w:rFonts w:ascii="Arial" w:hAnsi="Arial" w:cs="Arial"/>
          <w:color w:val="000000"/>
          <w:sz w:val="20"/>
          <w:szCs w:val="20"/>
        </w:rPr>
      </w:pPr>
      <w:r w:rsidRPr="004C6CC5">
        <w:rPr>
          <w:rFonts w:ascii="Arial" w:hAnsi="Arial" w:cs="Arial"/>
          <w:color w:val="000000"/>
          <w:sz w:val="20"/>
          <w:szCs w:val="20"/>
        </w:rPr>
        <w:t>Zgodnie</w:t>
      </w:r>
      <w:r w:rsidR="004C6CC5">
        <w:rPr>
          <w:rFonts w:ascii="Arial" w:hAnsi="Arial" w:cs="Arial"/>
          <w:color w:val="000000"/>
          <w:sz w:val="20"/>
          <w:szCs w:val="20"/>
        </w:rPr>
        <w:t xml:space="preserve"> z </w:t>
      </w:r>
      <w:r w:rsidRPr="004C6CC5">
        <w:rPr>
          <w:rFonts w:ascii="Arial" w:hAnsi="Arial" w:cs="Arial"/>
          <w:color w:val="000000"/>
          <w:sz w:val="20"/>
          <w:szCs w:val="20"/>
        </w:rPr>
        <w:t>art. 2.</w:t>
      </w:r>
      <w:r w:rsidR="004C6CC5">
        <w:rPr>
          <w:rFonts w:ascii="Arial" w:hAnsi="Arial" w:cs="Arial"/>
          <w:color w:val="000000"/>
          <w:sz w:val="20"/>
          <w:szCs w:val="20"/>
        </w:rPr>
        <w:t xml:space="preserve"> i </w:t>
      </w:r>
      <w:r w:rsidRPr="004C6CC5">
        <w:rPr>
          <w:rFonts w:ascii="Arial" w:hAnsi="Arial" w:cs="Arial"/>
          <w:color w:val="000000"/>
          <w:sz w:val="20"/>
          <w:szCs w:val="20"/>
        </w:rPr>
        <w:t>art. 3 Traktatu o Funkcjonowaniu Unii Europejskiej, zarządzanie żywymi zasobami morza jest jedną</w:t>
      </w:r>
      <w:r w:rsidR="004C6CC5">
        <w:rPr>
          <w:rFonts w:ascii="Arial" w:hAnsi="Arial" w:cs="Arial"/>
          <w:color w:val="000000"/>
          <w:sz w:val="20"/>
          <w:szCs w:val="20"/>
        </w:rPr>
        <w:t xml:space="preserve"> z </w:t>
      </w:r>
      <w:r w:rsidRPr="004C6CC5">
        <w:rPr>
          <w:rFonts w:ascii="Arial" w:hAnsi="Arial" w:cs="Arial"/>
          <w:color w:val="000000"/>
          <w:sz w:val="20"/>
          <w:szCs w:val="20"/>
        </w:rPr>
        <w:t>tych dziedzin, które leżą</w:t>
      </w:r>
      <w:r w:rsidR="004C6CC5">
        <w:rPr>
          <w:rFonts w:ascii="Arial" w:hAnsi="Arial" w:cs="Arial"/>
          <w:color w:val="000000"/>
          <w:sz w:val="20"/>
          <w:szCs w:val="20"/>
        </w:rPr>
        <w:t xml:space="preserve"> w </w:t>
      </w:r>
      <w:r w:rsidR="00B22AC2">
        <w:rPr>
          <w:rFonts w:ascii="Arial" w:hAnsi="Arial" w:cs="Arial"/>
          <w:color w:val="000000"/>
          <w:sz w:val="20"/>
          <w:szCs w:val="20"/>
        </w:rPr>
        <w:t>wyłącznych kompetencjach UE</w:t>
      </w:r>
      <w:r w:rsidRPr="004C6CC5">
        <w:rPr>
          <w:rFonts w:ascii="Arial" w:hAnsi="Arial" w:cs="Arial"/>
          <w:color w:val="000000"/>
          <w:sz w:val="20"/>
          <w:szCs w:val="20"/>
        </w:rPr>
        <w:t xml:space="preserve">. Państwa </w:t>
      </w:r>
      <w:r w:rsidR="00B22AC2">
        <w:rPr>
          <w:rFonts w:ascii="Arial" w:hAnsi="Arial" w:cs="Arial"/>
          <w:color w:val="000000"/>
          <w:sz w:val="20"/>
          <w:szCs w:val="20"/>
        </w:rPr>
        <w:t xml:space="preserve">członkowskie UE </w:t>
      </w:r>
      <w:r w:rsidRPr="004C6CC5">
        <w:rPr>
          <w:rFonts w:ascii="Arial" w:hAnsi="Arial" w:cs="Arial"/>
          <w:color w:val="000000"/>
          <w:sz w:val="20"/>
          <w:szCs w:val="20"/>
        </w:rPr>
        <w:t>wspólnie korzystają</w:t>
      </w:r>
      <w:r w:rsidR="004C6CC5">
        <w:rPr>
          <w:rFonts w:ascii="Arial" w:hAnsi="Arial" w:cs="Arial"/>
          <w:color w:val="000000"/>
          <w:sz w:val="20"/>
          <w:szCs w:val="20"/>
        </w:rPr>
        <w:t xml:space="preserve"> z </w:t>
      </w:r>
      <w:r w:rsidRPr="004C6CC5">
        <w:rPr>
          <w:rFonts w:ascii="Arial" w:hAnsi="Arial" w:cs="Arial"/>
          <w:color w:val="000000"/>
          <w:sz w:val="20"/>
          <w:szCs w:val="20"/>
        </w:rPr>
        <w:t xml:space="preserve">ekosystemów morskich, od których zależy </w:t>
      </w:r>
      <w:r w:rsidR="00066D4B">
        <w:rPr>
          <w:rFonts w:ascii="Arial" w:hAnsi="Arial" w:cs="Arial"/>
          <w:color w:val="000000"/>
          <w:sz w:val="20"/>
          <w:szCs w:val="20"/>
        </w:rPr>
        <w:t>również polski</w:t>
      </w:r>
      <w:r w:rsidRPr="004C6CC5">
        <w:rPr>
          <w:rFonts w:ascii="Arial" w:hAnsi="Arial" w:cs="Arial"/>
          <w:color w:val="000000"/>
          <w:sz w:val="20"/>
          <w:szCs w:val="20"/>
        </w:rPr>
        <w:t xml:space="preserve"> sektor rybołówstwa. Działalność jednej floty wywiera zatem bezpośredni wpływ na przyszłe możliwości połowowe innych flot eksploatujących te same stada ryb</w:t>
      </w:r>
      <w:r w:rsidR="004C6CC5">
        <w:rPr>
          <w:rFonts w:ascii="Arial" w:hAnsi="Arial" w:cs="Arial"/>
          <w:color w:val="000000"/>
          <w:sz w:val="20"/>
          <w:szCs w:val="20"/>
        </w:rPr>
        <w:t xml:space="preserve"> i </w:t>
      </w:r>
      <w:r w:rsidRPr="004C6CC5">
        <w:rPr>
          <w:rFonts w:ascii="Arial" w:hAnsi="Arial" w:cs="Arial"/>
          <w:color w:val="000000"/>
          <w:sz w:val="20"/>
          <w:szCs w:val="20"/>
        </w:rPr>
        <w:t>te same ekosystemy. Również handel produktami rybołówstwa jest wysoce zintegrowany. Polska, jak</w:t>
      </w:r>
      <w:r w:rsidR="004C6CC5">
        <w:rPr>
          <w:rFonts w:ascii="Arial" w:hAnsi="Arial" w:cs="Arial"/>
          <w:color w:val="000000"/>
          <w:sz w:val="20"/>
          <w:szCs w:val="20"/>
        </w:rPr>
        <w:t xml:space="preserve"> i </w:t>
      </w:r>
      <w:r w:rsidRPr="004C6CC5">
        <w:rPr>
          <w:rFonts w:ascii="Arial" w:hAnsi="Arial" w:cs="Arial"/>
          <w:color w:val="000000"/>
          <w:sz w:val="20"/>
          <w:szCs w:val="20"/>
        </w:rPr>
        <w:t>pozostałe kraje UE, jest reprezentowana przez Komisję Europejską na forum organizacji międzynarodowych do spraw zarządzania rybołówstwem oraz regionalnych organizacji rybackich, jak</w:t>
      </w:r>
      <w:r w:rsidR="009C7753">
        <w:rPr>
          <w:rFonts w:ascii="Arial" w:hAnsi="Arial" w:cs="Arial"/>
          <w:color w:val="000000"/>
          <w:sz w:val="20"/>
          <w:szCs w:val="20"/>
        </w:rPr>
        <w:t xml:space="preserve"> i w </w:t>
      </w:r>
      <w:r w:rsidRPr="004C6CC5">
        <w:rPr>
          <w:rFonts w:ascii="Arial" w:hAnsi="Arial" w:cs="Arial"/>
          <w:color w:val="000000"/>
          <w:sz w:val="20"/>
          <w:szCs w:val="20"/>
        </w:rPr>
        <w:t>dwustronnych umowach rybackich. Istotne jest zapewnienie odpowiedniego uwzględnienia interesów Polski</w:t>
      </w:r>
      <w:r w:rsidR="004C6CC5">
        <w:rPr>
          <w:rFonts w:ascii="Arial" w:hAnsi="Arial" w:cs="Arial"/>
          <w:color w:val="000000"/>
          <w:sz w:val="20"/>
          <w:szCs w:val="20"/>
        </w:rPr>
        <w:t xml:space="preserve"> w </w:t>
      </w:r>
      <w:r w:rsidRPr="004C6CC5">
        <w:rPr>
          <w:rFonts w:ascii="Arial" w:hAnsi="Arial" w:cs="Arial"/>
          <w:color w:val="000000"/>
          <w:sz w:val="20"/>
          <w:szCs w:val="20"/>
        </w:rPr>
        <w:t>mandacie negocjacyjnym KE oraz reprezentowania interesów polskich przez KE na forum międzynarodowym.</w:t>
      </w:r>
    </w:p>
    <w:p w14:paraId="0A25433B" w14:textId="3B7947DB" w:rsidR="0085381D" w:rsidRPr="004C6CC5" w:rsidRDefault="0085381D" w:rsidP="00250CD0">
      <w:pPr>
        <w:pStyle w:val="NormalnyWeb"/>
        <w:spacing w:before="120" w:beforeAutospacing="0" w:after="120" w:afterAutospacing="0" w:line="276" w:lineRule="auto"/>
        <w:jc w:val="both"/>
        <w:rPr>
          <w:rFonts w:ascii="Arial" w:hAnsi="Arial" w:cs="Arial"/>
          <w:color w:val="000000"/>
          <w:sz w:val="20"/>
          <w:szCs w:val="20"/>
        </w:rPr>
      </w:pPr>
      <w:r w:rsidRPr="004C6CC5">
        <w:rPr>
          <w:rFonts w:ascii="Arial" w:hAnsi="Arial" w:cs="Arial"/>
          <w:color w:val="000000"/>
          <w:sz w:val="20"/>
          <w:szCs w:val="20"/>
        </w:rPr>
        <w:t>Ogólne kwoty połowowe na Morzu Bałtyckim ustalone dla P</w:t>
      </w:r>
      <w:r w:rsidR="00181446">
        <w:rPr>
          <w:rFonts w:ascii="Arial" w:hAnsi="Arial" w:cs="Arial"/>
          <w:color w:val="000000"/>
          <w:sz w:val="20"/>
          <w:szCs w:val="20"/>
        </w:rPr>
        <w:t>olski przez Radę UE na 2019 rok</w:t>
      </w:r>
      <w:r w:rsidRPr="004C6CC5">
        <w:rPr>
          <w:rFonts w:ascii="Arial" w:hAnsi="Arial" w:cs="Arial"/>
          <w:color w:val="000000"/>
          <w:sz w:val="20"/>
          <w:szCs w:val="20"/>
        </w:rPr>
        <w:t xml:space="preserve"> zostały określone</w:t>
      </w:r>
      <w:r w:rsidR="004C6CC5">
        <w:rPr>
          <w:rFonts w:ascii="Arial" w:hAnsi="Arial" w:cs="Arial"/>
          <w:color w:val="000000"/>
          <w:sz w:val="20"/>
          <w:szCs w:val="20"/>
        </w:rPr>
        <w:t xml:space="preserve"> w </w:t>
      </w:r>
      <w:r w:rsidRPr="004C6CC5">
        <w:rPr>
          <w:rFonts w:ascii="Arial" w:hAnsi="Arial" w:cs="Arial"/>
          <w:color w:val="000000"/>
          <w:sz w:val="20"/>
          <w:szCs w:val="20"/>
        </w:rPr>
        <w:t>Rozporządzeniu Rady (UE) 2018/1628</w:t>
      </w:r>
      <w:r w:rsidR="004C6CC5">
        <w:rPr>
          <w:rFonts w:ascii="Arial" w:hAnsi="Arial" w:cs="Arial"/>
          <w:color w:val="000000"/>
          <w:sz w:val="20"/>
          <w:szCs w:val="20"/>
        </w:rPr>
        <w:t xml:space="preserve"> z </w:t>
      </w:r>
      <w:r w:rsidRPr="004C6CC5">
        <w:rPr>
          <w:rFonts w:ascii="Arial" w:hAnsi="Arial" w:cs="Arial"/>
          <w:color w:val="000000"/>
          <w:sz w:val="20"/>
          <w:szCs w:val="20"/>
        </w:rPr>
        <w:t>dnia 30 października 2018</w:t>
      </w:r>
      <w:r w:rsidR="00E0441A">
        <w:rPr>
          <w:rFonts w:ascii="Arial" w:hAnsi="Arial" w:cs="Arial"/>
          <w:color w:val="000000"/>
          <w:sz w:val="20"/>
          <w:szCs w:val="20"/>
        </w:rPr>
        <w:t xml:space="preserve"> r. </w:t>
      </w:r>
      <w:r w:rsidRPr="004C6CC5">
        <w:rPr>
          <w:rFonts w:ascii="Arial" w:hAnsi="Arial" w:cs="Arial"/>
          <w:color w:val="000000"/>
          <w:sz w:val="20"/>
          <w:szCs w:val="20"/>
        </w:rPr>
        <w:t>ustalającym uprawnienia do połowów na 2019 rok</w:t>
      </w:r>
      <w:r w:rsidR="004C6CC5">
        <w:rPr>
          <w:rFonts w:ascii="Arial" w:hAnsi="Arial" w:cs="Arial"/>
          <w:color w:val="000000"/>
          <w:sz w:val="20"/>
          <w:szCs w:val="20"/>
        </w:rPr>
        <w:t xml:space="preserve"> w </w:t>
      </w:r>
      <w:r w:rsidRPr="004C6CC5">
        <w:rPr>
          <w:rFonts w:ascii="Arial" w:hAnsi="Arial" w:cs="Arial"/>
          <w:color w:val="000000"/>
          <w:sz w:val="20"/>
          <w:szCs w:val="20"/>
        </w:rPr>
        <w:t>odniesieniu do niektórych stad ryb</w:t>
      </w:r>
      <w:r w:rsidR="004C6CC5">
        <w:rPr>
          <w:rFonts w:ascii="Arial" w:hAnsi="Arial" w:cs="Arial"/>
          <w:color w:val="000000"/>
          <w:sz w:val="20"/>
          <w:szCs w:val="20"/>
        </w:rPr>
        <w:t xml:space="preserve"> i </w:t>
      </w:r>
      <w:r w:rsidRPr="004C6CC5">
        <w:rPr>
          <w:rFonts w:ascii="Arial" w:hAnsi="Arial" w:cs="Arial"/>
          <w:color w:val="000000"/>
          <w:sz w:val="20"/>
          <w:szCs w:val="20"/>
        </w:rPr>
        <w:t>grup stad ryb</w:t>
      </w:r>
      <w:r w:rsidR="004C6CC5">
        <w:rPr>
          <w:rFonts w:ascii="Arial" w:hAnsi="Arial" w:cs="Arial"/>
          <w:color w:val="000000"/>
          <w:sz w:val="20"/>
          <w:szCs w:val="20"/>
        </w:rPr>
        <w:t xml:space="preserve"> w </w:t>
      </w:r>
      <w:r w:rsidRPr="004C6CC5">
        <w:rPr>
          <w:rFonts w:ascii="Arial" w:hAnsi="Arial" w:cs="Arial"/>
          <w:color w:val="000000"/>
          <w:sz w:val="20"/>
          <w:szCs w:val="20"/>
        </w:rPr>
        <w:t xml:space="preserve">Morzu Bałtyckim oraz zmieniającym rozporządzenie (UE) 2018/120 ustalające uprawnienia do połowów </w:t>
      </w:r>
      <w:r w:rsidR="002B736C">
        <w:rPr>
          <w:rFonts w:ascii="Arial" w:hAnsi="Arial" w:cs="Arial"/>
          <w:color w:val="000000"/>
          <w:sz w:val="20"/>
          <w:szCs w:val="20"/>
        </w:rPr>
        <w:br/>
      </w:r>
      <w:r w:rsidRPr="004C6CC5">
        <w:rPr>
          <w:rFonts w:ascii="Arial" w:hAnsi="Arial" w:cs="Arial"/>
          <w:color w:val="000000"/>
          <w:sz w:val="20"/>
          <w:szCs w:val="20"/>
        </w:rPr>
        <w:t>(Dz. Urz. UE L 272</w:t>
      </w:r>
      <w:r w:rsidR="004C6CC5">
        <w:rPr>
          <w:rFonts w:ascii="Arial" w:hAnsi="Arial" w:cs="Arial"/>
          <w:color w:val="000000"/>
          <w:sz w:val="20"/>
          <w:szCs w:val="20"/>
        </w:rPr>
        <w:t xml:space="preserve"> z </w:t>
      </w:r>
      <w:r w:rsidRPr="004C6CC5">
        <w:rPr>
          <w:rFonts w:ascii="Arial" w:hAnsi="Arial" w:cs="Arial"/>
          <w:color w:val="000000"/>
          <w:sz w:val="20"/>
          <w:szCs w:val="20"/>
        </w:rPr>
        <w:t>dnia 31.10.2018 r.).</w:t>
      </w:r>
    </w:p>
    <w:p w14:paraId="5290ED86" w14:textId="0BB3390B" w:rsidR="0085381D" w:rsidRPr="004C6CC5" w:rsidRDefault="0085381D" w:rsidP="00250CD0">
      <w:pPr>
        <w:pStyle w:val="NormalnyWeb"/>
        <w:spacing w:before="120" w:beforeAutospacing="0" w:after="120" w:afterAutospacing="0" w:line="276" w:lineRule="auto"/>
        <w:jc w:val="both"/>
        <w:rPr>
          <w:rFonts w:ascii="Arial" w:hAnsi="Arial" w:cs="Arial"/>
          <w:color w:val="000000"/>
          <w:sz w:val="20"/>
          <w:szCs w:val="20"/>
        </w:rPr>
      </w:pPr>
      <w:r w:rsidRPr="004C6CC5">
        <w:rPr>
          <w:rFonts w:ascii="Arial" w:hAnsi="Arial" w:cs="Arial"/>
          <w:color w:val="000000"/>
          <w:sz w:val="20"/>
          <w:szCs w:val="20"/>
        </w:rPr>
        <w:t>Poniższa tabela przedstawia wysokość ogólnych kwot połowowych dla UE</w:t>
      </w:r>
      <w:r w:rsidR="004C6CC5">
        <w:rPr>
          <w:rFonts w:ascii="Arial" w:hAnsi="Arial" w:cs="Arial"/>
          <w:color w:val="000000"/>
          <w:sz w:val="20"/>
          <w:szCs w:val="20"/>
        </w:rPr>
        <w:t xml:space="preserve"> i </w:t>
      </w:r>
      <w:r w:rsidRPr="004C6CC5">
        <w:rPr>
          <w:rFonts w:ascii="Arial" w:hAnsi="Arial" w:cs="Arial"/>
          <w:color w:val="000000"/>
          <w:sz w:val="20"/>
          <w:szCs w:val="20"/>
        </w:rPr>
        <w:t>Polski na rok 2019</w:t>
      </w:r>
      <w:r w:rsidR="00915A33">
        <w:rPr>
          <w:rFonts w:ascii="Arial" w:hAnsi="Arial" w:cs="Arial"/>
          <w:color w:val="000000"/>
          <w:sz w:val="20"/>
          <w:szCs w:val="20"/>
        </w:rPr>
        <w:t xml:space="preserve"> </w:t>
      </w:r>
      <w:r w:rsidRPr="004C6CC5">
        <w:rPr>
          <w:rFonts w:ascii="Arial" w:hAnsi="Arial" w:cs="Arial"/>
          <w:color w:val="000000"/>
          <w:sz w:val="20"/>
          <w:szCs w:val="20"/>
        </w:rPr>
        <w:t>r. (dane MGMiZS)</w:t>
      </w:r>
      <w:r w:rsidR="00397707">
        <w:rPr>
          <w:rFonts w:ascii="Arial" w:hAnsi="Arial" w:cs="Arial"/>
          <w:color w:val="000000"/>
          <w:sz w:val="20"/>
          <w:szCs w:val="20"/>
        </w:rPr>
        <w:t>:</w:t>
      </w:r>
    </w:p>
    <w:tbl>
      <w:tblPr>
        <w:tblW w:w="9052" w:type="dxa"/>
        <w:jc w:val="center"/>
        <w:tblCellMar>
          <w:left w:w="0" w:type="dxa"/>
          <w:right w:w="0" w:type="dxa"/>
        </w:tblCellMar>
        <w:tblLook w:val="04A0" w:firstRow="1" w:lastRow="0" w:firstColumn="1" w:lastColumn="0" w:noHBand="0" w:noVBand="1"/>
      </w:tblPr>
      <w:tblGrid>
        <w:gridCol w:w="1408"/>
        <w:gridCol w:w="2268"/>
        <w:gridCol w:w="2456"/>
        <w:gridCol w:w="2920"/>
      </w:tblGrid>
      <w:tr w:rsidR="0085381D" w:rsidRPr="004C6CC5" w14:paraId="3EAF9815" w14:textId="77777777" w:rsidTr="001C43E2">
        <w:trPr>
          <w:trHeight w:val="370"/>
          <w:jc w:val="center"/>
        </w:trPr>
        <w:tc>
          <w:tcPr>
            <w:tcW w:w="1408" w:type="dxa"/>
            <w:tcBorders>
              <w:top w:val="single" w:sz="8" w:space="0" w:color="auto"/>
              <w:left w:val="single" w:sz="8" w:space="0" w:color="auto"/>
              <w:bottom w:val="single" w:sz="8" w:space="0" w:color="auto"/>
              <w:right w:val="single" w:sz="8" w:space="0" w:color="auto"/>
            </w:tcBorders>
            <w:shd w:val="clear" w:color="auto" w:fill="E5E5E5"/>
            <w:tcMar>
              <w:top w:w="0" w:type="dxa"/>
              <w:left w:w="10" w:type="dxa"/>
              <w:bottom w:w="0" w:type="dxa"/>
              <w:right w:w="10" w:type="dxa"/>
            </w:tcMar>
            <w:vAlign w:val="center"/>
            <w:hideMark/>
          </w:tcPr>
          <w:p w14:paraId="1CF50546" w14:textId="77777777" w:rsidR="0085381D" w:rsidRPr="00ED21CB" w:rsidRDefault="0085381D" w:rsidP="008D2321">
            <w:pPr>
              <w:pStyle w:val="NormalnyWeb"/>
              <w:spacing w:line="276" w:lineRule="auto"/>
              <w:ind w:left="260"/>
              <w:jc w:val="both"/>
              <w:rPr>
                <w:rFonts w:ascii="Arial" w:hAnsi="Arial" w:cs="Arial"/>
                <w:sz w:val="16"/>
                <w:szCs w:val="16"/>
              </w:rPr>
            </w:pPr>
            <w:r w:rsidRPr="00ED21CB">
              <w:rPr>
                <w:rFonts w:ascii="Arial" w:hAnsi="Arial" w:cs="Arial"/>
                <w:b/>
                <w:bCs/>
                <w:sz w:val="16"/>
                <w:szCs w:val="16"/>
              </w:rPr>
              <w:t>Gatunek</w:t>
            </w:r>
          </w:p>
        </w:tc>
        <w:tc>
          <w:tcPr>
            <w:tcW w:w="2268" w:type="dxa"/>
            <w:tcBorders>
              <w:top w:val="single" w:sz="8" w:space="0" w:color="auto"/>
              <w:left w:val="nil"/>
              <w:bottom w:val="single" w:sz="8" w:space="0" w:color="auto"/>
              <w:right w:val="single" w:sz="8" w:space="0" w:color="auto"/>
            </w:tcBorders>
            <w:shd w:val="clear" w:color="auto" w:fill="E5E5E5"/>
            <w:tcMar>
              <w:top w:w="0" w:type="dxa"/>
              <w:left w:w="10" w:type="dxa"/>
              <w:bottom w:w="0" w:type="dxa"/>
              <w:right w:w="10" w:type="dxa"/>
            </w:tcMar>
            <w:vAlign w:val="center"/>
            <w:hideMark/>
          </w:tcPr>
          <w:p w14:paraId="7ED80EDD" w14:textId="77777777" w:rsidR="0085381D" w:rsidRPr="00ED21CB" w:rsidRDefault="0085381D" w:rsidP="001C43E2">
            <w:pPr>
              <w:pStyle w:val="NormalnyWeb"/>
              <w:spacing w:line="276" w:lineRule="auto"/>
              <w:ind w:left="260"/>
              <w:jc w:val="center"/>
              <w:rPr>
                <w:rFonts w:ascii="Arial" w:hAnsi="Arial" w:cs="Arial"/>
                <w:sz w:val="16"/>
                <w:szCs w:val="16"/>
              </w:rPr>
            </w:pPr>
            <w:r w:rsidRPr="00ED21CB">
              <w:rPr>
                <w:rFonts w:ascii="Arial" w:hAnsi="Arial" w:cs="Arial"/>
                <w:b/>
                <w:bCs/>
                <w:sz w:val="16"/>
                <w:szCs w:val="16"/>
              </w:rPr>
              <w:t>Podobszary ICES</w:t>
            </w:r>
          </w:p>
        </w:tc>
        <w:tc>
          <w:tcPr>
            <w:tcW w:w="2456" w:type="dxa"/>
            <w:tcBorders>
              <w:top w:val="single" w:sz="8" w:space="0" w:color="auto"/>
              <w:left w:val="nil"/>
              <w:bottom w:val="single" w:sz="8" w:space="0" w:color="auto"/>
              <w:right w:val="single" w:sz="8" w:space="0" w:color="auto"/>
            </w:tcBorders>
            <w:shd w:val="clear" w:color="auto" w:fill="E5E5E5"/>
            <w:tcMar>
              <w:top w:w="0" w:type="dxa"/>
              <w:left w:w="10" w:type="dxa"/>
              <w:bottom w:w="0" w:type="dxa"/>
              <w:right w:w="10" w:type="dxa"/>
            </w:tcMar>
            <w:vAlign w:val="center"/>
            <w:hideMark/>
          </w:tcPr>
          <w:p w14:paraId="41BF3C94" w14:textId="77777777" w:rsidR="0085381D" w:rsidRPr="00ED21CB" w:rsidRDefault="0085381D" w:rsidP="001C43E2">
            <w:pPr>
              <w:pStyle w:val="NormalnyWeb"/>
              <w:spacing w:line="276" w:lineRule="auto"/>
              <w:ind w:left="260"/>
              <w:jc w:val="center"/>
              <w:rPr>
                <w:rFonts w:ascii="Arial" w:hAnsi="Arial" w:cs="Arial"/>
                <w:sz w:val="16"/>
                <w:szCs w:val="16"/>
              </w:rPr>
            </w:pPr>
            <w:r w:rsidRPr="00ED21CB">
              <w:rPr>
                <w:rFonts w:ascii="Arial" w:hAnsi="Arial" w:cs="Arial"/>
                <w:b/>
                <w:bCs/>
                <w:sz w:val="16"/>
                <w:szCs w:val="16"/>
              </w:rPr>
              <w:t>Kwota dla UE na rok 2019 (ton)</w:t>
            </w:r>
          </w:p>
        </w:tc>
        <w:tc>
          <w:tcPr>
            <w:tcW w:w="2920" w:type="dxa"/>
            <w:tcBorders>
              <w:top w:val="single" w:sz="8" w:space="0" w:color="auto"/>
              <w:left w:val="nil"/>
              <w:bottom w:val="single" w:sz="8" w:space="0" w:color="auto"/>
              <w:right w:val="single" w:sz="8" w:space="0" w:color="auto"/>
            </w:tcBorders>
            <w:shd w:val="clear" w:color="auto" w:fill="E5E5E5"/>
            <w:tcMar>
              <w:top w:w="0" w:type="dxa"/>
              <w:left w:w="10" w:type="dxa"/>
              <w:bottom w:w="0" w:type="dxa"/>
              <w:right w:w="10" w:type="dxa"/>
            </w:tcMar>
            <w:vAlign w:val="center"/>
            <w:hideMark/>
          </w:tcPr>
          <w:p w14:paraId="6083E330" w14:textId="77777777" w:rsidR="0085381D" w:rsidRPr="00ED21CB" w:rsidRDefault="0085381D" w:rsidP="001C43E2">
            <w:pPr>
              <w:pStyle w:val="NormalnyWeb"/>
              <w:spacing w:line="276" w:lineRule="auto"/>
              <w:ind w:left="260"/>
              <w:jc w:val="center"/>
              <w:rPr>
                <w:rFonts w:ascii="Arial" w:hAnsi="Arial" w:cs="Arial"/>
                <w:sz w:val="16"/>
                <w:szCs w:val="16"/>
              </w:rPr>
            </w:pPr>
            <w:r w:rsidRPr="00ED21CB">
              <w:rPr>
                <w:rFonts w:ascii="Arial" w:hAnsi="Arial" w:cs="Arial"/>
                <w:b/>
                <w:bCs/>
                <w:sz w:val="16"/>
                <w:szCs w:val="16"/>
              </w:rPr>
              <w:t>Ogólna kwota połowowa dla Polski na rok 2019 (ton)</w:t>
            </w:r>
          </w:p>
        </w:tc>
      </w:tr>
      <w:tr w:rsidR="0085381D" w:rsidRPr="004C6CC5" w14:paraId="2903C283" w14:textId="77777777" w:rsidTr="001C43E2">
        <w:trPr>
          <w:trHeight w:val="370"/>
          <w:jc w:val="center"/>
        </w:trPr>
        <w:tc>
          <w:tcPr>
            <w:tcW w:w="1408" w:type="dxa"/>
            <w:tcBorders>
              <w:top w:val="nil"/>
              <w:left w:val="single" w:sz="8" w:space="0" w:color="auto"/>
              <w:bottom w:val="single" w:sz="8" w:space="0" w:color="auto"/>
              <w:right w:val="single" w:sz="8" w:space="0" w:color="auto"/>
            </w:tcBorders>
            <w:shd w:val="clear" w:color="auto" w:fill="DFDFDF"/>
            <w:tcMar>
              <w:top w:w="0" w:type="dxa"/>
              <w:left w:w="10" w:type="dxa"/>
              <w:bottom w:w="0" w:type="dxa"/>
              <w:right w:w="10" w:type="dxa"/>
            </w:tcMar>
            <w:vAlign w:val="center"/>
            <w:hideMark/>
          </w:tcPr>
          <w:p w14:paraId="716A29D4" w14:textId="77777777" w:rsidR="0085381D" w:rsidRPr="00ED21CB" w:rsidRDefault="0085381D" w:rsidP="008D2321">
            <w:pPr>
              <w:pStyle w:val="NormalnyWeb"/>
              <w:spacing w:line="276" w:lineRule="auto"/>
              <w:ind w:left="260"/>
              <w:jc w:val="both"/>
              <w:rPr>
                <w:rFonts w:ascii="Arial" w:hAnsi="Arial" w:cs="Arial"/>
                <w:sz w:val="16"/>
                <w:szCs w:val="16"/>
              </w:rPr>
            </w:pPr>
            <w:r w:rsidRPr="00ED21CB">
              <w:rPr>
                <w:rFonts w:ascii="Arial" w:hAnsi="Arial" w:cs="Arial"/>
                <w:b/>
                <w:bCs/>
                <w:sz w:val="16"/>
                <w:szCs w:val="16"/>
              </w:rPr>
              <w:t>Śledź</w:t>
            </w: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0D39FCE" w14:textId="77777777" w:rsidR="0085381D" w:rsidRPr="00ED21CB" w:rsidRDefault="0085381D" w:rsidP="008D2321">
            <w:pPr>
              <w:pStyle w:val="NormalnyWeb"/>
              <w:spacing w:line="276" w:lineRule="auto"/>
              <w:ind w:left="680"/>
              <w:jc w:val="both"/>
              <w:rPr>
                <w:rFonts w:ascii="Arial" w:hAnsi="Arial" w:cs="Arial"/>
                <w:sz w:val="16"/>
                <w:szCs w:val="16"/>
              </w:rPr>
            </w:pPr>
            <w:r w:rsidRPr="00ED21CB">
              <w:rPr>
                <w:rFonts w:ascii="Arial" w:hAnsi="Arial" w:cs="Arial"/>
                <w:sz w:val="16"/>
                <w:szCs w:val="16"/>
              </w:rPr>
              <w:t>22-24</w:t>
            </w:r>
          </w:p>
        </w:tc>
        <w:tc>
          <w:tcPr>
            <w:tcW w:w="245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1A669FE"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9 001</w:t>
            </w:r>
          </w:p>
        </w:tc>
        <w:tc>
          <w:tcPr>
            <w:tcW w:w="292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83D0C0B"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1 171</w:t>
            </w:r>
          </w:p>
        </w:tc>
      </w:tr>
      <w:tr w:rsidR="0085381D" w:rsidRPr="004C6CC5" w14:paraId="55D50B7C" w14:textId="77777777" w:rsidTr="001C43E2">
        <w:trPr>
          <w:trHeight w:val="336"/>
          <w:jc w:val="center"/>
        </w:trPr>
        <w:tc>
          <w:tcPr>
            <w:tcW w:w="1408" w:type="dxa"/>
            <w:tcBorders>
              <w:top w:val="nil"/>
              <w:left w:val="single" w:sz="8" w:space="0" w:color="auto"/>
              <w:bottom w:val="single" w:sz="8" w:space="0" w:color="auto"/>
              <w:right w:val="single" w:sz="8" w:space="0" w:color="auto"/>
            </w:tcBorders>
            <w:shd w:val="clear" w:color="auto" w:fill="DFDFDF"/>
            <w:tcMar>
              <w:top w:w="0" w:type="dxa"/>
              <w:left w:w="10" w:type="dxa"/>
              <w:bottom w:w="0" w:type="dxa"/>
              <w:right w:w="10" w:type="dxa"/>
            </w:tcMar>
            <w:vAlign w:val="center"/>
            <w:hideMark/>
          </w:tcPr>
          <w:p w14:paraId="1049DE21" w14:textId="77777777" w:rsidR="0085381D" w:rsidRPr="00ED21CB" w:rsidRDefault="0085381D" w:rsidP="008D2321">
            <w:pPr>
              <w:pStyle w:val="NormalnyWeb"/>
              <w:spacing w:line="276" w:lineRule="auto"/>
              <w:ind w:left="260"/>
              <w:jc w:val="both"/>
              <w:rPr>
                <w:rFonts w:ascii="Arial" w:hAnsi="Arial" w:cs="Arial"/>
                <w:sz w:val="16"/>
                <w:szCs w:val="16"/>
              </w:rPr>
            </w:pPr>
            <w:r w:rsidRPr="00ED21CB">
              <w:rPr>
                <w:rFonts w:ascii="Arial" w:hAnsi="Arial" w:cs="Arial"/>
                <w:b/>
                <w:bCs/>
                <w:sz w:val="16"/>
                <w:szCs w:val="16"/>
              </w:rPr>
              <w:t>Śledź</w:t>
            </w: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CDB56DA" w14:textId="6A486276" w:rsidR="0085381D" w:rsidRPr="00ED21CB" w:rsidRDefault="0085381D" w:rsidP="008D2321">
            <w:pPr>
              <w:pStyle w:val="NormalnyWeb"/>
              <w:spacing w:line="276" w:lineRule="auto"/>
              <w:ind w:left="100"/>
              <w:jc w:val="both"/>
              <w:rPr>
                <w:rFonts w:ascii="Arial" w:hAnsi="Arial" w:cs="Arial"/>
                <w:sz w:val="16"/>
                <w:szCs w:val="16"/>
              </w:rPr>
            </w:pPr>
            <w:r w:rsidRPr="00ED21CB">
              <w:rPr>
                <w:rFonts w:ascii="Arial" w:hAnsi="Arial" w:cs="Arial"/>
                <w:sz w:val="16"/>
                <w:szCs w:val="16"/>
              </w:rPr>
              <w:t>25-27,28.2, 29</w:t>
            </w:r>
            <w:r w:rsidR="004C6CC5" w:rsidRPr="00ED21CB">
              <w:rPr>
                <w:rFonts w:ascii="Arial" w:hAnsi="Arial" w:cs="Arial"/>
                <w:sz w:val="16"/>
                <w:szCs w:val="16"/>
              </w:rPr>
              <w:t xml:space="preserve"> i </w:t>
            </w:r>
            <w:r w:rsidRPr="00ED21CB">
              <w:rPr>
                <w:rFonts w:ascii="Arial" w:hAnsi="Arial" w:cs="Arial"/>
                <w:sz w:val="16"/>
                <w:szCs w:val="16"/>
              </w:rPr>
              <w:t>32</w:t>
            </w:r>
          </w:p>
        </w:tc>
        <w:tc>
          <w:tcPr>
            <w:tcW w:w="245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59FD240"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170 360</w:t>
            </w:r>
          </w:p>
        </w:tc>
        <w:tc>
          <w:tcPr>
            <w:tcW w:w="292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5187D6"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42 444</w:t>
            </w:r>
          </w:p>
        </w:tc>
      </w:tr>
      <w:tr w:rsidR="0085381D" w:rsidRPr="004C6CC5" w14:paraId="0E5293D9" w14:textId="77777777" w:rsidTr="001C43E2">
        <w:trPr>
          <w:trHeight w:val="336"/>
          <w:jc w:val="center"/>
        </w:trPr>
        <w:tc>
          <w:tcPr>
            <w:tcW w:w="1408" w:type="dxa"/>
            <w:tcBorders>
              <w:top w:val="nil"/>
              <w:left w:val="single" w:sz="8" w:space="0" w:color="auto"/>
              <w:bottom w:val="single" w:sz="8" w:space="0" w:color="auto"/>
              <w:right w:val="single" w:sz="8" w:space="0" w:color="auto"/>
            </w:tcBorders>
            <w:shd w:val="clear" w:color="auto" w:fill="DFDFDF"/>
            <w:tcMar>
              <w:top w:w="0" w:type="dxa"/>
              <w:left w:w="10" w:type="dxa"/>
              <w:bottom w:w="0" w:type="dxa"/>
              <w:right w:w="10" w:type="dxa"/>
            </w:tcMar>
            <w:vAlign w:val="center"/>
            <w:hideMark/>
          </w:tcPr>
          <w:p w14:paraId="69267FB7" w14:textId="77777777" w:rsidR="0085381D" w:rsidRPr="00ED21CB" w:rsidRDefault="0085381D" w:rsidP="008D2321">
            <w:pPr>
              <w:pStyle w:val="NormalnyWeb"/>
              <w:spacing w:line="276" w:lineRule="auto"/>
              <w:ind w:left="260"/>
              <w:jc w:val="both"/>
              <w:rPr>
                <w:rFonts w:ascii="Arial" w:hAnsi="Arial" w:cs="Arial"/>
                <w:sz w:val="16"/>
                <w:szCs w:val="16"/>
              </w:rPr>
            </w:pPr>
            <w:r w:rsidRPr="00ED21CB">
              <w:rPr>
                <w:rFonts w:ascii="Arial" w:hAnsi="Arial" w:cs="Arial"/>
                <w:b/>
                <w:bCs/>
                <w:sz w:val="16"/>
                <w:szCs w:val="16"/>
              </w:rPr>
              <w:t>Dorsz</w:t>
            </w: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4FE905C" w14:textId="77777777" w:rsidR="0085381D" w:rsidRPr="00ED21CB" w:rsidRDefault="0085381D" w:rsidP="008D2321">
            <w:pPr>
              <w:pStyle w:val="NormalnyWeb"/>
              <w:spacing w:line="276" w:lineRule="auto"/>
              <w:ind w:left="680"/>
              <w:jc w:val="both"/>
              <w:rPr>
                <w:rFonts w:ascii="Arial" w:hAnsi="Arial" w:cs="Arial"/>
                <w:sz w:val="16"/>
                <w:szCs w:val="16"/>
              </w:rPr>
            </w:pPr>
            <w:r w:rsidRPr="00ED21CB">
              <w:rPr>
                <w:rFonts w:ascii="Arial" w:hAnsi="Arial" w:cs="Arial"/>
                <w:sz w:val="16"/>
                <w:szCs w:val="16"/>
              </w:rPr>
              <w:t>25-32</w:t>
            </w:r>
          </w:p>
        </w:tc>
        <w:tc>
          <w:tcPr>
            <w:tcW w:w="245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4F4DD15"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24 112</w:t>
            </w:r>
          </w:p>
        </w:tc>
        <w:tc>
          <w:tcPr>
            <w:tcW w:w="292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0D2494B"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6 377</w:t>
            </w:r>
          </w:p>
        </w:tc>
      </w:tr>
      <w:tr w:rsidR="0085381D" w:rsidRPr="004C6CC5" w14:paraId="5B79DDBD" w14:textId="77777777" w:rsidTr="001C43E2">
        <w:trPr>
          <w:trHeight w:val="331"/>
          <w:jc w:val="center"/>
        </w:trPr>
        <w:tc>
          <w:tcPr>
            <w:tcW w:w="1408" w:type="dxa"/>
            <w:tcBorders>
              <w:top w:val="nil"/>
              <w:left w:val="single" w:sz="8" w:space="0" w:color="auto"/>
              <w:bottom w:val="single" w:sz="8" w:space="0" w:color="auto"/>
              <w:right w:val="single" w:sz="8" w:space="0" w:color="auto"/>
            </w:tcBorders>
            <w:shd w:val="clear" w:color="auto" w:fill="DFDFDF"/>
            <w:tcMar>
              <w:top w:w="0" w:type="dxa"/>
              <w:left w:w="10" w:type="dxa"/>
              <w:bottom w:w="0" w:type="dxa"/>
              <w:right w:w="10" w:type="dxa"/>
            </w:tcMar>
            <w:vAlign w:val="center"/>
            <w:hideMark/>
          </w:tcPr>
          <w:p w14:paraId="10FE97E5" w14:textId="77777777" w:rsidR="0085381D" w:rsidRPr="00ED21CB" w:rsidRDefault="0085381D" w:rsidP="008D2321">
            <w:pPr>
              <w:pStyle w:val="NormalnyWeb"/>
              <w:spacing w:line="276" w:lineRule="auto"/>
              <w:ind w:left="260"/>
              <w:jc w:val="both"/>
              <w:rPr>
                <w:rFonts w:ascii="Arial" w:hAnsi="Arial" w:cs="Arial"/>
                <w:sz w:val="16"/>
                <w:szCs w:val="16"/>
              </w:rPr>
            </w:pPr>
            <w:r w:rsidRPr="00ED21CB">
              <w:rPr>
                <w:rFonts w:ascii="Arial" w:hAnsi="Arial" w:cs="Arial"/>
                <w:b/>
                <w:bCs/>
                <w:sz w:val="16"/>
                <w:szCs w:val="16"/>
              </w:rPr>
              <w:t>Dorsz</w:t>
            </w: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215D82D" w14:textId="77777777" w:rsidR="0085381D" w:rsidRPr="00ED21CB" w:rsidRDefault="0085381D" w:rsidP="008D2321">
            <w:pPr>
              <w:pStyle w:val="NormalnyWeb"/>
              <w:spacing w:line="276" w:lineRule="auto"/>
              <w:ind w:left="680"/>
              <w:jc w:val="both"/>
              <w:rPr>
                <w:rFonts w:ascii="Arial" w:hAnsi="Arial" w:cs="Arial"/>
                <w:sz w:val="16"/>
                <w:szCs w:val="16"/>
              </w:rPr>
            </w:pPr>
            <w:r w:rsidRPr="00ED21CB">
              <w:rPr>
                <w:rFonts w:ascii="Arial" w:hAnsi="Arial" w:cs="Arial"/>
                <w:sz w:val="16"/>
                <w:szCs w:val="16"/>
              </w:rPr>
              <w:t>22-24</w:t>
            </w:r>
          </w:p>
        </w:tc>
        <w:tc>
          <w:tcPr>
            <w:tcW w:w="245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B1301B9"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9 515</w:t>
            </w:r>
          </w:p>
        </w:tc>
        <w:tc>
          <w:tcPr>
            <w:tcW w:w="292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3360C12"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1 111</w:t>
            </w:r>
          </w:p>
        </w:tc>
      </w:tr>
      <w:tr w:rsidR="0085381D" w:rsidRPr="004C6CC5" w14:paraId="6C5A9FFB" w14:textId="77777777" w:rsidTr="001C43E2">
        <w:trPr>
          <w:trHeight w:val="336"/>
          <w:jc w:val="center"/>
        </w:trPr>
        <w:tc>
          <w:tcPr>
            <w:tcW w:w="1408" w:type="dxa"/>
            <w:tcBorders>
              <w:top w:val="nil"/>
              <w:left w:val="single" w:sz="8" w:space="0" w:color="auto"/>
              <w:bottom w:val="single" w:sz="8" w:space="0" w:color="auto"/>
              <w:right w:val="single" w:sz="8" w:space="0" w:color="auto"/>
            </w:tcBorders>
            <w:shd w:val="clear" w:color="auto" w:fill="DFDFDF"/>
            <w:tcMar>
              <w:top w:w="0" w:type="dxa"/>
              <w:left w:w="10" w:type="dxa"/>
              <w:bottom w:w="0" w:type="dxa"/>
              <w:right w:w="10" w:type="dxa"/>
            </w:tcMar>
            <w:vAlign w:val="center"/>
            <w:hideMark/>
          </w:tcPr>
          <w:p w14:paraId="6D3C7546" w14:textId="77777777" w:rsidR="0085381D" w:rsidRPr="00ED21CB" w:rsidRDefault="0085381D" w:rsidP="008D2321">
            <w:pPr>
              <w:pStyle w:val="NormalnyWeb"/>
              <w:spacing w:line="276" w:lineRule="auto"/>
              <w:ind w:left="200"/>
              <w:jc w:val="both"/>
              <w:rPr>
                <w:rFonts w:ascii="Arial" w:hAnsi="Arial" w:cs="Arial"/>
                <w:sz w:val="16"/>
                <w:szCs w:val="16"/>
              </w:rPr>
            </w:pPr>
            <w:r w:rsidRPr="00ED21CB">
              <w:rPr>
                <w:rFonts w:ascii="Arial" w:hAnsi="Arial" w:cs="Arial"/>
                <w:b/>
                <w:bCs/>
                <w:sz w:val="16"/>
                <w:szCs w:val="16"/>
              </w:rPr>
              <w:t>Gładzica</w:t>
            </w: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36BE18F" w14:textId="77777777" w:rsidR="0085381D" w:rsidRPr="00ED21CB" w:rsidRDefault="0085381D" w:rsidP="008D2321">
            <w:pPr>
              <w:pStyle w:val="NormalnyWeb"/>
              <w:spacing w:line="276" w:lineRule="auto"/>
              <w:ind w:left="680"/>
              <w:jc w:val="both"/>
              <w:rPr>
                <w:rFonts w:ascii="Arial" w:hAnsi="Arial" w:cs="Arial"/>
                <w:sz w:val="16"/>
                <w:szCs w:val="16"/>
              </w:rPr>
            </w:pPr>
            <w:r w:rsidRPr="00ED21CB">
              <w:rPr>
                <w:rFonts w:ascii="Arial" w:hAnsi="Arial" w:cs="Arial"/>
                <w:sz w:val="16"/>
                <w:szCs w:val="16"/>
              </w:rPr>
              <w:t>22-32</w:t>
            </w:r>
          </w:p>
        </w:tc>
        <w:tc>
          <w:tcPr>
            <w:tcW w:w="245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B910C7"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10 122</w:t>
            </w:r>
          </w:p>
        </w:tc>
        <w:tc>
          <w:tcPr>
            <w:tcW w:w="292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2C5765E"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1 518</w:t>
            </w:r>
          </w:p>
        </w:tc>
      </w:tr>
      <w:tr w:rsidR="0085381D" w:rsidRPr="004C6CC5" w14:paraId="5C7AE404" w14:textId="77777777" w:rsidTr="001C43E2">
        <w:trPr>
          <w:trHeight w:val="336"/>
          <w:jc w:val="center"/>
        </w:trPr>
        <w:tc>
          <w:tcPr>
            <w:tcW w:w="1408" w:type="dxa"/>
            <w:tcBorders>
              <w:top w:val="nil"/>
              <w:left w:val="single" w:sz="8" w:space="0" w:color="auto"/>
              <w:bottom w:val="single" w:sz="8" w:space="0" w:color="auto"/>
              <w:right w:val="single" w:sz="8" w:space="0" w:color="auto"/>
            </w:tcBorders>
            <w:shd w:val="clear" w:color="auto" w:fill="DFDFDF"/>
            <w:tcMar>
              <w:top w:w="0" w:type="dxa"/>
              <w:left w:w="10" w:type="dxa"/>
              <w:bottom w:w="0" w:type="dxa"/>
              <w:right w:w="10" w:type="dxa"/>
            </w:tcMar>
            <w:vAlign w:val="center"/>
            <w:hideMark/>
          </w:tcPr>
          <w:p w14:paraId="6BB843FD" w14:textId="77777777" w:rsidR="0085381D" w:rsidRPr="00ED21CB" w:rsidRDefault="0085381D" w:rsidP="008D2321">
            <w:pPr>
              <w:pStyle w:val="NormalnyWeb"/>
              <w:spacing w:line="276" w:lineRule="auto"/>
              <w:ind w:left="200"/>
              <w:jc w:val="both"/>
              <w:rPr>
                <w:rFonts w:ascii="Arial" w:hAnsi="Arial" w:cs="Arial"/>
                <w:sz w:val="16"/>
                <w:szCs w:val="16"/>
              </w:rPr>
            </w:pPr>
            <w:r w:rsidRPr="00ED21CB">
              <w:rPr>
                <w:rFonts w:ascii="Arial" w:hAnsi="Arial" w:cs="Arial"/>
                <w:b/>
                <w:bCs/>
                <w:sz w:val="16"/>
                <w:szCs w:val="16"/>
              </w:rPr>
              <w:t>Łosoś*</w:t>
            </w: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7152FBB" w14:textId="77777777" w:rsidR="0085381D" w:rsidRPr="00ED21CB" w:rsidRDefault="0085381D" w:rsidP="008D2321">
            <w:pPr>
              <w:pStyle w:val="NormalnyWeb"/>
              <w:spacing w:line="276" w:lineRule="auto"/>
              <w:ind w:left="680"/>
              <w:jc w:val="both"/>
              <w:rPr>
                <w:rFonts w:ascii="Arial" w:hAnsi="Arial" w:cs="Arial"/>
                <w:sz w:val="16"/>
                <w:szCs w:val="16"/>
              </w:rPr>
            </w:pPr>
            <w:r w:rsidRPr="00ED21CB">
              <w:rPr>
                <w:rFonts w:ascii="Arial" w:hAnsi="Arial" w:cs="Arial"/>
                <w:sz w:val="16"/>
                <w:szCs w:val="16"/>
              </w:rPr>
              <w:t>22-31</w:t>
            </w:r>
          </w:p>
        </w:tc>
        <w:tc>
          <w:tcPr>
            <w:tcW w:w="245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22D4E54A"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91 132</w:t>
            </w:r>
          </w:p>
        </w:tc>
        <w:tc>
          <w:tcPr>
            <w:tcW w:w="292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C6CFEE1"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5 729*</w:t>
            </w:r>
          </w:p>
        </w:tc>
      </w:tr>
      <w:tr w:rsidR="0085381D" w:rsidRPr="004C6CC5" w14:paraId="2C940562" w14:textId="77777777" w:rsidTr="001C43E2">
        <w:trPr>
          <w:trHeight w:val="350"/>
          <w:jc w:val="center"/>
        </w:trPr>
        <w:tc>
          <w:tcPr>
            <w:tcW w:w="1408" w:type="dxa"/>
            <w:tcBorders>
              <w:top w:val="nil"/>
              <w:left w:val="single" w:sz="8" w:space="0" w:color="auto"/>
              <w:bottom w:val="single" w:sz="8" w:space="0" w:color="auto"/>
              <w:right w:val="single" w:sz="8" w:space="0" w:color="auto"/>
            </w:tcBorders>
            <w:shd w:val="clear" w:color="auto" w:fill="DFDFDF"/>
            <w:tcMar>
              <w:top w:w="0" w:type="dxa"/>
              <w:left w:w="10" w:type="dxa"/>
              <w:bottom w:w="0" w:type="dxa"/>
              <w:right w:w="10" w:type="dxa"/>
            </w:tcMar>
            <w:vAlign w:val="center"/>
            <w:hideMark/>
          </w:tcPr>
          <w:p w14:paraId="718A44F7" w14:textId="77777777" w:rsidR="0085381D" w:rsidRPr="00ED21CB" w:rsidRDefault="0085381D" w:rsidP="008D2321">
            <w:pPr>
              <w:pStyle w:val="NormalnyWeb"/>
              <w:spacing w:line="276" w:lineRule="auto"/>
              <w:ind w:left="200"/>
              <w:jc w:val="both"/>
              <w:rPr>
                <w:rFonts w:ascii="Arial" w:hAnsi="Arial" w:cs="Arial"/>
                <w:sz w:val="16"/>
                <w:szCs w:val="16"/>
              </w:rPr>
            </w:pPr>
            <w:r w:rsidRPr="00ED21CB">
              <w:rPr>
                <w:rFonts w:ascii="Arial" w:hAnsi="Arial" w:cs="Arial"/>
                <w:b/>
                <w:bCs/>
                <w:sz w:val="16"/>
                <w:szCs w:val="16"/>
              </w:rPr>
              <w:t>Szprot</w:t>
            </w:r>
          </w:p>
        </w:tc>
        <w:tc>
          <w:tcPr>
            <w:tcW w:w="2268"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084BDED" w14:textId="77777777" w:rsidR="0085381D" w:rsidRPr="00ED21CB" w:rsidRDefault="0085381D" w:rsidP="008D2321">
            <w:pPr>
              <w:pStyle w:val="NormalnyWeb"/>
              <w:spacing w:line="276" w:lineRule="auto"/>
              <w:ind w:left="680"/>
              <w:jc w:val="both"/>
              <w:rPr>
                <w:rFonts w:ascii="Arial" w:hAnsi="Arial" w:cs="Arial"/>
                <w:sz w:val="16"/>
                <w:szCs w:val="16"/>
              </w:rPr>
            </w:pPr>
            <w:r w:rsidRPr="00ED21CB">
              <w:rPr>
                <w:rFonts w:ascii="Arial" w:hAnsi="Arial" w:cs="Arial"/>
                <w:sz w:val="16"/>
                <w:szCs w:val="16"/>
              </w:rPr>
              <w:t>22-32</w:t>
            </w:r>
          </w:p>
        </w:tc>
        <w:tc>
          <w:tcPr>
            <w:tcW w:w="245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5F771339"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270 772</w:t>
            </w:r>
          </w:p>
        </w:tc>
        <w:tc>
          <w:tcPr>
            <w:tcW w:w="2920"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2961A6" w14:textId="77777777" w:rsidR="0085381D" w:rsidRPr="00ED21CB" w:rsidRDefault="0085381D" w:rsidP="008D2321">
            <w:pPr>
              <w:pStyle w:val="NormalnyWeb"/>
              <w:spacing w:line="276" w:lineRule="auto"/>
              <w:jc w:val="both"/>
              <w:rPr>
                <w:rFonts w:ascii="Arial" w:hAnsi="Arial" w:cs="Arial"/>
                <w:sz w:val="16"/>
                <w:szCs w:val="16"/>
              </w:rPr>
            </w:pPr>
            <w:r w:rsidRPr="00ED21CB">
              <w:rPr>
                <w:rFonts w:ascii="Arial" w:hAnsi="Arial" w:cs="Arial"/>
                <w:sz w:val="16"/>
                <w:szCs w:val="16"/>
              </w:rPr>
              <w:t>79 497</w:t>
            </w:r>
          </w:p>
        </w:tc>
      </w:tr>
    </w:tbl>
    <w:p w14:paraId="459F3F9E" w14:textId="7F75E1B9" w:rsidR="0085381D" w:rsidRPr="00EF7ACF" w:rsidRDefault="0085381D" w:rsidP="008D2321">
      <w:pPr>
        <w:pStyle w:val="NormalnyWeb"/>
        <w:spacing w:after="120" w:line="276" w:lineRule="auto"/>
        <w:jc w:val="both"/>
        <w:rPr>
          <w:rFonts w:ascii="Arial" w:hAnsi="Arial" w:cs="Arial"/>
          <w:color w:val="000000"/>
          <w:sz w:val="16"/>
          <w:szCs w:val="16"/>
        </w:rPr>
      </w:pPr>
      <w:r w:rsidRPr="00EF7ACF">
        <w:rPr>
          <w:rFonts w:ascii="Arial" w:hAnsi="Arial" w:cs="Arial"/>
          <w:color w:val="000000"/>
          <w:sz w:val="16"/>
          <w:szCs w:val="16"/>
        </w:rPr>
        <w:t>*kwota ło</w:t>
      </w:r>
      <w:r w:rsidR="007D6ECC" w:rsidRPr="00EF7ACF">
        <w:rPr>
          <w:rFonts w:ascii="Arial" w:hAnsi="Arial" w:cs="Arial"/>
          <w:color w:val="000000"/>
          <w:sz w:val="16"/>
          <w:szCs w:val="16"/>
        </w:rPr>
        <w:t>so</w:t>
      </w:r>
      <w:r w:rsidRPr="00EF7ACF">
        <w:rPr>
          <w:rFonts w:ascii="Arial" w:hAnsi="Arial" w:cs="Arial"/>
          <w:color w:val="000000"/>
          <w:sz w:val="16"/>
          <w:szCs w:val="16"/>
        </w:rPr>
        <w:t>sia wyrażona</w:t>
      </w:r>
      <w:r w:rsidR="004C6CC5" w:rsidRPr="00EF7ACF">
        <w:rPr>
          <w:rFonts w:ascii="Arial" w:hAnsi="Arial" w:cs="Arial"/>
          <w:color w:val="000000"/>
          <w:sz w:val="16"/>
          <w:szCs w:val="16"/>
        </w:rPr>
        <w:t xml:space="preserve"> w </w:t>
      </w:r>
      <w:r w:rsidRPr="00EF7ACF">
        <w:rPr>
          <w:rFonts w:ascii="Arial" w:hAnsi="Arial" w:cs="Arial"/>
          <w:color w:val="000000"/>
          <w:sz w:val="16"/>
          <w:szCs w:val="16"/>
        </w:rPr>
        <w:t>sztukach</w:t>
      </w:r>
    </w:p>
    <w:p w14:paraId="1E8EE7BE" w14:textId="72077515" w:rsidR="0085381D" w:rsidRDefault="0085381D" w:rsidP="008E7764">
      <w:pPr>
        <w:pStyle w:val="NormalnyWeb"/>
        <w:spacing w:before="120" w:beforeAutospacing="0" w:after="120" w:afterAutospacing="0" w:line="276" w:lineRule="auto"/>
        <w:jc w:val="both"/>
        <w:rPr>
          <w:rFonts w:ascii="Arial" w:hAnsi="Arial" w:cs="Arial"/>
          <w:color w:val="000000"/>
          <w:sz w:val="20"/>
          <w:szCs w:val="20"/>
        </w:rPr>
      </w:pPr>
      <w:r w:rsidRPr="004C6CC5">
        <w:rPr>
          <w:rFonts w:ascii="Arial" w:hAnsi="Arial" w:cs="Arial"/>
          <w:color w:val="000000"/>
          <w:sz w:val="20"/>
          <w:szCs w:val="20"/>
        </w:rPr>
        <w:lastRenderedPageBreak/>
        <w:t>Krajowy podział ogólnych kwot połowowych na Morzu Bałtyckim na rok 2019 został zrealizowany</w:t>
      </w:r>
      <w:r w:rsidR="004C6CC5">
        <w:rPr>
          <w:rFonts w:ascii="Arial" w:hAnsi="Arial" w:cs="Arial"/>
          <w:color w:val="000000"/>
          <w:sz w:val="20"/>
          <w:szCs w:val="20"/>
        </w:rPr>
        <w:t xml:space="preserve"> w </w:t>
      </w:r>
      <w:r w:rsidRPr="004C6CC5">
        <w:rPr>
          <w:rFonts w:ascii="Arial" w:hAnsi="Arial" w:cs="Arial"/>
          <w:color w:val="000000"/>
          <w:sz w:val="20"/>
          <w:szCs w:val="20"/>
        </w:rPr>
        <w:t xml:space="preserve">oparciu o przepisy </w:t>
      </w:r>
      <w:r w:rsidRPr="00DC3F51">
        <w:rPr>
          <w:rFonts w:ascii="Arial" w:hAnsi="Arial" w:cs="Arial"/>
          <w:iCs/>
          <w:color w:val="000000"/>
          <w:sz w:val="20"/>
          <w:szCs w:val="20"/>
        </w:rPr>
        <w:t>ustawy</w:t>
      </w:r>
      <w:r w:rsidR="004C6CC5" w:rsidRPr="00DC3F51">
        <w:rPr>
          <w:rFonts w:ascii="Arial" w:hAnsi="Arial" w:cs="Arial"/>
          <w:iCs/>
          <w:color w:val="000000"/>
          <w:sz w:val="20"/>
          <w:szCs w:val="20"/>
        </w:rPr>
        <w:t xml:space="preserve"> z </w:t>
      </w:r>
      <w:r w:rsidRPr="00DC3F51">
        <w:rPr>
          <w:rFonts w:ascii="Arial" w:hAnsi="Arial" w:cs="Arial"/>
          <w:iCs/>
          <w:color w:val="000000"/>
          <w:sz w:val="20"/>
          <w:szCs w:val="20"/>
        </w:rPr>
        <w:t>dnia 19 grudnia 2014</w:t>
      </w:r>
      <w:r w:rsidR="009D01B9" w:rsidRPr="00DC3F51">
        <w:rPr>
          <w:rFonts w:ascii="Arial" w:hAnsi="Arial" w:cs="Arial"/>
          <w:iCs/>
          <w:color w:val="000000"/>
          <w:sz w:val="20"/>
          <w:szCs w:val="20"/>
        </w:rPr>
        <w:t xml:space="preserve"> r. </w:t>
      </w:r>
      <w:r w:rsidRPr="00DC3F51">
        <w:rPr>
          <w:rFonts w:ascii="Arial" w:hAnsi="Arial" w:cs="Arial"/>
          <w:iCs/>
          <w:color w:val="000000"/>
          <w:sz w:val="20"/>
          <w:szCs w:val="20"/>
        </w:rPr>
        <w:t>o rybołówstwie morskim</w:t>
      </w:r>
      <w:r w:rsidRPr="00DC3F51">
        <w:rPr>
          <w:rFonts w:ascii="Arial" w:hAnsi="Arial" w:cs="Arial"/>
          <w:color w:val="000000"/>
          <w:sz w:val="20"/>
          <w:szCs w:val="20"/>
        </w:rPr>
        <w:t xml:space="preserve"> oraz </w:t>
      </w:r>
      <w:r w:rsidRPr="00DC3F51">
        <w:rPr>
          <w:rFonts w:ascii="Arial" w:hAnsi="Arial" w:cs="Arial"/>
          <w:iCs/>
          <w:color w:val="000000"/>
          <w:sz w:val="20"/>
          <w:szCs w:val="20"/>
        </w:rPr>
        <w:t>rozporządzenia Ministra Rolnictwa</w:t>
      </w:r>
      <w:r w:rsidR="004C6CC5" w:rsidRPr="00DC3F51">
        <w:rPr>
          <w:rFonts w:ascii="Arial" w:hAnsi="Arial" w:cs="Arial"/>
          <w:iCs/>
          <w:color w:val="000000"/>
          <w:sz w:val="20"/>
          <w:szCs w:val="20"/>
        </w:rPr>
        <w:t xml:space="preserve"> i </w:t>
      </w:r>
      <w:r w:rsidRPr="00DC3F51">
        <w:rPr>
          <w:rFonts w:ascii="Arial" w:hAnsi="Arial" w:cs="Arial"/>
          <w:iCs/>
          <w:color w:val="000000"/>
          <w:sz w:val="20"/>
          <w:szCs w:val="20"/>
        </w:rPr>
        <w:t>Rozwoju Wsi</w:t>
      </w:r>
      <w:r w:rsidR="004C6CC5" w:rsidRPr="00DC3F51">
        <w:rPr>
          <w:rFonts w:ascii="Arial" w:hAnsi="Arial" w:cs="Arial"/>
          <w:iCs/>
          <w:color w:val="000000"/>
          <w:sz w:val="20"/>
          <w:szCs w:val="20"/>
        </w:rPr>
        <w:t xml:space="preserve"> z </w:t>
      </w:r>
      <w:r w:rsidRPr="00DC3F51">
        <w:rPr>
          <w:rFonts w:ascii="Arial" w:hAnsi="Arial" w:cs="Arial"/>
          <w:iCs/>
          <w:color w:val="000000"/>
          <w:sz w:val="20"/>
          <w:szCs w:val="20"/>
        </w:rPr>
        <w:t>dnia 22 września 2015</w:t>
      </w:r>
      <w:r w:rsidR="009D01B9" w:rsidRPr="00DC3F51">
        <w:rPr>
          <w:rFonts w:ascii="Arial" w:hAnsi="Arial" w:cs="Arial"/>
          <w:iCs/>
          <w:color w:val="000000"/>
          <w:sz w:val="20"/>
          <w:szCs w:val="20"/>
        </w:rPr>
        <w:t xml:space="preserve"> r.</w:t>
      </w:r>
      <w:r w:rsidR="004C6CC5" w:rsidRPr="00DC3F51">
        <w:rPr>
          <w:rFonts w:ascii="Arial" w:hAnsi="Arial" w:cs="Arial"/>
          <w:iCs/>
          <w:color w:val="000000"/>
          <w:sz w:val="20"/>
          <w:szCs w:val="20"/>
        </w:rPr>
        <w:t xml:space="preserve"> w </w:t>
      </w:r>
      <w:r w:rsidRPr="00DC3F51">
        <w:rPr>
          <w:rFonts w:ascii="Arial" w:hAnsi="Arial" w:cs="Arial"/>
          <w:iCs/>
          <w:color w:val="000000"/>
          <w:sz w:val="20"/>
          <w:szCs w:val="20"/>
        </w:rPr>
        <w:t>sprawie szczegółowego sposobu podziału ogólnych kwot połowowych</w:t>
      </w:r>
      <w:r w:rsidR="004C6CC5" w:rsidRPr="00DC3F51">
        <w:rPr>
          <w:rFonts w:ascii="Arial" w:hAnsi="Arial" w:cs="Arial"/>
          <w:iCs/>
          <w:color w:val="000000"/>
          <w:sz w:val="20"/>
          <w:szCs w:val="20"/>
        </w:rPr>
        <w:t xml:space="preserve"> i </w:t>
      </w:r>
      <w:r w:rsidRPr="00DC3F51">
        <w:rPr>
          <w:rFonts w:ascii="Arial" w:hAnsi="Arial" w:cs="Arial"/>
          <w:iCs/>
          <w:color w:val="000000"/>
          <w:sz w:val="20"/>
          <w:szCs w:val="20"/>
        </w:rPr>
        <w:t>dodatkowych kwot połowowych</w:t>
      </w:r>
      <w:r w:rsidRPr="00DC3F51">
        <w:rPr>
          <w:rFonts w:ascii="Arial" w:hAnsi="Arial" w:cs="Arial"/>
          <w:color w:val="000000"/>
          <w:sz w:val="20"/>
          <w:szCs w:val="20"/>
        </w:rPr>
        <w:t xml:space="preserve">, a także </w:t>
      </w:r>
      <w:r w:rsidRPr="00DC3F51">
        <w:rPr>
          <w:rFonts w:ascii="Arial" w:hAnsi="Arial" w:cs="Arial"/>
          <w:iCs/>
          <w:color w:val="000000"/>
          <w:sz w:val="20"/>
          <w:szCs w:val="20"/>
        </w:rPr>
        <w:t>rozporządzenia Ministra Gospodarki Morskiej</w:t>
      </w:r>
      <w:r w:rsidR="004C6CC5" w:rsidRPr="00DC3F51">
        <w:rPr>
          <w:rFonts w:ascii="Arial" w:hAnsi="Arial" w:cs="Arial"/>
          <w:iCs/>
          <w:color w:val="000000"/>
          <w:sz w:val="20"/>
          <w:szCs w:val="20"/>
        </w:rPr>
        <w:t xml:space="preserve"> i </w:t>
      </w:r>
      <w:r w:rsidRPr="00DC3F51">
        <w:rPr>
          <w:rFonts w:ascii="Arial" w:hAnsi="Arial" w:cs="Arial"/>
          <w:iCs/>
          <w:color w:val="000000"/>
          <w:sz w:val="20"/>
          <w:szCs w:val="20"/>
        </w:rPr>
        <w:t>Żeglugi Śródlądowej</w:t>
      </w:r>
      <w:r w:rsidR="004C6CC5" w:rsidRPr="00DC3F51">
        <w:rPr>
          <w:rFonts w:ascii="Arial" w:hAnsi="Arial" w:cs="Arial"/>
          <w:iCs/>
          <w:color w:val="000000"/>
          <w:sz w:val="20"/>
          <w:szCs w:val="20"/>
        </w:rPr>
        <w:t xml:space="preserve"> z </w:t>
      </w:r>
      <w:r w:rsidRPr="00DC3F51">
        <w:rPr>
          <w:rFonts w:ascii="Arial" w:hAnsi="Arial" w:cs="Arial"/>
          <w:iCs/>
          <w:color w:val="000000"/>
          <w:sz w:val="20"/>
          <w:szCs w:val="20"/>
        </w:rPr>
        <w:t>dnia 14 marca 2019</w:t>
      </w:r>
      <w:r w:rsidR="009D01B9" w:rsidRPr="00DC3F51">
        <w:rPr>
          <w:rFonts w:ascii="Arial" w:hAnsi="Arial" w:cs="Arial"/>
          <w:iCs/>
          <w:color w:val="000000"/>
          <w:sz w:val="20"/>
          <w:szCs w:val="20"/>
        </w:rPr>
        <w:t xml:space="preserve"> r.</w:t>
      </w:r>
      <w:r w:rsidR="004C6CC5" w:rsidRPr="00DC3F51">
        <w:rPr>
          <w:rFonts w:ascii="Arial" w:hAnsi="Arial" w:cs="Arial"/>
          <w:iCs/>
          <w:color w:val="000000"/>
          <w:sz w:val="20"/>
          <w:szCs w:val="20"/>
        </w:rPr>
        <w:t xml:space="preserve"> w </w:t>
      </w:r>
      <w:r w:rsidRPr="00DC3F51">
        <w:rPr>
          <w:rFonts w:ascii="Arial" w:hAnsi="Arial" w:cs="Arial"/>
          <w:iCs/>
          <w:color w:val="000000"/>
          <w:sz w:val="20"/>
          <w:szCs w:val="20"/>
        </w:rPr>
        <w:t>sprawie ustalenia ogólnej kwoty połowowej dobijaka</w:t>
      </w:r>
      <w:r w:rsidR="004C6CC5" w:rsidRPr="00DC3F51">
        <w:rPr>
          <w:rFonts w:ascii="Arial" w:hAnsi="Arial" w:cs="Arial"/>
          <w:iCs/>
          <w:color w:val="000000"/>
          <w:sz w:val="20"/>
          <w:szCs w:val="20"/>
        </w:rPr>
        <w:t xml:space="preserve"> i </w:t>
      </w:r>
      <w:r w:rsidRPr="00DC3F51">
        <w:rPr>
          <w:rFonts w:ascii="Arial" w:hAnsi="Arial" w:cs="Arial"/>
          <w:iCs/>
          <w:color w:val="000000"/>
          <w:sz w:val="20"/>
          <w:szCs w:val="20"/>
        </w:rPr>
        <w:t>tobiasza na rok 2019</w:t>
      </w:r>
      <w:r w:rsidR="00966447">
        <w:rPr>
          <w:rFonts w:ascii="Arial" w:hAnsi="Arial" w:cs="Arial"/>
          <w:color w:val="000000"/>
          <w:sz w:val="20"/>
          <w:szCs w:val="20"/>
        </w:rPr>
        <w:t xml:space="preserve">. </w:t>
      </w:r>
      <w:r w:rsidRPr="004C6CC5">
        <w:rPr>
          <w:rFonts w:ascii="Arial" w:hAnsi="Arial" w:cs="Arial"/>
          <w:color w:val="000000"/>
          <w:sz w:val="20"/>
          <w:szCs w:val="20"/>
        </w:rPr>
        <w:t xml:space="preserve">W celu zapewnienia pokarmu dla gatunku dorsza na gruncie prawa krajowego podtrzymano, </w:t>
      </w:r>
      <w:r w:rsidR="007D6ECC" w:rsidRPr="004C6CC5">
        <w:rPr>
          <w:rFonts w:ascii="Arial" w:hAnsi="Arial" w:cs="Arial"/>
          <w:color w:val="000000"/>
          <w:sz w:val="20"/>
          <w:szCs w:val="20"/>
        </w:rPr>
        <w:t>w</w:t>
      </w:r>
      <w:r w:rsidRPr="004C6CC5">
        <w:rPr>
          <w:rFonts w:ascii="Arial" w:hAnsi="Arial" w:cs="Arial"/>
          <w:color w:val="000000"/>
          <w:sz w:val="20"/>
          <w:szCs w:val="20"/>
        </w:rPr>
        <w:t>prowadzone po raz kolejny limitowanie kwot połowowych na dobijaka</w:t>
      </w:r>
      <w:r w:rsidR="004C6CC5">
        <w:rPr>
          <w:rFonts w:ascii="Arial" w:hAnsi="Arial" w:cs="Arial"/>
          <w:color w:val="000000"/>
          <w:sz w:val="20"/>
          <w:szCs w:val="20"/>
        </w:rPr>
        <w:t xml:space="preserve"> i </w:t>
      </w:r>
      <w:r w:rsidRPr="004C6CC5">
        <w:rPr>
          <w:rFonts w:ascii="Arial" w:hAnsi="Arial" w:cs="Arial"/>
          <w:color w:val="000000"/>
          <w:sz w:val="20"/>
          <w:szCs w:val="20"/>
        </w:rPr>
        <w:t>tobiasza.</w:t>
      </w:r>
    </w:p>
    <w:p w14:paraId="37315C60" w14:textId="77777777" w:rsidR="00176C36" w:rsidRPr="00AD5E4A" w:rsidRDefault="00176C36" w:rsidP="00176C36">
      <w:pPr>
        <w:pStyle w:val="Nagwek2"/>
        <w:rPr>
          <w:rFonts w:ascii="Arial" w:hAnsi="Arial" w:cs="Arial"/>
          <w:b/>
          <w:sz w:val="20"/>
          <w:szCs w:val="20"/>
        </w:rPr>
      </w:pPr>
      <w:bookmarkStart w:id="68" w:name="_Toc72745079"/>
      <w:r w:rsidRPr="00AD5E4A">
        <w:rPr>
          <w:rFonts w:ascii="Arial" w:hAnsi="Arial" w:cs="Arial"/>
          <w:b/>
          <w:color w:val="auto"/>
          <w:sz w:val="20"/>
          <w:szCs w:val="20"/>
        </w:rPr>
        <w:t>Działania w ramach Porozumienia o ochronie małych waleni ASCOBANS</w:t>
      </w:r>
      <w:r>
        <w:rPr>
          <w:rFonts w:ascii="Arial" w:hAnsi="Arial" w:cs="Arial"/>
          <w:b/>
          <w:color w:val="auto"/>
          <w:sz w:val="20"/>
          <w:szCs w:val="20"/>
        </w:rPr>
        <w:t>.</w:t>
      </w:r>
      <w:bookmarkEnd w:id="68"/>
    </w:p>
    <w:p w14:paraId="7BB19FCB" w14:textId="1275AFB1" w:rsidR="00176C36" w:rsidRPr="008D375C" w:rsidRDefault="00332E75" w:rsidP="00176C36">
      <w:pPr>
        <w:spacing w:before="120" w:after="120" w:line="276" w:lineRule="auto"/>
        <w:jc w:val="both"/>
        <w:rPr>
          <w:rFonts w:ascii="Arial" w:hAnsi="Arial" w:cs="Arial"/>
          <w:sz w:val="20"/>
          <w:szCs w:val="20"/>
        </w:rPr>
      </w:pPr>
      <w:r w:rsidRPr="00196CD5">
        <w:rPr>
          <w:rFonts w:ascii="Arial" w:eastAsia="Calibri" w:hAnsi="Arial" w:cs="Arial"/>
          <w:color w:val="000000"/>
          <w:sz w:val="20"/>
          <w:szCs w:val="20"/>
          <w:lang w:eastAsia="pl-PL"/>
        </w:rPr>
        <w:t>Pod nadzorem Ministerstwa Klimatu i Środowiska jako resortu wiodącego</w:t>
      </w:r>
      <w:r w:rsidRPr="008D375C">
        <w:rPr>
          <w:rFonts w:ascii="Arial" w:hAnsi="Arial" w:cs="Arial"/>
          <w:sz w:val="20"/>
          <w:szCs w:val="20"/>
        </w:rPr>
        <w:t xml:space="preserve"> </w:t>
      </w:r>
      <w:r>
        <w:rPr>
          <w:rFonts w:ascii="Arial" w:hAnsi="Arial" w:cs="Arial"/>
          <w:sz w:val="20"/>
          <w:szCs w:val="20"/>
        </w:rPr>
        <w:t>p</w:t>
      </w:r>
      <w:r w:rsidR="00176C36" w:rsidRPr="008D375C">
        <w:rPr>
          <w:rFonts w:ascii="Arial" w:hAnsi="Arial" w:cs="Arial"/>
          <w:sz w:val="20"/>
          <w:szCs w:val="20"/>
        </w:rPr>
        <w:t>rzedstawiciele Ministerstwa Gospodarki Morskiej i Żeglugi Śródlądowej biorą również udział w spotkaniach ASCOBANS (Porozumienie o ochronie małych waleni Bałtyku, Północno-Wschodniego Atlantyku, Morza Północnego i Irlandzkiego) zajmującego się ochroną małych waleni, zwłaszcza w zakresie zagadnień dotyczących przypadkowego połowu małych waleni w sieci rybackie</w:t>
      </w:r>
      <w:r w:rsidR="001252F4">
        <w:rPr>
          <w:rFonts w:ascii="Arial" w:hAnsi="Arial" w:cs="Arial"/>
          <w:sz w:val="20"/>
          <w:szCs w:val="20"/>
        </w:rPr>
        <w:t>,</w:t>
      </w:r>
      <w:r w:rsidR="001252F4" w:rsidRPr="001252F4">
        <w:rPr>
          <w:rFonts w:ascii="Arial" w:eastAsia="Calibri" w:hAnsi="Arial" w:cs="Arial"/>
          <w:color w:val="000000"/>
          <w:sz w:val="20"/>
          <w:szCs w:val="20"/>
          <w:lang w:eastAsia="pl-PL"/>
        </w:rPr>
        <w:t xml:space="preserve"> </w:t>
      </w:r>
      <w:r w:rsidR="001252F4" w:rsidRPr="00196CD5">
        <w:rPr>
          <w:rFonts w:ascii="Arial" w:eastAsia="Calibri" w:hAnsi="Arial" w:cs="Arial"/>
          <w:color w:val="000000"/>
          <w:sz w:val="20"/>
          <w:szCs w:val="20"/>
          <w:lang w:eastAsia="pl-PL"/>
        </w:rPr>
        <w:t>tzw. przyłowu, który został uznany za największe zagrożenie dla waleni pochodzenia antropogenicznego.</w:t>
      </w:r>
      <w:r w:rsidR="00176C36" w:rsidRPr="008D375C">
        <w:rPr>
          <w:rFonts w:ascii="Arial" w:hAnsi="Arial" w:cs="Arial"/>
          <w:sz w:val="20"/>
          <w:szCs w:val="20"/>
        </w:rPr>
        <w:t xml:space="preserve"> </w:t>
      </w:r>
    </w:p>
    <w:p w14:paraId="0DA094B4" w14:textId="3C38C023" w:rsidR="00196CD5" w:rsidRPr="00926394" w:rsidRDefault="00196CD5" w:rsidP="00926394">
      <w:pPr>
        <w:spacing w:after="0" w:line="276" w:lineRule="auto"/>
        <w:jc w:val="both"/>
        <w:rPr>
          <w:rFonts w:ascii="Times New Roman" w:eastAsia="Calibri" w:hAnsi="Times New Roman" w:cs="Times New Roman"/>
          <w:color w:val="000000"/>
          <w:sz w:val="24"/>
          <w:szCs w:val="24"/>
          <w:lang w:eastAsia="pl-PL"/>
        </w:rPr>
      </w:pPr>
      <w:r w:rsidRPr="00196CD5">
        <w:rPr>
          <w:rFonts w:ascii="Arial" w:eastAsia="Calibri" w:hAnsi="Arial" w:cs="Arial"/>
          <w:color w:val="000000"/>
          <w:sz w:val="20"/>
          <w:szCs w:val="20"/>
          <w:lang w:eastAsia="pl-PL"/>
        </w:rPr>
        <w:t>Ponadto, ASCOBANS analizuje i poszukuje rozwiązań w odniesieniu do ograniczania oddziaływania człowieka na małe walenie, zarówno od strony rybołówstwa (przyłów), zanieczyszczenia, transportu morskiego (zanieczyszczenie i hałas), turystyki (hałas, zanieczyszczenie morza)</w:t>
      </w:r>
      <w:r w:rsidR="00E61EFC">
        <w:rPr>
          <w:rFonts w:ascii="Arial" w:eastAsia="Calibri" w:hAnsi="Arial" w:cs="Arial"/>
          <w:color w:val="000000"/>
          <w:sz w:val="20"/>
          <w:szCs w:val="20"/>
          <w:lang w:eastAsia="pl-PL"/>
        </w:rPr>
        <w:t>,</w:t>
      </w:r>
      <w:r w:rsidRPr="00196CD5">
        <w:rPr>
          <w:rFonts w:ascii="Arial" w:eastAsia="Calibri" w:hAnsi="Arial" w:cs="Arial"/>
          <w:color w:val="000000"/>
          <w:sz w:val="20"/>
          <w:szCs w:val="20"/>
          <w:lang w:eastAsia="pl-PL"/>
        </w:rPr>
        <w:t xml:space="preserve"> czy przedsięwziąć infrastrukturalnych na morzu jak sztuczne wyspy</w:t>
      </w:r>
      <w:r w:rsidR="00E61EFC">
        <w:rPr>
          <w:rFonts w:ascii="Arial" w:eastAsia="Calibri" w:hAnsi="Arial" w:cs="Arial"/>
          <w:color w:val="000000"/>
          <w:sz w:val="20"/>
          <w:szCs w:val="20"/>
          <w:lang w:eastAsia="pl-PL"/>
        </w:rPr>
        <w:t>,</w:t>
      </w:r>
      <w:r w:rsidR="00187556">
        <w:rPr>
          <w:rFonts w:ascii="Arial" w:eastAsia="Calibri" w:hAnsi="Arial" w:cs="Arial"/>
          <w:color w:val="000000"/>
          <w:sz w:val="20"/>
          <w:szCs w:val="20"/>
          <w:lang w:eastAsia="pl-PL"/>
        </w:rPr>
        <w:t xml:space="preserve"> czy farmy wiatrowe. </w:t>
      </w:r>
      <w:r w:rsidRPr="00196CD5">
        <w:rPr>
          <w:rFonts w:ascii="Arial" w:eastAsia="Calibri" w:hAnsi="Arial" w:cs="Arial"/>
          <w:color w:val="000000"/>
          <w:sz w:val="20"/>
          <w:szCs w:val="20"/>
          <w:lang w:eastAsia="pl-PL"/>
        </w:rPr>
        <w:t>W 2019 r. przedstawiciele</w:t>
      </w:r>
      <w:r w:rsidR="00AA0689">
        <w:rPr>
          <w:rFonts w:ascii="Arial" w:eastAsia="Calibri" w:hAnsi="Arial" w:cs="Arial"/>
          <w:color w:val="000000"/>
          <w:sz w:val="20"/>
          <w:szCs w:val="20"/>
          <w:lang w:eastAsia="pl-PL"/>
        </w:rPr>
        <w:t xml:space="preserve"> </w:t>
      </w:r>
      <w:r w:rsidR="00E95960">
        <w:rPr>
          <w:rFonts w:ascii="Arial" w:eastAsia="Calibri" w:hAnsi="Arial" w:cs="Arial"/>
          <w:color w:val="000000"/>
          <w:sz w:val="20"/>
          <w:szCs w:val="20"/>
          <w:lang w:eastAsia="pl-PL"/>
        </w:rPr>
        <w:t>Ministerstwa</w:t>
      </w:r>
      <w:r w:rsidR="00AA0689" w:rsidRPr="00196CD5">
        <w:rPr>
          <w:rFonts w:ascii="Arial" w:eastAsia="Calibri" w:hAnsi="Arial" w:cs="Arial"/>
          <w:color w:val="000000"/>
          <w:sz w:val="20"/>
          <w:szCs w:val="20"/>
          <w:lang w:eastAsia="pl-PL"/>
        </w:rPr>
        <w:t xml:space="preserve"> Środowiska</w:t>
      </w:r>
      <w:r w:rsidR="00E95960">
        <w:rPr>
          <w:rFonts w:ascii="Arial" w:eastAsia="Calibri" w:hAnsi="Arial" w:cs="Arial"/>
          <w:bCs/>
          <w:color w:val="000000"/>
          <w:sz w:val="20"/>
          <w:szCs w:val="20"/>
          <w:lang w:eastAsia="pl-PL"/>
        </w:rPr>
        <w:t>/</w:t>
      </w:r>
      <w:r w:rsidR="00E95960" w:rsidRPr="00E95960">
        <w:rPr>
          <w:rFonts w:ascii="Arial" w:eastAsia="Calibri" w:hAnsi="Arial" w:cs="Arial"/>
          <w:bCs/>
          <w:color w:val="000000"/>
          <w:sz w:val="20"/>
          <w:szCs w:val="20"/>
          <w:lang w:eastAsia="pl-PL"/>
        </w:rPr>
        <w:t>/M</w:t>
      </w:r>
      <w:r w:rsidR="00E95960">
        <w:rPr>
          <w:rFonts w:ascii="Arial" w:eastAsia="Calibri" w:hAnsi="Arial" w:cs="Arial"/>
          <w:bCs/>
          <w:color w:val="000000"/>
          <w:sz w:val="20"/>
          <w:szCs w:val="20"/>
          <w:lang w:eastAsia="pl-PL"/>
        </w:rPr>
        <w:t>inisterstwa</w:t>
      </w:r>
      <w:r w:rsidR="00E95960" w:rsidRPr="00E95960">
        <w:rPr>
          <w:rFonts w:ascii="Arial" w:eastAsia="Calibri" w:hAnsi="Arial" w:cs="Arial"/>
          <w:bCs/>
          <w:color w:val="000000"/>
          <w:sz w:val="20"/>
          <w:szCs w:val="20"/>
          <w:lang w:eastAsia="pl-PL"/>
        </w:rPr>
        <w:t xml:space="preserve"> Klimatu</w:t>
      </w:r>
      <w:r w:rsidRPr="00196CD5">
        <w:rPr>
          <w:rFonts w:ascii="Arial" w:eastAsia="Calibri" w:hAnsi="Arial" w:cs="Arial"/>
          <w:color w:val="000000"/>
          <w:sz w:val="20"/>
          <w:szCs w:val="20"/>
          <w:lang w:eastAsia="pl-PL"/>
        </w:rPr>
        <w:t xml:space="preserve">, </w:t>
      </w:r>
      <w:r w:rsidR="00AA0689" w:rsidRPr="008D375C">
        <w:rPr>
          <w:rFonts w:ascii="Arial" w:hAnsi="Arial" w:cs="Arial"/>
          <w:sz w:val="20"/>
          <w:szCs w:val="20"/>
        </w:rPr>
        <w:t>Ministerstwa Gospodarki Morskiej i Żeglugi Śródlądowej</w:t>
      </w:r>
      <w:r w:rsidR="00AA0689" w:rsidRPr="00196CD5">
        <w:rPr>
          <w:rFonts w:ascii="Arial" w:eastAsia="Calibri" w:hAnsi="Arial" w:cs="Arial"/>
          <w:color w:val="000000"/>
          <w:sz w:val="20"/>
          <w:szCs w:val="20"/>
          <w:lang w:eastAsia="pl-PL"/>
        </w:rPr>
        <w:t xml:space="preserve"> </w:t>
      </w:r>
      <w:r w:rsidRPr="00196CD5">
        <w:rPr>
          <w:rFonts w:ascii="Arial" w:eastAsia="Calibri" w:hAnsi="Arial" w:cs="Arial"/>
          <w:color w:val="000000"/>
          <w:sz w:val="20"/>
          <w:szCs w:val="20"/>
          <w:lang w:eastAsia="pl-PL"/>
        </w:rPr>
        <w:t>oraz eksperci ze Stacji Morskiej im. Profesora Krzysztofa Skóry w Helu, brali aktywny udział we wszystkich najważniejsz</w:t>
      </w:r>
      <w:r w:rsidR="00E61EFC">
        <w:rPr>
          <w:rFonts w:ascii="Arial" w:eastAsia="Calibri" w:hAnsi="Arial" w:cs="Arial"/>
          <w:color w:val="000000"/>
          <w:sz w:val="20"/>
          <w:szCs w:val="20"/>
          <w:lang w:eastAsia="pl-PL"/>
        </w:rPr>
        <w:t xml:space="preserve">ych spotkaniach Porozumienia, w </w:t>
      </w:r>
      <w:r w:rsidRPr="00196CD5">
        <w:rPr>
          <w:rFonts w:ascii="Arial" w:eastAsia="Calibri" w:hAnsi="Arial" w:cs="Arial"/>
          <w:color w:val="000000"/>
          <w:sz w:val="20"/>
          <w:szCs w:val="20"/>
          <w:lang w:eastAsia="pl-PL"/>
        </w:rPr>
        <w:t>tym w 15. posiedzeniu grupy JASTARNIA (grupa skupiająca się na ochro</w:t>
      </w:r>
      <w:r w:rsidR="00E61EFC">
        <w:rPr>
          <w:rFonts w:ascii="Arial" w:eastAsia="Calibri" w:hAnsi="Arial" w:cs="Arial"/>
          <w:color w:val="000000"/>
          <w:sz w:val="20"/>
          <w:szCs w:val="20"/>
          <w:lang w:eastAsia="pl-PL"/>
        </w:rPr>
        <w:t xml:space="preserve">nie małych waleni – morświnów w </w:t>
      </w:r>
      <w:r w:rsidRPr="00196CD5">
        <w:rPr>
          <w:rFonts w:ascii="Arial" w:eastAsia="Calibri" w:hAnsi="Arial" w:cs="Arial"/>
          <w:color w:val="000000"/>
          <w:sz w:val="20"/>
          <w:szCs w:val="20"/>
          <w:lang w:eastAsia="pl-PL"/>
        </w:rPr>
        <w:t>obszarze Morza Bałtyckiego) w dniach 18-20 marca 2019</w:t>
      </w:r>
      <w:r w:rsidR="00E61EFC">
        <w:rPr>
          <w:rFonts w:ascii="Arial" w:eastAsia="Calibri" w:hAnsi="Arial" w:cs="Arial"/>
          <w:color w:val="000000"/>
          <w:sz w:val="20"/>
          <w:szCs w:val="20"/>
          <w:lang w:eastAsia="pl-PL"/>
        </w:rPr>
        <w:t xml:space="preserve"> r. w Turku, Finlandia</w:t>
      </w:r>
      <w:r w:rsidRPr="00196CD5">
        <w:rPr>
          <w:rFonts w:ascii="Arial" w:eastAsia="Calibri" w:hAnsi="Arial" w:cs="Arial"/>
          <w:color w:val="000000"/>
          <w:sz w:val="20"/>
          <w:szCs w:val="20"/>
          <w:lang w:eastAsia="pl-PL"/>
        </w:rPr>
        <w:t xml:space="preserve"> oraz 25. Komitecie Doradczym ASCOBANS AC (17-19 września 2019 r., Stralsund, Niemcy).</w:t>
      </w:r>
    </w:p>
    <w:p w14:paraId="00925F79" w14:textId="43E3677C" w:rsidR="0054248C" w:rsidRPr="0054248C" w:rsidRDefault="0054248C" w:rsidP="0054248C">
      <w:pPr>
        <w:pStyle w:val="Nagwek2"/>
        <w:spacing w:before="120" w:after="120"/>
        <w:rPr>
          <w:rFonts w:ascii="Arial" w:hAnsi="Arial" w:cs="Arial"/>
          <w:b/>
          <w:color w:val="auto"/>
          <w:sz w:val="20"/>
          <w:szCs w:val="20"/>
        </w:rPr>
      </w:pPr>
      <w:bookmarkStart w:id="69" w:name="_Toc72745080"/>
      <w:r w:rsidRPr="0054248C">
        <w:rPr>
          <w:rFonts w:ascii="Arial" w:hAnsi="Arial" w:cs="Arial"/>
          <w:b/>
          <w:color w:val="auto"/>
          <w:sz w:val="20"/>
          <w:szCs w:val="20"/>
        </w:rPr>
        <w:t>Przetwórstwo ryb</w:t>
      </w:r>
      <w:r w:rsidR="00A308B9" w:rsidRPr="00A308B9">
        <w:rPr>
          <w:rFonts w:ascii="Arial" w:hAnsi="Arial" w:cs="Arial"/>
          <w:b/>
          <w:color w:val="auto"/>
          <w:sz w:val="20"/>
          <w:szCs w:val="20"/>
        </w:rPr>
        <w:t xml:space="preserve"> </w:t>
      </w:r>
      <w:r w:rsidR="00A308B9" w:rsidRPr="00DC3F51">
        <w:rPr>
          <w:rFonts w:ascii="Arial" w:hAnsi="Arial" w:cs="Arial"/>
          <w:b/>
          <w:color w:val="auto"/>
          <w:sz w:val="20"/>
          <w:szCs w:val="20"/>
        </w:rPr>
        <w:t>w Polsce w 2019 r.</w:t>
      </w:r>
      <w:bookmarkEnd w:id="69"/>
    </w:p>
    <w:p w14:paraId="5B2835EE" w14:textId="364C9A7D" w:rsidR="009B45D4" w:rsidRDefault="009B45D4" w:rsidP="006759A4">
      <w:pPr>
        <w:pStyle w:val="NormalnyWeb"/>
        <w:spacing w:before="120" w:beforeAutospacing="0" w:after="120" w:afterAutospacing="0" w:line="276" w:lineRule="auto"/>
        <w:jc w:val="both"/>
        <w:rPr>
          <w:rFonts w:ascii="Arial" w:hAnsi="Arial" w:cs="Arial"/>
          <w:color w:val="000000"/>
          <w:sz w:val="20"/>
          <w:szCs w:val="20"/>
        </w:rPr>
      </w:pPr>
      <w:r w:rsidRPr="009B45D4">
        <w:rPr>
          <w:rFonts w:ascii="Arial" w:hAnsi="Arial" w:cs="Arial"/>
          <w:color w:val="000000"/>
          <w:sz w:val="20"/>
          <w:szCs w:val="20"/>
        </w:rPr>
        <w:t xml:space="preserve">Na koniec września 2019 r. przetwórstwem ryb w kraju zajmowało się 240 zakładów dopuszczonych do handlu wewnątrz Wspólnoty, spośród których 67 posiadało uprawnienia do sprzedaży produktów rybołówstwa na rynki państw trzecich, tj. aż o 16 mniej niż rok wcześniej. Wielkość i wartość produkcji przetwórstwa rybnego systematycznie zwiększa się w ostatnich latach. W 2019 r. zakłady przetwórstwa rybnego wyprodukowały 588,4 tys. ton produktów rybnych o wartości blisko 12 mld zł. W strukturze produkcji dominowały ryby przetworzone lub zakonserwowane (272 tys. ton), filety świeże i mrożone (115 tys. ton) oraz ryby wędzone (85 tys. ton). Wydajność pracy w przetwórstwie ryb w 2019 r. przekroczyła średnią w przemyśle spożywczym, a produktywność zarówno majątku ogółem, jak </w:t>
      </w:r>
      <w:r w:rsidR="00AD48F5">
        <w:rPr>
          <w:rFonts w:ascii="Arial" w:hAnsi="Arial" w:cs="Arial"/>
          <w:color w:val="000000"/>
          <w:sz w:val="20"/>
          <w:szCs w:val="20"/>
        </w:rPr>
        <w:br/>
      </w:r>
      <w:r w:rsidRPr="009B45D4">
        <w:rPr>
          <w:rFonts w:ascii="Arial" w:hAnsi="Arial" w:cs="Arial"/>
          <w:color w:val="000000"/>
          <w:sz w:val="20"/>
          <w:szCs w:val="20"/>
        </w:rPr>
        <w:t xml:space="preserve">i majątku trwałego była wyraźnie większa od średniej w całym przemyśle spożywczym. Sytuacja ekonomiczno - finansowa przedsiębiorstw przemysłu rybnego pogorszyła się, ale stan finansowy przedsiębiorstw oceniany był na względnie bezpieczny, o czym świadczył m.in. wysoki udział środków własnych oraz wskaźnik bieżącej płynności finansowej. Zakłady przetwórcze zatrudniały ok. 16,5 tys. osób. </w:t>
      </w:r>
    </w:p>
    <w:p w14:paraId="44F47D54" w14:textId="392F2146" w:rsidR="00DF625D" w:rsidRDefault="001D28EA" w:rsidP="006759A4">
      <w:pPr>
        <w:pStyle w:val="NormalnyWeb"/>
        <w:spacing w:before="120" w:beforeAutospacing="0" w:after="120" w:afterAutospacing="0" w:line="276" w:lineRule="auto"/>
        <w:jc w:val="both"/>
        <w:rPr>
          <w:rFonts w:ascii="Arial" w:hAnsi="Arial" w:cs="Arial"/>
          <w:b/>
          <w:color w:val="000000"/>
          <w:sz w:val="20"/>
          <w:szCs w:val="20"/>
        </w:rPr>
      </w:pPr>
      <w:r>
        <w:rPr>
          <w:rFonts w:ascii="Arial" w:hAnsi="Arial" w:cs="Arial"/>
          <w:b/>
          <w:color w:val="000000"/>
          <w:sz w:val="20"/>
          <w:szCs w:val="20"/>
        </w:rPr>
        <w:t>Konsumpcja ryb</w:t>
      </w:r>
      <w:r w:rsidRPr="001D28EA">
        <w:rPr>
          <w:rFonts w:ascii="Arial" w:hAnsi="Arial" w:cs="Arial"/>
          <w:b/>
          <w:sz w:val="20"/>
          <w:szCs w:val="20"/>
        </w:rPr>
        <w:t xml:space="preserve"> </w:t>
      </w:r>
      <w:r w:rsidRPr="00DC3F51">
        <w:rPr>
          <w:rFonts w:ascii="Arial" w:hAnsi="Arial" w:cs="Arial"/>
          <w:b/>
          <w:sz w:val="20"/>
          <w:szCs w:val="20"/>
        </w:rPr>
        <w:t>w Polsce w 2019 r.</w:t>
      </w:r>
    </w:p>
    <w:p w14:paraId="562458ED" w14:textId="13801B5A" w:rsidR="009B45D4" w:rsidRPr="00DF625D" w:rsidRDefault="009B45D4" w:rsidP="006759A4">
      <w:pPr>
        <w:pStyle w:val="NormalnyWeb"/>
        <w:spacing w:before="120" w:beforeAutospacing="0" w:after="120" w:afterAutospacing="0" w:line="276" w:lineRule="auto"/>
        <w:jc w:val="both"/>
        <w:rPr>
          <w:rFonts w:ascii="Arial" w:hAnsi="Arial" w:cs="Arial"/>
          <w:color w:val="000000"/>
          <w:sz w:val="20"/>
          <w:szCs w:val="20"/>
        </w:rPr>
      </w:pPr>
      <w:r w:rsidRPr="009B45D4">
        <w:rPr>
          <w:rFonts w:ascii="Arial" w:hAnsi="Arial" w:cs="Arial"/>
          <w:color w:val="000000"/>
          <w:sz w:val="20"/>
          <w:szCs w:val="20"/>
        </w:rPr>
        <w:t>Spożycie ryb i owoców morza w Polsce w 2019 r. oszacowano na poziomie 13,11</w:t>
      </w:r>
      <w:r>
        <w:rPr>
          <w:rFonts w:ascii="Arial" w:hAnsi="Arial" w:cs="Arial"/>
          <w:color w:val="000000"/>
          <w:sz w:val="20"/>
          <w:szCs w:val="20"/>
        </w:rPr>
        <w:t xml:space="preserve"> kg na </w:t>
      </w:r>
      <w:r w:rsidRPr="009B45D4">
        <w:rPr>
          <w:rFonts w:ascii="Arial" w:hAnsi="Arial" w:cs="Arial"/>
          <w:color w:val="000000"/>
          <w:sz w:val="20"/>
          <w:szCs w:val="20"/>
        </w:rPr>
        <w:t>osobę. Najchętniej kupowane gatunki to: śledzie (2,64 kg/</w:t>
      </w:r>
      <w:r>
        <w:rPr>
          <w:rFonts w:ascii="Arial" w:hAnsi="Arial" w:cs="Arial"/>
          <w:color w:val="000000"/>
          <w:sz w:val="20"/>
          <w:szCs w:val="20"/>
        </w:rPr>
        <w:t>osobę, mintaje (2,03 kg/osobę)</w:t>
      </w:r>
      <w:r w:rsidRPr="009B45D4">
        <w:rPr>
          <w:rFonts w:ascii="Arial" w:hAnsi="Arial" w:cs="Arial"/>
          <w:color w:val="000000"/>
          <w:sz w:val="20"/>
          <w:szCs w:val="20"/>
        </w:rPr>
        <w:t xml:space="preserve"> oraz makrele (1,33 kg/osobę). </w:t>
      </w:r>
    </w:p>
    <w:p w14:paraId="127CA6D3" w14:textId="379A6490" w:rsidR="00483576" w:rsidRPr="00DC3F51" w:rsidRDefault="00483576" w:rsidP="006759A4">
      <w:pPr>
        <w:pStyle w:val="Nagwek2"/>
        <w:spacing w:before="120" w:after="120"/>
        <w:rPr>
          <w:rFonts w:ascii="Arial" w:hAnsi="Arial" w:cs="Arial"/>
          <w:b/>
          <w:sz w:val="20"/>
          <w:szCs w:val="20"/>
        </w:rPr>
      </w:pPr>
      <w:bookmarkStart w:id="70" w:name="_Toc72745081"/>
      <w:r w:rsidRPr="00DC3F51">
        <w:rPr>
          <w:rFonts w:ascii="Arial" w:hAnsi="Arial" w:cs="Arial"/>
          <w:b/>
          <w:color w:val="auto"/>
          <w:sz w:val="20"/>
          <w:szCs w:val="20"/>
        </w:rPr>
        <w:t>Popularyzacja produktów rybnych wśród konsumentów</w:t>
      </w:r>
      <w:r w:rsidR="007D6ECC" w:rsidRPr="00DC3F51">
        <w:rPr>
          <w:rFonts w:ascii="Arial" w:hAnsi="Arial" w:cs="Arial"/>
          <w:b/>
          <w:color w:val="auto"/>
          <w:sz w:val="20"/>
          <w:szCs w:val="20"/>
        </w:rPr>
        <w:t>.</w:t>
      </w:r>
      <w:bookmarkEnd w:id="70"/>
    </w:p>
    <w:p w14:paraId="24835604" w14:textId="20A55F97" w:rsidR="002606FF" w:rsidRPr="004C6CC5" w:rsidRDefault="00483576" w:rsidP="006759A4">
      <w:pPr>
        <w:pStyle w:val="NormalnyWeb"/>
        <w:spacing w:before="120" w:beforeAutospacing="0" w:after="120" w:afterAutospacing="0" w:line="276" w:lineRule="auto"/>
        <w:jc w:val="both"/>
        <w:rPr>
          <w:rFonts w:ascii="Arial" w:hAnsi="Arial" w:cs="Arial"/>
          <w:color w:val="000000"/>
          <w:sz w:val="20"/>
          <w:szCs w:val="20"/>
        </w:rPr>
      </w:pPr>
      <w:r w:rsidRPr="004C6CC5">
        <w:rPr>
          <w:rFonts w:ascii="Arial" w:hAnsi="Arial" w:cs="Arial"/>
          <w:color w:val="000000"/>
          <w:sz w:val="20"/>
          <w:szCs w:val="20"/>
        </w:rPr>
        <w:t>W latach 2017</w:t>
      </w:r>
      <w:r w:rsidR="00961A4B">
        <w:rPr>
          <w:rFonts w:ascii="Arial" w:hAnsi="Arial" w:cs="Arial"/>
          <w:color w:val="000000"/>
          <w:sz w:val="20"/>
          <w:szCs w:val="20"/>
        </w:rPr>
        <w:t xml:space="preserve"> </w:t>
      </w:r>
      <w:r w:rsidRPr="004C6CC5">
        <w:rPr>
          <w:rFonts w:ascii="Arial" w:hAnsi="Arial" w:cs="Arial"/>
          <w:color w:val="000000"/>
          <w:sz w:val="20"/>
          <w:szCs w:val="20"/>
        </w:rPr>
        <w:t>-</w:t>
      </w:r>
      <w:r w:rsidR="00961A4B">
        <w:rPr>
          <w:rFonts w:ascii="Arial" w:hAnsi="Arial" w:cs="Arial"/>
          <w:color w:val="000000"/>
          <w:sz w:val="20"/>
          <w:szCs w:val="20"/>
        </w:rPr>
        <w:t xml:space="preserve"> </w:t>
      </w:r>
      <w:r w:rsidRPr="004C6CC5">
        <w:rPr>
          <w:rFonts w:ascii="Arial" w:hAnsi="Arial" w:cs="Arial"/>
          <w:color w:val="000000"/>
          <w:sz w:val="20"/>
          <w:szCs w:val="20"/>
        </w:rPr>
        <w:t>2019</w:t>
      </w:r>
      <w:r w:rsidR="009D01B9" w:rsidRPr="004C6CC5">
        <w:rPr>
          <w:rFonts w:ascii="Arial" w:hAnsi="Arial" w:cs="Arial"/>
          <w:color w:val="000000"/>
          <w:sz w:val="20"/>
          <w:szCs w:val="20"/>
        </w:rPr>
        <w:t xml:space="preserve"> r. </w:t>
      </w:r>
      <w:r w:rsidRPr="004C6CC5">
        <w:rPr>
          <w:rFonts w:ascii="Arial" w:hAnsi="Arial" w:cs="Arial"/>
          <w:color w:val="000000"/>
          <w:sz w:val="20"/>
          <w:szCs w:val="20"/>
        </w:rPr>
        <w:t>przedstawiciele branży rybnej</w:t>
      </w:r>
      <w:r w:rsidR="004C6CC5">
        <w:rPr>
          <w:rFonts w:ascii="Arial" w:hAnsi="Arial" w:cs="Arial"/>
          <w:color w:val="000000"/>
          <w:sz w:val="20"/>
          <w:szCs w:val="20"/>
        </w:rPr>
        <w:t xml:space="preserve"> w </w:t>
      </w:r>
      <w:r w:rsidRPr="004C6CC5">
        <w:rPr>
          <w:rFonts w:ascii="Arial" w:hAnsi="Arial" w:cs="Arial"/>
          <w:color w:val="000000"/>
          <w:sz w:val="20"/>
          <w:szCs w:val="20"/>
        </w:rPr>
        <w:t>Polsce uczestniczyli</w:t>
      </w:r>
      <w:r w:rsidR="004C6CC5">
        <w:rPr>
          <w:rFonts w:ascii="Arial" w:hAnsi="Arial" w:cs="Arial"/>
          <w:color w:val="000000"/>
          <w:sz w:val="20"/>
          <w:szCs w:val="20"/>
        </w:rPr>
        <w:t xml:space="preserve"> </w:t>
      </w:r>
      <w:r w:rsidR="002606FF">
        <w:rPr>
          <w:rFonts w:ascii="Arial" w:hAnsi="Arial" w:cs="Arial"/>
          <w:color w:val="000000"/>
          <w:sz w:val="20"/>
          <w:szCs w:val="20"/>
        </w:rPr>
        <w:t xml:space="preserve">m.in. </w:t>
      </w:r>
      <w:r w:rsidR="004C6CC5">
        <w:rPr>
          <w:rFonts w:ascii="Arial" w:hAnsi="Arial" w:cs="Arial"/>
          <w:color w:val="000000"/>
          <w:sz w:val="20"/>
          <w:szCs w:val="20"/>
        </w:rPr>
        <w:t>w </w:t>
      </w:r>
      <w:r w:rsidRPr="004C6CC5">
        <w:rPr>
          <w:rFonts w:ascii="Arial" w:hAnsi="Arial" w:cs="Arial"/>
          <w:color w:val="000000"/>
          <w:sz w:val="20"/>
          <w:szCs w:val="20"/>
        </w:rPr>
        <w:t>międzynarodowych targach „Seafood Expo Global”</w:t>
      </w:r>
      <w:r w:rsidR="002606FF">
        <w:rPr>
          <w:rFonts w:ascii="Arial" w:hAnsi="Arial" w:cs="Arial"/>
          <w:color w:val="000000"/>
          <w:sz w:val="20"/>
          <w:szCs w:val="20"/>
        </w:rPr>
        <w:t xml:space="preserve"> w </w:t>
      </w:r>
      <w:r w:rsidRPr="004C6CC5">
        <w:rPr>
          <w:rFonts w:ascii="Arial" w:hAnsi="Arial" w:cs="Arial"/>
          <w:color w:val="000000"/>
          <w:sz w:val="20"/>
          <w:szCs w:val="20"/>
        </w:rPr>
        <w:t>Brukseli. Znaczący potencjał zakładów przetwórczych branży rybnej (wartość produkcji szacowana jest na 11,7 mld zł), wymaga stałego poszukiwania nowych dostawców</w:t>
      </w:r>
      <w:r w:rsidR="002606FF">
        <w:rPr>
          <w:rFonts w:ascii="Arial" w:hAnsi="Arial" w:cs="Arial"/>
          <w:color w:val="000000"/>
          <w:sz w:val="20"/>
          <w:szCs w:val="20"/>
        </w:rPr>
        <w:t xml:space="preserve"> i </w:t>
      </w:r>
      <w:r w:rsidRPr="004C6CC5">
        <w:rPr>
          <w:rFonts w:ascii="Arial" w:hAnsi="Arial" w:cs="Arial"/>
          <w:color w:val="000000"/>
          <w:sz w:val="20"/>
          <w:szCs w:val="20"/>
        </w:rPr>
        <w:t>odbiorców na rynkach światowych. Ponadto organizacje producentów</w:t>
      </w:r>
      <w:r w:rsidR="004C6CC5">
        <w:rPr>
          <w:rFonts w:ascii="Arial" w:hAnsi="Arial" w:cs="Arial"/>
          <w:color w:val="000000"/>
          <w:sz w:val="20"/>
          <w:szCs w:val="20"/>
        </w:rPr>
        <w:t xml:space="preserve"> i </w:t>
      </w:r>
      <w:r w:rsidRPr="004C6CC5">
        <w:rPr>
          <w:rFonts w:ascii="Arial" w:hAnsi="Arial" w:cs="Arial"/>
          <w:color w:val="000000"/>
          <w:sz w:val="20"/>
          <w:szCs w:val="20"/>
        </w:rPr>
        <w:t>sto</w:t>
      </w:r>
      <w:r w:rsidR="002606FF">
        <w:rPr>
          <w:rFonts w:ascii="Arial" w:hAnsi="Arial" w:cs="Arial"/>
          <w:color w:val="000000"/>
          <w:sz w:val="20"/>
          <w:szCs w:val="20"/>
        </w:rPr>
        <w:t>warzyszenia</w:t>
      </w:r>
      <w:r w:rsidR="00961A4B">
        <w:rPr>
          <w:rFonts w:ascii="Arial" w:hAnsi="Arial" w:cs="Arial"/>
          <w:color w:val="000000"/>
          <w:sz w:val="20"/>
          <w:szCs w:val="20"/>
        </w:rPr>
        <w:t xml:space="preserve"> realizowały własne</w:t>
      </w:r>
      <w:r w:rsidRPr="004C6CC5">
        <w:rPr>
          <w:rFonts w:ascii="Arial" w:hAnsi="Arial" w:cs="Arial"/>
          <w:color w:val="000000"/>
          <w:sz w:val="20"/>
          <w:szCs w:val="20"/>
        </w:rPr>
        <w:t xml:space="preserve"> kampanie promujące spożycie ryb. Dzia</w:t>
      </w:r>
      <w:r w:rsidR="00961A4B">
        <w:rPr>
          <w:rFonts w:ascii="Arial" w:hAnsi="Arial" w:cs="Arial"/>
          <w:color w:val="000000"/>
          <w:sz w:val="20"/>
          <w:szCs w:val="20"/>
        </w:rPr>
        <w:t xml:space="preserve">łania te były </w:t>
      </w:r>
      <w:r w:rsidR="00961A4B">
        <w:rPr>
          <w:rFonts w:ascii="Arial" w:hAnsi="Arial" w:cs="Arial"/>
          <w:color w:val="000000"/>
          <w:sz w:val="20"/>
          <w:szCs w:val="20"/>
        </w:rPr>
        <w:lastRenderedPageBreak/>
        <w:t>współfinansowane</w:t>
      </w:r>
      <w:r w:rsidRPr="004C6CC5">
        <w:rPr>
          <w:rFonts w:ascii="Arial" w:hAnsi="Arial" w:cs="Arial"/>
          <w:color w:val="000000"/>
          <w:sz w:val="20"/>
          <w:szCs w:val="20"/>
        </w:rPr>
        <w:t xml:space="preserve"> ze środków Europejskiego Funduszu Morskiego</w:t>
      </w:r>
      <w:r w:rsidR="004C6CC5">
        <w:rPr>
          <w:rFonts w:ascii="Arial" w:hAnsi="Arial" w:cs="Arial"/>
          <w:color w:val="000000"/>
          <w:sz w:val="20"/>
          <w:szCs w:val="20"/>
        </w:rPr>
        <w:t xml:space="preserve"> i </w:t>
      </w:r>
      <w:r w:rsidRPr="004C6CC5">
        <w:rPr>
          <w:rFonts w:ascii="Arial" w:hAnsi="Arial" w:cs="Arial"/>
          <w:color w:val="000000"/>
          <w:sz w:val="20"/>
          <w:szCs w:val="20"/>
        </w:rPr>
        <w:t>Rybackiego (EFMR),</w:t>
      </w:r>
      <w:r w:rsidR="004C6CC5">
        <w:rPr>
          <w:rFonts w:ascii="Arial" w:hAnsi="Arial" w:cs="Arial"/>
          <w:color w:val="000000"/>
          <w:sz w:val="20"/>
          <w:szCs w:val="20"/>
        </w:rPr>
        <w:t xml:space="preserve"> w </w:t>
      </w:r>
      <w:r w:rsidRPr="004C6CC5">
        <w:rPr>
          <w:rFonts w:ascii="Arial" w:hAnsi="Arial" w:cs="Arial"/>
          <w:color w:val="000000"/>
          <w:sz w:val="20"/>
          <w:szCs w:val="20"/>
        </w:rPr>
        <w:t>ramach Priorytetu 5. „Wspieranie obrotu</w:t>
      </w:r>
      <w:r w:rsidR="004C6CC5">
        <w:rPr>
          <w:rFonts w:ascii="Arial" w:hAnsi="Arial" w:cs="Arial"/>
          <w:color w:val="000000"/>
          <w:sz w:val="20"/>
          <w:szCs w:val="20"/>
        </w:rPr>
        <w:t xml:space="preserve"> i </w:t>
      </w:r>
      <w:r w:rsidRPr="004C6CC5">
        <w:rPr>
          <w:rFonts w:ascii="Arial" w:hAnsi="Arial" w:cs="Arial"/>
          <w:color w:val="000000"/>
          <w:sz w:val="20"/>
          <w:szCs w:val="20"/>
        </w:rPr>
        <w:t>przetwarzania”, zawartego</w:t>
      </w:r>
      <w:r w:rsidR="004C6CC5">
        <w:rPr>
          <w:rFonts w:ascii="Arial" w:hAnsi="Arial" w:cs="Arial"/>
          <w:color w:val="000000"/>
          <w:sz w:val="20"/>
          <w:szCs w:val="20"/>
        </w:rPr>
        <w:t xml:space="preserve"> w </w:t>
      </w:r>
      <w:r w:rsidRPr="004C6CC5">
        <w:rPr>
          <w:rFonts w:ascii="Arial" w:hAnsi="Arial" w:cs="Arial"/>
          <w:color w:val="000000"/>
          <w:sz w:val="20"/>
          <w:szCs w:val="20"/>
        </w:rPr>
        <w:t>Programie Operacyjnym „Rybactwo</w:t>
      </w:r>
      <w:r w:rsidR="004C6CC5">
        <w:rPr>
          <w:rFonts w:ascii="Arial" w:hAnsi="Arial" w:cs="Arial"/>
          <w:color w:val="000000"/>
          <w:sz w:val="20"/>
          <w:szCs w:val="20"/>
        </w:rPr>
        <w:t xml:space="preserve"> i </w:t>
      </w:r>
      <w:r w:rsidRPr="004C6CC5">
        <w:rPr>
          <w:rFonts w:ascii="Arial" w:hAnsi="Arial" w:cs="Arial"/>
          <w:color w:val="000000"/>
          <w:sz w:val="20"/>
          <w:szCs w:val="20"/>
        </w:rPr>
        <w:t>Morze”.  </w:t>
      </w:r>
    </w:p>
    <w:p w14:paraId="728D461D" w14:textId="195E62A4" w:rsidR="00483576" w:rsidRPr="00D25FDA" w:rsidRDefault="00483576" w:rsidP="008E7764">
      <w:pPr>
        <w:pStyle w:val="Nagwek2"/>
        <w:spacing w:before="120" w:after="120"/>
        <w:rPr>
          <w:rFonts w:ascii="Arial" w:hAnsi="Arial" w:cs="Arial"/>
          <w:b/>
          <w:sz w:val="20"/>
          <w:szCs w:val="20"/>
        </w:rPr>
      </w:pPr>
      <w:bookmarkStart w:id="71" w:name="_Toc72745082"/>
      <w:r w:rsidRPr="00D25FDA">
        <w:rPr>
          <w:rFonts w:ascii="Arial" w:hAnsi="Arial" w:cs="Arial"/>
          <w:b/>
          <w:color w:val="auto"/>
          <w:sz w:val="20"/>
          <w:szCs w:val="20"/>
        </w:rPr>
        <w:t>Wspieranie organizacji producenckich</w:t>
      </w:r>
      <w:r w:rsidR="007D6ECC" w:rsidRPr="00D25FDA">
        <w:rPr>
          <w:rFonts w:ascii="Arial" w:hAnsi="Arial" w:cs="Arial"/>
          <w:b/>
          <w:color w:val="auto"/>
          <w:sz w:val="20"/>
          <w:szCs w:val="20"/>
        </w:rPr>
        <w:t>.</w:t>
      </w:r>
      <w:bookmarkEnd w:id="71"/>
    </w:p>
    <w:p w14:paraId="212B6CCC" w14:textId="4A195BE8" w:rsidR="008E71D5" w:rsidRPr="000926E0" w:rsidRDefault="008E71D5" w:rsidP="000926E0">
      <w:pPr>
        <w:spacing w:line="276" w:lineRule="auto"/>
        <w:jc w:val="both"/>
        <w:rPr>
          <w:rFonts w:ascii="Arial" w:eastAsia="Calibri" w:hAnsi="Arial" w:cs="Arial"/>
          <w:sz w:val="20"/>
          <w:szCs w:val="20"/>
        </w:rPr>
      </w:pPr>
      <w:r w:rsidRPr="008E71D5">
        <w:rPr>
          <w:rFonts w:ascii="Arial" w:eastAsia="Calibri" w:hAnsi="Arial" w:cs="Arial"/>
          <w:sz w:val="20"/>
          <w:szCs w:val="20"/>
        </w:rPr>
        <w:t xml:space="preserve">W końcu 2019 r. funkcjonowało 17 uznanych organizacji producentów produktów rybołówstwa </w:t>
      </w:r>
      <w:r>
        <w:rPr>
          <w:rFonts w:ascii="Arial" w:eastAsia="Calibri" w:hAnsi="Arial" w:cs="Arial"/>
          <w:sz w:val="20"/>
          <w:szCs w:val="20"/>
        </w:rPr>
        <w:br/>
      </w:r>
      <w:r w:rsidRPr="008E71D5">
        <w:rPr>
          <w:rFonts w:ascii="Arial" w:eastAsia="Calibri" w:hAnsi="Arial" w:cs="Arial"/>
          <w:sz w:val="20"/>
          <w:szCs w:val="20"/>
        </w:rPr>
        <w:t xml:space="preserve">i akwakultury, w tym jedna organizacja międzybranżowa. Wszystkie organizacje w 2019 r. realizowały zatwierdzone plany produkcji i obrotu na 2019 rok, zgodnie z art. 30 ustawy z dnia 5 grudnia 2008 r. </w:t>
      </w:r>
      <w:r>
        <w:rPr>
          <w:rFonts w:ascii="Arial" w:eastAsia="Calibri" w:hAnsi="Arial" w:cs="Arial"/>
          <w:sz w:val="20"/>
          <w:szCs w:val="20"/>
        </w:rPr>
        <w:br/>
      </w:r>
      <w:r w:rsidRPr="008E71D5">
        <w:rPr>
          <w:rFonts w:ascii="Arial" w:eastAsia="Calibri" w:hAnsi="Arial" w:cs="Arial"/>
          <w:sz w:val="20"/>
          <w:szCs w:val="20"/>
        </w:rPr>
        <w:t xml:space="preserve">o organizacji rynku rybnego. W 2019 r. zatwierdzono sprawozdania z wykonania planów produkcji </w:t>
      </w:r>
      <w:r>
        <w:rPr>
          <w:rFonts w:ascii="Arial" w:eastAsia="Calibri" w:hAnsi="Arial" w:cs="Arial"/>
          <w:sz w:val="20"/>
          <w:szCs w:val="20"/>
        </w:rPr>
        <w:br/>
      </w:r>
      <w:r w:rsidRPr="008E71D5">
        <w:rPr>
          <w:rFonts w:ascii="Arial" w:eastAsia="Calibri" w:hAnsi="Arial" w:cs="Arial"/>
          <w:sz w:val="20"/>
          <w:szCs w:val="20"/>
        </w:rPr>
        <w:t xml:space="preserve">i obrotu ww. organizacji w 2018 roku. Zatwierdzone plany produkcji i obrotu będą podstawą rozliczenia wsparcia dla organizacji producentów ze środków Europejskiego Funduszu Morskiego i Rybackiego (EFMR), w zakresie działania 5.1 „Plany produkcji i obrotu” w ramach Priorytetu 5. Wspieranie obrotu </w:t>
      </w:r>
      <w:r>
        <w:rPr>
          <w:rFonts w:ascii="Arial" w:eastAsia="Calibri" w:hAnsi="Arial" w:cs="Arial"/>
          <w:sz w:val="20"/>
          <w:szCs w:val="20"/>
        </w:rPr>
        <w:br/>
      </w:r>
      <w:r w:rsidRPr="008E71D5">
        <w:rPr>
          <w:rFonts w:ascii="Arial" w:eastAsia="Calibri" w:hAnsi="Arial" w:cs="Arial"/>
          <w:sz w:val="20"/>
          <w:szCs w:val="20"/>
        </w:rPr>
        <w:t xml:space="preserve">i przetwarzania”, zawartego w Programie Operacyjnym „Rybactwo i Morze”. </w:t>
      </w:r>
    </w:p>
    <w:p w14:paraId="7B4B308A" w14:textId="2504FBAA" w:rsidR="00483576" w:rsidRPr="00D25FDA" w:rsidRDefault="00483576" w:rsidP="008E7764">
      <w:pPr>
        <w:pStyle w:val="Nagwek2"/>
        <w:spacing w:before="120" w:after="120"/>
        <w:rPr>
          <w:rFonts w:ascii="Arial" w:hAnsi="Arial" w:cs="Arial"/>
          <w:b/>
          <w:sz w:val="20"/>
          <w:szCs w:val="20"/>
        </w:rPr>
      </w:pPr>
      <w:bookmarkStart w:id="72" w:name="_Toc72745083"/>
      <w:r w:rsidRPr="00D25FDA">
        <w:rPr>
          <w:rFonts w:ascii="Arial" w:hAnsi="Arial" w:cs="Arial"/>
          <w:b/>
          <w:color w:val="auto"/>
          <w:sz w:val="20"/>
          <w:szCs w:val="20"/>
        </w:rPr>
        <w:t>Wymiana handlowa</w:t>
      </w:r>
      <w:r w:rsidR="00B52C6E">
        <w:rPr>
          <w:rFonts w:ascii="Arial" w:hAnsi="Arial" w:cs="Arial"/>
          <w:b/>
          <w:color w:val="auto"/>
          <w:sz w:val="20"/>
          <w:szCs w:val="20"/>
        </w:rPr>
        <w:t xml:space="preserve"> w 2019 r</w:t>
      </w:r>
      <w:r w:rsidR="007D6ECC" w:rsidRPr="00D25FDA">
        <w:rPr>
          <w:rFonts w:ascii="Arial" w:hAnsi="Arial" w:cs="Arial"/>
          <w:b/>
          <w:color w:val="auto"/>
          <w:sz w:val="20"/>
          <w:szCs w:val="20"/>
        </w:rPr>
        <w:t>.</w:t>
      </w:r>
      <w:bookmarkEnd w:id="72"/>
    </w:p>
    <w:p w14:paraId="1F30B1EE" w14:textId="64DBD538" w:rsidR="005A5FA3" w:rsidRPr="00E74F7B" w:rsidRDefault="005A5FA3" w:rsidP="00E74F7B">
      <w:pPr>
        <w:spacing w:before="120" w:after="120" w:line="276" w:lineRule="auto"/>
        <w:jc w:val="both"/>
        <w:rPr>
          <w:rFonts w:ascii="Arial" w:hAnsi="Arial" w:cs="Arial"/>
          <w:sz w:val="20"/>
          <w:szCs w:val="20"/>
        </w:rPr>
      </w:pPr>
      <w:r w:rsidRPr="005A5FA3">
        <w:rPr>
          <w:rFonts w:ascii="Arial" w:hAnsi="Arial" w:cs="Arial"/>
          <w:sz w:val="20"/>
          <w:szCs w:val="20"/>
        </w:rPr>
        <w:t xml:space="preserve">W 2019 r. wysłano za granicę 543,5 tys. ton ryb i ich przetworów. Wartość eksportu wyniosła 2 300 mln euro, co oznacza wzrost o ponad 100 mln euro w stosunku do roku 2018. W 2019 r. warunki handlu zagranicznego pogorszyły się pod wpływem zahamowania spadku cen podstawowych dla polskiego rynku gatunków ryb importowanych i ich szybkiego wzrostu. Wpłynęło to na osłabienie dynamiki wzrostu sprzedaży głównych grup produktów, przy rosnącej wartości. Eksportowano głównie ryby mrożone, filety, ryby wędzone oraz konserwy. Pod względem gatunków dominowały łososie (wędzone), śledzie </w:t>
      </w:r>
      <w:r w:rsidR="00AD4748">
        <w:rPr>
          <w:rFonts w:ascii="Arial" w:hAnsi="Arial" w:cs="Arial"/>
          <w:sz w:val="20"/>
          <w:szCs w:val="20"/>
        </w:rPr>
        <w:br/>
      </w:r>
      <w:r w:rsidRPr="005A5FA3">
        <w:rPr>
          <w:rFonts w:ascii="Arial" w:hAnsi="Arial" w:cs="Arial"/>
          <w:sz w:val="20"/>
          <w:szCs w:val="20"/>
        </w:rPr>
        <w:t xml:space="preserve">i dorsze. Głównymi rynkami zbytu są kraje UE, głównie Niemcy, Francja, Dania, Wielka Brytania </w:t>
      </w:r>
      <w:r w:rsidR="00C82590">
        <w:rPr>
          <w:rFonts w:ascii="Arial" w:hAnsi="Arial" w:cs="Arial"/>
          <w:sz w:val="20"/>
          <w:szCs w:val="20"/>
        </w:rPr>
        <w:br/>
      </w:r>
      <w:r w:rsidRPr="005A5FA3">
        <w:rPr>
          <w:rFonts w:ascii="Arial" w:hAnsi="Arial" w:cs="Arial"/>
          <w:sz w:val="20"/>
          <w:szCs w:val="20"/>
        </w:rPr>
        <w:t xml:space="preserve">i Włochy. Import ryb i przetworów w 2019 r. wyniósł ponad 607 tys. ton o wartości 2 314 mln euro. </w:t>
      </w:r>
      <w:r w:rsidR="00C82590">
        <w:rPr>
          <w:rFonts w:ascii="Arial" w:hAnsi="Arial" w:cs="Arial"/>
          <w:sz w:val="20"/>
          <w:szCs w:val="20"/>
        </w:rPr>
        <w:br/>
      </w:r>
      <w:r w:rsidRPr="005A5FA3">
        <w:rPr>
          <w:rFonts w:ascii="Arial" w:hAnsi="Arial" w:cs="Arial"/>
          <w:sz w:val="20"/>
          <w:szCs w:val="20"/>
        </w:rPr>
        <w:t xml:space="preserve">W strukturze ilościowej importu dominują produkty o niewielkim stopniu przetworzenia, które </w:t>
      </w:r>
      <w:r w:rsidR="00C82590">
        <w:rPr>
          <w:rFonts w:ascii="Arial" w:hAnsi="Arial" w:cs="Arial"/>
          <w:sz w:val="20"/>
          <w:szCs w:val="20"/>
        </w:rPr>
        <w:br/>
      </w:r>
      <w:r w:rsidRPr="005A5FA3">
        <w:rPr>
          <w:rFonts w:ascii="Arial" w:hAnsi="Arial" w:cs="Arial"/>
          <w:sz w:val="20"/>
          <w:szCs w:val="20"/>
        </w:rPr>
        <w:t xml:space="preserve">w zdecydowanej większości kierowane są do krajowych przetwórni (ryby świeże, chłodzone, mrożone oraz filety i mięso z ryb). Wśród gatunków importowano głównie łososie, śledzie, mintaje, makrele, dorsze i czarniaki. Sprowadzane są głównie ryby morskie. Polska jest importerem ryb głównie </w:t>
      </w:r>
      <w:r w:rsidR="00C82590">
        <w:rPr>
          <w:rFonts w:ascii="Arial" w:hAnsi="Arial" w:cs="Arial"/>
          <w:sz w:val="20"/>
          <w:szCs w:val="20"/>
        </w:rPr>
        <w:br/>
      </w:r>
      <w:r w:rsidRPr="005A5FA3">
        <w:rPr>
          <w:rFonts w:ascii="Arial" w:hAnsi="Arial" w:cs="Arial"/>
          <w:sz w:val="20"/>
          <w:szCs w:val="20"/>
        </w:rPr>
        <w:t>z Norwegii, Szwecji, Niemiec, Rosji, Danii i Chin.</w:t>
      </w:r>
    </w:p>
    <w:p w14:paraId="1A173028" w14:textId="076AFF85" w:rsidR="007D6ECC" w:rsidRPr="0076413E" w:rsidRDefault="007D6ECC" w:rsidP="0076413E">
      <w:pPr>
        <w:pStyle w:val="Nagwek1"/>
        <w:spacing w:before="120" w:after="120"/>
        <w:rPr>
          <w:rFonts w:ascii="Arial" w:hAnsi="Arial" w:cs="Arial"/>
          <w:b/>
          <w:sz w:val="20"/>
          <w:szCs w:val="20"/>
        </w:rPr>
      </w:pPr>
      <w:bookmarkStart w:id="73" w:name="_Toc32492945"/>
      <w:bookmarkStart w:id="74" w:name="_Toc72745084"/>
      <w:r w:rsidRPr="0076413E">
        <w:rPr>
          <w:rFonts w:ascii="Arial" w:hAnsi="Arial" w:cs="Arial"/>
          <w:b/>
          <w:color w:val="auto"/>
          <w:sz w:val="20"/>
          <w:szCs w:val="20"/>
        </w:rPr>
        <w:t>TURYSTYKA</w:t>
      </w:r>
      <w:r w:rsidR="004728DF">
        <w:rPr>
          <w:rFonts w:ascii="Arial" w:hAnsi="Arial" w:cs="Arial"/>
          <w:b/>
          <w:color w:val="auto"/>
          <w:sz w:val="20"/>
          <w:szCs w:val="20"/>
        </w:rPr>
        <w:t xml:space="preserve"> W</w:t>
      </w:r>
      <w:r w:rsidR="004C6CC5" w:rsidRPr="0076413E">
        <w:rPr>
          <w:rFonts w:ascii="Arial" w:hAnsi="Arial" w:cs="Arial"/>
          <w:b/>
          <w:color w:val="auto"/>
          <w:sz w:val="20"/>
          <w:szCs w:val="20"/>
        </w:rPr>
        <w:t> </w:t>
      </w:r>
      <w:r w:rsidRPr="0076413E">
        <w:rPr>
          <w:rFonts w:ascii="Arial" w:hAnsi="Arial" w:cs="Arial"/>
          <w:b/>
          <w:color w:val="auto"/>
          <w:sz w:val="20"/>
          <w:szCs w:val="20"/>
        </w:rPr>
        <w:t>REGIONACH NADMORSKICH</w:t>
      </w:r>
      <w:bookmarkEnd w:id="73"/>
      <w:r w:rsidR="003A0EAF">
        <w:rPr>
          <w:rFonts w:ascii="Arial" w:hAnsi="Arial" w:cs="Arial"/>
          <w:b/>
          <w:color w:val="auto"/>
          <w:sz w:val="20"/>
          <w:szCs w:val="20"/>
        </w:rPr>
        <w:t>.</w:t>
      </w:r>
      <w:bookmarkEnd w:id="74"/>
    </w:p>
    <w:p w14:paraId="25B8C955" w14:textId="499E2329" w:rsidR="00C501EA" w:rsidRPr="00C501EA" w:rsidRDefault="00C501EA" w:rsidP="00C501EA">
      <w:pPr>
        <w:pStyle w:val="Nagwek2"/>
        <w:spacing w:before="120" w:after="120"/>
        <w:rPr>
          <w:rFonts w:ascii="Arial" w:hAnsi="Arial" w:cs="Arial"/>
          <w:b/>
          <w:color w:val="auto"/>
          <w:sz w:val="20"/>
          <w:szCs w:val="20"/>
        </w:rPr>
      </w:pPr>
      <w:bookmarkStart w:id="75" w:name="_Toc72745085"/>
      <w:r w:rsidRPr="00C501EA">
        <w:rPr>
          <w:rFonts w:ascii="Arial" w:hAnsi="Arial" w:cs="Arial"/>
          <w:b/>
          <w:color w:val="auto"/>
          <w:sz w:val="20"/>
          <w:szCs w:val="20"/>
        </w:rPr>
        <w:t>Działalność turystyczna w obszarach nadmorskich</w:t>
      </w:r>
      <w:r w:rsidR="002E527D">
        <w:rPr>
          <w:rFonts w:ascii="Arial" w:hAnsi="Arial" w:cs="Arial"/>
          <w:b/>
          <w:color w:val="auto"/>
          <w:sz w:val="20"/>
          <w:szCs w:val="20"/>
        </w:rPr>
        <w:t xml:space="preserve"> w</w:t>
      </w:r>
      <w:r w:rsidR="002E527D" w:rsidRPr="002E527D">
        <w:rPr>
          <w:rFonts w:ascii="Arial" w:hAnsi="Arial" w:cs="Arial"/>
          <w:b/>
          <w:color w:val="auto"/>
          <w:sz w:val="20"/>
          <w:szCs w:val="20"/>
        </w:rPr>
        <w:t xml:space="preserve"> </w:t>
      </w:r>
      <w:r w:rsidR="002E527D" w:rsidRPr="0076413E">
        <w:rPr>
          <w:rFonts w:ascii="Arial" w:hAnsi="Arial" w:cs="Arial"/>
          <w:b/>
          <w:color w:val="auto"/>
          <w:sz w:val="20"/>
          <w:szCs w:val="20"/>
        </w:rPr>
        <w:t>2019 r.</w:t>
      </w:r>
      <w:bookmarkEnd w:id="75"/>
    </w:p>
    <w:p w14:paraId="4A77585F" w14:textId="77777777" w:rsidR="00AF328C" w:rsidRPr="002C7A99" w:rsidRDefault="00AF328C" w:rsidP="00AF328C">
      <w:pPr>
        <w:spacing w:before="120" w:after="120" w:line="276" w:lineRule="auto"/>
        <w:jc w:val="both"/>
        <w:rPr>
          <w:rFonts w:ascii="Arial" w:hAnsi="Arial" w:cs="Arial"/>
          <w:sz w:val="20"/>
          <w:szCs w:val="20"/>
        </w:rPr>
      </w:pPr>
      <w:r w:rsidRPr="002C7A99">
        <w:rPr>
          <w:rFonts w:ascii="Arial" w:hAnsi="Arial" w:cs="Arial"/>
          <w:sz w:val="20"/>
          <w:szCs w:val="20"/>
        </w:rPr>
        <w:t>Potencjał turystyczny każdego województwa tworzą jego walory przyrodnicze, kulturowe, infrastruktura turystyczna oraz dostępność komunikacyjna. Najczęściej jednak jest on określany poprzez liczbę turystycznych obiektów noclegowych lub też miejsc noclegowych oferowanych turystom, a jego wykorzystanie mierzone jest m.in. poprzez liczbę korzystających, liczbę udzielonych noclegów oraz średnią długość pobytu turystów w obiektach.</w:t>
      </w:r>
    </w:p>
    <w:p w14:paraId="127DFA01" w14:textId="0291A693" w:rsidR="00DB2E61" w:rsidRPr="00DB2E61" w:rsidRDefault="00DB2E61" w:rsidP="00DB2E61">
      <w:pPr>
        <w:spacing w:before="120" w:after="120" w:line="276" w:lineRule="auto"/>
        <w:jc w:val="both"/>
        <w:rPr>
          <w:rFonts w:ascii="Arial" w:hAnsi="Arial" w:cs="Arial"/>
          <w:sz w:val="20"/>
          <w:szCs w:val="20"/>
        </w:rPr>
      </w:pPr>
      <w:r w:rsidRPr="00DB2E61">
        <w:rPr>
          <w:rFonts w:ascii="Arial" w:hAnsi="Arial" w:cs="Arial"/>
          <w:sz w:val="20"/>
          <w:szCs w:val="20"/>
        </w:rPr>
        <w:t>Według metodologii Eurostatu, w Polsce do obszarów nadmorskich zaliczonych zostało 55 gmin.</w:t>
      </w:r>
      <w:r>
        <w:rPr>
          <w:rFonts w:ascii="Arial" w:hAnsi="Arial" w:cs="Arial"/>
          <w:sz w:val="20"/>
          <w:szCs w:val="20"/>
        </w:rPr>
        <w:t xml:space="preserve"> Są one </w:t>
      </w:r>
      <w:r w:rsidRPr="00DB2E61">
        <w:rPr>
          <w:rFonts w:ascii="Arial" w:hAnsi="Arial" w:cs="Arial"/>
          <w:sz w:val="20"/>
          <w:szCs w:val="20"/>
        </w:rPr>
        <w:t>usytuowane nad Morzem Bałtyckim lub pozostają w bezpośredniej bli</w:t>
      </w:r>
      <w:r>
        <w:rPr>
          <w:rFonts w:ascii="Arial" w:hAnsi="Arial" w:cs="Arial"/>
          <w:sz w:val="20"/>
          <w:szCs w:val="20"/>
        </w:rPr>
        <w:t xml:space="preserve">skości morza: 23 gminy położone </w:t>
      </w:r>
      <w:r w:rsidRPr="00DB2E61">
        <w:rPr>
          <w:rFonts w:ascii="Arial" w:hAnsi="Arial" w:cs="Arial"/>
          <w:sz w:val="20"/>
          <w:szCs w:val="20"/>
        </w:rPr>
        <w:t>są w wojew</w:t>
      </w:r>
      <w:r w:rsidR="00EB4FAB">
        <w:rPr>
          <w:rFonts w:ascii="Arial" w:hAnsi="Arial" w:cs="Arial"/>
          <w:sz w:val="20"/>
          <w:szCs w:val="20"/>
        </w:rPr>
        <w:t>ództwie zachodniopomorskim, 26 - w pomorskim oraz 6 -</w:t>
      </w:r>
      <w:r w:rsidRPr="00DB2E61">
        <w:rPr>
          <w:rFonts w:ascii="Arial" w:hAnsi="Arial" w:cs="Arial"/>
          <w:sz w:val="20"/>
          <w:szCs w:val="20"/>
        </w:rPr>
        <w:t xml:space="preserve"> </w:t>
      </w:r>
      <w:r>
        <w:rPr>
          <w:rFonts w:ascii="Arial" w:hAnsi="Arial" w:cs="Arial"/>
          <w:sz w:val="20"/>
          <w:szCs w:val="20"/>
        </w:rPr>
        <w:t xml:space="preserve">w warmińsko-mazurskim. Obejmują </w:t>
      </w:r>
      <w:r w:rsidRPr="00DB2E61">
        <w:rPr>
          <w:rFonts w:ascii="Arial" w:hAnsi="Arial" w:cs="Arial"/>
          <w:sz w:val="20"/>
          <w:szCs w:val="20"/>
        </w:rPr>
        <w:t>obszar 7,9 tys. km2 (2,5% powierzchni Polski) i według stanu w końcu c</w:t>
      </w:r>
      <w:r>
        <w:rPr>
          <w:rFonts w:ascii="Arial" w:hAnsi="Arial" w:cs="Arial"/>
          <w:sz w:val="20"/>
          <w:szCs w:val="20"/>
        </w:rPr>
        <w:t xml:space="preserve">zerwca 2019 r. zamieszkiwało je </w:t>
      </w:r>
      <w:r w:rsidRPr="00DB2E61">
        <w:rPr>
          <w:rFonts w:ascii="Arial" w:hAnsi="Arial" w:cs="Arial"/>
          <w:sz w:val="20"/>
          <w:szCs w:val="20"/>
        </w:rPr>
        <w:t>1,6 mln osób (tj. 4,1% ogółu ludności kraju).</w:t>
      </w:r>
    </w:p>
    <w:p w14:paraId="1AEF9933" w14:textId="62A7E357" w:rsidR="00DB2E61" w:rsidRPr="00DB2E61" w:rsidRDefault="00DB2E61" w:rsidP="00DB2E61">
      <w:pPr>
        <w:spacing w:before="120" w:after="120" w:line="276" w:lineRule="auto"/>
        <w:jc w:val="both"/>
        <w:rPr>
          <w:rFonts w:ascii="Arial" w:hAnsi="Arial" w:cs="Arial"/>
          <w:sz w:val="20"/>
          <w:szCs w:val="20"/>
        </w:rPr>
      </w:pPr>
      <w:r w:rsidRPr="00DB2E61">
        <w:rPr>
          <w:rFonts w:ascii="Arial" w:hAnsi="Arial" w:cs="Arial"/>
          <w:sz w:val="20"/>
          <w:szCs w:val="20"/>
        </w:rPr>
        <w:t>Zgodnie z metodologią Eurostatu przyjętą na potrzeby statystyki w</w:t>
      </w:r>
      <w:r>
        <w:rPr>
          <w:rFonts w:ascii="Arial" w:hAnsi="Arial" w:cs="Arial"/>
          <w:sz w:val="20"/>
          <w:szCs w:val="20"/>
        </w:rPr>
        <w:t xml:space="preserve"> dziedzinie turystyki za obszar </w:t>
      </w:r>
      <w:r w:rsidRPr="00DB2E61">
        <w:rPr>
          <w:rFonts w:ascii="Arial" w:hAnsi="Arial" w:cs="Arial"/>
          <w:sz w:val="20"/>
          <w:szCs w:val="20"/>
        </w:rPr>
        <w:t xml:space="preserve">nadmorski uznaje się obszary przybrzeżne składające się z gmin (w </w:t>
      </w:r>
      <w:r>
        <w:rPr>
          <w:rFonts w:ascii="Arial" w:hAnsi="Arial" w:cs="Arial"/>
          <w:sz w:val="20"/>
          <w:szCs w:val="20"/>
        </w:rPr>
        <w:t xml:space="preserve">innych krajach z odpowiednich </w:t>
      </w:r>
      <w:r w:rsidRPr="00DB2E61">
        <w:rPr>
          <w:rFonts w:ascii="Arial" w:hAnsi="Arial" w:cs="Arial"/>
          <w:sz w:val="20"/>
          <w:szCs w:val="20"/>
        </w:rPr>
        <w:t>jednostek administracyjnych) graniczących z morzem lub usytu</w:t>
      </w:r>
      <w:r>
        <w:rPr>
          <w:rFonts w:ascii="Arial" w:hAnsi="Arial" w:cs="Arial"/>
          <w:sz w:val="20"/>
          <w:szCs w:val="20"/>
        </w:rPr>
        <w:t xml:space="preserve">owanych w jego pobliżu. Obszary </w:t>
      </w:r>
      <w:r w:rsidRPr="00DB2E61">
        <w:rPr>
          <w:rFonts w:ascii="Arial" w:hAnsi="Arial" w:cs="Arial"/>
          <w:sz w:val="20"/>
          <w:szCs w:val="20"/>
        </w:rPr>
        <w:t>nadmorskie w odróżnieniu od pozostałych są klasyfikowane na p</w:t>
      </w:r>
      <w:r>
        <w:rPr>
          <w:rFonts w:ascii="Arial" w:hAnsi="Arial" w:cs="Arial"/>
          <w:sz w:val="20"/>
          <w:szCs w:val="20"/>
        </w:rPr>
        <w:t xml:space="preserve">odstawie odległości danej gminy </w:t>
      </w:r>
      <w:r w:rsidRPr="00DB2E61">
        <w:rPr>
          <w:rFonts w:ascii="Arial" w:hAnsi="Arial" w:cs="Arial"/>
          <w:sz w:val="20"/>
          <w:szCs w:val="20"/>
        </w:rPr>
        <w:t>od morza: jeżeli gmina graniczy z morzem, jest ona z zasady nadmo</w:t>
      </w:r>
      <w:r>
        <w:rPr>
          <w:rFonts w:ascii="Arial" w:hAnsi="Arial" w:cs="Arial"/>
          <w:sz w:val="20"/>
          <w:szCs w:val="20"/>
        </w:rPr>
        <w:t xml:space="preserve">rska; jeżeli gmina nie graniczy </w:t>
      </w:r>
      <w:r w:rsidR="001103BC">
        <w:rPr>
          <w:rFonts w:ascii="Arial" w:hAnsi="Arial" w:cs="Arial"/>
          <w:sz w:val="20"/>
          <w:szCs w:val="20"/>
        </w:rPr>
        <w:br/>
      </w:r>
      <w:r w:rsidRPr="00DB2E61">
        <w:rPr>
          <w:rFonts w:ascii="Arial" w:hAnsi="Arial" w:cs="Arial"/>
          <w:sz w:val="20"/>
          <w:szCs w:val="20"/>
        </w:rPr>
        <w:t xml:space="preserve">z morzem, ale 50% jej powierzchni znajduje się w odległości 10 km od </w:t>
      </w:r>
      <w:r>
        <w:rPr>
          <w:rFonts w:ascii="Arial" w:hAnsi="Arial" w:cs="Arial"/>
          <w:sz w:val="20"/>
          <w:szCs w:val="20"/>
        </w:rPr>
        <w:t xml:space="preserve">morza, również uznaje się ją za </w:t>
      </w:r>
      <w:r w:rsidRPr="00DB2E61">
        <w:rPr>
          <w:rFonts w:ascii="Arial" w:hAnsi="Arial" w:cs="Arial"/>
          <w:sz w:val="20"/>
          <w:szCs w:val="20"/>
        </w:rPr>
        <w:t xml:space="preserve">gminę nadmorską. </w:t>
      </w:r>
    </w:p>
    <w:p w14:paraId="0FC434A0" w14:textId="5DC96888" w:rsidR="00B824E9" w:rsidRDefault="006B50E0" w:rsidP="00CB618F">
      <w:pPr>
        <w:spacing w:before="120" w:after="120" w:line="276" w:lineRule="auto"/>
        <w:jc w:val="both"/>
        <w:rPr>
          <w:rFonts w:ascii="Arial" w:hAnsi="Arial" w:cs="Arial"/>
          <w:sz w:val="20"/>
          <w:szCs w:val="20"/>
        </w:rPr>
      </w:pPr>
      <w:r w:rsidRPr="006B50E0">
        <w:rPr>
          <w:rFonts w:ascii="Arial" w:hAnsi="Arial" w:cs="Arial"/>
          <w:sz w:val="20"/>
          <w:szCs w:val="20"/>
        </w:rPr>
        <w:lastRenderedPageBreak/>
        <w:t>Wg danych Głównego Urzędu Statystycznego</w:t>
      </w:r>
      <w:r w:rsidRPr="006B50E0">
        <w:rPr>
          <w:rStyle w:val="Odwoanieprzypisudolnego"/>
          <w:rFonts w:ascii="Arial" w:hAnsi="Arial" w:cs="Arial"/>
          <w:sz w:val="20"/>
          <w:szCs w:val="20"/>
        </w:rPr>
        <w:footnoteReference w:id="6"/>
      </w:r>
      <w:r w:rsidRPr="006B50E0">
        <w:rPr>
          <w:rFonts w:ascii="Arial" w:hAnsi="Arial" w:cs="Arial"/>
          <w:sz w:val="20"/>
          <w:szCs w:val="20"/>
        </w:rPr>
        <w:t xml:space="preserve"> </w:t>
      </w:r>
      <w:r w:rsidR="00FA56B4">
        <w:rPr>
          <w:rFonts w:ascii="Arial" w:hAnsi="Arial" w:cs="Arial"/>
          <w:sz w:val="20"/>
          <w:szCs w:val="20"/>
        </w:rPr>
        <w:t>w</w:t>
      </w:r>
      <w:r w:rsidR="00B824E9" w:rsidRPr="00CB618F">
        <w:rPr>
          <w:rFonts w:ascii="Arial" w:hAnsi="Arial" w:cs="Arial"/>
          <w:sz w:val="20"/>
          <w:szCs w:val="20"/>
        </w:rPr>
        <w:t xml:space="preserve"> 2019 r. na obszarach nadmorskich funkcjonowało </w:t>
      </w:r>
      <w:r w:rsidR="00E20C34">
        <w:rPr>
          <w:rFonts w:ascii="Arial" w:hAnsi="Arial" w:cs="Arial"/>
          <w:sz w:val="20"/>
          <w:szCs w:val="20"/>
        </w:rPr>
        <w:br/>
      </w:r>
      <w:r w:rsidR="00B824E9" w:rsidRPr="00CB618F">
        <w:rPr>
          <w:rFonts w:ascii="Arial" w:hAnsi="Arial" w:cs="Arial"/>
          <w:sz w:val="20"/>
          <w:szCs w:val="20"/>
        </w:rPr>
        <w:t>2 700 turystyczn</w:t>
      </w:r>
      <w:r w:rsidR="00CB618F" w:rsidRPr="00CB618F">
        <w:rPr>
          <w:rFonts w:ascii="Arial" w:hAnsi="Arial" w:cs="Arial"/>
          <w:sz w:val="20"/>
          <w:szCs w:val="20"/>
        </w:rPr>
        <w:t xml:space="preserve">ych obiektów noclegowych, które </w:t>
      </w:r>
      <w:r w:rsidR="00B824E9" w:rsidRPr="00CB618F">
        <w:rPr>
          <w:rFonts w:ascii="Arial" w:hAnsi="Arial" w:cs="Arial"/>
          <w:sz w:val="20"/>
          <w:szCs w:val="20"/>
        </w:rPr>
        <w:t xml:space="preserve">stanowiły 24,0% ogółu obiektów w kraju. </w:t>
      </w:r>
      <w:r w:rsidR="00E20C34">
        <w:rPr>
          <w:rFonts w:ascii="Arial" w:hAnsi="Arial" w:cs="Arial"/>
          <w:sz w:val="20"/>
          <w:szCs w:val="20"/>
        </w:rPr>
        <w:br/>
      </w:r>
      <w:r w:rsidR="00B824E9" w:rsidRPr="00CB618F">
        <w:rPr>
          <w:rFonts w:ascii="Arial" w:hAnsi="Arial" w:cs="Arial"/>
          <w:sz w:val="20"/>
          <w:szCs w:val="20"/>
        </w:rPr>
        <w:t>W porównaniu z rokiem poprzed</w:t>
      </w:r>
      <w:r w:rsidR="00CB618F" w:rsidRPr="00CB618F">
        <w:rPr>
          <w:rFonts w:ascii="Arial" w:hAnsi="Arial" w:cs="Arial"/>
          <w:sz w:val="20"/>
          <w:szCs w:val="20"/>
        </w:rPr>
        <w:t xml:space="preserve">nim liczba obiektów noclegowych </w:t>
      </w:r>
      <w:r w:rsidR="00B824E9" w:rsidRPr="00CB618F">
        <w:rPr>
          <w:rFonts w:ascii="Arial" w:hAnsi="Arial" w:cs="Arial"/>
          <w:sz w:val="20"/>
          <w:szCs w:val="20"/>
        </w:rPr>
        <w:t>na obszarach nadmorskich zwiększyła się o 76, tj. o 2,9%. Baza noc</w:t>
      </w:r>
      <w:r w:rsidR="00CB618F" w:rsidRPr="00CB618F">
        <w:rPr>
          <w:rFonts w:ascii="Arial" w:hAnsi="Arial" w:cs="Arial"/>
          <w:sz w:val="20"/>
          <w:szCs w:val="20"/>
        </w:rPr>
        <w:t xml:space="preserve">legowa na obszarach nadmorskich </w:t>
      </w:r>
      <w:r w:rsidR="00B824E9" w:rsidRPr="00CB618F">
        <w:rPr>
          <w:rFonts w:ascii="Arial" w:hAnsi="Arial" w:cs="Arial"/>
          <w:sz w:val="20"/>
          <w:szCs w:val="20"/>
        </w:rPr>
        <w:t>ma charakter typowo sezonowy, znajduje się tu ponad połowa (54%)</w:t>
      </w:r>
      <w:r w:rsidR="00CB618F" w:rsidRPr="00CB618F">
        <w:rPr>
          <w:rFonts w:ascii="Arial" w:hAnsi="Arial" w:cs="Arial"/>
          <w:sz w:val="20"/>
          <w:szCs w:val="20"/>
        </w:rPr>
        <w:t xml:space="preserve"> wszystkich obiektów sezonowych </w:t>
      </w:r>
      <w:r w:rsidR="00B824E9" w:rsidRPr="00CB618F">
        <w:rPr>
          <w:rFonts w:ascii="Arial" w:hAnsi="Arial" w:cs="Arial"/>
          <w:sz w:val="20"/>
          <w:szCs w:val="20"/>
        </w:rPr>
        <w:t xml:space="preserve">działających </w:t>
      </w:r>
      <w:r w:rsidR="001103BC">
        <w:rPr>
          <w:rFonts w:ascii="Arial" w:hAnsi="Arial" w:cs="Arial"/>
          <w:sz w:val="20"/>
          <w:szCs w:val="20"/>
        </w:rPr>
        <w:br/>
      </w:r>
      <w:r w:rsidR="00B824E9" w:rsidRPr="00CB618F">
        <w:rPr>
          <w:rFonts w:ascii="Arial" w:hAnsi="Arial" w:cs="Arial"/>
          <w:sz w:val="20"/>
          <w:szCs w:val="20"/>
        </w:rPr>
        <w:t>w Polsce. Najliczniejszą grupę obi</w:t>
      </w:r>
      <w:r w:rsidR="00370D33">
        <w:rPr>
          <w:rFonts w:ascii="Arial" w:hAnsi="Arial" w:cs="Arial"/>
          <w:sz w:val="20"/>
          <w:szCs w:val="20"/>
        </w:rPr>
        <w:t>ektów tworzyły pokoje gościnne -</w:t>
      </w:r>
      <w:r w:rsidR="00CB618F" w:rsidRPr="00CB618F">
        <w:rPr>
          <w:rFonts w:ascii="Arial" w:hAnsi="Arial" w:cs="Arial"/>
          <w:sz w:val="20"/>
          <w:szCs w:val="20"/>
        </w:rPr>
        <w:t xml:space="preserve"> 1 071, które </w:t>
      </w:r>
      <w:r w:rsidR="00B824E9" w:rsidRPr="00CB618F">
        <w:rPr>
          <w:rFonts w:ascii="Arial" w:hAnsi="Arial" w:cs="Arial"/>
          <w:sz w:val="20"/>
          <w:szCs w:val="20"/>
        </w:rPr>
        <w:t>stanowiły 40% wszystkich obiektów działających na obszarach nadmorskich. Drugi</w:t>
      </w:r>
      <w:r w:rsidR="00CB618F" w:rsidRPr="00CB618F">
        <w:rPr>
          <w:rFonts w:ascii="Arial" w:hAnsi="Arial" w:cs="Arial"/>
          <w:sz w:val="20"/>
          <w:szCs w:val="20"/>
        </w:rPr>
        <w:t xml:space="preserve">m rodzajem obiektów </w:t>
      </w:r>
      <w:r w:rsidR="00B824E9" w:rsidRPr="00CB618F">
        <w:rPr>
          <w:rFonts w:ascii="Arial" w:hAnsi="Arial" w:cs="Arial"/>
          <w:sz w:val="20"/>
          <w:szCs w:val="20"/>
        </w:rPr>
        <w:t>pod względem lic</w:t>
      </w:r>
      <w:r w:rsidR="00370D33">
        <w:rPr>
          <w:rFonts w:ascii="Arial" w:hAnsi="Arial" w:cs="Arial"/>
          <w:sz w:val="20"/>
          <w:szCs w:val="20"/>
        </w:rPr>
        <w:t>zebności były ośrodki wczasowe -</w:t>
      </w:r>
      <w:r w:rsidR="00B824E9" w:rsidRPr="00CB618F">
        <w:rPr>
          <w:rFonts w:ascii="Arial" w:hAnsi="Arial" w:cs="Arial"/>
          <w:sz w:val="20"/>
          <w:szCs w:val="20"/>
        </w:rPr>
        <w:t xml:space="preserve"> 513 (19%). P</w:t>
      </w:r>
      <w:r w:rsidR="00CB618F" w:rsidRPr="00CB618F">
        <w:rPr>
          <w:rFonts w:ascii="Arial" w:hAnsi="Arial" w:cs="Arial"/>
          <w:sz w:val="20"/>
          <w:szCs w:val="20"/>
        </w:rPr>
        <w:t xml:space="preserve">oza wymienionymi baza noclegowa </w:t>
      </w:r>
      <w:r w:rsidR="00B824E9" w:rsidRPr="00CB618F">
        <w:rPr>
          <w:rFonts w:ascii="Arial" w:hAnsi="Arial" w:cs="Arial"/>
          <w:sz w:val="20"/>
          <w:szCs w:val="20"/>
        </w:rPr>
        <w:t>obejmowała jeszcze m.in. 239 zespołów domków turystycznych,</w:t>
      </w:r>
      <w:r w:rsidR="00CB618F" w:rsidRPr="00CB618F">
        <w:rPr>
          <w:rFonts w:ascii="Arial" w:hAnsi="Arial" w:cs="Arial"/>
          <w:sz w:val="20"/>
          <w:szCs w:val="20"/>
        </w:rPr>
        <w:t xml:space="preserve"> 233 hotele, 91 kempingów i pól biwakowych </w:t>
      </w:r>
      <w:r w:rsidR="00B824E9" w:rsidRPr="00CB618F">
        <w:rPr>
          <w:rFonts w:ascii="Arial" w:hAnsi="Arial" w:cs="Arial"/>
          <w:sz w:val="20"/>
          <w:szCs w:val="20"/>
        </w:rPr>
        <w:t>oraz 39 ośrodków kolonijnych.</w:t>
      </w:r>
    </w:p>
    <w:p w14:paraId="6ABF440C" w14:textId="47923C2A" w:rsidR="00166AA3" w:rsidRPr="00166AA3" w:rsidRDefault="00166AA3" w:rsidP="00166AA3">
      <w:pPr>
        <w:spacing w:before="120" w:after="120" w:line="276" w:lineRule="auto"/>
        <w:jc w:val="both"/>
        <w:rPr>
          <w:rFonts w:ascii="Arial" w:hAnsi="Arial" w:cs="Arial"/>
          <w:sz w:val="20"/>
          <w:szCs w:val="20"/>
        </w:rPr>
      </w:pPr>
      <w:r w:rsidRPr="00166AA3">
        <w:rPr>
          <w:rFonts w:ascii="Arial" w:hAnsi="Arial" w:cs="Arial"/>
          <w:sz w:val="20"/>
          <w:szCs w:val="20"/>
        </w:rPr>
        <w:t>W 2019 r. spośród ogółu turystów korzystających z obiektów noclegowych pobyt na obszarach nadmorskich lub górskich wybrał co trzeci turysta krajowy i co czwarty turysta zagraniczny. W obiektach zlokalizowanych na obszarach nadmorskich przebywało w 2019 r. 5,3 mln turystów, czyli 14,8% nocujących w obiektach turystycznych na terenie całego kraju. W porównaniu z rokiem poprzednim liczba turystów była większa o 335,7 tys., tj. o 6,8%. Na każde 1000 osób mieszkających na tych terenach przypadało średnio 3 366 turystów.</w:t>
      </w:r>
    </w:p>
    <w:p w14:paraId="397B0709" w14:textId="2A7A4AFE" w:rsidR="00166AA3" w:rsidRPr="00166AA3" w:rsidRDefault="00166AA3" w:rsidP="00166AA3">
      <w:pPr>
        <w:spacing w:before="120" w:after="120" w:line="276" w:lineRule="auto"/>
        <w:jc w:val="both"/>
        <w:rPr>
          <w:rFonts w:ascii="Arial" w:hAnsi="Arial" w:cs="Arial"/>
          <w:sz w:val="20"/>
          <w:szCs w:val="20"/>
        </w:rPr>
      </w:pPr>
      <w:r w:rsidRPr="00166AA3">
        <w:rPr>
          <w:rFonts w:ascii="Arial" w:hAnsi="Arial" w:cs="Arial"/>
          <w:sz w:val="20"/>
          <w:szCs w:val="20"/>
        </w:rPr>
        <w:t xml:space="preserve">Zdecydowana większość turystów, bo 2,4 mln (46,0%) korzystała z noclegów w hotelach. Duża liczba turystów wybrała pobyt w ośrodkach wczasowych </w:t>
      </w:r>
      <w:r w:rsidR="00BA1C84">
        <w:rPr>
          <w:rFonts w:ascii="Arial" w:hAnsi="Arial" w:cs="Arial"/>
          <w:sz w:val="20"/>
          <w:szCs w:val="20"/>
        </w:rPr>
        <w:t>-</w:t>
      </w:r>
      <w:r w:rsidRPr="00166AA3">
        <w:rPr>
          <w:rFonts w:ascii="Arial" w:hAnsi="Arial" w:cs="Arial"/>
          <w:sz w:val="20"/>
          <w:szCs w:val="20"/>
        </w:rPr>
        <w:t xml:space="preserve"> 919,6 tys. i innych obiektach hotelowych </w:t>
      </w:r>
      <w:r w:rsidR="00BA1C84">
        <w:rPr>
          <w:rFonts w:ascii="Arial" w:hAnsi="Arial" w:cs="Arial"/>
          <w:sz w:val="20"/>
          <w:szCs w:val="20"/>
        </w:rPr>
        <w:t>-</w:t>
      </w:r>
      <w:r w:rsidRPr="00166AA3">
        <w:rPr>
          <w:rFonts w:ascii="Arial" w:hAnsi="Arial" w:cs="Arial"/>
          <w:sz w:val="20"/>
          <w:szCs w:val="20"/>
        </w:rPr>
        <w:t xml:space="preserve"> 484,5 tys., a po ponad 300 tys. osób przebywało w zakładach uzdrowiskowych i pokojach gościnnych.</w:t>
      </w:r>
    </w:p>
    <w:p w14:paraId="04F8ECA2" w14:textId="769FCABE" w:rsidR="00903BF6" w:rsidRPr="00166AA3" w:rsidRDefault="00B6504B" w:rsidP="00166AA3">
      <w:pPr>
        <w:spacing w:before="120" w:after="120" w:line="276" w:lineRule="auto"/>
        <w:jc w:val="both"/>
        <w:rPr>
          <w:rFonts w:ascii="Arial" w:hAnsi="Arial" w:cs="Arial"/>
          <w:sz w:val="20"/>
          <w:szCs w:val="20"/>
        </w:rPr>
      </w:pPr>
      <w:r>
        <w:rPr>
          <w:rFonts w:ascii="Arial" w:hAnsi="Arial" w:cs="Arial"/>
          <w:sz w:val="20"/>
          <w:szCs w:val="20"/>
        </w:rPr>
        <w:t>Wg danych GUS w</w:t>
      </w:r>
      <w:r w:rsidR="00166AA3" w:rsidRPr="00166AA3">
        <w:rPr>
          <w:rFonts w:ascii="Arial" w:hAnsi="Arial" w:cs="Arial"/>
          <w:sz w:val="20"/>
          <w:szCs w:val="20"/>
        </w:rPr>
        <w:t>śród ogółu korzystających z noclegów w turystycznych obiektach noclegowych 75,9% (4,0 mln) stanowili turyści krajowi, a 24,1% (1,3 m</w:t>
      </w:r>
      <w:r w:rsidR="00370D33">
        <w:rPr>
          <w:rFonts w:ascii="Arial" w:hAnsi="Arial" w:cs="Arial"/>
          <w:sz w:val="20"/>
          <w:szCs w:val="20"/>
        </w:rPr>
        <w:t>ln) -</w:t>
      </w:r>
      <w:r w:rsidR="00166AA3" w:rsidRPr="00166AA3">
        <w:rPr>
          <w:rFonts w:ascii="Arial" w:hAnsi="Arial" w:cs="Arial"/>
          <w:sz w:val="20"/>
          <w:szCs w:val="20"/>
        </w:rPr>
        <w:t xml:space="preserve"> turyści zagraniczni. W odniesieniu do </w:t>
      </w:r>
      <w:r w:rsidR="00BA1C84">
        <w:rPr>
          <w:rFonts w:ascii="Arial" w:hAnsi="Arial" w:cs="Arial"/>
          <w:sz w:val="20"/>
          <w:szCs w:val="20"/>
        </w:rPr>
        <w:br/>
      </w:r>
      <w:r w:rsidR="00166AA3" w:rsidRPr="00166AA3">
        <w:rPr>
          <w:rFonts w:ascii="Arial" w:hAnsi="Arial" w:cs="Arial"/>
          <w:sz w:val="20"/>
          <w:szCs w:val="20"/>
        </w:rPr>
        <w:t xml:space="preserve">2018 r. liczba turystów krajowych była większa o </w:t>
      </w:r>
      <w:r w:rsidR="00BA1C84">
        <w:rPr>
          <w:rFonts w:ascii="Arial" w:hAnsi="Arial" w:cs="Arial"/>
          <w:sz w:val="20"/>
          <w:szCs w:val="20"/>
        </w:rPr>
        <w:t xml:space="preserve">6,9%, a turystów zagranicznych </w:t>
      </w:r>
      <w:r w:rsidR="00166AA3" w:rsidRPr="00166AA3">
        <w:rPr>
          <w:rFonts w:ascii="Arial" w:hAnsi="Arial" w:cs="Arial"/>
          <w:sz w:val="20"/>
          <w:szCs w:val="20"/>
        </w:rPr>
        <w:t xml:space="preserve">o 6,3%. Liczba udzielonych noclegów wyniosła 23,1 mln i stanowiła 24,8% wszystkich noclegów udzielonych </w:t>
      </w:r>
      <w:r w:rsidR="00BA1C84">
        <w:rPr>
          <w:rFonts w:ascii="Arial" w:hAnsi="Arial" w:cs="Arial"/>
          <w:sz w:val="20"/>
          <w:szCs w:val="20"/>
        </w:rPr>
        <w:br/>
      </w:r>
      <w:r w:rsidR="00166AA3" w:rsidRPr="00166AA3">
        <w:rPr>
          <w:rFonts w:ascii="Arial" w:hAnsi="Arial" w:cs="Arial"/>
          <w:sz w:val="20"/>
          <w:szCs w:val="20"/>
        </w:rPr>
        <w:t>w obiektach w Polsce. Były to pobyty obejmujące przeciętnie 4,4 noclegu (średnia dla kraju wyniosła 2,6 noclegu). Turyści krajowi skorzystali w 2019 r. z 18,1 mln n</w:t>
      </w:r>
      <w:r w:rsidR="00370D33">
        <w:rPr>
          <w:rFonts w:ascii="Arial" w:hAnsi="Arial" w:cs="Arial"/>
          <w:sz w:val="20"/>
          <w:szCs w:val="20"/>
        </w:rPr>
        <w:t>ocle</w:t>
      </w:r>
      <w:r w:rsidR="00BA1C84">
        <w:rPr>
          <w:rFonts w:ascii="Arial" w:hAnsi="Arial" w:cs="Arial"/>
          <w:sz w:val="20"/>
          <w:szCs w:val="20"/>
        </w:rPr>
        <w:t>gów, a turyści zagraniczni</w:t>
      </w:r>
      <w:r w:rsidR="00166AA3" w:rsidRPr="00166AA3">
        <w:rPr>
          <w:rFonts w:ascii="Arial" w:hAnsi="Arial" w:cs="Arial"/>
          <w:sz w:val="20"/>
          <w:szCs w:val="20"/>
        </w:rPr>
        <w:t xml:space="preserve"> z 5,0 mln. Stopień wykorzystania miejsc noclegowych w obiektach położonych na obszarach nadmorskich </w:t>
      </w:r>
      <w:r w:rsidR="00313690">
        <w:rPr>
          <w:rFonts w:ascii="Arial" w:hAnsi="Arial" w:cs="Arial"/>
          <w:sz w:val="20"/>
          <w:szCs w:val="20"/>
        </w:rPr>
        <w:br/>
      </w:r>
      <w:r w:rsidR="00166AA3" w:rsidRPr="00166AA3">
        <w:rPr>
          <w:rFonts w:ascii="Arial" w:hAnsi="Arial" w:cs="Arial"/>
          <w:sz w:val="20"/>
          <w:szCs w:val="20"/>
        </w:rPr>
        <w:t>w 2019 r. wyniósł 50,4%, podczas gdy analogiczny wskaźnik dla całego kraju osiągnął wartość 40,6%.</w:t>
      </w:r>
    </w:p>
    <w:p w14:paraId="650FDEBE" w14:textId="62E910C2" w:rsidR="00AF328C" w:rsidRPr="00CB618F" w:rsidRDefault="00BB36D9" w:rsidP="00CB618F">
      <w:pPr>
        <w:spacing w:before="120" w:after="120" w:line="276" w:lineRule="auto"/>
        <w:jc w:val="both"/>
        <w:rPr>
          <w:rFonts w:ascii="Arial" w:hAnsi="Arial" w:cs="Arial"/>
          <w:sz w:val="20"/>
          <w:szCs w:val="20"/>
        </w:rPr>
      </w:pPr>
      <w:r w:rsidRPr="00370D33">
        <w:rPr>
          <w:rFonts w:ascii="Arial" w:hAnsi="Arial" w:cs="Arial"/>
          <w:sz w:val="20"/>
          <w:szCs w:val="20"/>
        </w:rPr>
        <w:t>Na obszarach nadmorskich wyraźne nasilenie ruchu turystycznego występuje w miesią</w:t>
      </w:r>
      <w:r w:rsidR="00370D33" w:rsidRPr="00370D33">
        <w:rPr>
          <w:rFonts w:ascii="Arial" w:hAnsi="Arial" w:cs="Arial"/>
          <w:sz w:val="20"/>
          <w:szCs w:val="20"/>
        </w:rPr>
        <w:t xml:space="preserve">cach letnich. </w:t>
      </w:r>
      <w:r w:rsidR="0053118F">
        <w:rPr>
          <w:rFonts w:ascii="Arial" w:hAnsi="Arial" w:cs="Arial"/>
          <w:sz w:val="20"/>
          <w:szCs w:val="20"/>
        </w:rPr>
        <w:br/>
      </w:r>
      <w:r w:rsidRPr="00370D33">
        <w:rPr>
          <w:rFonts w:ascii="Arial" w:hAnsi="Arial" w:cs="Arial"/>
          <w:sz w:val="20"/>
          <w:szCs w:val="20"/>
        </w:rPr>
        <w:t>W 2019 r. w lipcu i sierpniu w turystycznych obiektach noclegowych położ</w:t>
      </w:r>
      <w:r w:rsidR="00370D33" w:rsidRPr="00370D33">
        <w:rPr>
          <w:rFonts w:ascii="Arial" w:hAnsi="Arial" w:cs="Arial"/>
          <w:sz w:val="20"/>
          <w:szCs w:val="20"/>
        </w:rPr>
        <w:t xml:space="preserve">onych na obszarach nadmorskich </w:t>
      </w:r>
      <w:r w:rsidRPr="00370D33">
        <w:rPr>
          <w:rFonts w:ascii="Arial" w:hAnsi="Arial" w:cs="Arial"/>
          <w:sz w:val="20"/>
          <w:szCs w:val="20"/>
        </w:rPr>
        <w:t xml:space="preserve">przebywało łącznie 1,8 mln turystów (892,2 tys. w lipcu oraz 897,4 </w:t>
      </w:r>
      <w:r w:rsidR="00370D33" w:rsidRPr="00370D33">
        <w:rPr>
          <w:rFonts w:ascii="Arial" w:hAnsi="Arial" w:cs="Arial"/>
          <w:sz w:val="20"/>
          <w:szCs w:val="20"/>
        </w:rPr>
        <w:t xml:space="preserve">tys. w sierpniu), </w:t>
      </w:r>
      <w:r w:rsidR="0053118F">
        <w:rPr>
          <w:rFonts w:ascii="Arial" w:hAnsi="Arial" w:cs="Arial"/>
          <w:sz w:val="20"/>
          <w:szCs w:val="20"/>
        </w:rPr>
        <w:br/>
      </w:r>
      <w:r w:rsidR="00370D33" w:rsidRPr="00370D33">
        <w:rPr>
          <w:rFonts w:ascii="Arial" w:hAnsi="Arial" w:cs="Arial"/>
          <w:sz w:val="20"/>
          <w:szCs w:val="20"/>
        </w:rPr>
        <w:t xml:space="preserve">tj. ponad 1/3 turystów </w:t>
      </w:r>
      <w:r w:rsidRPr="00370D33">
        <w:rPr>
          <w:rFonts w:ascii="Arial" w:hAnsi="Arial" w:cs="Arial"/>
          <w:sz w:val="20"/>
          <w:szCs w:val="20"/>
        </w:rPr>
        <w:t>przebywających w ciągu roku na tym obszarze. Liczba korzystają</w:t>
      </w:r>
      <w:r w:rsidR="00370D33" w:rsidRPr="00370D33">
        <w:rPr>
          <w:rFonts w:ascii="Arial" w:hAnsi="Arial" w:cs="Arial"/>
          <w:sz w:val="20"/>
          <w:szCs w:val="20"/>
        </w:rPr>
        <w:t xml:space="preserve">cych z obiektów noclegowych w </w:t>
      </w:r>
      <w:r w:rsidR="0053118F">
        <w:rPr>
          <w:rFonts w:ascii="Arial" w:hAnsi="Arial" w:cs="Arial"/>
          <w:sz w:val="20"/>
          <w:szCs w:val="20"/>
        </w:rPr>
        <w:t xml:space="preserve">tych dwóch </w:t>
      </w:r>
      <w:r w:rsidRPr="00370D33">
        <w:rPr>
          <w:rFonts w:ascii="Arial" w:hAnsi="Arial" w:cs="Arial"/>
          <w:sz w:val="20"/>
          <w:szCs w:val="20"/>
        </w:rPr>
        <w:t>miesiącach była niemal czterokrotnie wyższa niż w tzw. najmniej obłoż</w:t>
      </w:r>
      <w:r w:rsidR="00370D33" w:rsidRPr="00370D33">
        <w:rPr>
          <w:rFonts w:ascii="Arial" w:hAnsi="Arial" w:cs="Arial"/>
          <w:sz w:val="20"/>
          <w:szCs w:val="20"/>
        </w:rPr>
        <w:t xml:space="preserve">onych, tj. styczniu i </w:t>
      </w:r>
      <w:r w:rsidRPr="00370D33">
        <w:rPr>
          <w:rFonts w:ascii="Arial" w:hAnsi="Arial" w:cs="Arial"/>
          <w:sz w:val="20"/>
          <w:szCs w:val="20"/>
        </w:rPr>
        <w:t>grudniu, kiedy to z pobytu w turystycznych obiektach nocl</w:t>
      </w:r>
      <w:r w:rsidR="00370D33">
        <w:rPr>
          <w:rFonts w:ascii="Arial" w:hAnsi="Arial" w:cs="Arial"/>
          <w:sz w:val="20"/>
          <w:szCs w:val="20"/>
        </w:rPr>
        <w:t xml:space="preserve">egowych skorzystało odpowiednio </w:t>
      </w:r>
      <w:r w:rsidRPr="00370D33">
        <w:rPr>
          <w:rFonts w:ascii="Arial" w:hAnsi="Arial" w:cs="Arial"/>
          <w:sz w:val="20"/>
          <w:szCs w:val="20"/>
        </w:rPr>
        <w:t>234,5 tys. i 248,8 tys. osób. Wyraźny wzrost liczby turystów wystąpił</w:t>
      </w:r>
      <w:r w:rsidR="00370D33">
        <w:rPr>
          <w:rFonts w:ascii="Arial" w:hAnsi="Arial" w:cs="Arial"/>
          <w:sz w:val="20"/>
          <w:szCs w:val="20"/>
        </w:rPr>
        <w:t xml:space="preserve"> w maju (435,0 tys.) </w:t>
      </w:r>
      <w:r w:rsidR="0053118F">
        <w:rPr>
          <w:rFonts w:ascii="Arial" w:hAnsi="Arial" w:cs="Arial"/>
          <w:sz w:val="20"/>
          <w:szCs w:val="20"/>
        </w:rPr>
        <w:br/>
      </w:r>
      <w:r w:rsidR="00370D33">
        <w:rPr>
          <w:rFonts w:ascii="Arial" w:hAnsi="Arial" w:cs="Arial"/>
          <w:sz w:val="20"/>
          <w:szCs w:val="20"/>
        </w:rPr>
        <w:t xml:space="preserve">i trwał do </w:t>
      </w:r>
      <w:r w:rsidR="008D0101">
        <w:rPr>
          <w:rFonts w:ascii="Arial" w:hAnsi="Arial" w:cs="Arial"/>
          <w:sz w:val="20"/>
          <w:szCs w:val="20"/>
        </w:rPr>
        <w:t>września (460,0 tys.).</w:t>
      </w:r>
    </w:p>
    <w:p w14:paraId="593A73EE" w14:textId="50472E10" w:rsidR="00011924" w:rsidRPr="000F468A" w:rsidRDefault="00483576" w:rsidP="0076413E">
      <w:pPr>
        <w:pStyle w:val="Nagwek2"/>
        <w:spacing w:before="120" w:after="120"/>
        <w:rPr>
          <w:rFonts w:ascii="Arial" w:hAnsi="Arial" w:cs="Arial"/>
          <w:b/>
          <w:sz w:val="20"/>
          <w:szCs w:val="20"/>
        </w:rPr>
      </w:pPr>
      <w:bookmarkStart w:id="76" w:name="_Toc72745086"/>
      <w:r w:rsidRPr="000F468A">
        <w:rPr>
          <w:rFonts w:ascii="Arial" w:hAnsi="Arial" w:cs="Arial"/>
          <w:b/>
          <w:color w:val="auto"/>
          <w:sz w:val="20"/>
          <w:szCs w:val="20"/>
        </w:rPr>
        <w:t>Działania Głównego Inspektora Sanitarnego</w:t>
      </w:r>
      <w:r w:rsidR="004C6CC5">
        <w:rPr>
          <w:rFonts w:ascii="Arial" w:hAnsi="Arial" w:cs="Arial"/>
          <w:b/>
          <w:color w:val="auto"/>
          <w:sz w:val="20"/>
          <w:szCs w:val="20"/>
        </w:rPr>
        <w:t xml:space="preserve"> i </w:t>
      </w:r>
      <w:r w:rsidR="000F5B66" w:rsidRPr="000F468A">
        <w:rPr>
          <w:rFonts w:ascii="Arial" w:hAnsi="Arial" w:cs="Arial"/>
          <w:b/>
          <w:color w:val="auto"/>
          <w:sz w:val="20"/>
          <w:szCs w:val="20"/>
        </w:rPr>
        <w:t>organów Państwowej Inspekcji Sanitarnej</w:t>
      </w:r>
      <w:r w:rsidR="00EB69D1">
        <w:rPr>
          <w:rFonts w:ascii="Arial" w:hAnsi="Arial" w:cs="Arial"/>
          <w:b/>
          <w:color w:val="auto"/>
          <w:sz w:val="20"/>
          <w:szCs w:val="20"/>
        </w:rPr>
        <w:t>.</w:t>
      </w:r>
      <w:bookmarkEnd w:id="76"/>
      <w:r w:rsidR="000F5B66" w:rsidRPr="000F468A">
        <w:rPr>
          <w:rFonts w:ascii="Arial" w:hAnsi="Arial" w:cs="Arial"/>
          <w:b/>
          <w:color w:val="auto"/>
          <w:sz w:val="20"/>
          <w:szCs w:val="20"/>
        </w:rPr>
        <w:t xml:space="preserve"> </w:t>
      </w:r>
    </w:p>
    <w:p w14:paraId="4A3EDE19" w14:textId="6C8C5A0F" w:rsidR="0011772B" w:rsidRPr="004C6CC5" w:rsidRDefault="0011772B" w:rsidP="0076413E">
      <w:pPr>
        <w:spacing w:before="120" w:after="120" w:line="276" w:lineRule="auto"/>
        <w:jc w:val="both"/>
        <w:rPr>
          <w:rFonts w:ascii="Arial" w:hAnsi="Arial" w:cs="Arial"/>
          <w:sz w:val="20"/>
          <w:szCs w:val="20"/>
        </w:rPr>
      </w:pPr>
      <w:r w:rsidRPr="004C6CC5">
        <w:rPr>
          <w:rFonts w:ascii="Arial" w:hAnsi="Arial" w:cs="Arial"/>
          <w:sz w:val="20"/>
          <w:szCs w:val="20"/>
        </w:rPr>
        <w:t>Główny Inspektor Sanitarny wykonuje zadania związane</w:t>
      </w:r>
      <w:r w:rsidR="004C6CC5">
        <w:rPr>
          <w:rFonts w:ascii="Arial" w:hAnsi="Arial" w:cs="Arial"/>
          <w:sz w:val="20"/>
          <w:szCs w:val="20"/>
        </w:rPr>
        <w:t xml:space="preserve"> z </w:t>
      </w:r>
      <w:r w:rsidRPr="004C6CC5">
        <w:rPr>
          <w:rFonts w:ascii="Arial" w:hAnsi="Arial" w:cs="Arial"/>
          <w:sz w:val="20"/>
          <w:szCs w:val="20"/>
        </w:rPr>
        <w:t>ochroną zdrowia publicznego wpisujące się</w:t>
      </w:r>
      <w:r w:rsidR="004C6CC5">
        <w:rPr>
          <w:rFonts w:ascii="Arial" w:hAnsi="Arial" w:cs="Arial"/>
          <w:sz w:val="20"/>
          <w:szCs w:val="20"/>
        </w:rPr>
        <w:t xml:space="preserve"> w </w:t>
      </w:r>
      <w:r w:rsidR="00520892">
        <w:rPr>
          <w:rFonts w:ascii="Arial" w:hAnsi="Arial" w:cs="Arial"/>
          <w:sz w:val="20"/>
          <w:szCs w:val="20"/>
        </w:rPr>
        <w:t>realizację polityki morskiej</w:t>
      </w:r>
      <w:r w:rsidRPr="004C6CC5">
        <w:rPr>
          <w:rFonts w:ascii="Arial" w:hAnsi="Arial" w:cs="Arial"/>
          <w:sz w:val="20"/>
          <w:szCs w:val="20"/>
        </w:rPr>
        <w:t xml:space="preserve"> państwa poprzez</w:t>
      </w:r>
      <w:r w:rsidR="004763D8">
        <w:rPr>
          <w:rFonts w:ascii="Arial" w:hAnsi="Arial" w:cs="Arial"/>
          <w:sz w:val="20"/>
          <w:szCs w:val="20"/>
        </w:rPr>
        <w:t xml:space="preserve"> wykonywanie</w:t>
      </w:r>
      <w:r w:rsidRPr="004C6CC5">
        <w:rPr>
          <w:rFonts w:ascii="Arial" w:hAnsi="Arial" w:cs="Arial"/>
          <w:sz w:val="20"/>
          <w:szCs w:val="20"/>
        </w:rPr>
        <w:t xml:space="preserve"> przez podległe Graniczne Stacje Sanitarno-Epidemiologiczne (GSSE)</w:t>
      </w:r>
      <w:r w:rsidR="004C6CC5">
        <w:rPr>
          <w:rFonts w:ascii="Arial" w:hAnsi="Arial" w:cs="Arial"/>
          <w:sz w:val="20"/>
          <w:szCs w:val="20"/>
        </w:rPr>
        <w:t xml:space="preserve"> w </w:t>
      </w:r>
      <w:r w:rsidRPr="004C6CC5">
        <w:rPr>
          <w:rFonts w:ascii="Arial" w:hAnsi="Arial" w:cs="Arial"/>
          <w:sz w:val="20"/>
          <w:szCs w:val="20"/>
        </w:rPr>
        <w:t>Gdyni, Szczecinie, Świnoujściu</w:t>
      </w:r>
      <w:r w:rsidR="004C6CC5">
        <w:rPr>
          <w:rFonts w:ascii="Arial" w:hAnsi="Arial" w:cs="Arial"/>
          <w:sz w:val="20"/>
          <w:szCs w:val="20"/>
        </w:rPr>
        <w:t xml:space="preserve"> i </w:t>
      </w:r>
      <w:r w:rsidRPr="004C6CC5">
        <w:rPr>
          <w:rFonts w:ascii="Arial" w:hAnsi="Arial" w:cs="Arial"/>
          <w:sz w:val="20"/>
          <w:szCs w:val="20"/>
        </w:rPr>
        <w:t>Elblągu działań</w:t>
      </w:r>
      <w:r w:rsidR="004C6CC5">
        <w:rPr>
          <w:rFonts w:ascii="Arial" w:hAnsi="Arial" w:cs="Arial"/>
          <w:sz w:val="20"/>
          <w:szCs w:val="20"/>
        </w:rPr>
        <w:t xml:space="preserve"> z </w:t>
      </w:r>
      <w:r w:rsidRPr="004C6CC5">
        <w:rPr>
          <w:rFonts w:ascii="Arial" w:hAnsi="Arial" w:cs="Arial"/>
          <w:sz w:val="20"/>
          <w:szCs w:val="20"/>
        </w:rPr>
        <w:t>zakresu:</w:t>
      </w:r>
    </w:p>
    <w:p w14:paraId="68DB4F1A" w14:textId="6620C7FB" w:rsidR="0011772B" w:rsidRPr="004C6CC5" w:rsidRDefault="0011772B" w:rsidP="003C6ECA">
      <w:pPr>
        <w:pStyle w:val="Akapitzlist"/>
        <w:numPr>
          <w:ilvl w:val="0"/>
          <w:numId w:val="31"/>
        </w:numPr>
        <w:spacing w:after="0" w:line="276" w:lineRule="auto"/>
        <w:jc w:val="both"/>
        <w:rPr>
          <w:rFonts w:ascii="Arial" w:hAnsi="Arial" w:cs="Arial"/>
          <w:sz w:val="20"/>
          <w:szCs w:val="20"/>
        </w:rPr>
      </w:pPr>
      <w:r w:rsidRPr="004C6CC5">
        <w:rPr>
          <w:rFonts w:ascii="Arial" w:hAnsi="Arial" w:cs="Arial"/>
          <w:sz w:val="20"/>
          <w:szCs w:val="20"/>
        </w:rPr>
        <w:t>nadzoru sanitarnego nad jednostkami pływającymi o polskiej</w:t>
      </w:r>
      <w:r w:rsidR="004C6CC5">
        <w:rPr>
          <w:rFonts w:ascii="Arial" w:hAnsi="Arial" w:cs="Arial"/>
          <w:sz w:val="20"/>
          <w:szCs w:val="20"/>
        </w:rPr>
        <w:t xml:space="preserve"> i </w:t>
      </w:r>
      <w:r w:rsidRPr="004C6CC5">
        <w:rPr>
          <w:rFonts w:ascii="Arial" w:hAnsi="Arial" w:cs="Arial"/>
          <w:sz w:val="20"/>
          <w:szCs w:val="20"/>
        </w:rPr>
        <w:t>obcej przynależności:</w:t>
      </w:r>
    </w:p>
    <w:p w14:paraId="40769979" w14:textId="5BEE3428" w:rsidR="0011772B" w:rsidRPr="00F666EC" w:rsidRDefault="0011772B" w:rsidP="003C6ECA">
      <w:pPr>
        <w:pStyle w:val="Akapitzlist"/>
        <w:numPr>
          <w:ilvl w:val="0"/>
          <w:numId w:val="19"/>
        </w:numPr>
        <w:spacing w:after="0" w:line="276" w:lineRule="auto"/>
        <w:jc w:val="both"/>
        <w:rPr>
          <w:rFonts w:ascii="Arial" w:hAnsi="Arial" w:cs="Arial"/>
          <w:sz w:val="20"/>
          <w:szCs w:val="20"/>
        </w:rPr>
      </w:pPr>
      <w:r w:rsidRPr="004C6CC5">
        <w:rPr>
          <w:rFonts w:ascii="Arial" w:hAnsi="Arial" w:cs="Arial"/>
          <w:sz w:val="20"/>
          <w:szCs w:val="20"/>
        </w:rPr>
        <w:t xml:space="preserve">łącznie przeprowadzono </w:t>
      </w:r>
      <w:r w:rsidRPr="000F468A">
        <w:rPr>
          <w:rFonts w:ascii="Arial" w:hAnsi="Arial" w:cs="Arial"/>
          <w:sz w:val="20"/>
          <w:szCs w:val="20"/>
        </w:rPr>
        <w:t>601 kontroli</w:t>
      </w:r>
      <w:r w:rsidRPr="004C6CC5">
        <w:rPr>
          <w:rFonts w:ascii="Arial" w:hAnsi="Arial" w:cs="Arial"/>
          <w:sz w:val="20"/>
          <w:szCs w:val="20"/>
        </w:rPr>
        <w:t xml:space="preserve"> jednostek</w:t>
      </w:r>
      <w:r w:rsidR="004C6CC5">
        <w:rPr>
          <w:rFonts w:ascii="Arial" w:hAnsi="Arial" w:cs="Arial"/>
          <w:sz w:val="20"/>
          <w:szCs w:val="20"/>
        </w:rPr>
        <w:t xml:space="preserve"> w </w:t>
      </w:r>
      <w:r w:rsidRPr="004C6CC5">
        <w:rPr>
          <w:rFonts w:ascii="Arial" w:hAnsi="Arial" w:cs="Arial"/>
          <w:sz w:val="20"/>
          <w:szCs w:val="20"/>
        </w:rPr>
        <w:t>celu wydania</w:t>
      </w:r>
      <w:r w:rsidRPr="004C6CC5">
        <w:rPr>
          <w:rFonts w:ascii="Arial" w:hAnsi="Arial" w:cs="Arial"/>
          <w:i/>
          <w:sz w:val="20"/>
          <w:szCs w:val="20"/>
        </w:rPr>
        <w:t xml:space="preserve"> </w:t>
      </w:r>
      <w:r w:rsidRPr="00F666EC">
        <w:rPr>
          <w:rFonts w:ascii="Arial" w:hAnsi="Arial" w:cs="Arial"/>
          <w:sz w:val="20"/>
          <w:szCs w:val="20"/>
        </w:rPr>
        <w:t>Świadectwa Zwolnienia Statku</w:t>
      </w:r>
      <w:r w:rsidR="004C6CC5" w:rsidRPr="00F666EC">
        <w:rPr>
          <w:rFonts w:ascii="Arial" w:hAnsi="Arial" w:cs="Arial"/>
          <w:sz w:val="20"/>
          <w:szCs w:val="20"/>
        </w:rPr>
        <w:t xml:space="preserve"> z </w:t>
      </w:r>
      <w:r w:rsidRPr="00F666EC">
        <w:rPr>
          <w:rFonts w:ascii="Arial" w:hAnsi="Arial" w:cs="Arial"/>
          <w:sz w:val="20"/>
          <w:szCs w:val="20"/>
        </w:rPr>
        <w:t>Zabiegów Sanitarnych (Ship Sanitation Control Exemption Certificate (SSCEC)</w:t>
      </w:r>
      <w:r w:rsidR="00E3196A">
        <w:rPr>
          <w:rFonts w:ascii="Arial" w:hAnsi="Arial" w:cs="Arial"/>
          <w:sz w:val="20"/>
          <w:szCs w:val="20"/>
        </w:rPr>
        <w:t xml:space="preserve">. </w:t>
      </w:r>
      <w:r w:rsidR="006C1DAC">
        <w:rPr>
          <w:rFonts w:ascii="Arial" w:hAnsi="Arial" w:cs="Arial"/>
          <w:sz w:val="20"/>
          <w:szCs w:val="20"/>
        </w:rPr>
        <w:t>W</w:t>
      </w:r>
      <w:r w:rsidR="006C1DAC" w:rsidRPr="00F666EC">
        <w:rPr>
          <w:rFonts w:ascii="Arial" w:hAnsi="Arial" w:cs="Arial"/>
          <w:sz w:val="20"/>
          <w:szCs w:val="20"/>
        </w:rPr>
        <w:t>ydano</w:t>
      </w:r>
      <w:r w:rsidR="006C1DAC">
        <w:rPr>
          <w:rFonts w:ascii="Arial" w:hAnsi="Arial" w:cs="Arial"/>
          <w:sz w:val="20"/>
          <w:szCs w:val="20"/>
        </w:rPr>
        <w:t xml:space="preserve"> t</w:t>
      </w:r>
      <w:r w:rsidR="00E3196A">
        <w:rPr>
          <w:rFonts w:ascii="Arial" w:hAnsi="Arial" w:cs="Arial"/>
          <w:sz w:val="20"/>
          <w:szCs w:val="20"/>
        </w:rPr>
        <w:t>aką samą</w:t>
      </w:r>
      <w:r w:rsidRPr="00F666EC">
        <w:rPr>
          <w:rFonts w:ascii="Arial" w:hAnsi="Arial" w:cs="Arial"/>
          <w:sz w:val="20"/>
          <w:szCs w:val="20"/>
        </w:rPr>
        <w:t xml:space="preserve"> liczbę certyfikatów;</w:t>
      </w:r>
    </w:p>
    <w:p w14:paraId="16940C85" w14:textId="77777777" w:rsidR="006C1DAC" w:rsidRPr="00F666EC" w:rsidRDefault="0011772B" w:rsidP="003C6ECA">
      <w:pPr>
        <w:pStyle w:val="Akapitzlist"/>
        <w:numPr>
          <w:ilvl w:val="0"/>
          <w:numId w:val="19"/>
        </w:numPr>
        <w:spacing w:after="0" w:line="276" w:lineRule="auto"/>
        <w:jc w:val="both"/>
        <w:rPr>
          <w:rFonts w:ascii="Arial" w:hAnsi="Arial" w:cs="Arial"/>
          <w:sz w:val="20"/>
          <w:szCs w:val="20"/>
        </w:rPr>
      </w:pPr>
      <w:r w:rsidRPr="006C1DAC">
        <w:rPr>
          <w:rFonts w:ascii="Arial" w:hAnsi="Arial" w:cs="Arial"/>
          <w:sz w:val="20"/>
          <w:szCs w:val="20"/>
        </w:rPr>
        <w:t xml:space="preserve">łącznie przeprowadzono 49 kontroli punktów medycznych na jednostkach o obcej przynależności celem wydania Certyfikatu Medycznego (Medical Certificate) </w:t>
      </w:r>
      <w:r w:rsidR="006C1DAC" w:rsidRPr="006C1DAC">
        <w:rPr>
          <w:rFonts w:ascii="Arial" w:hAnsi="Arial" w:cs="Arial"/>
          <w:sz w:val="20"/>
          <w:szCs w:val="20"/>
        </w:rPr>
        <w:t>dotyczącego</w:t>
      </w:r>
      <w:r w:rsidRPr="006C1DAC">
        <w:rPr>
          <w:rFonts w:ascii="Arial" w:hAnsi="Arial" w:cs="Arial"/>
          <w:sz w:val="20"/>
          <w:szCs w:val="20"/>
        </w:rPr>
        <w:t xml:space="preserve"> spełnienia minimalnych wymagań</w:t>
      </w:r>
      <w:r w:rsidR="004C6CC5" w:rsidRPr="006C1DAC">
        <w:rPr>
          <w:rFonts w:ascii="Arial" w:hAnsi="Arial" w:cs="Arial"/>
          <w:sz w:val="20"/>
          <w:szCs w:val="20"/>
        </w:rPr>
        <w:t xml:space="preserve"> w </w:t>
      </w:r>
      <w:r w:rsidRPr="006C1DAC">
        <w:rPr>
          <w:rFonts w:ascii="Arial" w:hAnsi="Arial" w:cs="Arial"/>
          <w:sz w:val="20"/>
          <w:szCs w:val="20"/>
        </w:rPr>
        <w:t>dziedzinie bezpieczeństwa</w:t>
      </w:r>
      <w:r w:rsidR="004C6CC5" w:rsidRPr="006C1DAC">
        <w:rPr>
          <w:rFonts w:ascii="Arial" w:hAnsi="Arial" w:cs="Arial"/>
          <w:sz w:val="20"/>
          <w:szCs w:val="20"/>
        </w:rPr>
        <w:t xml:space="preserve"> i </w:t>
      </w:r>
      <w:r w:rsidRPr="006C1DAC">
        <w:rPr>
          <w:rFonts w:ascii="Arial" w:hAnsi="Arial" w:cs="Arial"/>
          <w:sz w:val="20"/>
          <w:szCs w:val="20"/>
        </w:rPr>
        <w:t>ochrony zdrowia</w:t>
      </w:r>
      <w:r w:rsidR="004C6CC5" w:rsidRPr="006C1DAC">
        <w:rPr>
          <w:rFonts w:ascii="Arial" w:hAnsi="Arial" w:cs="Arial"/>
          <w:sz w:val="20"/>
          <w:szCs w:val="20"/>
        </w:rPr>
        <w:t xml:space="preserve"> w </w:t>
      </w:r>
      <w:r w:rsidRPr="006C1DAC">
        <w:rPr>
          <w:rFonts w:ascii="Arial" w:hAnsi="Arial" w:cs="Arial"/>
          <w:sz w:val="20"/>
          <w:szCs w:val="20"/>
        </w:rPr>
        <w:t xml:space="preserve">celu </w:t>
      </w:r>
      <w:r w:rsidRPr="006C1DAC">
        <w:rPr>
          <w:rFonts w:ascii="Arial" w:hAnsi="Arial" w:cs="Arial"/>
          <w:sz w:val="20"/>
          <w:szCs w:val="20"/>
        </w:rPr>
        <w:lastRenderedPageBreak/>
        <w:t xml:space="preserve">zapewnienia wyższego poziomu leczenia na jednostkach pływających. </w:t>
      </w:r>
      <w:r w:rsidR="006C1DAC">
        <w:rPr>
          <w:rFonts w:ascii="Arial" w:hAnsi="Arial" w:cs="Arial"/>
          <w:sz w:val="20"/>
          <w:szCs w:val="20"/>
        </w:rPr>
        <w:t>W</w:t>
      </w:r>
      <w:r w:rsidR="006C1DAC" w:rsidRPr="00F666EC">
        <w:rPr>
          <w:rFonts w:ascii="Arial" w:hAnsi="Arial" w:cs="Arial"/>
          <w:sz w:val="20"/>
          <w:szCs w:val="20"/>
        </w:rPr>
        <w:t>ydano</w:t>
      </w:r>
      <w:r w:rsidR="006C1DAC">
        <w:rPr>
          <w:rFonts w:ascii="Arial" w:hAnsi="Arial" w:cs="Arial"/>
          <w:sz w:val="20"/>
          <w:szCs w:val="20"/>
        </w:rPr>
        <w:t xml:space="preserve"> taką samą</w:t>
      </w:r>
      <w:r w:rsidR="006C1DAC" w:rsidRPr="00F666EC">
        <w:rPr>
          <w:rFonts w:ascii="Arial" w:hAnsi="Arial" w:cs="Arial"/>
          <w:sz w:val="20"/>
          <w:szCs w:val="20"/>
        </w:rPr>
        <w:t xml:space="preserve"> liczbę certyfikatów;</w:t>
      </w:r>
    </w:p>
    <w:p w14:paraId="74E26787" w14:textId="2F7F32F8" w:rsidR="00E3196A" w:rsidRPr="006C1DAC" w:rsidRDefault="0011772B" w:rsidP="003C6ECA">
      <w:pPr>
        <w:pStyle w:val="Akapitzlist"/>
        <w:numPr>
          <w:ilvl w:val="0"/>
          <w:numId w:val="19"/>
        </w:numPr>
        <w:spacing w:after="0" w:line="276" w:lineRule="auto"/>
        <w:jc w:val="both"/>
        <w:rPr>
          <w:rFonts w:ascii="Arial" w:hAnsi="Arial" w:cs="Arial"/>
          <w:sz w:val="20"/>
          <w:szCs w:val="20"/>
        </w:rPr>
      </w:pPr>
      <w:r w:rsidRPr="006C1DAC">
        <w:rPr>
          <w:rFonts w:ascii="Arial" w:hAnsi="Arial" w:cs="Arial"/>
          <w:sz w:val="20"/>
          <w:szCs w:val="20"/>
        </w:rPr>
        <w:t>łącznie przeprowadzono 29 kontroli na zlecenie armatorów</w:t>
      </w:r>
      <w:r w:rsidR="004C6CC5" w:rsidRPr="006C1DAC">
        <w:rPr>
          <w:rFonts w:ascii="Arial" w:hAnsi="Arial" w:cs="Arial"/>
          <w:sz w:val="20"/>
          <w:szCs w:val="20"/>
        </w:rPr>
        <w:t xml:space="preserve"> i </w:t>
      </w:r>
      <w:r w:rsidRPr="006C1DAC">
        <w:rPr>
          <w:rFonts w:ascii="Arial" w:hAnsi="Arial" w:cs="Arial"/>
          <w:sz w:val="20"/>
          <w:szCs w:val="20"/>
        </w:rPr>
        <w:t>właścicieli jednostek pł</w:t>
      </w:r>
      <w:r w:rsidR="00F4379E">
        <w:rPr>
          <w:rFonts w:ascii="Arial" w:hAnsi="Arial" w:cs="Arial"/>
          <w:sz w:val="20"/>
          <w:szCs w:val="20"/>
        </w:rPr>
        <w:t>ywających, celem wydania przez urząd m</w:t>
      </w:r>
      <w:r w:rsidRPr="006C1DAC">
        <w:rPr>
          <w:rFonts w:ascii="Arial" w:hAnsi="Arial" w:cs="Arial"/>
          <w:sz w:val="20"/>
          <w:szCs w:val="20"/>
        </w:rPr>
        <w:t>orski Karty Bezpieczeństwa Żeglugi;</w:t>
      </w:r>
    </w:p>
    <w:p w14:paraId="393AF948" w14:textId="7B1D9EDC" w:rsidR="0011772B" w:rsidRPr="00F4379E" w:rsidRDefault="0011772B" w:rsidP="003C6ECA">
      <w:pPr>
        <w:pStyle w:val="Akapitzlist"/>
        <w:numPr>
          <w:ilvl w:val="0"/>
          <w:numId w:val="31"/>
        </w:numPr>
        <w:spacing w:after="0" w:line="276" w:lineRule="auto"/>
        <w:jc w:val="both"/>
        <w:rPr>
          <w:rFonts w:ascii="Arial" w:hAnsi="Arial" w:cs="Arial"/>
          <w:sz w:val="20"/>
          <w:szCs w:val="20"/>
        </w:rPr>
      </w:pPr>
      <w:r w:rsidRPr="00E3196A">
        <w:rPr>
          <w:rFonts w:ascii="Arial" w:hAnsi="Arial" w:cs="Arial"/>
          <w:sz w:val="20"/>
          <w:szCs w:val="20"/>
        </w:rPr>
        <w:t>nadzoru sanitarnego nad portowymi obiektami lądowymi (punkty gastronomiczne, infrastruktura portowa, zakłady pracy)</w:t>
      </w:r>
      <w:r w:rsidR="004C6CC5" w:rsidRPr="00E3196A">
        <w:rPr>
          <w:rFonts w:ascii="Arial" w:hAnsi="Arial" w:cs="Arial"/>
          <w:sz w:val="20"/>
          <w:szCs w:val="20"/>
        </w:rPr>
        <w:t xml:space="preserve"> i </w:t>
      </w:r>
      <w:r w:rsidR="00F4379E">
        <w:rPr>
          <w:rFonts w:ascii="Arial" w:hAnsi="Arial" w:cs="Arial"/>
          <w:sz w:val="20"/>
          <w:szCs w:val="20"/>
        </w:rPr>
        <w:t xml:space="preserve">przystaniami - </w:t>
      </w:r>
      <w:r w:rsidRPr="00F4379E">
        <w:rPr>
          <w:rFonts w:ascii="Arial" w:hAnsi="Arial" w:cs="Arial"/>
          <w:sz w:val="20"/>
          <w:szCs w:val="20"/>
        </w:rPr>
        <w:t>łącznie przeprowadzono 1615 kontroli;</w:t>
      </w:r>
    </w:p>
    <w:p w14:paraId="1B98973C" w14:textId="3B4F4302" w:rsidR="0011772B" w:rsidRPr="00F4379E" w:rsidRDefault="0011772B" w:rsidP="003C6ECA">
      <w:pPr>
        <w:pStyle w:val="Akapitzlist"/>
        <w:numPr>
          <w:ilvl w:val="0"/>
          <w:numId w:val="31"/>
        </w:numPr>
        <w:spacing w:after="0" w:line="276" w:lineRule="auto"/>
        <w:jc w:val="both"/>
        <w:rPr>
          <w:rFonts w:ascii="Arial" w:hAnsi="Arial" w:cs="Arial"/>
          <w:sz w:val="20"/>
          <w:szCs w:val="20"/>
        </w:rPr>
      </w:pPr>
      <w:r w:rsidRPr="004C6CC5">
        <w:rPr>
          <w:rFonts w:ascii="Arial" w:hAnsi="Arial" w:cs="Arial"/>
          <w:sz w:val="20"/>
          <w:szCs w:val="20"/>
        </w:rPr>
        <w:t>n</w:t>
      </w:r>
      <w:r w:rsidR="00871FF6">
        <w:rPr>
          <w:rFonts w:ascii="Arial" w:hAnsi="Arial" w:cs="Arial"/>
          <w:sz w:val="20"/>
          <w:szCs w:val="20"/>
        </w:rPr>
        <w:t xml:space="preserve">adzoru sanitarnego nad </w:t>
      </w:r>
      <w:r w:rsidRPr="004C6CC5">
        <w:rPr>
          <w:rFonts w:ascii="Arial" w:hAnsi="Arial" w:cs="Arial"/>
          <w:sz w:val="20"/>
          <w:szCs w:val="20"/>
        </w:rPr>
        <w:t>jednostkami pływającymi (</w:t>
      </w:r>
      <w:r w:rsidR="00871FF6">
        <w:rPr>
          <w:rFonts w:ascii="Arial" w:hAnsi="Arial" w:cs="Arial"/>
          <w:sz w:val="20"/>
          <w:szCs w:val="20"/>
        </w:rPr>
        <w:t xml:space="preserve">promy pasażerskie, rekreacyjne </w:t>
      </w:r>
      <w:r w:rsidRPr="004C6CC5">
        <w:rPr>
          <w:rFonts w:ascii="Arial" w:hAnsi="Arial" w:cs="Arial"/>
          <w:sz w:val="20"/>
          <w:szCs w:val="20"/>
        </w:rPr>
        <w:t>i turystyczne) o polskiej przynależności odbywających rejsy po morskich wodach terytorialnych RP oraz morskich wodach wewnętrz</w:t>
      </w:r>
      <w:r w:rsidR="00F4379E">
        <w:rPr>
          <w:rFonts w:ascii="Arial" w:hAnsi="Arial" w:cs="Arial"/>
          <w:sz w:val="20"/>
          <w:szCs w:val="20"/>
        </w:rPr>
        <w:t xml:space="preserve">nych obejmujących polskie porty - </w:t>
      </w:r>
      <w:r w:rsidRPr="00F4379E">
        <w:rPr>
          <w:rFonts w:ascii="Arial" w:hAnsi="Arial" w:cs="Arial"/>
          <w:sz w:val="20"/>
          <w:szCs w:val="20"/>
        </w:rPr>
        <w:t>łącznie przeprowadzono 701 kontroli;</w:t>
      </w:r>
    </w:p>
    <w:p w14:paraId="3BFF2EF6" w14:textId="7BFBC164" w:rsidR="0011772B" w:rsidRPr="00E3196A" w:rsidRDefault="0011772B" w:rsidP="003C6ECA">
      <w:pPr>
        <w:pStyle w:val="Akapitzlist"/>
        <w:numPr>
          <w:ilvl w:val="0"/>
          <w:numId w:val="31"/>
        </w:numPr>
        <w:spacing w:after="0" w:line="276" w:lineRule="auto"/>
        <w:jc w:val="both"/>
        <w:rPr>
          <w:rFonts w:ascii="Arial" w:hAnsi="Arial" w:cs="Arial"/>
          <w:sz w:val="20"/>
          <w:szCs w:val="20"/>
        </w:rPr>
      </w:pPr>
      <w:r w:rsidRPr="00E3196A">
        <w:rPr>
          <w:rFonts w:ascii="Arial" w:hAnsi="Arial" w:cs="Arial"/>
          <w:sz w:val="20"/>
          <w:szCs w:val="20"/>
        </w:rPr>
        <w:t>nadzoru nad wszelkimi zabiegami dez</w:t>
      </w:r>
      <w:r w:rsidR="000A1281">
        <w:rPr>
          <w:rFonts w:ascii="Arial" w:hAnsi="Arial" w:cs="Arial"/>
          <w:sz w:val="20"/>
          <w:szCs w:val="20"/>
        </w:rPr>
        <w:t xml:space="preserve">ynfekcyjnymi, dezynsekcyjnymi i </w:t>
      </w:r>
      <w:r w:rsidRPr="00E3196A">
        <w:rPr>
          <w:rFonts w:ascii="Arial" w:hAnsi="Arial" w:cs="Arial"/>
          <w:sz w:val="20"/>
          <w:szCs w:val="20"/>
        </w:rPr>
        <w:t>deratyzacyjnymi wykonywanymi na terenie obiektów portowych</w:t>
      </w:r>
      <w:r w:rsidR="004C6CC5" w:rsidRPr="00E3196A">
        <w:rPr>
          <w:rFonts w:ascii="Arial" w:hAnsi="Arial" w:cs="Arial"/>
          <w:sz w:val="20"/>
          <w:szCs w:val="20"/>
        </w:rPr>
        <w:t xml:space="preserve"> i </w:t>
      </w:r>
      <w:r w:rsidRPr="00E3196A">
        <w:rPr>
          <w:rFonts w:ascii="Arial" w:hAnsi="Arial" w:cs="Arial"/>
          <w:sz w:val="20"/>
          <w:szCs w:val="20"/>
        </w:rPr>
        <w:t>na statkach;</w:t>
      </w:r>
    </w:p>
    <w:p w14:paraId="47B95501" w14:textId="7E97C33C" w:rsidR="0011772B" w:rsidRPr="004C6CC5" w:rsidRDefault="0011772B" w:rsidP="003C6ECA">
      <w:pPr>
        <w:pStyle w:val="Akapitzlist"/>
        <w:numPr>
          <w:ilvl w:val="0"/>
          <w:numId w:val="31"/>
        </w:numPr>
        <w:spacing w:after="0" w:line="276" w:lineRule="auto"/>
        <w:jc w:val="both"/>
        <w:rPr>
          <w:rFonts w:ascii="Arial" w:hAnsi="Arial" w:cs="Arial"/>
          <w:i/>
          <w:sz w:val="20"/>
          <w:szCs w:val="20"/>
        </w:rPr>
      </w:pPr>
      <w:r w:rsidRPr="004C6CC5">
        <w:rPr>
          <w:rFonts w:ascii="Arial" w:hAnsi="Arial" w:cs="Arial"/>
          <w:sz w:val="20"/>
          <w:szCs w:val="20"/>
        </w:rPr>
        <w:t>wykonywania obowiązków wynikających</w:t>
      </w:r>
      <w:r w:rsidR="004C6CC5">
        <w:rPr>
          <w:rFonts w:ascii="Arial" w:hAnsi="Arial" w:cs="Arial"/>
          <w:sz w:val="20"/>
          <w:szCs w:val="20"/>
        </w:rPr>
        <w:t xml:space="preserve"> z </w:t>
      </w:r>
      <w:r w:rsidRPr="004C6CC5">
        <w:rPr>
          <w:rFonts w:ascii="Arial" w:hAnsi="Arial" w:cs="Arial"/>
          <w:sz w:val="20"/>
          <w:szCs w:val="20"/>
        </w:rPr>
        <w:t>międzynarodowych przepisów zdrowotnych</w:t>
      </w:r>
      <w:r w:rsidR="004C6CC5">
        <w:rPr>
          <w:rFonts w:ascii="Arial" w:hAnsi="Arial" w:cs="Arial"/>
          <w:sz w:val="20"/>
          <w:szCs w:val="20"/>
        </w:rPr>
        <w:t xml:space="preserve"> i </w:t>
      </w:r>
      <w:r w:rsidRPr="004C6CC5">
        <w:rPr>
          <w:rFonts w:ascii="Arial" w:hAnsi="Arial" w:cs="Arial"/>
          <w:sz w:val="20"/>
          <w:szCs w:val="20"/>
        </w:rPr>
        <w:t>konwencji międzynarodowych ratyfikowanych przez Polskę,</w:t>
      </w:r>
      <w:r w:rsidR="00AA497D">
        <w:rPr>
          <w:rFonts w:ascii="Arial" w:hAnsi="Arial" w:cs="Arial"/>
          <w:sz w:val="20"/>
          <w:szCs w:val="20"/>
        </w:rPr>
        <w:t xml:space="preserve"> w </w:t>
      </w:r>
      <w:r w:rsidRPr="004C6CC5">
        <w:rPr>
          <w:rFonts w:ascii="Arial" w:hAnsi="Arial" w:cs="Arial"/>
          <w:sz w:val="20"/>
          <w:szCs w:val="20"/>
        </w:rPr>
        <w:t>tym wykonywanie szczepień ochronnych wymaganych</w:t>
      </w:r>
      <w:r w:rsidR="004C6CC5">
        <w:rPr>
          <w:rFonts w:ascii="Arial" w:hAnsi="Arial" w:cs="Arial"/>
          <w:sz w:val="20"/>
          <w:szCs w:val="20"/>
        </w:rPr>
        <w:t xml:space="preserve"> w </w:t>
      </w:r>
      <w:r w:rsidRPr="004C6CC5">
        <w:rPr>
          <w:rFonts w:ascii="Arial" w:hAnsi="Arial" w:cs="Arial"/>
          <w:sz w:val="20"/>
          <w:szCs w:val="20"/>
        </w:rPr>
        <w:t>ruchu międzynarodowym. Łączna liczba wykonanych</w:t>
      </w:r>
      <w:r w:rsidRPr="000F468A">
        <w:rPr>
          <w:rFonts w:ascii="Arial" w:hAnsi="Arial" w:cs="Arial"/>
          <w:sz w:val="20"/>
          <w:szCs w:val="20"/>
        </w:rPr>
        <w:t xml:space="preserve"> szczepień</w:t>
      </w:r>
      <w:r w:rsidR="004C6CC5">
        <w:rPr>
          <w:rFonts w:ascii="Arial" w:hAnsi="Arial" w:cs="Arial"/>
          <w:sz w:val="20"/>
          <w:szCs w:val="20"/>
        </w:rPr>
        <w:t xml:space="preserve"> w </w:t>
      </w:r>
      <w:r w:rsidR="00AA497D">
        <w:rPr>
          <w:rFonts w:ascii="Arial" w:hAnsi="Arial" w:cs="Arial"/>
          <w:sz w:val="20"/>
          <w:szCs w:val="20"/>
        </w:rPr>
        <w:t>2019 r.</w:t>
      </w:r>
      <w:r w:rsidRPr="000F468A">
        <w:rPr>
          <w:rFonts w:ascii="Arial" w:hAnsi="Arial" w:cs="Arial"/>
          <w:sz w:val="20"/>
          <w:szCs w:val="20"/>
        </w:rPr>
        <w:t xml:space="preserve"> to 947</w:t>
      </w:r>
      <w:r w:rsidRPr="004C6CC5">
        <w:rPr>
          <w:rFonts w:ascii="Arial" w:hAnsi="Arial" w:cs="Arial"/>
          <w:sz w:val="20"/>
          <w:szCs w:val="20"/>
        </w:rPr>
        <w:t>:</w:t>
      </w:r>
    </w:p>
    <w:p w14:paraId="2BFEE5B3" w14:textId="64F6D86A" w:rsidR="0011772B" w:rsidRPr="004C6CC5" w:rsidRDefault="0011772B" w:rsidP="003C6ECA">
      <w:pPr>
        <w:pStyle w:val="Akapitzlist"/>
        <w:numPr>
          <w:ilvl w:val="0"/>
          <w:numId w:val="20"/>
        </w:numPr>
        <w:spacing w:after="0" w:line="276" w:lineRule="auto"/>
        <w:jc w:val="both"/>
        <w:rPr>
          <w:rFonts w:ascii="Arial" w:hAnsi="Arial" w:cs="Arial"/>
          <w:i/>
          <w:sz w:val="20"/>
          <w:szCs w:val="20"/>
        </w:rPr>
      </w:pPr>
      <w:r w:rsidRPr="004C6CC5">
        <w:rPr>
          <w:rFonts w:ascii="Arial" w:hAnsi="Arial" w:cs="Arial"/>
          <w:sz w:val="20"/>
          <w:szCs w:val="20"/>
        </w:rPr>
        <w:t>w Granicznej Stacji Sanitarno-Epidemiologicznej</w:t>
      </w:r>
      <w:r w:rsidR="004C6CC5">
        <w:rPr>
          <w:rFonts w:ascii="Arial" w:hAnsi="Arial" w:cs="Arial"/>
          <w:sz w:val="20"/>
          <w:szCs w:val="20"/>
        </w:rPr>
        <w:t xml:space="preserve"> w </w:t>
      </w:r>
      <w:r w:rsidRPr="004C6CC5">
        <w:rPr>
          <w:rFonts w:ascii="Arial" w:hAnsi="Arial" w:cs="Arial"/>
          <w:sz w:val="20"/>
          <w:szCs w:val="20"/>
        </w:rPr>
        <w:t>Szczecinie prowadzony jest jeden</w:t>
      </w:r>
      <w:r w:rsidR="004C6CC5">
        <w:rPr>
          <w:rFonts w:ascii="Arial" w:hAnsi="Arial" w:cs="Arial"/>
          <w:sz w:val="20"/>
          <w:szCs w:val="20"/>
        </w:rPr>
        <w:t xml:space="preserve"> z </w:t>
      </w:r>
      <w:r w:rsidRPr="004C6CC5">
        <w:rPr>
          <w:rFonts w:ascii="Arial" w:hAnsi="Arial" w:cs="Arial"/>
          <w:sz w:val="20"/>
          <w:szCs w:val="20"/>
        </w:rPr>
        <w:t>nielicznych</w:t>
      </w:r>
      <w:r w:rsidR="004C6CC5">
        <w:rPr>
          <w:rFonts w:ascii="Arial" w:hAnsi="Arial" w:cs="Arial"/>
          <w:sz w:val="20"/>
          <w:szCs w:val="20"/>
        </w:rPr>
        <w:t xml:space="preserve"> w </w:t>
      </w:r>
      <w:r w:rsidR="00AA497D">
        <w:rPr>
          <w:rFonts w:ascii="Arial" w:hAnsi="Arial" w:cs="Arial"/>
          <w:sz w:val="20"/>
          <w:szCs w:val="20"/>
        </w:rPr>
        <w:t xml:space="preserve">kraju </w:t>
      </w:r>
      <w:r w:rsidRPr="004C6CC5">
        <w:rPr>
          <w:rFonts w:ascii="Arial" w:hAnsi="Arial" w:cs="Arial"/>
          <w:sz w:val="20"/>
          <w:szCs w:val="20"/>
        </w:rPr>
        <w:t>referencyjny punkt szczepień ochronnych dla marynarzy oraz osób podróżujących do wszystkich krajów świata.</w:t>
      </w:r>
      <w:r w:rsidRPr="004C6CC5">
        <w:rPr>
          <w:rFonts w:ascii="Arial" w:hAnsi="Arial" w:cs="Arial"/>
          <w:i/>
          <w:sz w:val="20"/>
          <w:szCs w:val="20"/>
        </w:rPr>
        <w:t xml:space="preserve"> </w:t>
      </w:r>
      <w:r w:rsidRPr="004C6CC5">
        <w:rPr>
          <w:rFonts w:ascii="Arial" w:hAnsi="Arial" w:cs="Arial"/>
          <w:sz w:val="20"/>
          <w:szCs w:val="20"/>
        </w:rPr>
        <w:t>Liczba</w:t>
      </w:r>
      <w:r w:rsidRPr="000F468A">
        <w:rPr>
          <w:rFonts w:ascii="Arial" w:hAnsi="Arial" w:cs="Arial"/>
          <w:sz w:val="20"/>
          <w:szCs w:val="20"/>
        </w:rPr>
        <w:t xml:space="preserve"> szczepień</w:t>
      </w:r>
      <w:r w:rsidR="004C6CC5">
        <w:rPr>
          <w:rFonts w:ascii="Arial" w:hAnsi="Arial" w:cs="Arial"/>
          <w:sz w:val="20"/>
          <w:szCs w:val="20"/>
        </w:rPr>
        <w:t xml:space="preserve"> w </w:t>
      </w:r>
      <w:r w:rsidR="00AA497D">
        <w:rPr>
          <w:rFonts w:ascii="Arial" w:hAnsi="Arial" w:cs="Arial"/>
          <w:sz w:val="20"/>
          <w:szCs w:val="20"/>
        </w:rPr>
        <w:t>2019 r.</w:t>
      </w:r>
      <w:r w:rsidRPr="000F468A">
        <w:rPr>
          <w:rFonts w:ascii="Arial" w:hAnsi="Arial" w:cs="Arial"/>
          <w:sz w:val="20"/>
          <w:szCs w:val="20"/>
        </w:rPr>
        <w:t xml:space="preserve"> to 915</w:t>
      </w:r>
      <w:r w:rsidRPr="004C6CC5">
        <w:rPr>
          <w:rFonts w:ascii="Arial" w:hAnsi="Arial" w:cs="Arial"/>
          <w:i/>
          <w:sz w:val="20"/>
          <w:szCs w:val="20"/>
        </w:rPr>
        <w:t>;</w:t>
      </w:r>
    </w:p>
    <w:p w14:paraId="1E3FE05C" w14:textId="08B47FDB" w:rsidR="0011772B" w:rsidRPr="004C6CC5" w:rsidRDefault="0011772B" w:rsidP="003C6ECA">
      <w:pPr>
        <w:pStyle w:val="Akapitzlist"/>
        <w:numPr>
          <w:ilvl w:val="0"/>
          <w:numId w:val="20"/>
        </w:numPr>
        <w:spacing w:after="0" w:line="276" w:lineRule="auto"/>
        <w:jc w:val="both"/>
        <w:rPr>
          <w:rFonts w:ascii="Arial" w:hAnsi="Arial" w:cs="Arial"/>
          <w:sz w:val="20"/>
          <w:szCs w:val="20"/>
        </w:rPr>
      </w:pPr>
      <w:r w:rsidRPr="004C6CC5">
        <w:rPr>
          <w:rFonts w:ascii="Arial" w:hAnsi="Arial" w:cs="Arial"/>
          <w:sz w:val="20"/>
          <w:szCs w:val="20"/>
        </w:rPr>
        <w:t>w Granicznej St</w:t>
      </w:r>
      <w:r w:rsidR="00AA497D">
        <w:rPr>
          <w:rFonts w:ascii="Arial" w:hAnsi="Arial" w:cs="Arial"/>
          <w:sz w:val="20"/>
          <w:szCs w:val="20"/>
        </w:rPr>
        <w:t xml:space="preserve">acji Sanitarno-Epidemiologicznej w </w:t>
      </w:r>
      <w:r w:rsidRPr="004C6CC5">
        <w:rPr>
          <w:rFonts w:ascii="Arial" w:hAnsi="Arial" w:cs="Arial"/>
          <w:sz w:val="20"/>
          <w:szCs w:val="20"/>
        </w:rPr>
        <w:t>Świnoujściu również znajduje się Międzynarodowy Punkt Szczepień (MPR),</w:t>
      </w:r>
      <w:r w:rsidR="004C6CC5">
        <w:rPr>
          <w:rFonts w:ascii="Arial" w:hAnsi="Arial" w:cs="Arial"/>
          <w:sz w:val="20"/>
          <w:szCs w:val="20"/>
        </w:rPr>
        <w:t xml:space="preserve"> w </w:t>
      </w:r>
      <w:r w:rsidRPr="004C6CC5">
        <w:rPr>
          <w:rFonts w:ascii="Arial" w:hAnsi="Arial" w:cs="Arial"/>
          <w:sz w:val="20"/>
          <w:szCs w:val="20"/>
        </w:rPr>
        <w:t xml:space="preserve">którym wykonano </w:t>
      </w:r>
      <w:r w:rsidRPr="000F468A">
        <w:rPr>
          <w:rFonts w:ascii="Arial" w:hAnsi="Arial" w:cs="Arial"/>
          <w:sz w:val="20"/>
          <w:szCs w:val="20"/>
        </w:rPr>
        <w:t>32 szczepienia przeciwko żółtej febrze;</w:t>
      </w:r>
    </w:p>
    <w:p w14:paraId="25D70DDC" w14:textId="13732E96" w:rsidR="0011772B" w:rsidRPr="00C6130E" w:rsidRDefault="0011772B" w:rsidP="003C6ECA">
      <w:pPr>
        <w:pStyle w:val="Akapitzlist"/>
        <w:numPr>
          <w:ilvl w:val="0"/>
          <w:numId w:val="32"/>
        </w:numPr>
        <w:spacing w:after="0" w:line="276" w:lineRule="auto"/>
        <w:jc w:val="both"/>
        <w:rPr>
          <w:rFonts w:ascii="Arial" w:hAnsi="Arial" w:cs="Arial"/>
          <w:sz w:val="20"/>
          <w:szCs w:val="20"/>
        </w:rPr>
      </w:pPr>
      <w:r w:rsidRPr="00AA497D">
        <w:rPr>
          <w:rFonts w:ascii="Arial" w:hAnsi="Arial" w:cs="Arial"/>
          <w:sz w:val="20"/>
          <w:szCs w:val="20"/>
        </w:rPr>
        <w:t>poradnictwa</w:t>
      </w:r>
      <w:r w:rsidR="004C6CC5" w:rsidRPr="00AA497D">
        <w:rPr>
          <w:rFonts w:ascii="Arial" w:hAnsi="Arial" w:cs="Arial"/>
          <w:sz w:val="20"/>
          <w:szCs w:val="20"/>
        </w:rPr>
        <w:t xml:space="preserve"> z </w:t>
      </w:r>
      <w:r w:rsidRPr="00AA497D">
        <w:rPr>
          <w:rFonts w:ascii="Arial" w:hAnsi="Arial" w:cs="Arial"/>
          <w:sz w:val="20"/>
          <w:szCs w:val="20"/>
        </w:rPr>
        <w:t>zakresu medycyny podróży</w:t>
      </w:r>
      <w:r w:rsidR="004C6CC5" w:rsidRPr="00AA497D">
        <w:rPr>
          <w:rFonts w:ascii="Arial" w:hAnsi="Arial" w:cs="Arial"/>
          <w:sz w:val="20"/>
          <w:szCs w:val="20"/>
        </w:rPr>
        <w:t xml:space="preserve"> i </w:t>
      </w:r>
      <w:r w:rsidRPr="00AA497D">
        <w:rPr>
          <w:rFonts w:ascii="Arial" w:hAnsi="Arial" w:cs="Arial"/>
          <w:sz w:val="20"/>
          <w:szCs w:val="20"/>
        </w:rPr>
        <w:t>szczepień obowiązkowych</w:t>
      </w:r>
      <w:r w:rsidR="004C6CC5" w:rsidRPr="00AA497D">
        <w:rPr>
          <w:rFonts w:ascii="Arial" w:hAnsi="Arial" w:cs="Arial"/>
          <w:sz w:val="20"/>
          <w:szCs w:val="20"/>
        </w:rPr>
        <w:t xml:space="preserve"> i </w:t>
      </w:r>
      <w:r w:rsidRPr="00AA497D">
        <w:rPr>
          <w:rFonts w:ascii="Arial" w:hAnsi="Arial" w:cs="Arial"/>
          <w:sz w:val="20"/>
          <w:szCs w:val="20"/>
        </w:rPr>
        <w:t>zalecanych oraz profilaktyki chorób zakaźnych</w:t>
      </w:r>
      <w:r w:rsidR="004C6CC5" w:rsidRPr="00AA497D">
        <w:rPr>
          <w:rFonts w:ascii="Arial" w:hAnsi="Arial" w:cs="Arial"/>
          <w:sz w:val="20"/>
          <w:szCs w:val="20"/>
        </w:rPr>
        <w:t xml:space="preserve"> i </w:t>
      </w:r>
      <w:r w:rsidR="00C6130E">
        <w:rPr>
          <w:rFonts w:ascii="Arial" w:hAnsi="Arial" w:cs="Arial"/>
          <w:sz w:val="20"/>
          <w:szCs w:val="20"/>
        </w:rPr>
        <w:t>pasożytniczych - w 2019 r.</w:t>
      </w:r>
      <w:r w:rsidRPr="00C6130E">
        <w:rPr>
          <w:rFonts w:ascii="Arial" w:hAnsi="Arial" w:cs="Arial"/>
          <w:sz w:val="20"/>
          <w:szCs w:val="20"/>
        </w:rPr>
        <w:t xml:space="preserve"> udzielono 1995 porad;</w:t>
      </w:r>
    </w:p>
    <w:p w14:paraId="463B703C" w14:textId="554584B0" w:rsidR="0011772B" w:rsidRPr="004C6CC5" w:rsidRDefault="0011772B" w:rsidP="003C6ECA">
      <w:pPr>
        <w:pStyle w:val="Akapitzlist"/>
        <w:numPr>
          <w:ilvl w:val="0"/>
          <w:numId w:val="32"/>
        </w:numPr>
        <w:spacing w:after="0" w:line="276" w:lineRule="auto"/>
        <w:jc w:val="both"/>
        <w:rPr>
          <w:rFonts w:ascii="Arial" w:hAnsi="Arial" w:cs="Arial"/>
          <w:sz w:val="20"/>
          <w:szCs w:val="20"/>
        </w:rPr>
      </w:pPr>
      <w:r w:rsidRPr="004C6CC5">
        <w:rPr>
          <w:rFonts w:ascii="Arial" w:hAnsi="Arial" w:cs="Arial"/>
          <w:sz w:val="20"/>
          <w:szCs w:val="20"/>
        </w:rPr>
        <w:t>kontroli, zapobiegania</w:t>
      </w:r>
      <w:r w:rsidR="004C6CC5">
        <w:rPr>
          <w:rFonts w:ascii="Arial" w:hAnsi="Arial" w:cs="Arial"/>
          <w:sz w:val="20"/>
          <w:szCs w:val="20"/>
        </w:rPr>
        <w:t xml:space="preserve"> i </w:t>
      </w:r>
      <w:r w:rsidRPr="004C6CC5">
        <w:rPr>
          <w:rFonts w:ascii="Arial" w:hAnsi="Arial" w:cs="Arial"/>
          <w:sz w:val="20"/>
          <w:szCs w:val="20"/>
        </w:rPr>
        <w:t>nadzoru nad przypadkami zachorowań na choroby zakaźne zawleczone drogą morską, przeprowadzanie wywiadów</w:t>
      </w:r>
      <w:r w:rsidR="004C6CC5">
        <w:rPr>
          <w:rFonts w:ascii="Arial" w:hAnsi="Arial" w:cs="Arial"/>
          <w:sz w:val="20"/>
          <w:szCs w:val="20"/>
        </w:rPr>
        <w:t xml:space="preserve"> i </w:t>
      </w:r>
      <w:r w:rsidRPr="004C6CC5">
        <w:rPr>
          <w:rFonts w:ascii="Arial" w:hAnsi="Arial" w:cs="Arial"/>
          <w:sz w:val="20"/>
          <w:szCs w:val="20"/>
        </w:rPr>
        <w:t>dochodzeń epidemiologicznych:</w:t>
      </w:r>
    </w:p>
    <w:p w14:paraId="3858A017" w14:textId="7471CA51" w:rsidR="0011772B" w:rsidRPr="00F4599E" w:rsidRDefault="00D40D26" w:rsidP="003C6ECA">
      <w:pPr>
        <w:pStyle w:val="Akapitzlist"/>
        <w:numPr>
          <w:ilvl w:val="0"/>
          <w:numId w:val="21"/>
        </w:numPr>
        <w:spacing w:after="0" w:line="276" w:lineRule="auto"/>
        <w:jc w:val="both"/>
        <w:rPr>
          <w:rFonts w:ascii="Arial" w:hAnsi="Arial" w:cs="Arial"/>
          <w:sz w:val="20"/>
          <w:szCs w:val="20"/>
        </w:rPr>
      </w:pPr>
      <w:r>
        <w:rPr>
          <w:rFonts w:ascii="Arial" w:hAnsi="Arial" w:cs="Arial"/>
          <w:sz w:val="20"/>
          <w:szCs w:val="20"/>
        </w:rPr>
        <w:t>przeprowadzono</w:t>
      </w:r>
      <w:r w:rsidR="0011772B" w:rsidRPr="004C6CC5">
        <w:rPr>
          <w:rFonts w:ascii="Arial" w:hAnsi="Arial" w:cs="Arial"/>
          <w:sz w:val="20"/>
          <w:szCs w:val="20"/>
        </w:rPr>
        <w:t xml:space="preserve"> </w:t>
      </w:r>
      <w:r w:rsidR="0011772B" w:rsidRPr="000F468A">
        <w:rPr>
          <w:rFonts w:ascii="Arial" w:hAnsi="Arial" w:cs="Arial"/>
          <w:sz w:val="20"/>
          <w:szCs w:val="20"/>
        </w:rPr>
        <w:t>2 czynności kontrolne</w:t>
      </w:r>
      <w:r w:rsidR="0011772B" w:rsidRPr="004C6CC5">
        <w:rPr>
          <w:rFonts w:ascii="Arial" w:hAnsi="Arial" w:cs="Arial"/>
          <w:sz w:val="20"/>
          <w:szCs w:val="20"/>
        </w:rPr>
        <w:t xml:space="preserve"> na jednostkach przybyłych ze strefy o potencjalnym zagrożeniu epidemiologicznym, celem wydania dokumentu </w:t>
      </w:r>
      <w:r w:rsidR="0011772B" w:rsidRPr="00F4599E">
        <w:rPr>
          <w:rFonts w:ascii="Arial" w:hAnsi="Arial" w:cs="Arial"/>
          <w:sz w:val="20"/>
          <w:szCs w:val="20"/>
        </w:rPr>
        <w:t>Prawo Wolności Ruchów (Free Pratique);</w:t>
      </w:r>
    </w:p>
    <w:p w14:paraId="28038E5F" w14:textId="7A928F7B" w:rsidR="0011772B" w:rsidRPr="00C6130E" w:rsidRDefault="0011772B" w:rsidP="003C6ECA">
      <w:pPr>
        <w:pStyle w:val="Akapitzlist"/>
        <w:numPr>
          <w:ilvl w:val="0"/>
          <w:numId w:val="14"/>
        </w:numPr>
        <w:spacing w:after="0" w:line="276" w:lineRule="auto"/>
        <w:jc w:val="both"/>
        <w:rPr>
          <w:rFonts w:ascii="Arial" w:hAnsi="Arial" w:cs="Arial"/>
          <w:sz w:val="20"/>
          <w:szCs w:val="20"/>
        </w:rPr>
      </w:pPr>
      <w:r w:rsidRPr="00C6130E">
        <w:rPr>
          <w:rFonts w:ascii="Arial" w:hAnsi="Arial" w:cs="Arial"/>
          <w:sz w:val="20"/>
          <w:szCs w:val="20"/>
        </w:rPr>
        <w:t>współdziałania przy organizowaniu</w:t>
      </w:r>
      <w:r w:rsidR="004C6CC5" w:rsidRPr="00C6130E">
        <w:rPr>
          <w:rFonts w:ascii="Arial" w:hAnsi="Arial" w:cs="Arial"/>
          <w:sz w:val="20"/>
          <w:szCs w:val="20"/>
        </w:rPr>
        <w:t xml:space="preserve"> i </w:t>
      </w:r>
      <w:r w:rsidRPr="00C6130E">
        <w:rPr>
          <w:rFonts w:ascii="Arial" w:hAnsi="Arial" w:cs="Arial"/>
          <w:sz w:val="20"/>
          <w:szCs w:val="20"/>
        </w:rPr>
        <w:t>kierowaniu akcją sanitarną</w:t>
      </w:r>
      <w:r w:rsidR="004C6CC5" w:rsidRPr="00C6130E">
        <w:rPr>
          <w:rFonts w:ascii="Arial" w:hAnsi="Arial" w:cs="Arial"/>
          <w:sz w:val="20"/>
          <w:szCs w:val="20"/>
        </w:rPr>
        <w:t xml:space="preserve"> w </w:t>
      </w:r>
      <w:r w:rsidRPr="00C6130E">
        <w:rPr>
          <w:rFonts w:ascii="Arial" w:hAnsi="Arial" w:cs="Arial"/>
          <w:sz w:val="20"/>
          <w:szCs w:val="20"/>
        </w:rPr>
        <w:t>przypadku zaistnienia stanów masowego zagrożenia</w:t>
      </w:r>
      <w:r w:rsidR="004C6CC5" w:rsidRPr="00C6130E">
        <w:rPr>
          <w:rFonts w:ascii="Arial" w:hAnsi="Arial" w:cs="Arial"/>
          <w:sz w:val="20"/>
          <w:szCs w:val="20"/>
        </w:rPr>
        <w:t xml:space="preserve"> i </w:t>
      </w:r>
      <w:r w:rsidRPr="00C6130E">
        <w:rPr>
          <w:rFonts w:ascii="Arial" w:hAnsi="Arial" w:cs="Arial"/>
          <w:sz w:val="20"/>
          <w:szCs w:val="20"/>
        </w:rPr>
        <w:t>stanów awaryjnych na obszarze wód terytorialnych;</w:t>
      </w:r>
    </w:p>
    <w:p w14:paraId="2CF161B5" w14:textId="03C497E3" w:rsidR="0011772B" w:rsidRPr="00C6130E" w:rsidRDefault="0011772B" w:rsidP="003C6ECA">
      <w:pPr>
        <w:pStyle w:val="Akapitzlist"/>
        <w:numPr>
          <w:ilvl w:val="0"/>
          <w:numId w:val="14"/>
        </w:numPr>
        <w:spacing w:after="0" w:line="276" w:lineRule="auto"/>
        <w:jc w:val="both"/>
        <w:rPr>
          <w:rFonts w:ascii="Arial" w:hAnsi="Arial" w:cs="Arial"/>
          <w:sz w:val="20"/>
          <w:szCs w:val="20"/>
        </w:rPr>
      </w:pPr>
      <w:r w:rsidRPr="00C6130E">
        <w:rPr>
          <w:rFonts w:ascii="Arial" w:hAnsi="Arial" w:cs="Arial"/>
          <w:sz w:val="20"/>
          <w:szCs w:val="20"/>
        </w:rPr>
        <w:t>nadzoru nad warunkami sanitarnymi transportu pasażerskiego na przejściach granicznych morskich;</w:t>
      </w:r>
    </w:p>
    <w:p w14:paraId="433E1C25" w14:textId="7E7BD104" w:rsidR="0011772B" w:rsidRPr="00C6130E" w:rsidRDefault="0011772B" w:rsidP="003C6ECA">
      <w:pPr>
        <w:pStyle w:val="Akapitzlist"/>
        <w:numPr>
          <w:ilvl w:val="0"/>
          <w:numId w:val="14"/>
        </w:numPr>
        <w:spacing w:after="0" w:line="276" w:lineRule="auto"/>
        <w:jc w:val="both"/>
        <w:rPr>
          <w:rFonts w:ascii="Arial" w:hAnsi="Arial" w:cs="Arial"/>
          <w:sz w:val="20"/>
          <w:szCs w:val="20"/>
        </w:rPr>
      </w:pPr>
      <w:r w:rsidRPr="00C6130E">
        <w:rPr>
          <w:rFonts w:ascii="Arial" w:hAnsi="Arial" w:cs="Arial"/>
          <w:sz w:val="20"/>
          <w:szCs w:val="20"/>
        </w:rPr>
        <w:t>nadzoru sanitarnego nad jakością wody</w:t>
      </w:r>
      <w:r w:rsidR="004C6CC5" w:rsidRPr="00C6130E">
        <w:rPr>
          <w:rFonts w:ascii="Arial" w:hAnsi="Arial" w:cs="Arial"/>
          <w:sz w:val="20"/>
          <w:szCs w:val="20"/>
        </w:rPr>
        <w:t xml:space="preserve"> z </w:t>
      </w:r>
      <w:r w:rsidRPr="00C6130E">
        <w:rPr>
          <w:rFonts w:ascii="Arial" w:hAnsi="Arial" w:cs="Arial"/>
          <w:sz w:val="20"/>
          <w:szCs w:val="20"/>
        </w:rPr>
        <w:t>urządzeń służących do zaopatrywania</w:t>
      </w:r>
      <w:r w:rsidR="00B40519">
        <w:rPr>
          <w:rFonts w:ascii="Arial" w:hAnsi="Arial" w:cs="Arial"/>
          <w:sz w:val="20"/>
          <w:szCs w:val="20"/>
        </w:rPr>
        <w:t xml:space="preserve"> w </w:t>
      </w:r>
      <w:r w:rsidRPr="00C6130E">
        <w:rPr>
          <w:rFonts w:ascii="Arial" w:hAnsi="Arial" w:cs="Arial"/>
          <w:sz w:val="20"/>
          <w:szCs w:val="20"/>
        </w:rPr>
        <w:t>wodę przeznaczoną do spożycia przez ludzi</w:t>
      </w:r>
      <w:r w:rsidR="004C6CC5" w:rsidRPr="00C6130E">
        <w:rPr>
          <w:rFonts w:ascii="Arial" w:hAnsi="Arial" w:cs="Arial"/>
          <w:sz w:val="20"/>
          <w:szCs w:val="20"/>
        </w:rPr>
        <w:t xml:space="preserve"> i </w:t>
      </w:r>
      <w:r w:rsidRPr="00C6130E">
        <w:rPr>
          <w:rFonts w:ascii="Arial" w:hAnsi="Arial" w:cs="Arial"/>
          <w:sz w:val="20"/>
          <w:szCs w:val="20"/>
        </w:rPr>
        <w:t>na potrzeby gospodarcze na jednostkach pływających</w:t>
      </w:r>
      <w:r w:rsidR="004C6CC5" w:rsidRPr="00C6130E">
        <w:rPr>
          <w:rFonts w:ascii="Arial" w:hAnsi="Arial" w:cs="Arial"/>
          <w:sz w:val="20"/>
          <w:szCs w:val="20"/>
        </w:rPr>
        <w:t xml:space="preserve"> </w:t>
      </w:r>
      <w:r w:rsidR="00B40519">
        <w:rPr>
          <w:rFonts w:ascii="Arial" w:hAnsi="Arial" w:cs="Arial"/>
          <w:sz w:val="20"/>
          <w:szCs w:val="20"/>
        </w:rPr>
        <w:br/>
      </w:r>
      <w:r w:rsidR="004C6CC5" w:rsidRPr="00C6130E">
        <w:rPr>
          <w:rFonts w:ascii="Arial" w:hAnsi="Arial" w:cs="Arial"/>
          <w:sz w:val="20"/>
          <w:szCs w:val="20"/>
        </w:rPr>
        <w:t>i w </w:t>
      </w:r>
      <w:r w:rsidRPr="00C6130E">
        <w:rPr>
          <w:rFonts w:ascii="Arial" w:hAnsi="Arial" w:cs="Arial"/>
          <w:sz w:val="20"/>
          <w:szCs w:val="20"/>
        </w:rPr>
        <w:t>obiektach portowych:</w:t>
      </w:r>
    </w:p>
    <w:p w14:paraId="478AFA5E" w14:textId="18F227FE" w:rsidR="00C6130E" w:rsidRPr="00C6130E" w:rsidRDefault="0011772B" w:rsidP="003C6ECA">
      <w:pPr>
        <w:pStyle w:val="Akapitzlist"/>
        <w:numPr>
          <w:ilvl w:val="0"/>
          <w:numId w:val="21"/>
        </w:numPr>
        <w:spacing w:after="0" w:line="276" w:lineRule="auto"/>
        <w:jc w:val="both"/>
        <w:rPr>
          <w:rFonts w:ascii="Arial" w:hAnsi="Arial" w:cs="Arial"/>
          <w:sz w:val="20"/>
          <w:szCs w:val="20"/>
        </w:rPr>
      </w:pPr>
      <w:r w:rsidRPr="000F468A">
        <w:rPr>
          <w:rFonts w:ascii="Arial" w:hAnsi="Arial" w:cs="Arial"/>
          <w:sz w:val="20"/>
          <w:szCs w:val="20"/>
        </w:rPr>
        <w:t>w</w:t>
      </w:r>
      <w:r w:rsidR="00B40519">
        <w:rPr>
          <w:rFonts w:ascii="Arial" w:hAnsi="Arial" w:cs="Arial"/>
          <w:sz w:val="20"/>
          <w:szCs w:val="20"/>
        </w:rPr>
        <w:t xml:space="preserve"> 2019 r.</w:t>
      </w:r>
      <w:r w:rsidRPr="000F468A">
        <w:rPr>
          <w:rFonts w:ascii="Arial" w:hAnsi="Arial" w:cs="Arial"/>
          <w:sz w:val="20"/>
          <w:szCs w:val="20"/>
        </w:rPr>
        <w:t xml:space="preserve"> pobrano 434 próbki wody pitnej</w:t>
      </w:r>
      <w:r w:rsidRPr="004C6CC5">
        <w:rPr>
          <w:rFonts w:ascii="Arial" w:hAnsi="Arial" w:cs="Arial"/>
          <w:sz w:val="20"/>
          <w:szCs w:val="20"/>
        </w:rPr>
        <w:t xml:space="preserve"> ze zbiorników statków morskich, jednostek żeglugi śródlądowej oraz infrastruktury portowej do badań mikrobiologicznych);</w:t>
      </w:r>
    </w:p>
    <w:p w14:paraId="344B9ED1" w14:textId="017E8AFC" w:rsidR="0011772B" w:rsidRPr="00C6130E" w:rsidRDefault="0011772B" w:rsidP="003C6ECA">
      <w:pPr>
        <w:pStyle w:val="Akapitzlist"/>
        <w:numPr>
          <w:ilvl w:val="0"/>
          <w:numId w:val="33"/>
        </w:numPr>
        <w:spacing w:after="0" w:line="276" w:lineRule="auto"/>
        <w:jc w:val="both"/>
        <w:rPr>
          <w:rFonts w:ascii="Arial" w:hAnsi="Arial" w:cs="Arial"/>
          <w:sz w:val="20"/>
          <w:szCs w:val="20"/>
        </w:rPr>
      </w:pPr>
      <w:r w:rsidRPr="00C6130E">
        <w:rPr>
          <w:rFonts w:ascii="Arial" w:hAnsi="Arial" w:cs="Arial"/>
          <w:sz w:val="20"/>
          <w:szCs w:val="20"/>
        </w:rPr>
        <w:t>uczestniczenia</w:t>
      </w:r>
      <w:r w:rsidR="004C6CC5" w:rsidRPr="00C6130E">
        <w:rPr>
          <w:rFonts w:ascii="Arial" w:hAnsi="Arial" w:cs="Arial"/>
          <w:sz w:val="20"/>
          <w:szCs w:val="20"/>
        </w:rPr>
        <w:t xml:space="preserve"> w </w:t>
      </w:r>
      <w:r w:rsidRPr="00C6130E">
        <w:rPr>
          <w:rFonts w:ascii="Arial" w:hAnsi="Arial" w:cs="Arial"/>
          <w:sz w:val="20"/>
          <w:szCs w:val="20"/>
        </w:rPr>
        <w:t>dopuszczeniu do użytku statków morskich;</w:t>
      </w:r>
    </w:p>
    <w:p w14:paraId="541874FE" w14:textId="08A82897" w:rsidR="0011772B" w:rsidRPr="00C6130E" w:rsidRDefault="0011772B" w:rsidP="003C6ECA">
      <w:pPr>
        <w:pStyle w:val="Akapitzlist"/>
        <w:numPr>
          <w:ilvl w:val="0"/>
          <w:numId w:val="33"/>
        </w:numPr>
        <w:spacing w:before="120" w:after="120" w:line="276" w:lineRule="auto"/>
        <w:jc w:val="both"/>
        <w:rPr>
          <w:rFonts w:ascii="Arial" w:hAnsi="Arial" w:cs="Arial"/>
          <w:sz w:val="20"/>
          <w:szCs w:val="20"/>
        </w:rPr>
      </w:pPr>
      <w:r w:rsidRPr="00C6130E">
        <w:rPr>
          <w:rFonts w:ascii="Arial" w:hAnsi="Arial" w:cs="Arial"/>
          <w:sz w:val="20"/>
          <w:szCs w:val="20"/>
        </w:rPr>
        <w:t>uzgadniania lub opiniowania dokumentacji projektowej pod względem wymagań higienicznych</w:t>
      </w:r>
      <w:r w:rsidR="004C6CC5" w:rsidRPr="00C6130E">
        <w:rPr>
          <w:rFonts w:ascii="Arial" w:hAnsi="Arial" w:cs="Arial"/>
          <w:sz w:val="20"/>
          <w:szCs w:val="20"/>
        </w:rPr>
        <w:t xml:space="preserve"> i </w:t>
      </w:r>
      <w:r w:rsidRPr="00C6130E">
        <w:rPr>
          <w:rFonts w:ascii="Arial" w:hAnsi="Arial" w:cs="Arial"/>
          <w:sz w:val="20"/>
          <w:szCs w:val="20"/>
        </w:rPr>
        <w:t>zdrowotnych dotyczących budowy oraz zmiany sposobu użytkowania statków morskich, a także związane</w:t>
      </w:r>
      <w:r w:rsidR="004C6CC5" w:rsidRPr="00C6130E">
        <w:rPr>
          <w:rFonts w:ascii="Arial" w:hAnsi="Arial" w:cs="Arial"/>
          <w:sz w:val="20"/>
          <w:szCs w:val="20"/>
        </w:rPr>
        <w:t xml:space="preserve"> z </w:t>
      </w:r>
      <w:r w:rsidRPr="00C6130E">
        <w:rPr>
          <w:rFonts w:ascii="Arial" w:hAnsi="Arial" w:cs="Arial"/>
          <w:sz w:val="20"/>
          <w:szCs w:val="20"/>
        </w:rPr>
        <w:t>przeprowadzaniem oceny oddziaływania przedsięwzięcia na środowisko.</w:t>
      </w:r>
    </w:p>
    <w:p w14:paraId="494D0F89" w14:textId="1836FEAD" w:rsidR="0011772B" w:rsidRPr="004C6CC5" w:rsidRDefault="0011772B" w:rsidP="00F4599E">
      <w:pPr>
        <w:spacing w:before="120" w:after="120" w:line="276" w:lineRule="auto"/>
        <w:jc w:val="both"/>
        <w:rPr>
          <w:rFonts w:ascii="Arial" w:hAnsi="Arial" w:cs="Arial"/>
          <w:sz w:val="20"/>
          <w:szCs w:val="20"/>
        </w:rPr>
      </w:pPr>
      <w:r w:rsidRPr="004C6CC5">
        <w:rPr>
          <w:rFonts w:ascii="Arial" w:hAnsi="Arial" w:cs="Arial"/>
          <w:sz w:val="20"/>
          <w:szCs w:val="20"/>
        </w:rPr>
        <w:t>Należy wspomnieć również o aspekcie turystycznym,</w:t>
      </w:r>
      <w:r w:rsidR="004C6CC5">
        <w:rPr>
          <w:rFonts w:ascii="Arial" w:hAnsi="Arial" w:cs="Arial"/>
          <w:sz w:val="20"/>
          <w:szCs w:val="20"/>
        </w:rPr>
        <w:t xml:space="preserve"> w </w:t>
      </w:r>
      <w:r w:rsidRPr="004C6CC5">
        <w:rPr>
          <w:rFonts w:ascii="Arial" w:hAnsi="Arial" w:cs="Arial"/>
          <w:sz w:val="20"/>
          <w:szCs w:val="20"/>
        </w:rPr>
        <w:t>którym szczególnym zainteresowaniem cieszy się połączenie Świnoujście - Szwecja (a</w:t>
      </w:r>
      <w:r w:rsidR="004C6CC5">
        <w:rPr>
          <w:rFonts w:ascii="Arial" w:hAnsi="Arial" w:cs="Arial"/>
          <w:sz w:val="20"/>
          <w:szCs w:val="20"/>
        </w:rPr>
        <w:t xml:space="preserve"> w </w:t>
      </w:r>
      <w:r w:rsidRPr="004C6CC5">
        <w:rPr>
          <w:rFonts w:ascii="Arial" w:hAnsi="Arial" w:cs="Arial"/>
          <w:sz w:val="20"/>
          <w:szCs w:val="20"/>
        </w:rPr>
        <w:t xml:space="preserve">sezonie letnim również Świnoujście </w:t>
      </w:r>
      <w:r w:rsidR="00076508">
        <w:rPr>
          <w:rFonts w:ascii="Arial" w:hAnsi="Arial" w:cs="Arial"/>
          <w:sz w:val="20"/>
          <w:szCs w:val="20"/>
        </w:rPr>
        <w:t>-</w:t>
      </w:r>
      <w:r w:rsidRPr="004C6CC5">
        <w:rPr>
          <w:rFonts w:ascii="Arial" w:hAnsi="Arial" w:cs="Arial"/>
          <w:sz w:val="20"/>
          <w:szCs w:val="20"/>
        </w:rPr>
        <w:t xml:space="preserve"> Dania), gdzie rok do roku odnotowuje się wzrost liczby wykonywanych podróży, co jednocześnie wpływa na wzrost potencjału przewozowego.</w:t>
      </w:r>
      <w:r w:rsidR="00442941">
        <w:rPr>
          <w:rFonts w:ascii="Arial" w:hAnsi="Arial" w:cs="Arial"/>
          <w:sz w:val="20"/>
          <w:szCs w:val="20"/>
        </w:rPr>
        <w:t xml:space="preserve"> Do końca III kwartału 2019 r.</w:t>
      </w:r>
      <w:r w:rsidRPr="004C6CC5">
        <w:rPr>
          <w:rFonts w:ascii="Arial" w:hAnsi="Arial" w:cs="Arial"/>
          <w:sz w:val="20"/>
          <w:szCs w:val="20"/>
        </w:rPr>
        <w:t xml:space="preserve"> na Terminalu Promowym</w:t>
      </w:r>
      <w:r w:rsidR="004C6CC5">
        <w:rPr>
          <w:rFonts w:ascii="Arial" w:hAnsi="Arial" w:cs="Arial"/>
          <w:sz w:val="20"/>
          <w:szCs w:val="20"/>
        </w:rPr>
        <w:t xml:space="preserve"> w </w:t>
      </w:r>
      <w:r w:rsidRPr="004C6CC5">
        <w:rPr>
          <w:rFonts w:ascii="Arial" w:hAnsi="Arial" w:cs="Arial"/>
          <w:sz w:val="20"/>
          <w:szCs w:val="20"/>
        </w:rPr>
        <w:t>Świnoujściu przeładowano 6 mln to</w:t>
      </w:r>
      <w:r w:rsidR="00442941">
        <w:rPr>
          <w:rFonts w:ascii="Arial" w:hAnsi="Arial" w:cs="Arial"/>
          <w:sz w:val="20"/>
          <w:szCs w:val="20"/>
        </w:rPr>
        <w:t>n</w:t>
      </w:r>
      <w:r w:rsidRPr="004C6CC5">
        <w:rPr>
          <w:rFonts w:ascii="Arial" w:hAnsi="Arial" w:cs="Arial"/>
          <w:sz w:val="20"/>
          <w:szCs w:val="20"/>
        </w:rPr>
        <w:t xml:space="preserve"> ładunku oraz odprawiono prawie 1,1 mln pasażerów.</w:t>
      </w:r>
    </w:p>
    <w:p w14:paraId="26867C40" w14:textId="3B4A191B" w:rsidR="0011772B" w:rsidRPr="004C6CC5" w:rsidRDefault="0011772B" w:rsidP="008D2321">
      <w:pPr>
        <w:tabs>
          <w:tab w:val="left" w:pos="567"/>
        </w:tabs>
        <w:spacing w:line="276" w:lineRule="auto"/>
        <w:jc w:val="both"/>
        <w:rPr>
          <w:rFonts w:ascii="Arial" w:hAnsi="Arial" w:cs="Arial"/>
          <w:sz w:val="20"/>
          <w:szCs w:val="20"/>
        </w:rPr>
      </w:pPr>
      <w:r w:rsidRPr="004C6CC5">
        <w:rPr>
          <w:rFonts w:ascii="Arial" w:hAnsi="Arial" w:cs="Arial"/>
          <w:sz w:val="20"/>
          <w:szCs w:val="20"/>
        </w:rPr>
        <w:t>Wpisując się</w:t>
      </w:r>
      <w:r w:rsidR="004C6CC5">
        <w:rPr>
          <w:rFonts w:ascii="Arial" w:hAnsi="Arial" w:cs="Arial"/>
          <w:sz w:val="20"/>
          <w:szCs w:val="20"/>
        </w:rPr>
        <w:t xml:space="preserve"> w </w:t>
      </w:r>
      <w:r w:rsidRPr="004C6CC5">
        <w:rPr>
          <w:rFonts w:ascii="Arial" w:hAnsi="Arial" w:cs="Arial"/>
          <w:sz w:val="20"/>
          <w:szCs w:val="20"/>
        </w:rPr>
        <w:t>ramy realizacji polityki morskiej Rzeczypospolitej Polskiej, organy Państwowej Inspekcji Sanitarnej realizowały również cele dotyczące zapewnienia wysokiego poziomu ochrony wody</w:t>
      </w:r>
      <w:r w:rsidR="004C6CC5">
        <w:rPr>
          <w:rFonts w:ascii="Arial" w:hAnsi="Arial" w:cs="Arial"/>
          <w:sz w:val="20"/>
          <w:szCs w:val="20"/>
        </w:rPr>
        <w:t xml:space="preserve"> w </w:t>
      </w:r>
      <w:r w:rsidRPr="004C6CC5">
        <w:rPr>
          <w:rFonts w:ascii="Arial" w:hAnsi="Arial" w:cs="Arial"/>
          <w:sz w:val="20"/>
          <w:szCs w:val="20"/>
        </w:rPr>
        <w:t>kąpieliskach. Nadzór organów Państwowej Inspekcji Sanitarnej nad jakością wody</w:t>
      </w:r>
      <w:r w:rsidR="004C6CC5">
        <w:rPr>
          <w:rFonts w:ascii="Arial" w:hAnsi="Arial" w:cs="Arial"/>
          <w:sz w:val="20"/>
          <w:szCs w:val="20"/>
        </w:rPr>
        <w:t xml:space="preserve"> w </w:t>
      </w:r>
      <w:r w:rsidRPr="004C6CC5">
        <w:rPr>
          <w:rFonts w:ascii="Arial" w:hAnsi="Arial" w:cs="Arial"/>
          <w:sz w:val="20"/>
          <w:szCs w:val="20"/>
        </w:rPr>
        <w:t>kąpieliskach zlokalizowanych na wodach przybrzeżnych, prowadzony jest m.in. na podstawie Rozporządzenia Ministra Zdrowia</w:t>
      </w:r>
      <w:r w:rsidR="004C6CC5">
        <w:rPr>
          <w:rFonts w:ascii="Arial" w:hAnsi="Arial" w:cs="Arial"/>
          <w:sz w:val="20"/>
          <w:szCs w:val="20"/>
        </w:rPr>
        <w:t xml:space="preserve"> z </w:t>
      </w:r>
      <w:r w:rsidRPr="004C6CC5">
        <w:rPr>
          <w:rFonts w:ascii="Arial" w:hAnsi="Arial" w:cs="Arial"/>
          <w:sz w:val="20"/>
          <w:szCs w:val="20"/>
        </w:rPr>
        <w:t>dnia 17 stycznia 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007942">
        <w:rPr>
          <w:rFonts w:ascii="Arial" w:hAnsi="Arial" w:cs="Arial"/>
          <w:sz w:val="20"/>
          <w:szCs w:val="20"/>
        </w:rPr>
        <w:t>sprawie nadzoru nad jakością wody</w:t>
      </w:r>
      <w:r w:rsidR="004C6CC5" w:rsidRPr="00007942">
        <w:rPr>
          <w:rFonts w:ascii="Arial" w:hAnsi="Arial" w:cs="Arial"/>
          <w:sz w:val="20"/>
          <w:szCs w:val="20"/>
        </w:rPr>
        <w:t xml:space="preserve"> w </w:t>
      </w:r>
      <w:r w:rsidRPr="00007942">
        <w:rPr>
          <w:rFonts w:ascii="Arial" w:hAnsi="Arial" w:cs="Arial"/>
          <w:sz w:val="20"/>
          <w:szCs w:val="20"/>
        </w:rPr>
        <w:t>kąpielisku</w:t>
      </w:r>
      <w:r w:rsidR="004C6CC5" w:rsidRPr="00007942">
        <w:rPr>
          <w:rFonts w:ascii="Arial" w:hAnsi="Arial" w:cs="Arial"/>
          <w:sz w:val="20"/>
          <w:szCs w:val="20"/>
        </w:rPr>
        <w:t xml:space="preserve"> i </w:t>
      </w:r>
      <w:r w:rsidRPr="00007942">
        <w:rPr>
          <w:rFonts w:ascii="Arial" w:hAnsi="Arial" w:cs="Arial"/>
          <w:sz w:val="20"/>
          <w:szCs w:val="20"/>
        </w:rPr>
        <w:t xml:space="preserve">miejscu okazjonalnie wykorzystywanym do kąpieli </w:t>
      </w:r>
      <w:r w:rsidRPr="004C6CC5">
        <w:rPr>
          <w:rFonts w:ascii="Arial" w:hAnsi="Arial" w:cs="Arial"/>
          <w:sz w:val="20"/>
          <w:szCs w:val="20"/>
        </w:rPr>
        <w:t xml:space="preserve">(Dz.U. poz. 255). </w:t>
      </w:r>
    </w:p>
    <w:p w14:paraId="2C59DDC0" w14:textId="050239E7" w:rsidR="0011772B" w:rsidRPr="004C6CC5" w:rsidRDefault="0011772B" w:rsidP="008D2321">
      <w:pPr>
        <w:tabs>
          <w:tab w:val="left" w:pos="567"/>
        </w:tabs>
        <w:spacing w:line="276" w:lineRule="auto"/>
        <w:jc w:val="both"/>
        <w:rPr>
          <w:rFonts w:ascii="Arial" w:hAnsi="Arial" w:cs="Arial"/>
          <w:sz w:val="20"/>
          <w:szCs w:val="20"/>
        </w:rPr>
      </w:pPr>
      <w:r w:rsidRPr="004C6CC5">
        <w:rPr>
          <w:rFonts w:ascii="Arial" w:hAnsi="Arial" w:cs="Arial"/>
          <w:sz w:val="20"/>
          <w:szCs w:val="20"/>
        </w:rPr>
        <w:lastRenderedPageBreak/>
        <w:t>Jakość wody</w:t>
      </w:r>
      <w:r w:rsidR="004C6CC5">
        <w:rPr>
          <w:rFonts w:ascii="Arial" w:hAnsi="Arial" w:cs="Arial"/>
          <w:sz w:val="20"/>
          <w:szCs w:val="20"/>
        </w:rPr>
        <w:t xml:space="preserve"> w </w:t>
      </w:r>
      <w:r w:rsidRPr="004C6CC5">
        <w:rPr>
          <w:rFonts w:ascii="Arial" w:hAnsi="Arial" w:cs="Arial"/>
          <w:sz w:val="20"/>
          <w:szCs w:val="20"/>
        </w:rPr>
        <w:t>kąpieliskach jest oceniana przez organy Państwowej Inspekcji Sanitarnej</w:t>
      </w:r>
      <w:r w:rsidR="004C6CC5">
        <w:rPr>
          <w:rFonts w:ascii="Arial" w:hAnsi="Arial" w:cs="Arial"/>
          <w:sz w:val="20"/>
          <w:szCs w:val="20"/>
        </w:rPr>
        <w:t xml:space="preserve"> w </w:t>
      </w:r>
      <w:r w:rsidRPr="004C6CC5">
        <w:rPr>
          <w:rFonts w:ascii="Arial" w:hAnsi="Arial" w:cs="Arial"/>
          <w:sz w:val="20"/>
          <w:szCs w:val="20"/>
        </w:rPr>
        <w:t>zakresie parametrów implementowanych do przepisów krajowych zgodnie</w:t>
      </w:r>
      <w:r w:rsidR="004C6CC5">
        <w:rPr>
          <w:rFonts w:ascii="Arial" w:hAnsi="Arial" w:cs="Arial"/>
          <w:sz w:val="20"/>
          <w:szCs w:val="20"/>
        </w:rPr>
        <w:t xml:space="preserve"> z </w:t>
      </w:r>
      <w:r w:rsidRPr="004C6CC5">
        <w:rPr>
          <w:rFonts w:ascii="Arial" w:hAnsi="Arial" w:cs="Arial"/>
          <w:sz w:val="20"/>
          <w:szCs w:val="20"/>
        </w:rPr>
        <w:t>Dyrektywą 2006/7/WE Parlamentu Europejskiego</w:t>
      </w:r>
      <w:r w:rsidR="004C6CC5">
        <w:rPr>
          <w:rFonts w:ascii="Arial" w:hAnsi="Arial" w:cs="Arial"/>
          <w:sz w:val="20"/>
          <w:szCs w:val="20"/>
        </w:rPr>
        <w:t xml:space="preserve"> i </w:t>
      </w:r>
      <w:r w:rsidRPr="004C6CC5">
        <w:rPr>
          <w:rFonts w:ascii="Arial" w:hAnsi="Arial" w:cs="Arial"/>
          <w:sz w:val="20"/>
          <w:szCs w:val="20"/>
        </w:rPr>
        <w:t>Rady</w:t>
      </w:r>
      <w:r w:rsidR="004C6CC5">
        <w:rPr>
          <w:rFonts w:ascii="Arial" w:hAnsi="Arial" w:cs="Arial"/>
          <w:sz w:val="20"/>
          <w:szCs w:val="20"/>
        </w:rPr>
        <w:t xml:space="preserve"> z </w:t>
      </w:r>
      <w:r w:rsidRPr="004C6CC5">
        <w:rPr>
          <w:rFonts w:ascii="Arial" w:hAnsi="Arial" w:cs="Arial"/>
          <w:sz w:val="20"/>
          <w:szCs w:val="20"/>
        </w:rPr>
        <w:t>dnia 15 lutego 2006</w:t>
      </w:r>
      <w:r w:rsidR="009D01B9" w:rsidRPr="004C6CC5">
        <w:rPr>
          <w:rFonts w:ascii="Arial" w:hAnsi="Arial" w:cs="Arial"/>
          <w:sz w:val="20"/>
          <w:szCs w:val="20"/>
        </w:rPr>
        <w:t xml:space="preserve"> r. </w:t>
      </w:r>
      <w:r w:rsidRPr="00007942">
        <w:rPr>
          <w:rFonts w:ascii="Arial" w:hAnsi="Arial" w:cs="Arial"/>
          <w:sz w:val="20"/>
          <w:szCs w:val="20"/>
        </w:rPr>
        <w:t>dotyczącą zarządzania jakością wody</w:t>
      </w:r>
      <w:r w:rsidR="004C6CC5" w:rsidRPr="00007942">
        <w:rPr>
          <w:rFonts w:ascii="Arial" w:hAnsi="Arial" w:cs="Arial"/>
          <w:sz w:val="20"/>
          <w:szCs w:val="20"/>
        </w:rPr>
        <w:t xml:space="preserve"> w </w:t>
      </w:r>
      <w:r w:rsidRPr="00007942">
        <w:rPr>
          <w:rFonts w:ascii="Arial" w:hAnsi="Arial" w:cs="Arial"/>
          <w:sz w:val="20"/>
          <w:szCs w:val="20"/>
        </w:rPr>
        <w:t>kąpieliskach</w:t>
      </w:r>
      <w:r w:rsidR="004C6CC5" w:rsidRPr="00007942">
        <w:rPr>
          <w:rFonts w:ascii="Arial" w:hAnsi="Arial" w:cs="Arial"/>
          <w:sz w:val="20"/>
          <w:szCs w:val="20"/>
        </w:rPr>
        <w:t xml:space="preserve"> i </w:t>
      </w:r>
      <w:r w:rsidRPr="00007942">
        <w:rPr>
          <w:rFonts w:ascii="Arial" w:hAnsi="Arial" w:cs="Arial"/>
          <w:sz w:val="20"/>
          <w:szCs w:val="20"/>
        </w:rPr>
        <w:t>uchylającą dyrektywę 76/160/WE (</w:t>
      </w:r>
      <w:r w:rsidRPr="004C6CC5">
        <w:rPr>
          <w:rFonts w:ascii="Arial" w:hAnsi="Arial" w:cs="Arial"/>
          <w:sz w:val="20"/>
          <w:szCs w:val="20"/>
        </w:rPr>
        <w:t>Dz. U. UE L 64</w:t>
      </w:r>
      <w:r w:rsidR="004C6CC5">
        <w:rPr>
          <w:rFonts w:ascii="Arial" w:hAnsi="Arial" w:cs="Arial"/>
          <w:sz w:val="20"/>
          <w:szCs w:val="20"/>
        </w:rPr>
        <w:t xml:space="preserve"> z </w:t>
      </w:r>
      <w:r w:rsidRPr="004C6CC5">
        <w:rPr>
          <w:rFonts w:ascii="Arial" w:hAnsi="Arial" w:cs="Arial"/>
          <w:sz w:val="20"/>
          <w:szCs w:val="20"/>
        </w:rPr>
        <w:t>04.03.2006, str. 37,</w:t>
      </w:r>
      <w:r w:rsidR="004C6CC5">
        <w:rPr>
          <w:rFonts w:ascii="Arial" w:hAnsi="Arial" w:cs="Arial"/>
          <w:sz w:val="20"/>
          <w:szCs w:val="20"/>
        </w:rPr>
        <w:t xml:space="preserve"> z </w:t>
      </w:r>
      <w:r w:rsidRPr="004C6CC5">
        <w:rPr>
          <w:rFonts w:ascii="Arial" w:hAnsi="Arial" w:cs="Arial"/>
          <w:sz w:val="20"/>
          <w:szCs w:val="20"/>
        </w:rPr>
        <w:t>późn. zm.).</w:t>
      </w:r>
    </w:p>
    <w:p w14:paraId="0E9CE692" w14:textId="6B31C891" w:rsidR="0011772B" w:rsidRPr="004C6CC5" w:rsidRDefault="0011772B" w:rsidP="008D2321">
      <w:pPr>
        <w:tabs>
          <w:tab w:val="left" w:pos="567"/>
        </w:tabs>
        <w:spacing w:line="276" w:lineRule="auto"/>
        <w:jc w:val="both"/>
        <w:rPr>
          <w:rFonts w:ascii="Arial" w:hAnsi="Arial" w:cs="Arial"/>
          <w:sz w:val="20"/>
          <w:szCs w:val="20"/>
        </w:rPr>
      </w:pPr>
      <w:r w:rsidRPr="004C6CC5">
        <w:rPr>
          <w:rFonts w:ascii="Arial" w:hAnsi="Arial" w:cs="Arial"/>
          <w:sz w:val="20"/>
          <w:szCs w:val="20"/>
        </w:rPr>
        <w:t>Prowadzone badania jakości wody zgodnie</w:t>
      </w:r>
      <w:r w:rsidR="004C6CC5">
        <w:rPr>
          <w:rFonts w:ascii="Arial" w:hAnsi="Arial" w:cs="Arial"/>
          <w:sz w:val="20"/>
          <w:szCs w:val="20"/>
        </w:rPr>
        <w:t xml:space="preserve"> z </w:t>
      </w:r>
      <w:r w:rsidRPr="004C6CC5">
        <w:rPr>
          <w:rFonts w:ascii="Arial" w:hAnsi="Arial" w:cs="Arial"/>
          <w:sz w:val="20"/>
          <w:szCs w:val="20"/>
        </w:rPr>
        <w:t>przepisami załącznika nr</w:t>
      </w:r>
      <w:r w:rsidR="00B66FCE" w:rsidRPr="004C6CC5">
        <w:rPr>
          <w:rFonts w:ascii="Arial" w:hAnsi="Arial" w:cs="Arial"/>
          <w:sz w:val="20"/>
          <w:szCs w:val="20"/>
        </w:rPr>
        <w:t xml:space="preserve"> 1 </w:t>
      </w:r>
      <w:r w:rsidRPr="004C6CC5">
        <w:rPr>
          <w:rFonts w:ascii="Arial" w:hAnsi="Arial" w:cs="Arial"/>
          <w:sz w:val="20"/>
          <w:szCs w:val="20"/>
        </w:rPr>
        <w:t>do Rozporządzenia Ministra Zdrowia</w:t>
      </w:r>
      <w:r w:rsidR="004C6CC5">
        <w:rPr>
          <w:rFonts w:ascii="Arial" w:hAnsi="Arial" w:cs="Arial"/>
          <w:sz w:val="20"/>
          <w:szCs w:val="20"/>
        </w:rPr>
        <w:t xml:space="preserve"> z </w:t>
      </w:r>
      <w:r w:rsidRPr="004C6CC5">
        <w:rPr>
          <w:rFonts w:ascii="Arial" w:hAnsi="Arial" w:cs="Arial"/>
          <w:sz w:val="20"/>
          <w:szCs w:val="20"/>
        </w:rPr>
        <w:t xml:space="preserve">dnia 17 stycznia 2019 r., obejmują dwa parametry mikrobiologiczne świadczące </w:t>
      </w:r>
      <w:r w:rsidR="00920B6A">
        <w:rPr>
          <w:rFonts w:ascii="Arial" w:hAnsi="Arial" w:cs="Arial"/>
          <w:sz w:val="20"/>
          <w:szCs w:val="20"/>
        </w:rPr>
        <w:br/>
      </w:r>
      <w:r w:rsidRPr="004C6CC5">
        <w:rPr>
          <w:rFonts w:ascii="Arial" w:hAnsi="Arial" w:cs="Arial"/>
          <w:sz w:val="20"/>
          <w:szCs w:val="20"/>
        </w:rPr>
        <w:t xml:space="preserve">o zanieczyszczeniu kałowym wody, tj. </w:t>
      </w:r>
      <w:r w:rsidRPr="00920B6A">
        <w:rPr>
          <w:rFonts w:ascii="Arial" w:hAnsi="Arial" w:cs="Arial"/>
          <w:sz w:val="20"/>
          <w:szCs w:val="20"/>
        </w:rPr>
        <w:t>Escherichia coli</w:t>
      </w:r>
      <w:r w:rsidR="004C6CC5">
        <w:rPr>
          <w:rFonts w:ascii="Arial" w:hAnsi="Arial" w:cs="Arial"/>
          <w:sz w:val="20"/>
          <w:szCs w:val="20"/>
        </w:rPr>
        <w:t xml:space="preserve"> i </w:t>
      </w:r>
      <w:r w:rsidRPr="004C6CC5">
        <w:rPr>
          <w:rFonts w:ascii="Arial" w:hAnsi="Arial" w:cs="Arial"/>
          <w:sz w:val="20"/>
          <w:szCs w:val="20"/>
        </w:rPr>
        <w:t>Enterokoki. Bakterie te stanowią potencjalnie największe ryzyko zdrowotne dla osób kąpiących się. Dla wszystkich kąpielisk wyznaczonych</w:t>
      </w:r>
      <w:r w:rsidR="004C6CC5">
        <w:rPr>
          <w:rFonts w:ascii="Arial" w:hAnsi="Arial" w:cs="Arial"/>
          <w:sz w:val="20"/>
          <w:szCs w:val="20"/>
        </w:rPr>
        <w:t xml:space="preserve"> w </w:t>
      </w:r>
      <w:r w:rsidRPr="004C6CC5">
        <w:rPr>
          <w:rFonts w:ascii="Arial" w:hAnsi="Arial" w:cs="Arial"/>
          <w:sz w:val="20"/>
          <w:szCs w:val="20"/>
        </w:rPr>
        <w:t>sezonie kąpielowym</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wydawane był</w:t>
      </w:r>
      <w:r w:rsidR="00920B6A">
        <w:rPr>
          <w:rFonts w:ascii="Arial" w:hAnsi="Arial" w:cs="Arial"/>
          <w:sz w:val="20"/>
          <w:szCs w:val="20"/>
        </w:rPr>
        <w:t>y</w:t>
      </w:r>
      <w:r w:rsidRPr="004C6CC5">
        <w:rPr>
          <w:rFonts w:ascii="Arial" w:hAnsi="Arial" w:cs="Arial"/>
          <w:sz w:val="20"/>
          <w:szCs w:val="20"/>
        </w:rPr>
        <w:t xml:space="preserve"> oceny </w:t>
      </w:r>
      <w:r w:rsidR="00920B6A">
        <w:rPr>
          <w:rFonts w:ascii="Arial" w:hAnsi="Arial" w:cs="Arial"/>
          <w:sz w:val="20"/>
          <w:szCs w:val="20"/>
        </w:rPr>
        <w:t>d</w:t>
      </w:r>
      <w:r w:rsidRPr="004C6CC5">
        <w:rPr>
          <w:rFonts w:ascii="Arial" w:hAnsi="Arial" w:cs="Arial"/>
          <w:sz w:val="20"/>
          <w:szCs w:val="20"/>
        </w:rPr>
        <w:t>o</w:t>
      </w:r>
      <w:r w:rsidR="00920B6A">
        <w:rPr>
          <w:rFonts w:ascii="Arial" w:hAnsi="Arial" w:cs="Arial"/>
          <w:sz w:val="20"/>
          <w:szCs w:val="20"/>
        </w:rPr>
        <w:t>tyczące</w:t>
      </w:r>
      <w:r w:rsidRPr="004C6CC5">
        <w:rPr>
          <w:rFonts w:ascii="Arial" w:hAnsi="Arial" w:cs="Arial"/>
          <w:sz w:val="20"/>
          <w:szCs w:val="20"/>
        </w:rPr>
        <w:t xml:space="preserve"> bieżącej jakości wody</w:t>
      </w:r>
      <w:r w:rsidR="00462899">
        <w:rPr>
          <w:rFonts w:ascii="Arial" w:hAnsi="Arial" w:cs="Arial"/>
          <w:sz w:val="20"/>
          <w:szCs w:val="20"/>
        </w:rPr>
        <w:t xml:space="preserve"> w </w:t>
      </w:r>
      <w:r w:rsidRPr="004C6CC5">
        <w:rPr>
          <w:rFonts w:ascii="Arial" w:hAnsi="Arial" w:cs="Arial"/>
          <w:sz w:val="20"/>
          <w:szCs w:val="20"/>
        </w:rPr>
        <w:t>kąpielisku.</w:t>
      </w:r>
      <w:r w:rsidR="004C6CC5">
        <w:rPr>
          <w:rFonts w:ascii="Arial" w:hAnsi="Arial" w:cs="Arial"/>
          <w:sz w:val="20"/>
          <w:szCs w:val="20"/>
        </w:rPr>
        <w:t xml:space="preserve"> </w:t>
      </w:r>
      <w:r w:rsidR="00920B6A">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przypadku przekroczeń dopuszc</w:t>
      </w:r>
      <w:r w:rsidR="00462899">
        <w:rPr>
          <w:rFonts w:ascii="Arial" w:hAnsi="Arial" w:cs="Arial"/>
          <w:sz w:val="20"/>
          <w:szCs w:val="20"/>
        </w:rPr>
        <w:t>zalnych wartości ww. parametrów</w:t>
      </w:r>
      <w:r w:rsidRPr="004C6CC5">
        <w:rPr>
          <w:rFonts w:ascii="Arial" w:hAnsi="Arial" w:cs="Arial"/>
          <w:sz w:val="20"/>
          <w:szCs w:val="20"/>
        </w:rPr>
        <w:t xml:space="preserve"> wydawany </w:t>
      </w:r>
      <w:r w:rsidR="00920B6A">
        <w:rPr>
          <w:rFonts w:ascii="Arial" w:hAnsi="Arial" w:cs="Arial"/>
          <w:sz w:val="20"/>
          <w:szCs w:val="20"/>
        </w:rPr>
        <w:t>był</w:t>
      </w:r>
      <w:r w:rsidRPr="004C6CC5">
        <w:rPr>
          <w:rFonts w:ascii="Arial" w:hAnsi="Arial" w:cs="Arial"/>
          <w:sz w:val="20"/>
          <w:szCs w:val="20"/>
        </w:rPr>
        <w:t xml:space="preserve"> zakaz kąpieli. Przywrócenie możliwości bezpiecznego kąpania następuje po wykonaniu kolejnego badania wody, które potwierdzi brak przekroczeń.</w:t>
      </w:r>
      <w:r w:rsidR="004C6CC5">
        <w:rPr>
          <w:rFonts w:ascii="Arial" w:hAnsi="Arial" w:cs="Arial"/>
          <w:sz w:val="20"/>
          <w:szCs w:val="20"/>
        </w:rPr>
        <w:t xml:space="preserve"> </w:t>
      </w:r>
      <w:r w:rsidR="00920B6A">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sezonie kąpielowym</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 xml:space="preserve">na 163 kąpieliska morskie dla </w:t>
      </w:r>
      <w:r w:rsidR="00313690">
        <w:rPr>
          <w:rFonts w:ascii="Arial" w:hAnsi="Arial" w:cs="Arial"/>
          <w:sz w:val="20"/>
          <w:szCs w:val="20"/>
        </w:rPr>
        <w:br/>
      </w:r>
      <w:r w:rsidRPr="004C6CC5">
        <w:rPr>
          <w:rFonts w:ascii="Arial" w:hAnsi="Arial" w:cs="Arial"/>
          <w:sz w:val="20"/>
          <w:szCs w:val="20"/>
        </w:rPr>
        <w:t>4 wydano ocenę bieżącą o nieprzydatności wody do kąpieli</w:t>
      </w:r>
      <w:r w:rsidR="004C6CC5">
        <w:rPr>
          <w:rFonts w:ascii="Arial" w:hAnsi="Arial" w:cs="Arial"/>
          <w:sz w:val="20"/>
          <w:szCs w:val="20"/>
        </w:rPr>
        <w:t xml:space="preserve"> z </w:t>
      </w:r>
      <w:r w:rsidRPr="004C6CC5">
        <w:rPr>
          <w:rFonts w:ascii="Arial" w:hAnsi="Arial" w:cs="Arial"/>
          <w:sz w:val="20"/>
          <w:szCs w:val="20"/>
        </w:rPr>
        <w:t>uwagi na przekroczenia parametrów mikrobiologicznych.</w:t>
      </w:r>
    </w:p>
    <w:p w14:paraId="34461E05" w14:textId="03E0C05D" w:rsidR="0011772B" w:rsidRPr="004C6CC5" w:rsidRDefault="0011772B" w:rsidP="008D2321">
      <w:pPr>
        <w:tabs>
          <w:tab w:val="left" w:pos="567"/>
        </w:tabs>
        <w:spacing w:line="276" w:lineRule="auto"/>
        <w:jc w:val="both"/>
        <w:rPr>
          <w:rFonts w:ascii="Arial" w:hAnsi="Arial" w:cs="Arial"/>
          <w:sz w:val="20"/>
          <w:szCs w:val="20"/>
        </w:rPr>
      </w:pPr>
      <w:r w:rsidRPr="004C6CC5">
        <w:rPr>
          <w:rFonts w:ascii="Arial" w:hAnsi="Arial" w:cs="Arial"/>
          <w:sz w:val="20"/>
          <w:szCs w:val="20"/>
        </w:rPr>
        <w:t>Jednocześnie</w:t>
      </w:r>
      <w:r w:rsidR="00462899">
        <w:rPr>
          <w:rFonts w:ascii="Arial" w:hAnsi="Arial" w:cs="Arial"/>
          <w:sz w:val="20"/>
          <w:szCs w:val="20"/>
        </w:rPr>
        <w:t xml:space="preserve"> w </w:t>
      </w:r>
      <w:r w:rsidRPr="004C6CC5">
        <w:rPr>
          <w:rFonts w:ascii="Arial" w:hAnsi="Arial" w:cs="Arial"/>
          <w:sz w:val="20"/>
          <w:szCs w:val="20"/>
        </w:rPr>
        <w:t>trakcie trwania sezonu kąpielowego prowadzona jest wizualna ocena wody</w:t>
      </w:r>
      <w:r w:rsidR="008110FA">
        <w:rPr>
          <w:rFonts w:ascii="Arial" w:hAnsi="Arial" w:cs="Arial"/>
          <w:sz w:val="20"/>
          <w:szCs w:val="20"/>
        </w:rPr>
        <w:t>,</w:t>
      </w:r>
      <w:r w:rsidRPr="004C6CC5">
        <w:rPr>
          <w:rFonts w:ascii="Arial" w:hAnsi="Arial" w:cs="Arial"/>
          <w:sz w:val="20"/>
          <w:szCs w:val="20"/>
        </w:rPr>
        <w:t xml:space="preserve"> ze szczególnym uwzględnieniem zakwitów sinic, rozmnożenia się makroalg lub fitoplanktonu morskiego oraz obecności innych zanieczyszczeń stałych, które mogą mieć negatywny wpływ na zdrowie osób kąpiących się.</w:t>
      </w:r>
      <w:r w:rsidR="004C6CC5">
        <w:rPr>
          <w:rFonts w:ascii="Arial" w:hAnsi="Arial" w:cs="Arial"/>
          <w:sz w:val="20"/>
          <w:szCs w:val="20"/>
        </w:rPr>
        <w:t xml:space="preserve"> </w:t>
      </w:r>
      <w:r w:rsidR="008110FA">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sezonie kąpielowym</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na 163 kąpieliska morskie dla 47 wydawana była ocena bieżąca o nieprzydatności wody do kąpieli</w:t>
      </w:r>
      <w:r w:rsidR="004C6CC5">
        <w:rPr>
          <w:rFonts w:ascii="Arial" w:hAnsi="Arial" w:cs="Arial"/>
          <w:sz w:val="20"/>
          <w:szCs w:val="20"/>
        </w:rPr>
        <w:t xml:space="preserve"> z </w:t>
      </w:r>
      <w:r w:rsidRPr="004C6CC5">
        <w:rPr>
          <w:rFonts w:ascii="Arial" w:hAnsi="Arial" w:cs="Arial"/>
          <w:sz w:val="20"/>
          <w:szCs w:val="20"/>
        </w:rPr>
        <w:t>uwagi na wystąpienie masowego zakwitu sinic. Zjawisko zakwitów</w:t>
      </w:r>
      <w:r w:rsidR="004C6CC5">
        <w:rPr>
          <w:rFonts w:ascii="Arial" w:hAnsi="Arial" w:cs="Arial"/>
          <w:sz w:val="20"/>
          <w:szCs w:val="20"/>
        </w:rPr>
        <w:t xml:space="preserve"> z </w:t>
      </w:r>
      <w:r w:rsidRPr="004C6CC5">
        <w:rPr>
          <w:rFonts w:ascii="Arial" w:hAnsi="Arial" w:cs="Arial"/>
          <w:sz w:val="20"/>
          <w:szCs w:val="20"/>
        </w:rPr>
        <w:t>czasem nasiliło się, co jest związane ze wzrostem eutrofizacji Morza Bałtyckiego oraz wzrostem temperatury wody</w:t>
      </w:r>
      <w:r w:rsidR="004C6CC5">
        <w:rPr>
          <w:rFonts w:ascii="Arial" w:hAnsi="Arial" w:cs="Arial"/>
          <w:sz w:val="20"/>
          <w:szCs w:val="20"/>
        </w:rPr>
        <w:t xml:space="preserve"> w </w:t>
      </w:r>
      <w:r w:rsidRPr="004C6CC5">
        <w:rPr>
          <w:rFonts w:ascii="Arial" w:hAnsi="Arial" w:cs="Arial"/>
          <w:sz w:val="20"/>
          <w:szCs w:val="20"/>
        </w:rPr>
        <w:t>wyniku globalnego ocieplenia, ale również czynnikami środowiska wpływającymi na pojawianie się sinicowych zakwitów wody</w:t>
      </w:r>
      <w:r w:rsidR="008110FA">
        <w:rPr>
          <w:rFonts w:ascii="Arial" w:hAnsi="Arial" w:cs="Arial"/>
          <w:sz w:val="20"/>
          <w:szCs w:val="20"/>
        </w:rPr>
        <w:t>,</w:t>
      </w:r>
      <w:r w:rsidRPr="004C6CC5">
        <w:rPr>
          <w:rFonts w:ascii="Arial" w:hAnsi="Arial" w:cs="Arial"/>
          <w:sz w:val="20"/>
          <w:szCs w:val="20"/>
        </w:rPr>
        <w:t xml:space="preserve"> tj. dostępność soli biogenicznych (zwłaszcza fosforanów).</w:t>
      </w:r>
      <w:r w:rsidR="004C6CC5">
        <w:rPr>
          <w:rFonts w:ascii="Arial" w:hAnsi="Arial" w:cs="Arial"/>
          <w:sz w:val="20"/>
          <w:szCs w:val="20"/>
        </w:rPr>
        <w:t xml:space="preserve"> </w:t>
      </w:r>
      <w:r w:rsidR="00033A65">
        <w:rPr>
          <w:rFonts w:ascii="Arial" w:hAnsi="Arial" w:cs="Arial"/>
          <w:sz w:val="20"/>
          <w:szCs w:val="20"/>
        </w:rPr>
        <w:t>N</w:t>
      </w:r>
      <w:r w:rsidRPr="004C6CC5">
        <w:rPr>
          <w:rFonts w:ascii="Arial" w:hAnsi="Arial" w:cs="Arial"/>
          <w:sz w:val="20"/>
          <w:szCs w:val="20"/>
        </w:rPr>
        <w:t>ależy wskazać, iż organy Państwowej Inspekcji Sanitarnej realizują zadania</w:t>
      </w:r>
      <w:r w:rsidR="004C6CC5">
        <w:rPr>
          <w:rFonts w:ascii="Arial" w:hAnsi="Arial" w:cs="Arial"/>
          <w:sz w:val="20"/>
          <w:szCs w:val="20"/>
        </w:rPr>
        <w:t xml:space="preserve"> z </w:t>
      </w:r>
      <w:r w:rsidRPr="004C6CC5">
        <w:rPr>
          <w:rFonts w:ascii="Arial" w:hAnsi="Arial" w:cs="Arial"/>
          <w:sz w:val="20"/>
          <w:szCs w:val="20"/>
        </w:rPr>
        <w:t>zakresu potencjalnego wpływu zanieczyszczenia wód na stan zdrowia osób korzystających</w:t>
      </w:r>
      <w:r w:rsidR="004C6CC5">
        <w:rPr>
          <w:rFonts w:ascii="Arial" w:hAnsi="Arial" w:cs="Arial"/>
          <w:sz w:val="20"/>
          <w:szCs w:val="20"/>
        </w:rPr>
        <w:t xml:space="preserve"> z </w:t>
      </w:r>
      <w:r w:rsidRPr="004C6CC5">
        <w:rPr>
          <w:rFonts w:ascii="Arial" w:hAnsi="Arial" w:cs="Arial"/>
          <w:sz w:val="20"/>
          <w:szCs w:val="20"/>
        </w:rPr>
        <w:t>kąpielisk, za które jest</w:t>
      </w:r>
      <w:r w:rsidR="008110FA">
        <w:rPr>
          <w:rFonts w:ascii="Arial" w:hAnsi="Arial" w:cs="Arial"/>
          <w:sz w:val="20"/>
          <w:szCs w:val="20"/>
        </w:rPr>
        <w:t xml:space="preserve"> odpowiedzialny resort zdrowia,</w:t>
      </w:r>
      <w:r w:rsidRPr="004C6CC5">
        <w:rPr>
          <w:rFonts w:ascii="Arial" w:hAnsi="Arial" w:cs="Arial"/>
          <w:sz w:val="20"/>
          <w:szCs w:val="20"/>
        </w:rPr>
        <w:t xml:space="preserve"> nie prowadzą jednak analiz możliwych do wdrożenia działań, które pozwoliłby na zabezpieczenie</w:t>
      </w:r>
      <w:r w:rsidR="004C6CC5">
        <w:rPr>
          <w:rFonts w:ascii="Arial" w:hAnsi="Arial" w:cs="Arial"/>
          <w:sz w:val="20"/>
          <w:szCs w:val="20"/>
        </w:rPr>
        <w:t xml:space="preserve"> i </w:t>
      </w:r>
      <w:r w:rsidRPr="004C6CC5">
        <w:rPr>
          <w:rFonts w:ascii="Arial" w:hAnsi="Arial" w:cs="Arial"/>
          <w:sz w:val="20"/>
          <w:szCs w:val="20"/>
        </w:rPr>
        <w:t>ochronę gospodarowania wodami.</w:t>
      </w:r>
    </w:p>
    <w:p w14:paraId="00FA7B64" w14:textId="4FDCB94E" w:rsidR="0011772B" w:rsidRPr="004C6CC5" w:rsidRDefault="0011772B" w:rsidP="008D2321">
      <w:pPr>
        <w:tabs>
          <w:tab w:val="left" w:pos="567"/>
        </w:tabs>
        <w:spacing w:line="276" w:lineRule="auto"/>
        <w:jc w:val="both"/>
        <w:rPr>
          <w:rFonts w:ascii="Arial" w:hAnsi="Arial" w:cs="Arial"/>
          <w:sz w:val="20"/>
          <w:szCs w:val="20"/>
        </w:rPr>
      </w:pPr>
      <w:r w:rsidRPr="004C6CC5">
        <w:rPr>
          <w:rFonts w:ascii="Arial" w:hAnsi="Arial" w:cs="Arial"/>
          <w:sz w:val="20"/>
          <w:szCs w:val="20"/>
        </w:rPr>
        <w:t>Ponadto, corocznie</w:t>
      </w:r>
      <w:r w:rsidR="004C6CC5">
        <w:rPr>
          <w:rFonts w:ascii="Arial" w:hAnsi="Arial" w:cs="Arial"/>
          <w:sz w:val="20"/>
          <w:szCs w:val="20"/>
        </w:rPr>
        <w:t xml:space="preserve"> w </w:t>
      </w:r>
      <w:r w:rsidRPr="004C6CC5">
        <w:rPr>
          <w:rFonts w:ascii="Arial" w:hAnsi="Arial" w:cs="Arial"/>
          <w:sz w:val="20"/>
          <w:szCs w:val="20"/>
        </w:rPr>
        <w:t>celu zapewnienia aktywnego rozpowszechniania aktualnej informacji dotyczącej jakości wody</w:t>
      </w:r>
      <w:r w:rsidR="004C6CC5">
        <w:rPr>
          <w:rFonts w:ascii="Arial" w:hAnsi="Arial" w:cs="Arial"/>
          <w:sz w:val="20"/>
          <w:szCs w:val="20"/>
        </w:rPr>
        <w:t xml:space="preserve"> w </w:t>
      </w:r>
      <w:r w:rsidRPr="004C6CC5">
        <w:rPr>
          <w:rFonts w:ascii="Arial" w:hAnsi="Arial" w:cs="Arial"/>
          <w:sz w:val="20"/>
          <w:szCs w:val="20"/>
        </w:rPr>
        <w:t>kąpieliskach oraz dostępnej infrastruktury kąpieliskowej, Główny Inspektorat Sanitarny zgodnie</w:t>
      </w:r>
      <w:r w:rsidR="004C6CC5">
        <w:rPr>
          <w:rFonts w:ascii="Arial" w:hAnsi="Arial" w:cs="Arial"/>
          <w:sz w:val="20"/>
          <w:szCs w:val="20"/>
        </w:rPr>
        <w:t xml:space="preserve"> z </w:t>
      </w:r>
      <w:r w:rsidRPr="004C6CC5">
        <w:rPr>
          <w:rFonts w:ascii="Arial" w:hAnsi="Arial" w:cs="Arial"/>
          <w:sz w:val="20"/>
          <w:szCs w:val="20"/>
        </w:rPr>
        <w:t xml:space="preserve">przepisami art. 347 ust.3 </w:t>
      </w:r>
      <w:r w:rsidR="0042083B">
        <w:rPr>
          <w:rFonts w:ascii="Arial" w:hAnsi="Arial" w:cs="Arial"/>
          <w:sz w:val="20"/>
          <w:szCs w:val="20"/>
        </w:rPr>
        <w:t>u</w:t>
      </w:r>
      <w:r w:rsidRPr="004C6CC5">
        <w:rPr>
          <w:rFonts w:ascii="Arial" w:hAnsi="Arial" w:cs="Arial"/>
          <w:sz w:val="20"/>
          <w:szCs w:val="20"/>
        </w:rPr>
        <w:t>stawy</w:t>
      </w:r>
      <w:r w:rsidR="004C6CC5">
        <w:rPr>
          <w:rFonts w:ascii="Arial" w:hAnsi="Arial" w:cs="Arial"/>
          <w:sz w:val="20"/>
          <w:szCs w:val="20"/>
        </w:rPr>
        <w:t xml:space="preserve"> z </w:t>
      </w:r>
      <w:r w:rsidRPr="004C6CC5">
        <w:rPr>
          <w:rFonts w:ascii="Arial" w:hAnsi="Arial" w:cs="Arial"/>
          <w:sz w:val="20"/>
          <w:szCs w:val="20"/>
        </w:rPr>
        <w:t>dnia 18 lipca 2001</w:t>
      </w:r>
      <w:r w:rsidR="009D01B9" w:rsidRPr="004C6CC5">
        <w:rPr>
          <w:rFonts w:ascii="Arial" w:hAnsi="Arial" w:cs="Arial"/>
          <w:sz w:val="20"/>
          <w:szCs w:val="20"/>
        </w:rPr>
        <w:t xml:space="preserve"> r. </w:t>
      </w:r>
      <w:r w:rsidRPr="004C6CC5">
        <w:rPr>
          <w:rFonts w:ascii="Arial" w:hAnsi="Arial" w:cs="Arial"/>
          <w:sz w:val="20"/>
          <w:szCs w:val="20"/>
        </w:rPr>
        <w:t xml:space="preserve">- </w:t>
      </w:r>
      <w:r w:rsidRPr="0042083B">
        <w:rPr>
          <w:rFonts w:ascii="Arial" w:hAnsi="Arial" w:cs="Arial"/>
          <w:sz w:val="20"/>
          <w:szCs w:val="20"/>
        </w:rPr>
        <w:t>Prawo wodne</w:t>
      </w:r>
      <w:r w:rsidRPr="004C6CC5">
        <w:rPr>
          <w:rFonts w:ascii="Arial" w:hAnsi="Arial" w:cs="Arial"/>
          <w:sz w:val="20"/>
          <w:szCs w:val="20"/>
        </w:rPr>
        <w:t xml:space="preserve"> prowadzi Serwis kąpieliskowy. Serwis kąpieliskowy funkcjonuje</w:t>
      </w:r>
      <w:r w:rsidR="004C6CC5">
        <w:rPr>
          <w:rFonts w:ascii="Arial" w:hAnsi="Arial" w:cs="Arial"/>
          <w:sz w:val="20"/>
          <w:szCs w:val="20"/>
        </w:rPr>
        <w:t xml:space="preserve"> w </w:t>
      </w:r>
      <w:r w:rsidRPr="004C6CC5">
        <w:rPr>
          <w:rFonts w:ascii="Arial" w:hAnsi="Arial" w:cs="Arial"/>
          <w:sz w:val="20"/>
          <w:szCs w:val="20"/>
        </w:rPr>
        <w:t>postaci strony internetowej, która umożliwia szybką</w:t>
      </w:r>
      <w:r w:rsidR="004C6CC5">
        <w:rPr>
          <w:rFonts w:ascii="Arial" w:hAnsi="Arial" w:cs="Arial"/>
          <w:sz w:val="20"/>
          <w:szCs w:val="20"/>
        </w:rPr>
        <w:t xml:space="preserve"> i </w:t>
      </w:r>
      <w:r w:rsidRPr="004C6CC5">
        <w:rPr>
          <w:rFonts w:ascii="Arial" w:hAnsi="Arial" w:cs="Arial"/>
          <w:sz w:val="20"/>
          <w:szCs w:val="20"/>
        </w:rPr>
        <w:t>wielostronną wymianę informacji o jakości wody</w:t>
      </w:r>
      <w:r w:rsidR="004C6CC5">
        <w:rPr>
          <w:rFonts w:ascii="Arial" w:hAnsi="Arial" w:cs="Arial"/>
          <w:sz w:val="20"/>
          <w:szCs w:val="20"/>
        </w:rPr>
        <w:t xml:space="preserve"> w </w:t>
      </w:r>
      <w:r w:rsidRPr="004C6CC5">
        <w:rPr>
          <w:rFonts w:ascii="Arial" w:hAnsi="Arial" w:cs="Arial"/>
          <w:sz w:val="20"/>
          <w:szCs w:val="20"/>
        </w:rPr>
        <w:t>kąpieliskach podczas trwania sezonu kąpielowego. Zawarte są</w:t>
      </w:r>
      <w:r w:rsidR="004C6CC5">
        <w:rPr>
          <w:rFonts w:ascii="Arial" w:hAnsi="Arial" w:cs="Arial"/>
          <w:sz w:val="20"/>
          <w:szCs w:val="20"/>
        </w:rPr>
        <w:t xml:space="preserve"> w </w:t>
      </w:r>
      <w:r w:rsidRPr="004C6CC5">
        <w:rPr>
          <w:rFonts w:ascii="Arial" w:hAnsi="Arial" w:cs="Arial"/>
          <w:sz w:val="20"/>
          <w:szCs w:val="20"/>
        </w:rPr>
        <w:t>nim również informacje dotyczące danych podstawowych kąpieliska, tj. adres kąpieliska, wskazanie właściwej stacji sanitarno-epidemiologicznej prowadzącej nadzór nad danym kąpieliskiem oraz danych dotyczących organizatora, jak</w:t>
      </w:r>
      <w:r w:rsidR="004578AC">
        <w:rPr>
          <w:rFonts w:ascii="Arial" w:hAnsi="Arial" w:cs="Arial"/>
          <w:sz w:val="20"/>
          <w:szCs w:val="20"/>
        </w:rPr>
        <w:t xml:space="preserve"> i </w:t>
      </w:r>
      <w:r w:rsidRPr="004C6CC5">
        <w:rPr>
          <w:rFonts w:ascii="Arial" w:hAnsi="Arial" w:cs="Arial"/>
          <w:sz w:val="20"/>
          <w:szCs w:val="20"/>
        </w:rPr>
        <w:t>jego infrastruktury. Serwis kąpieliskowy</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 xml:space="preserve">cieszył się dużym zainteresowaniem </w:t>
      </w:r>
      <w:r w:rsidR="004578AC">
        <w:rPr>
          <w:rFonts w:ascii="Arial" w:hAnsi="Arial" w:cs="Arial"/>
          <w:sz w:val="20"/>
          <w:szCs w:val="20"/>
        </w:rPr>
        <w:t xml:space="preserve">wśród </w:t>
      </w:r>
      <w:r w:rsidRPr="004C6CC5">
        <w:rPr>
          <w:rFonts w:ascii="Arial" w:hAnsi="Arial" w:cs="Arial"/>
          <w:sz w:val="20"/>
          <w:szCs w:val="20"/>
        </w:rPr>
        <w:t>osób planujących wyjazd</w:t>
      </w:r>
      <w:r w:rsidR="004C6CC5">
        <w:rPr>
          <w:rFonts w:ascii="Arial" w:hAnsi="Arial" w:cs="Arial"/>
          <w:sz w:val="20"/>
          <w:szCs w:val="20"/>
        </w:rPr>
        <w:t xml:space="preserve"> w </w:t>
      </w:r>
      <w:r w:rsidRPr="004C6CC5">
        <w:rPr>
          <w:rFonts w:ascii="Arial" w:hAnsi="Arial" w:cs="Arial"/>
          <w:sz w:val="20"/>
          <w:szCs w:val="20"/>
        </w:rPr>
        <w:t>okresie letnim nad Morze Bałtyckie</w:t>
      </w:r>
      <w:r w:rsidR="004C6CC5">
        <w:rPr>
          <w:rFonts w:ascii="Arial" w:hAnsi="Arial" w:cs="Arial"/>
          <w:sz w:val="20"/>
          <w:szCs w:val="20"/>
        </w:rPr>
        <w:t xml:space="preserve"> i </w:t>
      </w:r>
      <w:r w:rsidRPr="004C6CC5">
        <w:rPr>
          <w:rFonts w:ascii="Arial" w:hAnsi="Arial" w:cs="Arial"/>
          <w:sz w:val="20"/>
          <w:szCs w:val="20"/>
        </w:rPr>
        <w:t>miał bez wątpienia wpływ na rozwój turystyki</w:t>
      </w:r>
      <w:r w:rsidR="004C6CC5">
        <w:rPr>
          <w:rFonts w:ascii="Arial" w:hAnsi="Arial" w:cs="Arial"/>
          <w:sz w:val="20"/>
          <w:szCs w:val="20"/>
        </w:rPr>
        <w:t xml:space="preserve"> w </w:t>
      </w:r>
      <w:r w:rsidRPr="004C6CC5">
        <w:rPr>
          <w:rFonts w:ascii="Arial" w:hAnsi="Arial" w:cs="Arial"/>
          <w:sz w:val="20"/>
          <w:szCs w:val="20"/>
        </w:rPr>
        <w:t>miejscowościach, które posiadały kąpieliska, jak również przyczynił się do podniesienia bezpieczeństwa zdrowotnego osób korzystających</w:t>
      </w:r>
      <w:r w:rsidR="004C6CC5">
        <w:rPr>
          <w:rFonts w:ascii="Arial" w:hAnsi="Arial" w:cs="Arial"/>
          <w:sz w:val="20"/>
          <w:szCs w:val="20"/>
        </w:rPr>
        <w:t xml:space="preserve"> z </w:t>
      </w:r>
      <w:r w:rsidRPr="004C6CC5">
        <w:rPr>
          <w:rFonts w:ascii="Arial" w:hAnsi="Arial" w:cs="Arial"/>
          <w:sz w:val="20"/>
          <w:szCs w:val="20"/>
        </w:rPr>
        <w:t>kąpielisk, jak również pozwalał na świadomy wybór miejsca do rekreacji</w:t>
      </w:r>
      <w:r w:rsidR="004C6CC5">
        <w:rPr>
          <w:rFonts w:ascii="Arial" w:hAnsi="Arial" w:cs="Arial"/>
          <w:sz w:val="20"/>
          <w:szCs w:val="20"/>
        </w:rPr>
        <w:t xml:space="preserve"> w </w:t>
      </w:r>
      <w:r w:rsidRPr="004C6CC5">
        <w:rPr>
          <w:rFonts w:ascii="Arial" w:hAnsi="Arial" w:cs="Arial"/>
          <w:sz w:val="20"/>
          <w:szCs w:val="20"/>
        </w:rPr>
        <w:t>skali całego kraju.</w:t>
      </w:r>
    </w:p>
    <w:p w14:paraId="0088A4F1" w14:textId="70872F1F" w:rsidR="00E01BAF" w:rsidRPr="004578AC" w:rsidRDefault="00E01BAF" w:rsidP="000F468A">
      <w:pPr>
        <w:pStyle w:val="Nagwek2"/>
        <w:rPr>
          <w:rFonts w:ascii="Arial" w:hAnsi="Arial" w:cs="Arial"/>
          <w:b/>
          <w:sz w:val="20"/>
          <w:szCs w:val="20"/>
        </w:rPr>
      </w:pPr>
      <w:bookmarkStart w:id="77" w:name="_Toc72745087"/>
      <w:r w:rsidRPr="004578AC">
        <w:rPr>
          <w:rFonts w:ascii="Arial" w:hAnsi="Arial" w:cs="Arial"/>
          <w:b/>
          <w:color w:val="auto"/>
          <w:sz w:val="20"/>
          <w:szCs w:val="20"/>
        </w:rPr>
        <w:t>Działania Narodowego Muzeum Morskiego</w:t>
      </w:r>
      <w:r w:rsidR="004C6CC5" w:rsidRPr="004578AC">
        <w:rPr>
          <w:rFonts w:ascii="Arial" w:hAnsi="Arial" w:cs="Arial"/>
          <w:b/>
          <w:color w:val="auto"/>
          <w:sz w:val="20"/>
          <w:szCs w:val="20"/>
        </w:rPr>
        <w:t xml:space="preserve"> w </w:t>
      </w:r>
      <w:r w:rsidRPr="004578AC">
        <w:rPr>
          <w:rFonts w:ascii="Arial" w:hAnsi="Arial" w:cs="Arial"/>
          <w:b/>
          <w:color w:val="auto"/>
          <w:sz w:val="20"/>
          <w:szCs w:val="20"/>
        </w:rPr>
        <w:t>Gdańsku.</w:t>
      </w:r>
      <w:bookmarkEnd w:id="77"/>
    </w:p>
    <w:p w14:paraId="595D3504" w14:textId="3B8134BC" w:rsidR="00F81C10" w:rsidRPr="004C6CC5" w:rsidRDefault="00F81C10" w:rsidP="00F81C10">
      <w:pPr>
        <w:tabs>
          <w:tab w:val="left" w:pos="567"/>
        </w:tabs>
        <w:spacing w:before="120" w:after="120" w:line="276" w:lineRule="auto"/>
        <w:jc w:val="both"/>
        <w:rPr>
          <w:rFonts w:ascii="Arial" w:hAnsi="Arial" w:cs="Arial"/>
          <w:sz w:val="20"/>
          <w:szCs w:val="20"/>
        </w:rPr>
      </w:pPr>
      <w:r w:rsidRPr="004C6CC5">
        <w:rPr>
          <w:rFonts w:ascii="Arial" w:hAnsi="Arial" w:cs="Arial"/>
          <w:sz w:val="20"/>
          <w:szCs w:val="20"/>
        </w:rPr>
        <w:t>Realizacją założeń polityki morskiej RP</w:t>
      </w:r>
      <w:r w:rsidR="004C6CC5">
        <w:rPr>
          <w:rFonts w:ascii="Arial" w:hAnsi="Arial" w:cs="Arial"/>
          <w:sz w:val="20"/>
          <w:szCs w:val="20"/>
        </w:rPr>
        <w:t xml:space="preserve"> w </w:t>
      </w:r>
      <w:r w:rsidRPr="004C6CC5">
        <w:rPr>
          <w:rFonts w:ascii="Arial" w:hAnsi="Arial" w:cs="Arial"/>
          <w:sz w:val="20"/>
          <w:szCs w:val="20"/>
        </w:rPr>
        <w:t>zakresie ochrony morskiego dziedzictwa kulturowego zajmuje się przede wszystkim Narodowe Muzeum Morskie</w:t>
      </w:r>
      <w:r w:rsidR="004C6CC5">
        <w:rPr>
          <w:rFonts w:ascii="Arial" w:hAnsi="Arial" w:cs="Arial"/>
          <w:sz w:val="20"/>
          <w:szCs w:val="20"/>
        </w:rPr>
        <w:t xml:space="preserve"> w </w:t>
      </w:r>
      <w:r w:rsidRPr="004C6CC5">
        <w:rPr>
          <w:rFonts w:ascii="Arial" w:hAnsi="Arial" w:cs="Arial"/>
          <w:sz w:val="20"/>
          <w:szCs w:val="20"/>
        </w:rPr>
        <w:t xml:space="preserve">Gdańsku (NMM), będące państwową instytucją kultury, działającą na podstawie statutu nadanego przez jego organizatora - Ministra Kultury </w:t>
      </w:r>
      <w:r w:rsidRPr="004C6CC5">
        <w:rPr>
          <w:rFonts w:ascii="Arial" w:hAnsi="Arial" w:cs="Arial"/>
          <w:sz w:val="20"/>
          <w:szCs w:val="20"/>
        </w:rPr>
        <w:br/>
        <w:t>i Dziedzictwa Narodowego. Do głównych zadań NMM należy upowszechnianie wiedzy</w:t>
      </w:r>
      <w:r w:rsidR="004C6CC5">
        <w:rPr>
          <w:rFonts w:ascii="Arial" w:hAnsi="Arial" w:cs="Arial"/>
          <w:sz w:val="20"/>
          <w:szCs w:val="20"/>
        </w:rPr>
        <w:t xml:space="preserve"> w </w:t>
      </w:r>
      <w:r w:rsidRPr="004C6CC5">
        <w:rPr>
          <w:rFonts w:ascii="Arial" w:hAnsi="Arial" w:cs="Arial"/>
          <w:sz w:val="20"/>
          <w:szCs w:val="20"/>
        </w:rPr>
        <w:t>dziedzinie muzealnictwa morskiego przez ukazywanie działalności społeczeństw na morzach</w:t>
      </w:r>
      <w:r w:rsidR="004C6CC5">
        <w:rPr>
          <w:rFonts w:ascii="Arial" w:hAnsi="Arial" w:cs="Arial"/>
          <w:sz w:val="20"/>
          <w:szCs w:val="20"/>
        </w:rPr>
        <w:t xml:space="preserve"> i </w:t>
      </w:r>
      <w:r w:rsidRPr="004C6CC5">
        <w:rPr>
          <w:rFonts w:ascii="Arial" w:hAnsi="Arial" w:cs="Arial"/>
          <w:sz w:val="20"/>
          <w:szCs w:val="20"/>
        </w:rPr>
        <w:t>oceanach oraz wodach śródlądowych, ze szczególnym uwzględnieniem tradycji morskich Rzeczypospolitej Polskiej, polskiej techniki morskiej, a także krzewienie wartości artystycznych</w:t>
      </w:r>
      <w:r w:rsidR="004C6CC5">
        <w:rPr>
          <w:rFonts w:ascii="Arial" w:hAnsi="Arial" w:cs="Arial"/>
          <w:sz w:val="20"/>
          <w:szCs w:val="20"/>
        </w:rPr>
        <w:t xml:space="preserve"> i </w:t>
      </w:r>
      <w:r w:rsidRPr="004C6CC5">
        <w:rPr>
          <w:rFonts w:ascii="Arial" w:hAnsi="Arial" w:cs="Arial"/>
          <w:sz w:val="20"/>
          <w:szCs w:val="20"/>
        </w:rPr>
        <w:t>estetycznych oraz ochrona kulturowego dziedzictwa morskiego.</w:t>
      </w:r>
    </w:p>
    <w:p w14:paraId="67C7B976" w14:textId="4BEE2D87" w:rsidR="00F81C10" w:rsidRPr="004C6CC5" w:rsidRDefault="00F81C10" w:rsidP="00F81C10">
      <w:pPr>
        <w:tabs>
          <w:tab w:val="left" w:pos="567"/>
        </w:tabs>
        <w:spacing w:line="276" w:lineRule="auto"/>
        <w:jc w:val="both"/>
        <w:rPr>
          <w:rFonts w:ascii="Arial" w:hAnsi="Arial" w:cs="Arial"/>
          <w:sz w:val="20"/>
          <w:szCs w:val="20"/>
        </w:rPr>
      </w:pPr>
      <w:r w:rsidRPr="004C6CC5">
        <w:rPr>
          <w:rFonts w:ascii="Arial" w:hAnsi="Arial" w:cs="Arial"/>
          <w:sz w:val="20"/>
          <w:szCs w:val="20"/>
        </w:rPr>
        <w:t>Misją Narodowego Muzeum Morskiego</w:t>
      </w:r>
      <w:r w:rsidR="002744DA">
        <w:rPr>
          <w:rFonts w:ascii="Arial" w:hAnsi="Arial" w:cs="Arial"/>
          <w:sz w:val="20"/>
          <w:szCs w:val="20"/>
        </w:rPr>
        <w:t xml:space="preserve"> w </w:t>
      </w:r>
      <w:r w:rsidRPr="004C6CC5">
        <w:rPr>
          <w:rFonts w:ascii="Arial" w:hAnsi="Arial" w:cs="Arial"/>
          <w:sz w:val="20"/>
          <w:szCs w:val="20"/>
        </w:rPr>
        <w:t>Gdańsku jest ochrona kulturowego</w:t>
      </w:r>
      <w:r w:rsidR="002744DA">
        <w:rPr>
          <w:rFonts w:ascii="Arial" w:hAnsi="Arial" w:cs="Arial"/>
          <w:sz w:val="20"/>
          <w:szCs w:val="20"/>
        </w:rPr>
        <w:t xml:space="preserve"> i </w:t>
      </w:r>
      <w:r w:rsidRPr="004C6CC5">
        <w:rPr>
          <w:rFonts w:ascii="Arial" w:hAnsi="Arial" w:cs="Arial"/>
          <w:sz w:val="20"/>
          <w:szCs w:val="20"/>
        </w:rPr>
        <w:t>technicznego dziedzictwa morskiego realizowana poprzez gromadzenie</w:t>
      </w:r>
      <w:r w:rsidR="004C6CC5">
        <w:rPr>
          <w:rFonts w:ascii="Arial" w:hAnsi="Arial" w:cs="Arial"/>
          <w:sz w:val="20"/>
          <w:szCs w:val="20"/>
        </w:rPr>
        <w:t xml:space="preserve"> i </w:t>
      </w:r>
      <w:r w:rsidRPr="004C6CC5">
        <w:rPr>
          <w:rFonts w:ascii="Arial" w:hAnsi="Arial" w:cs="Arial"/>
          <w:sz w:val="20"/>
          <w:szCs w:val="20"/>
        </w:rPr>
        <w:t xml:space="preserve">zabezpieczanie zabytków związanych ze szkutnictwem, </w:t>
      </w:r>
      <w:r w:rsidRPr="004C6CC5">
        <w:rPr>
          <w:rFonts w:ascii="Arial" w:hAnsi="Arial" w:cs="Arial"/>
          <w:sz w:val="20"/>
          <w:szCs w:val="20"/>
        </w:rPr>
        <w:lastRenderedPageBreak/>
        <w:t>okrętownictwem, żeglugą rzeczną</w:t>
      </w:r>
      <w:r w:rsidR="00D017AB">
        <w:rPr>
          <w:rFonts w:ascii="Arial" w:hAnsi="Arial" w:cs="Arial"/>
          <w:sz w:val="20"/>
          <w:szCs w:val="20"/>
        </w:rPr>
        <w:t xml:space="preserve"> i </w:t>
      </w:r>
      <w:r w:rsidRPr="004C6CC5">
        <w:rPr>
          <w:rFonts w:ascii="Arial" w:hAnsi="Arial" w:cs="Arial"/>
          <w:sz w:val="20"/>
          <w:szCs w:val="20"/>
        </w:rPr>
        <w:t>morską, rybołówstwem, żeglarstwem, militarystką</w:t>
      </w:r>
      <w:r w:rsidR="004C6CC5">
        <w:rPr>
          <w:rFonts w:ascii="Arial" w:hAnsi="Arial" w:cs="Arial"/>
          <w:sz w:val="20"/>
          <w:szCs w:val="20"/>
        </w:rPr>
        <w:t xml:space="preserve"> i </w:t>
      </w:r>
      <w:r w:rsidRPr="004C6CC5">
        <w:rPr>
          <w:rFonts w:ascii="Arial" w:hAnsi="Arial" w:cs="Arial"/>
          <w:sz w:val="20"/>
          <w:szCs w:val="20"/>
        </w:rPr>
        <w:t>edukacją morską oraz upowszechnianie wiedzy o nich, a także o morskiej historii Polski</w:t>
      </w:r>
      <w:r w:rsidR="004C6CC5">
        <w:rPr>
          <w:rFonts w:ascii="Arial" w:hAnsi="Arial" w:cs="Arial"/>
          <w:sz w:val="20"/>
          <w:szCs w:val="20"/>
        </w:rPr>
        <w:t xml:space="preserve"> i </w:t>
      </w:r>
      <w:r w:rsidRPr="004C6CC5">
        <w:rPr>
          <w:rFonts w:ascii="Arial" w:hAnsi="Arial" w:cs="Arial"/>
          <w:sz w:val="20"/>
          <w:szCs w:val="20"/>
        </w:rPr>
        <w:t>jej gospodarce na przestrzeni dziejów.</w:t>
      </w:r>
    </w:p>
    <w:p w14:paraId="075786B9" w14:textId="77777777" w:rsidR="007F0064" w:rsidRDefault="002B6E46" w:rsidP="004234FC">
      <w:pPr>
        <w:tabs>
          <w:tab w:val="left" w:pos="567"/>
        </w:tabs>
        <w:spacing w:before="120" w:after="120" w:line="276" w:lineRule="auto"/>
        <w:jc w:val="both"/>
        <w:rPr>
          <w:rFonts w:ascii="Arial" w:hAnsi="Arial" w:cs="Arial"/>
          <w:sz w:val="20"/>
          <w:szCs w:val="20"/>
        </w:rPr>
      </w:pPr>
      <w:r>
        <w:rPr>
          <w:rFonts w:ascii="Arial" w:hAnsi="Arial" w:cs="Arial"/>
          <w:sz w:val="20"/>
          <w:szCs w:val="20"/>
        </w:rPr>
        <w:t xml:space="preserve">W 2019 r. </w:t>
      </w:r>
      <w:r w:rsidR="003805B9" w:rsidRPr="004C6CC5">
        <w:rPr>
          <w:rFonts w:ascii="Arial" w:hAnsi="Arial" w:cs="Arial"/>
          <w:sz w:val="20"/>
          <w:szCs w:val="20"/>
        </w:rPr>
        <w:t>Narodowe Muzeum Morskie</w:t>
      </w:r>
      <w:r w:rsidR="004C6CC5">
        <w:rPr>
          <w:rFonts w:ascii="Arial" w:hAnsi="Arial" w:cs="Arial"/>
          <w:sz w:val="20"/>
          <w:szCs w:val="20"/>
        </w:rPr>
        <w:t xml:space="preserve"> w </w:t>
      </w:r>
      <w:r>
        <w:rPr>
          <w:rFonts w:ascii="Arial" w:hAnsi="Arial" w:cs="Arial"/>
          <w:sz w:val="20"/>
          <w:szCs w:val="20"/>
        </w:rPr>
        <w:t>Gdańsku</w:t>
      </w:r>
      <w:r w:rsidR="003805B9" w:rsidRPr="004C6CC5">
        <w:rPr>
          <w:rFonts w:ascii="Arial" w:hAnsi="Arial" w:cs="Arial"/>
          <w:sz w:val="20"/>
          <w:szCs w:val="20"/>
        </w:rPr>
        <w:t xml:space="preserve"> </w:t>
      </w:r>
      <w:r w:rsidR="00704DDE">
        <w:rPr>
          <w:rFonts w:ascii="Arial" w:hAnsi="Arial" w:cs="Arial"/>
          <w:sz w:val="20"/>
          <w:szCs w:val="20"/>
        </w:rPr>
        <w:t xml:space="preserve">działając </w:t>
      </w:r>
      <w:r w:rsidR="003805B9" w:rsidRPr="004C6CC5">
        <w:rPr>
          <w:rFonts w:ascii="Arial" w:hAnsi="Arial" w:cs="Arial"/>
          <w:sz w:val="20"/>
          <w:szCs w:val="20"/>
        </w:rPr>
        <w:t>na mocy porozumienia</w:t>
      </w:r>
      <w:r w:rsidR="004C6CC5">
        <w:rPr>
          <w:rFonts w:ascii="Arial" w:hAnsi="Arial" w:cs="Arial"/>
          <w:sz w:val="20"/>
          <w:szCs w:val="20"/>
        </w:rPr>
        <w:t xml:space="preserve"> z </w:t>
      </w:r>
      <w:r w:rsidR="003805B9" w:rsidRPr="004C6CC5">
        <w:rPr>
          <w:rFonts w:ascii="Arial" w:hAnsi="Arial" w:cs="Arial"/>
          <w:sz w:val="20"/>
          <w:szCs w:val="20"/>
        </w:rPr>
        <w:t>dnia 30 września 2005</w:t>
      </w:r>
      <w:r w:rsidR="009D01B9" w:rsidRPr="004C6CC5">
        <w:rPr>
          <w:rFonts w:ascii="Arial" w:hAnsi="Arial" w:cs="Arial"/>
          <w:sz w:val="20"/>
          <w:szCs w:val="20"/>
        </w:rPr>
        <w:t xml:space="preserve"> r.</w:t>
      </w:r>
      <w:r w:rsidR="00704DDE">
        <w:rPr>
          <w:rFonts w:ascii="Arial" w:hAnsi="Arial" w:cs="Arial"/>
          <w:sz w:val="20"/>
          <w:szCs w:val="20"/>
        </w:rPr>
        <w:t xml:space="preserve"> w </w:t>
      </w:r>
      <w:r w:rsidR="003805B9" w:rsidRPr="004C6CC5">
        <w:rPr>
          <w:rFonts w:ascii="Arial" w:hAnsi="Arial" w:cs="Arial"/>
          <w:sz w:val="20"/>
          <w:szCs w:val="20"/>
        </w:rPr>
        <w:t>sprawie prowadzenia spraw</w:t>
      </w:r>
      <w:r w:rsidR="00704DDE">
        <w:rPr>
          <w:rFonts w:ascii="Arial" w:hAnsi="Arial" w:cs="Arial"/>
          <w:sz w:val="20"/>
          <w:szCs w:val="20"/>
        </w:rPr>
        <w:t xml:space="preserve"> z </w:t>
      </w:r>
      <w:r w:rsidR="003805B9" w:rsidRPr="004C6CC5">
        <w:rPr>
          <w:rFonts w:ascii="Arial" w:hAnsi="Arial" w:cs="Arial"/>
          <w:sz w:val="20"/>
          <w:szCs w:val="20"/>
        </w:rPr>
        <w:t>zakresu właściwości Pomorskiego Wojewódzkiego Konserwatora Zabytków</w:t>
      </w:r>
      <w:r w:rsidR="004C6CC5">
        <w:rPr>
          <w:rFonts w:ascii="Arial" w:hAnsi="Arial" w:cs="Arial"/>
          <w:sz w:val="20"/>
          <w:szCs w:val="20"/>
        </w:rPr>
        <w:t xml:space="preserve"> w </w:t>
      </w:r>
      <w:r w:rsidR="003805B9" w:rsidRPr="004C6CC5">
        <w:rPr>
          <w:rFonts w:ascii="Arial" w:hAnsi="Arial" w:cs="Arial"/>
          <w:sz w:val="20"/>
          <w:szCs w:val="20"/>
        </w:rPr>
        <w:t xml:space="preserve">Gdańsku </w:t>
      </w:r>
      <w:r w:rsidR="0065096A">
        <w:rPr>
          <w:rFonts w:ascii="Arial" w:hAnsi="Arial" w:cs="Arial"/>
          <w:sz w:val="20"/>
          <w:szCs w:val="20"/>
        </w:rPr>
        <w:t>(</w:t>
      </w:r>
      <w:r w:rsidR="003805B9" w:rsidRPr="004C6CC5">
        <w:rPr>
          <w:rFonts w:ascii="Arial" w:hAnsi="Arial" w:cs="Arial"/>
          <w:sz w:val="20"/>
          <w:szCs w:val="20"/>
        </w:rPr>
        <w:t>Dz. U. Woj. Pom. Nr 105 poz.</w:t>
      </w:r>
      <w:r w:rsidR="001A037C">
        <w:rPr>
          <w:rFonts w:ascii="Arial" w:hAnsi="Arial" w:cs="Arial"/>
          <w:sz w:val="20"/>
          <w:szCs w:val="20"/>
        </w:rPr>
        <w:t xml:space="preserve"> </w:t>
      </w:r>
      <w:r w:rsidR="003805B9" w:rsidRPr="004C6CC5">
        <w:rPr>
          <w:rFonts w:ascii="Arial" w:hAnsi="Arial" w:cs="Arial"/>
          <w:sz w:val="20"/>
          <w:szCs w:val="20"/>
        </w:rPr>
        <w:t>2112</w:t>
      </w:r>
      <w:r w:rsidR="0065096A">
        <w:rPr>
          <w:rFonts w:ascii="Arial" w:hAnsi="Arial" w:cs="Arial"/>
          <w:sz w:val="20"/>
          <w:szCs w:val="20"/>
        </w:rPr>
        <w:t>)</w:t>
      </w:r>
      <w:r w:rsidR="00704DDE">
        <w:rPr>
          <w:rFonts w:ascii="Arial" w:hAnsi="Arial" w:cs="Arial"/>
          <w:sz w:val="20"/>
          <w:szCs w:val="20"/>
        </w:rPr>
        <w:t xml:space="preserve"> wydawało u</w:t>
      </w:r>
      <w:r w:rsidR="003805B9" w:rsidRPr="004C6CC5">
        <w:rPr>
          <w:rFonts w:ascii="Arial" w:hAnsi="Arial" w:cs="Arial"/>
          <w:sz w:val="20"/>
          <w:szCs w:val="20"/>
        </w:rPr>
        <w:t>zgodnienia</w:t>
      </w:r>
      <w:r w:rsidR="004C6CC5">
        <w:rPr>
          <w:rFonts w:ascii="Arial" w:hAnsi="Arial" w:cs="Arial"/>
          <w:sz w:val="20"/>
          <w:szCs w:val="20"/>
        </w:rPr>
        <w:t xml:space="preserve"> </w:t>
      </w:r>
      <w:r w:rsidR="00704DDE">
        <w:rPr>
          <w:rFonts w:ascii="Arial" w:hAnsi="Arial" w:cs="Arial"/>
          <w:sz w:val="20"/>
          <w:szCs w:val="20"/>
        </w:rPr>
        <w:t>pozwoleń</w:t>
      </w:r>
      <w:r w:rsidR="003805B9" w:rsidRPr="004C6CC5">
        <w:rPr>
          <w:rFonts w:ascii="Arial" w:hAnsi="Arial" w:cs="Arial"/>
          <w:sz w:val="20"/>
          <w:szCs w:val="20"/>
        </w:rPr>
        <w:t xml:space="preserve"> Urzędu Morskiego</w:t>
      </w:r>
      <w:r w:rsidR="00704DDE">
        <w:rPr>
          <w:rFonts w:ascii="Arial" w:hAnsi="Arial" w:cs="Arial"/>
          <w:sz w:val="20"/>
          <w:szCs w:val="20"/>
        </w:rPr>
        <w:t xml:space="preserve"> w </w:t>
      </w:r>
      <w:r w:rsidR="003805B9" w:rsidRPr="004C6CC5">
        <w:rPr>
          <w:rFonts w:ascii="Arial" w:hAnsi="Arial" w:cs="Arial"/>
          <w:sz w:val="20"/>
          <w:szCs w:val="20"/>
        </w:rPr>
        <w:t>Gdyni</w:t>
      </w:r>
      <w:r w:rsidR="004C6CC5">
        <w:rPr>
          <w:rFonts w:ascii="Arial" w:hAnsi="Arial" w:cs="Arial"/>
          <w:sz w:val="20"/>
          <w:szCs w:val="20"/>
        </w:rPr>
        <w:t xml:space="preserve"> i </w:t>
      </w:r>
      <w:r w:rsidR="003805B9" w:rsidRPr="004C6CC5">
        <w:rPr>
          <w:rFonts w:ascii="Arial" w:hAnsi="Arial" w:cs="Arial"/>
          <w:sz w:val="20"/>
          <w:szCs w:val="20"/>
        </w:rPr>
        <w:t xml:space="preserve">Słupsku na prowadzenie badań archeologicznych oraz </w:t>
      </w:r>
      <w:r w:rsidR="00704DDE">
        <w:rPr>
          <w:rFonts w:ascii="Arial" w:hAnsi="Arial" w:cs="Arial"/>
          <w:sz w:val="20"/>
          <w:szCs w:val="20"/>
        </w:rPr>
        <w:t>pozwoleń</w:t>
      </w:r>
      <w:r w:rsidR="00704DDE" w:rsidRPr="00704DDE">
        <w:rPr>
          <w:rFonts w:ascii="Arial" w:hAnsi="Arial" w:cs="Arial"/>
          <w:sz w:val="20"/>
          <w:szCs w:val="20"/>
        </w:rPr>
        <w:t xml:space="preserve"> </w:t>
      </w:r>
      <w:r w:rsidR="00704DDE">
        <w:rPr>
          <w:rFonts w:ascii="Arial" w:hAnsi="Arial" w:cs="Arial"/>
          <w:sz w:val="20"/>
          <w:szCs w:val="20"/>
        </w:rPr>
        <w:t xml:space="preserve">wydawanych na przeszukiwanie </w:t>
      </w:r>
      <w:r w:rsidR="00704DDE" w:rsidRPr="008A7F71">
        <w:rPr>
          <w:rFonts w:ascii="Arial" w:hAnsi="Arial" w:cs="Arial"/>
          <w:sz w:val="20"/>
          <w:szCs w:val="20"/>
        </w:rPr>
        <w:t>wraku statku</w:t>
      </w:r>
      <w:r w:rsidR="00704DDE">
        <w:rPr>
          <w:rFonts w:ascii="Arial" w:hAnsi="Arial" w:cs="Arial"/>
          <w:sz w:val="20"/>
          <w:szCs w:val="20"/>
        </w:rPr>
        <w:t>,</w:t>
      </w:r>
      <w:r w:rsidR="00704DDE" w:rsidRPr="008A7F71">
        <w:rPr>
          <w:rFonts w:ascii="Arial" w:hAnsi="Arial" w:cs="Arial"/>
          <w:sz w:val="20"/>
          <w:szCs w:val="20"/>
        </w:rPr>
        <w:t xml:space="preserve"> a także wydało opinie archeologiczne dotyczące inwestycji planow</w:t>
      </w:r>
      <w:r w:rsidR="00704DDE">
        <w:rPr>
          <w:rFonts w:ascii="Arial" w:hAnsi="Arial" w:cs="Arial"/>
          <w:sz w:val="20"/>
          <w:szCs w:val="20"/>
        </w:rPr>
        <w:t>anych na polskich obszarach morskich.</w:t>
      </w:r>
    </w:p>
    <w:p w14:paraId="672C1D70" w14:textId="0003AA05" w:rsidR="00187122" w:rsidRDefault="00187122" w:rsidP="004234FC">
      <w:pPr>
        <w:tabs>
          <w:tab w:val="left" w:pos="567"/>
        </w:tabs>
        <w:spacing w:before="120" w:after="120" w:line="276" w:lineRule="auto"/>
        <w:jc w:val="both"/>
        <w:rPr>
          <w:rFonts w:ascii="Arial" w:hAnsi="Arial" w:cs="Arial"/>
          <w:sz w:val="20"/>
          <w:szCs w:val="20"/>
        </w:rPr>
      </w:pPr>
      <w:r>
        <w:rPr>
          <w:rFonts w:ascii="Arial" w:hAnsi="Arial" w:cs="Arial"/>
          <w:sz w:val="20"/>
          <w:szCs w:val="20"/>
        </w:rPr>
        <w:t>W</w:t>
      </w:r>
      <w:r w:rsidRPr="00187122">
        <w:rPr>
          <w:rFonts w:ascii="Arial" w:hAnsi="Arial" w:cs="Arial"/>
          <w:sz w:val="20"/>
          <w:szCs w:val="20"/>
        </w:rPr>
        <w:t>e współpracy z zespołem płetwonurków Baltictec</w:t>
      </w:r>
      <w:r>
        <w:rPr>
          <w:rFonts w:ascii="Arial" w:hAnsi="Arial" w:cs="Arial"/>
          <w:sz w:val="20"/>
          <w:szCs w:val="20"/>
        </w:rPr>
        <w:t xml:space="preserve">h w zakresie dokumentacji stanu </w:t>
      </w:r>
      <w:r w:rsidRPr="00187122">
        <w:rPr>
          <w:rFonts w:ascii="Arial" w:hAnsi="Arial" w:cs="Arial"/>
          <w:sz w:val="20"/>
          <w:szCs w:val="20"/>
        </w:rPr>
        <w:t xml:space="preserve">zachowania wraków okrętów </w:t>
      </w:r>
      <w:r>
        <w:rPr>
          <w:rFonts w:ascii="Arial" w:hAnsi="Arial" w:cs="Arial"/>
          <w:sz w:val="20"/>
          <w:szCs w:val="20"/>
        </w:rPr>
        <w:t>„</w:t>
      </w:r>
      <w:r w:rsidRPr="00187122">
        <w:rPr>
          <w:rFonts w:ascii="Arial" w:hAnsi="Arial" w:cs="Arial"/>
          <w:sz w:val="20"/>
          <w:szCs w:val="20"/>
        </w:rPr>
        <w:t>Goya</w:t>
      </w:r>
      <w:r>
        <w:rPr>
          <w:rFonts w:ascii="Arial" w:hAnsi="Arial" w:cs="Arial"/>
          <w:sz w:val="20"/>
          <w:szCs w:val="20"/>
        </w:rPr>
        <w:t>”</w:t>
      </w:r>
      <w:r w:rsidRPr="00187122">
        <w:rPr>
          <w:rFonts w:ascii="Arial" w:hAnsi="Arial" w:cs="Arial"/>
          <w:sz w:val="20"/>
          <w:szCs w:val="20"/>
        </w:rPr>
        <w:t xml:space="preserve"> i </w:t>
      </w:r>
      <w:r>
        <w:rPr>
          <w:rFonts w:ascii="Arial" w:hAnsi="Arial" w:cs="Arial"/>
          <w:sz w:val="20"/>
          <w:szCs w:val="20"/>
        </w:rPr>
        <w:t>„</w:t>
      </w:r>
      <w:r w:rsidRPr="00187122">
        <w:rPr>
          <w:rFonts w:ascii="Arial" w:hAnsi="Arial" w:cs="Arial"/>
          <w:sz w:val="20"/>
          <w:szCs w:val="20"/>
        </w:rPr>
        <w:t>General von Steuben</w:t>
      </w:r>
      <w:r>
        <w:rPr>
          <w:rFonts w:ascii="Arial" w:hAnsi="Arial" w:cs="Arial"/>
          <w:sz w:val="20"/>
          <w:szCs w:val="20"/>
        </w:rPr>
        <w:t xml:space="preserve">” – mających statut mogił </w:t>
      </w:r>
      <w:r w:rsidRPr="00187122">
        <w:rPr>
          <w:rFonts w:ascii="Arial" w:hAnsi="Arial" w:cs="Arial"/>
          <w:sz w:val="20"/>
          <w:szCs w:val="20"/>
        </w:rPr>
        <w:t>wojennych, przeprowadzono badania, będące kontynuac</w:t>
      </w:r>
      <w:r>
        <w:rPr>
          <w:rFonts w:ascii="Arial" w:hAnsi="Arial" w:cs="Arial"/>
          <w:sz w:val="20"/>
          <w:szCs w:val="20"/>
        </w:rPr>
        <w:t xml:space="preserve">ją działań podejmowanych w roku </w:t>
      </w:r>
      <w:r w:rsidRPr="00187122">
        <w:rPr>
          <w:rFonts w:ascii="Arial" w:hAnsi="Arial" w:cs="Arial"/>
          <w:sz w:val="20"/>
          <w:szCs w:val="20"/>
        </w:rPr>
        <w:t>2018. Badania te potwierdziły, że pomimo objęcia ww. wra</w:t>
      </w:r>
      <w:r>
        <w:rPr>
          <w:rFonts w:ascii="Arial" w:hAnsi="Arial" w:cs="Arial"/>
          <w:sz w:val="20"/>
          <w:szCs w:val="20"/>
        </w:rPr>
        <w:t xml:space="preserve">ków ochroną na mocy zarządzenia </w:t>
      </w:r>
      <w:r w:rsidRPr="00187122">
        <w:rPr>
          <w:rFonts w:ascii="Arial" w:hAnsi="Arial" w:cs="Arial"/>
          <w:sz w:val="20"/>
          <w:szCs w:val="20"/>
        </w:rPr>
        <w:t>Dyrektorów Urzęd</w:t>
      </w:r>
      <w:r w:rsidR="0011079F">
        <w:rPr>
          <w:rFonts w:ascii="Arial" w:hAnsi="Arial" w:cs="Arial"/>
          <w:sz w:val="20"/>
          <w:szCs w:val="20"/>
        </w:rPr>
        <w:t>ów Morskich w Słupsku i w Gdyni</w:t>
      </w:r>
      <w:r w:rsidRPr="00187122">
        <w:rPr>
          <w:rFonts w:ascii="Arial" w:hAnsi="Arial" w:cs="Arial"/>
          <w:sz w:val="20"/>
          <w:szCs w:val="20"/>
        </w:rPr>
        <w:t xml:space="preserve"> są </w:t>
      </w:r>
      <w:r>
        <w:rPr>
          <w:rFonts w:ascii="Arial" w:hAnsi="Arial" w:cs="Arial"/>
          <w:sz w:val="20"/>
          <w:szCs w:val="20"/>
        </w:rPr>
        <w:t xml:space="preserve">one systematycznie penetrowane, </w:t>
      </w:r>
      <w:r w:rsidRPr="00187122">
        <w:rPr>
          <w:rFonts w:ascii="Arial" w:hAnsi="Arial" w:cs="Arial"/>
          <w:sz w:val="20"/>
          <w:szCs w:val="20"/>
        </w:rPr>
        <w:t>również w celach rabunkowych, przez nurków działający</w:t>
      </w:r>
      <w:r>
        <w:rPr>
          <w:rFonts w:ascii="Arial" w:hAnsi="Arial" w:cs="Arial"/>
          <w:sz w:val="20"/>
          <w:szCs w:val="20"/>
        </w:rPr>
        <w:t>ch wbrew zakazom i bez pozwoleń. Należy podkreślić, ż</w:t>
      </w:r>
      <w:r w:rsidR="003805B9" w:rsidRPr="004C6CC5">
        <w:rPr>
          <w:rFonts w:ascii="Arial" w:hAnsi="Arial" w:cs="Arial"/>
          <w:sz w:val="20"/>
          <w:szCs w:val="20"/>
        </w:rPr>
        <w:t>e przeprowadzenie pełnego rozpoznania stanu zachowania wraków zalegających na znacznej głębokości jest możliwe jedynie</w:t>
      </w:r>
      <w:r w:rsidR="004C6CC5">
        <w:rPr>
          <w:rFonts w:ascii="Arial" w:hAnsi="Arial" w:cs="Arial"/>
          <w:sz w:val="20"/>
          <w:szCs w:val="20"/>
        </w:rPr>
        <w:t xml:space="preserve"> w </w:t>
      </w:r>
      <w:r w:rsidR="003805B9" w:rsidRPr="004C6CC5">
        <w:rPr>
          <w:rFonts w:ascii="Arial" w:hAnsi="Arial" w:cs="Arial"/>
          <w:sz w:val="20"/>
          <w:szCs w:val="20"/>
        </w:rPr>
        <w:t>przypadku zaangażowania firmy nurkowej dysponującej wykwalifikowanym zespołem nurków</w:t>
      </w:r>
      <w:r w:rsidR="005F6788">
        <w:rPr>
          <w:rFonts w:ascii="Arial" w:hAnsi="Arial" w:cs="Arial"/>
          <w:sz w:val="20"/>
          <w:szCs w:val="20"/>
        </w:rPr>
        <w:t xml:space="preserve"> i </w:t>
      </w:r>
      <w:r w:rsidR="003805B9" w:rsidRPr="004C6CC5">
        <w:rPr>
          <w:rFonts w:ascii="Arial" w:hAnsi="Arial" w:cs="Arial"/>
          <w:sz w:val="20"/>
          <w:szCs w:val="20"/>
        </w:rPr>
        <w:t>odp</w:t>
      </w:r>
      <w:r w:rsidR="007F0064">
        <w:rPr>
          <w:rFonts w:ascii="Arial" w:hAnsi="Arial" w:cs="Arial"/>
          <w:sz w:val="20"/>
          <w:szCs w:val="20"/>
        </w:rPr>
        <w:t>owiednim zapleczem technicznym.</w:t>
      </w:r>
    </w:p>
    <w:p w14:paraId="4C017531" w14:textId="2F503F0A" w:rsidR="003805B9" w:rsidRPr="004C6CC5" w:rsidRDefault="003805B9" w:rsidP="005F6788">
      <w:pPr>
        <w:tabs>
          <w:tab w:val="left" w:pos="567"/>
        </w:tabs>
        <w:spacing w:before="120" w:after="120" w:line="276" w:lineRule="auto"/>
        <w:jc w:val="both"/>
        <w:rPr>
          <w:rFonts w:ascii="Arial" w:hAnsi="Arial" w:cs="Arial"/>
          <w:sz w:val="20"/>
          <w:szCs w:val="20"/>
        </w:rPr>
      </w:pPr>
      <w:r w:rsidRPr="004C6CC5">
        <w:rPr>
          <w:rFonts w:ascii="Arial" w:hAnsi="Arial" w:cs="Arial"/>
          <w:sz w:val="20"/>
          <w:szCs w:val="20"/>
        </w:rPr>
        <w:t>Narodowe Muzeum Morskie</w:t>
      </w:r>
      <w:r w:rsidR="00677A6F">
        <w:rPr>
          <w:rFonts w:ascii="Arial" w:hAnsi="Arial" w:cs="Arial"/>
          <w:sz w:val="20"/>
          <w:szCs w:val="20"/>
        </w:rPr>
        <w:t xml:space="preserve"> w </w:t>
      </w:r>
      <w:r w:rsidRPr="004C6CC5">
        <w:rPr>
          <w:rFonts w:ascii="Arial" w:hAnsi="Arial" w:cs="Arial"/>
          <w:sz w:val="20"/>
          <w:szCs w:val="20"/>
        </w:rPr>
        <w:t>Gdańsku</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wzięło udział</w:t>
      </w:r>
      <w:r w:rsidR="004C6CC5">
        <w:rPr>
          <w:rFonts w:ascii="Arial" w:hAnsi="Arial" w:cs="Arial"/>
          <w:sz w:val="20"/>
          <w:szCs w:val="20"/>
        </w:rPr>
        <w:t xml:space="preserve"> w </w:t>
      </w:r>
      <w:r w:rsidRPr="004C6CC5">
        <w:rPr>
          <w:rFonts w:ascii="Arial" w:hAnsi="Arial" w:cs="Arial"/>
          <w:sz w:val="20"/>
          <w:szCs w:val="20"/>
        </w:rPr>
        <w:t>dwóch znaczących projektach europejskich</w:t>
      </w:r>
      <w:r w:rsidR="005F6788">
        <w:rPr>
          <w:rFonts w:ascii="Arial" w:hAnsi="Arial" w:cs="Arial"/>
          <w:sz w:val="20"/>
          <w:szCs w:val="20"/>
        </w:rPr>
        <w:t xml:space="preserve">: </w:t>
      </w:r>
    </w:p>
    <w:p w14:paraId="0E66831B" w14:textId="6AB2AE2A" w:rsidR="003805B9" w:rsidRPr="004C6CC5" w:rsidRDefault="003805B9" w:rsidP="003C6ECA">
      <w:pPr>
        <w:pStyle w:val="Akapitzlist"/>
        <w:numPr>
          <w:ilvl w:val="0"/>
          <w:numId w:val="14"/>
        </w:numPr>
        <w:spacing w:before="120" w:after="120" w:line="276" w:lineRule="auto"/>
        <w:jc w:val="both"/>
        <w:rPr>
          <w:rFonts w:ascii="Arial" w:hAnsi="Arial" w:cs="Arial"/>
          <w:sz w:val="20"/>
          <w:szCs w:val="20"/>
        </w:rPr>
      </w:pPr>
      <w:r w:rsidRPr="004C6CC5">
        <w:rPr>
          <w:rFonts w:ascii="Arial" w:hAnsi="Arial" w:cs="Arial"/>
          <w:b/>
          <w:sz w:val="20"/>
          <w:szCs w:val="20"/>
        </w:rPr>
        <w:t>BalticRIM</w:t>
      </w:r>
      <w:r w:rsidRPr="004C6CC5">
        <w:rPr>
          <w:rFonts w:ascii="Arial" w:hAnsi="Arial" w:cs="Arial"/>
          <w:sz w:val="20"/>
          <w:szCs w:val="20"/>
        </w:rPr>
        <w:t xml:space="preserve"> - </w:t>
      </w:r>
      <w:r w:rsidRPr="000F65B0">
        <w:rPr>
          <w:rFonts w:ascii="Arial" w:hAnsi="Arial" w:cs="Arial"/>
          <w:b/>
          <w:sz w:val="20"/>
          <w:szCs w:val="20"/>
        </w:rPr>
        <w:t>Baltic Sea Region Integrated Maritime Cultural Heritage Management</w:t>
      </w:r>
      <w:r w:rsidRPr="004C6CC5">
        <w:rPr>
          <w:rFonts w:ascii="Arial" w:hAnsi="Arial" w:cs="Arial"/>
          <w:sz w:val="20"/>
          <w:szCs w:val="20"/>
        </w:rPr>
        <w:t xml:space="preserve"> - </w:t>
      </w:r>
      <w:r w:rsidRPr="00B06302">
        <w:rPr>
          <w:rFonts w:ascii="Arial" w:hAnsi="Arial" w:cs="Arial"/>
          <w:b/>
          <w:sz w:val="20"/>
          <w:szCs w:val="20"/>
        </w:rPr>
        <w:t>zintegrowane zarządzanie dziedzictwem morskim</w:t>
      </w:r>
      <w:r w:rsidR="004C6CC5" w:rsidRPr="00B06302">
        <w:rPr>
          <w:rFonts w:ascii="Arial" w:hAnsi="Arial" w:cs="Arial"/>
          <w:b/>
          <w:sz w:val="20"/>
          <w:szCs w:val="20"/>
        </w:rPr>
        <w:t xml:space="preserve"> w </w:t>
      </w:r>
      <w:r w:rsidRPr="00B06302">
        <w:rPr>
          <w:rFonts w:ascii="Arial" w:hAnsi="Arial" w:cs="Arial"/>
          <w:b/>
          <w:sz w:val="20"/>
          <w:szCs w:val="20"/>
        </w:rPr>
        <w:t>regionie Morza Bałtyckiego</w:t>
      </w:r>
      <w:r w:rsidRPr="004C6CC5">
        <w:rPr>
          <w:rFonts w:ascii="Arial" w:hAnsi="Arial" w:cs="Arial"/>
          <w:sz w:val="20"/>
          <w:szCs w:val="20"/>
        </w:rPr>
        <w:t xml:space="preserve"> </w:t>
      </w:r>
    </w:p>
    <w:p w14:paraId="0A3F3B9F" w14:textId="0DF400D7" w:rsidR="003805B9" w:rsidRPr="00F85989" w:rsidRDefault="003805B9" w:rsidP="00C87950">
      <w:pPr>
        <w:spacing w:before="120" w:after="120" w:line="276" w:lineRule="auto"/>
        <w:jc w:val="both"/>
        <w:rPr>
          <w:rFonts w:ascii="Arial" w:hAnsi="Arial" w:cs="Arial"/>
          <w:color w:val="000000"/>
          <w:sz w:val="20"/>
          <w:szCs w:val="20"/>
          <w:lang w:eastAsia="pl-PL"/>
        </w:rPr>
      </w:pPr>
      <w:r w:rsidRPr="004C6CC5">
        <w:rPr>
          <w:rFonts w:ascii="Arial" w:hAnsi="Arial" w:cs="Arial"/>
          <w:sz w:val="20"/>
          <w:szCs w:val="20"/>
        </w:rPr>
        <w:t xml:space="preserve">BalticRIM ma za zadanie dokonać analizy zależności między morskim dziedzictwem </w:t>
      </w:r>
      <w:r w:rsidR="00417047">
        <w:rPr>
          <w:rFonts w:ascii="Arial" w:hAnsi="Arial" w:cs="Arial"/>
          <w:sz w:val="20"/>
          <w:szCs w:val="20"/>
        </w:rPr>
        <w:t>kulturowym (maritime cultural he</w:t>
      </w:r>
      <w:r w:rsidRPr="004C6CC5">
        <w:rPr>
          <w:rFonts w:ascii="Arial" w:hAnsi="Arial" w:cs="Arial"/>
          <w:sz w:val="20"/>
          <w:szCs w:val="20"/>
        </w:rPr>
        <w:t>ritage</w:t>
      </w:r>
      <w:r w:rsidR="003E31DD">
        <w:rPr>
          <w:rFonts w:ascii="Arial" w:hAnsi="Arial" w:cs="Arial"/>
          <w:sz w:val="20"/>
          <w:szCs w:val="20"/>
        </w:rPr>
        <w:t xml:space="preserve"> - </w:t>
      </w:r>
      <w:r w:rsidRPr="004C6CC5">
        <w:rPr>
          <w:rFonts w:ascii="Arial" w:hAnsi="Arial" w:cs="Arial"/>
          <w:sz w:val="20"/>
          <w:szCs w:val="20"/>
        </w:rPr>
        <w:t>MCH)</w:t>
      </w:r>
      <w:r w:rsidR="0044052F">
        <w:rPr>
          <w:rFonts w:ascii="Arial" w:hAnsi="Arial" w:cs="Arial"/>
          <w:sz w:val="20"/>
          <w:szCs w:val="20"/>
        </w:rPr>
        <w:t>.</w:t>
      </w:r>
      <w:r w:rsidRPr="004C6CC5">
        <w:rPr>
          <w:rFonts w:ascii="Arial" w:hAnsi="Arial" w:cs="Arial"/>
          <w:sz w:val="20"/>
          <w:szCs w:val="20"/>
        </w:rPr>
        <w:t xml:space="preserve"> Poprzez serię zorganizowanych warsztatów MCH &amp; MSP zgromadzi ekspertów </w:t>
      </w:r>
      <w:r w:rsidR="00417047">
        <w:rPr>
          <w:rFonts w:ascii="Arial" w:hAnsi="Arial" w:cs="Arial"/>
          <w:sz w:val="20"/>
          <w:szCs w:val="20"/>
        </w:rPr>
        <w:t>w dziedzinie morskiego dziedzictwa kulturowego i morskiego planowania przestrzennego</w:t>
      </w:r>
      <w:r w:rsidR="004C6CC5">
        <w:rPr>
          <w:rFonts w:ascii="Arial" w:hAnsi="Arial" w:cs="Arial"/>
          <w:sz w:val="20"/>
          <w:szCs w:val="20"/>
        </w:rPr>
        <w:t xml:space="preserve"> w </w:t>
      </w:r>
      <w:r w:rsidRPr="004C6CC5">
        <w:rPr>
          <w:rFonts w:ascii="Arial" w:hAnsi="Arial" w:cs="Arial"/>
          <w:sz w:val="20"/>
          <w:szCs w:val="20"/>
        </w:rPr>
        <w:t>celu wspólnej optymalizacji</w:t>
      </w:r>
      <w:r w:rsidR="004C6CC5">
        <w:rPr>
          <w:rFonts w:ascii="Arial" w:hAnsi="Arial" w:cs="Arial"/>
          <w:sz w:val="20"/>
          <w:szCs w:val="20"/>
        </w:rPr>
        <w:t xml:space="preserve"> i </w:t>
      </w:r>
      <w:r w:rsidRPr="004C6CC5">
        <w:rPr>
          <w:rFonts w:ascii="Arial" w:hAnsi="Arial" w:cs="Arial"/>
          <w:sz w:val="20"/>
          <w:szCs w:val="20"/>
        </w:rPr>
        <w:t>wdrożenia instrumentów planowania przestrzennego oraz lepszego zrozumienia metod ich tworzenia. Głó</w:t>
      </w:r>
      <w:r w:rsidR="00D3362C">
        <w:rPr>
          <w:rFonts w:ascii="Arial" w:hAnsi="Arial" w:cs="Arial"/>
          <w:sz w:val="20"/>
          <w:szCs w:val="20"/>
        </w:rPr>
        <w:t xml:space="preserve">wną grupą docelową projektu są </w:t>
      </w:r>
      <w:r w:rsidRPr="004C6CC5">
        <w:rPr>
          <w:rFonts w:ascii="Arial" w:hAnsi="Arial" w:cs="Arial"/>
          <w:sz w:val="20"/>
          <w:szCs w:val="20"/>
        </w:rPr>
        <w:t>organy odpowiedzialne za planowanie przestrzenne</w:t>
      </w:r>
      <w:r w:rsidR="00DF4018">
        <w:rPr>
          <w:rFonts w:ascii="Arial" w:hAnsi="Arial" w:cs="Arial"/>
          <w:sz w:val="20"/>
          <w:szCs w:val="20"/>
        </w:rPr>
        <w:t xml:space="preserve"> i </w:t>
      </w:r>
      <w:r w:rsidRPr="004C6CC5">
        <w:rPr>
          <w:rFonts w:ascii="Arial" w:hAnsi="Arial" w:cs="Arial"/>
          <w:sz w:val="20"/>
          <w:szCs w:val="20"/>
        </w:rPr>
        <w:t>rozwój regionalny</w:t>
      </w:r>
      <w:r w:rsidR="00DF4018">
        <w:rPr>
          <w:rFonts w:ascii="Arial" w:hAnsi="Arial" w:cs="Arial"/>
          <w:sz w:val="20"/>
          <w:szCs w:val="20"/>
        </w:rPr>
        <w:t xml:space="preserve"> w </w:t>
      </w:r>
      <w:r w:rsidRPr="004C6CC5">
        <w:rPr>
          <w:rFonts w:ascii="Arial" w:hAnsi="Arial" w:cs="Arial"/>
          <w:sz w:val="20"/>
          <w:szCs w:val="20"/>
        </w:rPr>
        <w:t>krajach uczestniczących</w:t>
      </w:r>
      <w:r w:rsidR="0044052F">
        <w:rPr>
          <w:rFonts w:ascii="Arial" w:hAnsi="Arial" w:cs="Arial"/>
          <w:sz w:val="20"/>
          <w:szCs w:val="20"/>
        </w:rPr>
        <w:t xml:space="preserve"> w projekcie</w:t>
      </w:r>
      <w:r w:rsidRPr="004C6CC5">
        <w:rPr>
          <w:rFonts w:ascii="Arial" w:hAnsi="Arial" w:cs="Arial"/>
          <w:sz w:val="20"/>
          <w:szCs w:val="20"/>
        </w:rPr>
        <w:t>. Ponieważ ta podstawowa grupa docelowa jest bezpośrednio zaangażowana</w:t>
      </w:r>
      <w:r w:rsidR="004C6CC5">
        <w:rPr>
          <w:rFonts w:ascii="Arial" w:hAnsi="Arial" w:cs="Arial"/>
          <w:sz w:val="20"/>
          <w:szCs w:val="20"/>
        </w:rPr>
        <w:t xml:space="preserve"> w </w:t>
      </w:r>
      <w:r w:rsidR="00DF4018">
        <w:rPr>
          <w:rFonts w:ascii="Arial" w:hAnsi="Arial" w:cs="Arial"/>
          <w:sz w:val="20"/>
          <w:szCs w:val="20"/>
        </w:rPr>
        <w:t>projekt jako partner</w:t>
      </w:r>
      <w:r w:rsidRPr="004C6CC5">
        <w:rPr>
          <w:rFonts w:ascii="Arial" w:hAnsi="Arial" w:cs="Arial"/>
          <w:sz w:val="20"/>
          <w:szCs w:val="20"/>
        </w:rPr>
        <w:t xml:space="preserve"> projektu</w:t>
      </w:r>
      <w:r w:rsidR="004C6CC5">
        <w:rPr>
          <w:rFonts w:ascii="Arial" w:hAnsi="Arial" w:cs="Arial"/>
          <w:sz w:val="20"/>
          <w:szCs w:val="20"/>
        </w:rPr>
        <w:t xml:space="preserve"> i </w:t>
      </w:r>
      <w:r w:rsidR="00DF4018">
        <w:rPr>
          <w:rFonts w:ascii="Arial" w:hAnsi="Arial" w:cs="Arial"/>
          <w:sz w:val="20"/>
          <w:szCs w:val="20"/>
        </w:rPr>
        <w:t>jako partner stowarzyszony</w:t>
      </w:r>
      <w:r w:rsidRPr="004C6CC5">
        <w:rPr>
          <w:rFonts w:ascii="Arial" w:hAnsi="Arial" w:cs="Arial"/>
          <w:sz w:val="20"/>
          <w:szCs w:val="20"/>
        </w:rPr>
        <w:t>, oczekuje się, że zalecenia te mogą być bezpośrednio wykorzystane</w:t>
      </w:r>
      <w:r w:rsidR="004C6CC5">
        <w:rPr>
          <w:rFonts w:ascii="Arial" w:hAnsi="Arial" w:cs="Arial"/>
          <w:sz w:val="20"/>
          <w:szCs w:val="20"/>
        </w:rPr>
        <w:t xml:space="preserve"> w </w:t>
      </w:r>
      <w:r w:rsidRPr="004C6CC5">
        <w:rPr>
          <w:rFonts w:ascii="Arial" w:hAnsi="Arial" w:cs="Arial"/>
          <w:sz w:val="20"/>
          <w:szCs w:val="20"/>
        </w:rPr>
        <w:t>przygotowywanych obecnie morskich planach przestrzennych. Obszarem testowym dla polskich obszarów morskich jest Zatoka Gdańska, dla której sporządzono</w:t>
      </w:r>
      <w:r w:rsidR="004C6CC5">
        <w:rPr>
          <w:rFonts w:ascii="Arial" w:hAnsi="Arial" w:cs="Arial"/>
          <w:color w:val="000000"/>
          <w:sz w:val="20"/>
          <w:szCs w:val="20"/>
          <w:lang w:eastAsia="pl-PL"/>
        </w:rPr>
        <w:t xml:space="preserve"> w </w:t>
      </w:r>
      <w:r w:rsidRPr="004C6CC5">
        <w:rPr>
          <w:rFonts w:ascii="Arial" w:hAnsi="Arial" w:cs="Arial"/>
          <w:color w:val="000000"/>
          <w:sz w:val="20"/>
          <w:szCs w:val="20"/>
          <w:lang w:eastAsia="pl-PL"/>
        </w:rPr>
        <w:t>ramach projektu Plancoast</w:t>
      </w:r>
      <w:r w:rsidR="004C6CC5">
        <w:rPr>
          <w:rFonts w:ascii="Arial" w:hAnsi="Arial" w:cs="Arial"/>
          <w:color w:val="000000"/>
          <w:sz w:val="20"/>
          <w:szCs w:val="20"/>
          <w:lang w:eastAsia="pl-PL"/>
        </w:rPr>
        <w:t xml:space="preserve"> w </w:t>
      </w:r>
      <w:r w:rsidR="00B4354A">
        <w:rPr>
          <w:rFonts w:ascii="Arial" w:hAnsi="Arial" w:cs="Arial"/>
          <w:color w:val="000000"/>
          <w:sz w:val="20"/>
          <w:szCs w:val="20"/>
          <w:lang w:eastAsia="pl-PL"/>
        </w:rPr>
        <w:t xml:space="preserve">roku </w:t>
      </w:r>
      <w:r w:rsidRPr="004C6CC5">
        <w:rPr>
          <w:rFonts w:ascii="Arial" w:hAnsi="Arial" w:cs="Arial"/>
          <w:color w:val="000000"/>
          <w:sz w:val="20"/>
          <w:szCs w:val="20"/>
          <w:lang w:eastAsia="pl-PL"/>
        </w:rPr>
        <w:t>2008</w:t>
      </w:r>
      <w:r w:rsidR="00B4354A">
        <w:rPr>
          <w:rFonts w:ascii="Arial" w:hAnsi="Arial" w:cs="Arial"/>
          <w:color w:val="000000"/>
          <w:sz w:val="20"/>
          <w:szCs w:val="20"/>
          <w:lang w:eastAsia="pl-PL"/>
        </w:rPr>
        <w:t xml:space="preserve"> </w:t>
      </w:r>
      <w:r w:rsidRPr="004C6CC5">
        <w:rPr>
          <w:rFonts w:ascii="Arial" w:hAnsi="Arial" w:cs="Arial"/>
          <w:color w:val="000000"/>
          <w:sz w:val="20"/>
          <w:szCs w:val="20"/>
          <w:lang w:eastAsia="pl-PL"/>
        </w:rPr>
        <w:t>„Pilotażowy projekt planu zagospodarowania przestrzennego zachodniej części Zatoki Gdańskiej</w:t>
      </w:r>
      <w:r w:rsidR="00BF7ACD">
        <w:rPr>
          <w:rFonts w:ascii="Arial" w:hAnsi="Arial" w:cs="Arial"/>
          <w:color w:val="000000"/>
          <w:sz w:val="20"/>
          <w:szCs w:val="20"/>
          <w:lang w:eastAsia="pl-PL"/>
        </w:rPr>
        <w:t>”</w:t>
      </w:r>
      <w:r w:rsidRPr="004C6CC5">
        <w:rPr>
          <w:rFonts w:ascii="Arial" w:hAnsi="Arial" w:cs="Arial"/>
          <w:color w:val="000000"/>
          <w:sz w:val="20"/>
          <w:szCs w:val="20"/>
          <w:lang w:eastAsia="pl-PL"/>
        </w:rPr>
        <w:t>. Wykonawcą tego planu był biorący udział</w:t>
      </w:r>
      <w:r w:rsidR="004C6CC5">
        <w:rPr>
          <w:rFonts w:ascii="Arial" w:hAnsi="Arial" w:cs="Arial"/>
          <w:color w:val="000000"/>
          <w:sz w:val="20"/>
          <w:szCs w:val="20"/>
          <w:lang w:eastAsia="pl-PL"/>
        </w:rPr>
        <w:t xml:space="preserve"> w </w:t>
      </w:r>
      <w:r w:rsidRPr="004C6CC5">
        <w:rPr>
          <w:rFonts w:ascii="Arial" w:hAnsi="Arial" w:cs="Arial"/>
          <w:color w:val="000000"/>
          <w:sz w:val="20"/>
          <w:szCs w:val="20"/>
          <w:lang w:eastAsia="pl-PL"/>
        </w:rPr>
        <w:t>obecnym projekcie Instytut Morski</w:t>
      </w:r>
      <w:r w:rsidR="004C6CC5">
        <w:rPr>
          <w:rFonts w:ascii="Arial" w:hAnsi="Arial" w:cs="Arial"/>
          <w:color w:val="000000"/>
          <w:sz w:val="20"/>
          <w:szCs w:val="20"/>
          <w:lang w:eastAsia="pl-PL"/>
        </w:rPr>
        <w:t xml:space="preserve"> w </w:t>
      </w:r>
      <w:r w:rsidRPr="004C6CC5">
        <w:rPr>
          <w:rFonts w:ascii="Arial" w:hAnsi="Arial" w:cs="Arial"/>
          <w:color w:val="000000"/>
          <w:sz w:val="20"/>
          <w:szCs w:val="20"/>
          <w:lang w:eastAsia="pl-PL"/>
        </w:rPr>
        <w:t>Gdańsku. Pozwala to na porównanie stanu wiedzy</w:t>
      </w:r>
      <w:r w:rsidR="004C6CC5">
        <w:rPr>
          <w:rFonts w:ascii="Arial" w:hAnsi="Arial" w:cs="Arial"/>
          <w:color w:val="000000"/>
          <w:sz w:val="20"/>
          <w:szCs w:val="20"/>
          <w:lang w:eastAsia="pl-PL"/>
        </w:rPr>
        <w:t xml:space="preserve"> z </w:t>
      </w:r>
      <w:r w:rsidRPr="004C6CC5">
        <w:rPr>
          <w:rFonts w:ascii="Arial" w:hAnsi="Arial" w:cs="Arial"/>
          <w:color w:val="000000"/>
          <w:sz w:val="20"/>
          <w:szCs w:val="20"/>
          <w:lang w:eastAsia="pl-PL"/>
        </w:rPr>
        <w:t>momentu zakończenia pierwszej próby utworzenia planu</w:t>
      </w:r>
      <w:r w:rsidR="00866E98">
        <w:rPr>
          <w:rFonts w:ascii="Arial" w:hAnsi="Arial" w:cs="Arial"/>
          <w:color w:val="000000"/>
          <w:sz w:val="20"/>
          <w:szCs w:val="20"/>
          <w:lang w:eastAsia="pl-PL"/>
        </w:rPr>
        <w:t xml:space="preserve"> w </w:t>
      </w:r>
      <w:r w:rsidRPr="004C6CC5">
        <w:rPr>
          <w:rFonts w:ascii="Arial" w:hAnsi="Arial" w:cs="Arial"/>
          <w:color w:val="000000"/>
          <w:sz w:val="20"/>
          <w:szCs w:val="20"/>
          <w:lang w:eastAsia="pl-PL"/>
        </w:rPr>
        <w:t>2008 r</w:t>
      </w:r>
      <w:r w:rsidR="00866E98">
        <w:rPr>
          <w:rFonts w:ascii="Arial" w:hAnsi="Arial" w:cs="Arial"/>
          <w:color w:val="000000"/>
          <w:sz w:val="20"/>
          <w:szCs w:val="20"/>
          <w:lang w:eastAsia="pl-PL"/>
        </w:rPr>
        <w:t>.</w:t>
      </w:r>
      <w:r w:rsidR="004C6CC5">
        <w:rPr>
          <w:rFonts w:ascii="Arial" w:hAnsi="Arial" w:cs="Arial"/>
          <w:color w:val="000000"/>
          <w:sz w:val="20"/>
          <w:szCs w:val="20"/>
          <w:lang w:eastAsia="pl-PL"/>
        </w:rPr>
        <w:t xml:space="preserve"> z </w:t>
      </w:r>
      <w:r w:rsidRPr="004C6CC5">
        <w:rPr>
          <w:rFonts w:ascii="Arial" w:hAnsi="Arial" w:cs="Arial"/>
          <w:color w:val="000000"/>
          <w:sz w:val="20"/>
          <w:szCs w:val="20"/>
          <w:lang w:eastAsia="pl-PL"/>
        </w:rPr>
        <w:t>wynikami osiągniętymi</w:t>
      </w:r>
      <w:r w:rsidR="004C6CC5">
        <w:rPr>
          <w:rFonts w:ascii="Arial" w:hAnsi="Arial" w:cs="Arial"/>
          <w:color w:val="000000"/>
          <w:sz w:val="20"/>
          <w:szCs w:val="20"/>
          <w:lang w:eastAsia="pl-PL"/>
        </w:rPr>
        <w:t xml:space="preserve"> w </w:t>
      </w:r>
      <w:r w:rsidR="00D3362C">
        <w:rPr>
          <w:rFonts w:ascii="Arial" w:hAnsi="Arial" w:cs="Arial"/>
          <w:color w:val="000000"/>
          <w:sz w:val="20"/>
          <w:szCs w:val="20"/>
          <w:lang w:eastAsia="pl-PL"/>
        </w:rPr>
        <w:t xml:space="preserve">projekcie BalticRim. </w:t>
      </w:r>
      <w:r w:rsidRPr="004C6CC5">
        <w:rPr>
          <w:rFonts w:ascii="Arial" w:hAnsi="Arial" w:cs="Arial"/>
          <w:sz w:val="20"/>
          <w:szCs w:val="20"/>
        </w:rPr>
        <w:t>Wpisuje się to</w:t>
      </w:r>
      <w:r w:rsidR="004C6CC5">
        <w:rPr>
          <w:rFonts w:ascii="Arial" w:hAnsi="Arial" w:cs="Arial"/>
          <w:sz w:val="20"/>
          <w:szCs w:val="20"/>
        </w:rPr>
        <w:t xml:space="preserve"> w </w:t>
      </w:r>
      <w:r w:rsidRPr="004C6CC5">
        <w:rPr>
          <w:rFonts w:ascii="Arial" w:hAnsi="Arial" w:cs="Arial"/>
          <w:sz w:val="20"/>
          <w:szCs w:val="20"/>
        </w:rPr>
        <w:t>przygotowywane obecnie plany przestrzenne portów Zatoki Gdańskiej.</w:t>
      </w:r>
      <w:r w:rsidR="004C6CC5">
        <w:rPr>
          <w:rFonts w:ascii="Arial" w:hAnsi="Arial" w:cs="Arial"/>
          <w:sz w:val="20"/>
          <w:szCs w:val="20"/>
        </w:rPr>
        <w:t xml:space="preserve"> </w:t>
      </w:r>
      <w:r w:rsidR="00D3362C">
        <w:rPr>
          <w:rFonts w:ascii="Arial" w:hAnsi="Arial" w:cs="Arial"/>
          <w:sz w:val="20"/>
          <w:szCs w:val="20"/>
        </w:rPr>
        <w:t>W</w:t>
      </w:r>
      <w:r w:rsidR="004C6CC5">
        <w:rPr>
          <w:rFonts w:ascii="Arial" w:hAnsi="Arial" w:cs="Arial"/>
          <w:sz w:val="20"/>
          <w:szCs w:val="20"/>
        </w:rPr>
        <w:t> </w:t>
      </w:r>
      <w:r w:rsidRPr="004C6CC5">
        <w:rPr>
          <w:rFonts w:ascii="Arial" w:hAnsi="Arial" w:cs="Arial"/>
          <w:color w:val="000000"/>
          <w:sz w:val="20"/>
          <w:szCs w:val="20"/>
          <w:lang w:eastAsia="pl-PL"/>
        </w:rPr>
        <w:t>2019 r</w:t>
      </w:r>
      <w:r w:rsidR="0017753F">
        <w:rPr>
          <w:rFonts w:ascii="Arial" w:hAnsi="Arial" w:cs="Arial"/>
          <w:color w:val="000000"/>
          <w:sz w:val="20"/>
          <w:szCs w:val="20"/>
          <w:lang w:eastAsia="pl-PL"/>
        </w:rPr>
        <w:t>.</w:t>
      </w:r>
      <w:r w:rsidRPr="004C6CC5">
        <w:rPr>
          <w:rFonts w:ascii="Arial" w:hAnsi="Arial" w:cs="Arial"/>
          <w:color w:val="000000"/>
          <w:sz w:val="20"/>
          <w:szCs w:val="20"/>
          <w:lang w:eastAsia="pl-PL"/>
        </w:rPr>
        <w:t xml:space="preserve"> przeprowadzono prace terenowe, </w:t>
      </w:r>
      <w:r w:rsidR="00C51031">
        <w:rPr>
          <w:rFonts w:ascii="Arial" w:hAnsi="Arial" w:cs="Arial"/>
          <w:color w:val="000000"/>
          <w:sz w:val="20"/>
          <w:szCs w:val="20"/>
          <w:lang w:eastAsia="pl-PL"/>
        </w:rPr>
        <w:t>na podstawie których zostaną wskazane</w:t>
      </w:r>
      <w:r w:rsidRPr="004C6CC5">
        <w:rPr>
          <w:rFonts w:ascii="Arial" w:hAnsi="Arial" w:cs="Arial"/>
          <w:color w:val="000000"/>
          <w:sz w:val="20"/>
          <w:szCs w:val="20"/>
          <w:lang w:eastAsia="pl-PL"/>
        </w:rPr>
        <w:t xml:space="preserve"> najskuteczniejsze obecnie metody wyznaczania zasięgu obszarów, na których może występować dziedzictwo kulturowe związane</w:t>
      </w:r>
      <w:r w:rsidR="004C6CC5">
        <w:rPr>
          <w:rFonts w:ascii="Arial" w:hAnsi="Arial" w:cs="Arial"/>
          <w:color w:val="000000"/>
          <w:sz w:val="20"/>
          <w:szCs w:val="20"/>
          <w:lang w:eastAsia="pl-PL"/>
        </w:rPr>
        <w:t xml:space="preserve"> z </w:t>
      </w:r>
      <w:r w:rsidR="00F85989">
        <w:rPr>
          <w:rFonts w:ascii="Arial" w:hAnsi="Arial" w:cs="Arial"/>
          <w:color w:val="000000"/>
          <w:sz w:val="20"/>
          <w:szCs w:val="20"/>
          <w:lang w:eastAsia="pl-PL"/>
        </w:rPr>
        <w:t xml:space="preserve">osadnictwem pradziejowym. </w:t>
      </w:r>
    </w:p>
    <w:p w14:paraId="634AE112" w14:textId="5119FB9E" w:rsidR="003621D6" w:rsidRPr="002E137D" w:rsidRDefault="003805B9" w:rsidP="003C6ECA">
      <w:pPr>
        <w:pStyle w:val="Akapitzlist"/>
        <w:numPr>
          <w:ilvl w:val="0"/>
          <w:numId w:val="14"/>
        </w:numPr>
        <w:spacing w:before="120" w:after="120" w:line="276" w:lineRule="auto"/>
        <w:jc w:val="both"/>
        <w:rPr>
          <w:rFonts w:ascii="Arial" w:hAnsi="Arial" w:cs="Arial"/>
          <w:b/>
          <w:sz w:val="20"/>
          <w:szCs w:val="20"/>
          <w:lang w:val="en-GB"/>
        </w:rPr>
      </w:pPr>
      <w:r w:rsidRPr="000F468A">
        <w:rPr>
          <w:rFonts w:ascii="Arial" w:hAnsi="Arial" w:cs="Arial"/>
          <w:b/>
          <w:sz w:val="20"/>
          <w:szCs w:val="20"/>
          <w:lang w:val="en-GB"/>
        </w:rPr>
        <w:t>Virtual Arch</w:t>
      </w:r>
      <w:r w:rsidR="003621D6">
        <w:rPr>
          <w:rFonts w:ascii="Arial" w:hAnsi="Arial" w:cs="Arial"/>
          <w:b/>
          <w:sz w:val="20"/>
          <w:szCs w:val="20"/>
          <w:lang w:val="en-GB"/>
        </w:rPr>
        <w:t xml:space="preserve"> </w:t>
      </w:r>
      <w:r w:rsidRPr="00746137">
        <w:rPr>
          <w:rFonts w:ascii="Arial" w:hAnsi="Arial" w:cs="Arial"/>
          <w:b/>
          <w:sz w:val="20"/>
          <w:szCs w:val="20"/>
          <w:lang w:val="en-GB"/>
        </w:rPr>
        <w:t>Visualize to Valorize</w:t>
      </w:r>
      <w:r w:rsidRPr="003621D6">
        <w:rPr>
          <w:rFonts w:ascii="Arial" w:hAnsi="Arial" w:cs="Arial"/>
          <w:sz w:val="20"/>
          <w:szCs w:val="20"/>
          <w:lang w:val="en-GB"/>
        </w:rPr>
        <w:t xml:space="preserve"> </w:t>
      </w:r>
      <w:r w:rsidRPr="00746137">
        <w:rPr>
          <w:rFonts w:ascii="Arial" w:hAnsi="Arial" w:cs="Arial"/>
          <w:b/>
          <w:sz w:val="20"/>
          <w:szCs w:val="20"/>
          <w:lang w:val="en-GB"/>
        </w:rPr>
        <w:t>– For a better utilisation of hidden archaeological heritage in Central Europe</w:t>
      </w:r>
    </w:p>
    <w:p w14:paraId="3C244E25" w14:textId="41C7C182" w:rsidR="003805B9" w:rsidRPr="004C6CC5" w:rsidRDefault="00727BA8" w:rsidP="005B6DA2">
      <w:pPr>
        <w:spacing w:before="120" w:after="120" w:line="276" w:lineRule="auto"/>
        <w:jc w:val="both"/>
        <w:rPr>
          <w:rFonts w:ascii="Arial" w:hAnsi="Arial" w:cs="Arial"/>
          <w:sz w:val="20"/>
          <w:szCs w:val="20"/>
        </w:rPr>
      </w:pPr>
      <w:r w:rsidRPr="004C6CC5">
        <w:rPr>
          <w:rFonts w:ascii="Arial" w:hAnsi="Arial" w:cs="Arial"/>
          <w:sz w:val="20"/>
          <w:szCs w:val="20"/>
        </w:rPr>
        <w:t>Pro</w:t>
      </w:r>
      <w:r>
        <w:rPr>
          <w:rFonts w:ascii="Arial" w:hAnsi="Arial" w:cs="Arial"/>
          <w:sz w:val="20"/>
          <w:szCs w:val="20"/>
        </w:rPr>
        <w:t xml:space="preserve">jekt </w:t>
      </w:r>
      <w:r w:rsidRPr="004C6CC5">
        <w:rPr>
          <w:rFonts w:ascii="Arial" w:hAnsi="Arial" w:cs="Arial"/>
          <w:sz w:val="20"/>
          <w:szCs w:val="20"/>
        </w:rPr>
        <w:t xml:space="preserve">realizowany jest </w:t>
      </w:r>
      <w:r>
        <w:rPr>
          <w:rFonts w:ascii="Arial" w:hAnsi="Arial" w:cs="Arial"/>
          <w:sz w:val="20"/>
          <w:szCs w:val="20"/>
        </w:rPr>
        <w:t>w ramach Interreg Central Europe</w:t>
      </w:r>
      <w:r w:rsidRPr="004C6CC5">
        <w:rPr>
          <w:rFonts w:ascii="Arial" w:hAnsi="Arial" w:cs="Arial"/>
          <w:sz w:val="20"/>
          <w:szCs w:val="20"/>
        </w:rPr>
        <w:t xml:space="preserve"> </w:t>
      </w:r>
      <w:r>
        <w:rPr>
          <w:rFonts w:ascii="Arial" w:hAnsi="Arial" w:cs="Arial"/>
          <w:sz w:val="20"/>
          <w:szCs w:val="20"/>
        </w:rPr>
        <w:t>w</w:t>
      </w:r>
      <w:r w:rsidRPr="004C6CC5">
        <w:rPr>
          <w:rFonts w:ascii="Arial" w:hAnsi="Arial" w:cs="Arial"/>
          <w:sz w:val="20"/>
          <w:szCs w:val="20"/>
        </w:rPr>
        <w:t xml:space="preserve"> okre</w:t>
      </w:r>
      <w:r>
        <w:rPr>
          <w:rFonts w:ascii="Arial" w:hAnsi="Arial" w:cs="Arial"/>
          <w:sz w:val="20"/>
          <w:szCs w:val="20"/>
        </w:rPr>
        <w:t>sie</w:t>
      </w:r>
      <w:r w:rsidRPr="004C6CC5">
        <w:rPr>
          <w:rFonts w:ascii="Arial" w:hAnsi="Arial" w:cs="Arial"/>
          <w:sz w:val="20"/>
          <w:szCs w:val="20"/>
        </w:rPr>
        <w:t xml:space="preserve"> 01.07.2017</w:t>
      </w:r>
      <w:r>
        <w:rPr>
          <w:rFonts w:ascii="Arial" w:hAnsi="Arial" w:cs="Arial"/>
          <w:sz w:val="20"/>
          <w:szCs w:val="20"/>
        </w:rPr>
        <w:t xml:space="preserve"> r.</w:t>
      </w:r>
      <w:r w:rsidRPr="004C6CC5">
        <w:rPr>
          <w:rFonts w:ascii="Arial" w:hAnsi="Arial" w:cs="Arial"/>
          <w:sz w:val="20"/>
          <w:szCs w:val="20"/>
        </w:rPr>
        <w:t xml:space="preserve"> </w:t>
      </w:r>
      <w:r>
        <w:rPr>
          <w:rFonts w:ascii="Arial" w:hAnsi="Arial" w:cs="Arial"/>
          <w:sz w:val="20"/>
          <w:szCs w:val="20"/>
        </w:rPr>
        <w:t>-</w:t>
      </w:r>
      <w:r w:rsidRPr="004C6CC5">
        <w:rPr>
          <w:rFonts w:ascii="Arial" w:hAnsi="Arial" w:cs="Arial"/>
          <w:sz w:val="20"/>
          <w:szCs w:val="20"/>
        </w:rPr>
        <w:t xml:space="preserve"> 30.06.2020</w:t>
      </w:r>
      <w:r>
        <w:rPr>
          <w:rFonts w:ascii="Arial" w:hAnsi="Arial" w:cs="Arial"/>
          <w:sz w:val="20"/>
          <w:szCs w:val="20"/>
        </w:rPr>
        <w:t xml:space="preserve"> r</w:t>
      </w:r>
      <w:r w:rsidRPr="004C6CC5">
        <w:rPr>
          <w:rFonts w:ascii="Arial" w:hAnsi="Arial" w:cs="Arial"/>
          <w:sz w:val="20"/>
          <w:szCs w:val="20"/>
        </w:rPr>
        <w:t>.</w:t>
      </w:r>
      <w:r>
        <w:rPr>
          <w:rFonts w:ascii="Arial" w:hAnsi="Arial" w:cs="Arial"/>
          <w:sz w:val="20"/>
          <w:szCs w:val="20"/>
        </w:rPr>
        <w:t xml:space="preserve">, </w:t>
      </w:r>
      <w:r w:rsidR="00FB79F1">
        <w:rPr>
          <w:rFonts w:ascii="Arial" w:hAnsi="Arial" w:cs="Arial"/>
          <w:sz w:val="20"/>
          <w:szCs w:val="20"/>
        </w:rPr>
        <w:br/>
      </w:r>
      <w:r w:rsidRPr="004C6CC5">
        <w:rPr>
          <w:rFonts w:ascii="Arial" w:hAnsi="Arial" w:cs="Arial"/>
          <w:sz w:val="20"/>
          <w:szCs w:val="20"/>
        </w:rPr>
        <w:t>a jego celem jest wykorzystanie walorów kulturowych regionów reprezentowanych</w:t>
      </w:r>
      <w:r w:rsidR="004C6F5B">
        <w:rPr>
          <w:rFonts w:ascii="Arial" w:hAnsi="Arial" w:cs="Arial"/>
          <w:sz w:val="20"/>
          <w:szCs w:val="20"/>
        </w:rPr>
        <w:t xml:space="preserve"> w </w:t>
      </w:r>
      <w:r w:rsidRPr="004C6CC5">
        <w:rPr>
          <w:rFonts w:ascii="Arial" w:hAnsi="Arial" w:cs="Arial"/>
          <w:sz w:val="20"/>
          <w:szCs w:val="20"/>
        </w:rPr>
        <w:t>projekcie</w:t>
      </w:r>
      <w:r>
        <w:rPr>
          <w:rFonts w:ascii="Arial" w:hAnsi="Arial" w:cs="Arial"/>
          <w:sz w:val="20"/>
          <w:szCs w:val="20"/>
        </w:rPr>
        <w:t xml:space="preserve"> w </w:t>
      </w:r>
      <w:r w:rsidRPr="004C6CC5">
        <w:rPr>
          <w:rFonts w:ascii="Arial" w:hAnsi="Arial" w:cs="Arial"/>
          <w:sz w:val="20"/>
          <w:szCs w:val="20"/>
        </w:rPr>
        <w:t>budowaniu atrak</w:t>
      </w:r>
      <w:r>
        <w:rPr>
          <w:rFonts w:ascii="Arial" w:hAnsi="Arial" w:cs="Arial"/>
          <w:sz w:val="20"/>
          <w:szCs w:val="20"/>
        </w:rPr>
        <w:t>cyjnego produktu turystycznego.</w:t>
      </w:r>
      <w:r w:rsidR="00090F5E">
        <w:rPr>
          <w:rFonts w:ascii="Arial" w:hAnsi="Arial" w:cs="Arial"/>
          <w:sz w:val="20"/>
          <w:szCs w:val="20"/>
        </w:rPr>
        <w:t xml:space="preserve"> </w:t>
      </w:r>
      <w:r w:rsidR="003805B9" w:rsidRPr="004C6CC5">
        <w:rPr>
          <w:rFonts w:ascii="Arial" w:hAnsi="Arial" w:cs="Arial"/>
          <w:sz w:val="20"/>
          <w:szCs w:val="20"/>
          <w:lang w:val="en-GB"/>
        </w:rPr>
        <w:t>Partnerem wiodącym</w:t>
      </w:r>
      <w:r>
        <w:rPr>
          <w:rFonts w:ascii="Arial" w:hAnsi="Arial" w:cs="Arial"/>
          <w:sz w:val="20"/>
          <w:szCs w:val="20"/>
          <w:lang w:val="en-GB"/>
        </w:rPr>
        <w:t xml:space="preserve"> w </w:t>
      </w:r>
      <w:r w:rsidR="003805B9" w:rsidRPr="004C6CC5">
        <w:rPr>
          <w:rFonts w:ascii="Arial" w:hAnsi="Arial" w:cs="Arial"/>
          <w:sz w:val="20"/>
          <w:szCs w:val="20"/>
          <w:lang w:val="en-GB"/>
        </w:rPr>
        <w:t>Virtual Arch jest Archeological Heritage Office of Saxony</w:t>
      </w:r>
      <w:r>
        <w:rPr>
          <w:rFonts w:ascii="Arial" w:hAnsi="Arial" w:cs="Arial"/>
          <w:sz w:val="20"/>
          <w:szCs w:val="20"/>
          <w:lang w:val="en-GB"/>
        </w:rPr>
        <w:t xml:space="preserve"> w </w:t>
      </w:r>
      <w:r w:rsidR="003805B9" w:rsidRPr="004C6CC5">
        <w:rPr>
          <w:rFonts w:ascii="Arial" w:hAnsi="Arial" w:cs="Arial"/>
          <w:sz w:val="20"/>
          <w:szCs w:val="20"/>
          <w:lang w:val="en-GB"/>
        </w:rPr>
        <w:t xml:space="preserve">Dreźnie. </w:t>
      </w:r>
      <w:r w:rsidR="003805B9" w:rsidRPr="004C6CC5">
        <w:rPr>
          <w:rFonts w:ascii="Arial" w:hAnsi="Arial" w:cs="Arial"/>
          <w:sz w:val="20"/>
          <w:szCs w:val="20"/>
        </w:rPr>
        <w:t>Pozosta</w:t>
      </w:r>
      <w:r w:rsidR="009C5FF2" w:rsidRPr="004C6CC5">
        <w:rPr>
          <w:rFonts w:ascii="Arial" w:hAnsi="Arial" w:cs="Arial"/>
          <w:sz w:val="20"/>
          <w:szCs w:val="20"/>
        </w:rPr>
        <w:t xml:space="preserve">łymi </w:t>
      </w:r>
      <w:r w:rsidR="003805B9" w:rsidRPr="004C6CC5">
        <w:rPr>
          <w:rFonts w:ascii="Arial" w:hAnsi="Arial" w:cs="Arial"/>
          <w:sz w:val="20"/>
          <w:szCs w:val="20"/>
        </w:rPr>
        <w:t>partner</w:t>
      </w:r>
      <w:r w:rsidR="009C5FF2" w:rsidRPr="004C6CC5">
        <w:rPr>
          <w:rFonts w:ascii="Arial" w:hAnsi="Arial" w:cs="Arial"/>
          <w:sz w:val="20"/>
          <w:szCs w:val="20"/>
        </w:rPr>
        <w:t xml:space="preserve">ami są </w:t>
      </w:r>
      <w:r w:rsidR="003805B9" w:rsidRPr="004C6CC5">
        <w:rPr>
          <w:rFonts w:ascii="Arial" w:hAnsi="Arial" w:cs="Arial"/>
          <w:sz w:val="20"/>
          <w:szCs w:val="20"/>
        </w:rPr>
        <w:t xml:space="preserve">Fundacja Bruno Kesslera (Trento, Włochy), Muzeum Historii Naturalnej (Wiedeń, Austria), Instytut Archeologii Uniwersytetu Mikołaja Kopernika (Toruń, Polska), Instytut Archeologii Czeskiej Akademii Nauk (Praga, Czechy), Departament Dziedzictwa Kulturalnego Autonomicznej Prowincji Trento (Włochy), Instytut </w:t>
      </w:r>
      <w:r w:rsidR="003805B9" w:rsidRPr="004C6CC5">
        <w:rPr>
          <w:rFonts w:ascii="Arial" w:hAnsi="Arial" w:cs="Arial"/>
          <w:sz w:val="20"/>
          <w:szCs w:val="20"/>
        </w:rPr>
        <w:lastRenderedPageBreak/>
        <w:t xml:space="preserve">Ochrony Dziedzictwa Kulturalnego Słowenii (Ljubljana, Słowenia), Instytut Archeologii Słowackiej Akademii Nauk (Nitra, Słowacja), Miasto Puck (Polska), </w:t>
      </w:r>
      <w:r>
        <w:rPr>
          <w:rFonts w:ascii="Arial" w:hAnsi="Arial" w:cs="Arial"/>
          <w:sz w:val="20"/>
          <w:szCs w:val="20"/>
        </w:rPr>
        <w:t>Miasto Zadar (Chorwacja).</w:t>
      </w:r>
    </w:p>
    <w:p w14:paraId="5BE01AA4" w14:textId="5F9024B5" w:rsidR="009C5FF2" w:rsidRPr="004C6CC5" w:rsidRDefault="003805B9" w:rsidP="005B6DA2">
      <w:pPr>
        <w:spacing w:before="120" w:after="120" w:line="276" w:lineRule="auto"/>
        <w:jc w:val="both"/>
        <w:rPr>
          <w:rFonts w:ascii="Arial" w:hAnsi="Arial" w:cs="Arial"/>
          <w:sz w:val="20"/>
          <w:szCs w:val="20"/>
        </w:rPr>
      </w:pPr>
      <w:r w:rsidRPr="004C6CC5">
        <w:rPr>
          <w:rFonts w:ascii="Arial" w:hAnsi="Arial" w:cs="Arial"/>
          <w:sz w:val="20"/>
          <w:szCs w:val="20"/>
        </w:rPr>
        <w:t xml:space="preserve">Projekt Virtual Arch </w:t>
      </w:r>
      <w:r w:rsidR="0043160B">
        <w:rPr>
          <w:rFonts w:ascii="Arial" w:hAnsi="Arial" w:cs="Arial"/>
          <w:sz w:val="20"/>
          <w:szCs w:val="20"/>
        </w:rPr>
        <w:t>u</w:t>
      </w:r>
      <w:r w:rsidRPr="004C6CC5">
        <w:rPr>
          <w:rFonts w:ascii="Arial" w:hAnsi="Arial" w:cs="Arial"/>
          <w:sz w:val="20"/>
          <w:szCs w:val="20"/>
        </w:rPr>
        <w:t>kazuje regional</w:t>
      </w:r>
      <w:r w:rsidR="00EF68D7">
        <w:rPr>
          <w:rFonts w:ascii="Arial" w:hAnsi="Arial" w:cs="Arial"/>
          <w:sz w:val="20"/>
          <w:szCs w:val="20"/>
        </w:rPr>
        <w:t xml:space="preserve">ne dziedzictwo archeologiczne </w:t>
      </w:r>
      <w:r w:rsidRPr="004C6CC5">
        <w:rPr>
          <w:rFonts w:ascii="Arial" w:hAnsi="Arial" w:cs="Arial"/>
          <w:sz w:val="20"/>
          <w:szCs w:val="20"/>
        </w:rPr>
        <w:t>znajdujące się po</w:t>
      </w:r>
      <w:r w:rsidR="0014529C">
        <w:rPr>
          <w:rFonts w:ascii="Arial" w:hAnsi="Arial" w:cs="Arial"/>
          <w:sz w:val="20"/>
          <w:szCs w:val="20"/>
        </w:rPr>
        <w:t>d ziemią lub zanurzone pod wodą</w:t>
      </w:r>
      <w:r w:rsidRPr="004C6CC5">
        <w:rPr>
          <w:rFonts w:ascii="Arial" w:hAnsi="Arial" w:cs="Arial"/>
          <w:sz w:val="20"/>
          <w:szCs w:val="20"/>
        </w:rPr>
        <w:t xml:space="preserve"> o znaczeniu globalnym (UNESCO)</w:t>
      </w:r>
      <w:r w:rsidR="004141F8">
        <w:rPr>
          <w:rFonts w:ascii="Arial" w:hAnsi="Arial" w:cs="Arial"/>
          <w:sz w:val="20"/>
          <w:szCs w:val="20"/>
        </w:rPr>
        <w:t>,</w:t>
      </w:r>
      <w:r w:rsidRPr="004C6CC5">
        <w:rPr>
          <w:rFonts w:ascii="Arial" w:hAnsi="Arial" w:cs="Arial"/>
          <w:sz w:val="20"/>
          <w:szCs w:val="20"/>
        </w:rPr>
        <w:t xml:space="preserve"> jak</w:t>
      </w:r>
      <w:r w:rsidR="004C6CC5">
        <w:rPr>
          <w:rFonts w:ascii="Arial" w:hAnsi="Arial" w:cs="Arial"/>
          <w:sz w:val="20"/>
          <w:szCs w:val="20"/>
        </w:rPr>
        <w:t xml:space="preserve"> i </w:t>
      </w:r>
      <w:r w:rsidR="004141F8">
        <w:rPr>
          <w:rFonts w:ascii="Arial" w:hAnsi="Arial" w:cs="Arial"/>
          <w:sz w:val="20"/>
          <w:szCs w:val="20"/>
        </w:rPr>
        <w:t xml:space="preserve">lokalnym, w tym szczególnie </w:t>
      </w:r>
      <w:r w:rsidRPr="004C6CC5">
        <w:rPr>
          <w:rFonts w:ascii="Arial" w:hAnsi="Arial" w:cs="Arial"/>
          <w:sz w:val="20"/>
          <w:szCs w:val="20"/>
        </w:rPr>
        <w:t>podmiotom lokalnym</w:t>
      </w:r>
      <w:r w:rsidR="004C6CC5">
        <w:rPr>
          <w:rFonts w:ascii="Arial" w:hAnsi="Arial" w:cs="Arial"/>
          <w:sz w:val="20"/>
          <w:szCs w:val="20"/>
        </w:rPr>
        <w:t xml:space="preserve"> i </w:t>
      </w:r>
      <w:r w:rsidRPr="004C6CC5">
        <w:rPr>
          <w:rFonts w:ascii="Arial" w:hAnsi="Arial" w:cs="Arial"/>
          <w:sz w:val="20"/>
          <w:szCs w:val="20"/>
        </w:rPr>
        <w:t xml:space="preserve">regionalnym, które są odpowiedzialne za rozwój gospodarczy. Działania koncentrują się na zrównoważonym użytkowaniu oraz ochronie </w:t>
      </w:r>
      <w:r w:rsidR="00EF68D7">
        <w:rPr>
          <w:rFonts w:ascii="Arial" w:hAnsi="Arial" w:cs="Arial"/>
          <w:sz w:val="20"/>
          <w:szCs w:val="20"/>
        </w:rPr>
        <w:t xml:space="preserve">dotychczas niedostępnego, </w:t>
      </w:r>
      <w:r w:rsidRPr="004C6CC5">
        <w:rPr>
          <w:rFonts w:ascii="Arial" w:hAnsi="Arial" w:cs="Arial"/>
          <w:sz w:val="20"/>
          <w:szCs w:val="20"/>
        </w:rPr>
        <w:t>niewidocznego</w:t>
      </w:r>
      <w:r w:rsidR="00EF68D7">
        <w:rPr>
          <w:rFonts w:ascii="Arial" w:hAnsi="Arial" w:cs="Arial"/>
          <w:sz w:val="20"/>
          <w:szCs w:val="20"/>
        </w:rPr>
        <w:t xml:space="preserve"> i </w:t>
      </w:r>
      <w:r w:rsidRPr="004C6CC5">
        <w:rPr>
          <w:rFonts w:ascii="Arial" w:hAnsi="Arial" w:cs="Arial"/>
          <w:sz w:val="20"/>
          <w:szCs w:val="20"/>
        </w:rPr>
        <w:t>mało znanego dziedzictwa archeologicznego poprzez zwiększenie udziału tychże podmiotów publicznych</w:t>
      </w:r>
      <w:r w:rsidR="00387A16">
        <w:rPr>
          <w:rFonts w:ascii="Arial" w:hAnsi="Arial" w:cs="Arial"/>
          <w:sz w:val="20"/>
          <w:szCs w:val="20"/>
        </w:rPr>
        <w:t>, a także</w:t>
      </w:r>
      <w:r w:rsidRPr="004C6CC5">
        <w:rPr>
          <w:rFonts w:ascii="Arial" w:hAnsi="Arial" w:cs="Arial"/>
          <w:sz w:val="20"/>
          <w:szCs w:val="20"/>
        </w:rPr>
        <w:t xml:space="preserve"> wprowadzenie innowacyjnych podejść</w:t>
      </w:r>
      <w:r w:rsidR="004C6CC5">
        <w:rPr>
          <w:rFonts w:ascii="Arial" w:hAnsi="Arial" w:cs="Arial"/>
          <w:sz w:val="20"/>
          <w:szCs w:val="20"/>
        </w:rPr>
        <w:t xml:space="preserve"> i </w:t>
      </w:r>
      <w:r w:rsidRPr="004C6CC5">
        <w:rPr>
          <w:rFonts w:ascii="Arial" w:hAnsi="Arial" w:cs="Arial"/>
          <w:sz w:val="20"/>
          <w:szCs w:val="20"/>
        </w:rPr>
        <w:t xml:space="preserve">metod wizualizacji. </w:t>
      </w:r>
    </w:p>
    <w:p w14:paraId="78528989" w14:textId="3D12D809" w:rsidR="00A34EF0" w:rsidRPr="004C6CC5" w:rsidRDefault="003805B9" w:rsidP="007F0064">
      <w:pPr>
        <w:spacing w:before="120" w:after="120" w:line="276" w:lineRule="auto"/>
        <w:jc w:val="both"/>
        <w:rPr>
          <w:rFonts w:ascii="Arial" w:hAnsi="Arial" w:cs="Arial"/>
          <w:sz w:val="20"/>
          <w:szCs w:val="20"/>
        </w:rPr>
      </w:pPr>
      <w:r w:rsidRPr="004C6CC5">
        <w:rPr>
          <w:rFonts w:ascii="Arial" w:hAnsi="Arial" w:cs="Arial"/>
          <w:sz w:val="20"/>
          <w:szCs w:val="20"/>
        </w:rPr>
        <w:t xml:space="preserve">Polscy partnerzy </w:t>
      </w:r>
      <w:r w:rsidR="00A735E2">
        <w:rPr>
          <w:rFonts w:ascii="Arial" w:hAnsi="Arial" w:cs="Arial"/>
          <w:sz w:val="20"/>
          <w:szCs w:val="20"/>
        </w:rPr>
        <w:t xml:space="preserve">- Miasto Puck, </w:t>
      </w:r>
      <w:r w:rsidRPr="004C6CC5">
        <w:rPr>
          <w:rFonts w:ascii="Arial" w:hAnsi="Arial" w:cs="Arial"/>
          <w:sz w:val="20"/>
          <w:szCs w:val="20"/>
        </w:rPr>
        <w:t>Uniwersytet Mikołaja Kopernika</w:t>
      </w:r>
      <w:r w:rsidR="004C6CC5">
        <w:rPr>
          <w:rFonts w:ascii="Arial" w:hAnsi="Arial" w:cs="Arial"/>
          <w:sz w:val="20"/>
          <w:szCs w:val="20"/>
        </w:rPr>
        <w:t xml:space="preserve"> w </w:t>
      </w:r>
      <w:r w:rsidR="006473D8">
        <w:rPr>
          <w:rFonts w:ascii="Arial" w:hAnsi="Arial" w:cs="Arial"/>
          <w:sz w:val="20"/>
          <w:szCs w:val="20"/>
        </w:rPr>
        <w:t xml:space="preserve">Toruniu oraz </w:t>
      </w:r>
      <w:r w:rsidRPr="004C6CC5">
        <w:rPr>
          <w:rFonts w:ascii="Arial" w:hAnsi="Arial" w:cs="Arial"/>
          <w:sz w:val="20"/>
          <w:szCs w:val="20"/>
        </w:rPr>
        <w:t>Narodowe Muzeum Morskie</w:t>
      </w:r>
      <w:r w:rsidR="006473D8">
        <w:rPr>
          <w:rFonts w:ascii="Arial" w:hAnsi="Arial" w:cs="Arial"/>
          <w:sz w:val="20"/>
          <w:szCs w:val="20"/>
        </w:rPr>
        <w:t xml:space="preserve"> </w:t>
      </w:r>
      <w:r w:rsidR="004C6CC5">
        <w:rPr>
          <w:rFonts w:ascii="Arial" w:hAnsi="Arial" w:cs="Arial"/>
          <w:sz w:val="20"/>
          <w:szCs w:val="20"/>
        </w:rPr>
        <w:t>w </w:t>
      </w:r>
      <w:r w:rsidRPr="004C6CC5">
        <w:rPr>
          <w:rFonts w:ascii="Arial" w:hAnsi="Arial" w:cs="Arial"/>
          <w:sz w:val="20"/>
          <w:szCs w:val="20"/>
        </w:rPr>
        <w:t>Gdańsku</w:t>
      </w:r>
      <w:r w:rsidR="00A735E2">
        <w:rPr>
          <w:rFonts w:ascii="Arial" w:hAnsi="Arial" w:cs="Arial"/>
          <w:sz w:val="20"/>
          <w:szCs w:val="20"/>
        </w:rPr>
        <w:t>,</w:t>
      </w:r>
      <w:r w:rsidRPr="004C6CC5">
        <w:rPr>
          <w:rFonts w:ascii="Arial" w:hAnsi="Arial" w:cs="Arial"/>
          <w:sz w:val="20"/>
          <w:szCs w:val="20"/>
        </w:rPr>
        <w:t xml:space="preserve"> jako partner stowarzyszon</w:t>
      </w:r>
      <w:r w:rsidR="00A735E2">
        <w:rPr>
          <w:rFonts w:ascii="Arial" w:hAnsi="Arial" w:cs="Arial"/>
          <w:sz w:val="20"/>
          <w:szCs w:val="20"/>
        </w:rPr>
        <w:t>y,</w:t>
      </w:r>
      <w:r w:rsidR="00BD561E">
        <w:rPr>
          <w:rFonts w:ascii="Arial" w:hAnsi="Arial" w:cs="Arial"/>
          <w:sz w:val="20"/>
          <w:szCs w:val="20"/>
        </w:rPr>
        <w:t xml:space="preserve"> mieli</w:t>
      </w:r>
      <w:r w:rsidRPr="004C6CC5">
        <w:rPr>
          <w:rFonts w:ascii="Arial" w:hAnsi="Arial" w:cs="Arial"/>
          <w:sz w:val="20"/>
          <w:szCs w:val="20"/>
        </w:rPr>
        <w:t xml:space="preserve"> za zadanie opisanie</w:t>
      </w:r>
      <w:r w:rsidR="00A735E2">
        <w:rPr>
          <w:rFonts w:ascii="Arial" w:hAnsi="Arial" w:cs="Arial"/>
          <w:sz w:val="20"/>
          <w:szCs w:val="20"/>
        </w:rPr>
        <w:t xml:space="preserve"> i </w:t>
      </w:r>
      <w:r w:rsidRPr="004C6CC5">
        <w:rPr>
          <w:rFonts w:ascii="Arial" w:hAnsi="Arial" w:cs="Arial"/>
          <w:sz w:val="20"/>
          <w:szCs w:val="20"/>
        </w:rPr>
        <w:t>zaprezentowanie podwodnego stanowiska archeologicznego</w:t>
      </w:r>
      <w:r w:rsidR="004C6CC5">
        <w:rPr>
          <w:rFonts w:ascii="Arial" w:hAnsi="Arial" w:cs="Arial"/>
          <w:sz w:val="20"/>
          <w:szCs w:val="20"/>
        </w:rPr>
        <w:t xml:space="preserve"> w </w:t>
      </w:r>
      <w:r w:rsidRPr="004C6CC5">
        <w:rPr>
          <w:rFonts w:ascii="Arial" w:hAnsi="Arial" w:cs="Arial"/>
          <w:sz w:val="20"/>
          <w:szCs w:val="20"/>
        </w:rPr>
        <w:t>Pucku</w:t>
      </w:r>
      <w:r w:rsidR="004C6CC5">
        <w:rPr>
          <w:rFonts w:ascii="Arial" w:hAnsi="Arial" w:cs="Arial"/>
          <w:sz w:val="20"/>
          <w:szCs w:val="20"/>
        </w:rPr>
        <w:t xml:space="preserve"> w </w:t>
      </w:r>
      <w:r w:rsidRPr="004C6CC5">
        <w:rPr>
          <w:rFonts w:ascii="Arial" w:hAnsi="Arial" w:cs="Arial"/>
          <w:sz w:val="20"/>
          <w:szCs w:val="20"/>
        </w:rPr>
        <w:t>sposób atrakcyjny</w:t>
      </w:r>
      <w:r w:rsidR="004C6CC5">
        <w:rPr>
          <w:rFonts w:ascii="Arial" w:hAnsi="Arial" w:cs="Arial"/>
          <w:sz w:val="20"/>
          <w:szCs w:val="20"/>
        </w:rPr>
        <w:t xml:space="preserve"> i </w:t>
      </w:r>
      <w:r w:rsidRPr="004C6CC5">
        <w:rPr>
          <w:rFonts w:ascii="Arial" w:hAnsi="Arial" w:cs="Arial"/>
          <w:sz w:val="20"/>
          <w:szCs w:val="20"/>
        </w:rPr>
        <w:t>maksymalnie dostępny dla wszystkich typów zwiedzających. Jednym</w:t>
      </w:r>
      <w:r w:rsidR="004C6CC5">
        <w:rPr>
          <w:rFonts w:ascii="Arial" w:hAnsi="Arial" w:cs="Arial"/>
          <w:sz w:val="20"/>
          <w:szCs w:val="20"/>
        </w:rPr>
        <w:t xml:space="preserve"> z </w:t>
      </w:r>
      <w:r w:rsidRPr="004C6CC5">
        <w:rPr>
          <w:rFonts w:ascii="Arial" w:hAnsi="Arial" w:cs="Arial"/>
          <w:sz w:val="20"/>
          <w:szCs w:val="20"/>
        </w:rPr>
        <w:t xml:space="preserve">narzędzi temu służących </w:t>
      </w:r>
      <w:r w:rsidR="00375C0E">
        <w:rPr>
          <w:rFonts w:ascii="Arial" w:hAnsi="Arial" w:cs="Arial"/>
          <w:sz w:val="20"/>
          <w:szCs w:val="20"/>
        </w:rPr>
        <w:t>było</w:t>
      </w:r>
      <w:r w:rsidRPr="004C6CC5">
        <w:rPr>
          <w:rFonts w:ascii="Arial" w:hAnsi="Arial" w:cs="Arial"/>
          <w:sz w:val="20"/>
          <w:szCs w:val="20"/>
        </w:rPr>
        <w:t xml:space="preserve"> przygotowanie wirtualnej rekonstrukcji wczesnośredniowiecznego portu</w:t>
      </w:r>
      <w:r w:rsidR="007E309D">
        <w:rPr>
          <w:rFonts w:ascii="Arial" w:hAnsi="Arial" w:cs="Arial"/>
          <w:sz w:val="20"/>
          <w:szCs w:val="20"/>
        </w:rPr>
        <w:t xml:space="preserve"> w </w:t>
      </w:r>
      <w:r w:rsidRPr="004C6CC5">
        <w:rPr>
          <w:rFonts w:ascii="Arial" w:hAnsi="Arial" w:cs="Arial"/>
          <w:sz w:val="20"/>
          <w:szCs w:val="20"/>
        </w:rPr>
        <w:t>Pucku.</w:t>
      </w:r>
      <w:r w:rsidR="004C6CC5">
        <w:rPr>
          <w:rFonts w:ascii="Arial" w:hAnsi="Arial" w:cs="Arial"/>
          <w:sz w:val="20"/>
          <w:szCs w:val="20"/>
        </w:rPr>
        <w:t xml:space="preserve"> </w:t>
      </w:r>
      <w:r w:rsidR="006473D8">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2019</w:t>
      </w:r>
      <w:r w:rsidR="009D01B9" w:rsidRPr="004C6CC5">
        <w:rPr>
          <w:rFonts w:ascii="Arial" w:hAnsi="Arial" w:cs="Arial"/>
          <w:sz w:val="20"/>
          <w:szCs w:val="20"/>
        </w:rPr>
        <w:t xml:space="preserve"> r. </w:t>
      </w:r>
      <w:r w:rsidR="00A34EF0">
        <w:rPr>
          <w:rFonts w:ascii="Arial" w:hAnsi="Arial" w:cs="Arial"/>
          <w:sz w:val="20"/>
          <w:szCs w:val="20"/>
        </w:rPr>
        <w:t xml:space="preserve">dokonano przygotowania </w:t>
      </w:r>
      <w:r w:rsidR="00A34EF0" w:rsidRPr="008A7F71">
        <w:rPr>
          <w:rFonts w:ascii="Arial" w:hAnsi="Arial" w:cs="Arial"/>
          <w:sz w:val="20"/>
          <w:szCs w:val="20"/>
        </w:rPr>
        <w:t>oraz weryfikacji danych dla punktu informacyjnego WiF</w:t>
      </w:r>
      <w:r w:rsidR="00A34EF0">
        <w:rPr>
          <w:rFonts w:ascii="Arial" w:hAnsi="Arial" w:cs="Arial"/>
          <w:sz w:val="20"/>
          <w:szCs w:val="20"/>
        </w:rPr>
        <w:t xml:space="preserve">i utworzonego w porcie rybackim </w:t>
      </w:r>
      <w:r w:rsidR="00A34EF0" w:rsidRPr="008A7F71">
        <w:rPr>
          <w:rFonts w:ascii="Arial" w:hAnsi="Arial" w:cs="Arial"/>
          <w:sz w:val="20"/>
          <w:szCs w:val="20"/>
        </w:rPr>
        <w:t>w Pucku, pozwalającego prezentować podwodne dzi</w:t>
      </w:r>
      <w:r w:rsidR="00A34EF0">
        <w:rPr>
          <w:rFonts w:ascii="Arial" w:hAnsi="Arial" w:cs="Arial"/>
          <w:sz w:val="20"/>
          <w:szCs w:val="20"/>
        </w:rPr>
        <w:t xml:space="preserve">edzictwo turystom i mieszkańcom </w:t>
      </w:r>
      <w:r w:rsidR="00A34EF0" w:rsidRPr="008A7F71">
        <w:rPr>
          <w:rFonts w:ascii="Arial" w:hAnsi="Arial" w:cs="Arial"/>
          <w:sz w:val="20"/>
          <w:szCs w:val="20"/>
        </w:rPr>
        <w:t>korzystającym z własnych urządzeń mobilnych oraz ud</w:t>
      </w:r>
      <w:r w:rsidR="00A34EF0">
        <w:rPr>
          <w:rFonts w:ascii="Arial" w:hAnsi="Arial" w:cs="Arial"/>
          <w:sz w:val="20"/>
          <w:szCs w:val="20"/>
        </w:rPr>
        <w:t xml:space="preserve">zielano wsparcia merytorycznego </w:t>
      </w:r>
      <w:r w:rsidR="00A34EF0" w:rsidRPr="008A7F71">
        <w:rPr>
          <w:rFonts w:ascii="Arial" w:hAnsi="Arial" w:cs="Arial"/>
          <w:sz w:val="20"/>
          <w:szCs w:val="20"/>
        </w:rPr>
        <w:t>w przygotowaniu wizualizacji 3D, dzięki której możliwe</w:t>
      </w:r>
      <w:r w:rsidR="00A34EF0">
        <w:rPr>
          <w:rFonts w:ascii="Arial" w:hAnsi="Arial" w:cs="Arial"/>
          <w:sz w:val="20"/>
          <w:szCs w:val="20"/>
        </w:rPr>
        <w:t xml:space="preserve"> jest zaprezentowanie w budynku </w:t>
      </w:r>
      <w:r w:rsidR="00A34EF0" w:rsidRPr="008A7F71">
        <w:rPr>
          <w:rFonts w:ascii="Arial" w:hAnsi="Arial" w:cs="Arial"/>
          <w:sz w:val="20"/>
          <w:szCs w:val="20"/>
        </w:rPr>
        <w:t>bosmanatu w porcie rybackim w Pucku pozostałości</w:t>
      </w:r>
      <w:r w:rsidR="00A34EF0">
        <w:rPr>
          <w:rFonts w:ascii="Arial" w:hAnsi="Arial" w:cs="Arial"/>
          <w:sz w:val="20"/>
          <w:szCs w:val="20"/>
        </w:rPr>
        <w:t xml:space="preserve"> wczesnośredniowiecznego portu, </w:t>
      </w:r>
      <w:r w:rsidR="00A34EF0" w:rsidRPr="008A7F71">
        <w:rPr>
          <w:rFonts w:ascii="Arial" w:hAnsi="Arial" w:cs="Arial"/>
          <w:sz w:val="20"/>
          <w:szCs w:val="20"/>
        </w:rPr>
        <w:t>wpisanego do rejestru zabytków jako podwodne stanow</w:t>
      </w:r>
      <w:r w:rsidR="00A34EF0">
        <w:rPr>
          <w:rFonts w:ascii="Arial" w:hAnsi="Arial" w:cs="Arial"/>
          <w:sz w:val="20"/>
          <w:szCs w:val="20"/>
        </w:rPr>
        <w:t xml:space="preserve">isko archeologiczne. Opracowana </w:t>
      </w:r>
      <w:r w:rsidR="00A34EF0" w:rsidRPr="008A7F71">
        <w:rPr>
          <w:rFonts w:ascii="Arial" w:hAnsi="Arial" w:cs="Arial"/>
          <w:sz w:val="20"/>
          <w:szCs w:val="20"/>
        </w:rPr>
        <w:t>wizualizacja pokazuje zachowane pozostałości podmorskieg</w:t>
      </w:r>
      <w:r w:rsidR="00A34EF0">
        <w:rPr>
          <w:rFonts w:ascii="Arial" w:hAnsi="Arial" w:cs="Arial"/>
          <w:sz w:val="20"/>
          <w:szCs w:val="20"/>
        </w:rPr>
        <w:t xml:space="preserve">o portu, niedostępne dotychczas </w:t>
      </w:r>
      <w:r w:rsidR="00A34EF0" w:rsidRPr="008A7F71">
        <w:rPr>
          <w:rFonts w:ascii="Arial" w:hAnsi="Arial" w:cs="Arial"/>
          <w:sz w:val="20"/>
          <w:szCs w:val="20"/>
        </w:rPr>
        <w:t xml:space="preserve">dla szerokiej publiczności, a także pokazuje jak port ten mógł wyglądać </w:t>
      </w:r>
      <w:r w:rsidR="00A34EF0">
        <w:rPr>
          <w:rFonts w:ascii="Arial" w:hAnsi="Arial" w:cs="Arial"/>
          <w:sz w:val="20"/>
          <w:szCs w:val="20"/>
        </w:rPr>
        <w:br/>
      </w:r>
      <w:r w:rsidR="00A34EF0" w:rsidRPr="008A7F71">
        <w:rPr>
          <w:rFonts w:ascii="Arial" w:hAnsi="Arial" w:cs="Arial"/>
          <w:sz w:val="20"/>
          <w:szCs w:val="20"/>
        </w:rPr>
        <w:t>w okresie swojego</w:t>
      </w:r>
      <w:r w:rsidR="00A34EF0">
        <w:rPr>
          <w:rFonts w:ascii="Arial" w:hAnsi="Arial" w:cs="Arial"/>
          <w:sz w:val="20"/>
          <w:szCs w:val="20"/>
        </w:rPr>
        <w:t xml:space="preserve"> </w:t>
      </w:r>
      <w:r w:rsidR="00A34EF0" w:rsidRPr="008A7F71">
        <w:rPr>
          <w:rFonts w:ascii="Arial" w:hAnsi="Arial" w:cs="Arial"/>
          <w:sz w:val="20"/>
          <w:szCs w:val="20"/>
        </w:rPr>
        <w:t>funkcjonowa</w:t>
      </w:r>
      <w:r w:rsidR="00A34EF0">
        <w:rPr>
          <w:rFonts w:ascii="Arial" w:hAnsi="Arial" w:cs="Arial"/>
          <w:sz w:val="20"/>
          <w:szCs w:val="20"/>
        </w:rPr>
        <w:t xml:space="preserve">nia. </w:t>
      </w:r>
      <w:r w:rsidRPr="004C6CC5">
        <w:rPr>
          <w:rFonts w:ascii="Arial" w:hAnsi="Arial" w:cs="Arial"/>
          <w:sz w:val="20"/>
          <w:szCs w:val="20"/>
        </w:rPr>
        <w:t>Pozwala to na „odwiedzenie” zabytku, który ze względu na swą niezwykle delikatną strukturę oraz usytuowanie pod wodą był do tej pory niedostępny dla większości turystów. Projekt będzie kontynuowany.</w:t>
      </w:r>
    </w:p>
    <w:p w14:paraId="44568D81" w14:textId="11EBD45E" w:rsidR="003805B9" w:rsidRPr="004C6CC5" w:rsidRDefault="009C5FF2" w:rsidP="00324E03">
      <w:pPr>
        <w:spacing w:before="120" w:after="120" w:line="276" w:lineRule="auto"/>
        <w:jc w:val="both"/>
        <w:rPr>
          <w:rFonts w:ascii="Arial" w:hAnsi="Arial" w:cs="Arial"/>
          <w:sz w:val="20"/>
          <w:szCs w:val="20"/>
        </w:rPr>
      </w:pPr>
      <w:r w:rsidRPr="004C6CC5">
        <w:rPr>
          <w:rFonts w:ascii="Arial" w:hAnsi="Arial" w:cs="Arial"/>
          <w:sz w:val="20"/>
          <w:szCs w:val="20"/>
        </w:rPr>
        <w:t>Narodowe Muzeum</w:t>
      </w:r>
      <w:r w:rsidR="004C6CC5">
        <w:rPr>
          <w:rFonts w:ascii="Arial" w:hAnsi="Arial" w:cs="Arial"/>
          <w:sz w:val="20"/>
          <w:szCs w:val="20"/>
        </w:rPr>
        <w:t xml:space="preserve"> w </w:t>
      </w:r>
      <w:r w:rsidRPr="004C6CC5">
        <w:rPr>
          <w:rFonts w:ascii="Arial" w:hAnsi="Arial" w:cs="Arial"/>
          <w:sz w:val="20"/>
          <w:szCs w:val="20"/>
        </w:rPr>
        <w:t>Gdańsku</w:t>
      </w:r>
      <w:r w:rsidR="00855C7E">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 xml:space="preserve">realizowało </w:t>
      </w:r>
      <w:r w:rsidR="00290905">
        <w:rPr>
          <w:rFonts w:ascii="Arial" w:hAnsi="Arial" w:cs="Arial"/>
          <w:sz w:val="20"/>
          <w:szCs w:val="20"/>
        </w:rPr>
        <w:t xml:space="preserve">również </w:t>
      </w:r>
      <w:r w:rsidRPr="004C6CC5">
        <w:rPr>
          <w:rFonts w:ascii="Arial" w:hAnsi="Arial" w:cs="Arial"/>
          <w:sz w:val="20"/>
          <w:szCs w:val="20"/>
        </w:rPr>
        <w:t xml:space="preserve">krajowy </w:t>
      </w:r>
      <w:r w:rsidR="00290905">
        <w:rPr>
          <w:rFonts w:ascii="Arial" w:hAnsi="Arial" w:cs="Arial"/>
          <w:sz w:val="20"/>
          <w:szCs w:val="20"/>
        </w:rPr>
        <w:t>p</w:t>
      </w:r>
      <w:r w:rsidR="003805B9" w:rsidRPr="004C6CC5">
        <w:rPr>
          <w:rFonts w:ascii="Arial" w:hAnsi="Arial" w:cs="Arial"/>
          <w:sz w:val="20"/>
          <w:szCs w:val="20"/>
        </w:rPr>
        <w:t>rogram M</w:t>
      </w:r>
      <w:r w:rsidR="004721CF">
        <w:rPr>
          <w:rFonts w:ascii="Arial" w:hAnsi="Arial" w:cs="Arial"/>
          <w:sz w:val="20"/>
          <w:szCs w:val="20"/>
        </w:rPr>
        <w:t xml:space="preserve">inisterstwa </w:t>
      </w:r>
      <w:r w:rsidR="003805B9" w:rsidRPr="004C6CC5">
        <w:rPr>
          <w:rFonts w:ascii="Arial" w:hAnsi="Arial" w:cs="Arial"/>
          <w:sz w:val="20"/>
          <w:szCs w:val="20"/>
        </w:rPr>
        <w:t>K</w:t>
      </w:r>
      <w:r w:rsidR="004721CF">
        <w:rPr>
          <w:rFonts w:ascii="Arial" w:hAnsi="Arial" w:cs="Arial"/>
          <w:sz w:val="20"/>
          <w:szCs w:val="20"/>
        </w:rPr>
        <w:t xml:space="preserve">ultury </w:t>
      </w:r>
      <w:r w:rsidR="00855C7E">
        <w:rPr>
          <w:rFonts w:ascii="Arial" w:hAnsi="Arial" w:cs="Arial"/>
          <w:sz w:val="20"/>
          <w:szCs w:val="20"/>
        </w:rPr>
        <w:br/>
      </w:r>
      <w:r w:rsidR="003805B9" w:rsidRPr="004C6CC5">
        <w:rPr>
          <w:rFonts w:ascii="Arial" w:hAnsi="Arial" w:cs="Arial"/>
          <w:sz w:val="20"/>
          <w:szCs w:val="20"/>
        </w:rPr>
        <w:t>i</w:t>
      </w:r>
      <w:r w:rsidR="004721CF">
        <w:rPr>
          <w:rFonts w:ascii="Arial" w:hAnsi="Arial" w:cs="Arial"/>
          <w:sz w:val="20"/>
          <w:szCs w:val="20"/>
        </w:rPr>
        <w:t xml:space="preserve"> </w:t>
      </w:r>
      <w:r w:rsidR="003805B9" w:rsidRPr="004C6CC5">
        <w:rPr>
          <w:rFonts w:ascii="Arial" w:hAnsi="Arial" w:cs="Arial"/>
          <w:sz w:val="20"/>
          <w:szCs w:val="20"/>
        </w:rPr>
        <w:t>D</w:t>
      </w:r>
      <w:r w:rsidR="004721CF">
        <w:rPr>
          <w:rFonts w:ascii="Arial" w:hAnsi="Arial" w:cs="Arial"/>
          <w:sz w:val="20"/>
          <w:szCs w:val="20"/>
        </w:rPr>
        <w:t xml:space="preserve">ziedzictwa </w:t>
      </w:r>
      <w:r w:rsidR="003805B9" w:rsidRPr="004C6CC5">
        <w:rPr>
          <w:rFonts w:ascii="Arial" w:hAnsi="Arial" w:cs="Arial"/>
          <w:sz w:val="20"/>
          <w:szCs w:val="20"/>
        </w:rPr>
        <w:t>N</w:t>
      </w:r>
      <w:r w:rsidR="004721CF">
        <w:rPr>
          <w:rFonts w:ascii="Arial" w:hAnsi="Arial" w:cs="Arial"/>
          <w:sz w:val="20"/>
          <w:szCs w:val="20"/>
        </w:rPr>
        <w:t xml:space="preserve">arodowego </w:t>
      </w:r>
      <w:r w:rsidR="00290905">
        <w:rPr>
          <w:rFonts w:ascii="Arial" w:hAnsi="Arial" w:cs="Arial"/>
          <w:sz w:val="20"/>
          <w:szCs w:val="20"/>
        </w:rPr>
        <w:t xml:space="preserve">pn. </w:t>
      </w:r>
      <w:r w:rsidR="004721CF">
        <w:rPr>
          <w:rFonts w:ascii="Arial" w:hAnsi="Arial" w:cs="Arial"/>
          <w:sz w:val="20"/>
          <w:szCs w:val="20"/>
        </w:rPr>
        <w:t>„</w:t>
      </w:r>
      <w:r w:rsidR="003805B9" w:rsidRPr="004C6CC5">
        <w:rPr>
          <w:rFonts w:ascii="Arial" w:hAnsi="Arial" w:cs="Arial"/>
          <w:sz w:val="20"/>
          <w:szCs w:val="20"/>
        </w:rPr>
        <w:t>Ochrona zabytków archeologicznych</w:t>
      </w:r>
      <w:r w:rsidR="004721CF">
        <w:rPr>
          <w:rFonts w:ascii="Arial" w:hAnsi="Arial" w:cs="Arial"/>
          <w:sz w:val="20"/>
          <w:szCs w:val="20"/>
        </w:rPr>
        <w:t>”,</w:t>
      </w:r>
      <w:r w:rsidR="004C6CC5">
        <w:rPr>
          <w:rFonts w:ascii="Arial" w:hAnsi="Arial" w:cs="Arial"/>
          <w:sz w:val="20"/>
          <w:szCs w:val="20"/>
        </w:rPr>
        <w:t xml:space="preserve"> w </w:t>
      </w:r>
      <w:r w:rsidR="00A107C6">
        <w:rPr>
          <w:rFonts w:ascii="Arial" w:hAnsi="Arial" w:cs="Arial"/>
          <w:sz w:val="20"/>
          <w:szCs w:val="20"/>
        </w:rPr>
        <w:t>ramach którego realizowano</w:t>
      </w:r>
      <w:r w:rsidRPr="004C6CC5">
        <w:rPr>
          <w:rFonts w:ascii="Arial" w:hAnsi="Arial" w:cs="Arial"/>
          <w:sz w:val="20"/>
          <w:szCs w:val="20"/>
        </w:rPr>
        <w:t xml:space="preserve"> pro</w:t>
      </w:r>
      <w:r w:rsidR="005876A1">
        <w:rPr>
          <w:rFonts w:ascii="Arial" w:hAnsi="Arial" w:cs="Arial"/>
          <w:sz w:val="20"/>
          <w:szCs w:val="20"/>
        </w:rPr>
        <w:t>jekt</w:t>
      </w:r>
      <w:r w:rsidRPr="004C6CC5">
        <w:rPr>
          <w:rFonts w:ascii="Arial" w:hAnsi="Arial" w:cs="Arial"/>
          <w:sz w:val="20"/>
          <w:szCs w:val="20"/>
        </w:rPr>
        <w:t xml:space="preserve"> </w:t>
      </w:r>
      <w:r w:rsidR="003805B9" w:rsidRPr="004C6CC5">
        <w:rPr>
          <w:rFonts w:ascii="Arial" w:hAnsi="Arial" w:cs="Arial"/>
          <w:sz w:val="20"/>
          <w:szCs w:val="20"/>
        </w:rPr>
        <w:t>„Wirtualny Skansen Wraków Zatoki Gdańskiej. Ewidencja</w:t>
      </w:r>
      <w:r w:rsidR="004D425B">
        <w:rPr>
          <w:rFonts w:ascii="Arial" w:hAnsi="Arial" w:cs="Arial"/>
          <w:sz w:val="20"/>
          <w:szCs w:val="20"/>
        </w:rPr>
        <w:t xml:space="preserve"> i </w:t>
      </w:r>
      <w:r w:rsidR="003805B9" w:rsidRPr="004C6CC5">
        <w:rPr>
          <w:rFonts w:ascii="Arial" w:hAnsi="Arial" w:cs="Arial"/>
          <w:sz w:val="20"/>
          <w:szCs w:val="20"/>
        </w:rPr>
        <w:t xml:space="preserve">inwentaryzacja podwodnego dziedzictwa archeologicznego </w:t>
      </w:r>
      <w:r w:rsidR="005E36C0">
        <w:rPr>
          <w:rFonts w:ascii="Arial" w:hAnsi="Arial" w:cs="Arial"/>
          <w:sz w:val="20"/>
          <w:szCs w:val="20"/>
        </w:rPr>
        <w:t>-</w:t>
      </w:r>
      <w:r w:rsidR="003805B9" w:rsidRPr="004C6CC5">
        <w:rPr>
          <w:rFonts w:ascii="Arial" w:hAnsi="Arial" w:cs="Arial"/>
          <w:sz w:val="20"/>
          <w:szCs w:val="20"/>
        </w:rPr>
        <w:t xml:space="preserve"> etap 3”</w:t>
      </w:r>
      <w:r w:rsidRPr="004C6CC5">
        <w:rPr>
          <w:rFonts w:ascii="Arial" w:hAnsi="Arial" w:cs="Arial"/>
          <w:sz w:val="20"/>
          <w:szCs w:val="20"/>
        </w:rPr>
        <w:t>.</w:t>
      </w:r>
      <w:r w:rsidR="004C6CC5">
        <w:rPr>
          <w:rFonts w:ascii="Arial" w:hAnsi="Arial" w:cs="Arial"/>
          <w:sz w:val="20"/>
          <w:szCs w:val="20"/>
        </w:rPr>
        <w:t xml:space="preserve"> </w:t>
      </w:r>
      <w:r w:rsidR="00CF70DB">
        <w:rPr>
          <w:rFonts w:ascii="Arial" w:hAnsi="Arial" w:cs="Arial"/>
          <w:sz w:val="20"/>
          <w:szCs w:val="20"/>
        </w:rPr>
        <w:t xml:space="preserve">W </w:t>
      </w:r>
      <w:r w:rsidRPr="004C6CC5">
        <w:rPr>
          <w:rFonts w:ascii="Arial" w:hAnsi="Arial" w:cs="Arial"/>
          <w:sz w:val="20"/>
          <w:szCs w:val="20"/>
        </w:rPr>
        <w:t xml:space="preserve">trakcie jego realizacji </w:t>
      </w:r>
      <w:r w:rsidR="003805B9" w:rsidRPr="004C6CC5">
        <w:rPr>
          <w:rFonts w:ascii="Arial" w:hAnsi="Arial" w:cs="Arial"/>
          <w:sz w:val="20"/>
          <w:szCs w:val="20"/>
        </w:rPr>
        <w:t>wykonano inwentaryzację czterech wraków</w:t>
      </w:r>
      <w:r w:rsidR="004C6CC5">
        <w:rPr>
          <w:rFonts w:ascii="Arial" w:hAnsi="Arial" w:cs="Arial"/>
          <w:sz w:val="20"/>
          <w:szCs w:val="20"/>
        </w:rPr>
        <w:t xml:space="preserve"> z </w:t>
      </w:r>
      <w:r w:rsidR="003805B9" w:rsidRPr="004C6CC5">
        <w:rPr>
          <w:rFonts w:ascii="Arial" w:hAnsi="Arial" w:cs="Arial"/>
          <w:sz w:val="20"/>
          <w:szCs w:val="20"/>
        </w:rPr>
        <w:t>zastosowaniem technik fotogrametrycznej dokumentacji cyfrowej</w:t>
      </w:r>
      <w:r w:rsidRPr="004C6CC5">
        <w:rPr>
          <w:rFonts w:ascii="Arial" w:hAnsi="Arial" w:cs="Arial"/>
          <w:sz w:val="20"/>
          <w:szCs w:val="20"/>
        </w:rPr>
        <w:t>.</w:t>
      </w:r>
      <w:r w:rsidR="003805B9" w:rsidRPr="004C6CC5">
        <w:rPr>
          <w:rFonts w:ascii="Arial" w:hAnsi="Arial" w:cs="Arial"/>
          <w:sz w:val="20"/>
          <w:szCs w:val="20"/>
        </w:rPr>
        <w:t xml:space="preserve"> Metoda dokumentacji fotogrametrycznej 3D podwodnych stanowisk archeologicznych pozwoliła na bezinwazyjne dokumentowanie obiektów </w:t>
      </w:r>
      <w:r w:rsidR="003805B9" w:rsidRPr="007F07B0">
        <w:rPr>
          <w:rFonts w:ascii="Arial" w:hAnsi="Arial" w:cs="Arial"/>
          <w:sz w:val="20"/>
          <w:szCs w:val="20"/>
        </w:rPr>
        <w:t>in situ</w:t>
      </w:r>
      <w:r w:rsidR="003805B9" w:rsidRPr="004C6CC5">
        <w:rPr>
          <w:rFonts w:ascii="Arial" w:hAnsi="Arial" w:cs="Arial"/>
          <w:sz w:val="20"/>
          <w:szCs w:val="20"/>
        </w:rPr>
        <w:t>, co stanowi alternatywę dla tradycyjnej podwodnej dokumentacji rysunkowej. Metoda przydatna jest także</w:t>
      </w:r>
      <w:r w:rsidR="004C6CC5">
        <w:rPr>
          <w:rFonts w:ascii="Arial" w:hAnsi="Arial" w:cs="Arial"/>
          <w:sz w:val="20"/>
          <w:szCs w:val="20"/>
        </w:rPr>
        <w:t xml:space="preserve"> w </w:t>
      </w:r>
      <w:r w:rsidR="003805B9" w:rsidRPr="004C6CC5">
        <w:rPr>
          <w:rFonts w:ascii="Arial" w:hAnsi="Arial" w:cs="Arial"/>
          <w:sz w:val="20"/>
          <w:szCs w:val="20"/>
        </w:rPr>
        <w:t xml:space="preserve">celu określania stanu zachowania obiektów podwodnych oraz monitorowania zmian na stanowiskach. </w:t>
      </w:r>
      <w:r w:rsidR="0075596F" w:rsidRPr="007F0064">
        <w:rPr>
          <w:rFonts w:ascii="Arial" w:hAnsi="Arial" w:cs="Arial"/>
          <w:sz w:val="20"/>
          <w:szCs w:val="20"/>
        </w:rPr>
        <w:t>Poza sporządzeniem dokumentacji 3D</w:t>
      </w:r>
      <w:r w:rsidR="0075596F">
        <w:rPr>
          <w:rFonts w:ascii="Arial" w:hAnsi="Arial" w:cs="Arial"/>
          <w:sz w:val="20"/>
          <w:szCs w:val="20"/>
        </w:rPr>
        <w:t xml:space="preserve"> </w:t>
      </w:r>
      <w:r w:rsidR="0075596F" w:rsidRPr="007F0064">
        <w:rPr>
          <w:rFonts w:ascii="Arial" w:hAnsi="Arial" w:cs="Arial"/>
          <w:sz w:val="20"/>
          <w:szCs w:val="20"/>
        </w:rPr>
        <w:t xml:space="preserve">podwodnych stanowisk archeologicznych </w:t>
      </w:r>
      <w:r w:rsidR="0075596F">
        <w:rPr>
          <w:rFonts w:ascii="Arial" w:hAnsi="Arial" w:cs="Arial"/>
          <w:sz w:val="20"/>
          <w:szCs w:val="20"/>
        </w:rPr>
        <w:t>p</w:t>
      </w:r>
      <w:r w:rsidR="003805B9" w:rsidRPr="004C6CC5">
        <w:rPr>
          <w:rFonts w:ascii="Arial" w:hAnsi="Arial" w:cs="Arial"/>
          <w:sz w:val="20"/>
          <w:szCs w:val="20"/>
        </w:rPr>
        <w:t xml:space="preserve">rzeprowadzone badania pozwoliły na dokładne rozpoznanie konstrukcji obiektów (wymiary elementów konstrukcji, sposoby </w:t>
      </w:r>
      <w:r w:rsidRPr="004C6CC5">
        <w:rPr>
          <w:rFonts w:ascii="Arial" w:hAnsi="Arial" w:cs="Arial"/>
          <w:sz w:val="20"/>
          <w:szCs w:val="20"/>
        </w:rPr>
        <w:t>łączenia elementów konstrukcji), a u</w:t>
      </w:r>
      <w:r w:rsidR="003805B9" w:rsidRPr="004C6CC5">
        <w:rPr>
          <w:rFonts w:ascii="Arial" w:hAnsi="Arial" w:cs="Arial"/>
          <w:sz w:val="20"/>
          <w:szCs w:val="20"/>
        </w:rPr>
        <w:t>zyskane wyniki zaprezentowane zostały na stronie internetowej „Wirtualny Sk</w:t>
      </w:r>
      <w:r w:rsidR="00441942">
        <w:rPr>
          <w:rFonts w:ascii="Arial" w:hAnsi="Arial" w:cs="Arial"/>
          <w:sz w:val="20"/>
          <w:szCs w:val="20"/>
        </w:rPr>
        <w:t>ansen Wraków Zatoki Gdańskiej”.</w:t>
      </w:r>
    </w:p>
    <w:p w14:paraId="30BCA63C" w14:textId="10E04B4B" w:rsidR="003805B9" w:rsidRPr="004C6CC5" w:rsidRDefault="009C5FF2" w:rsidP="00663856">
      <w:pPr>
        <w:spacing w:before="120" w:after="120" w:line="276" w:lineRule="auto"/>
        <w:jc w:val="both"/>
        <w:rPr>
          <w:rFonts w:ascii="Arial" w:hAnsi="Arial" w:cs="Arial"/>
          <w:sz w:val="20"/>
          <w:szCs w:val="20"/>
        </w:rPr>
      </w:pPr>
      <w:r w:rsidRPr="004C6CC5">
        <w:rPr>
          <w:rFonts w:ascii="Arial" w:hAnsi="Arial" w:cs="Arial"/>
          <w:sz w:val="20"/>
          <w:szCs w:val="20"/>
          <w:lang w:val="en-GB"/>
        </w:rPr>
        <w:t>W ramach współpracy międzynarodowej przedstawiciele NMM uczestniczyli</w:t>
      </w:r>
      <w:r w:rsidR="004C6CC5">
        <w:rPr>
          <w:rFonts w:ascii="Arial" w:hAnsi="Arial" w:cs="Arial"/>
          <w:sz w:val="20"/>
          <w:szCs w:val="20"/>
          <w:lang w:val="en-GB"/>
        </w:rPr>
        <w:t xml:space="preserve"> w </w:t>
      </w:r>
      <w:r w:rsidR="00590CCC" w:rsidRPr="004C6CC5">
        <w:rPr>
          <w:rFonts w:ascii="Arial" w:hAnsi="Arial" w:cs="Arial"/>
          <w:sz w:val="20"/>
          <w:szCs w:val="20"/>
        </w:rPr>
        <w:t>19. Międzynarodowy</w:t>
      </w:r>
      <w:r w:rsidR="00590CCC">
        <w:rPr>
          <w:rFonts w:ascii="Arial" w:hAnsi="Arial" w:cs="Arial"/>
          <w:sz w:val="20"/>
          <w:szCs w:val="20"/>
        </w:rPr>
        <w:t>m</w:t>
      </w:r>
      <w:r w:rsidR="00590CCC" w:rsidRPr="004C6CC5">
        <w:rPr>
          <w:rFonts w:ascii="Arial" w:hAnsi="Arial" w:cs="Arial"/>
          <w:sz w:val="20"/>
          <w:szCs w:val="20"/>
        </w:rPr>
        <w:t xml:space="preserve"> Kongres</w:t>
      </w:r>
      <w:r w:rsidR="00590CCC">
        <w:rPr>
          <w:rFonts w:ascii="Arial" w:hAnsi="Arial" w:cs="Arial"/>
          <w:sz w:val="20"/>
          <w:szCs w:val="20"/>
        </w:rPr>
        <w:t>ie</w:t>
      </w:r>
      <w:r w:rsidR="00590CCC" w:rsidRPr="004C6CC5">
        <w:rPr>
          <w:rFonts w:ascii="Arial" w:hAnsi="Arial" w:cs="Arial"/>
          <w:sz w:val="20"/>
          <w:szCs w:val="20"/>
        </w:rPr>
        <w:t xml:space="preserve"> Muzeów Morskich</w:t>
      </w:r>
      <w:r w:rsidR="00590CCC" w:rsidRPr="004C6CC5">
        <w:rPr>
          <w:rFonts w:ascii="Arial" w:hAnsi="Arial" w:cs="Arial"/>
          <w:sz w:val="20"/>
          <w:szCs w:val="20"/>
          <w:lang w:val="en-GB"/>
        </w:rPr>
        <w:t xml:space="preserve"> </w:t>
      </w:r>
      <w:r w:rsidR="00590CCC">
        <w:rPr>
          <w:rFonts w:ascii="Arial" w:hAnsi="Arial" w:cs="Arial"/>
          <w:sz w:val="20"/>
          <w:szCs w:val="20"/>
          <w:lang w:val="en-GB"/>
        </w:rPr>
        <w:t>(</w:t>
      </w:r>
      <w:r w:rsidR="003805B9" w:rsidRPr="004C6CC5">
        <w:rPr>
          <w:rFonts w:ascii="Arial" w:hAnsi="Arial" w:cs="Arial"/>
          <w:sz w:val="20"/>
          <w:szCs w:val="20"/>
          <w:lang w:val="en-GB"/>
        </w:rPr>
        <w:t>International Congress of Maritime Museums</w:t>
      </w:r>
      <w:r w:rsidR="00590CCC">
        <w:rPr>
          <w:rFonts w:ascii="Arial" w:hAnsi="Arial" w:cs="Arial"/>
          <w:sz w:val="20"/>
          <w:szCs w:val="20"/>
          <w:lang w:val="en-GB"/>
        </w:rPr>
        <w:t>)</w:t>
      </w:r>
      <w:r w:rsidRPr="004C6CC5">
        <w:rPr>
          <w:rFonts w:ascii="Arial" w:hAnsi="Arial" w:cs="Arial"/>
          <w:sz w:val="20"/>
          <w:szCs w:val="20"/>
        </w:rPr>
        <w:t>, który od</w:t>
      </w:r>
      <w:r w:rsidR="003805B9" w:rsidRPr="004C6CC5">
        <w:rPr>
          <w:rFonts w:ascii="Arial" w:hAnsi="Arial" w:cs="Arial"/>
          <w:sz w:val="20"/>
          <w:szCs w:val="20"/>
        </w:rPr>
        <w:t>był się</w:t>
      </w:r>
      <w:r w:rsidR="004C6CC5">
        <w:rPr>
          <w:rFonts w:ascii="Arial" w:hAnsi="Arial" w:cs="Arial"/>
          <w:sz w:val="20"/>
          <w:szCs w:val="20"/>
        </w:rPr>
        <w:t xml:space="preserve"> w </w:t>
      </w:r>
      <w:r w:rsidR="003805B9" w:rsidRPr="004C6CC5">
        <w:rPr>
          <w:rFonts w:ascii="Arial" w:hAnsi="Arial" w:cs="Arial"/>
          <w:sz w:val="20"/>
          <w:szCs w:val="20"/>
        </w:rPr>
        <w:t>dniach 15</w:t>
      </w:r>
      <w:r w:rsidR="00590CCC">
        <w:rPr>
          <w:rFonts w:ascii="Arial" w:hAnsi="Arial" w:cs="Arial"/>
          <w:sz w:val="20"/>
          <w:szCs w:val="20"/>
        </w:rPr>
        <w:t xml:space="preserve"> </w:t>
      </w:r>
      <w:r w:rsidR="003805B9" w:rsidRPr="004C6CC5">
        <w:rPr>
          <w:rFonts w:ascii="Arial" w:hAnsi="Arial" w:cs="Arial"/>
          <w:sz w:val="20"/>
          <w:szCs w:val="20"/>
        </w:rPr>
        <w:t>-</w:t>
      </w:r>
      <w:r w:rsidR="00590CCC">
        <w:rPr>
          <w:rFonts w:ascii="Arial" w:hAnsi="Arial" w:cs="Arial"/>
          <w:sz w:val="20"/>
          <w:szCs w:val="20"/>
        </w:rPr>
        <w:t xml:space="preserve"> </w:t>
      </w:r>
      <w:r w:rsidR="003805B9" w:rsidRPr="004C6CC5">
        <w:rPr>
          <w:rFonts w:ascii="Arial" w:hAnsi="Arial" w:cs="Arial"/>
          <w:sz w:val="20"/>
          <w:szCs w:val="20"/>
        </w:rPr>
        <w:t>20 września</w:t>
      </w:r>
      <w:r w:rsidR="004C6CC5">
        <w:rPr>
          <w:rFonts w:ascii="Arial" w:hAnsi="Arial" w:cs="Arial"/>
          <w:sz w:val="20"/>
          <w:szCs w:val="20"/>
        </w:rPr>
        <w:t xml:space="preserve"> </w:t>
      </w:r>
      <w:r w:rsidR="00345F10">
        <w:rPr>
          <w:rFonts w:ascii="Arial" w:hAnsi="Arial" w:cs="Arial"/>
          <w:sz w:val="20"/>
          <w:szCs w:val="20"/>
        </w:rPr>
        <w:t xml:space="preserve">2019 r. </w:t>
      </w:r>
      <w:r w:rsidR="004C6CC5">
        <w:rPr>
          <w:rFonts w:ascii="Arial" w:hAnsi="Arial" w:cs="Arial"/>
          <w:sz w:val="20"/>
          <w:szCs w:val="20"/>
        </w:rPr>
        <w:t>w </w:t>
      </w:r>
      <w:r w:rsidR="003805B9" w:rsidRPr="004C6CC5">
        <w:rPr>
          <w:rFonts w:ascii="Arial" w:hAnsi="Arial" w:cs="Arial"/>
          <w:sz w:val="20"/>
          <w:szCs w:val="20"/>
        </w:rPr>
        <w:t>Narodowym Muzeum Morskim</w:t>
      </w:r>
      <w:r w:rsidR="004C6CC5">
        <w:rPr>
          <w:rFonts w:ascii="Arial" w:hAnsi="Arial" w:cs="Arial"/>
          <w:sz w:val="20"/>
          <w:szCs w:val="20"/>
        </w:rPr>
        <w:t xml:space="preserve"> i </w:t>
      </w:r>
      <w:r w:rsidR="003805B9" w:rsidRPr="004C6CC5">
        <w:rPr>
          <w:rFonts w:ascii="Arial" w:hAnsi="Arial" w:cs="Arial"/>
          <w:sz w:val="20"/>
          <w:szCs w:val="20"/>
        </w:rPr>
        <w:t>Muzeum Okrętu „Vasa”</w:t>
      </w:r>
      <w:r w:rsidR="004C6CC5">
        <w:rPr>
          <w:rFonts w:ascii="Arial" w:hAnsi="Arial" w:cs="Arial"/>
          <w:sz w:val="20"/>
          <w:szCs w:val="20"/>
        </w:rPr>
        <w:t xml:space="preserve"> w </w:t>
      </w:r>
      <w:r w:rsidR="003805B9" w:rsidRPr="004C6CC5">
        <w:rPr>
          <w:rFonts w:ascii="Arial" w:hAnsi="Arial" w:cs="Arial"/>
          <w:sz w:val="20"/>
          <w:szCs w:val="20"/>
        </w:rPr>
        <w:t>Sztokholmie oraz</w:t>
      </w:r>
      <w:r w:rsidR="004C6CC5">
        <w:rPr>
          <w:rFonts w:ascii="Arial" w:hAnsi="Arial" w:cs="Arial"/>
          <w:sz w:val="20"/>
          <w:szCs w:val="20"/>
        </w:rPr>
        <w:t xml:space="preserve"> w </w:t>
      </w:r>
      <w:r w:rsidR="003805B9" w:rsidRPr="004C6CC5">
        <w:rPr>
          <w:rFonts w:ascii="Arial" w:hAnsi="Arial" w:cs="Arial"/>
          <w:sz w:val="20"/>
          <w:szCs w:val="20"/>
        </w:rPr>
        <w:t>Muzeum Morskim</w:t>
      </w:r>
      <w:r w:rsidR="004C6CC5">
        <w:rPr>
          <w:rFonts w:ascii="Arial" w:hAnsi="Arial" w:cs="Arial"/>
          <w:sz w:val="20"/>
          <w:szCs w:val="20"/>
        </w:rPr>
        <w:t xml:space="preserve"> w </w:t>
      </w:r>
      <w:r w:rsidR="003805B9" w:rsidRPr="004C6CC5">
        <w:rPr>
          <w:rFonts w:ascii="Arial" w:hAnsi="Arial" w:cs="Arial"/>
          <w:sz w:val="20"/>
          <w:szCs w:val="20"/>
        </w:rPr>
        <w:t>Mariehamn (Finlandia).</w:t>
      </w:r>
      <w:r w:rsidR="00345F10">
        <w:rPr>
          <w:rFonts w:ascii="Arial" w:hAnsi="Arial" w:cs="Arial"/>
          <w:sz w:val="20"/>
          <w:szCs w:val="20"/>
        </w:rPr>
        <w:t xml:space="preserve"> W</w:t>
      </w:r>
      <w:r w:rsidR="004C6CC5">
        <w:rPr>
          <w:rFonts w:ascii="Arial" w:hAnsi="Arial" w:cs="Arial"/>
          <w:sz w:val="20"/>
          <w:szCs w:val="20"/>
        </w:rPr>
        <w:t> </w:t>
      </w:r>
      <w:r w:rsidR="003805B9" w:rsidRPr="004C6CC5">
        <w:rPr>
          <w:rFonts w:ascii="Arial" w:hAnsi="Arial" w:cs="Arial"/>
          <w:sz w:val="20"/>
          <w:szCs w:val="20"/>
        </w:rPr>
        <w:t>konferencji wzięło udział ponad 120 osób</w:t>
      </w:r>
      <w:r w:rsidR="004C6CC5">
        <w:rPr>
          <w:rFonts w:ascii="Arial" w:hAnsi="Arial" w:cs="Arial"/>
          <w:sz w:val="20"/>
          <w:szCs w:val="20"/>
        </w:rPr>
        <w:t xml:space="preserve"> z </w:t>
      </w:r>
      <w:r w:rsidR="003805B9" w:rsidRPr="004C6CC5">
        <w:rPr>
          <w:rFonts w:ascii="Arial" w:hAnsi="Arial" w:cs="Arial"/>
          <w:sz w:val="20"/>
          <w:szCs w:val="20"/>
        </w:rPr>
        <w:t xml:space="preserve">29 krajów, a NMM reprezentował dyrektor </w:t>
      </w:r>
      <w:r w:rsidR="00294D8D">
        <w:rPr>
          <w:rFonts w:ascii="Arial" w:hAnsi="Arial" w:cs="Arial"/>
          <w:sz w:val="20"/>
          <w:szCs w:val="20"/>
        </w:rPr>
        <w:t>NMM</w:t>
      </w:r>
      <w:r w:rsidR="003805B9" w:rsidRPr="004C6CC5">
        <w:rPr>
          <w:rFonts w:ascii="Arial" w:hAnsi="Arial" w:cs="Arial"/>
          <w:sz w:val="20"/>
          <w:szCs w:val="20"/>
        </w:rPr>
        <w:t xml:space="preserve">, który wygłosił referat zatytułowany „Future of museum-ship Sołdek”. </w:t>
      </w:r>
    </w:p>
    <w:p w14:paraId="4FF57ED9" w14:textId="714486D9" w:rsidR="003805B9" w:rsidRPr="004C6CC5" w:rsidRDefault="00C91692" w:rsidP="00663856">
      <w:pPr>
        <w:spacing w:before="120" w:after="120" w:line="276" w:lineRule="auto"/>
        <w:jc w:val="both"/>
        <w:rPr>
          <w:rFonts w:ascii="Arial" w:hAnsi="Arial" w:cs="Arial"/>
          <w:sz w:val="20"/>
          <w:szCs w:val="20"/>
        </w:rPr>
      </w:pPr>
      <w:r>
        <w:rPr>
          <w:rFonts w:ascii="Arial" w:hAnsi="Arial" w:cs="Arial"/>
          <w:sz w:val="20"/>
          <w:szCs w:val="20"/>
        </w:rPr>
        <w:t xml:space="preserve">W dniach </w:t>
      </w:r>
      <w:r w:rsidR="009C5FF2" w:rsidRPr="004C6CC5">
        <w:rPr>
          <w:rFonts w:ascii="Arial" w:hAnsi="Arial" w:cs="Arial"/>
          <w:sz w:val="20"/>
          <w:szCs w:val="20"/>
        </w:rPr>
        <w:t>22</w:t>
      </w:r>
      <w:r w:rsidR="004C6CC5">
        <w:rPr>
          <w:rFonts w:ascii="Arial" w:hAnsi="Arial" w:cs="Arial"/>
          <w:sz w:val="20"/>
          <w:szCs w:val="20"/>
        </w:rPr>
        <w:t xml:space="preserve"> i </w:t>
      </w:r>
      <w:r w:rsidR="009C5FF2" w:rsidRPr="004C6CC5">
        <w:rPr>
          <w:rFonts w:ascii="Arial" w:hAnsi="Arial" w:cs="Arial"/>
          <w:sz w:val="20"/>
          <w:szCs w:val="20"/>
        </w:rPr>
        <w:t>23 października 2019</w:t>
      </w:r>
      <w:r w:rsidR="009D01B9" w:rsidRPr="004C6CC5">
        <w:rPr>
          <w:rFonts w:ascii="Arial" w:hAnsi="Arial" w:cs="Arial"/>
          <w:sz w:val="20"/>
          <w:szCs w:val="20"/>
        </w:rPr>
        <w:t xml:space="preserve"> r. </w:t>
      </w:r>
      <w:r w:rsidR="00872680">
        <w:rPr>
          <w:rFonts w:ascii="Arial" w:hAnsi="Arial" w:cs="Arial"/>
          <w:sz w:val="20"/>
          <w:szCs w:val="20"/>
        </w:rPr>
        <w:t xml:space="preserve">w ramach </w:t>
      </w:r>
      <w:r w:rsidR="00081800">
        <w:rPr>
          <w:rFonts w:ascii="Arial" w:hAnsi="Arial" w:cs="Arial"/>
          <w:sz w:val="20"/>
          <w:szCs w:val="20"/>
        </w:rPr>
        <w:t xml:space="preserve">współpracy z </w:t>
      </w:r>
      <w:r w:rsidR="00872680" w:rsidRPr="004C6CC5">
        <w:rPr>
          <w:rFonts w:ascii="Arial" w:hAnsi="Arial" w:cs="Arial"/>
          <w:sz w:val="20"/>
          <w:szCs w:val="20"/>
        </w:rPr>
        <w:t>Komitet</w:t>
      </w:r>
      <w:r w:rsidR="00081800">
        <w:rPr>
          <w:rFonts w:ascii="Arial" w:hAnsi="Arial" w:cs="Arial"/>
          <w:sz w:val="20"/>
          <w:szCs w:val="20"/>
        </w:rPr>
        <w:t>em</w:t>
      </w:r>
      <w:r w:rsidR="00872680" w:rsidRPr="004C6CC5">
        <w:rPr>
          <w:rFonts w:ascii="Arial" w:hAnsi="Arial" w:cs="Arial"/>
          <w:sz w:val="20"/>
          <w:szCs w:val="20"/>
        </w:rPr>
        <w:t xml:space="preserve"> ds. Dziedzictwa Regionu Bałtyku </w:t>
      </w:r>
      <w:r w:rsidR="009C5FF2" w:rsidRPr="004C6CC5">
        <w:rPr>
          <w:rFonts w:ascii="Arial" w:hAnsi="Arial" w:cs="Arial"/>
          <w:sz w:val="20"/>
          <w:szCs w:val="20"/>
        </w:rPr>
        <w:t>NMM gościło po raz kolejny Grupę Roboczą ds. Podwodnego Dziedzictwa Kulturowego. Działa ona od 2000</w:t>
      </w:r>
      <w:r w:rsidR="00065836" w:rsidRPr="004C6CC5">
        <w:rPr>
          <w:rFonts w:ascii="Arial" w:hAnsi="Arial" w:cs="Arial"/>
          <w:sz w:val="20"/>
          <w:szCs w:val="20"/>
        </w:rPr>
        <w:t xml:space="preserve"> r.</w:t>
      </w:r>
      <w:r w:rsidR="004C6CC5">
        <w:rPr>
          <w:rFonts w:ascii="Arial" w:hAnsi="Arial" w:cs="Arial"/>
          <w:sz w:val="20"/>
          <w:szCs w:val="20"/>
        </w:rPr>
        <w:t xml:space="preserve"> i </w:t>
      </w:r>
      <w:r w:rsidR="009C5FF2" w:rsidRPr="004C6CC5">
        <w:rPr>
          <w:rFonts w:ascii="Arial" w:hAnsi="Arial" w:cs="Arial"/>
          <w:sz w:val="20"/>
          <w:szCs w:val="20"/>
        </w:rPr>
        <w:t>zrealizowała jak dotąd szereg projektów dotyczących szeroko pojętego morskiego dziedzictwa kulturowego Bałtyku</w:t>
      </w:r>
      <w:r w:rsidR="000324B4" w:rsidRPr="004C6CC5">
        <w:rPr>
          <w:rFonts w:ascii="Arial" w:hAnsi="Arial" w:cs="Arial"/>
          <w:sz w:val="20"/>
          <w:szCs w:val="20"/>
        </w:rPr>
        <w:t>. Komitet</w:t>
      </w:r>
      <w:r w:rsidR="003805B9" w:rsidRPr="004C6CC5">
        <w:rPr>
          <w:rFonts w:ascii="Arial" w:hAnsi="Arial" w:cs="Arial"/>
          <w:sz w:val="20"/>
          <w:szCs w:val="20"/>
        </w:rPr>
        <w:t xml:space="preserve"> ds. Dziedzictwa Regionu Bałtyku powołan</w:t>
      </w:r>
      <w:r w:rsidR="000324B4" w:rsidRPr="004C6CC5">
        <w:rPr>
          <w:rFonts w:ascii="Arial" w:hAnsi="Arial" w:cs="Arial"/>
          <w:sz w:val="20"/>
          <w:szCs w:val="20"/>
        </w:rPr>
        <w:t>y</w:t>
      </w:r>
      <w:r w:rsidR="003805B9" w:rsidRPr="004C6CC5">
        <w:rPr>
          <w:rFonts w:ascii="Arial" w:hAnsi="Arial" w:cs="Arial"/>
          <w:sz w:val="20"/>
          <w:szCs w:val="20"/>
        </w:rPr>
        <w:t xml:space="preserve"> </w:t>
      </w:r>
      <w:r w:rsidR="00081800">
        <w:rPr>
          <w:rFonts w:ascii="Arial" w:hAnsi="Arial" w:cs="Arial"/>
          <w:sz w:val="20"/>
          <w:szCs w:val="20"/>
        </w:rPr>
        <w:t>w </w:t>
      </w:r>
      <w:r w:rsidR="00081800" w:rsidRPr="004C6CC5">
        <w:rPr>
          <w:rFonts w:ascii="Arial" w:hAnsi="Arial" w:cs="Arial"/>
          <w:sz w:val="20"/>
          <w:szCs w:val="20"/>
        </w:rPr>
        <w:t>1998 r</w:t>
      </w:r>
      <w:r w:rsidR="00081800">
        <w:rPr>
          <w:rFonts w:ascii="Arial" w:hAnsi="Arial" w:cs="Arial"/>
          <w:sz w:val="20"/>
          <w:szCs w:val="20"/>
        </w:rPr>
        <w:t>.</w:t>
      </w:r>
      <w:r w:rsidR="00081800" w:rsidRPr="004C6CC5">
        <w:rPr>
          <w:rFonts w:ascii="Arial" w:hAnsi="Arial" w:cs="Arial"/>
          <w:sz w:val="20"/>
          <w:szCs w:val="20"/>
        </w:rPr>
        <w:t xml:space="preserve"> </w:t>
      </w:r>
      <w:r w:rsidR="003805B9" w:rsidRPr="004C6CC5">
        <w:rPr>
          <w:rFonts w:ascii="Arial" w:hAnsi="Arial" w:cs="Arial"/>
          <w:sz w:val="20"/>
          <w:szCs w:val="20"/>
        </w:rPr>
        <w:t>przez ministrów kultury krajów bałtyckich</w:t>
      </w:r>
      <w:r w:rsidR="00081800">
        <w:rPr>
          <w:rFonts w:ascii="Arial" w:hAnsi="Arial" w:cs="Arial"/>
          <w:sz w:val="20"/>
          <w:szCs w:val="20"/>
        </w:rPr>
        <w:t xml:space="preserve">, w tym </w:t>
      </w:r>
      <w:r w:rsidR="003805B9" w:rsidRPr="004C6CC5">
        <w:rPr>
          <w:rFonts w:ascii="Arial" w:hAnsi="Arial" w:cs="Arial"/>
          <w:sz w:val="20"/>
          <w:szCs w:val="20"/>
        </w:rPr>
        <w:t>Norwegii, działa obecnie pod egidą Rady Państw Morza Bałtyckiego. Opracowuje on spójną strategię zarządzania dziedzictwem kulturowym</w:t>
      </w:r>
      <w:r w:rsidR="00C22442">
        <w:rPr>
          <w:rFonts w:ascii="Arial" w:hAnsi="Arial" w:cs="Arial"/>
          <w:sz w:val="20"/>
          <w:szCs w:val="20"/>
        </w:rPr>
        <w:t xml:space="preserve"> w </w:t>
      </w:r>
      <w:r w:rsidR="003805B9" w:rsidRPr="004C6CC5">
        <w:rPr>
          <w:rFonts w:ascii="Arial" w:hAnsi="Arial" w:cs="Arial"/>
          <w:sz w:val="20"/>
          <w:szCs w:val="20"/>
        </w:rPr>
        <w:t>regionie. Realizacja zadań Komitetu odbywa się poprzez wdrażanie konkretnych projektów prowadzonych przez grupy robocze.</w:t>
      </w:r>
    </w:p>
    <w:p w14:paraId="282C1165" w14:textId="352AD31F" w:rsidR="003805B9" w:rsidRPr="004C6CC5" w:rsidRDefault="000324B4" w:rsidP="00663856">
      <w:pPr>
        <w:spacing w:before="120" w:after="120" w:line="276" w:lineRule="auto"/>
        <w:jc w:val="both"/>
        <w:rPr>
          <w:rFonts w:ascii="Arial" w:hAnsi="Arial" w:cs="Arial"/>
          <w:sz w:val="20"/>
          <w:szCs w:val="20"/>
        </w:rPr>
      </w:pPr>
      <w:r w:rsidRPr="004C6CC5">
        <w:rPr>
          <w:rFonts w:ascii="Arial" w:hAnsi="Arial" w:cs="Arial"/>
          <w:sz w:val="20"/>
          <w:szCs w:val="20"/>
        </w:rPr>
        <w:lastRenderedPageBreak/>
        <w:t>Przedstawiciele NMM</w:t>
      </w:r>
      <w:r w:rsidR="004C6CC5">
        <w:rPr>
          <w:rFonts w:ascii="Arial" w:hAnsi="Arial" w:cs="Arial"/>
          <w:sz w:val="20"/>
          <w:szCs w:val="20"/>
        </w:rPr>
        <w:t xml:space="preserve"> w </w:t>
      </w:r>
      <w:r w:rsidRPr="004C6CC5">
        <w:rPr>
          <w:rFonts w:ascii="Arial" w:hAnsi="Arial" w:cs="Arial"/>
          <w:sz w:val="20"/>
          <w:szCs w:val="20"/>
        </w:rPr>
        <w:t>Gdańsku uczestniczyli</w:t>
      </w:r>
      <w:r w:rsidR="004C6CC5">
        <w:rPr>
          <w:rFonts w:ascii="Arial" w:hAnsi="Arial" w:cs="Arial"/>
          <w:sz w:val="20"/>
          <w:szCs w:val="20"/>
        </w:rPr>
        <w:t xml:space="preserve"> w </w:t>
      </w:r>
      <w:r w:rsidR="006C5E95">
        <w:rPr>
          <w:rFonts w:ascii="Arial" w:hAnsi="Arial" w:cs="Arial"/>
          <w:sz w:val="20"/>
          <w:szCs w:val="20"/>
        </w:rPr>
        <w:t>s</w:t>
      </w:r>
      <w:r w:rsidR="003805B9" w:rsidRPr="004C6CC5">
        <w:rPr>
          <w:rFonts w:ascii="Arial" w:hAnsi="Arial" w:cs="Arial"/>
          <w:sz w:val="20"/>
          <w:szCs w:val="20"/>
        </w:rPr>
        <w:t>zóst</w:t>
      </w:r>
      <w:r w:rsidRPr="004C6CC5">
        <w:rPr>
          <w:rFonts w:ascii="Arial" w:hAnsi="Arial" w:cs="Arial"/>
          <w:sz w:val="20"/>
          <w:szCs w:val="20"/>
        </w:rPr>
        <w:t>ym</w:t>
      </w:r>
      <w:r w:rsidR="003805B9" w:rsidRPr="004C6CC5">
        <w:rPr>
          <w:rFonts w:ascii="Arial" w:hAnsi="Arial" w:cs="Arial"/>
          <w:sz w:val="20"/>
          <w:szCs w:val="20"/>
        </w:rPr>
        <w:t xml:space="preserve"> seminarium Euro</w:t>
      </w:r>
      <w:r w:rsidRPr="004C6CC5">
        <w:rPr>
          <w:rFonts w:ascii="Arial" w:hAnsi="Arial" w:cs="Arial"/>
          <w:sz w:val="20"/>
          <w:szCs w:val="20"/>
        </w:rPr>
        <w:t xml:space="preserve">pejskiej Sieci Muzeów Rzecznych, które </w:t>
      </w:r>
      <w:r w:rsidR="003805B9" w:rsidRPr="004C6CC5">
        <w:rPr>
          <w:rFonts w:ascii="Arial" w:hAnsi="Arial" w:cs="Arial"/>
          <w:sz w:val="20"/>
          <w:szCs w:val="20"/>
        </w:rPr>
        <w:t>odbyło się</w:t>
      </w:r>
      <w:r w:rsidR="004C6CC5">
        <w:rPr>
          <w:rFonts w:ascii="Arial" w:hAnsi="Arial" w:cs="Arial"/>
          <w:sz w:val="20"/>
          <w:szCs w:val="20"/>
        </w:rPr>
        <w:t xml:space="preserve"> w </w:t>
      </w:r>
      <w:r w:rsidR="003805B9" w:rsidRPr="004C6CC5">
        <w:rPr>
          <w:rFonts w:ascii="Arial" w:hAnsi="Arial" w:cs="Arial"/>
          <w:sz w:val="20"/>
          <w:szCs w:val="20"/>
        </w:rPr>
        <w:t>dniach 10</w:t>
      </w:r>
      <w:r w:rsidR="006C5E95">
        <w:rPr>
          <w:rFonts w:ascii="Arial" w:hAnsi="Arial" w:cs="Arial"/>
          <w:sz w:val="20"/>
          <w:szCs w:val="20"/>
        </w:rPr>
        <w:t xml:space="preserve"> </w:t>
      </w:r>
      <w:r w:rsidR="003805B9" w:rsidRPr="004C6CC5">
        <w:rPr>
          <w:rFonts w:ascii="Arial" w:hAnsi="Arial" w:cs="Arial"/>
          <w:sz w:val="20"/>
          <w:szCs w:val="20"/>
        </w:rPr>
        <w:t>-</w:t>
      </w:r>
      <w:r w:rsidR="006C5E95">
        <w:rPr>
          <w:rFonts w:ascii="Arial" w:hAnsi="Arial" w:cs="Arial"/>
          <w:sz w:val="20"/>
          <w:szCs w:val="20"/>
        </w:rPr>
        <w:t xml:space="preserve"> </w:t>
      </w:r>
      <w:r w:rsidR="003805B9" w:rsidRPr="004C6CC5">
        <w:rPr>
          <w:rFonts w:ascii="Arial" w:hAnsi="Arial" w:cs="Arial"/>
          <w:sz w:val="20"/>
          <w:szCs w:val="20"/>
        </w:rPr>
        <w:t>13 września</w:t>
      </w:r>
      <w:r w:rsidR="004C6CC5">
        <w:rPr>
          <w:rFonts w:ascii="Arial" w:hAnsi="Arial" w:cs="Arial"/>
          <w:sz w:val="20"/>
          <w:szCs w:val="20"/>
        </w:rPr>
        <w:t xml:space="preserve"> </w:t>
      </w:r>
      <w:r w:rsidR="00C523E5">
        <w:rPr>
          <w:rFonts w:ascii="Arial" w:hAnsi="Arial" w:cs="Arial"/>
          <w:sz w:val="20"/>
          <w:szCs w:val="20"/>
        </w:rPr>
        <w:t xml:space="preserve">2019 r. </w:t>
      </w:r>
      <w:r w:rsidR="004C6CC5">
        <w:rPr>
          <w:rFonts w:ascii="Arial" w:hAnsi="Arial" w:cs="Arial"/>
          <w:sz w:val="20"/>
          <w:szCs w:val="20"/>
        </w:rPr>
        <w:t>w </w:t>
      </w:r>
      <w:r w:rsidR="003805B9" w:rsidRPr="004C6CC5">
        <w:rPr>
          <w:rFonts w:ascii="Arial" w:hAnsi="Arial" w:cs="Arial"/>
          <w:sz w:val="20"/>
          <w:szCs w:val="20"/>
        </w:rPr>
        <w:t>jednym</w:t>
      </w:r>
      <w:r w:rsidR="004C6CC5">
        <w:rPr>
          <w:rFonts w:ascii="Arial" w:hAnsi="Arial" w:cs="Arial"/>
          <w:sz w:val="20"/>
          <w:szCs w:val="20"/>
        </w:rPr>
        <w:t xml:space="preserve"> z </w:t>
      </w:r>
      <w:r w:rsidR="006C5E95">
        <w:rPr>
          <w:rFonts w:ascii="Arial" w:hAnsi="Arial" w:cs="Arial"/>
          <w:sz w:val="20"/>
          <w:szCs w:val="20"/>
        </w:rPr>
        <w:t>8 oddziałów LWL-Industriemuseum -</w:t>
      </w:r>
      <w:r w:rsidR="003805B9" w:rsidRPr="004C6CC5">
        <w:rPr>
          <w:rFonts w:ascii="Arial" w:hAnsi="Arial" w:cs="Arial"/>
          <w:sz w:val="20"/>
          <w:szCs w:val="20"/>
        </w:rPr>
        <w:t xml:space="preserve"> Muzeum Dziedzictwa Przemysłowego Westfalii </w:t>
      </w:r>
      <w:r w:rsidR="00C523E5">
        <w:rPr>
          <w:rFonts w:ascii="Arial" w:hAnsi="Arial" w:cs="Arial"/>
          <w:sz w:val="20"/>
          <w:szCs w:val="20"/>
        </w:rPr>
        <w:t>-</w:t>
      </w:r>
      <w:r w:rsidR="003805B9" w:rsidRPr="004C6CC5">
        <w:rPr>
          <w:rFonts w:ascii="Arial" w:hAnsi="Arial" w:cs="Arial"/>
          <w:sz w:val="20"/>
          <w:szCs w:val="20"/>
        </w:rPr>
        <w:t xml:space="preserve"> Podnośni dla Statków Henrichenburg</w:t>
      </w:r>
      <w:r w:rsidR="004C6CC5">
        <w:rPr>
          <w:rFonts w:ascii="Arial" w:hAnsi="Arial" w:cs="Arial"/>
          <w:sz w:val="20"/>
          <w:szCs w:val="20"/>
        </w:rPr>
        <w:t xml:space="preserve"> w </w:t>
      </w:r>
      <w:r w:rsidR="003805B9" w:rsidRPr="004C6CC5">
        <w:rPr>
          <w:rFonts w:ascii="Arial" w:hAnsi="Arial" w:cs="Arial"/>
          <w:sz w:val="20"/>
          <w:szCs w:val="20"/>
        </w:rPr>
        <w:t>Waltrop</w:t>
      </w:r>
      <w:r w:rsidR="004C6CC5">
        <w:rPr>
          <w:rFonts w:ascii="Arial" w:hAnsi="Arial" w:cs="Arial"/>
          <w:sz w:val="20"/>
          <w:szCs w:val="20"/>
        </w:rPr>
        <w:t xml:space="preserve"> w </w:t>
      </w:r>
      <w:r w:rsidR="003805B9" w:rsidRPr="004C6CC5">
        <w:rPr>
          <w:rFonts w:ascii="Arial" w:hAnsi="Arial" w:cs="Arial"/>
          <w:sz w:val="20"/>
          <w:szCs w:val="20"/>
        </w:rPr>
        <w:t>Niemczech. Zgromadziło ono przedstawicieli 10 instytucji</w:t>
      </w:r>
      <w:r w:rsidR="004C6CC5">
        <w:rPr>
          <w:rFonts w:ascii="Arial" w:hAnsi="Arial" w:cs="Arial"/>
          <w:sz w:val="20"/>
          <w:szCs w:val="20"/>
        </w:rPr>
        <w:t xml:space="preserve"> z </w:t>
      </w:r>
      <w:r w:rsidR="003805B9" w:rsidRPr="004C6CC5">
        <w:rPr>
          <w:rFonts w:ascii="Arial" w:hAnsi="Arial" w:cs="Arial"/>
          <w:sz w:val="20"/>
          <w:szCs w:val="20"/>
        </w:rPr>
        <w:t>Niemiec, Francji, Wielkiej Brytanii, Austrii, Serbii</w:t>
      </w:r>
      <w:r w:rsidR="004C6CC5">
        <w:rPr>
          <w:rFonts w:ascii="Arial" w:hAnsi="Arial" w:cs="Arial"/>
          <w:sz w:val="20"/>
          <w:szCs w:val="20"/>
        </w:rPr>
        <w:t xml:space="preserve"> i </w:t>
      </w:r>
      <w:r w:rsidR="003805B9" w:rsidRPr="004C6CC5">
        <w:rPr>
          <w:rFonts w:ascii="Arial" w:hAnsi="Arial" w:cs="Arial"/>
          <w:sz w:val="20"/>
          <w:szCs w:val="20"/>
        </w:rPr>
        <w:t>Polski. NMM reprezentowali: dr hab. Jerzy Litwin, dr Marcin Westphal, który opowiedział o ostatnim roku</w:t>
      </w:r>
      <w:r w:rsidR="004C6CC5">
        <w:rPr>
          <w:rFonts w:ascii="Arial" w:hAnsi="Arial" w:cs="Arial"/>
          <w:sz w:val="20"/>
          <w:szCs w:val="20"/>
        </w:rPr>
        <w:t xml:space="preserve"> w </w:t>
      </w:r>
      <w:r w:rsidR="003805B9" w:rsidRPr="004C6CC5">
        <w:rPr>
          <w:rFonts w:ascii="Arial" w:hAnsi="Arial" w:cs="Arial"/>
          <w:sz w:val="20"/>
          <w:szCs w:val="20"/>
        </w:rPr>
        <w:t xml:space="preserve">NMM ze szczególnym uwzględnieniem nowego oddziału </w:t>
      </w:r>
      <w:r w:rsidR="00002F60">
        <w:rPr>
          <w:rFonts w:ascii="Arial" w:hAnsi="Arial" w:cs="Arial"/>
          <w:sz w:val="20"/>
          <w:szCs w:val="20"/>
        </w:rPr>
        <w:t>-</w:t>
      </w:r>
      <w:r w:rsidR="003805B9" w:rsidRPr="004C6CC5">
        <w:rPr>
          <w:rFonts w:ascii="Arial" w:hAnsi="Arial" w:cs="Arial"/>
          <w:sz w:val="20"/>
          <w:szCs w:val="20"/>
        </w:rPr>
        <w:t xml:space="preserve"> Sali BHP oraz Jadwiga Klim, która przedstawiła prezentację poświęconą wystawie czasowej „Uzbrojone rzeki. Flotylle Niepodległej”. </w:t>
      </w:r>
    </w:p>
    <w:p w14:paraId="140AEF58" w14:textId="0C35CB07" w:rsidR="003805B9" w:rsidRPr="004C6CC5" w:rsidRDefault="003805B9" w:rsidP="00663856">
      <w:pPr>
        <w:spacing w:before="120" w:after="120" w:line="276" w:lineRule="auto"/>
        <w:jc w:val="both"/>
        <w:rPr>
          <w:rFonts w:ascii="Arial" w:hAnsi="Arial" w:cs="Arial"/>
          <w:sz w:val="20"/>
          <w:szCs w:val="20"/>
        </w:rPr>
      </w:pPr>
      <w:r w:rsidRPr="004C6CC5">
        <w:rPr>
          <w:rFonts w:ascii="Arial" w:hAnsi="Arial" w:cs="Arial"/>
          <w:sz w:val="20"/>
          <w:szCs w:val="20"/>
        </w:rPr>
        <w:t>W dniach 20</w:t>
      </w:r>
      <w:r w:rsidR="00FC22F3">
        <w:rPr>
          <w:rFonts w:ascii="Arial" w:hAnsi="Arial" w:cs="Arial"/>
          <w:sz w:val="20"/>
          <w:szCs w:val="20"/>
        </w:rPr>
        <w:t xml:space="preserve"> </w:t>
      </w:r>
      <w:r w:rsidRPr="004C6CC5">
        <w:rPr>
          <w:rFonts w:ascii="Arial" w:hAnsi="Arial" w:cs="Arial"/>
          <w:sz w:val="20"/>
          <w:szCs w:val="20"/>
        </w:rPr>
        <w:t>-</w:t>
      </w:r>
      <w:r w:rsidR="00FC22F3">
        <w:rPr>
          <w:rFonts w:ascii="Arial" w:hAnsi="Arial" w:cs="Arial"/>
          <w:sz w:val="20"/>
          <w:szCs w:val="20"/>
        </w:rPr>
        <w:t xml:space="preserve"> </w:t>
      </w:r>
      <w:r w:rsidRPr="004C6CC5">
        <w:rPr>
          <w:rFonts w:ascii="Arial" w:hAnsi="Arial" w:cs="Arial"/>
          <w:sz w:val="20"/>
          <w:szCs w:val="20"/>
        </w:rPr>
        <w:t xml:space="preserve">21 czerwca </w:t>
      </w:r>
      <w:r w:rsidR="00D30F13">
        <w:rPr>
          <w:rFonts w:ascii="Arial" w:hAnsi="Arial" w:cs="Arial"/>
          <w:sz w:val="20"/>
          <w:szCs w:val="20"/>
        </w:rPr>
        <w:t xml:space="preserve">2019 r. </w:t>
      </w:r>
      <w:r w:rsidRPr="004C6CC5">
        <w:rPr>
          <w:rFonts w:ascii="Arial" w:hAnsi="Arial" w:cs="Arial"/>
          <w:sz w:val="20"/>
          <w:szCs w:val="20"/>
        </w:rPr>
        <w:t>odbyło się VII Spotkanie Państw-Stron Konwencji</w:t>
      </w:r>
      <w:r w:rsidR="004C6CC5">
        <w:rPr>
          <w:rFonts w:ascii="Arial" w:hAnsi="Arial" w:cs="Arial"/>
          <w:sz w:val="20"/>
          <w:szCs w:val="20"/>
        </w:rPr>
        <w:t xml:space="preserve"> z </w:t>
      </w:r>
      <w:r w:rsidRPr="004C6CC5">
        <w:rPr>
          <w:rFonts w:ascii="Arial" w:hAnsi="Arial" w:cs="Arial"/>
          <w:sz w:val="20"/>
          <w:szCs w:val="20"/>
        </w:rPr>
        <w:t>2001</w:t>
      </w:r>
      <w:r w:rsidR="009D01B9" w:rsidRPr="004C6CC5">
        <w:rPr>
          <w:rFonts w:ascii="Arial" w:hAnsi="Arial" w:cs="Arial"/>
          <w:sz w:val="20"/>
          <w:szCs w:val="20"/>
        </w:rPr>
        <w:t xml:space="preserve"> r. </w:t>
      </w:r>
      <w:r w:rsidRPr="004C6CC5">
        <w:rPr>
          <w:rFonts w:ascii="Arial" w:hAnsi="Arial" w:cs="Arial"/>
          <w:sz w:val="20"/>
          <w:szCs w:val="20"/>
        </w:rPr>
        <w:t>o ochronie podwodnego dziedzictwa kulturowego</w:t>
      </w:r>
      <w:r w:rsidR="004C6CC5">
        <w:rPr>
          <w:rFonts w:ascii="Arial" w:hAnsi="Arial" w:cs="Arial"/>
          <w:sz w:val="20"/>
          <w:szCs w:val="20"/>
        </w:rPr>
        <w:t xml:space="preserve"> w </w:t>
      </w:r>
      <w:r w:rsidRPr="004C6CC5">
        <w:rPr>
          <w:rFonts w:ascii="Arial" w:hAnsi="Arial" w:cs="Arial"/>
          <w:sz w:val="20"/>
          <w:szCs w:val="20"/>
        </w:rPr>
        <w:t>siedzibie UNESCO</w:t>
      </w:r>
      <w:r w:rsidR="004C6CC5">
        <w:rPr>
          <w:rFonts w:ascii="Arial" w:hAnsi="Arial" w:cs="Arial"/>
          <w:sz w:val="20"/>
          <w:szCs w:val="20"/>
        </w:rPr>
        <w:t xml:space="preserve"> w </w:t>
      </w:r>
      <w:r w:rsidRPr="004C6CC5">
        <w:rPr>
          <w:rFonts w:ascii="Arial" w:hAnsi="Arial" w:cs="Arial"/>
          <w:sz w:val="20"/>
          <w:szCs w:val="20"/>
        </w:rPr>
        <w:t>Paryżu we Francji.</w:t>
      </w:r>
      <w:r w:rsidR="004C6CC5">
        <w:rPr>
          <w:rFonts w:ascii="Arial" w:hAnsi="Arial" w:cs="Arial"/>
          <w:sz w:val="20"/>
          <w:szCs w:val="20"/>
        </w:rPr>
        <w:t xml:space="preserve"> </w:t>
      </w:r>
      <w:r w:rsidR="00A57763">
        <w:rPr>
          <w:rFonts w:ascii="Arial" w:hAnsi="Arial" w:cs="Arial"/>
          <w:sz w:val="20"/>
          <w:szCs w:val="20"/>
        </w:rPr>
        <w:t xml:space="preserve">Ponadto </w:t>
      </w:r>
      <w:r w:rsidR="00A57763" w:rsidRPr="004C6CC5">
        <w:rPr>
          <w:rFonts w:ascii="Arial" w:hAnsi="Arial" w:cs="Arial"/>
          <w:sz w:val="20"/>
          <w:szCs w:val="20"/>
        </w:rPr>
        <w:t>dwoje pracowników NMM</w:t>
      </w:r>
      <w:r w:rsidR="00A57763">
        <w:rPr>
          <w:rFonts w:ascii="Arial" w:hAnsi="Arial" w:cs="Arial"/>
          <w:sz w:val="20"/>
          <w:szCs w:val="20"/>
        </w:rPr>
        <w:t xml:space="preserve"> dołączyło do</w:t>
      </w:r>
      <w:r w:rsidR="004C6CC5">
        <w:rPr>
          <w:rFonts w:ascii="Arial" w:hAnsi="Arial" w:cs="Arial"/>
          <w:sz w:val="20"/>
          <w:szCs w:val="20"/>
        </w:rPr>
        <w:t> </w:t>
      </w:r>
      <w:r w:rsidR="000324B4" w:rsidRPr="004C6CC5">
        <w:rPr>
          <w:rFonts w:ascii="Arial" w:hAnsi="Arial" w:cs="Arial"/>
          <w:sz w:val="20"/>
          <w:szCs w:val="20"/>
        </w:rPr>
        <w:t>skład</w:t>
      </w:r>
      <w:r w:rsidR="00A57763">
        <w:rPr>
          <w:rFonts w:ascii="Arial" w:hAnsi="Arial" w:cs="Arial"/>
          <w:sz w:val="20"/>
          <w:szCs w:val="20"/>
        </w:rPr>
        <w:t>u</w:t>
      </w:r>
      <w:r w:rsidR="000324B4" w:rsidRPr="004C6CC5">
        <w:rPr>
          <w:rFonts w:ascii="Arial" w:hAnsi="Arial" w:cs="Arial"/>
          <w:sz w:val="20"/>
          <w:szCs w:val="20"/>
        </w:rPr>
        <w:t xml:space="preserve"> </w:t>
      </w:r>
      <w:r w:rsidR="00D30F13">
        <w:rPr>
          <w:rFonts w:ascii="Arial" w:hAnsi="Arial" w:cs="Arial"/>
          <w:sz w:val="20"/>
          <w:szCs w:val="20"/>
        </w:rPr>
        <w:t>Komisji doradczej ds. nowo</w:t>
      </w:r>
      <w:r w:rsidR="005C32C7" w:rsidRPr="004C6CC5">
        <w:rPr>
          <w:rFonts w:ascii="Arial" w:hAnsi="Arial" w:cs="Arial"/>
          <w:sz w:val="20"/>
          <w:szCs w:val="20"/>
        </w:rPr>
        <w:t>tworzonego Muzeum Wraków VRAK</w:t>
      </w:r>
      <w:r w:rsidR="004C6CC5">
        <w:rPr>
          <w:rFonts w:ascii="Arial" w:hAnsi="Arial" w:cs="Arial"/>
          <w:sz w:val="20"/>
          <w:szCs w:val="20"/>
        </w:rPr>
        <w:t xml:space="preserve"> w </w:t>
      </w:r>
      <w:r w:rsidR="00002F60">
        <w:rPr>
          <w:rFonts w:ascii="Arial" w:hAnsi="Arial" w:cs="Arial"/>
          <w:sz w:val="20"/>
          <w:szCs w:val="20"/>
        </w:rPr>
        <w:t>Sztokholmie</w:t>
      </w:r>
      <w:r w:rsidRPr="004C6CC5">
        <w:rPr>
          <w:rFonts w:ascii="Arial" w:hAnsi="Arial" w:cs="Arial"/>
          <w:sz w:val="20"/>
          <w:szCs w:val="20"/>
        </w:rPr>
        <w:t>.</w:t>
      </w:r>
      <w:r w:rsidR="004C6CC5">
        <w:rPr>
          <w:rFonts w:ascii="Arial" w:hAnsi="Arial" w:cs="Arial"/>
          <w:sz w:val="20"/>
          <w:szCs w:val="20"/>
        </w:rPr>
        <w:t xml:space="preserve"> </w:t>
      </w:r>
      <w:r w:rsidR="00D30F13">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 xml:space="preserve">komisji zasiada ok. 20 osób reprezentujących najważniejsze instytucje zajmujące się podwodnymi badaniami archeologicznymi na Bałtyku. </w:t>
      </w:r>
    </w:p>
    <w:p w14:paraId="2BC27412" w14:textId="0046A465" w:rsidR="003805B9" w:rsidRPr="004C6CC5" w:rsidRDefault="003805B9" w:rsidP="00663856">
      <w:pPr>
        <w:spacing w:before="120" w:after="120" w:line="276" w:lineRule="auto"/>
        <w:jc w:val="both"/>
        <w:rPr>
          <w:rFonts w:ascii="Arial" w:hAnsi="Arial" w:cs="Arial"/>
          <w:sz w:val="20"/>
          <w:szCs w:val="20"/>
        </w:rPr>
      </w:pPr>
      <w:r w:rsidRPr="004C6CC5">
        <w:rPr>
          <w:rFonts w:ascii="Arial" w:hAnsi="Arial" w:cs="Arial"/>
          <w:sz w:val="20"/>
          <w:szCs w:val="20"/>
        </w:rPr>
        <w:t>W dniach 18</w:t>
      </w:r>
      <w:r w:rsidR="0043377C">
        <w:rPr>
          <w:rFonts w:ascii="Arial" w:hAnsi="Arial" w:cs="Arial"/>
          <w:sz w:val="20"/>
          <w:szCs w:val="20"/>
        </w:rPr>
        <w:t xml:space="preserve"> </w:t>
      </w:r>
      <w:r w:rsidRPr="004C6CC5">
        <w:rPr>
          <w:rFonts w:ascii="Arial" w:hAnsi="Arial" w:cs="Arial"/>
          <w:sz w:val="20"/>
          <w:szCs w:val="20"/>
        </w:rPr>
        <w:t>-</w:t>
      </w:r>
      <w:r w:rsidR="0043377C">
        <w:rPr>
          <w:rFonts w:ascii="Arial" w:hAnsi="Arial" w:cs="Arial"/>
          <w:sz w:val="20"/>
          <w:szCs w:val="20"/>
        </w:rPr>
        <w:t xml:space="preserve"> </w:t>
      </w:r>
      <w:r w:rsidRPr="004C6CC5">
        <w:rPr>
          <w:rFonts w:ascii="Arial" w:hAnsi="Arial" w:cs="Arial"/>
          <w:sz w:val="20"/>
          <w:szCs w:val="20"/>
        </w:rPr>
        <w:t xml:space="preserve">19 czerwca </w:t>
      </w:r>
      <w:r w:rsidR="00D30F13">
        <w:rPr>
          <w:rFonts w:ascii="Arial" w:hAnsi="Arial" w:cs="Arial"/>
          <w:sz w:val="20"/>
          <w:szCs w:val="20"/>
        </w:rPr>
        <w:t xml:space="preserve">2019 r. </w:t>
      </w:r>
      <w:r w:rsidRPr="004C6CC5">
        <w:rPr>
          <w:rFonts w:ascii="Arial" w:hAnsi="Arial" w:cs="Arial"/>
          <w:sz w:val="20"/>
          <w:szCs w:val="20"/>
        </w:rPr>
        <w:t>odbyło się spotkanie Programu Współpracy Transgranicznej Polska-Rosja 2014</w:t>
      </w:r>
      <w:r w:rsidR="00B84D40">
        <w:rPr>
          <w:rFonts w:ascii="Arial" w:hAnsi="Arial" w:cs="Arial"/>
          <w:sz w:val="20"/>
          <w:szCs w:val="20"/>
        </w:rPr>
        <w:t xml:space="preserve"> </w:t>
      </w:r>
      <w:r w:rsidRPr="004C6CC5">
        <w:rPr>
          <w:rFonts w:ascii="Arial" w:hAnsi="Arial" w:cs="Arial"/>
          <w:sz w:val="20"/>
          <w:szCs w:val="20"/>
        </w:rPr>
        <w:t>-</w:t>
      </w:r>
      <w:r w:rsidR="00B84D40">
        <w:rPr>
          <w:rFonts w:ascii="Arial" w:hAnsi="Arial" w:cs="Arial"/>
          <w:sz w:val="20"/>
          <w:szCs w:val="20"/>
        </w:rPr>
        <w:t xml:space="preserve"> </w:t>
      </w:r>
      <w:r w:rsidRPr="004C6CC5">
        <w:rPr>
          <w:rFonts w:ascii="Arial" w:hAnsi="Arial" w:cs="Arial"/>
          <w:sz w:val="20"/>
          <w:szCs w:val="20"/>
        </w:rPr>
        <w:t>2020, które odbyło się</w:t>
      </w:r>
      <w:r w:rsidR="004C6CC5">
        <w:rPr>
          <w:rFonts w:ascii="Arial" w:hAnsi="Arial" w:cs="Arial"/>
          <w:sz w:val="20"/>
          <w:szCs w:val="20"/>
        </w:rPr>
        <w:t xml:space="preserve"> w </w:t>
      </w:r>
      <w:r w:rsidRPr="004C6CC5">
        <w:rPr>
          <w:rFonts w:ascii="Arial" w:hAnsi="Arial" w:cs="Arial"/>
          <w:sz w:val="20"/>
          <w:szCs w:val="20"/>
        </w:rPr>
        <w:t>Kaliningradzie. P</w:t>
      </w:r>
      <w:r w:rsidR="00B84D40">
        <w:rPr>
          <w:rFonts w:ascii="Arial" w:hAnsi="Arial" w:cs="Arial"/>
          <w:sz w:val="20"/>
          <w:szCs w:val="20"/>
        </w:rPr>
        <w:t>odczas spotkania p</w:t>
      </w:r>
      <w:r w:rsidRPr="004C6CC5">
        <w:rPr>
          <w:rFonts w:ascii="Arial" w:hAnsi="Arial" w:cs="Arial"/>
          <w:sz w:val="20"/>
          <w:szCs w:val="20"/>
        </w:rPr>
        <w:t>rzedstawiono stan realizacji programu oraz dwanaście projektów, które zostały wybrane do dofinansowania</w:t>
      </w:r>
      <w:r w:rsidR="004C6CC5">
        <w:rPr>
          <w:rFonts w:ascii="Arial" w:hAnsi="Arial" w:cs="Arial"/>
          <w:sz w:val="20"/>
          <w:szCs w:val="20"/>
        </w:rPr>
        <w:t xml:space="preserve"> w </w:t>
      </w:r>
      <w:r w:rsidRPr="004C6CC5">
        <w:rPr>
          <w:rFonts w:ascii="Arial" w:hAnsi="Arial" w:cs="Arial"/>
          <w:sz w:val="20"/>
          <w:szCs w:val="20"/>
        </w:rPr>
        <w:t>ramach Celu Tematycznego „Dziedzictwo” (wśród nich znalazł się projekt pt.</w:t>
      </w:r>
      <w:r w:rsidR="00110F90">
        <w:rPr>
          <w:rFonts w:ascii="Arial" w:hAnsi="Arial" w:cs="Arial"/>
          <w:sz w:val="20"/>
          <w:szCs w:val="20"/>
        </w:rPr>
        <w:t>:</w:t>
      </w:r>
      <w:r w:rsidRPr="004C6CC5">
        <w:rPr>
          <w:rFonts w:ascii="Arial" w:hAnsi="Arial" w:cs="Arial"/>
          <w:sz w:val="20"/>
          <w:szCs w:val="20"/>
        </w:rPr>
        <w:t xml:space="preserve"> „2 statki – wspólne morze. Sołdek</w:t>
      </w:r>
      <w:r w:rsidR="004C6CC5">
        <w:rPr>
          <w:rFonts w:ascii="Arial" w:hAnsi="Arial" w:cs="Arial"/>
          <w:sz w:val="20"/>
          <w:szCs w:val="20"/>
        </w:rPr>
        <w:t xml:space="preserve"> i </w:t>
      </w:r>
      <w:r w:rsidRPr="004C6CC5">
        <w:rPr>
          <w:rFonts w:ascii="Arial" w:hAnsi="Arial" w:cs="Arial"/>
          <w:sz w:val="20"/>
          <w:szCs w:val="20"/>
        </w:rPr>
        <w:t>Vityaz: dziedzictwo morskie Polski</w:t>
      </w:r>
      <w:r w:rsidR="004C6CC5">
        <w:rPr>
          <w:rFonts w:ascii="Arial" w:hAnsi="Arial" w:cs="Arial"/>
          <w:sz w:val="20"/>
          <w:szCs w:val="20"/>
        </w:rPr>
        <w:t xml:space="preserve"> i </w:t>
      </w:r>
      <w:r w:rsidRPr="004C6CC5">
        <w:rPr>
          <w:rFonts w:ascii="Arial" w:hAnsi="Arial" w:cs="Arial"/>
          <w:sz w:val="20"/>
          <w:szCs w:val="20"/>
        </w:rPr>
        <w:t xml:space="preserve">Rosji”). </w:t>
      </w:r>
    </w:p>
    <w:p w14:paraId="28D48F26" w14:textId="2251392B" w:rsidR="00EB0721" w:rsidRPr="004C6CC5" w:rsidRDefault="003805B9" w:rsidP="00663856">
      <w:pPr>
        <w:spacing w:before="120" w:after="120"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 xml:space="preserve">NMM nawiązało </w:t>
      </w:r>
      <w:r w:rsidR="00B4295F">
        <w:rPr>
          <w:rFonts w:ascii="Arial" w:hAnsi="Arial" w:cs="Arial"/>
          <w:sz w:val="20"/>
          <w:szCs w:val="20"/>
        </w:rPr>
        <w:t xml:space="preserve">również </w:t>
      </w:r>
      <w:r w:rsidRPr="004C6CC5">
        <w:rPr>
          <w:rFonts w:ascii="Arial" w:hAnsi="Arial" w:cs="Arial"/>
          <w:sz w:val="20"/>
          <w:szCs w:val="20"/>
        </w:rPr>
        <w:t>współpracę</w:t>
      </w:r>
      <w:r w:rsidR="004C6CC5">
        <w:rPr>
          <w:rFonts w:ascii="Arial" w:hAnsi="Arial" w:cs="Arial"/>
          <w:sz w:val="20"/>
          <w:szCs w:val="20"/>
        </w:rPr>
        <w:t xml:space="preserve"> z </w:t>
      </w:r>
      <w:r w:rsidRPr="004C6CC5">
        <w:rPr>
          <w:rFonts w:ascii="Arial" w:hAnsi="Arial" w:cs="Arial"/>
          <w:sz w:val="20"/>
          <w:szCs w:val="20"/>
        </w:rPr>
        <w:t>duńskim Langelands Museum. Instytucja ta posiada oddział o nazwie Muzeum Zimnej Wojny (Koldkrigsmuseum Langelandsfort), na który składa się kilkunastohektarowy kompleks umocnień nadbrzeżnych, bunkrów, stanowisk ogniowych oraz szereg zabytków techniki wojskowej. Duńskie muzeum planuje</w:t>
      </w:r>
      <w:r w:rsidR="004C6CC5">
        <w:rPr>
          <w:rFonts w:ascii="Arial" w:hAnsi="Arial" w:cs="Arial"/>
          <w:sz w:val="20"/>
          <w:szCs w:val="20"/>
        </w:rPr>
        <w:t xml:space="preserve"> w </w:t>
      </w:r>
      <w:r w:rsidRPr="004C6CC5">
        <w:rPr>
          <w:rFonts w:ascii="Arial" w:hAnsi="Arial" w:cs="Arial"/>
          <w:sz w:val="20"/>
          <w:szCs w:val="20"/>
        </w:rPr>
        <w:t>partnerstwie</w:t>
      </w:r>
      <w:r w:rsidR="004C6CC5">
        <w:rPr>
          <w:rFonts w:ascii="Arial" w:hAnsi="Arial" w:cs="Arial"/>
          <w:sz w:val="20"/>
          <w:szCs w:val="20"/>
        </w:rPr>
        <w:t xml:space="preserve"> z </w:t>
      </w:r>
      <w:r w:rsidRPr="004C6CC5">
        <w:rPr>
          <w:rFonts w:ascii="Arial" w:hAnsi="Arial" w:cs="Arial"/>
          <w:sz w:val="20"/>
          <w:szCs w:val="20"/>
        </w:rPr>
        <w:t>NMM oraz Stowarzyszeniem Żołnierzy</w:t>
      </w:r>
      <w:r w:rsidR="004C6CC5">
        <w:rPr>
          <w:rFonts w:ascii="Arial" w:hAnsi="Arial" w:cs="Arial"/>
          <w:sz w:val="20"/>
          <w:szCs w:val="20"/>
        </w:rPr>
        <w:t xml:space="preserve"> i </w:t>
      </w:r>
      <w:r w:rsidRPr="004C6CC5">
        <w:rPr>
          <w:rFonts w:ascii="Arial" w:hAnsi="Arial" w:cs="Arial"/>
          <w:sz w:val="20"/>
          <w:szCs w:val="20"/>
        </w:rPr>
        <w:t>Sympatyków „Niebieskich Beretów” zorganizować</w:t>
      </w:r>
      <w:r w:rsidR="00110F90">
        <w:rPr>
          <w:rFonts w:ascii="Arial" w:hAnsi="Arial" w:cs="Arial"/>
          <w:sz w:val="20"/>
          <w:szCs w:val="20"/>
        </w:rPr>
        <w:t xml:space="preserve"> w </w:t>
      </w:r>
      <w:r w:rsidRPr="004C6CC5">
        <w:rPr>
          <w:rFonts w:ascii="Arial" w:hAnsi="Arial" w:cs="Arial"/>
          <w:sz w:val="20"/>
          <w:szCs w:val="20"/>
        </w:rPr>
        <w:t>2021</w:t>
      </w:r>
      <w:r w:rsidR="009D01B9" w:rsidRPr="004C6CC5">
        <w:rPr>
          <w:rFonts w:ascii="Arial" w:hAnsi="Arial" w:cs="Arial"/>
          <w:sz w:val="20"/>
          <w:szCs w:val="20"/>
        </w:rPr>
        <w:t xml:space="preserve"> r. </w:t>
      </w:r>
      <w:r w:rsidRPr="004C6CC5">
        <w:rPr>
          <w:rFonts w:ascii="Arial" w:hAnsi="Arial" w:cs="Arial"/>
          <w:sz w:val="20"/>
          <w:szCs w:val="20"/>
        </w:rPr>
        <w:t>wystawę czasową, opowiadającą o planach inwazji Układu Warszawskiego na Danię</w:t>
      </w:r>
      <w:r w:rsidR="00B4295F">
        <w:rPr>
          <w:rFonts w:ascii="Arial" w:hAnsi="Arial" w:cs="Arial"/>
          <w:sz w:val="20"/>
          <w:szCs w:val="20"/>
        </w:rPr>
        <w:t xml:space="preserve"> oraz</w:t>
      </w:r>
      <w:r w:rsidR="004C6CC5">
        <w:rPr>
          <w:rFonts w:ascii="Arial" w:hAnsi="Arial" w:cs="Arial"/>
          <w:sz w:val="20"/>
          <w:szCs w:val="20"/>
        </w:rPr>
        <w:t> </w:t>
      </w:r>
      <w:r w:rsidRPr="004C6CC5">
        <w:rPr>
          <w:rFonts w:ascii="Arial" w:hAnsi="Arial" w:cs="Arial"/>
          <w:sz w:val="20"/>
          <w:szCs w:val="20"/>
        </w:rPr>
        <w:t>roli, jaką</w:t>
      </w:r>
      <w:r w:rsidR="004C6CC5">
        <w:rPr>
          <w:rFonts w:ascii="Arial" w:hAnsi="Arial" w:cs="Arial"/>
          <w:sz w:val="20"/>
          <w:szCs w:val="20"/>
        </w:rPr>
        <w:t xml:space="preserve"> w </w:t>
      </w:r>
      <w:r w:rsidRPr="004C6CC5">
        <w:rPr>
          <w:rFonts w:ascii="Arial" w:hAnsi="Arial" w:cs="Arial"/>
          <w:sz w:val="20"/>
          <w:szCs w:val="20"/>
        </w:rPr>
        <w:t>tych planach odegrać miały polskie siły desantowe.</w:t>
      </w:r>
    </w:p>
    <w:p w14:paraId="78AF432D" w14:textId="0662CC0F" w:rsidR="005C32C7" w:rsidRPr="00D30F13" w:rsidRDefault="005C32C7" w:rsidP="00D30F13">
      <w:pPr>
        <w:pStyle w:val="Nagwek1"/>
        <w:spacing w:before="120" w:after="120"/>
        <w:rPr>
          <w:rFonts w:ascii="Arial" w:hAnsi="Arial" w:cs="Arial"/>
          <w:b/>
          <w:sz w:val="20"/>
          <w:szCs w:val="20"/>
        </w:rPr>
      </w:pPr>
      <w:bookmarkStart w:id="78" w:name="_Toc72745088"/>
      <w:r w:rsidRPr="00D30F13">
        <w:rPr>
          <w:rFonts w:ascii="Arial" w:hAnsi="Arial" w:cs="Arial"/>
          <w:b/>
          <w:color w:val="auto"/>
          <w:sz w:val="20"/>
          <w:szCs w:val="20"/>
        </w:rPr>
        <w:t>ZARZĄDZANIE MORSKIE</w:t>
      </w:r>
      <w:r w:rsidR="00663856">
        <w:rPr>
          <w:rFonts w:ascii="Arial" w:hAnsi="Arial" w:cs="Arial"/>
          <w:b/>
          <w:color w:val="auto"/>
          <w:sz w:val="20"/>
          <w:szCs w:val="20"/>
        </w:rPr>
        <w:t>.</w:t>
      </w:r>
      <w:bookmarkEnd w:id="78"/>
    </w:p>
    <w:p w14:paraId="58724F54" w14:textId="2073DA6B" w:rsidR="00A57F28" w:rsidRPr="00D30F13" w:rsidRDefault="00A57F28" w:rsidP="00D30F13">
      <w:pPr>
        <w:pStyle w:val="Nagwek2"/>
        <w:spacing w:before="120" w:after="120"/>
        <w:rPr>
          <w:rFonts w:ascii="Arial" w:hAnsi="Arial" w:cs="Arial"/>
          <w:b/>
          <w:sz w:val="20"/>
          <w:szCs w:val="20"/>
        </w:rPr>
      </w:pPr>
      <w:bookmarkStart w:id="79" w:name="_Toc72745089"/>
      <w:r w:rsidRPr="00D30F13">
        <w:rPr>
          <w:rFonts w:ascii="Arial" w:hAnsi="Arial" w:cs="Arial"/>
          <w:b/>
          <w:color w:val="auto"/>
          <w:sz w:val="20"/>
          <w:szCs w:val="20"/>
        </w:rPr>
        <w:t>Zespół Trójstronny ds. żeglugi</w:t>
      </w:r>
      <w:r w:rsidR="004C6CC5" w:rsidRPr="00D30F13">
        <w:rPr>
          <w:rFonts w:ascii="Arial" w:hAnsi="Arial" w:cs="Arial"/>
          <w:b/>
          <w:color w:val="auto"/>
          <w:sz w:val="20"/>
          <w:szCs w:val="20"/>
        </w:rPr>
        <w:t xml:space="preserve"> i </w:t>
      </w:r>
      <w:r w:rsidRPr="00D30F13">
        <w:rPr>
          <w:rFonts w:ascii="Arial" w:hAnsi="Arial" w:cs="Arial"/>
          <w:b/>
          <w:color w:val="auto"/>
          <w:sz w:val="20"/>
          <w:szCs w:val="20"/>
        </w:rPr>
        <w:t>rybołówstwa morskiego</w:t>
      </w:r>
      <w:r w:rsidR="00D30F13">
        <w:rPr>
          <w:rFonts w:ascii="Arial" w:hAnsi="Arial" w:cs="Arial"/>
          <w:b/>
          <w:color w:val="auto"/>
          <w:sz w:val="20"/>
          <w:szCs w:val="20"/>
        </w:rPr>
        <w:t>.</w:t>
      </w:r>
      <w:bookmarkEnd w:id="79"/>
      <w:r w:rsidRPr="00D30F13">
        <w:rPr>
          <w:rFonts w:ascii="Arial" w:hAnsi="Arial" w:cs="Arial"/>
          <w:b/>
          <w:color w:val="auto"/>
          <w:sz w:val="20"/>
          <w:szCs w:val="20"/>
        </w:rPr>
        <w:t xml:space="preserve"> </w:t>
      </w:r>
    </w:p>
    <w:p w14:paraId="345A1E69" w14:textId="116DD6F1" w:rsidR="00A57F28" w:rsidRPr="004C6CC5" w:rsidRDefault="00A57F28" w:rsidP="00D30F13">
      <w:pPr>
        <w:spacing w:before="120" w:after="120" w:line="276" w:lineRule="auto"/>
        <w:jc w:val="both"/>
        <w:rPr>
          <w:rFonts w:ascii="Arial" w:hAnsi="Arial" w:cs="Arial"/>
          <w:sz w:val="20"/>
          <w:szCs w:val="20"/>
        </w:rPr>
      </w:pPr>
      <w:r w:rsidRPr="004C6CC5">
        <w:rPr>
          <w:rFonts w:ascii="Arial" w:hAnsi="Arial" w:cs="Arial"/>
          <w:sz w:val="20"/>
          <w:szCs w:val="20"/>
        </w:rPr>
        <w:t>Zespół działa od listopada 2002</w:t>
      </w:r>
      <w:r w:rsidR="009D01B9" w:rsidRPr="004C6CC5">
        <w:rPr>
          <w:rFonts w:ascii="Arial" w:hAnsi="Arial" w:cs="Arial"/>
          <w:sz w:val="20"/>
          <w:szCs w:val="20"/>
        </w:rPr>
        <w:t xml:space="preserve"> r. </w:t>
      </w:r>
      <w:r w:rsidR="00D30F13">
        <w:rPr>
          <w:rFonts w:ascii="Arial" w:hAnsi="Arial" w:cs="Arial"/>
          <w:sz w:val="20"/>
          <w:szCs w:val="20"/>
        </w:rPr>
        <w:t>i z</w:t>
      </w:r>
      <w:r w:rsidRPr="004C6CC5">
        <w:rPr>
          <w:rFonts w:ascii="Arial" w:hAnsi="Arial" w:cs="Arial"/>
          <w:sz w:val="20"/>
          <w:szCs w:val="20"/>
        </w:rPr>
        <w:t>ostał powołany n</w:t>
      </w:r>
      <w:r w:rsidR="009A61C1">
        <w:rPr>
          <w:rFonts w:ascii="Arial" w:hAnsi="Arial" w:cs="Arial"/>
          <w:sz w:val="20"/>
          <w:szCs w:val="20"/>
        </w:rPr>
        <w:t>a wniosek partnerów społecznych</w:t>
      </w:r>
      <w:r w:rsidRPr="004C6CC5">
        <w:rPr>
          <w:rFonts w:ascii="Arial" w:hAnsi="Arial" w:cs="Arial"/>
          <w:sz w:val="20"/>
          <w:szCs w:val="20"/>
        </w:rPr>
        <w:t xml:space="preserve"> przez Ministra Pracy</w:t>
      </w:r>
      <w:r w:rsidR="004C6CC5">
        <w:rPr>
          <w:rFonts w:ascii="Arial" w:hAnsi="Arial" w:cs="Arial"/>
          <w:sz w:val="20"/>
          <w:szCs w:val="20"/>
        </w:rPr>
        <w:t xml:space="preserve"> i </w:t>
      </w:r>
      <w:r w:rsidRPr="004C6CC5">
        <w:rPr>
          <w:rFonts w:ascii="Arial" w:hAnsi="Arial" w:cs="Arial"/>
          <w:sz w:val="20"/>
          <w:szCs w:val="20"/>
        </w:rPr>
        <w:t>Polityki Społecznej.</w:t>
      </w:r>
      <w:r w:rsidR="004C6CC5">
        <w:rPr>
          <w:rFonts w:ascii="Arial" w:hAnsi="Arial" w:cs="Arial"/>
          <w:sz w:val="20"/>
          <w:szCs w:val="20"/>
        </w:rPr>
        <w:t xml:space="preserve"> </w:t>
      </w:r>
      <w:r w:rsidR="00D30F13">
        <w:rPr>
          <w:rFonts w:ascii="Arial" w:hAnsi="Arial" w:cs="Arial"/>
          <w:sz w:val="20"/>
          <w:szCs w:val="20"/>
        </w:rPr>
        <w:t>Z</w:t>
      </w:r>
      <w:r w:rsidR="004C6CC5">
        <w:rPr>
          <w:rFonts w:ascii="Arial" w:hAnsi="Arial" w:cs="Arial"/>
          <w:sz w:val="20"/>
          <w:szCs w:val="20"/>
        </w:rPr>
        <w:t> </w:t>
      </w:r>
      <w:r w:rsidRPr="004C6CC5">
        <w:rPr>
          <w:rFonts w:ascii="Arial" w:hAnsi="Arial" w:cs="Arial"/>
          <w:sz w:val="20"/>
          <w:szCs w:val="20"/>
        </w:rPr>
        <w:t>powodów organizacyjnych</w:t>
      </w:r>
      <w:r w:rsidR="004C6CC5">
        <w:rPr>
          <w:rFonts w:ascii="Arial" w:hAnsi="Arial" w:cs="Arial"/>
          <w:sz w:val="20"/>
          <w:szCs w:val="20"/>
        </w:rPr>
        <w:t xml:space="preserve"> i </w:t>
      </w:r>
      <w:r w:rsidRPr="004C6CC5">
        <w:rPr>
          <w:rFonts w:ascii="Arial" w:hAnsi="Arial" w:cs="Arial"/>
          <w:sz w:val="20"/>
          <w:szCs w:val="20"/>
        </w:rPr>
        <w:t>merytorycznych, jest umiejscowiony przy Ministerstwie Gospodarki Morskiej</w:t>
      </w:r>
      <w:r w:rsidR="004C6CC5">
        <w:rPr>
          <w:rFonts w:ascii="Arial" w:hAnsi="Arial" w:cs="Arial"/>
          <w:sz w:val="20"/>
          <w:szCs w:val="20"/>
        </w:rPr>
        <w:t xml:space="preserve"> i </w:t>
      </w:r>
      <w:r w:rsidRPr="004C6CC5">
        <w:rPr>
          <w:rFonts w:ascii="Arial" w:hAnsi="Arial" w:cs="Arial"/>
          <w:sz w:val="20"/>
          <w:szCs w:val="20"/>
        </w:rPr>
        <w:t>Żeglugi Śródlądowej, które zapewnia jego obsługę</w:t>
      </w:r>
      <w:r w:rsidR="004C6CC5">
        <w:rPr>
          <w:rFonts w:ascii="Arial" w:hAnsi="Arial" w:cs="Arial"/>
          <w:sz w:val="20"/>
          <w:szCs w:val="20"/>
        </w:rPr>
        <w:t xml:space="preserve"> w </w:t>
      </w:r>
      <w:r w:rsidRPr="004C6CC5">
        <w:rPr>
          <w:rFonts w:ascii="Arial" w:hAnsi="Arial" w:cs="Arial"/>
          <w:sz w:val="20"/>
          <w:szCs w:val="20"/>
        </w:rPr>
        <w:t>formie sekretariatu. Zadaniem Zespołu jest wypracowywanie wspólnych stanowisk</w:t>
      </w:r>
      <w:r w:rsidR="009706D9">
        <w:rPr>
          <w:rFonts w:ascii="Arial" w:hAnsi="Arial" w:cs="Arial"/>
          <w:sz w:val="20"/>
          <w:szCs w:val="20"/>
        </w:rPr>
        <w:t xml:space="preserve"> w </w:t>
      </w:r>
      <w:r w:rsidRPr="004C6CC5">
        <w:rPr>
          <w:rFonts w:ascii="Arial" w:hAnsi="Arial" w:cs="Arial"/>
          <w:sz w:val="20"/>
          <w:szCs w:val="20"/>
        </w:rPr>
        <w:t xml:space="preserve">sprawach ważnych </w:t>
      </w:r>
      <w:r w:rsidRPr="004C6CC5">
        <w:rPr>
          <w:rFonts w:ascii="Arial" w:hAnsi="Arial" w:cs="Arial"/>
          <w:sz w:val="20"/>
          <w:szCs w:val="20"/>
        </w:rPr>
        <w:br/>
        <w:t>z punktu widzenia polityki państwa oraz interesów pracowników</w:t>
      </w:r>
      <w:r w:rsidR="001E47A8">
        <w:rPr>
          <w:rFonts w:ascii="Arial" w:hAnsi="Arial" w:cs="Arial"/>
          <w:sz w:val="20"/>
          <w:szCs w:val="20"/>
        </w:rPr>
        <w:t xml:space="preserve"> i </w:t>
      </w:r>
      <w:r w:rsidRPr="004C6CC5">
        <w:rPr>
          <w:rFonts w:ascii="Arial" w:hAnsi="Arial" w:cs="Arial"/>
          <w:sz w:val="20"/>
          <w:szCs w:val="20"/>
        </w:rPr>
        <w:t xml:space="preserve">pracodawców związanych </w:t>
      </w:r>
      <w:r w:rsidRPr="004C6CC5">
        <w:rPr>
          <w:rFonts w:ascii="Arial" w:hAnsi="Arial" w:cs="Arial"/>
          <w:sz w:val="20"/>
          <w:szCs w:val="20"/>
        </w:rPr>
        <w:br/>
        <w:t>z realizacją celów Zespołu.</w:t>
      </w:r>
    </w:p>
    <w:p w14:paraId="004D7445" w14:textId="65664F0B" w:rsidR="00A57F28" w:rsidRPr="004C6CC5" w:rsidRDefault="00A57F28" w:rsidP="008D2321">
      <w:pPr>
        <w:spacing w:line="276" w:lineRule="auto"/>
        <w:jc w:val="both"/>
        <w:rPr>
          <w:rFonts w:ascii="Arial" w:hAnsi="Arial" w:cs="Arial"/>
          <w:sz w:val="20"/>
          <w:szCs w:val="20"/>
        </w:rPr>
      </w:pPr>
      <w:r w:rsidRPr="004C6CC5">
        <w:rPr>
          <w:rFonts w:ascii="Arial" w:hAnsi="Arial" w:cs="Arial"/>
          <w:sz w:val="20"/>
          <w:szCs w:val="20"/>
        </w:rPr>
        <w:t>W skład Zespołu wchodzą przedstawiciele strony pr</w:t>
      </w:r>
      <w:r w:rsidR="006D49B8">
        <w:rPr>
          <w:rFonts w:ascii="Arial" w:hAnsi="Arial" w:cs="Arial"/>
          <w:sz w:val="20"/>
          <w:szCs w:val="20"/>
        </w:rPr>
        <w:t xml:space="preserve">acowników </w:t>
      </w:r>
      <w:r w:rsidRPr="004C6CC5">
        <w:rPr>
          <w:rFonts w:ascii="Arial" w:hAnsi="Arial" w:cs="Arial"/>
          <w:sz w:val="20"/>
          <w:szCs w:val="20"/>
        </w:rPr>
        <w:t>wyznaczeni przez: Krajową Sekcję Morską Marynarzy</w:t>
      </w:r>
      <w:r w:rsidR="003F2E89">
        <w:rPr>
          <w:rFonts w:ascii="Arial" w:hAnsi="Arial" w:cs="Arial"/>
          <w:sz w:val="20"/>
          <w:szCs w:val="20"/>
        </w:rPr>
        <w:t xml:space="preserve"> i </w:t>
      </w:r>
      <w:r w:rsidRPr="004C6CC5">
        <w:rPr>
          <w:rFonts w:ascii="Arial" w:hAnsi="Arial" w:cs="Arial"/>
          <w:sz w:val="20"/>
          <w:szCs w:val="20"/>
        </w:rPr>
        <w:t xml:space="preserve">Rybaków NSZZ „Solidarność”, Ogólnopolski Związek Zawodowy Oficerów </w:t>
      </w:r>
      <w:r w:rsidRPr="004C6CC5">
        <w:rPr>
          <w:rFonts w:ascii="Arial" w:hAnsi="Arial" w:cs="Arial"/>
          <w:sz w:val="20"/>
          <w:szCs w:val="20"/>
        </w:rPr>
        <w:br/>
        <w:t>i Marynarzy (FZZ) oraz Federację Związków Zawodowych Marynarzy</w:t>
      </w:r>
      <w:r w:rsidR="006D49B8">
        <w:rPr>
          <w:rFonts w:ascii="Arial" w:hAnsi="Arial" w:cs="Arial"/>
          <w:sz w:val="20"/>
          <w:szCs w:val="20"/>
        </w:rPr>
        <w:t xml:space="preserve"> i </w:t>
      </w:r>
      <w:r w:rsidRPr="004C6CC5">
        <w:rPr>
          <w:rFonts w:ascii="Arial" w:hAnsi="Arial" w:cs="Arial"/>
          <w:sz w:val="20"/>
          <w:szCs w:val="20"/>
        </w:rPr>
        <w:t>Rybaków</w:t>
      </w:r>
      <w:r w:rsidR="006D49B8">
        <w:rPr>
          <w:rFonts w:ascii="Arial" w:hAnsi="Arial" w:cs="Arial"/>
          <w:sz w:val="20"/>
          <w:szCs w:val="20"/>
        </w:rPr>
        <w:t xml:space="preserve"> (OPZZ</w:t>
      </w:r>
      <w:r w:rsidRPr="004C6CC5">
        <w:rPr>
          <w:rFonts w:ascii="Arial" w:hAnsi="Arial" w:cs="Arial"/>
          <w:sz w:val="20"/>
          <w:szCs w:val="20"/>
        </w:rPr>
        <w:t>), pracodawców (Związek Armatorów Polskich) oraz strony rządowej (minister właściwy ds. gospodarki morskiej, minister właściwy ds. rybołówstwa, minister właściwy ds. pracy, minister w</w:t>
      </w:r>
      <w:r w:rsidR="007144A4">
        <w:rPr>
          <w:rFonts w:ascii="Arial" w:hAnsi="Arial" w:cs="Arial"/>
          <w:sz w:val="20"/>
          <w:szCs w:val="20"/>
        </w:rPr>
        <w:t xml:space="preserve">łaściwy ds. finansów). Ponadto </w:t>
      </w:r>
      <w:r w:rsidRPr="004C6CC5">
        <w:rPr>
          <w:rFonts w:ascii="Arial" w:hAnsi="Arial" w:cs="Arial"/>
          <w:sz w:val="20"/>
          <w:szCs w:val="20"/>
        </w:rPr>
        <w:t>w skład Zespołu,</w:t>
      </w:r>
      <w:r w:rsidR="008152EF">
        <w:rPr>
          <w:rFonts w:ascii="Arial" w:hAnsi="Arial" w:cs="Arial"/>
          <w:sz w:val="20"/>
          <w:szCs w:val="20"/>
        </w:rPr>
        <w:t xml:space="preserve"> w </w:t>
      </w:r>
      <w:r w:rsidRPr="004C6CC5">
        <w:rPr>
          <w:rFonts w:ascii="Arial" w:hAnsi="Arial" w:cs="Arial"/>
          <w:sz w:val="20"/>
          <w:szCs w:val="20"/>
        </w:rPr>
        <w:t>charakterze doradczym, wchodzą przedstawiciele Polskiego Związku Przedsiębiorców Żeglugowych, Związku Agentów</w:t>
      </w:r>
      <w:r w:rsidR="004C6CC5">
        <w:rPr>
          <w:rFonts w:ascii="Arial" w:hAnsi="Arial" w:cs="Arial"/>
          <w:sz w:val="20"/>
          <w:szCs w:val="20"/>
        </w:rPr>
        <w:t xml:space="preserve"> i </w:t>
      </w:r>
      <w:r w:rsidRPr="004C6CC5">
        <w:rPr>
          <w:rFonts w:ascii="Arial" w:hAnsi="Arial" w:cs="Arial"/>
          <w:sz w:val="20"/>
          <w:szCs w:val="20"/>
        </w:rPr>
        <w:t>Morskich Przedsiębiorstw Rekrutacyjnych „APMAR” oraz Północnoatlantyckiej Organizacji Producentów Sp.</w:t>
      </w:r>
      <w:r w:rsidR="004C6CC5">
        <w:rPr>
          <w:rFonts w:ascii="Arial" w:hAnsi="Arial" w:cs="Arial"/>
          <w:sz w:val="20"/>
          <w:szCs w:val="20"/>
        </w:rPr>
        <w:t xml:space="preserve"> z </w:t>
      </w:r>
      <w:r w:rsidRPr="004C6CC5">
        <w:rPr>
          <w:rFonts w:ascii="Arial" w:hAnsi="Arial" w:cs="Arial"/>
          <w:sz w:val="20"/>
          <w:szCs w:val="20"/>
        </w:rPr>
        <w:t>o.o.</w:t>
      </w:r>
    </w:p>
    <w:p w14:paraId="55E356FF" w14:textId="54CEA53D" w:rsidR="00A57F28" w:rsidRPr="004C6CC5" w:rsidRDefault="00A57F28" w:rsidP="008D2321">
      <w:pPr>
        <w:spacing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odbyły się dwa posiedzenia, podczas których Zespół zajmował się m.in. ustawą regulującą zwolnienie</w:t>
      </w:r>
      <w:r w:rsidR="004C6CC5">
        <w:rPr>
          <w:rFonts w:ascii="Arial" w:hAnsi="Arial" w:cs="Arial"/>
          <w:sz w:val="20"/>
          <w:szCs w:val="20"/>
        </w:rPr>
        <w:t xml:space="preserve"> z </w:t>
      </w:r>
      <w:r w:rsidRPr="004C6CC5">
        <w:rPr>
          <w:rFonts w:ascii="Arial" w:hAnsi="Arial" w:cs="Arial"/>
          <w:sz w:val="20"/>
          <w:szCs w:val="20"/>
        </w:rPr>
        <w:t>podatku dochodowego dla marynarzy zamieszkałych na terenie Rzeczypospolitej Polskiej, ubezpieczeniami społecznymi polskich marynarzy, ustawą o pracy na statkach rybackich, zmianami ustawy o pracy na morzu, ratyfikacją poprawek do Konwencji o pracy na morzu</w:t>
      </w:r>
      <w:r w:rsidR="004C6CC5">
        <w:rPr>
          <w:rFonts w:ascii="Arial" w:hAnsi="Arial" w:cs="Arial"/>
          <w:sz w:val="20"/>
          <w:szCs w:val="20"/>
        </w:rPr>
        <w:t xml:space="preserve"> z </w:t>
      </w:r>
      <w:r w:rsidRPr="004C6CC5">
        <w:rPr>
          <w:rFonts w:ascii="Arial" w:hAnsi="Arial" w:cs="Arial"/>
          <w:sz w:val="20"/>
          <w:szCs w:val="20"/>
        </w:rPr>
        <w:t>2006</w:t>
      </w:r>
      <w:r w:rsidR="009D01B9" w:rsidRPr="004C6CC5">
        <w:rPr>
          <w:rFonts w:ascii="Arial" w:hAnsi="Arial" w:cs="Arial"/>
          <w:sz w:val="20"/>
          <w:szCs w:val="20"/>
        </w:rPr>
        <w:t xml:space="preserve"> r. </w:t>
      </w:r>
      <w:r w:rsidRPr="004C6CC5">
        <w:rPr>
          <w:rFonts w:ascii="Arial" w:hAnsi="Arial" w:cs="Arial"/>
          <w:sz w:val="20"/>
          <w:szCs w:val="20"/>
        </w:rPr>
        <w:t>przyjętych przez M</w:t>
      </w:r>
      <w:r w:rsidR="00BD4945">
        <w:rPr>
          <w:rFonts w:ascii="Arial" w:hAnsi="Arial" w:cs="Arial"/>
          <w:sz w:val="20"/>
          <w:szCs w:val="20"/>
        </w:rPr>
        <w:t xml:space="preserve">iędzynarodową </w:t>
      </w:r>
      <w:r w:rsidRPr="004C6CC5">
        <w:rPr>
          <w:rFonts w:ascii="Arial" w:hAnsi="Arial" w:cs="Arial"/>
          <w:sz w:val="20"/>
          <w:szCs w:val="20"/>
        </w:rPr>
        <w:t>O</w:t>
      </w:r>
      <w:r w:rsidR="00BD4945">
        <w:rPr>
          <w:rFonts w:ascii="Arial" w:hAnsi="Arial" w:cs="Arial"/>
          <w:sz w:val="20"/>
          <w:szCs w:val="20"/>
        </w:rPr>
        <w:t xml:space="preserve">rganizację </w:t>
      </w:r>
      <w:r w:rsidRPr="004C6CC5">
        <w:rPr>
          <w:rFonts w:ascii="Arial" w:hAnsi="Arial" w:cs="Arial"/>
          <w:sz w:val="20"/>
          <w:szCs w:val="20"/>
        </w:rPr>
        <w:t>P</w:t>
      </w:r>
      <w:r w:rsidR="00BD4945">
        <w:rPr>
          <w:rFonts w:ascii="Arial" w:hAnsi="Arial" w:cs="Arial"/>
          <w:sz w:val="20"/>
          <w:szCs w:val="20"/>
        </w:rPr>
        <w:t xml:space="preserve">racy w </w:t>
      </w:r>
      <w:r w:rsidRPr="004C6CC5">
        <w:rPr>
          <w:rFonts w:ascii="Arial" w:hAnsi="Arial" w:cs="Arial"/>
          <w:sz w:val="20"/>
          <w:szCs w:val="20"/>
        </w:rPr>
        <w:t>2016</w:t>
      </w:r>
      <w:r w:rsidR="00065836" w:rsidRPr="004C6CC5">
        <w:rPr>
          <w:rFonts w:ascii="Arial" w:hAnsi="Arial" w:cs="Arial"/>
          <w:sz w:val="20"/>
          <w:szCs w:val="20"/>
        </w:rPr>
        <w:t xml:space="preserve"> r.</w:t>
      </w:r>
      <w:r w:rsidR="00223219">
        <w:rPr>
          <w:rFonts w:ascii="Arial" w:hAnsi="Arial" w:cs="Arial"/>
          <w:sz w:val="20"/>
          <w:szCs w:val="20"/>
        </w:rPr>
        <w:t xml:space="preserve"> oraz</w:t>
      </w:r>
      <w:r w:rsidR="004C6CC5">
        <w:rPr>
          <w:rFonts w:ascii="Arial" w:hAnsi="Arial" w:cs="Arial"/>
          <w:sz w:val="20"/>
          <w:szCs w:val="20"/>
        </w:rPr>
        <w:t> </w:t>
      </w:r>
      <w:r w:rsidRPr="004C6CC5">
        <w:rPr>
          <w:rFonts w:ascii="Arial" w:hAnsi="Arial" w:cs="Arial"/>
          <w:sz w:val="20"/>
          <w:szCs w:val="20"/>
        </w:rPr>
        <w:t>2018 r., sytuacją</w:t>
      </w:r>
      <w:r w:rsidR="004C6CC5">
        <w:rPr>
          <w:rFonts w:ascii="Arial" w:hAnsi="Arial" w:cs="Arial"/>
          <w:sz w:val="20"/>
          <w:szCs w:val="20"/>
        </w:rPr>
        <w:t xml:space="preserve"> w </w:t>
      </w:r>
      <w:r w:rsidRPr="004C6CC5">
        <w:rPr>
          <w:rFonts w:ascii="Arial" w:hAnsi="Arial" w:cs="Arial"/>
          <w:sz w:val="20"/>
          <w:szCs w:val="20"/>
        </w:rPr>
        <w:t>Morskiej Służbie Poszukiwania</w:t>
      </w:r>
      <w:r w:rsidR="004C6CC5">
        <w:rPr>
          <w:rFonts w:ascii="Arial" w:hAnsi="Arial" w:cs="Arial"/>
          <w:sz w:val="20"/>
          <w:szCs w:val="20"/>
        </w:rPr>
        <w:t xml:space="preserve"> i </w:t>
      </w:r>
      <w:r w:rsidRPr="004C6CC5">
        <w:rPr>
          <w:rFonts w:ascii="Arial" w:hAnsi="Arial" w:cs="Arial"/>
          <w:sz w:val="20"/>
          <w:szCs w:val="20"/>
        </w:rPr>
        <w:t xml:space="preserve">Ratownictwa, szkoleniami zawodowymi marynarzy, poziomem oferowanej edukacji morskiej oraz realizacją programów szkoleń dla marynarzy, a także finansowaniem obowiązkowych </w:t>
      </w:r>
      <w:r w:rsidRPr="004C6CC5">
        <w:rPr>
          <w:rFonts w:ascii="Arial" w:hAnsi="Arial" w:cs="Arial"/>
          <w:sz w:val="20"/>
          <w:szCs w:val="20"/>
        </w:rPr>
        <w:lastRenderedPageBreak/>
        <w:t>praktyk dla studentów uczelni morskich.</w:t>
      </w:r>
      <w:r w:rsidR="008152EF">
        <w:rPr>
          <w:rFonts w:ascii="Arial" w:hAnsi="Arial" w:cs="Arial"/>
          <w:sz w:val="20"/>
          <w:szCs w:val="20"/>
        </w:rPr>
        <w:t xml:space="preserve"> </w:t>
      </w:r>
      <w:r w:rsidRPr="004C6CC5">
        <w:rPr>
          <w:rFonts w:ascii="Arial" w:hAnsi="Arial" w:cs="Arial"/>
          <w:sz w:val="20"/>
          <w:szCs w:val="20"/>
        </w:rPr>
        <w:t>Ponadto,</w:t>
      </w:r>
      <w:r w:rsidR="004C6CC5">
        <w:rPr>
          <w:rFonts w:ascii="Arial" w:hAnsi="Arial" w:cs="Arial"/>
          <w:sz w:val="20"/>
          <w:szCs w:val="20"/>
        </w:rPr>
        <w:t xml:space="preserve"> w </w:t>
      </w:r>
      <w:r w:rsidRPr="004C6CC5">
        <w:rPr>
          <w:rFonts w:ascii="Arial" w:hAnsi="Arial" w:cs="Arial"/>
          <w:sz w:val="20"/>
          <w:szCs w:val="20"/>
        </w:rPr>
        <w:t>ramach Zespołu funkcjonuje grupa robocza ds. zmian ustawy o pr</w:t>
      </w:r>
      <w:r w:rsidR="00BD4945">
        <w:rPr>
          <w:rFonts w:ascii="Arial" w:hAnsi="Arial" w:cs="Arial"/>
          <w:sz w:val="20"/>
          <w:szCs w:val="20"/>
        </w:rPr>
        <w:t xml:space="preserve">acy na morzu, która </w:t>
      </w:r>
      <w:r w:rsidR="005A5D09">
        <w:rPr>
          <w:rFonts w:ascii="Arial" w:hAnsi="Arial" w:cs="Arial"/>
          <w:sz w:val="20"/>
          <w:szCs w:val="20"/>
        </w:rPr>
        <w:t>w 2019 r.</w:t>
      </w:r>
      <w:r w:rsidRPr="004C6CC5">
        <w:rPr>
          <w:rFonts w:ascii="Arial" w:hAnsi="Arial" w:cs="Arial"/>
          <w:sz w:val="20"/>
          <w:szCs w:val="20"/>
        </w:rPr>
        <w:t xml:space="preserve"> odbyła dwa spotkania.</w:t>
      </w:r>
    </w:p>
    <w:p w14:paraId="0D8D5107" w14:textId="6BABD00F" w:rsidR="00A57F28" w:rsidRPr="00CF08B4" w:rsidRDefault="00A57F28" w:rsidP="00CF08B4">
      <w:pPr>
        <w:pStyle w:val="Nagwek2"/>
        <w:spacing w:before="120" w:after="120"/>
        <w:rPr>
          <w:rFonts w:ascii="Arial" w:hAnsi="Arial" w:cs="Arial"/>
          <w:b/>
          <w:sz w:val="20"/>
          <w:szCs w:val="20"/>
        </w:rPr>
      </w:pPr>
      <w:bookmarkStart w:id="80" w:name="_Toc72745090"/>
      <w:r w:rsidRPr="00CF08B4">
        <w:rPr>
          <w:rFonts w:ascii="Arial" w:hAnsi="Arial" w:cs="Arial"/>
          <w:b/>
          <w:color w:val="auto"/>
          <w:sz w:val="20"/>
          <w:szCs w:val="20"/>
        </w:rPr>
        <w:t>Zespół Trójstronny ds. prowadzenia dialogu społecznego</w:t>
      </w:r>
      <w:r w:rsidR="004C6CC5" w:rsidRPr="00CF08B4">
        <w:rPr>
          <w:rFonts w:ascii="Arial" w:hAnsi="Arial" w:cs="Arial"/>
          <w:b/>
          <w:color w:val="auto"/>
          <w:sz w:val="20"/>
          <w:szCs w:val="20"/>
        </w:rPr>
        <w:t xml:space="preserve"> w </w:t>
      </w:r>
      <w:r w:rsidRPr="00CF08B4">
        <w:rPr>
          <w:rFonts w:ascii="Arial" w:hAnsi="Arial" w:cs="Arial"/>
          <w:b/>
          <w:color w:val="auto"/>
          <w:sz w:val="20"/>
          <w:szCs w:val="20"/>
        </w:rPr>
        <w:t>sektorze portów morskich</w:t>
      </w:r>
      <w:r w:rsidR="00937FA6">
        <w:rPr>
          <w:rFonts w:ascii="Arial" w:hAnsi="Arial" w:cs="Arial"/>
          <w:b/>
          <w:color w:val="auto"/>
          <w:sz w:val="20"/>
          <w:szCs w:val="20"/>
        </w:rPr>
        <w:t>.</w:t>
      </w:r>
      <w:bookmarkEnd w:id="80"/>
      <w:r w:rsidRPr="00CF08B4">
        <w:rPr>
          <w:rFonts w:ascii="Arial" w:eastAsiaTheme="minorHAnsi" w:hAnsi="Arial" w:cs="Arial"/>
          <w:b/>
          <w:color w:val="auto"/>
          <w:sz w:val="20"/>
          <w:szCs w:val="20"/>
        </w:rPr>
        <w:t xml:space="preserve"> </w:t>
      </w:r>
    </w:p>
    <w:p w14:paraId="016A2B99" w14:textId="3FBB4F73" w:rsidR="00A57F28" w:rsidRPr="004C6CC5" w:rsidRDefault="00A57F28" w:rsidP="00CF08B4">
      <w:pPr>
        <w:spacing w:before="120" w:after="120" w:line="276" w:lineRule="auto"/>
        <w:jc w:val="both"/>
        <w:rPr>
          <w:rFonts w:ascii="Arial" w:hAnsi="Arial" w:cs="Arial"/>
          <w:sz w:val="20"/>
          <w:szCs w:val="20"/>
        </w:rPr>
      </w:pPr>
      <w:r w:rsidRPr="004C6CC5">
        <w:rPr>
          <w:rFonts w:ascii="Arial" w:hAnsi="Arial" w:cs="Arial"/>
          <w:sz w:val="20"/>
          <w:szCs w:val="20"/>
        </w:rPr>
        <w:t>Zespół został powołany</w:t>
      </w:r>
      <w:r w:rsidR="004C6CC5">
        <w:rPr>
          <w:rFonts w:ascii="Arial" w:hAnsi="Arial" w:cs="Arial"/>
          <w:sz w:val="20"/>
          <w:szCs w:val="20"/>
        </w:rPr>
        <w:t xml:space="preserve"> w </w:t>
      </w:r>
      <w:r w:rsidRPr="004C6CC5">
        <w:rPr>
          <w:rFonts w:ascii="Arial" w:hAnsi="Arial" w:cs="Arial"/>
          <w:sz w:val="20"/>
          <w:szCs w:val="20"/>
        </w:rPr>
        <w:t>2018</w:t>
      </w:r>
      <w:r w:rsidR="009D01B9" w:rsidRPr="004C6CC5">
        <w:rPr>
          <w:rFonts w:ascii="Arial" w:hAnsi="Arial" w:cs="Arial"/>
          <w:sz w:val="20"/>
          <w:szCs w:val="20"/>
        </w:rPr>
        <w:t xml:space="preserve"> r. </w:t>
      </w:r>
      <w:r w:rsidRPr="004C6CC5">
        <w:rPr>
          <w:rFonts w:ascii="Arial" w:hAnsi="Arial" w:cs="Arial"/>
          <w:sz w:val="20"/>
          <w:szCs w:val="20"/>
        </w:rPr>
        <w:t>na wniosek strony pracowników</w:t>
      </w:r>
      <w:r w:rsidR="004C6CC5">
        <w:rPr>
          <w:rFonts w:ascii="Arial" w:hAnsi="Arial" w:cs="Arial"/>
          <w:sz w:val="20"/>
          <w:szCs w:val="20"/>
        </w:rPr>
        <w:t xml:space="preserve"> i </w:t>
      </w:r>
      <w:r w:rsidRPr="004C6CC5">
        <w:rPr>
          <w:rFonts w:ascii="Arial" w:hAnsi="Arial" w:cs="Arial"/>
          <w:sz w:val="20"/>
          <w:szCs w:val="20"/>
        </w:rPr>
        <w:t>strony pracodawców Rady Dialogu Społecznego uchwałą nr 59</w:t>
      </w:r>
      <w:r w:rsidR="004C6CC5">
        <w:rPr>
          <w:rFonts w:ascii="Arial" w:hAnsi="Arial" w:cs="Arial"/>
          <w:sz w:val="20"/>
          <w:szCs w:val="20"/>
        </w:rPr>
        <w:t xml:space="preserve"> z </w:t>
      </w:r>
      <w:r w:rsidRPr="004C6CC5">
        <w:rPr>
          <w:rFonts w:ascii="Arial" w:hAnsi="Arial" w:cs="Arial"/>
          <w:sz w:val="20"/>
          <w:szCs w:val="20"/>
        </w:rPr>
        <w:t>dnia 25 kwietnia 2018</w:t>
      </w:r>
      <w:r w:rsidR="009D01B9" w:rsidRPr="004C6CC5">
        <w:rPr>
          <w:rFonts w:ascii="Arial" w:hAnsi="Arial" w:cs="Arial"/>
          <w:sz w:val="20"/>
          <w:szCs w:val="20"/>
        </w:rPr>
        <w:t xml:space="preserve"> r. </w:t>
      </w:r>
      <w:r w:rsidRPr="004C6CC5">
        <w:rPr>
          <w:rFonts w:ascii="Arial" w:hAnsi="Arial" w:cs="Arial"/>
          <w:sz w:val="20"/>
          <w:szCs w:val="20"/>
        </w:rPr>
        <w:t>przez Ministra Rodziny, Pracy</w:t>
      </w:r>
      <w:r w:rsidR="007440F7">
        <w:rPr>
          <w:rFonts w:ascii="Arial" w:hAnsi="Arial" w:cs="Arial"/>
          <w:sz w:val="20"/>
          <w:szCs w:val="20"/>
        </w:rPr>
        <w:t xml:space="preserve"> i </w:t>
      </w:r>
      <w:r w:rsidRPr="004C6CC5">
        <w:rPr>
          <w:rFonts w:ascii="Arial" w:hAnsi="Arial" w:cs="Arial"/>
          <w:sz w:val="20"/>
          <w:szCs w:val="20"/>
        </w:rPr>
        <w:t>Polityki Społecznej. Celem Zespołu jest wypracowanie wspólnego stanowiska</w:t>
      </w:r>
      <w:r w:rsidR="004C6CC5">
        <w:rPr>
          <w:rFonts w:ascii="Arial" w:hAnsi="Arial" w:cs="Arial"/>
          <w:sz w:val="20"/>
          <w:szCs w:val="20"/>
        </w:rPr>
        <w:t xml:space="preserve"> w </w:t>
      </w:r>
      <w:r w:rsidRPr="004C6CC5">
        <w:rPr>
          <w:rFonts w:ascii="Arial" w:hAnsi="Arial" w:cs="Arial"/>
          <w:sz w:val="20"/>
          <w:szCs w:val="20"/>
        </w:rPr>
        <w:t>sprawach ważnych</w:t>
      </w:r>
      <w:r w:rsidR="004C6CC5">
        <w:rPr>
          <w:rFonts w:ascii="Arial" w:hAnsi="Arial" w:cs="Arial"/>
          <w:sz w:val="20"/>
          <w:szCs w:val="20"/>
        </w:rPr>
        <w:t xml:space="preserve"> z </w:t>
      </w:r>
      <w:r w:rsidRPr="004C6CC5">
        <w:rPr>
          <w:rFonts w:ascii="Arial" w:hAnsi="Arial" w:cs="Arial"/>
          <w:sz w:val="20"/>
          <w:szCs w:val="20"/>
        </w:rPr>
        <w:t>punktu widzenia polityki państwa wobec sektora, jego rozwoju</w:t>
      </w:r>
      <w:r w:rsidR="004C6CC5">
        <w:rPr>
          <w:rFonts w:ascii="Arial" w:hAnsi="Arial" w:cs="Arial"/>
          <w:sz w:val="20"/>
          <w:szCs w:val="20"/>
        </w:rPr>
        <w:t xml:space="preserve"> i </w:t>
      </w:r>
      <w:r w:rsidRPr="004C6CC5">
        <w:rPr>
          <w:rFonts w:ascii="Arial" w:hAnsi="Arial" w:cs="Arial"/>
          <w:sz w:val="20"/>
          <w:szCs w:val="20"/>
        </w:rPr>
        <w:t>konkurencyjności oraz interesów pracowników dotyczących prawa pracy</w:t>
      </w:r>
      <w:r w:rsidR="007440F7">
        <w:rPr>
          <w:rFonts w:ascii="Arial" w:hAnsi="Arial" w:cs="Arial"/>
          <w:sz w:val="20"/>
          <w:szCs w:val="20"/>
        </w:rPr>
        <w:t xml:space="preserve"> i </w:t>
      </w:r>
      <w:r w:rsidRPr="004C6CC5">
        <w:rPr>
          <w:rFonts w:ascii="Arial" w:hAnsi="Arial" w:cs="Arial"/>
          <w:sz w:val="20"/>
          <w:szCs w:val="20"/>
        </w:rPr>
        <w:t>pracodawców. Zespół</w:t>
      </w:r>
      <w:r w:rsidR="004C6CC5">
        <w:rPr>
          <w:rFonts w:ascii="Arial" w:hAnsi="Arial" w:cs="Arial"/>
          <w:sz w:val="20"/>
          <w:szCs w:val="20"/>
        </w:rPr>
        <w:t xml:space="preserve"> z </w:t>
      </w:r>
      <w:r w:rsidR="00CF08B4">
        <w:rPr>
          <w:rFonts w:ascii="Arial" w:hAnsi="Arial" w:cs="Arial"/>
          <w:sz w:val="20"/>
          <w:szCs w:val="20"/>
        </w:rPr>
        <w:t xml:space="preserve">powodów organizacyjnych </w:t>
      </w:r>
      <w:r w:rsidRPr="004C6CC5">
        <w:rPr>
          <w:rFonts w:ascii="Arial" w:hAnsi="Arial" w:cs="Arial"/>
          <w:sz w:val="20"/>
          <w:szCs w:val="20"/>
        </w:rPr>
        <w:t>i merytorycznych umiejscowiony jest przy Ministerstwie Gospodarki Morskiej</w:t>
      </w:r>
      <w:r w:rsidR="004C6CC5">
        <w:rPr>
          <w:rFonts w:ascii="Arial" w:hAnsi="Arial" w:cs="Arial"/>
          <w:sz w:val="20"/>
          <w:szCs w:val="20"/>
        </w:rPr>
        <w:t xml:space="preserve"> i </w:t>
      </w:r>
      <w:r w:rsidRPr="004C6CC5">
        <w:rPr>
          <w:rFonts w:ascii="Arial" w:hAnsi="Arial" w:cs="Arial"/>
          <w:sz w:val="20"/>
          <w:szCs w:val="20"/>
        </w:rPr>
        <w:t>Żeglugi Śródlądowej, które zapewnia jego obsługę</w:t>
      </w:r>
      <w:r w:rsidR="004C6CC5">
        <w:rPr>
          <w:rFonts w:ascii="Arial" w:hAnsi="Arial" w:cs="Arial"/>
          <w:sz w:val="20"/>
          <w:szCs w:val="20"/>
        </w:rPr>
        <w:t xml:space="preserve"> w </w:t>
      </w:r>
      <w:r w:rsidRPr="004C6CC5">
        <w:rPr>
          <w:rFonts w:ascii="Arial" w:hAnsi="Arial" w:cs="Arial"/>
          <w:sz w:val="20"/>
          <w:szCs w:val="20"/>
        </w:rPr>
        <w:t xml:space="preserve">formie sekretariatu. </w:t>
      </w:r>
    </w:p>
    <w:p w14:paraId="61174CF2" w14:textId="546D0C89" w:rsidR="00A57F28" w:rsidRPr="004C6CC5" w:rsidRDefault="00A57F28" w:rsidP="008D2321">
      <w:pPr>
        <w:spacing w:line="276" w:lineRule="auto"/>
        <w:jc w:val="both"/>
        <w:rPr>
          <w:rFonts w:ascii="Arial" w:hAnsi="Arial" w:cs="Arial"/>
          <w:sz w:val="20"/>
          <w:szCs w:val="20"/>
        </w:rPr>
      </w:pPr>
      <w:r w:rsidRPr="004C6CC5">
        <w:rPr>
          <w:rFonts w:ascii="Arial" w:hAnsi="Arial" w:cs="Arial"/>
          <w:sz w:val="20"/>
          <w:szCs w:val="20"/>
        </w:rPr>
        <w:t>W skład Zespołu wchodzą przedstawiciele strony pracowników (NSZZ „Solidarność”, Ogólnopolskie Porozumienie Związków Zawodowych, Forum Związków Zawodowych), strony pracodawców (Konfederacja Lewiatan, Pracodawcy RP, Business Centre Club - Związek Pracodawców) oraz strony rządowej (minister właściwy ds. gospodarki morskiej, minister właściwy ds. pracy, minister właściwy ds. gospodarki, minister właściwy ds. transportu). Ponadto</w:t>
      </w:r>
      <w:r w:rsidR="004C6CC5">
        <w:rPr>
          <w:rFonts w:ascii="Arial" w:hAnsi="Arial" w:cs="Arial"/>
          <w:sz w:val="20"/>
          <w:szCs w:val="20"/>
        </w:rPr>
        <w:t xml:space="preserve"> w </w:t>
      </w:r>
      <w:r w:rsidRPr="004C6CC5">
        <w:rPr>
          <w:rFonts w:ascii="Arial" w:hAnsi="Arial" w:cs="Arial"/>
          <w:sz w:val="20"/>
          <w:szCs w:val="20"/>
        </w:rPr>
        <w:t>skład Zespołu,</w:t>
      </w:r>
      <w:r w:rsidR="004C6CC5">
        <w:rPr>
          <w:rFonts w:ascii="Arial" w:hAnsi="Arial" w:cs="Arial"/>
          <w:sz w:val="20"/>
          <w:szCs w:val="20"/>
        </w:rPr>
        <w:t xml:space="preserve"> w </w:t>
      </w:r>
      <w:r w:rsidRPr="004C6CC5">
        <w:rPr>
          <w:rFonts w:ascii="Arial" w:hAnsi="Arial" w:cs="Arial"/>
          <w:sz w:val="20"/>
          <w:szCs w:val="20"/>
        </w:rPr>
        <w:t xml:space="preserve">charakterze doradczym, wchodzą przedstawiciele Rad Interesantów Portów, Związku Małych Portów Morskich, Polskiego Stowarzyszenia Pilotów Morskich, Związku Zawodowego NSZZ „Solidarność” Polskiego LNG, Związku Zawodowego NSZZ „Solidarność” Pilotów Morskich, Zarząd Morskiego Portu Gdańsk S.A., Zarząd Morskiego Portu Gdynia S.A., Zarząd Morskich Portów Szczecin-Świnoujście S.A.  </w:t>
      </w:r>
    </w:p>
    <w:p w14:paraId="55EFBAE1" w14:textId="2CEEDFA1" w:rsidR="00A57F28" w:rsidRPr="004C6CC5" w:rsidRDefault="00A57F28" w:rsidP="008D2321">
      <w:pPr>
        <w:spacing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odbyło się jedno posiedzenie Zespołu, podczas którego Zespół zajmował się kwestiami nowelizacji ustawy o portach</w:t>
      </w:r>
      <w:r w:rsidR="004C6CC5">
        <w:rPr>
          <w:rFonts w:ascii="Arial" w:hAnsi="Arial" w:cs="Arial"/>
          <w:sz w:val="20"/>
          <w:szCs w:val="20"/>
        </w:rPr>
        <w:t xml:space="preserve"> i </w:t>
      </w:r>
      <w:r w:rsidRPr="004C6CC5">
        <w:rPr>
          <w:rFonts w:ascii="Arial" w:hAnsi="Arial" w:cs="Arial"/>
          <w:sz w:val="20"/>
          <w:szCs w:val="20"/>
        </w:rPr>
        <w:t>przystaniach morskich, ujednoliceniem</w:t>
      </w:r>
      <w:r w:rsidR="004C6CC5">
        <w:rPr>
          <w:rFonts w:ascii="Arial" w:hAnsi="Arial" w:cs="Arial"/>
          <w:sz w:val="20"/>
          <w:szCs w:val="20"/>
        </w:rPr>
        <w:t xml:space="preserve"> i </w:t>
      </w:r>
      <w:r w:rsidRPr="004C6CC5">
        <w:rPr>
          <w:rFonts w:ascii="Arial" w:hAnsi="Arial" w:cs="Arial"/>
          <w:sz w:val="20"/>
          <w:szCs w:val="20"/>
        </w:rPr>
        <w:t>wzajemnym uznawaniem uprawnień przez organy jednostek dozoru technicznego (TDT/UDT/WDT), nowelizacją rozporządzenia Ministra Transportu</w:t>
      </w:r>
      <w:r w:rsidR="004C6CC5">
        <w:rPr>
          <w:rFonts w:ascii="Arial" w:hAnsi="Arial" w:cs="Arial"/>
          <w:sz w:val="20"/>
          <w:szCs w:val="20"/>
        </w:rPr>
        <w:t xml:space="preserve"> i </w:t>
      </w:r>
      <w:r w:rsidRPr="004C6CC5">
        <w:rPr>
          <w:rFonts w:ascii="Arial" w:hAnsi="Arial" w:cs="Arial"/>
          <w:sz w:val="20"/>
          <w:szCs w:val="20"/>
        </w:rPr>
        <w:t>Gospodarki Morskiej</w:t>
      </w:r>
      <w:r w:rsidR="004C6CC5">
        <w:rPr>
          <w:rFonts w:ascii="Arial" w:hAnsi="Arial" w:cs="Arial"/>
          <w:sz w:val="20"/>
          <w:szCs w:val="20"/>
        </w:rPr>
        <w:t xml:space="preserve"> z </w:t>
      </w:r>
      <w:r w:rsidRPr="004C6CC5">
        <w:rPr>
          <w:rFonts w:ascii="Arial" w:hAnsi="Arial" w:cs="Arial"/>
          <w:sz w:val="20"/>
          <w:szCs w:val="20"/>
        </w:rPr>
        <w:t>dnia 6 lipca 1993</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sprawie bezpieczeństwa</w:t>
      </w:r>
      <w:r w:rsidR="004C6CC5">
        <w:rPr>
          <w:rFonts w:ascii="Arial" w:hAnsi="Arial" w:cs="Arial"/>
          <w:sz w:val="20"/>
          <w:szCs w:val="20"/>
        </w:rPr>
        <w:t xml:space="preserve"> i </w:t>
      </w:r>
      <w:r w:rsidRPr="004C6CC5">
        <w:rPr>
          <w:rFonts w:ascii="Arial" w:hAnsi="Arial" w:cs="Arial"/>
          <w:sz w:val="20"/>
          <w:szCs w:val="20"/>
        </w:rPr>
        <w:t>higieny pracy</w:t>
      </w:r>
      <w:r w:rsidR="004C6CC5">
        <w:rPr>
          <w:rFonts w:ascii="Arial" w:hAnsi="Arial" w:cs="Arial"/>
          <w:sz w:val="20"/>
          <w:szCs w:val="20"/>
        </w:rPr>
        <w:t xml:space="preserve"> w </w:t>
      </w:r>
      <w:r w:rsidRPr="004C6CC5">
        <w:rPr>
          <w:rFonts w:ascii="Arial" w:hAnsi="Arial" w:cs="Arial"/>
          <w:sz w:val="20"/>
          <w:szCs w:val="20"/>
        </w:rPr>
        <w:t>portach morskich</w:t>
      </w:r>
      <w:r w:rsidR="004C6CC5">
        <w:rPr>
          <w:rFonts w:ascii="Arial" w:hAnsi="Arial" w:cs="Arial"/>
          <w:sz w:val="20"/>
          <w:szCs w:val="20"/>
        </w:rPr>
        <w:t xml:space="preserve"> i </w:t>
      </w:r>
      <w:r w:rsidRPr="004C6CC5">
        <w:rPr>
          <w:rFonts w:ascii="Arial" w:hAnsi="Arial" w:cs="Arial"/>
          <w:sz w:val="20"/>
          <w:szCs w:val="20"/>
        </w:rPr>
        <w:t>śródlądowych oraz sporami zbiorowymi dotyczącymi wykonywania prac przeładunkowych przez firmy zewnętrzne.</w:t>
      </w:r>
    </w:p>
    <w:p w14:paraId="68E11C4F" w14:textId="773ED7E9" w:rsidR="00A57F28" w:rsidRPr="004C6CC5" w:rsidRDefault="00A57F28" w:rsidP="008D2321">
      <w:pPr>
        <w:spacing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w:t>
      </w:r>
      <w:r w:rsidR="004C6CC5">
        <w:rPr>
          <w:rFonts w:ascii="Arial" w:hAnsi="Arial" w:cs="Arial"/>
          <w:sz w:val="20"/>
          <w:szCs w:val="20"/>
        </w:rPr>
        <w:t xml:space="preserve"> w </w:t>
      </w:r>
      <w:r w:rsidRPr="004C6CC5">
        <w:rPr>
          <w:rFonts w:ascii="Arial" w:hAnsi="Arial" w:cs="Arial"/>
          <w:sz w:val="20"/>
          <w:szCs w:val="20"/>
        </w:rPr>
        <w:t xml:space="preserve">ramach Zespołu funkcjonowały trzy zespoły robocze: </w:t>
      </w:r>
    </w:p>
    <w:p w14:paraId="1F07E2FC" w14:textId="03F083C7" w:rsidR="00A57F28" w:rsidRPr="004C6CC5" w:rsidRDefault="00A57F28" w:rsidP="008D2321">
      <w:pPr>
        <w:spacing w:line="276" w:lineRule="auto"/>
        <w:jc w:val="both"/>
        <w:rPr>
          <w:rFonts w:ascii="Arial" w:hAnsi="Arial" w:cs="Arial"/>
          <w:sz w:val="20"/>
          <w:szCs w:val="20"/>
        </w:rPr>
      </w:pPr>
      <w:r w:rsidRPr="004C6CC5">
        <w:rPr>
          <w:rFonts w:ascii="Arial" w:hAnsi="Arial" w:cs="Arial"/>
          <w:sz w:val="20"/>
          <w:szCs w:val="20"/>
        </w:rPr>
        <w:t>- do spraw nowelizacji ustawy o portach</w:t>
      </w:r>
      <w:r w:rsidR="004C6CC5">
        <w:rPr>
          <w:rFonts w:ascii="Arial" w:hAnsi="Arial" w:cs="Arial"/>
          <w:sz w:val="20"/>
          <w:szCs w:val="20"/>
        </w:rPr>
        <w:t xml:space="preserve"> i </w:t>
      </w:r>
      <w:r w:rsidRPr="004C6CC5">
        <w:rPr>
          <w:rFonts w:ascii="Arial" w:hAnsi="Arial" w:cs="Arial"/>
          <w:sz w:val="20"/>
          <w:szCs w:val="20"/>
        </w:rPr>
        <w:t xml:space="preserve">przystaniach morskich, </w:t>
      </w:r>
    </w:p>
    <w:p w14:paraId="0C9BA0B0" w14:textId="77777777" w:rsidR="00A57F28" w:rsidRPr="004C6CC5" w:rsidRDefault="00A57F28" w:rsidP="008D2321">
      <w:pPr>
        <w:spacing w:line="276" w:lineRule="auto"/>
        <w:jc w:val="both"/>
        <w:rPr>
          <w:rFonts w:ascii="Arial" w:hAnsi="Arial" w:cs="Arial"/>
          <w:sz w:val="20"/>
          <w:szCs w:val="20"/>
        </w:rPr>
      </w:pPr>
      <w:r w:rsidRPr="004C6CC5">
        <w:rPr>
          <w:rFonts w:ascii="Arial" w:hAnsi="Arial" w:cs="Arial"/>
          <w:sz w:val="20"/>
          <w:szCs w:val="20"/>
        </w:rPr>
        <w:t>- do spraw ujednolicenia uprawnień przez organy jednostek dozoru technicznego (TDT/UDT/WDT),</w:t>
      </w:r>
    </w:p>
    <w:p w14:paraId="497029D2" w14:textId="3CFC0CF6" w:rsidR="00A57F28" w:rsidRPr="004C6CC5" w:rsidRDefault="00A57F28" w:rsidP="008D2321">
      <w:pPr>
        <w:spacing w:line="276" w:lineRule="auto"/>
        <w:jc w:val="both"/>
        <w:rPr>
          <w:rFonts w:ascii="Arial" w:hAnsi="Arial" w:cs="Arial"/>
          <w:sz w:val="20"/>
          <w:szCs w:val="20"/>
        </w:rPr>
      </w:pPr>
      <w:r w:rsidRPr="004C6CC5">
        <w:rPr>
          <w:rFonts w:ascii="Arial" w:hAnsi="Arial" w:cs="Arial"/>
          <w:sz w:val="20"/>
          <w:szCs w:val="20"/>
        </w:rPr>
        <w:t>- do spraw BHP</w:t>
      </w:r>
      <w:r w:rsidR="004C6CC5">
        <w:rPr>
          <w:rFonts w:ascii="Arial" w:hAnsi="Arial" w:cs="Arial"/>
          <w:sz w:val="20"/>
          <w:szCs w:val="20"/>
        </w:rPr>
        <w:t xml:space="preserve"> w </w:t>
      </w:r>
      <w:r w:rsidRPr="004C6CC5">
        <w:rPr>
          <w:rFonts w:ascii="Arial" w:hAnsi="Arial" w:cs="Arial"/>
          <w:sz w:val="20"/>
          <w:szCs w:val="20"/>
        </w:rPr>
        <w:t>portach.</w:t>
      </w:r>
    </w:p>
    <w:p w14:paraId="6F014BBB" w14:textId="380C98AA" w:rsidR="00A57F28" w:rsidRPr="004C6CC5" w:rsidRDefault="00A57F28" w:rsidP="008D2321">
      <w:pPr>
        <w:spacing w:line="276" w:lineRule="auto"/>
        <w:jc w:val="both"/>
        <w:rPr>
          <w:rFonts w:ascii="Arial" w:hAnsi="Arial" w:cs="Arial"/>
          <w:sz w:val="20"/>
          <w:szCs w:val="20"/>
        </w:rPr>
      </w:pPr>
      <w:r w:rsidRPr="004C6CC5">
        <w:rPr>
          <w:rFonts w:ascii="Arial" w:hAnsi="Arial" w:cs="Arial"/>
          <w:sz w:val="20"/>
          <w:szCs w:val="20"/>
        </w:rPr>
        <w:t>Dwa pierwsze zespoły</w:t>
      </w:r>
      <w:r w:rsidR="004C6CC5">
        <w:rPr>
          <w:rFonts w:ascii="Arial" w:hAnsi="Arial" w:cs="Arial"/>
          <w:sz w:val="20"/>
          <w:szCs w:val="20"/>
        </w:rPr>
        <w:t xml:space="preserve"> w </w:t>
      </w:r>
      <w:r w:rsidRPr="004C6CC5">
        <w:rPr>
          <w:rFonts w:ascii="Arial" w:hAnsi="Arial" w:cs="Arial"/>
          <w:sz w:val="20"/>
          <w:szCs w:val="20"/>
        </w:rPr>
        <w:t>2019</w:t>
      </w:r>
      <w:r w:rsidR="009D01B9" w:rsidRPr="004C6CC5">
        <w:rPr>
          <w:rFonts w:ascii="Arial" w:hAnsi="Arial" w:cs="Arial"/>
          <w:sz w:val="20"/>
          <w:szCs w:val="20"/>
        </w:rPr>
        <w:t xml:space="preserve"> r. </w:t>
      </w:r>
      <w:r w:rsidRPr="004C6CC5">
        <w:rPr>
          <w:rFonts w:ascii="Arial" w:hAnsi="Arial" w:cs="Arial"/>
          <w:sz w:val="20"/>
          <w:szCs w:val="20"/>
        </w:rPr>
        <w:t>zakończyły już swoje prace, natomiast</w:t>
      </w:r>
      <w:r w:rsidR="004C6CC5">
        <w:rPr>
          <w:rFonts w:ascii="Arial" w:hAnsi="Arial" w:cs="Arial"/>
          <w:sz w:val="20"/>
          <w:szCs w:val="20"/>
        </w:rPr>
        <w:t xml:space="preserve"> w </w:t>
      </w:r>
      <w:r w:rsidRPr="004C6CC5">
        <w:rPr>
          <w:rFonts w:ascii="Arial" w:hAnsi="Arial" w:cs="Arial"/>
          <w:sz w:val="20"/>
          <w:szCs w:val="20"/>
        </w:rPr>
        <w:t xml:space="preserve">ramach zespołu roboczy </w:t>
      </w:r>
      <w:r w:rsidRPr="004C6CC5">
        <w:rPr>
          <w:rFonts w:ascii="Arial" w:hAnsi="Arial" w:cs="Arial"/>
          <w:sz w:val="20"/>
          <w:szCs w:val="20"/>
        </w:rPr>
        <w:br/>
        <w:t>ds. BHP prace są nadal kontynuowane.</w:t>
      </w:r>
    </w:p>
    <w:p w14:paraId="7D803081" w14:textId="3959C65C" w:rsidR="00573F1F" w:rsidRPr="00CF08B4" w:rsidRDefault="00573F1F" w:rsidP="00CF08B4">
      <w:pPr>
        <w:pStyle w:val="Nagwek2"/>
        <w:spacing w:before="120" w:after="120"/>
        <w:rPr>
          <w:rFonts w:ascii="Arial" w:hAnsi="Arial" w:cs="Arial"/>
          <w:b/>
          <w:bCs/>
          <w:sz w:val="20"/>
          <w:szCs w:val="20"/>
        </w:rPr>
      </w:pPr>
      <w:bookmarkStart w:id="81" w:name="_Toc72745091"/>
      <w:r w:rsidRPr="00CF08B4">
        <w:rPr>
          <w:rFonts w:ascii="Arial" w:hAnsi="Arial" w:cs="Arial"/>
          <w:b/>
          <w:bCs/>
          <w:color w:val="auto"/>
          <w:sz w:val="20"/>
          <w:szCs w:val="20"/>
        </w:rPr>
        <w:t>Zespół Trójstronny ds. przemysłu stoczniowego</w:t>
      </w:r>
      <w:r w:rsidR="00937FA6">
        <w:rPr>
          <w:rFonts w:ascii="Arial" w:hAnsi="Arial" w:cs="Arial"/>
          <w:b/>
          <w:bCs/>
          <w:color w:val="auto"/>
          <w:sz w:val="20"/>
          <w:szCs w:val="20"/>
        </w:rPr>
        <w:t>.</w:t>
      </w:r>
      <w:bookmarkEnd w:id="81"/>
    </w:p>
    <w:p w14:paraId="39D1BAE0" w14:textId="7E0F2838" w:rsidR="00573F1F" w:rsidRPr="004C6CC5" w:rsidRDefault="00573F1F" w:rsidP="005A7529">
      <w:pPr>
        <w:spacing w:before="120" w:after="120" w:line="276" w:lineRule="auto"/>
        <w:jc w:val="both"/>
        <w:rPr>
          <w:rFonts w:ascii="Arial" w:hAnsi="Arial" w:cs="Arial"/>
          <w:sz w:val="20"/>
          <w:szCs w:val="20"/>
        </w:rPr>
      </w:pPr>
      <w:r w:rsidRPr="004C6CC5">
        <w:rPr>
          <w:rFonts w:ascii="Arial" w:hAnsi="Arial" w:cs="Arial"/>
          <w:sz w:val="20"/>
          <w:szCs w:val="20"/>
        </w:rPr>
        <w:t>Zespół został powołany na wniosek,</w:t>
      </w:r>
      <w:r w:rsidR="004C6CC5">
        <w:rPr>
          <w:rFonts w:ascii="Arial" w:hAnsi="Arial" w:cs="Arial"/>
          <w:sz w:val="20"/>
          <w:szCs w:val="20"/>
        </w:rPr>
        <w:t xml:space="preserve"> z </w:t>
      </w:r>
      <w:r w:rsidRPr="004C6CC5">
        <w:rPr>
          <w:rFonts w:ascii="Arial" w:hAnsi="Arial" w:cs="Arial"/>
          <w:sz w:val="20"/>
          <w:szCs w:val="20"/>
        </w:rPr>
        <w:t>którym 6 stycznia 2006</w:t>
      </w:r>
      <w:r w:rsidR="009D01B9" w:rsidRPr="004C6CC5">
        <w:rPr>
          <w:rFonts w:ascii="Arial" w:hAnsi="Arial" w:cs="Arial"/>
          <w:sz w:val="20"/>
          <w:szCs w:val="20"/>
        </w:rPr>
        <w:t xml:space="preserve"> r. </w:t>
      </w:r>
      <w:r w:rsidRPr="004C6CC5">
        <w:rPr>
          <w:rFonts w:ascii="Arial" w:hAnsi="Arial" w:cs="Arial"/>
          <w:sz w:val="20"/>
          <w:szCs w:val="20"/>
        </w:rPr>
        <w:t>wystąpiła do Ministra Pracy</w:t>
      </w:r>
      <w:r w:rsidR="004C6CC5">
        <w:rPr>
          <w:rFonts w:ascii="Arial" w:hAnsi="Arial" w:cs="Arial"/>
          <w:sz w:val="20"/>
          <w:szCs w:val="20"/>
        </w:rPr>
        <w:t xml:space="preserve"> i </w:t>
      </w:r>
      <w:r w:rsidRPr="004C6CC5">
        <w:rPr>
          <w:rFonts w:ascii="Arial" w:hAnsi="Arial" w:cs="Arial"/>
          <w:sz w:val="20"/>
          <w:szCs w:val="20"/>
        </w:rPr>
        <w:t>Polityki Społecznej Sekcja Krajowa Przemysłu Okrętowego NSZZ „Solidarność”. Decyzję o utworzeniu Zespołu Minister Pracy</w:t>
      </w:r>
      <w:r w:rsidR="004C6CC5">
        <w:rPr>
          <w:rFonts w:ascii="Arial" w:hAnsi="Arial" w:cs="Arial"/>
          <w:sz w:val="20"/>
          <w:szCs w:val="20"/>
        </w:rPr>
        <w:t xml:space="preserve"> i </w:t>
      </w:r>
      <w:r w:rsidRPr="004C6CC5">
        <w:rPr>
          <w:rFonts w:ascii="Arial" w:hAnsi="Arial" w:cs="Arial"/>
          <w:sz w:val="20"/>
          <w:szCs w:val="20"/>
        </w:rPr>
        <w:t>Polityki Społecznej podjął</w:t>
      </w:r>
      <w:r w:rsidR="004C6CC5">
        <w:rPr>
          <w:rFonts w:ascii="Arial" w:hAnsi="Arial" w:cs="Arial"/>
          <w:sz w:val="20"/>
          <w:szCs w:val="20"/>
        </w:rPr>
        <w:t xml:space="preserve"> w </w:t>
      </w:r>
      <w:r w:rsidRPr="004C6CC5">
        <w:rPr>
          <w:rFonts w:ascii="Arial" w:hAnsi="Arial" w:cs="Arial"/>
          <w:sz w:val="20"/>
          <w:szCs w:val="20"/>
        </w:rPr>
        <w:t>porozumieniu</w:t>
      </w:r>
      <w:r w:rsidR="004C6CC5">
        <w:rPr>
          <w:rFonts w:ascii="Arial" w:hAnsi="Arial" w:cs="Arial"/>
          <w:sz w:val="20"/>
          <w:szCs w:val="20"/>
        </w:rPr>
        <w:t xml:space="preserve"> z </w:t>
      </w:r>
      <w:r w:rsidRPr="004C6CC5">
        <w:rPr>
          <w:rFonts w:ascii="Arial" w:hAnsi="Arial" w:cs="Arial"/>
          <w:sz w:val="20"/>
          <w:szCs w:val="20"/>
        </w:rPr>
        <w:t>Ministrem Gospoda</w:t>
      </w:r>
      <w:r w:rsidR="002A6186">
        <w:rPr>
          <w:rFonts w:ascii="Arial" w:hAnsi="Arial" w:cs="Arial"/>
          <w:sz w:val="20"/>
          <w:szCs w:val="20"/>
        </w:rPr>
        <w:t>rki na początku lutego 2006 r</w:t>
      </w:r>
      <w:r w:rsidRPr="004C6CC5">
        <w:rPr>
          <w:rFonts w:ascii="Arial" w:hAnsi="Arial" w:cs="Arial"/>
          <w:sz w:val="20"/>
          <w:szCs w:val="20"/>
        </w:rPr>
        <w:t>.</w:t>
      </w:r>
      <w:r w:rsidR="002A6186" w:rsidRPr="002A6186">
        <w:rPr>
          <w:rFonts w:ascii="Arial" w:hAnsi="Arial" w:cs="Arial"/>
          <w:color w:val="000000"/>
          <w:sz w:val="20"/>
          <w:szCs w:val="20"/>
        </w:rPr>
        <w:t xml:space="preserve"> </w:t>
      </w:r>
      <w:r w:rsidR="002A6186" w:rsidRPr="004C6CC5">
        <w:rPr>
          <w:rFonts w:ascii="Arial" w:hAnsi="Arial" w:cs="Arial"/>
          <w:color w:val="000000"/>
          <w:sz w:val="20"/>
          <w:szCs w:val="20"/>
        </w:rPr>
        <w:t>Zadaniem Zespołu jest wypracowywanie, na zasadzie konsensusu, wspólnych stanowisk</w:t>
      </w:r>
      <w:r w:rsidR="002A6186">
        <w:rPr>
          <w:rFonts w:ascii="Arial" w:hAnsi="Arial" w:cs="Arial"/>
          <w:color w:val="000000"/>
          <w:sz w:val="20"/>
          <w:szCs w:val="20"/>
        </w:rPr>
        <w:t xml:space="preserve"> w </w:t>
      </w:r>
      <w:r w:rsidR="002A6186" w:rsidRPr="004C6CC5">
        <w:rPr>
          <w:rFonts w:ascii="Arial" w:hAnsi="Arial" w:cs="Arial"/>
          <w:color w:val="000000"/>
          <w:sz w:val="20"/>
          <w:szCs w:val="20"/>
        </w:rPr>
        <w:t>sprawach ważnych</w:t>
      </w:r>
      <w:r w:rsidR="002A6186">
        <w:rPr>
          <w:rFonts w:ascii="Arial" w:hAnsi="Arial" w:cs="Arial"/>
          <w:color w:val="000000"/>
          <w:sz w:val="20"/>
          <w:szCs w:val="20"/>
        </w:rPr>
        <w:t xml:space="preserve"> z </w:t>
      </w:r>
      <w:r w:rsidR="002A6186" w:rsidRPr="004C6CC5">
        <w:rPr>
          <w:rFonts w:ascii="Arial" w:hAnsi="Arial" w:cs="Arial"/>
          <w:color w:val="000000"/>
          <w:sz w:val="20"/>
          <w:szCs w:val="20"/>
        </w:rPr>
        <w:t>punktu widzenia polityki państwa oraz interesów pracowników</w:t>
      </w:r>
      <w:r w:rsidR="002A6186">
        <w:rPr>
          <w:rFonts w:ascii="Arial" w:hAnsi="Arial" w:cs="Arial"/>
          <w:color w:val="000000"/>
          <w:sz w:val="20"/>
          <w:szCs w:val="20"/>
        </w:rPr>
        <w:t xml:space="preserve"> i </w:t>
      </w:r>
      <w:r w:rsidR="002A6186" w:rsidRPr="004C6CC5">
        <w:rPr>
          <w:rFonts w:ascii="Arial" w:hAnsi="Arial" w:cs="Arial"/>
          <w:color w:val="000000"/>
          <w:sz w:val="20"/>
          <w:szCs w:val="20"/>
        </w:rPr>
        <w:t>pracodawców</w:t>
      </w:r>
      <w:r w:rsidR="002A6186">
        <w:rPr>
          <w:rFonts w:ascii="Arial" w:hAnsi="Arial" w:cs="Arial"/>
          <w:color w:val="000000"/>
          <w:sz w:val="20"/>
          <w:szCs w:val="20"/>
        </w:rPr>
        <w:t xml:space="preserve"> w </w:t>
      </w:r>
      <w:r w:rsidR="002A6186" w:rsidRPr="004C6CC5">
        <w:rPr>
          <w:rFonts w:ascii="Arial" w:hAnsi="Arial" w:cs="Arial"/>
          <w:color w:val="000000"/>
          <w:sz w:val="20"/>
          <w:szCs w:val="20"/>
        </w:rPr>
        <w:t>sektorze stoczniowym.</w:t>
      </w:r>
    </w:p>
    <w:p w14:paraId="576ED619" w14:textId="3F567DAA" w:rsidR="002343E4" w:rsidRPr="002A6186" w:rsidRDefault="00653753" w:rsidP="005A7529">
      <w:pPr>
        <w:spacing w:line="276" w:lineRule="auto"/>
        <w:jc w:val="both"/>
        <w:rPr>
          <w:rFonts w:ascii="Arial" w:hAnsi="Arial" w:cs="Arial"/>
          <w:sz w:val="20"/>
          <w:szCs w:val="20"/>
        </w:rPr>
      </w:pPr>
      <w:r w:rsidRPr="004C6CC5">
        <w:rPr>
          <w:rFonts w:ascii="Arial" w:hAnsi="Arial" w:cs="Arial"/>
          <w:sz w:val="20"/>
          <w:szCs w:val="20"/>
        </w:rPr>
        <w:t xml:space="preserve">W skład zespołu wchodzą przedstawiciele strony </w:t>
      </w:r>
      <w:r w:rsidR="00573F1F" w:rsidRPr="004C6CC5">
        <w:rPr>
          <w:rFonts w:ascii="Arial" w:hAnsi="Arial" w:cs="Arial"/>
          <w:sz w:val="20"/>
          <w:szCs w:val="20"/>
        </w:rPr>
        <w:t>rządow</w:t>
      </w:r>
      <w:r w:rsidRPr="004C6CC5">
        <w:rPr>
          <w:rFonts w:ascii="Arial" w:hAnsi="Arial" w:cs="Arial"/>
          <w:sz w:val="20"/>
          <w:szCs w:val="20"/>
        </w:rPr>
        <w:t xml:space="preserve">ej, czyli </w:t>
      </w:r>
      <w:r w:rsidR="00573F1F" w:rsidRPr="004C6CC5">
        <w:rPr>
          <w:rFonts w:ascii="Arial" w:hAnsi="Arial" w:cs="Arial"/>
          <w:sz w:val="20"/>
          <w:szCs w:val="20"/>
        </w:rPr>
        <w:t>reprezent</w:t>
      </w:r>
      <w:r w:rsidRPr="004C6CC5">
        <w:rPr>
          <w:rFonts w:ascii="Arial" w:hAnsi="Arial" w:cs="Arial"/>
          <w:sz w:val="20"/>
          <w:szCs w:val="20"/>
        </w:rPr>
        <w:t xml:space="preserve">anci resortów </w:t>
      </w:r>
      <w:r w:rsidR="00573F1F" w:rsidRPr="004C6CC5">
        <w:rPr>
          <w:rFonts w:ascii="Arial" w:hAnsi="Arial" w:cs="Arial"/>
          <w:sz w:val="20"/>
          <w:szCs w:val="20"/>
        </w:rPr>
        <w:t>gospodarki morskiej</w:t>
      </w:r>
      <w:r w:rsidR="004C6CC5">
        <w:rPr>
          <w:rFonts w:ascii="Arial" w:hAnsi="Arial" w:cs="Arial"/>
          <w:sz w:val="20"/>
          <w:szCs w:val="20"/>
        </w:rPr>
        <w:t xml:space="preserve"> i </w:t>
      </w:r>
      <w:r w:rsidR="00573F1F" w:rsidRPr="004C6CC5">
        <w:rPr>
          <w:rFonts w:ascii="Arial" w:hAnsi="Arial" w:cs="Arial"/>
          <w:sz w:val="20"/>
          <w:szCs w:val="20"/>
        </w:rPr>
        <w:t xml:space="preserve">żeglugi śródlądowej, rozwoju, finansów, </w:t>
      </w:r>
      <w:r w:rsidR="002A6186">
        <w:rPr>
          <w:rFonts w:ascii="Arial" w:hAnsi="Arial" w:cs="Arial"/>
          <w:sz w:val="20"/>
          <w:szCs w:val="20"/>
        </w:rPr>
        <w:t>rodziny, </w:t>
      </w:r>
      <w:r w:rsidR="00573F1F" w:rsidRPr="004C6CC5">
        <w:rPr>
          <w:rFonts w:ascii="Arial" w:hAnsi="Arial" w:cs="Arial"/>
          <w:sz w:val="20"/>
          <w:szCs w:val="20"/>
        </w:rPr>
        <w:t>pracy</w:t>
      </w:r>
      <w:r w:rsidR="004C6CC5">
        <w:rPr>
          <w:rFonts w:ascii="Arial" w:hAnsi="Arial" w:cs="Arial"/>
          <w:sz w:val="20"/>
          <w:szCs w:val="20"/>
        </w:rPr>
        <w:t xml:space="preserve"> i </w:t>
      </w:r>
      <w:r w:rsidR="00573F1F" w:rsidRPr="004C6CC5">
        <w:rPr>
          <w:rFonts w:ascii="Arial" w:hAnsi="Arial" w:cs="Arial"/>
          <w:sz w:val="20"/>
          <w:szCs w:val="20"/>
        </w:rPr>
        <w:t>polityki społecznej oraz obrony narodowej.</w:t>
      </w:r>
      <w:r w:rsidRPr="004C6CC5">
        <w:rPr>
          <w:rFonts w:ascii="Arial" w:hAnsi="Arial" w:cs="Arial"/>
          <w:sz w:val="20"/>
          <w:szCs w:val="20"/>
        </w:rPr>
        <w:t xml:space="preserve"> </w:t>
      </w:r>
      <w:r w:rsidR="00573F1F" w:rsidRPr="004C6CC5">
        <w:rPr>
          <w:rFonts w:ascii="Arial" w:hAnsi="Arial" w:cs="Arial"/>
          <w:sz w:val="20"/>
          <w:szCs w:val="20"/>
        </w:rPr>
        <w:t>Stronę związkową reprezentują przedstawiciele: Ogólnopolskiego Porozumienia Związków Zawodowych, Forum Związków Zawodowych, Niezależnego S</w:t>
      </w:r>
      <w:r w:rsidR="002A6186">
        <w:rPr>
          <w:rFonts w:ascii="Arial" w:hAnsi="Arial" w:cs="Arial"/>
          <w:sz w:val="20"/>
          <w:szCs w:val="20"/>
        </w:rPr>
        <w:t>amorządnego Związku Zawodowego „Solidarność”</w:t>
      </w:r>
      <w:r w:rsidR="00573F1F" w:rsidRPr="004C6CC5">
        <w:rPr>
          <w:rFonts w:ascii="Arial" w:hAnsi="Arial" w:cs="Arial"/>
          <w:sz w:val="20"/>
          <w:szCs w:val="20"/>
        </w:rPr>
        <w:t>.</w:t>
      </w:r>
      <w:r w:rsidR="00125E8F" w:rsidRPr="004C6CC5">
        <w:rPr>
          <w:rFonts w:ascii="Arial" w:hAnsi="Arial" w:cs="Arial"/>
          <w:sz w:val="20"/>
          <w:szCs w:val="20"/>
        </w:rPr>
        <w:t xml:space="preserve"> </w:t>
      </w:r>
      <w:r w:rsidR="00573F1F" w:rsidRPr="004C6CC5">
        <w:rPr>
          <w:rFonts w:ascii="Arial" w:hAnsi="Arial" w:cs="Arial"/>
          <w:sz w:val="20"/>
          <w:szCs w:val="20"/>
        </w:rPr>
        <w:t>Stronę pracodawców repreze</w:t>
      </w:r>
      <w:r w:rsidR="00125E8F" w:rsidRPr="004C6CC5">
        <w:rPr>
          <w:rFonts w:ascii="Arial" w:hAnsi="Arial" w:cs="Arial"/>
          <w:sz w:val="20"/>
          <w:szCs w:val="20"/>
        </w:rPr>
        <w:t xml:space="preserve">ntują przedstawiciele </w:t>
      </w:r>
      <w:r w:rsidR="002A6186">
        <w:rPr>
          <w:rFonts w:ascii="Arial" w:hAnsi="Arial" w:cs="Arial"/>
          <w:sz w:val="20"/>
          <w:szCs w:val="20"/>
        </w:rPr>
        <w:t>Konfederacji „Lewiatan” oraz</w:t>
      </w:r>
      <w:r w:rsidR="00573F1F" w:rsidRPr="004C6CC5">
        <w:rPr>
          <w:rFonts w:ascii="Arial" w:hAnsi="Arial" w:cs="Arial"/>
          <w:sz w:val="20"/>
          <w:szCs w:val="20"/>
        </w:rPr>
        <w:t xml:space="preserve"> Pracodawców RP.</w:t>
      </w:r>
      <w:r w:rsidR="002A6186">
        <w:rPr>
          <w:rFonts w:ascii="Arial" w:hAnsi="Arial" w:cs="Arial"/>
          <w:sz w:val="20"/>
          <w:szCs w:val="20"/>
        </w:rPr>
        <w:t xml:space="preserve"> </w:t>
      </w:r>
    </w:p>
    <w:p w14:paraId="32099CD2" w14:textId="087718F2" w:rsidR="00573F1F" w:rsidRPr="004C6CC5" w:rsidRDefault="00573F1F" w:rsidP="005A7529">
      <w:pPr>
        <w:spacing w:line="276" w:lineRule="auto"/>
        <w:jc w:val="both"/>
        <w:rPr>
          <w:rFonts w:ascii="Arial" w:hAnsi="Arial" w:cs="Arial"/>
          <w:sz w:val="20"/>
          <w:szCs w:val="20"/>
        </w:rPr>
      </w:pPr>
      <w:r w:rsidRPr="002A6186">
        <w:rPr>
          <w:rFonts w:ascii="Arial" w:hAnsi="Arial" w:cs="Arial"/>
          <w:sz w:val="20"/>
          <w:szCs w:val="20"/>
        </w:rPr>
        <w:lastRenderedPageBreak/>
        <w:t>Zespół Trójstronny ds. Przemysłu Stoczniowego wznowił działalność</w:t>
      </w:r>
      <w:r w:rsidR="004C6CC5" w:rsidRPr="002A6186">
        <w:rPr>
          <w:rFonts w:ascii="Arial" w:hAnsi="Arial" w:cs="Arial"/>
          <w:sz w:val="20"/>
          <w:szCs w:val="20"/>
        </w:rPr>
        <w:t xml:space="preserve"> w </w:t>
      </w:r>
      <w:r w:rsidRPr="002A6186">
        <w:rPr>
          <w:rFonts w:ascii="Arial" w:hAnsi="Arial" w:cs="Arial"/>
          <w:sz w:val="20"/>
          <w:szCs w:val="20"/>
        </w:rPr>
        <w:t>dniu 8 kwietnia 2013</w:t>
      </w:r>
      <w:r w:rsidR="009D01B9" w:rsidRPr="002A6186">
        <w:rPr>
          <w:rFonts w:ascii="Arial" w:hAnsi="Arial" w:cs="Arial"/>
          <w:sz w:val="20"/>
          <w:szCs w:val="20"/>
        </w:rPr>
        <w:t xml:space="preserve"> r. </w:t>
      </w:r>
      <w:r w:rsidR="002343E4" w:rsidRPr="002A6186">
        <w:rPr>
          <w:rFonts w:ascii="Arial" w:hAnsi="Arial" w:cs="Arial"/>
          <w:sz w:val="20"/>
          <w:szCs w:val="20"/>
        </w:rPr>
        <w:t>Jego w</w:t>
      </w:r>
      <w:r w:rsidRPr="002A6186">
        <w:rPr>
          <w:rFonts w:ascii="Arial" w:hAnsi="Arial" w:cs="Arial"/>
          <w:sz w:val="20"/>
          <w:szCs w:val="20"/>
        </w:rPr>
        <w:t>spółprzewodniczący</w:t>
      </w:r>
      <w:r w:rsidR="002343E4" w:rsidRPr="002A6186">
        <w:rPr>
          <w:rFonts w:ascii="Arial" w:hAnsi="Arial" w:cs="Arial"/>
          <w:sz w:val="20"/>
          <w:szCs w:val="20"/>
        </w:rPr>
        <w:t xml:space="preserve">mi </w:t>
      </w:r>
      <w:r w:rsidR="00430D51">
        <w:rPr>
          <w:rFonts w:ascii="Arial" w:hAnsi="Arial" w:cs="Arial"/>
          <w:sz w:val="20"/>
          <w:szCs w:val="20"/>
        </w:rPr>
        <w:t xml:space="preserve">są Marek Gróbarczyk </w:t>
      </w:r>
      <w:r w:rsidR="005E70AD">
        <w:rPr>
          <w:rFonts w:ascii="Arial" w:hAnsi="Arial" w:cs="Arial"/>
          <w:sz w:val="20"/>
          <w:szCs w:val="20"/>
        </w:rPr>
        <w:t>-</w:t>
      </w:r>
      <w:r w:rsidR="00430D51">
        <w:rPr>
          <w:rFonts w:ascii="Arial" w:hAnsi="Arial" w:cs="Arial"/>
          <w:sz w:val="20"/>
          <w:szCs w:val="20"/>
        </w:rPr>
        <w:t xml:space="preserve"> minister gospodarki morskiej i żeglugi śródlądowej,</w:t>
      </w:r>
      <w:r w:rsidRPr="00937FA6">
        <w:rPr>
          <w:rFonts w:ascii="Arial" w:hAnsi="Arial" w:cs="Arial"/>
          <w:sz w:val="20"/>
          <w:szCs w:val="20"/>
        </w:rPr>
        <w:t xml:space="preserve">                                                                                                   </w:t>
      </w:r>
      <w:r w:rsidR="00937FA6" w:rsidRPr="00937FA6">
        <w:rPr>
          <w:rFonts w:ascii="Arial" w:hAnsi="Arial" w:cs="Arial"/>
          <w:sz w:val="20"/>
          <w:szCs w:val="20"/>
        </w:rPr>
        <w:t xml:space="preserve">                           </w:t>
      </w:r>
      <w:r w:rsidR="00430D51">
        <w:rPr>
          <w:rFonts w:ascii="Arial" w:hAnsi="Arial" w:cs="Arial"/>
          <w:sz w:val="20"/>
          <w:szCs w:val="20"/>
        </w:rPr>
        <w:t xml:space="preserve">Grzegorz Landowski </w:t>
      </w:r>
      <w:r w:rsidR="005E70AD">
        <w:rPr>
          <w:rFonts w:ascii="Arial" w:hAnsi="Arial" w:cs="Arial"/>
          <w:sz w:val="20"/>
          <w:szCs w:val="20"/>
        </w:rPr>
        <w:t>-</w:t>
      </w:r>
      <w:r w:rsidR="00430D51">
        <w:rPr>
          <w:rFonts w:ascii="Arial" w:hAnsi="Arial" w:cs="Arial"/>
          <w:sz w:val="20"/>
          <w:szCs w:val="20"/>
        </w:rPr>
        <w:t xml:space="preserve"> Prezes Zarządu Portal Morski Sp. z o.o. oraz </w:t>
      </w:r>
      <w:r w:rsidR="00430D51" w:rsidRPr="002A6186">
        <w:rPr>
          <w:rFonts w:ascii="Arial" w:hAnsi="Arial" w:cs="Arial"/>
          <w:sz w:val="20"/>
          <w:szCs w:val="20"/>
        </w:rPr>
        <w:t>Mirosław Piórek</w:t>
      </w:r>
      <w:r w:rsidR="00430D51">
        <w:rPr>
          <w:rFonts w:ascii="Arial" w:hAnsi="Arial" w:cs="Arial"/>
          <w:sz w:val="20"/>
          <w:szCs w:val="20"/>
        </w:rPr>
        <w:t xml:space="preserve"> -</w:t>
      </w:r>
      <w:r w:rsidR="00430D51" w:rsidRPr="00937FA6">
        <w:rPr>
          <w:rFonts w:ascii="Arial" w:hAnsi="Arial" w:cs="Arial"/>
          <w:sz w:val="20"/>
          <w:szCs w:val="20"/>
        </w:rPr>
        <w:t xml:space="preserve"> </w:t>
      </w:r>
      <w:r w:rsidRPr="00937FA6">
        <w:rPr>
          <w:rFonts w:ascii="Arial" w:hAnsi="Arial" w:cs="Arial"/>
          <w:sz w:val="20"/>
          <w:szCs w:val="20"/>
        </w:rPr>
        <w:t>Przewodniczący Sekcji Krajowej Przemysłu Okrętowego</w:t>
      </w:r>
      <w:r w:rsidR="002343E4" w:rsidRPr="00937FA6">
        <w:rPr>
          <w:rFonts w:ascii="Arial" w:hAnsi="Arial" w:cs="Arial"/>
          <w:sz w:val="20"/>
          <w:szCs w:val="20"/>
        </w:rPr>
        <w:t>,</w:t>
      </w:r>
      <w:r w:rsidRPr="00937FA6">
        <w:rPr>
          <w:rFonts w:ascii="Arial" w:hAnsi="Arial" w:cs="Arial"/>
          <w:sz w:val="20"/>
          <w:szCs w:val="20"/>
        </w:rPr>
        <w:t xml:space="preserve"> Przewodniczący NSZZ „Solidarność”</w:t>
      </w:r>
      <w:r w:rsidR="00430D51">
        <w:rPr>
          <w:rFonts w:ascii="Arial" w:hAnsi="Arial" w:cs="Arial"/>
          <w:sz w:val="20"/>
          <w:szCs w:val="20"/>
        </w:rPr>
        <w:t xml:space="preserve"> w </w:t>
      </w:r>
      <w:r w:rsidRPr="00937FA6">
        <w:rPr>
          <w:rFonts w:ascii="Arial" w:hAnsi="Arial" w:cs="Arial"/>
          <w:sz w:val="20"/>
          <w:szCs w:val="20"/>
        </w:rPr>
        <w:t>Gdańskiej Stoczni Remontowej S</w:t>
      </w:r>
      <w:r w:rsidR="00430D51">
        <w:rPr>
          <w:rFonts w:ascii="Arial" w:hAnsi="Arial" w:cs="Arial"/>
          <w:sz w:val="20"/>
          <w:szCs w:val="20"/>
        </w:rPr>
        <w:t>.</w:t>
      </w:r>
      <w:r w:rsidRPr="00937FA6">
        <w:rPr>
          <w:rFonts w:ascii="Arial" w:hAnsi="Arial" w:cs="Arial"/>
          <w:sz w:val="20"/>
          <w:szCs w:val="20"/>
        </w:rPr>
        <w:t>A</w:t>
      </w:r>
      <w:r w:rsidRPr="004C6CC5">
        <w:rPr>
          <w:rFonts w:ascii="Arial" w:hAnsi="Arial" w:cs="Arial"/>
          <w:sz w:val="20"/>
          <w:szCs w:val="20"/>
        </w:rPr>
        <w:t>.</w:t>
      </w:r>
    </w:p>
    <w:p w14:paraId="407627DB" w14:textId="6D2446C5" w:rsidR="00EA47CD" w:rsidRPr="007D0EB2" w:rsidRDefault="00573F1F" w:rsidP="005A7529">
      <w:pPr>
        <w:spacing w:line="276" w:lineRule="auto"/>
        <w:jc w:val="both"/>
        <w:rPr>
          <w:rFonts w:ascii="Arial" w:hAnsi="Arial" w:cs="Arial"/>
          <w:sz w:val="20"/>
          <w:szCs w:val="20"/>
        </w:rPr>
      </w:pPr>
      <w:r w:rsidRPr="004C6CC5">
        <w:rPr>
          <w:rFonts w:ascii="Arial" w:hAnsi="Arial" w:cs="Arial"/>
          <w:sz w:val="20"/>
          <w:szCs w:val="20"/>
        </w:rPr>
        <w:t>W 2019</w:t>
      </w:r>
      <w:r w:rsidR="009D01B9" w:rsidRPr="004C6CC5">
        <w:rPr>
          <w:rFonts w:ascii="Arial" w:hAnsi="Arial" w:cs="Arial"/>
          <w:sz w:val="20"/>
          <w:szCs w:val="20"/>
        </w:rPr>
        <w:t xml:space="preserve"> r. </w:t>
      </w:r>
      <w:r w:rsidRPr="004C6CC5">
        <w:rPr>
          <w:rFonts w:ascii="Arial" w:hAnsi="Arial" w:cs="Arial"/>
          <w:sz w:val="20"/>
          <w:szCs w:val="20"/>
        </w:rPr>
        <w:t xml:space="preserve">odbyło się jedno posiedzenie Zespołu Trójstronnego do Spraw Przemysłu Stoczniowego. </w:t>
      </w:r>
      <w:r w:rsidRPr="004C6CC5">
        <w:rPr>
          <w:rFonts w:ascii="Arial" w:hAnsi="Arial" w:cs="Arial"/>
          <w:sz w:val="20"/>
          <w:szCs w:val="20"/>
        </w:rPr>
        <w:br/>
        <w:t>W posiedzeniu licznie udział wzięli przedstawiciele związków zawodowych, przedstawiciele strony pracodawców branży stoczniowej oraz przedstawiciele portów. Na posied</w:t>
      </w:r>
      <w:r w:rsidR="00430D51">
        <w:rPr>
          <w:rFonts w:ascii="Arial" w:hAnsi="Arial" w:cs="Arial"/>
          <w:sz w:val="20"/>
          <w:szCs w:val="20"/>
        </w:rPr>
        <w:t xml:space="preserve">zeniu omówiono kwestie związane z </w:t>
      </w:r>
      <w:r w:rsidRPr="004C6CC5">
        <w:rPr>
          <w:rFonts w:ascii="Arial" w:hAnsi="Arial" w:cs="Arial"/>
          <w:sz w:val="20"/>
          <w:szCs w:val="20"/>
        </w:rPr>
        <w:t>„Manifestem partnerów sp</w:t>
      </w:r>
      <w:r w:rsidR="00D93C7B">
        <w:rPr>
          <w:rFonts w:ascii="Arial" w:hAnsi="Arial" w:cs="Arial"/>
          <w:sz w:val="20"/>
          <w:szCs w:val="20"/>
        </w:rPr>
        <w:t>ołecznych Sektora Stoczniowego”,</w:t>
      </w:r>
      <w:r w:rsidRPr="004C6CC5">
        <w:rPr>
          <w:rFonts w:ascii="Arial" w:hAnsi="Arial" w:cs="Arial"/>
          <w:sz w:val="20"/>
          <w:szCs w:val="20"/>
        </w:rPr>
        <w:t xml:space="preserve"> tj.</w:t>
      </w:r>
      <w:r w:rsidR="002343E4" w:rsidRPr="004C6CC5">
        <w:rPr>
          <w:rFonts w:ascii="Arial" w:hAnsi="Arial" w:cs="Arial"/>
          <w:sz w:val="20"/>
          <w:szCs w:val="20"/>
        </w:rPr>
        <w:t xml:space="preserve"> specjalnej</w:t>
      </w:r>
      <w:r w:rsidRPr="004C6CC5">
        <w:rPr>
          <w:rFonts w:ascii="Arial" w:hAnsi="Arial" w:cs="Arial"/>
          <w:sz w:val="20"/>
          <w:szCs w:val="20"/>
        </w:rPr>
        <w:t xml:space="preserve"> strategi</w:t>
      </w:r>
      <w:r w:rsidR="002343E4" w:rsidRPr="004C6CC5">
        <w:rPr>
          <w:rFonts w:ascii="Arial" w:hAnsi="Arial" w:cs="Arial"/>
          <w:sz w:val="20"/>
          <w:szCs w:val="20"/>
        </w:rPr>
        <w:t>i</w:t>
      </w:r>
      <w:r w:rsidRPr="004C6CC5">
        <w:rPr>
          <w:rFonts w:ascii="Arial" w:hAnsi="Arial" w:cs="Arial"/>
          <w:sz w:val="20"/>
          <w:szCs w:val="20"/>
        </w:rPr>
        <w:t xml:space="preserve"> </w:t>
      </w:r>
      <w:r w:rsidR="002343E4" w:rsidRPr="004C6CC5">
        <w:rPr>
          <w:rFonts w:ascii="Arial" w:hAnsi="Arial" w:cs="Arial"/>
          <w:sz w:val="20"/>
          <w:szCs w:val="20"/>
        </w:rPr>
        <w:t>przemysłowej</w:t>
      </w:r>
      <w:r w:rsidRPr="004C6CC5">
        <w:rPr>
          <w:rFonts w:ascii="Arial" w:hAnsi="Arial" w:cs="Arial"/>
          <w:sz w:val="20"/>
          <w:szCs w:val="20"/>
        </w:rPr>
        <w:t xml:space="preserve"> mając</w:t>
      </w:r>
      <w:r w:rsidR="002343E4" w:rsidRPr="004C6CC5">
        <w:rPr>
          <w:rFonts w:ascii="Arial" w:hAnsi="Arial" w:cs="Arial"/>
          <w:sz w:val="20"/>
          <w:szCs w:val="20"/>
        </w:rPr>
        <w:t>ej</w:t>
      </w:r>
      <w:r w:rsidRPr="004C6CC5">
        <w:rPr>
          <w:rFonts w:ascii="Arial" w:hAnsi="Arial" w:cs="Arial"/>
          <w:sz w:val="20"/>
          <w:szCs w:val="20"/>
        </w:rPr>
        <w:t xml:space="preserve"> sprostać wszelkim wyzwaniom społecznym</w:t>
      </w:r>
      <w:r w:rsidR="00934552">
        <w:rPr>
          <w:rFonts w:ascii="Arial" w:hAnsi="Arial" w:cs="Arial"/>
          <w:sz w:val="20"/>
          <w:szCs w:val="20"/>
        </w:rPr>
        <w:t xml:space="preserve"> i </w:t>
      </w:r>
      <w:r w:rsidRPr="004C6CC5">
        <w:rPr>
          <w:rFonts w:ascii="Arial" w:hAnsi="Arial" w:cs="Arial"/>
          <w:sz w:val="20"/>
          <w:szCs w:val="20"/>
        </w:rPr>
        <w:t xml:space="preserve">gospodarczym zagrażającym sektorowi stoczniowemu. Ponadto podczas posiedzenia omówiono najważniejsze sprawy dotyczące aktualnej sytuacji </w:t>
      </w:r>
      <w:r w:rsidR="00CC5BF2" w:rsidRPr="004C6CC5">
        <w:rPr>
          <w:rFonts w:ascii="Arial" w:hAnsi="Arial" w:cs="Arial"/>
          <w:sz w:val="20"/>
          <w:szCs w:val="20"/>
        </w:rPr>
        <w:t xml:space="preserve">branży stoczniowej </w:t>
      </w:r>
      <w:r w:rsidRPr="004C6CC5">
        <w:rPr>
          <w:rFonts w:ascii="Arial" w:hAnsi="Arial" w:cs="Arial"/>
          <w:sz w:val="20"/>
          <w:szCs w:val="20"/>
        </w:rPr>
        <w:t xml:space="preserve">oraz perspektywy </w:t>
      </w:r>
      <w:r w:rsidR="00CC5BF2">
        <w:rPr>
          <w:rFonts w:ascii="Arial" w:hAnsi="Arial" w:cs="Arial"/>
          <w:sz w:val="20"/>
          <w:szCs w:val="20"/>
        </w:rPr>
        <w:t>jej rozwoju</w:t>
      </w:r>
      <w:r w:rsidRPr="004C6CC5">
        <w:rPr>
          <w:rFonts w:ascii="Arial" w:hAnsi="Arial" w:cs="Arial"/>
          <w:sz w:val="20"/>
          <w:szCs w:val="20"/>
        </w:rPr>
        <w:t xml:space="preserve">. </w:t>
      </w:r>
      <w:r w:rsidR="00CC5BF2">
        <w:rPr>
          <w:rFonts w:ascii="Arial" w:hAnsi="Arial" w:cs="Arial"/>
          <w:sz w:val="20"/>
          <w:szCs w:val="20"/>
        </w:rPr>
        <w:t>Szczegółowo o</w:t>
      </w:r>
      <w:r w:rsidRPr="004C6CC5">
        <w:rPr>
          <w:rFonts w:ascii="Arial" w:hAnsi="Arial" w:cs="Arial"/>
          <w:sz w:val="20"/>
          <w:szCs w:val="20"/>
        </w:rPr>
        <w:t>mawiano sytuację</w:t>
      </w:r>
      <w:r w:rsidR="004C6CC5">
        <w:rPr>
          <w:rFonts w:ascii="Arial" w:hAnsi="Arial" w:cs="Arial"/>
          <w:sz w:val="20"/>
          <w:szCs w:val="20"/>
        </w:rPr>
        <w:t xml:space="preserve"> i </w:t>
      </w:r>
      <w:r w:rsidRPr="004C6CC5">
        <w:rPr>
          <w:rFonts w:ascii="Arial" w:hAnsi="Arial" w:cs="Arial"/>
          <w:sz w:val="20"/>
          <w:szCs w:val="20"/>
        </w:rPr>
        <w:t>perspektywy rozwoju poszczególnyc</w:t>
      </w:r>
      <w:r w:rsidR="00CC5BF2">
        <w:rPr>
          <w:rFonts w:ascii="Arial" w:hAnsi="Arial" w:cs="Arial"/>
          <w:sz w:val="20"/>
          <w:szCs w:val="20"/>
        </w:rPr>
        <w:t>h stoczni. Przedmiotem posiedzenia</w:t>
      </w:r>
      <w:r w:rsidRPr="004C6CC5">
        <w:rPr>
          <w:rFonts w:ascii="Arial" w:hAnsi="Arial" w:cs="Arial"/>
          <w:sz w:val="20"/>
          <w:szCs w:val="20"/>
        </w:rPr>
        <w:t xml:space="preserve"> były też kwestie rynku pracy, szkolnictwa wyższego</w:t>
      </w:r>
      <w:r w:rsidR="004C6CC5">
        <w:rPr>
          <w:rFonts w:ascii="Arial" w:hAnsi="Arial" w:cs="Arial"/>
          <w:sz w:val="20"/>
          <w:szCs w:val="20"/>
        </w:rPr>
        <w:t xml:space="preserve"> i </w:t>
      </w:r>
      <w:r w:rsidRPr="004C6CC5">
        <w:rPr>
          <w:rFonts w:ascii="Arial" w:hAnsi="Arial" w:cs="Arial"/>
          <w:sz w:val="20"/>
          <w:szCs w:val="20"/>
        </w:rPr>
        <w:t xml:space="preserve">zawodowego, polityki kadrowej dla przemysłu stoczniowego, proces wdrażania Europejskich Standardów Zatrudnienia. </w:t>
      </w:r>
      <w:r w:rsidR="0093129D">
        <w:rPr>
          <w:rFonts w:ascii="Arial" w:hAnsi="Arial" w:cs="Arial"/>
          <w:sz w:val="20"/>
          <w:szCs w:val="20"/>
        </w:rPr>
        <w:t>Dyskutowano</w:t>
      </w:r>
      <w:r w:rsidRPr="004C6CC5">
        <w:rPr>
          <w:rFonts w:ascii="Arial" w:hAnsi="Arial" w:cs="Arial"/>
          <w:sz w:val="20"/>
          <w:szCs w:val="20"/>
        </w:rPr>
        <w:t xml:space="preserve"> także </w:t>
      </w:r>
      <w:r w:rsidR="0093129D">
        <w:rPr>
          <w:rFonts w:ascii="Arial" w:hAnsi="Arial" w:cs="Arial"/>
          <w:sz w:val="20"/>
          <w:szCs w:val="20"/>
        </w:rPr>
        <w:t xml:space="preserve">na </w:t>
      </w:r>
      <w:r w:rsidRPr="004C6CC5">
        <w:rPr>
          <w:rFonts w:ascii="Arial" w:hAnsi="Arial" w:cs="Arial"/>
          <w:sz w:val="20"/>
          <w:szCs w:val="20"/>
        </w:rPr>
        <w:t>temat realizacji projektów stoczniowych</w:t>
      </w:r>
      <w:r w:rsidR="004C6CC5">
        <w:rPr>
          <w:rFonts w:ascii="Arial" w:hAnsi="Arial" w:cs="Arial"/>
          <w:sz w:val="20"/>
          <w:szCs w:val="20"/>
        </w:rPr>
        <w:t xml:space="preserve"> w </w:t>
      </w:r>
      <w:r w:rsidRPr="004C6CC5">
        <w:rPr>
          <w:rFonts w:ascii="Arial" w:hAnsi="Arial" w:cs="Arial"/>
          <w:sz w:val="20"/>
          <w:szCs w:val="20"/>
        </w:rPr>
        <w:t>ramach Strategii na Rzecz Odpowie</w:t>
      </w:r>
      <w:r w:rsidR="0093129D">
        <w:rPr>
          <w:rFonts w:ascii="Arial" w:hAnsi="Arial" w:cs="Arial"/>
          <w:sz w:val="20"/>
          <w:szCs w:val="20"/>
        </w:rPr>
        <w:t>dzialnego Rozwoju oraz założeń</w:t>
      </w:r>
      <w:r w:rsidRPr="004C6CC5">
        <w:rPr>
          <w:rFonts w:ascii="Arial" w:hAnsi="Arial" w:cs="Arial"/>
          <w:sz w:val="20"/>
          <w:szCs w:val="20"/>
        </w:rPr>
        <w:t xml:space="preserve"> Mor</w:t>
      </w:r>
      <w:r w:rsidR="00693A42">
        <w:rPr>
          <w:rFonts w:ascii="Arial" w:hAnsi="Arial" w:cs="Arial"/>
          <w:sz w:val="20"/>
          <w:szCs w:val="20"/>
        </w:rPr>
        <w:t>skiego Funduszu Rozwoju,</w:t>
      </w:r>
      <w:r w:rsidRPr="004C6CC5">
        <w:rPr>
          <w:rFonts w:ascii="Arial" w:hAnsi="Arial" w:cs="Arial"/>
          <w:sz w:val="20"/>
          <w:szCs w:val="20"/>
        </w:rPr>
        <w:t xml:space="preserve"> jako mechanizmu finansowania polskiej </w:t>
      </w:r>
      <w:r w:rsidR="00213396">
        <w:rPr>
          <w:rFonts w:ascii="Arial" w:hAnsi="Arial" w:cs="Arial"/>
          <w:sz w:val="20"/>
          <w:szCs w:val="20"/>
        </w:rPr>
        <w:t>gospodarki morskiej. Ponadto omówiono</w:t>
      </w:r>
      <w:r w:rsidRPr="004C6CC5">
        <w:rPr>
          <w:rFonts w:ascii="Arial" w:hAnsi="Arial" w:cs="Arial"/>
          <w:sz w:val="20"/>
          <w:szCs w:val="20"/>
        </w:rPr>
        <w:t xml:space="preserve"> </w:t>
      </w:r>
      <w:r w:rsidR="00BE5A86">
        <w:rPr>
          <w:rFonts w:ascii="Arial" w:hAnsi="Arial" w:cs="Arial"/>
          <w:sz w:val="20"/>
          <w:szCs w:val="20"/>
        </w:rPr>
        <w:t>najważniejsze</w:t>
      </w:r>
      <w:r w:rsidR="00F80180">
        <w:rPr>
          <w:rFonts w:ascii="Arial" w:hAnsi="Arial" w:cs="Arial"/>
          <w:sz w:val="20"/>
          <w:szCs w:val="20"/>
        </w:rPr>
        <w:t>,</w:t>
      </w:r>
      <w:r w:rsidR="00BE5A86">
        <w:rPr>
          <w:rFonts w:ascii="Arial" w:hAnsi="Arial" w:cs="Arial"/>
          <w:sz w:val="20"/>
          <w:szCs w:val="20"/>
        </w:rPr>
        <w:t xml:space="preserve"> planowane </w:t>
      </w:r>
      <w:r w:rsidR="00F80180">
        <w:rPr>
          <w:rFonts w:ascii="Arial" w:hAnsi="Arial" w:cs="Arial"/>
          <w:sz w:val="20"/>
          <w:szCs w:val="20"/>
        </w:rPr>
        <w:t xml:space="preserve">do realizacji w najbliższych latach </w:t>
      </w:r>
      <w:r w:rsidR="00BE5A86">
        <w:rPr>
          <w:rFonts w:ascii="Arial" w:hAnsi="Arial" w:cs="Arial"/>
          <w:sz w:val="20"/>
          <w:szCs w:val="20"/>
        </w:rPr>
        <w:t xml:space="preserve">inwestycje </w:t>
      </w:r>
      <w:r w:rsidR="00016BC5">
        <w:rPr>
          <w:rFonts w:ascii="Arial" w:hAnsi="Arial" w:cs="Arial"/>
          <w:sz w:val="20"/>
          <w:szCs w:val="20"/>
        </w:rPr>
        <w:t xml:space="preserve">portowe, m.in. </w:t>
      </w:r>
      <w:r w:rsidR="00A22E5F">
        <w:rPr>
          <w:rFonts w:ascii="Arial" w:hAnsi="Arial" w:cs="Arial"/>
          <w:sz w:val="20"/>
          <w:szCs w:val="20"/>
        </w:rPr>
        <w:t>rozbudowę</w:t>
      </w:r>
      <w:r w:rsidRPr="004C6CC5">
        <w:rPr>
          <w:rFonts w:ascii="Arial" w:hAnsi="Arial" w:cs="Arial"/>
          <w:sz w:val="20"/>
          <w:szCs w:val="20"/>
        </w:rPr>
        <w:t xml:space="preserve"> portów centralnego</w:t>
      </w:r>
      <w:r w:rsidR="004C6CC5">
        <w:rPr>
          <w:rFonts w:ascii="Arial" w:hAnsi="Arial" w:cs="Arial"/>
          <w:sz w:val="20"/>
          <w:szCs w:val="20"/>
        </w:rPr>
        <w:t xml:space="preserve"> i </w:t>
      </w:r>
      <w:r w:rsidRPr="004C6CC5">
        <w:rPr>
          <w:rFonts w:ascii="Arial" w:hAnsi="Arial" w:cs="Arial"/>
          <w:sz w:val="20"/>
          <w:szCs w:val="20"/>
        </w:rPr>
        <w:t>zewnętrznego</w:t>
      </w:r>
      <w:r w:rsidR="004C6CC5">
        <w:rPr>
          <w:rFonts w:ascii="Arial" w:hAnsi="Arial" w:cs="Arial"/>
          <w:sz w:val="20"/>
          <w:szCs w:val="20"/>
        </w:rPr>
        <w:t xml:space="preserve"> w </w:t>
      </w:r>
      <w:r w:rsidRPr="004C6CC5">
        <w:rPr>
          <w:rFonts w:ascii="Arial" w:hAnsi="Arial" w:cs="Arial"/>
          <w:sz w:val="20"/>
          <w:szCs w:val="20"/>
        </w:rPr>
        <w:t>Gdyni</w:t>
      </w:r>
      <w:r w:rsidR="004C6CC5">
        <w:rPr>
          <w:rFonts w:ascii="Arial" w:hAnsi="Arial" w:cs="Arial"/>
          <w:sz w:val="20"/>
          <w:szCs w:val="20"/>
        </w:rPr>
        <w:t xml:space="preserve"> i w </w:t>
      </w:r>
      <w:r w:rsidRPr="004C6CC5">
        <w:rPr>
          <w:rFonts w:ascii="Arial" w:hAnsi="Arial" w:cs="Arial"/>
          <w:sz w:val="20"/>
          <w:szCs w:val="20"/>
        </w:rPr>
        <w:t>Gdańsku.</w:t>
      </w:r>
      <w:bookmarkStart w:id="82" w:name="_Toc32492953"/>
    </w:p>
    <w:p w14:paraId="549A82E9" w14:textId="77777777" w:rsidR="007D0EB2" w:rsidRDefault="007D0EB2" w:rsidP="005A7529">
      <w:pPr>
        <w:spacing w:line="276" w:lineRule="auto"/>
        <w:jc w:val="both"/>
        <w:rPr>
          <w:rFonts w:ascii="Arial" w:hAnsi="Arial" w:cs="Arial"/>
          <w:b/>
          <w:sz w:val="20"/>
          <w:szCs w:val="20"/>
        </w:rPr>
      </w:pPr>
    </w:p>
    <w:p w14:paraId="469D0B85" w14:textId="77777777" w:rsidR="007D0EB2" w:rsidRDefault="007D0EB2" w:rsidP="005A7529">
      <w:pPr>
        <w:spacing w:line="276" w:lineRule="auto"/>
        <w:jc w:val="both"/>
        <w:rPr>
          <w:rFonts w:ascii="Arial" w:hAnsi="Arial" w:cs="Arial"/>
          <w:b/>
          <w:sz w:val="20"/>
          <w:szCs w:val="20"/>
        </w:rPr>
      </w:pPr>
    </w:p>
    <w:p w14:paraId="11CFD638" w14:textId="77777777" w:rsidR="007D0EB2" w:rsidRDefault="007D0EB2" w:rsidP="005A7529">
      <w:pPr>
        <w:spacing w:line="276" w:lineRule="auto"/>
        <w:jc w:val="both"/>
        <w:rPr>
          <w:rFonts w:ascii="Arial" w:hAnsi="Arial" w:cs="Arial"/>
          <w:b/>
          <w:sz w:val="20"/>
          <w:szCs w:val="20"/>
        </w:rPr>
      </w:pPr>
    </w:p>
    <w:p w14:paraId="6D59E135" w14:textId="77777777" w:rsidR="007D0EB2" w:rsidRDefault="007D0EB2" w:rsidP="005A7529">
      <w:pPr>
        <w:spacing w:line="276" w:lineRule="auto"/>
        <w:jc w:val="both"/>
        <w:rPr>
          <w:rFonts w:ascii="Arial" w:hAnsi="Arial" w:cs="Arial"/>
          <w:b/>
          <w:sz w:val="20"/>
          <w:szCs w:val="20"/>
        </w:rPr>
      </w:pPr>
    </w:p>
    <w:p w14:paraId="2C21974E" w14:textId="77777777" w:rsidR="007D0EB2" w:rsidRDefault="007D0EB2" w:rsidP="005A7529">
      <w:pPr>
        <w:spacing w:line="276" w:lineRule="auto"/>
        <w:jc w:val="both"/>
        <w:rPr>
          <w:rFonts w:ascii="Arial" w:hAnsi="Arial" w:cs="Arial"/>
          <w:b/>
          <w:sz w:val="20"/>
          <w:szCs w:val="20"/>
        </w:rPr>
      </w:pPr>
    </w:p>
    <w:p w14:paraId="1FB6584A" w14:textId="77777777" w:rsidR="007D0EB2" w:rsidRDefault="007D0EB2" w:rsidP="005A7529">
      <w:pPr>
        <w:spacing w:line="276" w:lineRule="auto"/>
        <w:jc w:val="both"/>
        <w:rPr>
          <w:rFonts w:ascii="Arial" w:hAnsi="Arial" w:cs="Arial"/>
          <w:b/>
          <w:sz w:val="20"/>
          <w:szCs w:val="20"/>
        </w:rPr>
      </w:pPr>
    </w:p>
    <w:p w14:paraId="3165D744" w14:textId="77777777" w:rsidR="007D0EB2" w:rsidRDefault="007D0EB2" w:rsidP="00F75F68">
      <w:pPr>
        <w:rPr>
          <w:rFonts w:ascii="Arial" w:hAnsi="Arial" w:cs="Arial"/>
          <w:b/>
          <w:sz w:val="20"/>
          <w:szCs w:val="20"/>
        </w:rPr>
      </w:pPr>
    </w:p>
    <w:p w14:paraId="2B001103" w14:textId="77777777" w:rsidR="007D0EB2" w:rsidRDefault="007D0EB2" w:rsidP="00F75F68">
      <w:pPr>
        <w:rPr>
          <w:rFonts w:ascii="Arial" w:hAnsi="Arial" w:cs="Arial"/>
          <w:b/>
          <w:sz w:val="20"/>
          <w:szCs w:val="20"/>
        </w:rPr>
      </w:pPr>
    </w:p>
    <w:p w14:paraId="3C997A9B" w14:textId="77777777" w:rsidR="007D0EB2" w:rsidRDefault="007D0EB2" w:rsidP="00F75F68">
      <w:pPr>
        <w:rPr>
          <w:rFonts w:ascii="Arial" w:hAnsi="Arial" w:cs="Arial"/>
          <w:b/>
          <w:sz w:val="20"/>
          <w:szCs w:val="20"/>
        </w:rPr>
      </w:pPr>
    </w:p>
    <w:p w14:paraId="67014FF7" w14:textId="77777777" w:rsidR="007D0EB2" w:rsidRDefault="007D0EB2" w:rsidP="00F75F68">
      <w:pPr>
        <w:rPr>
          <w:rFonts w:ascii="Arial" w:hAnsi="Arial" w:cs="Arial"/>
          <w:b/>
          <w:sz w:val="20"/>
          <w:szCs w:val="20"/>
        </w:rPr>
      </w:pPr>
    </w:p>
    <w:p w14:paraId="3865B7C2" w14:textId="77777777" w:rsidR="007D0EB2" w:rsidRDefault="007D0EB2" w:rsidP="00F75F68">
      <w:pPr>
        <w:rPr>
          <w:rFonts w:ascii="Arial" w:hAnsi="Arial" w:cs="Arial"/>
          <w:b/>
          <w:sz w:val="20"/>
          <w:szCs w:val="20"/>
        </w:rPr>
      </w:pPr>
    </w:p>
    <w:p w14:paraId="31475F13" w14:textId="77777777" w:rsidR="007D0EB2" w:rsidRDefault="007D0EB2" w:rsidP="00F75F68">
      <w:pPr>
        <w:rPr>
          <w:rFonts w:ascii="Arial" w:hAnsi="Arial" w:cs="Arial"/>
          <w:b/>
          <w:sz w:val="20"/>
          <w:szCs w:val="20"/>
        </w:rPr>
      </w:pPr>
    </w:p>
    <w:p w14:paraId="1A172E53" w14:textId="77777777" w:rsidR="007D0EB2" w:rsidRDefault="007D0EB2" w:rsidP="00F75F68">
      <w:pPr>
        <w:rPr>
          <w:rFonts w:ascii="Arial" w:hAnsi="Arial" w:cs="Arial"/>
          <w:b/>
          <w:sz w:val="20"/>
          <w:szCs w:val="20"/>
        </w:rPr>
      </w:pPr>
    </w:p>
    <w:p w14:paraId="0658F881" w14:textId="77777777" w:rsidR="007D0EB2" w:rsidRDefault="007D0EB2" w:rsidP="00F75F68">
      <w:pPr>
        <w:rPr>
          <w:rFonts w:ascii="Arial" w:hAnsi="Arial" w:cs="Arial"/>
          <w:b/>
          <w:sz w:val="20"/>
          <w:szCs w:val="20"/>
        </w:rPr>
      </w:pPr>
    </w:p>
    <w:p w14:paraId="36E91F1A" w14:textId="262BE494" w:rsidR="00CD4F87" w:rsidRDefault="00CD4F87" w:rsidP="00F75F68">
      <w:pPr>
        <w:rPr>
          <w:rFonts w:ascii="Arial" w:hAnsi="Arial" w:cs="Arial"/>
          <w:b/>
          <w:sz w:val="20"/>
          <w:szCs w:val="20"/>
        </w:rPr>
      </w:pPr>
    </w:p>
    <w:p w14:paraId="7CECD3F5" w14:textId="1C5F9310" w:rsidR="00E23D1A" w:rsidRDefault="00E23D1A" w:rsidP="00F75F68">
      <w:pPr>
        <w:rPr>
          <w:rFonts w:ascii="Arial" w:hAnsi="Arial" w:cs="Arial"/>
          <w:b/>
          <w:sz w:val="20"/>
          <w:szCs w:val="20"/>
        </w:rPr>
      </w:pPr>
    </w:p>
    <w:p w14:paraId="19999F16" w14:textId="45F58E56" w:rsidR="00E23D1A" w:rsidRDefault="00E23D1A" w:rsidP="00F75F68">
      <w:pPr>
        <w:rPr>
          <w:rFonts w:ascii="Arial" w:hAnsi="Arial" w:cs="Arial"/>
          <w:b/>
          <w:sz w:val="20"/>
          <w:szCs w:val="20"/>
        </w:rPr>
      </w:pPr>
    </w:p>
    <w:p w14:paraId="78624BBC" w14:textId="317B1EAC" w:rsidR="00E23D1A" w:rsidRDefault="00E23D1A" w:rsidP="00F75F68">
      <w:pPr>
        <w:rPr>
          <w:rFonts w:ascii="Arial" w:hAnsi="Arial" w:cs="Arial"/>
          <w:b/>
          <w:sz w:val="20"/>
          <w:szCs w:val="20"/>
        </w:rPr>
      </w:pPr>
    </w:p>
    <w:p w14:paraId="5B547A55" w14:textId="77777777" w:rsidR="00E23D1A" w:rsidRDefault="00E23D1A" w:rsidP="00F75F68">
      <w:pPr>
        <w:rPr>
          <w:rFonts w:ascii="Arial" w:hAnsi="Arial" w:cs="Arial"/>
          <w:b/>
          <w:sz w:val="20"/>
          <w:szCs w:val="20"/>
        </w:rPr>
      </w:pPr>
    </w:p>
    <w:p w14:paraId="47C35ED8" w14:textId="6E5029A0" w:rsidR="00B94346" w:rsidRDefault="00B94346" w:rsidP="002A51CF">
      <w:pPr>
        <w:pStyle w:val="Nagwek2"/>
        <w:rPr>
          <w:rFonts w:ascii="Arial" w:hAnsi="Arial" w:cs="Arial"/>
          <w:b/>
          <w:color w:val="auto"/>
          <w:sz w:val="20"/>
          <w:szCs w:val="20"/>
        </w:rPr>
      </w:pPr>
      <w:bookmarkStart w:id="83" w:name="_Toc72745092"/>
      <w:r w:rsidRPr="002A51CF">
        <w:rPr>
          <w:rFonts w:ascii="Arial" w:hAnsi="Arial" w:cs="Arial"/>
          <w:b/>
          <w:color w:val="auto"/>
          <w:sz w:val="20"/>
          <w:szCs w:val="20"/>
        </w:rPr>
        <w:lastRenderedPageBreak/>
        <w:t>Zakończenie</w:t>
      </w:r>
      <w:bookmarkEnd w:id="82"/>
      <w:bookmarkEnd w:id="83"/>
    </w:p>
    <w:p w14:paraId="16E318B8" w14:textId="319A0D76" w:rsidR="00B94346" w:rsidRPr="004C6CC5" w:rsidRDefault="00B94346" w:rsidP="00B94346">
      <w:pPr>
        <w:spacing w:before="120" w:after="120" w:line="276" w:lineRule="auto"/>
        <w:jc w:val="both"/>
        <w:rPr>
          <w:rFonts w:ascii="Arial" w:hAnsi="Arial" w:cs="Arial"/>
          <w:sz w:val="20"/>
          <w:szCs w:val="20"/>
        </w:rPr>
      </w:pPr>
      <w:r w:rsidRPr="004C6CC5">
        <w:rPr>
          <w:rFonts w:ascii="Arial" w:hAnsi="Arial" w:cs="Arial"/>
          <w:sz w:val="20"/>
          <w:szCs w:val="20"/>
        </w:rPr>
        <w:t>Dokument pt.: „Raport</w:t>
      </w:r>
      <w:r w:rsidR="004C6CC5">
        <w:rPr>
          <w:rFonts w:ascii="Arial" w:hAnsi="Arial" w:cs="Arial"/>
          <w:sz w:val="20"/>
          <w:szCs w:val="20"/>
        </w:rPr>
        <w:t xml:space="preserve"> z </w:t>
      </w:r>
      <w:r w:rsidRPr="004C6CC5">
        <w:rPr>
          <w:rFonts w:ascii="Arial" w:hAnsi="Arial" w:cs="Arial"/>
          <w:sz w:val="20"/>
          <w:szCs w:val="20"/>
        </w:rPr>
        <w:t>realizacji polityki morskiej Rzeczypospolitej Polskiej</w:t>
      </w:r>
      <w:r w:rsidR="004C6CC5">
        <w:rPr>
          <w:rFonts w:ascii="Arial" w:hAnsi="Arial" w:cs="Arial"/>
          <w:sz w:val="20"/>
          <w:szCs w:val="20"/>
        </w:rPr>
        <w:t xml:space="preserve"> w </w:t>
      </w:r>
      <w:r w:rsidRPr="004C6CC5">
        <w:rPr>
          <w:rFonts w:ascii="Arial" w:hAnsi="Arial" w:cs="Arial"/>
          <w:sz w:val="20"/>
          <w:szCs w:val="20"/>
        </w:rPr>
        <w:t>2019 r.” stanowi roczne podsumowanie działalności administracji publicznej, uczelni, ośrodków naukowych oraz innych instytucji zaangażowanych</w:t>
      </w:r>
      <w:r w:rsidR="004C6CC5">
        <w:rPr>
          <w:rFonts w:ascii="Arial" w:hAnsi="Arial" w:cs="Arial"/>
          <w:sz w:val="20"/>
          <w:szCs w:val="20"/>
        </w:rPr>
        <w:t xml:space="preserve"> w </w:t>
      </w:r>
      <w:r w:rsidRPr="004C6CC5">
        <w:rPr>
          <w:rFonts w:ascii="Arial" w:hAnsi="Arial" w:cs="Arial"/>
          <w:sz w:val="20"/>
          <w:szCs w:val="20"/>
        </w:rPr>
        <w:t>realizację polityki morskiej państwa. Raport prezentuje najważniejsze wydarzenia oraz działania prowadzone na przełomie dwunastu miesięcy wpisujące się</w:t>
      </w:r>
      <w:r w:rsidR="004C6CC5">
        <w:rPr>
          <w:rFonts w:ascii="Arial" w:hAnsi="Arial" w:cs="Arial"/>
          <w:sz w:val="20"/>
          <w:szCs w:val="20"/>
        </w:rPr>
        <w:t xml:space="preserve"> w </w:t>
      </w:r>
      <w:r w:rsidRPr="004C6CC5">
        <w:rPr>
          <w:rFonts w:ascii="Arial" w:hAnsi="Arial" w:cs="Arial"/>
          <w:sz w:val="20"/>
          <w:szCs w:val="20"/>
        </w:rPr>
        <w:t>kierunki priorytetowe polskiej polityki morskiej.</w:t>
      </w:r>
    </w:p>
    <w:p w14:paraId="54F3A2DB" w14:textId="3CA0E252" w:rsidR="00B94346" w:rsidRDefault="00B94346" w:rsidP="00B94346">
      <w:pPr>
        <w:spacing w:line="276" w:lineRule="auto"/>
        <w:jc w:val="both"/>
        <w:rPr>
          <w:rFonts w:ascii="Arial" w:hAnsi="Arial" w:cs="Arial"/>
          <w:sz w:val="20"/>
          <w:szCs w:val="20"/>
        </w:rPr>
      </w:pPr>
      <w:r w:rsidRPr="004C6CC5">
        <w:rPr>
          <w:rFonts w:ascii="Arial" w:hAnsi="Arial" w:cs="Arial"/>
          <w:sz w:val="20"/>
          <w:szCs w:val="20"/>
        </w:rPr>
        <w:t>Na szczeblu krajowym prowadzone były prace legislacyjne nad dostosowaniem aktów prawnych regulujących organizację</w:t>
      </w:r>
      <w:r w:rsidR="00211568">
        <w:rPr>
          <w:rFonts w:ascii="Arial" w:hAnsi="Arial" w:cs="Arial"/>
          <w:sz w:val="20"/>
          <w:szCs w:val="20"/>
        </w:rPr>
        <w:t xml:space="preserve"> i </w:t>
      </w:r>
      <w:r w:rsidRPr="004C6CC5">
        <w:rPr>
          <w:rFonts w:ascii="Arial" w:hAnsi="Arial" w:cs="Arial"/>
          <w:sz w:val="20"/>
          <w:szCs w:val="20"/>
        </w:rPr>
        <w:t>funkcjonowanie portów do postanowień rozporządzenia Parlamentu Europejskiego</w:t>
      </w:r>
      <w:r w:rsidR="00B33C44">
        <w:rPr>
          <w:rFonts w:ascii="Arial" w:hAnsi="Arial" w:cs="Arial"/>
          <w:sz w:val="20"/>
          <w:szCs w:val="20"/>
        </w:rPr>
        <w:t xml:space="preserve"> i </w:t>
      </w:r>
      <w:r w:rsidRPr="004C6CC5">
        <w:rPr>
          <w:rFonts w:ascii="Arial" w:hAnsi="Arial" w:cs="Arial"/>
          <w:sz w:val="20"/>
          <w:szCs w:val="20"/>
        </w:rPr>
        <w:t>Rady (UE) 2017/352</w:t>
      </w:r>
      <w:r w:rsidR="004C6CC5">
        <w:rPr>
          <w:rFonts w:ascii="Arial" w:hAnsi="Arial" w:cs="Arial"/>
          <w:sz w:val="20"/>
          <w:szCs w:val="20"/>
        </w:rPr>
        <w:t xml:space="preserve"> z </w:t>
      </w:r>
      <w:r w:rsidRPr="004C6CC5">
        <w:rPr>
          <w:rFonts w:ascii="Arial" w:hAnsi="Arial" w:cs="Arial"/>
          <w:sz w:val="20"/>
          <w:szCs w:val="20"/>
        </w:rPr>
        <w:t>dnia 15 lutego 2017 r. ustanawiającego ramy</w:t>
      </w:r>
      <w:r w:rsidR="004C6CC5">
        <w:rPr>
          <w:rFonts w:ascii="Arial" w:hAnsi="Arial" w:cs="Arial"/>
          <w:sz w:val="20"/>
          <w:szCs w:val="20"/>
        </w:rPr>
        <w:t xml:space="preserve"> w </w:t>
      </w:r>
      <w:r w:rsidRPr="004C6CC5">
        <w:rPr>
          <w:rFonts w:ascii="Arial" w:hAnsi="Arial" w:cs="Arial"/>
          <w:sz w:val="20"/>
          <w:szCs w:val="20"/>
        </w:rPr>
        <w:t>zakresie świadczenia usług portowych oraz wspólne zasady dotyczące przejrzystości finansowej portów</w:t>
      </w:r>
      <w:r w:rsidR="00211568">
        <w:rPr>
          <w:rFonts w:ascii="Arial" w:hAnsi="Arial" w:cs="Arial"/>
          <w:sz w:val="20"/>
          <w:szCs w:val="20"/>
        </w:rPr>
        <w:t>.</w:t>
      </w:r>
      <w:r w:rsidRPr="004C6CC5">
        <w:rPr>
          <w:rFonts w:ascii="Arial" w:hAnsi="Arial" w:cs="Arial"/>
          <w:sz w:val="20"/>
          <w:szCs w:val="20"/>
        </w:rPr>
        <w:t xml:space="preserve"> </w:t>
      </w:r>
      <w:r w:rsidR="00B3272C">
        <w:rPr>
          <w:rFonts w:ascii="Arial" w:hAnsi="Arial" w:cs="Arial"/>
          <w:sz w:val="20"/>
          <w:szCs w:val="20"/>
        </w:rPr>
        <w:br/>
      </w:r>
      <w:r w:rsidRPr="004C6CC5">
        <w:rPr>
          <w:rFonts w:ascii="Arial" w:hAnsi="Arial" w:cs="Arial"/>
          <w:sz w:val="20"/>
          <w:szCs w:val="20"/>
        </w:rPr>
        <w:t>Ustawa ma również na celu wzmocnienie pozycji podmiotów zarządzających portami</w:t>
      </w:r>
      <w:r w:rsidR="004C6CC5">
        <w:rPr>
          <w:rFonts w:ascii="Arial" w:hAnsi="Arial" w:cs="Arial"/>
          <w:sz w:val="20"/>
          <w:szCs w:val="20"/>
        </w:rPr>
        <w:t xml:space="preserve"> i </w:t>
      </w:r>
      <w:r w:rsidRPr="004C6CC5">
        <w:rPr>
          <w:rFonts w:ascii="Arial" w:hAnsi="Arial" w:cs="Arial"/>
          <w:sz w:val="20"/>
          <w:szCs w:val="20"/>
        </w:rPr>
        <w:t>przystaniami morskimi oraz usprawnienie funkcjonowania portów. Poprawa funkcjonowania polskich portów</w:t>
      </w:r>
      <w:r w:rsidR="00587261">
        <w:rPr>
          <w:rFonts w:ascii="Arial" w:hAnsi="Arial" w:cs="Arial"/>
          <w:sz w:val="20"/>
          <w:szCs w:val="20"/>
        </w:rPr>
        <w:t xml:space="preserve"> </w:t>
      </w:r>
      <w:r w:rsidR="00106046">
        <w:rPr>
          <w:rFonts w:ascii="Arial" w:hAnsi="Arial" w:cs="Arial"/>
          <w:sz w:val="20"/>
          <w:szCs w:val="20"/>
        </w:rPr>
        <w:br/>
      </w:r>
      <w:r w:rsidR="00587261">
        <w:rPr>
          <w:rFonts w:ascii="Arial" w:hAnsi="Arial" w:cs="Arial"/>
          <w:sz w:val="20"/>
          <w:szCs w:val="20"/>
        </w:rPr>
        <w:t xml:space="preserve">i </w:t>
      </w:r>
      <w:r w:rsidRPr="004C6CC5">
        <w:rPr>
          <w:rFonts w:ascii="Arial" w:hAnsi="Arial" w:cs="Arial"/>
          <w:sz w:val="20"/>
          <w:szCs w:val="20"/>
        </w:rPr>
        <w:t>przystani morskich,</w:t>
      </w:r>
      <w:r w:rsidR="00E2710E">
        <w:rPr>
          <w:rFonts w:ascii="Arial" w:hAnsi="Arial" w:cs="Arial"/>
          <w:sz w:val="20"/>
          <w:szCs w:val="20"/>
        </w:rPr>
        <w:t xml:space="preserve"> w </w:t>
      </w:r>
      <w:r w:rsidRPr="004C6CC5">
        <w:rPr>
          <w:rFonts w:ascii="Arial" w:hAnsi="Arial" w:cs="Arial"/>
          <w:sz w:val="20"/>
          <w:szCs w:val="20"/>
        </w:rPr>
        <w:t>tym świadczonych</w:t>
      </w:r>
      <w:r w:rsidR="009C109E">
        <w:rPr>
          <w:rFonts w:ascii="Arial" w:hAnsi="Arial" w:cs="Arial"/>
          <w:sz w:val="20"/>
          <w:szCs w:val="20"/>
        </w:rPr>
        <w:t xml:space="preserve"> w </w:t>
      </w:r>
      <w:r w:rsidRPr="004C6CC5">
        <w:rPr>
          <w:rFonts w:ascii="Arial" w:hAnsi="Arial" w:cs="Arial"/>
          <w:sz w:val="20"/>
          <w:szCs w:val="20"/>
        </w:rPr>
        <w:t>polskich portach</w:t>
      </w:r>
      <w:r w:rsidR="004C6CC5">
        <w:rPr>
          <w:rFonts w:ascii="Arial" w:hAnsi="Arial" w:cs="Arial"/>
          <w:sz w:val="20"/>
          <w:szCs w:val="20"/>
        </w:rPr>
        <w:t xml:space="preserve"> i </w:t>
      </w:r>
      <w:r w:rsidRPr="004C6CC5">
        <w:rPr>
          <w:rFonts w:ascii="Arial" w:hAnsi="Arial" w:cs="Arial"/>
          <w:sz w:val="20"/>
          <w:szCs w:val="20"/>
        </w:rPr>
        <w:t xml:space="preserve">przystaniach morskich usług, ma na </w:t>
      </w:r>
      <w:r w:rsidR="00294595">
        <w:rPr>
          <w:rFonts w:ascii="Arial" w:hAnsi="Arial" w:cs="Arial"/>
          <w:sz w:val="20"/>
          <w:szCs w:val="20"/>
        </w:rPr>
        <w:t xml:space="preserve">celu </w:t>
      </w:r>
      <w:r w:rsidRPr="004C6CC5">
        <w:rPr>
          <w:rFonts w:ascii="Arial" w:hAnsi="Arial" w:cs="Arial"/>
          <w:sz w:val="20"/>
          <w:szCs w:val="20"/>
        </w:rPr>
        <w:t>wzmocnienie ich pozycji na międzynarodowym rynku, przede wszystkim</w:t>
      </w:r>
      <w:r w:rsidR="004C6CC5">
        <w:rPr>
          <w:rFonts w:ascii="Arial" w:hAnsi="Arial" w:cs="Arial"/>
          <w:sz w:val="20"/>
          <w:szCs w:val="20"/>
        </w:rPr>
        <w:t xml:space="preserve"> w </w:t>
      </w:r>
      <w:r w:rsidR="00F546AB">
        <w:rPr>
          <w:rFonts w:ascii="Arial" w:hAnsi="Arial" w:cs="Arial"/>
          <w:sz w:val="20"/>
          <w:szCs w:val="20"/>
        </w:rPr>
        <w:t>basenie Morza Bałtyckiego.</w:t>
      </w:r>
    </w:p>
    <w:p w14:paraId="0DDF21D4" w14:textId="4925FE5F" w:rsidR="004E18C5" w:rsidRPr="004C6CC5" w:rsidRDefault="004E18C5" w:rsidP="004E18C5">
      <w:pPr>
        <w:spacing w:before="120" w:after="120" w:line="276" w:lineRule="auto"/>
        <w:jc w:val="both"/>
        <w:rPr>
          <w:rFonts w:ascii="Arial" w:hAnsi="Arial" w:cs="Arial"/>
          <w:sz w:val="20"/>
          <w:szCs w:val="20"/>
        </w:rPr>
      </w:pPr>
      <w:r w:rsidRPr="00E73F2D">
        <w:rPr>
          <w:rFonts w:ascii="Arial" w:hAnsi="Arial" w:cs="Arial"/>
          <w:sz w:val="20"/>
          <w:szCs w:val="20"/>
        </w:rPr>
        <w:t>W dniu 17 września 2019 r. Rada Ministrów przyjęła „Program rozwoju polskich</w:t>
      </w:r>
      <w:r>
        <w:rPr>
          <w:rFonts w:ascii="Arial" w:hAnsi="Arial" w:cs="Arial"/>
          <w:sz w:val="20"/>
          <w:szCs w:val="20"/>
        </w:rPr>
        <w:t xml:space="preserve"> portów morskich do 2030 roku” - dokumentu</w:t>
      </w:r>
      <w:r w:rsidRPr="00E73F2D">
        <w:rPr>
          <w:rFonts w:ascii="Arial" w:hAnsi="Arial" w:cs="Arial"/>
          <w:sz w:val="20"/>
          <w:szCs w:val="20"/>
        </w:rPr>
        <w:t xml:space="preserve"> </w:t>
      </w:r>
      <w:r>
        <w:rPr>
          <w:rFonts w:ascii="Arial" w:hAnsi="Arial" w:cs="Arial"/>
          <w:sz w:val="20"/>
          <w:szCs w:val="20"/>
        </w:rPr>
        <w:t xml:space="preserve">operacyjno-wdrożeniowego, który został </w:t>
      </w:r>
      <w:r w:rsidRPr="00E73F2D">
        <w:rPr>
          <w:rFonts w:ascii="Arial" w:hAnsi="Arial" w:cs="Arial"/>
          <w:sz w:val="20"/>
          <w:szCs w:val="20"/>
        </w:rPr>
        <w:t xml:space="preserve">przygotowany </w:t>
      </w:r>
      <w:r>
        <w:rPr>
          <w:rFonts w:ascii="Arial" w:hAnsi="Arial" w:cs="Arial"/>
          <w:sz w:val="20"/>
          <w:szCs w:val="20"/>
        </w:rPr>
        <w:t>w</w:t>
      </w:r>
      <w:r w:rsidRPr="00E73F2D">
        <w:rPr>
          <w:rFonts w:ascii="Arial" w:hAnsi="Arial" w:cs="Arial"/>
          <w:sz w:val="20"/>
          <w:szCs w:val="20"/>
        </w:rPr>
        <w:t xml:space="preserve"> celu dalszego </w:t>
      </w:r>
      <w:r>
        <w:rPr>
          <w:rFonts w:ascii="Arial" w:hAnsi="Arial" w:cs="Arial"/>
          <w:sz w:val="20"/>
          <w:szCs w:val="20"/>
        </w:rPr>
        <w:t>rozwoju polskich portów morskich oraz</w:t>
      </w:r>
      <w:r w:rsidRPr="00E73F2D">
        <w:rPr>
          <w:rFonts w:ascii="Arial" w:hAnsi="Arial" w:cs="Arial"/>
          <w:sz w:val="20"/>
          <w:szCs w:val="20"/>
        </w:rPr>
        <w:t xml:space="preserve"> wzmocnienia procesu wykorzystania </w:t>
      </w:r>
      <w:r>
        <w:rPr>
          <w:rFonts w:ascii="Arial" w:hAnsi="Arial" w:cs="Arial"/>
          <w:sz w:val="20"/>
          <w:szCs w:val="20"/>
        </w:rPr>
        <w:t>ich potencjału. Dokument</w:t>
      </w:r>
      <w:r w:rsidRPr="00E73F2D">
        <w:rPr>
          <w:rFonts w:ascii="Arial" w:hAnsi="Arial" w:cs="Arial"/>
          <w:sz w:val="20"/>
          <w:szCs w:val="20"/>
        </w:rPr>
        <w:t xml:space="preserve"> </w:t>
      </w:r>
      <w:r>
        <w:rPr>
          <w:rFonts w:ascii="Arial" w:hAnsi="Arial" w:cs="Arial"/>
          <w:sz w:val="20"/>
          <w:szCs w:val="20"/>
        </w:rPr>
        <w:t>realizujące</w:t>
      </w:r>
      <w:r w:rsidRPr="00E73F2D">
        <w:rPr>
          <w:rFonts w:ascii="Arial" w:hAnsi="Arial" w:cs="Arial"/>
          <w:sz w:val="20"/>
          <w:szCs w:val="20"/>
        </w:rPr>
        <w:t xml:space="preserve"> także cele zawarte w „Strategii </w:t>
      </w:r>
      <w:r>
        <w:rPr>
          <w:rFonts w:ascii="Arial" w:hAnsi="Arial" w:cs="Arial"/>
          <w:sz w:val="20"/>
          <w:szCs w:val="20"/>
        </w:rPr>
        <w:t xml:space="preserve">Zrównoważonego </w:t>
      </w:r>
      <w:r w:rsidRPr="00E73F2D">
        <w:rPr>
          <w:rFonts w:ascii="Arial" w:hAnsi="Arial" w:cs="Arial"/>
          <w:sz w:val="20"/>
          <w:szCs w:val="20"/>
        </w:rPr>
        <w:t>Rozwoju Transportu do 20</w:t>
      </w:r>
      <w:r>
        <w:rPr>
          <w:rFonts w:ascii="Arial" w:hAnsi="Arial" w:cs="Arial"/>
          <w:sz w:val="20"/>
          <w:szCs w:val="20"/>
        </w:rPr>
        <w:t>3</w:t>
      </w:r>
      <w:r w:rsidRPr="00E73F2D">
        <w:rPr>
          <w:rFonts w:ascii="Arial" w:hAnsi="Arial" w:cs="Arial"/>
          <w:sz w:val="20"/>
          <w:szCs w:val="20"/>
        </w:rPr>
        <w:t>0 roku</w:t>
      </w:r>
      <w:r>
        <w:rPr>
          <w:rFonts w:ascii="Arial" w:hAnsi="Arial" w:cs="Arial"/>
          <w:sz w:val="20"/>
          <w:szCs w:val="20"/>
        </w:rPr>
        <w:t>”</w:t>
      </w:r>
      <w:r w:rsidRPr="00E73F2D">
        <w:rPr>
          <w:rFonts w:ascii="Arial" w:hAnsi="Arial" w:cs="Arial"/>
          <w:sz w:val="20"/>
          <w:szCs w:val="20"/>
        </w:rPr>
        <w:t xml:space="preserve"> </w:t>
      </w:r>
      <w:r>
        <w:rPr>
          <w:rFonts w:ascii="Arial" w:hAnsi="Arial" w:cs="Arial"/>
          <w:sz w:val="20"/>
          <w:szCs w:val="20"/>
        </w:rPr>
        <w:t>w zakresie portów morskich, a także</w:t>
      </w:r>
      <w:r w:rsidRPr="00E73F2D">
        <w:rPr>
          <w:rFonts w:ascii="Arial" w:hAnsi="Arial" w:cs="Arial"/>
          <w:sz w:val="20"/>
          <w:szCs w:val="20"/>
        </w:rPr>
        <w:t xml:space="preserve"> „Strategii na rzecz Odpowiedzialnego Rozwoju do roku 20</w:t>
      </w:r>
      <w:r>
        <w:rPr>
          <w:rFonts w:ascii="Arial" w:hAnsi="Arial" w:cs="Arial"/>
          <w:sz w:val="20"/>
          <w:szCs w:val="20"/>
        </w:rPr>
        <w:t xml:space="preserve">20 </w:t>
      </w:r>
      <w:r w:rsidR="003A4627">
        <w:rPr>
          <w:rFonts w:ascii="Arial" w:hAnsi="Arial" w:cs="Arial"/>
          <w:sz w:val="20"/>
          <w:szCs w:val="20"/>
        </w:rPr>
        <w:br/>
      </w:r>
      <w:r>
        <w:rPr>
          <w:rFonts w:ascii="Arial" w:hAnsi="Arial" w:cs="Arial"/>
          <w:sz w:val="20"/>
          <w:szCs w:val="20"/>
        </w:rPr>
        <w:t xml:space="preserve">(z perspektywą do 2030 r.)”. </w:t>
      </w:r>
      <w:r w:rsidR="00FC3A32">
        <w:rPr>
          <w:rFonts w:ascii="Arial" w:hAnsi="Arial" w:cs="Arial"/>
          <w:sz w:val="20"/>
          <w:szCs w:val="20"/>
        </w:rPr>
        <w:t>G</w:t>
      </w:r>
      <w:r w:rsidRPr="004C6CC5">
        <w:rPr>
          <w:rFonts w:ascii="Arial" w:hAnsi="Arial" w:cs="Arial"/>
          <w:sz w:val="20"/>
          <w:szCs w:val="20"/>
        </w:rPr>
        <w:t xml:space="preserve">łównym </w:t>
      </w:r>
      <w:r w:rsidR="00FC3A32">
        <w:rPr>
          <w:rFonts w:ascii="Arial" w:hAnsi="Arial" w:cs="Arial"/>
          <w:sz w:val="20"/>
          <w:szCs w:val="20"/>
        </w:rPr>
        <w:t>c</w:t>
      </w:r>
      <w:r w:rsidR="00FC3A32" w:rsidRPr="004C6CC5">
        <w:rPr>
          <w:rFonts w:ascii="Arial" w:hAnsi="Arial" w:cs="Arial"/>
          <w:sz w:val="20"/>
          <w:szCs w:val="20"/>
        </w:rPr>
        <w:t xml:space="preserve">elem </w:t>
      </w:r>
      <w:r w:rsidRPr="004C6CC5">
        <w:rPr>
          <w:rFonts w:ascii="Arial" w:hAnsi="Arial" w:cs="Arial"/>
          <w:sz w:val="20"/>
          <w:szCs w:val="20"/>
        </w:rPr>
        <w:t xml:space="preserve">programu jest trwałe umocnienie </w:t>
      </w:r>
      <w:r w:rsidR="00DA35F2">
        <w:rPr>
          <w:rFonts w:ascii="Arial" w:hAnsi="Arial" w:cs="Arial"/>
          <w:sz w:val="20"/>
          <w:szCs w:val="20"/>
        </w:rPr>
        <w:t xml:space="preserve">pozycji </w:t>
      </w:r>
      <w:r w:rsidRPr="004C6CC5">
        <w:rPr>
          <w:rFonts w:ascii="Arial" w:hAnsi="Arial" w:cs="Arial"/>
          <w:sz w:val="20"/>
          <w:szCs w:val="20"/>
        </w:rPr>
        <w:t>polskich portów morskich jako liderów wśród portów morskich basenu Morza Bałtyckiego, pełniących rolę kluczowych węzłów globalnych łańcuchów dostaw</w:t>
      </w:r>
      <w:r>
        <w:rPr>
          <w:rFonts w:ascii="Arial" w:hAnsi="Arial" w:cs="Arial"/>
          <w:sz w:val="20"/>
          <w:szCs w:val="20"/>
        </w:rPr>
        <w:t xml:space="preserve"> dla Europy Środkowo-Wschodniej</w:t>
      </w:r>
      <w:r w:rsidRPr="004C6CC5">
        <w:rPr>
          <w:rFonts w:ascii="Arial" w:hAnsi="Arial" w:cs="Arial"/>
          <w:sz w:val="20"/>
          <w:szCs w:val="20"/>
        </w:rPr>
        <w:t xml:space="preserve"> oraz zwiększenie ich udziału</w:t>
      </w:r>
      <w:r>
        <w:rPr>
          <w:rFonts w:ascii="Arial" w:hAnsi="Arial" w:cs="Arial"/>
          <w:sz w:val="20"/>
          <w:szCs w:val="20"/>
        </w:rPr>
        <w:t xml:space="preserve"> w </w:t>
      </w:r>
      <w:r w:rsidRPr="004C6CC5">
        <w:rPr>
          <w:rFonts w:ascii="Arial" w:hAnsi="Arial" w:cs="Arial"/>
          <w:sz w:val="20"/>
          <w:szCs w:val="20"/>
        </w:rPr>
        <w:t>rozwoju społeczno-gospodarczym kraju.</w:t>
      </w:r>
    </w:p>
    <w:p w14:paraId="77BF13FC" w14:textId="1B8232D6" w:rsidR="004E18C5" w:rsidRPr="006278F1" w:rsidRDefault="004E18C5" w:rsidP="004E18C5">
      <w:pPr>
        <w:spacing w:line="276" w:lineRule="auto"/>
        <w:jc w:val="both"/>
        <w:rPr>
          <w:rFonts w:ascii="Arial" w:hAnsi="Arial" w:cs="Arial"/>
          <w:sz w:val="20"/>
          <w:szCs w:val="20"/>
        </w:rPr>
      </w:pPr>
      <w:r w:rsidRPr="006278F1">
        <w:rPr>
          <w:rFonts w:ascii="Arial" w:hAnsi="Arial" w:cs="Arial"/>
          <w:sz w:val="20"/>
          <w:szCs w:val="20"/>
        </w:rPr>
        <w:t xml:space="preserve">W 2019 r. kontynuowano realizację inwestycji o </w:t>
      </w:r>
      <w:r w:rsidR="00B37A53" w:rsidRPr="006278F1">
        <w:rPr>
          <w:rFonts w:ascii="Arial" w:hAnsi="Arial" w:cs="Arial"/>
          <w:sz w:val="20"/>
          <w:szCs w:val="20"/>
        </w:rPr>
        <w:t xml:space="preserve">strategicznym </w:t>
      </w:r>
      <w:r w:rsidRPr="006278F1">
        <w:rPr>
          <w:rFonts w:ascii="Arial" w:hAnsi="Arial" w:cs="Arial"/>
          <w:sz w:val="20"/>
          <w:szCs w:val="20"/>
        </w:rPr>
        <w:t xml:space="preserve">znaczeniu dla państwa oraz </w:t>
      </w:r>
      <w:r w:rsidR="00B37A53">
        <w:rPr>
          <w:rFonts w:ascii="Arial" w:hAnsi="Arial" w:cs="Arial"/>
          <w:sz w:val="20"/>
          <w:szCs w:val="20"/>
        </w:rPr>
        <w:t xml:space="preserve">dla </w:t>
      </w:r>
      <w:r w:rsidRPr="006278F1">
        <w:rPr>
          <w:rFonts w:ascii="Arial" w:hAnsi="Arial" w:cs="Arial"/>
          <w:sz w:val="20"/>
          <w:szCs w:val="20"/>
        </w:rPr>
        <w:t>rozwoju regionów nadmorskich, w tym inwestycji pn. „Budowa drogi wodnej łączącej Zalew Wiślany z Zatoką Gdańską”</w:t>
      </w:r>
      <w:r>
        <w:rPr>
          <w:rFonts w:ascii="Arial" w:hAnsi="Arial" w:cs="Arial"/>
          <w:sz w:val="20"/>
          <w:szCs w:val="20"/>
        </w:rPr>
        <w:t>,</w:t>
      </w:r>
      <w:r w:rsidRPr="006278F1">
        <w:rPr>
          <w:rFonts w:ascii="Arial" w:hAnsi="Arial" w:cs="Arial"/>
          <w:sz w:val="20"/>
          <w:szCs w:val="20"/>
        </w:rPr>
        <w:t xml:space="preserve"> dla której w 2019 r. wydano decyzję o zezwoleniu na realizację inwestycji w zakresie infrastruktury dostępowej. Otwarcie Zalewu Wiślanego na Morze Bałtyckie oraz na inne drogi wodne spowoduje zniesienie istniejących barier infrastrukturalnych, ograniczających rozwój północno-wschodniej części Polski. Dzięki temu nastąpi pełne wykorzystanie istniejącego w regionie potencjału logistycznego, odbudowa i rewitalizacja potencjału społeczno-gospodarczego Elbląga, ja</w:t>
      </w:r>
      <w:r>
        <w:rPr>
          <w:rFonts w:ascii="Arial" w:hAnsi="Arial" w:cs="Arial"/>
          <w:sz w:val="20"/>
          <w:szCs w:val="20"/>
        </w:rPr>
        <w:t>ko regionalnego ośrodka rozwoju oraz</w:t>
      </w:r>
      <w:r w:rsidRPr="006278F1">
        <w:rPr>
          <w:rFonts w:ascii="Arial" w:hAnsi="Arial" w:cs="Arial"/>
          <w:sz w:val="20"/>
          <w:szCs w:val="20"/>
        </w:rPr>
        <w:t xml:space="preserve"> przywrócenie gospodarczego znaczenia Zal</w:t>
      </w:r>
      <w:r>
        <w:rPr>
          <w:rFonts w:ascii="Arial" w:hAnsi="Arial" w:cs="Arial"/>
          <w:sz w:val="20"/>
          <w:szCs w:val="20"/>
        </w:rPr>
        <w:t>ewu Wiślanego.</w:t>
      </w:r>
      <w:r w:rsidR="00B37A53" w:rsidRPr="00B37A53">
        <w:rPr>
          <w:rFonts w:ascii="Arial" w:hAnsi="Arial" w:cs="Arial"/>
          <w:sz w:val="20"/>
          <w:szCs w:val="20"/>
        </w:rPr>
        <w:t xml:space="preserve"> </w:t>
      </w:r>
    </w:p>
    <w:p w14:paraId="079AA6A7" w14:textId="2EEDDB42" w:rsidR="004E18C5" w:rsidRPr="004C6CC5" w:rsidRDefault="004E18C5" w:rsidP="00B94346">
      <w:pPr>
        <w:spacing w:line="276" w:lineRule="auto"/>
        <w:jc w:val="both"/>
        <w:rPr>
          <w:rFonts w:ascii="Arial" w:hAnsi="Arial" w:cs="Arial"/>
          <w:sz w:val="20"/>
          <w:szCs w:val="20"/>
        </w:rPr>
      </w:pPr>
      <w:r w:rsidRPr="00A12435">
        <w:rPr>
          <w:rFonts w:ascii="Arial" w:hAnsi="Arial" w:cs="Arial"/>
          <w:sz w:val="20"/>
          <w:szCs w:val="20"/>
        </w:rPr>
        <w:t xml:space="preserve">W 2019 r. kontynuowane były </w:t>
      </w:r>
      <w:r w:rsidR="00804E90">
        <w:rPr>
          <w:rFonts w:ascii="Arial" w:hAnsi="Arial" w:cs="Arial"/>
          <w:sz w:val="20"/>
          <w:szCs w:val="20"/>
        </w:rPr>
        <w:t xml:space="preserve">także </w:t>
      </w:r>
      <w:r w:rsidRPr="00A12435">
        <w:rPr>
          <w:rFonts w:ascii="Arial" w:hAnsi="Arial" w:cs="Arial"/>
          <w:sz w:val="20"/>
          <w:szCs w:val="20"/>
        </w:rPr>
        <w:t>prace związane z opracowaniem planu zagospodarowania przestrzenne</w:t>
      </w:r>
      <w:r w:rsidR="001E5205" w:rsidRPr="00A12435">
        <w:rPr>
          <w:rFonts w:ascii="Arial" w:hAnsi="Arial" w:cs="Arial"/>
          <w:sz w:val="20"/>
          <w:szCs w:val="20"/>
        </w:rPr>
        <w:t xml:space="preserve">go polskich obszarów morskich. </w:t>
      </w:r>
      <w:r w:rsidR="00DF72C9" w:rsidRPr="00A12435">
        <w:rPr>
          <w:rFonts w:ascii="Arial" w:hAnsi="Arial" w:cs="Arial"/>
          <w:sz w:val="20"/>
          <w:szCs w:val="20"/>
        </w:rPr>
        <w:t>W</w:t>
      </w:r>
      <w:r w:rsidRPr="00A12435">
        <w:rPr>
          <w:rFonts w:ascii="Arial" w:hAnsi="Arial" w:cs="Arial"/>
          <w:sz w:val="20"/>
          <w:szCs w:val="20"/>
        </w:rPr>
        <w:t xml:space="preserve">ersja v3 planu </w:t>
      </w:r>
      <w:r w:rsidR="001E5205" w:rsidRPr="00A12435">
        <w:rPr>
          <w:rFonts w:ascii="Arial" w:hAnsi="Arial" w:cs="Arial"/>
          <w:sz w:val="20"/>
          <w:szCs w:val="20"/>
        </w:rPr>
        <w:t>zagospodarowania przestrzennego uwzględniająca zgłoszo</w:t>
      </w:r>
      <w:r w:rsidRPr="00A12435">
        <w:rPr>
          <w:rFonts w:ascii="Arial" w:hAnsi="Arial" w:cs="Arial"/>
          <w:sz w:val="20"/>
          <w:szCs w:val="20"/>
        </w:rPr>
        <w:t>ne wcześniej opinie, uwagi</w:t>
      </w:r>
      <w:r w:rsidR="001E5205" w:rsidRPr="00A12435">
        <w:rPr>
          <w:rFonts w:ascii="Arial" w:hAnsi="Arial" w:cs="Arial"/>
          <w:sz w:val="20"/>
          <w:szCs w:val="20"/>
        </w:rPr>
        <w:t xml:space="preserve"> i </w:t>
      </w:r>
      <w:r w:rsidRPr="00A12435">
        <w:rPr>
          <w:rFonts w:ascii="Arial" w:hAnsi="Arial" w:cs="Arial"/>
          <w:sz w:val="20"/>
          <w:szCs w:val="20"/>
        </w:rPr>
        <w:t>postulaty</w:t>
      </w:r>
      <w:r w:rsidR="001E5205" w:rsidRPr="00A12435">
        <w:rPr>
          <w:rFonts w:ascii="Arial" w:hAnsi="Arial" w:cs="Arial"/>
          <w:sz w:val="20"/>
          <w:szCs w:val="20"/>
        </w:rPr>
        <w:t xml:space="preserve"> </w:t>
      </w:r>
      <w:r w:rsidRPr="00A12435">
        <w:rPr>
          <w:rFonts w:ascii="Arial" w:hAnsi="Arial" w:cs="Arial"/>
          <w:sz w:val="20"/>
          <w:szCs w:val="20"/>
        </w:rPr>
        <w:t>został</w:t>
      </w:r>
      <w:r w:rsidR="001E5205" w:rsidRPr="00A12435">
        <w:rPr>
          <w:rFonts w:ascii="Arial" w:hAnsi="Arial" w:cs="Arial"/>
          <w:sz w:val="20"/>
          <w:szCs w:val="20"/>
        </w:rPr>
        <w:t>a opublikowana</w:t>
      </w:r>
      <w:r w:rsidRPr="00A12435">
        <w:rPr>
          <w:rFonts w:ascii="Arial" w:hAnsi="Arial" w:cs="Arial"/>
          <w:sz w:val="20"/>
          <w:szCs w:val="20"/>
        </w:rPr>
        <w:t xml:space="preserve"> </w:t>
      </w:r>
      <w:r w:rsidR="001E5205" w:rsidRPr="00A12435">
        <w:rPr>
          <w:rFonts w:ascii="Arial" w:hAnsi="Arial" w:cs="Arial"/>
          <w:sz w:val="20"/>
          <w:szCs w:val="20"/>
        </w:rPr>
        <w:t>w</w:t>
      </w:r>
      <w:r w:rsidR="00DF72C9" w:rsidRPr="00A12435">
        <w:rPr>
          <w:rFonts w:ascii="Arial" w:hAnsi="Arial" w:cs="Arial"/>
          <w:sz w:val="20"/>
          <w:szCs w:val="20"/>
        </w:rPr>
        <w:t>raz z</w:t>
      </w:r>
      <w:r w:rsidRPr="00A12435">
        <w:rPr>
          <w:rFonts w:ascii="Arial" w:hAnsi="Arial" w:cs="Arial"/>
          <w:sz w:val="20"/>
          <w:szCs w:val="20"/>
        </w:rPr>
        <w:t xml:space="preserve"> </w:t>
      </w:r>
      <w:r w:rsidR="00DF72C9" w:rsidRPr="00A12435">
        <w:rPr>
          <w:rFonts w:ascii="Arial" w:hAnsi="Arial" w:cs="Arial"/>
          <w:sz w:val="20"/>
          <w:szCs w:val="20"/>
        </w:rPr>
        <w:t>aktualizacją</w:t>
      </w:r>
      <w:r w:rsidRPr="00A12435">
        <w:rPr>
          <w:rFonts w:ascii="Arial" w:hAnsi="Arial" w:cs="Arial"/>
          <w:sz w:val="20"/>
          <w:szCs w:val="20"/>
        </w:rPr>
        <w:t xml:space="preserve"> oceny oddziaływania na środowisko. </w:t>
      </w:r>
      <w:r w:rsidR="00A12435" w:rsidRPr="00A12435">
        <w:rPr>
          <w:rFonts w:ascii="Arial" w:hAnsi="Arial" w:cs="Arial"/>
          <w:sz w:val="20"/>
          <w:szCs w:val="20"/>
        </w:rPr>
        <w:t>Kontynuowano proces</w:t>
      </w:r>
      <w:r w:rsidRPr="00A12435">
        <w:rPr>
          <w:rFonts w:ascii="Arial" w:hAnsi="Arial" w:cs="Arial"/>
          <w:sz w:val="20"/>
          <w:szCs w:val="20"/>
        </w:rPr>
        <w:t xml:space="preserve"> składan</w:t>
      </w:r>
      <w:r w:rsidR="00A12435" w:rsidRPr="00A12435">
        <w:rPr>
          <w:rFonts w:ascii="Arial" w:hAnsi="Arial" w:cs="Arial"/>
          <w:sz w:val="20"/>
          <w:szCs w:val="20"/>
        </w:rPr>
        <w:t>ia</w:t>
      </w:r>
      <w:r w:rsidRPr="00A12435">
        <w:rPr>
          <w:rFonts w:ascii="Arial" w:hAnsi="Arial" w:cs="Arial"/>
          <w:sz w:val="20"/>
          <w:szCs w:val="20"/>
        </w:rPr>
        <w:t xml:space="preserve"> </w:t>
      </w:r>
      <w:r w:rsidR="00FC5010">
        <w:rPr>
          <w:rFonts w:ascii="Arial" w:hAnsi="Arial" w:cs="Arial"/>
          <w:sz w:val="20"/>
          <w:szCs w:val="20"/>
        </w:rPr>
        <w:t>kolejnych</w:t>
      </w:r>
      <w:r w:rsidRPr="00A12435">
        <w:rPr>
          <w:rFonts w:ascii="Arial" w:hAnsi="Arial" w:cs="Arial"/>
          <w:sz w:val="20"/>
          <w:szCs w:val="20"/>
        </w:rPr>
        <w:t xml:space="preserve"> wniosków, uwag i opinii do ustaleń w zakresie oceny oddziaływania na środowisko. </w:t>
      </w:r>
    </w:p>
    <w:p w14:paraId="0369ED69" w14:textId="37E6CB3C" w:rsidR="00AB689D" w:rsidRPr="004C6CC5" w:rsidRDefault="008949EB" w:rsidP="008D2321">
      <w:pPr>
        <w:spacing w:line="276" w:lineRule="auto"/>
        <w:jc w:val="both"/>
        <w:rPr>
          <w:rFonts w:ascii="Arial" w:hAnsi="Arial" w:cs="Arial"/>
          <w:sz w:val="20"/>
          <w:szCs w:val="20"/>
        </w:rPr>
      </w:pPr>
      <w:r w:rsidRPr="008949EB">
        <w:rPr>
          <w:rFonts w:ascii="Arial" w:hAnsi="Arial" w:cs="Arial"/>
          <w:sz w:val="20"/>
          <w:szCs w:val="20"/>
        </w:rPr>
        <w:t xml:space="preserve">W roku 2019 drugi raz z rzędu w polskich portach morskich udało się przeładować </w:t>
      </w:r>
      <w:r w:rsidR="00AB689D" w:rsidRPr="004C6CC5">
        <w:rPr>
          <w:rFonts w:ascii="Arial" w:hAnsi="Arial" w:cs="Arial"/>
          <w:sz w:val="20"/>
          <w:szCs w:val="20"/>
        </w:rPr>
        <w:t>ponad 100 mln ton towarów</w:t>
      </w:r>
      <w:r w:rsidR="004C6CC5">
        <w:rPr>
          <w:rFonts w:ascii="Arial" w:hAnsi="Arial" w:cs="Arial"/>
          <w:sz w:val="20"/>
          <w:szCs w:val="20"/>
        </w:rPr>
        <w:t xml:space="preserve"> w </w:t>
      </w:r>
      <w:r w:rsidR="00AB689D" w:rsidRPr="004C6CC5">
        <w:rPr>
          <w:rFonts w:ascii="Arial" w:hAnsi="Arial" w:cs="Arial"/>
          <w:sz w:val="20"/>
          <w:szCs w:val="20"/>
        </w:rPr>
        <w:t xml:space="preserve">skali roku. </w:t>
      </w:r>
      <w:r w:rsidR="00E3335A" w:rsidRPr="004C6CC5">
        <w:rPr>
          <w:rFonts w:ascii="Arial" w:hAnsi="Arial" w:cs="Arial"/>
          <w:sz w:val="20"/>
          <w:szCs w:val="20"/>
        </w:rPr>
        <w:t>W 2019 r.</w:t>
      </w:r>
      <w:r w:rsidR="00AB689D" w:rsidRPr="004C6CC5">
        <w:rPr>
          <w:rFonts w:ascii="Arial" w:hAnsi="Arial" w:cs="Arial"/>
          <w:sz w:val="20"/>
          <w:szCs w:val="20"/>
        </w:rPr>
        <w:t xml:space="preserve"> przeładunki wzrosły o dodatkowych kilka procent</w:t>
      </w:r>
      <w:r w:rsidR="006155DA">
        <w:rPr>
          <w:rFonts w:ascii="Arial" w:hAnsi="Arial" w:cs="Arial"/>
          <w:sz w:val="20"/>
          <w:szCs w:val="20"/>
        </w:rPr>
        <w:t xml:space="preserve"> i </w:t>
      </w:r>
      <w:r w:rsidR="00AB689D" w:rsidRPr="004C6CC5">
        <w:rPr>
          <w:rFonts w:ascii="Arial" w:hAnsi="Arial" w:cs="Arial"/>
          <w:sz w:val="20"/>
          <w:szCs w:val="20"/>
        </w:rPr>
        <w:t>ustanowiony został nowy rekord</w:t>
      </w:r>
      <w:r w:rsidR="004C6CC5">
        <w:rPr>
          <w:rFonts w:ascii="Arial" w:hAnsi="Arial" w:cs="Arial"/>
          <w:sz w:val="20"/>
          <w:szCs w:val="20"/>
        </w:rPr>
        <w:t xml:space="preserve"> w </w:t>
      </w:r>
      <w:r w:rsidR="00AB689D" w:rsidRPr="004C6CC5">
        <w:rPr>
          <w:rFonts w:ascii="Arial" w:hAnsi="Arial" w:cs="Arial"/>
          <w:sz w:val="20"/>
          <w:szCs w:val="20"/>
        </w:rPr>
        <w:t>porta</w:t>
      </w:r>
      <w:r>
        <w:rPr>
          <w:rFonts w:ascii="Arial" w:hAnsi="Arial" w:cs="Arial"/>
          <w:sz w:val="20"/>
          <w:szCs w:val="20"/>
        </w:rPr>
        <w:t xml:space="preserve">ch na poziomie ok. 110 mln ton </w:t>
      </w:r>
      <w:r w:rsidR="00AB689D" w:rsidRPr="004C6CC5">
        <w:rPr>
          <w:rFonts w:ascii="Arial" w:hAnsi="Arial" w:cs="Arial"/>
          <w:sz w:val="20"/>
          <w:szCs w:val="20"/>
        </w:rPr>
        <w:t>(z uwzględnieni</w:t>
      </w:r>
      <w:r w:rsidR="00F4348A">
        <w:rPr>
          <w:rFonts w:ascii="Arial" w:hAnsi="Arial" w:cs="Arial"/>
          <w:sz w:val="20"/>
          <w:szCs w:val="20"/>
        </w:rPr>
        <w:t xml:space="preserve">em </w:t>
      </w:r>
      <w:r w:rsidR="00AB689D" w:rsidRPr="004C6CC5">
        <w:rPr>
          <w:rFonts w:ascii="Arial" w:hAnsi="Arial" w:cs="Arial"/>
          <w:sz w:val="20"/>
          <w:szCs w:val="20"/>
        </w:rPr>
        <w:t xml:space="preserve">masy własnej jednostek ładunkowych). </w:t>
      </w:r>
    </w:p>
    <w:p w14:paraId="11C585DA" w14:textId="0537DCE1" w:rsidR="00AB689D" w:rsidRPr="004C6CC5" w:rsidRDefault="00AB689D" w:rsidP="008D2321">
      <w:pPr>
        <w:spacing w:line="276" w:lineRule="auto"/>
        <w:jc w:val="both"/>
        <w:rPr>
          <w:rFonts w:ascii="Arial" w:hAnsi="Arial" w:cs="Arial"/>
          <w:sz w:val="20"/>
          <w:szCs w:val="20"/>
        </w:rPr>
      </w:pPr>
      <w:r w:rsidRPr="004C6CC5">
        <w:rPr>
          <w:rFonts w:ascii="Arial" w:hAnsi="Arial" w:cs="Arial"/>
          <w:sz w:val="20"/>
          <w:szCs w:val="20"/>
        </w:rPr>
        <w:t>Rok 2019 był kolejnym rekordowym</w:t>
      </w:r>
      <w:r w:rsidR="0085577E" w:rsidRPr="004C6CC5">
        <w:rPr>
          <w:rFonts w:ascii="Arial" w:hAnsi="Arial" w:cs="Arial"/>
          <w:sz w:val="20"/>
          <w:szCs w:val="20"/>
        </w:rPr>
        <w:t xml:space="preserve"> rokiem</w:t>
      </w:r>
      <w:r w:rsidRPr="004C6CC5">
        <w:rPr>
          <w:rFonts w:ascii="Arial" w:hAnsi="Arial" w:cs="Arial"/>
          <w:sz w:val="20"/>
          <w:szCs w:val="20"/>
        </w:rPr>
        <w:t xml:space="preserve"> pod względem wielkości dokonanych przeładunków na gdańskich nabrzeżach</w:t>
      </w:r>
      <w:r w:rsidR="001152F0">
        <w:rPr>
          <w:rFonts w:ascii="Arial" w:hAnsi="Arial" w:cs="Arial"/>
          <w:sz w:val="20"/>
          <w:szCs w:val="20"/>
        </w:rPr>
        <w:t xml:space="preserve"> i w </w:t>
      </w:r>
      <w:r w:rsidRPr="004C6CC5">
        <w:rPr>
          <w:rFonts w:ascii="Arial" w:hAnsi="Arial" w:cs="Arial"/>
          <w:sz w:val="20"/>
          <w:szCs w:val="20"/>
        </w:rPr>
        <w:t>terminalach. Przeładowano ponad 52 mln ton (dla porównania</w:t>
      </w:r>
      <w:r w:rsidR="004C6CC5">
        <w:rPr>
          <w:rFonts w:ascii="Arial" w:hAnsi="Arial" w:cs="Arial"/>
          <w:sz w:val="20"/>
          <w:szCs w:val="20"/>
        </w:rPr>
        <w:t xml:space="preserve"> w </w:t>
      </w:r>
      <w:r w:rsidRPr="004C6CC5">
        <w:rPr>
          <w:rFonts w:ascii="Arial" w:hAnsi="Arial" w:cs="Arial"/>
          <w:sz w:val="20"/>
          <w:szCs w:val="20"/>
        </w:rPr>
        <w:t>całym roku 2018 było to ok. 49,0 mln ton towarów). To duży sukces Portu Gdańsk, potwierdzający duży potenc</w:t>
      </w:r>
      <w:r w:rsidR="000A34A6">
        <w:rPr>
          <w:rFonts w:ascii="Arial" w:hAnsi="Arial" w:cs="Arial"/>
          <w:sz w:val="20"/>
          <w:szCs w:val="20"/>
        </w:rPr>
        <w:t>jał całej gospodarki morskiej</w:t>
      </w:r>
      <w:r w:rsidRPr="004C6CC5">
        <w:rPr>
          <w:rFonts w:ascii="Arial" w:hAnsi="Arial" w:cs="Arial"/>
          <w:sz w:val="20"/>
          <w:szCs w:val="20"/>
        </w:rPr>
        <w:t>. Dynamika wz</w:t>
      </w:r>
      <w:r w:rsidR="00707DD8">
        <w:rPr>
          <w:rFonts w:ascii="Arial" w:hAnsi="Arial" w:cs="Arial"/>
          <w:sz w:val="20"/>
          <w:szCs w:val="20"/>
        </w:rPr>
        <w:t>rostu przeładunków wyniosła 6,4</w:t>
      </w:r>
      <w:r w:rsidRPr="004C6CC5">
        <w:rPr>
          <w:rFonts w:ascii="Arial" w:hAnsi="Arial" w:cs="Arial"/>
          <w:sz w:val="20"/>
          <w:szCs w:val="20"/>
        </w:rPr>
        <w:t>% r</w:t>
      </w:r>
      <w:r w:rsidR="00707DD8">
        <w:rPr>
          <w:rFonts w:ascii="Arial" w:hAnsi="Arial" w:cs="Arial"/>
          <w:sz w:val="20"/>
          <w:szCs w:val="20"/>
        </w:rPr>
        <w:t xml:space="preserve">ok </w:t>
      </w:r>
      <w:r w:rsidRPr="004C6CC5">
        <w:rPr>
          <w:rFonts w:ascii="Arial" w:hAnsi="Arial" w:cs="Arial"/>
          <w:sz w:val="20"/>
          <w:szCs w:val="20"/>
        </w:rPr>
        <w:t>d</w:t>
      </w:r>
      <w:r w:rsidR="00707DD8">
        <w:rPr>
          <w:rFonts w:ascii="Arial" w:hAnsi="Arial" w:cs="Arial"/>
          <w:sz w:val="20"/>
          <w:szCs w:val="20"/>
        </w:rPr>
        <w:t xml:space="preserve">o </w:t>
      </w:r>
      <w:r w:rsidRPr="004C6CC5">
        <w:rPr>
          <w:rFonts w:ascii="Arial" w:hAnsi="Arial" w:cs="Arial"/>
          <w:sz w:val="20"/>
          <w:szCs w:val="20"/>
        </w:rPr>
        <w:t>r</w:t>
      </w:r>
      <w:r w:rsidR="00707DD8">
        <w:rPr>
          <w:rFonts w:ascii="Arial" w:hAnsi="Arial" w:cs="Arial"/>
          <w:sz w:val="20"/>
          <w:szCs w:val="20"/>
        </w:rPr>
        <w:t>oku</w:t>
      </w:r>
      <w:r w:rsidRPr="004C6CC5">
        <w:rPr>
          <w:rFonts w:ascii="Arial" w:hAnsi="Arial" w:cs="Arial"/>
          <w:sz w:val="20"/>
          <w:szCs w:val="20"/>
        </w:rPr>
        <w:t xml:space="preserve">. Przeładowano m.in. ok. 17,5 mln ton paliw płynnych (+12,8%), ok. 22,9 mln ton drobnicy (z czego ponad 91% skonteneryzowanej) (+6,9%), ok. 4,1 mln ton innych masowych (+5,1%), ok. 6,8 mln ton węgla (-5,8%), ok. 0,6 mln ton zboża (+9,4%). </w:t>
      </w:r>
    </w:p>
    <w:p w14:paraId="61ACB238" w14:textId="0BF7E52A" w:rsidR="00AB689D" w:rsidRPr="004C6CC5" w:rsidRDefault="00AB689D" w:rsidP="008D2321">
      <w:pPr>
        <w:spacing w:line="276" w:lineRule="auto"/>
        <w:jc w:val="both"/>
        <w:rPr>
          <w:rFonts w:ascii="Arial" w:hAnsi="Arial" w:cs="Arial"/>
          <w:sz w:val="20"/>
          <w:szCs w:val="20"/>
        </w:rPr>
      </w:pPr>
      <w:r w:rsidRPr="004C6CC5">
        <w:rPr>
          <w:rFonts w:ascii="Arial" w:hAnsi="Arial" w:cs="Arial"/>
          <w:sz w:val="20"/>
          <w:szCs w:val="20"/>
        </w:rPr>
        <w:lastRenderedPageBreak/>
        <w:t xml:space="preserve">W przypadku Portu Gdynia </w:t>
      </w:r>
      <w:r w:rsidR="004C6CC5">
        <w:rPr>
          <w:rFonts w:ascii="Arial" w:hAnsi="Arial" w:cs="Arial"/>
          <w:sz w:val="20"/>
          <w:szCs w:val="20"/>
        </w:rPr>
        <w:t>w </w:t>
      </w:r>
      <w:r w:rsidRPr="004C6CC5">
        <w:rPr>
          <w:rFonts w:ascii="Arial" w:hAnsi="Arial" w:cs="Arial"/>
          <w:sz w:val="20"/>
          <w:szCs w:val="20"/>
        </w:rPr>
        <w:t xml:space="preserve">roku 2019 </w:t>
      </w:r>
      <w:r w:rsidR="00ED7394" w:rsidRPr="004C6CC5">
        <w:rPr>
          <w:rFonts w:ascii="Arial" w:hAnsi="Arial" w:cs="Arial"/>
          <w:sz w:val="20"/>
          <w:szCs w:val="20"/>
        </w:rPr>
        <w:t xml:space="preserve">został </w:t>
      </w:r>
      <w:r w:rsidRPr="004C6CC5">
        <w:rPr>
          <w:rFonts w:ascii="Arial" w:hAnsi="Arial" w:cs="Arial"/>
          <w:sz w:val="20"/>
          <w:szCs w:val="20"/>
        </w:rPr>
        <w:t xml:space="preserve">osiągnięty jeszcze lepszy </w:t>
      </w:r>
      <w:r w:rsidR="00ED7394" w:rsidRPr="004C6CC5">
        <w:rPr>
          <w:rFonts w:ascii="Arial" w:hAnsi="Arial" w:cs="Arial"/>
          <w:sz w:val="20"/>
          <w:szCs w:val="20"/>
        </w:rPr>
        <w:t>wynik przeładunków</w:t>
      </w:r>
      <w:r w:rsidR="00ED7394">
        <w:rPr>
          <w:rFonts w:ascii="Arial" w:hAnsi="Arial" w:cs="Arial"/>
          <w:sz w:val="20"/>
          <w:szCs w:val="20"/>
        </w:rPr>
        <w:t>,</w:t>
      </w:r>
      <w:r w:rsidR="00ED7394" w:rsidRPr="004C6CC5">
        <w:rPr>
          <w:rFonts w:ascii="Arial" w:hAnsi="Arial" w:cs="Arial"/>
          <w:sz w:val="20"/>
          <w:szCs w:val="20"/>
        </w:rPr>
        <w:t xml:space="preserve"> </w:t>
      </w:r>
      <w:r w:rsidRPr="004C6CC5">
        <w:rPr>
          <w:rFonts w:ascii="Arial" w:hAnsi="Arial" w:cs="Arial"/>
          <w:sz w:val="20"/>
          <w:szCs w:val="20"/>
        </w:rPr>
        <w:t>niż</w:t>
      </w:r>
      <w:r w:rsidR="004C6CC5">
        <w:rPr>
          <w:rFonts w:ascii="Arial" w:hAnsi="Arial" w:cs="Arial"/>
          <w:sz w:val="20"/>
          <w:szCs w:val="20"/>
        </w:rPr>
        <w:t xml:space="preserve"> w </w:t>
      </w:r>
      <w:r w:rsidR="00ED7394">
        <w:rPr>
          <w:rFonts w:ascii="Arial" w:hAnsi="Arial" w:cs="Arial"/>
          <w:sz w:val="20"/>
          <w:szCs w:val="20"/>
        </w:rPr>
        <w:t>roku 2018 - c</w:t>
      </w:r>
      <w:r w:rsidRPr="004C6CC5">
        <w:rPr>
          <w:rFonts w:ascii="Arial" w:hAnsi="Arial" w:cs="Arial"/>
          <w:sz w:val="20"/>
          <w:szCs w:val="20"/>
        </w:rPr>
        <w:t>ały rok zamknął się przeładunkami na poziomi</w:t>
      </w:r>
      <w:r w:rsidR="00BB76BF">
        <w:rPr>
          <w:rFonts w:ascii="Arial" w:hAnsi="Arial" w:cs="Arial"/>
          <w:sz w:val="20"/>
          <w:szCs w:val="20"/>
        </w:rPr>
        <w:t>e blisko 24,0 mln ton (</w:t>
      </w:r>
      <w:r w:rsidR="00707DD8">
        <w:rPr>
          <w:rFonts w:ascii="Arial" w:hAnsi="Arial" w:cs="Arial"/>
          <w:sz w:val="20"/>
          <w:szCs w:val="20"/>
        </w:rPr>
        <w:t>+2,0</w:t>
      </w:r>
      <w:r w:rsidRPr="004C6CC5">
        <w:rPr>
          <w:rFonts w:ascii="Arial" w:hAnsi="Arial" w:cs="Arial"/>
          <w:sz w:val="20"/>
          <w:szCs w:val="20"/>
        </w:rPr>
        <w:t>% r/r).</w:t>
      </w:r>
      <w:r w:rsidR="00065836" w:rsidRPr="004C6CC5">
        <w:rPr>
          <w:rFonts w:ascii="Arial" w:hAnsi="Arial" w:cs="Arial"/>
          <w:sz w:val="20"/>
          <w:szCs w:val="20"/>
        </w:rPr>
        <w:t xml:space="preserve"> </w:t>
      </w:r>
      <w:r w:rsidR="008259EC">
        <w:rPr>
          <w:rFonts w:ascii="Arial" w:hAnsi="Arial" w:cs="Arial"/>
          <w:sz w:val="20"/>
          <w:szCs w:val="20"/>
        </w:rPr>
        <w:br/>
      </w:r>
      <w:r w:rsidR="00C80716" w:rsidRPr="004C6CC5">
        <w:rPr>
          <w:rFonts w:ascii="Arial" w:hAnsi="Arial" w:cs="Arial"/>
          <w:sz w:val="20"/>
          <w:szCs w:val="20"/>
        </w:rPr>
        <w:t>W</w:t>
      </w:r>
      <w:r w:rsidR="00065836" w:rsidRPr="004C6CC5">
        <w:rPr>
          <w:rFonts w:ascii="Arial" w:hAnsi="Arial" w:cs="Arial"/>
          <w:sz w:val="20"/>
          <w:szCs w:val="20"/>
        </w:rPr>
        <w:t> </w:t>
      </w:r>
      <w:r w:rsidR="00C80716" w:rsidRPr="004C6CC5">
        <w:rPr>
          <w:rFonts w:ascii="Arial" w:hAnsi="Arial" w:cs="Arial"/>
          <w:sz w:val="20"/>
          <w:szCs w:val="20"/>
        </w:rPr>
        <w:t xml:space="preserve">2019 r. </w:t>
      </w:r>
      <w:r w:rsidR="000A34A6">
        <w:rPr>
          <w:rFonts w:ascii="Arial" w:hAnsi="Arial" w:cs="Arial"/>
          <w:sz w:val="20"/>
          <w:szCs w:val="20"/>
        </w:rPr>
        <w:t xml:space="preserve">przeładowano m.in. </w:t>
      </w:r>
      <w:r w:rsidRPr="004C6CC5">
        <w:rPr>
          <w:rFonts w:ascii="Arial" w:hAnsi="Arial" w:cs="Arial"/>
          <w:sz w:val="20"/>
          <w:szCs w:val="20"/>
        </w:rPr>
        <w:t>ok. 2,9 mln ton węgla</w:t>
      </w:r>
      <w:r w:rsidR="004C6CC5">
        <w:rPr>
          <w:rFonts w:ascii="Arial" w:hAnsi="Arial" w:cs="Arial"/>
          <w:sz w:val="20"/>
          <w:szCs w:val="20"/>
        </w:rPr>
        <w:t xml:space="preserve"> i </w:t>
      </w:r>
      <w:r w:rsidRPr="004C6CC5">
        <w:rPr>
          <w:rFonts w:ascii="Arial" w:hAnsi="Arial" w:cs="Arial"/>
          <w:sz w:val="20"/>
          <w:szCs w:val="20"/>
        </w:rPr>
        <w:t>koksu, ok. 3,2 mln ton zboża, ok. 0,4 mln ton drewna, ok. 14</w:t>
      </w:r>
      <w:r w:rsidR="000A34A6">
        <w:rPr>
          <w:rFonts w:ascii="Arial" w:hAnsi="Arial" w:cs="Arial"/>
          <w:sz w:val="20"/>
          <w:szCs w:val="20"/>
        </w:rPr>
        <w:t xml:space="preserve">,1 mln ton drobnicy </w:t>
      </w:r>
      <w:r w:rsidR="00ED7394">
        <w:rPr>
          <w:rFonts w:ascii="Arial" w:hAnsi="Arial" w:cs="Arial"/>
          <w:sz w:val="20"/>
          <w:szCs w:val="20"/>
        </w:rPr>
        <w:t xml:space="preserve">(w tym kontenerów) i </w:t>
      </w:r>
      <w:r w:rsidRPr="004C6CC5">
        <w:rPr>
          <w:rFonts w:ascii="Arial" w:hAnsi="Arial" w:cs="Arial"/>
          <w:sz w:val="20"/>
          <w:szCs w:val="20"/>
        </w:rPr>
        <w:t xml:space="preserve">ok. 1,9 mln ton paliw. </w:t>
      </w:r>
    </w:p>
    <w:p w14:paraId="3114FFF9" w14:textId="13D4B0B7" w:rsidR="00D66C3F" w:rsidRPr="00C87537" w:rsidRDefault="00AB689D" w:rsidP="00D66C3F">
      <w:pPr>
        <w:spacing w:line="276" w:lineRule="auto"/>
        <w:jc w:val="both"/>
        <w:rPr>
          <w:rFonts w:ascii="Arial" w:hAnsi="Arial" w:cs="Arial"/>
          <w:sz w:val="20"/>
          <w:szCs w:val="20"/>
        </w:rPr>
      </w:pPr>
      <w:r w:rsidRPr="004C6CC5">
        <w:rPr>
          <w:rFonts w:ascii="Arial" w:hAnsi="Arial" w:cs="Arial"/>
          <w:sz w:val="20"/>
          <w:szCs w:val="20"/>
        </w:rPr>
        <w:t>Zespół portów Szczecin-Świnoujście zakończył rok 2019 wynikiem 32 174,8 tys. ton obsłużonych towarów. Dla porównania</w:t>
      </w:r>
      <w:r w:rsidR="004C6CC5">
        <w:rPr>
          <w:rFonts w:ascii="Arial" w:hAnsi="Arial" w:cs="Arial"/>
          <w:sz w:val="20"/>
          <w:szCs w:val="20"/>
        </w:rPr>
        <w:t xml:space="preserve"> w </w:t>
      </w:r>
      <w:r w:rsidR="00B03962">
        <w:rPr>
          <w:rFonts w:ascii="Arial" w:hAnsi="Arial" w:cs="Arial"/>
          <w:sz w:val="20"/>
          <w:szCs w:val="20"/>
        </w:rPr>
        <w:t>rekordowym 2018 r.</w:t>
      </w:r>
      <w:r w:rsidRPr="004C6CC5">
        <w:rPr>
          <w:rFonts w:ascii="Arial" w:hAnsi="Arial" w:cs="Arial"/>
          <w:sz w:val="20"/>
          <w:szCs w:val="20"/>
        </w:rPr>
        <w:t xml:space="preserve"> towarów było o 3,</w:t>
      </w:r>
      <w:r w:rsidR="00B03962">
        <w:rPr>
          <w:rFonts w:ascii="Arial" w:hAnsi="Arial" w:cs="Arial"/>
          <w:sz w:val="20"/>
          <w:szCs w:val="20"/>
        </w:rPr>
        <w:t>3%</w:t>
      </w:r>
      <w:r w:rsidRPr="004C6CC5">
        <w:rPr>
          <w:rFonts w:ascii="Arial" w:hAnsi="Arial" w:cs="Arial"/>
          <w:sz w:val="20"/>
          <w:szCs w:val="20"/>
        </w:rPr>
        <w:t xml:space="preserve"> więcej, tj. 33 257,4 tys. ton. Na szczycie tabeli wzrostów</w:t>
      </w:r>
      <w:r w:rsidR="004C6CC5">
        <w:rPr>
          <w:rFonts w:ascii="Arial" w:hAnsi="Arial" w:cs="Arial"/>
          <w:sz w:val="20"/>
          <w:szCs w:val="20"/>
        </w:rPr>
        <w:t xml:space="preserve"> z </w:t>
      </w:r>
      <w:r w:rsidRPr="004C6CC5">
        <w:rPr>
          <w:rFonts w:ascii="Arial" w:hAnsi="Arial" w:cs="Arial"/>
          <w:sz w:val="20"/>
          <w:szCs w:val="20"/>
        </w:rPr>
        <w:t>dwucyfrowym wynikiem plasowały się zboża (+</w:t>
      </w:r>
      <w:r w:rsidR="006D5E9C">
        <w:rPr>
          <w:rFonts w:ascii="Arial" w:hAnsi="Arial" w:cs="Arial"/>
          <w:sz w:val="20"/>
          <w:szCs w:val="20"/>
        </w:rPr>
        <w:t>19%) oraz paliwa (+11%</w:t>
      </w:r>
      <w:r w:rsidRPr="004C6CC5">
        <w:rPr>
          <w:rFonts w:ascii="Arial" w:hAnsi="Arial" w:cs="Arial"/>
          <w:sz w:val="20"/>
          <w:szCs w:val="20"/>
        </w:rPr>
        <w:t>),</w:t>
      </w:r>
      <w:r w:rsidR="004C6CC5">
        <w:rPr>
          <w:rFonts w:ascii="Arial" w:hAnsi="Arial" w:cs="Arial"/>
          <w:sz w:val="20"/>
          <w:szCs w:val="20"/>
        </w:rPr>
        <w:t xml:space="preserve"> w </w:t>
      </w:r>
      <w:r w:rsidR="00B03962">
        <w:rPr>
          <w:rFonts w:ascii="Arial" w:hAnsi="Arial" w:cs="Arial"/>
          <w:sz w:val="20"/>
          <w:szCs w:val="20"/>
        </w:rPr>
        <w:t>tym LNG +22%</w:t>
      </w:r>
      <w:r w:rsidRPr="004C6CC5">
        <w:rPr>
          <w:rFonts w:ascii="Arial" w:hAnsi="Arial" w:cs="Arial"/>
          <w:sz w:val="20"/>
          <w:szCs w:val="20"/>
        </w:rPr>
        <w:t>.</w:t>
      </w:r>
      <w:r w:rsidR="00B03962">
        <w:rPr>
          <w:rFonts w:ascii="Arial" w:hAnsi="Arial" w:cs="Arial"/>
          <w:sz w:val="20"/>
          <w:szCs w:val="20"/>
        </w:rPr>
        <w:t xml:space="preserve"> W</w:t>
      </w:r>
      <w:r w:rsidR="00AC1327">
        <w:rPr>
          <w:rFonts w:ascii="Arial" w:hAnsi="Arial" w:cs="Arial"/>
          <w:sz w:val="20"/>
          <w:szCs w:val="20"/>
        </w:rPr>
        <w:t xml:space="preserve"> </w:t>
      </w:r>
      <w:r w:rsidR="00B03962">
        <w:rPr>
          <w:rFonts w:ascii="Arial" w:hAnsi="Arial" w:cs="Arial"/>
          <w:sz w:val="20"/>
          <w:szCs w:val="20"/>
        </w:rPr>
        <w:t>przypadku obrotów gazem LNG</w:t>
      </w:r>
      <w:r w:rsidRPr="004C6CC5">
        <w:rPr>
          <w:rFonts w:ascii="Arial" w:hAnsi="Arial" w:cs="Arial"/>
          <w:sz w:val="20"/>
          <w:szCs w:val="20"/>
        </w:rPr>
        <w:t xml:space="preserve"> przeładowano</w:t>
      </w:r>
      <w:r w:rsidR="004C6CC5">
        <w:rPr>
          <w:rFonts w:ascii="Arial" w:hAnsi="Arial" w:cs="Arial"/>
          <w:sz w:val="20"/>
          <w:szCs w:val="20"/>
        </w:rPr>
        <w:t xml:space="preserve"> w </w:t>
      </w:r>
      <w:r w:rsidR="00B03962">
        <w:rPr>
          <w:rFonts w:ascii="Arial" w:hAnsi="Arial" w:cs="Arial"/>
          <w:sz w:val="20"/>
          <w:szCs w:val="20"/>
        </w:rPr>
        <w:t xml:space="preserve">2019 r. 2 406,8 tys. ton </w:t>
      </w:r>
      <w:r w:rsidR="00E21829">
        <w:rPr>
          <w:rFonts w:ascii="Arial" w:hAnsi="Arial" w:cs="Arial"/>
          <w:sz w:val="20"/>
          <w:szCs w:val="20"/>
        </w:rPr>
        <w:br/>
      </w:r>
      <w:r w:rsidR="00B03962">
        <w:rPr>
          <w:rFonts w:ascii="Arial" w:hAnsi="Arial" w:cs="Arial"/>
          <w:sz w:val="20"/>
          <w:szCs w:val="20"/>
        </w:rPr>
        <w:t xml:space="preserve">(30 statkami w </w:t>
      </w:r>
      <w:r w:rsidRPr="004C6CC5">
        <w:rPr>
          <w:rFonts w:ascii="Arial" w:hAnsi="Arial" w:cs="Arial"/>
          <w:sz w:val="20"/>
          <w:szCs w:val="20"/>
        </w:rPr>
        <w:t>tym: 17 statków</w:t>
      </w:r>
      <w:r w:rsidR="00B03962">
        <w:rPr>
          <w:rFonts w:ascii="Arial" w:hAnsi="Arial" w:cs="Arial"/>
          <w:sz w:val="20"/>
          <w:szCs w:val="20"/>
        </w:rPr>
        <w:t xml:space="preserve"> z </w:t>
      </w:r>
      <w:r w:rsidRPr="004C6CC5">
        <w:rPr>
          <w:rFonts w:ascii="Arial" w:hAnsi="Arial" w:cs="Arial"/>
          <w:sz w:val="20"/>
          <w:szCs w:val="20"/>
        </w:rPr>
        <w:t>Kataru, 10</w:t>
      </w:r>
      <w:r w:rsidR="00B03962">
        <w:rPr>
          <w:rFonts w:ascii="Arial" w:hAnsi="Arial" w:cs="Arial"/>
          <w:sz w:val="20"/>
          <w:szCs w:val="20"/>
        </w:rPr>
        <w:t xml:space="preserve"> z </w:t>
      </w:r>
      <w:r w:rsidRPr="004C6CC5">
        <w:rPr>
          <w:rFonts w:ascii="Arial" w:hAnsi="Arial" w:cs="Arial"/>
          <w:sz w:val="20"/>
          <w:szCs w:val="20"/>
        </w:rPr>
        <w:t>USA</w:t>
      </w:r>
      <w:r w:rsidR="004C6CC5">
        <w:rPr>
          <w:rFonts w:ascii="Arial" w:hAnsi="Arial" w:cs="Arial"/>
          <w:sz w:val="20"/>
          <w:szCs w:val="20"/>
        </w:rPr>
        <w:t xml:space="preserve"> i </w:t>
      </w:r>
      <w:r w:rsidRPr="004C6CC5">
        <w:rPr>
          <w:rFonts w:ascii="Arial" w:hAnsi="Arial" w:cs="Arial"/>
          <w:sz w:val="20"/>
          <w:szCs w:val="20"/>
        </w:rPr>
        <w:t>3</w:t>
      </w:r>
      <w:r w:rsidR="00B03962">
        <w:rPr>
          <w:rFonts w:ascii="Arial" w:hAnsi="Arial" w:cs="Arial"/>
          <w:sz w:val="20"/>
          <w:szCs w:val="20"/>
        </w:rPr>
        <w:t xml:space="preserve"> z Norwegii). Dla porównania w 2018 r.</w:t>
      </w:r>
      <w:r w:rsidRPr="004C6CC5">
        <w:rPr>
          <w:rFonts w:ascii="Arial" w:hAnsi="Arial" w:cs="Arial"/>
          <w:sz w:val="20"/>
          <w:szCs w:val="20"/>
        </w:rPr>
        <w:t xml:space="preserve"> obsłużono</w:t>
      </w:r>
      <w:r w:rsidR="00B66FCE" w:rsidRPr="004C6CC5">
        <w:rPr>
          <w:rFonts w:ascii="Arial" w:hAnsi="Arial" w:cs="Arial"/>
          <w:sz w:val="20"/>
          <w:szCs w:val="20"/>
        </w:rPr>
        <w:t xml:space="preserve"> 1 </w:t>
      </w:r>
      <w:r w:rsidRPr="004C6CC5">
        <w:rPr>
          <w:rFonts w:ascii="Arial" w:hAnsi="Arial" w:cs="Arial"/>
          <w:sz w:val="20"/>
          <w:szCs w:val="20"/>
        </w:rPr>
        <w:t>977,4 tys. ton (23 statki</w:t>
      </w:r>
      <w:r w:rsidR="004C6CC5">
        <w:rPr>
          <w:rFonts w:ascii="Arial" w:hAnsi="Arial" w:cs="Arial"/>
          <w:sz w:val="20"/>
          <w:szCs w:val="20"/>
        </w:rPr>
        <w:t xml:space="preserve"> w </w:t>
      </w:r>
      <w:r w:rsidRPr="004C6CC5">
        <w:rPr>
          <w:rFonts w:ascii="Arial" w:hAnsi="Arial" w:cs="Arial"/>
          <w:sz w:val="20"/>
          <w:szCs w:val="20"/>
        </w:rPr>
        <w:t>tym: 18</w:t>
      </w:r>
      <w:r w:rsidR="004C6CC5">
        <w:rPr>
          <w:rFonts w:ascii="Arial" w:hAnsi="Arial" w:cs="Arial"/>
          <w:sz w:val="20"/>
          <w:szCs w:val="20"/>
        </w:rPr>
        <w:t xml:space="preserve"> z </w:t>
      </w:r>
      <w:r w:rsidRPr="004C6CC5">
        <w:rPr>
          <w:rFonts w:ascii="Arial" w:hAnsi="Arial" w:cs="Arial"/>
          <w:sz w:val="20"/>
          <w:szCs w:val="20"/>
        </w:rPr>
        <w:t>Kataru, 4</w:t>
      </w:r>
      <w:r w:rsidR="004C6CC5">
        <w:rPr>
          <w:rFonts w:ascii="Arial" w:hAnsi="Arial" w:cs="Arial"/>
          <w:sz w:val="20"/>
          <w:szCs w:val="20"/>
        </w:rPr>
        <w:t xml:space="preserve"> z </w:t>
      </w:r>
      <w:r w:rsidRPr="004C6CC5">
        <w:rPr>
          <w:rFonts w:ascii="Arial" w:hAnsi="Arial" w:cs="Arial"/>
          <w:sz w:val="20"/>
          <w:szCs w:val="20"/>
        </w:rPr>
        <w:t>Norwegii</w:t>
      </w:r>
      <w:r w:rsidR="004C6CC5">
        <w:rPr>
          <w:rFonts w:ascii="Arial" w:hAnsi="Arial" w:cs="Arial"/>
          <w:sz w:val="20"/>
          <w:szCs w:val="20"/>
        </w:rPr>
        <w:t xml:space="preserve"> i </w:t>
      </w:r>
      <w:r w:rsidR="00B66FCE" w:rsidRPr="004C6CC5">
        <w:rPr>
          <w:rFonts w:ascii="Arial" w:hAnsi="Arial" w:cs="Arial"/>
          <w:sz w:val="20"/>
          <w:szCs w:val="20"/>
        </w:rPr>
        <w:t>1</w:t>
      </w:r>
      <w:r w:rsidR="004C6CC5">
        <w:rPr>
          <w:rFonts w:ascii="Arial" w:hAnsi="Arial" w:cs="Arial"/>
          <w:sz w:val="20"/>
          <w:szCs w:val="20"/>
        </w:rPr>
        <w:t xml:space="preserve"> z </w:t>
      </w:r>
      <w:r w:rsidR="00110FD1">
        <w:rPr>
          <w:rFonts w:ascii="Arial" w:hAnsi="Arial" w:cs="Arial"/>
          <w:sz w:val="20"/>
          <w:szCs w:val="20"/>
        </w:rPr>
        <w:t xml:space="preserve">USA). </w:t>
      </w:r>
    </w:p>
    <w:p w14:paraId="459C3DCC" w14:textId="46122C97" w:rsidR="004719FE" w:rsidRPr="00A25C1D" w:rsidRDefault="00D66C3F" w:rsidP="00A25C1D">
      <w:pPr>
        <w:spacing w:line="276" w:lineRule="auto"/>
        <w:jc w:val="both"/>
        <w:rPr>
          <w:rFonts w:ascii="Arial" w:hAnsi="Arial" w:cs="Arial"/>
          <w:sz w:val="20"/>
          <w:szCs w:val="20"/>
        </w:rPr>
      </w:pPr>
      <w:r w:rsidRPr="00C87537">
        <w:rPr>
          <w:rFonts w:ascii="Arial" w:hAnsi="Arial" w:cs="Arial"/>
          <w:sz w:val="20"/>
          <w:szCs w:val="20"/>
        </w:rPr>
        <w:t xml:space="preserve">Zarządy portów morskich o podstawowym znaczeniu dla gospodarki narodowej zgodnie </w:t>
      </w:r>
      <w:r w:rsidR="00D24659">
        <w:rPr>
          <w:rFonts w:ascii="Arial" w:hAnsi="Arial" w:cs="Arial"/>
          <w:sz w:val="20"/>
          <w:szCs w:val="20"/>
        </w:rPr>
        <w:t>z założeniami polityki morskiej państwa oraz</w:t>
      </w:r>
      <w:r w:rsidRPr="00C87537">
        <w:rPr>
          <w:rFonts w:ascii="Arial" w:hAnsi="Arial" w:cs="Arial"/>
          <w:sz w:val="20"/>
          <w:szCs w:val="20"/>
        </w:rPr>
        <w:t xml:space="preserve"> swoimi głównymi celami strategicznymi kontynuowały </w:t>
      </w:r>
      <w:r w:rsidRPr="009F5D7E">
        <w:rPr>
          <w:rFonts w:ascii="Arial" w:hAnsi="Arial" w:cs="Arial"/>
          <w:sz w:val="20"/>
          <w:szCs w:val="20"/>
        </w:rPr>
        <w:t xml:space="preserve">prace związane </w:t>
      </w:r>
      <w:r w:rsidR="00B03962">
        <w:rPr>
          <w:rFonts w:ascii="Arial" w:hAnsi="Arial" w:cs="Arial"/>
          <w:sz w:val="20"/>
          <w:szCs w:val="20"/>
        </w:rPr>
        <w:br/>
      </w:r>
      <w:r w:rsidRPr="009F5D7E">
        <w:rPr>
          <w:rFonts w:ascii="Arial" w:hAnsi="Arial" w:cs="Arial"/>
          <w:sz w:val="20"/>
          <w:szCs w:val="20"/>
        </w:rPr>
        <w:t xml:space="preserve">z realizacją </w:t>
      </w:r>
      <w:r w:rsidR="0024334C">
        <w:rPr>
          <w:rFonts w:ascii="Arial" w:hAnsi="Arial" w:cs="Arial"/>
          <w:sz w:val="20"/>
          <w:szCs w:val="20"/>
        </w:rPr>
        <w:t xml:space="preserve">największych inwestycji w historii odpowiadając na </w:t>
      </w:r>
      <w:r w:rsidR="00CD6339">
        <w:rPr>
          <w:rFonts w:ascii="Arial" w:hAnsi="Arial" w:cs="Arial"/>
          <w:sz w:val="20"/>
          <w:szCs w:val="20"/>
        </w:rPr>
        <w:t xml:space="preserve">istniejące </w:t>
      </w:r>
      <w:r w:rsidR="0024334C">
        <w:rPr>
          <w:rFonts w:ascii="Arial" w:hAnsi="Arial" w:cs="Arial"/>
          <w:sz w:val="20"/>
          <w:szCs w:val="20"/>
        </w:rPr>
        <w:t>w</w:t>
      </w:r>
      <w:r w:rsidR="00D93607" w:rsidRPr="00C87537">
        <w:rPr>
          <w:rFonts w:ascii="Arial" w:hAnsi="Arial" w:cs="Arial"/>
          <w:sz w:val="20"/>
          <w:szCs w:val="20"/>
        </w:rPr>
        <w:t xml:space="preserve">yzwania </w:t>
      </w:r>
      <w:r w:rsidR="00CD6339" w:rsidRPr="00C87537">
        <w:rPr>
          <w:rFonts w:ascii="Arial" w:hAnsi="Arial" w:cs="Arial"/>
          <w:sz w:val="20"/>
          <w:szCs w:val="20"/>
        </w:rPr>
        <w:t>gospodarcze</w:t>
      </w:r>
      <w:r w:rsidR="00CD6339">
        <w:rPr>
          <w:rFonts w:ascii="Arial" w:hAnsi="Arial" w:cs="Arial"/>
          <w:sz w:val="20"/>
          <w:szCs w:val="20"/>
        </w:rPr>
        <w:t>,</w:t>
      </w:r>
      <w:r w:rsidR="00CD6339" w:rsidRPr="00C87537">
        <w:rPr>
          <w:rFonts w:ascii="Arial" w:hAnsi="Arial" w:cs="Arial"/>
          <w:sz w:val="20"/>
          <w:szCs w:val="20"/>
        </w:rPr>
        <w:t xml:space="preserve"> ekologiczne </w:t>
      </w:r>
      <w:r w:rsidR="00CD6339">
        <w:rPr>
          <w:rFonts w:ascii="Arial" w:hAnsi="Arial" w:cs="Arial"/>
          <w:sz w:val="20"/>
          <w:szCs w:val="20"/>
        </w:rPr>
        <w:t xml:space="preserve"> i technologiczne. </w:t>
      </w:r>
      <w:r w:rsidR="00976C93">
        <w:rPr>
          <w:rFonts w:ascii="Arial" w:hAnsi="Arial" w:cs="Arial"/>
          <w:color w:val="000000"/>
          <w:sz w:val="20"/>
          <w:szCs w:val="20"/>
        </w:rPr>
        <w:t>Tzw. specustawa portowa</w:t>
      </w:r>
      <w:r w:rsidR="0056704E" w:rsidRPr="0056704E">
        <w:rPr>
          <w:rFonts w:ascii="Arial" w:hAnsi="Arial" w:cs="Arial"/>
          <w:color w:val="000000"/>
          <w:sz w:val="20"/>
          <w:szCs w:val="20"/>
        </w:rPr>
        <w:t xml:space="preserve"> z dnia 9 sierpnia 2019 r. o inwestycjach </w:t>
      </w:r>
      <w:r w:rsidR="00CD6339">
        <w:rPr>
          <w:rFonts w:ascii="Arial" w:hAnsi="Arial" w:cs="Arial"/>
          <w:color w:val="000000"/>
          <w:sz w:val="20"/>
          <w:szCs w:val="20"/>
        </w:rPr>
        <w:br/>
      </w:r>
      <w:r w:rsidR="0056704E" w:rsidRPr="0056704E">
        <w:rPr>
          <w:rFonts w:ascii="Arial" w:hAnsi="Arial" w:cs="Arial"/>
          <w:color w:val="000000"/>
          <w:sz w:val="20"/>
          <w:szCs w:val="20"/>
        </w:rPr>
        <w:t>w zakresie budowy portów zewnętrznych wprowadza</w:t>
      </w:r>
      <w:r w:rsidR="0056704E">
        <w:rPr>
          <w:rFonts w:ascii="Arial" w:hAnsi="Arial" w:cs="Arial"/>
          <w:color w:val="000000"/>
          <w:sz w:val="20"/>
          <w:szCs w:val="20"/>
        </w:rPr>
        <w:t>jąca</w:t>
      </w:r>
      <w:r w:rsidR="0056704E" w:rsidRPr="0056704E">
        <w:rPr>
          <w:rFonts w:ascii="Arial" w:hAnsi="Arial" w:cs="Arial"/>
          <w:color w:val="000000"/>
          <w:sz w:val="20"/>
          <w:szCs w:val="20"/>
        </w:rPr>
        <w:t xml:space="preserve"> ułatwienia proceduralne usprawniające budowę portów zewnętrznych w ramach rozbudowy portów o podstawowym znac</w:t>
      </w:r>
      <w:r w:rsidR="0056704E">
        <w:rPr>
          <w:rFonts w:ascii="Arial" w:hAnsi="Arial" w:cs="Arial"/>
          <w:color w:val="000000"/>
          <w:sz w:val="20"/>
          <w:szCs w:val="20"/>
        </w:rPr>
        <w:t>zeniu dla gospodarki narodowej przyspieszy</w:t>
      </w:r>
      <w:r w:rsidR="008271B8">
        <w:rPr>
          <w:rFonts w:ascii="Arial" w:hAnsi="Arial" w:cs="Arial"/>
          <w:color w:val="000000"/>
          <w:sz w:val="20"/>
          <w:szCs w:val="20"/>
        </w:rPr>
        <w:t xml:space="preserve"> dodatkowo</w:t>
      </w:r>
      <w:r w:rsidR="0056704E">
        <w:rPr>
          <w:rFonts w:ascii="Arial" w:hAnsi="Arial" w:cs="Arial"/>
          <w:color w:val="000000"/>
          <w:sz w:val="20"/>
          <w:szCs w:val="20"/>
        </w:rPr>
        <w:t xml:space="preserve"> proces rozbudowy polskich portów morskich</w:t>
      </w:r>
      <w:r w:rsidR="00225901">
        <w:rPr>
          <w:rFonts w:ascii="Arial" w:hAnsi="Arial" w:cs="Arial"/>
          <w:color w:val="000000"/>
          <w:sz w:val="20"/>
          <w:szCs w:val="20"/>
        </w:rPr>
        <w:t xml:space="preserve"> i tym samym przyczyni się do umocnienia</w:t>
      </w:r>
      <w:r w:rsidR="00C570EE">
        <w:rPr>
          <w:rFonts w:ascii="Arial" w:hAnsi="Arial" w:cs="Arial"/>
          <w:color w:val="000000"/>
          <w:sz w:val="20"/>
          <w:szCs w:val="20"/>
        </w:rPr>
        <w:t xml:space="preserve"> ich pozy</w:t>
      </w:r>
      <w:r w:rsidR="00225901">
        <w:rPr>
          <w:rFonts w:ascii="Arial" w:hAnsi="Arial" w:cs="Arial"/>
          <w:color w:val="000000"/>
          <w:sz w:val="20"/>
          <w:szCs w:val="20"/>
        </w:rPr>
        <w:t>cji</w:t>
      </w:r>
      <w:r w:rsidR="00C570EE">
        <w:rPr>
          <w:rFonts w:ascii="Arial" w:hAnsi="Arial" w:cs="Arial"/>
          <w:color w:val="000000"/>
          <w:sz w:val="20"/>
          <w:szCs w:val="20"/>
        </w:rPr>
        <w:t xml:space="preserve"> wśród portó</w:t>
      </w:r>
      <w:r w:rsidR="00BC7BFF">
        <w:rPr>
          <w:rFonts w:ascii="Arial" w:hAnsi="Arial" w:cs="Arial"/>
          <w:color w:val="000000"/>
          <w:sz w:val="20"/>
          <w:szCs w:val="20"/>
        </w:rPr>
        <w:t>w europejskich.</w:t>
      </w:r>
    </w:p>
    <w:p w14:paraId="36F63A0A" w14:textId="3FCA6280" w:rsidR="006A4395" w:rsidRPr="00F87896" w:rsidRDefault="00F87896" w:rsidP="00F87896">
      <w:pPr>
        <w:pStyle w:val="Tekstpodstawowywcity"/>
        <w:spacing w:before="120" w:line="276" w:lineRule="auto"/>
        <w:ind w:left="0"/>
        <w:jc w:val="both"/>
        <w:rPr>
          <w:rFonts w:ascii="Arial" w:hAnsi="Arial" w:cs="Arial"/>
          <w:sz w:val="20"/>
        </w:rPr>
      </w:pPr>
      <w:r>
        <w:rPr>
          <w:rFonts w:ascii="Arial" w:hAnsi="Arial" w:cs="Arial"/>
          <w:sz w:val="20"/>
        </w:rPr>
        <w:t>W</w:t>
      </w:r>
      <w:r w:rsidR="000D6B1B">
        <w:rPr>
          <w:rFonts w:ascii="Arial" w:hAnsi="Arial" w:cs="Arial"/>
          <w:sz w:val="20"/>
        </w:rPr>
        <w:t xml:space="preserve"> </w:t>
      </w:r>
      <w:r w:rsidR="004E62C3" w:rsidRPr="004E62C3">
        <w:rPr>
          <w:rFonts w:ascii="Arial" w:hAnsi="Arial" w:cs="Arial"/>
          <w:sz w:val="20"/>
        </w:rPr>
        <w:t xml:space="preserve">perspektywie finansowej 2021-2027 planowana jest kontynuacja wsparcia modernizacji portów </w:t>
      </w:r>
      <w:r w:rsidR="006A6BB7">
        <w:rPr>
          <w:rFonts w:ascii="Arial" w:hAnsi="Arial" w:cs="Arial"/>
          <w:sz w:val="20"/>
        </w:rPr>
        <w:br/>
      </w:r>
      <w:r w:rsidR="004E62C3" w:rsidRPr="004E62C3">
        <w:rPr>
          <w:rFonts w:ascii="Arial" w:hAnsi="Arial" w:cs="Arial"/>
          <w:sz w:val="20"/>
        </w:rPr>
        <w:t>o podstawowym znac</w:t>
      </w:r>
      <w:r w:rsidR="006A6BB7">
        <w:rPr>
          <w:rFonts w:ascii="Arial" w:hAnsi="Arial" w:cs="Arial"/>
          <w:sz w:val="20"/>
        </w:rPr>
        <w:t xml:space="preserve">zeniu dla gospodarki narodowej. </w:t>
      </w:r>
      <w:r w:rsidR="001E2CEA">
        <w:rPr>
          <w:rFonts w:ascii="Arial" w:hAnsi="Arial" w:cs="Arial"/>
          <w:sz w:val="20"/>
          <w:szCs w:val="20"/>
        </w:rPr>
        <w:t>P</w:t>
      </w:r>
      <w:r w:rsidR="00FE3DB8">
        <w:rPr>
          <w:rFonts w:ascii="Arial" w:hAnsi="Arial" w:cs="Arial"/>
          <w:sz w:val="20"/>
          <w:szCs w:val="20"/>
        </w:rPr>
        <w:t>rzewiduje się</w:t>
      </w:r>
      <w:r w:rsidR="00FD50B0">
        <w:rPr>
          <w:rFonts w:ascii="Arial" w:hAnsi="Arial" w:cs="Arial"/>
          <w:sz w:val="20"/>
          <w:szCs w:val="20"/>
        </w:rPr>
        <w:t xml:space="preserve"> </w:t>
      </w:r>
      <w:r w:rsidR="00E45AF3">
        <w:rPr>
          <w:rFonts w:ascii="Arial" w:hAnsi="Arial" w:cs="Arial"/>
          <w:sz w:val="20"/>
          <w:szCs w:val="20"/>
        </w:rPr>
        <w:t xml:space="preserve">również </w:t>
      </w:r>
      <w:r w:rsidR="00FE3DB8">
        <w:rPr>
          <w:rFonts w:ascii="Arial" w:hAnsi="Arial" w:cs="Arial"/>
          <w:sz w:val="20"/>
          <w:szCs w:val="20"/>
        </w:rPr>
        <w:t>podjęcie</w:t>
      </w:r>
      <w:r w:rsidR="00393F71" w:rsidRPr="00545E56">
        <w:rPr>
          <w:rFonts w:ascii="Arial" w:hAnsi="Arial" w:cs="Arial"/>
          <w:sz w:val="20"/>
          <w:szCs w:val="20"/>
        </w:rPr>
        <w:t xml:space="preserve"> </w:t>
      </w:r>
      <w:r w:rsidR="00FE3DB8">
        <w:rPr>
          <w:rFonts w:ascii="Arial" w:hAnsi="Arial" w:cs="Arial"/>
          <w:sz w:val="20"/>
          <w:szCs w:val="20"/>
        </w:rPr>
        <w:t>działań</w:t>
      </w:r>
      <w:r w:rsidR="00393F71" w:rsidRPr="00545E56">
        <w:rPr>
          <w:rFonts w:ascii="Arial" w:hAnsi="Arial" w:cs="Arial"/>
          <w:sz w:val="20"/>
          <w:szCs w:val="20"/>
        </w:rPr>
        <w:t xml:space="preserve"> na rzecz włączenia </w:t>
      </w:r>
      <w:r w:rsidR="00FD50B0">
        <w:rPr>
          <w:rFonts w:ascii="Arial" w:hAnsi="Arial" w:cs="Arial"/>
          <w:sz w:val="20"/>
          <w:szCs w:val="20"/>
        </w:rPr>
        <w:t xml:space="preserve">wybranych </w:t>
      </w:r>
      <w:r w:rsidR="00393F71">
        <w:rPr>
          <w:rFonts w:ascii="Arial" w:hAnsi="Arial" w:cs="Arial"/>
          <w:sz w:val="20"/>
          <w:szCs w:val="20"/>
        </w:rPr>
        <w:t xml:space="preserve">mniejszych </w:t>
      </w:r>
      <w:r w:rsidR="00393F71" w:rsidRPr="00545E56">
        <w:rPr>
          <w:rFonts w:ascii="Arial" w:hAnsi="Arial" w:cs="Arial"/>
          <w:sz w:val="20"/>
          <w:szCs w:val="20"/>
        </w:rPr>
        <w:t xml:space="preserve">portów </w:t>
      </w:r>
      <w:r w:rsidR="00393F71">
        <w:rPr>
          <w:rFonts w:ascii="Arial" w:hAnsi="Arial" w:cs="Arial"/>
          <w:sz w:val="20"/>
          <w:szCs w:val="20"/>
        </w:rPr>
        <w:t>do sieci kompleksowej TEN-T</w:t>
      </w:r>
      <w:r w:rsidR="00F55683">
        <w:rPr>
          <w:rFonts w:ascii="Arial" w:hAnsi="Arial" w:cs="Arial"/>
          <w:sz w:val="20"/>
          <w:szCs w:val="20"/>
        </w:rPr>
        <w:t xml:space="preserve">. </w:t>
      </w:r>
      <w:r w:rsidR="006A6BB7" w:rsidRPr="00545E56">
        <w:rPr>
          <w:rFonts w:ascii="Arial" w:hAnsi="Arial" w:cs="Arial"/>
          <w:sz w:val="20"/>
          <w:szCs w:val="20"/>
        </w:rPr>
        <w:t xml:space="preserve">Włączenie </w:t>
      </w:r>
      <w:r w:rsidR="006A6BB7">
        <w:rPr>
          <w:rFonts w:ascii="Arial" w:hAnsi="Arial" w:cs="Arial"/>
          <w:sz w:val="20"/>
          <w:szCs w:val="20"/>
        </w:rPr>
        <w:t>małych</w:t>
      </w:r>
      <w:r w:rsidR="006A6BB7" w:rsidRPr="00545E56">
        <w:rPr>
          <w:rFonts w:ascii="Arial" w:hAnsi="Arial" w:cs="Arial"/>
          <w:sz w:val="20"/>
          <w:szCs w:val="20"/>
        </w:rPr>
        <w:t xml:space="preserve"> portów</w:t>
      </w:r>
      <w:r w:rsidR="00C73F1B">
        <w:rPr>
          <w:rFonts w:ascii="Arial" w:hAnsi="Arial" w:cs="Arial"/>
          <w:sz w:val="20"/>
          <w:szCs w:val="20"/>
        </w:rPr>
        <w:t>,</w:t>
      </w:r>
      <w:r w:rsidR="006A6BB7" w:rsidRPr="00545E56">
        <w:rPr>
          <w:rFonts w:ascii="Arial" w:hAnsi="Arial" w:cs="Arial"/>
          <w:sz w:val="20"/>
          <w:szCs w:val="20"/>
        </w:rPr>
        <w:t xml:space="preserve"> stanowią</w:t>
      </w:r>
      <w:r w:rsidR="006A6BB7">
        <w:rPr>
          <w:rFonts w:ascii="Arial" w:hAnsi="Arial" w:cs="Arial"/>
          <w:sz w:val="20"/>
          <w:szCs w:val="20"/>
        </w:rPr>
        <w:t>cych</w:t>
      </w:r>
      <w:r w:rsidR="006A6BB7" w:rsidRPr="00545E56">
        <w:rPr>
          <w:rFonts w:ascii="Arial" w:hAnsi="Arial" w:cs="Arial"/>
          <w:sz w:val="20"/>
          <w:szCs w:val="20"/>
        </w:rPr>
        <w:t xml:space="preserve"> ważne ogniwa rozwoju społeczno-gospodarczego do sieci kompleksowej TEN-T</w:t>
      </w:r>
      <w:r w:rsidR="00C73F1B">
        <w:rPr>
          <w:rFonts w:ascii="Arial" w:hAnsi="Arial" w:cs="Arial"/>
          <w:sz w:val="20"/>
          <w:szCs w:val="20"/>
        </w:rPr>
        <w:t>,</w:t>
      </w:r>
      <w:r w:rsidR="006A6BB7" w:rsidRPr="00545E56">
        <w:rPr>
          <w:rFonts w:ascii="Arial" w:hAnsi="Arial" w:cs="Arial"/>
          <w:sz w:val="20"/>
          <w:szCs w:val="20"/>
        </w:rPr>
        <w:t xml:space="preserve"> przyczyniłoby się do ich dalszego rozwoju oraz stanowiłoby dodatkowy atut dla pozyskania kolejnych inwestorów stymulujących rozwój </w:t>
      </w:r>
      <w:r w:rsidR="006A6BB7">
        <w:rPr>
          <w:rFonts w:ascii="Arial" w:hAnsi="Arial" w:cs="Arial"/>
          <w:sz w:val="20"/>
          <w:szCs w:val="20"/>
        </w:rPr>
        <w:t xml:space="preserve">polskiej </w:t>
      </w:r>
      <w:r w:rsidR="006A6BB7" w:rsidRPr="00545E56">
        <w:rPr>
          <w:rFonts w:ascii="Arial" w:hAnsi="Arial" w:cs="Arial"/>
          <w:sz w:val="20"/>
          <w:szCs w:val="20"/>
        </w:rPr>
        <w:t>gospodarki morskiej i transportu, z wykorzystaniem możliwości przeładunkowych portów.</w:t>
      </w:r>
      <w:r w:rsidR="006A6BB7">
        <w:rPr>
          <w:rFonts w:ascii="Arial" w:hAnsi="Arial" w:cs="Arial"/>
          <w:sz w:val="20"/>
          <w:szCs w:val="20"/>
        </w:rPr>
        <w:t xml:space="preserve"> </w:t>
      </w:r>
    </w:p>
    <w:p w14:paraId="30B36A18" w14:textId="27F2ECBE" w:rsidR="008548D9" w:rsidRPr="00CD77FB" w:rsidRDefault="008A4CB3" w:rsidP="00CD77FB">
      <w:pPr>
        <w:spacing w:line="276" w:lineRule="auto"/>
        <w:jc w:val="both"/>
        <w:rPr>
          <w:rFonts w:ascii="Arial" w:hAnsi="Arial" w:cs="Arial"/>
          <w:sz w:val="20"/>
          <w:szCs w:val="20"/>
        </w:rPr>
      </w:pPr>
      <w:r w:rsidRPr="00CD77FB">
        <w:rPr>
          <w:rFonts w:ascii="Arial" w:hAnsi="Arial" w:cs="Arial"/>
          <w:sz w:val="20"/>
          <w:szCs w:val="20"/>
        </w:rPr>
        <w:t xml:space="preserve">Priorytetem dla Polski, jak i dla wszystkich krajów nadbałtyckich </w:t>
      </w:r>
      <w:r w:rsidR="00244A3A" w:rsidRPr="00CD77FB">
        <w:rPr>
          <w:rFonts w:ascii="Arial" w:hAnsi="Arial" w:cs="Arial"/>
          <w:sz w:val="20"/>
          <w:szCs w:val="20"/>
        </w:rPr>
        <w:t>jest osiągnięcie dobrego stanu ekologicznego Morza Bałtyckiego</w:t>
      </w:r>
      <w:r w:rsidR="00244A3A">
        <w:rPr>
          <w:rFonts w:ascii="Arial" w:hAnsi="Arial" w:cs="Arial"/>
          <w:sz w:val="20"/>
          <w:szCs w:val="20"/>
        </w:rPr>
        <w:t xml:space="preserve"> </w:t>
      </w:r>
      <w:r w:rsidR="008414F9">
        <w:rPr>
          <w:rFonts w:ascii="Arial" w:hAnsi="Arial" w:cs="Arial"/>
          <w:sz w:val="20"/>
          <w:szCs w:val="20"/>
        </w:rPr>
        <w:t xml:space="preserve">oraz </w:t>
      </w:r>
      <w:r w:rsidRPr="00CD77FB">
        <w:rPr>
          <w:rFonts w:ascii="Arial" w:hAnsi="Arial" w:cs="Arial"/>
          <w:sz w:val="20"/>
          <w:szCs w:val="20"/>
        </w:rPr>
        <w:t>zrównoważo</w:t>
      </w:r>
      <w:r w:rsidR="00FB0664">
        <w:rPr>
          <w:rFonts w:ascii="Arial" w:hAnsi="Arial" w:cs="Arial"/>
          <w:sz w:val="20"/>
          <w:szCs w:val="20"/>
        </w:rPr>
        <w:t>ny rozwój całego regionu</w:t>
      </w:r>
      <w:r w:rsidR="00244A3A">
        <w:rPr>
          <w:rFonts w:ascii="Arial" w:hAnsi="Arial" w:cs="Arial"/>
          <w:sz w:val="20"/>
          <w:szCs w:val="20"/>
        </w:rPr>
        <w:t xml:space="preserve">. </w:t>
      </w:r>
      <w:r w:rsidR="008C1614" w:rsidRPr="00CD77FB">
        <w:rPr>
          <w:rFonts w:ascii="Arial" w:hAnsi="Arial" w:cs="Arial"/>
          <w:sz w:val="20"/>
          <w:szCs w:val="20"/>
        </w:rPr>
        <w:t>Polska, jako strona Konwencji Helsińskiej</w:t>
      </w:r>
      <w:r w:rsidR="00CA3B4E" w:rsidRPr="00CD77FB">
        <w:rPr>
          <w:rFonts w:ascii="Arial" w:hAnsi="Arial" w:cs="Arial"/>
          <w:sz w:val="20"/>
          <w:szCs w:val="20"/>
        </w:rPr>
        <w:t xml:space="preserve"> </w:t>
      </w:r>
      <w:r w:rsidR="007A5928" w:rsidRPr="00CD77FB">
        <w:rPr>
          <w:rFonts w:ascii="Arial" w:hAnsi="Arial" w:cs="Arial"/>
          <w:sz w:val="20"/>
          <w:szCs w:val="20"/>
        </w:rPr>
        <w:t xml:space="preserve">w 2019 r. </w:t>
      </w:r>
      <w:r w:rsidR="00CA3B4E" w:rsidRPr="00CD77FB">
        <w:rPr>
          <w:rFonts w:ascii="Arial" w:hAnsi="Arial" w:cs="Arial"/>
          <w:sz w:val="20"/>
          <w:szCs w:val="20"/>
        </w:rPr>
        <w:t>aktywnie uczestniczy</w:t>
      </w:r>
      <w:r w:rsidRPr="00CD77FB">
        <w:rPr>
          <w:rFonts w:ascii="Arial" w:hAnsi="Arial" w:cs="Arial"/>
          <w:sz w:val="20"/>
          <w:szCs w:val="20"/>
        </w:rPr>
        <w:t xml:space="preserve">ła </w:t>
      </w:r>
      <w:r w:rsidR="00CA3B4E" w:rsidRPr="00CD77FB">
        <w:rPr>
          <w:rFonts w:ascii="Arial" w:hAnsi="Arial" w:cs="Arial"/>
          <w:sz w:val="20"/>
          <w:szCs w:val="20"/>
        </w:rPr>
        <w:t xml:space="preserve">w działaniach prowadzonych </w:t>
      </w:r>
      <w:r w:rsidR="00722EE0">
        <w:rPr>
          <w:rFonts w:ascii="Arial" w:hAnsi="Arial" w:cs="Arial"/>
          <w:sz w:val="20"/>
          <w:szCs w:val="20"/>
        </w:rPr>
        <w:t xml:space="preserve">zarówno </w:t>
      </w:r>
      <w:r w:rsidR="00CA3B4E" w:rsidRPr="00CD77FB">
        <w:rPr>
          <w:rFonts w:ascii="Arial" w:hAnsi="Arial" w:cs="Arial"/>
          <w:sz w:val="20"/>
          <w:szCs w:val="20"/>
        </w:rPr>
        <w:t xml:space="preserve">przez HELCOM w celu </w:t>
      </w:r>
      <w:r w:rsidR="008C1614" w:rsidRPr="00CD77FB">
        <w:rPr>
          <w:rFonts w:ascii="Arial" w:hAnsi="Arial" w:cs="Arial"/>
          <w:sz w:val="20"/>
          <w:szCs w:val="20"/>
        </w:rPr>
        <w:t xml:space="preserve">zapobiegania i eliminowania zanieczyszczenia Bałtyku, </w:t>
      </w:r>
      <w:r w:rsidR="00AB06AE" w:rsidRPr="00CD77FB">
        <w:rPr>
          <w:rFonts w:ascii="Arial" w:hAnsi="Arial" w:cs="Arial"/>
          <w:sz w:val="20"/>
          <w:szCs w:val="20"/>
        </w:rPr>
        <w:t xml:space="preserve">ale </w:t>
      </w:r>
      <w:r w:rsidR="00722EE0">
        <w:rPr>
          <w:rFonts w:ascii="Arial" w:hAnsi="Arial" w:cs="Arial"/>
          <w:sz w:val="20"/>
          <w:szCs w:val="20"/>
        </w:rPr>
        <w:t>również</w:t>
      </w:r>
      <w:r w:rsidR="00AB06AE" w:rsidRPr="00CD77FB">
        <w:rPr>
          <w:rFonts w:ascii="Arial" w:hAnsi="Arial" w:cs="Arial"/>
          <w:sz w:val="20"/>
          <w:szCs w:val="20"/>
        </w:rPr>
        <w:t xml:space="preserve"> </w:t>
      </w:r>
      <w:r w:rsidR="00804556">
        <w:rPr>
          <w:rFonts w:ascii="Arial" w:hAnsi="Arial" w:cs="Arial"/>
          <w:sz w:val="20"/>
          <w:szCs w:val="20"/>
        </w:rPr>
        <w:t>w ramach</w:t>
      </w:r>
      <w:r w:rsidR="00AB06AE" w:rsidRPr="00CD77FB">
        <w:rPr>
          <w:rFonts w:ascii="Arial" w:hAnsi="Arial" w:cs="Arial"/>
          <w:sz w:val="20"/>
          <w:szCs w:val="20"/>
        </w:rPr>
        <w:t xml:space="preserve"> wszystkich grup roboczych </w:t>
      </w:r>
      <w:r w:rsidR="008C1614" w:rsidRPr="00CD77FB">
        <w:rPr>
          <w:rFonts w:ascii="Arial" w:hAnsi="Arial" w:cs="Arial"/>
          <w:sz w:val="20"/>
          <w:szCs w:val="20"/>
        </w:rPr>
        <w:t>na szczeblu UE</w:t>
      </w:r>
      <w:r w:rsidR="00AB06AE" w:rsidRPr="00CD77FB">
        <w:rPr>
          <w:rFonts w:ascii="Arial" w:hAnsi="Arial" w:cs="Arial"/>
          <w:sz w:val="20"/>
          <w:szCs w:val="20"/>
        </w:rPr>
        <w:t xml:space="preserve"> </w:t>
      </w:r>
      <w:r w:rsidR="00C94515" w:rsidRPr="00CD77FB">
        <w:rPr>
          <w:rFonts w:ascii="Arial" w:hAnsi="Arial" w:cs="Arial"/>
          <w:sz w:val="20"/>
          <w:szCs w:val="20"/>
        </w:rPr>
        <w:t xml:space="preserve">oraz IMO </w:t>
      </w:r>
      <w:r w:rsidR="00F24E35" w:rsidRPr="00CD77FB">
        <w:rPr>
          <w:rFonts w:ascii="Arial" w:hAnsi="Arial" w:cs="Arial"/>
          <w:sz w:val="20"/>
          <w:szCs w:val="20"/>
        </w:rPr>
        <w:t>w</w:t>
      </w:r>
      <w:r w:rsidR="00722EE0">
        <w:rPr>
          <w:rFonts w:ascii="Arial" w:hAnsi="Arial" w:cs="Arial"/>
          <w:sz w:val="20"/>
          <w:szCs w:val="20"/>
        </w:rPr>
        <w:t>ypełniając tym samym zobowiązania</w:t>
      </w:r>
      <w:r w:rsidR="00CA3B4E" w:rsidRPr="00CD77FB">
        <w:rPr>
          <w:rFonts w:ascii="Arial" w:hAnsi="Arial" w:cs="Arial"/>
          <w:sz w:val="20"/>
          <w:szCs w:val="20"/>
        </w:rPr>
        <w:t xml:space="preserve"> </w:t>
      </w:r>
      <w:r w:rsidR="00722EE0">
        <w:rPr>
          <w:rFonts w:ascii="Arial" w:hAnsi="Arial" w:cs="Arial"/>
          <w:sz w:val="20"/>
          <w:szCs w:val="20"/>
        </w:rPr>
        <w:t>międzynarodowe</w:t>
      </w:r>
      <w:r w:rsidR="00397B4B" w:rsidRPr="00CD77FB">
        <w:rPr>
          <w:rFonts w:ascii="Arial" w:hAnsi="Arial" w:cs="Arial"/>
          <w:sz w:val="20"/>
          <w:szCs w:val="20"/>
        </w:rPr>
        <w:t xml:space="preserve"> w dziedzinie ochrony środowiska morskiego.</w:t>
      </w:r>
      <w:r w:rsidR="007A5928" w:rsidRPr="00CD77FB">
        <w:rPr>
          <w:rFonts w:ascii="Arial" w:hAnsi="Arial" w:cs="Arial"/>
          <w:sz w:val="20"/>
          <w:szCs w:val="20"/>
        </w:rPr>
        <w:t xml:space="preserve"> </w:t>
      </w:r>
      <w:r w:rsidR="008C1614" w:rsidRPr="00CD77FB">
        <w:rPr>
          <w:rFonts w:ascii="Arial" w:hAnsi="Arial" w:cs="Arial"/>
          <w:sz w:val="20"/>
          <w:szCs w:val="20"/>
        </w:rPr>
        <w:t xml:space="preserve">Zadania te wymagają </w:t>
      </w:r>
      <w:r w:rsidR="008548D9">
        <w:rPr>
          <w:rFonts w:ascii="Arial" w:hAnsi="Arial" w:cs="Arial"/>
          <w:sz w:val="20"/>
          <w:szCs w:val="20"/>
        </w:rPr>
        <w:t xml:space="preserve">ścisłej </w:t>
      </w:r>
      <w:r w:rsidR="008C1614" w:rsidRPr="00CD77FB">
        <w:rPr>
          <w:rFonts w:ascii="Arial" w:hAnsi="Arial" w:cs="Arial"/>
          <w:sz w:val="20"/>
          <w:szCs w:val="20"/>
        </w:rPr>
        <w:t xml:space="preserve">współpracy ekspertów z różnych dziedzin, w szczególności badaczy środowiskowych, ekonomistów zajmujących się aspektami środowiskowymi </w:t>
      </w:r>
      <w:r w:rsidR="009D4ED1" w:rsidRPr="00CD77FB">
        <w:rPr>
          <w:rFonts w:ascii="Arial" w:hAnsi="Arial" w:cs="Arial"/>
          <w:sz w:val="20"/>
          <w:szCs w:val="20"/>
        </w:rPr>
        <w:t>oraz</w:t>
      </w:r>
      <w:r w:rsidR="008C1614" w:rsidRPr="00CD77FB">
        <w:rPr>
          <w:rFonts w:ascii="Arial" w:hAnsi="Arial" w:cs="Arial"/>
          <w:sz w:val="20"/>
          <w:szCs w:val="20"/>
        </w:rPr>
        <w:t xml:space="preserve"> </w:t>
      </w:r>
      <w:r w:rsidR="00681A68">
        <w:rPr>
          <w:rFonts w:ascii="Arial" w:hAnsi="Arial" w:cs="Arial"/>
          <w:sz w:val="20"/>
          <w:szCs w:val="20"/>
        </w:rPr>
        <w:t>administracji państwowej</w:t>
      </w:r>
      <w:r w:rsidR="008C1614" w:rsidRPr="00CD77FB">
        <w:rPr>
          <w:rFonts w:ascii="Arial" w:hAnsi="Arial" w:cs="Arial"/>
          <w:sz w:val="20"/>
          <w:szCs w:val="20"/>
        </w:rPr>
        <w:t xml:space="preserve">. </w:t>
      </w:r>
    </w:p>
    <w:p w14:paraId="77CE8F10" w14:textId="6CE959A3" w:rsidR="00B116B8" w:rsidRDefault="00AA3228" w:rsidP="004C6EA5">
      <w:pPr>
        <w:spacing w:line="276" w:lineRule="auto"/>
        <w:jc w:val="both"/>
        <w:rPr>
          <w:rFonts w:ascii="Arial" w:hAnsi="Arial" w:cs="Arial"/>
          <w:sz w:val="20"/>
          <w:szCs w:val="20"/>
        </w:rPr>
      </w:pPr>
      <w:r>
        <w:rPr>
          <w:rFonts w:ascii="Arial" w:hAnsi="Arial" w:cs="Arial"/>
          <w:sz w:val="20"/>
          <w:szCs w:val="20"/>
        </w:rPr>
        <w:t>Na forum UE p</w:t>
      </w:r>
      <w:r w:rsidR="004C6EA5" w:rsidRPr="00F27A73">
        <w:rPr>
          <w:rFonts w:ascii="Arial" w:hAnsi="Arial" w:cs="Arial"/>
          <w:sz w:val="20"/>
          <w:szCs w:val="20"/>
        </w:rPr>
        <w:t>odczas pre</w:t>
      </w:r>
      <w:r w:rsidR="004203CC">
        <w:rPr>
          <w:rFonts w:ascii="Arial" w:hAnsi="Arial" w:cs="Arial"/>
          <w:sz w:val="20"/>
          <w:szCs w:val="20"/>
        </w:rPr>
        <w:t>zydencji rumuńskiej w Radzie</w:t>
      </w:r>
      <w:r w:rsidR="004C6EA5" w:rsidRPr="00F27A73">
        <w:rPr>
          <w:rFonts w:ascii="Arial" w:hAnsi="Arial" w:cs="Arial"/>
          <w:sz w:val="20"/>
          <w:szCs w:val="20"/>
        </w:rPr>
        <w:t xml:space="preserve"> </w:t>
      </w:r>
      <w:r w:rsidR="004203CC" w:rsidRPr="00F27A73">
        <w:rPr>
          <w:rFonts w:ascii="Arial" w:hAnsi="Arial" w:cs="Arial"/>
          <w:sz w:val="20"/>
          <w:szCs w:val="20"/>
        </w:rPr>
        <w:t>na forum Grupy Roboczej ds. We</w:t>
      </w:r>
      <w:r w:rsidR="004203CC">
        <w:rPr>
          <w:rFonts w:ascii="Arial" w:hAnsi="Arial" w:cs="Arial"/>
          <w:sz w:val="20"/>
          <w:szCs w:val="20"/>
        </w:rPr>
        <w:t xml:space="preserve">wnętrznej Polityki Rybołówstwa </w:t>
      </w:r>
      <w:r w:rsidR="007C1B8B">
        <w:rPr>
          <w:rFonts w:ascii="Arial" w:hAnsi="Arial" w:cs="Arial"/>
          <w:sz w:val="20"/>
          <w:szCs w:val="20"/>
        </w:rPr>
        <w:t>prowadzo</w:t>
      </w:r>
      <w:r w:rsidR="004C6EA5" w:rsidRPr="00F27A73">
        <w:rPr>
          <w:rFonts w:ascii="Arial" w:hAnsi="Arial" w:cs="Arial"/>
          <w:sz w:val="20"/>
          <w:szCs w:val="20"/>
        </w:rPr>
        <w:t xml:space="preserve">ne były prace nad </w:t>
      </w:r>
      <w:r w:rsidR="00B116B8">
        <w:rPr>
          <w:rFonts w:ascii="Arial" w:hAnsi="Arial" w:cs="Arial"/>
          <w:sz w:val="20"/>
          <w:szCs w:val="20"/>
        </w:rPr>
        <w:t>projektem</w:t>
      </w:r>
      <w:r w:rsidR="004C6EA5" w:rsidRPr="00F27A73">
        <w:rPr>
          <w:rFonts w:ascii="Arial" w:hAnsi="Arial" w:cs="Arial"/>
          <w:sz w:val="20"/>
          <w:szCs w:val="20"/>
        </w:rPr>
        <w:t xml:space="preserve"> rozporządzenia o Europejskim Funduszu Morski</w:t>
      </w:r>
      <w:r w:rsidR="00B116B8">
        <w:rPr>
          <w:rFonts w:ascii="Arial" w:hAnsi="Arial" w:cs="Arial"/>
          <w:sz w:val="20"/>
          <w:szCs w:val="20"/>
        </w:rPr>
        <w:t>m i  Rybackim na lata 2021-2027,</w:t>
      </w:r>
      <w:r w:rsidR="00CA7298">
        <w:rPr>
          <w:rFonts w:ascii="Arial" w:hAnsi="Arial" w:cs="Arial"/>
          <w:sz w:val="20"/>
          <w:szCs w:val="20"/>
        </w:rPr>
        <w:t xml:space="preserve"> </w:t>
      </w:r>
      <w:r w:rsidR="00B116B8">
        <w:rPr>
          <w:rFonts w:ascii="Arial" w:hAnsi="Arial" w:cs="Arial"/>
          <w:sz w:val="20"/>
          <w:szCs w:val="20"/>
        </w:rPr>
        <w:t>kontynuowane</w:t>
      </w:r>
      <w:r w:rsidR="00B116B8" w:rsidRPr="00B116B8">
        <w:rPr>
          <w:rFonts w:ascii="Arial" w:hAnsi="Arial" w:cs="Arial"/>
          <w:sz w:val="20"/>
          <w:szCs w:val="20"/>
        </w:rPr>
        <w:t xml:space="preserve"> </w:t>
      </w:r>
      <w:r w:rsidR="00B116B8">
        <w:rPr>
          <w:rFonts w:ascii="Arial" w:hAnsi="Arial" w:cs="Arial"/>
          <w:sz w:val="20"/>
          <w:szCs w:val="20"/>
        </w:rPr>
        <w:t>następnie przez</w:t>
      </w:r>
      <w:r w:rsidR="00B116B8" w:rsidRPr="00B831F5">
        <w:rPr>
          <w:rFonts w:ascii="Arial" w:hAnsi="Arial" w:cs="Arial"/>
          <w:sz w:val="20"/>
          <w:szCs w:val="20"/>
        </w:rPr>
        <w:t xml:space="preserve"> </w:t>
      </w:r>
      <w:r w:rsidR="00B116B8">
        <w:rPr>
          <w:rFonts w:ascii="Arial" w:hAnsi="Arial" w:cs="Arial"/>
          <w:sz w:val="20"/>
          <w:szCs w:val="20"/>
        </w:rPr>
        <w:t>prezydencję fińską.</w:t>
      </w:r>
      <w:r w:rsidR="00195E08">
        <w:rPr>
          <w:rFonts w:ascii="Arial" w:hAnsi="Arial" w:cs="Arial"/>
          <w:sz w:val="20"/>
          <w:szCs w:val="20"/>
        </w:rPr>
        <w:t xml:space="preserve"> </w:t>
      </w:r>
      <w:r w:rsidR="00B116B8">
        <w:rPr>
          <w:rFonts w:ascii="Arial" w:hAnsi="Arial" w:cs="Arial"/>
          <w:sz w:val="20"/>
          <w:szCs w:val="20"/>
        </w:rPr>
        <w:t>P</w:t>
      </w:r>
      <w:r w:rsidR="00B116B8" w:rsidRPr="00B831F5">
        <w:rPr>
          <w:rFonts w:ascii="Arial" w:hAnsi="Arial" w:cs="Arial"/>
          <w:sz w:val="20"/>
          <w:szCs w:val="20"/>
        </w:rPr>
        <w:t xml:space="preserve">od przewodnictwem prezydencji fińskiej </w:t>
      </w:r>
      <w:r w:rsidR="00B116B8">
        <w:rPr>
          <w:rFonts w:ascii="Arial" w:hAnsi="Arial" w:cs="Arial"/>
          <w:sz w:val="20"/>
          <w:szCs w:val="20"/>
        </w:rPr>
        <w:t xml:space="preserve">przygotowany został kompromisowy dokument, </w:t>
      </w:r>
      <w:r w:rsidR="00B116B8" w:rsidRPr="00B831F5">
        <w:rPr>
          <w:rFonts w:ascii="Arial" w:hAnsi="Arial" w:cs="Arial"/>
          <w:sz w:val="20"/>
          <w:szCs w:val="20"/>
        </w:rPr>
        <w:t xml:space="preserve">przyjęty </w:t>
      </w:r>
      <w:r w:rsidR="00B116B8">
        <w:rPr>
          <w:rFonts w:ascii="Arial" w:hAnsi="Arial" w:cs="Arial"/>
          <w:sz w:val="20"/>
          <w:szCs w:val="20"/>
        </w:rPr>
        <w:t xml:space="preserve">następnie </w:t>
      </w:r>
      <w:r w:rsidR="00694BC4">
        <w:rPr>
          <w:rFonts w:ascii="Arial" w:hAnsi="Arial" w:cs="Arial"/>
          <w:sz w:val="20"/>
          <w:szCs w:val="20"/>
        </w:rPr>
        <w:t>przez Radę</w:t>
      </w:r>
      <w:r w:rsidR="00B116B8" w:rsidRPr="00B831F5">
        <w:rPr>
          <w:rFonts w:ascii="Arial" w:hAnsi="Arial" w:cs="Arial"/>
          <w:sz w:val="20"/>
          <w:szCs w:val="20"/>
        </w:rPr>
        <w:t xml:space="preserve"> UE ds. Rolnictwa i Rybołówstwa w październiku 2019 r. Polska </w:t>
      </w:r>
      <w:r w:rsidR="00795F73">
        <w:rPr>
          <w:rFonts w:ascii="Arial" w:hAnsi="Arial" w:cs="Arial"/>
          <w:sz w:val="20"/>
          <w:szCs w:val="20"/>
        </w:rPr>
        <w:t xml:space="preserve">od początku prac nad projektem nowego funduszu </w:t>
      </w:r>
      <w:r w:rsidR="00B116B8">
        <w:rPr>
          <w:rFonts w:ascii="Arial" w:hAnsi="Arial" w:cs="Arial"/>
          <w:sz w:val="20"/>
          <w:szCs w:val="20"/>
        </w:rPr>
        <w:t>zgłaszała</w:t>
      </w:r>
      <w:r w:rsidR="00B116B8" w:rsidRPr="00B831F5">
        <w:rPr>
          <w:rFonts w:ascii="Arial" w:hAnsi="Arial" w:cs="Arial"/>
          <w:sz w:val="20"/>
          <w:szCs w:val="20"/>
        </w:rPr>
        <w:t xml:space="preserve"> propozycje istotnych dla polskiego rybactwa zmian przepisów </w:t>
      </w:r>
      <w:r w:rsidR="00B116B8">
        <w:rPr>
          <w:rFonts w:ascii="Arial" w:hAnsi="Arial" w:cs="Arial"/>
          <w:sz w:val="20"/>
          <w:szCs w:val="20"/>
        </w:rPr>
        <w:t xml:space="preserve">zwracając </w:t>
      </w:r>
      <w:r w:rsidR="00B116B8" w:rsidRPr="00B831F5">
        <w:rPr>
          <w:rFonts w:ascii="Arial" w:hAnsi="Arial" w:cs="Arial"/>
          <w:sz w:val="20"/>
          <w:szCs w:val="20"/>
        </w:rPr>
        <w:t xml:space="preserve">uwagę na fakt, iż </w:t>
      </w:r>
      <w:r w:rsidR="005316E3">
        <w:rPr>
          <w:rFonts w:ascii="Arial" w:hAnsi="Arial" w:cs="Arial"/>
          <w:sz w:val="20"/>
          <w:szCs w:val="20"/>
        </w:rPr>
        <w:t>proponowany kształt nowego</w:t>
      </w:r>
      <w:r w:rsidR="005316E3" w:rsidRPr="00B831F5">
        <w:rPr>
          <w:rFonts w:ascii="Arial" w:hAnsi="Arial" w:cs="Arial"/>
          <w:sz w:val="20"/>
          <w:szCs w:val="20"/>
        </w:rPr>
        <w:t xml:space="preserve"> fundusz</w:t>
      </w:r>
      <w:r w:rsidR="005316E3">
        <w:rPr>
          <w:rFonts w:ascii="Arial" w:hAnsi="Arial" w:cs="Arial"/>
          <w:sz w:val="20"/>
          <w:szCs w:val="20"/>
        </w:rPr>
        <w:t xml:space="preserve">u </w:t>
      </w:r>
      <w:r w:rsidR="00B116B8" w:rsidRPr="00B831F5">
        <w:rPr>
          <w:rFonts w:ascii="Arial" w:hAnsi="Arial" w:cs="Arial"/>
          <w:sz w:val="20"/>
          <w:szCs w:val="20"/>
        </w:rPr>
        <w:t xml:space="preserve">nie odpowiada na potrzeby sektora rybactwa w regionie Morza Bałtyckiego. </w:t>
      </w:r>
    </w:p>
    <w:p w14:paraId="550E7226" w14:textId="6416D921" w:rsidR="00642B37" w:rsidRDefault="004C6EA5" w:rsidP="00642B37">
      <w:pPr>
        <w:spacing w:line="276" w:lineRule="auto"/>
        <w:jc w:val="both"/>
        <w:rPr>
          <w:rFonts w:ascii="Arial" w:hAnsi="Arial" w:cs="Arial"/>
          <w:sz w:val="20"/>
          <w:szCs w:val="20"/>
        </w:rPr>
      </w:pPr>
      <w:r w:rsidRPr="004035C8">
        <w:rPr>
          <w:rFonts w:ascii="Arial" w:hAnsi="Arial" w:cs="Arial"/>
          <w:sz w:val="20"/>
          <w:szCs w:val="20"/>
        </w:rPr>
        <w:t xml:space="preserve">Prezydencja rumuńska, przy poparciu Polski, doprowadziła do zaawansowania prac poświęconych zmianie rozporządzenia UE 2015/757 z dnia 29 kwietnia 2015 r. w sprawie monitorowania, raportowania i weryfikacji emisji dwutlenku węgla z transportu morskiego, </w:t>
      </w:r>
      <w:r w:rsidR="001B77CC">
        <w:rPr>
          <w:rFonts w:ascii="Arial" w:hAnsi="Arial" w:cs="Arial"/>
          <w:sz w:val="20"/>
          <w:szCs w:val="20"/>
        </w:rPr>
        <w:t>mającej</w:t>
      </w:r>
      <w:r w:rsidRPr="004035C8">
        <w:rPr>
          <w:rFonts w:ascii="Arial" w:hAnsi="Arial" w:cs="Arial"/>
          <w:sz w:val="20"/>
          <w:szCs w:val="20"/>
        </w:rPr>
        <w:t xml:space="preserve"> na celu częściową harmonizację wymagań rozporządzenia z analogicznymi wymagan</w:t>
      </w:r>
      <w:r w:rsidR="001B77CC">
        <w:rPr>
          <w:rFonts w:ascii="Arial" w:hAnsi="Arial" w:cs="Arial"/>
          <w:sz w:val="20"/>
          <w:szCs w:val="20"/>
        </w:rPr>
        <w:t xml:space="preserve">iami dotyczącymi monitorowania, </w:t>
      </w:r>
      <w:r w:rsidR="005379F6">
        <w:rPr>
          <w:rFonts w:ascii="Arial" w:hAnsi="Arial" w:cs="Arial"/>
          <w:sz w:val="20"/>
          <w:szCs w:val="20"/>
        </w:rPr>
        <w:t xml:space="preserve">raportowania </w:t>
      </w:r>
      <w:r w:rsidR="005379F6">
        <w:rPr>
          <w:rFonts w:ascii="Arial" w:hAnsi="Arial" w:cs="Arial"/>
          <w:sz w:val="20"/>
          <w:szCs w:val="20"/>
        </w:rPr>
        <w:br/>
        <w:t>i weryfikacji</w:t>
      </w:r>
      <w:r w:rsidRPr="004035C8">
        <w:rPr>
          <w:rFonts w:ascii="Arial" w:hAnsi="Arial" w:cs="Arial"/>
          <w:sz w:val="20"/>
          <w:szCs w:val="20"/>
        </w:rPr>
        <w:t xml:space="preserve"> ustanowionymi w 2016 r. przez Międzynarodową Organizację Morską (IMO). Prace zainicjowane wnioskiem Komisji Europejskiej w okresie prezydencji rumuńskiej prowadzone były </w:t>
      </w:r>
      <w:r w:rsidR="005379F6">
        <w:rPr>
          <w:rFonts w:ascii="Arial" w:hAnsi="Arial" w:cs="Arial"/>
          <w:sz w:val="20"/>
          <w:szCs w:val="20"/>
        </w:rPr>
        <w:br/>
      </w:r>
      <w:r w:rsidRPr="004035C8">
        <w:rPr>
          <w:rFonts w:ascii="Arial" w:hAnsi="Arial" w:cs="Arial"/>
          <w:sz w:val="20"/>
          <w:szCs w:val="20"/>
        </w:rPr>
        <w:t>w organach przygotowawczych Rady ds. środowiska. Uwagi strony polskiej zgłaszane pod</w:t>
      </w:r>
      <w:r w:rsidR="00A6047D">
        <w:rPr>
          <w:rFonts w:ascii="Arial" w:hAnsi="Arial" w:cs="Arial"/>
          <w:sz w:val="20"/>
          <w:szCs w:val="20"/>
        </w:rPr>
        <w:t xml:space="preserve">czas prac doprowadziły m.in. do </w:t>
      </w:r>
      <w:r w:rsidRPr="004035C8">
        <w:rPr>
          <w:rFonts w:ascii="Arial" w:hAnsi="Arial" w:cs="Arial"/>
          <w:sz w:val="20"/>
          <w:szCs w:val="20"/>
        </w:rPr>
        <w:t xml:space="preserve">uwzględnienia </w:t>
      </w:r>
      <w:r w:rsidR="00A6047D">
        <w:rPr>
          <w:rFonts w:ascii="Arial" w:hAnsi="Arial" w:cs="Arial"/>
          <w:sz w:val="20"/>
          <w:szCs w:val="20"/>
        </w:rPr>
        <w:t xml:space="preserve">istotnych z </w:t>
      </w:r>
      <w:r w:rsidRPr="004035C8">
        <w:rPr>
          <w:rFonts w:ascii="Arial" w:hAnsi="Arial" w:cs="Arial"/>
          <w:sz w:val="20"/>
          <w:szCs w:val="20"/>
        </w:rPr>
        <w:t xml:space="preserve">punktu widzenia systemu monitorowania </w:t>
      </w:r>
      <w:r w:rsidR="00885DC8">
        <w:rPr>
          <w:rFonts w:ascii="Arial" w:hAnsi="Arial" w:cs="Arial"/>
          <w:sz w:val="20"/>
          <w:szCs w:val="20"/>
        </w:rPr>
        <w:t>kwestii</w:t>
      </w:r>
      <w:r w:rsidRPr="004035C8">
        <w:rPr>
          <w:rFonts w:ascii="Arial" w:hAnsi="Arial" w:cs="Arial"/>
          <w:sz w:val="20"/>
          <w:szCs w:val="20"/>
        </w:rPr>
        <w:t xml:space="preserve"> </w:t>
      </w:r>
      <w:r w:rsidRPr="004035C8">
        <w:rPr>
          <w:rFonts w:ascii="Arial" w:hAnsi="Arial" w:cs="Arial"/>
          <w:sz w:val="20"/>
          <w:szCs w:val="20"/>
        </w:rPr>
        <w:lastRenderedPageBreak/>
        <w:t>dotyczących urządzeń zużywających paliwo, definicji paliw oraz stosownych aktualizacji wykazów urządze</w:t>
      </w:r>
      <w:r w:rsidR="00A6047D">
        <w:rPr>
          <w:rFonts w:ascii="Arial" w:hAnsi="Arial" w:cs="Arial"/>
          <w:sz w:val="20"/>
          <w:szCs w:val="20"/>
        </w:rPr>
        <w:t xml:space="preserve">ń i rodzajów zużywanych paliw w </w:t>
      </w:r>
      <w:r w:rsidRPr="004035C8">
        <w:rPr>
          <w:rFonts w:ascii="Arial" w:hAnsi="Arial" w:cs="Arial"/>
          <w:sz w:val="20"/>
          <w:szCs w:val="20"/>
        </w:rPr>
        <w:t xml:space="preserve">trakcie okresu raportowego, co </w:t>
      </w:r>
      <w:r w:rsidR="00A6047D">
        <w:rPr>
          <w:rFonts w:ascii="Arial" w:hAnsi="Arial" w:cs="Arial"/>
          <w:sz w:val="20"/>
          <w:szCs w:val="20"/>
        </w:rPr>
        <w:t>wpłynie na spójność</w:t>
      </w:r>
      <w:r w:rsidRPr="004035C8">
        <w:rPr>
          <w:rFonts w:ascii="Arial" w:hAnsi="Arial" w:cs="Arial"/>
          <w:sz w:val="20"/>
          <w:szCs w:val="20"/>
        </w:rPr>
        <w:t xml:space="preserve"> wymagań UE</w:t>
      </w:r>
      <w:r w:rsidR="00A6047D">
        <w:rPr>
          <w:rFonts w:ascii="Arial" w:hAnsi="Arial" w:cs="Arial"/>
          <w:sz w:val="20"/>
          <w:szCs w:val="20"/>
        </w:rPr>
        <w:t xml:space="preserve"> oraz regulacji</w:t>
      </w:r>
      <w:r w:rsidRPr="004035C8">
        <w:rPr>
          <w:rFonts w:ascii="Arial" w:hAnsi="Arial" w:cs="Arial"/>
          <w:sz w:val="20"/>
          <w:szCs w:val="20"/>
        </w:rPr>
        <w:t xml:space="preserve"> IMO.</w:t>
      </w:r>
      <w:r w:rsidR="00642B37" w:rsidRPr="00642B37">
        <w:rPr>
          <w:rFonts w:ascii="Arial" w:hAnsi="Arial" w:cs="Arial"/>
          <w:sz w:val="20"/>
          <w:szCs w:val="20"/>
        </w:rPr>
        <w:t xml:space="preserve"> </w:t>
      </w:r>
    </w:p>
    <w:p w14:paraId="6BE88137" w14:textId="40387346" w:rsidR="004C6EA5" w:rsidRDefault="00642B37" w:rsidP="00FE7E01">
      <w:pPr>
        <w:spacing w:line="276" w:lineRule="auto"/>
        <w:jc w:val="both"/>
        <w:rPr>
          <w:rFonts w:ascii="Arial" w:hAnsi="Arial" w:cs="Arial"/>
          <w:sz w:val="20"/>
          <w:szCs w:val="20"/>
        </w:rPr>
      </w:pPr>
      <w:r w:rsidRPr="00F27A73">
        <w:rPr>
          <w:rFonts w:ascii="Arial" w:hAnsi="Arial" w:cs="Arial"/>
          <w:sz w:val="20"/>
          <w:szCs w:val="20"/>
        </w:rPr>
        <w:t xml:space="preserve">W okresie prezydencji rumuńskiej przedstawiciele Polski uczestniczyli także w pracach dotyczących projektu Dyrektywy Parlamentu Europejskiego i Rady w sprawie minimalnego poziomu wyszkolenia marynarzy, które koncentrowały się na wprowadzeniu zmian dyrektywy w celu ujednolicenia </w:t>
      </w:r>
      <w:r>
        <w:rPr>
          <w:rFonts w:ascii="Arial" w:hAnsi="Arial" w:cs="Arial"/>
          <w:sz w:val="20"/>
          <w:szCs w:val="20"/>
        </w:rPr>
        <w:t xml:space="preserve">oraz </w:t>
      </w:r>
      <w:r w:rsidRPr="00F27A73">
        <w:rPr>
          <w:rFonts w:ascii="Arial" w:hAnsi="Arial" w:cs="Arial"/>
          <w:sz w:val="20"/>
          <w:szCs w:val="20"/>
        </w:rPr>
        <w:t>uproszczenia unijnych regulacji prawnych dotyczących wyszkolenia marynarzy i wydawania im świadectw.</w:t>
      </w:r>
      <w:r>
        <w:rPr>
          <w:rFonts w:ascii="Arial" w:hAnsi="Arial" w:cs="Arial"/>
          <w:sz w:val="20"/>
          <w:szCs w:val="20"/>
        </w:rPr>
        <w:t xml:space="preserve"> </w:t>
      </w:r>
      <w:r w:rsidR="00F35750">
        <w:rPr>
          <w:rFonts w:ascii="Arial" w:hAnsi="Arial" w:cs="Arial"/>
          <w:sz w:val="20"/>
          <w:szCs w:val="20"/>
        </w:rPr>
        <w:t>Ponadto w</w:t>
      </w:r>
      <w:r w:rsidR="00820A15" w:rsidRPr="004035C8">
        <w:rPr>
          <w:rFonts w:ascii="Arial" w:hAnsi="Arial" w:cs="Arial"/>
          <w:sz w:val="20"/>
          <w:szCs w:val="20"/>
        </w:rPr>
        <w:t xml:space="preserve"> okresie prezydencji rumuńskiej Rada UE zakończyła prace nad projektem rozporządzenia Parlamentu Europejskiego i Rady ustanawiającym system europejskich morskich pojedynczych punktów kontaktowych  uchylające dyrektywę 2010/65/UE przyjęciem podejścia</w:t>
      </w:r>
      <w:r w:rsidR="005C04AD">
        <w:rPr>
          <w:rFonts w:ascii="Arial" w:hAnsi="Arial" w:cs="Arial"/>
          <w:sz w:val="20"/>
          <w:szCs w:val="20"/>
        </w:rPr>
        <w:t xml:space="preserve"> ogólnego </w:t>
      </w:r>
      <w:r w:rsidR="00820A15" w:rsidRPr="004035C8">
        <w:rPr>
          <w:rFonts w:ascii="Arial" w:hAnsi="Arial" w:cs="Arial"/>
          <w:sz w:val="20"/>
          <w:szCs w:val="20"/>
        </w:rPr>
        <w:t xml:space="preserve">w dniu 3 grudnia 2018 r. Projekt został uzgodniony z Parlamentem </w:t>
      </w:r>
      <w:r w:rsidR="005C04AD">
        <w:rPr>
          <w:rFonts w:ascii="Arial" w:hAnsi="Arial" w:cs="Arial"/>
          <w:sz w:val="20"/>
          <w:szCs w:val="20"/>
        </w:rPr>
        <w:t xml:space="preserve">Europejskim </w:t>
      </w:r>
      <w:r w:rsidR="00820A15" w:rsidRPr="004035C8">
        <w:rPr>
          <w:rFonts w:ascii="Arial" w:hAnsi="Arial" w:cs="Arial"/>
          <w:sz w:val="20"/>
          <w:szCs w:val="20"/>
        </w:rPr>
        <w:t>w trakcie trilogów, a następnie przyjęty przez PE w dniu 18 kwietnia 2019 r.</w:t>
      </w:r>
    </w:p>
    <w:p w14:paraId="44D66EFC" w14:textId="768EB1C8" w:rsidR="00FE368D" w:rsidRPr="005C3DA0" w:rsidRDefault="00FE368D" w:rsidP="00FE368D">
      <w:pPr>
        <w:spacing w:line="276" w:lineRule="auto"/>
        <w:jc w:val="both"/>
        <w:rPr>
          <w:rFonts w:ascii="Arial" w:hAnsi="Arial" w:cs="Arial"/>
          <w:sz w:val="20"/>
          <w:szCs w:val="20"/>
        </w:rPr>
      </w:pPr>
      <w:r w:rsidRPr="005C3DA0">
        <w:rPr>
          <w:rFonts w:ascii="Arial" w:hAnsi="Arial" w:cs="Arial"/>
          <w:sz w:val="20"/>
          <w:szCs w:val="20"/>
        </w:rPr>
        <w:t xml:space="preserve">W drugiej połowie roku w trakcie prezydencji fińskiej prowadzone były </w:t>
      </w:r>
      <w:r w:rsidR="00AC5340">
        <w:rPr>
          <w:rFonts w:ascii="Arial" w:hAnsi="Arial" w:cs="Arial"/>
          <w:sz w:val="20"/>
          <w:szCs w:val="20"/>
        </w:rPr>
        <w:t xml:space="preserve">także </w:t>
      </w:r>
      <w:r w:rsidRPr="005C3DA0">
        <w:rPr>
          <w:rFonts w:ascii="Arial" w:hAnsi="Arial" w:cs="Arial"/>
          <w:sz w:val="20"/>
          <w:szCs w:val="20"/>
        </w:rPr>
        <w:t xml:space="preserve">prace nad rozporządzeniem Rady ustalającym uprawnienia do połowów na 2020 rok w odniesieniu do niektórych stad ryb i grup stad ryb w Morzu Bałtyckim, które sfinalizowano podczas posiedzenia Rady UE ds. Rolnictwa i Rybołówstwa </w:t>
      </w:r>
      <w:r w:rsidR="005C3DA0">
        <w:rPr>
          <w:rFonts w:ascii="Arial" w:hAnsi="Arial" w:cs="Arial"/>
          <w:sz w:val="20"/>
          <w:szCs w:val="20"/>
        </w:rPr>
        <w:t xml:space="preserve">w </w:t>
      </w:r>
      <w:r w:rsidRPr="005C3DA0">
        <w:rPr>
          <w:rFonts w:ascii="Arial" w:hAnsi="Arial" w:cs="Arial"/>
          <w:sz w:val="20"/>
          <w:szCs w:val="20"/>
        </w:rPr>
        <w:t xml:space="preserve">październiku 2019 r. </w:t>
      </w:r>
    </w:p>
    <w:p w14:paraId="5546748D" w14:textId="41BB7DB2" w:rsidR="00D66C3F" w:rsidRPr="00FF376A" w:rsidRDefault="00B94346" w:rsidP="00FF376A">
      <w:pPr>
        <w:spacing w:line="276" w:lineRule="auto"/>
        <w:jc w:val="both"/>
        <w:rPr>
          <w:rFonts w:ascii="Arial" w:hAnsi="Arial" w:cs="Arial"/>
          <w:sz w:val="20"/>
          <w:szCs w:val="20"/>
        </w:rPr>
      </w:pPr>
      <w:r w:rsidRPr="006B2EA0">
        <w:rPr>
          <w:rFonts w:ascii="Arial" w:hAnsi="Arial" w:cs="Arial"/>
          <w:sz w:val="20"/>
          <w:szCs w:val="20"/>
        </w:rPr>
        <w:t xml:space="preserve">W 2019 r. zakończył się „Rejs Niepodległości” </w:t>
      </w:r>
      <w:r w:rsidR="00C20137">
        <w:rPr>
          <w:rFonts w:ascii="Arial" w:hAnsi="Arial" w:cs="Arial"/>
          <w:sz w:val="20"/>
          <w:szCs w:val="20"/>
        </w:rPr>
        <w:t>-</w:t>
      </w:r>
      <w:r w:rsidRPr="006B2EA0">
        <w:rPr>
          <w:rFonts w:ascii="Arial" w:hAnsi="Arial" w:cs="Arial"/>
          <w:sz w:val="20"/>
          <w:szCs w:val="20"/>
        </w:rPr>
        <w:t xml:space="preserve"> </w:t>
      </w:r>
      <w:r w:rsidR="00B804D7" w:rsidRPr="006B2EA0">
        <w:rPr>
          <w:rFonts w:ascii="Arial" w:hAnsi="Arial" w:cs="Arial"/>
          <w:sz w:val="20"/>
          <w:szCs w:val="20"/>
        </w:rPr>
        <w:t xml:space="preserve">wyjątkowe </w:t>
      </w:r>
      <w:r w:rsidRPr="006B2EA0">
        <w:rPr>
          <w:rFonts w:ascii="Arial" w:hAnsi="Arial" w:cs="Arial"/>
          <w:sz w:val="20"/>
          <w:szCs w:val="20"/>
        </w:rPr>
        <w:t>morskie wydarzenie o symbolicznym znaczeniu, zorganizowane dla uczczenia setnej rocznicy odzyskania przez Polskę niepodległości.</w:t>
      </w:r>
      <w:r w:rsidR="0041161D" w:rsidRPr="006B2EA0">
        <w:rPr>
          <w:rFonts w:ascii="Arial" w:hAnsi="Arial" w:cs="Arial"/>
          <w:sz w:val="20"/>
          <w:szCs w:val="20"/>
        </w:rPr>
        <w:t xml:space="preserve"> </w:t>
      </w:r>
      <w:r w:rsidR="00B804D7" w:rsidRPr="006B2EA0">
        <w:rPr>
          <w:rFonts w:ascii="Arial" w:hAnsi="Arial" w:cs="Arial"/>
          <w:sz w:val="20"/>
          <w:szCs w:val="20"/>
        </w:rPr>
        <w:br/>
      </w:r>
      <w:r w:rsidR="00E17A3E" w:rsidRPr="006B2EA0">
        <w:rPr>
          <w:rFonts w:ascii="Arial" w:eastAsia="Times New Roman" w:hAnsi="Arial" w:cs="Arial"/>
          <w:sz w:val="20"/>
          <w:szCs w:val="20"/>
          <w:lang w:eastAsia="pl-PL"/>
        </w:rPr>
        <w:t xml:space="preserve">W rejsie „Daru Młodzieży” dookoła świata wzięło udział niemal 1000 uczestników, z czego ponad 500 stanowili studenci i uczniowie szkół morskich, a 400 osób to laureaci ogólnopolskiego konkursu. </w:t>
      </w:r>
      <w:r w:rsidR="00E17A3E" w:rsidRPr="006B2EA0">
        <w:rPr>
          <w:rFonts w:ascii="Arial" w:hAnsi="Arial" w:cs="Arial"/>
          <w:sz w:val="20"/>
          <w:szCs w:val="20"/>
        </w:rPr>
        <w:t>Żaglowiec</w:t>
      </w:r>
      <w:r w:rsidRPr="006B2EA0">
        <w:rPr>
          <w:rFonts w:ascii="Arial" w:hAnsi="Arial" w:cs="Arial"/>
          <w:sz w:val="20"/>
          <w:szCs w:val="20"/>
        </w:rPr>
        <w:t xml:space="preserve"> odwiedził 23 porty</w:t>
      </w:r>
      <w:r w:rsidR="004C6CC5" w:rsidRPr="006B2EA0">
        <w:rPr>
          <w:rFonts w:ascii="Arial" w:hAnsi="Arial" w:cs="Arial"/>
          <w:sz w:val="20"/>
          <w:szCs w:val="20"/>
        </w:rPr>
        <w:t xml:space="preserve"> w </w:t>
      </w:r>
      <w:r w:rsidRPr="006B2EA0">
        <w:rPr>
          <w:rFonts w:ascii="Arial" w:hAnsi="Arial" w:cs="Arial"/>
          <w:sz w:val="20"/>
          <w:szCs w:val="20"/>
        </w:rPr>
        <w:t>kilkunastu państwac</w:t>
      </w:r>
      <w:r w:rsidR="00E17A3E" w:rsidRPr="006B2EA0">
        <w:rPr>
          <w:rFonts w:ascii="Arial" w:hAnsi="Arial" w:cs="Arial"/>
          <w:sz w:val="20"/>
          <w:szCs w:val="20"/>
        </w:rPr>
        <w:t>h świata na pięciu konty</w:t>
      </w:r>
      <w:r w:rsidR="00940C81">
        <w:rPr>
          <w:rFonts w:ascii="Arial" w:hAnsi="Arial" w:cs="Arial"/>
          <w:sz w:val="20"/>
          <w:szCs w:val="20"/>
        </w:rPr>
        <w:t>nentach promując polską historię</w:t>
      </w:r>
      <w:r w:rsidR="00E17A3E" w:rsidRPr="006B2EA0">
        <w:rPr>
          <w:rFonts w:ascii="Arial" w:hAnsi="Arial" w:cs="Arial"/>
          <w:sz w:val="20"/>
          <w:szCs w:val="20"/>
        </w:rPr>
        <w:t>.</w:t>
      </w:r>
      <w:r w:rsidR="008401FA" w:rsidRPr="006B2EA0">
        <w:rPr>
          <w:rFonts w:ascii="Arial" w:hAnsi="Arial" w:cs="Arial"/>
          <w:sz w:val="20"/>
          <w:szCs w:val="20"/>
        </w:rPr>
        <w:t xml:space="preserve"> </w:t>
      </w:r>
      <w:r w:rsidR="00E17A3E" w:rsidRPr="006B2EA0">
        <w:rPr>
          <w:rFonts w:ascii="Arial" w:eastAsia="Times New Roman" w:hAnsi="Arial" w:cs="Arial"/>
          <w:sz w:val="20"/>
          <w:szCs w:val="20"/>
          <w:lang w:eastAsia="pl-PL"/>
        </w:rPr>
        <w:t xml:space="preserve">Pokład „Daru Młodzieży” odwiedziło </w:t>
      </w:r>
      <w:r w:rsidR="00E17A3E" w:rsidRPr="006B2EA0">
        <w:rPr>
          <w:rFonts w:ascii="Arial" w:hAnsi="Arial" w:cs="Arial"/>
          <w:sz w:val="20"/>
          <w:szCs w:val="20"/>
        </w:rPr>
        <w:t xml:space="preserve">wielu gości oficjalnych, </w:t>
      </w:r>
      <w:r w:rsidR="00940C81">
        <w:rPr>
          <w:rFonts w:ascii="Arial" w:hAnsi="Arial" w:cs="Arial"/>
          <w:sz w:val="20"/>
          <w:szCs w:val="20"/>
        </w:rPr>
        <w:t xml:space="preserve">a </w:t>
      </w:r>
      <w:r w:rsidR="00463E43">
        <w:rPr>
          <w:rFonts w:ascii="Arial" w:hAnsi="Arial" w:cs="Arial"/>
          <w:sz w:val="20"/>
          <w:szCs w:val="20"/>
        </w:rPr>
        <w:t>podczas całego</w:t>
      </w:r>
      <w:r w:rsidR="0006688A">
        <w:rPr>
          <w:rFonts w:ascii="Arial" w:hAnsi="Arial" w:cs="Arial"/>
          <w:sz w:val="20"/>
          <w:szCs w:val="20"/>
        </w:rPr>
        <w:t xml:space="preserve"> </w:t>
      </w:r>
      <w:r w:rsidR="00E17A3E" w:rsidRPr="006B2EA0">
        <w:rPr>
          <w:rFonts w:ascii="Arial" w:hAnsi="Arial" w:cs="Arial"/>
          <w:sz w:val="20"/>
          <w:szCs w:val="20"/>
        </w:rPr>
        <w:t xml:space="preserve"> rejsu</w:t>
      </w:r>
      <w:r w:rsidR="0006688A">
        <w:rPr>
          <w:rFonts w:ascii="Arial" w:hAnsi="Arial" w:cs="Arial"/>
          <w:sz w:val="20"/>
          <w:szCs w:val="20"/>
        </w:rPr>
        <w:t xml:space="preserve"> tysiące ludzi miały </w:t>
      </w:r>
      <w:r w:rsidR="006B2EA0" w:rsidRPr="006B2EA0">
        <w:rPr>
          <w:rFonts w:ascii="Arial" w:hAnsi="Arial" w:cs="Arial"/>
          <w:sz w:val="20"/>
          <w:szCs w:val="20"/>
        </w:rPr>
        <w:t xml:space="preserve">okazję </w:t>
      </w:r>
      <w:r w:rsidR="00F117BE">
        <w:rPr>
          <w:rFonts w:ascii="Arial" w:hAnsi="Arial" w:cs="Arial"/>
          <w:sz w:val="20"/>
          <w:szCs w:val="20"/>
        </w:rPr>
        <w:t xml:space="preserve">usłyszeć o historii Polski i </w:t>
      </w:r>
      <w:r w:rsidR="00E17A3E" w:rsidRPr="006B2EA0">
        <w:rPr>
          <w:rFonts w:ascii="Arial" w:hAnsi="Arial" w:cs="Arial"/>
          <w:sz w:val="20"/>
          <w:szCs w:val="20"/>
        </w:rPr>
        <w:t xml:space="preserve">setnej rocznicy odrodzenia państwa polskiego, jak również o jego bogatej morskiej tradycji. </w:t>
      </w:r>
      <w:r w:rsidR="008401FA">
        <w:rPr>
          <w:rFonts w:ascii="Arial" w:hAnsi="Arial" w:cs="Arial"/>
          <w:sz w:val="20"/>
          <w:szCs w:val="20"/>
        </w:rPr>
        <w:t>W</w:t>
      </w:r>
      <w:r w:rsidR="004C6CC5">
        <w:rPr>
          <w:rFonts w:ascii="Arial" w:hAnsi="Arial" w:cs="Arial"/>
          <w:sz w:val="20"/>
          <w:szCs w:val="20"/>
        </w:rPr>
        <w:t> </w:t>
      </w:r>
      <w:r w:rsidRPr="004C6CC5">
        <w:rPr>
          <w:rFonts w:ascii="Arial" w:hAnsi="Arial" w:cs="Arial"/>
          <w:sz w:val="20"/>
          <w:szCs w:val="20"/>
        </w:rPr>
        <w:t xml:space="preserve">ramach tego </w:t>
      </w:r>
      <w:r w:rsidR="00567B49">
        <w:rPr>
          <w:rFonts w:ascii="Arial" w:hAnsi="Arial" w:cs="Arial"/>
          <w:sz w:val="20"/>
          <w:szCs w:val="20"/>
        </w:rPr>
        <w:t xml:space="preserve">morskiego </w:t>
      </w:r>
      <w:r w:rsidRPr="004C6CC5">
        <w:rPr>
          <w:rFonts w:ascii="Arial" w:hAnsi="Arial" w:cs="Arial"/>
          <w:sz w:val="20"/>
          <w:szCs w:val="20"/>
        </w:rPr>
        <w:t xml:space="preserve">wydarzenia zorganizowano </w:t>
      </w:r>
      <w:r w:rsidR="00F117BE">
        <w:rPr>
          <w:rFonts w:ascii="Arial" w:hAnsi="Arial" w:cs="Arial"/>
          <w:sz w:val="20"/>
          <w:szCs w:val="20"/>
        </w:rPr>
        <w:t>szereg</w:t>
      </w:r>
      <w:r w:rsidRPr="004C6CC5">
        <w:rPr>
          <w:rFonts w:ascii="Arial" w:hAnsi="Arial" w:cs="Arial"/>
          <w:sz w:val="20"/>
          <w:szCs w:val="20"/>
        </w:rPr>
        <w:t xml:space="preserve"> </w:t>
      </w:r>
      <w:r w:rsidR="00F83B29">
        <w:rPr>
          <w:rFonts w:ascii="Arial" w:hAnsi="Arial" w:cs="Arial"/>
          <w:sz w:val="20"/>
          <w:szCs w:val="20"/>
        </w:rPr>
        <w:t xml:space="preserve">ciekawych </w:t>
      </w:r>
      <w:r w:rsidRPr="004C6CC5">
        <w:rPr>
          <w:rFonts w:ascii="Arial" w:hAnsi="Arial" w:cs="Arial"/>
          <w:sz w:val="20"/>
          <w:szCs w:val="20"/>
        </w:rPr>
        <w:t>wydarzeń kulturalnych promujących polską kulturę, historię</w:t>
      </w:r>
      <w:r w:rsidR="00B804D7">
        <w:rPr>
          <w:rFonts w:ascii="Arial" w:hAnsi="Arial" w:cs="Arial"/>
          <w:sz w:val="20"/>
          <w:szCs w:val="20"/>
        </w:rPr>
        <w:t xml:space="preserve"> i </w:t>
      </w:r>
      <w:r w:rsidR="00F117BE">
        <w:rPr>
          <w:rFonts w:ascii="Arial" w:hAnsi="Arial" w:cs="Arial"/>
          <w:sz w:val="20"/>
          <w:szCs w:val="20"/>
        </w:rPr>
        <w:t>sztukę</w:t>
      </w:r>
      <w:r w:rsidRPr="004C6CC5">
        <w:rPr>
          <w:rFonts w:ascii="Arial" w:hAnsi="Arial" w:cs="Arial"/>
          <w:sz w:val="20"/>
          <w:szCs w:val="20"/>
        </w:rPr>
        <w:t xml:space="preserve"> </w:t>
      </w:r>
      <w:r w:rsidR="00F117BE">
        <w:rPr>
          <w:rFonts w:ascii="Arial" w:hAnsi="Arial" w:cs="Arial"/>
          <w:sz w:val="20"/>
          <w:szCs w:val="20"/>
        </w:rPr>
        <w:t>oraz</w:t>
      </w:r>
      <w:r w:rsidRPr="004C6CC5">
        <w:rPr>
          <w:rFonts w:ascii="Arial" w:hAnsi="Arial" w:cs="Arial"/>
          <w:sz w:val="20"/>
          <w:szCs w:val="20"/>
        </w:rPr>
        <w:t xml:space="preserve"> spotkań biznesowych</w:t>
      </w:r>
      <w:r w:rsidR="00B804D7">
        <w:rPr>
          <w:rFonts w:ascii="Arial" w:hAnsi="Arial" w:cs="Arial"/>
          <w:sz w:val="20"/>
          <w:szCs w:val="20"/>
        </w:rPr>
        <w:t xml:space="preserve"> </w:t>
      </w:r>
      <w:r w:rsidR="004C6CC5">
        <w:rPr>
          <w:rFonts w:ascii="Arial" w:hAnsi="Arial" w:cs="Arial"/>
          <w:sz w:val="20"/>
          <w:szCs w:val="20"/>
        </w:rPr>
        <w:t>i </w:t>
      </w:r>
      <w:r w:rsidRPr="004C6CC5">
        <w:rPr>
          <w:rFonts w:ascii="Arial" w:hAnsi="Arial" w:cs="Arial"/>
          <w:sz w:val="20"/>
          <w:szCs w:val="20"/>
        </w:rPr>
        <w:t xml:space="preserve">międzyrządowych, </w:t>
      </w:r>
      <w:r w:rsidR="00F83B29">
        <w:rPr>
          <w:rFonts w:ascii="Arial" w:hAnsi="Arial" w:cs="Arial"/>
          <w:sz w:val="20"/>
          <w:szCs w:val="20"/>
        </w:rPr>
        <w:t>co zaowocowało podpisaniem wielu</w:t>
      </w:r>
      <w:r w:rsidRPr="004C6CC5">
        <w:rPr>
          <w:rFonts w:ascii="Arial" w:hAnsi="Arial" w:cs="Arial"/>
          <w:sz w:val="20"/>
          <w:szCs w:val="20"/>
        </w:rPr>
        <w:t xml:space="preserve"> umów </w:t>
      </w:r>
      <w:r w:rsidR="00B804D7">
        <w:rPr>
          <w:rFonts w:ascii="Arial" w:hAnsi="Arial" w:cs="Arial"/>
          <w:sz w:val="20"/>
          <w:szCs w:val="20"/>
        </w:rPr>
        <w:t>dotyczących</w:t>
      </w:r>
      <w:r w:rsidRPr="004C6CC5">
        <w:rPr>
          <w:rFonts w:ascii="Arial" w:hAnsi="Arial" w:cs="Arial"/>
          <w:sz w:val="20"/>
          <w:szCs w:val="20"/>
        </w:rPr>
        <w:t xml:space="preserve"> współpracy</w:t>
      </w:r>
      <w:r w:rsidR="00B804D7" w:rsidRPr="00B804D7">
        <w:rPr>
          <w:rFonts w:ascii="Arial" w:hAnsi="Arial" w:cs="Arial"/>
          <w:sz w:val="20"/>
          <w:szCs w:val="20"/>
        </w:rPr>
        <w:t xml:space="preserve"> </w:t>
      </w:r>
      <w:r w:rsidR="00B804D7">
        <w:rPr>
          <w:rFonts w:ascii="Arial" w:hAnsi="Arial" w:cs="Arial"/>
          <w:sz w:val="20"/>
          <w:szCs w:val="20"/>
        </w:rPr>
        <w:t>bilateralnej</w:t>
      </w:r>
      <w:r w:rsidRPr="004C6CC5">
        <w:rPr>
          <w:rFonts w:ascii="Arial" w:hAnsi="Arial" w:cs="Arial"/>
          <w:sz w:val="20"/>
          <w:szCs w:val="20"/>
        </w:rPr>
        <w:t xml:space="preserve">. </w:t>
      </w:r>
    </w:p>
    <w:sectPr w:rsidR="00D66C3F" w:rsidRPr="00FF376A" w:rsidSect="00A73A19">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99A9D" w14:textId="77777777" w:rsidR="00F013E4" w:rsidRDefault="00F013E4" w:rsidP="007050BA">
      <w:pPr>
        <w:spacing w:after="0" w:line="240" w:lineRule="auto"/>
      </w:pPr>
      <w:r>
        <w:separator/>
      </w:r>
    </w:p>
  </w:endnote>
  <w:endnote w:type="continuationSeparator" w:id="0">
    <w:p w14:paraId="1F6A8F82" w14:textId="77777777" w:rsidR="00F013E4" w:rsidRDefault="00F013E4" w:rsidP="0070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HiddenHorzOCR">
    <w:altName w:val="MS Gothic"/>
    <w:panose1 w:val="00000000000000000000"/>
    <w:charset w:val="80"/>
    <w:family w:val="auto"/>
    <w:notTrueType/>
    <w:pitch w:val="default"/>
    <w:sig w:usb0="00000001" w:usb1="08070000" w:usb2="00000010" w:usb3="00000000" w:csb0="00020000" w:csb1="00000000"/>
  </w:font>
  <w:font w:name="Fira San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73582"/>
      <w:docPartObj>
        <w:docPartGallery w:val="Page Numbers (Bottom of Page)"/>
        <w:docPartUnique/>
      </w:docPartObj>
    </w:sdtPr>
    <w:sdtEndPr/>
    <w:sdtContent>
      <w:p w14:paraId="76CFF72B" w14:textId="0EC16772" w:rsidR="00E45AF3" w:rsidRDefault="00E45AF3">
        <w:pPr>
          <w:pStyle w:val="Stopka"/>
          <w:jc w:val="right"/>
        </w:pPr>
        <w:r>
          <w:fldChar w:fldCharType="begin"/>
        </w:r>
        <w:r>
          <w:instrText>PAGE   \* MERGEFORMAT</w:instrText>
        </w:r>
        <w:r>
          <w:fldChar w:fldCharType="separate"/>
        </w:r>
        <w:r w:rsidR="00403523">
          <w:rPr>
            <w:noProof/>
          </w:rPr>
          <w:t>4</w:t>
        </w:r>
        <w:r>
          <w:fldChar w:fldCharType="end"/>
        </w:r>
      </w:p>
    </w:sdtContent>
  </w:sdt>
  <w:p w14:paraId="23455158" w14:textId="77777777" w:rsidR="00E45AF3" w:rsidRDefault="00E45A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AA51D" w14:textId="77777777" w:rsidR="00F013E4" w:rsidRDefault="00F013E4" w:rsidP="007050BA">
      <w:pPr>
        <w:spacing w:after="0" w:line="240" w:lineRule="auto"/>
      </w:pPr>
      <w:r>
        <w:separator/>
      </w:r>
    </w:p>
  </w:footnote>
  <w:footnote w:type="continuationSeparator" w:id="0">
    <w:p w14:paraId="3292E125" w14:textId="77777777" w:rsidR="00F013E4" w:rsidRDefault="00F013E4" w:rsidP="007050BA">
      <w:pPr>
        <w:spacing w:after="0" w:line="240" w:lineRule="auto"/>
      </w:pPr>
      <w:r>
        <w:continuationSeparator/>
      </w:r>
    </w:p>
  </w:footnote>
  <w:footnote w:id="1">
    <w:p w14:paraId="5748EB7F" w14:textId="77777777" w:rsidR="00E45AF3" w:rsidRPr="00B96062" w:rsidRDefault="00E45AF3" w:rsidP="001D7DF2">
      <w:pPr>
        <w:pStyle w:val="Tekstprzypisudolnego"/>
        <w:jc w:val="both"/>
        <w:rPr>
          <w:rFonts w:ascii="Arial" w:hAnsi="Arial" w:cs="Arial"/>
          <w:sz w:val="16"/>
          <w:szCs w:val="16"/>
        </w:rPr>
      </w:pPr>
      <w:r>
        <w:rPr>
          <w:rStyle w:val="Odwoanieprzypisudolnego"/>
        </w:rPr>
        <w:footnoteRef/>
      </w:r>
      <w:r>
        <w:t xml:space="preserve"> </w:t>
      </w:r>
      <w:r w:rsidRPr="00B96062">
        <w:rPr>
          <w:rFonts w:ascii="Arial" w:hAnsi="Arial" w:cs="Arial"/>
          <w:sz w:val="16"/>
          <w:szCs w:val="16"/>
        </w:rPr>
        <w:t xml:space="preserve">ASPA: Szczególnie Chronione Obszary Antarktyki; ASMA: Szczególnie Zarządzane Obszary Antarktyki. </w:t>
      </w:r>
    </w:p>
  </w:footnote>
  <w:footnote w:id="2">
    <w:p w14:paraId="372A25CF" w14:textId="77777777" w:rsidR="00E45AF3" w:rsidRPr="007722AA" w:rsidRDefault="00E45AF3" w:rsidP="0065121D">
      <w:pPr>
        <w:pStyle w:val="Tekstprzypisudolnego"/>
        <w:spacing w:after="40"/>
        <w:rPr>
          <w:rFonts w:ascii="Arial" w:hAnsi="Arial" w:cs="Arial"/>
          <w:sz w:val="16"/>
          <w:szCs w:val="16"/>
        </w:rPr>
      </w:pPr>
      <w:r w:rsidRPr="007722AA">
        <w:rPr>
          <w:rStyle w:val="Odwoanieprzypisudolnego"/>
          <w:rFonts w:ascii="Arial" w:hAnsi="Arial" w:cs="Arial"/>
          <w:sz w:val="16"/>
          <w:szCs w:val="16"/>
        </w:rPr>
        <w:footnoteRef/>
      </w:r>
      <w:r w:rsidRPr="007722AA">
        <w:rPr>
          <w:rFonts w:ascii="Arial" w:hAnsi="Arial" w:cs="Arial"/>
          <w:sz w:val="16"/>
          <w:szCs w:val="16"/>
        </w:rPr>
        <w:t xml:space="preserve"> Wcześniej: Krajowy Zarząd Gospodarki Wodnej.</w:t>
      </w:r>
    </w:p>
  </w:footnote>
  <w:footnote w:id="3">
    <w:p w14:paraId="66F94F10" w14:textId="3BB0493E" w:rsidR="00E45AF3" w:rsidRPr="007722AA" w:rsidRDefault="00E45AF3" w:rsidP="0065121D">
      <w:pPr>
        <w:pStyle w:val="Tekstprzypisudolnego"/>
        <w:rPr>
          <w:rFonts w:ascii="Arial" w:hAnsi="Arial" w:cs="Arial"/>
          <w:sz w:val="16"/>
          <w:szCs w:val="16"/>
        </w:rPr>
      </w:pPr>
      <w:r w:rsidRPr="007722AA">
        <w:rPr>
          <w:rStyle w:val="Odwoanieprzypisudolnego"/>
          <w:rFonts w:ascii="Arial" w:hAnsi="Arial" w:cs="Arial"/>
          <w:sz w:val="16"/>
          <w:szCs w:val="16"/>
        </w:rPr>
        <w:footnoteRef/>
      </w:r>
      <w:r w:rsidRPr="007722AA">
        <w:rPr>
          <w:rFonts w:ascii="Arial" w:hAnsi="Arial" w:cs="Arial"/>
          <w:sz w:val="16"/>
          <w:szCs w:val="16"/>
        </w:rPr>
        <w:t xml:space="preserve"> Do połowy 2018</w:t>
      </w:r>
      <w:r>
        <w:rPr>
          <w:rFonts w:ascii="Arial" w:hAnsi="Arial" w:cs="Arial"/>
          <w:sz w:val="16"/>
          <w:szCs w:val="16"/>
        </w:rPr>
        <w:t xml:space="preserve"> r. w </w:t>
      </w:r>
      <w:r w:rsidRPr="007722AA">
        <w:rPr>
          <w:rFonts w:ascii="Arial" w:hAnsi="Arial" w:cs="Arial"/>
          <w:sz w:val="16"/>
          <w:szCs w:val="16"/>
        </w:rPr>
        <w:t>miejsce Finlandii obszar koordynowała Nordycka Rada Ministrów.</w:t>
      </w:r>
    </w:p>
  </w:footnote>
  <w:footnote w:id="4">
    <w:p w14:paraId="6A9F58D5" w14:textId="5E4667E2" w:rsidR="000171A9" w:rsidRPr="009B76E3" w:rsidRDefault="000171A9" w:rsidP="00354C34">
      <w:pPr>
        <w:pStyle w:val="Tekstprzypisudolnego"/>
        <w:jc w:val="both"/>
        <w:rPr>
          <w:sz w:val="18"/>
          <w:szCs w:val="18"/>
        </w:rPr>
      </w:pPr>
      <w:r>
        <w:rPr>
          <w:rStyle w:val="Odwoanieprzypisudolnego"/>
        </w:rPr>
        <w:footnoteRef/>
      </w:r>
      <w:r>
        <w:t xml:space="preserve"> </w:t>
      </w:r>
      <w:r w:rsidRPr="009B76E3">
        <w:rPr>
          <w:sz w:val="18"/>
          <w:szCs w:val="18"/>
        </w:rPr>
        <w:t>Polityka energetyczna Polski do roku 2040 została przyjęta przez Radę Ministrów w dniu 2 lutego 2021 r.</w:t>
      </w:r>
    </w:p>
  </w:footnote>
  <w:footnote w:id="5">
    <w:p w14:paraId="6C23DCB5" w14:textId="55E63FA5" w:rsidR="00354C34" w:rsidRPr="009B76E3" w:rsidRDefault="00354C34" w:rsidP="00354C34">
      <w:pPr>
        <w:pStyle w:val="Tekstprzypisudolnego"/>
        <w:jc w:val="both"/>
        <w:rPr>
          <w:sz w:val="18"/>
          <w:szCs w:val="18"/>
        </w:rPr>
      </w:pPr>
      <w:r w:rsidRPr="009B76E3">
        <w:rPr>
          <w:rStyle w:val="Odwoanieprzypisudolnego"/>
          <w:sz w:val="18"/>
          <w:szCs w:val="18"/>
        </w:rPr>
        <w:footnoteRef/>
      </w:r>
      <w:r w:rsidRPr="009B76E3">
        <w:rPr>
          <w:sz w:val="18"/>
          <w:szCs w:val="18"/>
        </w:rPr>
        <w:t xml:space="preserve"> Ustawa z dnia 17 grudnia 2020 r. o promowaniu wytwarzania energii elektrycznej w morskich farmach wiatrowych (Dz. U. z 2021 r. poz. 234) weszła w życie w dniu 18 lutego 2021 r.</w:t>
      </w:r>
    </w:p>
  </w:footnote>
  <w:footnote w:id="6">
    <w:p w14:paraId="0899B3DC" w14:textId="03A2DC01" w:rsidR="00E45AF3" w:rsidRDefault="00E45AF3">
      <w:pPr>
        <w:pStyle w:val="Tekstprzypisudolnego"/>
      </w:pPr>
      <w:r>
        <w:rPr>
          <w:rStyle w:val="Odwoanieprzypisudolnego"/>
        </w:rPr>
        <w:footnoteRef/>
      </w:r>
      <w:r>
        <w:t xml:space="preserve"> </w:t>
      </w:r>
      <w:r w:rsidRPr="009A7FB6">
        <w:rPr>
          <w:rFonts w:ascii="Arial" w:hAnsi="Arial" w:cs="Arial"/>
          <w:sz w:val="16"/>
          <w:szCs w:val="16"/>
        </w:rPr>
        <w:t>Główny Urząd Statystyczny „Turystyka</w:t>
      </w:r>
      <w:r>
        <w:rPr>
          <w:rFonts w:ascii="Arial" w:hAnsi="Arial" w:cs="Arial"/>
          <w:sz w:val="16"/>
          <w:szCs w:val="16"/>
        </w:rPr>
        <w:t xml:space="preserve"> w</w:t>
      </w:r>
      <w:r w:rsidRPr="009A7FB6">
        <w:rPr>
          <w:rFonts w:ascii="Arial" w:hAnsi="Arial" w:cs="Arial"/>
          <w:sz w:val="16"/>
          <w:szCs w:val="16"/>
        </w:rPr>
        <w:t xml:space="preserve"> 2019 r.”, Warszawa, Rzeszów 2020, str</w:t>
      </w:r>
      <w:r w:rsidRPr="00093BCE">
        <w:rPr>
          <w:rFonts w:ascii="Arial" w:hAnsi="Arial" w:cs="Arial"/>
          <w:sz w:val="16"/>
          <w:szCs w:val="16"/>
        </w:rPr>
        <w:t>.53.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15:restartNumberingAfterBreak="0">
    <w:nsid w:val="06495604"/>
    <w:multiLevelType w:val="multilevel"/>
    <w:tmpl w:val="069872F6"/>
    <w:name w:val="Points"/>
    <w:lvl w:ilvl="0">
      <w:start w:val="1"/>
      <w:numFmt w:val="decimal"/>
      <w:pStyle w:val="Point123"/>
      <w:lvlText w:val="%1."/>
      <w:lvlJc w:val="left"/>
      <w:pPr>
        <w:tabs>
          <w:tab w:val="num" w:pos="567"/>
        </w:tabs>
        <w:ind w:left="567" w:hanging="567"/>
      </w:pPr>
      <w:rPr>
        <w:sz w:val="20"/>
        <w:bdr w:val="none" w:sz="0" w:space="0" w:color="auto" w:frame="1"/>
      </w:rPr>
    </w:lvl>
    <w:lvl w:ilvl="1">
      <w:start w:val="1"/>
      <w:numFmt w:val="lowerLetter"/>
      <w:pStyle w:val="Pointabc"/>
      <w:lvlText w:val="%2)"/>
      <w:lvlJc w:val="left"/>
      <w:pPr>
        <w:tabs>
          <w:tab w:val="num" w:pos="567"/>
        </w:tabs>
        <w:ind w:left="567" w:hanging="567"/>
      </w:pPr>
      <w:rPr>
        <w:bdr w:val="none" w:sz="0" w:space="0" w:color="auto" w:frame="1"/>
      </w:rPr>
    </w:lvl>
    <w:lvl w:ilvl="2">
      <w:start w:val="1"/>
      <w:numFmt w:val="decimal"/>
      <w:pStyle w:val="Point1231"/>
      <w:lvlText w:val="%3."/>
      <w:lvlJc w:val="left"/>
      <w:pPr>
        <w:tabs>
          <w:tab w:val="num" w:pos="1134"/>
        </w:tabs>
        <w:ind w:left="1134" w:hanging="567"/>
      </w:pPr>
      <w:rPr>
        <w:bdr w:val="none" w:sz="0" w:space="0" w:color="auto" w:frame="1"/>
      </w:rPr>
    </w:lvl>
    <w:lvl w:ilvl="3">
      <w:start w:val="1"/>
      <w:numFmt w:val="lowerLetter"/>
      <w:pStyle w:val="Pointabc1"/>
      <w:lvlText w:val="%4)"/>
      <w:lvlJc w:val="left"/>
      <w:pPr>
        <w:tabs>
          <w:tab w:val="num" w:pos="1134"/>
        </w:tabs>
        <w:ind w:left="1134" w:hanging="567"/>
      </w:pPr>
      <w:rPr>
        <w:bdr w:val="none" w:sz="0" w:space="0" w:color="auto" w:frame="1"/>
      </w:rPr>
    </w:lvl>
    <w:lvl w:ilvl="4">
      <w:start w:val="1"/>
      <w:numFmt w:val="decimal"/>
      <w:pStyle w:val="Point1232"/>
      <w:lvlText w:val="%5."/>
      <w:lvlJc w:val="left"/>
      <w:pPr>
        <w:tabs>
          <w:tab w:val="num" w:pos="1701"/>
        </w:tabs>
        <w:ind w:left="1701" w:hanging="567"/>
      </w:pPr>
      <w:rPr>
        <w:bdr w:val="none" w:sz="0" w:space="0" w:color="auto" w:frame="1"/>
      </w:rPr>
    </w:lvl>
    <w:lvl w:ilvl="5">
      <w:start w:val="1"/>
      <w:numFmt w:val="lowerLetter"/>
      <w:pStyle w:val="Pointabc2"/>
      <w:lvlText w:val="%6)"/>
      <w:lvlJc w:val="left"/>
      <w:pPr>
        <w:tabs>
          <w:tab w:val="num" w:pos="1701"/>
        </w:tabs>
        <w:ind w:left="1701" w:hanging="567"/>
      </w:pPr>
      <w:rPr>
        <w:bdr w:val="none" w:sz="0" w:space="0" w:color="auto" w:frame="1"/>
      </w:rPr>
    </w:lvl>
    <w:lvl w:ilvl="6">
      <w:start w:val="1"/>
      <w:numFmt w:val="decimal"/>
      <w:pStyle w:val="Point1233"/>
      <w:lvlText w:val="%7."/>
      <w:lvlJc w:val="left"/>
      <w:pPr>
        <w:tabs>
          <w:tab w:val="num" w:pos="2268"/>
        </w:tabs>
        <w:ind w:left="2268" w:hanging="567"/>
      </w:pPr>
      <w:rPr>
        <w:bdr w:val="none" w:sz="0" w:space="0" w:color="auto" w:frame="1"/>
      </w:rPr>
    </w:lvl>
    <w:lvl w:ilvl="7">
      <w:start w:val="1"/>
      <w:numFmt w:val="lowerLetter"/>
      <w:pStyle w:val="Pointabc3"/>
      <w:lvlText w:val="%8)"/>
      <w:lvlJc w:val="left"/>
      <w:pPr>
        <w:tabs>
          <w:tab w:val="num" w:pos="2268"/>
        </w:tabs>
        <w:ind w:left="2268" w:hanging="567"/>
      </w:pPr>
      <w:rPr>
        <w:bdr w:val="none" w:sz="0" w:space="0" w:color="auto" w:frame="1"/>
      </w:rPr>
    </w:lvl>
    <w:lvl w:ilvl="8">
      <w:start w:val="1"/>
      <w:numFmt w:val="lowerLetter"/>
      <w:pStyle w:val="Pointabc4"/>
      <w:lvlText w:val="%9)"/>
      <w:lvlJc w:val="left"/>
      <w:pPr>
        <w:tabs>
          <w:tab w:val="num" w:pos="2835"/>
        </w:tabs>
        <w:ind w:left="2835" w:hanging="567"/>
      </w:pPr>
      <w:rPr>
        <w:bdr w:val="none" w:sz="0" w:space="0" w:color="auto" w:frame="1"/>
      </w:rPr>
    </w:lvl>
  </w:abstractNum>
  <w:abstractNum w:abstractNumId="4" w15:restartNumberingAfterBreak="0">
    <w:nsid w:val="06ED5375"/>
    <w:multiLevelType w:val="hybridMultilevel"/>
    <w:tmpl w:val="30C41E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738173C"/>
    <w:multiLevelType w:val="hybridMultilevel"/>
    <w:tmpl w:val="2E107F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8C92CE3"/>
    <w:multiLevelType w:val="hybridMultilevel"/>
    <w:tmpl w:val="8A520F0E"/>
    <w:lvl w:ilvl="0" w:tplc="DC1A5C48">
      <w:start w:val="1"/>
      <w:numFmt w:val="bullet"/>
      <w:lvlText w:val=""/>
      <w:lvlJc w:val="left"/>
      <w:pPr>
        <w:ind w:left="360" w:hanging="360"/>
      </w:pPr>
      <w:rPr>
        <w:rFonts w:ascii="Symbol" w:hAnsi="Symbol" w:hint="default"/>
        <w:b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E5E4B88"/>
    <w:multiLevelType w:val="hybridMultilevel"/>
    <w:tmpl w:val="68A870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9C062A"/>
    <w:multiLevelType w:val="hybridMultilevel"/>
    <w:tmpl w:val="53820706"/>
    <w:lvl w:ilvl="0" w:tplc="F51E1986">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1622309"/>
    <w:multiLevelType w:val="hybridMultilevel"/>
    <w:tmpl w:val="7A1C26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14A94475"/>
    <w:multiLevelType w:val="hybridMultilevel"/>
    <w:tmpl w:val="9594F6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552180B"/>
    <w:multiLevelType w:val="hybridMultilevel"/>
    <w:tmpl w:val="CC4E7A48"/>
    <w:lvl w:ilvl="0" w:tplc="D82CC2F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657409C"/>
    <w:multiLevelType w:val="hybridMultilevel"/>
    <w:tmpl w:val="19E817AA"/>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9670D6"/>
    <w:multiLevelType w:val="hybridMultilevel"/>
    <w:tmpl w:val="609CCFA2"/>
    <w:lvl w:ilvl="0" w:tplc="04150001">
      <w:start w:val="1"/>
      <w:numFmt w:val="bullet"/>
      <w:lvlText w:val=""/>
      <w:lvlJc w:val="left"/>
      <w:pPr>
        <w:ind w:left="360" w:hanging="360"/>
      </w:pPr>
      <w:rPr>
        <w:rFonts w:ascii="Symbol" w:hAnsi="Symbol" w:hint="default"/>
      </w:rPr>
    </w:lvl>
    <w:lvl w:ilvl="1" w:tplc="5CFE08B6">
      <w:start w:val="2017"/>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8AA640C"/>
    <w:multiLevelType w:val="hybridMultilevel"/>
    <w:tmpl w:val="BF42FC96"/>
    <w:lvl w:ilvl="0" w:tplc="25F0E8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8CC0CCD"/>
    <w:multiLevelType w:val="hybridMultilevel"/>
    <w:tmpl w:val="A2703E28"/>
    <w:lvl w:ilvl="0" w:tplc="33AA7400">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1671E2"/>
    <w:multiLevelType w:val="hybridMultilevel"/>
    <w:tmpl w:val="EF54EA9A"/>
    <w:lvl w:ilvl="0" w:tplc="D82CC2F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BF77E01"/>
    <w:multiLevelType w:val="hybridMultilevel"/>
    <w:tmpl w:val="70C6E1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FE1411A"/>
    <w:multiLevelType w:val="hybridMultilevel"/>
    <w:tmpl w:val="A620AEFC"/>
    <w:lvl w:ilvl="0" w:tplc="F51E1986">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5A4C92"/>
    <w:multiLevelType w:val="hybridMultilevel"/>
    <w:tmpl w:val="3E9E8D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49B16EE"/>
    <w:multiLevelType w:val="hybridMultilevel"/>
    <w:tmpl w:val="CF2A3CCE"/>
    <w:lvl w:ilvl="0" w:tplc="52B8C8E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D7E70FE"/>
    <w:multiLevelType w:val="hybridMultilevel"/>
    <w:tmpl w:val="02DE6C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2E3B4390"/>
    <w:multiLevelType w:val="hybridMultilevel"/>
    <w:tmpl w:val="59580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F9B0587"/>
    <w:multiLevelType w:val="hybridMultilevel"/>
    <w:tmpl w:val="5BBCD754"/>
    <w:lvl w:ilvl="0" w:tplc="DD26A2F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33C54ADC"/>
    <w:multiLevelType w:val="hybridMultilevel"/>
    <w:tmpl w:val="19D42B6C"/>
    <w:lvl w:ilvl="0" w:tplc="DC1A5C48">
      <w:start w:val="1"/>
      <w:numFmt w:val="bullet"/>
      <w:lvlText w:val=""/>
      <w:lvlJc w:val="left"/>
      <w:pPr>
        <w:ind w:left="360" w:hanging="360"/>
      </w:pPr>
      <w:rPr>
        <w:rFonts w:ascii="Symbol" w:hAnsi="Symbol" w:hint="default"/>
        <w:b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A203064"/>
    <w:multiLevelType w:val="hybridMultilevel"/>
    <w:tmpl w:val="5A40B756"/>
    <w:lvl w:ilvl="0" w:tplc="AF1E998C">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DF3565A"/>
    <w:multiLevelType w:val="hybridMultilevel"/>
    <w:tmpl w:val="BC580D0A"/>
    <w:lvl w:ilvl="0" w:tplc="0B6A3E96">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C6669E"/>
    <w:multiLevelType w:val="hybridMultilevel"/>
    <w:tmpl w:val="24BCC006"/>
    <w:lvl w:ilvl="0" w:tplc="DC1A5C48">
      <w:start w:val="1"/>
      <w:numFmt w:val="bullet"/>
      <w:lvlText w:val=""/>
      <w:lvlJc w:val="left"/>
      <w:pPr>
        <w:ind w:left="720" w:hanging="360"/>
      </w:pPr>
      <w:rPr>
        <w:rFonts w:ascii="Symbol" w:hAnsi="Symbol" w:hint="default"/>
        <w:b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4BB6D42"/>
    <w:multiLevelType w:val="hybridMultilevel"/>
    <w:tmpl w:val="F8044C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51D3B05"/>
    <w:multiLevelType w:val="hybridMultilevel"/>
    <w:tmpl w:val="201085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CCA1497"/>
    <w:multiLevelType w:val="hybridMultilevel"/>
    <w:tmpl w:val="47E0BD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F58AA"/>
    <w:multiLevelType w:val="hybridMultilevel"/>
    <w:tmpl w:val="C46E6D84"/>
    <w:lvl w:ilvl="0" w:tplc="04150001">
      <w:start w:val="1"/>
      <w:numFmt w:val="bullet"/>
      <w:lvlText w:val=""/>
      <w:lvlJc w:val="left"/>
      <w:pPr>
        <w:tabs>
          <w:tab w:val="num" w:pos="360"/>
        </w:tabs>
        <w:ind w:left="360" w:hanging="360"/>
      </w:pPr>
      <w:rPr>
        <w:rFonts w:ascii="Symbol" w:hAnsi="Symbol" w:hint="default"/>
      </w:rPr>
    </w:lvl>
    <w:lvl w:ilvl="1" w:tplc="AF1E998C">
      <w:start w:val="1"/>
      <w:numFmt w:val="bullet"/>
      <w:lvlText w:val="-"/>
      <w:lvlJc w:val="left"/>
      <w:pPr>
        <w:tabs>
          <w:tab w:val="num" w:pos="-348"/>
        </w:tabs>
        <w:ind w:left="-348" w:hanging="360"/>
      </w:pPr>
      <w:rPr>
        <w:rFonts w:ascii="Times New Roman" w:hAnsi="Times New Roman"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C0683C"/>
    <w:multiLevelType w:val="hybridMultilevel"/>
    <w:tmpl w:val="D820E216"/>
    <w:lvl w:ilvl="0" w:tplc="D82CC2F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3" w15:restartNumberingAfterBreak="0">
    <w:nsid w:val="516605F1"/>
    <w:multiLevelType w:val="hybridMultilevel"/>
    <w:tmpl w:val="3DF68FF4"/>
    <w:lvl w:ilvl="0" w:tplc="80EC6E2A">
      <w:start w:val="1"/>
      <w:numFmt w:val="bullet"/>
      <w:lvlText w:val="-"/>
      <w:lvlJc w:val="left"/>
      <w:pPr>
        <w:ind w:left="720" w:hanging="360"/>
      </w:pPr>
      <w:rPr>
        <w:rFonts w:ascii="Arial" w:hAnsi="Aria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28F7AA6"/>
    <w:multiLevelType w:val="hybridMultilevel"/>
    <w:tmpl w:val="2034F5CC"/>
    <w:lvl w:ilvl="0" w:tplc="F51E1986">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48D62C9"/>
    <w:multiLevelType w:val="hybridMultilevel"/>
    <w:tmpl w:val="8CA04070"/>
    <w:lvl w:ilvl="0" w:tplc="D82CC2F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60D04A4"/>
    <w:multiLevelType w:val="hybridMultilevel"/>
    <w:tmpl w:val="445010C0"/>
    <w:lvl w:ilvl="0" w:tplc="A3EC0DF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4A257C"/>
    <w:multiLevelType w:val="hybridMultilevel"/>
    <w:tmpl w:val="AE6CE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6742E6"/>
    <w:multiLevelType w:val="hybridMultilevel"/>
    <w:tmpl w:val="4F70E78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6D0B02"/>
    <w:multiLevelType w:val="hybridMultilevel"/>
    <w:tmpl w:val="5954528A"/>
    <w:lvl w:ilvl="0" w:tplc="D82CC2F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59567C50"/>
    <w:multiLevelType w:val="hybridMultilevel"/>
    <w:tmpl w:val="A92214EC"/>
    <w:lvl w:ilvl="0" w:tplc="33AA740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9596894"/>
    <w:multiLevelType w:val="hybridMultilevel"/>
    <w:tmpl w:val="782CA5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BAD494D"/>
    <w:multiLevelType w:val="hybridMultilevel"/>
    <w:tmpl w:val="6262B0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CF44F7C"/>
    <w:multiLevelType w:val="hybridMultilevel"/>
    <w:tmpl w:val="635EA0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0347F78"/>
    <w:multiLevelType w:val="hybridMultilevel"/>
    <w:tmpl w:val="D58E5D08"/>
    <w:lvl w:ilvl="0" w:tplc="A3EC0DF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1485812"/>
    <w:multiLevelType w:val="hybridMultilevel"/>
    <w:tmpl w:val="CF4A02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1693AD3"/>
    <w:multiLevelType w:val="hybridMultilevel"/>
    <w:tmpl w:val="7604FA14"/>
    <w:lvl w:ilvl="0" w:tplc="AF1E998C">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5651C36"/>
    <w:multiLevelType w:val="hybridMultilevel"/>
    <w:tmpl w:val="E6D663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65EA188D"/>
    <w:multiLevelType w:val="hybridMultilevel"/>
    <w:tmpl w:val="2BF81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67B46E7"/>
    <w:multiLevelType w:val="hybridMultilevel"/>
    <w:tmpl w:val="BCA00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BDC28E1"/>
    <w:multiLevelType w:val="hybridMultilevel"/>
    <w:tmpl w:val="5E58B4BE"/>
    <w:lvl w:ilvl="0" w:tplc="6D388DE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0C332C7"/>
    <w:multiLevelType w:val="hybridMultilevel"/>
    <w:tmpl w:val="9FC0F7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41A4E5F"/>
    <w:multiLevelType w:val="hybridMultilevel"/>
    <w:tmpl w:val="A6D82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5FA4C4E"/>
    <w:multiLevelType w:val="hybridMultilevel"/>
    <w:tmpl w:val="2168EB06"/>
    <w:lvl w:ilvl="0" w:tplc="F51E1986">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68B71B0"/>
    <w:multiLevelType w:val="hybridMultilevel"/>
    <w:tmpl w:val="B2C0EF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C841892"/>
    <w:multiLevelType w:val="hybridMultilevel"/>
    <w:tmpl w:val="4B4277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FB401D4"/>
    <w:multiLevelType w:val="hybridMultilevel"/>
    <w:tmpl w:val="EAFA16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9"/>
  </w:num>
  <w:num w:numId="2">
    <w:abstractNumId w:val="46"/>
  </w:num>
  <w:num w:numId="3">
    <w:abstractNumId w:val="17"/>
  </w:num>
  <w:num w:numId="4">
    <w:abstractNumId w:val="41"/>
  </w:num>
  <w:num w:numId="5">
    <w:abstractNumId w:val="25"/>
  </w:num>
  <w:num w:numId="6">
    <w:abstractNumId w:val="16"/>
  </w:num>
  <w:num w:numId="7">
    <w:abstractNumId w:val="12"/>
  </w:num>
  <w:num w:numId="8">
    <w:abstractNumId w:val="56"/>
  </w:num>
  <w:num w:numId="9">
    <w:abstractNumId w:val="51"/>
  </w:num>
  <w:num w:numId="10">
    <w:abstractNumId w:val="6"/>
  </w:num>
  <w:num w:numId="11">
    <w:abstractNumId w:val="24"/>
  </w:num>
  <w:num w:numId="12">
    <w:abstractNumId w:val="8"/>
  </w:num>
  <w:num w:numId="13">
    <w:abstractNumId w:val="28"/>
  </w:num>
  <w:num w:numId="14">
    <w:abstractNumId w:val="5"/>
  </w:num>
  <w:num w:numId="15">
    <w:abstractNumId w:val="0"/>
  </w:num>
  <w:num w:numId="16">
    <w:abstractNumId w:val="1"/>
  </w:num>
  <w:num w:numId="17">
    <w:abstractNumId w:val="2"/>
  </w:num>
  <w:num w:numId="18">
    <w:abstractNumId w:val="32"/>
  </w:num>
  <w:num w:numId="19">
    <w:abstractNumId w:val="39"/>
  </w:num>
  <w:num w:numId="20">
    <w:abstractNumId w:val="35"/>
  </w:num>
  <w:num w:numId="21">
    <w:abstractNumId w:val="11"/>
  </w:num>
  <w:num w:numId="22">
    <w:abstractNumId w:val="50"/>
  </w:num>
  <w:num w:numId="23">
    <w:abstractNumId w:val="42"/>
  </w:num>
  <w:num w:numId="24">
    <w:abstractNumId w:val="23"/>
  </w:num>
  <w:num w:numId="25">
    <w:abstractNumId w:val="54"/>
  </w:num>
  <w:num w:numId="26">
    <w:abstractNumId w:val="55"/>
  </w:num>
  <w:num w:numId="27">
    <w:abstractNumId w:val="38"/>
  </w:num>
  <w:num w:numId="28">
    <w:abstractNumId w:val="29"/>
  </w:num>
  <w:num w:numId="29">
    <w:abstractNumId w:val="13"/>
  </w:num>
  <w:num w:numId="30">
    <w:abstractNumId w:val="7"/>
  </w:num>
  <w:num w:numId="31">
    <w:abstractNumId w:val="36"/>
  </w:num>
  <w:num w:numId="32">
    <w:abstractNumId w:val="44"/>
  </w:num>
  <w:num w:numId="33">
    <w:abstractNumId w:val="52"/>
  </w:num>
  <w:num w:numId="34">
    <w:abstractNumId w:val="18"/>
  </w:num>
  <w:num w:numId="35">
    <w:abstractNumId w:val="53"/>
  </w:num>
  <w:num w:numId="36">
    <w:abstractNumId w:val="34"/>
  </w:num>
  <w:num w:numId="37">
    <w:abstractNumId w:val="22"/>
  </w:num>
  <w:num w:numId="38">
    <w:abstractNumId w:val="21"/>
  </w:num>
  <w:num w:numId="39">
    <w:abstractNumId w:val="10"/>
  </w:num>
  <w:num w:numId="40">
    <w:abstractNumId w:val="47"/>
  </w:num>
  <w:num w:numId="41">
    <w:abstractNumId w:val="40"/>
  </w:num>
  <w:num w:numId="42">
    <w:abstractNumId w:val="15"/>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 w:numId="46">
    <w:abstractNumId w:val="27"/>
  </w:num>
  <w:num w:numId="47">
    <w:abstractNumId w:val="19"/>
  </w:num>
  <w:num w:numId="48">
    <w:abstractNumId w:val="26"/>
  </w:num>
  <w:num w:numId="49">
    <w:abstractNumId w:val="31"/>
  </w:num>
  <w:num w:numId="50">
    <w:abstractNumId w:val="30"/>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49"/>
  </w:num>
  <w:num w:numId="54">
    <w:abstractNumId w:val="48"/>
  </w:num>
  <w:num w:numId="55">
    <w:abstractNumId w:val="45"/>
  </w:num>
  <w:num w:numId="56">
    <w:abstractNumId w:val="14"/>
  </w:num>
  <w:num w:numId="57">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C1"/>
    <w:rsid w:val="00001AE7"/>
    <w:rsid w:val="00001E42"/>
    <w:rsid w:val="00002F60"/>
    <w:rsid w:val="00003172"/>
    <w:rsid w:val="00003439"/>
    <w:rsid w:val="00003F7A"/>
    <w:rsid w:val="00004E44"/>
    <w:rsid w:val="0000562D"/>
    <w:rsid w:val="00007942"/>
    <w:rsid w:val="00007B88"/>
    <w:rsid w:val="00007C7E"/>
    <w:rsid w:val="00010652"/>
    <w:rsid w:val="00010AE9"/>
    <w:rsid w:val="00011924"/>
    <w:rsid w:val="000120F5"/>
    <w:rsid w:val="00012663"/>
    <w:rsid w:val="000126A2"/>
    <w:rsid w:val="000127F7"/>
    <w:rsid w:val="00013173"/>
    <w:rsid w:val="00013D5D"/>
    <w:rsid w:val="000142BA"/>
    <w:rsid w:val="00014910"/>
    <w:rsid w:val="00014AD7"/>
    <w:rsid w:val="00016289"/>
    <w:rsid w:val="00016A01"/>
    <w:rsid w:val="00016BC5"/>
    <w:rsid w:val="000171A9"/>
    <w:rsid w:val="00017362"/>
    <w:rsid w:val="00017397"/>
    <w:rsid w:val="0001750C"/>
    <w:rsid w:val="00017811"/>
    <w:rsid w:val="0002040D"/>
    <w:rsid w:val="000210C1"/>
    <w:rsid w:val="0002164C"/>
    <w:rsid w:val="000218D6"/>
    <w:rsid w:val="00021CB2"/>
    <w:rsid w:val="00021EB5"/>
    <w:rsid w:val="000222E5"/>
    <w:rsid w:val="0002346D"/>
    <w:rsid w:val="00023F2E"/>
    <w:rsid w:val="000248F1"/>
    <w:rsid w:val="00024AE8"/>
    <w:rsid w:val="00025004"/>
    <w:rsid w:val="00025CE8"/>
    <w:rsid w:val="0002641A"/>
    <w:rsid w:val="00026E42"/>
    <w:rsid w:val="0002720C"/>
    <w:rsid w:val="00030035"/>
    <w:rsid w:val="000304AF"/>
    <w:rsid w:val="00030B48"/>
    <w:rsid w:val="00030C46"/>
    <w:rsid w:val="00030D1F"/>
    <w:rsid w:val="00030E29"/>
    <w:rsid w:val="000312C7"/>
    <w:rsid w:val="0003220E"/>
    <w:rsid w:val="000324B4"/>
    <w:rsid w:val="00033A65"/>
    <w:rsid w:val="00033FE4"/>
    <w:rsid w:val="00035066"/>
    <w:rsid w:val="00035C91"/>
    <w:rsid w:val="00035DE8"/>
    <w:rsid w:val="00036C06"/>
    <w:rsid w:val="00036D36"/>
    <w:rsid w:val="00037117"/>
    <w:rsid w:val="000372AC"/>
    <w:rsid w:val="0003749B"/>
    <w:rsid w:val="00037837"/>
    <w:rsid w:val="00037A61"/>
    <w:rsid w:val="00040061"/>
    <w:rsid w:val="000402D9"/>
    <w:rsid w:val="00040430"/>
    <w:rsid w:val="00040548"/>
    <w:rsid w:val="00040934"/>
    <w:rsid w:val="000414B3"/>
    <w:rsid w:val="000418C5"/>
    <w:rsid w:val="00043522"/>
    <w:rsid w:val="00043592"/>
    <w:rsid w:val="00043B68"/>
    <w:rsid w:val="00044076"/>
    <w:rsid w:val="00044E32"/>
    <w:rsid w:val="000455A2"/>
    <w:rsid w:val="000458C1"/>
    <w:rsid w:val="00046057"/>
    <w:rsid w:val="0004652A"/>
    <w:rsid w:val="00046BB3"/>
    <w:rsid w:val="00047399"/>
    <w:rsid w:val="00047BCD"/>
    <w:rsid w:val="00050571"/>
    <w:rsid w:val="00050C65"/>
    <w:rsid w:val="000514DF"/>
    <w:rsid w:val="000535B0"/>
    <w:rsid w:val="000535C3"/>
    <w:rsid w:val="00053997"/>
    <w:rsid w:val="00053C24"/>
    <w:rsid w:val="0005413C"/>
    <w:rsid w:val="00054CCE"/>
    <w:rsid w:val="0005548C"/>
    <w:rsid w:val="0005604D"/>
    <w:rsid w:val="00056E7A"/>
    <w:rsid w:val="000576A4"/>
    <w:rsid w:val="00060064"/>
    <w:rsid w:val="00060A0A"/>
    <w:rsid w:val="00061C74"/>
    <w:rsid w:val="00063206"/>
    <w:rsid w:val="00063660"/>
    <w:rsid w:val="00063970"/>
    <w:rsid w:val="00063B22"/>
    <w:rsid w:val="00063F83"/>
    <w:rsid w:val="00064A75"/>
    <w:rsid w:val="00065836"/>
    <w:rsid w:val="00065C5D"/>
    <w:rsid w:val="0006676A"/>
    <w:rsid w:val="0006688A"/>
    <w:rsid w:val="00066D4B"/>
    <w:rsid w:val="00067B06"/>
    <w:rsid w:val="0007005D"/>
    <w:rsid w:val="00070757"/>
    <w:rsid w:val="00071228"/>
    <w:rsid w:val="00071C36"/>
    <w:rsid w:val="00072470"/>
    <w:rsid w:val="000729FA"/>
    <w:rsid w:val="0007360C"/>
    <w:rsid w:val="00075483"/>
    <w:rsid w:val="00076508"/>
    <w:rsid w:val="000773A5"/>
    <w:rsid w:val="000773CE"/>
    <w:rsid w:val="00077D45"/>
    <w:rsid w:val="0008051D"/>
    <w:rsid w:val="00080F8F"/>
    <w:rsid w:val="000814A6"/>
    <w:rsid w:val="00081800"/>
    <w:rsid w:val="00081BB0"/>
    <w:rsid w:val="00082966"/>
    <w:rsid w:val="0008387B"/>
    <w:rsid w:val="00083CCC"/>
    <w:rsid w:val="0008465D"/>
    <w:rsid w:val="00084D9A"/>
    <w:rsid w:val="00084F47"/>
    <w:rsid w:val="000856C1"/>
    <w:rsid w:val="00086C0F"/>
    <w:rsid w:val="0008706B"/>
    <w:rsid w:val="00087612"/>
    <w:rsid w:val="00087644"/>
    <w:rsid w:val="00087CF9"/>
    <w:rsid w:val="0009031A"/>
    <w:rsid w:val="00090A26"/>
    <w:rsid w:val="00090F5E"/>
    <w:rsid w:val="00091037"/>
    <w:rsid w:val="00091A84"/>
    <w:rsid w:val="00091C74"/>
    <w:rsid w:val="000926E0"/>
    <w:rsid w:val="000930CD"/>
    <w:rsid w:val="0009336D"/>
    <w:rsid w:val="0009348A"/>
    <w:rsid w:val="00093757"/>
    <w:rsid w:val="00093BCE"/>
    <w:rsid w:val="00094307"/>
    <w:rsid w:val="00095422"/>
    <w:rsid w:val="00095E19"/>
    <w:rsid w:val="00096049"/>
    <w:rsid w:val="00096A16"/>
    <w:rsid w:val="00096A6F"/>
    <w:rsid w:val="00096DC5"/>
    <w:rsid w:val="00096F79"/>
    <w:rsid w:val="00097206"/>
    <w:rsid w:val="000A06F5"/>
    <w:rsid w:val="000A0A85"/>
    <w:rsid w:val="000A1281"/>
    <w:rsid w:val="000A16AA"/>
    <w:rsid w:val="000A22A9"/>
    <w:rsid w:val="000A2421"/>
    <w:rsid w:val="000A250A"/>
    <w:rsid w:val="000A2B24"/>
    <w:rsid w:val="000A2C61"/>
    <w:rsid w:val="000A2FDC"/>
    <w:rsid w:val="000A34A6"/>
    <w:rsid w:val="000A3E64"/>
    <w:rsid w:val="000A3F0C"/>
    <w:rsid w:val="000A4564"/>
    <w:rsid w:val="000A4E57"/>
    <w:rsid w:val="000A4F2F"/>
    <w:rsid w:val="000A509D"/>
    <w:rsid w:val="000A5795"/>
    <w:rsid w:val="000A57C2"/>
    <w:rsid w:val="000A5DFE"/>
    <w:rsid w:val="000A65FE"/>
    <w:rsid w:val="000A6799"/>
    <w:rsid w:val="000A7123"/>
    <w:rsid w:val="000A7903"/>
    <w:rsid w:val="000B02C1"/>
    <w:rsid w:val="000B0E11"/>
    <w:rsid w:val="000B0F69"/>
    <w:rsid w:val="000B1376"/>
    <w:rsid w:val="000B1D3F"/>
    <w:rsid w:val="000B1E0C"/>
    <w:rsid w:val="000B2AD8"/>
    <w:rsid w:val="000B2F79"/>
    <w:rsid w:val="000B36C8"/>
    <w:rsid w:val="000B37AF"/>
    <w:rsid w:val="000B3D97"/>
    <w:rsid w:val="000B4C8A"/>
    <w:rsid w:val="000B4DF2"/>
    <w:rsid w:val="000B54FB"/>
    <w:rsid w:val="000B5F67"/>
    <w:rsid w:val="000B6362"/>
    <w:rsid w:val="000B6C85"/>
    <w:rsid w:val="000B6D8E"/>
    <w:rsid w:val="000B7467"/>
    <w:rsid w:val="000B7821"/>
    <w:rsid w:val="000B7DFB"/>
    <w:rsid w:val="000C0633"/>
    <w:rsid w:val="000C06CE"/>
    <w:rsid w:val="000C1E9E"/>
    <w:rsid w:val="000C2277"/>
    <w:rsid w:val="000C2ABF"/>
    <w:rsid w:val="000C2F90"/>
    <w:rsid w:val="000C3875"/>
    <w:rsid w:val="000C3B2F"/>
    <w:rsid w:val="000C4096"/>
    <w:rsid w:val="000C4295"/>
    <w:rsid w:val="000C4997"/>
    <w:rsid w:val="000C4EA4"/>
    <w:rsid w:val="000C592D"/>
    <w:rsid w:val="000C60C5"/>
    <w:rsid w:val="000C69A7"/>
    <w:rsid w:val="000C7125"/>
    <w:rsid w:val="000C756F"/>
    <w:rsid w:val="000C7823"/>
    <w:rsid w:val="000D0899"/>
    <w:rsid w:val="000D0C7A"/>
    <w:rsid w:val="000D17C4"/>
    <w:rsid w:val="000D1F2B"/>
    <w:rsid w:val="000D2D9F"/>
    <w:rsid w:val="000D310C"/>
    <w:rsid w:val="000D3F15"/>
    <w:rsid w:val="000D45A4"/>
    <w:rsid w:val="000D5B08"/>
    <w:rsid w:val="000D5DBA"/>
    <w:rsid w:val="000D6B1B"/>
    <w:rsid w:val="000E0839"/>
    <w:rsid w:val="000E0B6D"/>
    <w:rsid w:val="000E0F9B"/>
    <w:rsid w:val="000E2196"/>
    <w:rsid w:val="000E289C"/>
    <w:rsid w:val="000E2E7F"/>
    <w:rsid w:val="000E2F9A"/>
    <w:rsid w:val="000E3FD8"/>
    <w:rsid w:val="000E4089"/>
    <w:rsid w:val="000E4562"/>
    <w:rsid w:val="000E518A"/>
    <w:rsid w:val="000E55E9"/>
    <w:rsid w:val="000E578C"/>
    <w:rsid w:val="000E5D9D"/>
    <w:rsid w:val="000E6A5C"/>
    <w:rsid w:val="000E7DDA"/>
    <w:rsid w:val="000E7F63"/>
    <w:rsid w:val="000F0E43"/>
    <w:rsid w:val="000F11B9"/>
    <w:rsid w:val="000F1264"/>
    <w:rsid w:val="000F1845"/>
    <w:rsid w:val="000F1CEA"/>
    <w:rsid w:val="000F22EF"/>
    <w:rsid w:val="000F232C"/>
    <w:rsid w:val="000F2C08"/>
    <w:rsid w:val="000F2CD5"/>
    <w:rsid w:val="000F2D7B"/>
    <w:rsid w:val="000F3D8E"/>
    <w:rsid w:val="000F3FD4"/>
    <w:rsid w:val="000F4170"/>
    <w:rsid w:val="000F468A"/>
    <w:rsid w:val="000F5B2B"/>
    <w:rsid w:val="000F5B66"/>
    <w:rsid w:val="000F5B87"/>
    <w:rsid w:val="000F5C1C"/>
    <w:rsid w:val="000F5E8C"/>
    <w:rsid w:val="000F5EDA"/>
    <w:rsid w:val="000F65B0"/>
    <w:rsid w:val="000F65D2"/>
    <w:rsid w:val="000F6776"/>
    <w:rsid w:val="000F6BD5"/>
    <w:rsid w:val="000F782B"/>
    <w:rsid w:val="000F7E66"/>
    <w:rsid w:val="0010000A"/>
    <w:rsid w:val="0010046C"/>
    <w:rsid w:val="0010124A"/>
    <w:rsid w:val="001012AD"/>
    <w:rsid w:val="0010131B"/>
    <w:rsid w:val="00101372"/>
    <w:rsid w:val="00101418"/>
    <w:rsid w:val="001016F3"/>
    <w:rsid w:val="0010207B"/>
    <w:rsid w:val="00103681"/>
    <w:rsid w:val="001044B4"/>
    <w:rsid w:val="00105250"/>
    <w:rsid w:val="00105632"/>
    <w:rsid w:val="00105AC8"/>
    <w:rsid w:val="00105AF0"/>
    <w:rsid w:val="00105EE0"/>
    <w:rsid w:val="00106046"/>
    <w:rsid w:val="00107647"/>
    <w:rsid w:val="001077B3"/>
    <w:rsid w:val="001103BC"/>
    <w:rsid w:val="0011079F"/>
    <w:rsid w:val="00110925"/>
    <w:rsid w:val="00110F90"/>
    <w:rsid w:val="00110FD1"/>
    <w:rsid w:val="00111DD1"/>
    <w:rsid w:val="00114CC3"/>
    <w:rsid w:val="00114D94"/>
    <w:rsid w:val="00115148"/>
    <w:rsid w:val="001152F0"/>
    <w:rsid w:val="001154F9"/>
    <w:rsid w:val="001156F9"/>
    <w:rsid w:val="00116449"/>
    <w:rsid w:val="001168F0"/>
    <w:rsid w:val="00116B02"/>
    <w:rsid w:val="001170FF"/>
    <w:rsid w:val="00117202"/>
    <w:rsid w:val="0011772B"/>
    <w:rsid w:val="00117C1E"/>
    <w:rsid w:val="00117F12"/>
    <w:rsid w:val="00120AAD"/>
    <w:rsid w:val="00120C0F"/>
    <w:rsid w:val="00120F50"/>
    <w:rsid w:val="00121096"/>
    <w:rsid w:val="001218D3"/>
    <w:rsid w:val="00121CDE"/>
    <w:rsid w:val="0012278E"/>
    <w:rsid w:val="00122EB5"/>
    <w:rsid w:val="00123B87"/>
    <w:rsid w:val="0012428A"/>
    <w:rsid w:val="001245C7"/>
    <w:rsid w:val="00124A21"/>
    <w:rsid w:val="001252F4"/>
    <w:rsid w:val="00125BCA"/>
    <w:rsid w:val="00125CF8"/>
    <w:rsid w:val="00125E8F"/>
    <w:rsid w:val="00126582"/>
    <w:rsid w:val="00126A6E"/>
    <w:rsid w:val="00130329"/>
    <w:rsid w:val="001304EB"/>
    <w:rsid w:val="00130CF8"/>
    <w:rsid w:val="00130FBD"/>
    <w:rsid w:val="0013101B"/>
    <w:rsid w:val="00131022"/>
    <w:rsid w:val="00131073"/>
    <w:rsid w:val="00131183"/>
    <w:rsid w:val="00131459"/>
    <w:rsid w:val="00131494"/>
    <w:rsid w:val="0013207C"/>
    <w:rsid w:val="0013237B"/>
    <w:rsid w:val="001336F6"/>
    <w:rsid w:val="00133922"/>
    <w:rsid w:val="00133AD0"/>
    <w:rsid w:val="00133D28"/>
    <w:rsid w:val="00133D84"/>
    <w:rsid w:val="00134108"/>
    <w:rsid w:val="00134FE8"/>
    <w:rsid w:val="00135F2E"/>
    <w:rsid w:val="0013606B"/>
    <w:rsid w:val="0013653F"/>
    <w:rsid w:val="0013764D"/>
    <w:rsid w:val="00137DBF"/>
    <w:rsid w:val="001402AE"/>
    <w:rsid w:val="00140628"/>
    <w:rsid w:val="001407C7"/>
    <w:rsid w:val="00140AF4"/>
    <w:rsid w:val="00140E3E"/>
    <w:rsid w:val="00141101"/>
    <w:rsid w:val="001418B6"/>
    <w:rsid w:val="00141A9B"/>
    <w:rsid w:val="00141F06"/>
    <w:rsid w:val="001428E5"/>
    <w:rsid w:val="00142B60"/>
    <w:rsid w:val="00142E84"/>
    <w:rsid w:val="00142F42"/>
    <w:rsid w:val="001436D3"/>
    <w:rsid w:val="00143C36"/>
    <w:rsid w:val="00144397"/>
    <w:rsid w:val="00144404"/>
    <w:rsid w:val="00144BFF"/>
    <w:rsid w:val="00144E9A"/>
    <w:rsid w:val="0014529C"/>
    <w:rsid w:val="0014543B"/>
    <w:rsid w:val="00145FD8"/>
    <w:rsid w:val="00147F32"/>
    <w:rsid w:val="00150054"/>
    <w:rsid w:val="00150373"/>
    <w:rsid w:val="00150670"/>
    <w:rsid w:val="00150D18"/>
    <w:rsid w:val="001515AA"/>
    <w:rsid w:val="001518EF"/>
    <w:rsid w:val="00151DD5"/>
    <w:rsid w:val="0015220C"/>
    <w:rsid w:val="0015233D"/>
    <w:rsid w:val="001529B6"/>
    <w:rsid w:val="00152A38"/>
    <w:rsid w:val="001532AE"/>
    <w:rsid w:val="00153D55"/>
    <w:rsid w:val="00155DE6"/>
    <w:rsid w:val="001579C7"/>
    <w:rsid w:val="00160FE5"/>
    <w:rsid w:val="00161D29"/>
    <w:rsid w:val="00161EF4"/>
    <w:rsid w:val="00162652"/>
    <w:rsid w:val="0016271F"/>
    <w:rsid w:val="00162869"/>
    <w:rsid w:val="0016305E"/>
    <w:rsid w:val="00164452"/>
    <w:rsid w:val="00164FD8"/>
    <w:rsid w:val="0016580A"/>
    <w:rsid w:val="00165F51"/>
    <w:rsid w:val="00166AA3"/>
    <w:rsid w:val="00166CE5"/>
    <w:rsid w:val="00167787"/>
    <w:rsid w:val="00167F00"/>
    <w:rsid w:val="001702BD"/>
    <w:rsid w:val="00170E51"/>
    <w:rsid w:val="00170E87"/>
    <w:rsid w:val="0017191B"/>
    <w:rsid w:val="00172EFB"/>
    <w:rsid w:val="001738C2"/>
    <w:rsid w:val="0017458E"/>
    <w:rsid w:val="001749DF"/>
    <w:rsid w:val="00174C57"/>
    <w:rsid w:val="00175B5F"/>
    <w:rsid w:val="00175B88"/>
    <w:rsid w:val="00176901"/>
    <w:rsid w:val="00176C36"/>
    <w:rsid w:val="001773AF"/>
    <w:rsid w:val="0017753F"/>
    <w:rsid w:val="001802F4"/>
    <w:rsid w:val="001807BB"/>
    <w:rsid w:val="00180829"/>
    <w:rsid w:val="00181446"/>
    <w:rsid w:val="00181500"/>
    <w:rsid w:val="00181858"/>
    <w:rsid w:val="00181CDD"/>
    <w:rsid w:val="0018208F"/>
    <w:rsid w:val="00183E7C"/>
    <w:rsid w:val="00183FB6"/>
    <w:rsid w:val="00184021"/>
    <w:rsid w:val="001844CB"/>
    <w:rsid w:val="001844D0"/>
    <w:rsid w:val="00186B9B"/>
    <w:rsid w:val="001870BD"/>
    <w:rsid w:val="00187122"/>
    <w:rsid w:val="00187556"/>
    <w:rsid w:val="00187BDA"/>
    <w:rsid w:val="00190752"/>
    <w:rsid w:val="00191081"/>
    <w:rsid w:val="00191523"/>
    <w:rsid w:val="001917EB"/>
    <w:rsid w:val="00191F9E"/>
    <w:rsid w:val="001926F2"/>
    <w:rsid w:val="001927F2"/>
    <w:rsid w:val="001935DE"/>
    <w:rsid w:val="00194313"/>
    <w:rsid w:val="00195E08"/>
    <w:rsid w:val="001963BC"/>
    <w:rsid w:val="001963D5"/>
    <w:rsid w:val="00196957"/>
    <w:rsid w:val="00196CD5"/>
    <w:rsid w:val="00196F3B"/>
    <w:rsid w:val="0019744D"/>
    <w:rsid w:val="001974E5"/>
    <w:rsid w:val="001A0165"/>
    <w:rsid w:val="001A037C"/>
    <w:rsid w:val="001A0B28"/>
    <w:rsid w:val="001A0C31"/>
    <w:rsid w:val="001A1147"/>
    <w:rsid w:val="001A124A"/>
    <w:rsid w:val="001A1834"/>
    <w:rsid w:val="001A2446"/>
    <w:rsid w:val="001A28D8"/>
    <w:rsid w:val="001A2EC9"/>
    <w:rsid w:val="001A4425"/>
    <w:rsid w:val="001A45A4"/>
    <w:rsid w:val="001A4BC6"/>
    <w:rsid w:val="001A4F93"/>
    <w:rsid w:val="001A5E6C"/>
    <w:rsid w:val="001A5EF2"/>
    <w:rsid w:val="001A64CD"/>
    <w:rsid w:val="001A66D7"/>
    <w:rsid w:val="001A67CA"/>
    <w:rsid w:val="001A681C"/>
    <w:rsid w:val="001A79C8"/>
    <w:rsid w:val="001A7C8B"/>
    <w:rsid w:val="001B0716"/>
    <w:rsid w:val="001B1525"/>
    <w:rsid w:val="001B185F"/>
    <w:rsid w:val="001B1A93"/>
    <w:rsid w:val="001B1DA9"/>
    <w:rsid w:val="001B2375"/>
    <w:rsid w:val="001B2687"/>
    <w:rsid w:val="001B2824"/>
    <w:rsid w:val="001B43B4"/>
    <w:rsid w:val="001B571D"/>
    <w:rsid w:val="001B6EF6"/>
    <w:rsid w:val="001B77CC"/>
    <w:rsid w:val="001B7BC2"/>
    <w:rsid w:val="001C0F45"/>
    <w:rsid w:val="001C0F75"/>
    <w:rsid w:val="001C1294"/>
    <w:rsid w:val="001C1ABE"/>
    <w:rsid w:val="001C1D4A"/>
    <w:rsid w:val="001C25FA"/>
    <w:rsid w:val="001C285E"/>
    <w:rsid w:val="001C359D"/>
    <w:rsid w:val="001C3864"/>
    <w:rsid w:val="001C4190"/>
    <w:rsid w:val="001C43E2"/>
    <w:rsid w:val="001C4C36"/>
    <w:rsid w:val="001C579C"/>
    <w:rsid w:val="001C6122"/>
    <w:rsid w:val="001C61B2"/>
    <w:rsid w:val="001C78DB"/>
    <w:rsid w:val="001D0935"/>
    <w:rsid w:val="001D0BCB"/>
    <w:rsid w:val="001D1EF7"/>
    <w:rsid w:val="001D28EA"/>
    <w:rsid w:val="001D4774"/>
    <w:rsid w:val="001D4F33"/>
    <w:rsid w:val="001D50CB"/>
    <w:rsid w:val="001D5C8D"/>
    <w:rsid w:val="001D5DB9"/>
    <w:rsid w:val="001D65B0"/>
    <w:rsid w:val="001D68FF"/>
    <w:rsid w:val="001D72B8"/>
    <w:rsid w:val="001D7DF2"/>
    <w:rsid w:val="001E0F0F"/>
    <w:rsid w:val="001E1728"/>
    <w:rsid w:val="001E216A"/>
    <w:rsid w:val="001E239B"/>
    <w:rsid w:val="001E23DC"/>
    <w:rsid w:val="001E2704"/>
    <w:rsid w:val="001E2CEA"/>
    <w:rsid w:val="001E3BB7"/>
    <w:rsid w:val="001E3FEC"/>
    <w:rsid w:val="001E4383"/>
    <w:rsid w:val="001E47A8"/>
    <w:rsid w:val="001E5205"/>
    <w:rsid w:val="001E522D"/>
    <w:rsid w:val="001E7710"/>
    <w:rsid w:val="001E7E87"/>
    <w:rsid w:val="001E7ED3"/>
    <w:rsid w:val="001E7F56"/>
    <w:rsid w:val="001F0014"/>
    <w:rsid w:val="001F1BF9"/>
    <w:rsid w:val="001F1C49"/>
    <w:rsid w:val="001F3FCF"/>
    <w:rsid w:val="001F580B"/>
    <w:rsid w:val="001F608A"/>
    <w:rsid w:val="001F6208"/>
    <w:rsid w:val="001F71ED"/>
    <w:rsid w:val="002000B3"/>
    <w:rsid w:val="00200128"/>
    <w:rsid w:val="0020027E"/>
    <w:rsid w:val="002008EE"/>
    <w:rsid w:val="00201736"/>
    <w:rsid w:val="00202285"/>
    <w:rsid w:val="00202CD7"/>
    <w:rsid w:val="002035F1"/>
    <w:rsid w:val="0020470F"/>
    <w:rsid w:val="00204EEC"/>
    <w:rsid w:val="00205754"/>
    <w:rsid w:val="00206CED"/>
    <w:rsid w:val="00206F41"/>
    <w:rsid w:val="00207467"/>
    <w:rsid w:val="00210B80"/>
    <w:rsid w:val="00210B85"/>
    <w:rsid w:val="00210C4C"/>
    <w:rsid w:val="00210E6A"/>
    <w:rsid w:val="00210EC3"/>
    <w:rsid w:val="00211360"/>
    <w:rsid w:val="00211568"/>
    <w:rsid w:val="00211AB1"/>
    <w:rsid w:val="0021217D"/>
    <w:rsid w:val="0021290F"/>
    <w:rsid w:val="00213396"/>
    <w:rsid w:val="00213400"/>
    <w:rsid w:val="00213ACC"/>
    <w:rsid w:val="002143AA"/>
    <w:rsid w:val="0021487A"/>
    <w:rsid w:val="00214A31"/>
    <w:rsid w:val="002156F5"/>
    <w:rsid w:val="00215C82"/>
    <w:rsid w:val="002166C1"/>
    <w:rsid w:val="002168EA"/>
    <w:rsid w:val="0021697A"/>
    <w:rsid w:val="00217482"/>
    <w:rsid w:val="00217967"/>
    <w:rsid w:val="00220B5F"/>
    <w:rsid w:val="00220FB5"/>
    <w:rsid w:val="00221009"/>
    <w:rsid w:val="002216EC"/>
    <w:rsid w:val="00221808"/>
    <w:rsid w:val="00221893"/>
    <w:rsid w:val="002219BF"/>
    <w:rsid w:val="00221D6D"/>
    <w:rsid w:val="00222271"/>
    <w:rsid w:val="00222AE6"/>
    <w:rsid w:val="00223219"/>
    <w:rsid w:val="002233BE"/>
    <w:rsid w:val="002248C6"/>
    <w:rsid w:val="002251B1"/>
    <w:rsid w:val="00225241"/>
    <w:rsid w:val="0022527F"/>
    <w:rsid w:val="00225901"/>
    <w:rsid w:val="002259B1"/>
    <w:rsid w:val="002259B2"/>
    <w:rsid w:val="00226201"/>
    <w:rsid w:val="00226BF1"/>
    <w:rsid w:val="002301B9"/>
    <w:rsid w:val="00230739"/>
    <w:rsid w:val="00230848"/>
    <w:rsid w:val="00231688"/>
    <w:rsid w:val="002317D4"/>
    <w:rsid w:val="00232F0B"/>
    <w:rsid w:val="00233665"/>
    <w:rsid w:val="002343E4"/>
    <w:rsid w:val="00235102"/>
    <w:rsid w:val="002364CC"/>
    <w:rsid w:val="002365B5"/>
    <w:rsid w:val="0024009A"/>
    <w:rsid w:val="002401C3"/>
    <w:rsid w:val="002406FC"/>
    <w:rsid w:val="002415A7"/>
    <w:rsid w:val="0024193C"/>
    <w:rsid w:val="00243263"/>
    <w:rsid w:val="0024327C"/>
    <w:rsid w:val="0024334C"/>
    <w:rsid w:val="0024335A"/>
    <w:rsid w:val="00243BC0"/>
    <w:rsid w:val="00243EAD"/>
    <w:rsid w:val="00244618"/>
    <w:rsid w:val="0024475F"/>
    <w:rsid w:val="00244878"/>
    <w:rsid w:val="00244A3A"/>
    <w:rsid w:val="002456EF"/>
    <w:rsid w:val="00245AF6"/>
    <w:rsid w:val="00245CED"/>
    <w:rsid w:val="002474A6"/>
    <w:rsid w:val="002501FB"/>
    <w:rsid w:val="00250530"/>
    <w:rsid w:val="00250965"/>
    <w:rsid w:val="00250CD0"/>
    <w:rsid w:val="00251118"/>
    <w:rsid w:val="00251603"/>
    <w:rsid w:val="00252377"/>
    <w:rsid w:val="002548CC"/>
    <w:rsid w:val="00255C99"/>
    <w:rsid w:val="00255D52"/>
    <w:rsid w:val="00257941"/>
    <w:rsid w:val="00260493"/>
    <w:rsid w:val="0026050A"/>
    <w:rsid w:val="002606FF"/>
    <w:rsid w:val="00260DAC"/>
    <w:rsid w:val="00261B6A"/>
    <w:rsid w:val="002622E7"/>
    <w:rsid w:val="002628DE"/>
    <w:rsid w:val="0026290A"/>
    <w:rsid w:val="00262972"/>
    <w:rsid w:val="00262D26"/>
    <w:rsid w:val="00262F21"/>
    <w:rsid w:val="002637D5"/>
    <w:rsid w:val="00263848"/>
    <w:rsid w:val="002645A5"/>
    <w:rsid w:val="00265500"/>
    <w:rsid w:val="0026605D"/>
    <w:rsid w:val="002661E2"/>
    <w:rsid w:val="00266D8A"/>
    <w:rsid w:val="00266DEC"/>
    <w:rsid w:val="00267986"/>
    <w:rsid w:val="00270004"/>
    <w:rsid w:val="00271012"/>
    <w:rsid w:val="0027150F"/>
    <w:rsid w:val="002718A4"/>
    <w:rsid w:val="002720E6"/>
    <w:rsid w:val="00272889"/>
    <w:rsid w:val="00273426"/>
    <w:rsid w:val="0027391A"/>
    <w:rsid w:val="002744DA"/>
    <w:rsid w:val="00274DED"/>
    <w:rsid w:val="00275102"/>
    <w:rsid w:val="0027557E"/>
    <w:rsid w:val="00275ECC"/>
    <w:rsid w:val="00276B67"/>
    <w:rsid w:val="00276E0D"/>
    <w:rsid w:val="0027775E"/>
    <w:rsid w:val="00277835"/>
    <w:rsid w:val="0027791E"/>
    <w:rsid w:val="00280289"/>
    <w:rsid w:val="00280311"/>
    <w:rsid w:val="00280A34"/>
    <w:rsid w:val="002817F7"/>
    <w:rsid w:val="00281FF8"/>
    <w:rsid w:val="0028251E"/>
    <w:rsid w:val="0028396D"/>
    <w:rsid w:val="00283F33"/>
    <w:rsid w:val="00283F86"/>
    <w:rsid w:val="002842F9"/>
    <w:rsid w:val="00284C17"/>
    <w:rsid w:val="00285043"/>
    <w:rsid w:val="00285064"/>
    <w:rsid w:val="002863AB"/>
    <w:rsid w:val="002868FC"/>
    <w:rsid w:val="00286ECF"/>
    <w:rsid w:val="00287912"/>
    <w:rsid w:val="00290466"/>
    <w:rsid w:val="0029074D"/>
    <w:rsid w:val="00290905"/>
    <w:rsid w:val="00290FE5"/>
    <w:rsid w:val="00291367"/>
    <w:rsid w:val="00291688"/>
    <w:rsid w:val="00293429"/>
    <w:rsid w:val="002935F5"/>
    <w:rsid w:val="00293B55"/>
    <w:rsid w:val="00293C7E"/>
    <w:rsid w:val="00293C84"/>
    <w:rsid w:val="00293D52"/>
    <w:rsid w:val="00294595"/>
    <w:rsid w:val="0029473E"/>
    <w:rsid w:val="00294D28"/>
    <w:rsid w:val="00294D8D"/>
    <w:rsid w:val="00294DF2"/>
    <w:rsid w:val="00295A7C"/>
    <w:rsid w:val="00295B75"/>
    <w:rsid w:val="00295EF7"/>
    <w:rsid w:val="00295FFE"/>
    <w:rsid w:val="002965D9"/>
    <w:rsid w:val="00296AE6"/>
    <w:rsid w:val="0029753C"/>
    <w:rsid w:val="00297A09"/>
    <w:rsid w:val="00297CD7"/>
    <w:rsid w:val="002A1501"/>
    <w:rsid w:val="002A1C9B"/>
    <w:rsid w:val="002A289C"/>
    <w:rsid w:val="002A3E12"/>
    <w:rsid w:val="002A45AB"/>
    <w:rsid w:val="002A4B14"/>
    <w:rsid w:val="002A4D58"/>
    <w:rsid w:val="002A51CF"/>
    <w:rsid w:val="002A52A1"/>
    <w:rsid w:val="002A596F"/>
    <w:rsid w:val="002A6186"/>
    <w:rsid w:val="002A672C"/>
    <w:rsid w:val="002A6A4B"/>
    <w:rsid w:val="002A6C2B"/>
    <w:rsid w:val="002A6FC1"/>
    <w:rsid w:val="002A7173"/>
    <w:rsid w:val="002A7E21"/>
    <w:rsid w:val="002B084B"/>
    <w:rsid w:val="002B0A95"/>
    <w:rsid w:val="002B18FD"/>
    <w:rsid w:val="002B1B29"/>
    <w:rsid w:val="002B1F79"/>
    <w:rsid w:val="002B24E7"/>
    <w:rsid w:val="002B2603"/>
    <w:rsid w:val="002B2DDA"/>
    <w:rsid w:val="002B2FC8"/>
    <w:rsid w:val="002B30E6"/>
    <w:rsid w:val="002B3129"/>
    <w:rsid w:val="002B3704"/>
    <w:rsid w:val="002B449A"/>
    <w:rsid w:val="002B5945"/>
    <w:rsid w:val="002B59E1"/>
    <w:rsid w:val="002B6598"/>
    <w:rsid w:val="002B6E46"/>
    <w:rsid w:val="002B7107"/>
    <w:rsid w:val="002B736C"/>
    <w:rsid w:val="002B7B17"/>
    <w:rsid w:val="002B7C29"/>
    <w:rsid w:val="002B7E0B"/>
    <w:rsid w:val="002B7FAB"/>
    <w:rsid w:val="002C0697"/>
    <w:rsid w:val="002C072E"/>
    <w:rsid w:val="002C1F7C"/>
    <w:rsid w:val="002C2F42"/>
    <w:rsid w:val="002C3228"/>
    <w:rsid w:val="002C3485"/>
    <w:rsid w:val="002C4441"/>
    <w:rsid w:val="002C52AB"/>
    <w:rsid w:val="002C655D"/>
    <w:rsid w:val="002C6732"/>
    <w:rsid w:val="002C6DFB"/>
    <w:rsid w:val="002C75F7"/>
    <w:rsid w:val="002C7A99"/>
    <w:rsid w:val="002C7D0A"/>
    <w:rsid w:val="002D0A83"/>
    <w:rsid w:val="002D1006"/>
    <w:rsid w:val="002D1B7E"/>
    <w:rsid w:val="002D22C1"/>
    <w:rsid w:val="002D2500"/>
    <w:rsid w:val="002D283B"/>
    <w:rsid w:val="002D2865"/>
    <w:rsid w:val="002D2A91"/>
    <w:rsid w:val="002D325F"/>
    <w:rsid w:val="002D3DAE"/>
    <w:rsid w:val="002D4867"/>
    <w:rsid w:val="002D486B"/>
    <w:rsid w:val="002D56D1"/>
    <w:rsid w:val="002D5869"/>
    <w:rsid w:val="002D58EB"/>
    <w:rsid w:val="002D5F94"/>
    <w:rsid w:val="002D7969"/>
    <w:rsid w:val="002D7E1A"/>
    <w:rsid w:val="002E029E"/>
    <w:rsid w:val="002E080F"/>
    <w:rsid w:val="002E0A9D"/>
    <w:rsid w:val="002E11B4"/>
    <w:rsid w:val="002E137D"/>
    <w:rsid w:val="002E1EF6"/>
    <w:rsid w:val="002E1F64"/>
    <w:rsid w:val="002E25F8"/>
    <w:rsid w:val="002E298D"/>
    <w:rsid w:val="002E2C20"/>
    <w:rsid w:val="002E2FFA"/>
    <w:rsid w:val="002E3467"/>
    <w:rsid w:val="002E3721"/>
    <w:rsid w:val="002E46E5"/>
    <w:rsid w:val="002E4ACB"/>
    <w:rsid w:val="002E4FD3"/>
    <w:rsid w:val="002E527D"/>
    <w:rsid w:val="002E557B"/>
    <w:rsid w:val="002E7498"/>
    <w:rsid w:val="002F044B"/>
    <w:rsid w:val="002F07F6"/>
    <w:rsid w:val="002F0B90"/>
    <w:rsid w:val="002F0D24"/>
    <w:rsid w:val="002F1105"/>
    <w:rsid w:val="002F24FF"/>
    <w:rsid w:val="002F261A"/>
    <w:rsid w:val="002F4188"/>
    <w:rsid w:val="002F56E6"/>
    <w:rsid w:val="002F58A1"/>
    <w:rsid w:val="002F6148"/>
    <w:rsid w:val="002F6519"/>
    <w:rsid w:val="002F671A"/>
    <w:rsid w:val="002F6991"/>
    <w:rsid w:val="002F7BFC"/>
    <w:rsid w:val="002F7ED3"/>
    <w:rsid w:val="00300726"/>
    <w:rsid w:val="0030146A"/>
    <w:rsid w:val="00301665"/>
    <w:rsid w:val="00302115"/>
    <w:rsid w:val="003042A9"/>
    <w:rsid w:val="003043A6"/>
    <w:rsid w:val="00304448"/>
    <w:rsid w:val="003069EE"/>
    <w:rsid w:val="00307309"/>
    <w:rsid w:val="00307584"/>
    <w:rsid w:val="00307A0D"/>
    <w:rsid w:val="00307B53"/>
    <w:rsid w:val="00307E9B"/>
    <w:rsid w:val="00310524"/>
    <w:rsid w:val="00310A59"/>
    <w:rsid w:val="003113FF"/>
    <w:rsid w:val="00311589"/>
    <w:rsid w:val="00311D02"/>
    <w:rsid w:val="00311DA9"/>
    <w:rsid w:val="003120B2"/>
    <w:rsid w:val="003121D5"/>
    <w:rsid w:val="00312919"/>
    <w:rsid w:val="00313625"/>
    <w:rsid w:val="00313690"/>
    <w:rsid w:val="00313696"/>
    <w:rsid w:val="003136FE"/>
    <w:rsid w:val="00313BC1"/>
    <w:rsid w:val="003145A7"/>
    <w:rsid w:val="00314886"/>
    <w:rsid w:val="00314DAA"/>
    <w:rsid w:val="00315209"/>
    <w:rsid w:val="003167EC"/>
    <w:rsid w:val="00316AC0"/>
    <w:rsid w:val="00316B83"/>
    <w:rsid w:val="003206AB"/>
    <w:rsid w:val="00321CA2"/>
    <w:rsid w:val="0032216B"/>
    <w:rsid w:val="00322465"/>
    <w:rsid w:val="00322A9C"/>
    <w:rsid w:val="00322B31"/>
    <w:rsid w:val="00323234"/>
    <w:rsid w:val="00324A9A"/>
    <w:rsid w:val="00324E03"/>
    <w:rsid w:val="00325209"/>
    <w:rsid w:val="00325543"/>
    <w:rsid w:val="003259A0"/>
    <w:rsid w:val="00325CC7"/>
    <w:rsid w:val="00327950"/>
    <w:rsid w:val="00330BD2"/>
    <w:rsid w:val="00330F30"/>
    <w:rsid w:val="0033169C"/>
    <w:rsid w:val="00332E75"/>
    <w:rsid w:val="0033308E"/>
    <w:rsid w:val="00333267"/>
    <w:rsid w:val="00333B0D"/>
    <w:rsid w:val="003346D7"/>
    <w:rsid w:val="00334D6C"/>
    <w:rsid w:val="00335642"/>
    <w:rsid w:val="00335F36"/>
    <w:rsid w:val="003360DB"/>
    <w:rsid w:val="00337474"/>
    <w:rsid w:val="00337884"/>
    <w:rsid w:val="003411E0"/>
    <w:rsid w:val="00342E00"/>
    <w:rsid w:val="00343311"/>
    <w:rsid w:val="0034354F"/>
    <w:rsid w:val="00343B8B"/>
    <w:rsid w:val="003441D9"/>
    <w:rsid w:val="003445BD"/>
    <w:rsid w:val="0034468B"/>
    <w:rsid w:val="003447F3"/>
    <w:rsid w:val="00344A38"/>
    <w:rsid w:val="00345F10"/>
    <w:rsid w:val="003465E9"/>
    <w:rsid w:val="003474F8"/>
    <w:rsid w:val="003508BE"/>
    <w:rsid w:val="003516BE"/>
    <w:rsid w:val="003516D4"/>
    <w:rsid w:val="0035273B"/>
    <w:rsid w:val="00353145"/>
    <w:rsid w:val="00353ED6"/>
    <w:rsid w:val="00354C34"/>
    <w:rsid w:val="00355127"/>
    <w:rsid w:val="00355406"/>
    <w:rsid w:val="00355740"/>
    <w:rsid w:val="00356386"/>
    <w:rsid w:val="003566FE"/>
    <w:rsid w:val="00357B97"/>
    <w:rsid w:val="00357FFA"/>
    <w:rsid w:val="00360175"/>
    <w:rsid w:val="00360553"/>
    <w:rsid w:val="003607FC"/>
    <w:rsid w:val="00361BF6"/>
    <w:rsid w:val="00361DE9"/>
    <w:rsid w:val="003621D6"/>
    <w:rsid w:val="00362732"/>
    <w:rsid w:val="00362F41"/>
    <w:rsid w:val="00363019"/>
    <w:rsid w:val="00363402"/>
    <w:rsid w:val="00364567"/>
    <w:rsid w:val="00364A15"/>
    <w:rsid w:val="00364D2B"/>
    <w:rsid w:val="0036504E"/>
    <w:rsid w:val="003656A3"/>
    <w:rsid w:val="00365775"/>
    <w:rsid w:val="00365890"/>
    <w:rsid w:val="00365A94"/>
    <w:rsid w:val="00365F19"/>
    <w:rsid w:val="00366F4F"/>
    <w:rsid w:val="00366FC5"/>
    <w:rsid w:val="0036781B"/>
    <w:rsid w:val="00367B52"/>
    <w:rsid w:val="00370D33"/>
    <w:rsid w:val="00371325"/>
    <w:rsid w:val="00371412"/>
    <w:rsid w:val="00371751"/>
    <w:rsid w:val="003719A3"/>
    <w:rsid w:val="003728E9"/>
    <w:rsid w:val="003729A5"/>
    <w:rsid w:val="00372F0A"/>
    <w:rsid w:val="00373FA5"/>
    <w:rsid w:val="003744F8"/>
    <w:rsid w:val="003747C9"/>
    <w:rsid w:val="003749B3"/>
    <w:rsid w:val="00375148"/>
    <w:rsid w:val="00375257"/>
    <w:rsid w:val="003758ED"/>
    <w:rsid w:val="003759CB"/>
    <w:rsid w:val="00375C0E"/>
    <w:rsid w:val="00376131"/>
    <w:rsid w:val="00376A8F"/>
    <w:rsid w:val="00376FC1"/>
    <w:rsid w:val="0037716F"/>
    <w:rsid w:val="00377A25"/>
    <w:rsid w:val="00377CA9"/>
    <w:rsid w:val="00377E8A"/>
    <w:rsid w:val="00380369"/>
    <w:rsid w:val="003803D7"/>
    <w:rsid w:val="003805B9"/>
    <w:rsid w:val="00380915"/>
    <w:rsid w:val="00381C3A"/>
    <w:rsid w:val="00382F82"/>
    <w:rsid w:val="00383395"/>
    <w:rsid w:val="003835C2"/>
    <w:rsid w:val="003838ED"/>
    <w:rsid w:val="00384D69"/>
    <w:rsid w:val="00386D04"/>
    <w:rsid w:val="00387A16"/>
    <w:rsid w:val="00390633"/>
    <w:rsid w:val="00391389"/>
    <w:rsid w:val="003913C3"/>
    <w:rsid w:val="00391549"/>
    <w:rsid w:val="00391F7E"/>
    <w:rsid w:val="003929E0"/>
    <w:rsid w:val="00393C83"/>
    <w:rsid w:val="00393F71"/>
    <w:rsid w:val="0039408D"/>
    <w:rsid w:val="003941F5"/>
    <w:rsid w:val="003944CD"/>
    <w:rsid w:val="003947BF"/>
    <w:rsid w:val="00395067"/>
    <w:rsid w:val="003954D6"/>
    <w:rsid w:val="00396356"/>
    <w:rsid w:val="00397163"/>
    <w:rsid w:val="00397707"/>
    <w:rsid w:val="0039785B"/>
    <w:rsid w:val="00397B42"/>
    <w:rsid w:val="00397B4B"/>
    <w:rsid w:val="003A0A48"/>
    <w:rsid w:val="003A0EAF"/>
    <w:rsid w:val="003A1477"/>
    <w:rsid w:val="003A24F9"/>
    <w:rsid w:val="003A2A44"/>
    <w:rsid w:val="003A4353"/>
    <w:rsid w:val="003A4627"/>
    <w:rsid w:val="003A4C77"/>
    <w:rsid w:val="003A4D50"/>
    <w:rsid w:val="003A500D"/>
    <w:rsid w:val="003A5319"/>
    <w:rsid w:val="003A539E"/>
    <w:rsid w:val="003A5FF8"/>
    <w:rsid w:val="003A600A"/>
    <w:rsid w:val="003A7399"/>
    <w:rsid w:val="003A778E"/>
    <w:rsid w:val="003A78AA"/>
    <w:rsid w:val="003A7E3C"/>
    <w:rsid w:val="003B0AB2"/>
    <w:rsid w:val="003B0B49"/>
    <w:rsid w:val="003B15CA"/>
    <w:rsid w:val="003B1D21"/>
    <w:rsid w:val="003B21AC"/>
    <w:rsid w:val="003B27CA"/>
    <w:rsid w:val="003B3B3A"/>
    <w:rsid w:val="003B49F1"/>
    <w:rsid w:val="003B5CB0"/>
    <w:rsid w:val="003B66C3"/>
    <w:rsid w:val="003B6C45"/>
    <w:rsid w:val="003B71DB"/>
    <w:rsid w:val="003B75D0"/>
    <w:rsid w:val="003B7775"/>
    <w:rsid w:val="003C0071"/>
    <w:rsid w:val="003C10C5"/>
    <w:rsid w:val="003C14F2"/>
    <w:rsid w:val="003C203A"/>
    <w:rsid w:val="003C3104"/>
    <w:rsid w:val="003C4354"/>
    <w:rsid w:val="003C49AC"/>
    <w:rsid w:val="003C4A87"/>
    <w:rsid w:val="003C4F72"/>
    <w:rsid w:val="003C52BC"/>
    <w:rsid w:val="003C548E"/>
    <w:rsid w:val="003C5934"/>
    <w:rsid w:val="003C6333"/>
    <w:rsid w:val="003C6ECA"/>
    <w:rsid w:val="003C775A"/>
    <w:rsid w:val="003C7E94"/>
    <w:rsid w:val="003D00DD"/>
    <w:rsid w:val="003D0331"/>
    <w:rsid w:val="003D03AF"/>
    <w:rsid w:val="003D0581"/>
    <w:rsid w:val="003D092C"/>
    <w:rsid w:val="003D1115"/>
    <w:rsid w:val="003D1CAF"/>
    <w:rsid w:val="003D1FB6"/>
    <w:rsid w:val="003D244B"/>
    <w:rsid w:val="003D26A0"/>
    <w:rsid w:val="003D2CC3"/>
    <w:rsid w:val="003D39BF"/>
    <w:rsid w:val="003D3CCE"/>
    <w:rsid w:val="003D41B6"/>
    <w:rsid w:val="003D4378"/>
    <w:rsid w:val="003D4C14"/>
    <w:rsid w:val="003D6793"/>
    <w:rsid w:val="003D6DF7"/>
    <w:rsid w:val="003D740C"/>
    <w:rsid w:val="003D745E"/>
    <w:rsid w:val="003D7794"/>
    <w:rsid w:val="003D7B67"/>
    <w:rsid w:val="003E021B"/>
    <w:rsid w:val="003E0418"/>
    <w:rsid w:val="003E1130"/>
    <w:rsid w:val="003E17D7"/>
    <w:rsid w:val="003E19A2"/>
    <w:rsid w:val="003E1DBC"/>
    <w:rsid w:val="003E219B"/>
    <w:rsid w:val="003E25D7"/>
    <w:rsid w:val="003E2CE6"/>
    <w:rsid w:val="003E2F8F"/>
    <w:rsid w:val="003E30EC"/>
    <w:rsid w:val="003E31DD"/>
    <w:rsid w:val="003E33B5"/>
    <w:rsid w:val="003E3DEF"/>
    <w:rsid w:val="003E4465"/>
    <w:rsid w:val="003E4710"/>
    <w:rsid w:val="003E4EC5"/>
    <w:rsid w:val="003E524C"/>
    <w:rsid w:val="003E5885"/>
    <w:rsid w:val="003E5EE0"/>
    <w:rsid w:val="003E6373"/>
    <w:rsid w:val="003E73D9"/>
    <w:rsid w:val="003E7466"/>
    <w:rsid w:val="003E79B4"/>
    <w:rsid w:val="003E7EC9"/>
    <w:rsid w:val="003F0FE9"/>
    <w:rsid w:val="003F11F8"/>
    <w:rsid w:val="003F149C"/>
    <w:rsid w:val="003F185C"/>
    <w:rsid w:val="003F2047"/>
    <w:rsid w:val="003F24E7"/>
    <w:rsid w:val="003F2E89"/>
    <w:rsid w:val="003F36B2"/>
    <w:rsid w:val="003F43E0"/>
    <w:rsid w:val="003F45FB"/>
    <w:rsid w:val="003F52EA"/>
    <w:rsid w:val="003F5A49"/>
    <w:rsid w:val="003F5ABA"/>
    <w:rsid w:val="003F5EA8"/>
    <w:rsid w:val="003F63EC"/>
    <w:rsid w:val="003F6736"/>
    <w:rsid w:val="003F7E8F"/>
    <w:rsid w:val="00400EFC"/>
    <w:rsid w:val="00401499"/>
    <w:rsid w:val="00401AA2"/>
    <w:rsid w:val="00402C1D"/>
    <w:rsid w:val="00402FB1"/>
    <w:rsid w:val="00403523"/>
    <w:rsid w:val="004035C8"/>
    <w:rsid w:val="0040367A"/>
    <w:rsid w:val="00403869"/>
    <w:rsid w:val="00403B2D"/>
    <w:rsid w:val="00403FFF"/>
    <w:rsid w:val="0040404D"/>
    <w:rsid w:val="00404380"/>
    <w:rsid w:val="00404503"/>
    <w:rsid w:val="0040540C"/>
    <w:rsid w:val="00405E8F"/>
    <w:rsid w:val="004062FA"/>
    <w:rsid w:val="00407198"/>
    <w:rsid w:val="004101D2"/>
    <w:rsid w:val="00410205"/>
    <w:rsid w:val="00411065"/>
    <w:rsid w:val="0041161D"/>
    <w:rsid w:val="004116CE"/>
    <w:rsid w:val="0041225E"/>
    <w:rsid w:val="004122D0"/>
    <w:rsid w:val="0041355C"/>
    <w:rsid w:val="00413A82"/>
    <w:rsid w:val="00414009"/>
    <w:rsid w:val="004140F0"/>
    <w:rsid w:val="004141F8"/>
    <w:rsid w:val="00414220"/>
    <w:rsid w:val="00414332"/>
    <w:rsid w:val="00415997"/>
    <w:rsid w:val="00415F1E"/>
    <w:rsid w:val="004168CA"/>
    <w:rsid w:val="00417047"/>
    <w:rsid w:val="00417B63"/>
    <w:rsid w:val="00417FC3"/>
    <w:rsid w:val="004201C2"/>
    <w:rsid w:val="004203CC"/>
    <w:rsid w:val="0042076E"/>
    <w:rsid w:val="0042083B"/>
    <w:rsid w:val="00421D58"/>
    <w:rsid w:val="004229E8"/>
    <w:rsid w:val="00422CF7"/>
    <w:rsid w:val="004234FC"/>
    <w:rsid w:val="00423DEB"/>
    <w:rsid w:val="00424499"/>
    <w:rsid w:val="00424648"/>
    <w:rsid w:val="00424759"/>
    <w:rsid w:val="004248E8"/>
    <w:rsid w:val="004252A4"/>
    <w:rsid w:val="00425721"/>
    <w:rsid w:val="00425CBD"/>
    <w:rsid w:val="00425F54"/>
    <w:rsid w:val="0042609C"/>
    <w:rsid w:val="00427475"/>
    <w:rsid w:val="00430022"/>
    <w:rsid w:val="00430311"/>
    <w:rsid w:val="00430D51"/>
    <w:rsid w:val="00430D52"/>
    <w:rsid w:val="0043160B"/>
    <w:rsid w:val="00432809"/>
    <w:rsid w:val="0043377C"/>
    <w:rsid w:val="00433879"/>
    <w:rsid w:val="00433BC8"/>
    <w:rsid w:val="00433D19"/>
    <w:rsid w:val="00434C2D"/>
    <w:rsid w:val="00434D8C"/>
    <w:rsid w:val="00435101"/>
    <w:rsid w:val="0043551C"/>
    <w:rsid w:val="0043662E"/>
    <w:rsid w:val="00440370"/>
    <w:rsid w:val="0044052F"/>
    <w:rsid w:val="004407DC"/>
    <w:rsid w:val="004408B4"/>
    <w:rsid w:val="004410D6"/>
    <w:rsid w:val="004415C2"/>
    <w:rsid w:val="00441942"/>
    <w:rsid w:val="0044201B"/>
    <w:rsid w:val="00442677"/>
    <w:rsid w:val="004426B8"/>
    <w:rsid w:val="00442941"/>
    <w:rsid w:val="00442B36"/>
    <w:rsid w:val="00444324"/>
    <w:rsid w:val="00444AFB"/>
    <w:rsid w:val="00445422"/>
    <w:rsid w:val="004468B4"/>
    <w:rsid w:val="00450698"/>
    <w:rsid w:val="00450A2C"/>
    <w:rsid w:val="00450CCA"/>
    <w:rsid w:val="00450D6B"/>
    <w:rsid w:val="00451818"/>
    <w:rsid w:val="00454FC9"/>
    <w:rsid w:val="00455AA0"/>
    <w:rsid w:val="00456187"/>
    <w:rsid w:val="00456762"/>
    <w:rsid w:val="00456F69"/>
    <w:rsid w:val="004578AC"/>
    <w:rsid w:val="00457931"/>
    <w:rsid w:val="004579B7"/>
    <w:rsid w:val="00460349"/>
    <w:rsid w:val="004617A4"/>
    <w:rsid w:val="00461BBA"/>
    <w:rsid w:val="0046238C"/>
    <w:rsid w:val="00462899"/>
    <w:rsid w:val="004631FA"/>
    <w:rsid w:val="00463674"/>
    <w:rsid w:val="00463E43"/>
    <w:rsid w:val="00464D34"/>
    <w:rsid w:val="00464E64"/>
    <w:rsid w:val="004654D0"/>
    <w:rsid w:val="004661D5"/>
    <w:rsid w:val="004666EE"/>
    <w:rsid w:val="00466C8B"/>
    <w:rsid w:val="0047019B"/>
    <w:rsid w:val="00471333"/>
    <w:rsid w:val="004713D1"/>
    <w:rsid w:val="004716DE"/>
    <w:rsid w:val="004719FE"/>
    <w:rsid w:val="00471D6D"/>
    <w:rsid w:val="004721CF"/>
    <w:rsid w:val="004728DF"/>
    <w:rsid w:val="00473868"/>
    <w:rsid w:val="00474149"/>
    <w:rsid w:val="004744B7"/>
    <w:rsid w:val="004744F5"/>
    <w:rsid w:val="00475612"/>
    <w:rsid w:val="0047632A"/>
    <w:rsid w:val="004763D8"/>
    <w:rsid w:val="004765D3"/>
    <w:rsid w:val="00476CA0"/>
    <w:rsid w:val="00480D36"/>
    <w:rsid w:val="00481D81"/>
    <w:rsid w:val="00482334"/>
    <w:rsid w:val="004831FE"/>
    <w:rsid w:val="0048324A"/>
    <w:rsid w:val="00483461"/>
    <w:rsid w:val="00483576"/>
    <w:rsid w:val="00483C6F"/>
    <w:rsid w:val="00483DB2"/>
    <w:rsid w:val="004844A9"/>
    <w:rsid w:val="00485190"/>
    <w:rsid w:val="00485527"/>
    <w:rsid w:val="00485C25"/>
    <w:rsid w:val="004868D2"/>
    <w:rsid w:val="004869C9"/>
    <w:rsid w:val="004871EE"/>
    <w:rsid w:val="00487864"/>
    <w:rsid w:val="00487FF0"/>
    <w:rsid w:val="00491728"/>
    <w:rsid w:val="00491D59"/>
    <w:rsid w:val="00492CB1"/>
    <w:rsid w:val="00493585"/>
    <w:rsid w:val="00493A3A"/>
    <w:rsid w:val="00493FE7"/>
    <w:rsid w:val="00494018"/>
    <w:rsid w:val="004940D6"/>
    <w:rsid w:val="00494E1D"/>
    <w:rsid w:val="00496A19"/>
    <w:rsid w:val="00496AB5"/>
    <w:rsid w:val="004A0625"/>
    <w:rsid w:val="004A0727"/>
    <w:rsid w:val="004A1022"/>
    <w:rsid w:val="004A1593"/>
    <w:rsid w:val="004A15A3"/>
    <w:rsid w:val="004A21A4"/>
    <w:rsid w:val="004A377F"/>
    <w:rsid w:val="004A3C96"/>
    <w:rsid w:val="004A3D49"/>
    <w:rsid w:val="004A3EEE"/>
    <w:rsid w:val="004A5153"/>
    <w:rsid w:val="004A6E37"/>
    <w:rsid w:val="004A7CE8"/>
    <w:rsid w:val="004B00FA"/>
    <w:rsid w:val="004B18AD"/>
    <w:rsid w:val="004B2682"/>
    <w:rsid w:val="004B2987"/>
    <w:rsid w:val="004B3571"/>
    <w:rsid w:val="004B3D28"/>
    <w:rsid w:val="004B4734"/>
    <w:rsid w:val="004B49BA"/>
    <w:rsid w:val="004B4C77"/>
    <w:rsid w:val="004B4E3C"/>
    <w:rsid w:val="004B4E61"/>
    <w:rsid w:val="004B54C4"/>
    <w:rsid w:val="004B6F4B"/>
    <w:rsid w:val="004B73AE"/>
    <w:rsid w:val="004B75A7"/>
    <w:rsid w:val="004B7D0D"/>
    <w:rsid w:val="004C0218"/>
    <w:rsid w:val="004C088D"/>
    <w:rsid w:val="004C0967"/>
    <w:rsid w:val="004C0A02"/>
    <w:rsid w:val="004C124E"/>
    <w:rsid w:val="004C142F"/>
    <w:rsid w:val="004C1BD1"/>
    <w:rsid w:val="004C2D40"/>
    <w:rsid w:val="004C31C0"/>
    <w:rsid w:val="004C332A"/>
    <w:rsid w:val="004C41BA"/>
    <w:rsid w:val="004C5CBD"/>
    <w:rsid w:val="004C665D"/>
    <w:rsid w:val="004C6C36"/>
    <w:rsid w:val="004C6CC5"/>
    <w:rsid w:val="004C6EA5"/>
    <w:rsid w:val="004C6F5B"/>
    <w:rsid w:val="004C7C1D"/>
    <w:rsid w:val="004D05BB"/>
    <w:rsid w:val="004D10DB"/>
    <w:rsid w:val="004D142B"/>
    <w:rsid w:val="004D1638"/>
    <w:rsid w:val="004D16CE"/>
    <w:rsid w:val="004D17E7"/>
    <w:rsid w:val="004D2AFE"/>
    <w:rsid w:val="004D2CB7"/>
    <w:rsid w:val="004D361E"/>
    <w:rsid w:val="004D3CCD"/>
    <w:rsid w:val="004D425B"/>
    <w:rsid w:val="004D430A"/>
    <w:rsid w:val="004D536E"/>
    <w:rsid w:val="004D6457"/>
    <w:rsid w:val="004D6DC9"/>
    <w:rsid w:val="004D6DD1"/>
    <w:rsid w:val="004D77E7"/>
    <w:rsid w:val="004E0178"/>
    <w:rsid w:val="004E08EB"/>
    <w:rsid w:val="004E1340"/>
    <w:rsid w:val="004E18C5"/>
    <w:rsid w:val="004E2A35"/>
    <w:rsid w:val="004E2C01"/>
    <w:rsid w:val="004E3D13"/>
    <w:rsid w:val="004E4FA0"/>
    <w:rsid w:val="004E52D3"/>
    <w:rsid w:val="004E56BD"/>
    <w:rsid w:val="004E59EF"/>
    <w:rsid w:val="004E6071"/>
    <w:rsid w:val="004E62C3"/>
    <w:rsid w:val="004E66A1"/>
    <w:rsid w:val="004E6A40"/>
    <w:rsid w:val="004E765F"/>
    <w:rsid w:val="004F0583"/>
    <w:rsid w:val="004F085D"/>
    <w:rsid w:val="004F2269"/>
    <w:rsid w:val="004F2401"/>
    <w:rsid w:val="004F42AF"/>
    <w:rsid w:val="004F492F"/>
    <w:rsid w:val="004F4A2A"/>
    <w:rsid w:val="004F5B1A"/>
    <w:rsid w:val="004F68C0"/>
    <w:rsid w:val="004F7770"/>
    <w:rsid w:val="004F7AC4"/>
    <w:rsid w:val="005009BA"/>
    <w:rsid w:val="00500C65"/>
    <w:rsid w:val="00500CE9"/>
    <w:rsid w:val="00500CFD"/>
    <w:rsid w:val="00500D51"/>
    <w:rsid w:val="00500DD9"/>
    <w:rsid w:val="00501C5A"/>
    <w:rsid w:val="00501E22"/>
    <w:rsid w:val="00501EDF"/>
    <w:rsid w:val="00502864"/>
    <w:rsid w:val="005028AA"/>
    <w:rsid w:val="00502EC9"/>
    <w:rsid w:val="00503295"/>
    <w:rsid w:val="00503C51"/>
    <w:rsid w:val="0050412F"/>
    <w:rsid w:val="005047B7"/>
    <w:rsid w:val="00505153"/>
    <w:rsid w:val="0050566F"/>
    <w:rsid w:val="0050578A"/>
    <w:rsid w:val="00505D19"/>
    <w:rsid w:val="005063FA"/>
    <w:rsid w:val="00506BC9"/>
    <w:rsid w:val="00506F6B"/>
    <w:rsid w:val="005070A4"/>
    <w:rsid w:val="00507214"/>
    <w:rsid w:val="00507872"/>
    <w:rsid w:val="00507957"/>
    <w:rsid w:val="00507E4D"/>
    <w:rsid w:val="00510167"/>
    <w:rsid w:val="0051041F"/>
    <w:rsid w:val="00510903"/>
    <w:rsid w:val="00510EBF"/>
    <w:rsid w:val="0051198E"/>
    <w:rsid w:val="00511D84"/>
    <w:rsid w:val="0051298D"/>
    <w:rsid w:val="00512F63"/>
    <w:rsid w:val="00512FCF"/>
    <w:rsid w:val="00513478"/>
    <w:rsid w:val="0051374C"/>
    <w:rsid w:val="0051518E"/>
    <w:rsid w:val="005157CB"/>
    <w:rsid w:val="00517134"/>
    <w:rsid w:val="005178EC"/>
    <w:rsid w:val="00517913"/>
    <w:rsid w:val="00517EC5"/>
    <w:rsid w:val="005200BE"/>
    <w:rsid w:val="00520892"/>
    <w:rsid w:val="00520937"/>
    <w:rsid w:val="00520DA3"/>
    <w:rsid w:val="00522AA5"/>
    <w:rsid w:val="00522DAB"/>
    <w:rsid w:val="00523754"/>
    <w:rsid w:val="0052375F"/>
    <w:rsid w:val="005237A9"/>
    <w:rsid w:val="00523D1F"/>
    <w:rsid w:val="00523DAB"/>
    <w:rsid w:val="00524404"/>
    <w:rsid w:val="0052456A"/>
    <w:rsid w:val="00524630"/>
    <w:rsid w:val="005246AA"/>
    <w:rsid w:val="00524F8F"/>
    <w:rsid w:val="00526CFB"/>
    <w:rsid w:val="00526FB4"/>
    <w:rsid w:val="00527AC3"/>
    <w:rsid w:val="00530186"/>
    <w:rsid w:val="00530540"/>
    <w:rsid w:val="005310E1"/>
    <w:rsid w:val="0053118F"/>
    <w:rsid w:val="00531232"/>
    <w:rsid w:val="005316E3"/>
    <w:rsid w:val="0053170E"/>
    <w:rsid w:val="00531D0A"/>
    <w:rsid w:val="00532F43"/>
    <w:rsid w:val="00534325"/>
    <w:rsid w:val="00534534"/>
    <w:rsid w:val="005361F0"/>
    <w:rsid w:val="005366A6"/>
    <w:rsid w:val="005379F6"/>
    <w:rsid w:val="00540451"/>
    <w:rsid w:val="005406FD"/>
    <w:rsid w:val="00540DB5"/>
    <w:rsid w:val="00540DD7"/>
    <w:rsid w:val="005413E8"/>
    <w:rsid w:val="00541C6F"/>
    <w:rsid w:val="0054248C"/>
    <w:rsid w:val="005427A8"/>
    <w:rsid w:val="00543AD3"/>
    <w:rsid w:val="00544E86"/>
    <w:rsid w:val="00544EAB"/>
    <w:rsid w:val="005454E0"/>
    <w:rsid w:val="00546272"/>
    <w:rsid w:val="00546876"/>
    <w:rsid w:val="0054695D"/>
    <w:rsid w:val="00546D68"/>
    <w:rsid w:val="0054797F"/>
    <w:rsid w:val="0055045A"/>
    <w:rsid w:val="00550AB1"/>
    <w:rsid w:val="0055144E"/>
    <w:rsid w:val="005518AC"/>
    <w:rsid w:val="00552775"/>
    <w:rsid w:val="005532C1"/>
    <w:rsid w:val="00556819"/>
    <w:rsid w:val="00556A21"/>
    <w:rsid w:val="00556C40"/>
    <w:rsid w:val="0055712C"/>
    <w:rsid w:val="00557927"/>
    <w:rsid w:val="00560266"/>
    <w:rsid w:val="0056033B"/>
    <w:rsid w:val="005605D2"/>
    <w:rsid w:val="00560A55"/>
    <w:rsid w:val="005615AF"/>
    <w:rsid w:val="00561BB6"/>
    <w:rsid w:val="00562652"/>
    <w:rsid w:val="005627F1"/>
    <w:rsid w:val="00562816"/>
    <w:rsid w:val="00562C6D"/>
    <w:rsid w:val="00562F25"/>
    <w:rsid w:val="00563CB4"/>
    <w:rsid w:val="00563F8D"/>
    <w:rsid w:val="005650E0"/>
    <w:rsid w:val="005651A8"/>
    <w:rsid w:val="00565489"/>
    <w:rsid w:val="0056594E"/>
    <w:rsid w:val="00565A9C"/>
    <w:rsid w:val="00565CB0"/>
    <w:rsid w:val="00566521"/>
    <w:rsid w:val="00566961"/>
    <w:rsid w:val="0056704E"/>
    <w:rsid w:val="00567B49"/>
    <w:rsid w:val="0057022B"/>
    <w:rsid w:val="00570588"/>
    <w:rsid w:val="00570E88"/>
    <w:rsid w:val="00571300"/>
    <w:rsid w:val="00571390"/>
    <w:rsid w:val="00572A1E"/>
    <w:rsid w:val="00572AEC"/>
    <w:rsid w:val="005731CD"/>
    <w:rsid w:val="00573F1F"/>
    <w:rsid w:val="00574D43"/>
    <w:rsid w:val="00576226"/>
    <w:rsid w:val="00576D9F"/>
    <w:rsid w:val="00577F74"/>
    <w:rsid w:val="0058188A"/>
    <w:rsid w:val="00582201"/>
    <w:rsid w:val="00584148"/>
    <w:rsid w:val="005860D5"/>
    <w:rsid w:val="005868A3"/>
    <w:rsid w:val="00586B31"/>
    <w:rsid w:val="00586E96"/>
    <w:rsid w:val="00587261"/>
    <w:rsid w:val="005876A1"/>
    <w:rsid w:val="005902C2"/>
    <w:rsid w:val="00590675"/>
    <w:rsid w:val="00590CCC"/>
    <w:rsid w:val="005916B2"/>
    <w:rsid w:val="005918A2"/>
    <w:rsid w:val="00591BA0"/>
    <w:rsid w:val="00591D47"/>
    <w:rsid w:val="005925BF"/>
    <w:rsid w:val="00592BE4"/>
    <w:rsid w:val="005942DB"/>
    <w:rsid w:val="00595C4F"/>
    <w:rsid w:val="00595CE3"/>
    <w:rsid w:val="0059640B"/>
    <w:rsid w:val="00596700"/>
    <w:rsid w:val="00597F4E"/>
    <w:rsid w:val="005A073C"/>
    <w:rsid w:val="005A10B7"/>
    <w:rsid w:val="005A1A02"/>
    <w:rsid w:val="005A2C13"/>
    <w:rsid w:val="005A2D7D"/>
    <w:rsid w:val="005A321F"/>
    <w:rsid w:val="005A3286"/>
    <w:rsid w:val="005A333D"/>
    <w:rsid w:val="005A369A"/>
    <w:rsid w:val="005A39CC"/>
    <w:rsid w:val="005A3CF6"/>
    <w:rsid w:val="005A3D4A"/>
    <w:rsid w:val="005A4115"/>
    <w:rsid w:val="005A4E86"/>
    <w:rsid w:val="005A54EF"/>
    <w:rsid w:val="005A55E8"/>
    <w:rsid w:val="005A5692"/>
    <w:rsid w:val="005A5CAF"/>
    <w:rsid w:val="005A5D09"/>
    <w:rsid w:val="005A5FA3"/>
    <w:rsid w:val="005A6514"/>
    <w:rsid w:val="005A7529"/>
    <w:rsid w:val="005A781A"/>
    <w:rsid w:val="005A79CC"/>
    <w:rsid w:val="005B0D18"/>
    <w:rsid w:val="005B163C"/>
    <w:rsid w:val="005B1FD3"/>
    <w:rsid w:val="005B216B"/>
    <w:rsid w:val="005B2582"/>
    <w:rsid w:val="005B2CAE"/>
    <w:rsid w:val="005B3312"/>
    <w:rsid w:val="005B35AF"/>
    <w:rsid w:val="005B4565"/>
    <w:rsid w:val="005B48CB"/>
    <w:rsid w:val="005B541A"/>
    <w:rsid w:val="005B56F9"/>
    <w:rsid w:val="005B5914"/>
    <w:rsid w:val="005B5B2A"/>
    <w:rsid w:val="005B6338"/>
    <w:rsid w:val="005B6997"/>
    <w:rsid w:val="005B6A46"/>
    <w:rsid w:val="005B6A70"/>
    <w:rsid w:val="005B6DA2"/>
    <w:rsid w:val="005B721B"/>
    <w:rsid w:val="005B7843"/>
    <w:rsid w:val="005B7F0D"/>
    <w:rsid w:val="005C0032"/>
    <w:rsid w:val="005C04AD"/>
    <w:rsid w:val="005C0BEF"/>
    <w:rsid w:val="005C0C4B"/>
    <w:rsid w:val="005C0D29"/>
    <w:rsid w:val="005C174C"/>
    <w:rsid w:val="005C1A68"/>
    <w:rsid w:val="005C21F9"/>
    <w:rsid w:val="005C29FF"/>
    <w:rsid w:val="005C2A94"/>
    <w:rsid w:val="005C30BB"/>
    <w:rsid w:val="005C32C7"/>
    <w:rsid w:val="005C341D"/>
    <w:rsid w:val="005C3904"/>
    <w:rsid w:val="005C3DA0"/>
    <w:rsid w:val="005C4928"/>
    <w:rsid w:val="005C4B3C"/>
    <w:rsid w:val="005C580E"/>
    <w:rsid w:val="005C72A8"/>
    <w:rsid w:val="005C76C8"/>
    <w:rsid w:val="005C7745"/>
    <w:rsid w:val="005C7A4D"/>
    <w:rsid w:val="005D0079"/>
    <w:rsid w:val="005D04AE"/>
    <w:rsid w:val="005D0B7E"/>
    <w:rsid w:val="005D1567"/>
    <w:rsid w:val="005D1676"/>
    <w:rsid w:val="005D18C0"/>
    <w:rsid w:val="005D250F"/>
    <w:rsid w:val="005D2577"/>
    <w:rsid w:val="005D337A"/>
    <w:rsid w:val="005D409C"/>
    <w:rsid w:val="005D4116"/>
    <w:rsid w:val="005D43D6"/>
    <w:rsid w:val="005D4688"/>
    <w:rsid w:val="005D5043"/>
    <w:rsid w:val="005D56F0"/>
    <w:rsid w:val="005D5D61"/>
    <w:rsid w:val="005D6060"/>
    <w:rsid w:val="005D7292"/>
    <w:rsid w:val="005D770A"/>
    <w:rsid w:val="005D7DCB"/>
    <w:rsid w:val="005E11E4"/>
    <w:rsid w:val="005E12D9"/>
    <w:rsid w:val="005E1605"/>
    <w:rsid w:val="005E1835"/>
    <w:rsid w:val="005E262A"/>
    <w:rsid w:val="005E3059"/>
    <w:rsid w:val="005E31E5"/>
    <w:rsid w:val="005E36C0"/>
    <w:rsid w:val="005E4390"/>
    <w:rsid w:val="005E4771"/>
    <w:rsid w:val="005E4CC2"/>
    <w:rsid w:val="005E4D4D"/>
    <w:rsid w:val="005E59B6"/>
    <w:rsid w:val="005E59FC"/>
    <w:rsid w:val="005E6B44"/>
    <w:rsid w:val="005E6C0D"/>
    <w:rsid w:val="005E6CB8"/>
    <w:rsid w:val="005E7055"/>
    <w:rsid w:val="005E70AD"/>
    <w:rsid w:val="005E7772"/>
    <w:rsid w:val="005E798C"/>
    <w:rsid w:val="005E7AC4"/>
    <w:rsid w:val="005F0BCB"/>
    <w:rsid w:val="005F10CF"/>
    <w:rsid w:val="005F13DA"/>
    <w:rsid w:val="005F2069"/>
    <w:rsid w:val="005F23DB"/>
    <w:rsid w:val="005F3D31"/>
    <w:rsid w:val="005F45F1"/>
    <w:rsid w:val="005F4730"/>
    <w:rsid w:val="005F51B4"/>
    <w:rsid w:val="005F62F3"/>
    <w:rsid w:val="005F6714"/>
    <w:rsid w:val="005F6788"/>
    <w:rsid w:val="005F6808"/>
    <w:rsid w:val="005F68D0"/>
    <w:rsid w:val="005F7405"/>
    <w:rsid w:val="005F7760"/>
    <w:rsid w:val="005F7A1C"/>
    <w:rsid w:val="006002A7"/>
    <w:rsid w:val="006005B1"/>
    <w:rsid w:val="00600C83"/>
    <w:rsid w:val="00601820"/>
    <w:rsid w:val="00601AC2"/>
    <w:rsid w:val="00601C4A"/>
    <w:rsid w:val="00601D23"/>
    <w:rsid w:val="0060211D"/>
    <w:rsid w:val="00602C31"/>
    <w:rsid w:val="00602EB0"/>
    <w:rsid w:val="00603038"/>
    <w:rsid w:val="006031BC"/>
    <w:rsid w:val="006036B2"/>
    <w:rsid w:val="00604030"/>
    <w:rsid w:val="0060510D"/>
    <w:rsid w:val="006052D3"/>
    <w:rsid w:val="006056D9"/>
    <w:rsid w:val="00606104"/>
    <w:rsid w:val="006066A4"/>
    <w:rsid w:val="006067FF"/>
    <w:rsid w:val="0060778D"/>
    <w:rsid w:val="00607824"/>
    <w:rsid w:val="00607D1B"/>
    <w:rsid w:val="00607D6F"/>
    <w:rsid w:val="006110C4"/>
    <w:rsid w:val="006113E6"/>
    <w:rsid w:val="0061152B"/>
    <w:rsid w:val="00613138"/>
    <w:rsid w:val="00613AAD"/>
    <w:rsid w:val="00614159"/>
    <w:rsid w:val="00614CC0"/>
    <w:rsid w:val="00615318"/>
    <w:rsid w:val="0061553D"/>
    <w:rsid w:val="006155DA"/>
    <w:rsid w:val="00615838"/>
    <w:rsid w:val="00615B83"/>
    <w:rsid w:val="006163B5"/>
    <w:rsid w:val="0061641C"/>
    <w:rsid w:val="00616649"/>
    <w:rsid w:val="006168AA"/>
    <w:rsid w:val="0061745D"/>
    <w:rsid w:val="00617B70"/>
    <w:rsid w:val="0062111B"/>
    <w:rsid w:val="00621D53"/>
    <w:rsid w:val="00621F7D"/>
    <w:rsid w:val="00622534"/>
    <w:rsid w:val="00622711"/>
    <w:rsid w:val="006231FE"/>
    <w:rsid w:val="006237A2"/>
    <w:rsid w:val="006240AC"/>
    <w:rsid w:val="00624891"/>
    <w:rsid w:val="00625A1A"/>
    <w:rsid w:val="00625BCD"/>
    <w:rsid w:val="0062625E"/>
    <w:rsid w:val="006271D3"/>
    <w:rsid w:val="00627757"/>
    <w:rsid w:val="006278F1"/>
    <w:rsid w:val="00627CB4"/>
    <w:rsid w:val="006309A0"/>
    <w:rsid w:val="00630C7F"/>
    <w:rsid w:val="00630FA3"/>
    <w:rsid w:val="006310BD"/>
    <w:rsid w:val="006319C9"/>
    <w:rsid w:val="0063267D"/>
    <w:rsid w:val="006330BF"/>
    <w:rsid w:val="006334AB"/>
    <w:rsid w:val="006335FC"/>
    <w:rsid w:val="00633D51"/>
    <w:rsid w:val="00634583"/>
    <w:rsid w:val="00635470"/>
    <w:rsid w:val="0063567D"/>
    <w:rsid w:val="00635791"/>
    <w:rsid w:val="006363A3"/>
    <w:rsid w:val="0063734B"/>
    <w:rsid w:val="0063750B"/>
    <w:rsid w:val="006401C8"/>
    <w:rsid w:val="00640322"/>
    <w:rsid w:val="0064062F"/>
    <w:rsid w:val="00640B24"/>
    <w:rsid w:val="0064181B"/>
    <w:rsid w:val="0064187A"/>
    <w:rsid w:val="006418BA"/>
    <w:rsid w:val="006422F2"/>
    <w:rsid w:val="006426CF"/>
    <w:rsid w:val="00642796"/>
    <w:rsid w:val="00642A29"/>
    <w:rsid w:val="00642A56"/>
    <w:rsid w:val="00642B37"/>
    <w:rsid w:val="00642E12"/>
    <w:rsid w:val="006430D0"/>
    <w:rsid w:val="00643298"/>
    <w:rsid w:val="00643651"/>
    <w:rsid w:val="00644613"/>
    <w:rsid w:val="00644A4F"/>
    <w:rsid w:val="00644B48"/>
    <w:rsid w:val="006452D0"/>
    <w:rsid w:val="00645AF1"/>
    <w:rsid w:val="00645E86"/>
    <w:rsid w:val="00646305"/>
    <w:rsid w:val="00646768"/>
    <w:rsid w:val="006468B5"/>
    <w:rsid w:val="00646A84"/>
    <w:rsid w:val="006473D8"/>
    <w:rsid w:val="006474FD"/>
    <w:rsid w:val="00647CE2"/>
    <w:rsid w:val="006503F1"/>
    <w:rsid w:val="0065096A"/>
    <w:rsid w:val="0065121D"/>
    <w:rsid w:val="00651344"/>
    <w:rsid w:val="00652857"/>
    <w:rsid w:val="00652C19"/>
    <w:rsid w:val="006536A6"/>
    <w:rsid w:val="00653753"/>
    <w:rsid w:val="0065403F"/>
    <w:rsid w:val="006541B7"/>
    <w:rsid w:val="0065429F"/>
    <w:rsid w:val="0065459E"/>
    <w:rsid w:val="00654974"/>
    <w:rsid w:val="00656C18"/>
    <w:rsid w:val="0065755C"/>
    <w:rsid w:val="00660086"/>
    <w:rsid w:val="0066033F"/>
    <w:rsid w:val="0066056F"/>
    <w:rsid w:val="006605D3"/>
    <w:rsid w:val="00660A91"/>
    <w:rsid w:val="00660AA8"/>
    <w:rsid w:val="00660AD3"/>
    <w:rsid w:val="00660EAE"/>
    <w:rsid w:val="00661C68"/>
    <w:rsid w:val="006625C7"/>
    <w:rsid w:val="00662C37"/>
    <w:rsid w:val="00663110"/>
    <w:rsid w:val="00663856"/>
    <w:rsid w:val="006644E0"/>
    <w:rsid w:val="00664731"/>
    <w:rsid w:val="006658C9"/>
    <w:rsid w:val="00667A2E"/>
    <w:rsid w:val="00667E33"/>
    <w:rsid w:val="00670B96"/>
    <w:rsid w:val="00670BEC"/>
    <w:rsid w:val="00671C02"/>
    <w:rsid w:val="00672307"/>
    <w:rsid w:val="006726CF"/>
    <w:rsid w:val="006731B4"/>
    <w:rsid w:val="00674559"/>
    <w:rsid w:val="00674769"/>
    <w:rsid w:val="00674B0E"/>
    <w:rsid w:val="00675424"/>
    <w:rsid w:val="006759A4"/>
    <w:rsid w:val="00677A6F"/>
    <w:rsid w:val="0068120E"/>
    <w:rsid w:val="00681727"/>
    <w:rsid w:val="00681A68"/>
    <w:rsid w:val="00682021"/>
    <w:rsid w:val="0068294F"/>
    <w:rsid w:val="00682EC5"/>
    <w:rsid w:val="0068362C"/>
    <w:rsid w:val="00683741"/>
    <w:rsid w:val="00683963"/>
    <w:rsid w:val="00683B1A"/>
    <w:rsid w:val="00685293"/>
    <w:rsid w:val="006853AB"/>
    <w:rsid w:val="00685D83"/>
    <w:rsid w:val="0068614B"/>
    <w:rsid w:val="0068643B"/>
    <w:rsid w:val="006866F2"/>
    <w:rsid w:val="00686F97"/>
    <w:rsid w:val="00687113"/>
    <w:rsid w:val="006877BE"/>
    <w:rsid w:val="00687A31"/>
    <w:rsid w:val="00687A76"/>
    <w:rsid w:val="00690C2A"/>
    <w:rsid w:val="00690FEF"/>
    <w:rsid w:val="006916ED"/>
    <w:rsid w:val="00691F9D"/>
    <w:rsid w:val="0069266E"/>
    <w:rsid w:val="00692DF0"/>
    <w:rsid w:val="00693A42"/>
    <w:rsid w:val="00694BC4"/>
    <w:rsid w:val="00695056"/>
    <w:rsid w:val="00695501"/>
    <w:rsid w:val="00695CDD"/>
    <w:rsid w:val="00696BD7"/>
    <w:rsid w:val="00696EB7"/>
    <w:rsid w:val="00697631"/>
    <w:rsid w:val="006976B1"/>
    <w:rsid w:val="006A0045"/>
    <w:rsid w:val="006A0194"/>
    <w:rsid w:val="006A0F85"/>
    <w:rsid w:val="006A1549"/>
    <w:rsid w:val="006A1BD9"/>
    <w:rsid w:val="006A1C1A"/>
    <w:rsid w:val="006A21C2"/>
    <w:rsid w:val="006A2215"/>
    <w:rsid w:val="006A2681"/>
    <w:rsid w:val="006A28C7"/>
    <w:rsid w:val="006A3717"/>
    <w:rsid w:val="006A4395"/>
    <w:rsid w:val="006A4C80"/>
    <w:rsid w:val="006A5B12"/>
    <w:rsid w:val="006A5E37"/>
    <w:rsid w:val="006A644D"/>
    <w:rsid w:val="006A6BB7"/>
    <w:rsid w:val="006A6C6C"/>
    <w:rsid w:val="006A79BF"/>
    <w:rsid w:val="006A7A85"/>
    <w:rsid w:val="006B05FE"/>
    <w:rsid w:val="006B0B63"/>
    <w:rsid w:val="006B0BAE"/>
    <w:rsid w:val="006B0E4F"/>
    <w:rsid w:val="006B0F7C"/>
    <w:rsid w:val="006B140A"/>
    <w:rsid w:val="006B185D"/>
    <w:rsid w:val="006B20FC"/>
    <w:rsid w:val="006B2154"/>
    <w:rsid w:val="006B2656"/>
    <w:rsid w:val="006B2EA0"/>
    <w:rsid w:val="006B321D"/>
    <w:rsid w:val="006B3651"/>
    <w:rsid w:val="006B442B"/>
    <w:rsid w:val="006B4CCF"/>
    <w:rsid w:val="006B50E0"/>
    <w:rsid w:val="006B62F9"/>
    <w:rsid w:val="006B66C1"/>
    <w:rsid w:val="006B672B"/>
    <w:rsid w:val="006B6D46"/>
    <w:rsid w:val="006B6FD1"/>
    <w:rsid w:val="006B78EE"/>
    <w:rsid w:val="006B7AFD"/>
    <w:rsid w:val="006C0485"/>
    <w:rsid w:val="006C1DAC"/>
    <w:rsid w:val="006C214B"/>
    <w:rsid w:val="006C3A94"/>
    <w:rsid w:val="006C422B"/>
    <w:rsid w:val="006C4667"/>
    <w:rsid w:val="006C4682"/>
    <w:rsid w:val="006C5B8E"/>
    <w:rsid w:val="006C5E6E"/>
    <w:rsid w:val="006C5E95"/>
    <w:rsid w:val="006C6613"/>
    <w:rsid w:val="006C6D2C"/>
    <w:rsid w:val="006C6E89"/>
    <w:rsid w:val="006C6EBD"/>
    <w:rsid w:val="006C7DDB"/>
    <w:rsid w:val="006C7E9A"/>
    <w:rsid w:val="006D04FC"/>
    <w:rsid w:val="006D2B21"/>
    <w:rsid w:val="006D2C18"/>
    <w:rsid w:val="006D3630"/>
    <w:rsid w:val="006D3ADB"/>
    <w:rsid w:val="006D3BB8"/>
    <w:rsid w:val="006D42D2"/>
    <w:rsid w:val="006D49B8"/>
    <w:rsid w:val="006D5588"/>
    <w:rsid w:val="006D57AB"/>
    <w:rsid w:val="006D59A7"/>
    <w:rsid w:val="006D5D0B"/>
    <w:rsid w:val="006D5E9C"/>
    <w:rsid w:val="006D6748"/>
    <w:rsid w:val="006D694D"/>
    <w:rsid w:val="006D73DF"/>
    <w:rsid w:val="006D7FB8"/>
    <w:rsid w:val="006E1955"/>
    <w:rsid w:val="006E1C07"/>
    <w:rsid w:val="006E30FF"/>
    <w:rsid w:val="006E62CD"/>
    <w:rsid w:val="006E6450"/>
    <w:rsid w:val="006E6BF4"/>
    <w:rsid w:val="006E775E"/>
    <w:rsid w:val="006F062A"/>
    <w:rsid w:val="006F1214"/>
    <w:rsid w:val="006F1589"/>
    <w:rsid w:val="006F1F30"/>
    <w:rsid w:val="006F2321"/>
    <w:rsid w:val="006F28D6"/>
    <w:rsid w:val="006F322B"/>
    <w:rsid w:val="006F3914"/>
    <w:rsid w:val="006F3C84"/>
    <w:rsid w:val="006F3FFD"/>
    <w:rsid w:val="006F44D0"/>
    <w:rsid w:val="006F6EEB"/>
    <w:rsid w:val="006F78DA"/>
    <w:rsid w:val="00700749"/>
    <w:rsid w:val="007008F6"/>
    <w:rsid w:val="00701989"/>
    <w:rsid w:val="007022E5"/>
    <w:rsid w:val="00702893"/>
    <w:rsid w:val="00702C50"/>
    <w:rsid w:val="007035A5"/>
    <w:rsid w:val="00703A7F"/>
    <w:rsid w:val="00704DDE"/>
    <w:rsid w:val="00704DFC"/>
    <w:rsid w:val="007050BA"/>
    <w:rsid w:val="00705959"/>
    <w:rsid w:val="00705BC9"/>
    <w:rsid w:val="007064D9"/>
    <w:rsid w:val="00706AE2"/>
    <w:rsid w:val="00706EEB"/>
    <w:rsid w:val="00707DD8"/>
    <w:rsid w:val="00711A33"/>
    <w:rsid w:val="00711B3D"/>
    <w:rsid w:val="007121B6"/>
    <w:rsid w:val="00712E3D"/>
    <w:rsid w:val="007135B2"/>
    <w:rsid w:val="00713E4A"/>
    <w:rsid w:val="007144A4"/>
    <w:rsid w:val="00714D21"/>
    <w:rsid w:val="0071601B"/>
    <w:rsid w:val="00716B56"/>
    <w:rsid w:val="00716D98"/>
    <w:rsid w:val="00717237"/>
    <w:rsid w:val="007174F7"/>
    <w:rsid w:val="00717DE2"/>
    <w:rsid w:val="0072182D"/>
    <w:rsid w:val="0072219D"/>
    <w:rsid w:val="00722EE0"/>
    <w:rsid w:val="00723697"/>
    <w:rsid w:val="00723953"/>
    <w:rsid w:val="007242BD"/>
    <w:rsid w:val="00725266"/>
    <w:rsid w:val="00725663"/>
    <w:rsid w:val="007274D7"/>
    <w:rsid w:val="0072776E"/>
    <w:rsid w:val="00727812"/>
    <w:rsid w:val="00727BA8"/>
    <w:rsid w:val="00727F5D"/>
    <w:rsid w:val="00730EE8"/>
    <w:rsid w:val="0073101F"/>
    <w:rsid w:val="00731DE9"/>
    <w:rsid w:val="00731F56"/>
    <w:rsid w:val="00732EC1"/>
    <w:rsid w:val="00733934"/>
    <w:rsid w:val="00733DD8"/>
    <w:rsid w:val="00734121"/>
    <w:rsid w:val="007346EE"/>
    <w:rsid w:val="0073546B"/>
    <w:rsid w:val="0073685F"/>
    <w:rsid w:val="007372B5"/>
    <w:rsid w:val="007373BF"/>
    <w:rsid w:val="007375A4"/>
    <w:rsid w:val="00740A8F"/>
    <w:rsid w:val="00740C59"/>
    <w:rsid w:val="007415EE"/>
    <w:rsid w:val="0074225B"/>
    <w:rsid w:val="00742301"/>
    <w:rsid w:val="00742604"/>
    <w:rsid w:val="00742720"/>
    <w:rsid w:val="00742CC4"/>
    <w:rsid w:val="00743985"/>
    <w:rsid w:val="00743E6C"/>
    <w:rsid w:val="007440F7"/>
    <w:rsid w:val="0074518D"/>
    <w:rsid w:val="007453BB"/>
    <w:rsid w:val="00745553"/>
    <w:rsid w:val="00745BB8"/>
    <w:rsid w:val="00746137"/>
    <w:rsid w:val="007466EF"/>
    <w:rsid w:val="00746877"/>
    <w:rsid w:val="0074698C"/>
    <w:rsid w:val="007470E1"/>
    <w:rsid w:val="00747415"/>
    <w:rsid w:val="00750A76"/>
    <w:rsid w:val="00750C9D"/>
    <w:rsid w:val="00750F77"/>
    <w:rsid w:val="00751062"/>
    <w:rsid w:val="0075123A"/>
    <w:rsid w:val="007517CE"/>
    <w:rsid w:val="0075226F"/>
    <w:rsid w:val="007532FB"/>
    <w:rsid w:val="007539C5"/>
    <w:rsid w:val="00753D6D"/>
    <w:rsid w:val="00753EF3"/>
    <w:rsid w:val="00754745"/>
    <w:rsid w:val="00754B11"/>
    <w:rsid w:val="00754D9A"/>
    <w:rsid w:val="007552A5"/>
    <w:rsid w:val="007556DD"/>
    <w:rsid w:val="0075596F"/>
    <w:rsid w:val="007560A4"/>
    <w:rsid w:val="0075644A"/>
    <w:rsid w:val="007565D9"/>
    <w:rsid w:val="0075698C"/>
    <w:rsid w:val="007611E2"/>
    <w:rsid w:val="00761E7E"/>
    <w:rsid w:val="00762D01"/>
    <w:rsid w:val="007631B7"/>
    <w:rsid w:val="00763A41"/>
    <w:rsid w:val="0076413E"/>
    <w:rsid w:val="00764980"/>
    <w:rsid w:val="007655FD"/>
    <w:rsid w:val="00765AC5"/>
    <w:rsid w:val="00765BE3"/>
    <w:rsid w:val="00767702"/>
    <w:rsid w:val="00770692"/>
    <w:rsid w:val="00770918"/>
    <w:rsid w:val="00770E0E"/>
    <w:rsid w:val="00770E7F"/>
    <w:rsid w:val="00771DC6"/>
    <w:rsid w:val="00771FB4"/>
    <w:rsid w:val="007726C4"/>
    <w:rsid w:val="00772974"/>
    <w:rsid w:val="00772D52"/>
    <w:rsid w:val="00773241"/>
    <w:rsid w:val="007733DA"/>
    <w:rsid w:val="007742E3"/>
    <w:rsid w:val="00774405"/>
    <w:rsid w:val="00774594"/>
    <w:rsid w:val="00774D81"/>
    <w:rsid w:val="00774D8C"/>
    <w:rsid w:val="00775363"/>
    <w:rsid w:val="0077537E"/>
    <w:rsid w:val="00775BC6"/>
    <w:rsid w:val="0077677F"/>
    <w:rsid w:val="00776F8F"/>
    <w:rsid w:val="007772F3"/>
    <w:rsid w:val="007777CC"/>
    <w:rsid w:val="00777A61"/>
    <w:rsid w:val="00780163"/>
    <w:rsid w:val="00780C13"/>
    <w:rsid w:val="00781D10"/>
    <w:rsid w:val="00782163"/>
    <w:rsid w:val="00783319"/>
    <w:rsid w:val="00783CD0"/>
    <w:rsid w:val="00783DD3"/>
    <w:rsid w:val="00784609"/>
    <w:rsid w:val="00784B0D"/>
    <w:rsid w:val="00786B3A"/>
    <w:rsid w:val="00786B9D"/>
    <w:rsid w:val="00787116"/>
    <w:rsid w:val="0078788C"/>
    <w:rsid w:val="00787A4C"/>
    <w:rsid w:val="00787D60"/>
    <w:rsid w:val="00787E57"/>
    <w:rsid w:val="00790EF4"/>
    <w:rsid w:val="0079112F"/>
    <w:rsid w:val="00791FAF"/>
    <w:rsid w:val="00792970"/>
    <w:rsid w:val="007935D7"/>
    <w:rsid w:val="00793721"/>
    <w:rsid w:val="00794748"/>
    <w:rsid w:val="00794DEB"/>
    <w:rsid w:val="00794E29"/>
    <w:rsid w:val="00795904"/>
    <w:rsid w:val="00795D86"/>
    <w:rsid w:val="00795F73"/>
    <w:rsid w:val="00796079"/>
    <w:rsid w:val="00796171"/>
    <w:rsid w:val="00796986"/>
    <w:rsid w:val="00796B39"/>
    <w:rsid w:val="00796C0D"/>
    <w:rsid w:val="00796D82"/>
    <w:rsid w:val="00797C32"/>
    <w:rsid w:val="00797F46"/>
    <w:rsid w:val="007A0436"/>
    <w:rsid w:val="007A0CFA"/>
    <w:rsid w:val="007A0DD2"/>
    <w:rsid w:val="007A16BE"/>
    <w:rsid w:val="007A21FD"/>
    <w:rsid w:val="007A2696"/>
    <w:rsid w:val="007A26E9"/>
    <w:rsid w:val="007A2952"/>
    <w:rsid w:val="007A32A7"/>
    <w:rsid w:val="007A3A71"/>
    <w:rsid w:val="007A3B4C"/>
    <w:rsid w:val="007A42D0"/>
    <w:rsid w:val="007A5928"/>
    <w:rsid w:val="007A5B79"/>
    <w:rsid w:val="007A5FE5"/>
    <w:rsid w:val="007A65A1"/>
    <w:rsid w:val="007A7282"/>
    <w:rsid w:val="007B04C2"/>
    <w:rsid w:val="007B0C98"/>
    <w:rsid w:val="007B187C"/>
    <w:rsid w:val="007B1C01"/>
    <w:rsid w:val="007B1C13"/>
    <w:rsid w:val="007B254A"/>
    <w:rsid w:val="007B2954"/>
    <w:rsid w:val="007B2D76"/>
    <w:rsid w:val="007B2E1E"/>
    <w:rsid w:val="007B3EED"/>
    <w:rsid w:val="007B42BE"/>
    <w:rsid w:val="007B4382"/>
    <w:rsid w:val="007B51FA"/>
    <w:rsid w:val="007B5CCF"/>
    <w:rsid w:val="007B6F11"/>
    <w:rsid w:val="007B72F1"/>
    <w:rsid w:val="007B76D6"/>
    <w:rsid w:val="007B788F"/>
    <w:rsid w:val="007C0811"/>
    <w:rsid w:val="007C0E15"/>
    <w:rsid w:val="007C1B8B"/>
    <w:rsid w:val="007C2435"/>
    <w:rsid w:val="007C2D07"/>
    <w:rsid w:val="007C2E0F"/>
    <w:rsid w:val="007C2E91"/>
    <w:rsid w:val="007C2F2C"/>
    <w:rsid w:val="007C36E4"/>
    <w:rsid w:val="007C3CB0"/>
    <w:rsid w:val="007C4FEC"/>
    <w:rsid w:val="007C59E4"/>
    <w:rsid w:val="007C6100"/>
    <w:rsid w:val="007C63DC"/>
    <w:rsid w:val="007C6512"/>
    <w:rsid w:val="007C6DF1"/>
    <w:rsid w:val="007C7037"/>
    <w:rsid w:val="007D00AE"/>
    <w:rsid w:val="007D0CDD"/>
    <w:rsid w:val="007D0EB2"/>
    <w:rsid w:val="007D12FA"/>
    <w:rsid w:val="007D1C24"/>
    <w:rsid w:val="007D1FBD"/>
    <w:rsid w:val="007D37F5"/>
    <w:rsid w:val="007D39FB"/>
    <w:rsid w:val="007D3A87"/>
    <w:rsid w:val="007D4045"/>
    <w:rsid w:val="007D42CE"/>
    <w:rsid w:val="007D4957"/>
    <w:rsid w:val="007D4A43"/>
    <w:rsid w:val="007D4E48"/>
    <w:rsid w:val="007D5AB8"/>
    <w:rsid w:val="007D6416"/>
    <w:rsid w:val="007D6ECC"/>
    <w:rsid w:val="007D7C18"/>
    <w:rsid w:val="007D7D7E"/>
    <w:rsid w:val="007E001A"/>
    <w:rsid w:val="007E017C"/>
    <w:rsid w:val="007E0227"/>
    <w:rsid w:val="007E12C5"/>
    <w:rsid w:val="007E159F"/>
    <w:rsid w:val="007E19E8"/>
    <w:rsid w:val="007E309D"/>
    <w:rsid w:val="007E391F"/>
    <w:rsid w:val="007E392A"/>
    <w:rsid w:val="007E3CF5"/>
    <w:rsid w:val="007E3F89"/>
    <w:rsid w:val="007E4D43"/>
    <w:rsid w:val="007E4F8B"/>
    <w:rsid w:val="007E54BC"/>
    <w:rsid w:val="007E54E6"/>
    <w:rsid w:val="007E62C4"/>
    <w:rsid w:val="007E6306"/>
    <w:rsid w:val="007E6751"/>
    <w:rsid w:val="007E6921"/>
    <w:rsid w:val="007E73EC"/>
    <w:rsid w:val="007E76A0"/>
    <w:rsid w:val="007E7B84"/>
    <w:rsid w:val="007F0064"/>
    <w:rsid w:val="007F07B0"/>
    <w:rsid w:val="007F22D7"/>
    <w:rsid w:val="007F317B"/>
    <w:rsid w:val="007F3A08"/>
    <w:rsid w:val="007F3C73"/>
    <w:rsid w:val="007F3C7A"/>
    <w:rsid w:val="007F3F18"/>
    <w:rsid w:val="007F4574"/>
    <w:rsid w:val="007F4DDF"/>
    <w:rsid w:val="007F53B4"/>
    <w:rsid w:val="007F5666"/>
    <w:rsid w:val="007F67BA"/>
    <w:rsid w:val="007F70A8"/>
    <w:rsid w:val="007F7BE4"/>
    <w:rsid w:val="00800362"/>
    <w:rsid w:val="00800B9A"/>
    <w:rsid w:val="00800C14"/>
    <w:rsid w:val="00800C37"/>
    <w:rsid w:val="0080212A"/>
    <w:rsid w:val="00802246"/>
    <w:rsid w:val="00802F98"/>
    <w:rsid w:val="008033A9"/>
    <w:rsid w:val="00803782"/>
    <w:rsid w:val="00803AA3"/>
    <w:rsid w:val="00803C7B"/>
    <w:rsid w:val="0080437D"/>
    <w:rsid w:val="00804556"/>
    <w:rsid w:val="008045C6"/>
    <w:rsid w:val="00804E90"/>
    <w:rsid w:val="008050CC"/>
    <w:rsid w:val="0080633B"/>
    <w:rsid w:val="008066BD"/>
    <w:rsid w:val="00806C91"/>
    <w:rsid w:val="00807AA1"/>
    <w:rsid w:val="008110FA"/>
    <w:rsid w:val="00811AB9"/>
    <w:rsid w:val="00811ECC"/>
    <w:rsid w:val="00812F8E"/>
    <w:rsid w:val="008132C1"/>
    <w:rsid w:val="0081367D"/>
    <w:rsid w:val="008144D6"/>
    <w:rsid w:val="00814B98"/>
    <w:rsid w:val="008152EF"/>
    <w:rsid w:val="00815395"/>
    <w:rsid w:val="00815829"/>
    <w:rsid w:val="00816C53"/>
    <w:rsid w:val="00816E5C"/>
    <w:rsid w:val="00816EF8"/>
    <w:rsid w:val="0081773D"/>
    <w:rsid w:val="00817D16"/>
    <w:rsid w:val="00820153"/>
    <w:rsid w:val="00820A15"/>
    <w:rsid w:val="00820C14"/>
    <w:rsid w:val="008211FE"/>
    <w:rsid w:val="00821247"/>
    <w:rsid w:val="00822716"/>
    <w:rsid w:val="00822EF2"/>
    <w:rsid w:val="00823361"/>
    <w:rsid w:val="00823EFA"/>
    <w:rsid w:val="00823F0D"/>
    <w:rsid w:val="008243A0"/>
    <w:rsid w:val="00824787"/>
    <w:rsid w:val="0082554B"/>
    <w:rsid w:val="008257A6"/>
    <w:rsid w:val="008259EC"/>
    <w:rsid w:val="0082652C"/>
    <w:rsid w:val="00826F5D"/>
    <w:rsid w:val="008271B8"/>
    <w:rsid w:val="0082734E"/>
    <w:rsid w:val="00830136"/>
    <w:rsid w:val="008304A4"/>
    <w:rsid w:val="008305E4"/>
    <w:rsid w:val="008310A8"/>
    <w:rsid w:val="00831625"/>
    <w:rsid w:val="008318AF"/>
    <w:rsid w:val="0083276A"/>
    <w:rsid w:val="00832B87"/>
    <w:rsid w:val="00833382"/>
    <w:rsid w:val="008337E0"/>
    <w:rsid w:val="008339C1"/>
    <w:rsid w:val="00834522"/>
    <w:rsid w:val="00834716"/>
    <w:rsid w:val="00834CD1"/>
    <w:rsid w:val="00834EF4"/>
    <w:rsid w:val="00834EF6"/>
    <w:rsid w:val="00835139"/>
    <w:rsid w:val="00835174"/>
    <w:rsid w:val="0083553D"/>
    <w:rsid w:val="00835A42"/>
    <w:rsid w:val="00835E1B"/>
    <w:rsid w:val="00835FA2"/>
    <w:rsid w:val="0083678A"/>
    <w:rsid w:val="0083751B"/>
    <w:rsid w:val="00837A12"/>
    <w:rsid w:val="008401FA"/>
    <w:rsid w:val="00840A08"/>
    <w:rsid w:val="008414F9"/>
    <w:rsid w:val="00842C1B"/>
    <w:rsid w:val="008444CA"/>
    <w:rsid w:val="008453F3"/>
    <w:rsid w:val="00845802"/>
    <w:rsid w:val="00845AE1"/>
    <w:rsid w:val="00845B42"/>
    <w:rsid w:val="00845EE0"/>
    <w:rsid w:val="0084625B"/>
    <w:rsid w:val="0084630E"/>
    <w:rsid w:val="00846774"/>
    <w:rsid w:val="0084692A"/>
    <w:rsid w:val="008501BF"/>
    <w:rsid w:val="008507AF"/>
    <w:rsid w:val="00851ADA"/>
    <w:rsid w:val="0085368B"/>
    <w:rsid w:val="0085381D"/>
    <w:rsid w:val="00853A66"/>
    <w:rsid w:val="00853F5E"/>
    <w:rsid w:val="0085426A"/>
    <w:rsid w:val="008548D9"/>
    <w:rsid w:val="00854E48"/>
    <w:rsid w:val="00854F97"/>
    <w:rsid w:val="00855172"/>
    <w:rsid w:val="0085523F"/>
    <w:rsid w:val="00855348"/>
    <w:rsid w:val="0085577E"/>
    <w:rsid w:val="0085585F"/>
    <w:rsid w:val="00855C7E"/>
    <w:rsid w:val="008568AC"/>
    <w:rsid w:val="00856DBD"/>
    <w:rsid w:val="0086036E"/>
    <w:rsid w:val="008604FF"/>
    <w:rsid w:val="008609F5"/>
    <w:rsid w:val="00860EEB"/>
    <w:rsid w:val="0086120E"/>
    <w:rsid w:val="00861550"/>
    <w:rsid w:val="0086157E"/>
    <w:rsid w:val="00861750"/>
    <w:rsid w:val="00861A4C"/>
    <w:rsid w:val="00861B04"/>
    <w:rsid w:val="00861EBD"/>
    <w:rsid w:val="00862676"/>
    <w:rsid w:val="008631C2"/>
    <w:rsid w:val="00863949"/>
    <w:rsid w:val="00864838"/>
    <w:rsid w:val="00866CA3"/>
    <w:rsid w:val="00866E36"/>
    <w:rsid w:val="00866E98"/>
    <w:rsid w:val="00867101"/>
    <w:rsid w:val="00867421"/>
    <w:rsid w:val="00867766"/>
    <w:rsid w:val="008679F4"/>
    <w:rsid w:val="0087045A"/>
    <w:rsid w:val="008704A1"/>
    <w:rsid w:val="008717C4"/>
    <w:rsid w:val="008719A4"/>
    <w:rsid w:val="00871C24"/>
    <w:rsid w:val="00871E02"/>
    <w:rsid w:val="00871FF6"/>
    <w:rsid w:val="00872680"/>
    <w:rsid w:val="00873000"/>
    <w:rsid w:val="008739CA"/>
    <w:rsid w:val="00873DAA"/>
    <w:rsid w:val="00875AB4"/>
    <w:rsid w:val="00876C0A"/>
    <w:rsid w:val="008776AA"/>
    <w:rsid w:val="00877CFB"/>
    <w:rsid w:val="008810CF"/>
    <w:rsid w:val="0088232A"/>
    <w:rsid w:val="0088362D"/>
    <w:rsid w:val="008839B6"/>
    <w:rsid w:val="00883B18"/>
    <w:rsid w:val="008851D7"/>
    <w:rsid w:val="00885225"/>
    <w:rsid w:val="008854D9"/>
    <w:rsid w:val="00885DC8"/>
    <w:rsid w:val="008868C8"/>
    <w:rsid w:val="00886CDC"/>
    <w:rsid w:val="00887042"/>
    <w:rsid w:val="00887481"/>
    <w:rsid w:val="00887602"/>
    <w:rsid w:val="00890310"/>
    <w:rsid w:val="00891C3E"/>
    <w:rsid w:val="00891DDA"/>
    <w:rsid w:val="00891E54"/>
    <w:rsid w:val="00892B35"/>
    <w:rsid w:val="00893B53"/>
    <w:rsid w:val="0089448F"/>
    <w:rsid w:val="0089490E"/>
    <w:rsid w:val="008949EB"/>
    <w:rsid w:val="008950C5"/>
    <w:rsid w:val="008964C5"/>
    <w:rsid w:val="00896A82"/>
    <w:rsid w:val="008974C5"/>
    <w:rsid w:val="008A00BB"/>
    <w:rsid w:val="008A1AB7"/>
    <w:rsid w:val="008A35D1"/>
    <w:rsid w:val="008A3831"/>
    <w:rsid w:val="008A4A4F"/>
    <w:rsid w:val="008A4CB3"/>
    <w:rsid w:val="008A502E"/>
    <w:rsid w:val="008A78BF"/>
    <w:rsid w:val="008A7F71"/>
    <w:rsid w:val="008B0AD4"/>
    <w:rsid w:val="008B0E3A"/>
    <w:rsid w:val="008B21B9"/>
    <w:rsid w:val="008B24AF"/>
    <w:rsid w:val="008B433A"/>
    <w:rsid w:val="008B483D"/>
    <w:rsid w:val="008B4A16"/>
    <w:rsid w:val="008B4E9D"/>
    <w:rsid w:val="008B518B"/>
    <w:rsid w:val="008B5654"/>
    <w:rsid w:val="008B5805"/>
    <w:rsid w:val="008B5D3F"/>
    <w:rsid w:val="008B5EEC"/>
    <w:rsid w:val="008B5F51"/>
    <w:rsid w:val="008B67D3"/>
    <w:rsid w:val="008B6AB6"/>
    <w:rsid w:val="008B6DAC"/>
    <w:rsid w:val="008B76DA"/>
    <w:rsid w:val="008B7DB8"/>
    <w:rsid w:val="008B7EF9"/>
    <w:rsid w:val="008C00BE"/>
    <w:rsid w:val="008C0D38"/>
    <w:rsid w:val="008C0DED"/>
    <w:rsid w:val="008C11F0"/>
    <w:rsid w:val="008C1614"/>
    <w:rsid w:val="008C237A"/>
    <w:rsid w:val="008C2A70"/>
    <w:rsid w:val="008C30E0"/>
    <w:rsid w:val="008C3AC9"/>
    <w:rsid w:val="008C4140"/>
    <w:rsid w:val="008C42D7"/>
    <w:rsid w:val="008C5790"/>
    <w:rsid w:val="008C6868"/>
    <w:rsid w:val="008C6A9D"/>
    <w:rsid w:val="008C73EC"/>
    <w:rsid w:val="008C766E"/>
    <w:rsid w:val="008D0101"/>
    <w:rsid w:val="008D037A"/>
    <w:rsid w:val="008D083F"/>
    <w:rsid w:val="008D0A25"/>
    <w:rsid w:val="008D0A82"/>
    <w:rsid w:val="008D1F71"/>
    <w:rsid w:val="008D2321"/>
    <w:rsid w:val="008D23B3"/>
    <w:rsid w:val="008D29D1"/>
    <w:rsid w:val="008D2BFD"/>
    <w:rsid w:val="008D375C"/>
    <w:rsid w:val="008D3874"/>
    <w:rsid w:val="008D4306"/>
    <w:rsid w:val="008D57AE"/>
    <w:rsid w:val="008D5BED"/>
    <w:rsid w:val="008D5E70"/>
    <w:rsid w:val="008D6C3A"/>
    <w:rsid w:val="008D7352"/>
    <w:rsid w:val="008D7453"/>
    <w:rsid w:val="008D74F9"/>
    <w:rsid w:val="008D7729"/>
    <w:rsid w:val="008D7A07"/>
    <w:rsid w:val="008D7BBA"/>
    <w:rsid w:val="008D7CF9"/>
    <w:rsid w:val="008E0192"/>
    <w:rsid w:val="008E03D9"/>
    <w:rsid w:val="008E0F35"/>
    <w:rsid w:val="008E1B83"/>
    <w:rsid w:val="008E2EF4"/>
    <w:rsid w:val="008E518F"/>
    <w:rsid w:val="008E553C"/>
    <w:rsid w:val="008E5D18"/>
    <w:rsid w:val="008E69DA"/>
    <w:rsid w:val="008E6B09"/>
    <w:rsid w:val="008E6B71"/>
    <w:rsid w:val="008E71D5"/>
    <w:rsid w:val="008E7764"/>
    <w:rsid w:val="008E778F"/>
    <w:rsid w:val="008E7B03"/>
    <w:rsid w:val="008F002D"/>
    <w:rsid w:val="008F07FA"/>
    <w:rsid w:val="008F12F2"/>
    <w:rsid w:val="008F1B96"/>
    <w:rsid w:val="008F25AA"/>
    <w:rsid w:val="008F28CD"/>
    <w:rsid w:val="008F303E"/>
    <w:rsid w:val="008F4156"/>
    <w:rsid w:val="008F6428"/>
    <w:rsid w:val="008F7710"/>
    <w:rsid w:val="009000B6"/>
    <w:rsid w:val="00900DED"/>
    <w:rsid w:val="0090101B"/>
    <w:rsid w:val="009014D0"/>
    <w:rsid w:val="0090182B"/>
    <w:rsid w:val="0090185A"/>
    <w:rsid w:val="00901BFE"/>
    <w:rsid w:val="00902028"/>
    <w:rsid w:val="00903BF6"/>
    <w:rsid w:val="00905AD5"/>
    <w:rsid w:val="009062CF"/>
    <w:rsid w:val="0090667B"/>
    <w:rsid w:val="00906B58"/>
    <w:rsid w:val="00906D62"/>
    <w:rsid w:val="009070FD"/>
    <w:rsid w:val="0090719B"/>
    <w:rsid w:val="0090735E"/>
    <w:rsid w:val="00907B46"/>
    <w:rsid w:val="00910B72"/>
    <w:rsid w:val="00910C7E"/>
    <w:rsid w:val="00910FBC"/>
    <w:rsid w:val="00912EA4"/>
    <w:rsid w:val="009132EF"/>
    <w:rsid w:val="009153AA"/>
    <w:rsid w:val="00915762"/>
    <w:rsid w:val="00915A33"/>
    <w:rsid w:val="00916603"/>
    <w:rsid w:val="009204B9"/>
    <w:rsid w:val="00920ACC"/>
    <w:rsid w:val="00920ADB"/>
    <w:rsid w:val="00920B39"/>
    <w:rsid w:val="00920B6A"/>
    <w:rsid w:val="0092125A"/>
    <w:rsid w:val="00921415"/>
    <w:rsid w:val="0092146A"/>
    <w:rsid w:val="00922588"/>
    <w:rsid w:val="0092289C"/>
    <w:rsid w:val="009228AA"/>
    <w:rsid w:val="009229B9"/>
    <w:rsid w:val="009229C1"/>
    <w:rsid w:val="00922B1E"/>
    <w:rsid w:val="009240D6"/>
    <w:rsid w:val="00924E38"/>
    <w:rsid w:val="00925057"/>
    <w:rsid w:val="0092546D"/>
    <w:rsid w:val="00926394"/>
    <w:rsid w:val="00926889"/>
    <w:rsid w:val="00926914"/>
    <w:rsid w:val="00926F6C"/>
    <w:rsid w:val="009274AB"/>
    <w:rsid w:val="00927AED"/>
    <w:rsid w:val="00927EE9"/>
    <w:rsid w:val="00930068"/>
    <w:rsid w:val="0093043D"/>
    <w:rsid w:val="00930A72"/>
    <w:rsid w:val="00930D48"/>
    <w:rsid w:val="0093129D"/>
    <w:rsid w:val="00931AB9"/>
    <w:rsid w:val="009324D6"/>
    <w:rsid w:val="00932772"/>
    <w:rsid w:val="00934192"/>
    <w:rsid w:val="00934552"/>
    <w:rsid w:val="0093462B"/>
    <w:rsid w:val="009372DC"/>
    <w:rsid w:val="00937FA6"/>
    <w:rsid w:val="0094021E"/>
    <w:rsid w:val="00940C81"/>
    <w:rsid w:val="00941133"/>
    <w:rsid w:val="00942347"/>
    <w:rsid w:val="009427F3"/>
    <w:rsid w:val="00944B78"/>
    <w:rsid w:val="00944C68"/>
    <w:rsid w:val="009450C6"/>
    <w:rsid w:val="009454B2"/>
    <w:rsid w:val="0094584B"/>
    <w:rsid w:val="009460C5"/>
    <w:rsid w:val="0094688B"/>
    <w:rsid w:val="00946B43"/>
    <w:rsid w:val="00947BEB"/>
    <w:rsid w:val="009501B4"/>
    <w:rsid w:val="009512AB"/>
    <w:rsid w:val="00951696"/>
    <w:rsid w:val="00952CCE"/>
    <w:rsid w:val="00952ECA"/>
    <w:rsid w:val="0095327B"/>
    <w:rsid w:val="00953BEA"/>
    <w:rsid w:val="00953F1F"/>
    <w:rsid w:val="0095431B"/>
    <w:rsid w:val="00954595"/>
    <w:rsid w:val="0095590B"/>
    <w:rsid w:val="00955AD7"/>
    <w:rsid w:val="00955FBB"/>
    <w:rsid w:val="00956540"/>
    <w:rsid w:val="009569BE"/>
    <w:rsid w:val="00956EF3"/>
    <w:rsid w:val="00961A4B"/>
    <w:rsid w:val="00961F73"/>
    <w:rsid w:val="00963156"/>
    <w:rsid w:val="00963518"/>
    <w:rsid w:val="0096402E"/>
    <w:rsid w:val="00964F5A"/>
    <w:rsid w:val="0096539A"/>
    <w:rsid w:val="00965833"/>
    <w:rsid w:val="00966447"/>
    <w:rsid w:val="00966640"/>
    <w:rsid w:val="00966647"/>
    <w:rsid w:val="00966D77"/>
    <w:rsid w:val="00970490"/>
    <w:rsid w:val="00970639"/>
    <w:rsid w:val="009706D9"/>
    <w:rsid w:val="00970797"/>
    <w:rsid w:val="00971088"/>
    <w:rsid w:val="00971B9E"/>
    <w:rsid w:val="009723FE"/>
    <w:rsid w:val="00972438"/>
    <w:rsid w:val="0097295C"/>
    <w:rsid w:val="009730E5"/>
    <w:rsid w:val="0097342A"/>
    <w:rsid w:val="009746B5"/>
    <w:rsid w:val="00974A8E"/>
    <w:rsid w:val="00974DE3"/>
    <w:rsid w:val="009752C7"/>
    <w:rsid w:val="009763E9"/>
    <w:rsid w:val="00976C93"/>
    <w:rsid w:val="00976E75"/>
    <w:rsid w:val="00976EAA"/>
    <w:rsid w:val="009772EE"/>
    <w:rsid w:val="00977546"/>
    <w:rsid w:val="00977BB2"/>
    <w:rsid w:val="00977CE4"/>
    <w:rsid w:val="00977FAE"/>
    <w:rsid w:val="0098128C"/>
    <w:rsid w:val="00981C68"/>
    <w:rsid w:val="009820CC"/>
    <w:rsid w:val="00982F4F"/>
    <w:rsid w:val="00982FB0"/>
    <w:rsid w:val="00983399"/>
    <w:rsid w:val="009835B4"/>
    <w:rsid w:val="00984862"/>
    <w:rsid w:val="00984937"/>
    <w:rsid w:val="00984B37"/>
    <w:rsid w:val="00987198"/>
    <w:rsid w:val="00987765"/>
    <w:rsid w:val="00991C69"/>
    <w:rsid w:val="00992269"/>
    <w:rsid w:val="00992695"/>
    <w:rsid w:val="00995A37"/>
    <w:rsid w:val="00996174"/>
    <w:rsid w:val="009964CC"/>
    <w:rsid w:val="00996608"/>
    <w:rsid w:val="00996666"/>
    <w:rsid w:val="00996B73"/>
    <w:rsid w:val="009979F1"/>
    <w:rsid w:val="00997B24"/>
    <w:rsid w:val="009A0338"/>
    <w:rsid w:val="009A040B"/>
    <w:rsid w:val="009A1495"/>
    <w:rsid w:val="009A15C7"/>
    <w:rsid w:val="009A1A44"/>
    <w:rsid w:val="009A1C86"/>
    <w:rsid w:val="009A2B6E"/>
    <w:rsid w:val="009A2DE9"/>
    <w:rsid w:val="009A2F9A"/>
    <w:rsid w:val="009A3E6F"/>
    <w:rsid w:val="009A432B"/>
    <w:rsid w:val="009A4757"/>
    <w:rsid w:val="009A4CC5"/>
    <w:rsid w:val="009A5963"/>
    <w:rsid w:val="009A61C1"/>
    <w:rsid w:val="009A6278"/>
    <w:rsid w:val="009A62C3"/>
    <w:rsid w:val="009A64E0"/>
    <w:rsid w:val="009A6694"/>
    <w:rsid w:val="009A714F"/>
    <w:rsid w:val="009A7B5F"/>
    <w:rsid w:val="009A7FB6"/>
    <w:rsid w:val="009B022A"/>
    <w:rsid w:val="009B0375"/>
    <w:rsid w:val="009B04CC"/>
    <w:rsid w:val="009B2322"/>
    <w:rsid w:val="009B2A6F"/>
    <w:rsid w:val="009B37F7"/>
    <w:rsid w:val="009B39EC"/>
    <w:rsid w:val="009B3D5B"/>
    <w:rsid w:val="009B4231"/>
    <w:rsid w:val="009B45D4"/>
    <w:rsid w:val="009B49AC"/>
    <w:rsid w:val="009B5148"/>
    <w:rsid w:val="009B5517"/>
    <w:rsid w:val="009B588B"/>
    <w:rsid w:val="009B5E61"/>
    <w:rsid w:val="009B670A"/>
    <w:rsid w:val="009B76E3"/>
    <w:rsid w:val="009C0179"/>
    <w:rsid w:val="009C021E"/>
    <w:rsid w:val="009C109E"/>
    <w:rsid w:val="009C1137"/>
    <w:rsid w:val="009C13CC"/>
    <w:rsid w:val="009C297A"/>
    <w:rsid w:val="009C364C"/>
    <w:rsid w:val="009C3EDB"/>
    <w:rsid w:val="009C4271"/>
    <w:rsid w:val="009C4D95"/>
    <w:rsid w:val="009C51C1"/>
    <w:rsid w:val="009C554E"/>
    <w:rsid w:val="009C58AB"/>
    <w:rsid w:val="009C5B25"/>
    <w:rsid w:val="009C5F62"/>
    <w:rsid w:val="009C5FF2"/>
    <w:rsid w:val="009C74E5"/>
    <w:rsid w:val="009C7753"/>
    <w:rsid w:val="009C7982"/>
    <w:rsid w:val="009D01B9"/>
    <w:rsid w:val="009D0348"/>
    <w:rsid w:val="009D0FC1"/>
    <w:rsid w:val="009D11A9"/>
    <w:rsid w:val="009D1393"/>
    <w:rsid w:val="009D1BFF"/>
    <w:rsid w:val="009D29B1"/>
    <w:rsid w:val="009D338B"/>
    <w:rsid w:val="009D36E1"/>
    <w:rsid w:val="009D38F5"/>
    <w:rsid w:val="009D40A7"/>
    <w:rsid w:val="009D446B"/>
    <w:rsid w:val="009D4ED1"/>
    <w:rsid w:val="009D5B53"/>
    <w:rsid w:val="009D5C34"/>
    <w:rsid w:val="009D6128"/>
    <w:rsid w:val="009D6FF9"/>
    <w:rsid w:val="009D74A2"/>
    <w:rsid w:val="009D7600"/>
    <w:rsid w:val="009D7B4B"/>
    <w:rsid w:val="009D7C91"/>
    <w:rsid w:val="009E0E61"/>
    <w:rsid w:val="009E1DED"/>
    <w:rsid w:val="009E1F5C"/>
    <w:rsid w:val="009E313C"/>
    <w:rsid w:val="009E34D1"/>
    <w:rsid w:val="009E3E3F"/>
    <w:rsid w:val="009E412F"/>
    <w:rsid w:val="009E4924"/>
    <w:rsid w:val="009E4CF0"/>
    <w:rsid w:val="009E507B"/>
    <w:rsid w:val="009E52DF"/>
    <w:rsid w:val="009E5A34"/>
    <w:rsid w:val="009E5AEE"/>
    <w:rsid w:val="009E61B2"/>
    <w:rsid w:val="009E6300"/>
    <w:rsid w:val="009E67C3"/>
    <w:rsid w:val="009F001B"/>
    <w:rsid w:val="009F036B"/>
    <w:rsid w:val="009F0B72"/>
    <w:rsid w:val="009F11D3"/>
    <w:rsid w:val="009F186F"/>
    <w:rsid w:val="009F2E3A"/>
    <w:rsid w:val="009F36F4"/>
    <w:rsid w:val="009F3D7B"/>
    <w:rsid w:val="009F48A2"/>
    <w:rsid w:val="009F4B05"/>
    <w:rsid w:val="009F5D7E"/>
    <w:rsid w:val="009F6A64"/>
    <w:rsid w:val="009F6FCE"/>
    <w:rsid w:val="009F7A82"/>
    <w:rsid w:val="009F7CF0"/>
    <w:rsid w:val="009F7EE0"/>
    <w:rsid w:val="00A00010"/>
    <w:rsid w:val="00A002FF"/>
    <w:rsid w:val="00A0035D"/>
    <w:rsid w:val="00A01558"/>
    <w:rsid w:val="00A02513"/>
    <w:rsid w:val="00A027F8"/>
    <w:rsid w:val="00A03760"/>
    <w:rsid w:val="00A0559C"/>
    <w:rsid w:val="00A05945"/>
    <w:rsid w:val="00A05A12"/>
    <w:rsid w:val="00A05C77"/>
    <w:rsid w:val="00A07281"/>
    <w:rsid w:val="00A107C6"/>
    <w:rsid w:val="00A1123E"/>
    <w:rsid w:val="00A1130A"/>
    <w:rsid w:val="00A12435"/>
    <w:rsid w:val="00A1244E"/>
    <w:rsid w:val="00A12A02"/>
    <w:rsid w:val="00A142ED"/>
    <w:rsid w:val="00A14BF0"/>
    <w:rsid w:val="00A151E5"/>
    <w:rsid w:val="00A157A0"/>
    <w:rsid w:val="00A162CC"/>
    <w:rsid w:val="00A168C9"/>
    <w:rsid w:val="00A16ADF"/>
    <w:rsid w:val="00A16E48"/>
    <w:rsid w:val="00A1766B"/>
    <w:rsid w:val="00A176EC"/>
    <w:rsid w:val="00A178BA"/>
    <w:rsid w:val="00A2143A"/>
    <w:rsid w:val="00A21CF8"/>
    <w:rsid w:val="00A22E5F"/>
    <w:rsid w:val="00A2427C"/>
    <w:rsid w:val="00A243BA"/>
    <w:rsid w:val="00A248E1"/>
    <w:rsid w:val="00A253C2"/>
    <w:rsid w:val="00A25C1D"/>
    <w:rsid w:val="00A25DF8"/>
    <w:rsid w:val="00A2657C"/>
    <w:rsid w:val="00A2670E"/>
    <w:rsid w:val="00A26887"/>
    <w:rsid w:val="00A26C2D"/>
    <w:rsid w:val="00A274A2"/>
    <w:rsid w:val="00A2764D"/>
    <w:rsid w:val="00A308B9"/>
    <w:rsid w:val="00A3153E"/>
    <w:rsid w:val="00A315AA"/>
    <w:rsid w:val="00A317E2"/>
    <w:rsid w:val="00A3406D"/>
    <w:rsid w:val="00A34168"/>
    <w:rsid w:val="00A34A1C"/>
    <w:rsid w:val="00A34EBD"/>
    <w:rsid w:val="00A34EF0"/>
    <w:rsid w:val="00A357EB"/>
    <w:rsid w:val="00A3588A"/>
    <w:rsid w:val="00A35C51"/>
    <w:rsid w:val="00A362A8"/>
    <w:rsid w:val="00A400FA"/>
    <w:rsid w:val="00A406BF"/>
    <w:rsid w:val="00A40B5B"/>
    <w:rsid w:val="00A40E2B"/>
    <w:rsid w:val="00A412F7"/>
    <w:rsid w:val="00A42702"/>
    <w:rsid w:val="00A4384D"/>
    <w:rsid w:val="00A43DDF"/>
    <w:rsid w:val="00A43E3A"/>
    <w:rsid w:val="00A457AE"/>
    <w:rsid w:val="00A45A82"/>
    <w:rsid w:val="00A46CE9"/>
    <w:rsid w:val="00A47DD2"/>
    <w:rsid w:val="00A50AAA"/>
    <w:rsid w:val="00A50BEE"/>
    <w:rsid w:val="00A50F0E"/>
    <w:rsid w:val="00A521A3"/>
    <w:rsid w:val="00A525A0"/>
    <w:rsid w:val="00A527A7"/>
    <w:rsid w:val="00A528A3"/>
    <w:rsid w:val="00A5358A"/>
    <w:rsid w:val="00A5405F"/>
    <w:rsid w:val="00A547FE"/>
    <w:rsid w:val="00A54818"/>
    <w:rsid w:val="00A55121"/>
    <w:rsid w:val="00A551F2"/>
    <w:rsid w:val="00A56083"/>
    <w:rsid w:val="00A56349"/>
    <w:rsid w:val="00A567A0"/>
    <w:rsid w:val="00A57734"/>
    <w:rsid w:val="00A57763"/>
    <w:rsid w:val="00A57CB7"/>
    <w:rsid w:val="00A57F28"/>
    <w:rsid w:val="00A57FDF"/>
    <w:rsid w:val="00A6047D"/>
    <w:rsid w:val="00A60FDD"/>
    <w:rsid w:val="00A619F5"/>
    <w:rsid w:val="00A61D3E"/>
    <w:rsid w:val="00A62571"/>
    <w:rsid w:val="00A62C48"/>
    <w:rsid w:val="00A63049"/>
    <w:rsid w:val="00A633F0"/>
    <w:rsid w:val="00A6349D"/>
    <w:rsid w:val="00A63CA7"/>
    <w:rsid w:val="00A643AC"/>
    <w:rsid w:val="00A6472B"/>
    <w:rsid w:val="00A6481C"/>
    <w:rsid w:val="00A64B50"/>
    <w:rsid w:val="00A64D5D"/>
    <w:rsid w:val="00A6509D"/>
    <w:rsid w:val="00A6513B"/>
    <w:rsid w:val="00A6527E"/>
    <w:rsid w:val="00A65F18"/>
    <w:rsid w:val="00A66A2A"/>
    <w:rsid w:val="00A67E6A"/>
    <w:rsid w:val="00A7045E"/>
    <w:rsid w:val="00A7106C"/>
    <w:rsid w:val="00A729CC"/>
    <w:rsid w:val="00A735E2"/>
    <w:rsid w:val="00A73A19"/>
    <w:rsid w:val="00A740FB"/>
    <w:rsid w:val="00A757C9"/>
    <w:rsid w:val="00A76FB7"/>
    <w:rsid w:val="00A7775B"/>
    <w:rsid w:val="00A77950"/>
    <w:rsid w:val="00A77E0C"/>
    <w:rsid w:val="00A77E10"/>
    <w:rsid w:val="00A80700"/>
    <w:rsid w:val="00A8136B"/>
    <w:rsid w:val="00A82629"/>
    <w:rsid w:val="00A82D01"/>
    <w:rsid w:val="00A8401D"/>
    <w:rsid w:val="00A84164"/>
    <w:rsid w:val="00A8452C"/>
    <w:rsid w:val="00A84864"/>
    <w:rsid w:val="00A8499E"/>
    <w:rsid w:val="00A84A47"/>
    <w:rsid w:val="00A8525B"/>
    <w:rsid w:val="00A8582D"/>
    <w:rsid w:val="00A859EF"/>
    <w:rsid w:val="00A8688C"/>
    <w:rsid w:val="00A86FD5"/>
    <w:rsid w:val="00A87214"/>
    <w:rsid w:val="00A87910"/>
    <w:rsid w:val="00A879ED"/>
    <w:rsid w:val="00A90BC1"/>
    <w:rsid w:val="00A91C58"/>
    <w:rsid w:val="00A91ED5"/>
    <w:rsid w:val="00A91FC6"/>
    <w:rsid w:val="00A92195"/>
    <w:rsid w:val="00A92E1C"/>
    <w:rsid w:val="00A93710"/>
    <w:rsid w:val="00A93FE1"/>
    <w:rsid w:val="00A940FA"/>
    <w:rsid w:val="00A94337"/>
    <w:rsid w:val="00A94CDC"/>
    <w:rsid w:val="00A94DAB"/>
    <w:rsid w:val="00A94EC2"/>
    <w:rsid w:val="00A951E4"/>
    <w:rsid w:val="00A957F5"/>
    <w:rsid w:val="00A95A53"/>
    <w:rsid w:val="00A96284"/>
    <w:rsid w:val="00A96F92"/>
    <w:rsid w:val="00A97214"/>
    <w:rsid w:val="00A97E1F"/>
    <w:rsid w:val="00AA0689"/>
    <w:rsid w:val="00AA11E4"/>
    <w:rsid w:val="00AA1C43"/>
    <w:rsid w:val="00AA2485"/>
    <w:rsid w:val="00AA3089"/>
    <w:rsid w:val="00AA3228"/>
    <w:rsid w:val="00AA3565"/>
    <w:rsid w:val="00AA3FFD"/>
    <w:rsid w:val="00AA4975"/>
    <w:rsid w:val="00AA497D"/>
    <w:rsid w:val="00AA4FBD"/>
    <w:rsid w:val="00AA52B0"/>
    <w:rsid w:val="00AA58C8"/>
    <w:rsid w:val="00AA5CE4"/>
    <w:rsid w:val="00AA70E9"/>
    <w:rsid w:val="00AA725F"/>
    <w:rsid w:val="00AA7D00"/>
    <w:rsid w:val="00AB03C3"/>
    <w:rsid w:val="00AB06AE"/>
    <w:rsid w:val="00AB0A1D"/>
    <w:rsid w:val="00AB0F4A"/>
    <w:rsid w:val="00AB1C5C"/>
    <w:rsid w:val="00AB1F4B"/>
    <w:rsid w:val="00AB2936"/>
    <w:rsid w:val="00AB2E50"/>
    <w:rsid w:val="00AB35F2"/>
    <w:rsid w:val="00AB488B"/>
    <w:rsid w:val="00AB4903"/>
    <w:rsid w:val="00AB4B77"/>
    <w:rsid w:val="00AB591B"/>
    <w:rsid w:val="00AB5F62"/>
    <w:rsid w:val="00AB67BA"/>
    <w:rsid w:val="00AB689D"/>
    <w:rsid w:val="00AB7617"/>
    <w:rsid w:val="00AB763B"/>
    <w:rsid w:val="00AB7C57"/>
    <w:rsid w:val="00AC0376"/>
    <w:rsid w:val="00AC10BB"/>
    <w:rsid w:val="00AC1327"/>
    <w:rsid w:val="00AC133F"/>
    <w:rsid w:val="00AC15DF"/>
    <w:rsid w:val="00AC1FB4"/>
    <w:rsid w:val="00AC20C3"/>
    <w:rsid w:val="00AC219A"/>
    <w:rsid w:val="00AC38AE"/>
    <w:rsid w:val="00AC3EC3"/>
    <w:rsid w:val="00AC43B6"/>
    <w:rsid w:val="00AC482E"/>
    <w:rsid w:val="00AC5185"/>
    <w:rsid w:val="00AC5340"/>
    <w:rsid w:val="00AC5688"/>
    <w:rsid w:val="00AC625D"/>
    <w:rsid w:val="00AC7A18"/>
    <w:rsid w:val="00AD0531"/>
    <w:rsid w:val="00AD106A"/>
    <w:rsid w:val="00AD18D2"/>
    <w:rsid w:val="00AD1A65"/>
    <w:rsid w:val="00AD2B5B"/>
    <w:rsid w:val="00AD3814"/>
    <w:rsid w:val="00AD3AAD"/>
    <w:rsid w:val="00AD41F1"/>
    <w:rsid w:val="00AD4748"/>
    <w:rsid w:val="00AD48F5"/>
    <w:rsid w:val="00AD4BD2"/>
    <w:rsid w:val="00AD51B5"/>
    <w:rsid w:val="00AD542E"/>
    <w:rsid w:val="00AD5641"/>
    <w:rsid w:val="00AD5B32"/>
    <w:rsid w:val="00AD5CA3"/>
    <w:rsid w:val="00AD5E4A"/>
    <w:rsid w:val="00AD5EE3"/>
    <w:rsid w:val="00AD6437"/>
    <w:rsid w:val="00AD6578"/>
    <w:rsid w:val="00AD6912"/>
    <w:rsid w:val="00AD7583"/>
    <w:rsid w:val="00AD77BD"/>
    <w:rsid w:val="00AD7D72"/>
    <w:rsid w:val="00AD7F79"/>
    <w:rsid w:val="00AE007D"/>
    <w:rsid w:val="00AE0844"/>
    <w:rsid w:val="00AE16C6"/>
    <w:rsid w:val="00AE1A8C"/>
    <w:rsid w:val="00AE1F15"/>
    <w:rsid w:val="00AE275A"/>
    <w:rsid w:val="00AE2DC3"/>
    <w:rsid w:val="00AE3312"/>
    <w:rsid w:val="00AE4197"/>
    <w:rsid w:val="00AE42D5"/>
    <w:rsid w:val="00AE4C86"/>
    <w:rsid w:val="00AE51AA"/>
    <w:rsid w:val="00AE5626"/>
    <w:rsid w:val="00AE65A2"/>
    <w:rsid w:val="00AE69EC"/>
    <w:rsid w:val="00AE6B5A"/>
    <w:rsid w:val="00AE770B"/>
    <w:rsid w:val="00AE7BA8"/>
    <w:rsid w:val="00AF010C"/>
    <w:rsid w:val="00AF0E1A"/>
    <w:rsid w:val="00AF1AFE"/>
    <w:rsid w:val="00AF1DAD"/>
    <w:rsid w:val="00AF2006"/>
    <w:rsid w:val="00AF2421"/>
    <w:rsid w:val="00AF2893"/>
    <w:rsid w:val="00AF2C70"/>
    <w:rsid w:val="00AF2D00"/>
    <w:rsid w:val="00AF2F7C"/>
    <w:rsid w:val="00AF328C"/>
    <w:rsid w:val="00AF32BD"/>
    <w:rsid w:val="00AF333F"/>
    <w:rsid w:val="00AF39FD"/>
    <w:rsid w:val="00AF3A0D"/>
    <w:rsid w:val="00AF3D45"/>
    <w:rsid w:val="00AF42D2"/>
    <w:rsid w:val="00AF436A"/>
    <w:rsid w:val="00AF48A0"/>
    <w:rsid w:val="00AF5695"/>
    <w:rsid w:val="00AF61FB"/>
    <w:rsid w:val="00AF68F0"/>
    <w:rsid w:val="00AF7CC2"/>
    <w:rsid w:val="00AF7CE8"/>
    <w:rsid w:val="00B00125"/>
    <w:rsid w:val="00B0123C"/>
    <w:rsid w:val="00B01778"/>
    <w:rsid w:val="00B017D4"/>
    <w:rsid w:val="00B01BC0"/>
    <w:rsid w:val="00B020C9"/>
    <w:rsid w:val="00B02CF6"/>
    <w:rsid w:val="00B03962"/>
    <w:rsid w:val="00B04668"/>
    <w:rsid w:val="00B04E35"/>
    <w:rsid w:val="00B051B5"/>
    <w:rsid w:val="00B05686"/>
    <w:rsid w:val="00B056FD"/>
    <w:rsid w:val="00B05A97"/>
    <w:rsid w:val="00B06302"/>
    <w:rsid w:val="00B067C6"/>
    <w:rsid w:val="00B0738D"/>
    <w:rsid w:val="00B1095A"/>
    <w:rsid w:val="00B10F12"/>
    <w:rsid w:val="00B116B8"/>
    <w:rsid w:val="00B12599"/>
    <w:rsid w:val="00B12A47"/>
    <w:rsid w:val="00B130C3"/>
    <w:rsid w:val="00B1341D"/>
    <w:rsid w:val="00B139B5"/>
    <w:rsid w:val="00B141B8"/>
    <w:rsid w:val="00B15956"/>
    <w:rsid w:val="00B15E4B"/>
    <w:rsid w:val="00B201DD"/>
    <w:rsid w:val="00B21296"/>
    <w:rsid w:val="00B216A5"/>
    <w:rsid w:val="00B21C47"/>
    <w:rsid w:val="00B21C50"/>
    <w:rsid w:val="00B21CF8"/>
    <w:rsid w:val="00B21E90"/>
    <w:rsid w:val="00B224DC"/>
    <w:rsid w:val="00B22609"/>
    <w:rsid w:val="00B22812"/>
    <w:rsid w:val="00B2282D"/>
    <w:rsid w:val="00B22905"/>
    <w:rsid w:val="00B22AC2"/>
    <w:rsid w:val="00B22D57"/>
    <w:rsid w:val="00B2351A"/>
    <w:rsid w:val="00B247DF"/>
    <w:rsid w:val="00B24DA7"/>
    <w:rsid w:val="00B24F52"/>
    <w:rsid w:val="00B252AA"/>
    <w:rsid w:val="00B255B2"/>
    <w:rsid w:val="00B25877"/>
    <w:rsid w:val="00B25EEA"/>
    <w:rsid w:val="00B27088"/>
    <w:rsid w:val="00B27214"/>
    <w:rsid w:val="00B27671"/>
    <w:rsid w:val="00B27C95"/>
    <w:rsid w:val="00B30A3E"/>
    <w:rsid w:val="00B31F49"/>
    <w:rsid w:val="00B3272C"/>
    <w:rsid w:val="00B33426"/>
    <w:rsid w:val="00B33C44"/>
    <w:rsid w:val="00B34F3E"/>
    <w:rsid w:val="00B35CD5"/>
    <w:rsid w:val="00B370E4"/>
    <w:rsid w:val="00B37570"/>
    <w:rsid w:val="00B37A53"/>
    <w:rsid w:val="00B40519"/>
    <w:rsid w:val="00B406AD"/>
    <w:rsid w:val="00B407EC"/>
    <w:rsid w:val="00B41724"/>
    <w:rsid w:val="00B41C5F"/>
    <w:rsid w:val="00B41D0F"/>
    <w:rsid w:val="00B4295F"/>
    <w:rsid w:val="00B4354A"/>
    <w:rsid w:val="00B44217"/>
    <w:rsid w:val="00B44F48"/>
    <w:rsid w:val="00B45144"/>
    <w:rsid w:val="00B457CF"/>
    <w:rsid w:val="00B45A11"/>
    <w:rsid w:val="00B45AA1"/>
    <w:rsid w:val="00B462A6"/>
    <w:rsid w:val="00B467E3"/>
    <w:rsid w:val="00B47093"/>
    <w:rsid w:val="00B47458"/>
    <w:rsid w:val="00B47B2A"/>
    <w:rsid w:val="00B47F75"/>
    <w:rsid w:val="00B5018D"/>
    <w:rsid w:val="00B50B4A"/>
    <w:rsid w:val="00B51231"/>
    <w:rsid w:val="00B5195C"/>
    <w:rsid w:val="00B52458"/>
    <w:rsid w:val="00B529E1"/>
    <w:rsid w:val="00B52C6E"/>
    <w:rsid w:val="00B52E6C"/>
    <w:rsid w:val="00B533E2"/>
    <w:rsid w:val="00B537DD"/>
    <w:rsid w:val="00B545BF"/>
    <w:rsid w:val="00B54926"/>
    <w:rsid w:val="00B553FB"/>
    <w:rsid w:val="00B55DE2"/>
    <w:rsid w:val="00B561EE"/>
    <w:rsid w:val="00B57058"/>
    <w:rsid w:val="00B57411"/>
    <w:rsid w:val="00B60325"/>
    <w:rsid w:val="00B611F0"/>
    <w:rsid w:val="00B61F79"/>
    <w:rsid w:val="00B63010"/>
    <w:rsid w:val="00B64741"/>
    <w:rsid w:val="00B64C48"/>
    <w:rsid w:val="00B6504B"/>
    <w:rsid w:val="00B65B8A"/>
    <w:rsid w:val="00B6635A"/>
    <w:rsid w:val="00B6687A"/>
    <w:rsid w:val="00B66FCE"/>
    <w:rsid w:val="00B714C0"/>
    <w:rsid w:val="00B71606"/>
    <w:rsid w:val="00B72063"/>
    <w:rsid w:val="00B7216F"/>
    <w:rsid w:val="00B72395"/>
    <w:rsid w:val="00B72EDF"/>
    <w:rsid w:val="00B73D23"/>
    <w:rsid w:val="00B758AA"/>
    <w:rsid w:val="00B76980"/>
    <w:rsid w:val="00B76BBB"/>
    <w:rsid w:val="00B76EB9"/>
    <w:rsid w:val="00B77047"/>
    <w:rsid w:val="00B804D7"/>
    <w:rsid w:val="00B80E95"/>
    <w:rsid w:val="00B80F63"/>
    <w:rsid w:val="00B812A0"/>
    <w:rsid w:val="00B81373"/>
    <w:rsid w:val="00B824E9"/>
    <w:rsid w:val="00B829C8"/>
    <w:rsid w:val="00B831F5"/>
    <w:rsid w:val="00B8414D"/>
    <w:rsid w:val="00B841E8"/>
    <w:rsid w:val="00B847F7"/>
    <w:rsid w:val="00B849EB"/>
    <w:rsid w:val="00B84D40"/>
    <w:rsid w:val="00B84E55"/>
    <w:rsid w:val="00B85ABA"/>
    <w:rsid w:val="00B8767D"/>
    <w:rsid w:val="00B902FF"/>
    <w:rsid w:val="00B9034A"/>
    <w:rsid w:val="00B90A9A"/>
    <w:rsid w:val="00B90B27"/>
    <w:rsid w:val="00B90C5E"/>
    <w:rsid w:val="00B90E9A"/>
    <w:rsid w:val="00B911FF"/>
    <w:rsid w:val="00B91983"/>
    <w:rsid w:val="00B9199B"/>
    <w:rsid w:val="00B91A2B"/>
    <w:rsid w:val="00B923E8"/>
    <w:rsid w:val="00B93504"/>
    <w:rsid w:val="00B93745"/>
    <w:rsid w:val="00B93B1C"/>
    <w:rsid w:val="00B94346"/>
    <w:rsid w:val="00B948E7"/>
    <w:rsid w:val="00B94EAF"/>
    <w:rsid w:val="00B955B1"/>
    <w:rsid w:val="00B96062"/>
    <w:rsid w:val="00B96A7F"/>
    <w:rsid w:val="00B96E0A"/>
    <w:rsid w:val="00B97242"/>
    <w:rsid w:val="00BA0068"/>
    <w:rsid w:val="00BA02F4"/>
    <w:rsid w:val="00BA0308"/>
    <w:rsid w:val="00BA0C79"/>
    <w:rsid w:val="00BA10B0"/>
    <w:rsid w:val="00BA149D"/>
    <w:rsid w:val="00BA14D9"/>
    <w:rsid w:val="00BA1C84"/>
    <w:rsid w:val="00BA1D73"/>
    <w:rsid w:val="00BA2596"/>
    <w:rsid w:val="00BA2662"/>
    <w:rsid w:val="00BA2A09"/>
    <w:rsid w:val="00BA2F06"/>
    <w:rsid w:val="00BA331F"/>
    <w:rsid w:val="00BA4612"/>
    <w:rsid w:val="00BA471B"/>
    <w:rsid w:val="00BA47AB"/>
    <w:rsid w:val="00BA5538"/>
    <w:rsid w:val="00BA58A4"/>
    <w:rsid w:val="00BA5B1E"/>
    <w:rsid w:val="00BA7F17"/>
    <w:rsid w:val="00BB0023"/>
    <w:rsid w:val="00BB04CD"/>
    <w:rsid w:val="00BB0E40"/>
    <w:rsid w:val="00BB1874"/>
    <w:rsid w:val="00BB1997"/>
    <w:rsid w:val="00BB1EB8"/>
    <w:rsid w:val="00BB22C0"/>
    <w:rsid w:val="00BB2979"/>
    <w:rsid w:val="00BB36D9"/>
    <w:rsid w:val="00BB456C"/>
    <w:rsid w:val="00BB4579"/>
    <w:rsid w:val="00BB4786"/>
    <w:rsid w:val="00BB65E7"/>
    <w:rsid w:val="00BB76BF"/>
    <w:rsid w:val="00BC0812"/>
    <w:rsid w:val="00BC17DA"/>
    <w:rsid w:val="00BC24D3"/>
    <w:rsid w:val="00BC29A0"/>
    <w:rsid w:val="00BC2BE3"/>
    <w:rsid w:val="00BC3067"/>
    <w:rsid w:val="00BC3931"/>
    <w:rsid w:val="00BC3996"/>
    <w:rsid w:val="00BC39A7"/>
    <w:rsid w:val="00BC4870"/>
    <w:rsid w:val="00BC4BFB"/>
    <w:rsid w:val="00BC695E"/>
    <w:rsid w:val="00BC6AB4"/>
    <w:rsid w:val="00BC71CD"/>
    <w:rsid w:val="00BC7BFF"/>
    <w:rsid w:val="00BC7D41"/>
    <w:rsid w:val="00BD0555"/>
    <w:rsid w:val="00BD0A2C"/>
    <w:rsid w:val="00BD1045"/>
    <w:rsid w:val="00BD21CD"/>
    <w:rsid w:val="00BD34F2"/>
    <w:rsid w:val="00BD37F5"/>
    <w:rsid w:val="00BD4945"/>
    <w:rsid w:val="00BD4C89"/>
    <w:rsid w:val="00BD4CB3"/>
    <w:rsid w:val="00BD561E"/>
    <w:rsid w:val="00BD6125"/>
    <w:rsid w:val="00BD6F9E"/>
    <w:rsid w:val="00BD76BA"/>
    <w:rsid w:val="00BD76CF"/>
    <w:rsid w:val="00BD7FC7"/>
    <w:rsid w:val="00BE025E"/>
    <w:rsid w:val="00BE0AEE"/>
    <w:rsid w:val="00BE0EFF"/>
    <w:rsid w:val="00BE0F16"/>
    <w:rsid w:val="00BE1457"/>
    <w:rsid w:val="00BE165C"/>
    <w:rsid w:val="00BE166F"/>
    <w:rsid w:val="00BE194C"/>
    <w:rsid w:val="00BE20AE"/>
    <w:rsid w:val="00BE222C"/>
    <w:rsid w:val="00BE3748"/>
    <w:rsid w:val="00BE3C19"/>
    <w:rsid w:val="00BE4324"/>
    <w:rsid w:val="00BE4BEA"/>
    <w:rsid w:val="00BE5A86"/>
    <w:rsid w:val="00BE66F3"/>
    <w:rsid w:val="00BE6DB5"/>
    <w:rsid w:val="00BE7674"/>
    <w:rsid w:val="00BE7C48"/>
    <w:rsid w:val="00BE7ECF"/>
    <w:rsid w:val="00BF1ADF"/>
    <w:rsid w:val="00BF1C7D"/>
    <w:rsid w:val="00BF2EEA"/>
    <w:rsid w:val="00BF355B"/>
    <w:rsid w:val="00BF42B8"/>
    <w:rsid w:val="00BF44A5"/>
    <w:rsid w:val="00BF463E"/>
    <w:rsid w:val="00BF4845"/>
    <w:rsid w:val="00BF572C"/>
    <w:rsid w:val="00BF6303"/>
    <w:rsid w:val="00BF6715"/>
    <w:rsid w:val="00BF702C"/>
    <w:rsid w:val="00BF7130"/>
    <w:rsid w:val="00BF7ACD"/>
    <w:rsid w:val="00C0288E"/>
    <w:rsid w:val="00C02BDA"/>
    <w:rsid w:val="00C03B22"/>
    <w:rsid w:val="00C03E24"/>
    <w:rsid w:val="00C04978"/>
    <w:rsid w:val="00C04CE3"/>
    <w:rsid w:val="00C0515A"/>
    <w:rsid w:val="00C051C9"/>
    <w:rsid w:val="00C059AA"/>
    <w:rsid w:val="00C0743B"/>
    <w:rsid w:val="00C07549"/>
    <w:rsid w:val="00C0758E"/>
    <w:rsid w:val="00C1078F"/>
    <w:rsid w:val="00C10EB4"/>
    <w:rsid w:val="00C11881"/>
    <w:rsid w:val="00C11CB8"/>
    <w:rsid w:val="00C11FD0"/>
    <w:rsid w:val="00C12191"/>
    <w:rsid w:val="00C12294"/>
    <w:rsid w:val="00C1309A"/>
    <w:rsid w:val="00C1332E"/>
    <w:rsid w:val="00C1358E"/>
    <w:rsid w:val="00C13F9D"/>
    <w:rsid w:val="00C147BB"/>
    <w:rsid w:val="00C15169"/>
    <w:rsid w:val="00C15CA1"/>
    <w:rsid w:val="00C15E73"/>
    <w:rsid w:val="00C169F0"/>
    <w:rsid w:val="00C20137"/>
    <w:rsid w:val="00C201E9"/>
    <w:rsid w:val="00C205BA"/>
    <w:rsid w:val="00C22442"/>
    <w:rsid w:val="00C22B25"/>
    <w:rsid w:val="00C23022"/>
    <w:rsid w:val="00C25588"/>
    <w:rsid w:val="00C25D5F"/>
    <w:rsid w:val="00C26C95"/>
    <w:rsid w:val="00C27F09"/>
    <w:rsid w:val="00C30E47"/>
    <w:rsid w:val="00C311F4"/>
    <w:rsid w:val="00C31890"/>
    <w:rsid w:val="00C31E16"/>
    <w:rsid w:val="00C32057"/>
    <w:rsid w:val="00C33137"/>
    <w:rsid w:val="00C33444"/>
    <w:rsid w:val="00C334D7"/>
    <w:rsid w:val="00C33A78"/>
    <w:rsid w:val="00C343E5"/>
    <w:rsid w:val="00C34932"/>
    <w:rsid w:val="00C35E2F"/>
    <w:rsid w:val="00C3690F"/>
    <w:rsid w:val="00C36A04"/>
    <w:rsid w:val="00C36D4C"/>
    <w:rsid w:val="00C372CC"/>
    <w:rsid w:val="00C37C2B"/>
    <w:rsid w:val="00C40A0A"/>
    <w:rsid w:val="00C40B28"/>
    <w:rsid w:val="00C4101B"/>
    <w:rsid w:val="00C41363"/>
    <w:rsid w:val="00C41EC5"/>
    <w:rsid w:val="00C42DEA"/>
    <w:rsid w:val="00C430C0"/>
    <w:rsid w:val="00C4324A"/>
    <w:rsid w:val="00C435C0"/>
    <w:rsid w:val="00C43B89"/>
    <w:rsid w:val="00C448EB"/>
    <w:rsid w:val="00C45E05"/>
    <w:rsid w:val="00C45E53"/>
    <w:rsid w:val="00C46102"/>
    <w:rsid w:val="00C466F7"/>
    <w:rsid w:val="00C4695D"/>
    <w:rsid w:val="00C46CE4"/>
    <w:rsid w:val="00C46DF7"/>
    <w:rsid w:val="00C501EA"/>
    <w:rsid w:val="00C50230"/>
    <w:rsid w:val="00C5052D"/>
    <w:rsid w:val="00C50BB4"/>
    <w:rsid w:val="00C50BF3"/>
    <w:rsid w:val="00C51031"/>
    <w:rsid w:val="00C51FBB"/>
    <w:rsid w:val="00C523E5"/>
    <w:rsid w:val="00C526B3"/>
    <w:rsid w:val="00C52EF8"/>
    <w:rsid w:val="00C53BDE"/>
    <w:rsid w:val="00C5509F"/>
    <w:rsid w:val="00C570EE"/>
    <w:rsid w:val="00C57423"/>
    <w:rsid w:val="00C5747B"/>
    <w:rsid w:val="00C577E4"/>
    <w:rsid w:val="00C57BB7"/>
    <w:rsid w:val="00C60336"/>
    <w:rsid w:val="00C6057A"/>
    <w:rsid w:val="00C60BB8"/>
    <w:rsid w:val="00C60C24"/>
    <w:rsid w:val="00C6130E"/>
    <w:rsid w:val="00C615E5"/>
    <w:rsid w:val="00C61728"/>
    <w:rsid w:val="00C6185C"/>
    <w:rsid w:val="00C619AC"/>
    <w:rsid w:val="00C61A78"/>
    <w:rsid w:val="00C62272"/>
    <w:rsid w:val="00C622AA"/>
    <w:rsid w:val="00C62C65"/>
    <w:rsid w:val="00C6317F"/>
    <w:rsid w:val="00C63370"/>
    <w:rsid w:val="00C63D67"/>
    <w:rsid w:val="00C63F95"/>
    <w:rsid w:val="00C64C42"/>
    <w:rsid w:val="00C64E70"/>
    <w:rsid w:val="00C653D6"/>
    <w:rsid w:val="00C65B52"/>
    <w:rsid w:val="00C66CD1"/>
    <w:rsid w:val="00C6716E"/>
    <w:rsid w:val="00C6753F"/>
    <w:rsid w:val="00C67D3D"/>
    <w:rsid w:val="00C701BB"/>
    <w:rsid w:val="00C70371"/>
    <w:rsid w:val="00C71745"/>
    <w:rsid w:val="00C7276B"/>
    <w:rsid w:val="00C72A69"/>
    <w:rsid w:val="00C72C1A"/>
    <w:rsid w:val="00C72C50"/>
    <w:rsid w:val="00C72C87"/>
    <w:rsid w:val="00C739C4"/>
    <w:rsid w:val="00C73F1B"/>
    <w:rsid w:val="00C73FD2"/>
    <w:rsid w:val="00C74ADC"/>
    <w:rsid w:val="00C74E17"/>
    <w:rsid w:val="00C7535D"/>
    <w:rsid w:val="00C75936"/>
    <w:rsid w:val="00C75DC9"/>
    <w:rsid w:val="00C75F63"/>
    <w:rsid w:val="00C75F75"/>
    <w:rsid w:val="00C76E2B"/>
    <w:rsid w:val="00C76FDA"/>
    <w:rsid w:val="00C774C0"/>
    <w:rsid w:val="00C7787E"/>
    <w:rsid w:val="00C77CF5"/>
    <w:rsid w:val="00C77F54"/>
    <w:rsid w:val="00C801C3"/>
    <w:rsid w:val="00C80716"/>
    <w:rsid w:val="00C81D2E"/>
    <w:rsid w:val="00C82224"/>
    <w:rsid w:val="00C82590"/>
    <w:rsid w:val="00C825C9"/>
    <w:rsid w:val="00C8286B"/>
    <w:rsid w:val="00C82FB2"/>
    <w:rsid w:val="00C84132"/>
    <w:rsid w:val="00C844FC"/>
    <w:rsid w:val="00C85231"/>
    <w:rsid w:val="00C8554A"/>
    <w:rsid w:val="00C85624"/>
    <w:rsid w:val="00C86520"/>
    <w:rsid w:val="00C86B35"/>
    <w:rsid w:val="00C86F08"/>
    <w:rsid w:val="00C87393"/>
    <w:rsid w:val="00C87537"/>
    <w:rsid w:val="00C87950"/>
    <w:rsid w:val="00C87B23"/>
    <w:rsid w:val="00C87DC1"/>
    <w:rsid w:val="00C9083F"/>
    <w:rsid w:val="00C91692"/>
    <w:rsid w:val="00C91C62"/>
    <w:rsid w:val="00C92E08"/>
    <w:rsid w:val="00C93471"/>
    <w:rsid w:val="00C93847"/>
    <w:rsid w:val="00C9449B"/>
    <w:rsid w:val="00C94515"/>
    <w:rsid w:val="00C9482A"/>
    <w:rsid w:val="00C950E7"/>
    <w:rsid w:val="00C95227"/>
    <w:rsid w:val="00C9524A"/>
    <w:rsid w:val="00C95D7D"/>
    <w:rsid w:val="00C95E6A"/>
    <w:rsid w:val="00C96CD2"/>
    <w:rsid w:val="00C97A7D"/>
    <w:rsid w:val="00C97D49"/>
    <w:rsid w:val="00CA054F"/>
    <w:rsid w:val="00CA0694"/>
    <w:rsid w:val="00CA0772"/>
    <w:rsid w:val="00CA0C8C"/>
    <w:rsid w:val="00CA1E3A"/>
    <w:rsid w:val="00CA1EF9"/>
    <w:rsid w:val="00CA2033"/>
    <w:rsid w:val="00CA3B4E"/>
    <w:rsid w:val="00CA4E1A"/>
    <w:rsid w:val="00CA4F07"/>
    <w:rsid w:val="00CA56A3"/>
    <w:rsid w:val="00CA5EDA"/>
    <w:rsid w:val="00CA664B"/>
    <w:rsid w:val="00CA66B4"/>
    <w:rsid w:val="00CA7298"/>
    <w:rsid w:val="00CB049E"/>
    <w:rsid w:val="00CB04E3"/>
    <w:rsid w:val="00CB068D"/>
    <w:rsid w:val="00CB076E"/>
    <w:rsid w:val="00CB0D06"/>
    <w:rsid w:val="00CB1820"/>
    <w:rsid w:val="00CB1B7D"/>
    <w:rsid w:val="00CB224F"/>
    <w:rsid w:val="00CB23B5"/>
    <w:rsid w:val="00CB2B75"/>
    <w:rsid w:val="00CB3D3C"/>
    <w:rsid w:val="00CB5E93"/>
    <w:rsid w:val="00CB60BD"/>
    <w:rsid w:val="00CB618F"/>
    <w:rsid w:val="00CB6221"/>
    <w:rsid w:val="00CB722F"/>
    <w:rsid w:val="00CC02EA"/>
    <w:rsid w:val="00CC1166"/>
    <w:rsid w:val="00CC2287"/>
    <w:rsid w:val="00CC2422"/>
    <w:rsid w:val="00CC2552"/>
    <w:rsid w:val="00CC2F87"/>
    <w:rsid w:val="00CC38B0"/>
    <w:rsid w:val="00CC5578"/>
    <w:rsid w:val="00CC5634"/>
    <w:rsid w:val="00CC5BF2"/>
    <w:rsid w:val="00CC68BC"/>
    <w:rsid w:val="00CC79B9"/>
    <w:rsid w:val="00CD0060"/>
    <w:rsid w:val="00CD0601"/>
    <w:rsid w:val="00CD1DE7"/>
    <w:rsid w:val="00CD2E7A"/>
    <w:rsid w:val="00CD3E26"/>
    <w:rsid w:val="00CD4256"/>
    <w:rsid w:val="00CD4968"/>
    <w:rsid w:val="00CD4A67"/>
    <w:rsid w:val="00CD4CB7"/>
    <w:rsid w:val="00CD4F87"/>
    <w:rsid w:val="00CD5D07"/>
    <w:rsid w:val="00CD5EBD"/>
    <w:rsid w:val="00CD6339"/>
    <w:rsid w:val="00CD77FB"/>
    <w:rsid w:val="00CD7C35"/>
    <w:rsid w:val="00CD7F21"/>
    <w:rsid w:val="00CE0262"/>
    <w:rsid w:val="00CE03FA"/>
    <w:rsid w:val="00CE08C7"/>
    <w:rsid w:val="00CE08C8"/>
    <w:rsid w:val="00CE139E"/>
    <w:rsid w:val="00CE1860"/>
    <w:rsid w:val="00CE1950"/>
    <w:rsid w:val="00CE1A2F"/>
    <w:rsid w:val="00CE1A87"/>
    <w:rsid w:val="00CE2059"/>
    <w:rsid w:val="00CE26F5"/>
    <w:rsid w:val="00CE2887"/>
    <w:rsid w:val="00CE2BA2"/>
    <w:rsid w:val="00CE3135"/>
    <w:rsid w:val="00CE33D8"/>
    <w:rsid w:val="00CE433E"/>
    <w:rsid w:val="00CE47B7"/>
    <w:rsid w:val="00CE68CF"/>
    <w:rsid w:val="00CE7077"/>
    <w:rsid w:val="00CE776E"/>
    <w:rsid w:val="00CE77A9"/>
    <w:rsid w:val="00CF039C"/>
    <w:rsid w:val="00CF08B4"/>
    <w:rsid w:val="00CF101A"/>
    <w:rsid w:val="00CF2146"/>
    <w:rsid w:val="00CF24EA"/>
    <w:rsid w:val="00CF260B"/>
    <w:rsid w:val="00CF2B0B"/>
    <w:rsid w:val="00CF2FE9"/>
    <w:rsid w:val="00CF33EF"/>
    <w:rsid w:val="00CF4C12"/>
    <w:rsid w:val="00CF50EF"/>
    <w:rsid w:val="00CF595A"/>
    <w:rsid w:val="00CF70DB"/>
    <w:rsid w:val="00CF797A"/>
    <w:rsid w:val="00D00E61"/>
    <w:rsid w:val="00D01507"/>
    <w:rsid w:val="00D017AB"/>
    <w:rsid w:val="00D028F2"/>
    <w:rsid w:val="00D035E6"/>
    <w:rsid w:val="00D03F7B"/>
    <w:rsid w:val="00D043CD"/>
    <w:rsid w:val="00D04571"/>
    <w:rsid w:val="00D05298"/>
    <w:rsid w:val="00D05868"/>
    <w:rsid w:val="00D06536"/>
    <w:rsid w:val="00D06A9C"/>
    <w:rsid w:val="00D101F0"/>
    <w:rsid w:val="00D1050B"/>
    <w:rsid w:val="00D10DE7"/>
    <w:rsid w:val="00D10F5C"/>
    <w:rsid w:val="00D12019"/>
    <w:rsid w:val="00D1224D"/>
    <w:rsid w:val="00D14176"/>
    <w:rsid w:val="00D14529"/>
    <w:rsid w:val="00D14631"/>
    <w:rsid w:val="00D14701"/>
    <w:rsid w:val="00D149E8"/>
    <w:rsid w:val="00D1501B"/>
    <w:rsid w:val="00D15F37"/>
    <w:rsid w:val="00D16401"/>
    <w:rsid w:val="00D17C61"/>
    <w:rsid w:val="00D17D6C"/>
    <w:rsid w:val="00D17DDB"/>
    <w:rsid w:val="00D20121"/>
    <w:rsid w:val="00D2079C"/>
    <w:rsid w:val="00D21148"/>
    <w:rsid w:val="00D21909"/>
    <w:rsid w:val="00D21FB3"/>
    <w:rsid w:val="00D22010"/>
    <w:rsid w:val="00D2239A"/>
    <w:rsid w:val="00D226EE"/>
    <w:rsid w:val="00D236B8"/>
    <w:rsid w:val="00D236CF"/>
    <w:rsid w:val="00D238E5"/>
    <w:rsid w:val="00D2401F"/>
    <w:rsid w:val="00D24659"/>
    <w:rsid w:val="00D2535E"/>
    <w:rsid w:val="00D25FDA"/>
    <w:rsid w:val="00D277D9"/>
    <w:rsid w:val="00D30255"/>
    <w:rsid w:val="00D30895"/>
    <w:rsid w:val="00D3092F"/>
    <w:rsid w:val="00D30C60"/>
    <w:rsid w:val="00D30EED"/>
    <w:rsid w:val="00D30F13"/>
    <w:rsid w:val="00D311F4"/>
    <w:rsid w:val="00D31489"/>
    <w:rsid w:val="00D31573"/>
    <w:rsid w:val="00D32C0F"/>
    <w:rsid w:val="00D32E8B"/>
    <w:rsid w:val="00D3362C"/>
    <w:rsid w:val="00D33D92"/>
    <w:rsid w:val="00D33FE1"/>
    <w:rsid w:val="00D347D6"/>
    <w:rsid w:val="00D34B99"/>
    <w:rsid w:val="00D34C18"/>
    <w:rsid w:val="00D34EEA"/>
    <w:rsid w:val="00D3525C"/>
    <w:rsid w:val="00D356BD"/>
    <w:rsid w:val="00D35F32"/>
    <w:rsid w:val="00D36181"/>
    <w:rsid w:val="00D36D4F"/>
    <w:rsid w:val="00D376EA"/>
    <w:rsid w:val="00D4018E"/>
    <w:rsid w:val="00D405DA"/>
    <w:rsid w:val="00D40D26"/>
    <w:rsid w:val="00D41014"/>
    <w:rsid w:val="00D42052"/>
    <w:rsid w:val="00D434C9"/>
    <w:rsid w:val="00D4354A"/>
    <w:rsid w:val="00D43BA2"/>
    <w:rsid w:val="00D47D24"/>
    <w:rsid w:val="00D5062E"/>
    <w:rsid w:val="00D50E62"/>
    <w:rsid w:val="00D5101C"/>
    <w:rsid w:val="00D5205A"/>
    <w:rsid w:val="00D52C48"/>
    <w:rsid w:val="00D52DE3"/>
    <w:rsid w:val="00D53141"/>
    <w:rsid w:val="00D53367"/>
    <w:rsid w:val="00D5374E"/>
    <w:rsid w:val="00D564FA"/>
    <w:rsid w:val="00D567C2"/>
    <w:rsid w:val="00D56B61"/>
    <w:rsid w:val="00D57052"/>
    <w:rsid w:val="00D60107"/>
    <w:rsid w:val="00D61383"/>
    <w:rsid w:val="00D61B08"/>
    <w:rsid w:val="00D622A6"/>
    <w:rsid w:val="00D63B63"/>
    <w:rsid w:val="00D64253"/>
    <w:rsid w:val="00D64F9C"/>
    <w:rsid w:val="00D6551D"/>
    <w:rsid w:val="00D66C3F"/>
    <w:rsid w:val="00D70D73"/>
    <w:rsid w:val="00D70F06"/>
    <w:rsid w:val="00D721CB"/>
    <w:rsid w:val="00D72A0B"/>
    <w:rsid w:val="00D72D03"/>
    <w:rsid w:val="00D73077"/>
    <w:rsid w:val="00D73104"/>
    <w:rsid w:val="00D7350B"/>
    <w:rsid w:val="00D74719"/>
    <w:rsid w:val="00D75273"/>
    <w:rsid w:val="00D759BB"/>
    <w:rsid w:val="00D75CBE"/>
    <w:rsid w:val="00D77160"/>
    <w:rsid w:val="00D77BA2"/>
    <w:rsid w:val="00D77D96"/>
    <w:rsid w:val="00D80057"/>
    <w:rsid w:val="00D8109D"/>
    <w:rsid w:val="00D8192D"/>
    <w:rsid w:val="00D81C2D"/>
    <w:rsid w:val="00D82B0D"/>
    <w:rsid w:val="00D82E0A"/>
    <w:rsid w:val="00D83FC9"/>
    <w:rsid w:val="00D843E9"/>
    <w:rsid w:val="00D84D51"/>
    <w:rsid w:val="00D850BE"/>
    <w:rsid w:val="00D853C8"/>
    <w:rsid w:val="00D85662"/>
    <w:rsid w:val="00D85ADA"/>
    <w:rsid w:val="00D85C13"/>
    <w:rsid w:val="00D8723B"/>
    <w:rsid w:val="00D90EBD"/>
    <w:rsid w:val="00D91028"/>
    <w:rsid w:val="00D91042"/>
    <w:rsid w:val="00D92104"/>
    <w:rsid w:val="00D92F86"/>
    <w:rsid w:val="00D93607"/>
    <w:rsid w:val="00D938F4"/>
    <w:rsid w:val="00D93C7B"/>
    <w:rsid w:val="00D93FF4"/>
    <w:rsid w:val="00D944B2"/>
    <w:rsid w:val="00D95035"/>
    <w:rsid w:val="00D9517F"/>
    <w:rsid w:val="00D9518B"/>
    <w:rsid w:val="00D9579E"/>
    <w:rsid w:val="00D96016"/>
    <w:rsid w:val="00D96075"/>
    <w:rsid w:val="00D96123"/>
    <w:rsid w:val="00D96BEF"/>
    <w:rsid w:val="00D96D1C"/>
    <w:rsid w:val="00D96DC3"/>
    <w:rsid w:val="00D975EB"/>
    <w:rsid w:val="00D97A62"/>
    <w:rsid w:val="00DA04FA"/>
    <w:rsid w:val="00DA09E5"/>
    <w:rsid w:val="00DA0DF4"/>
    <w:rsid w:val="00DA16E2"/>
    <w:rsid w:val="00DA26C1"/>
    <w:rsid w:val="00DA29ED"/>
    <w:rsid w:val="00DA2DEC"/>
    <w:rsid w:val="00DA35F2"/>
    <w:rsid w:val="00DA373C"/>
    <w:rsid w:val="00DA3D9E"/>
    <w:rsid w:val="00DA476D"/>
    <w:rsid w:val="00DA4A19"/>
    <w:rsid w:val="00DA4A97"/>
    <w:rsid w:val="00DA4C5C"/>
    <w:rsid w:val="00DA5C18"/>
    <w:rsid w:val="00DA633D"/>
    <w:rsid w:val="00DA6AD0"/>
    <w:rsid w:val="00DA6B0D"/>
    <w:rsid w:val="00DA6FEE"/>
    <w:rsid w:val="00DA7376"/>
    <w:rsid w:val="00DA766F"/>
    <w:rsid w:val="00DA7FED"/>
    <w:rsid w:val="00DB01E3"/>
    <w:rsid w:val="00DB03B0"/>
    <w:rsid w:val="00DB0D52"/>
    <w:rsid w:val="00DB11E7"/>
    <w:rsid w:val="00DB199B"/>
    <w:rsid w:val="00DB209A"/>
    <w:rsid w:val="00DB2E61"/>
    <w:rsid w:val="00DB3645"/>
    <w:rsid w:val="00DB41C4"/>
    <w:rsid w:val="00DB442F"/>
    <w:rsid w:val="00DB4F3D"/>
    <w:rsid w:val="00DB5752"/>
    <w:rsid w:val="00DB5A7B"/>
    <w:rsid w:val="00DB65D1"/>
    <w:rsid w:val="00DB685B"/>
    <w:rsid w:val="00DB7005"/>
    <w:rsid w:val="00DB74AA"/>
    <w:rsid w:val="00DC10E2"/>
    <w:rsid w:val="00DC1170"/>
    <w:rsid w:val="00DC183A"/>
    <w:rsid w:val="00DC3F51"/>
    <w:rsid w:val="00DC4268"/>
    <w:rsid w:val="00DC4BAA"/>
    <w:rsid w:val="00DC58E4"/>
    <w:rsid w:val="00DC5B19"/>
    <w:rsid w:val="00DC621F"/>
    <w:rsid w:val="00DC6D78"/>
    <w:rsid w:val="00DC6F84"/>
    <w:rsid w:val="00DC6FAB"/>
    <w:rsid w:val="00DC7646"/>
    <w:rsid w:val="00DC7AAD"/>
    <w:rsid w:val="00DD02A4"/>
    <w:rsid w:val="00DD1601"/>
    <w:rsid w:val="00DD1A5E"/>
    <w:rsid w:val="00DD1AA0"/>
    <w:rsid w:val="00DD26AE"/>
    <w:rsid w:val="00DD2C14"/>
    <w:rsid w:val="00DD3131"/>
    <w:rsid w:val="00DD3AE7"/>
    <w:rsid w:val="00DD3BD6"/>
    <w:rsid w:val="00DD3D1A"/>
    <w:rsid w:val="00DD411E"/>
    <w:rsid w:val="00DD53AC"/>
    <w:rsid w:val="00DD55DC"/>
    <w:rsid w:val="00DD585B"/>
    <w:rsid w:val="00DD59FC"/>
    <w:rsid w:val="00DD5DC8"/>
    <w:rsid w:val="00DD64F0"/>
    <w:rsid w:val="00DD65C2"/>
    <w:rsid w:val="00DD7014"/>
    <w:rsid w:val="00DD769D"/>
    <w:rsid w:val="00DD7BBB"/>
    <w:rsid w:val="00DD7D5B"/>
    <w:rsid w:val="00DE001E"/>
    <w:rsid w:val="00DE0264"/>
    <w:rsid w:val="00DE0B43"/>
    <w:rsid w:val="00DE137C"/>
    <w:rsid w:val="00DE1BF4"/>
    <w:rsid w:val="00DE311C"/>
    <w:rsid w:val="00DE4932"/>
    <w:rsid w:val="00DE49A8"/>
    <w:rsid w:val="00DE4FD4"/>
    <w:rsid w:val="00DE535E"/>
    <w:rsid w:val="00DE5574"/>
    <w:rsid w:val="00DE6414"/>
    <w:rsid w:val="00DE6690"/>
    <w:rsid w:val="00DF0A5B"/>
    <w:rsid w:val="00DF0FDC"/>
    <w:rsid w:val="00DF1EDD"/>
    <w:rsid w:val="00DF3D2F"/>
    <w:rsid w:val="00DF4018"/>
    <w:rsid w:val="00DF41E8"/>
    <w:rsid w:val="00DF47D8"/>
    <w:rsid w:val="00DF52F3"/>
    <w:rsid w:val="00DF57B8"/>
    <w:rsid w:val="00DF5C38"/>
    <w:rsid w:val="00DF5F7B"/>
    <w:rsid w:val="00DF625D"/>
    <w:rsid w:val="00DF6435"/>
    <w:rsid w:val="00DF72C9"/>
    <w:rsid w:val="00DF7355"/>
    <w:rsid w:val="00DF7988"/>
    <w:rsid w:val="00DF79D7"/>
    <w:rsid w:val="00DF7A7D"/>
    <w:rsid w:val="00E00B9D"/>
    <w:rsid w:val="00E0153F"/>
    <w:rsid w:val="00E016CB"/>
    <w:rsid w:val="00E01BAF"/>
    <w:rsid w:val="00E0228D"/>
    <w:rsid w:val="00E0252B"/>
    <w:rsid w:val="00E0270B"/>
    <w:rsid w:val="00E02982"/>
    <w:rsid w:val="00E035FD"/>
    <w:rsid w:val="00E0441A"/>
    <w:rsid w:val="00E04EAE"/>
    <w:rsid w:val="00E05761"/>
    <w:rsid w:val="00E0600B"/>
    <w:rsid w:val="00E06892"/>
    <w:rsid w:val="00E06B9B"/>
    <w:rsid w:val="00E0762C"/>
    <w:rsid w:val="00E07A9F"/>
    <w:rsid w:val="00E10102"/>
    <w:rsid w:val="00E10298"/>
    <w:rsid w:val="00E10EA4"/>
    <w:rsid w:val="00E11052"/>
    <w:rsid w:val="00E1331F"/>
    <w:rsid w:val="00E134C7"/>
    <w:rsid w:val="00E13803"/>
    <w:rsid w:val="00E142DA"/>
    <w:rsid w:val="00E14705"/>
    <w:rsid w:val="00E1480E"/>
    <w:rsid w:val="00E14A2E"/>
    <w:rsid w:val="00E155B1"/>
    <w:rsid w:val="00E1589E"/>
    <w:rsid w:val="00E15A30"/>
    <w:rsid w:val="00E15D4D"/>
    <w:rsid w:val="00E16356"/>
    <w:rsid w:val="00E166B8"/>
    <w:rsid w:val="00E1747F"/>
    <w:rsid w:val="00E17A3E"/>
    <w:rsid w:val="00E2075D"/>
    <w:rsid w:val="00E208A3"/>
    <w:rsid w:val="00E20C34"/>
    <w:rsid w:val="00E20CEC"/>
    <w:rsid w:val="00E211B7"/>
    <w:rsid w:val="00E21423"/>
    <w:rsid w:val="00E21829"/>
    <w:rsid w:val="00E22642"/>
    <w:rsid w:val="00E22690"/>
    <w:rsid w:val="00E226CA"/>
    <w:rsid w:val="00E22898"/>
    <w:rsid w:val="00E23021"/>
    <w:rsid w:val="00E23A8F"/>
    <w:rsid w:val="00E23C84"/>
    <w:rsid w:val="00E23D1A"/>
    <w:rsid w:val="00E25C58"/>
    <w:rsid w:val="00E25EED"/>
    <w:rsid w:val="00E26A6F"/>
    <w:rsid w:val="00E2710E"/>
    <w:rsid w:val="00E2733A"/>
    <w:rsid w:val="00E30C3D"/>
    <w:rsid w:val="00E311DF"/>
    <w:rsid w:val="00E3196A"/>
    <w:rsid w:val="00E32381"/>
    <w:rsid w:val="00E3335A"/>
    <w:rsid w:val="00E33522"/>
    <w:rsid w:val="00E33596"/>
    <w:rsid w:val="00E33A54"/>
    <w:rsid w:val="00E340A7"/>
    <w:rsid w:val="00E34467"/>
    <w:rsid w:val="00E344BE"/>
    <w:rsid w:val="00E347D5"/>
    <w:rsid w:val="00E34D3C"/>
    <w:rsid w:val="00E34D49"/>
    <w:rsid w:val="00E353F4"/>
    <w:rsid w:val="00E35685"/>
    <w:rsid w:val="00E359BE"/>
    <w:rsid w:val="00E35F69"/>
    <w:rsid w:val="00E36ADE"/>
    <w:rsid w:val="00E37C3D"/>
    <w:rsid w:val="00E37DA2"/>
    <w:rsid w:val="00E40B83"/>
    <w:rsid w:val="00E420BE"/>
    <w:rsid w:val="00E426F7"/>
    <w:rsid w:val="00E42A0A"/>
    <w:rsid w:val="00E42E41"/>
    <w:rsid w:val="00E43135"/>
    <w:rsid w:val="00E43AB2"/>
    <w:rsid w:val="00E4422D"/>
    <w:rsid w:val="00E44FD5"/>
    <w:rsid w:val="00E45AF3"/>
    <w:rsid w:val="00E45C73"/>
    <w:rsid w:val="00E45EEC"/>
    <w:rsid w:val="00E46377"/>
    <w:rsid w:val="00E507A4"/>
    <w:rsid w:val="00E50827"/>
    <w:rsid w:val="00E51D18"/>
    <w:rsid w:val="00E51DAE"/>
    <w:rsid w:val="00E52637"/>
    <w:rsid w:val="00E536DE"/>
    <w:rsid w:val="00E5373C"/>
    <w:rsid w:val="00E54B8E"/>
    <w:rsid w:val="00E54D1A"/>
    <w:rsid w:val="00E57D8D"/>
    <w:rsid w:val="00E57DF6"/>
    <w:rsid w:val="00E6041F"/>
    <w:rsid w:val="00E60DA1"/>
    <w:rsid w:val="00E61653"/>
    <w:rsid w:val="00E616BD"/>
    <w:rsid w:val="00E61E1C"/>
    <w:rsid w:val="00E61EFC"/>
    <w:rsid w:val="00E62878"/>
    <w:rsid w:val="00E63889"/>
    <w:rsid w:val="00E63BA5"/>
    <w:rsid w:val="00E64257"/>
    <w:rsid w:val="00E65096"/>
    <w:rsid w:val="00E6521C"/>
    <w:rsid w:val="00E66790"/>
    <w:rsid w:val="00E66E88"/>
    <w:rsid w:val="00E70168"/>
    <w:rsid w:val="00E715C0"/>
    <w:rsid w:val="00E71BAB"/>
    <w:rsid w:val="00E721B8"/>
    <w:rsid w:val="00E7220D"/>
    <w:rsid w:val="00E72F27"/>
    <w:rsid w:val="00E73525"/>
    <w:rsid w:val="00E73866"/>
    <w:rsid w:val="00E73A65"/>
    <w:rsid w:val="00E73D81"/>
    <w:rsid w:val="00E73F2D"/>
    <w:rsid w:val="00E74CA5"/>
    <w:rsid w:val="00E74F7B"/>
    <w:rsid w:val="00E751F0"/>
    <w:rsid w:val="00E75382"/>
    <w:rsid w:val="00E75908"/>
    <w:rsid w:val="00E768B0"/>
    <w:rsid w:val="00E76D41"/>
    <w:rsid w:val="00E771A6"/>
    <w:rsid w:val="00E779DB"/>
    <w:rsid w:val="00E779FC"/>
    <w:rsid w:val="00E80099"/>
    <w:rsid w:val="00E80D96"/>
    <w:rsid w:val="00E81040"/>
    <w:rsid w:val="00E815FE"/>
    <w:rsid w:val="00E82BAC"/>
    <w:rsid w:val="00E82FAC"/>
    <w:rsid w:val="00E831E7"/>
    <w:rsid w:val="00E834FA"/>
    <w:rsid w:val="00E837F5"/>
    <w:rsid w:val="00E853AA"/>
    <w:rsid w:val="00E85518"/>
    <w:rsid w:val="00E85969"/>
    <w:rsid w:val="00E859C3"/>
    <w:rsid w:val="00E86E38"/>
    <w:rsid w:val="00E901C6"/>
    <w:rsid w:val="00E910B8"/>
    <w:rsid w:val="00E91C62"/>
    <w:rsid w:val="00E92367"/>
    <w:rsid w:val="00E929F0"/>
    <w:rsid w:val="00E92F7C"/>
    <w:rsid w:val="00E9328E"/>
    <w:rsid w:val="00E939CD"/>
    <w:rsid w:val="00E93BEA"/>
    <w:rsid w:val="00E93DE2"/>
    <w:rsid w:val="00E94EF2"/>
    <w:rsid w:val="00E95960"/>
    <w:rsid w:val="00E95F28"/>
    <w:rsid w:val="00E97808"/>
    <w:rsid w:val="00EA0883"/>
    <w:rsid w:val="00EA11C3"/>
    <w:rsid w:val="00EA2D45"/>
    <w:rsid w:val="00EA364D"/>
    <w:rsid w:val="00EA47CD"/>
    <w:rsid w:val="00EA4A5E"/>
    <w:rsid w:val="00EA6538"/>
    <w:rsid w:val="00EA7543"/>
    <w:rsid w:val="00EB0721"/>
    <w:rsid w:val="00EB155E"/>
    <w:rsid w:val="00EB1875"/>
    <w:rsid w:val="00EB1A21"/>
    <w:rsid w:val="00EB1F5C"/>
    <w:rsid w:val="00EB3757"/>
    <w:rsid w:val="00EB37F8"/>
    <w:rsid w:val="00EB4D09"/>
    <w:rsid w:val="00EB4FAB"/>
    <w:rsid w:val="00EB6026"/>
    <w:rsid w:val="00EB6216"/>
    <w:rsid w:val="00EB6233"/>
    <w:rsid w:val="00EB69D1"/>
    <w:rsid w:val="00EB6B05"/>
    <w:rsid w:val="00EB6C40"/>
    <w:rsid w:val="00EC0969"/>
    <w:rsid w:val="00EC0BD6"/>
    <w:rsid w:val="00EC0F3A"/>
    <w:rsid w:val="00EC13CC"/>
    <w:rsid w:val="00EC1B69"/>
    <w:rsid w:val="00EC20B5"/>
    <w:rsid w:val="00EC2907"/>
    <w:rsid w:val="00EC293B"/>
    <w:rsid w:val="00EC2979"/>
    <w:rsid w:val="00EC3D8B"/>
    <w:rsid w:val="00EC3E7F"/>
    <w:rsid w:val="00EC47E5"/>
    <w:rsid w:val="00EC4E20"/>
    <w:rsid w:val="00EC517F"/>
    <w:rsid w:val="00EC51B9"/>
    <w:rsid w:val="00EC5BE3"/>
    <w:rsid w:val="00EC5C14"/>
    <w:rsid w:val="00EC6B94"/>
    <w:rsid w:val="00EC7683"/>
    <w:rsid w:val="00EC7E86"/>
    <w:rsid w:val="00ED02F9"/>
    <w:rsid w:val="00ED0860"/>
    <w:rsid w:val="00ED1A1B"/>
    <w:rsid w:val="00ED1C5F"/>
    <w:rsid w:val="00ED1E6E"/>
    <w:rsid w:val="00ED1F60"/>
    <w:rsid w:val="00ED21CB"/>
    <w:rsid w:val="00ED28A2"/>
    <w:rsid w:val="00ED2AB1"/>
    <w:rsid w:val="00ED2F69"/>
    <w:rsid w:val="00ED3530"/>
    <w:rsid w:val="00ED38FE"/>
    <w:rsid w:val="00ED411F"/>
    <w:rsid w:val="00ED4519"/>
    <w:rsid w:val="00ED46D9"/>
    <w:rsid w:val="00ED494C"/>
    <w:rsid w:val="00ED4992"/>
    <w:rsid w:val="00ED4A6F"/>
    <w:rsid w:val="00ED55E5"/>
    <w:rsid w:val="00ED574E"/>
    <w:rsid w:val="00ED590D"/>
    <w:rsid w:val="00ED5C55"/>
    <w:rsid w:val="00ED61F5"/>
    <w:rsid w:val="00ED7394"/>
    <w:rsid w:val="00ED78E3"/>
    <w:rsid w:val="00EE0B0E"/>
    <w:rsid w:val="00EE0FF0"/>
    <w:rsid w:val="00EE1B74"/>
    <w:rsid w:val="00EE1FF2"/>
    <w:rsid w:val="00EE2A64"/>
    <w:rsid w:val="00EE3277"/>
    <w:rsid w:val="00EE331B"/>
    <w:rsid w:val="00EE38EC"/>
    <w:rsid w:val="00EE3ADC"/>
    <w:rsid w:val="00EE4981"/>
    <w:rsid w:val="00EE4E3F"/>
    <w:rsid w:val="00EE5381"/>
    <w:rsid w:val="00EE6214"/>
    <w:rsid w:val="00EE64E4"/>
    <w:rsid w:val="00EE754A"/>
    <w:rsid w:val="00EE7DCD"/>
    <w:rsid w:val="00EF0ADB"/>
    <w:rsid w:val="00EF16BA"/>
    <w:rsid w:val="00EF1C86"/>
    <w:rsid w:val="00EF201E"/>
    <w:rsid w:val="00EF2975"/>
    <w:rsid w:val="00EF2B6D"/>
    <w:rsid w:val="00EF2E79"/>
    <w:rsid w:val="00EF3077"/>
    <w:rsid w:val="00EF313D"/>
    <w:rsid w:val="00EF31A5"/>
    <w:rsid w:val="00EF3C69"/>
    <w:rsid w:val="00EF400B"/>
    <w:rsid w:val="00EF41CB"/>
    <w:rsid w:val="00EF5A91"/>
    <w:rsid w:val="00EF60CD"/>
    <w:rsid w:val="00EF6233"/>
    <w:rsid w:val="00EF66DE"/>
    <w:rsid w:val="00EF68D7"/>
    <w:rsid w:val="00EF68F0"/>
    <w:rsid w:val="00EF6951"/>
    <w:rsid w:val="00EF6977"/>
    <w:rsid w:val="00EF6AA7"/>
    <w:rsid w:val="00EF6D3D"/>
    <w:rsid w:val="00EF774A"/>
    <w:rsid w:val="00EF7ACF"/>
    <w:rsid w:val="00EF7D74"/>
    <w:rsid w:val="00F000CA"/>
    <w:rsid w:val="00F004C1"/>
    <w:rsid w:val="00F007D9"/>
    <w:rsid w:val="00F00A23"/>
    <w:rsid w:val="00F00CDF"/>
    <w:rsid w:val="00F013E4"/>
    <w:rsid w:val="00F01B89"/>
    <w:rsid w:val="00F01C29"/>
    <w:rsid w:val="00F01D0E"/>
    <w:rsid w:val="00F029C9"/>
    <w:rsid w:val="00F02B63"/>
    <w:rsid w:val="00F02FDA"/>
    <w:rsid w:val="00F03CA4"/>
    <w:rsid w:val="00F04A80"/>
    <w:rsid w:val="00F05B4D"/>
    <w:rsid w:val="00F06251"/>
    <w:rsid w:val="00F06EA7"/>
    <w:rsid w:val="00F10AC4"/>
    <w:rsid w:val="00F10C2C"/>
    <w:rsid w:val="00F10C93"/>
    <w:rsid w:val="00F10D8B"/>
    <w:rsid w:val="00F10ED4"/>
    <w:rsid w:val="00F11228"/>
    <w:rsid w:val="00F117BE"/>
    <w:rsid w:val="00F11D2D"/>
    <w:rsid w:val="00F13D07"/>
    <w:rsid w:val="00F14AB4"/>
    <w:rsid w:val="00F15658"/>
    <w:rsid w:val="00F15DAE"/>
    <w:rsid w:val="00F1658F"/>
    <w:rsid w:val="00F16839"/>
    <w:rsid w:val="00F16F4F"/>
    <w:rsid w:val="00F173EC"/>
    <w:rsid w:val="00F1792D"/>
    <w:rsid w:val="00F20DCE"/>
    <w:rsid w:val="00F21D54"/>
    <w:rsid w:val="00F22925"/>
    <w:rsid w:val="00F23C92"/>
    <w:rsid w:val="00F23CBC"/>
    <w:rsid w:val="00F23CF3"/>
    <w:rsid w:val="00F24020"/>
    <w:rsid w:val="00F24809"/>
    <w:rsid w:val="00F24E35"/>
    <w:rsid w:val="00F24F68"/>
    <w:rsid w:val="00F254B2"/>
    <w:rsid w:val="00F262DD"/>
    <w:rsid w:val="00F262E1"/>
    <w:rsid w:val="00F2632E"/>
    <w:rsid w:val="00F264E8"/>
    <w:rsid w:val="00F26A8F"/>
    <w:rsid w:val="00F277AA"/>
    <w:rsid w:val="00F27A73"/>
    <w:rsid w:val="00F27D1B"/>
    <w:rsid w:val="00F32AE9"/>
    <w:rsid w:val="00F330EF"/>
    <w:rsid w:val="00F33127"/>
    <w:rsid w:val="00F3475A"/>
    <w:rsid w:val="00F349FF"/>
    <w:rsid w:val="00F350A6"/>
    <w:rsid w:val="00F35750"/>
    <w:rsid w:val="00F36275"/>
    <w:rsid w:val="00F36356"/>
    <w:rsid w:val="00F36CE9"/>
    <w:rsid w:val="00F37803"/>
    <w:rsid w:val="00F37ADE"/>
    <w:rsid w:val="00F40B18"/>
    <w:rsid w:val="00F4112E"/>
    <w:rsid w:val="00F42390"/>
    <w:rsid w:val="00F4348A"/>
    <w:rsid w:val="00F4379E"/>
    <w:rsid w:val="00F44283"/>
    <w:rsid w:val="00F44491"/>
    <w:rsid w:val="00F44823"/>
    <w:rsid w:val="00F44A61"/>
    <w:rsid w:val="00F44DBF"/>
    <w:rsid w:val="00F45528"/>
    <w:rsid w:val="00F4563B"/>
    <w:rsid w:val="00F4582D"/>
    <w:rsid w:val="00F4599E"/>
    <w:rsid w:val="00F45A83"/>
    <w:rsid w:val="00F46AA3"/>
    <w:rsid w:val="00F46E71"/>
    <w:rsid w:val="00F50F1F"/>
    <w:rsid w:val="00F50F70"/>
    <w:rsid w:val="00F52A6A"/>
    <w:rsid w:val="00F52CD6"/>
    <w:rsid w:val="00F53379"/>
    <w:rsid w:val="00F53A47"/>
    <w:rsid w:val="00F53F48"/>
    <w:rsid w:val="00F5440C"/>
    <w:rsid w:val="00F546AB"/>
    <w:rsid w:val="00F54EAC"/>
    <w:rsid w:val="00F55158"/>
    <w:rsid w:val="00F555E5"/>
    <w:rsid w:val="00F55683"/>
    <w:rsid w:val="00F557EC"/>
    <w:rsid w:val="00F56276"/>
    <w:rsid w:val="00F56E8B"/>
    <w:rsid w:val="00F60BFE"/>
    <w:rsid w:val="00F60BFF"/>
    <w:rsid w:val="00F611F7"/>
    <w:rsid w:val="00F61368"/>
    <w:rsid w:val="00F618FB"/>
    <w:rsid w:val="00F620AC"/>
    <w:rsid w:val="00F62181"/>
    <w:rsid w:val="00F625D5"/>
    <w:rsid w:val="00F62CC2"/>
    <w:rsid w:val="00F63003"/>
    <w:rsid w:val="00F638B7"/>
    <w:rsid w:val="00F63988"/>
    <w:rsid w:val="00F63E98"/>
    <w:rsid w:val="00F64AB8"/>
    <w:rsid w:val="00F64BAB"/>
    <w:rsid w:val="00F64E59"/>
    <w:rsid w:val="00F6626C"/>
    <w:rsid w:val="00F6643F"/>
    <w:rsid w:val="00F666EC"/>
    <w:rsid w:val="00F66CFC"/>
    <w:rsid w:val="00F6710B"/>
    <w:rsid w:val="00F678B1"/>
    <w:rsid w:val="00F67904"/>
    <w:rsid w:val="00F7039B"/>
    <w:rsid w:val="00F705C6"/>
    <w:rsid w:val="00F70F0B"/>
    <w:rsid w:val="00F71A62"/>
    <w:rsid w:val="00F72372"/>
    <w:rsid w:val="00F7242C"/>
    <w:rsid w:val="00F72477"/>
    <w:rsid w:val="00F72D8E"/>
    <w:rsid w:val="00F72EBA"/>
    <w:rsid w:val="00F735AB"/>
    <w:rsid w:val="00F73B45"/>
    <w:rsid w:val="00F73C69"/>
    <w:rsid w:val="00F743A0"/>
    <w:rsid w:val="00F74475"/>
    <w:rsid w:val="00F74C3B"/>
    <w:rsid w:val="00F7571D"/>
    <w:rsid w:val="00F7579B"/>
    <w:rsid w:val="00F75F68"/>
    <w:rsid w:val="00F76614"/>
    <w:rsid w:val="00F76738"/>
    <w:rsid w:val="00F76E44"/>
    <w:rsid w:val="00F7709D"/>
    <w:rsid w:val="00F77151"/>
    <w:rsid w:val="00F77525"/>
    <w:rsid w:val="00F77718"/>
    <w:rsid w:val="00F77BCB"/>
    <w:rsid w:val="00F80180"/>
    <w:rsid w:val="00F80BB3"/>
    <w:rsid w:val="00F81C10"/>
    <w:rsid w:val="00F81D02"/>
    <w:rsid w:val="00F82257"/>
    <w:rsid w:val="00F82F0D"/>
    <w:rsid w:val="00F830BA"/>
    <w:rsid w:val="00F835AF"/>
    <w:rsid w:val="00F838B0"/>
    <w:rsid w:val="00F83B29"/>
    <w:rsid w:val="00F83F50"/>
    <w:rsid w:val="00F85765"/>
    <w:rsid w:val="00F85928"/>
    <w:rsid w:val="00F85989"/>
    <w:rsid w:val="00F8629F"/>
    <w:rsid w:val="00F86508"/>
    <w:rsid w:val="00F866FC"/>
    <w:rsid w:val="00F86950"/>
    <w:rsid w:val="00F87214"/>
    <w:rsid w:val="00F87896"/>
    <w:rsid w:val="00F87DF8"/>
    <w:rsid w:val="00F901A4"/>
    <w:rsid w:val="00F90373"/>
    <w:rsid w:val="00F90788"/>
    <w:rsid w:val="00F90AAB"/>
    <w:rsid w:val="00F91C31"/>
    <w:rsid w:val="00F921B6"/>
    <w:rsid w:val="00F92412"/>
    <w:rsid w:val="00F92A8C"/>
    <w:rsid w:val="00F92E1E"/>
    <w:rsid w:val="00F935DF"/>
    <w:rsid w:val="00F939F5"/>
    <w:rsid w:val="00F93D86"/>
    <w:rsid w:val="00F9406A"/>
    <w:rsid w:val="00F94183"/>
    <w:rsid w:val="00F9419F"/>
    <w:rsid w:val="00F9504F"/>
    <w:rsid w:val="00F95698"/>
    <w:rsid w:val="00F95B5C"/>
    <w:rsid w:val="00F95CDA"/>
    <w:rsid w:val="00F95DE2"/>
    <w:rsid w:val="00F95FC2"/>
    <w:rsid w:val="00F96204"/>
    <w:rsid w:val="00F9692E"/>
    <w:rsid w:val="00F96A84"/>
    <w:rsid w:val="00F9735F"/>
    <w:rsid w:val="00F97CCB"/>
    <w:rsid w:val="00FA0E33"/>
    <w:rsid w:val="00FA104F"/>
    <w:rsid w:val="00FA1367"/>
    <w:rsid w:val="00FA33E6"/>
    <w:rsid w:val="00FA3AD0"/>
    <w:rsid w:val="00FA4DD1"/>
    <w:rsid w:val="00FA5149"/>
    <w:rsid w:val="00FA56B4"/>
    <w:rsid w:val="00FA574C"/>
    <w:rsid w:val="00FA5B15"/>
    <w:rsid w:val="00FA7BB4"/>
    <w:rsid w:val="00FA7DA0"/>
    <w:rsid w:val="00FB04FD"/>
    <w:rsid w:val="00FB05F8"/>
    <w:rsid w:val="00FB0664"/>
    <w:rsid w:val="00FB0D3C"/>
    <w:rsid w:val="00FB1565"/>
    <w:rsid w:val="00FB15B3"/>
    <w:rsid w:val="00FB16E3"/>
    <w:rsid w:val="00FB2229"/>
    <w:rsid w:val="00FB2528"/>
    <w:rsid w:val="00FB2992"/>
    <w:rsid w:val="00FB2C96"/>
    <w:rsid w:val="00FB2DA9"/>
    <w:rsid w:val="00FB3795"/>
    <w:rsid w:val="00FB3823"/>
    <w:rsid w:val="00FB4416"/>
    <w:rsid w:val="00FB4549"/>
    <w:rsid w:val="00FB45B2"/>
    <w:rsid w:val="00FB4C7D"/>
    <w:rsid w:val="00FB4E07"/>
    <w:rsid w:val="00FB624A"/>
    <w:rsid w:val="00FB66F9"/>
    <w:rsid w:val="00FB6DC2"/>
    <w:rsid w:val="00FB75EE"/>
    <w:rsid w:val="00FB76E7"/>
    <w:rsid w:val="00FB79F1"/>
    <w:rsid w:val="00FB7E7D"/>
    <w:rsid w:val="00FC0949"/>
    <w:rsid w:val="00FC0EA0"/>
    <w:rsid w:val="00FC22F3"/>
    <w:rsid w:val="00FC300E"/>
    <w:rsid w:val="00FC3A32"/>
    <w:rsid w:val="00FC4165"/>
    <w:rsid w:val="00FC4DA2"/>
    <w:rsid w:val="00FC4FEA"/>
    <w:rsid w:val="00FC5010"/>
    <w:rsid w:val="00FC53AC"/>
    <w:rsid w:val="00FC565C"/>
    <w:rsid w:val="00FC5C3A"/>
    <w:rsid w:val="00FC602E"/>
    <w:rsid w:val="00FC747A"/>
    <w:rsid w:val="00FC7547"/>
    <w:rsid w:val="00FD09B0"/>
    <w:rsid w:val="00FD0B65"/>
    <w:rsid w:val="00FD115A"/>
    <w:rsid w:val="00FD1221"/>
    <w:rsid w:val="00FD1FD5"/>
    <w:rsid w:val="00FD24FB"/>
    <w:rsid w:val="00FD29C2"/>
    <w:rsid w:val="00FD327D"/>
    <w:rsid w:val="00FD4572"/>
    <w:rsid w:val="00FD4C6B"/>
    <w:rsid w:val="00FD50B0"/>
    <w:rsid w:val="00FD526F"/>
    <w:rsid w:val="00FD5F66"/>
    <w:rsid w:val="00FD735B"/>
    <w:rsid w:val="00FD78EC"/>
    <w:rsid w:val="00FE0D4B"/>
    <w:rsid w:val="00FE1524"/>
    <w:rsid w:val="00FE160B"/>
    <w:rsid w:val="00FE1848"/>
    <w:rsid w:val="00FE1FC2"/>
    <w:rsid w:val="00FE27A9"/>
    <w:rsid w:val="00FE2C0F"/>
    <w:rsid w:val="00FE3287"/>
    <w:rsid w:val="00FE368D"/>
    <w:rsid w:val="00FE3DB8"/>
    <w:rsid w:val="00FE44E0"/>
    <w:rsid w:val="00FE4660"/>
    <w:rsid w:val="00FE47B9"/>
    <w:rsid w:val="00FE5072"/>
    <w:rsid w:val="00FE51F5"/>
    <w:rsid w:val="00FE6157"/>
    <w:rsid w:val="00FE6CA9"/>
    <w:rsid w:val="00FE7207"/>
    <w:rsid w:val="00FE7D8D"/>
    <w:rsid w:val="00FE7E01"/>
    <w:rsid w:val="00FF03EF"/>
    <w:rsid w:val="00FF04F1"/>
    <w:rsid w:val="00FF097F"/>
    <w:rsid w:val="00FF1193"/>
    <w:rsid w:val="00FF246D"/>
    <w:rsid w:val="00FF2576"/>
    <w:rsid w:val="00FF3723"/>
    <w:rsid w:val="00FF376A"/>
    <w:rsid w:val="00FF3ECB"/>
    <w:rsid w:val="00FF44CC"/>
    <w:rsid w:val="00FF6120"/>
    <w:rsid w:val="00FF617C"/>
    <w:rsid w:val="00FF6341"/>
    <w:rsid w:val="00FF64D5"/>
    <w:rsid w:val="00FF6883"/>
    <w:rsid w:val="00FF6CBE"/>
    <w:rsid w:val="00FF6DA4"/>
    <w:rsid w:val="00FF745A"/>
    <w:rsid w:val="00FF7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E3B2"/>
  <w15:chartTrackingRefBased/>
  <w15:docId w15:val="{5E81102B-6D03-47B0-84F2-38CF0BAE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39C1"/>
  </w:style>
  <w:style w:type="paragraph" w:styleId="Nagwek1">
    <w:name w:val="heading 1"/>
    <w:basedOn w:val="Normalny"/>
    <w:next w:val="Normalny"/>
    <w:link w:val="Nagwek1Znak"/>
    <w:qFormat/>
    <w:rsid w:val="008339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3411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nhideWhenUsed/>
    <w:qFormat/>
    <w:rsid w:val="008D5B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nhideWhenUsed/>
    <w:qFormat/>
    <w:rsid w:val="0010207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link w:val="Nagwek6Znak"/>
    <w:qFormat/>
    <w:rsid w:val="00B247DF"/>
    <w:pPr>
      <w:spacing w:before="100" w:beforeAutospacing="1" w:after="100" w:afterAutospacing="1" w:line="240" w:lineRule="auto"/>
      <w:outlineLvl w:val="5"/>
    </w:pPr>
    <w:rPr>
      <w:rFonts w:ascii="Times New Roman" w:eastAsia="Times New Roman" w:hAnsi="Times New Roman" w:cs="Times New Roman"/>
      <w:b/>
      <w:bCs/>
      <w:sz w:val="15"/>
      <w:szCs w:val="15"/>
      <w:lang w:eastAsia="pl-PL"/>
    </w:rPr>
  </w:style>
  <w:style w:type="paragraph" w:styleId="Nagwek8">
    <w:name w:val="heading 8"/>
    <w:basedOn w:val="Normalny"/>
    <w:next w:val="Normalny"/>
    <w:link w:val="Nagwek8Znak"/>
    <w:semiHidden/>
    <w:unhideWhenUsed/>
    <w:qFormat/>
    <w:rsid w:val="00B247DF"/>
    <w:pPr>
      <w:spacing w:before="240" w:after="60" w:line="276" w:lineRule="auto"/>
      <w:jc w:val="both"/>
      <w:outlineLvl w:val="7"/>
    </w:pPr>
    <w:rPr>
      <w:rFonts w:ascii="Calibri" w:eastAsia="Times New Roman" w:hAnsi="Calibri" w:cs="Times New Roman"/>
      <w:i/>
      <w:iCs/>
      <w:sz w:val="24"/>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39C1"/>
    <w:rPr>
      <w:rFonts w:asciiTheme="majorHAnsi" w:eastAsiaTheme="majorEastAsia" w:hAnsiTheme="majorHAnsi" w:cstheme="majorBidi"/>
      <w:color w:val="2E74B5" w:themeColor="accent1" w:themeShade="BF"/>
      <w:sz w:val="32"/>
      <w:szCs w:val="32"/>
    </w:rPr>
  </w:style>
  <w:style w:type="table" w:styleId="Tabela-Siatka">
    <w:name w:val="Table Grid"/>
    <w:basedOn w:val="Standardowy"/>
    <w:uiPriority w:val="59"/>
    <w:rsid w:val="008339C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Dot pt,F5 List Paragraph,List Paragraph1,Listaszerű bekezdés1,List Paragraph à moi,Numbered Para 1,No Spacing1,Indicator Text,Bullet 1,List Paragraph Char Char Char,2,Akapit z list¹1,Recommendation,List Paragraph11,List Paragraph,GSA List"/>
    <w:basedOn w:val="Normalny"/>
    <w:link w:val="AkapitzlistZnak"/>
    <w:uiPriority w:val="34"/>
    <w:qFormat/>
    <w:rsid w:val="007050BA"/>
    <w:pPr>
      <w:ind w:left="720"/>
      <w:contextualSpacing/>
    </w:pPr>
  </w:style>
  <w:style w:type="character" w:customStyle="1" w:styleId="AkapitzlistZnak">
    <w:name w:val="Akapit z listą Znak"/>
    <w:aliases w:val="Dot pt Znak,F5 List Paragraph Znak,List Paragraph1 Znak,Listaszerű bekezdés1 Znak,List Paragraph à moi Znak,Numbered Para 1 Znak,No Spacing1 Znak,Indicator Text Znak,Bullet 1 Znak,List Paragraph Char Char Char Znak,2 Znak"/>
    <w:basedOn w:val="Domylnaczcionkaakapitu"/>
    <w:link w:val="Akapitzlist"/>
    <w:uiPriority w:val="34"/>
    <w:qFormat/>
    <w:rsid w:val="007050BA"/>
  </w:style>
  <w:style w:type="paragraph" w:customStyle="1" w:styleId="Default">
    <w:name w:val="Default"/>
    <w:rsid w:val="007050BA"/>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CALIBRI2">
    <w:name w:val="CALIBRI 2"/>
    <w:basedOn w:val="Normalny"/>
    <w:link w:val="CALIBRI2Znak"/>
    <w:qFormat/>
    <w:rsid w:val="007050BA"/>
    <w:pPr>
      <w:spacing w:after="120" w:line="300" w:lineRule="auto"/>
    </w:pPr>
    <w:rPr>
      <w:rFonts w:ascii="Calibri" w:eastAsia="Times New Roman" w:hAnsi="Calibri" w:cs="Times New Roman"/>
      <w:b/>
      <w:bCs/>
      <w:sz w:val="28"/>
      <w:szCs w:val="24"/>
      <w:lang w:eastAsia="pl-PL"/>
    </w:rPr>
  </w:style>
  <w:style w:type="character" w:customStyle="1" w:styleId="CALIBRI2Znak">
    <w:name w:val="CALIBRI 2 Znak"/>
    <w:link w:val="CALIBRI2"/>
    <w:locked/>
    <w:rsid w:val="007050BA"/>
    <w:rPr>
      <w:rFonts w:ascii="Calibri" w:eastAsia="Times New Roman" w:hAnsi="Calibri" w:cs="Times New Roman"/>
      <w:b/>
      <w:bCs/>
      <w:sz w:val="28"/>
      <w:szCs w:val="24"/>
      <w:lang w:eastAsia="pl-PL"/>
    </w:rPr>
  </w:style>
  <w:style w:type="paragraph" w:styleId="NormalnyWeb">
    <w:name w:val="Normal (Web)"/>
    <w:basedOn w:val="Normalny"/>
    <w:uiPriority w:val="99"/>
    <w:unhideWhenUsed/>
    <w:rsid w:val="007050BA"/>
    <w:pPr>
      <w:spacing w:before="100" w:beforeAutospacing="1" w:after="100" w:afterAutospacing="1" w:line="240" w:lineRule="auto"/>
    </w:pPr>
    <w:rPr>
      <w:rFonts w:ascii="Times New Roman" w:hAnsi="Times New Roman" w:cs="Times New Roman"/>
      <w:sz w:val="24"/>
      <w:szCs w:val="24"/>
      <w:lang w:eastAsia="pl-PL"/>
    </w:rPr>
  </w:style>
  <w:style w:type="paragraph" w:styleId="Tekstprzypisudolnego">
    <w:name w:val="footnote text"/>
    <w:aliases w:val="Podrozdział,Fußnote,Footnote,Podrozdzia3,Przypis,-E Fuﬂnotentext,Fuﬂnotentext Ursprung,footnote text,Fußnotentext Ursprung,-E Fußnotentext,Footnote text,Tekst przypisu Znak Znak Znak Znak,Tekst przypisu Znak Znak Znak Znak Znak,Pl"/>
    <w:basedOn w:val="Normalny"/>
    <w:link w:val="TekstprzypisudolnegoZnak"/>
    <w:unhideWhenUsed/>
    <w:rsid w:val="007050BA"/>
    <w:pPr>
      <w:spacing w:after="0" w:line="240" w:lineRule="auto"/>
    </w:pPr>
    <w:rPr>
      <w:sz w:val="20"/>
      <w:szCs w:val="20"/>
    </w:rPr>
  </w:style>
  <w:style w:type="character" w:customStyle="1" w:styleId="TekstprzypisudolnegoZnak">
    <w:name w:val="Tekst przypisu dolnego Znak"/>
    <w:aliases w:val="Podrozdział Znak,Fußnote Znak,Footnote Znak,Podrozdzia3 Znak,Przypis Znak,-E Fuﬂnotentext Znak,Fuﬂnotentext Ursprung Znak,footnote text Znak,Fußnotentext Ursprung Znak,-E Fußnotentext Znak,Footnote text Znak,Pl Znak"/>
    <w:basedOn w:val="Domylnaczcionkaakapitu"/>
    <w:link w:val="Tekstprzypisudolnego"/>
    <w:rsid w:val="007050BA"/>
    <w:rPr>
      <w:sz w:val="20"/>
      <w:szCs w:val="20"/>
    </w:rPr>
  </w:style>
  <w:style w:type="character" w:styleId="Odwoanieprzypisudolnego">
    <w:name w:val="footnote reference"/>
    <w:aliases w:val="Footnote Reference Number,Footnote reference number,Footnote symbol,note TESI,SUPERS,EN Footnote Reference,Appel note de bas de p,Nota,Footnote Reference/,BVI fnr,Footnote Reference Superscript,Footnote Reference_LVL6, BVI fnr"/>
    <w:basedOn w:val="Domylnaczcionkaakapitu"/>
    <w:unhideWhenUsed/>
    <w:rsid w:val="007050BA"/>
    <w:rPr>
      <w:vertAlign w:val="superscript"/>
    </w:rPr>
  </w:style>
  <w:style w:type="character" w:styleId="Hipercze">
    <w:name w:val="Hyperlink"/>
    <w:basedOn w:val="Domylnaczcionkaakapitu"/>
    <w:uiPriority w:val="99"/>
    <w:unhideWhenUsed/>
    <w:rsid w:val="007050BA"/>
    <w:rPr>
      <w:color w:val="0563C1" w:themeColor="hyperlink"/>
      <w:u w:val="single"/>
    </w:rPr>
  </w:style>
  <w:style w:type="paragraph" w:styleId="Tekstpodstawowy">
    <w:name w:val="Body Text"/>
    <w:basedOn w:val="Normalny"/>
    <w:link w:val="TekstpodstawowyZnak"/>
    <w:uiPriority w:val="99"/>
    <w:semiHidden/>
    <w:unhideWhenUsed/>
    <w:rsid w:val="007050BA"/>
    <w:pPr>
      <w:spacing w:after="0" w:line="360" w:lineRule="auto"/>
      <w:jc w:val="center"/>
    </w:pPr>
    <w:rPr>
      <w:rFonts w:ascii="Times New Roman" w:hAnsi="Times New Roman" w:cs="Times New Roman"/>
      <w:sz w:val="28"/>
      <w:szCs w:val="28"/>
      <w:lang w:eastAsia="pl-PL"/>
    </w:rPr>
  </w:style>
  <w:style w:type="character" w:customStyle="1" w:styleId="TekstpodstawowyZnak">
    <w:name w:val="Tekst podstawowy Znak"/>
    <w:basedOn w:val="Domylnaczcionkaakapitu"/>
    <w:link w:val="Tekstpodstawowy"/>
    <w:uiPriority w:val="99"/>
    <w:semiHidden/>
    <w:rsid w:val="007050BA"/>
    <w:rPr>
      <w:rFonts w:ascii="Times New Roman" w:hAnsi="Times New Roman" w:cs="Times New Roman"/>
      <w:sz w:val="28"/>
      <w:szCs w:val="28"/>
      <w:lang w:eastAsia="pl-PL"/>
    </w:rPr>
  </w:style>
  <w:style w:type="character" w:styleId="Odwoaniedokomentarza">
    <w:name w:val="annotation reference"/>
    <w:basedOn w:val="Domylnaczcionkaakapitu"/>
    <w:uiPriority w:val="99"/>
    <w:unhideWhenUsed/>
    <w:rsid w:val="003728E9"/>
    <w:rPr>
      <w:sz w:val="16"/>
      <w:szCs w:val="16"/>
    </w:rPr>
  </w:style>
  <w:style w:type="paragraph" w:styleId="Tekstkomentarza">
    <w:name w:val="annotation text"/>
    <w:basedOn w:val="Normalny"/>
    <w:link w:val="TekstkomentarzaZnak"/>
    <w:uiPriority w:val="99"/>
    <w:unhideWhenUsed/>
    <w:rsid w:val="003728E9"/>
    <w:pPr>
      <w:spacing w:line="240" w:lineRule="auto"/>
    </w:pPr>
    <w:rPr>
      <w:sz w:val="20"/>
      <w:szCs w:val="20"/>
    </w:rPr>
  </w:style>
  <w:style w:type="character" w:customStyle="1" w:styleId="TekstkomentarzaZnak">
    <w:name w:val="Tekst komentarza Znak"/>
    <w:basedOn w:val="Domylnaczcionkaakapitu"/>
    <w:link w:val="Tekstkomentarza"/>
    <w:uiPriority w:val="99"/>
    <w:rsid w:val="003728E9"/>
    <w:rPr>
      <w:sz w:val="20"/>
      <w:szCs w:val="20"/>
    </w:rPr>
  </w:style>
  <w:style w:type="paragraph" w:styleId="Tematkomentarza">
    <w:name w:val="annotation subject"/>
    <w:basedOn w:val="Tekstkomentarza"/>
    <w:next w:val="Tekstkomentarza"/>
    <w:link w:val="TematkomentarzaZnak"/>
    <w:uiPriority w:val="99"/>
    <w:unhideWhenUsed/>
    <w:rsid w:val="003728E9"/>
    <w:rPr>
      <w:b/>
      <w:bCs/>
    </w:rPr>
  </w:style>
  <w:style w:type="character" w:customStyle="1" w:styleId="TematkomentarzaZnak">
    <w:name w:val="Temat komentarza Znak"/>
    <w:basedOn w:val="TekstkomentarzaZnak"/>
    <w:link w:val="Tematkomentarza"/>
    <w:uiPriority w:val="99"/>
    <w:rsid w:val="003728E9"/>
    <w:rPr>
      <w:b/>
      <w:bCs/>
      <w:sz w:val="20"/>
      <w:szCs w:val="20"/>
    </w:rPr>
  </w:style>
  <w:style w:type="paragraph" w:styleId="Tekstdymka">
    <w:name w:val="Balloon Text"/>
    <w:basedOn w:val="Normalny"/>
    <w:link w:val="TekstdymkaZnak"/>
    <w:semiHidden/>
    <w:unhideWhenUsed/>
    <w:rsid w:val="003728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28E9"/>
    <w:rPr>
      <w:rFonts w:ascii="Segoe UI" w:hAnsi="Segoe UI" w:cs="Segoe UI"/>
      <w:sz w:val="18"/>
      <w:szCs w:val="18"/>
    </w:rPr>
  </w:style>
  <w:style w:type="paragraph" w:customStyle="1" w:styleId="lead-text">
    <w:name w:val="lead-text"/>
    <w:basedOn w:val="Normalny"/>
    <w:rsid w:val="009B37F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9B37F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line">
    <w:name w:val="headline"/>
    <w:basedOn w:val="Normalny"/>
    <w:rsid w:val="009B37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nner-descriptiontitle">
    <w:name w:val="inner-description__title"/>
    <w:basedOn w:val="Domylnaczcionkaakapitu"/>
    <w:rsid w:val="009B37F7"/>
  </w:style>
  <w:style w:type="character" w:customStyle="1" w:styleId="inner-descriptionsource">
    <w:name w:val="inner-description__source"/>
    <w:basedOn w:val="Domylnaczcionkaakapitu"/>
    <w:rsid w:val="009B37F7"/>
  </w:style>
  <w:style w:type="character" w:customStyle="1" w:styleId="Nagwek2Znak">
    <w:name w:val="Nagłówek 2 Znak"/>
    <w:basedOn w:val="Domylnaczcionkaakapitu"/>
    <w:link w:val="Nagwek2"/>
    <w:rsid w:val="003411E0"/>
    <w:rPr>
      <w:rFonts w:asciiTheme="majorHAnsi" w:eastAsiaTheme="majorEastAsia" w:hAnsiTheme="majorHAnsi" w:cstheme="majorBidi"/>
      <w:color w:val="2E74B5" w:themeColor="accent1" w:themeShade="BF"/>
      <w:sz w:val="26"/>
      <w:szCs w:val="26"/>
    </w:rPr>
  </w:style>
  <w:style w:type="character" w:styleId="Pogrubienie">
    <w:name w:val="Strong"/>
    <w:basedOn w:val="Domylnaczcionkaakapitu"/>
    <w:uiPriority w:val="22"/>
    <w:qFormat/>
    <w:rsid w:val="0077537E"/>
    <w:rPr>
      <w:b/>
      <w:bCs/>
    </w:rPr>
  </w:style>
  <w:style w:type="character" w:customStyle="1" w:styleId="Nagwek3Znak">
    <w:name w:val="Nagłówek 3 Znak"/>
    <w:basedOn w:val="Domylnaczcionkaakapitu"/>
    <w:link w:val="Nagwek3"/>
    <w:uiPriority w:val="9"/>
    <w:rsid w:val="008D5BED"/>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qFormat/>
    <w:rsid w:val="007556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7556DD"/>
    <w:rPr>
      <w:rFonts w:asciiTheme="majorHAnsi" w:eastAsiaTheme="majorEastAsia" w:hAnsiTheme="majorHAnsi" w:cstheme="majorBidi"/>
      <w:spacing w:val="-10"/>
      <w:kern w:val="28"/>
      <w:sz w:val="56"/>
      <w:szCs w:val="56"/>
    </w:rPr>
  </w:style>
  <w:style w:type="paragraph" w:customStyle="1" w:styleId="Style3">
    <w:name w:val="Style3"/>
    <w:basedOn w:val="Normalny"/>
    <w:rsid w:val="006916E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B812A0"/>
    <w:pPr>
      <w:outlineLvl w:val="9"/>
    </w:pPr>
    <w:rPr>
      <w:lang w:eastAsia="pl-PL"/>
    </w:rPr>
  </w:style>
  <w:style w:type="paragraph" w:styleId="Spistreci1">
    <w:name w:val="toc 1"/>
    <w:basedOn w:val="Normalny"/>
    <w:next w:val="Normalny"/>
    <w:autoRedefine/>
    <w:uiPriority w:val="39"/>
    <w:unhideWhenUsed/>
    <w:rsid w:val="00B812A0"/>
    <w:pPr>
      <w:spacing w:after="100"/>
    </w:pPr>
  </w:style>
  <w:style w:type="paragraph" w:styleId="Spistreci2">
    <w:name w:val="toc 2"/>
    <w:basedOn w:val="Normalny"/>
    <w:next w:val="Normalny"/>
    <w:autoRedefine/>
    <w:uiPriority w:val="39"/>
    <w:unhideWhenUsed/>
    <w:rsid w:val="00B812A0"/>
    <w:pPr>
      <w:spacing w:after="100"/>
      <w:ind w:left="220"/>
    </w:pPr>
  </w:style>
  <w:style w:type="paragraph" w:styleId="Spistreci3">
    <w:name w:val="toc 3"/>
    <w:basedOn w:val="Normalny"/>
    <w:next w:val="Normalny"/>
    <w:autoRedefine/>
    <w:uiPriority w:val="39"/>
    <w:unhideWhenUsed/>
    <w:rsid w:val="00B812A0"/>
    <w:pPr>
      <w:spacing w:after="100"/>
      <w:ind w:left="440"/>
    </w:pPr>
  </w:style>
  <w:style w:type="character" w:styleId="Uwydatnienie">
    <w:name w:val="Emphasis"/>
    <w:basedOn w:val="Domylnaczcionkaakapitu"/>
    <w:uiPriority w:val="20"/>
    <w:qFormat/>
    <w:rsid w:val="00ED4A6F"/>
    <w:rPr>
      <w:i/>
      <w:iCs/>
    </w:rPr>
  </w:style>
  <w:style w:type="paragraph" w:styleId="Nagwek">
    <w:name w:val="header"/>
    <w:basedOn w:val="Normalny"/>
    <w:link w:val="NagwekZnak"/>
    <w:unhideWhenUsed/>
    <w:rsid w:val="00EC0F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0F3A"/>
  </w:style>
  <w:style w:type="paragraph" w:styleId="Stopka">
    <w:name w:val="footer"/>
    <w:basedOn w:val="Normalny"/>
    <w:link w:val="StopkaZnak"/>
    <w:uiPriority w:val="99"/>
    <w:unhideWhenUsed/>
    <w:rsid w:val="00EC0F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0F3A"/>
  </w:style>
  <w:style w:type="character" w:styleId="Tekstzastpczy">
    <w:name w:val="Placeholder Text"/>
    <w:basedOn w:val="Domylnaczcionkaakapitu"/>
    <w:uiPriority w:val="99"/>
    <w:semiHidden/>
    <w:rsid w:val="00503C51"/>
    <w:rPr>
      <w:color w:val="808080"/>
    </w:rPr>
  </w:style>
  <w:style w:type="paragraph" w:customStyle="1" w:styleId="Pointabc">
    <w:name w:val="Point abc"/>
    <w:basedOn w:val="Normalny"/>
    <w:rsid w:val="00D96016"/>
    <w:pPr>
      <w:numPr>
        <w:ilvl w:val="1"/>
        <w:numId w:val="44"/>
      </w:numPr>
      <w:spacing w:before="200" w:after="0" w:line="240" w:lineRule="auto"/>
    </w:pPr>
    <w:rPr>
      <w:rFonts w:ascii="Times New Roman" w:eastAsia="Calibri" w:hAnsi="Times New Roman" w:cs="Times New Roman"/>
      <w:sz w:val="24"/>
      <w:lang w:val="en-GB"/>
    </w:rPr>
  </w:style>
  <w:style w:type="paragraph" w:customStyle="1" w:styleId="Pointabc1">
    <w:name w:val="Point abc (1)"/>
    <w:basedOn w:val="Normalny"/>
    <w:rsid w:val="00D96016"/>
    <w:pPr>
      <w:numPr>
        <w:ilvl w:val="3"/>
        <w:numId w:val="44"/>
      </w:numPr>
      <w:spacing w:after="0" w:line="240" w:lineRule="auto"/>
    </w:pPr>
    <w:rPr>
      <w:rFonts w:ascii="Times New Roman" w:eastAsia="Calibri" w:hAnsi="Times New Roman" w:cs="Times New Roman"/>
      <w:sz w:val="24"/>
      <w:lang w:val="en-GB"/>
    </w:rPr>
  </w:style>
  <w:style w:type="paragraph" w:customStyle="1" w:styleId="Pointabc2">
    <w:name w:val="Point abc (2)"/>
    <w:basedOn w:val="Normalny"/>
    <w:rsid w:val="00D96016"/>
    <w:pPr>
      <w:numPr>
        <w:ilvl w:val="5"/>
        <w:numId w:val="44"/>
      </w:numPr>
      <w:spacing w:after="0" w:line="240" w:lineRule="auto"/>
    </w:pPr>
    <w:rPr>
      <w:rFonts w:ascii="Times New Roman" w:eastAsia="Calibri" w:hAnsi="Times New Roman" w:cs="Times New Roman"/>
      <w:sz w:val="24"/>
      <w:lang w:val="en-GB"/>
    </w:rPr>
  </w:style>
  <w:style w:type="paragraph" w:customStyle="1" w:styleId="Pointabc3">
    <w:name w:val="Point abc (3)"/>
    <w:basedOn w:val="Normalny"/>
    <w:rsid w:val="00D96016"/>
    <w:pPr>
      <w:numPr>
        <w:ilvl w:val="7"/>
        <w:numId w:val="44"/>
      </w:numPr>
      <w:spacing w:after="0" w:line="240" w:lineRule="auto"/>
    </w:pPr>
    <w:rPr>
      <w:rFonts w:ascii="Times New Roman" w:eastAsia="Calibri" w:hAnsi="Times New Roman" w:cs="Times New Roman"/>
      <w:sz w:val="24"/>
      <w:lang w:val="en-GB"/>
    </w:rPr>
  </w:style>
  <w:style w:type="paragraph" w:customStyle="1" w:styleId="Pointabc4">
    <w:name w:val="Point abc (4)"/>
    <w:basedOn w:val="Normalny"/>
    <w:rsid w:val="00D96016"/>
    <w:pPr>
      <w:numPr>
        <w:ilvl w:val="8"/>
        <w:numId w:val="44"/>
      </w:numPr>
      <w:spacing w:after="0" w:line="240" w:lineRule="auto"/>
    </w:pPr>
    <w:rPr>
      <w:rFonts w:ascii="Times New Roman" w:eastAsia="Calibri" w:hAnsi="Times New Roman" w:cs="Times New Roman"/>
      <w:sz w:val="24"/>
      <w:lang w:val="en-GB"/>
    </w:rPr>
  </w:style>
  <w:style w:type="paragraph" w:customStyle="1" w:styleId="Point123">
    <w:name w:val="Point 123"/>
    <w:basedOn w:val="Normalny"/>
    <w:rsid w:val="00D96016"/>
    <w:pPr>
      <w:numPr>
        <w:numId w:val="44"/>
      </w:numPr>
      <w:spacing w:before="200" w:after="0" w:line="240" w:lineRule="auto"/>
    </w:pPr>
    <w:rPr>
      <w:rFonts w:ascii="Times New Roman" w:eastAsia="Calibri" w:hAnsi="Times New Roman" w:cs="Times New Roman"/>
      <w:sz w:val="24"/>
      <w:lang w:val="en-GB"/>
    </w:rPr>
  </w:style>
  <w:style w:type="paragraph" w:customStyle="1" w:styleId="Point1231">
    <w:name w:val="Point 123 (1)"/>
    <w:basedOn w:val="Normalny"/>
    <w:rsid w:val="00D96016"/>
    <w:pPr>
      <w:numPr>
        <w:ilvl w:val="2"/>
        <w:numId w:val="44"/>
      </w:numPr>
      <w:spacing w:after="0" w:line="240" w:lineRule="auto"/>
    </w:pPr>
    <w:rPr>
      <w:rFonts w:ascii="Times New Roman" w:eastAsia="Calibri" w:hAnsi="Times New Roman" w:cs="Times New Roman"/>
      <w:sz w:val="24"/>
      <w:lang w:val="en-GB"/>
    </w:rPr>
  </w:style>
  <w:style w:type="paragraph" w:customStyle="1" w:styleId="Point1232">
    <w:name w:val="Point 123 (2)"/>
    <w:basedOn w:val="Normalny"/>
    <w:rsid w:val="00D96016"/>
    <w:pPr>
      <w:numPr>
        <w:ilvl w:val="4"/>
        <w:numId w:val="44"/>
      </w:numPr>
      <w:spacing w:after="0" w:line="240" w:lineRule="auto"/>
    </w:pPr>
    <w:rPr>
      <w:rFonts w:ascii="Times New Roman" w:eastAsia="Calibri" w:hAnsi="Times New Roman" w:cs="Times New Roman"/>
      <w:sz w:val="24"/>
      <w:lang w:val="en-GB"/>
    </w:rPr>
  </w:style>
  <w:style w:type="paragraph" w:customStyle="1" w:styleId="Point1233">
    <w:name w:val="Point 123 (3)"/>
    <w:basedOn w:val="Normalny"/>
    <w:rsid w:val="00D96016"/>
    <w:pPr>
      <w:numPr>
        <w:ilvl w:val="6"/>
        <w:numId w:val="44"/>
      </w:numPr>
      <w:spacing w:after="0" w:line="240" w:lineRule="auto"/>
    </w:pPr>
    <w:rPr>
      <w:rFonts w:ascii="Times New Roman" w:eastAsia="Calibri" w:hAnsi="Times New Roman" w:cs="Times New Roman"/>
      <w:sz w:val="24"/>
      <w:lang w:val="en-GB"/>
    </w:rPr>
  </w:style>
  <w:style w:type="character" w:customStyle="1" w:styleId="Nagwek5Znak">
    <w:name w:val="Nagłówek 5 Znak"/>
    <w:basedOn w:val="Domylnaczcionkaakapitu"/>
    <w:link w:val="Nagwek5"/>
    <w:rsid w:val="0010207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rsid w:val="00B247DF"/>
    <w:rPr>
      <w:rFonts w:ascii="Times New Roman" w:eastAsia="Times New Roman" w:hAnsi="Times New Roman" w:cs="Times New Roman"/>
      <w:b/>
      <w:bCs/>
      <w:sz w:val="15"/>
      <w:szCs w:val="15"/>
      <w:lang w:eastAsia="pl-PL"/>
    </w:rPr>
  </w:style>
  <w:style w:type="character" w:customStyle="1" w:styleId="Nagwek8Znak">
    <w:name w:val="Nagłówek 8 Znak"/>
    <w:basedOn w:val="Domylnaczcionkaakapitu"/>
    <w:link w:val="Nagwek8"/>
    <w:semiHidden/>
    <w:rsid w:val="00B247DF"/>
    <w:rPr>
      <w:rFonts w:ascii="Calibri" w:eastAsia="Times New Roman" w:hAnsi="Calibri" w:cs="Times New Roman"/>
      <w:i/>
      <w:iCs/>
      <w:sz w:val="24"/>
      <w:szCs w:val="24"/>
      <w:lang w:val="x-none"/>
    </w:rPr>
  </w:style>
  <w:style w:type="numbering" w:customStyle="1" w:styleId="Bezlisty1">
    <w:name w:val="Bez listy1"/>
    <w:next w:val="Bezlisty"/>
    <w:uiPriority w:val="99"/>
    <w:semiHidden/>
    <w:unhideWhenUsed/>
    <w:rsid w:val="00B247DF"/>
  </w:style>
  <w:style w:type="paragraph" w:styleId="HTML-wstpniesformatowany">
    <w:name w:val="HTML Preformatted"/>
    <w:basedOn w:val="Normalny"/>
    <w:link w:val="HTML-wstpniesformatowanyZnak"/>
    <w:uiPriority w:val="99"/>
    <w:rsid w:val="00B2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B247DF"/>
    <w:rPr>
      <w:rFonts w:ascii="Courier New" w:eastAsia="Times New Roman" w:hAnsi="Courier New" w:cs="Times New Roman"/>
      <w:color w:val="000000"/>
      <w:sz w:val="20"/>
      <w:szCs w:val="20"/>
      <w:lang w:val="x-none" w:eastAsia="x-none"/>
    </w:rPr>
  </w:style>
  <w:style w:type="character" w:styleId="Numerstrony">
    <w:name w:val="page number"/>
    <w:basedOn w:val="Domylnaczcionkaakapitu"/>
    <w:rsid w:val="00B247DF"/>
  </w:style>
  <w:style w:type="table" w:customStyle="1" w:styleId="Tabela-Siatka1">
    <w:name w:val="Tabela - Siatka1"/>
    <w:basedOn w:val="Standardowy"/>
    <w:next w:val="Tabela-Siatka"/>
    <w:uiPriority w:val="39"/>
    <w:rsid w:val="00B247D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DF"/>
    <w:pPr>
      <w:spacing w:after="0" w:line="240" w:lineRule="auto"/>
    </w:pPr>
    <w:rPr>
      <w:rFonts w:ascii="Arial" w:eastAsia="Calibri" w:hAnsi="Arial" w:cs="Times New Roman"/>
      <w:sz w:val="24"/>
    </w:rPr>
  </w:style>
  <w:style w:type="paragraph" w:styleId="Bezodstpw">
    <w:name w:val="No Spacing"/>
    <w:uiPriority w:val="1"/>
    <w:qFormat/>
    <w:rsid w:val="00B247DF"/>
    <w:pPr>
      <w:spacing w:after="0" w:line="240" w:lineRule="auto"/>
      <w:jc w:val="both"/>
    </w:pPr>
    <w:rPr>
      <w:rFonts w:ascii="Arial" w:eastAsia="Calibri" w:hAnsi="Arial" w:cs="Times New Roman"/>
      <w:sz w:val="24"/>
    </w:rPr>
  </w:style>
  <w:style w:type="character" w:customStyle="1" w:styleId="ff0">
    <w:name w:val="ff0"/>
    <w:rsid w:val="00B247DF"/>
  </w:style>
  <w:style w:type="character" w:customStyle="1" w:styleId="c41">
    <w:name w:val="c41"/>
    <w:uiPriority w:val="99"/>
    <w:rsid w:val="00B247DF"/>
    <w:rPr>
      <w:rFonts w:ascii="MS Sans Serif" w:hAnsi="MS Sans Serif" w:cs="MS Sans Serif"/>
      <w:sz w:val="20"/>
      <w:szCs w:val="20"/>
    </w:rPr>
  </w:style>
  <w:style w:type="character" w:customStyle="1" w:styleId="publication-meta-journal">
    <w:name w:val="publication-meta-journal"/>
    <w:rsid w:val="00B247DF"/>
  </w:style>
  <w:style w:type="character" w:customStyle="1" w:styleId="Tytu1">
    <w:name w:val="Tytuł1"/>
    <w:basedOn w:val="Domylnaczcionkaakapitu"/>
    <w:rsid w:val="00B247DF"/>
  </w:style>
  <w:style w:type="character" w:customStyle="1" w:styleId="a2akit">
    <w:name w:val="a2a_kit"/>
    <w:basedOn w:val="Domylnaczcionkaakapitu"/>
    <w:rsid w:val="00B247DF"/>
  </w:style>
  <w:style w:type="character" w:customStyle="1" w:styleId="a2alabel">
    <w:name w:val="a2a_label"/>
    <w:basedOn w:val="Domylnaczcionkaakapitu"/>
    <w:rsid w:val="00B247DF"/>
  </w:style>
  <w:style w:type="character" w:customStyle="1" w:styleId="ndesc">
    <w:name w:val="ndesc"/>
    <w:basedOn w:val="Domylnaczcionkaakapitu"/>
    <w:rsid w:val="00B247DF"/>
  </w:style>
  <w:style w:type="paragraph" w:customStyle="1" w:styleId="rtejustify">
    <w:name w:val="rtejustify"/>
    <w:basedOn w:val="Normalny"/>
    <w:rsid w:val="00B247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rofilelink">
    <w:name w:val="profilelink"/>
    <w:basedOn w:val="Domylnaczcionkaakapitu"/>
    <w:rsid w:val="00B247DF"/>
  </w:style>
  <w:style w:type="character" w:customStyle="1" w:styleId="textexposedshow">
    <w:name w:val="text_exposed_show"/>
    <w:basedOn w:val="Domylnaczcionkaakapitu"/>
    <w:rsid w:val="00B247DF"/>
  </w:style>
  <w:style w:type="character" w:customStyle="1" w:styleId="apple-converted-space">
    <w:name w:val="apple-converted-space"/>
    <w:rsid w:val="00B247DF"/>
  </w:style>
  <w:style w:type="character" w:customStyle="1" w:styleId="date-display-single">
    <w:name w:val="date-display-single"/>
    <w:rsid w:val="00B247DF"/>
  </w:style>
  <w:style w:type="character" w:customStyle="1" w:styleId="st">
    <w:name w:val="st"/>
    <w:basedOn w:val="Domylnaczcionkaakapitu"/>
    <w:rsid w:val="00B247DF"/>
  </w:style>
  <w:style w:type="paragraph" w:customStyle="1" w:styleId="row2">
    <w:name w:val="row2"/>
    <w:basedOn w:val="Normalny"/>
    <w:rsid w:val="00B247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nr2ax972h">
    <w:name w:val="marknr2ax972h"/>
    <w:basedOn w:val="Domylnaczcionkaakapitu"/>
    <w:rsid w:val="00B247DF"/>
  </w:style>
  <w:style w:type="paragraph" w:styleId="Tekstprzypisukocowego">
    <w:name w:val="endnote text"/>
    <w:basedOn w:val="Normalny"/>
    <w:link w:val="TekstprzypisukocowegoZnak"/>
    <w:rsid w:val="00B247DF"/>
    <w:pPr>
      <w:spacing w:after="0" w:line="240" w:lineRule="auto"/>
      <w:jc w:val="both"/>
    </w:pPr>
    <w:rPr>
      <w:rFonts w:ascii="Arial" w:eastAsia="Calibri" w:hAnsi="Arial" w:cs="Times New Roman"/>
      <w:sz w:val="20"/>
      <w:szCs w:val="20"/>
    </w:rPr>
  </w:style>
  <w:style w:type="character" w:customStyle="1" w:styleId="TekstprzypisukocowegoZnak">
    <w:name w:val="Tekst przypisu końcowego Znak"/>
    <w:basedOn w:val="Domylnaczcionkaakapitu"/>
    <w:link w:val="Tekstprzypisukocowego"/>
    <w:rsid w:val="00B247DF"/>
    <w:rPr>
      <w:rFonts w:ascii="Arial" w:eastAsia="Calibri" w:hAnsi="Arial" w:cs="Times New Roman"/>
      <w:sz w:val="20"/>
      <w:szCs w:val="20"/>
    </w:rPr>
  </w:style>
  <w:style w:type="character" w:styleId="Odwoanieprzypisukocowego">
    <w:name w:val="endnote reference"/>
    <w:basedOn w:val="Domylnaczcionkaakapitu"/>
    <w:rsid w:val="00B247DF"/>
    <w:rPr>
      <w:vertAlign w:val="superscript"/>
    </w:rPr>
  </w:style>
  <w:style w:type="paragraph" w:styleId="Tekstpodstawowywcity">
    <w:name w:val="Body Text Indent"/>
    <w:basedOn w:val="Normalny"/>
    <w:link w:val="TekstpodstawowywcityZnak"/>
    <w:uiPriority w:val="99"/>
    <w:unhideWhenUsed/>
    <w:rsid w:val="00BC7BFF"/>
    <w:pPr>
      <w:spacing w:after="120"/>
      <w:ind w:left="283"/>
    </w:pPr>
  </w:style>
  <w:style w:type="character" w:customStyle="1" w:styleId="TekstpodstawowywcityZnak">
    <w:name w:val="Tekst podstawowy wcięty Znak"/>
    <w:basedOn w:val="Domylnaczcionkaakapitu"/>
    <w:link w:val="Tekstpodstawowywcity"/>
    <w:uiPriority w:val="99"/>
    <w:rsid w:val="00BC7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195">
      <w:bodyDiv w:val="1"/>
      <w:marLeft w:val="0"/>
      <w:marRight w:val="0"/>
      <w:marTop w:val="0"/>
      <w:marBottom w:val="0"/>
      <w:divBdr>
        <w:top w:val="none" w:sz="0" w:space="0" w:color="auto"/>
        <w:left w:val="none" w:sz="0" w:space="0" w:color="auto"/>
        <w:bottom w:val="none" w:sz="0" w:space="0" w:color="auto"/>
        <w:right w:val="none" w:sz="0" w:space="0" w:color="auto"/>
      </w:divBdr>
    </w:div>
    <w:div w:id="62720595">
      <w:bodyDiv w:val="1"/>
      <w:marLeft w:val="0"/>
      <w:marRight w:val="0"/>
      <w:marTop w:val="0"/>
      <w:marBottom w:val="0"/>
      <w:divBdr>
        <w:top w:val="none" w:sz="0" w:space="0" w:color="auto"/>
        <w:left w:val="none" w:sz="0" w:space="0" w:color="auto"/>
        <w:bottom w:val="none" w:sz="0" w:space="0" w:color="auto"/>
        <w:right w:val="none" w:sz="0" w:space="0" w:color="auto"/>
      </w:divBdr>
      <w:divsChild>
        <w:div w:id="190655710">
          <w:marLeft w:val="0"/>
          <w:marRight w:val="0"/>
          <w:marTop w:val="0"/>
          <w:marBottom w:val="0"/>
          <w:divBdr>
            <w:top w:val="none" w:sz="0" w:space="0" w:color="auto"/>
            <w:left w:val="none" w:sz="0" w:space="0" w:color="auto"/>
            <w:bottom w:val="none" w:sz="0" w:space="0" w:color="auto"/>
            <w:right w:val="none" w:sz="0" w:space="0" w:color="auto"/>
          </w:divBdr>
        </w:div>
        <w:div w:id="1196236101">
          <w:marLeft w:val="0"/>
          <w:marRight w:val="0"/>
          <w:marTop w:val="0"/>
          <w:marBottom w:val="0"/>
          <w:divBdr>
            <w:top w:val="none" w:sz="0" w:space="0" w:color="auto"/>
            <w:left w:val="none" w:sz="0" w:space="0" w:color="auto"/>
            <w:bottom w:val="none" w:sz="0" w:space="0" w:color="auto"/>
            <w:right w:val="none" w:sz="0" w:space="0" w:color="auto"/>
          </w:divBdr>
        </w:div>
      </w:divsChild>
    </w:div>
    <w:div w:id="97919760">
      <w:bodyDiv w:val="1"/>
      <w:marLeft w:val="0"/>
      <w:marRight w:val="0"/>
      <w:marTop w:val="0"/>
      <w:marBottom w:val="0"/>
      <w:divBdr>
        <w:top w:val="none" w:sz="0" w:space="0" w:color="auto"/>
        <w:left w:val="none" w:sz="0" w:space="0" w:color="auto"/>
        <w:bottom w:val="none" w:sz="0" w:space="0" w:color="auto"/>
        <w:right w:val="none" w:sz="0" w:space="0" w:color="auto"/>
      </w:divBdr>
    </w:div>
    <w:div w:id="182129458">
      <w:bodyDiv w:val="1"/>
      <w:marLeft w:val="0"/>
      <w:marRight w:val="0"/>
      <w:marTop w:val="0"/>
      <w:marBottom w:val="0"/>
      <w:divBdr>
        <w:top w:val="none" w:sz="0" w:space="0" w:color="auto"/>
        <w:left w:val="none" w:sz="0" w:space="0" w:color="auto"/>
        <w:bottom w:val="none" w:sz="0" w:space="0" w:color="auto"/>
        <w:right w:val="none" w:sz="0" w:space="0" w:color="auto"/>
      </w:divBdr>
    </w:div>
    <w:div w:id="208496084">
      <w:bodyDiv w:val="1"/>
      <w:marLeft w:val="0"/>
      <w:marRight w:val="0"/>
      <w:marTop w:val="0"/>
      <w:marBottom w:val="0"/>
      <w:divBdr>
        <w:top w:val="none" w:sz="0" w:space="0" w:color="auto"/>
        <w:left w:val="none" w:sz="0" w:space="0" w:color="auto"/>
        <w:bottom w:val="none" w:sz="0" w:space="0" w:color="auto"/>
        <w:right w:val="none" w:sz="0" w:space="0" w:color="auto"/>
      </w:divBdr>
    </w:div>
    <w:div w:id="211503362">
      <w:bodyDiv w:val="1"/>
      <w:marLeft w:val="0"/>
      <w:marRight w:val="0"/>
      <w:marTop w:val="0"/>
      <w:marBottom w:val="0"/>
      <w:divBdr>
        <w:top w:val="none" w:sz="0" w:space="0" w:color="auto"/>
        <w:left w:val="none" w:sz="0" w:space="0" w:color="auto"/>
        <w:bottom w:val="none" w:sz="0" w:space="0" w:color="auto"/>
        <w:right w:val="none" w:sz="0" w:space="0" w:color="auto"/>
      </w:divBdr>
    </w:div>
    <w:div w:id="236790341">
      <w:bodyDiv w:val="1"/>
      <w:marLeft w:val="0"/>
      <w:marRight w:val="0"/>
      <w:marTop w:val="0"/>
      <w:marBottom w:val="0"/>
      <w:divBdr>
        <w:top w:val="none" w:sz="0" w:space="0" w:color="auto"/>
        <w:left w:val="none" w:sz="0" w:space="0" w:color="auto"/>
        <w:bottom w:val="none" w:sz="0" w:space="0" w:color="auto"/>
        <w:right w:val="none" w:sz="0" w:space="0" w:color="auto"/>
      </w:divBdr>
    </w:div>
    <w:div w:id="247006451">
      <w:bodyDiv w:val="1"/>
      <w:marLeft w:val="0"/>
      <w:marRight w:val="0"/>
      <w:marTop w:val="0"/>
      <w:marBottom w:val="0"/>
      <w:divBdr>
        <w:top w:val="none" w:sz="0" w:space="0" w:color="auto"/>
        <w:left w:val="none" w:sz="0" w:space="0" w:color="auto"/>
        <w:bottom w:val="none" w:sz="0" w:space="0" w:color="auto"/>
        <w:right w:val="none" w:sz="0" w:space="0" w:color="auto"/>
      </w:divBdr>
    </w:div>
    <w:div w:id="256134557">
      <w:bodyDiv w:val="1"/>
      <w:marLeft w:val="0"/>
      <w:marRight w:val="0"/>
      <w:marTop w:val="0"/>
      <w:marBottom w:val="0"/>
      <w:divBdr>
        <w:top w:val="none" w:sz="0" w:space="0" w:color="auto"/>
        <w:left w:val="none" w:sz="0" w:space="0" w:color="auto"/>
        <w:bottom w:val="none" w:sz="0" w:space="0" w:color="auto"/>
        <w:right w:val="none" w:sz="0" w:space="0" w:color="auto"/>
      </w:divBdr>
    </w:div>
    <w:div w:id="278491367">
      <w:bodyDiv w:val="1"/>
      <w:marLeft w:val="0"/>
      <w:marRight w:val="0"/>
      <w:marTop w:val="0"/>
      <w:marBottom w:val="0"/>
      <w:divBdr>
        <w:top w:val="none" w:sz="0" w:space="0" w:color="auto"/>
        <w:left w:val="none" w:sz="0" w:space="0" w:color="auto"/>
        <w:bottom w:val="none" w:sz="0" w:space="0" w:color="auto"/>
        <w:right w:val="none" w:sz="0" w:space="0" w:color="auto"/>
      </w:divBdr>
    </w:div>
    <w:div w:id="298196388">
      <w:bodyDiv w:val="1"/>
      <w:marLeft w:val="0"/>
      <w:marRight w:val="0"/>
      <w:marTop w:val="0"/>
      <w:marBottom w:val="0"/>
      <w:divBdr>
        <w:top w:val="none" w:sz="0" w:space="0" w:color="auto"/>
        <w:left w:val="none" w:sz="0" w:space="0" w:color="auto"/>
        <w:bottom w:val="none" w:sz="0" w:space="0" w:color="auto"/>
        <w:right w:val="none" w:sz="0" w:space="0" w:color="auto"/>
      </w:divBdr>
    </w:div>
    <w:div w:id="414203488">
      <w:bodyDiv w:val="1"/>
      <w:marLeft w:val="0"/>
      <w:marRight w:val="0"/>
      <w:marTop w:val="0"/>
      <w:marBottom w:val="0"/>
      <w:divBdr>
        <w:top w:val="none" w:sz="0" w:space="0" w:color="auto"/>
        <w:left w:val="none" w:sz="0" w:space="0" w:color="auto"/>
        <w:bottom w:val="none" w:sz="0" w:space="0" w:color="auto"/>
        <w:right w:val="none" w:sz="0" w:space="0" w:color="auto"/>
      </w:divBdr>
    </w:div>
    <w:div w:id="451829562">
      <w:bodyDiv w:val="1"/>
      <w:marLeft w:val="0"/>
      <w:marRight w:val="0"/>
      <w:marTop w:val="0"/>
      <w:marBottom w:val="0"/>
      <w:divBdr>
        <w:top w:val="none" w:sz="0" w:space="0" w:color="auto"/>
        <w:left w:val="none" w:sz="0" w:space="0" w:color="auto"/>
        <w:bottom w:val="none" w:sz="0" w:space="0" w:color="auto"/>
        <w:right w:val="none" w:sz="0" w:space="0" w:color="auto"/>
      </w:divBdr>
    </w:div>
    <w:div w:id="583152755">
      <w:bodyDiv w:val="1"/>
      <w:marLeft w:val="0"/>
      <w:marRight w:val="0"/>
      <w:marTop w:val="0"/>
      <w:marBottom w:val="0"/>
      <w:divBdr>
        <w:top w:val="none" w:sz="0" w:space="0" w:color="auto"/>
        <w:left w:val="none" w:sz="0" w:space="0" w:color="auto"/>
        <w:bottom w:val="none" w:sz="0" w:space="0" w:color="auto"/>
        <w:right w:val="none" w:sz="0" w:space="0" w:color="auto"/>
      </w:divBdr>
      <w:divsChild>
        <w:div w:id="1532063362">
          <w:marLeft w:val="0"/>
          <w:marRight w:val="0"/>
          <w:marTop w:val="0"/>
          <w:marBottom w:val="0"/>
          <w:divBdr>
            <w:top w:val="none" w:sz="0" w:space="0" w:color="auto"/>
            <w:left w:val="none" w:sz="0" w:space="0" w:color="auto"/>
            <w:bottom w:val="none" w:sz="0" w:space="0" w:color="auto"/>
            <w:right w:val="none" w:sz="0" w:space="0" w:color="auto"/>
          </w:divBdr>
        </w:div>
        <w:div w:id="1103915840">
          <w:marLeft w:val="0"/>
          <w:marRight w:val="0"/>
          <w:marTop w:val="0"/>
          <w:marBottom w:val="0"/>
          <w:divBdr>
            <w:top w:val="none" w:sz="0" w:space="0" w:color="auto"/>
            <w:left w:val="none" w:sz="0" w:space="0" w:color="auto"/>
            <w:bottom w:val="none" w:sz="0" w:space="0" w:color="auto"/>
            <w:right w:val="none" w:sz="0" w:space="0" w:color="auto"/>
          </w:divBdr>
          <w:divsChild>
            <w:div w:id="4906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86138">
      <w:bodyDiv w:val="1"/>
      <w:marLeft w:val="0"/>
      <w:marRight w:val="0"/>
      <w:marTop w:val="0"/>
      <w:marBottom w:val="0"/>
      <w:divBdr>
        <w:top w:val="none" w:sz="0" w:space="0" w:color="auto"/>
        <w:left w:val="none" w:sz="0" w:space="0" w:color="auto"/>
        <w:bottom w:val="none" w:sz="0" w:space="0" w:color="auto"/>
        <w:right w:val="none" w:sz="0" w:space="0" w:color="auto"/>
      </w:divBdr>
      <w:divsChild>
        <w:div w:id="1484079777">
          <w:marLeft w:val="0"/>
          <w:marRight w:val="0"/>
          <w:marTop w:val="0"/>
          <w:marBottom w:val="0"/>
          <w:divBdr>
            <w:top w:val="none" w:sz="0" w:space="0" w:color="auto"/>
            <w:left w:val="none" w:sz="0" w:space="0" w:color="auto"/>
            <w:bottom w:val="none" w:sz="0" w:space="0" w:color="auto"/>
            <w:right w:val="none" w:sz="0" w:space="0" w:color="auto"/>
          </w:divBdr>
        </w:div>
        <w:div w:id="1019743244">
          <w:marLeft w:val="0"/>
          <w:marRight w:val="0"/>
          <w:marTop w:val="0"/>
          <w:marBottom w:val="0"/>
          <w:divBdr>
            <w:top w:val="none" w:sz="0" w:space="0" w:color="auto"/>
            <w:left w:val="none" w:sz="0" w:space="0" w:color="auto"/>
            <w:bottom w:val="none" w:sz="0" w:space="0" w:color="auto"/>
            <w:right w:val="none" w:sz="0" w:space="0" w:color="auto"/>
          </w:divBdr>
        </w:div>
      </w:divsChild>
    </w:div>
    <w:div w:id="739913254">
      <w:bodyDiv w:val="1"/>
      <w:marLeft w:val="0"/>
      <w:marRight w:val="0"/>
      <w:marTop w:val="0"/>
      <w:marBottom w:val="0"/>
      <w:divBdr>
        <w:top w:val="none" w:sz="0" w:space="0" w:color="auto"/>
        <w:left w:val="none" w:sz="0" w:space="0" w:color="auto"/>
        <w:bottom w:val="none" w:sz="0" w:space="0" w:color="auto"/>
        <w:right w:val="none" w:sz="0" w:space="0" w:color="auto"/>
      </w:divBdr>
      <w:divsChild>
        <w:div w:id="414939125">
          <w:marLeft w:val="0"/>
          <w:marRight w:val="0"/>
          <w:marTop w:val="0"/>
          <w:marBottom w:val="0"/>
          <w:divBdr>
            <w:top w:val="none" w:sz="0" w:space="0" w:color="auto"/>
            <w:left w:val="none" w:sz="0" w:space="0" w:color="auto"/>
            <w:bottom w:val="none" w:sz="0" w:space="0" w:color="auto"/>
            <w:right w:val="none" w:sz="0" w:space="0" w:color="auto"/>
          </w:divBdr>
        </w:div>
        <w:div w:id="351148906">
          <w:marLeft w:val="0"/>
          <w:marRight w:val="0"/>
          <w:marTop w:val="0"/>
          <w:marBottom w:val="0"/>
          <w:divBdr>
            <w:top w:val="none" w:sz="0" w:space="0" w:color="auto"/>
            <w:left w:val="none" w:sz="0" w:space="0" w:color="auto"/>
            <w:bottom w:val="none" w:sz="0" w:space="0" w:color="auto"/>
            <w:right w:val="none" w:sz="0" w:space="0" w:color="auto"/>
          </w:divBdr>
        </w:div>
        <w:div w:id="1253003747">
          <w:marLeft w:val="0"/>
          <w:marRight w:val="0"/>
          <w:marTop w:val="0"/>
          <w:marBottom w:val="0"/>
          <w:divBdr>
            <w:top w:val="none" w:sz="0" w:space="0" w:color="auto"/>
            <w:left w:val="none" w:sz="0" w:space="0" w:color="auto"/>
            <w:bottom w:val="none" w:sz="0" w:space="0" w:color="auto"/>
            <w:right w:val="none" w:sz="0" w:space="0" w:color="auto"/>
          </w:divBdr>
        </w:div>
        <w:div w:id="42098019">
          <w:marLeft w:val="0"/>
          <w:marRight w:val="0"/>
          <w:marTop w:val="0"/>
          <w:marBottom w:val="0"/>
          <w:divBdr>
            <w:top w:val="none" w:sz="0" w:space="0" w:color="auto"/>
            <w:left w:val="none" w:sz="0" w:space="0" w:color="auto"/>
            <w:bottom w:val="none" w:sz="0" w:space="0" w:color="auto"/>
            <w:right w:val="none" w:sz="0" w:space="0" w:color="auto"/>
          </w:divBdr>
        </w:div>
        <w:div w:id="1390374634">
          <w:marLeft w:val="0"/>
          <w:marRight w:val="0"/>
          <w:marTop w:val="0"/>
          <w:marBottom w:val="0"/>
          <w:divBdr>
            <w:top w:val="none" w:sz="0" w:space="0" w:color="auto"/>
            <w:left w:val="none" w:sz="0" w:space="0" w:color="auto"/>
            <w:bottom w:val="none" w:sz="0" w:space="0" w:color="auto"/>
            <w:right w:val="none" w:sz="0" w:space="0" w:color="auto"/>
          </w:divBdr>
        </w:div>
        <w:div w:id="688214930">
          <w:marLeft w:val="0"/>
          <w:marRight w:val="0"/>
          <w:marTop w:val="0"/>
          <w:marBottom w:val="0"/>
          <w:divBdr>
            <w:top w:val="none" w:sz="0" w:space="0" w:color="auto"/>
            <w:left w:val="none" w:sz="0" w:space="0" w:color="auto"/>
            <w:bottom w:val="none" w:sz="0" w:space="0" w:color="auto"/>
            <w:right w:val="none" w:sz="0" w:space="0" w:color="auto"/>
          </w:divBdr>
        </w:div>
        <w:div w:id="721906334">
          <w:marLeft w:val="0"/>
          <w:marRight w:val="0"/>
          <w:marTop w:val="0"/>
          <w:marBottom w:val="0"/>
          <w:divBdr>
            <w:top w:val="none" w:sz="0" w:space="0" w:color="auto"/>
            <w:left w:val="none" w:sz="0" w:space="0" w:color="auto"/>
            <w:bottom w:val="none" w:sz="0" w:space="0" w:color="auto"/>
            <w:right w:val="none" w:sz="0" w:space="0" w:color="auto"/>
          </w:divBdr>
          <w:divsChild>
            <w:div w:id="751511906">
              <w:marLeft w:val="0"/>
              <w:marRight w:val="0"/>
              <w:marTop w:val="0"/>
              <w:marBottom w:val="0"/>
              <w:divBdr>
                <w:top w:val="none" w:sz="0" w:space="0" w:color="auto"/>
                <w:left w:val="none" w:sz="0" w:space="0" w:color="auto"/>
                <w:bottom w:val="none" w:sz="0" w:space="0" w:color="auto"/>
                <w:right w:val="none" w:sz="0" w:space="0" w:color="auto"/>
              </w:divBdr>
            </w:div>
          </w:divsChild>
        </w:div>
        <w:div w:id="1696617091">
          <w:marLeft w:val="0"/>
          <w:marRight w:val="0"/>
          <w:marTop w:val="0"/>
          <w:marBottom w:val="0"/>
          <w:divBdr>
            <w:top w:val="none" w:sz="0" w:space="0" w:color="auto"/>
            <w:left w:val="none" w:sz="0" w:space="0" w:color="auto"/>
            <w:bottom w:val="none" w:sz="0" w:space="0" w:color="auto"/>
            <w:right w:val="none" w:sz="0" w:space="0" w:color="auto"/>
          </w:divBdr>
        </w:div>
        <w:div w:id="123471869">
          <w:marLeft w:val="0"/>
          <w:marRight w:val="0"/>
          <w:marTop w:val="0"/>
          <w:marBottom w:val="0"/>
          <w:divBdr>
            <w:top w:val="none" w:sz="0" w:space="0" w:color="auto"/>
            <w:left w:val="none" w:sz="0" w:space="0" w:color="auto"/>
            <w:bottom w:val="none" w:sz="0" w:space="0" w:color="auto"/>
            <w:right w:val="none" w:sz="0" w:space="0" w:color="auto"/>
          </w:divBdr>
        </w:div>
        <w:div w:id="2126732941">
          <w:marLeft w:val="0"/>
          <w:marRight w:val="0"/>
          <w:marTop w:val="0"/>
          <w:marBottom w:val="0"/>
          <w:divBdr>
            <w:top w:val="none" w:sz="0" w:space="0" w:color="auto"/>
            <w:left w:val="none" w:sz="0" w:space="0" w:color="auto"/>
            <w:bottom w:val="none" w:sz="0" w:space="0" w:color="auto"/>
            <w:right w:val="none" w:sz="0" w:space="0" w:color="auto"/>
          </w:divBdr>
        </w:div>
        <w:div w:id="1942256394">
          <w:marLeft w:val="0"/>
          <w:marRight w:val="0"/>
          <w:marTop w:val="0"/>
          <w:marBottom w:val="0"/>
          <w:divBdr>
            <w:top w:val="none" w:sz="0" w:space="0" w:color="auto"/>
            <w:left w:val="none" w:sz="0" w:space="0" w:color="auto"/>
            <w:bottom w:val="none" w:sz="0" w:space="0" w:color="auto"/>
            <w:right w:val="none" w:sz="0" w:space="0" w:color="auto"/>
          </w:divBdr>
        </w:div>
        <w:div w:id="1240090440">
          <w:marLeft w:val="0"/>
          <w:marRight w:val="0"/>
          <w:marTop w:val="0"/>
          <w:marBottom w:val="0"/>
          <w:divBdr>
            <w:top w:val="none" w:sz="0" w:space="0" w:color="auto"/>
            <w:left w:val="none" w:sz="0" w:space="0" w:color="auto"/>
            <w:bottom w:val="none" w:sz="0" w:space="0" w:color="auto"/>
            <w:right w:val="none" w:sz="0" w:space="0" w:color="auto"/>
          </w:divBdr>
        </w:div>
        <w:div w:id="545601190">
          <w:marLeft w:val="0"/>
          <w:marRight w:val="0"/>
          <w:marTop w:val="0"/>
          <w:marBottom w:val="0"/>
          <w:divBdr>
            <w:top w:val="none" w:sz="0" w:space="0" w:color="auto"/>
            <w:left w:val="none" w:sz="0" w:space="0" w:color="auto"/>
            <w:bottom w:val="none" w:sz="0" w:space="0" w:color="auto"/>
            <w:right w:val="none" w:sz="0" w:space="0" w:color="auto"/>
          </w:divBdr>
          <w:divsChild>
            <w:div w:id="988707759">
              <w:marLeft w:val="0"/>
              <w:marRight w:val="0"/>
              <w:marTop w:val="0"/>
              <w:marBottom w:val="0"/>
              <w:divBdr>
                <w:top w:val="none" w:sz="0" w:space="0" w:color="auto"/>
                <w:left w:val="none" w:sz="0" w:space="0" w:color="auto"/>
                <w:bottom w:val="none" w:sz="0" w:space="0" w:color="auto"/>
                <w:right w:val="none" w:sz="0" w:space="0" w:color="auto"/>
              </w:divBdr>
            </w:div>
          </w:divsChild>
        </w:div>
        <w:div w:id="556010407">
          <w:marLeft w:val="0"/>
          <w:marRight w:val="0"/>
          <w:marTop w:val="0"/>
          <w:marBottom w:val="0"/>
          <w:divBdr>
            <w:top w:val="none" w:sz="0" w:space="0" w:color="auto"/>
            <w:left w:val="none" w:sz="0" w:space="0" w:color="auto"/>
            <w:bottom w:val="none" w:sz="0" w:space="0" w:color="auto"/>
            <w:right w:val="none" w:sz="0" w:space="0" w:color="auto"/>
          </w:divBdr>
        </w:div>
        <w:div w:id="18548016">
          <w:marLeft w:val="0"/>
          <w:marRight w:val="0"/>
          <w:marTop w:val="0"/>
          <w:marBottom w:val="0"/>
          <w:divBdr>
            <w:top w:val="none" w:sz="0" w:space="0" w:color="auto"/>
            <w:left w:val="none" w:sz="0" w:space="0" w:color="auto"/>
            <w:bottom w:val="none" w:sz="0" w:space="0" w:color="auto"/>
            <w:right w:val="none" w:sz="0" w:space="0" w:color="auto"/>
          </w:divBdr>
        </w:div>
        <w:div w:id="435640209">
          <w:marLeft w:val="0"/>
          <w:marRight w:val="0"/>
          <w:marTop w:val="0"/>
          <w:marBottom w:val="0"/>
          <w:divBdr>
            <w:top w:val="none" w:sz="0" w:space="0" w:color="auto"/>
            <w:left w:val="none" w:sz="0" w:space="0" w:color="auto"/>
            <w:bottom w:val="none" w:sz="0" w:space="0" w:color="auto"/>
            <w:right w:val="none" w:sz="0" w:space="0" w:color="auto"/>
          </w:divBdr>
        </w:div>
        <w:div w:id="78721610">
          <w:marLeft w:val="0"/>
          <w:marRight w:val="0"/>
          <w:marTop w:val="0"/>
          <w:marBottom w:val="0"/>
          <w:divBdr>
            <w:top w:val="none" w:sz="0" w:space="0" w:color="auto"/>
            <w:left w:val="none" w:sz="0" w:space="0" w:color="auto"/>
            <w:bottom w:val="none" w:sz="0" w:space="0" w:color="auto"/>
            <w:right w:val="none" w:sz="0" w:space="0" w:color="auto"/>
          </w:divBdr>
        </w:div>
        <w:div w:id="1320495644">
          <w:marLeft w:val="0"/>
          <w:marRight w:val="0"/>
          <w:marTop w:val="0"/>
          <w:marBottom w:val="0"/>
          <w:divBdr>
            <w:top w:val="none" w:sz="0" w:space="0" w:color="auto"/>
            <w:left w:val="none" w:sz="0" w:space="0" w:color="auto"/>
            <w:bottom w:val="none" w:sz="0" w:space="0" w:color="auto"/>
            <w:right w:val="none" w:sz="0" w:space="0" w:color="auto"/>
          </w:divBdr>
        </w:div>
        <w:div w:id="2045330805">
          <w:marLeft w:val="0"/>
          <w:marRight w:val="0"/>
          <w:marTop w:val="0"/>
          <w:marBottom w:val="0"/>
          <w:divBdr>
            <w:top w:val="none" w:sz="0" w:space="0" w:color="auto"/>
            <w:left w:val="none" w:sz="0" w:space="0" w:color="auto"/>
            <w:bottom w:val="none" w:sz="0" w:space="0" w:color="auto"/>
            <w:right w:val="none" w:sz="0" w:space="0" w:color="auto"/>
          </w:divBdr>
        </w:div>
      </w:divsChild>
    </w:div>
    <w:div w:id="792214810">
      <w:bodyDiv w:val="1"/>
      <w:marLeft w:val="0"/>
      <w:marRight w:val="0"/>
      <w:marTop w:val="0"/>
      <w:marBottom w:val="0"/>
      <w:divBdr>
        <w:top w:val="none" w:sz="0" w:space="0" w:color="auto"/>
        <w:left w:val="none" w:sz="0" w:space="0" w:color="auto"/>
        <w:bottom w:val="none" w:sz="0" w:space="0" w:color="auto"/>
        <w:right w:val="none" w:sz="0" w:space="0" w:color="auto"/>
      </w:divBdr>
      <w:divsChild>
        <w:div w:id="828790027">
          <w:marLeft w:val="0"/>
          <w:marRight w:val="0"/>
          <w:marTop w:val="0"/>
          <w:marBottom w:val="0"/>
          <w:divBdr>
            <w:top w:val="none" w:sz="0" w:space="0" w:color="auto"/>
            <w:left w:val="none" w:sz="0" w:space="0" w:color="auto"/>
            <w:bottom w:val="none" w:sz="0" w:space="0" w:color="auto"/>
            <w:right w:val="none" w:sz="0" w:space="0" w:color="auto"/>
          </w:divBdr>
          <w:divsChild>
            <w:div w:id="42486383">
              <w:marLeft w:val="0"/>
              <w:marRight w:val="0"/>
              <w:marTop w:val="0"/>
              <w:marBottom w:val="0"/>
              <w:divBdr>
                <w:top w:val="none" w:sz="0" w:space="0" w:color="auto"/>
                <w:left w:val="none" w:sz="0" w:space="0" w:color="auto"/>
                <w:bottom w:val="none" w:sz="0" w:space="0" w:color="auto"/>
                <w:right w:val="none" w:sz="0" w:space="0" w:color="auto"/>
              </w:divBdr>
              <w:divsChild>
                <w:div w:id="13925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742087">
      <w:bodyDiv w:val="1"/>
      <w:marLeft w:val="0"/>
      <w:marRight w:val="0"/>
      <w:marTop w:val="0"/>
      <w:marBottom w:val="0"/>
      <w:divBdr>
        <w:top w:val="none" w:sz="0" w:space="0" w:color="auto"/>
        <w:left w:val="none" w:sz="0" w:space="0" w:color="auto"/>
        <w:bottom w:val="none" w:sz="0" w:space="0" w:color="auto"/>
        <w:right w:val="none" w:sz="0" w:space="0" w:color="auto"/>
      </w:divBdr>
    </w:div>
    <w:div w:id="905650320">
      <w:bodyDiv w:val="1"/>
      <w:marLeft w:val="0"/>
      <w:marRight w:val="0"/>
      <w:marTop w:val="0"/>
      <w:marBottom w:val="0"/>
      <w:divBdr>
        <w:top w:val="none" w:sz="0" w:space="0" w:color="auto"/>
        <w:left w:val="none" w:sz="0" w:space="0" w:color="auto"/>
        <w:bottom w:val="none" w:sz="0" w:space="0" w:color="auto"/>
        <w:right w:val="none" w:sz="0" w:space="0" w:color="auto"/>
      </w:divBdr>
    </w:div>
    <w:div w:id="980617963">
      <w:bodyDiv w:val="1"/>
      <w:marLeft w:val="0"/>
      <w:marRight w:val="0"/>
      <w:marTop w:val="0"/>
      <w:marBottom w:val="0"/>
      <w:divBdr>
        <w:top w:val="none" w:sz="0" w:space="0" w:color="auto"/>
        <w:left w:val="none" w:sz="0" w:space="0" w:color="auto"/>
        <w:bottom w:val="none" w:sz="0" w:space="0" w:color="auto"/>
        <w:right w:val="none" w:sz="0" w:space="0" w:color="auto"/>
      </w:divBdr>
    </w:div>
    <w:div w:id="1003170205">
      <w:bodyDiv w:val="1"/>
      <w:marLeft w:val="0"/>
      <w:marRight w:val="0"/>
      <w:marTop w:val="0"/>
      <w:marBottom w:val="0"/>
      <w:divBdr>
        <w:top w:val="none" w:sz="0" w:space="0" w:color="auto"/>
        <w:left w:val="none" w:sz="0" w:space="0" w:color="auto"/>
        <w:bottom w:val="none" w:sz="0" w:space="0" w:color="auto"/>
        <w:right w:val="none" w:sz="0" w:space="0" w:color="auto"/>
      </w:divBdr>
    </w:div>
    <w:div w:id="1049105792">
      <w:bodyDiv w:val="1"/>
      <w:marLeft w:val="0"/>
      <w:marRight w:val="0"/>
      <w:marTop w:val="0"/>
      <w:marBottom w:val="0"/>
      <w:divBdr>
        <w:top w:val="none" w:sz="0" w:space="0" w:color="auto"/>
        <w:left w:val="none" w:sz="0" w:space="0" w:color="auto"/>
        <w:bottom w:val="none" w:sz="0" w:space="0" w:color="auto"/>
        <w:right w:val="none" w:sz="0" w:space="0" w:color="auto"/>
      </w:divBdr>
    </w:div>
    <w:div w:id="1131244974">
      <w:bodyDiv w:val="1"/>
      <w:marLeft w:val="0"/>
      <w:marRight w:val="0"/>
      <w:marTop w:val="0"/>
      <w:marBottom w:val="0"/>
      <w:divBdr>
        <w:top w:val="none" w:sz="0" w:space="0" w:color="auto"/>
        <w:left w:val="none" w:sz="0" w:space="0" w:color="auto"/>
        <w:bottom w:val="none" w:sz="0" w:space="0" w:color="auto"/>
        <w:right w:val="none" w:sz="0" w:space="0" w:color="auto"/>
      </w:divBdr>
    </w:div>
    <w:div w:id="1147939824">
      <w:bodyDiv w:val="1"/>
      <w:marLeft w:val="0"/>
      <w:marRight w:val="0"/>
      <w:marTop w:val="0"/>
      <w:marBottom w:val="0"/>
      <w:divBdr>
        <w:top w:val="none" w:sz="0" w:space="0" w:color="auto"/>
        <w:left w:val="none" w:sz="0" w:space="0" w:color="auto"/>
        <w:bottom w:val="none" w:sz="0" w:space="0" w:color="auto"/>
        <w:right w:val="none" w:sz="0" w:space="0" w:color="auto"/>
      </w:divBdr>
      <w:divsChild>
        <w:div w:id="615408372">
          <w:marLeft w:val="0"/>
          <w:marRight w:val="0"/>
          <w:marTop w:val="0"/>
          <w:marBottom w:val="0"/>
          <w:divBdr>
            <w:top w:val="none" w:sz="0" w:space="0" w:color="auto"/>
            <w:left w:val="none" w:sz="0" w:space="0" w:color="auto"/>
            <w:bottom w:val="none" w:sz="0" w:space="0" w:color="auto"/>
            <w:right w:val="none" w:sz="0" w:space="0" w:color="auto"/>
          </w:divBdr>
          <w:divsChild>
            <w:div w:id="8120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346">
      <w:bodyDiv w:val="1"/>
      <w:marLeft w:val="0"/>
      <w:marRight w:val="0"/>
      <w:marTop w:val="0"/>
      <w:marBottom w:val="0"/>
      <w:divBdr>
        <w:top w:val="none" w:sz="0" w:space="0" w:color="auto"/>
        <w:left w:val="none" w:sz="0" w:space="0" w:color="auto"/>
        <w:bottom w:val="none" w:sz="0" w:space="0" w:color="auto"/>
        <w:right w:val="none" w:sz="0" w:space="0" w:color="auto"/>
      </w:divBdr>
    </w:div>
    <w:div w:id="1265843702">
      <w:bodyDiv w:val="1"/>
      <w:marLeft w:val="0"/>
      <w:marRight w:val="0"/>
      <w:marTop w:val="0"/>
      <w:marBottom w:val="0"/>
      <w:divBdr>
        <w:top w:val="none" w:sz="0" w:space="0" w:color="auto"/>
        <w:left w:val="none" w:sz="0" w:space="0" w:color="auto"/>
        <w:bottom w:val="none" w:sz="0" w:space="0" w:color="auto"/>
        <w:right w:val="none" w:sz="0" w:space="0" w:color="auto"/>
      </w:divBdr>
    </w:div>
    <w:div w:id="1347638800">
      <w:bodyDiv w:val="1"/>
      <w:marLeft w:val="0"/>
      <w:marRight w:val="0"/>
      <w:marTop w:val="0"/>
      <w:marBottom w:val="0"/>
      <w:divBdr>
        <w:top w:val="none" w:sz="0" w:space="0" w:color="auto"/>
        <w:left w:val="none" w:sz="0" w:space="0" w:color="auto"/>
        <w:bottom w:val="none" w:sz="0" w:space="0" w:color="auto"/>
        <w:right w:val="none" w:sz="0" w:space="0" w:color="auto"/>
      </w:divBdr>
    </w:div>
    <w:div w:id="1382710846">
      <w:bodyDiv w:val="1"/>
      <w:marLeft w:val="0"/>
      <w:marRight w:val="0"/>
      <w:marTop w:val="0"/>
      <w:marBottom w:val="0"/>
      <w:divBdr>
        <w:top w:val="none" w:sz="0" w:space="0" w:color="auto"/>
        <w:left w:val="none" w:sz="0" w:space="0" w:color="auto"/>
        <w:bottom w:val="none" w:sz="0" w:space="0" w:color="auto"/>
        <w:right w:val="none" w:sz="0" w:space="0" w:color="auto"/>
      </w:divBdr>
    </w:div>
    <w:div w:id="1458181603">
      <w:bodyDiv w:val="1"/>
      <w:marLeft w:val="0"/>
      <w:marRight w:val="0"/>
      <w:marTop w:val="0"/>
      <w:marBottom w:val="0"/>
      <w:divBdr>
        <w:top w:val="none" w:sz="0" w:space="0" w:color="auto"/>
        <w:left w:val="none" w:sz="0" w:space="0" w:color="auto"/>
        <w:bottom w:val="none" w:sz="0" w:space="0" w:color="auto"/>
        <w:right w:val="none" w:sz="0" w:space="0" w:color="auto"/>
      </w:divBdr>
    </w:div>
    <w:div w:id="1502309921">
      <w:bodyDiv w:val="1"/>
      <w:marLeft w:val="0"/>
      <w:marRight w:val="0"/>
      <w:marTop w:val="0"/>
      <w:marBottom w:val="0"/>
      <w:divBdr>
        <w:top w:val="none" w:sz="0" w:space="0" w:color="auto"/>
        <w:left w:val="none" w:sz="0" w:space="0" w:color="auto"/>
        <w:bottom w:val="none" w:sz="0" w:space="0" w:color="auto"/>
        <w:right w:val="none" w:sz="0" w:space="0" w:color="auto"/>
      </w:divBdr>
      <w:divsChild>
        <w:div w:id="1162768903">
          <w:marLeft w:val="0"/>
          <w:marRight w:val="0"/>
          <w:marTop w:val="0"/>
          <w:marBottom w:val="0"/>
          <w:divBdr>
            <w:top w:val="none" w:sz="0" w:space="0" w:color="auto"/>
            <w:left w:val="none" w:sz="0" w:space="0" w:color="auto"/>
            <w:bottom w:val="none" w:sz="0" w:space="0" w:color="auto"/>
            <w:right w:val="none" w:sz="0" w:space="0" w:color="auto"/>
          </w:divBdr>
        </w:div>
        <w:div w:id="464082489">
          <w:marLeft w:val="0"/>
          <w:marRight w:val="0"/>
          <w:marTop w:val="0"/>
          <w:marBottom w:val="0"/>
          <w:divBdr>
            <w:top w:val="none" w:sz="0" w:space="0" w:color="auto"/>
            <w:left w:val="none" w:sz="0" w:space="0" w:color="auto"/>
            <w:bottom w:val="none" w:sz="0" w:space="0" w:color="auto"/>
            <w:right w:val="none" w:sz="0" w:space="0" w:color="auto"/>
          </w:divBdr>
        </w:div>
      </w:divsChild>
    </w:div>
    <w:div w:id="1562063304">
      <w:bodyDiv w:val="1"/>
      <w:marLeft w:val="0"/>
      <w:marRight w:val="0"/>
      <w:marTop w:val="0"/>
      <w:marBottom w:val="0"/>
      <w:divBdr>
        <w:top w:val="none" w:sz="0" w:space="0" w:color="auto"/>
        <w:left w:val="none" w:sz="0" w:space="0" w:color="auto"/>
        <w:bottom w:val="none" w:sz="0" w:space="0" w:color="auto"/>
        <w:right w:val="none" w:sz="0" w:space="0" w:color="auto"/>
      </w:divBdr>
    </w:div>
    <w:div w:id="1671906596">
      <w:bodyDiv w:val="1"/>
      <w:marLeft w:val="0"/>
      <w:marRight w:val="0"/>
      <w:marTop w:val="0"/>
      <w:marBottom w:val="0"/>
      <w:divBdr>
        <w:top w:val="none" w:sz="0" w:space="0" w:color="auto"/>
        <w:left w:val="none" w:sz="0" w:space="0" w:color="auto"/>
        <w:bottom w:val="none" w:sz="0" w:space="0" w:color="auto"/>
        <w:right w:val="none" w:sz="0" w:space="0" w:color="auto"/>
      </w:divBdr>
    </w:div>
    <w:div w:id="1690594748">
      <w:bodyDiv w:val="1"/>
      <w:marLeft w:val="0"/>
      <w:marRight w:val="0"/>
      <w:marTop w:val="0"/>
      <w:marBottom w:val="0"/>
      <w:divBdr>
        <w:top w:val="none" w:sz="0" w:space="0" w:color="auto"/>
        <w:left w:val="none" w:sz="0" w:space="0" w:color="auto"/>
        <w:bottom w:val="none" w:sz="0" w:space="0" w:color="auto"/>
        <w:right w:val="none" w:sz="0" w:space="0" w:color="auto"/>
      </w:divBdr>
    </w:div>
    <w:div w:id="1829055307">
      <w:bodyDiv w:val="1"/>
      <w:marLeft w:val="0"/>
      <w:marRight w:val="0"/>
      <w:marTop w:val="0"/>
      <w:marBottom w:val="0"/>
      <w:divBdr>
        <w:top w:val="none" w:sz="0" w:space="0" w:color="auto"/>
        <w:left w:val="none" w:sz="0" w:space="0" w:color="auto"/>
        <w:bottom w:val="none" w:sz="0" w:space="0" w:color="auto"/>
        <w:right w:val="none" w:sz="0" w:space="0" w:color="auto"/>
      </w:divBdr>
    </w:div>
    <w:div w:id="1856575788">
      <w:bodyDiv w:val="1"/>
      <w:marLeft w:val="0"/>
      <w:marRight w:val="0"/>
      <w:marTop w:val="0"/>
      <w:marBottom w:val="0"/>
      <w:divBdr>
        <w:top w:val="none" w:sz="0" w:space="0" w:color="auto"/>
        <w:left w:val="none" w:sz="0" w:space="0" w:color="auto"/>
        <w:bottom w:val="none" w:sz="0" w:space="0" w:color="auto"/>
        <w:right w:val="none" w:sz="0" w:space="0" w:color="auto"/>
      </w:divBdr>
    </w:div>
    <w:div w:id="1864711028">
      <w:bodyDiv w:val="1"/>
      <w:marLeft w:val="0"/>
      <w:marRight w:val="0"/>
      <w:marTop w:val="0"/>
      <w:marBottom w:val="0"/>
      <w:divBdr>
        <w:top w:val="none" w:sz="0" w:space="0" w:color="auto"/>
        <w:left w:val="none" w:sz="0" w:space="0" w:color="auto"/>
        <w:bottom w:val="none" w:sz="0" w:space="0" w:color="auto"/>
        <w:right w:val="none" w:sz="0" w:space="0" w:color="auto"/>
      </w:divBdr>
    </w:div>
    <w:div w:id="1913192717">
      <w:bodyDiv w:val="1"/>
      <w:marLeft w:val="0"/>
      <w:marRight w:val="0"/>
      <w:marTop w:val="0"/>
      <w:marBottom w:val="0"/>
      <w:divBdr>
        <w:top w:val="none" w:sz="0" w:space="0" w:color="auto"/>
        <w:left w:val="none" w:sz="0" w:space="0" w:color="auto"/>
        <w:bottom w:val="none" w:sz="0" w:space="0" w:color="auto"/>
        <w:right w:val="none" w:sz="0" w:space="0" w:color="auto"/>
      </w:divBdr>
    </w:div>
    <w:div w:id="1914045675">
      <w:bodyDiv w:val="1"/>
      <w:marLeft w:val="0"/>
      <w:marRight w:val="0"/>
      <w:marTop w:val="0"/>
      <w:marBottom w:val="0"/>
      <w:divBdr>
        <w:top w:val="none" w:sz="0" w:space="0" w:color="auto"/>
        <w:left w:val="none" w:sz="0" w:space="0" w:color="auto"/>
        <w:bottom w:val="none" w:sz="0" w:space="0" w:color="auto"/>
        <w:right w:val="none" w:sz="0" w:space="0" w:color="auto"/>
      </w:divBdr>
    </w:div>
    <w:div w:id="1948541195">
      <w:bodyDiv w:val="1"/>
      <w:marLeft w:val="0"/>
      <w:marRight w:val="0"/>
      <w:marTop w:val="0"/>
      <w:marBottom w:val="0"/>
      <w:divBdr>
        <w:top w:val="none" w:sz="0" w:space="0" w:color="auto"/>
        <w:left w:val="none" w:sz="0" w:space="0" w:color="auto"/>
        <w:bottom w:val="none" w:sz="0" w:space="0" w:color="auto"/>
        <w:right w:val="none" w:sz="0" w:space="0" w:color="auto"/>
      </w:divBdr>
      <w:divsChild>
        <w:div w:id="1081682456">
          <w:marLeft w:val="0"/>
          <w:marRight w:val="0"/>
          <w:marTop w:val="0"/>
          <w:marBottom w:val="0"/>
          <w:divBdr>
            <w:top w:val="none" w:sz="0" w:space="0" w:color="auto"/>
            <w:left w:val="none" w:sz="0" w:space="0" w:color="auto"/>
            <w:bottom w:val="none" w:sz="0" w:space="0" w:color="auto"/>
            <w:right w:val="none" w:sz="0" w:space="0" w:color="auto"/>
          </w:divBdr>
          <w:divsChild>
            <w:div w:id="4729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3131">
      <w:bodyDiv w:val="1"/>
      <w:marLeft w:val="0"/>
      <w:marRight w:val="0"/>
      <w:marTop w:val="0"/>
      <w:marBottom w:val="0"/>
      <w:divBdr>
        <w:top w:val="none" w:sz="0" w:space="0" w:color="auto"/>
        <w:left w:val="none" w:sz="0" w:space="0" w:color="auto"/>
        <w:bottom w:val="none" w:sz="0" w:space="0" w:color="auto"/>
        <w:right w:val="none" w:sz="0" w:space="0" w:color="auto"/>
      </w:divBdr>
    </w:div>
    <w:div w:id="1974828924">
      <w:bodyDiv w:val="1"/>
      <w:marLeft w:val="0"/>
      <w:marRight w:val="0"/>
      <w:marTop w:val="0"/>
      <w:marBottom w:val="0"/>
      <w:divBdr>
        <w:top w:val="none" w:sz="0" w:space="0" w:color="auto"/>
        <w:left w:val="none" w:sz="0" w:space="0" w:color="auto"/>
        <w:bottom w:val="none" w:sz="0" w:space="0" w:color="auto"/>
        <w:right w:val="none" w:sz="0" w:space="0" w:color="auto"/>
      </w:divBdr>
    </w:div>
    <w:div w:id="2054690211">
      <w:bodyDiv w:val="1"/>
      <w:marLeft w:val="0"/>
      <w:marRight w:val="0"/>
      <w:marTop w:val="0"/>
      <w:marBottom w:val="0"/>
      <w:divBdr>
        <w:top w:val="none" w:sz="0" w:space="0" w:color="auto"/>
        <w:left w:val="none" w:sz="0" w:space="0" w:color="auto"/>
        <w:bottom w:val="none" w:sz="0" w:space="0" w:color="auto"/>
        <w:right w:val="none" w:sz="0" w:space="0" w:color="auto"/>
      </w:divBdr>
    </w:div>
    <w:div w:id="211866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9000254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lticcomplet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ine-edu.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file:/Users/Malgosia/Desktop/Akademia%20Morska/dokumenty%20na%20stron&#281;%20www/Table3.htm" TargetMode="External"/><Relationship Id="rId4" Type="http://schemas.openxmlformats.org/officeDocument/2006/relationships/settings" Target="settings.xml"/><Relationship Id="rId9" Type="http://schemas.openxmlformats.org/officeDocument/2006/relationships/hyperlink" Target="https://ec.europa.eu/maritimeaffairs/sites/maritimeaffairs/files/join-2016-49_en.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E011A53D23403A8BCF50E13730EA61"/>
        <w:category>
          <w:name w:val="Ogólne"/>
          <w:gallery w:val="placeholder"/>
        </w:category>
        <w:types>
          <w:type w:val="bbPlcHdr"/>
        </w:types>
        <w:behaviors>
          <w:behavior w:val="content"/>
        </w:behaviors>
        <w:guid w:val="{1B7FFC52-E80F-4EA4-95C9-7B3677C7DCB2}"/>
      </w:docPartPr>
      <w:docPartBody>
        <w:p w:rsidR="00A25E18" w:rsidRDefault="00A25E18" w:rsidP="00A25E18">
          <w:pPr>
            <w:pStyle w:val="A3E011A53D23403A8BCF50E13730EA61"/>
          </w:pPr>
          <w:r w:rsidRPr="004A69AE">
            <w:rPr>
              <w:rFonts w:ascii="Arial" w:hAnsi="Arial" w:cs="Arial"/>
              <w:i/>
              <w:color w:val="7F7F7F" w:themeColor="text1" w:themeTint="80"/>
              <w:sz w:val="16"/>
            </w:rPr>
            <w:t>Cel musi być jasny, konkretny i – w miarę możliwości - wymierny. Wymagane jest wskazanie celu dla każdego członka delegacji. Tylko w uzasadnionych sytuacjach można wskazać ten sam cel dla każdego członka delegacji. Podstawą rozliczenia będzie realizacja zamierzonego celu. Celem nie może być np. „udział w spotkaniu grupy roboczej na temat”; cel musi być jasno wskazywać, co chcemy osiągnąć i dlaczego udział jest niezbędny.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HiddenHorzOCR">
    <w:altName w:val="MS Gothic"/>
    <w:panose1 w:val="00000000000000000000"/>
    <w:charset w:val="80"/>
    <w:family w:val="auto"/>
    <w:notTrueType/>
    <w:pitch w:val="default"/>
    <w:sig w:usb0="00000001" w:usb1="08070000" w:usb2="00000010" w:usb3="00000000" w:csb0="00020000" w:csb1="00000000"/>
  </w:font>
  <w:font w:name="Fira Sans">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37"/>
    <w:rsid w:val="00012F36"/>
    <w:rsid w:val="00020D03"/>
    <w:rsid w:val="00024D26"/>
    <w:rsid w:val="000257D6"/>
    <w:rsid w:val="0003014D"/>
    <w:rsid w:val="00033058"/>
    <w:rsid w:val="0011783F"/>
    <w:rsid w:val="00125A06"/>
    <w:rsid w:val="001457E8"/>
    <w:rsid w:val="001470CC"/>
    <w:rsid w:val="001472E1"/>
    <w:rsid w:val="001C1511"/>
    <w:rsid w:val="00246E4E"/>
    <w:rsid w:val="00266210"/>
    <w:rsid w:val="00272C2D"/>
    <w:rsid w:val="002E2AC5"/>
    <w:rsid w:val="00406831"/>
    <w:rsid w:val="00540431"/>
    <w:rsid w:val="005A0527"/>
    <w:rsid w:val="0067062E"/>
    <w:rsid w:val="0068773C"/>
    <w:rsid w:val="0070755A"/>
    <w:rsid w:val="00797BD6"/>
    <w:rsid w:val="007A0B07"/>
    <w:rsid w:val="007A55C2"/>
    <w:rsid w:val="007F58E7"/>
    <w:rsid w:val="008D3990"/>
    <w:rsid w:val="00940392"/>
    <w:rsid w:val="00A25E18"/>
    <w:rsid w:val="00A30A41"/>
    <w:rsid w:val="00A41CEE"/>
    <w:rsid w:val="00AB6ABE"/>
    <w:rsid w:val="00AC5EBD"/>
    <w:rsid w:val="00BE3F2E"/>
    <w:rsid w:val="00C21F89"/>
    <w:rsid w:val="00CA1519"/>
    <w:rsid w:val="00CB79C1"/>
    <w:rsid w:val="00CD6E37"/>
    <w:rsid w:val="00CE5D16"/>
    <w:rsid w:val="00E908EC"/>
    <w:rsid w:val="00E959D8"/>
    <w:rsid w:val="00EB1094"/>
    <w:rsid w:val="00F73928"/>
    <w:rsid w:val="00FD5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D6E37"/>
    <w:rPr>
      <w:color w:val="808080"/>
    </w:rPr>
  </w:style>
  <w:style w:type="paragraph" w:customStyle="1" w:styleId="FC775C8B92444F7A81D0C50CC70A3803">
    <w:name w:val="FC775C8B92444F7A81D0C50CC70A3803"/>
    <w:rsid w:val="00CD6E37"/>
  </w:style>
  <w:style w:type="paragraph" w:customStyle="1" w:styleId="8EB375925DF7409DAE47434850C27A23">
    <w:name w:val="8EB375925DF7409DAE47434850C27A23"/>
    <w:rsid w:val="00CD6E37"/>
  </w:style>
  <w:style w:type="paragraph" w:customStyle="1" w:styleId="A3E011A53D23403A8BCF50E13730EA61">
    <w:name w:val="A3E011A53D23403A8BCF50E13730EA61"/>
    <w:rsid w:val="00A25E18"/>
  </w:style>
  <w:style w:type="paragraph" w:customStyle="1" w:styleId="D5944CACEC6B45E98C6336366B2474CD">
    <w:name w:val="D5944CACEC6B45E98C6336366B2474CD"/>
    <w:rsid w:val="00F73928"/>
  </w:style>
  <w:style w:type="paragraph" w:customStyle="1" w:styleId="2983DC4183654B1B9273CFDE6F88DC7C">
    <w:name w:val="2983DC4183654B1B9273CFDE6F88DC7C"/>
    <w:rsid w:val="00F73928"/>
  </w:style>
  <w:style w:type="paragraph" w:customStyle="1" w:styleId="EA2BAEB58525491EAAF2FCE395B57F20">
    <w:name w:val="EA2BAEB58525491EAAF2FCE395B57F20"/>
    <w:rsid w:val="00F73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Niestandardowy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A15DC-3C19-48A0-A33C-E3A38039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68772</Words>
  <Characters>412635</Characters>
  <Application>Microsoft Office Word</Application>
  <DocSecurity>0</DocSecurity>
  <Lines>3438</Lines>
  <Paragraphs>960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Żabicka Edyta</dc:creator>
  <cp:keywords/>
  <dc:description/>
  <cp:lastModifiedBy>Żabicka Edyta</cp:lastModifiedBy>
  <cp:revision>2</cp:revision>
  <cp:lastPrinted>2020-09-02T13:26:00Z</cp:lastPrinted>
  <dcterms:created xsi:type="dcterms:W3CDTF">2021-08-09T10:07:00Z</dcterms:created>
  <dcterms:modified xsi:type="dcterms:W3CDTF">2021-08-09T10:07:00Z</dcterms:modified>
</cp:coreProperties>
</file>