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268B" w14:textId="7D15F224" w:rsidR="0029392B" w:rsidRPr="00ED5D86" w:rsidRDefault="0029392B" w:rsidP="008F08A8">
      <w:pPr>
        <w:spacing w:after="0" w:line="240" w:lineRule="auto"/>
        <w:rPr>
          <w:rFonts w:ascii="Times New Roman" w:hAnsi="Times New Roman" w:cs="Times New Roman"/>
          <w:sz w:val="24"/>
          <w:szCs w:val="24"/>
        </w:rPr>
      </w:pPr>
      <w:r w:rsidRPr="00ED5D86">
        <w:rPr>
          <w:rFonts w:ascii="Times New Roman" w:hAnsi="Times New Roman" w:cs="Times New Roman"/>
          <w:b/>
          <w:bCs/>
          <w:sz w:val="24"/>
          <w:szCs w:val="24"/>
        </w:rPr>
        <w:t>Komisja Kodyfikacyjna Prawa Karnego</w:t>
      </w:r>
      <w:r w:rsidR="005130AB" w:rsidRPr="00ED5D86">
        <w:rPr>
          <w:rFonts w:ascii="Times New Roman" w:hAnsi="Times New Roman" w:cs="Times New Roman"/>
          <w:b/>
          <w:bCs/>
          <w:sz w:val="24"/>
          <w:szCs w:val="24"/>
        </w:rPr>
        <w:tab/>
      </w:r>
      <w:r w:rsidR="005130AB" w:rsidRPr="00ED5D86">
        <w:rPr>
          <w:rFonts w:ascii="Times New Roman" w:hAnsi="Times New Roman" w:cs="Times New Roman"/>
          <w:b/>
          <w:bCs/>
          <w:sz w:val="24"/>
          <w:szCs w:val="24"/>
        </w:rPr>
        <w:tab/>
      </w:r>
      <w:r w:rsidR="005130AB" w:rsidRPr="00ED5D86">
        <w:rPr>
          <w:rFonts w:ascii="Times New Roman" w:hAnsi="Times New Roman" w:cs="Times New Roman"/>
          <w:b/>
          <w:bCs/>
          <w:sz w:val="24"/>
          <w:szCs w:val="24"/>
        </w:rPr>
        <w:tab/>
      </w:r>
      <w:r w:rsidRPr="00ED5D86">
        <w:rPr>
          <w:rFonts w:ascii="Times New Roman" w:hAnsi="Times New Roman" w:cs="Times New Roman"/>
          <w:sz w:val="24"/>
          <w:szCs w:val="24"/>
        </w:rPr>
        <w:t xml:space="preserve">Warszawa, </w:t>
      </w:r>
      <w:r w:rsidR="005130AB" w:rsidRPr="00ED5D86">
        <w:rPr>
          <w:rFonts w:ascii="Times New Roman" w:hAnsi="Times New Roman" w:cs="Times New Roman"/>
          <w:sz w:val="24"/>
          <w:szCs w:val="24"/>
        </w:rPr>
        <w:t xml:space="preserve">10 </w:t>
      </w:r>
      <w:r w:rsidR="0071348A" w:rsidRPr="00ED5D86">
        <w:rPr>
          <w:rFonts w:ascii="Times New Roman" w:hAnsi="Times New Roman" w:cs="Times New Roman"/>
          <w:sz w:val="24"/>
          <w:szCs w:val="24"/>
        </w:rPr>
        <w:t>września</w:t>
      </w:r>
      <w:r w:rsidRPr="00ED5D86">
        <w:rPr>
          <w:rFonts w:ascii="Times New Roman" w:hAnsi="Times New Roman" w:cs="Times New Roman"/>
          <w:sz w:val="24"/>
          <w:szCs w:val="24"/>
        </w:rPr>
        <w:t xml:space="preserve"> 2024 r. </w:t>
      </w:r>
    </w:p>
    <w:p w14:paraId="43B766AE" w14:textId="77777777" w:rsidR="0029392B" w:rsidRPr="00ED5D86" w:rsidRDefault="0029392B" w:rsidP="008F08A8">
      <w:pPr>
        <w:spacing w:after="0" w:line="240" w:lineRule="auto"/>
        <w:rPr>
          <w:rFonts w:ascii="Times New Roman" w:hAnsi="Times New Roman" w:cs="Times New Roman"/>
          <w:b/>
          <w:bCs/>
          <w:sz w:val="24"/>
          <w:szCs w:val="24"/>
        </w:rPr>
      </w:pPr>
    </w:p>
    <w:p w14:paraId="2E38E1CE" w14:textId="77777777" w:rsidR="00C1311C" w:rsidRPr="00ED5D86" w:rsidRDefault="00C1311C" w:rsidP="008F08A8">
      <w:pPr>
        <w:spacing w:after="0" w:line="240" w:lineRule="auto"/>
        <w:rPr>
          <w:rFonts w:ascii="Times New Roman" w:hAnsi="Times New Roman" w:cs="Times New Roman"/>
          <w:b/>
          <w:bCs/>
          <w:sz w:val="24"/>
          <w:szCs w:val="24"/>
        </w:rPr>
      </w:pPr>
    </w:p>
    <w:p w14:paraId="765DEE4B" w14:textId="77777777" w:rsidR="004949BA" w:rsidRPr="00ED5D86" w:rsidRDefault="0029392B" w:rsidP="00ED5D86">
      <w:pPr>
        <w:spacing w:after="0" w:line="240" w:lineRule="auto"/>
        <w:jc w:val="center"/>
        <w:rPr>
          <w:rFonts w:ascii="Times New Roman" w:hAnsi="Times New Roman" w:cs="Times New Roman"/>
          <w:b/>
          <w:bCs/>
          <w:sz w:val="24"/>
          <w:szCs w:val="24"/>
        </w:rPr>
      </w:pPr>
      <w:r w:rsidRPr="00ED5D86">
        <w:rPr>
          <w:rFonts w:ascii="Times New Roman" w:hAnsi="Times New Roman" w:cs="Times New Roman"/>
          <w:b/>
          <w:bCs/>
          <w:sz w:val="24"/>
          <w:szCs w:val="24"/>
        </w:rPr>
        <w:t xml:space="preserve">Opinia </w:t>
      </w:r>
    </w:p>
    <w:p w14:paraId="00E0D8D0" w14:textId="292A7D0B" w:rsidR="005130AB" w:rsidRPr="00ED5D86" w:rsidRDefault="006E5F86" w:rsidP="008F08A8">
      <w:pPr>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d</w:t>
      </w:r>
      <w:r w:rsidR="00695F91" w:rsidRPr="00ED5D86">
        <w:rPr>
          <w:rFonts w:ascii="Times New Roman" w:hAnsi="Times New Roman" w:cs="Times New Roman"/>
          <w:b/>
          <w:bCs/>
          <w:sz w:val="24"/>
          <w:szCs w:val="24"/>
        </w:rPr>
        <w:t>otycząca p</w:t>
      </w:r>
      <w:r w:rsidR="00695F91" w:rsidRPr="00ED5D86">
        <w:rPr>
          <w:rFonts w:ascii="Times New Roman" w:eastAsia="Times New Roman" w:hAnsi="Times New Roman" w:cs="Times New Roman"/>
          <w:b/>
          <w:bCs/>
          <w:sz w:val="24"/>
          <w:szCs w:val="24"/>
        </w:rPr>
        <w:t>ostulatu RPO rozważenia zmian ustaw regulujących blokady rachunków bankowych oraz przepisu art. 236b Kodeksu postępowania karnego</w:t>
      </w:r>
      <w:r w:rsidR="00695F91" w:rsidRPr="00ED5D86">
        <w:rPr>
          <w:rFonts w:ascii="Times New Roman" w:hAnsi="Times New Roman" w:cs="Times New Roman"/>
          <w:b/>
          <w:bCs/>
          <w:i/>
          <w:iCs/>
          <w:sz w:val="24"/>
          <w:szCs w:val="24"/>
        </w:rPr>
        <w:t xml:space="preserve"> </w:t>
      </w:r>
    </w:p>
    <w:p w14:paraId="4BDB9129" w14:textId="77777777" w:rsidR="0029392B" w:rsidRPr="00ED5D86" w:rsidRDefault="0029392B" w:rsidP="008F08A8">
      <w:pPr>
        <w:spacing w:after="0" w:line="240" w:lineRule="auto"/>
        <w:rPr>
          <w:rFonts w:ascii="Times New Roman" w:hAnsi="Times New Roman" w:cs="Times New Roman"/>
          <w:sz w:val="24"/>
          <w:szCs w:val="24"/>
        </w:rPr>
      </w:pPr>
    </w:p>
    <w:p w14:paraId="07D66FCD" w14:textId="77777777" w:rsidR="00F6509B" w:rsidRPr="00ED5D86" w:rsidRDefault="008F08A8" w:rsidP="002F18E3">
      <w:pPr>
        <w:pStyle w:val="Akapitzlist"/>
        <w:numPr>
          <w:ilvl w:val="0"/>
          <w:numId w:val="3"/>
        </w:numPr>
        <w:autoSpaceDE w:val="0"/>
        <w:autoSpaceDN w:val="0"/>
        <w:adjustRightInd w:val="0"/>
        <w:spacing w:after="120"/>
        <w:ind w:left="425" w:hanging="357"/>
        <w:contextualSpacing w:val="0"/>
        <w:jc w:val="both"/>
        <w:rPr>
          <w:rFonts w:ascii="Times New Roman" w:hAnsi="Times New Roman"/>
          <w:sz w:val="24"/>
          <w:szCs w:val="24"/>
        </w:rPr>
      </w:pPr>
      <w:r w:rsidRPr="00ED5D86">
        <w:rPr>
          <w:rFonts w:ascii="Times New Roman" w:hAnsi="Times New Roman"/>
          <w:sz w:val="24"/>
          <w:szCs w:val="24"/>
        </w:rPr>
        <w:t>Stanowisko Rzecznika Praw Obywatelskich wskazujące na</w:t>
      </w:r>
      <w:r w:rsidR="00F6509B" w:rsidRPr="00ED5D86">
        <w:rPr>
          <w:rFonts w:ascii="Times New Roman" w:hAnsi="Times New Roman"/>
          <w:sz w:val="24"/>
          <w:szCs w:val="24"/>
        </w:rPr>
        <w:t>:</w:t>
      </w:r>
    </w:p>
    <w:p w14:paraId="3AE87337" w14:textId="0298C69F" w:rsidR="00F6509B" w:rsidRPr="00ED5D86" w:rsidRDefault="008F08A8" w:rsidP="002F18E3">
      <w:pPr>
        <w:pStyle w:val="Akapitzlist"/>
        <w:numPr>
          <w:ilvl w:val="0"/>
          <w:numId w:val="4"/>
        </w:numPr>
        <w:autoSpaceDE w:val="0"/>
        <w:autoSpaceDN w:val="0"/>
        <w:adjustRightInd w:val="0"/>
        <w:spacing w:after="120"/>
        <w:contextualSpacing w:val="0"/>
        <w:jc w:val="both"/>
        <w:rPr>
          <w:rFonts w:ascii="Times New Roman" w:hAnsi="Times New Roman"/>
          <w:sz w:val="24"/>
          <w:szCs w:val="24"/>
        </w:rPr>
      </w:pPr>
      <w:r w:rsidRPr="00ED5D86">
        <w:rPr>
          <w:rFonts w:ascii="Times New Roman" w:hAnsi="Times New Roman"/>
          <w:sz w:val="24"/>
          <w:szCs w:val="24"/>
        </w:rPr>
        <w:t xml:space="preserve">potrzebę eliminacji możliwości zajmowania środków na rachunku bankowym jako dowodu w procesie karnym w trybie art. 236b k.p.k. </w:t>
      </w:r>
      <w:r w:rsidR="00035ED4" w:rsidRPr="00ED5D86">
        <w:rPr>
          <w:rFonts w:ascii="Times New Roman" w:hAnsi="Times New Roman"/>
          <w:sz w:val="24"/>
          <w:szCs w:val="24"/>
        </w:rPr>
        <w:t xml:space="preserve">w jego obecnym brzmieniu </w:t>
      </w:r>
      <w:r w:rsidRPr="00ED5D86">
        <w:rPr>
          <w:rFonts w:ascii="Times New Roman" w:hAnsi="Times New Roman"/>
          <w:sz w:val="24"/>
          <w:szCs w:val="24"/>
        </w:rPr>
        <w:t xml:space="preserve">oraz </w:t>
      </w:r>
    </w:p>
    <w:p w14:paraId="21B33836" w14:textId="77777777" w:rsidR="002F18E3" w:rsidRPr="00ED5D86" w:rsidRDefault="00035ED4" w:rsidP="002F18E3">
      <w:pPr>
        <w:pStyle w:val="Akapitzlist"/>
        <w:numPr>
          <w:ilvl w:val="0"/>
          <w:numId w:val="4"/>
        </w:numPr>
        <w:autoSpaceDE w:val="0"/>
        <w:autoSpaceDN w:val="0"/>
        <w:adjustRightInd w:val="0"/>
        <w:spacing w:after="120"/>
        <w:contextualSpacing w:val="0"/>
        <w:jc w:val="both"/>
        <w:rPr>
          <w:rFonts w:ascii="Times New Roman" w:hAnsi="Times New Roman"/>
          <w:sz w:val="24"/>
          <w:szCs w:val="24"/>
        </w:rPr>
      </w:pPr>
      <w:r w:rsidRPr="00ED5D86">
        <w:rPr>
          <w:rFonts w:ascii="Times New Roman" w:hAnsi="Times New Roman"/>
          <w:sz w:val="24"/>
          <w:szCs w:val="24"/>
        </w:rPr>
        <w:t>konieczność doprecyzowania istniejących regulacji dotyczących instytucji</w:t>
      </w:r>
      <w:r w:rsidR="008F08A8" w:rsidRPr="00ED5D86">
        <w:rPr>
          <w:rFonts w:ascii="Times New Roman" w:hAnsi="Times New Roman"/>
          <w:sz w:val="24"/>
          <w:szCs w:val="24"/>
        </w:rPr>
        <w:t xml:space="preserve"> blokady środków na rachunku poprzez</w:t>
      </w:r>
      <w:r w:rsidRPr="00ED5D86">
        <w:rPr>
          <w:rFonts w:ascii="Times New Roman" w:hAnsi="Times New Roman"/>
          <w:sz w:val="24"/>
          <w:szCs w:val="24"/>
        </w:rPr>
        <w:t xml:space="preserve"> odniesienie do gwarancji dotyczących </w:t>
      </w:r>
      <w:r w:rsidR="008F08A8" w:rsidRPr="00ED5D86">
        <w:rPr>
          <w:rFonts w:ascii="Times New Roman" w:hAnsi="Times New Roman"/>
          <w:sz w:val="24"/>
          <w:szCs w:val="24"/>
        </w:rPr>
        <w:t xml:space="preserve">instytucji zabezpieczenia majątkowego </w:t>
      </w:r>
    </w:p>
    <w:p w14:paraId="4A83954F" w14:textId="4C2B1FDE" w:rsidR="008F08A8" w:rsidRPr="00ED5D86" w:rsidRDefault="006E5F86" w:rsidP="002F18E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08A8" w:rsidRPr="00ED5D86">
        <w:rPr>
          <w:rFonts w:ascii="Times New Roman" w:hAnsi="Times New Roman" w:cs="Times New Roman"/>
          <w:sz w:val="24"/>
          <w:szCs w:val="24"/>
        </w:rPr>
        <w:t>uznać należy za zasadne.</w:t>
      </w:r>
    </w:p>
    <w:p w14:paraId="4CF8D98D" w14:textId="553A327D" w:rsidR="008F08A8"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Do rozważenia pozostawić można </w:t>
      </w:r>
      <w:r w:rsidR="002B7B43" w:rsidRPr="00ED5D86">
        <w:rPr>
          <w:rFonts w:ascii="Times New Roman" w:hAnsi="Times New Roman"/>
          <w:sz w:val="24"/>
          <w:szCs w:val="24"/>
        </w:rPr>
        <w:t xml:space="preserve">kwestię zakresu szczegółowych rozwiązań, w tym </w:t>
      </w:r>
      <w:r w:rsidRPr="00ED5D86">
        <w:rPr>
          <w:rFonts w:ascii="Times New Roman" w:hAnsi="Times New Roman"/>
          <w:sz w:val="24"/>
          <w:szCs w:val="24"/>
        </w:rPr>
        <w:t>m.in. kwestię ograniczenia okresu stosowania blokady</w:t>
      </w:r>
      <w:r w:rsidR="002B7B43" w:rsidRPr="00ED5D86">
        <w:rPr>
          <w:rFonts w:ascii="Times New Roman" w:hAnsi="Times New Roman"/>
          <w:sz w:val="24"/>
          <w:szCs w:val="24"/>
        </w:rPr>
        <w:t xml:space="preserve"> środków na rachunku</w:t>
      </w:r>
      <w:r w:rsidRPr="00ED5D86">
        <w:rPr>
          <w:rFonts w:ascii="Times New Roman" w:hAnsi="Times New Roman"/>
          <w:sz w:val="24"/>
          <w:szCs w:val="24"/>
        </w:rPr>
        <w:t xml:space="preserve">, w szczególności w fazie in rem postępowania karnego, </w:t>
      </w:r>
      <w:r w:rsidR="00F6509B" w:rsidRPr="00ED5D86">
        <w:rPr>
          <w:rFonts w:ascii="Times New Roman" w:hAnsi="Times New Roman"/>
          <w:sz w:val="24"/>
          <w:szCs w:val="24"/>
        </w:rPr>
        <w:t xml:space="preserve">czy </w:t>
      </w:r>
      <w:r w:rsidRPr="00ED5D86">
        <w:rPr>
          <w:rFonts w:ascii="Times New Roman" w:hAnsi="Times New Roman"/>
          <w:sz w:val="24"/>
          <w:szCs w:val="24"/>
        </w:rPr>
        <w:t>stosowanie blokady w stosunku do osób, co do których istnieją dowody wykluczające jej z kręgu sprawców czynu, w przedmiocie którego toczyć się ma i zostaje wszczęte postępowanie karne.</w:t>
      </w:r>
    </w:p>
    <w:p w14:paraId="0D306EC8" w14:textId="77777777" w:rsidR="008F08A8"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Możliwość dokonania blokady środków na rachunku przewidziana jest w niejednolity sposób w systemie prawnym. Poza art. 236b k.p.k., w którym przewidziano możliwość zatrzymania środków na rachunku zatrzymanych jako dowód w sprawie, możliwość blokady przewidziano także w kilku ustawach. Regulacje odnoszące się do tej instytucji i nadające uprawnienie prokuratorowi do jej zastosowania znajdują się: a) w art. 106a ustawy z dnia 29 sierpnia 1997 r. Prawo bankowe3, b) w art. 16 ustawy z dnia 5 listopada 2009 r. o spółdzielczych kasach oszczędnościowo-kredytowych3, c) w art. 40 ustawy z dnia 29 lipca 2005 r. o nadzorze nad rynkiem kapitałowym, d) w art. 86 ustawy z dnia 1 marca 2018 r. o przeciwdziałaniu praniu pieniędzy oraz finansowaniu terroryzmu. Regulacje te nie tworzą jednolitego systemu, są rozbieżne i niespójne, mają różny stopień szczegółowości, odrębne procedury i przesłanki stosowania. Odpowiednie stosowanie do tych ustaw przepisów art. 236b k.p.k. prowadzi do stosowania tego środka najczęściej w sposób niezgodny z obowiązkami wynikającymi z dyrektyw, którym implementacja wprowadziła do systemu polskiego możliwość a niekiedy obowiązek zatrzymania środków na rachunku.</w:t>
      </w:r>
    </w:p>
    <w:p w14:paraId="1DE99AEF" w14:textId="71E57481" w:rsidR="008F08A8"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Można znaleźć argumenty wskazujące na </w:t>
      </w:r>
      <w:r w:rsidR="00035ED4" w:rsidRPr="00ED5D86">
        <w:rPr>
          <w:rFonts w:ascii="Times New Roman" w:hAnsi="Times New Roman"/>
          <w:sz w:val="24"/>
          <w:szCs w:val="24"/>
        </w:rPr>
        <w:t>to,</w:t>
      </w:r>
      <w:r w:rsidRPr="00ED5D86">
        <w:rPr>
          <w:rFonts w:ascii="Times New Roman" w:hAnsi="Times New Roman"/>
          <w:sz w:val="24"/>
          <w:szCs w:val="24"/>
        </w:rPr>
        <w:t xml:space="preserve"> że regulacje te nie tylko nie realizują w sposób należyty nakazów efektywności i poprawności legislacyjnej, ale nie są w pełni zgodne z gwarancjami konstytucyjnej określoności, mogą prowadzić do naruszenia nakazu poszanowania prawa własności (art. 64 ust. </w:t>
      </w:r>
      <w:r w:rsidR="00F6509B" w:rsidRPr="00ED5D86">
        <w:rPr>
          <w:rFonts w:ascii="Times New Roman" w:hAnsi="Times New Roman"/>
          <w:sz w:val="24"/>
          <w:szCs w:val="24"/>
        </w:rPr>
        <w:t>1</w:t>
      </w:r>
      <w:r w:rsidRPr="00ED5D86">
        <w:rPr>
          <w:rFonts w:ascii="Times New Roman" w:hAnsi="Times New Roman"/>
          <w:sz w:val="24"/>
          <w:szCs w:val="24"/>
        </w:rPr>
        <w:t xml:space="preserve"> Konstytucji RP), gwarancji sądowej </w:t>
      </w:r>
      <w:r w:rsidR="00035ED4" w:rsidRPr="00ED5D86">
        <w:rPr>
          <w:rFonts w:ascii="Times New Roman" w:hAnsi="Times New Roman"/>
          <w:sz w:val="24"/>
          <w:szCs w:val="24"/>
        </w:rPr>
        <w:t>kontroli decyzji</w:t>
      </w:r>
      <w:r w:rsidRPr="00ED5D86">
        <w:rPr>
          <w:rFonts w:ascii="Times New Roman" w:hAnsi="Times New Roman"/>
          <w:sz w:val="24"/>
          <w:szCs w:val="24"/>
        </w:rPr>
        <w:t xml:space="preserve"> organów państwa (art. 45 ust. 1 w związku z art. 77 ust. 2 Konstytucji RP). Można te</w:t>
      </w:r>
      <w:r w:rsidR="00F6509B" w:rsidRPr="00ED5D86">
        <w:rPr>
          <w:rFonts w:ascii="Times New Roman" w:hAnsi="Times New Roman"/>
          <w:sz w:val="24"/>
          <w:szCs w:val="24"/>
        </w:rPr>
        <w:t>ż zasadnie twierdzić</w:t>
      </w:r>
      <w:r w:rsidRPr="00ED5D86">
        <w:rPr>
          <w:rFonts w:ascii="Times New Roman" w:hAnsi="Times New Roman"/>
          <w:sz w:val="24"/>
          <w:szCs w:val="24"/>
        </w:rPr>
        <w:t>, że nie stanowią prawidłowej realizacji obowiązków implementacji instytucji blokady środków na rachunku, oraz mogą prowadzić do naruszenie gwarancji o charakterze międzynarodowym (art. 1 Protokołu Nr 1 do EKPC) oraz praw</w:t>
      </w:r>
      <w:r w:rsidR="00F6509B" w:rsidRPr="00ED5D86">
        <w:rPr>
          <w:rFonts w:ascii="Times New Roman" w:hAnsi="Times New Roman"/>
          <w:sz w:val="24"/>
          <w:szCs w:val="24"/>
        </w:rPr>
        <w:t>a</w:t>
      </w:r>
      <w:r w:rsidRPr="00ED5D86">
        <w:rPr>
          <w:rFonts w:ascii="Times New Roman" w:hAnsi="Times New Roman"/>
          <w:sz w:val="24"/>
          <w:szCs w:val="24"/>
        </w:rPr>
        <w:t xml:space="preserve"> do skutecznego środka zaskarżenia (art. 13 EKPC). Osoby wobec których wydano postanowienie o zabezpieczeniu środków jako dowodów (a nie przedmiotu zabezpieczenia majątkowego) nie dysponują skuteczną możliwością zaskarżenia nakazu zabezpieczenia w rozumieniu art. 8 ust. 4 dyrektywy 2014/42/UE przed sądem, zgodnie z którą osobie, której dotyczy konfiskata, musi przysługiwać rzeczywista możliwość zakwestionowania okoliczności sprawy, w tym konkretnych faktów i dostępnych dowodów, na podstawie których dane mienie uznano za mienie pochodzące z działalności przestępczej.</w:t>
      </w:r>
    </w:p>
    <w:p w14:paraId="2695D691" w14:textId="24D2BDEB"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lastRenderedPageBreak/>
        <w:t xml:space="preserve">Przepisy art. 236b k.p.k. zostały dodane ustawą z 17 grudnia 2021 r. o zmianie niektórych ustaw w związku z powołaniem Centralnego Biura Zwalczania Cyberprzestępczości, która weszła w życie w dniu 12 stycznia 2022 r. Przewidziane tam rozwiązanie wprowadza fikcję w postaci uznania, że środki na rachunku </w:t>
      </w:r>
      <w:r w:rsidR="00F6509B" w:rsidRPr="00ED5D86">
        <w:rPr>
          <w:rFonts w:ascii="Times New Roman" w:hAnsi="Times New Roman"/>
          <w:sz w:val="24"/>
          <w:szCs w:val="24"/>
        </w:rPr>
        <w:t xml:space="preserve">bankowym </w:t>
      </w:r>
      <w:r w:rsidRPr="00ED5D86">
        <w:rPr>
          <w:rFonts w:ascii="Times New Roman" w:hAnsi="Times New Roman"/>
          <w:sz w:val="24"/>
          <w:szCs w:val="24"/>
        </w:rPr>
        <w:t xml:space="preserve">są rzeczą i mogą być zabezpieczone jako dowód w postępowaniu karnym. Dzięki tej regulacji możliwe jest obejście gwarancji procesowych związanych ze stosowaniem zabezpieczenia </w:t>
      </w:r>
      <w:r w:rsidR="00035ED4" w:rsidRPr="00ED5D86">
        <w:rPr>
          <w:rFonts w:ascii="Times New Roman" w:hAnsi="Times New Roman"/>
          <w:sz w:val="24"/>
          <w:szCs w:val="24"/>
        </w:rPr>
        <w:t>majątkowego</w:t>
      </w:r>
      <w:r w:rsidRPr="00ED5D86">
        <w:rPr>
          <w:rFonts w:ascii="Times New Roman" w:hAnsi="Times New Roman"/>
          <w:sz w:val="24"/>
          <w:szCs w:val="24"/>
        </w:rPr>
        <w:t xml:space="preserve"> oraz zatrzymanie środków pieniężnych zdeponowanych na koncie bankowym jako dowodu w sprawie i przekazanie ich na konto sum depozytowych</w:t>
      </w:r>
      <w:r w:rsidR="00E745BF" w:rsidRPr="00ED5D86">
        <w:rPr>
          <w:rFonts w:ascii="Times New Roman" w:hAnsi="Times New Roman"/>
          <w:sz w:val="24"/>
          <w:szCs w:val="24"/>
        </w:rPr>
        <w:t xml:space="preserve"> bez rzeczywistej kontroli zasadności takiego działania</w:t>
      </w:r>
      <w:r w:rsidRPr="00ED5D86">
        <w:rPr>
          <w:rFonts w:ascii="Times New Roman" w:hAnsi="Times New Roman"/>
          <w:sz w:val="24"/>
          <w:szCs w:val="24"/>
        </w:rPr>
        <w:t xml:space="preserve">. </w:t>
      </w:r>
      <w:r w:rsidR="00E745BF" w:rsidRPr="00ED5D86">
        <w:rPr>
          <w:rFonts w:ascii="Times New Roman" w:hAnsi="Times New Roman"/>
          <w:sz w:val="24"/>
          <w:szCs w:val="24"/>
        </w:rPr>
        <w:t xml:space="preserve">Było to celowe działanie ustawodawcy wprowadzającego regulacje wprost sprzeczne z </w:t>
      </w:r>
      <w:r w:rsidR="00F6509B" w:rsidRPr="00ED5D86">
        <w:rPr>
          <w:rFonts w:ascii="Times New Roman" w:hAnsi="Times New Roman"/>
          <w:sz w:val="24"/>
          <w:szCs w:val="24"/>
        </w:rPr>
        <w:t xml:space="preserve">wcześniejszym </w:t>
      </w:r>
      <w:r w:rsidR="00E745BF" w:rsidRPr="00ED5D86">
        <w:rPr>
          <w:rFonts w:ascii="Times New Roman" w:hAnsi="Times New Roman"/>
          <w:sz w:val="24"/>
          <w:szCs w:val="24"/>
        </w:rPr>
        <w:t>orzecznictwem Sadu Najwyższego.</w:t>
      </w:r>
    </w:p>
    <w:p w14:paraId="54ED2A9C" w14:textId="1DFCB337" w:rsidR="00E745BF" w:rsidRPr="00ED5D86" w:rsidRDefault="00E745BF"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Dopuszczalność i prawidłowość </w:t>
      </w:r>
      <w:r w:rsidR="008F08A8" w:rsidRPr="00ED5D86">
        <w:rPr>
          <w:rFonts w:ascii="Times New Roman" w:hAnsi="Times New Roman"/>
          <w:sz w:val="24"/>
          <w:szCs w:val="24"/>
        </w:rPr>
        <w:t xml:space="preserve">zatrzymywania środków na koncie jako dowodu w sprawie w celu obejścia niektórych gwarancji procesowych koniecznych przy zabezpieczeniu majątkowym została oceniona negatywnie przez Sąd Najwyższy. W dwóch uchwałach SN (uchwała SN z 13 października 2021 r., I KZP 1/21 oraz z 9 listopada 2021 r., I KZP 3/21) stwierdził, że środki zgromadzone na rachunku bankowym nie mają cech dowodu </w:t>
      </w:r>
      <w:r w:rsidR="00035ED4" w:rsidRPr="00ED5D86">
        <w:rPr>
          <w:rFonts w:ascii="Times New Roman" w:hAnsi="Times New Roman"/>
          <w:sz w:val="24"/>
          <w:szCs w:val="24"/>
        </w:rPr>
        <w:t>rzeczowego,</w:t>
      </w:r>
      <w:r w:rsidR="008F08A8" w:rsidRPr="00ED5D86">
        <w:rPr>
          <w:rFonts w:ascii="Times New Roman" w:hAnsi="Times New Roman"/>
          <w:sz w:val="24"/>
          <w:szCs w:val="24"/>
        </w:rPr>
        <w:t xml:space="preserve"> gdyż nie istnieją jako rzeczy, a są wyłącznie zapisami w systemie informatycznym. SN (oceniając praktykę stosowania art. 86 ust. 13 u.p.p.p.f.t. oraz art. 106a ust. 8 pr.bank.) </w:t>
      </w:r>
      <w:r w:rsidRPr="00ED5D86">
        <w:rPr>
          <w:rFonts w:ascii="Times New Roman" w:hAnsi="Times New Roman"/>
          <w:sz w:val="24"/>
          <w:szCs w:val="24"/>
        </w:rPr>
        <w:t>stwierdził</w:t>
      </w:r>
      <w:r w:rsidR="008F08A8" w:rsidRPr="00ED5D86">
        <w:rPr>
          <w:rFonts w:ascii="Times New Roman" w:hAnsi="Times New Roman"/>
          <w:sz w:val="24"/>
          <w:szCs w:val="24"/>
        </w:rPr>
        <w:t>, że wydani</w:t>
      </w:r>
      <w:r w:rsidRPr="00ED5D86">
        <w:rPr>
          <w:rFonts w:ascii="Times New Roman" w:hAnsi="Times New Roman"/>
          <w:sz w:val="24"/>
          <w:szCs w:val="24"/>
        </w:rPr>
        <w:t>e</w:t>
      </w:r>
      <w:r w:rsidR="008F08A8" w:rsidRPr="00ED5D86">
        <w:rPr>
          <w:rFonts w:ascii="Times New Roman" w:hAnsi="Times New Roman"/>
          <w:sz w:val="24"/>
          <w:szCs w:val="24"/>
        </w:rPr>
        <w:t xml:space="preserve"> przez prokuratora postanowienia o uznanie środków za dowód rzeczowy wyłącza ograniczenia czasowe zabezpieczenia środków tworząc możliwość de facto bezterminowej blokady środków oraz utrudnia właścicielowi środków możliwości kontroli prawidłowości oceny tego działania, </w:t>
      </w:r>
      <w:r w:rsidRPr="00ED5D86">
        <w:rPr>
          <w:rFonts w:ascii="Times New Roman" w:hAnsi="Times New Roman"/>
          <w:sz w:val="24"/>
          <w:szCs w:val="24"/>
        </w:rPr>
        <w:t xml:space="preserve">umożliwia też </w:t>
      </w:r>
      <w:r w:rsidR="008F08A8" w:rsidRPr="00ED5D86">
        <w:rPr>
          <w:rFonts w:ascii="Times New Roman" w:hAnsi="Times New Roman"/>
          <w:sz w:val="24"/>
          <w:szCs w:val="24"/>
        </w:rPr>
        <w:t>kontynuowanie zabezpieczenia środków bez konieczności formalnego przedstawiania zarzutów właścicielowi środków. SN podkreślił, że walka z przestępczością bez poszanowania gwarancji procesowych, może prowadzić do skierowania represji wobec niewinnego człowieka i tym samym stanowić zaprzeczenie skutecznego instrumentu jej przeciwdziałania. W</w:t>
      </w:r>
      <w:r w:rsidRPr="00ED5D86">
        <w:rPr>
          <w:rFonts w:ascii="Times New Roman" w:hAnsi="Times New Roman"/>
          <w:sz w:val="24"/>
          <w:szCs w:val="24"/>
        </w:rPr>
        <w:t>łaśnie w</w:t>
      </w:r>
      <w:r w:rsidR="008F08A8" w:rsidRPr="00ED5D86">
        <w:rPr>
          <w:rFonts w:ascii="Times New Roman" w:hAnsi="Times New Roman"/>
          <w:sz w:val="24"/>
          <w:szCs w:val="24"/>
        </w:rPr>
        <w:t xml:space="preserve"> reakcji na te orzeczenia ustawodawca zdecydował się na wprowadzenie regulacji tworzącej fikcje prawną w </w:t>
      </w:r>
      <w:r w:rsidR="00035ED4" w:rsidRPr="00ED5D86">
        <w:rPr>
          <w:rFonts w:ascii="Times New Roman" w:hAnsi="Times New Roman"/>
          <w:sz w:val="24"/>
          <w:szCs w:val="24"/>
        </w:rPr>
        <w:t>myśl,</w:t>
      </w:r>
      <w:r w:rsidR="008F08A8" w:rsidRPr="00ED5D86">
        <w:rPr>
          <w:rFonts w:ascii="Times New Roman" w:hAnsi="Times New Roman"/>
          <w:sz w:val="24"/>
          <w:szCs w:val="24"/>
        </w:rPr>
        <w:t xml:space="preserve"> której środki na rachunku – a więc niematerialny zapis w systemie informatycznym jest dowodem rzeczowym. Po wejściu w życie zmiany przepisów wyrażono także stanowisko (postanowienie Sądu Najwyższego z 18 maja 2022 r., I KZP 7/21, w którym odmawiając podjęcia uchwały przyjęto, że o ile zostanie wykazane, iż środki zgromadzone na rachunku bankowym mogą być uznane za dowód w sprawie, zatem również za dowód rzeczowy (art. 236b k.p.k.), wydanie postanowienia, o którym mowa w art. 86 ust. 13 in fine u.p.p.p.f.t. jest dopuszczalne także wtedy, kiedy postępowanie karne znajduje się w fazie in rem. </w:t>
      </w:r>
    </w:p>
    <w:p w14:paraId="4D590E70" w14:textId="3404B0DC"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W konsekwencji stosowanie przepisów </w:t>
      </w:r>
      <w:r w:rsidR="00E745BF" w:rsidRPr="00ED5D86">
        <w:rPr>
          <w:rFonts w:ascii="Times New Roman" w:hAnsi="Times New Roman"/>
          <w:sz w:val="24"/>
          <w:szCs w:val="24"/>
        </w:rPr>
        <w:t xml:space="preserve">art. 236b k.p.k. </w:t>
      </w:r>
      <w:r w:rsidR="00F6509B" w:rsidRPr="00ED5D86">
        <w:rPr>
          <w:rFonts w:ascii="Times New Roman" w:hAnsi="Times New Roman"/>
          <w:sz w:val="24"/>
          <w:szCs w:val="24"/>
        </w:rPr>
        <w:t xml:space="preserve">w obecnym brzmieniu </w:t>
      </w:r>
      <w:r w:rsidRPr="00ED5D86">
        <w:rPr>
          <w:rFonts w:ascii="Times New Roman" w:hAnsi="Times New Roman"/>
          <w:sz w:val="24"/>
          <w:szCs w:val="24"/>
        </w:rPr>
        <w:t>oznacza, że postanowienie w przedmiocie dowodów rzeczowych może dotyczyć środków na rachunku, jeżeli zostały zatrzymane jako dowód w sprawie.</w:t>
      </w:r>
      <w:r w:rsidR="00E745BF" w:rsidRPr="00ED5D86">
        <w:rPr>
          <w:rFonts w:ascii="Times New Roman" w:hAnsi="Times New Roman"/>
          <w:sz w:val="24"/>
          <w:szCs w:val="24"/>
        </w:rPr>
        <w:t xml:space="preserve"> Tymczasem </w:t>
      </w:r>
      <w:r w:rsidR="00F6509B" w:rsidRPr="00ED5D86">
        <w:rPr>
          <w:rFonts w:ascii="Times New Roman" w:hAnsi="Times New Roman"/>
          <w:sz w:val="24"/>
          <w:szCs w:val="24"/>
        </w:rPr>
        <w:t xml:space="preserve">przypomnieć trzeba, że </w:t>
      </w:r>
      <w:r w:rsidRPr="00ED5D86">
        <w:rPr>
          <w:rFonts w:ascii="Times New Roman" w:hAnsi="Times New Roman"/>
          <w:sz w:val="24"/>
          <w:szCs w:val="24"/>
        </w:rPr>
        <w:t xml:space="preserve">środki na rachunku to w istocie zapis </w:t>
      </w:r>
      <w:r w:rsidR="00E745BF" w:rsidRPr="00ED5D86">
        <w:rPr>
          <w:rFonts w:ascii="Times New Roman" w:hAnsi="Times New Roman"/>
          <w:sz w:val="24"/>
          <w:szCs w:val="24"/>
        </w:rPr>
        <w:t xml:space="preserve">elektroniczny, zapis </w:t>
      </w:r>
      <w:r w:rsidRPr="00ED5D86">
        <w:rPr>
          <w:rFonts w:ascii="Times New Roman" w:hAnsi="Times New Roman"/>
          <w:sz w:val="24"/>
          <w:szCs w:val="24"/>
        </w:rPr>
        <w:t>wirtualny</w:t>
      </w:r>
      <w:r w:rsidR="00E745BF" w:rsidRPr="00ED5D86">
        <w:rPr>
          <w:rFonts w:ascii="Times New Roman" w:hAnsi="Times New Roman"/>
          <w:sz w:val="24"/>
          <w:szCs w:val="24"/>
        </w:rPr>
        <w:t>, zatem n</w:t>
      </w:r>
      <w:r w:rsidRPr="00ED5D86">
        <w:rPr>
          <w:rFonts w:ascii="Times New Roman" w:hAnsi="Times New Roman"/>
          <w:sz w:val="24"/>
          <w:szCs w:val="24"/>
        </w:rPr>
        <w:t xml:space="preserve">ie </w:t>
      </w:r>
      <w:r w:rsidR="00E745BF" w:rsidRPr="00ED5D86">
        <w:rPr>
          <w:rFonts w:ascii="Times New Roman" w:hAnsi="Times New Roman"/>
          <w:sz w:val="24"/>
          <w:szCs w:val="24"/>
        </w:rPr>
        <w:t xml:space="preserve">mając postaci fizycznej nie </w:t>
      </w:r>
      <w:r w:rsidRPr="00ED5D86">
        <w:rPr>
          <w:rFonts w:ascii="Times New Roman" w:hAnsi="Times New Roman"/>
          <w:sz w:val="24"/>
          <w:szCs w:val="24"/>
        </w:rPr>
        <w:t xml:space="preserve">mogą </w:t>
      </w:r>
      <w:r w:rsidR="00E745BF" w:rsidRPr="00ED5D86">
        <w:rPr>
          <w:rFonts w:ascii="Times New Roman" w:hAnsi="Times New Roman"/>
          <w:sz w:val="24"/>
          <w:szCs w:val="24"/>
        </w:rPr>
        <w:t xml:space="preserve">co do zasady i wprost </w:t>
      </w:r>
      <w:r w:rsidRPr="00ED5D86">
        <w:rPr>
          <w:rFonts w:ascii="Times New Roman" w:hAnsi="Times New Roman"/>
          <w:sz w:val="24"/>
          <w:szCs w:val="24"/>
        </w:rPr>
        <w:t>stanowić same w sobie dowodu badanych w postępowaniu transakcji. Takim dowodem mogą być zapisy informacji o przepływie tych środków, ich o pochodzeniu, o księgowaniu, głównie zapisy dokonywania samych transakcji, etc.</w:t>
      </w:r>
    </w:p>
    <w:p w14:paraId="71CD0936" w14:textId="77777777"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W systemie </w:t>
      </w:r>
      <w:r w:rsidR="00E745BF" w:rsidRPr="00ED5D86">
        <w:rPr>
          <w:rFonts w:ascii="Times New Roman" w:hAnsi="Times New Roman"/>
          <w:sz w:val="24"/>
          <w:szCs w:val="24"/>
        </w:rPr>
        <w:t xml:space="preserve">polskim </w:t>
      </w:r>
      <w:r w:rsidRPr="00ED5D86">
        <w:rPr>
          <w:rFonts w:ascii="Times New Roman" w:hAnsi="Times New Roman"/>
          <w:sz w:val="24"/>
          <w:szCs w:val="24"/>
        </w:rPr>
        <w:t xml:space="preserve">istnieją </w:t>
      </w:r>
      <w:r w:rsidR="00E745BF" w:rsidRPr="00ED5D86">
        <w:rPr>
          <w:rFonts w:ascii="Times New Roman" w:hAnsi="Times New Roman"/>
          <w:sz w:val="24"/>
          <w:szCs w:val="24"/>
        </w:rPr>
        <w:t xml:space="preserve">wskazane wyżej </w:t>
      </w:r>
      <w:r w:rsidRPr="00ED5D86">
        <w:rPr>
          <w:rFonts w:ascii="Times New Roman" w:hAnsi="Times New Roman"/>
          <w:sz w:val="24"/>
          <w:szCs w:val="24"/>
        </w:rPr>
        <w:t xml:space="preserve">regulacje dotyczące blokady środków na rachunku zawierające kompleksowe reguły, np. w Ordynacji podatkowej, zgodnie z którą blokady środków dokonuje Szef Krajowej Administracji Skarbowej. Ustawa definiuje instytucję blokady rachunku podmiotu kwalifikowanego, określa zakres podmiotowy (definicja podmiotu kwalifikowanego) oraz przedmiotowy (definicja rachunku podmiotu kwalifikowanego, transakcji oraz wyłudzeń skarbowych) jej zastosowania. Precyzyjnie wskazuje na przesłanki i cel zastosowania instytucji oraz umożliwia jej zmianę lub uchylenie w zależności od okoliczności. Termin zastosowania blokady nie jest nadmierny. </w:t>
      </w:r>
    </w:p>
    <w:p w14:paraId="31075CF2" w14:textId="77777777"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lastRenderedPageBreak/>
        <w:t>Szczegółowe regulacje zawiera także ustawa o nadzorze nad rynkiem kapitałowym. Art. 40 ust. 1-4 u.n.r.k. wprowadzają uprawnienie prokuratora do wydania postanowienia o wstrzymaniu określonej transakcji lub do dokonania blokady rachunku, jeśli stwierdzi uzasadnione podejrzenie popełnienia przestępstwa z art. 181-183 ustawy o obrocie instrumentami finansowymi lub przestępstwa, które może wywoływać istotne skutki w zakresie obrotu na rynku regulowanym, na czas oznaczony, nie dłuższy jednak niż 6 miesięcy od otrzymania tego zawiadomienia. Prokurator Krajowy może postanowić o przedłużeniu blokady rachunku na dalszy czas oznaczony, nie dłuższy niż kolejne 6 miesięcy. Ustawa określa wymogi takiego postanowienie (w tym: organ wydający postanowienie, datę, zakres, sposób i termin blokady rachunku, uzasadnienie oraz pouczenie o prawie do złożenia zażalenia do sądu właściwego do</w:t>
      </w:r>
      <w:r w:rsidR="00E745BF" w:rsidRPr="00ED5D86">
        <w:rPr>
          <w:rFonts w:ascii="Times New Roman" w:hAnsi="Times New Roman"/>
          <w:sz w:val="24"/>
          <w:szCs w:val="24"/>
        </w:rPr>
        <w:t xml:space="preserve"> </w:t>
      </w:r>
      <w:r w:rsidRPr="00ED5D86">
        <w:rPr>
          <w:rFonts w:ascii="Times New Roman" w:hAnsi="Times New Roman"/>
          <w:sz w:val="24"/>
          <w:szCs w:val="24"/>
        </w:rPr>
        <w:t>rozpoznania sprawy). W szczególnie uzasadnionych przypadkach ogłoszenie tego postanowienia może być odroczone na czas oznaczony, niezbędny ze względu na dobro sprawy. O wydaniu postanowienia zawiadamia się wówczas niezwłocznie podmiot nadzorowany. Co ważne wstrzymanie transakcji lub blokada rachunku upada, jeżeli przed upływem czasu ich stosowania, nie zostanie wydane postanowienie o zabezpieczeniu majątkowym lub postanowienie w przedmiocie dowodów rzeczowych.</w:t>
      </w:r>
    </w:p>
    <w:p w14:paraId="3B220E0B" w14:textId="2C350387"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Szczegółowe regulacje zawiera także prawo bankowe (art. 106a ust. 3, ust. 4 i ust. 5 pr.bank.), przewidując m.in. możliwość blokady środków na tym rachunku przez bank, określając czas trwania (do 72 godzin), obowiązek zawiadomienia prokuratora oraz zakres uprawnień prokuratora (co do postanowienia o wszczęciu lub odmowie wszczęcia postępowania). Szczegółowy charakter mają też przepisy określające obowiązki i uprawnienia prokuratora, m.in. do blokady środków na rachunku na czas oznaczony (do 6 miesięcy), wymogi szczegółowe postanowienia, przesłanki przedłużenia, wstrzymania transakcji, upadku </w:t>
      </w:r>
      <w:r w:rsidR="00035ED4" w:rsidRPr="00ED5D86">
        <w:rPr>
          <w:rFonts w:ascii="Times New Roman" w:hAnsi="Times New Roman"/>
          <w:sz w:val="24"/>
          <w:szCs w:val="24"/>
        </w:rPr>
        <w:t>blokady,</w:t>
      </w:r>
      <w:r w:rsidRPr="00ED5D86">
        <w:rPr>
          <w:rFonts w:ascii="Times New Roman" w:hAnsi="Times New Roman"/>
          <w:sz w:val="24"/>
          <w:szCs w:val="24"/>
        </w:rPr>
        <w:t xml:space="preserve"> jeżeli przed upływem czasu stosowania nie zostanie wydane postanowienie o zabezpieczeniu majątkowym lub postanowienie w przedmiocie dowodów rzeczowych.</w:t>
      </w:r>
    </w:p>
    <w:p w14:paraId="4C256C11" w14:textId="77777777" w:rsidR="00E745BF" w:rsidRPr="00ED5D86" w:rsidRDefault="008F08A8" w:rsidP="008F08A8">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Choć obowiązujące przepisy wskazanych ustaw (art. 106a pr.bank., art. 16 u.s.k.o.k. oraz art. 86 u.p.p.p.f.t.) przewidują alternatywnie stosowanie blokady do czasu wydania postanowienia o zabezpieczeniu majątkowym </w:t>
      </w:r>
      <w:r w:rsidR="00E745BF" w:rsidRPr="00ED5D86">
        <w:rPr>
          <w:rFonts w:ascii="Times New Roman" w:hAnsi="Times New Roman"/>
          <w:sz w:val="24"/>
          <w:szCs w:val="24"/>
        </w:rPr>
        <w:t>„</w:t>
      </w:r>
      <w:r w:rsidRPr="00ED5D86">
        <w:rPr>
          <w:rFonts w:ascii="Times New Roman" w:hAnsi="Times New Roman"/>
          <w:sz w:val="24"/>
          <w:szCs w:val="24"/>
        </w:rPr>
        <w:t>albo postanowienia w przedmiocie dowodów rzeczowych</w:t>
      </w:r>
      <w:r w:rsidR="00E745BF" w:rsidRPr="00ED5D86">
        <w:rPr>
          <w:rFonts w:ascii="Times New Roman" w:hAnsi="Times New Roman"/>
          <w:sz w:val="24"/>
          <w:szCs w:val="24"/>
        </w:rPr>
        <w:t>”</w:t>
      </w:r>
      <w:r w:rsidRPr="00ED5D86">
        <w:rPr>
          <w:rFonts w:ascii="Times New Roman" w:hAnsi="Times New Roman"/>
          <w:sz w:val="24"/>
          <w:szCs w:val="24"/>
        </w:rPr>
        <w:t xml:space="preserve"> to jednak nie wydaje się prawidłowe utożsamianie tej regulacji, stanowiącej w istocie </w:t>
      </w:r>
      <w:r w:rsidR="00E745BF" w:rsidRPr="00ED5D86">
        <w:rPr>
          <w:rFonts w:ascii="Times New Roman" w:hAnsi="Times New Roman"/>
          <w:sz w:val="24"/>
          <w:szCs w:val="24"/>
        </w:rPr>
        <w:t xml:space="preserve">wprost </w:t>
      </w:r>
      <w:r w:rsidRPr="00ED5D86">
        <w:rPr>
          <w:rFonts w:ascii="Times New Roman" w:hAnsi="Times New Roman"/>
          <w:sz w:val="24"/>
          <w:szCs w:val="24"/>
        </w:rPr>
        <w:t xml:space="preserve">tłumaczenie przepisów dyrektywy z upoważnieniem do traktowania środków na rachunku bankowym </w:t>
      </w:r>
      <w:r w:rsidR="00E745BF" w:rsidRPr="00ED5D86">
        <w:rPr>
          <w:rFonts w:ascii="Times New Roman" w:hAnsi="Times New Roman"/>
          <w:sz w:val="24"/>
          <w:szCs w:val="24"/>
        </w:rPr>
        <w:t xml:space="preserve">(a w istocie zapisu elektronicznego) </w:t>
      </w:r>
      <w:r w:rsidRPr="00ED5D86">
        <w:rPr>
          <w:rFonts w:ascii="Times New Roman" w:hAnsi="Times New Roman"/>
          <w:sz w:val="24"/>
          <w:szCs w:val="24"/>
        </w:rPr>
        <w:t xml:space="preserve">jako rzeczy, a więc </w:t>
      </w:r>
      <w:r w:rsidR="00E745BF" w:rsidRPr="00ED5D86">
        <w:rPr>
          <w:rFonts w:ascii="Times New Roman" w:hAnsi="Times New Roman"/>
          <w:sz w:val="24"/>
          <w:szCs w:val="24"/>
        </w:rPr>
        <w:t>przedmiotów</w:t>
      </w:r>
      <w:r w:rsidRPr="00ED5D86">
        <w:rPr>
          <w:rFonts w:ascii="Times New Roman" w:hAnsi="Times New Roman"/>
          <w:sz w:val="24"/>
          <w:szCs w:val="24"/>
        </w:rPr>
        <w:t xml:space="preserve">, co do których możliwe jest </w:t>
      </w:r>
      <w:r w:rsidR="00E745BF" w:rsidRPr="00ED5D86">
        <w:rPr>
          <w:rFonts w:ascii="Times New Roman" w:hAnsi="Times New Roman"/>
          <w:sz w:val="24"/>
          <w:szCs w:val="24"/>
        </w:rPr>
        <w:t xml:space="preserve">zabezpieczenie ich przede wszystkim </w:t>
      </w:r>
      <w:r w:rsidRPr="00ED5D86">
        <w:rPr>
          <w:rFonts w:ascii="Times New Roman" w:hAnsi="Times New Roman"/>
          <w:sz w:val="24"/>
          <w:szCs w:val="24"/>
        </w:rPr>
        <w:t xml:space="preserve">jako dowodu w sprawie i postępowanie jak z dowodem, a nie </w:t>
      </w:r>
      <w:r w:rsidR="00E745BF" w:rsidRPr="00ED5D86">
        <w:rPr>
          <w:rFonts w:ascii="Times New Roman" w:hAnsi="Times New Roman"/>
          <w:sz w:val="24"/>
          <w:szCs w:val="24"/>
        </w:rPr>
        <w:t xml:space="preserve">jak z </w:t>
      </w:r>
      <w:r w:rsidRPr="00ED5D86">
        <w:rPr>
          <w:rFonts w:ascii="Times New Roman" w:hAnsi="Times New Roman"/>
          <w:sz w:val="24"/>
          <w:szCs w:val="24"/>
        </w:rPr>
        <w:t xml:space="preserve">przedmiotem zabezpieczenia majątkowego. </w:t>
      </w:r>
    </w:p>
    <w:p w14:paraId="69C0B3ED" w14:textId="334D6B9D" w:rsidR="00696A79" w:rsidRPr="00ED5D86" w:rsidRDefault="00F6509B" w:rsidP="00696A79">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W konsekwencji należy przyjąć, że b</w:t>
      </w:r>
      <w:r w:rsidR="00696A79" w:rsidRPr="00ED5D86">
        <w:rPr>
          <w:rFonts w:ascii="Times New Roman" w:hAnsi="Times New Roman"/>
          <w:sz w:val="24"/>
          <w:szCs w:val="24"/>
        </w:rPr>
        <w:t xml:space="preserve">lokada środków na rachunku nie może być racjonalnie rozumiana jako forma zabezpieczenia dowodów </w:t>
      </w:r>
      <w:r w:rsidR="00035ED4" w:rsidRPr="00ED5D86">
        <w:rPr>
          <w:rFonts w:ascii="Times New Roman" w:hAnsi="Times New Roman"/>
          <w:sz w:val="24"/>
          <w:szCs w:val="24"/>
        </w:rPr>
        <w:t>rzeczowych,</w:t>
      </w:r>
      <w:r w:rsidR="00696A79" w:rsidRPr="00ED5D86">
        <w:rPr>
          <w:rFonts w:ascii="Times New Roman" w:hAnsi="Times New Roman"/>
          <w:sz w:val="24"/>
          <w:szCs w:val="24"/>
        </w:rPr>
        <w:t xml:space="preserve"> albowiem jest to sprzeczne z ich istotą, skoro środki zapisane na rachunku w postaci zapisu elektronicznego mają niematerialny charakter. Zatem za pomocą tych środków (zapisu samego w sobie) nie jest możliwe udowodnienie określonej okoliczności istotnej dla toczącego się postępowania. Dowód stanowić mogą za to informacje i dokumenty w formie elektronicznej i papierowej zawierające zapis dokonywanych operacji z ich udziałem i za pomocą tych środków. Dokumentują one bowiem wszystkie informacje istotne o tych środkach. W tym zatem zakresie rozwiązanie zawarte w art. 236b k.p.k. przyjmujące fikcję, że środki na rachunku są rzeczą i mogą być zabezpieczone jako dowodów jest nieprawidłowe. Podobnie błędne jest wyrażone w art. 106a pr.bank., w art. 16 u.s.k.o.k. w art. 86 u.p.p.p.f.t., a także w art. 40 u.n.r.k. założenie, że blokada rachunku stanowić ma instrument służący utrwaleniu dowodu (środka dowodowego) w postaci składników mienia zapisanych na rachunku. Skutkiem realizacji tego błędnego założenia jest pozbawienie właściciela/posiadacza środków możliwości zaskarżenia </w:t>
      </w:r>
      <w:r w:rsidR="00035ED4" w:rsidRPr="00ED5D86">
        <w:rPr>
          <w:rFonts w:ascii="Times New Roman" w:hAnsi="Times New Roman"/>
          <w:sz w:val="24"/>
          <w:szCs w:val="24"/>
        </w:rPr>
        <w:t>postanowienia</w:t>
      </w:r>
      <w:r w:rsidRPr="00ED5D86">
        <w:rPr>
          <w:rFonts w:ascii="Times New Roman" w:hAnsi="Times New Roman"/>
          <w:sz w:val="24"/>
          <w:szCs w:val="24"/>
        </w:rPr>
        <w:t xml:space="preserve"> o zablokowaniu środków</w:t>
      </w:r>
      <w:r w:rsidR="00035ED4" w:rsidRPr="00ED5D86">
        <w:rPr>
          <w:rFonts w:ascii="Times New Roman" w:hAnsi="Times New Roman"/>
          <w:sz w:val="24"/>
          <w:szCs w:val="24"/>
        </w:rPr>
        <w:t>,</w:t>
      </w:r>
      <w:r w:rsidR="00696A79" w:rsidRPr="00ED5D86">
        <w:rPr>
          <w:rFonts w:ascii="Times New Roman" w:hAnsi="Times New Roman"/>
          <w:sz w:val="24"/>
          <w:szCs w:val="24"/>
        </w:rPr>
        <w:t xml:space="preserve"> jeśli blokada środków na rachunku dokonana została jako dowód. Takie postanowienie ze swej istoty wskazuje na rzecz jako źródło śladów, cech lub właściwości, które są istotne dla dokonania ustaleń faktycznych w sprawie. Choć więc w </w:t>
      </w:r>
      <w:r w:rsidR="00696A79" w:rsidRPr="00ED5D86">
        <w:rPr>
          <w:rFonts w:ascii="Times New Roman" w:hAnsi="Times New Roman"/>
          <w:sz w:val="24"/>
          <w:szCs w:val="24"/>
        </w:rPr>
        <w:lastRenderedPageBreak/>
        <w:t>przypadku blokady środków jako zapis</w:t>
      </w:r>
      <w:r w:rsidRPr="00ED5D86">
        <w:rPr>
          <w:rFonts w:ascii="Times New Roman" w:hAnsi="Times New Roman"/>
          <w:sz w:val="24"/>
          <w:szCs w:val="24"/>
        </w:rPr>
        <w:t>u</w:t>
      </w:r>
      <w:r w:rsidR="00696A79" w:rsidRPr="00ED5D86">
        <w:rPr>
          <w:rFonts w:ascii="Times New Roman" w:hAnsi="Times New Roman"/>
          <w:sz w:val="24"/>
          <w:szCs w:val="24"/>
        </w:rPr>
        <w:t xml:space="preserve"> elektroniczn</w:t>
      </w:r>
      <w:r w:rsidRPr="00ED5D86">
        <w:rPr>
          <w:rFonts w:ascii="Times New Roman" w:hAnsi="Times New Roman"/>
          <w:sz w:val="24"/>
          <w:szCs w:val="24"/>
        </w:rPr>
        <w:t>ego samego w sobie</w:t>
      </w:r>
      <w:r w:rsidR="00696A79" w:rsidRPr="00ED5D86">
        <w:rPr>
          <w:rFonts w:ascii="Times New Roman" w:hAnsi="Times New Roman"/>
          <w:sz w:val="24"/>
          <w:szCs w:val="24"/>
        </w:rPr>
        <w:t xml:space="preserve"> pozbawione</w:t>
      </w:r>
      <w:r w:rsidRPr="00ED5D86">
        <w:rPr>
          <w:rFonts w:ascii="Times New Roman" w:hAnsi="Times New Roman"/>
          <w:sz w:val="24"/>
          <w:szCs w:val="24"/>
        </w:rPr>
        <w:t>go</w:t>
      </w:r>
      <w:r w:rsidR="00696A79" w:rsidRPr="00ED5D86">
        <w:rPr>
          <w:rFonts w:ascii="Times New Roman" w:hAnsi="Times New Roman"/>
          <w:sz w:val="24"/>
          <w:szCs w:val="24"/>
        </w:rPr>
        <w:t xml:space="preserve"> przydatności w tym zakresie (mają je dokumenty obrazujące postępowanie z tymi środkami)</w:t>
      </w:r>
      <w:r w:rsidRPr="00ED5D86">
        <w:rPr>
          <w:rFonts w:ascii="Times New Roman" w:hAnsi="Times New Roman"/>
          <w:sz w:val="24"/>
          <w:szCs w:val="24"/>
        </w:rPr>
        <w:t>,</w:t>
      </w:r>
      <w:r w:rsidR="00696A79" w:rsidRPr="00ED5D86">
        <w:rPr>
          <w:rFonts w:ascii="Times New Roman" w:hAnsi="Times New Roman"/>
          <w:sz w:val="24"/>
          <w:szCs w:val="24"/>
        </w:rPr>
        <w:t xml:space="preserve"> to jednak skuteczne podważenie prawidłowości takiego postanowienia dowodowego </w:t>
      </w:r>
      <w:r w:rsidRPr="00ED5D86">
        <w:rPr>
          <w:rFonts w:ascii="Times New Roman" w:hAnsi="Times New Roman"/>
          <w:sz w:val="24"/>
          <w:szCs w:val="24"/>
        </w:rPr>
        <w:t xml:space="preserve">(tj. gdy organ procesowy dokonał złej oceny sytuacji) jest niezwykle utrudnione albo </w:t>
      </w:r>
      <w:r w:rsidR="00696A79" w:rsidRPr="00ED5D86">
        <w:rPr>
          <w:rFonts w:ascii="Times New Roman" w:hAnsi="Times New Roman"/>
          <w:sz w:val="24"/>
          <w:szCs w:val="24"/>
        </w:rPr>
        <w:t xml:space="preserve">nie jest </w:t>
      </w:r>
      <w:r w:rsidRPr="00ED5D86">
        <w:rPr>
          <w:rFonts w:ascii="Times New Roman" w:hAnsi="Times New Roman"/>
          <w:sz w:val="24"/>
          <w:szCs w:val="24"/>
        </w:rPr>
        <w:t xml:space="preserve">zupełnie </w:t>
      </w:r>
      <w:r w:rsidR="00696A79" w:rsidRPr="00ED5D86">
        <w:rPr>
          <w:rFonts w:ascii="Times New Roman" w:hAnsi="Times New Roman"/>
          <w:sz w:val="24"/>
          <w:szCs w:val="24"/>
        </w:rPr>
        <w:t xml:space="preserve">możliwe. Decyzja procesowa prokuratora staje się uznaniowa i niekontrolowalna. Inaczej jest </w:t>
      </w:r>
      <w:r w:rsidRPr="00ED5D86">
        <w:rPr>
          <w:rFonts w:ascii="Times New Roman" w:hAnsi="Times New Roman"/>
          <w:sz w:val="24"/>
          <w:szCs w:val="24"/>
        </w:rPr>
        <w:t xml:space="preserve">oczywiście </w:t>
      </w:r>
      <w:r w:rsidR="00696A79" w:rsidRPr="00ED5D86">
        <w:rPr>
          <w:rFonts w:ascii="Times New Roman" w:hAnsi="Times New Roman"/>
          <w:sz w:val="24"/>
          <w:szCs w:val="24"/>
        </w:rPr>
        <w:t>w razie blokady środków jako środka za</w:t>
      </w:r>
      <w:r w:rsidR="008A5C9B" w:rsidRPr="00ED5D86">
        <w:rPr>
          <w:rFonts w:ascii="Times New Roman" w:hAnsi="Times New Roman"/>
          <w:sz w:val="24"/>
          <w:szCs w:val="24"/>
        </w:rPr>
        <w:t>pobiegawczego</w:t>
      </w:r>
      <w:r w:rsidR="00696A79" w:rsidRPr="00ED5D86">
        <w:rPr>
          <w:rFonts w:ascii="Times New Roman" w:hAnsi="Times New Roman"/>
          <w:sz w:val="24"/>
          <w:szCs w:val="24"/>
        </w:rPr>
        <w:t>, albowiem ustawa wymaga realizacji przesłanek zastosowania i może być poddana kontroli sądowej.</w:t>
      </w:r>
    </w:p>
    <w:p w14:paraId="24EDEA2D" w14:textId="52E04601" w:rsidR="00696A79" w:rsidRPr="00ED5D86" w:rsidRDefault="00F6509B" w:rsidP="00696A79">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Co więcej, z</w:t>
      </w:r>
      <w:r w:rsidR="00696A79" w:rsidRPr="00ED5D86">
        <w:rPr>
          <w:rFonts w:ascii="Times New Roman" w:hAnsi="Times New Roman"/>
          <w:sz w:val="24"/>
          <w:szCs w:val="24"/>
        </w:rPr>
        <w:t>astosowanie do instytucji blokady środków na koncie art. 236b k.p.k. w obecnym brzmieniu tych przepisów może budzić też wątpliwości w zakresie prawidłowej implementacji art. 8 ust. 4 dyrektywy 2014/42/UE, w zakresie w jakim ten ostatni przepis nakłada na państwa członkowskie obowiązek zapewnienia osobie, której mienia dotyczy nakaz zabezpieczenia, skuteczn</w:t>
      </w:r>
      <w:r w:rsidRPr="00ED5D86">
        <w:rPr>
          <w:rFonts w:ascii="Times New Roman" w:hAnsi="Times New Roman"/>
          <w:sz w:val="24"/>
          <w:szCs w:val="24"/>
        </w:rPr>
        <w:t>ej</w:t>
      </w:r>
      <w:r w:rsidR="00696A79" w:rsidRPr="00ED5D86">
        <w:rPr>
          <w:rFonts w:ascii="Times New Roman" w:hAnsi="Times New Roman"/>
          <w:sz w:val="24"/>
          <w:szCs w:val="24"/>
        </w:rPr>
        <w:t xml:space="preserve"> możliwoś</w:t>
      </w:r>
      <w:r w:rsidRPr="00ED5D86">
        <w:rPr>
          <w:rFonts w:ascii="Times New Roman" w:hAnsi="Times New Roman"/>
          <w:sz w:val="24"/>
          <w:szCs w:val="24"/>
        </w:rPr>
        <w:t>ci</w:t>
      </w:r>
      <w:r w:rsidR="00696A79" w:rsidRPr="00ED5D86">
        <w:rPr>
          <w:rFonts w:ascii="Times New Roman" w:hAnsi="Times New Roman"/>
          <w:sz w:val="24"/>
          <w:szCs w:val="24"/>
        </w:rPr>
        <w:t xml:space="preserve"> zaskarżenia go </w:t>
      </w:r>
      <w:r w:rsidRPr="00ED5D86">
        <w:rPr>
          <w:rFonts w:ascii="Times New Roman" w:hAnsi="Times New Roman"/>
          <w:sz w:val="24"/>
          <w:szCs w:val="24"/>
        </w:rPr>
        <w:t>do sądu.</w:t>
      </w:r>
      <w:r w:rsidR="00696A79" w:rsidRPr="00ED5D86">
        <w:rPr>
          <w:rFonts w:ascii="Times New Roman" w:hAnsi="Times New Roman"/>
          <w:sz w:val="24"/>
          <w:szCs w:val="24"/>
        </w:rPr>
        <w:t xml:space="preserve"> Prawidłowym rozwiązaniem regulacji blokady środków zgromadzonych na rachunku powinno być </w:t>
      </w:r>
      <w:r w:rsidRPr="00ED5D86">
        <w:rPr>
          <w:rFonts w:ascii="Times New Roman" w:hAnsi="Times New Roman"/>
          <w:sz w:val="24"/>
          <w:szCs w:val="24"/>
        </w:rPr>
        <w:t xml:space="preserve">więc </w:t>
      </w:r>
      <w:r w:rsidR="00696A79" w:rsidRPr="00ED5D86">
        <w:rPr>
          <w:rFonts w:ascii="Times New Roman" w:hAnsi="Times New Roman"/>
          <w:sz w:val="24"/>
          <w:szCs w:val="24"/>
        </w:rPr>
        <w:t xml:space="preserve">raczej dokonanie zabezpieczenia tych środków nie tytułem dowodów w postępowaniu karnym (a więc w trybie wyłączającym skuteczną sądową kontrolę zasadności zabezpieczenia), lecz jako dopuszczalnego wyjątkowo tymczasowego środka, stosowanego zgodnie ze swoją istotą i którego cel oraz przesłanki zostały jasno wskazane, tj. służyłby możliwości tymczasowego zabezpieczenia do czasu wydania postanowienia o zabezpieczeniu majątkowym w trybie art. 291 k.p.k. </w:t>
      </w:r>
      <w:r w:rsidRPr="00ED5D86">
        <w:rPr>
          <w:rFonts w:ascii="Times New Roman" w:hAnsi="Times New Roman"/>
          <w:sz w:val="24"/>
          <w:szCs w:val="24"/>
        </w:rPr>
        <w:t>Ten ostatni p</w:t>
      </w:r>
      <w:r w:rsidR="00696A79" w:rsidRPr="00ED5D86">
        <w:rPr>
          <w:rFonts w:ascii="Times New Roman" w:hAnsi="Times New Roman"/>
          <w:sz w:val="24"/>
          <w:szCs w:val="24"/>
        </w:rPr>
        <w:t>rzepis przewiduje możliwość zabezpieczenia na mieniu oskarżonego lub na mieniu, o którym mowa w art. 45 § 2 k.k., wykonania orzeczenia w postaci orzeczenia takich środków karnych jak grzywna, świadczenie pieniężne, przepadek oraz środka kompensacyjnego, a także zwrotu korzyści majątkowej (ew. jej równowartości), jaką sprawca osiągnął z popełnionego przestępstwa, jeżeli zachodzi uzasadniona obawa, że bez takiego zabezpieczenia wykonanie orzeczenia będzie niemożliwe albo znacznie utrudnione. Zatem w istocie dla zastosowania tego środka obok istnienia dużego prawdopodobieństwa popełnienia przestępstwa, musi jednocześnie istnieć duże prawdopodobieństwo orzeczenia przepadku lub zwrotu pokrzywdzonemu lub innemu uprawnionemu podmiotowi korzyści majątkowej, albo jej równowartości. W takiej sytuacji wydaje się, że także stosowanie tej regulacji w odniesieniu do instytucji blokady środków zgromadzonych na rachunku, o których mowa w z art. 106a pr.bank., art. 16 u.s.k.o.k., art. 86 u.p.p.p.f.t. oraz art. 40 u.n.r.k. był</w:t>
      </w:r>
      <w:r w:rsidRPr="00ED5D86">
        <w:rPr>
          <w:rFonts w:ascii="Times New Roman" w:hAnsi="Times New Roman"/>
          <w:sz w:val="24"/>
          <w:szCs w:val="24"/>
        </w:rPr>
        <w:t>o</w:t>
      </w:r>
      <w:r w:rsidR="00696A79" w:rsidRPr="00ED5D86">
        <w:rPr>
          <w:rFonts w:ascii="Times New Roman" w:hAnsi="Times New Roman"/>
          <w:sz w:val="24"/>
          <w:szCs w:val="24"/>
        </w:rPr>
        <w:t>by blisk</w:t>
      </w:r>
      <w:r w:rsidRPr="00ED5D86">
        <w:rPr>
          <w:rFonts w:ascii="Times New Roman" w:hAnsi="Times New Roman"/>
          <w:sz w:val="24"/>
          <w:szCs w:val="24"/>
        </w:rPr>
        <w:t>ie</w:t>
      </w:r>
      <w:r w:rsidR="00696A79" w:rsidRPr="00ED5D86">
        <w:rPr>
          <w:rFonts w:ascii="Times New Roman" w:hAnsi="Times New Roman"/>
          <w:sz w:val="24"/>
          <w:szCs w:val="24"/>
        </w:rPr>
        <w:t xml:space="preserve"> celom określonym w art. 7 ust. 1 i 2 dyrektywy 2014/42/UE, zobowiązującym państwa członkowskie do podjęcia niezbędnych środków w celu umożliwienia zabezpieczenia mienia w celu ewentualnej późniejszej konfiskaty.</w:t>
      </w:r>
    </w:p>
    <w:p w14:paraId="28F37D69" w14:textId="444A98BE" w:rsidR="00696A79" w:rsidRPr="00ED5D86" w:rsidRDefault="00696A79" w:rsidP="00696A79">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Dyrektywa nie wyklucza wprawdzie możliwości tego by w prawie krajowym zabezpieczone mienie mogło stanowić dowód w procesie karnym, a zatem podlegać przepisom o dowodach w zakresie uznania rzeczy za dowód, przeprowadzenia tego dowodu oraz dokonania jego oceny zgodnie z prawem krajowym (m.in. motyw 28 Dyrektywy 2014/42/UE), o ile zostanie ono następnie udostępnione w celu skutecznego wykonania nakazu konfiskaty. Jednak </w:t>
      </w:r>
      <w:r w:rsidR="00AE3033" w:rsidRPr="00ED5D86">
        <w:rPr>
          <w:rFonts w:ascii="Times New Roman" w:hAnsi="Times New Roman"/>
          <w:sz w:val="24"/>
          <w:szCs w:val="24"/>
        </w:rPr>
        <w:t>reguła ta ma ogólny zakres i ogólne zastosowanie do przedmiotów, które mogą być ze swej istoty dowodem. N</w:t>
      </w:r>
      <w:r w:rsidRPr="00ED5D86">
        <w:rPr>
          <w:rFonts w:ascii="Times New Roman" w:hAnsi="Times New Roman"/>
          <w:sz w:val="24"/>
          <w:szCs w:val="24"/>
        </w:rPr>
        <w:t xml:space="preserve">ie wynika z niego konieczność takiego </w:t>
      </w:r>
      <w:r w:rsidR="00AE3033" w:rsidRPr="00ED5D86">
        <w:rPr>
          <w:rFonts w:ascii="Times New Roman" w:hAnsi="Times New Roman"/>
          <w:sz w:val="24"/>
          <w:szCs w:val="24"/>
        </w:rPr>
        <w:t xml:space="preserve">samego </w:t>
      </w:r>
      <w:r w:rsidRPr="00ED5D86">
        <w:rPr>
          <w:rFonts w:ascii="Times New Roman" w:hAnsi="Times New Roman"/>
          <w:sz w:val="24"/>
          <w:szCs w:val="24"/>
        </w:rPr>
        <w:t xml:space="preserve">postępowania z mieniem </w:t>
      </w:r>
      <w:r w:rsidR="00035ED4" w:rsidRPr="00ED5D86">
        <w:rPr>
          <w:rFonts w:ascii="Times New Roman" w:hAnsi="Times New Roman"/>
          <w:sz w:val="24"/>
          <w:szCs w:val="24"/>
        </w:rPr>
        <w:t>zabezpieczonym</w:t>
      </w:r>
      <w:r w:rsidR="00ED5D86" w:rsidRPr="00ED5D86">
        <w:rPr>
          <w:rFonts w:ascii="Times New Roman" w:hAnsi="Times New Roman"/>
          <w:sz w:val="24"/>
          <w:szCs w:val="24"/>
        </w:rPr>
        <w:t>,</w:t>
      </w:r>
      <w:r w:rsidRPr="00ED5D86">
        <w:rPr>
          <w:rFonts w:ascii="Times New Roman" w:hAnsi="Times New Roman"/>
          <w:sz w:val="24"/>
          <w:szCs w:val="24"/>
        </w:rPr>
        <w:t xml:space="preserve"> ani tym bardziej dopuszczalność czy potrzeba zabezpieczania mienia, które nie ma charakteru rzeczy, </w:t>
      </w:r>
      <w:r w:rsidR="00AE3033" w:rsidRPr="00ED5D86">
        <w:rPr>
          <w:rFonts w:ascii="Times New Roman" w:hAnsi="Times New Roman"/>
          <w:sz w:val="24"/>
          <w:szCs w:val="24"/>
        </w:rPr>
        <w:t xml:space="preserve">czy </w:t>
      </w:r>
      <w:r w:rsidRPr="00ED5D86">
        <w:rPr>
          <w:rFonts w:ascii="Times New Roman" w:hAnsi="Times New Roman"/>
          <w:sz w:val="24"/>
          <w:szCs w:val="24"/>
        </w:rPr>
        <w:t xml:space="preserve">zabezpieczenie </w:t>
      </w:r>
      <w:r w:rsidR="00AE3033" w:rsidRPr="00ED5D86">
        <w:rPr>
          <w:rFonts w:ascii="Times New Roman" w:hAnsi="Times New Roman"/>
          <w:sz w:val="24"/>
          <w:szCs w:val="24"/>
        </w:rPr>
        <w:t xml:space="preserve">jako </w:t>
      </w:r>
      <w:r w:rsidRPr="00ED5D86">
        <w:rPr>
          <w:rFonts w:ascii="Times New Roman" w:hAnsi="Times New Roman"/>
          <w:sz w:val="24"/>
          <w:szCs w:val="24"/>
        </w:rPr>
        <w:t xml:space="preserve">dowodu, w tym jako dowodu rzeczowego. Takiemu postąpieniu sprzeciwia się także nakaz minimalizacji ograniczenia prawa własności w związku ze stosowaniem tymczasowego zabezpieczenia mienia, zgodnie z którym środki te należy stosować nie dłużej niż jest to konieczne do zapewnienia dostępności mienia na wypadek ewentualnej późniejszej konfiskaty (odpowiednio motyw nr 31 Dyrektywy 2014/42/UE). W tym zakresie rozwiązania przewidziane w art. 236b k.p.k. nie realizują tych wymogów, </w:t>
      </w:r>
      <w:r w:rsidR="00AE3033" w:rsidRPr="00ED5D86">
        <w:rPr>
          <w:rFonts w:ascii="Times New Roman" w:hAnsi="Times New Roman"/>
          <w:sz w:val="24"/>
          <w:szCs w:val="24"/>
        </w:rPr>
        <w:t>a</w:t>
      </w:r>
      <w:r w:rsidRPr="00ED5D86">
        <w:rPr>
          <w:rFonts w:ascii="Times New Roman" w:hAnsi="Times New Roman"/>
          <w:sz w:val="24"/>
          <w:szCs w:val="24"/>
        </w:rPr>
        <w:t xml:space="preserve"> sądowa kontrola stosowania tego środka jest w praktyce nieefektywna, o ile w ogóle możliwa.</w:t>
      </w:r>
    </w:p>
    <w:p w14:paraId="46FCC28F" w14:textId="66C42834" w:rsidR="00696A79" w:rsidRPr="00ED5D86" w:rsidRDefault="00696A79" w:rsidP="00AE3033">
      <w:pPr>
        <w:pStyle w:val="Akapitzlist"/>
        <w:numPr>
          <w:ilvl w:val="0"/>
          <w:numId w:val="3"/>
        </w:numPr>
        <w:autoSpaceDE w:val="0"/>
        <w:autoSpaceDN w:val="0"/>
        <w:adjustRightInd w:val="0"/>
        <w:spacing w:after="240"/>
        <w:ind w:left="425" w:hanging="357"/>
        <w:contextualSpacing w:val="0"/>
        <w:jc w:val="both"/>
        <w:rPr>
          <w:rFonts w:ascii="Times New Roman" w:hAnsi="Times New Roman"/>
          <w:sz w:val="24"/>
          <w:szCs w:val="24"/>
        </w:rPr>
      </w:pPr>
      <w:r w:rsidRPr="00ED5D86">
        <w:rPr>
          <w:rFonts w:ascii="Times New Roman" w:hAnsi="Times New Roman"/>
          <w:sz w:val="24"/>
          <w:szCs w:val="24"/>
        </w:rPr>
        <w:lastRenderedPageBreak/>
        <w:t xml:space="preserve">Także z orzecznictwa ETPC wynika standard określonego stosowania środków tymczasowych zwróconych przeciwko mieniu, w myśl którego dopuszczalność ich oceniana jest w kontekście konieczności, </w:t>
      </w:r>
      <w:r w:rsidR="00035ED4" w:rsidRPr="00ED5D86">
        <w:rPr>
          <w:rFonts w:ascii="Times New Roman" w:hAnsi="Times New Roman"/>
          <w:sz w:val="24"/>
          <w:szCs w:val="24"/>
        </w:rPr>
        <w:t>realizacji ogólnego</w:t>
      </w:r>
      <w:r w:rsidRPr="00ED5D86">
        <w:rPr>
          <w:rFonts w:ascii="Times New Roman" w:hAnsi="Times New Roman"/>
          <w:sz w:val="24"/>
          <w:szCs w:val="24"/>
        </w:rPr>
        <w:t xml:space="preserve"> interesu” społeczeństwa, oraz w konkretnym celu jakim jest uprzedzenie dla możliwości późniejszej ewentualnej konfiskaty mienia, a rzeczywista poniesiona szkoda nie powinna być większa niż ta, która jest nieunikniona. Uznaje się więc za zgodne z art. 1 Protokołu Nr 1 EKPC regulacje wprowadzające możliwość zabezpieczenia czy konfiskaty mienia związanego z poważnymi przestępstwami (m.in. pranie pieniędzy, korupcja, przestępstwa narkotykowe), bez uprzedniego wyroku skazującego. Dotyczyć może ona nie tylko do </w:t>
      </w:r>
      <w:r w:rsidR="00035ED4" w:rsidRPr="00ED5D86">
        <w:rPr>
          <w:rFonts w:ascii="Times New Roman" w:hAnsi="Times New Roman"/>
          <w:sz w:val="24"/>
          <w:szCs w:val="24"/>
        </w:rPr>
        <w:t>bezpośrednich,</w:t>
      </w:r>
      <w:r w:rsidRPr="00ED5D86">
        <w:rPr>
          <w:rFonts w:ascii="Times New Roman" w:hAnsi="Times New Roman"/>
          <w:sz w:val="24"/>
          <w:szCs w:val="24"/>
        </w:rPr>
        <w:t xml:space="preserve"> ale także do pośrednich dochodów z </w:t>
      </w:r>
      <w:r w:rsidR="00035ED4" w:rsidRPr="00ED5D86">
        <w:rPr>
          <w:rFonts w:ascii="Times New Roman" w:hAnsi="Times New Roman"/>
          <w:sz w:val="24"/>
          <w:szCs w:val="24"/>
        </w:rPr>
        <w:t>przestępstwa</w:t>
      </w:r>
      <w:r w:rsidRPr="00ED5D86">
        <w:rPr>
          <w:rFonts w:ascii="Times New Roman" w:hAnsi="Times New Roman"/>
          <w:sz w:val="24"/>
          <w:szCs w:val="24"/>
        </w:rPr>
        <w:t xml:space="preserve"> oraz mienia uzyskanego w wyniku zamiany lub przekształcenia bezpośrednich dochodów z przestępstwa, zmieszania ich z innym majątkiem. Środki konfiskaty stosować można również wobec osób trzecich posiadających prawa własności bez wymaganej dobrej wiary w celu ukrycia ich bezprawnej roli w gromadzeniu przedmiotowego majątku. Jednak w tej procedurze konieczne jest zapewnienie wystarczających i rzeczywistych gwarancji w toku postępowania związanego z zabezpieczeniem i konfiskatą mienia, w tym zwłaszcza możliwość zaskarżenia decyzji, znajomości jej podstaw, efektywnej kontroli zasadności zastosowania środka, możliwość przedstawienia własnego stanowiska (świadków, dokumentów), prawa do zastępstwa procesowego, zaś sąd musi mieć swobodę uznania zasadności stosowania środka jeśli uzna, że zastosowanie go spowodowałoby poważne ryzyko niesprawiedliwości oraz długości jego trwania (m.in. sprawa Stołkowski przeciwko Polsce; Pendov przeciwko Bułgarii; wyrok ETPC z 10.10.2017 r. w sprawie Lachikhina przeciwko Rosji, skarga nr 38783/07, LEX nr 2368140; wyrok z 17.05.2016 r. w sprawie Džinić przeciwko Chorwacji, skarga nr 38359/13; wyrok ETPC z 23.09.1982 r. w sprawie Sporrong i Lönnroth przeciwko Szwecji, skarga nr 7151/75 oraz 7152/75; wyrok ETPC(WI) z 5.01.2000 r. w sprawie Beyeler przeciwko Włochom, skarga nr 33202/96.) </w:t>
      </w:r>
    </w:p>
    <w:p w14:paraId="74DD95CA" w14:textId="0DFCD998" w:rsidR="008F08A8" w:rsidRPr="00ED5D86" w:rsidRDefault="008F08A8" w:rsidP="00AD25A6">
      <w:pPr>
        <w:pStyle w:val="Akapitzlist"/>
        <w:numPr>
          <w:ilvl w:val="0"/>
          <w:numId w:val="3"/>
        </w:numPr>
        <w:autoSpaceDE w:val="0"/>
        <w:autoSpaceDN w:val="0"/>
        <w:adjustRightInd w:val="0"/>
        <w:ind w:left="425" w:hanging="357"/>
        <w:contextualSpacing w:val="0"/>
        <w:jc w:val="both"/>
        <w:rPr>
          <w:rFonts w:ascii="Times New Roman" w:hAnsi="Times New Roman"/>
          <w:sz w:val="24"/>
          <w:szCs w:val="24"/>
        </w:rPr>
      </w:pPr>
      <w:r w:rsidRPr="00ED5D86">
        <w:rPr>
          <w:rFonts w:ascii="Times New Roman" w:hAnsi="Times New Roman"/>
          <w:sz w:val="24"/>
          <w:szCs w:val="24"/>
        </w:rPr>
        <w:t xml:space="preserve">Nieuzasadnione </w:t>
      </w:r>
      <w:r w:rsidR="00E745BF" w:rsidRPr="00ED5D86">
        <w:rPr>
          <w:rFonts w:ascii="Times New Roman" w:hAnsi="Times New Roman"/>
          <w:sz w:val="24"/>
          <w:szCs w:val="24"/>
        </w:rPr>
        <w:t>jest oczywiście</w:t>
      </w:r>
      <w:r w:rsidRPr="00ED5D86">
        <w:rPr>
          <w:rFonts w:ascii="Times New Roman" w:hAnsi="Times New Roman"/>
          <w:sz w:val="24"/>
          <w:szCs w:val="24"/>
        </w:rPr>
        <w:t xml:space="preserve"> pozbawienie prokuratora możliwości czasowego zablokowania środków na rachunku czy twierdzenie, że działanie to narusza prawo własności (art. 64 ust. 3 Konstytucji i art. 31 ust. 3 Konstytucji)</w:t>
      </w:r>
      <w:r w:rsidR="00E745BF" w:rsidRPr="00ED5D86">
        <w:rPr>
          <w:rFonts w:ascii="Times New Roman" w:hAnsi="Times New Roman"/>
          <w:sz w:val="24"/>
          <w:szCs w:val="24"/>
        </w:rPr>
        <w:t>,</w:t>
      </w:r>
      <w:r w:rsidRPr="00ED5D86">
        <w:rPr>
          <w:rFonts w:ascii="Times New Roman" w:hAnsi="Times New Roman"/>
          <w:sz w:val="24"/>
          <w:szCs w:val="24"/>
        </w:rPr>
        <w:t xml:space="preserve"> o ile jest stosowane w sytuacji </w:t>
      </w:r>
      <w:r w:rsidR="00E745BF" w:rsidRPr="00ED5D86">
        <w:rPr>
          <w:rFonts w:ascii="Times New Roman" w:hAnsi="Times New Roman"/>
          <w:sz w:val="24"/>
          <w:szCs w:val="24"/>
        </w:rPr>
        <w:t>„</w:t>
      </w:r>
      <w:r w:rsidRPr="00ED5D86">
        <w:rPr>
          <w:rFonts w:ascii="Times New Roman" w:hAnsi="Times New Roman"/>
          <w:sz w:val="24"/>
          <w:szCs w:val="24"/>
        </w:rPr>
        <w:t>uzasadnionego podejrzenia popełnienia przestępstwa</w:t>
      </w:r>
      <w:r w:rsidR="00E745BF" w:rsidRPr="00ED5D86">
        <w:rPr>
          <w:rFonts w:ascii="Times New Roman" w:hAnsi="Times New Roman"/>
          <w:sz w:val="24"/>
          <w:szCs w:val="24"/>
        </w:rPr>
        <w:t>”</w:t>
      </w:r>
      <w:r w:rsidRPr="00ED5D86">
        <w:rPr>
          <w:rFonts w:ascii="Times New Roman" w:hAnsi="Times New Roman"/>
          <w:sz w:val="24"/>
          <w:szCs w:val="24"/>
        </w:rPr>
        <w:t xml:space="preserve">. Wbrew obawom wyrażonym w stanowisku RPO ta ostatnia przesłanka nie jest niejasna. Wprawdzie postanowienie o zabezpieczeniu środków na rachunku jest wówczas środkiem czasowym i nie jest środkiem procesowym, ale jego zastosowanie znajduje uzasadnienie w celach regulacji związanych ze zwalczaniem przestępczości. Nie może być jednak środkiem nieograniczonym czasowo oraz musi podlegać kontroli sądowej, a ostatecznie może przekształcić się w postanowienie o zabezpieczeniu majątkowym jako zabezpieczenie składników mienia zapisanych na rachunku w celu ich przepadku albo jako korzyści uzyskane z przestępstwa albo jako narzędzia służące do jego popełnienia (por. wspomniany art. 7 ust. 1 dyrektywy 2014/42/UE. </w:t>
      </w:r>
      <w:r w:rsidR="00ED5D86" w:rsidRPr="00ED5D86">
        <w:rPr>
          <w:rFonts w:ascii="Times New Roman" w:hAnsi="Times New Roman"/>
          <w:sz w:val="24"/>
          <w:szCs w:val="24"/>
        </w:rPr>
        <w:t>Rozwiązanie to musi być zatem również spójne z instytucjami materialno-prawnymi, w szczególności z przepadkiem środków finansowych. W miejsce rozwiązań istniejących w art. 236b k.p.k. rozważyć można wreszcie ewentualnie także wprowadzenie do przepisów kodeks</w:t>
      </w:r>
      <w:r w:rsidR="00ED5D86">
        <w:rPr>
          <w:rFonts w:ascii="Times New Roman" w:hAnsi="Times New Roman"/>
          <w:sz w:val="24"/>
          <w:szCs w:val="24"/>
        </w:rPr>
        <w:t>u</w:t>
      </w:r>
      <w:r w:rsidR="00ED5D86" w:rsidRPr="00ED5D86">
        <w:rPr>
          <w:rFonts w:ascii="Times New Roman" w:hAnsi="Times New Roman"/>
          <w:sz w:val="24"/>
          <w:szCs w:val="24"/>
        </w:rPr>
        <w:t xml:space="preserve"> postępowania karnego odrębnej regulacji w postaci czasowej blokady środków na koncie na etapie przed przedstawieniem zarzutów. Jeśli nadto uwzględnić, że w ramach pierwotnego namysłu nad wprowadzeniem możliwości zabezpieczenia środków na koncie </w:t>
      </w:r>
      <w:r w:rsidR="00ED5D86">
        <w:rPr>
          <w:rFonts w:ascii="Times New Roman" w:hAnsi="Times New Roman"/>
          <w:sz w:val="24"/>
          <w:szCs w:val="24"/>
        </w:rPr>
        <w:t xml:space="preserve">jako dowodu </w:t>
      </w:r>
      <w:r w:rsidR="00ED5D86" w:rsidRPr="00ED5D86">
        <w:rPr>
          <w:rFonts w:ascii="Times New Roman" w:hAnsi="Times New Roman"/>
          <w:sz w:val="24"/>
          <w:szCs w:val="24"/>
        </w:rPr>
        <w:t xml:space="preserve">było również ułatwienie możliwości zwrotu środków </w:t>
      </w:r>
      <w:r w:rsidR="00ED5D86">
        <w:rPr>
          <w:rFonts w:ascii="Times New Roman" w:hAnsi="Times New Roman"/>
          <w:sz w:val="24"/>
          <w:szCs w:val="24"/>
        </w:rPr>
        <w:t xml:space="preserve">uprawnionemu, </w:t>
      </w:r>
      <w:r w:rsidR="00ED5D86" w:rsidRPr="00ED5D86">
        <w:rPr>
          <w:rFonts w:ascii="Times New Roman" w:hAnsi="Times New Roman"/>
          <w:sz w:val="24"/>
          <w:szCs w:val="24"/>
        </w:rPr>
        <w:t xml:space="preserve">m.in. w przypadku przestępstwa </w:t>
      </w:r>
      <w:proofErr w:type="spellStart"/>
      <w:r w:rsidR="00ED5D86" w:rsidRPr="00ED5D86">
        <w:rPr>
          <w:rFonts w:ascii="Times New Roman" w:hAnsi="Times New Roman"/>
          <w:sz w:val="24"/>
          <w:szCs w:val="24"/>
        </w:rPr>
        <w:t>phishingu</w:t>
      </w:r>
      <w:proofErr w:type="spellEnd"/>
      <w:r w:rsidR="00ED5D86" w:rsidRPr="00ED5D86">
        <w:rPr>
          <w:rFonts w:ascii="Times New Roman" w:hAnsi="Times New Roman"/>
          <w:sz w:val="24"/>
          <w:szCs w:val="24"/>
        </w:rPr>
        <w:t xml:space="preserve"> to wydaje się uzasadnionym rozważeniem wprowadzenia regulacji przewidującej wprost możliwość zwrotu zabezpieczonych czasowo środków osobie uprawnionej. Konieczne jest wreszcie zaprojektowanie przepisów przejściowych.</w:t>
      </w:r>
    </w:p>
    <w:p w14:paraId="67513A0D" w14:textId="77777777" w:rsidR="008F08A8" w:rsidRDefault="008F08A8" w:rsidP="008F08A8">
      <w:pPr>
        <w:spacing w:after="0" w:line="240" w:lineRule="auto"/>
        <w:rPr>
          <w:rFonts w:ascii="Times New Roman" w:hAnsi="Times New Roman" w:cs="Times New Roman"/>
          <w:sz w:val="24"/>
          <w:szCs w:val="24"/>
        </w:rPr>
      </w:pPr>
    </w:p>
    <w:p w14:paraId="774991BB" w14:textId="77777777" w:rsidR="00A7088E" w:rsidRPr="00ED5D86" w:rsidRDefault="00A7088E" w:rsidP="008F08A8">
      <w:pPr>
        <w:spacing w:after="0" w:line="240" w:lineRule="auto"/>
        <w:rPr>
          <w:rFonts w:ascii="Times New Roman" w:hAnsi="Times New Roman" w:cs="Times New Roman"/>
          <w:sz w:val="24"/>
          <w:szCs w:val="24"/>
        </w:rPr>
      </w:pPr>
    </w:p>
    <w:p w14:paraId="0FEAB1B5" w14:textId="6536AF2B" w:rsidR="00A7088E" w:rsidRPr="00ED5D86" w:rsidRDefault="006E5F86" w:rsidP="008F08A8">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opracował prof. dr hab.</w:t>
      </w:r>
      <w:r w:rsidR="00691D67" w:rsidRPr="00ED5D86">
        <w:rPr>
          <w:rFonts w:ascii="Times New Roman" w:hAnsi="Times New Roman" w:cs="Times New Roman"/>
          <w:i/>
          <w:iCs/>
          <w:sz w:val="24"/>
          <w:szCs w:val="24"/>
        </w:rPr>
        <w:t xml:space="preserve"> </w:t>
      </w:r>
      <w:r w:rsidR="008F08A8" w:rsidRPr="00ED5D86">
        <w:rPr>
          <w:rFonts w:ascii="Times New Roman" w:hAnsi="Times New Roman" w:cs="Times New Roman"/>
          <w:i/>
          <w:iCs/>
          <w:sz w:val="24"/>
          <w:szCs w:val="24"/>
        </w:rPr>
        <w:t xml:space="preserve">Paweł Wiliński </w:t>
      </w:r>
    </w:p>
    <w:sectPr w:rsidR="00A7088E" w:rsidRPr="00ED5D86" w:rsidSect="00ED5D86">
      <w:footerReference w:type="even" r:id="rId7"/>
      <w:footerReference w:type="default" r:id="rId8"/>
      <w:pgSz w:w="11900" w:h="16840"/>
      <w:pgMar w:top="997" w:right="1269" w:bottom="1266"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44F4B" w14:textId="77777777" w:rsidR="001E42E0" w:rsidRDefault="001E42E0" w:rsidP="00691D67">
      <w:pPr>
        <w:spacing w:after="0" w:line="240" w:lineRule="auto"/>
      </w:pPr>
      <w:r>
        <w:separator/>
      </w:r>
    </w:p>
  </w:endnote>
  <w:endnote w:type="continuationSeparator" w:id="0">
    <w:p w14:paraId="122711B7" w14:textId="77777777" w:rsidR="001E42E0" w:rsidRDefault="001E42E0" w:rsidP="0069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14853518"/>
      <w:docPartObj>
        <w:docPartGallery w:val="Page Numbers (Bottom of Page)"/>
        <w:docPartUnique/>
      </w:docPartObj>
    </w:sdtPr>
    <w:sdtContent>
      <w:p w14:paraId="65AACE33" w14:textId="1BC8A7F1" w:rsidR="00691D67" w:rsidRDefault="00691D67" w:rsidP="004A19D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5C019CD" w14:textId="77777777" w:rsidR="00691D67" w:rsidRDefault="00691D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Fonts w:ascii="Times New Roman" w:hAnsi="Times New Roman" w:cs="Times New Roman"/>
      </w:rPr>
      <w:id w:val="633605753"/>
      <w:docPartObj>
        <w:docPartGallery w:val="Page Numbers (Bottom of Page)"/>
        <w:docPartUnique/>
      </w:docPartObj>
    </w:sdtPr>
    <w:sdtContent>
      <w:p w14:paraId="78A8062D" w14:textId="0C9D6301" w:rsidR="00691D67" w:rsidRPr="00AE3033" w:rsidRDefault="00691D67" w:rsidP="004A19DF">
        <w:pPr>
          <w:pStyle w:val="Stopka"/>
          <w:framePr w:wrap="none" w:vAnchor="text" w:hAnchor="margin" w:xAlign="center" w:y="1"/>
          <w:rPr>
            <w:rStyle w:val="Numerstrony"/>
            <w:rFonts w:ascii="Times New Roman" w:hAnsi="Times New Roman" w:cs="Times New Roman"/>
          </w:rPr>
        </w:pPr>
        <w:r w:rsidRPr="00AE3033">
          <w:rPr>
            <w:rStyle w:val="Numerstrony"/>
            <w:rFonts w:ascii="Times New Roman" w:hAnsi="Times New Roman" w:cs="Times New Roman"/>
          </w:rPr>
          <w:fldChar w:fldCharType="begin"/>
        </w:r>
        <w:r w:rsidRPr="00AE3033">
          <w:rPr>
            <w:rStyle w:val="Numerstrony"/>
            <w:rFonts w:ascii="Times New Roman" w:hAnsi="Times New Roman" w:cs="Times New Roman"/>
          </w:rPr>
          <w:instrText xml:space="preserve"> PAGE </w:instrText>
        </w:r>
        <w:r w:rsidRPr="00AE3033">
          <w:rPr>
            <w:rStyle w:val="Numerstrony"/>
            <w:rFonts w:ascii="Times New Roman" w:hAnsi="Times New Roman" w:cs="Times New Roman"/>
          </w:rPr>
          <w:fldChar w:fldCharType="separate"/>
        </w:r>
        <w:r w:rsidRPr="00AE3033">
          <w:rPr>
            <w:rStyle w:val="Numerstrony"/>
            <w:rFonts w:ascii="Times New Roman" w:hAnsi="Times New Roman" w:cs="Times New Roman"/>
            <w:noProof/>
          </w:rPr>
          <w:t>1</w:t>
        </w:r>
        <w:r w:rsidRPr="00AE3033">
          <w:rPr>
            <w:rStyle w:val="Numerstrony"/>
            <w:rFonts w:ascii="Times New Roman" w:hAnsi="Times New Roman" w:cs="Times New Roman"/>
          </w:rPr>
          <w:fldChar w:fldCharType="end"/>
        </w:r>
      </w:p>
    </w:sdtContent>
  </w:sdt>
  <w:p w14:paraId="10ED3F74" w14:textId="77777777" w:rsidR="00691D67" w:rsidRPr="00AE3033" w:rsidRDefault="00691D67">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E60F" w14:textId="77777777" w:rsidR="001E42E0" w:rsidRDefault="001E42E0" w:rsidP="00691D67">
      <w:pPr>
        <w:spacing w:after="0" w:line="240" w:lineRule="auto"/>
      </w:pPr>
      <w:r>
        <w:separator/>
      </w:r>
    </w:p>
  </w:footnote>
  <w:footnote w:type="continuationSeparator" w:id="0">
    <w:p w14:paraId="5203556C" w14:textId="77777777" w:rsidR="001E42E0" w:rsidRDefault="001E42E0" w:rsidP="00691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69E"/>
    <w:multiLevelType w:val="hybridMultilevel"/>
    <w:tmpl w:val="485076C6"/>
    <w:lvl w:ilvl="0" w:tplc="8AB6E52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8A517DC"/>
    <w:multiLevelType w:val="hybridMultilevel"/>
    <w:tmpl w:val="BC4E7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A79E0"/>
    <w:multiLevelType w:val="hybridMultilevel"/>
    <w:tmpl w:val="96629DB2"/>
    <w:lvl w:ilvl="0" w:tplc="799E1F4A">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770887"/>
    <w:multiLevelType w:val="hybridMultilevel"/>
    <w:tmpl w:val="BFF6EC9A"/>
    <w:lvl w:ilvl="0" w:tplc="799E1F4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1945789">
    <w:abstractNumId w:val="3"/>
  </w:num>
  <w:num w:numId="2" w16cid:durableId="1365061612">
    <w:abstractNumId w:val="2"/>
  </w:num>
  <w:num w:numId="3" w16cid:durableId="171995923">
    <w:abstractNumId w:val="1"/>
  </w:num>
  <w:num w:numId="4" w16cid:durableId="134296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B"/>
    <w:rsid w:val="00034E7E"/>
    <w:rsid w:val="00035ED4"/>
    <w:rsid w:val="000427F5"/>
    <w:rsid w:val="000963E9"/>
    <w:rsid w:val="000E5024"/>
    <w:rsid w:val="00145A7B"/>
    <w:rsid w:val="00180226"/>
    <w:rsid w:val="001D1F13"/>
    <w:rsid w:val="001D2CAE"/>
    <w:rsid w:val="001D4A99"/>
    <w:rsid w:val="001E42E0"/>
    <w:rsid w:val="00222560"/>
    <w:rsid w:val="0029392B"/>
    <w:rsid w:val="00294459"/>
    <w:rsid w:val="002B69B6"/>
    <w:rsid w:val="002B7B43"/>
    <w:rsid w:val="002F18E3"/>
    <w:rsid w:val="00314FA0"/>
    <w:rsid w:val="003375BB"/>
    <w:rsid w:val="003C6ECC"/>
    <w:rsid w:val="00455547"/>
    <w:rsid w:val="004949BA"/>
    <w:rsid w:val="004F4C23"/>
    <w:rsid w:val="005130AB"/>
    <w:rsid w:val="005477C7"/>
    <w:rsid w:val="005610E0"/>
    <w:rsid w:val="00565E78"/>
    <w:rsid w:val="0058589C"/>
    <w:rsid w:val="005874B6"/>
    <w:rsid w:val="005A49F8"/>
    <w:rsid w:val="005B1062"/>
    <w:rsid w:val="005F2087"/>
    <w:rsid w:val="00603BBA"/>
    <w:rsid w:val="00613240"/>
    <w:rsid w:val="0062735D"/>
    <w:rsid w:val="006557AB"/>
    <w:rsid w:val="00691D67"/>
    <w:rsid w:val="00695F91"/>
    <w:rsid w:val="00696A79"/>
    <w:rsid w:val="006E5F86"/>
    <w:rsid w:val="006F1B50"/>
    <w:rsid w:val="007049E4"/>
    <w:rsid w:val="00705D2A"/>
    <w:rsid w:val="0071348A"/>
    <w:rsid w:val="00722032"/>
    <w:rsid w:val="0072334F"/>
    <w:rsid w:val="00746C73"/>
    <w:rsid w:val="0078454A"/>
    <w:rsid w:val="007B5AB9"/>
    <w:rsid w:val="007C7B26"/>
    <w:rsid w:val="00800787"/>
    <w:rsid w:val="00805993"/>
    <w:rsid w:val="008212DD"/>
    <w:rsid w:val="00822AC9"/>
    <w:rsid w:val="00850A6C"/>
    <w:rsid w:val="00887DCC"/>
    <w:rsid w:val="008A5C9B"/>
    <w:rsid w:val="008F08A8"/>
    <w:rsid w:val="008F1157"/>
    <w:rsid w:val="00921271"/>
    <w:rsid w:val="009245A7"/>
    <w:rsid w:val="00931C94"/>
    <w:rsid w:val="00934E36"/>
    <w:rsid w:val="00955389"/>
    <w:rsid w:val="009B5C62"/>
    <w:rsid w:val="009E3BC5"/>
    <w:rsid w:val="00A361E1"/>
    <w:rsid w:val="00A47BDA"/>
    <w:rsid w:val="00A7088E"/>
    <w:rsid w:val="00AA677B"/>
    <w:rsid w:val="00AB0C0C"/>
    <w:rsid w:val="00AB1DA7"/>
    <w:rsid w:val="00AC14C1"/>
    <w:rsid w:val="00AC6D43"/>
    <w:rsid w:val="00AE3033"/>
    <w:rsid w:val="00AE3CDB"/>
    <w:rsid w:val="00AE6512"/>
    <w:rsid w:val="00B03F1C"/>
    <w:rsid w:val="00B15B2E"/>
    <w:rsid w:val="00B36C72"/>
    <w:rsid w:val="00B70444"/>
    <w:rsid w:val="00B837B5"/>
    <w:rsid w:val="00BD6DED"/>
    <w:rsid w:val="00C1311C"/>
    <w:rsid w:val="00C404BA"/>
    <w:rsid w:val="00C55BDD"/>
    <w:rsid w:val="00C66D2B"/>
    <w:rsid w:val="00D166DF"/>
    <w:rsid w:val="00D51F53"/>
    <w:rsid w:val="00D9308E"/>
    <w:rsid w:val="00D9339B"/>
    <w:rsid w:val="00D96F3D"/>
    <w:rsid w:val="00DD4AF1"/>
    <w:rsid w:val="00E745BF"/>
    <w:rsid w:val="00EB5362"/>
    <w:rsid w:val="00EC03FA"/>
    <w:rsid w:val="00ED5D86"/>
    <w:rsid w:val="00EE654D"/>
    <w:rsid w:val="00F1374D"/>
    <w:rsid w:val="00F14BA9"/>
    <w:rsid w:val="00F6509B"/>
    <w:rsid w:val="00FA1E96"/>
    <w:rsid w:val="00FD7DA7"/>
    <w:rsid w:val="00FF4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FBDB8D7"/>
  <w15:chartTrackingRefBased/>
  <w15:docId w15:val="{27124B51-81DC-F14D-9ED2-CCC8732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color w:val="000000"/>
        <w:kern w:val="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92B"/>
    <w:pPr>
      <w:spacing w:after="160" w:line="259" w:lineRule="auto"/>
    </w:pPr>
    <w:rPr>
      <w:rFonts w:asciiTheme="minorHAnsi" w:hAnsiTheme="minorHAnsi" w:cstheme="minorBidi"/>
      <w:color w:val="auto"/>
      <w:sz w:val="22"/>
      <w:szCs w:val="22"/>
    </w:rPr>
  </w:style>
  <w:style w:type="paragraph" w:styleId="Nagwek1">
    <w:name w:val="heading 1"/>
    <w:basedOn w:val="Normalny"/>
    <w:next w:val="Normalny"/>
    <w:link w:val="Nagwek1Znak"/>
    <w:uiPriority w:val="9"/>
    <w:qFormat/>
    <w:rsid w:val="0029392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9392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9392B"/>
    <w:pPr>
      <w:keepNext/>
      <w:keepLines/>
      <w:spacing w:before="160" w:after="80" w:line="240"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9392B"/>
    <w:pPr>
      <w:keepNext/>
      <w:keepLines/>
      <w:spacing w:before="80" w:after="40" w:line="240" w:lineRule="auto"/>
      <w:outlineLvl w:val="3"/>
    </w:pPr>
    <w:rPr>
      <w:rFonts w:eastAsiaTheme="majorEastAsia" w:cstheme="majorBidi"/>
      <w:i/>
      <w:iCs/>
      <w:color w:val="0F4761" w:themeColor="accent1" w:themeShade="BF"/>
      <w:sz w:val="20"/>
      <w:szCs w:val="20"/>
    </w:rPr>
  </w:style>
  <w:style w:type="paragraph" w:styleId="Nagwek5">
    <w:name w:val="heading 5"/>
    <w:basedOn w:val="Normalny"/>
    <w:next w:val="Normalny"/>
    <w:link w:val="Nagwek5Znak"/>
    <w:uiPriority w:val="9"/>
    <w:semiHidden/>
    <w:unhideWhenUsed/>
    <w:qFormat/>
    <w:rsid w:val="0029392B"/>
    <w:pPr>
      <w:keepNext/>
      <w:keepLines/>
      <w:spacing w:before="80" w:after="40" w:line="240" w:lineRule="auto"/>
      <w:outlineLvl w:val="4"/>
    </w:pPr>
    <w:rPr>
      <w:rFonts w:eastAsiaTheme="majorEastAsia" w:cstheme="majorBidi"/>
      <w:color w:val="0F4761" w:themeColor="accent1" w:themeShade="BF"/>
      <w:sz w:val="20"/>
      <w:szCs w:val="20"/>
    </w:rPr>
  </w:style>
  <w:style w:type="paragraph" w:styleId="Nagwek6">
    <w:name w:val="heading 6"/>
    <w:basedOn w:val="Normalny"/>
    <w:next w:val="Normalny"/>
    <w:link w:val="Nagwek6Znak"/>
    <w:uiPriority w:val="9"/>
    <w:semiHidden/>
    <w:unhideWhenUsed/>
    <w:qFormat/>
    <w:rsid w:val="0029392B"/>
    <w:pPr>
      <w:keepNext/>
      <w:keepLines/>
      <w:spacing w:before="40" w:after="0" w:line="240" w:lineRule="auto"/>
      <w:outlineLvl w:val="5"/>
    </w:pPr>
    <w:rPr>
      <w:rFonts w:eastAsiaTheme="majorEastAsia" w:cstheme="majorBidi"/>
      <w:i/>
      <w:iCs/>
      <w:color w:val="595959" w:themeColor="text1" w:themeTint="A6"/>
      <w:sz w:val="20"/>
      <w:szCs w:val="20"/>
    </w:rPr>
  </w:style>
  <w:style w:type="paragraph" w:styleId="Nagwek7">
    <w:name w:val="heading 7"/>
    <w:basedOn w:val="Normalny"/>
    <w:next w:val="Normalny"/>
    <w:link w:val="Nagwek7Znak"/>
    <w:uiPriority w:val="9"/>
    <w:semiHidden/>
    <w:unhideWhenUsed/>
    <w:qFormat/>
    <w:rsid w:val="0029392B"/>
    <w:pPr>
      <w:keepNext/>
      <w:keepLines/>
      <w:spacing w:before="40" w:after="0" w:line="240" w:lineRule="auto"/>
      <w:outlineLvl w:val="6"/>
    </w:pPr>
    <w:rPr>
      <w:rFonts w:eastAsiaTheme="majorEastAsia" w:cstheme="majorBidi"/>
      <w:color w:val="595959" w:themeColor="text1" w:themeTint="A6"/>
      <w:sz w:val="20"/>
      <w:szCs w:val="20"/>
    </w:rPr>
  </w:style>
  <w:style w:type="paragraph" w:styleId="Nagwek8">
    <w:name w:val="heading 8"/>
    <w:basedOn w:val="Normalny"/>
    <w:next w:val="Normalny"/>
    <w:link w:val="Nagwek8Znak"/>
    <w:uiPriority w:val="9"/>
    <w:semiHidden/>
    <w:unhideWhenUsed/>
    <w:qFormat/>
    <w:rsid w:val="0029392B"/>
    <w:pPr>
      <w:keepNext/>
      <w:keepLines/>
      <w:spacing w:after="0" w:line="240" w:lineRule="auto"/>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semiHidden/>
    <w:unhideWhenUsed/>
    <w:qFormat/>
    <w:rsid w:val="0029392B"/>
    <w:pPr>
      <w:keepNext/>
      <w:keepLines/>
      <w:spacing w:after="0" w:line="240" w:lineRule="auto"/>
      <w:outlineLvl w:val="8"/>
    </w:pPr>
    <w:rPr>
      <w:rFonts w:eastAsiaTheme="majorEastAsia" w:cstheme="majorBidi"/>
      <w:color w:val="272727" w:themeColor="text1" w:themeTint="D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39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939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392B"/>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392B"/>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29392B"/>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29392B"/>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29392B"/>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29392B"/>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29392B"/>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29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392B"/>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29392B"/>
    <w:pPr>
      <w:numPr>
        <w:ilvl w:val="1"/>
      </w:numPr>
      <w:spacing w:line="240"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392B"/>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29392B"/>
    <w:pPr>
      <w:spacing w:before="160" w:line="240" w:lineRule="auto"/>
      <w:jc w:val="center"/>
    </w:pPr>
    <w:rPr>
      <w:rFonts w:ascii="Cambria" w:hAnsi="Cambria" w:cs="Times New Roman"/>
      <w:i/>
      <w:iCs/>
      <w:color w:val="404040" w:themeColor="text1" w:themeTint="BF"/>
      <w:sz w:val="20"/>
      <w:szCs w:val="20"/>
    </w:rPr>
  </w:style>
  <w:style w:type="character" w:customStyle="1" w:styleId="CytatZnak">
    <w:name w:val="Cytat Znak"/>
    <w:basedOn w:val="Domylnaczcionkaakapitu"/>
    <w:link w:val="Cytat"/>
    <w:uiPriority w:val="29"/>
    <w:rsid w:val="0029392B"/>
    <w:rPr>
      <w:i/>
      <w:iCs/>
      <w:color w:val="404040" w:themeColor="text1" w:themeTint="BF"/>
    </w:rPr>
  </w:style>
  <w:style w:type="paragraph" w:styleId="Akapitzlist">
    <w:name w:val="List Paragraph"/>
    <w:basedOn w:val="Normalny"/>
    <w:uiPriority w:val="34"/>
    <w:qFormat/>
    <w:rsid w:val="0029392B"/>
    <w:pPr>
      <w:spacing w:after="0" w:line="240" w:lineRule="auto"/>
      <w:ind w:left="720"/>
      <w:contextualSpacing/>
    </w:pPr>
    <w:rPr>
      <w:rFonts w:ascii="Cambria" w:hAnsi="Cambria" w:cs="Times New Roman"/>
      <w:color w:val="000000"/>
      <w:sz w:val="20"/>
      <w:szCs w:val="20"/>
    </w:rPr>
  </w:style>
  <w:style w:type="character" w:styleId="Wyrnienieintensywne">
    <w:name w:val="Intense Emphasis"/>
    <w:basedOn w:val="Domylnaczcionkaakapitu"/>
    <w:uiPriority w:val="21"/>
    <w:qFormat/>
    <w:rsid w:val="0029392B"/>
    <w:rPr>
      <w:i/>
      <w:iCs/>
      <w:color w:val="0F4761" w:themeColor="accent1" w:themeShade="BF"/>
    </w:rPr>
  </w:style>
  <w:style w:type="paragraph" w:styleId="Cytatintensywny">
    <w:name w:val="Intense Quote"/>
    <w:basedOn w:val="Normalny"/>
    <w:next w:val="Normalny"/>
    <w:link w:val="CytatintensywnyZnak"/>
    <w:uiPriority w:val="30"/>
    <w:qFormat/>
    <w:rsid w:val="0029392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Cambria" w:hAnsi="Cambria" w:cs="Times New Roman"/>
      <w:i/>
      <w:iCs/>
      <w:color w:val="0F4761" w:themeColor="accent1" w:themeShade="BF"/>
      <w:sz w:val="20"/>
      <w:szCs w:val="20"/>
    </w:rPr>
  </w:style>
  <w:style w:type="character" w:customStyle="1" w:styleId="CytatintensywnyZnak">
    <w:name w:val="Cytat intensywny Znak"/>
    <w:basedOn w:val="Domylnaczcionkaakapitu"/>
    <w:link w:val="Cytatintensywny"/>
    <w:uiPriority w:val="30"/>
    <w:rsid w:val="0029392B"/>
    <w:rPr>
      <w:i/>
      <w:iCs/>
      <w:color w:val="0F4761" w:themeColor="accent1" w:themeShade="BF"/>
    </w:rPr>
  </w:style>
  <w:style w:type="character" w:styleId="Odwoanieintensywne">
    <w:name w:val="Intense Reference"/>
    <w:basedOn w:val="Domylnaczcionkaakapitu"/>
    <w:uiPriority w:val="32"/>
    <w:qFormat/>
    <w:rsid w:val="0029392B"/>
    <w:rPr>
      <w:b/>
      <w:bCs/>
      <w:smallCaps/>
      <w:color w:val="0F4761" w:themeColor="accent1" w:themeShade="BF"/>
      <w:spacing w:val="5"/>
    </w:rPr>
  </w:style>
  <w:style w:type="character" w:customStyle="1" w:styleId="IGindeksgrny">
    <w:name w:val="_IG_ – indeks górny"/>
    <w:basedOn w:val="Domylnaczcionkaakapitu"/>
    <w:uiPriority w:val="2"/>
    <w:qFormat/>
    <w:rsid w:val="0029392B"/>
    <w:rPr>
      <w:b w:val="0"/>
      <w:i w:val="0"/>
      <w:vanish w:val="0"/>
      <w:spacing w:val="0"/>
      <w:vertAlign w:val="superscript"/>
    </w:rPr>
  </w:style>
  <w:style w:type="paragraph" w:styleId="Stopka">
    <w:name w:val="footer"/>
    <w:basedOn w:val="Normalny"/>
    <w:link w:val="StopkaZnak"/>
    <w:uiPriority w:val="99"/>
    <w:unhideWhenUsed/>
    <w:rsid w:val="00691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D67"/>
    <w:rPr>
      <w:rFonts w:asciiTheme="minorHAnsi" w:hAnsiTheme="minorHAnsi" w:cstheme="minorBidi"/>
      <w:color w:val="auto"/>
      <w:sz w:val="22"/>
      <w:szCs w:val="22"/>
    </w:rPr>
  </w:style>
  <w:style w:type="character" w:styleId="Numerstrony">
    <w:name w:val="page number"/>
    <w:basedOn w:val="Domylnaczcionkaakapitu"/>
    <w:uiPriority w:val="99"/>
    <w:semiHidden/>
    <w:unhideWhenUsed/>
    <w:rsid w:val="00691D67"/>
  </w:style>
  <w:style w:type="character" w:styleId="Hipercze">
    <w:name w:val="Hyperlink"/>
    <w:basedOn w:val="Domylnaczcionkaakapitu"/>
    <w:uiPriority w:val="99"/>
    <w:unhideWhenUsed/>
    <w:rsid w:val="008212DD"/>
    <w:rPr>
      <w:color w:val="467886" w:themeColor="hyperlink"/>
      <w:u w:val="single"/>
    </w:rPr>
  </w:style>
  <w:style w:type="character" w:styleId="Nierozpoznanawzmianka">
    <w:name w:val="Unresolved Mention"/>
    <w:basedOn w:val="Domylnaczcionkaakapitu"/>
    <w:uiPriority w:val="99"/>
    <w:semiHidden/>
    <w:unhideWhenUsed/>
    <w:rsid w:val="008212DD"/>
    <w:rPr>
      <w:color w:val="605E5C"/>
      <w:shd w:val="clear" w:color="auto" w:fill="E1DFDD"/>
    </w:rPr>
  </w:style>
  <w:style w:type="paragraph" w:styleId="Nagwek">
    <w:name w:val="header"/>
    <w:basedOn w:val="Normalny"/>
    <w:link w:val="NagwekZnak"/>
    <w:uiPriority w:val="99"/>
    <w:unhideWhenUsed/>
    <w:rsid w:val="00AE30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3033"/>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6171">
      <w:bodyDiv w:val="1"/>
      <w:marLeft w:val="0"/>
      <w:marRight w:val="0"/>
      <w:marTop w:val="0"/>
      <w:marBottom w:val="0"/>
      <w:divBdr>
        <w:top w:val="none" w:sz="0" w:space="0" w:color="auto"/>
        <w:left w:val="none" w:sz="0" w:space="0" w:color="auto"/>
        <w:bottom w:val="none" w:sz="0" w:space="0" w:color="auto"/>
        <w:right w:val="none" w:sz="0" w:space="0" w:color="auto"/>
      </w:divBdr>
    </w:div>
    <w:div w:id="826941468">
      <w:bodyDiv w:val="1"/>
      <w:marLeft w:val="0"/>
      <w:marRight w:val="0"/>
      <w:marTop w:val="0"/>
      <w:marBottom w:val="0"/>
      <w:divBdr>
        <w:top w:val="none" w:sz="0" w:space="0" w:color="auto"/>
        <w:left w:val="none" w:sz="0" w:space="0" w:color="auto"/>
        <w:bottom w:val="none" w:sz="0" w:space="0" w:color="auto"/>
        <w:right w:val="none" w:sz="0" w:space="0" w:color="auto"/>
      </w:divBdr>
    </w:div>
    <w:div w:id="1163162382">
      <w:bodyDiv w:val="1"/>
      <w:marLeft w:val="0"/>
      <w:marRight w:val="0"/>
      <w:marTop w:val="0"/>
      <w:marBottom w:val="0"/>
      <w:divBdr>
        <w:top w:val="none" w:sz="0" w:space="0" w:color="auto"/>
        <w:left w:val="none" w:sz="0" w:space="0" w:color="auto"/>
        <w:bottom w:val="none" w:sz="0" w:space="0" w:color="auto"/>
        <w:right w:val="none" w:sz="0" w:space="0" w:color="auto"/>
      </w:divBdr>
      <w:divsChild>
        <w:div w:id="2051418981">
          <w:marLeft w:val="0"/>
          <w:marRight w:val="0"/>
          <w:marTop w:val="72"/>
          <w:marBottom w:val="0"/>
          <w:divBdr>
            <w:top w:val="none" w:sz="0" w:space="0" w:color="auto"/>
            <w:left w:val="none" w:sz="0" w:space="0" w:color="auto"/>
            <w:bottom w:val="none" w:sz="0" w:space="0" w:color="auto"/>
            <w:right w:val="none" w:sz="0" w:space="0" w:color="auto"/>
          </w:divBdr>
        </w:div>
        <w:div w:id="568346721">
          <w:marLeft w:val="0"/>
          <w:marRight w:val="0"/>
          <w:marTop w:val="72"/>
          <w:marBottom w:val="0"/>
          <w:divBdr>
            <w:top w:val="none" w:sz="0" w:space="0" w:color="auto"/>
            <w:left w:val="none" w:sz="0" w:space="0" w:color="auto"/>
            <w:bottom w:val="none" w:sz="0" w:space="0" w:color="auto"/>
            <w:right w:val="none" w:sz="0" w:space="0" w:color="auto"/>
          </w:divBdr>
          <w:divsChild>
            <w:div w:id="14076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488">
      <w:bodyDiv w:val="1"/>
      <w:marLeft w:val="0"/>
      <w:marRight w:val="0"/>
      <w:marTop w:val="0"/>
      <w:marBottom w:val="0"/>
      <w:divBdr>
        <w:top w:val="none" w:sz="0" w:space="0" w:color="auto"/>
        <w:left w:val="none" w:sz="0" w:space="0" w:color="auto"/>
        <w:bottom w:val="none" w:sz="0" w:space="0" w:color="auto"/>
        <w:right w:val="none" w:sz="0" w:space="0" w:color="auto"/>
      </w:divBdr>
      <w:divsChild>
        <w:div w:id="1640378817">
          <w:marLeft w:val="0"/>
          <w:marRight w:val="0"/>
          <w:marTop w:val="0"/>
          <w:marBottom w:val="0"/>
          <w:divBdr>
            <w:top w:val="none" w:sz="0" w:space="0" w:color="auto"/>
            <w:left w:val="none" w:sz="0" w:space="0" w:color="auto"/>
            <w:bottom w:val="none" w:sz="0" w:space="0" w:color="auto"/>
            <w:right w:val="none" w:sz="0" w:space="0" w:color="auto"/>
          </w:divBdr>
          <w:divsChild>
            <w:div w:id="1798793643">
              <w:marLeft w:val="0"/>
              <w:marRight w:val="0"/>
              <w:marTop w:val="0"/>
              <w:marBottom w:val="0"/>
              <w:divBdr>
                <w:top w:val="none" w:sz="0" w:space="0" w:color="auto"/>
                <w:left w:val="none" w:sz="0" w:space="0" w:color="auto"/>
                <w:bottom w:val="none" w:sz="0" w:space="0" w:color="auto"/>
                <w:right w:val="none" w:sz="0" w:space="0" w:color="auto"/>
              </w:divBdr>
              <w:divsChild>
                <w:div w:id="124470540">
                  <w:marLeft w:val="0"/>
                  <w:marRight w:val="0"/>
                  <w:marTop w:val="0"/>
                  <w:marBottom w:val="0"/>
                  <w:divBdr>
                    <w:top w:val="none" w:sz="0" w:space="0" w:color="auto"/>
                    <w:left w:val="none" w:sz="0" w:space="0" w:color="auto"/>
                    <w:bottom w:val="none" w:sz="0" w:space="0" w:color="auto"/>
                    <w:right w:val="none" w:sz="0" w:space="0" w:color="auto"/>
                  </w:divBdr>
                  <w:divsChild>
                    <w:div w:id="2083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753">
      <w:bodyDiv w:val="1"/>
      <w:marLeft w:val="0"/>
      <w:marRight w:val="0"/>
      <w:marTop w:val="0"/>
      <w:marBottom w:val="0"/>
      <w:divBdr>
        <w:top w:val="none" w:sz="0" w:space="0" w:color="auto"/>
        <w:left w:val="none" w:sz="0" w:space="0" w:color="auto"/>
        <w:bottom w:val="none" w:sz="0" w:space="0" w:color="auto"/>
        <w:right w:val="none" w:sz="0" w:space="0" w:color="auto"/>
      </w:divBdr>
    </w:div>
    <w:div w:id="1745250583">
      <w:bodyDiv w:val="1"/>
      <w:marLeft w:val="0"/>
      <w:marRight w:val="0"/>
      <w:marTop w:val="0"/>
      <w:marBottom w:val="0"/>
      <w:divBdr>
        <w:top w:val="none" w:sz="0" w:space="0" w:color="auto"/>
        <w:left w:val="none" w:sz="0" w:space="0" w:color="auto"/>
        <w:bottom w:val="none" w:sz="0" w:space="0" w:color="auto"/>
        <w:right w:val="none" w:sz="0" w:space="0" w:color="auto"/>
      </w:divBdr>
      <w:divsChild>
        <w:div w:id="344869722">
          <w:marLeft w:val="0"/>
          <w:marRight w:val="0"/>
          <w:marTop w:val="0"/>
          <w:marBottom w:val="0"/>
          <w:divBdr>
            <w:top w:val="none" w:sz="0" w:space="0" w:color="auto"/>
            <w:left w:val="none" w:sz="0" w:space="0" w:color="auto"/>
            <w:bottom w:val="none" w:sz="0" w:space="0" w:color="auto"/>
            <w:right w:val="none" w:sz="0" w:space="0" w:color="auto"/>
          </w:divBdr>
          <w:divsChild>
            <w:div w:id="352076865">
              <w:marLeft w:val="0"/>
              <w:marRight w:val="0"/>
              <w:marTop w:val="0"/>
              <w:marBottom w:val="0"/>
              <w:divBdr>
                <w:top w:val="none" w:sz="0" w:space="0" w:color="auto"/>
                <w:left w:val="none" w:sz="0" w:space="0" w:color="auto"/>
                <w:bottom w:val="none" w:sz="0" w:space="0" w:color="auto"/>
                <w:right w:val="none" w:sz="0" w:space="0" w:color="auto"/>
              </w:divBdr>
              <w:divsChild>
                <w:div w:id="2015496170">
                  <w:marLeft w:val="0"/>
                  <w:marRight w:val="0"/>
                  <w:marTop w:val="0"/>
                  <w:marBottom w:val="0"/>
                  <w:divBdr>
                    <w:top w:val="none" w:sz="0" w:space="0" w:color="auto"/>
                    <w:left w:val="none" w:sz="0" w:space="0" w:color="auto"/>
                    <w:bottom w:val="none" w:sz="0" w:space="0" w:color="auto"/>
                    <w:right w:val="none" w:sz="0" w:space="0" w:color="auto"/>
                  </w:divBdr>
                  <w:divsChild>
                    <w:div w:id="869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2852</Words>
  <Characters>17116</Characters>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2024-09-07T20:33:00Z</dcterms:created>
  <dcterms:modified xsi:type="dcterms:W3CDTF">2024-10-03T10:57:00Z</dcterms:modified>
</cp:coreProperties>
</file>