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8705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71788">
        <w:rPr>
          <w:rFonts w:asciiTheme="minorHAnsi" w:hAnsiTheme="minorHAnsi" w:cstheme="minorHAnsi"/>
          <w:bCs/>
          <w:sz w:val="24"/>
          <w:szCs w:val="24"/>
        </w:rPr>
        <w:t>19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1788">
        <w:rPr>
          <w:rFonts w:asciiTheme="minorHAnsi" w:hAnsiTheme="minorHAnsi" w:cstheme="minorHAnsi"/>
          <w:bCs/>
          <w:sz w:val="24"/>
          <w:szCs w:val="24"/>
        </w:rPr>
        <w:t>stycznia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E1C00" w:rsidRDefault="002E1C00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E1C00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DOOŚ-WDŚ/ZIL.420.81.2018.EU/AB.AW.32</w:t>
      </w:r>
    </w:p>
    <w:bookmarkEnd w:id="0"/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E1C00" w:rsidRPr="002E1C00" w:rsidRDefault="002E1C00" w:rsidP="002E1C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ooś, zawiadamiam, że w prowadzonym postępowaniu odwoławczym od decyzji Regionalnego Dyrektora Ochrony Środowiska w Warszawie z dnia 14 czerwca 2018 r., znak: WOOŚ-II.4202.1.2017.MPR.28, o środowiskowych uwarunkowaniach realizacji przedsięwzięcia polegającego na budowie linii 400 </w:t>
      </w:r>
      <w:proofErr w:type="spellStart"/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kV</w:t>
      </w:r>
      <w:proofErr w:type="spellEnd"/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ze zmianą układu sieci najwyższych napięć pomiędzy aglomeracją warszawską a Siedlcami (pomiędzy nacięciami linii Stanisławów — Narew, Stanisławów — Siedlce Ujrzanów, Kozienice — Siedlc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 Ujrzanów) według wariantu WIII</w:t>
      </w: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, zgromadzony został cały materiał dowodowy.</w:t>
      </w:r>
    </w:p>
    <w:p w:rsidR="002E1C00" w:rsidRPr="002E1C00" w:rsidRDefault="002E1C00" w:rsidP="002E1C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2E1C00" w:rsidRPr="002E1C00" w:rsidRDefault="002E1C00" w:rsidP="002E1C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Ponadto na podstawie art. 36 Kpa, zawiadamiam, że ww. postępowanie nie mogło być zakończone w wyznaczonym terminie. Przyczyną zwłoki jest konieczność zapewnienia stronom oraz społeczeństwu czynnego udziału w postępowaniu oraz możliwości zapoznania się z materiałem dowodowym zgromadzonym w przedmiotowej sprawie.</w:t>
      </w:r>
    </w:p>
    <w:p w:rsidR="002E1C00" w:rsidRPr="002E1C00" w:rsidRDefault="002E1C00" w:rsidP="002E1C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14 marca 2022 r.</w:t>
      </w:r>
    </w:p>
    <w:p w:rsidR="002E1C00" w:rsidRDefault="002E1C00" w:rsidP="002E1C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1C00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Pr="00467719" w:rsidRDefault="00B35A7F" w:rsidP="002E1C0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32CD3">
        <w:rPr>
          <w:rFonts w:asciiTheme="minorHAnsi" w:hAnsiTheme="minorHAnsi" w:cstheme="minorHAnsi"/>
          <w:color w:val="000000"/>
        </w:rPr>
        <w:t xml:space="preserve">Anna </w:t>
      </w:r>
      <w:r w:rsidR="00F71788">
        <w:rPr>
          <w:rFonts w:asciiTheme="minorHAnsi" w:hAnsiTheme="minorHAnsi" w:cstheme="minorHAnsi"/>
          <w:color w:val="000000"/>
        </w:rPr>
        <w:t>Jasińska</w:t>
      </w:r>
      <w:r w:rsidR="007E6ACA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2E1C00" w:rsidRPr="002E1C00" w:rsidRDefault="002E1C00" w:rsidP="002E1C0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E1C00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2E1C00" w:rsidRPr="002E1C00" w:rsidRDefault="002E1C00" w:rsidP="002E1C0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E1C00">
        <w:rPr>
          <w:rFonts w:asciiTheme="minorHAnsi" w:hAnsiTheme="minorHAnsi" w:cstheme="minorHAnsi"/>
          <w:color w:val="000000"/>
        </w:rPr>
        <w:t xml:space="preserve">Art. 36 Kpa O każdym przypadku </w:t>
      </w:r>
      <w:r w:rsidRPr="002E1C00">
        <w:rPr>
          <w:rFonts w:asciiTheme="minorHAnsi" w:hAnsiTheme="minorHAnsi" w:cstheme="minorHAnsi"/>
          <w:color w:val="000000"/>
        </w:rPr>
        <w:t>niezałatwienia</w:t>
      </w:r>
      <w:r w:rsidRPr="002E1C00">
        <w:rPr>
          <w:rFonts w:asciiTheme="minorHAnsi" w:hAnsiTheme="minorHAnsi" w:cstheme="minorHAnsi"/>
          <w:color w:val="000000"/>
        </w:rPr>
        <w:t xml:space="preserve">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2E1C00" w:rsidRPr="002E1C00" w:rsidRDefault="002E1C00" w:rsidP="002E1C0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E1C00">
        <w:rPr>
          <w:rFonts w:asciiTheme="minorHAnsi" w:hAnsiTheme="minorHAnsi" w:cstheme="minorHAnsi"/>
          <w:color w:val="000000"/>
        </w:rPr>
        <w:t>Art. 37 § 1 Kpa Stronie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2E1C00" w:rsidRPr="002E1C00" w:rsidRDefault="002E1C00" w:rsidP="002E1C0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E1C00">
        <w:rPr>
          <w:rFonts w:asciiTheme="minorHAnsi" w:hAnsiTheme="minorHAnsi" w:cstheme="minorHAnsi"/>
          <w:color w:val="000000"/>
        </w:rPr>
        <w:t>Art. 41 Kpa W toku postępowania strony oraz ich przedstawiciele i pełnomocnicy mają obowiązek zawiadomić organ administracji publicznej o każdej zmianie swojego adresu (§ 1). W razie zaniedbania obowiązku określonego w § 1 doręczenie pisma pod dotychczasowym adresem ma skutek prawny (§ 2) 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2E1C00" w:rsidRPr="002E1C00" w:rsidRDefault="002E1C00" w:rsidP="002E1C0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E1C00">
        <w:rPr>
          <w:rFonts w:asciiTheme="minorHAnsi" w:hAnsiTheme="minorHAnsi" w:cstheme="minorHAnsi"/>
          <w:color w:val="000000"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5C49B1" w:rsidRPr="00E000E6" w:rsidRDefault="002E1C00" w:rsidP="002E1C0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E1C00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I9o spraw wszczętych na podstawie ustaw zmienianych w art. 1 oraz w art. 3 i niezakończonych przed dniem wejścia w życic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E1C0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E1C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E1C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E1C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E1C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2E1C00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C093-97DA-4644-8B6E-FD516A11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2023-06-30T11:58:00Z</dcterms:created>
  <dcterms:modified xsi:type="dcterms:W3CDTF">2023-06-30T11:58:00Z</dcterms:modified>
</cp:coreProperties>
</file>