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810D1" w14:textId="118B3A58" w:rsidR="00954FEB" w:rsidRDefault="00954FEB" w:rsidP="00954FEB">
      <w:pPr>
        <w:spacing w:after="0"/>
        <w:rPr>
          <w:rFonts w:ascii="Times New Roman" w:hAnsi="Times New Roman"/>
          <w:sz w:val="20"/>
          <w:szCs w:val="20"/>
        </w:rPr>
      </w:pPr>
      <w:r>
        <w:rPr>
          <w:rFonts w:ascii="Times New Roman" w:hAnsi="Times New Roman"/>
          <w:sz w:val="20"/>
          <w:szCs w:val="20"/>
        </w:rPr>
        <w:t>GENERALNY DYREKTOR</w:t>
      </w:r>
    </w:p>
    <w:p w14:paraId="32ECDC41" w14:textId="0E6B61CD" w:rsidR="00954FEB" w:rsidRDefault="00954FEB" w:rsidP="00954FEB">
      <w:pPr>
        <w:rPr>
          <w:rFonts w:ascii="Times New Roman" w:hAnsi="Times New Roman"/>
          <w:sz w:val="20"/>
          <w:szCs w:val="20"/>
        </w:rPr>
      </w:pPr>
      <w:r>
        <w:rPr>
          <w:rFonts w:ascii="Times New Roman" w:hAnsi="Times New Roman"/>
          <w:sz w:val="20"/>
          <w:szCs w:val="20"/>
        </w:rPr>
        <w:t>OCHRONY ŚRODOWISKA</w:t>
      </w:r>
    </w:p>
    <w:p w14:paraId="49F63D09" w14:textId="51D9FDDD" w:rsidR="00B5204E" w:rsidRPr="008631A1" w:rsidRDefault="000060D6" w:rsidP="00954FEB">
      <w:pPr>
        <w:rPr>
          <w:rFonts w:ascii="Times New Roman" w:hAnsi="Times New Roman"/>
          <w:sz w:val="20"/>
          <w:szCs w:val="20"/>
        </w:rPr>
      </w:pPr>
      <w:r w:rsidRPr="008631A1">
        <w:rPr>
          <w:rFonts w:ascii="Times New Roman" w:hAnsi="Times New Roman"/>
          <w:sz w:val="20"/>
          <w:szCs w:val="20"/>
        </w:rPr>
        <w:t xml:space="preserve">Warszawa, </w:t>
      </w:r>
      <w:bookmarkStart w:id="0" w:name="ezdDataPodpisu"/>
      <w:r w:rsidRPr="008631A1">
        <w:rPr>
          <w:rFonts w:ascii="Times New Roman" w:hAnsi="Times New Roman"/>
          <w:sz w:val="20"/>
          <w:szCs w:val="20"/>
        </w:rPr>
        <w:t>03 grudnia 2024</w:t>
      </w:r>
      <w:bookmarkEnd w:id="0"/>
      <w:r w:rsidRPr="008631A1">
        <w:rPr>
          <w:rFonts w:ascii="Times New Roman" w:hAnsi="Times New Roman"/>
          <w:sz w:val="20"/>
          <w:szCs w:val="20"/>
        </w:rPr>
        <w:t xml:space="preserve"> r.</w:t>
      </w:r>
    </w:p>
    <w:p w14:paraId="06905658" w14:textId="77777777" w:rsidR="00B5204E" w:rsidRDefault="000060D6" w:rsidP="008631A1">
      <w:pPr>
        <w:spacing w:after="0"/>
        <w:rPr>
          <w:rFonts w:ascii="Times New Roman" w:hAnsi="Times New Roman"/>
          <w:sz w:val="20"/>
          <w:szCs w:val="20"/>
        </w:rPr>
      </w:pPr>
      <w:bookmarkStart w:id="1" w:name="ezdSprawaZnak"/>
      <w:r w:rsidRPr="008631A1">
        <w:rPr>
          <w:rFonts w:ascii="Times New Roman" w:hAnsi="Times New Roman"/>
          <w:sz w:val="20"/>
          <w:szCs w:val="20"/>
        </w:rPr>
        <w:t>DOOŚ-WDŚI.420.57.2020</w:t>
      </w:r>
      <w:bookmarkEnd w:id="1"/>
      <w:r w:rsidRPr="008631A1">
        <w:rPr>
          <w:rFonts w:ascii="Times New Roman" w:hAnsi="Times New Roman"/>
          <w:sz w:val="20"/>
          <w:szCs w:val="20"/>
        </w:rPr>
        <w:t>.</w:t>
      </w:r>
      <w:bookmarkStart w:id="2" w:name="ezdAutorInicjaly"/>
      <w:bookmarkStart w:id="3" w:name="ezdAtrybut_ezdAutorInicjaly"/>
      <w:r w:rsidRPr="008631A1">
        <w:rPr>
          <w:rFonts w:ascii="Times New Roman" w:hAnsi="Times New Roman"/>
          <w:sz w:val="20"/>
          <w:szCs w:val="20"/>
        </w:rPr>
        <w:t>PCh</w:t>
      </w:r>
      <w:bookmarkEnd w:id="2"/>
      <w:bookmarkEnd w:id="3"/>
      <w:r>
        <w:rPr>
          <w:rFonts w:ascii="Times New Roman" w:hAnsi="Times New Roman"/>
          <w:sz w:val="20"/>
          <w:szCs w:val="20"/>
        </w:rPr>
        <w:t>.35</w:t>
      </w:r>
    </w:p>
    <w:p w14:paraId="7C14C888" w14:textId="15B740F2" w:rsidR="00B5204E" w:rsidRPr="00D409EF" w:rsidRDefault="000060D6" w:rsidP="00336A51">
      <w:pPr>
        <w:spacing w:after="0"/>
        <w:rPr>
          <w:rFonts w:ascii="Times New Roman" w:hAnsi="Times New Roman"/>
          <w:bCs/>
          <w:sz w:val="18"/>
          <w:szCs w:val="18"/>
        </w:rPr>
      </w:pPr>
      <w:r w:rsidRPr="008631A1">
        <w:rPr>
          <w:rFonts w:ascii="Times New Roman" w:hAnsi="Times New Roman"/>
          <w:bCs/>
          <w:sz w:val="18"/>
          <w:szCs w:val="18"/>
        </w:rPr>
        <w:t>(stary znak: DOOŚ-WDŚZOO.420.13.2020.maz.PCh)</w:t>
      </w:r>
    </w:p>
    <w:p w14:paraId="445DFE25" w14:textId="77777777" w:rsidR="00B5204E" w:rsidRPr="00D409EF" w:rsidRDefault="000060D6" w:rsidP="00D409EF">
      <w:pPr>
        <w:pStyle w:val="Nagwek1"/>
        <w:spacing w:after="120"/>
        <w:rPr>
          <w:rFonts w:ascii="Times New Roman" w:eastAsia="Times New Roman" w:hAnsi="Times New Roman" w:cs="Times New Roman"/>
          <w:color w:val="auto"/>
          <w:sz w:val="24"/>
          <w:szCs w:val="24"/>
          <w:lang w:eastAsia="pl-PL"/>
        </w:rPr>
      </w:pPr>
      <w:r w:rsidRPr="00D409EF">
        <w:rPr>
          <w:rFonts w:ascii="Times New Roman" w:eastAsia="Times New Roman" w:hAnsi="Times New Roman" w:cs="Times New Roman"/>
          <w:color w:val="auto"/>
          <w:sz w:val="24"/>
          <w:szCs w:val="24"/>
          <w:lang w:eastAsia="pl-PL"/>
        </w:rPr>
        <w:t>DECYZJA</w:t>
      </w:r>
    </w:p>
    <w:p w14:paraId="64EBAB47" w14:textId="2E5FF3AC" w:rsidR="00B5204E" w:rsidRPr="001F6337" w:rsidRDefault="000060D6" w:rsidP="00336A51">
      <w:pPr>
        <w:spacing w:after="120" w:line="312" w:lineRule="auto"/>
        <w:jc w:val="both"/>
        <w:rPr>
          <w:rFonts w:ascii="Times New Roman" w:eastAsia="Times New Roman" w:hAnsi="Times New Roman"/>
          <w:bCs/>
          <w:i/>
          <w:sz w:val="24"/>
          <w:szCs w:val="24"/>
          <w:lang w:eastAsia="pl-PL"/>
        </w:rPr>
      </w:pPr>
      <w:r w:rsidRPr="001F6337">
        <w:rPr>
          <w:rFonts w:ascii="Times New Roman" w:eastAsia="Times New Roman" w:hAnsi="Times New Roman"/>
          <w:sz w:val="24"/>
          <w:szCs w:val="24"/>
          <w:lang w:eastAsia="pl-PL"/>
        </w:rPr>
        <w:t>Generalny Dyrektor Ochrony Środowiska, po rozpatrzeniu odwoła</w:t>
      </w:r>
      <w:r>
        <w:rPr>
          <w:rFonts w:ascii="Times New Roman" w:eastAsia="Times New Roman" w:hAnsi="Times New Roman"/>
          <w:sz w:val="24"/>
          <w:szCs w:val="24"/>
          <w:lang w:eastAsia="pl-PL"/>
        </w:rPr>
        <w:t xml:space="preserve">ń: </w:t>
      </w:r>
      <w:bookmarkStart w:id="4" w:name="_Hlk159926221"/>
      <w:r w:rsidR="00127905">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00127905">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00127905">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oraz Fundacji Czeremcha</w:t>
      </w:r>
      <w:bookmarkEnd w:id="4"/>
      <w:r w:rsidRPr="001F6337">
        <w:rPr>
          <w:rFonts w:ascii="Times New Roman" w:eastAsia="Times New Roman" w:hAnsi="Times New Roman"/>
          <w:sz w:val="24"/>
          <w:szCs w:val="24"/>
          <w:lang w:eastAsia="pl-PL"/>
        </w:rPr>
        <w:t xml:space="preserve"> z </w:t>
      </w:r>
      <w:r>
        <w:rPr>
          <w:rFonts w:ascii="Times New Roman" w:eastAsia="Times New Roman" w:hAnsi="Times New Roman"/>
          <w:sz w:val="24"/>
          <w:szCs w:val="24"/>
          <w:lang w:eastAsia="pl-PL"/>
        </w:rPr>
        <w:t>3</w:t>
      </w:r>
      <w:r w:rsidRPr="001F633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marca</w:t>
      </w:r>
      <w:r w:rsidRPr="001F6337">
        <w:rPr>
          <w:rFonts w:ascii="Times New Roman" w:eastAsia="Times New Roman" w:hAnsi="Times New Roman"/>
          <w:sz w:val="24"/>
          <w:szCs w:val="24"/>
          <w:lang w:eastAsia="pl-PL"/>
        </w:rPr>
        <w:t xml:space="preserve"> 202</w:t>
      </w:r>
      <w:r>
        <w:rPr>
          <w:rFonts w:ascii="Times New Roman" w:eastAsia="Times New Roman" w:hAnsi="Times New Roman"/>
          <w:sz w:val="24"/>
          <w:szCs w:val="24"/>
          <w:lang w:eastAsia="pl-PL"/>
        </w:rPr>
        <w:t xml:space="preserve">0 </w:t>
      </w:r>
      <w:r w:rsidRPr="001F6337">
        <w:rPr>
          <w:rFonts w:ascii="Times New Roman" w:eastAsia="Times New Roman" w:hAnsi="Times New Roman"/>
          <w:sz w:val="24"/>
          <w:szCs w:val="24"/>
          <w:lang w:eastAsia="pl-PL"/>
        </w:rPr>
        <w:t>r. od</w:t>
      </w:r>
      <w:bookmarkStart w:id="5" w:name="_GoBack"/>
      <w:bookmarkEnd w:id="5"/>
      <w:r w:rsidRPr="001F6337">
        <w:rPr>
          <w:rFonts w:ascii="Times New Roman" w:eastAsia="Times New Roman" w:hAnsi="Times New Roman"/>
          <w:sz w:val="24"/>
          <w:szCs w:val="24"/>
          <w:lang w:eastAsia="pl-PL"/>
        </w:rPr>
        <w:t xml:space="preserve"> decyzji Regionalnego Dyrektora Ochrony Środowiska </w:t>
      </w:r>
      <w:r w:rsidRPr="001F6337">
        <w:rPr>
          <w:rFonts w:ascii="Times New Roman" w:eastAsia="Times New Roman" w:hAnsi="Times New Roman"/>
          <w:bCs/>
          <w:sz w:val="24"/>
          <w:szCs w:val="24"/>
          <w:lang w:eastAsia="pl-PL"/>
        </w:rPr>
        <w:t xml:space="preserve">w </w:t>
      </w:r>
      <w:r>
        <w:rPr>
          <w:rFonts w:ascii="Times New Roman" w:eastAsia="Times New Roman" w:hAnsi="Times New Roman"/>
          <w:bCs/>
          <w:sz w:val="24"/>
          <w:szCs w:val="24"/>
          <w:lang w:eastAsia="pl-PL"/>
        </w:rPr>
        <w:t xml:space="preserve">Poznaniu </w:t>
      </w:r>
      <w:bookmarkStart w:id="6" w:name="_Hlk167108132"/>
      <w:r w:rsidRPr="00AE66E4">
        <w:rPr>
          <w:rFonts w:ascii="Times New Roman" w:eastAsia="Times New Roman" w:hAnsi="Times New Roman"/>
          <w:bCs/>
          <w:sz w:val="24"/>
          <w:szCs w:val="24"/>
          <w:lang w:eastAsia="pl-PL"/>
        </w:rPr>
        <w:t>z 13 lutego 2020 r.</w:t>
      </w:r>
      <w:bookmarkEnd w:id="6"/>
      <w:r w:rsidRPr="00AE66E4">
        <w:rPr>
          <w:rFonts w:ascii="Times New Roman" w:eastAsia="Times New Roman" w:hAnsi="Times New Roman"/>
          <w:bCs/>
          <w:sz w:val="24"/>
          <w:szCs w:val="24"/>
          <w:lang w:eastAsia="pl-PL"/>
        </w:rPr>
        <w:t xml:space="preserve">, znak: WOO-II.4233.2.2015.WM.67, </w:t>
      </w:r>
      <w:r w:rsidRPr="001F6337">
        <w:rPr>
          <w:rFonts w:ascii="Times New Roman" w:eastAsia="Times New Roman" w:hAnsi="Times New Roman"/>
          <w:bCs/>
          <w:sz w:val="24"/>
          <w:szCs w:val="24"/>
          <w:lang w:eastAsia="pl-PL"/>
        </w:rPr>
        <w:t>n</w:t>
      </w:r>
      <w:r w:rsidRPr="001F6337">
        <w:rPr>
          <w:rFonts w:ascii="Times New Roman" w:eastAsia="Times New Roman" w:hAnsi="Times New Roman"/>
          <w:sz w:val="24"/>
          <w:szCs w:val="24"/>
          <w:lang w:eastAsia="pl-PL"/>
        </w:rPr>
        <w:t xml:space="preserve">a podstawie art. 138 § </w:t>
      </w:r>
      <w:r>
        <w:rPr>
          <w:rFonts w:ascii="Times New Roman" w:eastAsia="Times New Roman" w:hAnsi="Times New Roman"/>
          <w:sz w:val="24"/>
          <w:szCs w:val="24"/>
          <w:lang w:eastAsia="pl-PL"/>
        </w:rPr>
        <w:t>1 pkt 2</w:t>
      </w:r>
      <w:r w:rsidRPr="001F6337">
        <w:rPr>
          <w:rFonts w:ascii="Times New Roman" w:eastAsia="Times New Roman" w:hAnsi="Times New Roman"/>
          <w:sz w:val="24"/>
          <w:szCs w:val="24"/>
          <w:lang w:eastAsia="pl-PL"/>
        </w:rPr>
        <w:t xml:space="preserve"> ustawy z dnia 14 czerwca 1960 r. – Kodeks postępowania administracyjnego (Dz. U. z 20</w:t>
      </w:r>
      <w:r>
        <w:rPr>
          <w:rFonts w:ascii="Times New Roman" w:eastAsia="Times New Roman" w:hAnsi="Times New Roman"/>
          <w:sz w:val="24"/>
          <w:szCs w:val="24"/>
          <w:lang w:eastAsia="pl-PL"/>
        </w:rPr>
        <w:t>24</w:t>
      </w:r>
      <w:r w:rsidRPr="001F6337">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 xml:space="preserve"> poz.</w:t>
      </w:r>
      <w:r w:rsidRPr="001F633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572</w:t>
      </w:r>
      <w:r w:rsidRPr="001F6337">
        <w:rPr>
          <w:rFonts w:ascii="Times New Roman" w:eastAsia="Times New Roman" w:hAnsi="Times New Roman"/>
          <w:sz w:val="24"/>
          <w:szCs w:val="24"/>
          <w:lang w:eastAsia="pl-PL"/>
        </w:rPr>
        <w:t>), dalej k.p.a.</w:t>
      </w:r>
      <w:r w:rsidRPr="001F6337">
        <w:rPr>
          <w:rFonts w:ascii="Times New Roman" w:eastAsia="Times New Roman" w:hAnsi="Times New Roman"/>
          <w:iCs/>
          <w:sz w:val="24"/>
          <w:szCs w:val="24"/>
          <w:lang w:eastAsia="pl-PL"/>
        </w:rPr>
        <w:t>,</w:t>
      </w:r>
    </w:p>
    <w:p w14:paraId="4016BAD4" w14:textId="77777777" w:rsidR="00B5204E" w:rsidRPr="00954FEB" w:rsidRDefault="000060D6" w:rsidP="00954FEB">
      <w:pPr>
        <w:spacing w:after="240" w:line="312" w:lineRule="auto"/>
        <w:rPr>
          <w:rFonts w:ascii="Times New Roman" w:eastAsia="Times New Roman" w:hAnsi="Times New Roman"/>
          <w:bCs/>
          <w:sz w:val="24"/>
          <w:szCs w:val="24"/>
          <w:lang w:eastAsia="pl-PL"/>
        </w:rPr>
      </w:pPr>
      <w:r w:rsidRPr="00954FEB">
        <w:rPr>
          <w:rFonts w:ascii="Times New Roman" w:eastAsia="Times New Roman" w:hAnsi="Times New Roman"/>
          <w:bCs/>
          <w:sz w:val="24"/>
          <w:szCs w:val="24"/>
          <w:lang w:eastAsia="pl-PL"/>
        </w:rPr>
        <w:t xml:space="preserve">uchyla powyższą decyzję w całości oraz </w:t>
      </w:r>
      <w:bookmarkStart w:id="7" w:name="_Hlk171995855"/>
      <w:r w:rsidRPr="00954FEB">
        <w:rPr>
          <w:rFonts w:ascii="Times New Roman" w:eastAsia="Times New Roman" w:hAnsi="Times New Roman"/>
          <w:bCs/>
          <w:sz w:val="24"/>
          <w:szCs w:val="24"/>
          <w:lang w:eastAsia="pl-PL"/>
        </w:rPr>
        <w:t>odmawia określenia środowiskowych uwarunkowań realizacji przedsięwzięcia</w:t>
      </w:r>
      <w:bookmarkEnd w:id="7"/>
      <w:r w:rsidRPr="00954FEB">
        <w:rPr>
          <w:rFonts w:ascii="Times New Roman" w:eastAsia="Times New Roman" w:hAnsi="Times New Roman"/>
          <w:bCs/>
          <w:sz w:val="24"/>
          <w:szCs w:val="24"/>
          <w:lang w:eastAsia="pl-PL"/>
        </w:rPr>
        <w:t xml:space="preserve"> </w:t>
      </w:r>
      <w:r w:rsidRPr="00954FEB">
        <w:rPr>
          <w:rFonts w:ascii="Times New Roman" w:eastAsia="Times New Roman" w:hAnsi="Times New Roman"/>
          <w:bCs/>
          <w:iCs/>
          <w:sz w:val="24"/>
          <w:szCs w:val="24"/>
          <w:lang w:eastAsia="pl-PL"/>
        </w:rPr>
        <w:t>pod nazwą:</w:t>
      </w:r>
      <w:r w:rsidRPr="00954FEB">
        <w:rPr>
          <w:rFonts w:ascii="Times New Roman" w:eastAsia="Times New Roman" w:hAnsi="Times New Roman"/>
          <w:bCs/>
          <w:i/>
          <w:iCs/>
          <w:sz w:val="24"/>
          <w:szCs w:val="24"/>
          <w:lang w:eastAsia="pl-PL"/>
        </w:rPr>
        <w:t xml:space="preserve"> </w:t>
      </w:r>
      <w:r w:rsidRPr="00954FEB">
        <w:rPr>
          <w:rFonts w:ascii="Times New Roman" w:eastAsia="Times New Roman" w:hAnsi="Times New Roman"/>
          <w:bCs/>
          <w:iCs/>
          <w:sz w:val="24"/>
          <w:szCs w:val="24"/>
          <w:lang w:eastAsia="pl-PL"/>
        </w:rPr>
        <w:t>„Poprawa Bezpiec</w:t>
      </w:r>
      <w:r w:rsidRPr="00954FEB">
        <w:rPr>
          <w:rFonts w:ascii="Times New Roman" w:eastAsia="Times New Roman" w:hAnsi="Times New Roman"/>
          <w:bCs/>
          <w:iCs/>
          <w:sz w:val="24"/>
          <w:szCs w:val="24"/>
          <w:lang w:eastAsia="pl-PL"/>
        </w:rPr>
        <w:t>zeństwa Przeciwpowodziowego w Dolinie Rzeki Warty – Budowa Polderu Golina w Powiecie Konińskim”</w:t>
      </w:r>
      <w:r w:rsidRPr="00954FEB">
        <w:rPr>
          <w:rFonts w:ascii="Times New Roman" w:eastAsia="Times New Roman" w:hAnsi="Times New Roman"/>
          <w:bCs/>
          <w:sz w:val="24"/>
          <w:szCs w:val="24"/>
          <w:lang w:eastAsia="pl-PL"/>
        </w:rPr>
        <w:t>.</w:t>
      </w:r>
    </w:p>
    <w:p w14:paraId="430A3068" w14:textId="77777777" w:rsidR="00B5204E" w:rsidRPr="00954FEB" w:rsidRDefault="000060D6" w:rsidP="00954FEB">
      <w:pPr>
        <w:spacing w:after="120" w:line="312" w:lineRule="auto"/>
        <w:rPr>
          <w:rFonts w:ascii="Times New Roman" w:eastAsia="Times New Roman" w:hAnsi="Times New Roman"/>
          <w:bCs/>
          <w:sz w:val="24"/>
          <w:szCs w:val="24"/>
          <w:lang w:eastAsia="pl-PL"/>
        </w:rPr>
      </w:pPr>
      <w:r w:rsidRPr="00954FEB">
        <w:rPr>
          <w:rFonts w:ascii="Times New Roman" w:eastAsia="Times New Roman" w:hAnsi="Times New Roman"/>
          <w:bCs/>
          <w:sz w:val="24"/>
          <w:szCs w:val="24"/>
          <w:lang w:eastAsia="pl-PL"/>
        </w:rPr>
        <w:t>Uzasadnienie</w:t>
      </w:r>
    </w:p>
    <w:p w14:paraId="78EFD401" w14:textId="77777777" w:rsidR="00B5204E" w:rsidRDefault="000060D6" w:rsidP="00336A51">
      <w:pPr>
        <w:spacing w:after="0" w:line="312" w:lineRule="auto"/>
        <w:jc w:val="both"/>
        <w:rPr>
          <w:rFonts w:ascii="Times New Roman" w:eastAsia="Times New Roman" w:hAnsi="Times New Roman"/>
          <w:bCs/>
          <w:iCs/>
          <w:sz w:val="24"/>
          <w:szCs w:val="24"/>
          <w:lang w:eastAsia="pl-PL"/>
        </w:rPr>
      </w:pPr>
      <w:bookmarkStart w:id="8" w:name="_Hlk171699003"/>
      <w:r w:rsidRPr="00A838D5">
        <w:rPr>
          <w:rFonts w:ascii="Times New Roman" w:eastAsia="Times New Roman" w:hAnsi="Times New Roman"/>
          <w:bCs/>
          <w:iCs/>
          <w:sz w:val="24"/>
          <w:szCs w:val="24"/>
          <w:lang w:eastAsia="pl-PL"/>
        </w:rPr>
        <w:t>18 maja 2015 r.</w:t>
      </w:r>
      <w:bookmarkEnd w:id="8"/>
      <w:r w:rsidRPr="00A838D5">
        <w:rPr>
          <w:rFonts w:ascii="Times New Roman" w:eastAsia="Times New Roman" w:hAnsi="Times New Roman"/>
          <w:bCs/>
          <w:iCs/>
          <w:sz w:val="24"/>
          <w:szCs w:val="24"/>
          <w:lang w:eastAsia="pl-PL"/>
        </w:rPr>
        <w:t xml:space="preserve"> </w:t>
      </w:r>
      <w:r>
        <w:rPr>
          <w:rFonts w:ascii="Times New Roman" w:eastAsia="Times New Roman" w:hAnsi="Times New Roman"/>
          <w:bCs/>
          <w:iCs/>
          <w:sz w:val="24"/>
          <w:szCs w:val="24"/>
          <w:lang w:eastAsia="pl-PL"/>
        </w:rPr>
        <w:t xml:space="preserve">Państwowe Gospodarstwo Wodne Wody Polskie, dalej PGW Wody Polskie, </w:t>
      </w:r>
      <w:r w:rsidRPr="00A838D5">
        <w:rPr>
          <w:rFonts w:ascii="Times New Roman" w:eastAsia="Times New Roman" w:hAnsi="Times New Roman"/>
          <w:bCs/>
          <w:iCs/>
          <w:sz w:val="24"/>
          <w:szCs w:val="24"/>
          <w:lang w:eastAsia="pl-PL"/>
        </w:rPr>
        <w:t>złożył</w:t>
      </w:r>
      <w:r>
        <w:rPr>
          <w:rFonts w:ascii="Times New Roman" w:eastAsia="Times New Roman" w:hAnsi="Times New Roman"/>
          <w:bCs/>
          <w:iCs/>
          <w:sz w:val="24"/>
          <w:szCs w:val="24"/>
          <w:lang w:eastAsia="pl-PL"/>
        </w:rPr>
        <w:t>o</w:t>
      </w:r>
      <w:r w:rsidRPr="00A838D5">
        <w:rPr>
          <w:rFonts w:ascii="Times New Roman" w:eastAsia="Times New Roman" w:hAnsi="Times New Roman"/>
          <w:bCs/>
          <w:iCs/>
          <w:sz w:val="24"/>
          <w:szCs w:val="24"/>
          <w:lang w:eastAsia="pl-PL"/>
        </w:rPr>
        <w:t xml:space="preserve"> do RDOŚ w Poznaniu wniosek </w:t>
      </w:r>
      <w:r>
        <w:rPr>
          <w:rFonts w:ascii="Times New Roman" w:eastAsia="Times New Roman" w:hAnsi="Times New Roman"/>
          <w:bCs/>
          <w:iCs/>
          <w:sz w:val="24"/>
          <w:szCs w:val="24"/>
          <w:lang w:eastAsia="pl-PL"/>
        </w:rPr>
        <w:t xml:space="preserve">o wydanie </w:t>
      </w:r>
      <w:bookmarkStart w:id="9" w:name="_Hlk171698919"/>
      <w:r>
        <w:rPr>
          <w:rFonts w:ascii="Times New Roman" w:eastAsia="Times New Roman" w:hAnsi="Times New Roman"/>
          <w:bCs/>
          <w:iCs/>
          <w:sz w:val="24"/>
          <w:szCs w:val="24"/>
          <w:lang w:eastAsia="pl-PL"/>
        </w:rPr>
        <w:t xml:space="preserve">decyzji o środowiskowych uwarunkowaniach dla </w:t>
      </w:r>
      <w:r w:rsidRPr="00A3122E">
        <w:rPr>
          <w:rFonts w:ascii="Times New Roman" w:eastAsia="Times New Roman" w:hAnsi="Times New Roman"/>
          <w:bCs/>
          <w:iCs/>
          <w:sz w:val="24"/>
          <w:szCs w:val="24"/>
          <w:lang w:eastAsia="pl-PL"/>
        </w:rPr>
        <w:t>przedsięwzięcia</w:t>
      </w:r>
      <w:bookmarkEnd w:id="9"/>
      <w:r w:rsidRPr="00A3122E">
        <w:rPr>
          <w:rFonts w:ascii="Times New Roman" w:eastAsia="Times New Roman" w:hAnsi="Times New Roman"/>
          <w:bCs/>
          <w:iCs/>
          <w:sz w:val="24"/>
          <w:szCs w:val="24"/>
          <w:lang w:eastAsia="pl-PL"/>
        </w:rPr>
        <w:t xml:space="preserve"> pod nazwą:</w:t>
      </w:r>
      <w:r w:rsidRPr="00A3122E">
        <w:rPr>
          <w:rFonts w:ascii="Times New Roman" w:eastAsia="Times New Roman" w:hAnsi="Times New Roman"/>
          <w:bCs/>
          <w:i/>
          <w:iCs/>
          <w:sz w:val="24"/>
          <w:szCs w:val="24"/>
          <w:lang w:eastAsia="pl-PL"/>
        </w:rPr>
        <w:t xml:space="preserve"> </w:t>
      </w:r>
      <w:r w:rsidRPr="00A3122E">
        <w:rPr>
          <w:rFonts w:ascii="Times New Roman" w:eastAsia="Times New Roman" w:hAnsi="Times New Roman"/>
          <w:bCs/>
          <w:iCs/>
          <w:sz w:val="24"/>
          <w:szCs w:val="24"/>
          <w:lang w:eastAsia="pl-PL"/>
        </w:rPr>
        <w:t>„Poprawa Bezpieczeństwa Przeciwpowodziowego w Dolinie Rzeki Warty – Budowa Polderu Golina w Powiecie Konińskim”</w:t>
      </w:r>
      <w:r>
        <w:rPr>
          <w:rFonts w:ascii="Times New Roman" w:eastAsia="Times New Roman" w:hAnsi="Times New Roman"/>
          <w:bCs/>
          <w:iCs/>
          <w:sz w:val="24"/>
          <w:szCs w:val="24"/>
          <w:lang w:eastAsia="pl-PL"/>
        </w:rPr>
        <w:t>.</w:t>
      </w:r>
    </w:p>
    <w:p w14:paraId="23A51C7B" w14:textId="77777777" w:rsidR="00B5204E" w:rsidRDefault="000060D6" w:rsidP="00336A51">
      <w:pPr>
        <w:spacing w:after="0" w:line="312" w:lineRule="auto"/>
        <w:ind w:firstLine="709"/>
        <w:jc w:val="both"/>
        <w:rPr>
          <w:rFonts w:ascii="Times New Roman" w:eastAsia="Times New Roman" w:hAnsi="Times New Roman"/>
          <w:bCs/>
          <w:iCs/>
          <w:sz w:val="24"/>
          <w:szCs w:val="24"/>
          <w:lang w:eastAsia="pl-PL"/>
        </w:rPr>
      </w:pPr>
      <w:r>
        <w:rPr>
          <w:rFonts w:ascii="Times New Roman" w:eastAsia="Times New Roman" w:hAnsi="Times New Roman"/>
          <w:bCs/>
          <w:iCs/>
          <w:sz w:val="24"/>
          <w:szCs w:val="24"/>
          <w:lang w:eastAsia="pl-PL"/>
        </w:rPr>
        <w:t xml:space="preserve">Postanowieniem z </w:t>
      </w:r>
      <w:bookmarkStart w:id="10" w:name="_Hlk171675795"/>
      <w:r>
        <w:rPr>
          <w:rFonts w:ascii="Times New Roman" w:eastAsia="Times New Roman" w:hAnsi="Times New Roman"/>
          <w:bCs/>
          <w:iCs/>
          <w:sz w:val="24"/>
          <w:szCs w:val="24"/>
          <w:lang w:eastAsia="pl-PL"/>
        </w:rPr>
        <w:t>10 lipca 2015 r.</w:t>
      </w:r>
      <w:bookmarkEnd w:id="10"/>
      <w:r>
        <w:rPr>
          <w:rFonts w:ascii="Times New Roman" w:eastAsia="Times New Roman" w:hAnsi="Times New Roman"/>
          <w:bCs/>
          <w:iCs/>
          <w:sz w:val="24"/>
          <w:szCs w:val="24"/>
          <w:lang w:eastAsia="pl-PL"/>
        </w:rPr>
        <w:t>, znak: WOO-II.11.4233.2.2015.WM.6, na</w:t>
      </w:r>
      <w:r>
        <w:rPr>
          <w:rFonts w:ascii="Times New Roman" w:eastAsia="Times New Roman" w:hAnsi="Times New Roman"/>
          <w:bCs/>
          <w:iCs/>
          <w:sz w:val="24"/>
          <w:szCs w:val="24"/>
          <w:lang w:eastAsia="pl-PL"/>
        </w:rPr>
        <w:t xml:space="preserve"> podstawie art. 63 ust. 1 i 4 oraz art. 68 </w:t>
      </w:r>
      <w:r w:rsidRPr="006733D3">
        <w:rPr>
          <w:rFonts w:ascii="Times New Roman" w:eastAsia="Times New Roman" w:hAnsi="Times New Roman"/>
          <w:bCs/>
          <w:iCs/>
          <w:sz w:val="24"/>
          <w:szCs w:val="24"/>
          <w:lang w:eastAsia="pl-PL"/>
        </w:rPr>
        <w:t>ustawy z dnia 3 października 2008 r. o udostępnianiu informacji o środowisku i jego ochronie, udziale społeczeństwa w ochronie środowiska oraz o ocenach oddziaływania na środowisko</w:t>
      </w:r>
      <w:r>
        <w:rPr>
          <w:rFonts w:ascii="Times New Roman" w:eastAsia="Times New Roman" w:hAnsi="Times New Roman"/>
          <w:bCs/>
          <w:iCs/>
          <w:sz w:val="24"/>
          <w:szCs w:val="24"/>
          <w:lang w:eastAsia="pl-PL"/>
        </w:rPr>
        <w:t xml:space="preserve"> </w:t>
      </w:r>
      <w:r w:rsidRPr="006733D3">
        <w:rPr>
          <w:rFonts w:ascii="Times New Roman" w:eastAsia="Times New Roman" w:hAnsi="Times New Roman"/>
          <w:bCs/>
          <w:iCs/>
          <w:sz w:val="24"/>
          <w:szCs w:val="24"/>
          <w:lang w:eastAsia="pl-PL"/>
        </w:rPr>
        <w:t>(w brzmieniu obowiązującym w dac</w:t>
      </w:r>
      <w:r w:rsidRPr="006733D3">
        <w:rPr>
          <w:rFonts w:ascii="Times New Roman" w:eastAsia="Times New Roman" w:hAnsi="Times New Roman"/>
          <w:bCs/>
          <w:iCs/>
          <w:sz w:val="24"/>
          <w:szCs w:val="24"/>
          <w:lang w:eastAsia="pl-PL"/>
        </w:rPr>
        <w:t>ie wydania powyższe</w:t>
      </w:r>
      <w:r>
        <w:rPr>
          <w:rFonts w:ascii="Times New Roman" w:eastAsia="Times New Roman" w:hAnsi="Times New Roman"/>
          <w:bCs/>
          <w:iCs/>
          <w:sz w:val="24"/>
          <w:szCs w:val="24"/>
          <w:lang w:eastAsia="pl-PL"/>
        </w:rPr>
        <w:t>go</w:t>
      </w:r>
      <w:r w:rsidRPr="006733D3">
        <w:rPr>
          <w:rFonts w:ascii="Times New Roman" w:eastAsia="Times New Roman" w:hAnsi="Times New Roman"/>
          <w:bCs/>
          <w:iCs/>
          <w:sz w:val="24"/>
          <w:szCs w:val="24"/>
          <w:lang w:eastAsia="pl-PL"/>
        </w:rPr>
        <w:t xml:space="preserve"> </w:t>
      </w:r>
      <w:r>
        <w:rPr>
          <w:rFonts w:ascii="Times New Roman" w:eastAsia="Times New Roman" w:hAnsi="Times New Roman"/>
          <w:bCs/>
          <w:iCs/>
          <w:sz w:val="24"/>
          <w:szCs w:val="24"/>
          <w:lang w:eastAsia="pl-PL"/>
        </w:rPr>
        <w:t>postanowienia</w:t>
      </w:r>
      <w:r w:rsidRPr="006733D3">
        <w:rPr>
          <w:rFonts w:ascii="Times New Roman" w:eastAsia="Times New Roman" w:hAnsi="Times New Roman"/>
          <w:bCs/>
          <w:iCs/>
          <w:sz w:val="24"/>
          <w:szCs w:val="24"/>
          <w:lang w:eastAsia="pl-PL"/>
        </w:rPr>
        <w:t>, tj. Dz. U. z 20</w:t>
      </w:r>
      <w:r>
        <w:rPr>
          <w:rFonts w:ascii="Times New Roman" w:eastAsia="Times New Roman" w:hAnsi="Times New Roman"/>
          <w:bCs/>
          <w:iCs/>
          <w:sz w:val="24"/>
          <w:szCs w:val="24"/>
          <w:lang w:eastAsia="pl-PL"/>
        </w:rPr>
        <w:t>13</w:t>
      </w:r>
      <w:r w:rsidRPr="006733D3">
        <w:rPr>
          <w:rFonts w:ascii="Times New Roman" w:eastAsia="Times New Roman" w:hAnsi="Times New Roman"/>
          <w:bCs/>
          <w:iCs/>
          <w:sz w:val="24"/>
          <w:szCs w:val="24"/>
          <w:lang w:eastAsia="pl-PL"/>
        </w:rPr>
        <w:t xml:space="preserve"> r. poz. </w:t>
      </w:r>
      <w:r>
        <w:rPr>
          <w:rFonts w:ascii="Times New Roman" w:eastAsia="Times New Roman" w:hAnsi="Times New Roman"/>
          <w:bCs/>
          <w:iCs/>
          <w:sz w:val="24"/>
          <w:szCs w:val="24"/>
          <w:lang w:eastAsia="pl-PL"/>
        </w:rPr>
        <w:t>1235</w:t>
      </w:r>
      <w:r w:rsidRPr="006733D3">
        <w:rPr>
          <w:rFonts w:ascii="Times New Roman" w:eastAsia="Times New Roman" w:hAnsi="Times New Roman"/>
          <w:bCs/>
          <w:iCs/>
          <w:sz w:val="24"/>
          <w:szCs w:val="24"/>
          <w:lang w:eastAsia="pl-PL"/>
        </w:rPr>
        <w:t>, ze zm.)</w:t>
      </w:r>
      <w:r>
        <w:rPr>
          <w:rFonts w:ascii="Times New Roman" w:eastAsia="Times New Roman" w:hAnsi="Times New Roman"/>
          <w:bCs/>
          <w:iCs/>
          <w:sz w:val="24"/>
          <w:szCs w:val="24"/>
          <w:lang w:eastAsia="pl-PL"/>
        </w:rPr>
        <w:t xml:space="preserve">, RDOŚ w Poznaniu stwierdził obowiązek przeprowadzenia oceny oddziaływania przedmiotowego przedsięwzięcia na środowisko oraz ustalił zakres raportu o oddziaływaniu przedsięwzięcia </w:t>
      </w:r>
      <w:r>
        <w:rPr>
          <w:rFonts w:ascii="Times New Roman" w:eastAsia="Times New Roman" w:hAnsi="Times New Roman"/>
          <w:bCs/>
          <w:iCs/>
          <w:sz w:val="24"/>
          <w:szCs w:val="24"/>
          <w:lang w:eastAsia="pl-PL"/>
        </w:rPr>
        <w:t xml:space="preserve">na środowisko. </w:t>
      </w:r>
    </w:p>
    <w:p w14:paraId="104266BD"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W wyniku złożonego zażalenia, a w konsekwencji kontroli instancyjnej organ odwoławczy stwierdził, że planowana inwestycja jest przedsięwzięciem mogącym zawsze znacząco oddziaływać na środowisko, dla którego przeprowadzenie oceny oddziaływan</w:t>
      </w:r>
      <w:r w:rsidRPr="002354AF">
        <w:rPr>
          <w:rFonts w:ascii="Times New Roman" w:eastAsia="Times New Roman" w:hAnsi="Times New Roman"/>
          <w:bCs/>
          <w:iCs/>
          <w:sz w:val="24"/>
          <w:szCs w:val="24"/>
          <w:lang w:eastAsia="pl-PL"/>
        </w:rPr>
        <w:t>ia przedsięwzięcia na środowisko jest obligatoryjne – co wynika wprost z art. 59 ust. 1 pkt 1 u.o.o.ś. Zatem RDOŚ w Poznaniu nie miał podstawy prawnej do wydania kwestionowanego postanowienia, bowiem art. 63 u.o.o.ś. ma zastosowanie wyłącznie do przedsięwz</w:t>
      </w:r>
      <w:r w:rsidRPr="002354AF">
        <w:rPr>
          <w:rFonts w:ascii="Times New Roman" w:eastAsia="Times New Roman" w:hAnsi="Times New Roman"/>
          <w:bCs/>
          <w:iCs/>
          <w:sz w:val="24"/>
          <w:szCs w:val="24"/>
          <w:lang w:eastAsia="pl-PL"/>
        </w:rPr>
        <w:t xml:space="preserve">ięć mogących potencjalnie znacząco oddziaływać na środowisko. W następstwie powyższego GDOŚ postanowieniem z 27 października 2015 r., znak: DOOŚ-oai.4233.45.2015.mc.2, uchylił postanowienie RDOŚ w Poznaniu z </w:t>
      </w:r>
      <w:bookmarkStart w:id="11" w:name="_Hlk171698105"/>
      <w:r w:rsidRPr="002354AF">
        <w:rPr>
          <w:rFonts w:ascii="Times New Roman" w:eastAsia="Times New Roman" w:hAnsi="Times New Roman"/>
          <w:bCs/>
          <w:iCs/>
          <w:sz w:val="24"/>
          <w:szCs w:val="24"/>
          <w:lang w:eastAsia="pl-PL"/>
        </w:rPr>
        <w:t>10 lipca 2015 r.</w:t>
      </w:r>
      <w:bookmarkEnd w:id="11"/>
      <w:r w:rsidRPr="002354AF">
        <w:rPr>
          <w:rFonts w:ascii="Times New Roman" w:eastAsia="Times New Roman" w:hAnsi="Times New Roman"/>
          <w:bCs/>
          <w:iCs/>
          <w:sz w:val="24"/>
          <w:szCs w:val="24"/>
          <w:lang w:eastAsia="pl-PL"/>
        </w:rPr>
        <w:t xml:space="preserve"> w całości oraz umorzył postępow</w:t>
      </w:r>
      <w:r w:rsidRPr="002354AF">
        <w:rPr>
          <w:rFonts w:ascii="Times New Roman" w:eastAsia="Times New Roman" w:hAnsi="Times New Roman"/>
          <w:bCs/>
          <w:iCs/>
          <w:sz w:val="24"/>
          <w:szCs w:val="24"/>
          <w:lang w:eastAsia="pl-PL"/>
        </w:rPr>
        <w:t xml:space="preserve">anie pierwszej instancji w tym zakresie. </w:t>
      </w:r>
    </w:p>
    <w:p w14:paraId="5E6C2225" w14:textId="12BD2E73"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lastRenderedPageBreak/>
        <w:t xml:space="preserve">Wyrokiem z </w:t>
      </w:r>
      <w:bookmarkStart w:id="12" w:name="_Hlk171679463"/>
      <w:r w:rsidRPr="002354AF">
        <w:rPr>
          <w:rFonts w:ascii="Times New Roman" w:eastAsia="Times New Roman" w:hAnsi="Times New Roman"/>
          <w:bCs/>
          <w:iCs/>
          <w:sz w:val="24"/>
          <w:szCs w:val="24"/>
          <w:lang w:eastAsia="pl-PL"/>
        </w:rPr>
        <w:t xml:space="preserve">11 maja 2016 r., </w:t>
      </w:r>
      <w:bookmarkEnd w:id="12"/>
      <w:r w:rsidRPr="002354AF">
        <w:rPr>
          <w:rFonts w:ascii="Times New Roman" w:eastAsia="Times New Roman" w:hAnsi="Times New Roman"/>
          <w:bCs/>
          <w:iCs/>
          <w:sz w:val="24"/>
          <w:szCs w:val="24"/>
          <w:lang w:eastAsia="pl-PL"/>
        </w:rPr>
        <w:t xml:space="preserve">sygn. akt: IV SA/Wa 3734/15, po rozpoznaniu sprawy ze skarg </w:t>
      </w:r>
      <w:r w:rsidR="00127905">
        <w:rPr>
          <w:rFonts w:ascii="Times New Roman" w:eastAsia="Times New Roman" w:hAnsi="Times New Roman"/>
          <w:bCs/>
          <w:iCs/>
          <w:sz w:val="24"/>
          <w:szCs w:val="24"/>
          <w:lang w:eastAsia="pl-PL"/>
        </w:rPr>
        <w:t xml:space="preserve">(…) </w:t>
      </w:r>
      <w:r w:rsidRPr="002354AF">
        <w:rPr>
          <w:rFonts w:ascii="Times New Roman" w:eastAsia="Times New Roman" w:hAnsi="Times New Roman"/>
          <w:bCs/>
          <w:iCs/>
          <w:sz w:val="24"/>
          <w:szCs w:val="24"/>
          <w:lang w:eastAsia="pl-PL"/>
        </w:rPr>
        <w:t>oraz PGW Wody Polskie na postanowienie GDOŚ z 10 lipca 2015 r. , Wojewódzki Sąd Administracyjny w Warszawi</w:t>
      </w:r>
      <w:r w:rsidRPr="002354AF">
        <w:rPr>
          <w:rFonts w:ascii="Times New Roman" w:eastAsia="Times New Roman" w:hAnsi="Times New Roman"/>
          <w:bCs/>
          <w:iCs/>
          <w:sz w:val="24"/>
          <w:szCs w:val="24"/>
          <w:lang w:eastAsia="pl-PL"/>
        </w:rPr>
        <w:t>e oddalił ww. skargi.</w:t>
      </w:r>
    </w:p>
    <w:p w14:paraId="7566DC33"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Naczelny Sąd Administracyjny wyrokiem z 16 października 2018 r., sygn. akt: II OSK 2506/16, oddalił skargę kasacyjną od wyroku WSA w Warszawie z 11 maja 2016 r.</w:t>
      </w:r>
    </w:p>
    <w:p w14:paraId="061A8CEA"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PGW Wody Polskie podtrzymało wolę uzyskania decyzji o środowiskowych uwar</w:t>
      </w:r>
      <w:r w:rsidRPr="002354AF">
        <w:rPr>
          <w:rFonts w:ascii="Times New Roman" w:eastAsia="Times New Roman" w:hAnsi="Times New Roman"/>
          <w:bCs/>
          <w:iCs/>
          <w:sz w:val="24"/>
          <w:szCs w:val="24"/>
          <w:lang w:eastAsia="pl-PL"/>
        </w:rPr>
        <w:t xml:space="preserve">unkowaniach dla analizowanego przedsięwzięcia, wyrażoną we wniosku z 18 maja 2015 r., przedkładając przy piśmie z 3 grudnia 2015 r. raport o oddziaływaniu przedsięwzięcia na środowisko. </w:t>
      </w:r>
    </w:p>
    <w:p w14:paraId="439C8E33"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sz w:val="24"/>
          <w:szCs w:val="24"/>
          <w:lang w:eastAsia="pl-PL"/>
        </w:rPr>
        <w:t>Cytowaną w sentencji decyzją z 13 lutego 2020 r. RDOŚ w Poznaniu, dzi</w:t>
      </w:r>
      <w:r w:rsidRPr="002354AF">
        <w:rPr>
          <w:rFonts w:ascii="Times New Roman" w:eastAsia="Times New Roman" w:hAnsi="Times New Roman"/>
          <w:sz w:val="24"/>
          <w:szCs w:val="24"/>
          <w:lang w:eastAsia="pl-PL"/>
        </w:rPr>
        <w:t xml:space="preserve">ałając na wniosek </w:t>
      </w:r>
      <w:bookmarkStart w:id="13" w:name="_Hlk171492041"/>
      <w:bookmarkStart w:id="14" w:name="_Hlk98922076"/>
      <w:bookmarkStart w:id="15" w:name="_Hlk98247781"/>
      <w:r w:rsidRPr="002354AF">
        <w:rPr>
          <w:rFonts w:ascii="Times New Roman" w:eastAsia="Times New Roman" w:hAnsi="Times New Roman"/>
          <w:sz w:val="24"/>
          <w:szCs w:val="24"/>
          <w:lang w:eastAsia="pl-PL"/>
        </w:rPr>
        <w:t>PGW Wody Polskie</w:t>
      </w:r>
      <w:bookmarkEnd w:id="13"/>
      <w:r w:rsidRPr="002354AF">
        <w:rPr>
          <w:rFonts w:ascii="Times New Roman" w:eastAsia="Times New Roman" w:hAnsi="Times New Roman"/>
          <w:sz w:val="24"/>
          <w:szCs w:val="24"/>
          <w:lang w:eastAsia="pl-PL"/>
        </w:rPr>
        <w:t xml:space="preserve"> </w:t>
      </w:r>
      <w:bookmarkEnd w:id="14"/>
      <w:bookmarkEnd w:id="15"/>
      <w:r w:rsidRPr="002354AF">
        <w:rPr>
          <w:rFonts w:ascii="Times New Roman" w:eastAsia="Times New Roman" w:hAnsi="Times New Roman"/>
          <w:sz w:val="24"/>
          <w:szCs w:val="24"/>
          <w:lang w:eastAsia="pl-PL"/>
        </w:rPr>
        <w:t xml:space="preserve">z 18 maja 2015 r., na podstawie art. 71 ust. 2 pkt 1 w związku z art. 82 ust. 1 </w:t>
      </w:r>
      <w:bookmarkStart w:id="16" w:name="_Hlk171496148"/>
      <w:r w:rsidRPr="002354AF">
        <w:rPr>
          <w:rFonts w:ascii="Times New Roman" w:eastAsia="Times New Roman" w:hAnsi="Times New Roman"/>
          <w:sz w:val="24"/>
          <w:szCs w:val="24"/>
          <w:lang w:eastAsia="pl-PL"/>
        </w:rPr>
        <w:t xml:space="preserve">u.o.o.ś. </w:t>
      </w:r>
      <w:r w:rsidRPr="002354AF">
        <w:rPr>
          <w:rFonts w:ascii="Times New Roman" w:eastAsia="Times New Roman" w:hAnsi="Times New Roman"/>
          <w:iCs/>
          <w:sz w:val="24"/>
          <w:szCs w:val="24"/>
          <w:lang w:eastAsia="pl-PL"/>
        </w:rPr>
        <w:t>(</w:t>
      </w:r>
      <w:bookmarkStart w:id="17" w:name="_Hlk169857737"/>
      <w:r w:rsidRPr="002354AF">
        <w:rPr>
          <w:rFonts w:ascii="Times New Roman" w:eastAsia="Times New Roman" w:hAnsi="Times New Roman"/>
          <w:iCs/>
          <w:sz w:val="24"/>
          <w:szCs w:val="24"/>
          <w:lang w:eastAsia="pl-PL"/>
        </w:rPr>
        <w:t xml:space="preserve">w brzmieniu obowiązującym w dacie wydania powyższej decyzji, tj. Dz. U. z </w:t>
      </w:r>
      <w:bookmarkStart w:id="18" w:name="_Hlk131503940"/>
      <w:r w:rsidRPr="002354AF">
        <w:rPr>
          <w:rFonts w:ascii="Times New Roman" w:eastAsia="Times New Roman" w:hAnsi="Times New Roman"/>
          <w:iCs/>
          <w:sz w:val="24"/>
          <w:szCs w:val="24"/>
          <w:lang w:eastAsia="pl-PL"/>
        </w:rPr>
        <w:t>2018 r. poz. 2081, ze zm.</w:t>
      </w:r>
      <w:bookmarkEnd w:id="17"/>
      <w:r w:rsidRPr="002354AF">
        <w:rPr>
          <w:rFonts w:ascii="Times New Roman" w:eastAsia="Times New Roman" w:hAnsi="Times New Roman"/>
          <w:iCs/>
          <w:sz w:val="24"/>
          <w:szCs w:val="24"/>
          <w:lang w:eastAsia="pl-PL"/>
        </w:rPr>
        <w:t>)</w:t>
      </w:r>
      <w:bookmarkEnd w:id="16"/>
      <w:bookmarkEnd w:id="18"/>
      <w:r w:rsidRPr="002354AF">
        <w:rPr>
          <w:rFonts w:ascii="Times New Roman" w:eastAsia="Times New Roman" w:hAnsi="Times New Roman"/>
          <w:sz w:val="24"/>
          <w:szCs w:val="24"/>
          <w:lang w:eastAsia="pl-PL"/>
        </w:rPr>
        <w:t>,</w:t>
      </w:r>
      <w:r w:rsidRPr="002354AF">
        <w:rPr>
          <w:rFonts w:ascii="Times New Roman" w:eastAsia="Times New Roman" w:hAnsi="Times New Roman"/>
          <w:bCs/>
          <w:sz w:val="24"/>
          <w:szCs w:val="24"/>
          <w:lang w:eastAsia="pl-PL"/>
        </w:rPr>
        <w:t xml:space="preserve"> określił środowiskowe uwarunkowania realizacji </w:t>
      </w:r>
      <w:bookmarkStart w:id="19" w:name="_Hlk171492375"/>
      <w:r w:rsidRPr="002354AF">
        <w:rPr>
          <w:rFonts w:ascii="Times New Roman" w:eastAsia="Times New Roman" w:hAnsi="Times New Roman"/>
          <w:bCs/>
          <w:sz w:val="24"/>
          <w:szCs w:val="24"/>
          <w:lang w:eastAsia="pl-PL"/>
        </w:rPr>
        <w:t>przedsięwzięcia pod nazwą:</w:t>
      </w:r>
      <w:r w:rsidRPr="002354AF">
        <w:rPr>
          <w:rFonts w:ascii="Times New Roman" w:eastAsia="Times New Roman" w:hAnsi="Times New Roman"/>
          <w:bCs/>
          <w:i/>
          <w:sz w:val="24"/>
          <w:szCs w:val="24"/>
          <w:lang w:eastAsia="pl-PL"/>
        </w:rPr>
        <w:t xml:space="preserve"> </w:t>
      </w:r>
      <w:r w:rsidRPr="002354AF">
        <w:rPr>
          <w:rFonts w:ascii="Times New Roman" w:eastAsia="Times New Roman" w:hAnsi="Times New Roman"/>
          <w:bCs/>
          <w:iCs/>
          <w:sz w:val="24"/>
          <w:szCs w:val="24"/>
          <w:lang w:eastAsia="pl-PL"/>
        </w:rPr>
        <w:t>„Poprawa Bezpieczeństwa Przeciwpowodziowego w Dolinie Rzeki Warty – Budowa Polderu Golina w Powiecie Konińskim”</w:t>
      </w:r>
      <w:bookmarkEnd w:id="19"/>
      <w:r w:rsidRPr="002354AF">
        <w:rPr>
          <w:rFonts w:ascii="Times New Roman" w:eastAsia="Times New Roman" w:hAnsi="Times New Roman"/>
          <w:bCs/>
          <w:iCs/>
          <w:sz w:val="24"/>
          <w:szCs w:val="24"/>
          <w:lang w:eastAsia="pl-PL"/>
        </w:rPr>
        <w:t>.</w:t>
      </w:r>
    </w:p>
    <w:p w14:paraId="68082646"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3 marca 2020 r. od powyższej decyzji odwołanie wniosły osoby wymieni</w:t>
      </w:r>
      <w:r w:rsidRPr="002354AF">
        <w:rPr>
          <w:rFonts w:ascii="Times New Roman" w:eastAsia="Times New Roman" w:hAnsi="Times New Roman"/>
          <w:sz w:val="24"/>
          <w:szCs w:val="24"/>
          <w:lang w:eastAsia="pl-PL"/>
        </w:rPr>
        <w:t>one w osnowie niniejszej decyzji, podnosząc następujące zarzuty:</w:t>
      </w:r>
    </w:p>
    <w:p w14:paraId="1BB12CEA" w14:textId="77777777" w:rsidR="00B5204E" w:rsidRPr="002354AF" w:rsidRDefault="000060D6" w:rsidP="00336A51">
      <w:pPr>
        <w:numPr>
          <w:ilvl w:val="0"/>
          <w:numId w:val="4"/>
        </w:numPr>
        <w:spacing w:after="0" w:line="312" w:lineRule="auto"/>
        <w:jc w:val="both"/>
        <w:rPr>
          <w:rFonts w:ascii="Times New Roman" w:eastAsia="Times New Roman" w:hAnsi="Times New Roman"/>
          <w:sz w:val="24"/>
          <w:szCs w:val="24"/>
          <w:lang w:eastAsia="pl-PL"/>
        </w:rPr>
      </w:pPr>
      <w:bookmarkStart w:id="20" w:name="_Hlk172010137"/>
      <w:r w:rsidRPr="002354AF">
        <w:rPr>
          <w:rFonts w:ascii="Times New Roman" w:eastAsia="Times New Roman" w:hAnsi="Times New Roman"/>
          <w:sz w:val="24"/>
          <w:szCs w:val="24"/>
          <w:lang w:eastAsia="pl-PL"/>
        </w:rPr>
        <w:t xml:space="preserve">wydanie decyzji nieodpowiadającej przepisom prawa; </w:t>
      </w:r>
    </w:p>
    <w:p w14:paraId="7714CC8B" w14:textId="77777777" w:rsidR="00B5204E" w:rsidRPr="002354AF" w:rsidRDefault="000060D6" w:rsidP="00336A51">
      <w:pPr>
        <w:numPr>
          <w:ilvl w:val="0"/>
          <w:numId w:val="4"/>
        </w:numPr>
        <w:spacing w:after="0" w:line="312" w:lineRule="auto"/>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nieuzupełnienie materiału dowodowego</w:t>
      </w:r>
      <w:bookmarkEnd w:id="20"/>
      <w:r w:rsidRPr="002354AF">
        <w:rPr>
          <w:rFonts w:ascii="Times New Roman" w:eastAsia="Times New Roman" w:hAnsi="Times New Roman"/>
          <w:sz w:val="24"/>
          <w:szCs w:val="24"/>
          <w:lang w:eastAsia="pl-PL"/>
        </w:rPr>
        <w:t xml:space="preserve"> o analizę </w:t>
      </w:r>
      <w:r w:rsidRPr="002354AF">
        <w:rPr>
          <w:rFonts w:ascii="Times New Roman" w:eastAsia="Times New Roman" w:hAnsi="Times New Roman"/>
          <w:i/>
          <w:iCs/>
          <w:sz w:val="24"/>
          <w:szCs w:val="24"/>
          <w:lang w:eastAsia="pl-PL"/>
        </w:rPr>
        <w:t>zjawiska spełzania gruntów</w:t>
      </w:r>
      <w:r w:rsidRPr="002354AF">
        <w:rPr>
          <w:rFonts w:ascii="Times New Roman" w:eastAsia="Times New Roman" w:hAnsi="Times New Roman"/>
          <w:sz w:val="24"/>
          <w:szCs w:val="24"/>
          <w:lang w:eastAsia="pl-PL"/>
        </w:rPr>
        <w:t xml:space="preserve"> oraz </w:t>
      </w:r>
      <w:r w:rsidRPr="002354AF">
        <w:rPr>
          <w:rFonts w:ascii="Times New Roman" w:eastAsia="Times New Roman" w:hAnsi="Times New Roman"/>
          <w:i/>
          <w:iCs/>
          <w:sz w:val="24"/>
          <w:szCs w:val="24"/>
          <w:lang w:eastAsia="pl-PL"/>
        </w:rPr>
        <w:t>odpowiedzi na wiele pytań</w:t>
      </w:r>
      <w:r w:rsidRPr="002354AF">
        <w:rPr>
          <w:rFonts w:ascii="Times New Roman" w:eastAsia="Times New Roman" w:hAnsi="Times New Roman"/>
          <w:sz w:val="24"/>
          <w:szCs w:val="24"/>
          <w:lang w:eastAsia="pl-PL"/>
        </w:rPr>
        <w:t>;</w:t>
      </w:r>
    </w:p>
    <w:p w14:paraId="73F7F1E5" w14:textId="77777777" w:rsidR="00B5204E" w:rsidRPr="002354AF" w:rsidRDefault="000060D6" w:rsidP="00336A51">
      <w:pPr>
        <w:numPr>
          <w:ilvl w:val="0"/>
          <w:numId w:val="4"/>
        </w:numPr>
        <w:spacing w:after="0" w:line="312" w:lineRule="auto"/>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 xml:space="preserve">warianty przedsięwzięcia </w:t>
      </w:r>
      <w:r w:rsidRPr="002354AF">
        <w:rPr>
          <w:rFonts w:ascii="Times New Roman" w:eastAsia="Times New Roman" w:hAnsi="Times New Roman"/>
          <w:sz w:val="24"/>
          <w:szCs w:val="24"/>
          <w:lang w:eastAsia="pl-PL"/>
        </w:rPr>
        <w:t>przedstawione w raporcie o oddziaływaniu przedsięwzięcia na środowisko nie są tożsame z wariantami zaprezentowanymi w karcie informacyjnej przedsięwzięcia;</w:t>
      </w:r>
    </w:p>
    <w:p w14:paraId="0A07D2B5" w14:textId="77777777" w:rsidR="00B5204E" w:rsidRPr="002354AF" w:rsidRDefault="000060D6" w:rsidP="00336A51">
      <w:pPr>
        <w:numPr>
          <w:ilvl w:val="0"/>
          <w:numId w:val="4"/>
        </w:numPr>
        <w:spacing w:after="0" w:line="312" w:lineRule="auto"/>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braku jednolitej wersji raportu, co w konsekwencji istotnie utrudnia analizę dokumentacji;</w:t>
      </w:r>
    </w:p>
    <w:p w14:paraId="692B2E9C" w14:textId="77777777" w:rsidR="00B5204E" w:rsidRPr="002354AF" w:rsidRDefault="000060D6" w:rsidP="00336A51">
      <w:pPr>
        <w:numPr>
          <w:ilvl w:val="0"/>
          <w:numId w:val="4"/>
        </w:numPr>
        <w:spacing w:after="0" w:line="312" w:lineRule="auto"/>
        <w:jc w:val="both"/>
        <w:rPr>
          <w:rFonts w:ascii="Times New Roman" w:eastAsia="Times New Roman" w:hAnsi="Times New Roman"/>
          <w:sz w:val="24"/>
          <w:szCs w:val="24"/>
          <w:lang w:eastAsia="pl-PL"/>
        </w:rPr>
      </w:pPr>
      <w:bookmarkStart w:id="21" w:name="_Hlk172009991"/>
      <w:r w:rsidRPr="002354AF">
        <w:rPr>
          <w:rFonts w:ascii="Times New Roman" w:eastAsia="Times New Roman" w:hAnsi="Times New Roman"/>
          <w:sz w:val="24"/>
          <w:szCs w:val="24"/>
          <w:lang w:eastAsia="pl-PL"/>
        </w:rPr>
        <w:t>nieprawid</w:t>
      </w:r>
      <w:r w:rsidRPr="002354AF">
        <w:rPr>
          <w:rFonts w:ascii="Times New Roman" w:eastAsia="Times New Roman" w:hAnsi="Times New Roman"/>
          <w:sz w:val="24"/>
          <w:szCs w:val="24"/>
          <w:lang w:eastAsia="pl-PL"/>
        </w:rPr>
        <w:t>łowy sposób zawiadamiania stron o czynnościach podejmowanych przez organ pierwszej instancji</w:t>
      </w:r>
      <w:bookmarkEnd w:id="21"/>
      <w:r w:rsidRPr="002354AF">
        <w:rPr>
          <w:rFonts w:ascii="Times New Roman" w:eastAsia="Times New Roman" w:hAnsi="Times New Roman"/>
          <w:sz w:val="24"/>
          <w:szCs w:val="24"/>
          <w:lang w:eastAsia="pl-PL"/>
        </w:rPr>
        <w:t>;</w:t>
      </w:r>
    </w:p>
    <w:p w14:paraId="38A8141A" w14:textId="77777777" w:rsidR="00B5204E" w:rsidRPr="002354AF" w:rsidRDefault="000060D6" w:rsidP="00336A51">
      <w:pPr>
        <w:numPr>
          <w:ilvl w:val="0"/>
          <w:numId w:val="4"/>
        </w:numPr>
        <w:spacing w:after="0" w:line="312" w:lineRule="auto"/>
        <w:ind w:left="714" w:hanging="357"/>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brak odniesienia się w decyzji do uwag podnoszonych przez strony postępowania.</w:t>
      </w:r>
    </w:p>
    <w:p w14:paraId="231805D6" w14:textId="77777777" w:rsidR="00B5204E" w:rsidRPr="002354AF" w:rsidRDefault="000060D6" w:rsidP="00336A51">
      <w:pPr>
        <w:spacing w:after="12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Skarżący wnieśli o uchylenie kwestionowanej decyzji i przekazanie sprawy do ponowne</w:t>
      </w:r>
      <w:r w:rsidRPr="002354AF">
        <w:rPr>
          <w:rFonts w:ascii="Times New Roman" w:eastAsia="Times New Roman" w:hAnsi="Times New Roman"/>
          <w:sz w:val="24"/>
          <w:szCs w:val="24"/>
          <w:lang w:eastAsia="pl-PL"/>
        </w:rPr>
        <w:t xml:space="preserve">go rozpatrzenia organowi pierwszej instancji. </w:t>
      </w:r>
    </w:p>
    <w:p w14:paraId="6BA494CB" w14:textId="77777777" w:rsidR="00B5204E" w:rsidRPr="00954FEB" w:rsidRDefault="000060D6" w:rsidP="00336A51">
      <w:pPr>
        <w:keepNext/>
        <w:spacing w:after="120" w:line="312" w:lineRule="auto"/>
        <w:jc w:val="both"/>
        <w:rPr>
          <w:rFonts w:ascii="Times New Roman" w:eastAsia="Times New Roman" w:hAnsi="Times New Roman"/>
          <w:sz w:val="24"/>
          <w:szCs w:val="24"/>
          <w:lang w:eastAsia="pl-PL"/>
        </w:rPr>
      </w:pPr>
      <w:r w:rsidRPr="00954FEB">
        <w:rPr>
          <w:rFonts w:ascii="Times New Roman" w:eastAsia="Times New Roman" w:hAnsi="Times New Roman"/>
          <w:sz w:val="24"/>
          <w:szCs w:val="24"/>
          <w:lang w:eastAsia="pl-PL"/>
        </w:rPr>
        <w:t>GDOŚ ustalił i zważył, co następuje</w:t>
      </w:r>
    </w:p>
    <w:p w14:paraId="23ED167A" w14:textId="77777777" w:rsidR="00B5204E" w:rsidRPr="002354AF" w:rsidRDefault="000060D6" w:rsidP="00336A51">
      <w:pPr>
        <w:spacing w:after="0" w:line="312" w:lineRule="auto"/>
        <w:jc w:val="both"/>
        <w:rPr>
          <w:rFonts w:ascii="Times New Roman" w:eastAsia="Times New Roman" w:hAnsi="Times New Roman"/>
          <w:bCs/>
          <w:sz w:val="24"/>
          <w:szCs w:val="24"/>
          <w:lang w:eastAsia="pl-PL"/>
        </w:rPr>
      </w:pPr>
      <w:bookmarkStart w:id="22" w:name="_Hlk126659402"/>
      <w:r w:rsidRPr="002354AF">
        <w:rPr>
          <w:rFonts w:ascii="Times New Roman" w:eastAsia="Times New Roman" w:hAnsi="Times New Roman"/>
          <w:bCs/>
          <w:sz w:val="24"/>
          <w:szCs w:val="24"/>
          <w:lang w:eastAsia="pl-PL"/>
        </w:rPr>
        <w:t xml:space="preserve">Jak wynika z art. 127 ust. 3 u.o.o.ś., </w:t>
      </w:r>
      <w:bookmarkEnd w:id="22"/>
      <w:r w:rsidRPr="002354AF">
        <w:rPr>
          <w:rFonts w:ascii="Times New Roman" w:eastAsia="Times New Roman" w:hAnsi="Times New Roman"/>
          <w:bCs/>
          <w:sz w:val="24"/>
          <w:szCs w:val="24"/>
          <w:lang w:eastAsia="pl-PL"/>
        </w:rPr>
        <w:t xml:space="preserve">GDOŚ pełni funkcję organu wyższego stopnia w rozumieniu Kodeksu postępowania administracyjnego w stosunku do regionalnych dyrektorów </w:t>
      </w:r>
      <w:r w:rsidRPr="002354AF">
        <w:rPr>
          <w:rFonts w:ascii="Times New Roman" w:eastAsia="Times New Roman" w:hAnsi="Times New Roman"/>
          <w:bCs/>
          <w:sz w:val="24"/>
          <w:szCs w:val="24"/>
          <w:lang w:eastAsia="pl-PL"/>
        </w:rPr>
        <w:t>ochrony środowiska, zatem, zgodnie z art. 127 § 2 k.p.a., jest organem właściwym do rozpatrzenia odwołania od decyzji RDOŚ w Poznaniu.</w:t>
      </w:r>
    </w:p>
    <w:p w14:paraId="5983FAFE" w14:textId="1E2CD038"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Wniosek o wydanie decyzji o środowiskowych uwarunkowaniach dla przedmiotowego przedsięwzięcia wpłynął do RDOŚ w Poznaniu </w:t>
      </w:r>
      <w:bookmarkStart w:id="23" w:name="_Hlk171491945"/>
      <w:r w:rsidRPr="002354AF">
        <w:rPr>
          <w:rFonts w:ascii="Times New Roman" w:eastAsia="Times New Roman" w:hAnsi="Times New Roman"/>
          <w:bCs/>
          <w:iCs/>
          <w:sz w:val="24"/>
          <w:szCs w:val="24"/>
          <w:lang w:eastAsia="pl-PL"/>
        </w:rPr>
        <w:t>18 maja 2015 r.</w:t>
      </w:r>
      <w:bookmarkEnd w:id="23"/>
      <w:r w:rsidRPr="002354AF">
        <w:rPr>
          <w:rFonts w:ascii="Times New Roman" w:eastAsia="Times New Roman" w:hAnsi="Times New Roman"/>
          <w:bCs/>
          <w:iCs/>
          <w:sz w:val="24"/>
          <w:szCs w:val="24"/>
          <w:lang w:eastAsia="pl-PL"/>
        </w:rPr>
        <w:t xml:space="preserve"> W związku z powyższym w przedmiotowej sprawie nie mają zastosowania przepisy art. 74 ust. 3a u.o.o.ś. dotyczące kręgu </w:t>
      </w:r>
      <w:r w:rsidRPr="002354AF">
        <w:rPr>
          <w:rFonts w:ascii="Times New Roman" w:eastAsia="Times New Roman" w:hAnsi="Times New Roman"/>
          <w:bCs/>
          <w:iCs/>
          <w:sz w:val="24"/>
          <w:szCs w:val="24"/>
          <w:lang w:eastAsia="pl-PL"/>
        </w:rPr>
        <w:lastRenderedPageBreak/>
        <w:t>stron postępowania prowadzącego do wydania decyzji o środowiskowych uwarunkowaniach, a zatem krąg niniejszego postępowania</w:t>
      </w:r>
      <w:r w:rsidRPr="002354AF">
        <w:rPr>
          <w:rFonts w:ascii="Times New Roman" w:eastAsia="Times New Roman" w:hAnsi="Times New Roman"/>
          <w:bCs/>
          <w:iCs/>
          <w:sz w:val="24"/>
          <w:szCs w:val="24"/>
          <w:lang w:eastAsia="pl-PL"/>
        </w:rPr>
        <w:t xml:space="preserve"> należy określić w oparciu o przepis art. 28 k.p.a. Osoby wymienione w sentencji niniejszej decyzji wykazały, że posiadają intere</w:t>
      </w:r>
      <w:r w:rsidR="00127905">
        <w:rPr>
          <w:rFonts w:ascii="Times New Roman" w:eastAsia="Times New Roman" w:hAnsi="Times New Roman"/>
          <w:bCs/>
          <w:iCs/>
          <w:sz w:val="24"/>
          <w:szCs w:val="24"/>
          <w:lang w:eastAsia="pl-PL"/>
        </w:rPr>
        <w:t xml:space="preserve">s prawny w myśl art. 28 k.p.a. </w:t>
      </w:r>
      <w:r w:rsidRPr="002354AF">
        <w:rPr>
          <w:rFonts w:ascii="Times New Roman" w:eastAsia="Times New Roman" w:hAnsi="Times New Roman"/>
          <w:bCs/>
          <w:iCs/>
          <w:sz w:val="24"/>
          <w:szCs w:val="24"/>
          <w:lang w:eastAsia="pl-PL"/>
        </w:rPr>
        <w:t>Status stron postępowania przysługuje skarżącym ze względu na posiadane prawo własności do nier</w:t>
      </w:r>
      <w:r w:rsidRPr="002354AF">
        <w:rPr>
          <w:rFonts w:ascii="Times New Roman" w:eastAsia="Times New Roman" w:hAnsi="Times New Roman"/>
          <w:bCs/>
          <w:iCs/>
          <w:sz w:val="24"/>
          <w:szCs w:val="24"/>
          <w:lang w:eastAsia="pl-PL"/>
        </w:rPr>
        <w:t xml:space="preserve">uchomości znajdujących się w obszarze realizacji planowanego przedsięwzięcia, tj. m.in. działek ewidencyjnych o numerach: </w:t>
      </w:r>
      <w:r w:rsidR="00127905">
        <w:rPr>
          <w:rFonts w:ascii="Times New Roman" w:eastAsia="Times New Roman" w:hAnsi="Times New Roman"/>
          <w:bCs/>
          <w:iCs/>
          <w:sz w:val="24"/>
          <w:szCs w:val="24"/>
          <w:lang w:eastAsia="pl-PL"/>
        </w:rPr>
        <w:t>(…)</w:t>
      </w:r>
      <w:r w:rsidRPr="002354AF">
        <w:rPr>
          <w:rFonts w:ascii="Times New Roman" w:eastAsia="Times New Roman" w:hAnsi="Times New Roman"/>
          <w:bCs/>
          <w:iCs/>
          <w:sz w:val="24"/>
          <w:szCs w:val="24"/>
          <w:lang w:eastAsia="pl-PL"/>
        </w:rPr>
        <w:t xml:space="preserve"> i </w:t>
      </w:r>
      <w:r w:rsidR="00127905">
        <w:rPr>
          <w:rFonts w:ascii="Times New Roman" w:eastAsia="Times New Roman" w:hAnsi="Times New Roman"/>
          <w:bCs/>
          <w:iCs/>
          <w:sz w:val="24"/>
          <w:szCs w:val="24"/>
          <w:lang w:eastAsia="pl-PL"/>
        </w:rPr>
        <w:t>(…)</w:t>
      </w:r>
      <w:r w:rsidRPr="002354AF">
        <w:rPr>
          <w:rFonts w:ascii="Times New Roman" w:eastAsia="Times New Roman" w:hAnsi="Times New Roman"/>
          <w:bCs/>
          <w:iCs/>
          <w:sz w:val="24"/>
          <w:szCs w:val="24"/>
          <w:lang w:eastAsia="pl-PL"/>
        </w:rPr>
        <w:t xml:space="preserve"> obręb Kolno, gm. Golina (</w:t>
      </w:r>
      <w:r w:rsidR="00127905">
        <w:rPr>
          <w:rFonts w:ascii="Times New Roman" w:eastAsia="Times New Roman" w:hAnsi="Times New Roman"/>
          <w:bCs/>
          <w:iCs/>
          <w:sz w:val="24"/>
          <w:szCs w:val="24"/>
          <w:lang w:eastAsia="pl-PL"/>
        </w:rPr>
        <w:t>…</w:t>
      </w:r>
      <w:r w:rsidRPr="002354AF">
        <w:rPr>
          <w:rFonts w:ascii="Times New Roman" w:eastAsia="Times New Roman" w:hAnsi="Times New Roman"/>
          <w:bCs/>
          <w:iCs/>
          <w:sz w:val="24"/>
          <w:szCs w:val="24"/>
          <w:lang w:eastAsia="pl-PL"/>
        </w:rPr>
        <w:t xml:space="preserve">), </w:t>
      </w:r>
      <w:r w:rsidR="00127905">
        <w:rPr>
          <w:rFonts w:ascii="Times New Roman" w:eastAsia="Times New Roman" w:hAnsi="Times New Roman"/>
          <w:bCs/>
          <w:iCs/>
          <w:sz w:val="24"/>
          <w:szCs w:val="24"/>
          <w:lang w:eastAsia="pl-PL"/>
        </w:rPr>
        <w:t>(…)</w:t>
      </w:r>
      <w:r w:rsidRPr="002354AF">
        <w:rPr>
          <w:rFonts w:ascii="Times New Roman" w:eastAsia="Times New Roman" w:hAnsi="Times New Roman"/>
          <w:bCs/>
          <w:iCs/>
          <w:sz w:val="24"/>
          <w:szCs w:val="24"/>
          <w:lang w:eastAsia="pl-PL"/>
        </w:rPr>
        <w:t>, obręb Kolno, gm. Golina (</w:t>
      </w:r>
      <w:r w:rsidR="00127905">
        <w:rPr>
          <w:rFonts w:ascii="Times New Roman" w:eastAsia="Times New Roman" w:hAnsi="Times New Roman"/>
          <w:bCs/>
          <w:iCs/>
          <w:sz w:val="24"/>
          <w:szCs w:val="24"/>
          <w:lang w:eastAsia="pl-PL"/>
        </w:rPr>
        <w:t>…</w:t>
      </w:r>
      <w:r w:rsidRPr="002354AF">
        <w:rPr>
          <w:rFonts w:ascii="Times New Roman" w:eastAsia="Times New Roman" w:hAnsi="Times New Roman"/>
          <w:bCs/>
          <w:iCs/>
          <w:sz w:val="24"/>
          <w:szCs w:val="24"/>
          <w:lang w:eastAsia="pl-PL"/>
        </w:rPr>
        <w:t xml:space="preserve">), </w:t>
      </w:r>
      <w:r w:rsidR="00127905">
        <w:rPr>
          <w:rFonts w:ascii="Times New Roman" w:eastAsia="Times New Roman" w:hAnsi="Times New Roman"/>
          <w:bCs/>
          <w:iCs/>
          <w:sz w:val="24"/>
          <w:szCs w:val="24"/>
          <w:lang w:eastAsia="pl-PL"/>
        </w:rPr>
        <w:t>(…)</w:t>
      </w:r>
      <w:r w:rsidRPr="002354AF">
        <w:rPr>
          <w:rFonts w:ascii="Times New Roman" w:eastAsia="Times New Roman" w:hAnsi="Times New Roman"/>
          <w:bCs/>
          <w:iCs/>
          <w:sz w:val="24"/>
          <w:szCs w:val="24"/>
          <w:lang w:eastAsia="pl-PL"/>
        </w:rPr>
        <w:t xml:space="preserve"> obręb Kolno, gm. Golina oraz </w:t>
      </w:r>
      <w:r w:rsidR="00127905">
        <w:rPr>
          <w:rFonts w:ascii="Times New Roman" w:eastAsia="Times New Roman" w:hAnsi="Times New Roman"/>
          <w:bCs/>
          <w:iCs/>
          <w:sz w:val="24"/>
          <w:szCs w:val="24"/>
          <w:lang w:eastAsia="pl-PL"/>
        </w:rPr>
        <w:t>(…)</w:t>
      </w:r>
      <w:r w:rsidRPr="002354AF">
        <w:rPr>
          <w:rFonts w:ascii="Times New Roman" w:eastAsia="Times New Roman" w:hAnsi="Times New Roman"/>
          <w:bCs/>
          <w:iCs/>
          <w:sz w:val="24"/>
          <w:szCs w:val="24"/>
          <w:lang w:eastAsia="pl-PL"/>
        </w:rPr>
        <w:t xml:space="preserve"> obręb Węglewskie Holendry, gm. Golina (</w:t>
      </w:r>
      <w:r w:rsidR="00127905">
        <w:rPr>
          <w:rFonts w:ascii="Times New Roman" w:eastAsia="Times New Roman" w:hAnsi="Times New Roman"/>
          <w:bCs/>
          <w:iCs/>
          <w:sz w:val="24"/>
          <w:szCs w:val="24"/>
          <w:lang w:eastAsia="pl-PL"/>
        </w:rPr>
        <w:t>…</w:t>
      </w:r>
      <w:r w:rsidRPr="002354AF">
        <w:rPr>
          <w:rFonts w:ascii="Times New Roman" w:eastAsia="Times New Roman" w:hAnsi="Times New Roman"/>
          <w:bCs/>
          <w:iCs/>
          <w:sz w:val="24"/>
          <w:szCs w:val="24"/>
          <w:lang w:eastAsia="pl-PL"/>
        </w:rPr>
        <w:t>), 134/4, 134/5, 134/6, 134/7, 134/8</w:t>
      </w:r>
      <w:r w:rsidRPr="002354AF">
        <w:rPr>
          <w:rFonts w:ascii="Times New Roman" w:eastAsia="Times New Roman" w:hAnsi="Times New Roman"/>
          <w:bCs/>
          <w:iCs/>
          <w:sz w:val="24"/>
          <w:szCs w:val="24"/>
          <w:lang w:eastAsia="pl-PL"/>
        </w:rPr>
        <w:t>, 134/9 obręb Kolno, gm. Golina (Fundacja Czeremcha).</w:t>
      </w:r>
    </w:p>
    <w:p w14:paraId="3740D6B6"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Z uwagi na liczbę stron postępowania w niniejszej sprawie zastosowanie ma art. 74 ust. 3 u.o.o.ś. (w brzmieniu obowiązującym w dacie wydania powyższej decyzji, tj. Dz. U. z 2018 r. poz. 2081, ze zm.), w</w:t>
      </w:r>
      <w:r w:rsidRPr="002354AF">
        <w:rPr>
          <w:rFonts w:ascii="Times New Roman" w:eastAsia="Times New Roman" w:hAnsi="Times New Roman"/>
          <w:bCs/>
          <w:iCs/>
          <w:sz w:val="24"/>
          <w:szCs w:val="24"/>
          <w:lang w:eastAsia="pl-PL"/>
        </w:rPr>
        <w:t xml:space="preserve"> myśl którego, jeżeli liczba stron postępowania o wydanie decyzji o środowiskowych uwarunkowaniach przekracza 20, stosuje się art. 49 k.p.a., a zatem, poza inwestorem, któremu kwestionowana decyzja została </w:t>
      </w:r>
      <w:bookmarkStart w:id="24" w:name="_Hlk170383493"/>
      <w:r w:rsidRPr="002354AF">
        <w:rPr>
          <w:rFonts w:ascii="Times New Roman" w:eastAsia="Times New Roman" w:hAnsi="Times New Roman"/>
          <w:bCs/>
          <w:iCs/>
          <w:sz w:val="24"/>
          <w:szCs w:val="24"/>
          <w:lang w:eastAsia="pl-PL"/>
        </w:rPr>
        <w:t>doręczona 20 lutego 2020 r.</w:t>
      </w:r>
      <w:bookmarkEnd w:id="24"/>
      <w:r w:rsidRPr="002354AF">
        <w:rPr>
          <w:rFonts w:ascii="Times New Roman" w:eastAsia="Times New Roman" w:hAnsi="Times New Roman"/>
          <w:bCs/>
          <w:iCs/>
          <w:sz w:val="24"/>
          <w:szCs w:val="24"/>
          <w:lang w:eastAsia="pl-PL"/>
        </w:rPr>
        <w:t>, pozostałym stronom po</w:t>
      </w:r>
      <w:r w:rsidRPr="002354AF">
        <w:rPr>
          <w:rFonts w:ascii="Times New Roman" w:eastAsia="Times New Roman" w:hAnsi="Times New Roman"/>
          <w:bCs/>
          <w:iCs/>
          <w:sz w:val="24"/>
          <w:szCs w:val="24"/>
          <w:lang w:eastAsia="pl-PL"/>
        </w:rPr>
        <w:t>stępowania doręczenie decyzji RDOŚ w Poznaniu z 13 lutego 2020 r. nastąpiło poprzez publiczne obwieszczenie. Obwieszczenie RDOŚ w Poznaniu z 17 lutego 2020 r., znak: WOO-II.4233.2.2015.WM.69, informujące strony o wydaniu powyższej decyzji, zostało zamieszc</w:t>
      </w:r>
      <w:r w:rsidRPr="002354AF">
        <w:rPr>
          <w:rFonts w:ascii="Times New Roman" w:eastAsia="Times New Roman" w:hAnsi="Times New Roman"/>
          <w:bCs/>
          <w:iCs/>
          <w:sz w:val="24"/>
          <w:szCs w:val="24"/>
          <w:lang w:eastAsia="pl-PL"/>
        </w:rPr>
        <w:t>zone na tablicy ogłoszeń RDOŚ w Poznaniu w terminie od 18 lutego 2020 r. do 2 marca 2020 r. Natomiast najpóźniej zostało zamieszczone na tablicy ogłoszeń Urzędu Gminy Rzgów, tj. 22 lutego 2020 r. Zatem termin na wniesienie odwołania upłynął 23 marca 2020 r</w:t>
      </w:r>
      <w:r w:rsidRPr="002354AF">
        <w:rPr>
          <w:rFonts w:ascii="Times New Roman" w:eastAsia="Times New Roman" w:hAnsi="Times New Roman"/>
          <w:bCs/>
          <w:iCs/>
          <w:sz w:val="24"/>
          <w:szCs w:val="24"/>
          <w:lang w:eastAsia="pl-PL"/>
        </w:rPr>
        <w:t>.</w:t>
      </w:r>
      <w:r w:rsidRPr="002354AF">
        <w:rPr>
          <w:rFonts w:ascii="Times New Roman" w:eastAsia="Times New Roman" w:hAnsi="Times New Roman"/>
          <w:sz w:val="24"/>
          <w:szCs w:val="24"/>
          <w:lang w:eastAsia="pl-PL"/>
        </w:rPr>
        <w:t xml:space="preserve"> Skarżący wnieśli odwołania 3 marca 2020 r., a zatem z zachowaniem terminu określonego w art. </w:t>
      </w:r>
      <w:bookmarkStart w:id="25" w:name="_Hlk169876834"/>
      <w:r w:rsidRPr="002354AF">
        <w:rPr>
          <w:rFonts w:ascii="Times New Roman" w:eastAsia="Times New Roman" w:hAnsi="Times New Roman"/>
          <w:sz w:val="24"/>
          <w:szCs w:val="24"/>
          <w:lang w:eastAsia="pl-PL"/>
        </w:rPr>
        <w:t>129 § 2 k.p.a.</w:t>
      </w:r>
      <w:bookmarkEnd w:id="25"/>
    </w:p>
    <w:p w14:paraId="4D79E84C"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Jak wynika z orzecznictwa sądów administracyjnych, jeżeli środek zaskarżenia od decyzji wniesiony jest przed upływem czternastodniowego terminu, o</w:t>
      </w:r>
      <w:r w:rsidRPr="002354AF">
        <w:rPr>
          <w:rFonts w:ascii="Times New Roman" w:eastAsia="Times New Roman" w:hAnsi="Times New Roman"/>
          <w:sz w:val="24"/>
          <w:szCs w:val="24"/>
          <w:lang w:eastAsia="pl-PL"/>
        </w:rPr>
        <w:t xml:space="preserve"> którym mowa w art. 49 k.p.a., to o ile decyzja ta weszła do obrotu prawnego, nie jest on niedopuszczalny, jako wniesiony przedwcześnie (por. wyrok NSA z dnia 18 października 2017 r., sygn. akt: II OSK 2681/16; z 20 grudnia 2016 r., sygn. akt: II OSK 791/1</w:t>
      </w:r>
      <w:r w:rsidRPr="002354AF">
        <w:rPr>
          <w:rFonts w:ascii="Times New Roman" w:eastAsia="Times New Roman" w:hAnsi="Times New Roman"/>
          <w:sz w:val="24"/>
          <w:szCs w:val="24"/>
          <w:lang w:eastAsia="pl-PL"/>
        </w:rPr>
        <w:t xml:space="preserve">5; z 27 września 2016 r., sygn. akt: II OSK 3166/14; B. Adamiak, J. Borkowski, Kodeks postępowania administracyjnego. Komentarz, Wyd. 15, Warszawa 2017, s. 339). Wejście decyzji do obrotu prawnego jest bowiem uzależnione od dokonania czynności doręczenia, </w:t>
      </w:r>
      <w:r w:rsidRPr="002354AF">
        <w:rPr>
          <w:rFonts w:ascii="Times New Roman" w:eastAsia="Times New Roman" w:hAnsi="Times New Roman"/>
          <w:sz w:val="24"/>
          <w:szCs w:val="24"/>
          <w:lang w:eastAsia="pl-PL"/>
        </w:rPr>
        <w:t>która polega na uzewnętrznieniu woli organu wobec podmiotu usytuowanego poza organem administracji (por. wyrok NSA z 20 lutego 2014 r., sygn. akt: II OSK 2259/12). Na gruncie niniejszej sprawy, skoro odwołania zostały wniesione po wejściu kwestionowanej de</w:t>
      </w:r>
      <w:r w:rsidRPr="002354AF">
        <w:rPr>
          <w:rFonts w:ascii="Times New Roman" w:eastAsia="Times New Roman" w:hAnsi="Times New Roman"/>
          <w:sz w:val="24"/>
          <w:szCs w:val="24"/>
          <w:lang w:eastAsia="pl-PL"/>
        </w:rPr>
        <w:t>cyzji do obrotu prawnego – data</w:t>
      </w:r>
      <w:r w:rsidRPr="002354AF">
        <w:rPr>
          <w:rFonts w:ascii="Times New Roman" w:eastAsia="Times New Roman" w:hAnsi="Times New Roman"/>
          <w:bCs/>
          <w:iCs/>
          <w:sz w:val="24"/>
          <w:szCs w:val="24"/>
          <w:lang w:eastAsia="pl-PL"/>
        </w:rPr>
        <w:t xml:space="preserve"> doręczenia inwestorowi 20 lutego 2020 r.,</w:t>
      </w:r>
      <w:r w:rsidRPr="002354AF">
        <w:rPr>
          <w:rFonts w:ascii="Times New Roman" w:eastAsia="Times New Roman" w:hAnsi="Times New Roman"/>
          <w:sz w:val="24"/>
          <w:szCs w:val="24"/>
          <w:lang w:eastAsia="pl-PL"/>
        </w:rPr>
        <w:t xml:space="preserve">  powinny podlegać merytorycznemu rozpoznaniu.</w:t>
      </w:r>
    </w:p>
    <w:p w14:paraId="58D17FD4" w14:textId="77777777" w:rsidR="00B5204E" w:rsidRPr="002354AF" w:rsidRDefault="000060D6" w:rsidP="00336A51">
      <w:pPr>
        <w:spacing w:after="0" w:line="312" w:lineRule="auto"/>
        <w:ind w:firstLine="709"/>
        <w:jc w:val="both"/>
        <w:rPr>
          <w:rFonts w:ascii="Times New Roman" w:eastAsia="Times New Roman" w:hAnsi="Times New Roman"/>
          <w:iCs/>
          <w:sz w:val="24"/>
          <w:szCs w:val="24"/>
          <w:lang w:eastAsia="pl-PL"/>
        </w:rPr>
      </w:pPr>
      <w:r w:rsidRPr="002354AF">
        <w:rPr>
          <w:rFonts w:ascii="Times New Roman" w:eastAsia="Times New Roman" w:hAnsi="Times New Roman"/>
          <w:iCs/>
          <w:sz w:val="24"/>
          <w:szCs w:val="24"/>
          <w:lang w:eastAsia="pl-PL"/>
        </w:rPr>
        <w:t>Decyzja RDOŚ w Poznaniu z 13 lutego 2020 r. określa środowiskowe uwarunkowania realizacji przedsięwzięcia polegającego na budowie w pełn</w:t>
      </w:r>
      <w:r w:rsidRPr="002354AF">
        <w:rPr>
          <w:rFonts w:ascii="Times New Roman" w:eastAsia="Times New Roman" w:hAnsi="Times New Roman"/>
          <w:iCs/>
          <w:sz w:val="24"/>
          <w:szCs w:val="24"/>
          <w:lang w:eastAsia="pl-PL"/>
        </w:rPr>
        <w:t>i sterowalnego polderu zalewowego o powierzchni ok. 2678,5 ha. Planowane przedsięwzięcie usytuowane jest na obszarze trzech gmin: Golina, Rzgów i Stare Miasto, w powiecie konińskim, na terenie województwa wielkopolskiego. Polder Golina będzie zlokalizowany</w:t>
      </w:r>
      <w:r w:rsidRPr="002354AF">
        <w:rPr>
          <w:rFonts w:ascii="Times New Roman" w:eastAsia="Times New Roman" w:hAnsi="Times New Roman"/>
          <w:iCs/>
          <w:sz w:val="24"/>
          <w:szCs w:val="24"/>
          <w:lang w:eastAsia="pl-PL"/>
        </w:rPr>
        <w:t xml:space="preserve"> na prawym brzegu rzeki Warty, poniżej </w:t>
      </w:r>
      <w:r w:rsidRPr="002354AF">
        <w:rPr>
          <w:rFonts w:ascii="Times New Roman" w:eastAsia="Times New Roman" w:hAnsi="Times New Roman"/>
          <w:iCs/>
          <w:sz w:val="24"/>
          <w:szCs w:val="24"/>
          <w:lang w:eastAsia="pl-PL"/>
        </w:rPr>
        <w:lastRenderedPageBreak/>
        <w:t>miasta Konina, w km od 397+350 do km 384+570 rzeki Warty. Od wschodu polder ograniczy obwałowanie z wbudowanym jazem wlotowym Kraśnica. Na południu granicę stanowić będzie przebudowane prawobrzeżne obwałowanie rzeki W</w:t>
      </w:r>
      <w:r w:rsidRPr="002354AF">
        <w:rPr>
          <w:rFonts w:ascii="Times New Roman" w:eastAsia="Times New Roman" w:hAnsi="Times New Roman"/>
          <w:iCs/>
          <w:sz w:val="24"/>
          <w:szCs w:val="24"/>
          <w:lang w:eastAsia="pl-PL"/>
        </w:rPr>
        <w:t>arty z wbudowanymi m.in. jazem wlotowym Rumin oraz jazem wylotowym Sługocinek. Na północy naturalny układ rzeźby terenu – krawędź doliny będzie wytyczał obrzeża polderu. Natomiast planowane równolegle do autostrady A2 obwałowanie ograniczy obszar polderu o</w:t>
      </w:r>
      <w:r w:rsidRPr="002354AF">
        <w:rPr>
          <w:rFonts w:ascii="Times New Roman" w:eastAsia="Times New Roman" w:hAnsi="Times New Roman"/>
          <w:iCs/>
          <w:sz w:val="24"/>
          <w:szCs w:val="24"/>
          <w:lang w:eastAsia="pl-PL"/>
        </w:rPr>
        <w:t>d zachodu. Realizacja przedsięwzięcia zakłada budowę nowych obiektów hydrotechnicznych oraz częściowo wykorzystanie i przebudowanie infrastruktury istniejącego polderu. Zgodnie z przedłożoną dokumentacją realizacja inwestycji ma na celu obniżenie poziomu k</w:t>
      </w:r>
      <w:r w:rsidRPr="002354AF">
        <w:rPr>
          <w:rFonts w:ascii="Times New Roman" w:eastAsia="Times New Roman" w:hAnsi="Times New Roman"/>
          <w:iCs/>
          <w:sz w:val="24"/>
          <w:szCs w:val="24"/>
          <w:lang w:eastAsia="pl-PL"/>
        </w:rPr>
        <w:t xml:space="preserve">umulacji wezbrań na rzece Warcie poprzez sterowane zalewanie wodami powodziowymi – do rzędnej </w:t>
      </w:r>
      <w:bookmarkStart w:id="26" w:name="_Hlk171995343"/>
      <w:r w:rsidRPr="002354AF">
        <w:rPr>
          <w:rFonts w:ascii="Times New Roman" w:eastAsia="Times New Roman" w:hAnsi="Times New Roman"/>
          <w:iCs/>
          <w:sz w:val="24"/>
          <w:szCs w:val="24"/>
          <w:lang w:eastAsia="pl-PL"/>
        </w:rPr>
        <w:t>81,04 m n.p.m.</w:t>
      </w:r>
      <w:bookmarkEnd w:id="26"/>
      <w:r w:rsidRPr="002354AF">
        <w:rPr>
          <w:rFonts w:ascii="Times New Roman" w:eastAsia="Times New Roman" w:hAnsi="Times New Roman"/>
          <w:iCs/>
          <w:sz w:val="24"/>
          <w:szCs w:val="24"/>
          <w:lang w:eastAsia="pl-PL"/>
        </w:rPr>
        <w:t>, sąsiadującego bezpośrednio z rzeką polderu Golina. Realizacja omawianego przedsięwzięcia planowana jest na podstawie przepisów ustawy z dnia 8 lip</w:t>
      </w:r>
      <w:r w:rsidRPr="002354AF">
        <w:rPr>
          <w:rFonts w:ascii="Times New Roman" w:eastAsia="Times New Roman" w:hAnsi="Times New Roman"/>
          <w:iCs/>
          <w:sz w:val="24"/>
          <w:szCs w:val="24"/>
          <w:lang w:eastAsia="pl-PL"/>
        </w:rPr>
        <w:t>ca 2010 r. o szczególnych zasadach przygotowania do realizacji inwestycji w zakresie budowli przeciwpowodziowych (Dz. U. z 2024 r. poz. 274). Przedmiotowe zamierzenie inwestycyjne znajduje się na liście działań strategicznych, zgodnie z rozporządzeniem Rad</w:t>
      </w:r>
      <w:r w:rsidRPr="002354AF">
        <w:rPr>
          <w:rFonts w:ascii="Times New Roman" w:eastAsia="Times New Roman" w:hAnsi="Times New Roman"/>
          <w:iCs/>
          <w:sz w:val="24"/>
          <w:szCs w:val="24"/>
          <w:lang w:eastAsia="pl-PL"/>
        </w:rPr>
        <w:t xml:space="preserve">y Ministrów z dnia 26 października 2022 r. w sprawie przyjęcia Planu zarządzania ryzykiem powodziowym dla obszaru dorzecza Odry (Dz. U. 2022 poz. 2714). </w:t>
      </w:r>
    </w:p>
    <w:p w14:paraId="7821C825"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iCs/>
          <w:sz w:val="24"/>
          <w:szCs w:val="24"/>
          <w:lang w:eastAsia="pl-PL"/>
        </w:rPr>
        <w:t>Przedmiotowe zamierzenie inwestycyjne stanowi przedsięwzięcie mogące zawsze znacząco oddziaływać na śr</w:t>
      </w:r>
      <w:r w:rsidRPr="002354AF">
        <w:rPr>
          <w:rFonts w:ascii="Times New Roman" w:eastAsia="Times New Roman" w:hAnsi="Times New Roman"/>
          <w:iCs/>
          <w:sz w:val="24"/>
          <w:szCs w:val="24"/>
          <w:lang w:eastAsia="pl-PL"/>
        </w:rPr>
        <w:t xml:space="preserve">odowisko, o którym mowa w </w:t>
      </w:r>
      <w:bookmarkStart w:id="27" w:name="_Hlk167109426"/>
      <w:bookmarkStart w:id="28" w:name="_Hlk133230873"/>
      <w:r w:rsidRPr="002354AF">
        <w:rPr>
          <w:rFonts w:ascii="Times New Roman" w:eastAsia="Times New Roman" w:hAnsi="Times New Roman"/>
          <w:bCs/>
          <w:iCs/>
          <w:sz w:val="24"/>
          <w:szCs w:val="24"/>
          <w:lang w:eastAsia="pl-PL"/>
        </w:rPr>
        <w:t>§</w:t>
      </w:r>
      <w:bookmarkEnd w:id="27"/>
      <w:r w:rsidRPr="002354AF">
        <w:rPr>
          <w:rFonts w:ascii="Times New Roman" w:eastAsia="Times New Roman" w:hAnsi="Times New Roman"/>
          <w:bCs/>
          <w:iCs/>
          <w:sz w:val="24"/>
          <w:szCs w:val="24"/>
          <w:lang w:eastAsia="pl-PL"/>
        </w:rPr>
        <w:t xml:space="preserve"> 2 ust. 1 pkt 35</w:t>
      </w:r>
      <w:r w:rsidRPr="002354AF">
        <w:t xml:space="preserve"> </w:t>
      </w:r>
      <w:bookmarkEnd w:id="28"/>
      <w:r w:rsidRPr="002354AF">
        <w:rPr>
          <w:rFonts w:ascii="Times New Roman" w:eastAsia="Times New Roman" w:hAnsi="Times New Roman"/>
          <w:bCs/>
          <w:iCs/>
          <w:sz w:val="24"/>
          <w:szCs w:val="24"/>
          <w:lang w:eastAsia="pl-PL"/>
        </w:rPr>
        <w:t xml:space="preserve">rozporządzenia Rady Ministrów z dnia </w:t>
      </w:r>
      <w:r>
        <w:rPr>
          <w:rFonts w:ascii="Times New Roman" w:eastAsia="Times New Roman" w:hAnsi="Times New Roman"/>
          <w:bCs/>
          <w:iCs/>
          <w:sz w:val="24"/>
          <w:szCs w:val="24"/>
          <w:lang w:eastAsia="pl-PL"/>
        </w:rPr>
        <w:t>9</w:t>
      </w:r>
      <w:r w:rsidRPr="002354AF">
        <w:rPr>
          <w:rFonts w:ascii="Times New Roman" w:eastAsia="Times New Roman" w:hAnsi="Times New Roman"/>
          <w:bCs/>
          <w:iCs/>
          <w:sz w:val="24"/>
          <w:szCs w:val="24"/>
          <w:lang w:eastAsia="pl-PL"/>
        </w:rPr>
        <w:t xml:space="preserve"> </w:t>
      </w:r>
      <w:r>
        <w:rPr>
          <w:rFonts w:ascii="Times New Roman" w:eastAsia="Times New Roman" w:hAnsi="Times New Roman"/>
          <w:bCs/>
          <w:iCs/>
          <w:sz w:val="24"/>
          <w:szCs w:val="24"/>
          <w:lang w:eastAsia="pl-PL"/>
        </w:rPr>
        <w:t>listopada</w:t>
      </w:r>
      <w:r w:rsidRPr="002354AF">
        <w:rPr>
          <w:rFonts w:ascii="Times New Roman" w:eastAsia="Times New Roman" w:hAnsi="Times New Roman"/>
          <w:bCs/>
          <w:iCs/>
          <w:sz w:val="24"/>
          <w:szCs w:val="24"/>
          <w:lang w:eastAsia="pl-PL"/>
        </w:rPr>
        <w:t xml:space="preserve"> 201</w:t>
      </w:r>
      <w:r>
        <w:rPr>
          <w:rFonts w:ascii="Times New Roman" w:eastAsia="Times New Roman" w:hAnsi="Times New Roman"/>
          <w:bCs/>
          <w:iCs/>
          <w:sz w:val="24"/>
          <w:szCs w:val="24"/>
          <w:lang w:eastAsia="pl-PL"/>
        </w:rPr>
        <w:t>0</w:t>
      </w:r>
      <w:r w:rsidRPr="002354AF">
        <w:rPr>
          <w:rFonts w:ascii="Times New Roman" w:eastAsia="Times New Roman" w:hAnsi="Times New Roman"/>
          <w:bCs/>
          <w:iCs/>
          <w:sz w:val="24"/>
          <w:szCs w:val="24"/>
          <w:lang w:eastAsia="pl-PL"/>
        </w:rPr>
        <w:t xml:space="preserve"> r. w sprawie przedsięwzięć mogących znacząco oddziaływać na środowisko (Dz. U. 2016 poz. 71, ze zm.), dalej r.o.o.ś., tj. zapory lub inne urządzenia przeznacz</w:t>
      </w:r>
      <w:r w:rsidRPr="002354AF">
        <w:rPr>
          <w:rFonts w:ascii="Times New Roman" w:eastAsia="Times New Roman" w:hAnsi="Times New Roman"/>
          <w:bCs/>
          <w:iCs/>
          <w:sz w:val="24"/>
          <w:szCs w:val="24"/>
          <w:lang w:eastAsia="pl-PL"/>
        </w:rPr>
        <w:t>one do zatrzymywania i stałego retencjonowania (gromadzenia) nie mniej niż 10 mln</w:t>
      </w:r>
      <w:r w:rsidRPr="002354AF">
        <w:rPr>
          <w:rFonts w:ascii="Times New Roman" w:eastAsia="Times New Roman" w:hAnsi="Times New Roman"/>
          <w:bCs/>
          <w:iCs/>
          <w:sz w:val="24"/>
          <w:szCs w:val="24"/>
          <w:vertAlign w:val="superscript"/>
          <w:lang w:eastAsia="pl-PL"/>
        </w:rPr>
        <w:t>3</w:t>
      </w:r>
      <w:r w:rsidRPr="002354AF">
        <w:rPr>
          <w:rFonts w:ascii="Times New Roman" w:eastAsia="Times New Roman" w:hAnsi="Times New Roman"/>
          <w:bCs/>
          <w:iCs/>
          <w:sz w:val="24"/>
          <w:szCs w:val="24"/>
          <w:lang w:eastAsia="pl-PL"/>
        </w:rPr>
        <w:t xml:space="preserve"> nowej lub dodatkowej masy wody. Tym samym, na mocy art. 71 ust. 2 pkt 1 u.o.o.ś., wymaga uzyskania decyzji o środowiskowych uwarunkowaniach.</w:t>
      </w:r>
    </w:p>
    <w:p w14:paraId="4308355E"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Przywołane powyżej </w:t>
      </w:r>
      <w:r w:rsidRPr="002354AF">
        <w:rPr>
          <w:rFonts w:ascii="Times New Roman" w:eastAsia="Times New Roman" w:hAnsi="Times New Roman"/>
          <w:bCs/>
          <w:iCs/>
          <w:sz w:val="24"/>
          <w:szCs w:val="24"/>
          <w:lang w:eastAsia="pl-PL"/>
        </w:rPr>
        <w:t>rozporządzenie z dniem 11 października 2019 r. zostało uchylone, jednak zgodnie z § 4 aktualnie obowiązującego rozporządzenia Rady Ministrów z dnia 10 września 2019 r. w sprawie przedsięwzięć mogących znacząco oddziaływać na środowisko (Dz. U. 2019 r. poz.</w:t>
      </w:r>
      <w:r w:rsidRPr="002354AF">
        <w:rPr>
          <w:rFonts w:ascii="Times New Roman" w:eastAsia="Times New Roman" w:hAnsi="Times New Roman"/>
          <w:bCs/>
          <w:iCs/>
          <w:sz w:val="24"/>
          <w:szCs w:val="24"/>
          <w:lang w:eastAsia="pl-PL"/>
        </w:rPr>
        <w:t xml:space="preserve"> 1839, ze zm.) do przedsięwzięć, w przypadku których przed dniem wejścia w życie rozporządzenia wszczęto i nie zakończono postępowania w sprawie wydania decyzji o środowiskowych uwarunkowaniach, stosuje się przepisy dotychczasowe.</w:t>
      </w:r>
    </w:p>
    <w:p w14:paraId="2CF42FCA"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Organem właściwym do wyda</w:t>
      </w:r>
      <w:r w:rsidRPr="002354AF">
        <w:rPr>
          <w:rFonts w:ascii="Times New Roman" w:eastAsia="Times New Roman" w:hAnsi="Times New Roman"/>
          <w:bCs/>
          <w:iCs/>
          <w:sz w:val="24"/>
          <w:szCs w:val="24"/>
          <w:lang w:eastAsia="pl-PL"/>
        </w:rPr>
        <w:t>nia decyzji o środowiskowych uwarunkowaniach dla powyższego przedsięwzięcia, zgodnie z art. 75 ust. 1 pkt 1 lit. i u.o.o.ś. jest regionalny dyrektor ochrony środowiska. Właściwość miejscową RDOŚ w Poznaniu statuuje natomiast rozporządzenie Ministra Środowi</w:t>
      </w:r>
      <w:r w:rsidRPr="002354AF">
        <w:rPr>
          <w:rFonts w:ascii="Times New Roman" w:eastAsia="Times New Roman" w:hAnsi="Times New Roman"/>
          <w:bCs/>
          <w:iCs/>
          <w:sz w:val="24"/>
          <w:szCs w:val="24"/>
          <w:lang w:eastAsia="pl-PL"/>
        </w:rPr>
        <w:t>ska z dnia 10 listopada 2008 r. w sprawie nadania statutu Regionalnej Dyrekcji Ochrony Środowiska w Poznaniu (Dz. U. z 2023 r. poz. 2441). Z rzeczonego statutu wynika, że obszarem działalności RDOŚ w Poznaniu jest obszar województwa wielkopolskiego, będący</w:t>
      </w:r>
      <w:r w:rsidRPr="002354AF">
        <w:rPr>
          <w:rFonts w:ascii="Times New Roman" w:eastAsia="Times New Roman" w:hAnsi="Times New Roman"/>
          <w:bCs/>
          <w:iCs/>
          <w:sz w:val="24"/>
          <w:szCs w:val="24"/>
          <w:lang w:eastAsia="pl-PL"/>
        </w:rPr>
        <w:t xml:space="preserve"> miejscem realizacji całości omawianego przedsięwzięcia.</w:t>
      </w:r>
    </w:p>
    <w:p w14:paraId="2EDA2DA7"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lastRenderedPageBreak/>
        <w:t>Przeprowadzona przez GDOŚ weryfikacja przedłożonego z wnioskiem raportu o oddziaływaniu przedsięwzięcia na środowisko wraz z uzupełnieniami złożonymi na etapie postępowania pierwszoinstancyjnego, jak</w:t>
      </w:r>
      <w:r w:rsidRPr="002354AF">
        <w:rPr>
          <w:rFonts w:ascii="Times New Roman" w:eastAsia="Times New Roman" w:hAnsi="Times New Roman"/>
          <w:bCs/>
          <w:iCs/>
          <w:sz w:val="24"/>
          <w:szCs w:val="24"/>
          <w:lang w:eastAsia="pl-PL"/>
        </w:rPr>
        <w:t xml:space="preserve"> i drugoinstancyjnego wykazała, że nie spełnia on wymogów określonych w obowiązujących przepisach prawa w stopniu uniemożliwiającym określenie skali przedmiotowego przedsięwzięcia oraz przeprowadzenie oceny jego oddziaływania na środowisko. Analizowany rap</w:t>
      </w:r>
      <w:r w:rsidRPr="002354AF">
        <w:rPr>
          <w:rFonts w:ascii="Times New Roman" w:eastAsia="Times New Roman" w:hAnsi="Times New Roman"/>
          <w:bCs/>
          <w:iCs/>
          <w:sz w:val="24"/>
          <w:szCs w:val="24"/>
          <w:lang w:eastAsia="pl-PL"/>
        </w:rPr>
        <w:t>ort nie zawiera w szczególności informacji, o których mowa w art. 66 ust. 1 pkt 1, 4-9 oraz ust. 6 u.o.o.ś., we wskazanym w niniejszej decyzji zakresie, ponadto znajdują się w nim istotne z punktu widzenia środowiskowych uwarunkowań realizacji przedsięwzię</w:t>
      </w:r>
      <w:r w:rsidRPr="002354AF">
        <w:rPr>
          <w:rFonts w:ascii="Times New Roman" w:eastAsia="Times New Roman" w:hAnsi="Times New Roman"/>
          <w:bCs/>
          <w:iCs/>
          <w:sz w:val="24"/>
          <w:szCs w:val="24"/>
          <w:lang w:eastAsia="pl-PL"/>
        </w:rPr>
        <w:t>cia niejasności i rozbieżności.</w:t>
      </w:r>
    </w:p>
    <w:p w14:paraId="03162E46"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W trakcie postępowania odwoławczego, korzystając z uprawnień wynikających z treści art. 136 k.p.a. i mając na uwadze obowiązki wynikające z art. 7, art. 77 § 1 oraz art. 80 k.p.a., PGW Wody Polskie zostało trzykrotnie wezwane do uzupełnienia raportu. W odp</w:t>
      </w:r>
      <w:r w:rsidRPr="002354AF">
        <w:rPr>
          <w:rFonts w:ascii="Times New Roman" w:eastAsia="Times New Roman" w:hAnsi="Times New Roman"/>
          <w:bCs/>
          <w:iCs/>
          <w:sz w:val="24"/>
          <w:szCs w:val="24"/>
          <w:lang w:eastAsia="pl-PL"/>
        </w:rPr>
        <w:t xml:space="preserve">owiedzi na wezwanie </w:t>
      </w:r>
      <w:bookmarkStart w:id="29" w:name="_Hlk172006012"/>
      <w:r w:rsidRPr="002354AF">
        <w:rPr>
          <w:rFonts w:ascii="Times New Roman" w:eastAsia="Times New Roman" w:hAnsi="Times New Roman"/>
          <w:bCs/>
          <w:iCs/>
          <w:sz w:val="24"/>
          <w:szCs w:val="24"/>
          <w:lang w:eastAsia="pl-PL"/>
        </w:rPr>
        <w:t>GDOŚ z 5 stycznia 2022 r., znak: DOOŚ-WDŚ/ZOO.420.13.2020.maz.1</w:t>
      </w:r>
      <w:bookmarkEnd w:id="29"/>
      <w:r w:rsidRPr="002354AF">
        <w:rPr>
          <w:rFonts w:ascii="Times New Roman" w:eastAsia="Times New Roman" w:hAnsi="Times New Roman"/>
          <w:bCs/>
          <w:iCs/>
          <w:sz w:val="24"/>
          <w:szCs w:val="24"/>
          <w:lang w:eastAsia="pl-PL"/>
        </w:rPr>
        <w:t xml:space="preserve">, inwestor przedłożył uzupełnienie do raportu, jednakże nie zawierało ono wszystkich niezbędnych informacji, </w:t>
      </w:r>
      <w:bookmarkStart w:id="30" w:name="_Hlk180603481"/>
      <w:r w:rsidRPr="002354AF">
        <w:rPr>
          <w:rFonts w:ascii="Times New Roman" w:eastAsia="Times New Roman" w:hAnsi="Times New Roman"/>
          <w:bCs/>
          <w:iCs/>
          <w:sz w:val="24"/>
          <w:szCs w:val="24"/>
          <w:lang w:eastAsia="pl-PL"/>
        </w:rPr>
        <w:t xml:space="preserve">do których uzupełnienia wezwał organ – część z punktów wezwania </w:t>
      </w:r>
      <w:r w:rsidRPr="002354AF">
        <w:rPr>
          <w:rFonts w:ascii="Times New Roman" w:eastAsia="Times New Roman" w:hAnsi="Times New Roman"/>
          <w:bCs/>
          <w:iCs/>
          <w:sz w:val="24"/>
          <w:szCs w:val="24"/>
          <w:lang w:eastAsia="pl-PL"/>
        </w:rPr>
        <w:t xml:space="preserve">wnioskodawca pominął bez wyjaśnienia, a na inne nie udzielił wyczerpujących oraz niebudzących wątpliwości odpowiedzi. </w:t>
      </w:r>
      <w:bookmarkEnd w:id="30"/>
      <w:r w:rsidRPr="002354AF">
        <w:rPr>
          <w:rFonts w:ascii="Times New Roman" w:eastAsia="Times New Roman" w:hAnsi="Times New Roman"/>
          <w:bCs/>
          <w:iCs/>
          <w:sz w:val="24"/>
          <w:szCs w:val="24"/>
          <w:lang w:eastAsia="pl-PL"/>
        </w:rPr>
        <w:t>Mając powyższe na uwadze, GDOŚ pismem z 20 czerwca 2023 r., znak: DOOŚ-WDŚZOO.420.13.2020.maz.PCh.16, wezwał inwestora do złożenia wyjaśni</w:t>
      </w:r>
      <w:r w:rsidRPr="002354AF">
        <w:rPr>
          <w:rFonts w:ascii="Times New Roman" w:eastAsia="Times New Roman" w:hAnsi="Times New Roman"/>
          <w:bCs/>
          <w:iCs/>
          <w:sz w:val="24"/>
          <w:szCs w:val="24"/>
          <w:lang w:eastAsia="pl-PL"/>
        </w:rPr>
        <w:t xml:space="preserve">eń oraz uzupełnienia raportu, zgodnie z art. 66 u.o.o.ś., jednakże inwestor nie udzielił odpowiedzi. W związku z tym organ odwoławczy pismem z 9 listopada 2023 r., znak: DOOŚ-WDŚZOO.420.13.2020.maz.PCh.20, ponownie </w:t>
      </w:r>
      <w:bookmarkStart w:id="31" w:name="_Hlk171992927"/>
      <w:r w:rsidRPr="002354AF">
        <w:rPr>
          <w:rFonts w:ascii="Times New Roman" w:eastAsia="Times New Roman" w:hAnsi="Times New Roman"/>
          <w:bCs/>
          <w:iCs/>
          <w:sz w:val="24"/>
          <w:szCs w:val="24"/>
          <w:lang w:eastAsia="pl-PL"/>
        </w:rPr>
        <w:t xml:space="preserve">wezwał do złożenia </w:t>
      </w:r>
      <w:bookmarkStart w:id="32" w:name="_Hlk171992407"/>
      <w:r w:rsidRPr="002354AF">
        <w:rPr>
          <w:rFonts w:ascii="Times New Roman" w:eastAsia="Times New Roman" w:hAnsi="Times New Roman"/>
          <w:bCs/>
          <w:iCs/>
          <w:sz w:val="24"/>
          <w:szCs w:val="24"/>
          <w:lang w:eastAsia="pl-PL"/>
        </w:rPr>
        <w:t>wyjaśnień oraz uzupełn</w:t>
      </w:r>
      <w:r w:rsidRPr="002354AF">
        <w:rPr>
          <w:rFonts w:ascii="Times New Roman" w:eastAsia="Times New Roman" w:hAnsi="Times New Roman"/>
          <w:bCs/>
          <w:iCs/>
          <w:sz w:val="24"/>
          <w:szCs w:val="24"/>
          <w:lang w:eastAsia="pl-PL"/>
        </w:rPr>
        <w:t>ienia raportu</w:t>
      </w:r>
      <w:bookmarkEnd w:id="31"/>
      <w:bookmarkEnd w:id="32"/>
      <w:r w:rsidRPr="002354AF">
        <w:rPr>
          <w:rFonts w:ascii="Times New Roman" w:eastAsia="Times New Roman" w:hAnsi="Times New Roman"/>
          <w:bCs/>
          <w:iCs/>
          <w:sz w:val="24"/>
          <w:szCs w:val="24"/>
          <w:lang w:eastAsia="pl-PL"/>
        </w:rPr>
        <w:t xml:space="preserve"> pod rygorem rozpatrzenia sprawy w oparciu o dotychczas zgromadzony materiał dowodowy. PGW Wody Polskie, co należy w tym miejscu podkreślić, </w:t>
      </w:r>
      <w:bookmarkStart w:id="33" w:name="_Hlk180603168"/>
      <w:r w:rsidRPr="002354AF">
        <w:rPr>
          <w:rFonts w:ascii="Times New Roman" w:eastAsia="Times New Roman" w:hAnsi="Times New Roman"/>
          <w:bCs/>
          <w:iCs/>
          <w:sz w:val="24"/>
          <w:szCs w:val="24"/>
          <w:lang w:eastAsia="pl-PL"/>
        </w:rPr>
        <w:t xml:space="preserve">w piśmie </w:t>
      </w:r>
      <w:bookmarkStart w:id="34" w:name="_Hlk180502754"/>
      <w:r w:rsidRPr="002354AF">
        <w:rPr>
          <w:rFonts w:ascii="Times New Roman" w:eastAsia="Times New Roman" w:hAnsi="Times New Roman"/>
          <w:bCs/>
          <w:iCs/>
          <w:sz w:val="24"/>
          <w:szCs w:val="24"/>
          <w:lang w:eastAsia="pl-PL"/>
        </w:rPr>
        <w:t>z 1 grudnia 2023 r.</w:t>
      </w:r>
      <w:bookmarkEnd w:id="34"/>
      <w:r w:rsidRPr="002354AF">
        <w:rPr>
          <w:rFonts w:ascii="Times New Roman" w:eastAsia="Times New Roman" w:hAnsi="Times New Roman"/>
          <w:bCs/>
          <w:iCs/>
          <w:sz w:val="24"/>
          <w:szCs w:val="24"/>
          <w:lang w:eastAsia="pl-PL"/>
        </w:rPr>
        <w:t>, znak: 532/P/41/22/2023/JR, poinformowało, że nie będzie składać nowych m</w:t>
      </w:r>
      <w:r w:rsidRPr="002354AF">
        <w:rPr>
          <w:rFonts w:ascii="Times New Roman" w:eastAsia="Times New Roman" w:hAnsi="Times New Roman"/>
          <w:bCs/>
          <w:iCs/>
          <w:sz w:val="24"/>
          <w:szCs w:val="24"/>
          <w:lang w:eastAsia="pl-PL"/>
        </w:rPr>
        <w:t xml:space="preserve">ateriałów, wyjaśnień ani uzupełnień w przedmiotowej sprawie, twierdząc, że </w:t>
      </w:r>
      <w:r w:rsidRPr="002354AF">
        <w:rPr>
          <w:rFonts w:ascii="Times New Roman" w:eastAsia="Times New Roman" w:hAnsi="Times New Roman"/>
          <w:bCs/>
          <w:i/>
          <w:sz w:val="24"/>
          <w:szCs w:val="24"/>
          <w:lang w:eastAsia="pl-PL"/>
        </w:rPr>
        <w:t>dla rozpatrzenia sprawy dla dobra ogółu wystarczający jest materiał dowodowy zgromadzony dotychczas w przedmiotowej sprawie</w:t>
      </w:r>
      <w:bookmarkEnd w:id="33"/>
      <w:r w:rsidRPr="002354AF">
        <w:rPr>
          <w:rFonts w:ascii="Times New Roman" w:eastAsia="Times New Roman" w:hAnsi="Times New Roman"/>
          <w:bCs/>
          <w:iCs/>
          <w:sz w:val="24"/>
          <w:szCs w:val="24"/>
          <w:lang w:eastAsia="pl-PL"/>
        </w:rPr>
        <w:t xml:space="preserve">. </w:t>
      </w:r>
    </w:p>
    <w:p w14:paraId="04F9D54D"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Inwestor trzykrotnie wnosił o przedłużenie terminu na u</w:t>
      </w:r>
      <w:r w:rsidRPr="002354AF">
        <w:rPr>
          <w:rFonts w:ascii="Times New Roman" w:eastAsia="Times New Roman" w:hAnsi="Times New Roman"/>
          <w:bCs/>
          <w:iCs/>
          <w:sz w:val="24"/>
          <w:szCs w:val="24"/>
          <w:lang w:eastAsia="pl-PL"/>
        </w:rPr>
        <w:t>dzielenie wyjaśnień oraz uzupełnienie raportu przy pismach – z 19 lipca 2022 r., 13 grudnia 2022 r. oraz 17 sierpnia 2023 r. GDOŚ</w:t>
      </w:r>
      <w:r>
        <w:rPr>
          <w:rFonts w:ascii="Times New Roman" w:eastAsia="Times New Roman" w:hAnsi="Times New Roman"/>
          <w:bCs/>
          <w:iCs/>
          <w:sz w:val="24"/>
          <w:szCs w:val="24"/>
          <w:lang w:eastAsia="pl-PL"/>
        </w:rPr>
        <w:t>,</w:t>
      </w:r>
      <w:r w:rsidRPr="002354AF">
        <w:rPr>
          <w:rFonts w:ascii="Times New Roman" w:eastAsia="Times New Roman" w:hAnsi="Times New Roman"/>
          <w:bCs/>
          <w:iCs/>
          <w:sz w:val="24"/>
          <w:szCs w:val="24"/>
          <w:lang w:eastAsia="pl-PL"/>
        </w:rPr>
        <w:t xml:space="preserve"> kierując się zasadą pogłębiania zaufania do administracji, przychylał się do jego prośby z uwagi na obszerność kwestii porusz</w:t>
      </w:r>
      <w:r w:rsidRPr="002354AF">
        <w:rPr>
          <w:rFonts w:ascii="Times New Roman" w:eastAsia="Times New Roman" w:hAnsi="Times New Roman"/>
          <w:bCs/>
          <w:iCs/>
          <w:sz w:val="24"/>
          <w:szCs w:val="24"/>
          <w:lang w:eastAsia="pl-PL"/>
        </w:rPr>
        <w:t xml:space="preserve">onych w wezwaniach i zakresu wymagającego uzupełnienia. Natomiast inwestor finalnie pominął bez wyjaśnienia zagadnienia wskazane przez organ jako budzące wątpliwość lub konieczne do uzupełnienia, tym samym odmówił uzupełnienia raportu w zakresie wskazanym </w:t>
      </w:r>
      <w:r w:rsidRPr="002354AF">
        <w:rPr>
          <w:rFonts w:ascii="Times New Roman" w:eastAsia="Times New Roman" w:hAnsi="Times New Roman"/>
          <w:bCs/>
          <w:iCs/>
          <w:sz w:val="24"/>
          <w:szCs w:val="24"/>
          <w:lang w:eastAsia="pl-PL"/>
        </w:rPr>
        <w:t xml:space="preserve">przez organ odwoławczy. </w:t>
      </w:r>
    </w:p>
    <w:p w14:paraId="7F78A258"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Zatem mając na uwadze, że decyzja o środowiskowych uwarunkowaniach znajduje swoje oparcie m.in. na ustaleniach raportu o oddziaływaniu przedsięwzięcia na środowisko, w sytuacji gdy raport nie jest kompletny, nie może stanowić podst</w:t>
      </w:r>
      <w:r w:rsidRPr="002354AF">
        <w:rPr>
          <w:rFonts w:ascii="Times New Roman" w:eastAsia="Times New Roman" w:hAnsi="Times New Roman"/>
          <w:bCs/>
          <w:iCs/>
          <w:sz w:val="24"/>
          <w:szCs w:val="24"/>
          <w:lang w:eastAsia="pl-PL"/>
        </w:rPr>
        <w:t xml:space="preserve">awy do wydania prawidłowej decyzji w przedmiocie środowiskowych uwarunkowań realizacji przedsięwzięcia  (por. wyrok WSA we Wrocławiu z 29 czerwca 2010 r., sygn. akt: II SA/Wr 220/10).   </w:t>
      </w:r>
    </w:p>
    <w:p w14:paraId="51F903B8"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lastRenderedPageBreak/>
        <w:t>W ocenie GDOŚ organ pierwszej instancji naruszył art. 66 ust. 1 pkt 5</w:t>
      </w:r>
      <w:r w:rsidRPr="002354AF">
        <w:rPr>
          <w:rFonts w:ascii="Times New Roman" w:eastAsia="Times New Roman" w:hAnsi="Times New Roman"/>
          <w:sz w:val="24"/>
          <w:szCs w:val="24"/>
          <w:lang w:eastAsia="pl-PL"/>
        </w:rPr>
        <w:t>, 6 u.o.o.ś., poprzez zaakceptowanie wadliwie przeprowadzonej analizy wariantowej przedmiotowego przedsięwzięcia. Zgodnie z art. 66 ust. 1 pkt 5 u.o.o.ś. (w brzmieniu obowiązującym w Dz. U. z 2016 r. poz. 353) raport powinien zawierać opis analizowanych wa</w:t>
      </w:r>
      <w:r w:rsidRPr="002354AF">
        <w:rPr>
          <w:rFonts w:ascii="Times New Roman" w:eastAsia="Times New Roman" w:hAnsi="Times New Roman"/>
          <w:sz w:val="24"/>
          <w:szCs w:val="24"/>
          <w:lang w:eastAsia="pl-PL"/>
        </w:rPr>
        <w:t>riantów przedsięwzięcia, w tym wariantu proponowanego przez wnioskodawcę oraz racjonalnego wariantu alternatywnego (lit. a), wariantu najkorzystniejszego dla środowiska (lit. b), wraz z uzasadnieniem ich wyboru. W myśl pkt 6 powyższego przepisu raport powi</w:t>
      </w:r>
      <w:r w:rsidRPr="002354AF">
        <w:rPr>
          <w:rFonts w:ascii="Times New Roman" w:eastAsia="Times New Roman" w:hAnsi="Times New Roman"/>
          <w:sz w:val="24"/>
          <w:szCs w:val="24"/>
          <w:lang w:eastAsia="pl-PL"/>
        </w:rPr>
        <w:t>nien zawierać również określenie przewidywanego oddziaływania na środowisko analizowanych wariantów. Z kolei z pkt 7 przywołanego przepisu wynika obowiązek uzasadnienia proponowanego przez wnioskodawcę wariantu, ze wskazaniem jego oddziaływania na środowis</w:t>
      </w:r>
      <w:r w:rsidRPr="002354AF">
        <w:rPr>
          <w:rFonts w:ascii="Times New Roman" w:eastAsia="Times New Roman" w:hAnsi="Times New Roman"/>
          <w:sz w:val="24"/>
          <w:szCs w:val="24"/>
          <w:lang w:eastAsia="pl-PL"/>
        </w:rPr>
        <w:t>ko. W analizowanym raporcie powyższych informacji zabrakło.</w:t>
      </w:r>
    </w:p>
    <w:p w14:paraId="59107AD7"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W przedłożonej dokumentacji wskazano, że analizę wariantową planowanego przedsięwzięcia oparto na dwuetapowych opracowaniach dotyczących modelowania hydraulicznego przepływu fali powodziowej wzdłu</w:t>
      </w:r>
      <w:r w:rsidRPr="002354AF">
        <w:rPr>
          <w:rFonts w:ascii="Times New Roman" w:eastAsia="Times New Roman" w:hAnsi="Times New Roman"/>
          <w:sz w:val="24"/>
          <w:szCs w:val="24"/>
          <w:lang w:eastAsia="pl-PL"/>
        </w:rPr>
        <w:t>ż biegu doliny rzeki Warty na odcinku od Konina do Sługocina ze szczególnym uwzględnieniem wpływu na Polder Golina. Jak wyjaśniono, celem modelowań pierwszego etapu była ocena istniejących rozwiązań konstrukcyjnych polderu na przebieg fali powodziowej w an</w:t>
      </w:r>
      <w:r w:rsidRPr="002354AF">
        <w:rPr>
          <w:rFonts w:ascii="Times New Roman" w:eastAsia="Times New Roman" w:hAnsi="Times New Roman"/>
          <w:sz w:val="24"/>
          <w:szCs w:val="24"/>
          <w:lang w:eastAsia="pl-PL"/>
        </w:rPr>
        <w:t>alizowanym odcinku doliny Warty. Natomiast na drugim etapie przeanalizowano poszczególne scenariusze sterowania napełnianiem i opróżnianiem polderu, w celu wytypowania najkorzystniejszych rozwiązań technicznych optymalizujących jego pracę. Celem analiz klu</w:t>
      </w:r>
      <w:r w:rsidRPr="002354AF">
        <w:rPr>
          <w:rFonts w:ascii="Times New Roman" w:eastAsia="Times New Roman" w:hAnsi="Times New Roman"/>
          <w:sz w:val="24"/>
          <w:szCs w:val="24"/>
          <w:lang w:eastAsia="pl-PL"/>
        </w:rPr>
        <w:t>czowego – drugiego etapu – była największa redukcja maksymalnego natężenia przepływu w przekroju kontrolnym zlokalizowanym w km 382+650 Warty, tj. poniżej autostrady A2. Wynikiem tych opracowań są następujące warianty zalania polderu:</w:t>
      </w:r>
    </w:p>
    <w:p w14:paraId="68457181" w14:textId="77777777" w:rsidR="00B5204E" w:rsidRPr="002354AF" w:rsidRDefault="000060D6" w:rsidP="00336A51">
      <w:pPr>
        <w:pStyle w:val="Akapitzlist"/>
        <w:numPr>
          <w:ilvl w:val="0"/>
          <w:numId w:val="10"/>
        </w:numPr>
        <w:spacing w:after="0" w:line="312" w:lineRule="auto"/>
        <w:ind w:left="357" w:hanging="357"/>
        <w:jc w:val="both"/>
        <w:rPr>
          <w:rFonts w:ascii="Times New Roman" w:eastAsia="Times New Roman" w:hAnsi="Times New Roman"/>
          <w:sz w:val="24"/>
          <w:szCs w:val="24"/>
          <w:lang w:eastAsia="pl-PL"/>
        </w:rPr>
      </w:pPr>
      <w:bookmarkStart w:id="35" w:name="_Hlk171987285"/>
      <w:r w:rsidRPr="002354AF">
        <w:rPr>
          <w:rFonts w:ascii="Times New Roman" w:eastAsia="Times New Roman" w:hAnsi="Times New Roman"/>
          <w:sz w:val="24"/>
          <w:szCs w:val="24"/>
          <w:lang w:eastAsia="pl-PL"/>
        </w:rPr>
        <w:t>wariant 2.0 – brak mo</w:t>
      </w:r>
      <w:r w:rsidRPr="002354AF">
        <w:rPr>
          <w:rFonts w:ascii="Times New Roman" w:eastAsia="Times New Roman" w:hAnsi="Times New Roman"/>
          <w:sz w:val="24"/>
          <w:szCs w:val="24"/>
          <w:lang w:eastAsia="pl-PL"/>
        </w:rPr>
        <w:t>żliwości zalewania polderu</w:t>
      </w:r>
      <w:bookmarkEnd w:id="35"/>
      <w:r w:rsidRPr="002354AF">
        <w:rPr>
          <w:rFonts w:ascii="Times New Roman" w:eastAsia="Times New Roman" w:hAnsi="Times New Roman"/>
          <w:sz w:val="24"/>
          <w:szCs w:val="24"/>
          <w:lang w:eastAsia="pl-PL"/>
        </w:rPr>
        <w:t>;</w:t>
      </w:r>
    </w:p>
    <w:p w14:paraId="4B20552D" w14:textId="77777777" w:rsidR="00B5204E" w:rsidRPr="002354AF" w:rsidRDefault="000060D6" w:rsidP="00336A51">
      <w:pPr>
        <w:pStyle w:val="Akapitzlist"/>
        <w:numPr>
          <w:ilvl w:val="0"/>
          <w:numId w:val="10"/>
        </w:numPr>
        <w:spacing w:after="0" w:line="312" w:lineRule="auto"/>
        <w:ind w:left="357" w:hanging="357"/>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wariant 2.A – zalewanie polderu przez jaz górny (w miejscu przelewu górnego w Kraśnicy);</w:t>
      </w:r>
    </w:p>
    <w:p w14:paraId="32708E18" w14:textId="77777777" w:rsidR="00B5204E" w:rsidRPr="002354AF" w:rsidRDefault="000060D6" w:rsidP="00336A51">
      <w:pPr>
        <w:pStyle w:val="Akapitzlist"/>
        <w:numPr>
          <w:ilvl w:val="0"/>
          <w:numId w:val="10"/>
        </w:numPr>
        <w:spacing w:after="0" w:line="312" w:lineRule="auto"/>
        <w:ind w:left="357" w:hanging="357"/>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wariant 2.B – zalewanie polderu przez jaz dolny (w miejscu przelewu dolnego w Osieczy);</w:t>
      </w:r>
    </w:p>
    <w:p w14:paraId="2307F408" w14:textId="77777777" w:rsidR="00B5204E" w:rsidRPr="002354AF" w:rsidRDefault="000060D6" w:rsidP="00336A51">
      <w:pPr>
        <w:pStyle w:val="Akapitzlist"/>
        <w:numPr>
          <w:ilvl w:val="0"/>
          <w:numId w:val="10"/>
        </w:numPr>
        <w:spacing w:after="0" w:line="312" w:lineRule="auto"/>
        <w:ind w:left="357" w:hanging="357"/>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wariant 2.C – zalewanie polderu przez jaz górny i d</w:t>
      </w:r>
      <w:r w:rsidRPr="002354AF">
        <w:rPr>
          <w:rFonts w:ascii="Times New Roman" w:eastAsia="Times New Roman" w:hAnsi="Times New Roman"/>
          <w:sz w:val="24"/>
          <w:szCs w:val="24"/>
          <w:lang w:eastAsia="pl-PL"/>
        </w:rPr>
        <w:t>olny.</w:t>
      </w:r>
    </w:p>
    <w:p w14:paraId="03298B0F"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Analiza hydrogramów wykazała, że napełnianie Polderu Golina w wariancie 2.C daje najlepsze spośród rozpatrywanych wariantów rezultaty w redukcji kulminacji wezbrania na rzece Warcie, przy jednoczesnym efektywnym wykorzystaniu jego pojemności retencyj</w:t>
      </w:r>
      <w:r w:rsidRPr="002354AF">
        <w:rPr>
          <w:rFonts w:ascii="Times New Roman" w:eastAsia="Times New Roman" w:hAnsi="Times New Roman"/>
          <w:sz w:val="24"/>
          <w:szCs w:val="24"/>
          <w:lang w:eastAsia="pl-PL"/>
        </w:rPr>
        <w:t>nej. Natomiast jak wskazano w dokumentacji, z powodu skomplikowanego sposobu sterowania jazem w miejscu przelewu dolnego, rozwiązanie to mogłoby być trudne do zastosowania w praktyce. Ponadto stwierdzono, że dla innej lokalizacji jazu wylotowego możliwe by</w:t>
      </w:r>
      <w:r w:rsidRPr="002354AF">
        <w:rPr>
          <w:rFonts w:ascii="Times New Roman" w:eastAsia="Times New Roman" w:hAnsi="Times New Roman"/>
          <w:sz w:val="24"/>
          <w:szCs w:val="24"/>
          <w:lang w:eastAsia="pl-PL"/>
        </w:rPr>
        <w:t>łoby wcześniejsze rozpoczęcie zrzutu wody z polderu do Warty. W konsekwencji powyższego wykonano dalsze analizy wariantowe uwzględniające budowę nowego jazu wylotowego w miejscu rozkopu wału przeciwpowodziowego oraz większe parametry jazu wlotowego, rezygn</w:t>
      </w:r>
      <w:r w:rsidRPr="002354AF">
        <w:rPr>
          <w:rFonts w:ascii="Times New Roman" w:eastAsia="Times New Roman" w:hAnsi="Times New Roman"/>
          <w:sz w:val="24"/>
          <w:szCs w:val="24"/>
          <w:lang w:eastAsia="pl-PL"/>
        </w:rPr>
        <w:t>ując z jazu w miejscu przelewu wałowego dolnego. W toku analiz wariantowych przyjęto następujące wielkości jazu wlotowego w miejscowości Kraśnica:</w:t>
      </w:r>
    </w:p>
    <w:p w14:paraId="6BC8821B" w14:textId="77777777" w:rsidR="00B5204E" w:rsidRPr="002354AF" w:rsidRDefault="000060D6" w:rsidP="00336A51">
      <w:pPr>
        <w:numPr>
          <w:ilvl w:val="0"/>
          <w:numId w:val="11"/>
        </w:numPr>
        <w:spacing w:after="0" w:line="312" w:lineRule="auto"/>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wariant 2.1 – 4 x 5 m;</w:t>
      </w:r>
    </w:p>
    <w:p w14:paraId="063446D7" w14:textId="77777777" w:rsidR="00B5204E" w:rsidRPr="002354AF" w:rsidRDefault="000060D6" w:rsidP="00336A51">
      <w:pPr>
        <w:numPr>
          <w:ilvl w:val="0"/>
          <w:numId w:val="11"/>
        </w:numPr>
        <w:spacing w:after="0" w:line="312" w:lineRule="auto"/>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lastRenderedPageBreak/>
        <w:t>wariant 2.2 – 8 x 5 m;</w:t>
      </w:r>
    </w:p>
    <w:p w14:paraId="1E8E686B" w14:textId="77777777" w:rsidR="00B5204E" w:rsidRPr="002354AF" w:rsidRDefault="000060D6" w:rsidP="00336A51">
      <w:pPr>
        <w:numPr>
          <w:ilvl w:val="0"/>
          <w:numId w:val="11"/>
        </w:numPr>
        <w:spacing w:after="0" w:line="312" w:lineRule="auto"/>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wariant 2.3 – 6 x 5 m.</w:t>
      </w:r>
    </w:p>
    <w:p w14:paraId="5848A131"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Na podstawie uzyskanych wyników stwierdz</w:t>
      </w:r>
      <w:r w:rsidRPr="002354AF">
        <w:rPr>
          <w:rFonts w:ascii="Times New Roman" w:eastAsia="Times New Roman" w:hAnsi="Times New Roman"/>
          <w:sz w:val="24"/>
          <w:szCs w:val="24"/>
          <w:lang w:eastAsia="pl-PL"/>
        </w:rPr>
        <w:t>ono, że zwiększenie ilości przęseł jazu wlotowego w Kraśnicy miało istotny wpływ na maksymalny wydatek całkowity jazu podczas zalewania polderu oraz wielkość jego napełniania. Powyższe miało również przełożenie na redukcję maksymalnych wartości natężenia p</w:t>
      </w:r>
      <w:r w:rsidRPr="002354AF">
        <w:rPr>
          <w:rFonts w:ascii="Times New Roman" w:eastAsia="Times New Roman" w:hAnsi="Times New Roman"/>
          <w:sz w:val="24"/>
          <w:szCs w:val="24"/>
          <w:lang w:eastAsia="pl-PL"/>
        </w:rPr>
        <w:t>rzepływu na Warcie. Realizacja przedsięwzięcia w opisanym wariancie wiązałaby się jednak z budową dużego, ośmioprzęsłowego jazu oraz napełnianiem Polderu Golina do rzędnej maksymalnej, która wyniosłaby 81,63 m n.p.m. i wymagała znacznie wyższych obwałowań.</w:t>
      </w:r>
      <w:r w:rsidRPr="002354AF">
        <w:rPr>
          <w:rFonts w:ascii="Times New Roman" w:eastAsia="Times New Roman" w:hAnsi="Times New Roman"/>
          <w:sz w:val="24"/>
          <w:szCs w:val="24"/>
          <w:lang w:eastAsia="pl-PL"/>
        </w:rPr>
        <w:t xml:space="preserve"> W konsekwencji powyższego zaproponowano dodatkową lokalizację jazu wlotowego w Ruminie, który w swoich założeniach pozwalałby na zmniejszenie ilości przęseł na jazie w Kraśnicy, przy podobnym natężeniu przepływu i umożliwiałby uzyskanie wielkości redukcji</w:t>
      </w:r>
      <w:r w:rsidRPr="002354AF">
        <w:rPr>
          <w:rFonts w:ascii="Times New Roman" w:eastAsia="Times New Roman" w:hAnsi="Times New Roman"/>
          <w:sz w:val="24"/>
          <w:szCs w:val="24"/>
          <w:lang w:eastAsia="pl-PL"/>
        </w:rPr>
        <w:t xml:space="preserve"> szczytu fali powodziowej na Warcie podobnej do tej, którą otrzymano w wariancie 2.2. Opisane wyżej założenia zdefiniowano i zweryfikowano, przeprowadzając obliczenia modelowe w ramach wariantu 2.3+. W toku analiz stwierdzono, że największą redukcję maksym</w:t>
      </w:r>
      <w:r w:rsidRPr="002354AF">
        <w:rPr>
          <w:rFonts w:ascii="Times New Roman" w:eastAsia="Times New Roman" w:hAnsi="Times New Roman"/>
          <w:sz w:val="24"/>
          <w:szCs w:val="24"/>
          <w:lang w:eastAsia="pl-PL"/>
        </w:rPr>
        <w:t>alnego natężenia przepływu na Warcie poniżej Polderu Golina uzyskano dla wariantów 2.C, 2.2, 2.3+, przy czym redukcja maksymalnego natężenia przepływu na Warcie w przypadku wariantu 2.C związana była z bardzo precyzyjnym sterowaniem jazami – w szczególnośc</w:t>
      </w:r>
      <w:r w:rsidRPr="002354AF">
        <w:rPr>
          <w:rFonts w:ascii="Times New Roman" w:eastAsia="Times New Roman" w:hAnsi="Times New Roman"/>
          <w:sz w:val="24"/>
          <w:szCs w:val="24"/>
          <w:lang w:eastAsia="pl-PL"/>
        </w:rPr>
        <w:t xml:space="preserve">i jazem dolnym, zaś redukcja maksymalnego natężenia przepływu w Warcie w przypadku wariantu 2.2 </w:t>
      </w:r>
      <w:bookmarkStart w:id="36" w:name="_Hlk171995244"/>
      <w:r w:rsidRPr="002354AF">
        <w:rPr>
          <w:rFonts w:ascii="Times New Roman" w:eastAsia="Times New Roman" w:hAnsi="Times New Roman"/>
          <w:sz w:val="24"/>
          <w:szCs w:val="24"/>
          <w:lang w:eastAsia="pl-PL"/>
        </w:rPr>
        <w:t>wiązałaby się z napełnianiem polderu do rzędnej 81,63 m n.p.m.</w:t>
      </w:r>
      <w:bookmarkEnd w:id="36"/>
      <w:r w:rsidRPr="002354AF">
        <w:rPr>
          <w:rFonts w:ascii="Times New Roman" w:eastAsia="Times New Roman" w:hAnsi="Times New Roman"/>
          <w:sz w:val="24"/>
          <w:szCs w:val="24"/>
          <w:lang w:eastAsia="pl-PL"/>
        </w:rPr>
        <w:t>, co z kolei implikowałaby konieczność znacznego podniesienia wałów przeciwpowodziowych. Natomiast</w:t>
      </w:r>
      <w:r w:rsidRPr="002354AF">
        <w:rPr>
          <w:rFonts w:ascii="Times New Roman" w:eastAsia="Times New Roman" w:hAnsi="Times New Roman"/>
          <w:sz w:val="24"/>
          <w:szCs w:val="24"/>
          <w:lang w:eastAsia="pl-PL"/>
        </w:rPr>
        <w:t xml:space="preserve"> w przypadku wariantu 2.3+ redukcja przepływu p=1% na Warcie związana byłaby z napełnieniem Polderu Golina do rzędnej niższej niż w wariancie 2.2 oraz nie wymagałaby zamykania jazów podczas jego napełniania. Spośród powyższych wariantów modelowania, jako w</w:t>
      </w:r>
      <w:r w:rsidRPr="002354AF">
        <w:rPr>
          <w:rFonts w:ascii="Times New Roman" w:eastAsia="Times New Roman" w:hAnsi="Times New Roman"/>
          <w:sz w:val="24"/>
          <w:szCs w:val="24"/>
          <w:lang w:eastAsia="pl-PL"/>
        </w:rPr>
        <w:t>ariant proponowany do realizacji, osiągający najlepsze warunki redukcji fali powodziowej w dolinie rzeki Warty oraz najbezpieczniejsze warunki pracy urządzeń Polderu Golina i minimalizacji oddziaływania na obszar Natura 2000, wybrano wariant 2.3+.</w:t>
      </w:r>
    </w:p>
    <w:p w14:paraId="755CCA36"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GDOŚ wez</w:t>
      </w:r>
      <w:r w:rsidRPr="002354AF">
        <w:rPr>
          <w:rFonts w:ascii="Times New Roman" w:eastAsia="Times New Roman" w:hAnsi="Times New Roman"/>
          <w:sz w:val="24"/>
          <w:szCs w:val="24"/>
          <w:lang w:eastAsia="pl-PL"/>
        </w:rPr>
        <w:t xml:space="preserve">wał wnioskodawcę pismem </w:t>
      </w:r>
      <w:bookmarkStart w:id="37" w:name="_Hlk172011413"/>
      <w:r w:rsidRPr="002354AF">
        <w:rPr>
          <w:rFonts w:ascii="Times New Roman" w:eastAsia="Times New Roman" w:hAnsi="Times New Roman"/>
          <w:sz w:val="24"/>
          <w:szCs w:val="24"/>
          <w:lang w:eastAsia="pl-PL"/>
        </w:rPr>
        <w:t xml:space="preserve">z 20 czerwca 2023 r., znak: </w:t>
      </w:r>
      <w:bookmarkStart w:id="38" w:name="_Hlk171991172"/>
      <w:r w:rsidRPr="002354AF">
        <w:rPr>
          <w:rFonts w:ascii="Times New Roman" w:eastAsia="Times New Roman" w:hAnsi="Times New Roman"/>
          <w:sz w:val="24"/>
          <w:szCs w:val="24"/>
          <w:lang w:eastAsia="pl-PL"/>
        </w:rPr>
        <w:t>DOOŚ-WDŚZOO.420.13.2020.maz.PCh.16</w:t>
      </w:r>
      <w:bookmarkEnd w:id="38"/>
      <w:r w:rsidRPr="002354AF">
        <w:rPr>
          <w:rFonts w:ascii="Times New Roman" w:eastAsia="Times New Roman" w:hAnsi="Times New Roman"/>
          <w:sz w:val="24"/>
          <w:szCs w:val="24"/>
          <w:lang w:eastAsia="pl-PL"/>
        </w:rPr>
        <w:t>, a następnie ponownie, ze względu na brak odpowiedzi inwestora,  pismem z 9 listopada 2023 r., znak: DOOŚ-WDŚZOO.420.13.2020.maz.PCh.20, do uzupełnienia raportu</w:t>
      </w:r>
      <w:bookmarkEnd w:id="37"/>
      <w:r w:rsidRPr="002354AF">
        <w:rPr>
          <w:rFonts w:ascii="Times New Roman" w:eastAsia="Times New Roman" w:hAnsi="Times New Roman"/>
          <w:sz w:val="24"/>
          <w:szCs w:val="24"/>
          <w:lang w:eastAsia="pl-PL"/>
        </w:rPr>
        <w:t xml:space="preserve"> zgodnie </w:t>
      </w:r>
      <w:r w:rsidRPr="002354AF">
        <w:rPr>
          <w:rFonts w:ascii="Times New Roman" w:eastAsia="Times New Roman" w:hAnsi="Times New Roman"/>
          <w:sz w:val="24"/>
          <w:szCs w:val="24"/>
          <w:lang w:eastAsia="pl-PL"/>
        </w:rPr>
        <w:t>z art. 66 ust. 1 pkt 5 i 6 u.o.o.ś., wyjaśniając dokładnie, że w przedłożonej dokumentacji wskazano wariant proponowany przez wnioskodawcę oraz racjonalne warianty alternatywne, przy czym opisano i przeanalizowano oddziaływanie na środowisko tylko wariantu</w:t>
      </w:r>
      <w:r w:rsidRPr="002354AF">
        <w:rPr>
          <w:rFonts w:ascii="Times New Roman" w:eastAsia="Times New Roman" w:hAnsi="Times New Roman"/>
          <w:sz w:val="24"/>
          <w:szCs w:val="24"/>
          <w:lang w:eastAsia="pl-PL"/>
        </w:rPr>
        <w:t xml:space="preserve"> proponowanego przez wnioskodawcę do realizacji. Natomiast opis wariantów alternatywnych sprowadzono do opisu technologicznego, modelowań przebiegu fali powodziowej dla wybranych wariantów oraz oceny poszczególnych rozwiązań technicznych, bez kompleksowego</w:t>
      </w:r>
      <w:r w:rsidRPr="002354AF">
        <w:rPr>
          <w:rFonts w:ascii="Times New Roman" w:eastAsia="Times New Roman" w:hAnsi="Times New Roman"/>
          <w:sz w:val="24"/>
          <w:szCs w:val="24"/>
          <w:lang w:eastAsia="pl-PL"/>
        </w:rPr>
        <w:t xml:space="preserve"> przeanalizowania ich wpływu na środowisko zgodnie z wymogami u.o.o.ś. Ponadto organ odwoławczy wskazał, iż nie uzasadniono rzetelnie, na jakiej podstawie uznano, że wariant proponowany przez wnioskodawcę jest wariantem najkorzystniejszym dla </w:t>
      </w:r>
      <w:r w:rsidRPr="002354AF">
        <w:rPr>
          <w:rFonts w:ascii="Times New Roman" w:eastAsia="Times New Roman" w:hAnsi="Times New Roman"/>
          <w:sz w:val="24"/>
          <w:szCs w:val="24"/>
          <w:lang w:eastAsia="pl-PL"/>
        </w:rPr>
        <w:lastRenderedPageBreak/>
        <w:t>środowiska. W</w:t>
      </w:r>
      <w:r w:rsidRPr="002354AF">
        <w:rPr>
          <w:rFonts w:ascii="Times New Roman" w:eastAsia="Times New Roman" w:hAnsi="Times New Roman"/>
          <w:sz w:val="24"/>
          <w:szCs w:val="24"/>
          <w:lang w:eastAsia="pl-PL"/>
        </w:rPr>
        <w:t xml:space="preserve"> szczególności w uzasadnieniu nie odniesiono się wyczerpująco do informacji, o których mowa w art. 66 ust. 1 pkt 6 i 7 u.o.o.ś. </w:t>
      </w:r>
    </w:p>
    <w:p w14:paraId="03C66BA9"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bookmarkStart w:id="39" w:name="_Hlk172012118"/>
      <w:r w:rsidRPr="002354AF">
        <w:rPr>
          <w:rFonts w:ascii="Times New Roman" w:eastAsia="Times New Roman" w:hAnsi="Times New Roman"/>
          <w:sz w:val="24"/>
          <w:szCs w:val="24"/>
          <w:lang w:eastAsia="pl-PL"/>
        </w:rPr>
        <w:t>Pismem z 1 grudnia 2023 r., znak: 532/P/41/22/2023/JR, wnioskodawca poinformował, że nie będzie składał wyjaśnień ani uzupełnie</w:t>
      </w:r>
      <w:r w:rsidRPr="002354AF">
        <w:rPr>
          <w:rFonts w:ascii="Times New Roman" w:eastAsia="Times New Roman" w:hAnsi="Times New Roman"/>
          <w:sz w:val="24"/>
          <w:szCs w:val="24"/>
          <w:lang w:eastAsia="pl-PL"/>
        </w:rPr>
        <w:t>ń w przedmiotowej sprawie.</w:t>
      </w:r>
    </w:p>
    <w:bookmarkEnd w:id="39"/>
    <w:p w14:paraId="6E1CF78D"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Wyraźnego podkreślenia wymaga, iż nie można uznać, aby analizy opisane powyżej, które według wnioskodawcy są analizą wariantową, stanowiące w istocie tło wyłaniania zakresu przedsięwzięcia, spełniały dyspozycje art. 66 ust. 1 pkt</w:t>
      </w:r>
      <w:r w:rsidRPr="002354AF">
        <w:rPr>
          <w:rFonts w:ascii="Times New Roman" w:eastAsia="Times New Roman" w:hAnsi="Times New Roman"/>
          <w:sz w:val="24"/>
          <w:szCs w:val="24"/>
          <w:lang w:eastAsia="pl-PL"/>
        </w:rPr>
        <w:t xml:space="preserve"> 5 i 6 u.o.o.ś. Pod kątem oceny oddziaływania przedsięwzięcia na środowisko przedstawienie procesu wyboru wariantu jest bez znaczenia w sytuacji, gdy wpływ poszczególnych koncepcji przedsięwzięcia na środowisko nie został określony i oceniony w raporcie.</w:t>
      </w:r>
      <w:r w:rsidRPr="002354AF">
        <w:rPr>
          <w:rFonts w:ascii="Open Sans" w:hAnsi="Open Sans" w:cs="Open Sans"/>
          <w:shd w:val="clear" w:color="auto" w:fill="FFFFFF"/>
        </w:rPr>
        <w:t xml:space="preserve"> </w:t>
      </w:r>
      <w:r w:rsidRPr="002354AF">
        <w:rPr>
          <w:rFonts w:ascii="Times New Roman" w:eastAsia="Times New Roman" w:hAnsi="Times New Roman"/>
          <w:sz w:val="24"/>
          <w:szCs w:val="24"/>
          <w:lang w:eastAsia="pl-PL"/>
        </w:rPr>
        <w:t>Przygotowanie opisu racjonalnego wariantu alternatywnego wymaga każdorazowo przeprowadzenia indywidualnej oceny danego przedsięwzięcia pod kątem jego oddziaływania na środowisko w sytuacji, gdyby ten wariant miał być zrealizowany por. wyrok NSA z dnia 21 l</w:t>
      </w:r>
      <w:r w:rsidRPr="002354AF">
        <w:rPr>
          <w:rFonts w:ascii="Times New Roman" w:eastAsia="Times New Roman" w:hAnsi="Times New Roman"/>
          <w:sz w:val="24"/>
          <w:szCs w:val="24"/>
          <w:lang w:eastAsia="pl-PL"/>
        </w:rPr>
        <w:t>utego 2018 r. sygn. akt: </w:t>
      </w:r>
      <w:hyperlink r:id="rId8" w:anchor="/document/522562918?cm=DOCUMENT" w:history="1">
        <w:r w:rsidRPr="002354AF">
          <w:rPr>
            <w:rStyle w:val="Hipercze"/>
            <w:rFonts w:ascii="Times New Roman" w:eastAsia="Times New Roman" w:hAnsi="Times New Roman"/>
            <w:color w:val="auto"/>
            <w:sz w:val="24"/>
            <w:szCs w:val="24"/>
            <w:u w:val="none"/>
            <w:lang w:eastAsia="pl-PL"/>
          </w:rPr>
          <w:t>II OSK 1871/17</w:t>
        </w:r>
      </w:hyperlink>
      <w:r w:rsidRPr="002354AF">
        <w:rPr>
          <w:rFonts w:ascii="Times New Roman" w:eastAsia="Times New Roman" w:hAnsi="Times New Roman"/>
          <w:sz w:val="24"/>
          <w:szCs w:val="24"/>
          <w:lang w:eastAsia="pl-PL"/>
        </w:rPr>
        <w:t xml:space="preserve">)    </w:t>
      </w:r>
    </w:p>
    <w:p w14:paraId="6851CF29"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Obowiązek wariantowania przedsięwzięcia ma na celu umożliwienie szerszego wyboru, niż tylko pomiędzy realizacją danego przedsięwzięcia a j</w:t>
      </w:r>
      <w:r w:rsidRPr="002354AF">
        <w:rPr>
          <w:rFonts w:ascii="Times New Roman" w:eastAsia="Times New Roman" w:hAnsi="Times New Roman"/>
          <w:sz w:val="24"/>
          <w:szCs w:val="24"/>
          <w:lang w:eastAsia="pl-PL"/>
        </w:rPr>
        <w:t>ej zaniechaniem. Z tego względu opisanie w raporcie analizowanych wariantów jest niezbędne dla prawidłowego przeprowadzenia oceny oddziaływania przedsięwzięcia na środowisko. Opisywane w raporcie warianty nie mogą mieć charakteru pozornego ani nie mogą być</w:t>
      </w:r>
      <w:r w:rsidRPr="002354AF">
        <w:rPr>
          <w:rFonts w:ascii="Times New Roman" w:eastAsia="Times New Roman" w:hAnsi="Times New Roman"/>
          <w:sz w:val="24"/>
          <w:szCs w:val="24"/>
          <w:lang w:eastAsia="pl-PL"/>
        </w:rPr>
        <w:t xml:space="preserve"> abstrakcyjne z powodu braku obiektywnych możliwości ich zastosowania i z góry skazane na niepowodzenie, lecz muszą to być warianty możliwe do rzeczywistego wprowadzenia. Racjonalny wariant powinien być alternatywą dla wariantu proponowanego przez wnioskod</w:t>
      </w:r>
      <w:r w:rsidRPr="002354AF">
        <w:rPr>
          <w:rFonts w:ascii="Times New Roman" w:eastAsia="Times New Roman" w:hAnsi="Times New Roman"/>
          <w:sz w:val="24"/>
          <w:szCs w:val="24"/>
          <w:lang w:eastAsia="pl-PL"/>
        </w:rPr>
        <w:t>awcę, co oznacza, że wariant taki faktycznie mógłby zostać wybrany przez organ dokonujący oceny, zamiast wariantu zaproponowanego przez inwestora. Racjonalny wariant alternatywny to taki, który jest możliwy do realizacji z ekonomicznego, technicznego, tech</w:t>
      </w:r>
      <w:r w:rsidRPr="002354AF">
        <w:rPr>
          <w:rFonts w:ascii="Times New Roman" w:eastAsia="Times New Roman" w:hAnsi="Times New Roman"/>
          <w:sz w:val="24"/>
          <w:szCs w:val="24"/>
          <w:lang w:eastAsia="pl-PL"/>
        </w:rPr>
        <w:t>nologicznego oraz prawnego punktu widzenia i jest zgodny z celem założonym przez inwestora. Wskazany przez wnioskodawcę wariant 2.0 – brak możliwości zalewania polderu – tych wymagań nie spełnia, gdyż w rzeczywistości, co wskazuje sam inwestor, jest sprzec</w:t>
      </w:r>
      <w:r w:rsidRPr="002354AF">
        <w:rPr>
          <w:rFonts w:ascii="Times New Roman" w:eastAsia="Times New Roman" w:hAnsi="Times New Roman"/>
          <w:sz w:val="24"/>
          <w:szCs w:val="24"/>
          <w:lang w:eastAsia="pl-PL"/>
        </w:rPr>
        <w:t xml:space="preserve">zny z celami przedsięwzięcia i nie stanowi alternatywy dla wariantu wybranego do realizacji. Zaproponowany w raporcie wariant 2.0 został wykluczony z realizacji przez samego inwestora stwierdzeniem (str. 59 raportu), że </w:t>
      </w:r>
      <w:r w:rsidRPr="002354AF">
        <w:rPr>
          <w:rFonts w:ascii="Times New Roman" w:eastAsia="Times New Roman" w:hAnsi="Times New Roman"/>
          <w:i/>
          <w:iCs/>
          <w:sz w:val="24"/>
          <w:szCs w:val="24"/>
          <w:lang w:eastAsia="pl-PL"/>
        </w:rPr>
        <w:t>już wstępne analizy wykonane w KIP w</w:t>
      </w:r>
      <w:r w:rsidRPr="002354AF">
        <w:rPr>
          <w:rFonts w:ascii="Times New Roman" w:eastAsia="Times New Roman" w:hAnsi="Times New Roman"/>
          <w:i/>
          <w:iCs/>
          <w:sz w:val="24"/>
          <w:szCs w:val="24"/>
          <w:lang w:eastAsia="pl-PL"/>
        </w:rPr>
        <w:t>skazały, że Wariant 1 (2.0) nie pozwala na skuteczne sterowanie ryzykiem powodziowym (więc nie spełnia zasadniczej funkcji przedsięwzięcia)</w:t>
      </w:r>
      <w:r w:rsidRPr="002354AF">
        <w:rPr>
          <w:rFonts w:ascii="Times New Roman" w:eastAsia="Times New Roman" w:hAnsi="Times New Roman"/>
          <w:sz w:val="24"/>
          <w:szCs w:val="24"/>
          <w:lang w:eastAsia="pl-PL"/>
        </w:rPr>
        <w:t xml:space="preserve">. Należy zwrócić uwagę, że jest to wariant w istocie fikcyjny, którego realizację inwestor wyeliminował na wstępie. </w:t>
      </w:r>
    </w:p>
    <w:p w14:paraId="25854A50"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Mając na uwadze przedstawione powyżej braki i niespójności, nie można uznać, że raport zawiera wymagany ustawowo opis wariantów przedsięwzięcia, z uwzględnieniem opisu ich oddziaływania na środowisko, które powinny podlegać analizie podczas oceny oddziaływ</w:t>
      </w:r>
      <w:r w:rsidRPr="002354AF">
        <w:rPr>
          <w:rFonts w:ascii="Times New Roman" w:eastAsia="Times New Roman" w:hAnsi="Times New Roman"/>
          <w:sz w:val="24"/>
          <w:szCs w:val="24"/>
          <w:lang w:eastAsia="pl-PL"/>
        </w:rPr>
        <w:t xml:space="preserve">ania przedmiotowego przedsięwzięcia na środowisko. Dopiero po przeanalizowaniu oceny wszystkich wariantów na takim samym poziomie szczegółowości, oraz porównaniu ich oddziaływania według wymiernych kryteriów, można wskazać, który wariant jest </w:t>
      </w:r>
      <w:r w:rsidRPr="002354AF">
        <w:rPr>
          <w:rFonts w:ascii="Times New Roman" w:eastAsia="Times New Roman" w:hAnsi="Times New Roman"/>
          <w:sz w:val="24"/>
          <w:szCs w:val="24"/>
          <w:lang w:eastAsia="pl-PL"/>
        </w:rPr>
        <w:lastRenderedPageBreak/>
        <w:t>najkorzystnie</w:t>
      </w:r>
      <w:r w:rsidRPr="002354AF">
        <w:rPr>
          <w:rFonts w:ascii="Times New Roman" w:eastAsia="Times New Roman" w:hAnsi="Times New Roman"/>
          <w:sz w:val="24"/>
          <w:szCs w:val="24"/>
          <w:lang w:eastAsia="pl-PL"/>
        </w:rPr>
        <w:t>jszy dla środowiska i czy istnieją obiektywne przesłanki wyboru innego wariantu, niż wskazany do realizacji przez wnioskodawcę. Brak przedstawienia przeanalizowaniu oceny wszystkich wariantów na takim samym poziomie szczegółowości uniemożliwia przeprowadze</w:t>
      </w:r>
      <w:r w:rsidRPr="002354AF">
        <w:rPr>
          <w:rFonts w:ascii="Times New Roman" w:eastAsia="Times New Roman" w:hAnsi="Times New Roman"/>
          <w:sz w:val="24"/>
          <w:szCs w:val="24"/>
          <w:lang w:eastAsia="pl-PL"/>
        </w:rPr>
        <w:t>nie oceny oddziaływania przedsięwzięcia na środowisko zgodnie z wymogami przepisów u.o.o.ś., tym samym stanowi podstawę do odmowy określenia środowiskowych uwarunkowań jego realizacji. Stanowisko to znajduje ugruntowane oparcie w orzecznictwie sądów admini</w:t>
      </w:r>
      <w:r w:rsidRPr="002354AF">
        <w:rPr>
          <w:rFonts w:ascii="Times New Roman" w:eastAsia="Times New Roman" w:hAnsi="Times New Roman"/>
          <w:sz w:val="24"/>
          <w:szCs w:val="24"/>
          <w:lang w:eastAsia="pl-PL"/>
        </w:rPr>
        <w:t>stracyjnych. NSA w wyroku z 25 lipca 2019 r., sygn. akt II OSK 2320/17, wskazał, że: „Jeżeli zachodzi wadliwość przedstawionych w raporcie wariantów realizacji przedsięwzięcia, to taki raport nie spełnia ustawowych wymagań, koniecznych do wydania decyzji u</w:t>
      </w:r>
      <w:r w:rsidRPr="002354AF">
        <w:rPr>
          <w:rFonts w:ascii="Times New Roman" w:eastAsia="Times New Roman" w:hAnsi="Times New Roman"/>
          <w:sz w:val="24"/>
          <w:szCs w:val="24"/>
          <w:lang w:eastAsia="pl-PL"/>
        </w:rPr>
        <w:t>stalającej środowiskowe uwarunkowania realizacji danego przedsięwzięcia”.</w:t>
      </w:r>
    </w:p>
    <w:p w14:paraId="0580A08E"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Podkreślenia wymaga, że inwestor nie zastosował się do wezwania GDOŚ z 20 czerwca 2023 r., znak: DOOŚ-WDŚZOO.420.13.2020.PCh.16, powtórzonego wezwaniem z 9 listopada 2023 r., DOOŚ-WD</w:t>
      </w:r>
      <w:r w:rsidRPr="002354AF">
        <w:rPr>
          <w:rFonts w:ascii="Times New Roman" w:eastAsia="Times New Roman" w:hAnsi="Times New Roman"/>
          <w:sz w:val="24"/>
          <w:szCs w:val="24"/>
          <w:lang w:eastAsia="pl-PL"/>
        </w:rPr>
        <w:t>ŚZOO.420.13.2020.PCh.20, które zawierały literalnie wskazany wymóg przedstawienia analizy wariantowej przedsięwzięcia.</w:t>
      </w:r>
    </w:p>
    <w:p w14:paraId="329C119F"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Jak wskazuje NSA, opis analizowanych wariantów powinien być na tyle rzetelny i dokładny, by organ rozpatrujący sprawę mógł zbadać, czy pr</w:t>
      </w:r>
      <w:r w:rsidRPr="002354AF">
        <w:rPr>
          <w:rFonts w:ascii="Times New Roman" w:eastAsia="Times New Roman" w:hAnsi="Times New Roman"/>
          <w:sz w:val="24"/>
          <w:szCs w:val="24"/>
          <w:lang w:eastAsia="pl-PL"/>
        </w:rPr>
        <w:t>zedsięwzięcie powinno być realizowane w wariancie proponowanym przez inwestora, czy też w wariancie alternatywnym lub racjonalnym wariancie najkorzystniejszym dla środowiska (wyrok z 21 lutego 2018 r., sygn. akt: II OSK 1871/17). W świetle powyższego anali</w:t>
      </w:r>
      <w:r w:rsidRPr="002354AF">
        <w:rPr>
          <w:rFonts w:ascii="Times New Roman" w:eastAsia="Times New Roman" w:hAnsi="Times New Roman"/>
          <w:sz w:val="24"/>
          <w:szCs w:val="24"/>
          <w:lang w:eastAsia="pl-PL"/>
        </w:rPr>
        <w:t xml:space="preserve">za wariantowa jest nierzetelna oraz obarczona brakami, a w przedłożonym raporcie nie przeanalizowano wszystkich możliwych oddziaływań </w:t>
      </w:r>
      <w:bookmarkStart w:id="40" w:name="_Hlk136251825"/>
      <w:r w:rsidRPr="002354AF">
        <w:rPr>
          <w:rFonts w:ascii="Times New Roman" w:eastAsia="Times New Roman" w:hAnsi="Times New Roman"/>
          <w:sz w:val="24"/>
          <w:szCs w:val="24"/>
          <w:lang w:eastAsia="pl-PL"/>
        </w:rPr>
        <w:t xml:space="preserve">wynikających z realizacji przedsięwzięcia </w:t>
      </w:r>
      <w:bookmarkEnd w:id="40"/>
      <w:r w:rsidRPr="002354AF">
        <w:rPr>
          <w:rFonts w:ascii="Times New Roman" w:eastAsia="Times New Roman" w:hAnsi="Times New Roman"/>
          <w:sz w:val="24"/>
          <w:szCs w:val="24"/>
          <w:lang w:eastAsia="pl-PL"/>
        </w:rPr>
        <w:t>we wszystkich przedstawionych wariantach.</w:t>
      </w:r>
    </w:p>
    <w:p w14:paraId="285CD6C8"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Mając powyższe na uwadze, zasadnym jes</w:t>
      </w:r>
      <w:r w:rsidRPr="002354AF">
        <w:rPr>
          <w:rFonts w:ascii="Times New Roman" w:eastAsia="Times New Roman" w:hAnsi="Times New Roman"/>
          <w:bCs/>
          <w:iCs/>
          <w:sz w:val="24"/>
          <w:szCs w:val="24"/>
          <w:lang w:eastAsia="pl-PL"/>
        </w:rPr>
        <w:t>t zarzut podniesiony w odwołaniu dotyczący wadliwie przeprowadzonej analizy wariantowej (wprawdzie jest ona nieprawidłowa z innych powodów niż te, które skarżący wskazał w odwołaniu) oraz oceny oddziaływania przedsięwzięcia na środowisko. Rozpatrując ninie</w:t>
      </w:r>
      <w:r w:rsidRPr="002354AF">
        <w:rPr>
          <w:rFonts w:ascii="Times New Roman" w:eastAsia="Times New Roman" w:hAnsi="Times New Roman"/>
          <w:bCs/>
          <w:iCs/>
          <w:sz w:val="24"/>
          <w:szCs w:val="24"/>
          <w:lang w:eastAsia="pl-PL"/>
        </w:rPr>
        <w:t>jszą sprawę, organ odwoławczy po przeanalizowaniu dokumentacji, podziela zarzut skarżącego w tym zakresie, wskazując, że wadliwość ta, w okolicznościach przedmiotowej sprawy, zobowiązuje GDOŚ do wydania decyzji uchylającej decyzję RDOŚ w Poznaniu z 13 lute</w:t>
      </w:r>
      <w:r w:rsidRPr="002354AF">
        <w:rPr>
          <w:rFonts w:ascii="Times New Roman" w:eastAsia="Times New Roman" w:hAnsi="Times New Roman"/>
          <w:bCs/>
          <w:iCs/>
          <w:sz w:val="24"/>
          <w:szCs w:val="24"/>
          <w:lang w:eastAsia="pl-PL"/>
        </w:rPr>
        <w:t>go 2020 r. w całości oraz odmowy określenia środowiskowych uwarunkowań realizacji przedmiotowego przedsięwzięcia, ponieważ wadliwość ta z winy inwestora nie została konwalidowana na etapie postępowania odwoławczego.</w:t>
      </w:r>
    </w:p>
    <w:p w14:paraId="0CA87E37"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Ponadto na podstawie analizowanego rapor</w:t>
      </w:r>
      <w:r w:rsidRPr="002354AF">
        <w:rPr>
          <w:rFonts w:ascii="Times New Roman" w:eastAsia="Times New Roman" w:hAnsi="Times New Roman"/>
          <w:bCs/>
          <w:iCs/>
          <w:sz w:val="24"/>
          <w:szCs w:val="24"/>
          <w:lang w:eastAsia="pl-PL"/>
        </w:rPr>
        <w:t>tu</w:t>
      </w:r>
      <w:r w:rsidRPr="002354AF">
        <w:rPr>
          <w:rFonts w:ascii="Garamond" w:eastAsia="Times New Roman" w:hAnsi="Garamond" w:cs="Arial"/>
          <w:sz w:val="24"/>
          <w:szCs w:val="24"/>
          <w:lang w:eastAsia="pl-PL"/>
        </w:rPr>
        <w:t xml:space="preserve"> </w:t>
      </w:r>
      <w:r w:rsidRPr="002354AF">
        <w:rPr>
          <w:rFonts w:ascii="Times New Roman" w:eastAsia="Times New Roman" w:hAnsi="Times New Roman"/>
          <w:bCs/>
          <w:iCs/>
          <w:sz w:val="24"/>
          <w:szCs w:val="24"/>
          <w:lang w:eastAsia="pl-PL"/>
        </w:rPr>
        <w:t xml:space="preserve">nie można wykluczyć, że planowane przedsięwzięcie będzie znacząco negatywnie oddziaływać na jednolite części wód, w tym wyznaczone dla nich cele środowiskowe. </w:t>
      </w:r>
    </w:p>
    <w:p w14:paraId="36FEC95D"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Jednym z czynników o podstawowym znaczeniu dla zachowania walorów ekosystemów rzecznych jest </w:t>
      </w:r>
      <w:r w:rsidRPr="002354AF">
        <w:rPr>
          <w:rFonts w:ascii="Times New Roman" w:eastAsia="Times New Roman" w:hAnsi="Times New Roman"/>
          <w:bCs/>
          <w:iCs/>
          <w:sz w:val="24"/>
          <w:szCs w:val="24"/>
          <w:lang w:eastAsia="pl-PL"/>
        </w:rPr>
        <w:t xml:space="preserve">utrzymanie ich naturalnej dynamiki. Polega to na ochronie zróżnicowanych przepływów – jako kluczowego czynnika napędowego i kształtującego przebieg tych zjawisk – oraz braku ingerencji w zachodzące procesy, w tym w szczególności w proces erozji, </w:t>
      </w:r>
      <w:r w:rsidRPr="002354AF">
        <w:rPr>
          <w:rFonts w:ascii="Times New Roman" w:eastAsia="Times New Roman" w:hAnsi="Times New Roman"/>
          <w:bCs/>
          <w:iCs/>
          <w:sz w:val="24"/>
          <w:szCs w:val="24"/>
          <w:lang w:eastAsia="pl-PL"/>
        </w:rPr>
        <w:lastRenderedPageBreak/>
        <w:t>sedymentac</w:t>
      </w:r>
      <w:r w:rsidRPr="002354AF">
        <w:rPr>
          <w:rFonts w:ascii="Times New Roman" w:eastAsia="Times New Roman" w:hAnsi="Times New Roman"/>
          <w:bCs/>
          <w:iCs/>
          <w:sz w:val="24"/>
          <w:szCs w:val="24"/>
          <w:lang w:eastAsia="pl-PL"/>
        </w:rPr>
        <w:t>ji i transportu rumowiska. Istotnym zagrożeniem dla obszarów Natura 2000 w dolinach rzecznych może być transformacja reżimu przepływów w cieku. W analizowanym przypadku funkcjonowanie polderu zalewowego nie zmienia całego reżimu przepływów, jego funkcjonow</w:t>
      </w:r>
      <w:r w:rsidRPr="002354AF">
        <w:rPr>
          <w:rFonts w:ascii="Times New Roman" w:eastAsia="Times New Roman" w:hAnsi="Times New Roman"/>
          <w:bCs/>
          <w:iCs/>
          <w:sz w:val="24"/>
          <w:szCs w:val="24"/>
          <w:lang w:eastAsia="pl-PL"/>
        </w:rPr>
        <w:t>anie nie prowadzi do trwałego zalania terenu. Natomiast nie można wykluczyć tego oddziaływania – najprawdopodobniej będzie ono krótkotrwałe i będzie dotyczyło największych wezbrań. Wnioskodawca w raporcie z 2015 r. (str. 183) wprost wskazuje, że</w:t>
      </w:r>
      <w:r w:rsidRPr="002354AF">
        <w:t xml:space="preserve"> </w:t>
      </w:r>
      <w:r w:rsidRPr="002354AF">
        <w:rPr>
          <w:rFonts w:ascii="Times New Roman" w:eastAsia="Times New Roman" w:hAnsi="Times New Roman"/>
          <w:bCs/>
          <w:iCs/>
          <w:sz w:val="24"/>
          <w:szCs w:val="24"/>
          <w:lang w:eastAsia="pl-PL"/>
        </w:rPr>
        <w:t xml:space="preserve">m.in. </w:t>
      </w:r>
      <w:r w:rsidRPr="002354AF">
        <w:rPr>
          <w:rFonts w:ascii="Times New Roman" w:eastAsia="Times New Roman" w:hAnsi="Times New Roman"/>
          <w:bCs/>
          <w:i/>
          <w:iCs/>
          <w:sz w:val="24"/>
          <w:szCs w:val="24"/>
          <w:lang w:eastAsia="pl-PL"/>
        </w:rPr>
        <w:t>popr</w:t>
      </w:r>
      <w:r w:rsidRPr="002354AF">
        <w:rPr>
          <w:rFonts w:ascii="Times New Roman" w:eastAsia="Times New Roman" w:hAnsi="Times New Roman"/>
          <w:bCs/>
          <w:i/>
          <w:iCs/>
          <w:sz w:val="24"/>
          <w:szCs w:val="24"/>
          <w:lang w:eastAsia="pl-PL"/>
        </w:rPr>
        <w:t>zez spłaszczenie dynamiki wód rzeki poniżej Polderu może eliminować istnienie czynników kształtujących mikrohabitaty w korycie cieku.</w:t>
      </w:r>
      <w:r w:rsidRPr="002354AF">
        <w:rPr>
          <w:rFonts w:ascii="Times New Roman" w:eastAsia="Times New Roman" w:hAnsi="Times New Roman"/>
          <w:bCs/>
          <w:iCs/>
          <w:sz w:val="24"/>
          <w:szCs w:val="24"/>
          <w:lang w:eastAsia="pl-PL"/>
        </w:rPr>
        <w:t xml:space="preserve"> Powyższe uzasadnia potrzebę zbadania omawianego oddziaływania w oparciu o obowiązujące przepisy prawa. Analiza wpływu przedsięwzięcia powinna dotyczyć zakresu i zasięgu tej transformacji, ustalenia, czy polder rzeczywiście oddziałuje na stany i przepływy </w:t>
      </w:r>
      <w:r w:rsidRPr="002354AF">
        <w:rPr>
          <w:rFonts w:ascii="Times New Roman" w:eastAsia="Times New Roman" w:hAnsi="Times New Roman"/>
          <w:bCs/>
          <w:iCs/>
          <w:sz w:val="24"/>
          <w:szCs w:val="24"/>
          <w:lang w:eastAsia="pl-PL"/>
        </w:rPr>
        <w:t xml:space="preserve">wód, a także ustalenie, czy przekształcenie reżimu hydrologicznego może negatywnie oddziaływać na jednolite części wód, w tym wyznaczone dla nich cele środowiskowe. </w:t>
      </w:r>
    </w:p>
    <w:p w14:paraId="677FD644"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 Aktualnie obowiązującym dokumentem planistycznym dotyczącym gospodarowania wodami jest pr</w:t>
      </w:r>
      <w:r w:rsidRPr="002354AF">
        <w:rPr>
          <w:rFonts w:ascii="Times New Roman" w:eastAsia="Times New Roman" w:hAnsi="Times New Roman"/>
          <w:bCs/>
          <w:iCs/>
          <w:sz w:val="24"/>
          <w:szCs w:val="24"/>
          <w:lang w:eastAsia="pl-PL"/>
        </w:rPr>
        <w:t xml:space="preserve">zyjęty </w:t>
      </w:r>
      <w:bookmarkStart w:id="41" w:name="_Hlk172011249"/>
      <w:r w:rsidRPr="002354AF">
        <w:rPr>
          <w:rFonts w:ascii="Times New Roman" w:eastAsia="Times New Roman" w:hAnsi="Times New Roman"/>
          <w:bCs/>
          <w:iCs/>
          <w:sz w:val="24"/>
          <w:szCs w:val="24"/>
          <w:lang w:eastAsia="pl-PL"/>
        </w:rPr>
        <w:t>rozporządzeniem Ministra Infrastruktury z 16 listopada 2022 r. w sprawie Planu gospodarowania wodami na obszarze dorzecza Odry (Dz. U. z 2023 r. poz. 335) Plan gospodarowania wodami na obszarze dorzecza Odry</w:t>
      </w:r>
      <w:bookmarkEnd w:id="41"/>
      <w:r w:rsidRPr="002354AF">
        <w:rPr>
          <w:rFonts w:ascii="Times New Roman" w:eastAsia="Times New Roman" w:hAnsi="Times New Roman"/>
          <w:bCs/>
          <w:iCs/>
          <w:sz w:val="24"/>
          <w:szCs w:val="24"/>
          <w:lang w:eastAsia="pl-PL"/>
        </w:rPr>
        <w:t xml:space="preserve">, dalej aPGW z 2023 r. </w:t>
      </w:r>
      <w:bookmarkStart w:id="42" w:name="_Hlk180652774"/>
      <w:r w:rsidRPr="002354AF">
        <w:rPr>
          <w:rFonts w:ascii="Times New Roman" w:eastAsia="Times New Roman" w:hAnsi="Times New Roman"/>
          <w:bCs/>
          <w:iCs/>
          <w:sz w:val="24"/>
          <w:szCs w:val="24"/>
          <w:lang w:eastAsia="pl-PL"/>
        </w:rPr>
        <w:t xml:space="preserve">Prawidłowa analiza </w:t>
      </w:r>
      <w:r w:rsidRPr="002354AF">
        <w:rPr>
          <w:rFonts w:ascii="Times New Roman" w:eastAsia="Times New Roman" w:hAnsi="Times New Roman"/>
          <w:bCs/>
          <w:iCs/>
          <w:sz w:val="24"/>
          <w:szCs w:val="24"/>
          <w:lang w:eastAsia="pl-PL"/>
        </w:rPr>
        <w:t>oddziaływań na jednolite części wód powierzchniowych i jednolite części wód podziemnych jest przeprowadzana w oparciu o obowiązujące w czasie składania wyjaśnień dokumenty oraz dostępne aktualne dane z Państwowego Monitoringu Środowiska, dalej PMŚ, prowadz</w:t>
      </w:r>
      <w:r w:rsidRPr="002354AF">
        <w:rPr>
          <w:rFonts w:ascii="Times New Roman" w:eastAsia="Times New Roman" w:hAnsi="Times New Roman"/>
          <w:bCs/>
          <w:iCs/>
          <w:sz w:val="24"/>
          <w:szCs w:val="24"/>
          <w:lang w:eastAsia="pl-PL"/>
        </w:rPr>
        <w:t>onego przez Główny Inspektorat Ochrony Środowiska. Przedstawiony w raporcie i przedłożonych uzupełnieniach – na etapie postępowania pierwszoinstancyjnego – opis przewidywanych oddziaływań przedsięwzięcia na jednolite części wód jest nieaktualny, przez co u</w:t>
      </w:r>
      <w:r w:rsidRPr="002354AF">
        <w:rPr>
          <w:rFonts w:ascii="Times New Roman" w:eastAsia="Times New Roman" w:hAnsi="Times New Roman"/>
          <w:bCs/>
          <w:iCs/>
          <w:sz w:val="24"/>
          <w:szCs w:val="24"/>
          <w:lang w:eastAsia="pl-PL"/>
        </w:rPr>
        <w:t xml:space="preserve">niemożliwia ocenę wpływu inwestycji na te elementy środowiska oraz na wyznaczone dla nich cele środowiskowe. </w:t>
      </w:r>
      <w:bookmarkEnd w:id="42"/>
    </w:p>
    <w:p w14:paraId="2E4BD49B" w14:textId="77777777" w:rsidR="00B5204E" w:rsidRPr="002354AF" w:rsidRDefault="000060D6" w:rsidP="00336A51">
      <w:pPr>
        <w:spacing w:after="0" w:line="312" w:lineRule="auto"/>
        <w:ind w:firstLine="709"/>
        <w:jc w:val="both"/>
        <w:rPr>
          <w:rFonts w:ascii="Times New Roman" w:hAnsi="Times New Roman"/>
          <w:sz w:val="24"/>
          <w:szCs w:val="24"/>
        </w:rPr>
      </w:pPr>
      <w:r w:rsidRPr="002354AF">
        <w:rPr>
          <w:rFonts w:ascii="Times New Roman" w:eastAsia="Times New Roman" w:hAnsi="Times New Roman"/>
          <w:bCs/>
          <w:iCs/>
          <w:sz w:val="24"/>
          <w:szCs w:val="24"/>
          <w:lang w:eastAsia="pl-PL"/>
        </w:rPr>
        <w:t>GDOŚ wezwał PGW Wody Polskie pismem z 20 czerwca 2023 r., znak: DOOŚ-WDŚZOO.420.13.2020.maz.PCh.16, a następnie ponownie, ze względu na brak odpow</w:t>
      </w:r>
      <w:r w:rsidRPr="002354AF">
        <w:rPr>
          <w:rFonts w:ascii="Times New Roman" w:eastAsia="Times New Roman" w:hAnsi="Times New Roman"/>
          <w:bCs/>
          <w:iCs/>
          <w:sz w:val="24"/>
          <w:szCs w:val="24"/>
          <w:lang w:eastAsia="pl-PL"/>
        </w:rPr>
        <w:t xml:space="preserve">iedzi inwestora,  pismem z 9 listopada 2023 r., znak: DOOŚ-WDŚZOO.420.13.2020.maz.PCh.20, do uzupełnienia raportu o opis i analizę przewidywanego oddziaływania przedsięwzięcia na poszczególne wskaźniki jakości wód, o których mowa w rozporządzeniu Ministra </w:t>
      </w:r>
      <w:r w:rsidRPr="002354AF">
        <w:rPr>
          <w:rFonts w:ascii="Times New Roman" w:eastAsia="Times New Roman" w:hAnsi="Times New Roman"/>
          <w:bCs/>
          <w:iCs/>
          <w:sz w:val="24"/>
          <w:szCs w:val="24"/>
          <w:lang w:eastAsia="pl-PL"/>
        </w:rPr>
        <w:t>Infrastruktury z dnia 25 czerwca 2021 r. w sprawie klasyfikacji stanu ekologicznego, potencjału ekologicznego i stanu chemicznego oraz sposobu klasyfikacji stanu jednolitych części wód powierzchniowych, a także środowiskowych norm jakości dla substancji pr</w:t>
      </w:r>
      <w:r w:rsidRPr="002354AF">
        <w:rPr>
          <w:rFonts w:ascii="Times New Roman" w:eastAsia="Times New Roman" w:hAnsi="Times New Roman"/>
          <w:bCs/>
          <w:iCs/>
          <w:sz w:val="24"/>
          <w:szCs w:val="24"/>
          <w:lang w:eastAsia="pl-PL"/>
        </w:rPr>
        <w:t>iorytetowych</w:t>
      </w:r>
      <w:bookmarkStart w:id="43" w:name="_Hlk113436416"/>
      <w:r w:rsidRPr="002354AF">
        <w:rPr>
          <w:rFonts w:ascii="Times New Roman" w:eastAsia="Times New Roman" w:hAnsi="Times New Roman"/>
          <w:bCs/>
          <w:iCs/>
          <w:sz w:val="24"/>
          <w:szCs w:val="24"/>
          <w:lang w:eastAsia="pl-PL"/>
        </w:rPr>
        <w:t xml:space="preserve"> (Dz. U. z 2021 r. poz. 1475)</w:t>
      </w:r>
      <w:bookmarkEnd w:id="43"/>
      <w:r w:rsidRPr="002354AF">
        <w:rPr>
          <w:rFonts w:ascii="Times New Roman" w:eastAsia="Times New Roman" w:hAnsi="Times New Roman"/>
          <w:bCs/>
          <w:iCs/>
          <w:sz w:val="24"/>
          <w:szCs w:val="24"/>
          <w:lang w:eastAsia="pl-PL"/>
        </w:rPr>
        <w:t>, dalej r.j.c.w.p., oraz rozporządzeniu Ministra Gospodarki Morskiej i Żeglugi Śródlądowej z dnia 11 października 2019 r. w sprawie kryteriów i sposobu oceny stanu jednolitych części wód podziemnych (Dz. U. z 2019 r</w:t>
      </w:r>
      <w:r w:rsidRPr="002354AF">
        <w:rPr>
          <w:rFonts w:ascii="Times New Roman" w:eastAsia="Times New Roman" w:hAnsi="Times New Roman"/>
          <w:bCs/>
          <w:iCs/>
          <w:sz w:val="24"/>
          <w:szCs w:val="24"/>
          <w:lang w:eastAsia="pl-PL"/>
        </w:rPr>
        <w:t>. poz. 2148), dalej r.j.c.w.pd., z uwzględnieniem w szczególności oddziaływań związanych z budową nowej infrastruktury oraz odbudową i modernizacją istniejącej, a także funkcjonowaniem przesłony przeciwfiltracyjnej, jak i wynikających z nich oddziaływań po</w:t>
      </w:r>
      <w:r w:rsidRPr="002354AF">
        <w:rPr>
          <w:rFonts w:ascii="Times New Roman" w:eastAsia="Times New Roman" w:hAnsi="Times New Roman"/>
          <w:bCs/>
          <w:iCs/>
          <w:sz w:val="24"/>
          <w:szCs w:val="24"/>
          <w:lang w:eastAsia="pl-PL"/>
        </w:rPr>
        <w:t xml:space="preserve">średnich mogących mieć wpływ na stan wód </w:t>
      </w:r>
      <w:r w:rsidRPr="002354AF">
        <w:rPr>
          <w:rFonts w:ascii="Times New Roman" w:eastAsia="Times New Roman" w:hAnsi="Times New Roman"/>
          <w:bCs/>
          <w:iCs/>
          <w:sz w:val="24"/>
          <w:szCs w:val="24"/>
          <w:lang w:eastAsia="pl-PL"/>
        </w:rPr>
        <w:lastRenderedPageBreak/>
        <w:t>powierzchniowych i podziemnych.  Ponadto GDOŚ wezwał do identyfikacji wskaźników, które w związku z przewidywanymi oddziaływaniami planowanego przedsięwzięcia mogą ulec pogorszeniu oraz do przedstawienia opisu przew</w:t>
      </w:r>
      <w:r w:rsidRPr="002354AF">
        <w:rPr>
          <w:rFonts w:ascii="Times New Roman" w:eastAsia="Times New Roman" w:hAnsi="Times New Roman"/>
          <w:bCs/>
          <w:iCs/>
          <w:sz w:val="24"/>
          <w:szCs w:val="24"/>
          <w:lang w:eastAsia="pl-PL"/>
        </w:rPr>
        <w:t>idywanej skali tych zmian, a także opisu przewidywanego oddziaływania przedsięwzięcia na jednolite części wód z odniesieniem się do wartości granicznych wskaźników jakości określonych w załącznikach do r.j.c.w.p. oraz r.j.c.w.pd. Ponadto GDOŚ wezwał do opi</w:t>
      </w:r>
      <w:r w:rsidRPr="002354AF">
        <w:rPr>
          <w:rFonts w:ascii="Times New Roman" w:eastAsia="Times New Roman" w:hAnsi="Times New Roman"/>
          <w:bCs/>
          <w:iCs/>
          <w:sz w:val="24"/>
          <w:szCs w:val="24"/>
          <w:lang w:eastAsia="pl-PL"/>
        </w:rPr>
        <w:t>sania planowanych do podjęcia działań mających na celu zapobieganie, ograniczanie lub kompensację przyrodniczą negatywnych oddziaływań przedsięwzięcia na jednolite części wód i wyznaczone dla nich cele środowiskowe, a w przypadku, gdy z przeprowadzonych an</w:t>
      </w:r>
      <w:r w:rsidRPr="002354AF">
        <w:rPr>
          <w:rFonts w:ascii="Times New Roman" w:eastAsia="Times New Roman" w:hAnsi="Times New Roman"/>
          <w:bCs/>
          <w:iCs/>
          <w:sz w:val="24"/>
          <w:szCs w:val="24"/>
          <w:lang w:eastAsia="pl-PL"/>
        </w:rPr>
        <w:t xml:space="preserve">aliz </w:t>
      </w:r>
      <w:r w:rsidRPr="002354AF">
        <w:rPr>
          <w:rFonts w:ascii="Times New Roman" w:hAnsi="Times New Roman"/>
          <w:sz w:val="24"/>
          <w:szCs w:val="24"/>
        </w:rPr>
        <w:t xml:space="preserve">wynikłoby, że przedsięwzięcie może wpłynąć negatywnie na możliwość osiągnięcia celów środowiskowych, o których mowa w art. 57, art. 59 oraz art. 61 </w:t>
      </w:r>
      <w:r w:rsidRPr="002354AF">
        <w:rPr>
          <w:rFonts w:ascii="Times New Roman" w:hAnsi="Times New Roman"/>
          <w:iCs/>
          <w:sz w:val="24"/>
          <w:szCs w:val="24"/>
        </w:rPr>
        <w:t>ustawy z dnia 20 lipca 2017 r.</w:t>
      </w:r>
      <w:r w:rsidRPr="002354AF">
        <w:rPr>
          <w:rFonts w:ascii="Times New Roman" w:hAnsi="Times New Roman"/>
          <w:i/>
          <w:iCs/>
          <w:sz w:val="24"/>
          <w:szCs w:val="24"/>
        </w:rPr>
        <w:t xml:space="preserve"> – </w:t>
      </w:r>
      <w:r w:rsidRPr="002354AF">
        <w:rPr>
          <w:rFonts w:ascii="Times New Roman" w:hAnsi="Times New Roman"/>
          <w:sz w:val="24"/>
          <w:szCs w:val="24"/>
        </w:rPr>
        <w:t>Prawo wodne (Dz. U. z 2022 r. poz. 2625, ze zm.), dalej p.w., odniesie</w:t>
      </w:r>
      <w:r w:rsidRPr="002354AF">
        <w:rPr>
          <w:rFonts w:ascii="Times New Roman" w:hAnsi="Times New Roman"/>
          <w:sz w:val="24"/>
          <w:szCs w:val="24"/>
        </w:rPr>
        <w:t>nia się do warunków, o których mowa w art. 68 pkt 1, 3 i 4 tej ustawy.</w:t>
      </w:r>
    </w:p>
    <w:p w14:paraId="2E281959"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Pismem z 1 grudnia 2023 r., znak: 532/P/41/22/2023/JR, wnioskodawca poinformował, że nie będzie składał wyjaśnień ani uzupełnień w przedmiotowej sprawie.</w:t>
      </w:r>
    </w:p>
    <w:p w14:paraId="53613968"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Odnosząc się do powyższego, nal</w:t>
      </w:r>
      <w:r w:rsidRPr="002354AF">
        <w:rPr>
          <w:rFonts w:ascii="Times New Roman" w:eastAsia="Times New Roman" w:hAnsi="Times New Roman"/>
          <w:bCs/>
          <w:iCs/>
          <w:sz w:val="24"/>
          <w:szCs w:val="24"/>
          <w:lang w:eastAsia="pl-PL"/>
        </w:rPr>
        <w:t>eży podkreślić, że organy administracji publicznej obowiązane są do stosowania przepisów prawa obowiązujących w dacie podejmowania określonej czynności, np. wydania decyzji czy skierowania do strony wezwania. Powyższe wynika z zasady praworządności, ustano</w:t>
      </w:r>
      <w:r w:rsidRPr="002354AF">
        <w:rPr>
          <w:rFonts w:ascii="Times New Roman" w:eastAsia="Times New Roman" w:hAnsi="Times New Roman"/>
          <w:bCs/>
          <w:iCs/>
          <w:sz w:val="24"/>
          <w:szCs w:val="24"/>
          <w:lang w:eastAsia="pl-PL"/>
        </w:rPr>
        <w:t>wionej w art. 6 k.p.a., zgodnie z którą organy administracji publicznej działają na podstawie przepisów prawa, a także z zasady bezpośredniego działania nowej ustawy, zgodnie z którą organ obowiązany jest do uwzględnienia zmiany stanu prawnego, jaka nastąp</w:t>
      </w:r>
      <w:r w:rsidRPr="002354AF">
        <w:rPr>
          <w:rFonts w:ascii="Times New Roman" w:eastAsia="Times New Roman" w:hAnsi="Times New Roman"/>
          <w:bCs/>
          <w:iCs/>
          <w:sz w:val="24"/>
          <w:szCs w:val="24"/>
          <w:lang w:eastAsia="pl-PL"/>
        </w:rPr>
        <w:t xml:space="preserve">iła w toku postępowania, o ile przepisy przejściowe (intertemporalne) nie nakazują orzekania w oparciu o przepisy dotychczasowe. W wyroku z 23 października 2019 r., sygn.. akt: II OSK 3078/17, NSA wskazał: </w:t>
      </w:r>
      <w:r w:rsidRPr="002354AF">
        <w:rPr>
          <w:rFonts w:ascii="Times New Roman" w:eastAsia="Times New Roman" w:hAnsi="Times New Roman"/>
          <w:bCs/>
          <w:i/>
          <w:sz w:val="24"/>
          <w:szCs w:val="24"/>
          <w:lang w:eastAsia="pl-PL"/>
        </w:rPr>
        <w:t>Jedną z naczelnych zasad postępowania administracy</w:t>
      </w:r>
      <w:r w:rsidRPr="002354AF">
        <w:rPr>
          <w:rFonts w:ascii="Times New Roman" w:eastAsia="Times New Roman" w:hAnsi="Times New Roman"/>
          <w:bCs/>
          <w:i/>
          <w:sz w:val="24"/>
          <w:szCs w:val="24"/>
          <w:lang w:eastAsia="pl-PL"/>
        </w:rPr>
        <w:t>jnego jest działanie organów na podstawie przepisów prawa (art. 6 k.p.a.), a więc organy zawsze zobowiązane są uwzględnić zmianę stanu prawnego, jaka następuje w toku postępowania, i orzekać na podstawie przepisów obowiązujących w dacie wydania decyzji. Oc</w:t>
      </w:r>
      <w:r w:rsidRPr="002354AF">
        <w:rPr>
          <w:rFonts w:ascii="Times New Roman" w:eastAsia="Times New Roman" w:hAnsi="Times New Roman"/>
          <w:bCs/>
          <w:i/>
          <w:sz w:val="24"/>
          <w:szCs w:val="24"/>
          <w:lang w:eastAsia="pl-PL"/>
        </w:rPr>
        <w:t>zywiście nie oznacza to, że w każdym przypadku organy orzekają na podstawie przepisów nowych czy znowelizowanych, bowiem odmienny sposób stosowania przepisów może wynikać z odpowiednich norm intertemporalnych</w:t>
      </w:r>
      <w:r w:rsidRPr="002354AF">
        <w:rPr>
          <w:rFonts w:ascii="Times New Roman" w:eastAsia="Times New Roman" w:hAnsi="Times New Roman"/>
          <w:bCs/>
          <w:iCs/>
          <w:sz w:val="24"/>
          <w:szCs w:val="24"/>
          <w:lang w:eastAsia="pl-PL"/>
        </w:rPr>
        <w:t>.</w:t>
      </w:r>
    </w:p>
    <w:p w14:paraId="53E42EF6"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W analizowanej sprawie GDOŚ obowiązany jest do</w:t>
      </w:r>
      <w:r w:rsidRPr="002354AF">
        <w:rPr>
          <w:rFonts w:ascii="Times New Roman" w:eastAsia="Times New Roman" w:hAnsi="Times New Roman"/>
          <w:bCs/>
          <w:iCs/>
          <w:sz w:val="24"/>
          <w:szCs w:val="24"/>
          <w:lang w:eastAsia="pl-PL"/>
        </w:rPr>
        <w:t xml:space="preserve"> oceny oddziaływania przedsięwzięcia na jednolite części wód i wyznaczone dla nich cele środowiskowe w oparciu o aktualnie obowiązujący aPGW z 2023 r., co oznacza, że raport powinien zawierać opis przewidywanych znaczących oddziaływań przedsięwzięcia na je</w:t>
      </w:r>
      <w:r w:rsidRPr="002354AF">
        <w:rPr>
          <w:rFonts w:ascii="Times New Roman" w:eastAsia="Times New Roman" w:hAnsi="Times New Roman"/>
          <w:bCs/>
          <w:iCs/>
          <w:sz w:val="24"/>
          <w:szCs w:val="24"/>
          <w:lang w:eastAsia="pl-PL"/>
        </w:rPr>
        <w:t>dnolite części wód oraz opis przewidywanych działań mających na celu minimalizację tych oddziaływań również uwzględniający aPGW z 2023 r. Pomimo dwukrotnego wezwania w tym przedmiocie, PGW Wody Polskie nie uzupełniło raportu w tym zakresie, wprost stwierdz</w:t>
      </w:r>
      <w:r w:rsidRPr="002354AF">
        <w:rPr>
          <w:rFonts w:ascii="Times New Roman" w:eastAsia="Times New Roman" w:hAnsi="Times New Roman"/>
          <w:bCs/>
          <w:iCs/>
          <w:sz w:val="24"/>
          <w:szCs w:val="24"/>
          <w:lang w:eastAsia="pl-PL"/>
        </w:rPr>
        <w:t>ając, że nie jest to konieczne, z czym nie sposób się zgodzić.</w:t>
      </w:r>
    </w:p>
    <w:p w14:paraId="73EA6795"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Tym samym, co wymaga powtórzenia, wnioskodawca nie odniósł się do poszczególnych wskaźników jakości wód, o których mowa w r.j.c.w.p. oraz r.j.c.w.pd., z </w:t>
      </w:r>
      <w:r w:rsidRPr="002354AF">
        <w:rPr>
          <w:rFonts w:ascii="Times New Roman" w:eastAsia="Times New Roman" w:hAnsi="Times New Roman"/>
          <w:bCs/>
          <w:iCs/>
          <w:sz w:val="24"/>
          <w:szCs w:val="24"/>
          <w:lang w:eastAsia="pl-PL"/>
        </w:rPr>
        <w:lastRenderedPageBreak/>
        <w:t>uwzględnieniem i opisaniem w szczególnoś</w:t>
      </w:r>
      <w:r w:rsidRPr="002354AF">
        <w:rPr>
          <w:rFonts w:ascii="Times New Roman" w:eastAsia="Times New Roman" w:hAnsi="Times New Roman"/>
          <w:bCs/>
          <w:iCs/>
          <w:sz w:val="24"/>
          <w:szCs w:val="24"/>
          <w:lang w:eastAsia="pl-PL"/>
        </w:rPr>
        <w:t>ci rodzajów oddziaływań związanych z realizacją planowanego przedsięwzięcia, jak i wynikających z oddziaływań pośrednich mogących mieć wpływ na stan wód powierzchniowych i podziemnych, nie zidentyfikował wskaźników, które w związku z oddziaływaniami planow</w:t>
      </w:r>
      <w:r w:rsidRPr="002354AF">
        <w:rPr>
          <w:rFonts w:ascii="Times New Roman" w:eastAsia="Times New Roman" w:hAnsi="Times New Roman"/>
          <w:bCs/>
          <w:iCs/>
          <w:sz w:val="24"/>
          <w:szCs w:val="24"/>
          <w:lang w:eastAsia="pl-PL"/>
        </w:rPr>
        <w:t>anego przedsięwzięcia mogą ulec pogorszeniu oraz nie przedstawił opisu przewidywanej skali tych zmian, a także opisu przewidywanego oddziaływania przedsięwzięcia na jednolite części wód z odniesieniem się do wartości granicznych wskaźników jakości określon</w:t>
      </w:r>
      <w:r w:rsidRPr="002354AF">
        <w:rPr>
          <w:rFonts w:ascii="Times New Roman" w:eastAsia="Times New Roman" w:hAnsi="Times New Roman"/>
          <w:bCs/>
          <w:iCs/>
          <w:sz w:val="24"/>
          <w:szCs w:val="24"/>
          <w:lang w:eastAsia="pl-PL"/>
        </w:rPr>
        <w:t>ych w załącznikach do r.j.c.w.p. oraz r.j.c.w.pd. Ponadto GDOŚ wezwał do opisania planowanych do podjęcia działań mających na celu zapobieganie, ograniczanie lub kompensację przyrodniczą negatywnych oddziaływań przedsięwzięcia na jednolite części wód i wyz</w:t>
      </w:r>
      <w:r w:rsidRPr="002354AF">
        <w:rPr>
          <w:rFonts w:ascii="Times New Roman" w:eastAsia="Times New Roman" w:hAnsi="Times New Roman"/>
          <w:bCs/>
          <w:iCs/>
          <w:sz w:val="24"/>
          <w:szCs w:val="24"/>
          <w:lang w:eastAsia="pl-PL"/>
        </w:rPr>
        <w:t>naczone dla nich cele środowiskowe, a w przypadku, gdy z przeprowadzonych analiz wynikłoby, że przedsięwzięcie może wpłynąć negatywnie na możliwość osiągnięcia celów środowiskowych, o których mowa w art. 57, art. 59 oraz art. 61 p.w., odniesienia się do wa</w:t>
      </w:r>
      <w:r w:rsidRPr="002354AF">
        <w:rPr>
          <w:rFonts w:ascii="Times New Roman" w:eastAsia="Times New Roman" w:hAnsi="Times New Roman"/>
          <w:bCs/>
          <w:iCs/>
          <w:sz w:val="24"/>
          <w:szCs w:val="24"/>
          <w:lang w:eastAsia="pl-PL"/>
        </w:rPr>
        <w:t>runków, o których mowa w art. 68 pkt 1, 3 i 4 tej ustawy. Informacje takie nie zostały przedłożone.</w:t>
      </w:r>
    </w:p>
    <w:p w14:paraId="0294C5A1"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Mając na uwadze, że w rozpatrywanej sprawie wnioskodawca nie przeanalizował możliwych znaczących oddziaływań planowanego przedsięwzięcia na jednolite części</w:t>
      </w:r>
      <w:r w:rsidRPr="002354AF">
        <w:rPr>
          <w:rFonts w:ascii="Times New Roman" w:eastAsia="Times New Roman" w:hAnsi="Times New Roman"/>
          <w:bCs/>
          <w:iCs/>
          <w:sz w:val="24"/>
          <w:szCs w:val="24"/>
          <w:lang w:eastAsia="pl-PL"/>
        </w:rPr>
        <w:t xml:space="preserve"> wód, w tym wyznaczone dla nich cele środowiskowe, ani nie zaproponował działań mających na celu zapobieganie, ograniczanie lub kompensację przyrodniczą negatywnych oddziaływań na jednolite części wód, nie można przyjąć, że w sprawie spełnione są łącznie w</w:t>
      </w:r>
      <w:r w:rsidRPr="002354AF">
        <w:rPr>
          <w:rFonts w:ascii="Times New Roman" w:eastAsia="Times New Roman" w:hAnsi="Times New Roman"/>
          <w:bCs/>
          <w:iCs/>
          <w:sz w:val="24"/>
          <w:szCs w:val="24"/>
          <w:lang w:eastAsia="pl-PL"/>
        </w:rPr>
        <w:t>arunki, o których mowa w art. 68 pkt 1, 3 i 4 p.w. Przepis art. 6 ust. 2 ustawy z dnia 27 kwietnia 2001 r. – Prawo ochrony środowiska (Dz. z 2024 r. poz. 54, ze zm.), dalej p.o.ś., stanowi bezpośrednie odbicie zasady ostrożności i nakłada na organy ochrony</w:t>
      </w:r>
      <w:r w:rsidRPr="002354AF">
        <w:rPr>
          <w:rFonts w:ascii="Times New Roman" w:eastAsia="Times New Roman" w:hAnsi="Times New Roman"/>
          <w:bCs/>
          <w:iCs/>
          <w:sz w:val="24"/>
          <w:szCs w:val="24"/>
          <w:lang w:eastAsia="pl-PL"/>
        </w:rPr>
        <w:t xml:space="preserve"> środowiska obowiązek rozstrzygania z jej uwzględnieniem. Z zasady ostrożności wynika ciążący na wszystkich podmiotach obowiązek dołożenia należytej staranności w ocenie skutków, jakie dla środowiska może przynieść nowa inwestycja czy działalność (por. wyr</w:t>
      </w:r>
      <w:r w:rsidRPr="002354AF">
        <w:rPr>
          <w:rFonts w:ascii="Times New Roman" w:eastAsia="Times New Roman" w:hAnsi="Times New Roman"/>
          <w:bCs/>
          <w:iCs/>
          <w:sz w:val="24"/>
          <w:szCs w:val="24"/>
          <w:lang w:eastAsia="pl-PL"/>
        </w:rPr>
        <w:t>ok NSA z 7 grudnia 2016 r., sygn. akt II OSK 601/15). Kolejną zasadą zawartą w art. 6 ust. 2 p.o.ś. jest zasada przezorności. W praktyce stosowanie zasady przezorności powinno przejawiać się w tym, że wszystkie podmioty podejmujące działalność, której skut</w:t>
      </w:r>
      <w:r w:rsidRPr="002354AF">
        <w:rPr>
          <w:rFonts w:ascii="Times New Roman" w:eastAsia="Times New Roman" w:hAnsi="Times New Roman"/>
          <w:bCs/>
          <w:iCs/>
          <w:sz w:val="24"/>
          <w:szCs w:val="24"/>
          <w:lang w:eastAsia="pl-PL"/>
        </w:rPr>
        <w:t>ki nie są do końca sprawdzone, a mogą wywrzeć negatywny wpływ na środowisko, powinny dokonać wszechstronnej analizy, w jaki sposób można wyeliminować zagrożenia.</w:t>
      </w:r>
    </w:p>
    <w:p w14:paraId="206E66C4"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Powyższe oznacza, że analizowane przedsięwzięcie może znacząco negatywnie wpłynąć na możliwość</w:t>
      </w:r>
      <w:r w:rsidRPr="002354AF">
        <w:rPr>
          <w:rFonts w:ascii="Times New Roman" w:eastAsia="Times New Roman" w:hAnsi="Times New Roman"/>
          <w:bCs/>
          <w:iCs/>
          <w:sz w:val="24"/>
          <w:szCs w:val="24"/>
          <w:lang w:eastAsia="pl-PL"/>
        </w:rPr>
        <w:t xml:space="preserve"> osiągniecia celów środowiskowych, o których mowa w art. 57, art. 59 oraz art. 61 p.w., a w konsekwencji – w myśl przepisu art. 81 ust. 3 u.o.o.ś. – stanowi podstawę do odmowy zgody na realizację przedmiotowego przedsięwzięcia.</w:t>
      </w:r>
    </w:p>
    <w:p w14:paraId="4669264D"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Ponadto, zgodnie z art. 66 u</w:t>
      </w:r>
      <w:r w:rsidRPr="002354AF">
        <w:rPr>
          <w:rFonts w:ascii="Times New Roman" w:eastAsia="Times New Roman" w:hAnsi="Times New Roman"/>
          <w:bCs/>
          <w:iCs/>
          <w:sz w:val="24"/>
          <w:szCs w:val="24"/>
          <w:lang w:eastAsia="pl-PL"/>
        </w:rPr>
        <w:t>st. 2 u.o.o.ś., informacje, o których mowa w ust. 1 pkt 4-8 tego artykułu, powinny uwzględniać przewidywane oddziaływanie analizowanych wariantów na cele i przedmiot ochrony obszaru Natura 2000 oraz integralność tego obszaru. Co więcej, z art. 66 ust. 1 pk</w:t>
      </w:r>
      <w:r w:rsidRPr="002354AF">
        <w:rPr>
          <w:rFonts w:ascii="Times New Roman" w:eastAsia="Times New Roman" w:hAnsi="Times New Roman"/>
          <w:bCs/>
          <w:iCs/>
          <w:sz w:val="24"/>
          <w:szCs w:val="24"/>
          <w:lang w:eastAsia="pl-PL"/>
        </w:rPr>
        <w:t xml:space="preserve">t 9 u.o.o.ś. wynika obowiązek opisania w raporcie o oddziaływaniu przedsięwzięcia na środowisko przewidywanych działań mających na celu zapobieganie, </w:t>
      </w:r>
      <w:r w:rsidRPr="002354AF">
        <w:rPr>
          <w:rFonts w:ascii="Times New Roman" w:eastAsia="Times New Roman" w:hAnsi="Times New Roman"/>
          <w:bCs/>
          <w:iCs/>
          <w:sz w:val="24"/>
          <w:szCs w:val="24"/>
          <w:lang w:eastAsia="pl-PL"/>
        </w:rPr>
        <w:lastRenderedPageBreak/>
        <w:t>ograniczanie lub kompensację przyrodniczą negatywnych oddziaływań na środowisko, w szczególności na cele i</w:t>
      </w:r>
      <w:r w:rsidRPr="002354AF">
        <w:rPr>
          <w:rFonts w:ascii="Times New Roman" w:eastAsia="Times New Roman" w:hAnsi="Times New Roman"/>
          <w:bCs/>
          <w:iCs/>
          <w:sz w:val="24"/>
          <w:szCs w:val="24"/>
          <w:lang w:eastAsia="pl-PL"/>
        </w:rPr>
        <w:t xml:space="preserve"> przedmiot ochrony obszaru Natura 2000 oraz integralność tego obszaru. Powyższych informacji w przedłożonym w sprawie raporcie zabrakło.</w:t>
      </w:r>
    </w:p>
    <w:p w14:paraId="4AEF3230"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W złożonym w styczniu 2023 r. uzupełnieniu inwestor, pomimo treści wezwania GDOŚ z 5 stycznia 2022 r., znak: DOOŚ-WDŚ/Z</w:t>
      </w:r>
      <w:r w:rsidRPr="002354AF">
        <w:rPr>
          <w:rFonts w:ascii="Times New Roman" w:eastAsia="Times New Roman" w:hAnsi="Times New Roman"/>
          <w:bCs/>
          <w:iCs/>
          <w:sz w:val="24"/>
          <w:szCs w:val="24"/>
          <w:lang w:eastAsia="pl-PL"/>
        </w:rPr>
        <w:t>OO.420.13.2020.maz.1, nie przeanalizował kwestii utraty siedlisk ornitofauny na</w:t>
      </w:r>
      <w:r w:rsidRPr="002354AF">
        <w:rPr>
          <w:rFonts w:ascii="TimesNewRomanPSMT" w:hAnsi="TimesNewRomanPSMT" w:cs="TimesNewRomanPSMT"/>
          <w:lang w:eastAsia="pl-PL"/>
        </w:rPr>
        <w:t xml:space="preserve"> </w:t>
      </w:r>
      <w:r w:rsidRPr="002354AF">
        <w:rPr>
          <w:rFonts w:ascii="Times New Roman" w:eastAsia="Times New Roman" w:hAnsi="Times New Roman"/>
          <w:bCs/>
          <w:iCs/>
          <w:sz w:val="24"/>
          <w:szCs w:val="24"/>
          <w:lang w:eastAsia="pl-PL"/>
        </w:rPr>
        <w:t xml:space="preserve">skutek planowanej wycinki. Przede wszystkim nie wyjaśnił, czy będzie dotyczyła przedmiotów ochrony obszaru Natura 2000 </w:t>
      </w:r>
      <w:bookmarkStart w:id="44" w:name="_Hlk180603978"/>
      <w:r w:rsidRPr="002354AF">
        <w:rPr>
          <w:rFonts w:ascii="Times New Roman" w:eastAsia="Times New Roman" w:hAnsi="Times New Roman"/>
          <w:bCs/>
          <w:iCs/>
          <w:sz w:val="24"/>
          <w:szCs w:val="24"/>
          <w:lang w:eastAsia="pl-PL"/>
        </w:rPr>
        <w:t xml:space="preserve">Dolina Środkowej Warty </w:t>
      </w:r>
      <w:bookmarkStart w:id="45" w:name="_Hlk180405392"/>
      <w:r w:rsidRPr="002354AF">
        <w:rPr>
          <w:rFonts w:ascii="Times New Roman" w:eastAsia="Times New Roman" w:hAnsi="Times New Roman"/>
          <w:bCs/>
          <w:iCs/>
          <w:sz w:val="24"/>
          <w:szCs w:val="24"/>
          <w:lang w:eastAsia="pl-PL"/>
        </w:rPr>
        <w:t>PLB300002</w:t>
      </w:r>
      <w:bookmarkEnd w:id="44"/>
      <w:bookmarkEnd w:id="45"/>
      <w:r w:rsidRPr="002354AF">
        <w:rPr>
          <w:rFonts w:ascii="Times New Roman" w:eastAsia="Times New Roman" w:hAnsi="Times New Roman"/>
          <w:bCs/>
          <w:iCs/>
          <w:sz w:val="24"/>
          <w:szCs w:val="24"/>
          <w:lang w:eastAsia="pl-PL"/>
        </w:rPr>
        <w:t xml:space="preserve"> (w szczególności dzięcio</w:t>
      </w:r>
      <w:r w:rsidRPr="002354AF">
        <w:rPr>
          <w:rFonts w:ascii="Times New Roman" w:eastAsia="Times New Roman" w:hAnsi="Times New Roman"/>
          <w:bCs/>
          <w:iCs/>
          <w:sz w:val="24"/>
          <w:szCs w:val="24"/>
          <w:lang w:eastAsia="pl-PL"/>
        </w:rPr>
        <w:t>ła średniego). Ponadto ze względu na wprowadzony, podczas trwania postępowania odwoławczego, plan zadań ochronnych dla obszaru Natura 2000 Dolina Środkowej Warty (zarządzenie Regionalnego Dyrektora Ochrony Środowiska w Poznaniu i Regionalnego Dyrektora Och</w:t>
      </w:r>
      <w:r w:rsidRPr="002354AF">
        <w:rPr>
          <w:rFonts w:ascii="Times New Roman" w:eastAsia="Times New Roman" w:hAnsi="Times New Roman"/>
          <w:bCs/>
          <w:iCs/>
          <w:sz w:val="24"/>
          <w:szCs w:val="24"/>
          <w:lang w:eastAsia="pl-PL"/>
        </w:rPr>
        <w:t>rony Środowiska w Łodzi z dnia 22 lutego 2022 r. w sprawie ustanowienia planu zadań ochronnych dla obszaru Natura 2000 Dolina Środkowej Warty PLB300002), GDOŚ wezwał wnioskodawcę do uzupełnienia dokumentacji o opis oddziaływania planowanego przedsięwzięcia</w:t>
      </w:r>
      <w:r w:rsidRPr="002354AF">
        <w:rPr>
          <w:rFonts w:ascii="Times New Roman" w:eastAsia="Times New Roman" w:hAnsi="Times New Roman"/>
          <w:bCs/>
          <w:iCs/>
          <w:sz w:val="24"/>
          <w:szCs w:val="24"/>
          <w:lang w:eastAsia="pl-PL"/>
        </w:rPr>
        <w:t xml:space="preserve"> na przedmioty ochrony ww. obszaru chronionego, w kontekście istniejących i potencjalnych zagrożeń oraz wpływu przedsięwzięcia na osiągnięcie celów działań ochronnych zawartych w ww. zarządzeniu. Inwestor nie przedstawił jednak stosownych uzupełnień powyżs</w:t>
      </w:r>
      <w:r w:rsidRPr="002354AF">
        <w:rPr>
          <w:rFonts w:ascii="Times New Roman" w:eastAsia="Times New Roman" w:hAnsi="Times New Roman"/>
          <w:bCs/>
          <w:iCs/>
          <w:sz w:val="24"/>
          <w:szCs w:val="24"/>
          <w:lang w:eastAsia="pl-PL"/>
        </w:rPr>
        <w:t>zych kwestii. Taka ocena powinna być przeprowadzona zawsze w przypadku wystąpienia ryzyka oddziaływania na cele i przedmioty ochrony danego obszaru Natura 2000, niezależnie od stopnia możliwego negatywnego wpływu. Zatem wbrew twierdzeniu wnioskodawcy, wyra</w:t>
      </w:r>
      <w:r w:rsidRPr="002354AF">
        <w:rPr>
          <w:rFonts w:ascii="Times New Roman" w:eastAsia="Times New Roman" w:hAnsi="Times New Roman"/>
          <w:bCs/>
          <w:iCs/>
          <w:sz w:val="24"/>
          <w:szCs w:val="24"/>
          <w:lang w:eastAsia="pl-PL"/>
        </w:rPr>
        <w:t>żonemu w piśmie z 1 grudnia 2023 r., na obecnym etapie postępowania zgromadzony materiał dowodowy nie pozwala na dokonanie szczegółowych analiz w zakresie oddziaływania na cele i przedmioty ochrony ww. obszaru Natura 2000.</w:t>
      </w:r>
    </w:p>
    <w:p w14:paraId="55652996"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Ponadto, pomimo planowanej wycink</w:t>
      </w:r>
      <w:r w:rsidRPr="002354AF">
        <w:rPr>
          <w:rFonts w:ascii="Times New Roman" w:eastAsia="Times New Roman" w:hAnsi="Times New Roman"/>
          <w:bCs/>
          <w:iCs/>
          <w:sz w:val="24"/>
          <w:szCs w:val="24"/>
          <w:lang w:eastAsia="pl-PL"/>
        </w:rPr>
        <w:t>i drzew, w dokumentacji nie opisano oddziaływania omawianego przedsięwzięcia na ptaki, związanego z możliwością utraty ich miejsc lęgowych. Tym samym brak analizy oddziaływania na ptaki, wynikającego z wycinki drzew, w konsekwencji uniemożliwił zaplanowani</w:t>
      </w:r>
      <w:r w:rsidRPr="002354AF">
        <w:rPr>
          <w:rFonts w:ascii="Times New Roman" w:eastAsia="Times New Roman" w:hAnsi="Times New Roman"/>
          <w:bCs/>
          <w:iCs/>
          <w:sz w:val="24"/>
          <w:szCs w:val="24"/>
          <w:lang w:eastAsia="pl-PL"/>
        </w:rPr>
        <w:t>e adekwatnej do stwierdzonego oddziaływania minimalizacji i kompensacji w postaci budek lęgowych. Dokładna liczba i rodzaj budek powinien zostać oszacowany uwzględniając gatunki bytujące na danym terenie, ich biologię oraz zasięg dziennych migracji, pojemn</w:t>
      </w:r>
      <w:r w:rsidRPr="002354AF">
        <w:rPr>
          <w:rFonts w:ascii="Times New Roman" w:eastAsia="Times New Roman" w:hAnsi="Times New Roman"/>
          <w:bCs/>
          <w:iCs/>
          <w:sz w:val="24"/>
          <w:szCs w:val="24"/>
          <w:lang w:eastAsia="pl-PL"/>
        </w:rPr>
        <w:t>ość siedliska, dostępność pożywienia itp. Do określenia liczby budek koniecznych do wywieszenia niezbędne są wyniki inwentaryzacji oraz analiza dostępnych danych literaturowych, np. wskaźników średnich zagęszczeń poszczególnych ptaków dziuplastych określon</w:t>
      </w:r>
      <w:r w:rsidRPr="002354AF">
        <w:rPr>
          <w:rFonts w:ascii="Times New Roman" w:eastAsia="Times New Roman" w:hAnsi="Times New Roman"/>
          <w:bCs/>
          <w:iCs/>
          <w:sz w:val="24"/>
          <w:szCs w:val="24"/>
          <w:lang w:eastAsia="pl-PL"/>
        </w:rPr>
        <w:t>ych w publikacji „Trendy liczebności ptaków w Polsce” (P. Chylarecki i in., Biblioteka Monitoringu Środowiska, 2018 r.) lub w wynikach Monitoringu Ptaków Polski, prowadzonych w ramach PMŚ przez Główny Inspektorat Ochrony Środowiska. Natomiast powyższych in</w:t>
      </w:r>
      <w:r w:rsidRPr="002354AF">
        <w:rPr>
          <w:rFonts w:ascii="Times New Roman" w:eastAsia="Times New Roman" w:hAnsi="Times New Roman"/>
          <w:bCs/>
          <w:iCs/>
          <w:sz w:val="24"/>
          <w:szCs w:val="24"/>
          <w:lang w:eastAsia="pl-PL"/>
        </w:rPr>
        <w:t>formacji w dokumentacji zabrakło.</w:t>
      </w:r>
    </w:p>
    <w:p w14:paraId="24F94AA4"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Wątpliwości budzi także przedstawiona w uzupełnieniu ze stycznia 2023 r. analiza oddziaływania na płaty siedliska 91E0, znajdujące się w granicach obszaru Natura 2000 </w:t>
      </w:r>
      <w:bookmarkStart w:id="46" w:name="_Hlk180577263"/>
      <w:bookmarkStart w:id="47" w:name="_Hlk180603920"/>
      <w:r w:rsidRPr="002354AF">
        <w:rPr>
          <w:rFonts w:ascii="Times New Roman" w:eastAsia="Times New Roman" w:hAnsi="Times New Roman"/>
          <w:bCs/>
          <w:iCs/>
          <w:sz w:val="24"/>
          <w:szCs w:val="24"/>
          <w:lang w:eastAsia="pl-PL"/>
        </w:rPr>
        <w:t>Ostoja Nadwarciańska</w:t>
      </w:r>
      <w:bookmarkEnd w:id="46"/>
      <w:r w:rsidRPr="002354AF">
        <w:rPr>
          <w:rFonts w:ascii="Times New Roman" w:eastAsia="Times New Roman" w:hAnsi="Times New Roman"/>
          <w:bCs/>
          <w:iCs/>
          <w:sz w:val="24"/>
          <w:szCs w:val="24"/>
          <w:lang w:eastAsia="pl-PL"/>
        </w:rPr>
        <w:t xml:space="preserve"> PLH300009</w:t>
      </w:r>
      <w:bookmarkEnd w:id="47"/>
      <w:r w:rsidRPr="002354AF">
        <w:rPr>
          <w:rFonts w:ascii="Times New Roman" w:eastAsia="Times New Roman" w:hAnsi="Times New Roman"/>
          <w:bCs/>
          <w:iCs/>
          <w:sz w:val="24"/>
          <w:szCs w:val="24"/>
          <w:lang w:eastAsia="pl-PL"/>
        </w:rPr>
        <w:t>, położone na terenie pla</w:t>
      </w:r>
      <w:r w:rsidRPr="002354AF">
        <w:rPr>
          <w:rFonts w:ascii="Times New Roman" w:eastAsia="Times New Roman" w:hAnsi="Times New Roman"/>
          <w:bCs/>
          <w:iCs/>
          <w:sz w:val="24"/>
          <w:szCs w:val="24"/>
          <w:lang w:eastAsia="pl-PL"/>
        </w:rPr>
        <w:t xml:space="preserve">nowanego przedsięwzięcia. W punkcie IV </w:t>
      </w:r>
      <w:r w:rsidRPr="002354AF">
        <w:rPr>
          <w:rFonts w:ascii="Times New Roman" w:eastAsia="Times New Roman" w:hAnsi="Times New Roman"/>
          <w:bCs/>
          <w:iCs/>
          <w:sz w:val="24"/>
          <w:szCs w:val="24"/>
          <w:lang w:eastAsia="pl-PL"/>
        </w:rPr>
        <w:lastRenderedPageBreak/>
        <w:t xml:space="preserve">wezwania z 5 stycznia 2022 r. GDOŚ wskazał konieczność przeanalizowania </w:t>
      </w:r>
      <w:bookmarkStart w:id="48" w:name="_Hlk180577070"/>
      <w:r w:rsidRPr="002354AF">
        <w:rPr>
          <w:rFonts w:ascii="Times New Roman" w:eastAsia="Times New Roman" w:hAnsi="Times New Roman"/>
          <w:bCs/>
          <w:iCs/>
          <w:sz w:val="24"/>
          <w:szCs w:val="24"/>
          <w:lang w:eastAsia="pl-PL"/>
        </w:rPr>
        <w:t>oddziaływania przedsięwzięcia na płaty siedliska 91E0 położone powyżej obszaru objętego działaniami B6</w:t>
      </w:r>
      <w:bookmarkEnd w:id="48"/>
      <w:r w:rsidRPr="002354AF">
        <w:rPr>
          <w:rFonts w:ascii="Times New Roman" w:eastAsia="Times New Roman" w:hAnsi="Times New Roman"/>
          <w:bCs/>
          <w:iCs/>
          <w:sz w:val="24"/>
          <w:szCs w:val="24"/>
          <w:lang w:eastAsia="pl-PL"/>
        </w:rPr>
        <w:t>, które polegają na instalacji zastawek (na</w:t>
      </w:r>
      <w:r w:rsidRPr="002354AF">
        <w:rPr>
          <w:rFonts w:ascii="Times New Roman" w:eastAsia="Times New Roman" w:hAnsi="Times New Roman"/>
          <w:bCs/>
          <w:iCs/>
          <w:sz w:val="24"/>
          <w:szCs w:val="24"/>
          <w:lang w:eastAsia="pl-PL"/>
        </w:rPr>
        <w:t xml:space="preserve"> północ od tego działania). Inwestor na str. 17 uzupełnienia ze stycznia 2023 r. przedłożył mapę z zaznaczoną lokalizacją płatów omawianego siedliska. Analizie poddane zostały jednak płaty znajdujące się na południe od obszaru objętego działami B6. Nie zos</w:t>
      </w:r>
      <w:r w:rsidRPr="002354AF">
        <w:rPr>
          <w:rFonts w:ascii="Times New Roman" w:eastAsia="Times New Roman" w:hAnsi="Times New Roman"/>
          <w:bCs/>
          <w:iCs/>
          <w:sz w:val="24"/>
          <w:szCs w:val="24"/>
          <w:lang w:eastAsia="pl-PL"/>
        </w:rPr>
        <w:t>tała więc przedstawiona analiza oddziaływania planowanego przedsięwzięcia na płaty siedliska 91E0 położone na terenie projektowanego polderu, znajdujące się na północ od obszaru objętego działaniami B6. Co więcej, nie określono, jaki procent powierzchni za</w:t>
      </w:r>
      <w:r w:rsidRPr="002354AF">
        <w:rPr>
          <w:rFonts w:ascii="Times New Roman" w:eastAsia="Times New Roman" w:hAnsi="Times New Roman"/>
          <w:bCs/>
          <w:iCs/>
          <w:sz w:val="24"/>
          <w:szCs w:val="24"/>
          <w:lang w:eastAsia="pl-PL"/>
        </w:rPr>
        <w:t>jmują omawiane płaty względem powierzchni całego siedliska obszaru Natura 2000 Ostoja Nadwarciańska. Natomiast, jak wynika z dołączonych do dokumentacji planu zadań ochronnych dla obszaru Natura 2000 Ostoja Nadwarciańska z 2014 r. plików shapefile, płaty t</w:t>
      </w:r>
      <w:r w:rsidRPr="002354AF">
        <w:rPr>
          <w:rFonts w:ascii="Times New Roman" w:eastAsia="Times New Roman" w:hAnsi="Times New Roman"/>
          <w:bCs/>
          <w:iCs/>
          <w:sz w:val="24"/>
          <w:szCs w:val="24"/>
          <w:lang w:eastAsia="pl-PL"/>
        </w:rPr>
        <w:t>e należą do przedmiotów ochrony ww. obszaru Natura 2000. Nierozpoznanie i nieprzeanalizowanie oddziaływania przedsięwzięcia na płaty siedliska 91E0 położone powyżej obszaru objętego działaniami B6 skutkuje brakiem możliwości zaplanowania adekwatnej kompens</w:t>
      </w:r>
      <w:r w:rsidRPr="002354AF">
        <w:rPr>
          <w:rFonts w:ascii="Times New Roman" w:eastAsia="Times New Roman" w:hAnsi="Times New Roman"/>
          <w:bCs/>
          <w:iCs/>
          <w:sz w:val="24"/>
          <w:szCs w:val="24"/>
          <w:lang w:eastAsia="pl-PL"/>
        </w:rPr>
        <w:t xml:space="preserve">acji. </w:t>
      </w:r>
    </w:p>
    <w:p w14:paraId="0AB145AE"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Powtórzenia wymaga, że wobec powyższego w ocenie GDOŚ na podstawie zgromadzonej dokumentacji nie jest możliwe rzetelne, kompletne i skrupulatne określenie skali oddziaływania planowanego przedsięwzięcia na siedlisko priorytetowe 91E0, co w konsekwen</w:t>
      </w:r>
      <w:r w:rsidRPr="002354AF">
        <w:rPr>
          <w:rFonts w:ascii="Times New Roman" w:eastAsia="Times New Roman" w:hAnsi="Times New Roman"/>
          <w:bCs/>
          <w:iCs/>
          <w:sz w:val="24"/>
          <w:szCs w:val="24"/>
          <w:lang w:eastAsia="pl-PL"/>
        </w:rPr>
        <w:t xml:space="preserve">cji wyklucza możliwość zaplanowania działań kompensacyjnych wobec przedmiotów ochrony obszaru Natura 2000 Ostoja Nadwarciańska w sposób zapewniający jej skuteczność i trwałość </w:t>
      </w:r>
    </w:p>
    <w:p w14:paraId="4DCADE5B"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Ponadto w dokumentacji zabrakło informacji dotyczącej dokładnej liczby drzew i </w:t>
      </w:r>
      <w:r w:rsidRPr="002354AF">
        <w:rPr>
          <w:rFonts w:ascii="Times New Roman" w:eastAsia="Times New Roman" w:hAnsi="Times New Roman"/>
          <w:bCs/>
          <w:iCs/>
          <w:sz w:val="24"/>
          <w:szCs w:val="24"/>
          <w:lang w:eastAsia="pl-PL"/>
        </w:rPr>
        <w:t>krzewów przeznaczonych do wycinki. W związku z powyższym, w celu wprowadzenia prawidłowej kompensacji, GDOŚ pismem z 5 stycznia 2022 r., znak: DOOŚ-WDŚ/ZOO.420.13.2020.maz.1, wezwał o doprecyzowanie tej kwestii. Natomiast, mimo że inwestor wykazał chęć wpr</w:t>
      </w:r>
      <w:r w:rsidRPr="002354AF">
        <w:rPr>
          <w:rFonts w:ascii="Times New Roman" w:eastAsia="Times New Roman" w:hAnsi="Times New Roman"/>
          <w:bCs/>
          <w:iCs/>
          <w:sz w:val="24"/>
          <w:szCs w:val="24"/>
          <w:lang w:eastAsia="pl-PL"/>
        </w:rPr>
        <w:t xml:space="preserve">owadzenia nasadzeń, to dane dotyczące </w:t>
      </w:r>
      <w:r>
        <w:rPr>
          <w:rFonts w:ascii="Times New Roman" w:eastAsia="Times New Roman" w:hAnsi="Times New Roman"/>
          <w:bCs/>
          <w:iCs/>
          <w:sz w:val="24"/>
          <w:szCs w:val="24"/>
          <w:lang w:eastAsia="pl-PL"/>
        </w:rPr>
        <w:t>ich</w:t>
      </w:r>
      <w:r w:rsidRPr="002354AF">
        <w:rPr>
          <w:rFonts w:ascii="Times New Roman" w:eastAsia="Times New Roman" w:hAnsi="Times New Roman"/>
          <w:bCs/>
          <w:iCs/>
          <w:sz w:val="24"/>
          <w:szCs w:val="24"/>
          <w:lang w:eastAsia="pl-PL"/>
        </w:rPr>
        <w:t xml:space="preserve"> skali zostały przedstawione w niejasny sposób i pomimo ponownego wezwania nie zostały uzupełnione. </w:t>
      </w:r>
    </w:p>
    <w:p w14:paraId="7AC12119" w14:textId="77777777" w:rsidR="00B5204E" w:rsidRPr="00B631EE"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Niejasny jest również opis oddziaływania związanego z zalewaniem i opróżnianiem polderu na etapie jego </w:t>
      </w:r>
      <w:r w:rsidRPr="002354AF">
        <w:rPr>
          <w:rFonts w:ascii="Times New Roman" w:eastAsia="Times New Roman" w:hAnsi="Times New Roman"/>
          <w:bCs/>
          <w:iCs/>
          <w:sz w:val="24"/>
          <w:szCs w:val="24"/>
          <w:lang w:eastAsia="pl-PL"/>
        </w:rPr>
        <w:t>eksploatacji na batrachofaunę. W decyzji RDOŚ w Poznaniu z 13 lutego 2020 r. ujęto wyłącznie zapis</w:t>
      </w:r>
      <w:r w:rsidRPr="002354AF">
        <w:rPr>
          <w:rFonts w:ascii="TimesNewRomanPSMT" w:hAnsi="TimesNewRomanPSMT" w:cs="TimesNewRomanPSMT"/>
          <w:lang w:eastAsia="pl-PL"/>
        </w:rPr>
        <w:t xml:space="preserve"> </w:t>
      </w:r>
      <w:r w:rsidRPr="002354AF">
        <w:rPr>
          <w:rFonts w:ascii="Times New Roman" w:eastAsia="Times New Roman" w:hAnsi="Times New Roman"/>
          <w:bCs/>
          <w:iCs/>
          <w:sz w:val="24"/>
          <w:szCs w:val="24"/>
          <w:lang w:eastAsia="pl-PL"/>
        </w:rPr>
        <w:t>dotyczący ogradzania zbiorników wodnych na etapie prac budowlanych siatką herpetologiczną w sposób uniemożliwiający przedostanie się płazów na plac budowy. N</w:t>
      </w:r>
      <w:r w:rsidRPr="002354AF">
        <w:rPr>
          <w:rFonts w:ascii="Times New Roman" w:eastAsia="Times New Roman" w:hAnsi="Times New Roman"/>
          <w:bCs/>
          <w:iCs/>
          <w:sz w:val="24"/>
          <w:szCs w:val="24"/>
          <w:lang w:eastAsia="pl-PL"/>
        </w:rPr>
        <w:t xml:space="preserve">atomiast w uzupełnieniu raportu ze stycznia 2023 r. została zawarta jedynie informacja: </w:t>
      </w:r>
      <w:r w:rsidRPr="002354AF">
        <w:rPr>
          <w:rFonts w:ascii="Times New Roman" w:eastAsia="Times New Roman" w:hAnsi="Times New Roman"/>
          <w:bCs/>
          <w:i/>
          <w:iCs/>
          <w:sz w:val="24"/>
          <w:szCs w:val="24"/>
          <w:lang w:eastAsia="pl-PL"/>
        </w:rPr>
        <w:t>Ponadto do obowiązków herpetologa w ramach nadzoru przyrodniczego należy</w:t>
      </w:r>
      <w:r w:rsidRPr="002354AF">
        <w:rPr>
          <w:rFonts w:ascii="Times New Roman" w:eastAsia="Times New Roman" w:hAnsi="Times New Roman"/>
          <w:bCs/>
          <w:iCs/>
          <w:sz w:val="24"/>
          <w:szCs w:val="24"/>
          <w:lang w:eastAsia="pl-PL"/>
        </w:rPr>
        <w:t xml:space="preserve"> </w:t>
      </w:r>
      <w:r w:rsidRPr="002354AF">
        <w:rPr>
          <w:rFonts w:ascii="Times New Roman" w:eastAsia="Times New Roman" w:hAnsi="Times New Roman"/>
          <w:bCs/>
          <w:i/>
          <w:iCs/>
          <w:sz w:val="24"/>
          <w:szCs w:val="24"/>
          <w:lang w:eastAsia="pl-PL"/>
        </w:rPr>
        <w:t>stwierdzenie konieczności podjęcia i wskazania dodatkowych działań zabezpieczających lub</w:t>
      </w:r>
      <w:r w:rsidRPr="002354AF">
        <w:rPr>
          <w:rFonts w:ascii="Times New Roman" w:eastAsia="Times New Roman" w:hAnsi="Times New Roman"/>
          <w:bCs/>
          <w:iCs/>
          <w:sz w:val="24"/>
          <w:szCs w:val="24"/>
          <w:lang w:eastAsia="pl-PL"/>
        </w:rPr>
        <w:t xml:space="preserve"> </w:t>
      </w:r>
      <w:r w:rsidRPr="002354AF">
        <w:rPr>
          <w:rFonts w:ascii="Times New Roman" w:eastAsia="Times New Roman" w:hAnsi="Times New Roman"/>
          <w:bCs/>
          <w:i/>
          <w:iCs/>
          <w:sz w:val="24"/>
          <w:szCs w:val="24"/>
          <w:lang w:eastAsia="pl-PL"/>
        </w:rPr>
        <w:t>minima</w:t>
      </w:r>
      <w:r w:rsidRPr="002354AF">
        <w:rPr>
          <w:rFonts w:ascii="Times New Roman" w:eastAsia="Times New Roman" w:hAnsi="Times New Roman"/>
          <w:bCs/>
          <w:i/>
          <w:iCs/>
          <w:sz w:val="24"/>
          <w:szCs w:val="24"/>
          <w:lang w:eastAsia="pl-PL"/>
        </w:rPr>
        <w:t>lizujących wpływ prac budowlanych oraz wpływ przedsięwzięcia w czasie jego funkcjonowania</w:t>
      </w:r>
      <w:r w:rsidRPr="002354AF">
        <w:rPr>
          <w:rFonts w:ascii="Times New Roman" w:eastAsia="Times New Roman" w:hAnsi="Times New Roman"/>
          <w:bCs/>
          <w:iCs/>
          <w:sz w:val="24"/>
          <w:szCs w:val="24"/>
          <w:lang w:eastAsia="pl-PL"/>
        </w:rPr>
        <w:t xml:space="preserve"> </w:t>
      </w:r>
      <w:r w:rsidRPr="002354AF">
        <w:rPr>
          <w:rFonts w:ascii="Times New Roman" w:eastAsia="Times New Roman" w:hAnsi="Times New Roman"/>
          <w:bCs/>
          <w:i/>
          <w:iCs/>
          <w:sz w:val="24"/>
          <w:szCs w:val="24"/>
          <w:lang w:eastAsia="pl-PL"/>
        </w:rPr>
        <w:t>tj. w czasie zalewania oraz opróżniania polderu na chronione gatunki zwierząt, w zależności od</w:t>
      </w:r>
      <w:r w:rsidRPr="002354AF">
        <w:rPr>
          <w:rFonts w:ascii="Times New Roman" w:eastAsia="Times New Roman" w:hAnsi="Times New Roman"/>
          <w:bCs/>
          <w:iCs/>
          <w:sz w:val="24"/>
          <w:szCs w:val="24"/>
          <w:lang w:eastAsia="pl-PL"/>
        </w:rPr>
        <w:t xml:space="preserve"> </w:t>
      </w:r>
      <w:r w:rsidRPr="002354AF">
        <w:rPr>
          <w:rFonts w:ascii="Times New Roman" w:eastAsia="Times New Roman" w:hAnsi="Times New Roman"/>
          <w:bCs/>
          <w:i/>
          <w:iCs/>
          <w:sz w:val="24"/>
          <w:szCs w:val="24"/>
          <w:lang w:eastAsia="pl-PL"/>
        </w:rPr>
        <w:t xml:space="preserve">stwierdzonych uwarunkowań lokalnych. </w:t>
      </w:r>
      <w:r w:rsidRPr="002354AF">
        <w:rPr>
          <w:rFonts w:ascii="Times New Roman" w:eastAsia="Times New Roman" w:hAnsi="Times New Roman"/>
          <w:bCs/>
          <w:iCs/>
          <w:sz w:val="24"/>
          <w:szCs w:val="24"/>
          <w:lang w:eastAsia="pl-PL"/>
        </w:rPr>
        <w:t>Pomimo kolejnego wezwania o opisan</w:t>
      </w:r>
      <w:r w:rsidRPr="002354AF">
        <w:rPr>
          <w:rFonts w:ascii="Times New Roman" w:eastAsia="Times New Roman" w:hAnsi="Times New Roman"/>
          <w:bCs/>
          <w:iCs/>
          <w:sz w:val="24"/>
          <w:szCs w:val="24"/>
          <w:lang w:eastAsia="pl-PL"/>
        </w:rPr>
        <w:t xml:space="preserve">ie i uszczegółowienie powyższych zabezpieczeń, wnioskodawca odmówił udzielenia </w:t>
      </w:r>
      <w:r w:rsidRPr="002354AF">
        <w:rPr>
          <w:rFonts w:ascii="Times New Roman" w:eastAsia="Times New Roman" w:hAnsi="Times New Roman"/>
          <w:bCs/>
          <w:iCs/>
          <w:sz w:val="24"/>
          <w:szCs w:val="24"/>
          <w:lang w:eastAsia="pl-PL"/>
        </w:rPr>
        <w:lastRenderedPageBreak/>
        <w:t xml:space="preserve">odpowiedzi, stwierdzając, że </w:t>
      </w:r>
      <w:r w:rsidRPr="002354AF">
        <w:rPr>
          <w:rFonts w:ascii="Times New Roman" w:eastAsia="Times New Roman" w:hAnsi="Times New Roman"/>
          <w:bCs/>
          <w:i/>
          <w:iCs/>
          <w:sz w:val="24"/>
          <w:szCs w:val="24"/>
          <w:lang w:eastAsia="pl-PL"/>
        </w:rPr>
        <w:t xml:space="preserve">wystarczający jest materiał dowodowy zgromadzony dotychczas w </w:t>
      </w:r>
      <w:r w:rsidRPr="00B631EE">
        <w:rPr>
          <w:rFonts w:ascii="Times New Roman" w:eastAsia="Times New Roman" w:hAnsi="Times New Roman"/>
          <w:bCs/>
          <w:i/>
          <w:iCs/>
          <w:sz w:val="24"/>
          <w:szCs w:val="24"/>
          <w:lang w:eastAsia="pl-PL"/>
        </w:rPr>
        <w:t>przedmiotowej sprawie</w:t>
      </w:r>
      <w:r w:rsidRPr="00B631EE">
        <w:rPr>
          <w:rFonts w:ascii="Times New Roman" w:eastAsia="Times New Roman" w:hAnsi="Times New Roman"/>
          <w:bCs/>
          <w:iCs/>
          <w:sz w:val="24"/>
          <w:szCs w:val="24"/>
          <w:lang w:eastAsia="pl-PL"/>
        </w:rPr>
        <w:t>.</w:t>
      </w:r>
    </w:p>
    <w:p w14:paraId="5E1FA654" w14:textId="77777777" w:rsidR="00B5204E" w:rsidRPr="00C376E6" w:rsidRDefault="000060D6" w:rsidP="00336A51">
      <w:pPr>
        <w:spacing w:after="0" w:line="312" w:lineRule="auto"/>
        <w:ind w:firstLine="709"/>
        <w:jc w:val="both"/>
        <w:rPr>
          <w:rFonts w:ascii="Times New Roman" w:eastAsia="Times New Roman" w:hAnsi="Times New Roman"/>
          <w:bCs/>
          <w:iCs/>
          <w:sz w:val="24"/>
          <w:szCs w:val="24"/>
          <w:lang w:eastAsia="pl-PL"/>
        </w:rPr>
      </w:pPr>
      <w:r w:rsidRPr="00C376E6">
        <w:rPr>
          <w:rFonts w:ascii="Times New Roman" w:eastAsia="Times New Roman" w:hAnsi="Times New Roman"/>
          <w:bCs/>
          <w:iCs/>
          <w:sz w:val="24"/>
          <w:szCs w:val="24"/>
          <w:lang w:eastAsia="pl-PL"/>
        </w:rPr>
        <w:t>Wskazać należy, że z treści zaskarżonej decyzji wynika, że RDOŚ</w:t>
      </w:r>
      <w:r w:rsidRPr="00C376E6">
        <w:rPr>
          <w:rFonts w:ascii="Times New Roman" w:eastAsia="Times New Roman" w:hAnsi="Times New Roman"/>
          <w:bCs/>
          <w:iCs/>
          <w:sz w:val="24"/>
          <w:szCs w:val="24"/>
          <w:lang w:eastAsia="pl-PL"/>
        </w:rPr>
        <w:t xml:space="preserve"> w Poznaniu nie przeanalizował wielu aspektów związanych z oddziaływaniem planowanego przedsięwzięcia m.in. na ptaki, siedlisko 91E0 i batrachofaunę; również w aktach sprawy brak jest dowodów, które wskazywałyby na dokonanie oceny w tym zakresie. Wyjaśnien</w:t>
      </w:r>
      <w:r w:rsidRPr="00C376E6">
        <w:rPr>
          <w:rFonts w:ascii="Times New Roman" w:eastAsia="Times New Roman" w:hAnsi="Times New Roman"/>
          <w:bCs/>
          <w:iCs/>
          <w:sz w:val="24"/>
          <w:szCs w:val="24"/>
          <w:lang w:eastAsia="pl-PL"/>
        </w:rPr>
        <w:t>ie tych kwestii jest kluczowe do określenia właściwej kompensacji przyrodniczej (np. w postaci nasadzeń zamiennych, budek dla ptaków) oraz minimalizacji oddziaływań na płazy na etapie eksploatacji przedsięwzięcia, niezbędnych do zapewnienia spójności i wła</w:t>
      </w:r>
      <w:r w:rsidRPr="00C376E6">
        <w:rPr>
          <w:rFonts w:ascii="Times New Roman" w:eastAsia="Times New Roman" w:hAnsi="Times New Roman"/>
          <w:bCs/>
          <w:iCs/>
          <w:sz w:val="24"/>
          <w:szCs w:val="24"/>
          <w:lang w:eastAsia="pl-PL"/>
        </w:rPr>
        <w:t>ściwego funkcjonowania obszaru Natura 2000. GDOŚ</w:t>
      </w:r>
      <w:r>
        <w:rPr>
          <w:rFonts w:ascii="Times New Roman" w:eastAsia="Times New Roman" w:hAnsi="Times New Roman"/>
          <w:bCs/>
          <w:iCs/>
          <w:sz w:val="24"/>
          <w:szCs w:val="24"/>
          <w:lang w:eastAsia="pl-PL"/>
        </w:rPr>
        <w:t>,</w:t>
      </w:r>
      <w:r w:rsidRPr="00C376E6">
        <w:rPr>
          <w:rFonts w:ascii="Times New Roman" w:eastAsia="Times New Roman" w:hAnsi="Times New Roman"/>
          <w:bCs/>
          <w:iCs/>
          <w:sz w:val="24"/>
          <w:szCs w:val="24"/>
          <w:lang w:eastAsia="pl-PL"/>
        </w:rPr>
        <w:t xml:space="preserve"> korzystając z uprawnień wynikających z art. 136 k.p.a.</w:t>
      </w:r>
      <w:r>
        <w:rPr>
          <w:rFonts w:ascii="Times New Roman" w:eastAsia="Times New Roman" w:hAnsi="Times New Roman"/>
          <w:bCs/>
          <w:iCs/>
          <w:sz w:val="24"/>
          <w:szCs w:val="24"/>
          <w:lang w:eastAsia="pl-PL"/>
        </w:rPr>
        <w:t>,</w:t>
      </w:r>
      <w:r w:rsidRPr="00C376E6">
        <w:rPr>
          <w:rFonts w:ascii="Times New Roman" w:eastAsia="Times New Roman" w:hAnsi="Times New Roman"/>
          <w:bCs/>
          <w:iCs/>
          <w:sz w:val="24"/>
          <w:szCs w:val="24"/>
          <w:lang w:eastAsia="pl-PL"/>
        </w:rPr>
        <w:t xml:space="preserve"> trzykrotnie wzywał inwestora do wyjaśnienia oraz uszczegółowienia informacji zawartych w raporcie dotyczących powyższych kwestii, natomiast odpowiedź </w:t>
      </w:r>
      <w:r w:rsidRPr="00C376E6">
        <w:rPr>
          <w:rFonts w:ascii="Times New Roman" w:eastAsia="Times New Roman" w:hAnsi="Times New Roman"/>
          <w:bCs/>
          <w:iCs/>
          <w:sz w:val="24"/>
          <w:szCs w:val="24"/>
          <w:lang w:eastAsia="pl-PL"/>
        </w:rPr>
        <w:t>inwestora na wezwanie GDOŚ z 5 stycznia 2022 r. nie zawierała wszystkich niezbędnych informacji, do których uzupełnienia wezwał organ – część z punktów wezwania wnioskodawca pominął bez wyjaśnienia, a na inne udzielił niejasnych oraz wątpliwych odpowiedzi.</w:t>
      </w:r>
      <w:r w:rsidRPr="00C376E6">
        <w:rPr>
          <w:rFonts w:ascii="Times New Roman" w:eastAsia="Times New Roman" w:hAnsi="Times New Roman"/>
          <w:bCs/>
          <w:iCs/>
          <w:sz w:val="24"/>
          <w:szCs w:val="24"/>
          <w:lang w:eastAsia="pl-PL"/>
        </w:rPr>
        <w:t xml:space="preserve"> Z kolei na ponowne wezwanie organu odwoławczego z 20 czerwca 2023 r., powtórzone wezwaniem z 9 listopada 2023 r., inwestor nie udzielił merytorycznej odpowiedzi, stwierdzając, że nie będzie składać nowych materiałów, wyjaśnień ani uzupełnień w przedmiotow</w:t>
      </w:r>
      <w:r w:rsidRPr="00C376E6">
        <w:rPr>
          <w:rFonts w:ascii="Times New Roman" w:eastAsia="Times New Roman" w:hAnsi="Times New Roman"/>
          <w:bCs/>
          <w:iCs/>
          <w:sz w:val="24"/>
          <w:szCs w:val="24"/>
          <w:lang w:eastAsia="pl-PL"/>
        </w:rPr>
        <w:t>ej sprawie.</w:t>
      </w:r>
    </w:p>
    <w:p w14:paraId="7F3CD43B"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B631EE">
        <w:rPr>
          <w:rFonts w:ascii="Times New Roman" w:eastAsia="Times New Roman" w:hAnsi="Times New Roman"/>
          <w:bCs/>
          <w:iCs/>
          <w:sz w:val="24"/>
          <w:szCs w:val="24"/>
          <w:lang w:eastAsia="pl-PL"/>
        </w:rPr>
        <w:t>Na podstawie art. 33 ust. 1 ustawy z dnia 16 kwietnia 2004 r. o ochronie przyrody (Dz.</w:t>
      </w:r>
      <w:r w:rsidRPr="002354AF">
        <w:rPr>
          <w:rFonts w:ascii="Times New Roman" w:eastAsia="Times New Roman" w:hAnsi="Times New Roman"/>
          <w:bCs/>
          <w:iCs/>
          <w:sz w:val="24"/>
          <w:szCs w:val="24"/>
          <w:lang w:eastAsia="pl-PL"/>
        </w:rPr>
        <w:t xml:space="preserve"> U. z 2024 r. poz. 1478), dalej u.o.p., z zastrzeżeniem art. 34 tej ustawy, zabrania się podejmowania działań mogących, osobno lub w połączeniu z innymi działaniami, znacząco negatywnie oddziaływać na cele ochrony obszaru Natura 2000. Stosownie do art. 34 </w:t>
      </w:r>
      <w:r w:rsidRPr="002354AF">
        <w:rPr>
          <w:rFonts w:ascii="Times New Roman" w:eastAsia="Times New Roman" w:hAnsi="Times New Roman"/>
          <w:bCs/>
          <w:iCs/>
          <w:sz w:val="24"/>
          <w:szCs w:val="24"/>
          <w:lang w:eastAsia="pl-PL"/>
        </w:rPr>
        <w:t>ust. 1 u.o.p., jeżeli przemawiają za tym konieczne wymogi nadrzędnego interesu publicznego, w tym wymogi o charakterze społecznym lub gospodarczym i wobec braku rozwiązań alternatywnych, właściwy miejscowo regionalny dyrektor ochrony środowiska może zezwol</w:t>
      </w:r>
      <w:r w:rsidRPr="002354AF">
        <w:rPr>
          <w:rFonts w:ascii="Times New Roman" w:eastAsia="Times New Roman" w:hAnsi="Times New Roman"/>
          <w:bCs/>
          <w:iCs/>
          <w:sz w:val="24"/>
          <w:szCs w:val="24"/>
          <w:lang w:eastAsia="pl-PL"/>
        </w:rPr>
        <w:t xml:space="preserve">ić na realizację planu lub działań, mogących znacząco negatywnie oddziaływać na cele ochrony obszaru Natura 2000, zapewniając wykonanie kompensacji przyrodniczej niezbędnej do zapewnienia spójności i właściwego funkcjonowania sieci obszarów Natura 2000. </w:t>
      </w:r>
      <w:r>
        <w:rPr>
          <w:rFonts w:ascii="Times New Roman" w:eastAsia="Times New Roman" w:hAnsi="Times New Roman"/>
          <w:bCs/>
          <w:iCs/>
          <w:sz w:val="24"/>
          <w:szCs w:val="24"/>
          <w:lang w:eastAsia="pl-PL"/>
        </w:rPr>
        <w:t xml:space="preserve">  </w:t>
      </w:r>
      <w:r>
        <w:rPr>
          <w:rFonts w:ascii="Times New Roman" w:eastAsia="Times New Roman" w:hAnsi="Times New Roman"/>
          <w:bCs/>
          <w:iCs/>
          <w:sz w:val="24"/>
          <w:szCs w:val="24"/>
          <w:lang w:eastAsia="pl-PL"/>
        </w:rPr>
        <w:t xml:space="preserve"> </w:t>
      </w:r>
      <w:r w:rsidRPr="002354AF">
        <w:rPr>
          <w:rFonts w:ascii="Times New Roman" w:eastAsia="Times New Roman" w:hAnsi="Times New Roman"/>
          <w:bCs/>
          <w:iCs/>
          <w:sz w:val="24"/>
          <w:szCs w:val="24"/>
          <w:lang w:eastAsia="pl-PL"/>
        </w:rPr>
        <w:t>Uwzględniając art. 34 ust. 1 i 2 u.o.p., realizacja przedsięwzięcia, którego skutkiem będzie znacząco negatywne oddziaływanie na c</w:t>
      </w:r>
      <w:r>
        <w:rPr>
          <w:rFonts w:ascii="Times New Roman" w:eastAsia="Times New Roman" w:hAnsi="Times New Roman"/>
          <w:bCs/>
          <w:iCs/>
          <w:sz w:val="24"/>
          <w:szCs w:val="24"/>
          <w:lang w:eastAsia="pl-PL"/>
        </w:rPr>
        <w:t>ele ochrony obszaru Natura 2000</w:t>
      </w:r>
      <w:r w:rsidRPr="002354AF">
        <w:rPr>
          <w:rFonts w:ascii="Times New Roman" w:eastAsia="Times New Roman" w:hAnsi="Times New Roman"/>
          <w:bCs/>
          <w:iCs/>
          <w:sz w:val="24"/>
          <w:szCs w:val="24"/>
          <w:lang w:eastAsia="pl-PL"/>
        </w:rPr>
        <w:t xml:space="preserve"> jest możliwa jedynie przy spełnieniu łącznie następujących przesłanek:</w:t>
      </w:r>
    </w:p>
    <w:p w14:paraId="5BA6D4F7" w14:textId="77777777" w:rsidR="00B5204E" w:rsidRPr="002354AF" w:rsidRDefault="000060D6" w:rsidP="00336A51">
      <w:pPr>
        <w:numPr>
          <w:ilvl w:val="0"/>
          <w:numId w:val="16"/>
        </w:numPr>
        <w:spacing w:after="0" w:line="312" w:lineRule="auto"/>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zostanie wdrożona stos</w:t>
      </w:r>
      <w:r w:rsidRPr="002354AF">
        <w:rPr>
          <w:rFonts w:ascii="Times New Roman" w:eastAsia="Times New Roman" w:hAnsi="Times New Roman"/>
          <w:bCs/>
          <w:iCs/>
          <w:sz w:val="24"/>
          <w:szCs w:val="24"/>
          <w:lang w:eastAsia="pl-PL"/>
        </w:rPr>
        <w:t>owana kompensacja przyrodnicza niezbędna do zapewnienia spójności i właściwego funkcjonowania sieci obszarów Natura 2000;</w:t>
      </w:r>
    </w:p>
    <w:p w14:paraId="2A44F98C" w14:textId="77777777" w:rsidR="00B5204E" w:rsidRPr="002354AF" w:rsidRDefault="000060D6" w:rsidP="00336A51">
      <w:pPr>
        <w:numPr>
          <w:ilvl w:val="0"/>
          <w:numId w:val="16"/>
        </w:numPr>
        <w:spacing w:after="0" w:line="312" w:lineRule="auto"/>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przedsięwzięcie spełnia wymogi nadrzędnego interesu publicznego o charakterze, np. społecznym lub gospodarczym;</w:t>
      </w:r>
    </w:p>
    <w:p w14:paraId="33264654" w14:textId="77777777" w:rsidR="00B5204E" w:rsidRPr="002354AF" w:rsidRDefault="000060D6" w:rsidP="00336A51">
      <w:pPr>
        <w:numPr>
          <w:ilvl w:val="0"/>
          <w:numId w:val="16"/>
        </w:numPr>
        <w:spacing w:after="0" w:line="312" w:lineRule="auto"/>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brak rozwiązań alterna</w:t>
      </w:r>
      <w:r w:rsidRPr="002354AF">
        <w:rPr>
          <w:rFonts w:ascii="Times New Roman" w:eastAsia="Times New Roman" w:hAnsi="Times New Roman"/>
          <w:bCs/>
          <w:iCs/>
          <w:sz w:val="24"/>
          <w:szCs w:val="24"/>
          <w:lang w:eastAsia="pl-PL"/>
        </w:rPr>
        <w:t>tywnych.</w:t>
      </w:r>
    </w:p>
    <w:p w14:paraId="5E64CF84"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W przypadku gdy znaczące negatywne oddziaływanie dotyczy siedlisk i gatunków priorytetowych, realizacja przedsięwzięcia może nastąpić wyłącznie w celu:</w:t>
      </w:r>
    </w:p>
    <w:p w14:paraId="5C79F456" w14:textId="77777777" w:rsidR="00B5204E" w:rsidRPr="002354AF" w:rsidRDefault="000060D6" w:rsidP="00336A51">
      <w:pPr>
        <w:numPr>
          <w:ilvl w:val="0"/>
          <w:numId w:val="18"/>
        </w:numPr>
        <w:spacing w:after="0" w:line="312" w:lineRule="auto"/>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ochrony zdrowia i życia ludzi;</w:t>
      </w:r>
    </w:p>
    <w:p w14:paraId="4D9F6AF9" w14:textId="77777777" w:rsidR="00B5204E" w:rsidRPr="002354AF" w:rsidRDefault="000060D6" w:rsidP="00336A51">
      <w:pPr>
        <w:numPr>
          <w:ilvl w:val="0"/>
          <w:numId w:val="18"/>
        </w:numPr>
        <w:spacing w:after="0" w:line="312" w:lineRule="auto"/>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lastRenderedPageBreak/>
        <w:t>zapewnienia bezpieczeństwa powszechnego;</w:t>
      </w:r>
    </w:p>
    <w:p w14:paraId="77D7A33A" w14:textId="77777777" w:rsidR="00B5204E" w:rsidRPr="002354AF" w:rsidRDefault="000060D6" w:rsidP="00336A51">
      <w:pPr>
        <w:numPr>
          <w:ilvl w:val="0"/>
          <w:numId w:val="18"/>
        </w:numPr>
        <w:spacing w:after="0" w:line="312" w:lineRule="auto"/>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uzyskania korzystnych </w:t>
      </w:r>
      <w:r w:rsidRPr="002354AF">
        <w:rPr>
          <w:rFonts w:ascii="Times New Roman" w:eastAsia="Times New Roman" w:hAnsi="Times New Roman"/>
          <w:bCs/>
          <w:iCs/>
          <w:sz w:val="24"/>
          <w:szCs w:val="24"/>
          <w:lang w:eastAsia="pl-PL"/>
        </w:rPr>
        <w:t>następstw o pierwszorzędnym znaczeniu dla środowiska przyrodniczego;</w:t>
      </w:r>
    </w:p>
    <w:p w14:paraId="269DE0EE" w14:textId="77777777" w:rsidR="00B5204E" w:rsidRPr="002354AF" w:rsidRDefault="000060D6" w:rsidP="00336A51">
      <w:pPr>
        <w:numPr>
          <w:ilvl w:val="0"/>
          <w:numId w:val="19"/>
        </w:numPr>
        <w:spacing w:after="0" w:line="312" w:lineRule="auto"/>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wynikającym z koniecznych wymogów nadrzędnego interesu publicznego, po uzyskaniu opinii Komisji Europejskiej.</w:t>
      </w:r>
    </w:p>
    <w:p w14:paraId="11CAE3DB"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Podsumowując, w zgromadzonej dokumentacji nie przeanalizowano wszystkich oddz</w:t>
      </w:r>
      <w:r w:rsidRPr="002354AF">
        <w:rPr>
          <w:rFonts w:ascii="Times New Roman" w:eastAsia="Times New Roman" w:hAnsi="Times New Roman"/>
          <w:bCs/>
          <w:iCs/>
          <w:sz w:val="24"/>
          <w:szCs w:val="24"/>
          <w:lang w:eastAsia="pl-PL"/>
        </w:rPr>
        <w:t xml:space="preserve">iaływań wynikających z realizacji przedsięwzięcia – a w konsekwencji nie rozpoznano, czy planowane przedsięwzięcie będzie generowało znaczące negatywne oddziaływania na przedmioty ochrony obszarów Natura 2000. </w:t>
      </w:r>
    </w:p>
    <w:p w14:paraId="2F93F06C"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W tym miejscu organ odwoławczy podkreśla, że </w:t>
      </w:r>
      <w:r w:rsidRPr="002354AF">
        <w:rPr>
          <w:rFonts w:ascii="Times New Roman" w:eastAsia="Times New Roman" w:hAnsi="Times New Roman"/>
          <w:bCs/>
          <w:iCs/>
          <w:sz w:val="24"/>
          <w:szCs w:val="24"/>
          <w:lang w:eastAsia="pl-PL"/>
        </w:rPr>
        <w:t xml:space="preserve">warunkiem wykonania skutecznej i adekwatnej kompensacji przyrodniczej jest rzetelne i prawidłowe rozpoznanie wszelkich oddziaływań, które mogą być generowane przez planowane do realizacji przedsięwzięcie. W toku prowadzonego postępowania odwoławczego GDOŚ </w:t>
      </w:r>
      <w:r w:rsidRPr="002354AF">
        <w:rPr>
          <w:rFonts w:ascii="Times New Roman" w:eastAsia="Times New Roman" w:hAnsi="Times New Roman"/>
          <w:bCs/>
          <w:iCs/>
          <w:sz w:val="24"/>
          <w:szCs w:val="24"/>
          <w:lang w:eastAsia="pl-PL"/>
        </w:rPr>
        <w:t xml:space="preserve">przeanalizował akta sprawy. Analiza ta wykazała, że nie wszystkie możliwe oddziaływania związane z realizacją inwestycji zostały w raporcie oraz przez organ pierwszej instancji prawidłowo rozpoznane, a powyższe skutkuje tym, że działania kompensacyjne nie </w:t>
      </w:r>
      <w:r w:rsidRPr="002354AF">
        <w:rPr>
          <w:rFonts w:ascii="Times New Roman" w:eastAsia="Times New Roman" w:hAnsi="Times New Roman"/>
          <w:bCs/>
          <w:iCs/>
          <w:sz w:val="24"/>
          <w:szCs w:val="24"/>
          <w:lang w:eastAsia="pl-PL"/>
        </w:rPr>
        <w:t xml:space="preserve">mogły zostać zaplanowane w sposób gwarantujący ich trwałość i skuteczność. </w:t>
      </w:r>
    </w:p>
    <w:p w14:paraId="597B2AFC"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Powyżej opisane braki nie są jedynymi, które uniemożliwiają wydanie decyzji określającej środowiskowe uwarunkowania omawianego przedsięwzięcia. W raporcie, pomimo wezwania GDOŚ, ni</w:t>
      </w:r>
      <w:r w:rsidRPr="002354AF">
        <w:rPr>
          <w:rFonts w:ascii="Times New Roman" w:eastAsia="Times New Roman" w:hAnsi="Times New Roman"/>
          <w:bCs/>
          <w:iCs/>
          <w:sz w:val="24"/>
          <w:szCs w:val="24"/>
          <w:lang w:eastAsia="pl-PL"/>
        </w:rPr>
        <w:t>e odniesiono się i nie wyjaśniono rozbieżności w poniższym zakresie:</w:t>
      </w:r>
    </w:p>
    <w:p w14:paraId="652CF7E3" w14:textId="77777777" w:rsidR="00B5204E" w:rsidRPr="002354AF" w:rsidRDefault="000060D6" w:rsidP="00336A51">
      <w:pPr>
        <w:pStyle w:val="Akapitzlist"/>
        <w:numPr>
          <w:ilvl w:val="0"/>
          <w:numId w:val="12"/>
        </w:numPr>
        <w:spacing w:after="0" w:line="312" w:lineRule="auto"/>
        <w:ind w:left="357" w:hanging="357"/>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nie wyjaśniono, jakie konkretnie oddziaływania determinowały zasięg oddziaływania przedsięwzięcia na środowisko, który został przedstawiony na załączonej do raportu mapie. Opis omawianej </w:t>
      </w:r>
      <w:r w:rsidRPr="002354AF">
        <w:rPr>
          <w:rFonts w:ascii="Times New Roman" w:eastAsia="Times New Roman" w:hAnsi="Times New Roman"/>
          <w:bCs/>
          <w:iCs/>
          <w:sz w:val="24"/>
          <w:szCs w:val="24"/>
          <w:lang w:eastAsia="pl-PL"/>
        </w:rPr>
        <w:t xml:space="preserve">mapy jest niejednoznaczny. Nie jest jasne, czy przyjęto założenie, że linia oddziaływania przedsięwzięcia pokrywa się z linią obrazującą granicę obszaru planowanego przedsięwzięcia. W uzupełnieniu z 18 lipca 2016 r. wskazano, że </w:t>
      </w:r>
      <w:r w:rsidRPr="002354AF">
        <w:rPr>
          <w:rFonts w:ascii="Times New Roman" w:eastAsia="Times New Roman" w:hAnsi="Times New Roman"/>
          <w:bCs/>
          <w:i/>
          <w:iCs/>
          <w:sz w:val="24"/>
          <w:szCs w:val="24"/>
          <w:lang w:eastAsia="pl-PL"/>
        </w:rPr>
        <w:t xml:space="preserve">wpływ wód przetrzymywanych </w:t>
      </w:r>
      <w:r w:rsidRPr="002354AF">
        <w:rPr>
          <w:rFonts w:ascii="Times New Roman" w:eastAsia="Times New Roman" w:hAnsi="Times New Roman"/>
          <w:bCs/>
          <w:i/>
          <w:iCs/>
          <w:sz w:val="24"/>
          <w:szCs w:val="24"/>
          <w:lang w:eastAsia="pl-PL"/>
        </w:rPr>
        <w:t>w Polderze na uwodnienie sąsiednich niezajętych wodą gruntów (uwzględniając również podsiąk kapilarny) będzie marginalny</w:t>
      </w:r>
      <w:r w:rsidRPr="002354AF">
        <w:rPr>
          <w:rFonts w:ascii="Times New Roman" w:eastAsia="Times New Roman" w:hAnsi="Times New Roman"/>
          <w:bCs/>
          <w:iCs/>
          <w:sz w:val="24"/>
          <w:szCs w:val="24"/>
          <w:lang w:eastAsia="pl-PL"/>
        </w:rPr>
        <w:t xml:space="preserve">. Natomiast w uzupełnieniu z 29 sierpnia 2017 r. uściślono, że </w:t>
      </w:r>
      <w:r w:rsidRPr="002354AF">
        <w:rPr>
          <w:rFonts w:ascii="Times New Roman" w:eastAsia="Times New Roman" w:hAnsi="Times New Roman"/>
          <w:bCs/>
          <w:i/>
          <w:iCs/>
          <w:sz w:val="24"/>
          <w:szCs w:val="24"/>
          <w:lang w:eastAsia="pl-PL"/>
        </w:rPr>
        <w:t>nie sposób precyzyjnie przewidzieć zmian w przebiegu granic zasięgu oddzi</w:t>
      </w:r>
      <w:r w:rsidRPr="002354AF">
        <w:rPr>
          <w:rFonts w:ascii="Times New Roman" w:eastAsia="Times New Roman" w:hAnsi="Times New Roman"/>
          <w:bCs/>
          <w:i/>
          <w:iCs/>
          <w:sz w:val="24"/>
          <w:szCs w:val="24"/>
          <w:lang w:eastAsia="pl-PL"/>
        </w:rPr>
        <w:t xml:space="preserve">aływania, w tym częstotliwości występowania zjawiska. Co w przypadku niewielkich zmian w uwodnieniu terenu wynikających z funkcjonowania przedsięwzięcia </w:t>
      </w:r>
      <w:r w:rsidRPr="002354AF">
        <w:rPr>
          <w:rFonts w:ascii="Times New Roman" w:eastAsia="Times New Roman" w:hAnsi="Times New Roman"/>
          <w:bCs/>
          <w:iCs/>
          <w:sz w:val="24"/>
          <w:szCs w:val="24"/>
          <w:lang w:eastAsia="pl-PL"/>
        </w:rPr>
        <w:t>(…)</w:t>
      </w:r>
      <w:r w:rsidRPr="002354AF">
        <w:rPr>
          <w:rFonts w:ascii="Times New Roman" w:eastAsia="Times New Roman" w:hAnsi="Times New Roman"/>
          <w:bCs/>
          <w:i/>
          <w:iCs/>
          <w:sz w:val="24"/>
          <w:szCs w:val="24"/>
          <w:lang w:eastAsia="pl-PL"/>
        </w:rPr>
        <w:t xml:space="preserve"> może skutkować jedynie prognozowanym zakresem skali oddziaływania opartym na wiedzy eksperckiej</w:t>
      </w:r>
      <w:r w:rsidRPr="002354AF">
        <w:rPr>
          <w:rFonts w:ascii="Times New Roman" w:eastAsia="Times New Roman" w:hAnsi="Times New Roman"/>
          <w:bCs/>
          <w:sz w:val="24"/>
          <w:szCs w:val="24"/>
          <w:lang w:eastAsia="pl-PL"/>
        </w:rPr>
        <w:t>.</w:t>
      </w:r>
      <w:r w:rsidRPr="002354AF">
        <w:rPr>
          <w:rFonts w:ascii="Times New Roman" w:hAnsi="Times New Roman"/>
          <w:sz w:val="24"/>
          <w:szCs w:val="24"/>
        </w:rPr>
        <w:t xml:space="preserve"> </w:t>
      </w:r>
      <w:r w:rsidRPr="002354AF">
        <w:rPr>
          <w:rFonts w:ascii="Times New Roman" w:eastAsia="Times New Roman" w:hAnsi="Times New Roman"/>
          <w:bCs/>
          <w:sz w:val="24"/>
          <w:szCs w:val="24"/>
          <w:lang w:eastAsia="pl-PL"/>
        </w:rPr>
        <w:t>Za</w:t>
      </w:r>
      <w:r w:rsidRPr="002354AF">
        <w:rPr>
          <w:rFonts w:ascii="Times New Roman" w:eastAsia="Times New Roman" w:hAnsi="Times New Roman"/>
          <w:bCs/>
          <w:sz w:val="24"/>
          <w:szCs w:val="24"/>
          <w:lang w:eastAsia="pl-PL"/>
        </w:rPr>
        <w:t>tem nie wskazano, czy obszar oddziaływania inwestycji został wyznaczony w oparciu o zasadę przezorności oraz czy tereny sąsiadujące, na których dojdzie do zmian w uwodnieniu terenu w wyniku realizacji planowanego przedsięwzięcia, znajdują się w obszarze od</w:t>
      </w:r>
      <w:r w:rsidRPr="002354AF">
        <w:rPr>
          <w:rFonts w:ascii="Times New Roman" w:eastAsia="Times New Roman" w:hAnsi="Times New Roman"/>
          <w:bCs/>
          <w:sz w:val="24"/>
          <w:szCs w:val="24"/>
          <w:lang w:eastAsia="pl-PL"/>
        </w:rPr>
        <w:t>działywania przedstawionym na omawianej mapie. Powyższe jest szczególnie istotne ze względu m.in. na fakt, że, jak wskazano w dokumentacji, najbliższa zabudowa mieszkaniowa znajdować się będzie w odległości 1 m od planowanego przedsięwzięcia (w miejscowośc</w:t>
      </w:r>
      <w:r w:rsidRPr="002354AF">
        <w:rPr>
          <w:rFonts w:ascii="Times New Roman" w:eastAsia="Times New Roman" w:hAnsi="Times New Roman"/>
          <w:bCs/>
          <w:sz w:val="24"/>
          <w:szCs w:val="24"/>
          <w:lang w:eastAsia="pl-PL"/>
        </w:rPr>
        <w:t xml:space="preserve">i Sługocinek); </w:t>
      </w:r>
    </w:p>
    <w:p w14:paraId="092EA05A" w14:textId="77777777" w:rsidR="00B5204E" w:rsidRPr="002354AF" w:rsidRDefault="000060D6" w:rsidP="00336A51">
      <w:pPr>
        <w:pStyle w:val="Akapitzlist"/>
        <w:numPr>
          <w:ilvl w:val="0"/>
          <w:numId w:val="12"/>
        </w:numPr>
        <w:spacing w:after="0" w:line="312" w:lineRule="auto"/>
        <w:ind w:left="357" w:hanging="357"/>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lastRenderedPageBreak/>
        <w:t>nie zidentyfikowano i nie przeanalizowano wszystkich możliwych oddziaływań skumulowanych wynikających z realizacji zamierzenia inwestycyjnego z istniejącymi i planowanymi do realizacji zbiornikami retencyjnymi, które mają wpływ na gospodaro</w:t>
      </w:r>
      <w:r w:rsidRPr="002354AF">
        <w:rPr>
          <w:rFonts w:ascii="Times New Roman" w:eastAsia="Times New Roman" w:hAnsi="Times New Roman"/>
          <w:bCs/>
          <w:iCs/>
          <w:sz w:val="24"/>
          <w:szCs w:val="24"/>
          <w:lang w:eastAsia="pl-PL"/>
        </w:rPr>
        <w:t xml:space="preserve">wanie wodą w dolinie rzeki Warty; zgodnie z art. </w:t>
      </w:r>
      <w:bookmarkStart w:id="49" w:name="_Hlk180596431"/>
      <w:r w:rsidRPr="002354AF">
        <w:rPr>
          <w:rFonts w:ascii="Times New Roman" w:eastAsia="Times New Roman" w:hAnsi="Times New Roman"/>
          <w:bCs/>
          <w:iCs/>
          <w:sz w:val="24"/>
          <w:szCs w:val="24"/>
          <w:lang w:eastAsia="pl-PL"/>
        </w:rPr>
        <w:t>66 ust. 1 pkt 8 u.o.o.ś.</w:t>
      </w:r>
      <w:bookmarkEnd w:id="49"/>
      <w:r w:rsidRPr="002354AF">
        <w:rPr>
          <w:rFonts w:ascii="Times New Roman" w:eastAsia="Times New Roman" w:hAnsi="Times New Roman"/>
          <w:bCs/>
          <w:iCs/>
          <w:sz w:val="24"/>
          <w:szCs w:val="24"/>
          <w:lang w:eastAsia="pl-PL"/>
        </w:rPr>
        <w:t xml:space="preserve"> raport powinien zawierać opis przewidywanych znaczących oddziaływań planowanego przedsięwzięcia na środowisko, obejmujący m.in. skumulowane oddziaływanie na środowisko. Przedstawiony</w:t>
      </w:r>
      <w:r w:rsidRPr="002354AF">
        <w:rPr>
          <w:rFonts w:ascii="Times New Roman" w:eastAsia="Times New Roman" w:hAnsi="Times New Roman"/>
          <w:bCs/>
          <w:iCs/>
          <w:sz w:val="24"/>
          <w:szCs w:val="24"/>
          <w:lang w:eastAsia="pl-PL"/>
        </w:rPr>
        <w:t xml:space="preserve"> w raporcie i przedłożonych uzupełnieniach z 18 lipca 2016 r. (str. 46), 10 marca 2017 r. (str. 9), 29 sierpnia 2017 r. (str.2-45) opis przewidywanych oddziaływań skumulowanych przedsięwzięcia jest niewystarczający. Nie można bowiem podzielić poglądu wnios</w:t>
      </w:r>
      <w:r w:rsidRPr="002354AF">
        <w:rPr>
          <w:rFonts w:ascii="Times New Roman" w:eastAsia="Times New Roman" w:hAnsi="Times New Roman"/>
          <w:bCs/>
          <w:iCs/>
          <w:sz w:val="24"/>
          <w:szCs w:val="24"/>
          <w:lang w:eastAsia="pl-PL"/>
        </w:rPr>
        <w:t xml:space="preserve">kodawcy wyrażonego w uzupełnieniu (str. 9) z 10 marca 2017 r., iż </w:t>
      </w:r>
      <w:r w:rsidRPr="002354AF">
        <w:rPr>
          <w:rFonts w:ascii="Times New Roman" w:eastAsia="Times New Roman" w:hAnsi="Times New Roman"/>
          <w:bCs/>
          <w:i/>
          <w:sz w:val="24"/>
          <w:szCs w:val="24"/>
          <w:lang w:eastAsia="pl-PL"/>
        </w:rPr>
        <w:t>analiza oddziaływań w kontekście skumulowanych oddziaływań na środowisko z istniejącymi i planowanymi do realizacji zbiornikami retencyjnymi, które mają wpływ na gospodarowanie woda w dolini</w:t>
      </w:r>
      <w:r w:rsidRPr="002354AF">
        <w:rPr>
          <w:rFonts w:ascii="Times New Roman" w:eastAsia="Times New Roman" w:hAnsi="Times New Roman"/>
          <w:bCs/>
          <w:i/>
          <w:sz w:val="24"/>
          <w:szCs w:val="24"/>
          <w:lang w:eastAsia="pl-PL"/>
        </w:rPr>
        <w:t>e rzeki Warty jest tożsama z analizą wykonaną dla uzgodnienia przedsięwzięcia (WOO-1.4204.2011.KS) w opracowaniu pn. RAPORT OCENY ODDZIAŁYWANIA NA ŚRODOWISKO PRZEDSIĘWZIĘCIA POLEGAJĄCEGO NA BUDOWIE ZBIORNIKA WODNEGO „WIELOWIEŚ KLASZTORNA” NA RZECE PROŚNIE.</w:t>
      </w:r>
      <w:r w:rsidRPr="002354AF">
        <w:rPr>
          <w:rFonts w:ascii="Times New Roman" w:eastAsia="Times New Roman" w:hAnsi="Times New Roman"/>
          <w:bCs/>
          <w:i/>
          <w:sz w:val="24"/>
          <w:szCs w:val="24"/>
          <w:lang w:eastAsia="pl-PL"/>
        </w:rPr>
        <w:t xml:space="preserve"> </w:t>
      </w:r>
    </w:p>
    <w:p w14:paraId="5CCA4ADA" w14:textId="77777777" w:rsidR="00B5204E" w:rsidRPr="002354AF" w:rsidRDefault="000060D6" w:rsidP="00336A51">
      <w:pPr>
        <w:pStyle w:val="Akapitzlist"/>
        <w:spacing w:after="0" w:line="312" w:lineRule="auto"/>
        <w:ind w:left="357"/>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Z konstrukcji powyższego przepisu – </w:t>
      </w:r>
      <w:bookmarkStart w:id="50" w:name="_Hlk180598400"/>
      <w:r w:rsidRPr="002354AF">
        <w:rPr>
          <w:rFonts w:ascii="Times New Roman" w:eastAsia="Times New Roman" w:hAnsi="Times New Roman"/>
          <w:bCs/>
          <w:iCs/>
          <w:sz w:val="24"/>
          <w:szCs w:val="24"/>
          <w:lang w:eastAsia="pl-PL"/>
        </w:rPr>
        <w:t>art</w:t>
      </w:r>
      <w:r w:rsidRPr="002354AF">
        <w:rPr>
          <w:rFonts w:ascii="Times New Roman" w:eastAsia="Times New Roman" w:hAnsi="Times New Roman"/>
          <w:bCs/>
          <w:i/>
          <w:sz w:val="24"/>
          <w:szCs w:val="24"/>
          <w:lang w:eastAsia="pl-PL"/>
        </w:rPr>
        <w:t>.</w:t>
      </w:r>
      <w:r w:rsidRPr="002354AF">
        <w:rPr>
          <w:rFonts w:ascii="Times New Roman" w:eastAsia="Times New Roman" w:hAnsi="Times New Roman"/>
          <w:bCs/>
          <w:iCs/>
          <w:sz w:val="24"/>
          <w:szCs w:val="24"/>
          <w:lang w:eastAsia="pl-PL"/>
        </w:rPr>
        <w:t xml:space="preserve"> 66 ust. 1 pkt 8 u.o.o.ś.</w:t>
      </w:r>
      <w:bookmarkEnd w:id="50"/>
      <w:r w:rsidRPr="002354AF">
        <w:rPr>
          <w:rFonts w:ascii="Times New Roman" w:eastAsia="Times New Roman" w:hAnsi="Times New Roman"/>
          <w:bCs/>
          <w:i/>
          <w:sz w:val="24"/>
          <w:szCs w:val="24"/>
          <w:lang w:eastAsia="pl-PL"/>
        </w:rPr>
        <w:t xml:space="preserve">, </w:t>
      </w:r>
      <w:r w:rsidRPr="002354AF">
        <w:rPr>
          <w:rFonts w:ascii="Times New Roman" w:eastAsia="Times New Roman" w:hAnsi="Times New Roman"/>
          <w:bCs/>
          <w:iCs/>
          <w:sz w:val="24"/>
          <w:szCs w:val="24"/>
          <w:lang w:eastAsia="pl-PL"/>
        </w:rPr>
        <w:t>wprost wynika, że określenie oddziaływań skumulowanych jest obowiązkowym elementem oceny oddziaływania na środowisko oraz oczywistym jest, że analiza ta dotyczy</w:t>
      </w:r>
      <w:r w:rsidRPr="002354AF">
        <w:rPr>
          <w:rFonts w:ascii="Times New Roman" w:eastAsia="Times New Roman" w:hAnsi="Times New Roman"/>
          <w:b/>
          <w:iCs/>
          <w:sz w:val="24"/>
          <w:szCs w:val="24"/>
          <w:lang w:eastAsia="pl-PL"/>
        </w:rPr>
        <w:t xml:space="preserve"> planowanego przedsięwzięcia</w:t>
      </w:r>
      <w:r w:rsidRPr="002354AF">
        <w:rPr>
          <w:rFonts w:ascii="Times New Roman" w:eastAsia="Times New Roman" w:hAnsi="Times New Roman"/>
          <w:bCs/>
          <w:iCs/>
          <w:sz w:val="24"/>
          <w:szCs w:val="24"/>
          <w:lang w:eastAsia="pl-PL"/>
        </w:rPr>
        <w:t>. Niedopuszczalne zatem jest przyjęcie, że przedstawienie analizy oddziaływań skumulowanych poświęconej innemu przedsięwzięciu wypełnia wymogi art</w:t>
      </w:r>
      <w:r w:rsidRPr="002354AF">
        <w:rPr>
          <w:rFonts w:ascii="Times New Roman" w:eastAsia="Times New Roman" w:hAnsi="Times New Roman"/>
          <w:bCs/>
          <w:i/>
          <w:iCs/>
          <w:sz w:val="24"/>
          <w:szCs w:val="24"/>
          <w:lang w:eastAsia="pl-PL"/>
        </w:rPr>
        <w:t>.</w:t>
      </w:r>
      <w:r w:rsidRPr="002354AF">
        <w:rPr>
          <w:rFonts w:ascii="Times New Roman" w:eastAsia="Times New Roman" w:hAnsi="Times New Roman"/>
          <w:bCs/>
          <w:iCs/>
          <w:sz w:val="24"/>
          <w:szCs w:val="24"/>
          <w:lang w:eastAsia="pl-PL"/>
        </w:rPr>
        <w:t xml:space="preserve"> 66 ust. 1 pkt 8 u.o.o.ś. dla przedsięwzięcia, dla którego wnioskodawca wystąpił </w:t>
      </w:r>
      <w:r w:rsidRPr="002354AF">
        <w:rPr>
          <w:rFonts w:ascii="Times New Roman" w:eastAsia="Times New Roman" w:hAnsi="Times New Roman"/>
          <w:bCs/>
          <w:iCs/>
          <w:sz w:val="24"/>
          <w:szCs w:val="24"/>
          <w:lang w:eastAsia="pl-PL"/>
        </w:rPr>
        <w:t>o określenie środowiskowych uwarunkowań realizacji przedsięwzięcia. W tym miejscu podkreślić należy, że bardzo istotną okolicznością jest, wynikający z postanowień art. 33 ust. 1 u.o.p., obowiązek uwzględnienia w procesie oceny wpływu konkretnego przedsięw</w:t>
      </w:r>
      <w:r w:rsidRPr="002354AF">
        <w:rPr>
          <w:rFonts w:ascii="Times New Roman" w:eastAsia="Times New Roman" w:hAnsi="Times New Roman"/>
          <w:bCs/>
          <w:iCs/>
          <w:sz w:val="24"/>
          <w:szCs w:val="24"/>
          <w:lang w:eastAsia="pl-PL"/>
        </w:rPr>
        <w:t xml:space="preserve">zięcia na obszar Natura 2000 połączenia analizowanego oddziaływania z innymi, które już na ocenianym terenie występują, bądź będą mogły występować na skutek wykonania uprawnień wynikających z wydanych już ostatecznych decyzji upoważniających do ingerencji </w:t>
      </w:r>
      <w:r w:rsidRPr="002354AF">
        <w:rPr>
          <w:rFonts w:ascii="Times New Roman" w:eastAsia="Times New Roman" w:hAnsi="Times New Roman"/>
          <w:bCs/>
          <w:iCs/>
          <w:sz w:val="24"/>
          <w:szCs w:val="24"/>
          <w:lang w:eastAsia="pl-PL"/>
        </w:rPr>
        <w:t>w środowisko. Jest to szczególnie ważne z tego powodu, że zdolności absorpcyjne środowiska są ograniczone i duża liczba oddziaływań, z których żadne z osobna nie wywoła negatywnych zmian w środowisku, może doprowadzić do takiego rezultatu w przypadku ich s</w:t>
      </w:r>
      <w:r w:rsidRPr="002354AF">
        <w:rPr>
          <w:rFonts w:ascii="Times New Roman" w:eastAsia="Times New Roman" w:hAnsi="Times New Roman"/>
          <w:bCs/>
          <w:iCs/>
          <w:sz w:val="24"/>
          <w:szCs w:val="24"/>
          <w:lang w:eastAsia="pl-PL"/>
        </w:rPr>
        <w:t>kumulowania. Dlatego też, dokonując oceny ewentualnych skutków oddziaływania na obszar Natura 2000, wnioskodawca przyjmujący, że negatywne oddziaływania na tę formę ochrony przyrody nie występują, powinien wskazać, że skutki takie nie zachodzą również w pr</w:t>
      </w:r>
      <w:r w:rsidRPr="002354AF">
        <w:rPr>
          <w:rFonts w:ascii="Times New Roman" w:eastAsia="Times New Roman" w:hAnsi="Times New Roman"/>
          <w:bCs/>
          <w:iCs/>
          <w:sz w:val="24"/>
          <w:szCs w:val="24"/>
          <w:lang w:eastAsia="pl-PL"/>
        </w:rPr>
        <w:t>zypadku kumulacji występujących oddziaływań. Brak dokonania takiej oceny rzutuje na prawidłowość rozstrzygnięcia kończącego postępowanie organu pierwszej instancji;</w:t>
      </w:r>
    </w:p>
    <w:p w14:paraId="57A662D6" w14:textId="77777777" w:rsidR="00B5204E" w:rsidRPr="002354AF" w:rsidRDefault="000060D6" w:rsidP="00336A51">
      <w:pPr>
        <w:pStyle w:val="Akapitzlist"/>
        <w:numPr>
          <w:ilvl w:val="0"/>
          <w:numId w:val="12"/>
        </w:numPr>
        <w:spacing w:line="312" w:lineRule="auto"/>
        <w:ind w:left="357" w:hanging="357"/>
        <w:jc w:val="both"/>
        <w:rPr>
          <w:rFonts w:ascii="Times New Roman" w:eastAsia="Times New Roman" w:hAnsi="Times New Roman"/>
          <w:bCs/>
          <w:sz w:val="24"/>
          <w:szCs w:val="24"/>
          <w:lang w:eastAsia="pl-PL"/>
        </w:rPr>
      </w:pPr>
      <w:r w:rsidRPr="002354AF">
        <w:rPr>
          <w:rFonts w:ascii="Times New Roman" w:eastAsia="Times New Roman" w:hAnsi="Times New Roman"/>
          <w:bCs/>
          <w:sz w:val="24"/>
          <w:szCs w:val="24"/>
          <w:lang w:eastAsia="pl-PL"/>
        </w:rPr>
        <w:lastRenderedPageBreak/>
        <w:t>w raporcie wskazano, że planowane przedsięwzięcie po zakończeniu prac związanych z realizac</w:t>
      </w:r>
      <w:r w:rsidRPr="002354AF">
        <w:rPr>
          <w:rFonts w:ascii="Times New Roman" w:eastAsia="Times New Roman" w:hAnsi="Times New Roman"/>
          <w:bCs/>
          <w:sz w:val="24"/>
          <w:szCs w:val="24"/>
          <w:lang w:eastAsia="pl-PL"/>
        </w:rPr>
        <w:t>ją będzie wymagało regularnego utrzymania – wykonywanie regularnych konserwacji i kontroli wałów oraz budowli hydrotechnicznych (str. 55 raportu), natomiast pomimo wezwania</w:t>
      </w:r>
      <w:r>
        <w:rPr>
          <w:rFonts w:ascii="Times New Roman" w:eastAsia="Times New Roman" w:hAnsi="Times New Roman"/>
          <w:bCs/>
          <w:sz w:val="24"/>
          <w:szCs w:val="24"/>
          <w:lang w:eastAsia="pl-PL"/>
        </w:rPr>
        <w:t>,</w:t>
      </w:r>
      <w:r w:rsidRPr="002354AF">
        <w:rPr>
          <w:rFonts w:ascii="Times New Roman" w:eastAsia="Times New Roman" w:hAnsi="Times New Roman"/>
          <w:bCs/>
          <w:sz w:val="24"/>
          <w:szCs w:val="24"/>
          <w:lang w:eastAsia="pl-PL"/>
        </w:rPr>
        <w:t xml:space="preserve"> nie przedstawiono harmonogramu prowadzenia prac utrzymaniowych;</w:t>
      </w:r>
    </w:p>
    <w:p w14:paraId="252A9D30" w14:textId="77777777" w:rsidR="00B5204E" w:rsidRPr="002354AF" w:rsidRDefault="000060D6" w:rsidP="00336A51">
      <w:pPr>
        <w:pStyle w:val="Akapitzlist"/>
        <w:numPr>
          <w:ilvl w:val="0"/>
          <w:numId w:val="12"/>
        </w:numPr>
        <w:spacing w:after="0" w:line="312" w:lineRule="auto"/>
        <w:ind w:left="357" w:hanging="357"/>
        <w:jc w:val="both"/>
        <w:rPr>
          <w:rFonts w:ascii="Times New Roman" w:eastAsia="Times New Roman" w:hAnsi="Times New Roman"/>
          <w:bCs/>
          <w:sz w:val="24"/>
          <w:szCs w:val="24"/>
          <w:lang w:eastAsia="pl-PL"/>
        </w:rPr>
      </w:pPr>
      <w:r w:rsidRPr="002354AF">
        <w:rPr>
          <w:rFonts w:ascii="Times New Roman" w:eastAsia="Times New Roman" w:hAnsi="Times New Roman"/>
          <w:bCs/>
          <w:sz w:val="24"/>
          <w:szCs w:val="24"/>
          <w:lang w:eastAsia="pl-PL"/>
        </w:rPr>
        <w:t xml:space="preserve">zgodnie z art. 74 </w:t>
      </w:r>
      <w:r w:rsidRPr="002354AF">
        <w:rPr>
          <w:rFonts w:ascii="Times New Roman" w:eastAsia="Times New Roman" w:hAnsi="Times New Roman"/>
          <w:bCs/>
          <w:sz w:val="24"/>
          <w:szCs w:val="24"/>
          <w:lang w:eastAsia="pl-PL"/>
        </w:rPr>
        <w:t>ust. 2 u.o.o.ś. w związku z art. 545 ust. 1 p.w. raport o oddziaływaniu przedsięwzięcia na środowisko przedkłada się w formie pisemnej oraz na informatycznych nośnikach danych z ich zapisem w formie elektronicznej. Część uzupełnień do raportu, tj. z 29 sie</w:t>
      </w:r>
      <w:r w:rsidRPr="002354AF">
        <w:rPr>
          <w:rFonts w:ascii="Times New Roman" w:eastAsia="Times New Roman" w:hAnsi="Times New Roman"/>
          <w:bCs/>
          <w:sz w:val="24"/>
          <w:szCs w:val="24"/>
          <w:lang w:eastAsia="pl-PL"/>
        </w:rPr>
        <w:t>rpnia 2017 r. oraz 15 maja 2019 r., wnoszonych w toku postępowania pierwszoinstancyjnego było przedkładanych jedynie w formie papierowej. Pomimo dwukrotnego wezwania o powyższe</w:t>
      </w:r>
      <w:r>
        <w:rPr>
          <w:rFonts w:ascii="Times New Roman" w:eastAsia="Times New Roman" w:hAnsi="Times New Roman"/>
          <w:bCs/>
          <w:sz w:val="24"/>
          <w:szCs w:val="24"/>
          <w:lang w:eastAsia="pl-PL"/>
        </w:rPr>
        <w:t>,</w:t>
      </w:r>
      <w:r w:rsidRPr="002354AF">
        <w:rPr>
          <w:rFonts w:ascii="Times New Roman" w:eastAsia="Times New Roman" w:hAnsi="Times New Roman"/>
          <w:bCs/>
          <w:sz w:val="24"/>
          <w:szCs w:val="24"/>
          <w:lang w:eastAsia="pl-PL"/>
        </w:rPr>
        <w:t xml:space="preserve"> wnioskodawca nie przedłożył wymienionych uzupełnień na informatycznych nośnika</w:t>
      </w:r>
      <w:r w:rsidRPr="002354AF">
        <w:rPr>
          <w:rFonts w:ascii="Times New Roman" w:eastAsia="Times New Roman" w:hAnsi="Times New Roman"/>
          <w:bCs/>
          <w:sz w:val="24"/>
          <w:szCs w:val="24"/>
          <w:lang w:eastAsia="pl-PL"/>
        </w:rPr>
        <w:t>ch danych.</w:t>
      </w:r>
    </w:p>
    <w:p w14:paraId="6EDCEE10" w14:textId="77777777" w:rsidR="00B5204E" w:rsidRPr="002354AF" w:rsidRDefault="000060D6" w:rsidP="00336A51">
      <w:pPr>
        <w:spacing w:after="0" w:line="312" w:lineRule="auto"/>
        <w:ind w:firstLine="709"/>
        <w:jc w:val="both"/>
        <w:rPr>
          <w:rFonts w:ascii="Times New Roman" w:hAnsi="Times New Roman"/>
          <w:kern w:val="2"/>
          <w:sz w:val="24"/>
          <w:szCs w:val="24"/>
        </w:rPr>
      </w:pPr>
      <w:r w:rsidRPr="002354AF">
        <w:rPr>
          <w:rFonts w:ascii="Times New Roman" w:eastAsia="Times New Roman" w:hAnsi="Times New Roman"/>
          <w:bCs/>
          <w:sz w:val="24"/>
          <w:szCs w:val="24"/>
          <w:lang w:eastAsia="pl-PL"/>
        </w:rPr>
        <w:t>Odnosząc się do zarzutów skarżących, nie sposób zgodzić się z twierdzeniem, że RDOŚ w Poznaniu nie odniósł się do uwag podnoszonych przez strony postępowania, ponieważ w uzasadnieniu decyzji organ pierwszej instancji szeroko skomentował uwagi zg</w:t>
      </w:r>
      <w:r w:rsidRPr="002354AF">
        <w:rPr>
          <w:rFonts w:ascii="Times New Roman" w:eastAsia="Times New Roman" w:hAnsi="Times New Roman"/>
          <w:bCs/>
          <w:sz w:val="24"/>
          <w:szCs w:val="24"/>
          <w:lang w:eastAsia="pl-PL"/>
        </w:rPr>
        <w:t>łoszone przez strony (str. 42-46 decyzji). Natomiast wskazać należy, że pozostałe uwagi i wnioski, w tym dotyczące konsultacji społecznych prowadzonych przez inwestora, a więc nie stanowiących czynności procesowych podejmowanych przez RDOŚ w Poznaniu w tok</w:t>
      </w:r>
      <w:r w:rsidRPr="002354AF">
        <w:rPr>
          <w:rFonts w:ascii="Times New Roman" w:eastAsia="Times New Roman" w:hAnsi="Times New Roman"/>
          <w:bCs/>
          <w:sz w:val="24"/>
          <w:szCs w:val="24"/>
          <w:lang w:eastAsia="pl-PL"/>
        </w:rPr>
        <w:t>u prowadzonego postępowania, wykraczają poza przedmiot postępowania w sprawie wydania decyzji o środowiskowych uwarunkowaniach. Instytucja takich konsultacji społecznych nie została przewidziana w przepisach u.o.o.ś. (por. wyrok NSA z 6 lutego 2021 r. sygn</w:t>
      </w:r>
      <w:r w:rsidRPr="002354AF">
        <w:rPr>
          <w:rFonts w:ascii="Times New Roman" w:eastAsia="Times New Roman" w:hAnsi="Times New Roman"/>
          <w:bCs/>
          <w:sz w:val="24"/>
          <w:szCs w:val="24"/>
          <w:lang w:eastAsia="pl-PL"/>
        </w:rPr>
        <w:t xml:space="preserve">. akt: III OSK 3126/21), tym samym przebieg konsultacji społecznych prowadzonych przez inwestora pozostaje bez wpływu na wynik przedmiotowego postępowania. </w:t>
      </w:r>
    </w:p>
    <w:p w14:paraId="2CA5BB6C" w14:textId="77777777" w:rsidR="00B5204E" w:rsidRPr="002354AF" w:rsidRDefault="000060D6" w:rsidP="00336A51">
      <w:pPr>
        <w:pStyle w:val="Akapitzlist"/>
        <w:spacing w:after="0" w:line="312" w:lineRule="auto"/>
        <w:ind w:left="0" w:firstLine="709"/>
        <w:jc w:val="both"/>
        <w:rPr>
          <w:rFonts w:ascii="Times New Roman" w:eastAsia="Times New Roman" w:hAnsi="Times New Roman"/>
          <w:bCs/>
          <w:iCs/>
          <w:sz w:val="24"/>
          <w:szCs w:val="24"/>
          <w:lang w:eastAsia="pl-PL"/>
        </w:rPr>
      </w:pPr>
      <w:bookmarkStart w:id="51" w:name="_Hlk126147003"/>
      <w:r w:rsidRPr="002354AF">
        <w:rPr>
          <w:rFonts w:ascii="Times New Roman" w:eastAsia="Times New Roman" w:hAnsi="Times New Roman"/>
          <w:sz w:val="24"/>
          <w:szCs w:val="24"/>
          <w:lang w:eastAsia="pl-PL"/>
        </w:rPr>
        <w:t xml:space="preserve">Zgodnie z art. 138 </w:t>
      </w:r>
      <w:bookmarkStart w:id="52" w:name="_Hlk132905805"/>
      <w:r w:rsidRPr="002354AF">
        <w:rPr>
          <w:rFonts w:ascii="Times New Roman" w:eastAsia="Times New Roman" w:hAnsi="Times New Roman"/>
          <w:bCs/>
          <w:iCs/>
          <w:sz w:val="24"/>
          <w:szCs w:val="24"/>
          <w:lang w:eastAsia="pl-PL"/>
        </w:rPr>
        <w:t xml:space="preserve">§ 1 pkt 2 k.p.a. </w:t>
      </w:r>
      <w:bookmarkEnd w:id="52"/>
      <w:r w:rsidRPr="002354AF">
        <w:rPr>
          <w:rFonts w:ascii="Times New Roman" w:eastAsia="Times New Roman" w:hAnsi="Times New Roman"/>
          <w:bCs/>
          <w:iCs/>
          <w:sz w:val="24"/>
          <w:szCs w:val="24"/>
          <w:lang w:eastAsia="pl-PL"/>
        </w:rPr>
        <w:t>organ odwoławczy uchyla zaskarżoną decyzję w całości albo w czę</w:t>
      </w:r>
      <w:r w:rsidRPr="002354AF">
        <w:rPr>
          <w:rFonts w:ascii="Times New Roman" w:eastAsia="Times New Roman" w:hAnsi="Times New Roman"/>
          <w:bCs/>
          <w:iCs/>
          <w:sz w:val="24"/>
          <w:szCs w:val="24"/>
          <w:lang w:eastAsia="pl-PL"/>
        </w:rPr>
        <w:t>ści i w tym zakresie orzeka co do istoty sprawy. Tego rodzaju sytuacja ma miejsce wówczas, gdy zaskarżona decyzja jest nieprawidłowa – to znaczy niezgodna z przepisami prawa lub niecelowa. Organ administracji w pierwszej części rozstrzygnięcia określa zakr</w:t>
      </w:r>
      <w:r w:rsidRPr="002354AF">
        <w:rPr>
          <w:rFonts w:ascii="Times New Roman" w:eastAsia="Times New Roman" w:hAnsi="Times New Roman"/>
          <w:bCs/>
          <w:iCs/>
          <w:sz w:val="24"/>
          <w:szCs w:val="24"/>
          <w:lang w:eastAsia="pl-PL"/>
        </w:rPr>
        <w:t>es tego uchylenia (w całości lub w części), zaś w drugiej – rozstrzyga sprawę co do jej istoty (por. A. Gołęba [w:] Kodeks postępowania administracyjnego. Komentarz, wyd. II, red. H. Knysiak-Sudyka, Warszawa 2019, LEX, komentarz do art. 138, teza 3).</w:t>
      </w:r>
    </w:p>
    <w:p w14:paraId="6D13EF61"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GDOŚ </w:t>
      </w:r>
      <w:r w:rsidRPr="002354AF">
        <w:rPr>
          <w:rFonts w:ascii="Times New Roman" w:eastAsia="Times New Roman" w:hAnsi="Times New Roman"/>
          <w:bCs/>
          <w:iCs/>
          <w:sz w:val="24"/>
          <w:szCs w:val="24"/>
          <w:lang w:eastAsia="pl-PL"/>
        </w:rPr>
        <w:t>w celu naprawienia uchybień popełnionych przez RDOŚ w Poznaniu we wskazanym wyżej zakresie podjął się przeprowadzenia dodatkowego postępowania wyjaśniającego w oparciu o art. 136 k.p.a., które nie doprowadziło do wyjaśnienia wszystkich okoliczności sprawy,</w:t>
      </w:r>
      <w:r w:rsidRPr="002354AF">
        <w:rPr>
          <w:rFonts w:ascii="Times New Roman" w:eastAsia="Times New Roman" w:hAnsi="Times New Roman"/>
          <w:bCs/>
          <w:iCs/>
          <w:sz w:val="24"/>
          <w:szCs w:val="24"/>
          <w:lang w:eastAsia="pl-PL"/>
        </w:rPr>
        <w:t xml:space="preserve"> niezbędnych do wydania tego rodzaju decyzji. Wnioskodawca w zasadzie nie uzupełnił materiału dowodowego w odpowiedzi na wezwanie GDOŚ z 5 stycznia 2022 r. – część z punktów wezwania inwestor pominął bez wyjaśnienia, a na inne udzielił niewyczerpujące</w:t>
      </w:r>
      <w:r>
        <w:rPr>
          <w:rFonts w:ascii="Times New Roman" w:eastAsia="Times New Roman" w:hAnsi="Times New Roman"/>
          <w:bCs/>
          <w:iCs/>
          <w:sz w:val="24"/>
          <w:szCs w:val="24"/>
          <w:lang w:eastAsia="pl-PL"/>
        </w:rPr>
        <w:t>j</w:t>
      </w:r>
      <w:r w:rsidRPr="002354AF">
        <w:rPr>
          <w:rFonts w:ascii="Times New Roman" w:eastAsia="Times New Roman" w:hAnsi="Times New Roman"/>
          <w:bCs/>
          <w:iCs/>
          <w:sz w:val="24"/>
          <w:szCs w:val="24"/>
          <w:lang w:eastAsia="pl-PL"/>
        </w:rPr>
        <w:t xml:space="preserve">, </w:t>
      </w:r>
      <w:r w:rsidRPr="002354AF">
        <w:rPr>
          <w:rFonts w:ascii="Times New Roman" w:eastAsia="Times New Roman" w:hAnsi="Times New Roman"/>
          <w:bCs/>
          <w:iCs/>
          <w:sz w:val="24"/>
          <w:szCs w:val="24"/>
          <w:lang w:eastAsia="pl-PL"/>
        </w:rPr>
        <w:t>sprzeczne</w:t>
      </w:r>
      <w:r>
        <w:rPr>
          <w:rFonts w:ascii="Times New Roman" w:eastAsia="Times New Roman" w:hAnsi="Times New Roman"/>
          <w:bCs/>
          <w:iCs/>
          <w:sz w:val="24"/>
          <w:szCs w:val="24"/>
          <w:lang w:eastAsia="pl-PL"/>
        </w:rPr>
        <w:t>j</w:t>
      </w:r>
      <w:r w:rsidRPr="002354AF">
        <w:rPr>
          <w:rFonts w:ascii="Times New Roman" w:eastAsia="Times New Roman" w:hAnsi="Times New Roman"/>
          <w:bCs/>
          <w:iCs/>
          <w:sz w:val="24"/>
          <w:szCs w:val="24"/>
          <w:lang w:eastAsia="pl-PL"/>
        </w:rPr>
        <w:t xml:space="preserve"> oraz budzące</w:t>
      </w:r>
      <w:r>
        <w:rPr>
          <w:rFonts w:ascii="Times New Roman" w:eastAsia="Times New Roman" w:hAnsi="Times New Roman"/>
          <w:bCs/>
          <w:iCs/>
          <w:sz w:val="24"/>
          <w:szCs w:val="24"/>
          <w:lang w:eastAsia="pl-PL"/>
        </w:rPr>
        <w:t>j</w:t>
      </w:r>
      <w:r w:rsidRPr="002354AF">
        <w:rPr>
          <w:rFonts w:ascii="Times New Roman" w:eastAsia="Times New Roman" w:hAnsi="Times New Roman"/>
          <w:bCs/>
          <w:iCs/>
          <w:sz w:val="24"/>
          <w:szCs w:val="24"/>
          <w:lang w:eastAsia="pl-PL"/>
        </w:rPr>
        <w:t xml:space="preserve"> wątpliwości odpowiedzi. Natomiast na wezwanie GDOŚ z 9 czerwca 2023 r., powtórzone wezwaniem z 20 listopada 2023 r. odmówił udzielenia odpowiedzi. </w:t>
      </w:r>
    </w:p>
    <w:p w14:paraId="30D35194"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lastRenderedPageBreak/>
        <w:t xml:space="preserve">W związku z powyższym organ drugiej instancji rozpatrzył sprawę co do okoliczności </w:t>
      </w:r>
      <w:r w:rsidRPr="002354AF">
        <w:rPr>
          <w:rFonts w:ascii="Times New Roman" w:eastAsia="Times New Roman" w:hAnsi="Times New Roman"/>
          <w:bCs/>
          <w:iCs/>
          <w:sz w:val="24"/>
          <w:szCs w:val="24"/>
          <w:lang w:eastAsia="pl-PL"/>
        </w:rPr>
        <w:t>faktycznych i prawnych w oparciu o dotychczas złożony materiał dowodowy. Przedłożony przez inwestora raport nie pozwala na przeprowadzenie rzetelnej oceny oddziaływania planowanego przedsięwzięcia na środowisko przyrodnicze oraz obszary objęte ochroną na p</w:t>
      </w:r>
      <w:r w:rsidRPr="002354AF">
        <w:rPr>
          <w:rFonts w:ascii="Times New Roman" w:eastAsia="Times New Roman" w:hAnsi="Times New Roman"/>
          <w:bCs/>
          <w:iCs/>
          <w:sz w:val="24"/>
          <w:szCs w:val="24"/>
          <w:lang w:eastAsia="pl-PL"/>
        </w:rPr>
        <w:t xml:space="preserve">odstawie przepisów ustawy o ochronie przyrody, w tym obszary Europejskiej Sieci Ekologicznej Natura 2000: Ostoja Nadwarciańska PLH300009, </w:t>
      </w:r>
      <w:bookmarkStart w:id="53" w:name="_Hlk180646730"/>
      <w:r w:rsidRPr="002354AF">
        <w:rPr>
          <w:rFonts w:ascii="Times New Roman" w:eastAsia="Times New Roman" w:hAnsi="Times New Roman"/>
          <w:bCs/>
          <w:iCs/>
          <w:sz w:val="24"/>
          <w:szCs w:val="24"/>
          <w:lang w:eastAsia="pl-PL"/>
        </w:rPr>
        <w:t>Dolina Środkowej Warty PLB300002. W konsekwencji nie jest możliwe określenie działań mających na celu zapobieganie, og</w:t>
      </w:r>
      <w:r w:rsidRPr="002354AF">
        <w:rPr>
          <w:rFonts w:ascii="Times New Roman" w:eastAsia="Times New Roman" w:hAnsi="Times New Roman"/>
          <w:bCs/>
          <w:iCs/>
          <w:sz w:val="24"/>
          <w:szCs w:val="24"/>
          <w:lang w:eastAsia="pl-PL"/>
        </w:rPr>
        <w:t>raniczanie lub kompensację przyrodniczą negatywnych oddziaływań na środowisko w tym zakresie.</w:t>
      </w:r>
      <w:bookmarkEnd w:id="53"/>
    </w:p>
    <w:p w14:paraId="35ED5FA0"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Realizacja przedsięwzięcia mogącego znacząco oddziaływać na środowisko, której skutki nie są do końca sprawdzone, a mogą wywrzeć negatywny wpływ na środowisko, </w:t>
      </w:r>
      <w:r w:rsidRPr="002354AF">
        <w:rPr>
          <w:rFonts w:ascii="Times New Roman" w:eastAsia="Times New Roman" w:hAnsi="Times New Roman"/>
          <w:bCs/>
          <w:iCs/>
          <w:sz w:val="24"/>
          <w:szCs w:val="24"/>
          <w:lang w:eastAsia="pl-PL"/>
        </w:rPr>
        <w:t>musi być poprzedzona wszechstronną analizą, mającą na celu ustalenie możliwych do wystąpienia zagrożeń oraz koniecznych do podjęcia działań pozwalających na ich wyeliminowanie. Powyższe wynika z zasady zapobiegania, określonej w art. 6 ust. 1 p.o.ś., zgodn</w:t>
      </w:r>
      <w:r w:rsidRPr="002354AF">
        <w:rPr>
          <w:rFonts w:ascii="Times New Roman" w:eastAsia="Times New Roman" w:hAnsi="Times New Roman"/>
          <w:bCs/>
          <w:iCs/>
          <w:sz w:val="24"/>
          <w:szCs w:val="24"/>
          <w:lang w:eastAsia="pl-PL"/>
        </w:rPr>
        <w:t>ie z którą, kto podejmuje działalność mogącą negatywnie oddziaływać na środowisko, jest obowiązany do zapobiegania temu oddziaływaniu, a także z zasady przezorności, określonej w art. 6 ust. 2 powyższej ustawy, zgodnie z którą, kto podejmuje działalność, k</w:t>
      </w:r>
      <w:r w:rsidRPr="002354AF">
        <w:rPr>
          <w:rFonts w:ascii="Times New Roman" w:eastAsia="Times New Roman" w:hAnsi="Times New Roman"/>
          <w:bCs/>
          <w:iCs/>
          <w:sz w:val="24"/>
          <w:szCs w:val="24"/>
          <w:lang w:eastAsia="pl-PL"/>
        </w:rPr>
        <w:t>tórej negatywne oddziaływanie na środowisko nie jest jeszcze w pełni rozpoznane, jest obowiązany, kierując się przezornością, podjąć wszelkie możliwe środki zapobiegawcze. Realizacji tej zasady służy wynikający z art. 66 u.o.o.ś. wymóg sporządzenia raportu</w:t>
      </w:r>
      <w:r w:rsidRPr="002354AF">
        <w:rPr>
          <w:rFonts w:ascii="Times New Roman" w:eastAsia="Times New Roman" w:hAnsi="Times New Roman"/>
          <w:bCs/>
          <w:iCs/>
          <w:sz w:val="24"/>
          <w:szCs w:val="24"/>
          <w:lang w:eastAsia="pl-PL"/>
        </w:rPr>
        <w:t xml:space="preserve"> o oddziaływaniu przedsięwzięcia na środowisko oraz przeprowadzenie oceny oddziaływania przedsięwzięcia na środowisko, zgodnie z przepisami tej ustawy.</w:t>
      </w:r>
    </w:p>
    <w:p w14:paraId="6E7A5430" w14:textId="77777777" w:rsidR="00B5204E" w:rsidRDefault="000060D6" w:rsidP="00336A51">
      <w:pPr>
        <w:spacing w:after="0" w:line="312" w:lineRule="auto"/>
        <w:ind w:firstLine="709"/>
        <w:jc w:val="both"/>
        <w:rPr>
          <w:rFonts w:ascii="Times New Roman" w:eastAsia="Times New Roman" w:hAnsi="Times New Roman"/>
          <w:bCs/>
          <w:iCs/>
          <w:sz w:val="24"/>
          <w:szCs w:val="24"/>
          <w:lang w:eastAsia="pl-PL"/>
        </w:rPr>
      </w:pPr>
      <w:r w:rsidRPr="00EC669C">
        <w:rPr>
          <w:rFonts w:ascii="Times New Roman" w:eastAsia="Times New Roman" w:hAnsi="Times New Roman"/>
          <w:bCs/>
          <w:iCs/>
          <w:sz w:val="24"/>
          <w:szCs w:val="24"/>
          <w:lang w:eastAsia="pl-PL"/>
        </w:rPr>
        <w:t xml:space="preserve">Zgodnie z art. 80 ust. 1 pkt 2 u.o.o.ś., jeżeli była przeprowadzona ocena oddziaływania przedsięwzięcia </w:t>
      </w:r>
      <w:r w:rsidRPr="00EC669C">
        <w:rPr>
          <w:rFonts w:ascii="Times New Roman" w:eastAsia="Times New Roman" w:hAnsi="Times New Roman"/>
          <w:bCs/>
          <w:iCs/>
          <w:sz w:val="24"/>
          <w:szCs w:val="24"/>
          <w:lang w:eastAsia="pl-PL"/>
        </w:rPr>
        <w:t>na środowisko, właściwy organ wydaje decyzję o środowiskowych uwarunkowaniach, biorąc pod uwagę ustalenia zawarte w raporcie o oddziaływaniu przedsięwzięcia na środowisko. Z powyższego przepisu wynika, że decyzja o środowiskowych uwarunkowaniach znajduje s</w:t>
      </w:r>
      <w:r w:rsidRPr="00EC669C">
        <w:rPr>
          <w:rFonts w:ascii="Times New Roman" w:eastAsia="Times New Roman" w:hAnsi="Times New Roman"/>
          <w:bCs/>
          <w:iCs/>
          <w:sz w:val="24"/>
          <w:szCs w:val="24"/>
          <w:lang w:eastAsia="pl-PL"/>
        </w:rPr>
        <w:t xml:space="preserve">woje oparcie na ustaleniach raportu, tym samym powinien być on rzetelny, spójny i wolny od niejasności (por. wyrok </w:t>
      </w:r>
      <w:r>
        <w:rPr>
          <w:rFonts w:ascii="Times New Roman" w:eastAsia="Times New Roman" w:hAnsi="Times New Roman"/>
          <w:bCs/>
          <w:iCs/>
          <w:sz w:val="24"/>
          <w:szCs w:val="24"/>
          <w:lang w:eastAsia="pl-PL"/>
        </w:rPr>
        <w:t>NSA</w:t>
      </w:r>
      <w:r w:rsidRPr="00EC669C">
        <w:rPr>
          <w:rFonts w:ascii="Times New Roman" w:eastAsia="Times New Roman" w:hAnsi="Times New Roman"/>
          <w:bCs/>
          <w:iCs/>
          <w:sz w:val="24"/>
          <w:szCs w:val="24"/>
          <w:lang w:eastAsia="pl-PL"/>
        </w:rPr>
        <w:t xml:space="preserve"> z 19 stycznia 2012 r., sygn. akt II OSK 615/11). Zaaprobowanie przez organ raportu niespełniającego wymogów ustawowych, co podkreślił </w:t>
      </w:r>
      <w:r>
        <w:rPr>
          <w:rFonts w:ascii="Times New Roman" w:eastAsia="Times New Roman" w:hAnsi="Times New Roman"/>
          <w:bCs/>
          <w:iCs/>
          <w:sz w:val="24"/>
          <w:szCs w:val="24"/>
          <w:lang w:eastAsia="pl-PL"/>
        </w:rPr>
        <w:t>NSA</w:t>
      </w:r>
      <w:r w:rsidRPr="00EC669C">
        <w:rPr>
          <w:rFonts w:ascii="Times New Roman" w:eastAsia="Times New Roman" w:hAnsi="Times New Roman"/>
          <w:bCs/>
          <w:iCs/>
          <w:sz w:val="24"/>
          <w:szCs w:val="24"/>
          <w:lang w:eastAsia="pl-PL"/>
        </w:rPr>
        <w:t xml:space="preserve"> w wyroku z dnia 20 maja 2014</w:t>
      </w:r>
      <w:r>
        <w:rPr>
          <w:rFonts w:ascii="Times New Roman" w:eastAsia="Times New Roman" w:hAnsi="Times New Roman"/>
          <w:bCs/>
          <w:iCs/>
          <w:sz w:val="24"/>
          <w:szCs w:val="24"/>
          <w:lang w:eastAsia="pl-PL"/>
        </w:rPr>
        <w:t> </w:t>
      </w:r>
      <w:r w:rsidRPr="00EC669C">
        <w:rPr>
          <w:rFonts w:ascii="Times New Roman" w:eastAsia="Times New Roman" w:hAnsi="Times New Roman"/>
          <w:bCs/>
          <w:iCs/>
          <w:sz w:val="24"/>
          <w:szCs w:val="24"/>
          <w:lang w:eastAsia="pl-PL"/>
        </w:rPr>
        <w:t xml:space="preserve">r., sygn. akt: II OSK 2999/12 </w:t>
      </w:r>
      <w:r w:rsidRPr="00EC669C">
        <w:rPr>
          <w:rFonts w:ascii="Times New Roman" w:eastAsia="Times New Roman" w:hAnsi="Times New Roman"/>
          <w:bCs/>
          <w:i/>
          <w:sz w:val="24"/>
          <w:szCs w:val="24"/>
          <w:lang w:eastAsia="pl-PL"/>
        </w:rPr>
        <w:t>stanowi naruszenie przepisów postępowania w stopniu znacznym, mogącym mieć wpływ na treść rozstrzygnięcia</w:t>
      </w:r>
      <w:r w:rsidRPr="00EC669C">
        <w:rPr>
          <w:rFonts w:ascii="Times New Roman" w:eastAsia="Times New Roman" w:hAnsi="Times New Roman"/>
          <w:bCs/>
          <w:iCs/>
          <w:sz w:val="24"/>
          <w:szCs w:val="24"/>
          <w:lang w:eastAsia="pl-PL"/>
        </w:rPr>
        <w:t xml:space="preserve">. Dodatkowo w powyższym wyroku Sąd wskazał, że </w:t>
      </w:r>
      <w:r w:rsidRPr="00CB774F">
        <w:rPr>
          <w:rFonts w:ascii="Times New Roman" w:eastAsia="Times New Roman" w:hAnsi="Times New Roman"/>
          <w:bCs/>
          <w:i/>
          <w:sz w:val="24"/>
          <w:szCs w:val="24"/>
          <w:lang w:eastAsia="pl-PL"/>
        </w:rPr>
        <w:t xml:space="preserve">zasada prawdy obiektywnej obliguje organ do </w:t>
      </w:r>
      <w:r w:rsidRPr="00CB774F">
        <w:rPr>
          <w:rFonts w:ascii="Times New Roman" w:eastAsia="Times New Roman" w:hAnsi="Times New Roman"/>
          <w:bCs/>
          <w:i/>
          <w:sz w:val="24"/>
          <w:szCs w:val="24"/>
          <w:lang w:eastAsia="pl-PL"/>
        </w:rPr>
        <w:t>wszechstronnego wyjaśnienia okoliczności faktycznych, a zwłaszcza oceny, czy raport uwzględnia wszystkie potencjalne zagrożenia środowiskowe zawiązane z realizacją planowanej inwestycji. Aby takie wymagania mogły być określone, raport poprzedzający wydanie</w:t>
      </w:r>
      <w:r w:rsidRPr="00CB774F">
        <w:rPr>
          <w:rFonts w:ascii="Times New Roman" w:eastAsia="Times New Roman" w:hAnsi="Times New Roman"/>
          <w:bCs/>
          <w:i/>
          <w:sz w:val="24"/>
          <w:szCs w:val="24"/>
          <w:lang w:eastAsia="pl-PL"/>
        </w:rPr>
        <w:t xml:space="preserve"> decyzji o środowiskowych uwarunkowaniach powinien mieć charakter kompleksowy i odnosić się do wszystkich potencjalnych zagrożeń związanych z realizacją przedsięwzięcia oraz wskazywać, jakie w tym zakresie obowiązują standardy ochrony środowiska oraz czy z</w:t>
      </w:r>
      <w:r w:rsidRPr="00CB774F">
        <w:rPr>
          <w:rFonts w:ascii="Times New Roman" w:eastAsia="Times New Roman" w:hAnsi="Times New Roman"/>
          <w:bCs/>
          <w:i/>
          <w:sz w:val="24"/>
          <w:szCs w:val="24"/>
          <w:lang w:eastAsia="pl-PL"/>
        </w:rPr>
        <w:t>amierzona inwestycja mieści się w ich ramach</w:t>
      </w:r>
      <w:r w:rsidRPr="00EC669C">
        <w:rPr>
          <w:rFonts w:ascii="Times New Roman" w:eastAsia="Times New Roman" w:hAnsi="Times New Roman"/>
          <w:bCs/>
          <w:i/>
          <w:sz w:val="24"/>
          <w:szCs w:val="24"/>
          <w:lang w:eastAsia="pl-PL"/>
        </w:rPr>
        <w:t xml:space="preserve">. </w:t>
      </w:r>
      <w:r w:rsidRPr="00EC669C">
        <w:rPr>
          <w:rFonts w:ascii="Times New Roman" w:eastAsia="Times New Roman" w:hAnsi="Times New Roman"/>
          <w:bCs/>
          <w:iCs/>
          <w:sz w:val="24"/>
          <w:szCs w:val="24"/>
          <w:lang w:eastAsia="pl-PL"/>
        </w:rPr>
        <w:t xml:space="preserve">Z tego też </w:t>
      </w:r>
      <w:r w:rsidRPr="00EC669C">
        <w:rPr>
          <w:rFonts w:ascii="Times New Roman" w:eastAsia="Times New Roman" w:hAnsi="Times New Roman"/>
          <w:bCs/>
          <w:iCs/>
          <w:sz w:val="24"/>
          <w:szCs w:val="24"/>
          <w:lang w:eastAsia="pl-PL"/>
        </w:rPr>
        <w:lastRenderedPageBreak/>
        <w:t>względu w sytuacji, gdy raport  nie spełnia wskazanych w u.o.o.ś. wymogów w stopniu uniemożliwiającym przeprowadzenie oceny oddziaływania planowanego przedsięwzięcia na środowisko, określenie środowi</w:t>
      </w:r>
      <w:r w:rsidRPr="00EC669C">
        <w:rPr>
          <w:rFonts w:ascii="Times New Roman" w:eastAsia="Times New Roman" w:hAnsi="Times New Roman"/>
          <w:bCs/>
          <w:iCs/>
          <w:sz w:val="24"/>
          <w:szCs w:val="24"/>
          <w:lang w:eastAsia="pl-PL"/>
        </w:rPr>
        <w:t>skowych uwarunkowań jego realizacji jest niedopuszczalne.</w:t>
      </w:r>
    </w:p>
    <w:p w14:paraId="65FCB82F" w14:textId="77777777" w:rsidR="00B5204E" w:rsidRDefault="000060D6" w:rsidP="00336A51">
      <w:pPr>
        <w:spacing w:after="0" w:line="312" w:lineRule="auto"/>
        <w:ind w:firstLine="709"/>
        <w:jc w:val="both"/>
        <w:rPr>
          <w:rFonts w:ascii="Times New Roman" w:eastAsia="Times New Roman" w:hAnsi="Times New Roman"/>
          <w:bCs/>
          <w:iCs/>
          <w:sz w:val="24"/>
          <w:szCs w:val="24"/>
          <w:lang w:eastAsia="pl-PL"/>
        </w:rPr>
      </w:pPr>
      <w:r w:rsidRPr="00CD4F2A">
        <w:rPr>
          <w:rFonts w:ascii="Times New Roman" w:eastAsia="Times New Roman" w:hAnsi="Times New Roman"/>
          <w:bCs/>
          <w:iCs/>
          <w:sz w:val="24"/>
          <w:szCs w:val="24"/>
          <w:lang w:eastAsia="pl-PL"/>
        </w:rPr>
        <w:t xml:space="preserve">Informacje znajdujące się w raporcie powinny być przedstawione kompleksowo, z uwzględnieniem wszystkich elementów inwestycji, które ze względów technicznych, technologicznych i organizacyjnych mogą </w:t>
      </w:r>
      <w:r w:rsidRPr="00CD4F2A">
        <w:rPr>
          <w:rFonts w:ascii="Times New Roman" w:eastAsia="Times New Roman" w:hAnsi="Times New Roman"/>
          <w:bCs/>
          <w:iCs/>
          <w:sz w:val="24"/>
          <w:szCs w:val="24"/>
          <w:lang w:eastAsia="pl-PL"/>
        </w:rPr>
        <w:t xml:space="preserve">negatywnie oddziaływać na środowisko, a także wszystkich komponentów środowiska, które mogą być objęte tym oddziaływaniem. Powinien on wyczerpująco opisywać wszystkie możliwe zagrożenia dla środowiska, wynikające z realizacji, eksploatacji lub użytkowania </w:t>
      </w:r>
      <w:r w:rsidRPr="00CD4F2A">
        <w:rPr>
          <w:rFonts w:ascii="Times New Roman" w:eastAsia="Times New Roman" w:hAnsi="Times New Roman"/>
          <w:bCs/>
          <w:iCs/>
          <w:sz w:val="24"/>
          <w:szCs w:val="24"/>
          <w:lang w:eastAsia="pl-PL"/>
        </w:rPr>
        <w:t>oraz likwidacji planowanego przedsięwzięcia, tak aby można było w sposób nie budzący wątpliwości określić charakter i skalę negatywnych oddziaływań przedsięwzięcia na środowisko, a także zawierać opis planowanych do podjęcia działań mających na celu ich mi</w:t>
      </w:r>
      <w:r w:rsidRPr="00CD4F2A">
        <w:rPr>
          <w:rFonts w:ascii="Times New Roman" w:eastAsia="Times New Roman" w:hAnsi="Times New Roman"/>
          <w:bCs/>
          <w:iCs/>
          <w:sz w:val="24"/>
          <w:szCs w:val="24"/>
          <w:lang w:eastAsia="pl-PL"/>
        </w:rPr>
        <w:t xml:space="preserve">nimalizację lub kompensację, wraz z wykazaniem ich skuteczności. Analizowany raport powyższych wymogów nie spełnia, bowiem nie zawiera informacji, o których mowa </w:t>
      </w:r>
      <w:r w:rsidRPr="00E049F3">
        <w:rPr>
          <w:rFonts w:ascii="Times New Roman" w:eastAsia="Times New Roman" w:hAnsi="Times New Roman"/>
          <w:bCs/>
          <w:iCs/>
          <w:sz w:val="24"/>
          <w:szCs w:val="24"/>
          <w:lang w:eastAsia="pl-PL"/>
        </w:rPr>
        <w:t>w art. 66</w:t>
      </w:r>
      <w:r w:rsidRPr="00CD4F2A">
        <w:rPr>
          <w:rFonts w:ascii="Times New Roman" w:eastAsia="Times New Roman" w:hAnsi="Times New Roman"/>
          <w:bCs/>
          <w:iCs/>
          <w:color w:val="FF0000"/>
          <w:sz w:val="24"/>
          <w:szCs w:val="24"/>
          <w:lang w:eastAsia="pl-PL"/>
        </w:rPr>
        <w:t xml:space="preserve"> </w:t>
      </w:r>
      <w:r w:rsidRPr="00E049F3">
        <w:rPr>
          <w:rFonts w:ascii="Times New Roman" w:eastAsia="Times New Roman" w:hAnsi="Times New Roman"/>
          <w:bCs/>
          <w:iCs/>
          <w:sz w:val="24"/>
          <w:szCs w:val="24"/>
          <w:lang w:eastAsia="pl-PL"/>
        </w:rPr>
        <w:t>ust. 1 pkt 1, 4-9 oraz ust. 6 u.o.o.ś.</w:t>
      </w:r>
      <w:r w:rsidRPr="00CD4F2A">
        <w:rPr>
          <w:rFonts w:ascii="Times New Roman" w:eastAsia="Times New Roman" w:hAnsi="Times New Roman"/>
          <w:bCs/>
          <w:iCs/>
          <w:sz w:val="24"/>
          <w:szCs w:val="24"/>
          <w:lang w:eastAsia="pl-PL"/>
        </w:rPr>
        <w:t xml:space="preserve">, w zakresie opisanym w uzasadnieniu </w:t>
      </w:r>
      <w:r w:rsidRPr="00CD4F2A">
        <w:rPr>
          <w:rFonts w:ascii="Times New Roman" w:eastAsia="Times New Roman" w:hAnsi="Times New Roman"/>
          <w:bCs/>
          <w:iCs/>
          <w:sz w:val="24"/>
          <w:szCs w:val="24"/>
          <w:lang w:eastAsia="pl-PL"/>
        </w:rPr>
        <w:t>niniejszej decyzji.</w:t>
      </w:r>
      <w:r w:rsidRPr="00CD4F2A">
        <w:rPr>
          <w:rFonts w:ascii="Times New Roman" w:eastAsia="Times New Roman" w:hAnsi="Times New Roman"/>
          <w:bCs/>
          <w:i/>
          <w:iCs/>
          <w:sz w:val="24"/>
          <w:szCs w:val="24"/>
          <w:lang w:eastAsia="pl-PL"/>
        </w:rPr>
        <w:t xml:space="preserve"> </w:t>
      </w:r>
      <w:r w:rsidRPr="00CD4F2A">
        <w:rPr>
          <w:rFonts w:ascii="Times New Roman" w:eastAsia="Times New Roman" w:hAnsi="Times New Roman"/>
          <w:bCs/>
          <w:iCs/>
          <w:sz w:val="24"/>
          <w:szCs w:val="24"/>
          <w:lang w:eastAsia="pl-PL"/>
        </w:rPr>
        <w:t>W oparciu o przedłożony przez PGW Wody Polskie raport nie jest możliwe przeprowadzenie oceny oddziaływania przedmiotowego przedsięwzięcia na środowisko w pełnym zakresie, a także określenie środowiskowych uwarunkowań jego realizacji.</w:t>
      </w:r>
    </w:p>
    <w:p w14:paraId="2B32E1EE" w14:textId="77777777" w:rsidR="00B5204E" w:rsidRPr="002354AF" w:rsidRDefault="000060D6" w:rsidP="00336A51">
      <w:pPr>
        <w:spacing w:after="0" w:line="312" w:lineRule="auto"/>
        <w:ind w:firstLine="709"/>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 xml:space="preserve">Z </w:t>
      </w:r>
      <w:r w:rsidRPr="002354AF">
        <w:rPr>
          <w:rFonts w:ascii="Times New Roman" w:eastAsia="Times New Roman" w:hAnsi="Times New Roman"/>
          <w:bCs/>
          <w:iCs/>
          <w:sz w:val="24"/>
          <w:szCs w:val="24"/>
          <w:lang w:eastAsia="pl-PL"/>
        </w:rPr>
        <w:t>treści art. 81 ust. 2 u.o.o.ś. wynika, że organ właściwy do wydania decyzji o środowiskowych uwarunkowaniach może odmówić określenia środowiskowych uwarunkowań realizacji przedsięwzięcia w sytuacji, jeżeli z oceny oddziaływania przedsięwzięcia na środowisk</w:t>
      </w:r>
      <w:r w:rsidRPr="002354AF">
        <w:rPr>
          <w:rFonts w:ascii="Times New Roman" w:eastAsia="Times New Roman" w:hAnsi="Times New Roman"/>
          <w:bCs/>
          <w:iCs/>
          <w:sz w:val="24"/>
          <w:szCs w:val="24"/>
          <w:lang w:eastAsia="pl-PL"/>
        </w:rPr>
        <w:t>o wynika, że przedsięwzięcie może znacząco negatywnie oddziaływać na obszar Natura 2000, o ile nie zachodzą przesłanki, o których mowa w art. 34 u.o.p..). Na podstawie analizowanego raportu nie jest możliwa kompleksowa ocena oraz wykluczenie negatywnego wp</w:t>
      </w:r>
      <w:r w:rsidRPr="002354AF">
        <w:rPr>
          <w:rFonts w:ascii="Times New Roman" w:eastAsia="Times New Roman" w:hAnsi="Times New Roman"/>
          <w:bCs/>
          <w:iCs/>
          <w:sz w:val="24"/>
          <w:szCs w:val="24"/>
          <w:lang w:eastAsia="pl-PL"/>
        </w:rPr>
        <w:t>ływu przedsięwzięcia na obszar Natura 2000 Ostoja Nadwarciańska PLH 300009 oraz Dolina Środkowej Warty PLB300002. Z tego też względu – mając na uwadze zasadę przezorności – należy przyjąć, że oddziaływania takie wystąpią. W konsekwencji nie jest możliwe ok</w:t>
      </w:r>
      <w:r w:rsidRPr="002354AF">
        <w:rPr>
          <w:rFonts w:ascii="Times New Roman" w:eastAsia="Times New Roman" w:hAnsi="Times New Roman"/>
          <w:bCs/>
          <w:iCs/>
          <w:sz w:val="24"/>
          <w:szCs w:val="24"/>
          <w:lang w:eastAsia="pl-PL"/>
        </w:rPr>
        <w:t>reślenie działań mających na celu zapobieganie, ograniczanie lub kompensację przyrodniczą negatywnych oddziaływań na środowisko w tym zakresie.</w:t>
      </w:r>
    </w:p>
    <w:p w14:paraId="5A122ECB"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Zgodnie z art. 51 p.w. celem ochrony wód jest osiągnięcie celów środowiskowych dla jednolitych części wód powier</w:t>
      </w:r>
      <w:r w:rsidRPr="002354AF">
        <w:rPr>
          <w:rFonts w:ascii="Times New Roman" w:eastAsia="Times New Roman" w:hAnsi="Times New Roman"/>
          <w:sz w:val="24"/>
          <w:szCs w:val="24"/>
          <w:lang w:eastAsia="pl-PL"/>
        </w:rPr>
        <w:t>zchniowych, jednolitych części wód podziemnych oraz obszarów chronionych, a także poprawa jakości wód oraz biologicznych stosunków w środowisku wodnym i na terenach podmokłych. Cele te zostały wskazane w przepisach art. 56, art. 57, art. 59 oraz art. 60 te</w:t>
      </w:r>
      <w:r w:rsidRPr="002354AF">
        <w:rPr>
          <w:rFonts w:ascii="Times New Roman" w:eastAsia="Times New Roman" w:hAnsi="Times New Roman"/>
          <w:sz w:val="24"/>
          <w:szCs w:val="24"/>
          <w:lang w:eastAsia="pl-PL"/>
        </w:rPr>
        <w:t>j ustawy.</w:t>
      </w:r>
    </w:p>
    <w:p w14:paraId="0699F898"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 xml:space="preserve">Celem środowiskowym dla jednolitych części wód powierzchniowych niewyznaczonych jako sztuczne lub silnie zmienione jest ochrona oraz poprawa ich stanu ekologicznego i stanu chemicznego, tak aby osiągnąć co najmniej dobry stan ekologiczny i dobry </w:t>
      </w:r>
      <w:r w:rsidRPr="002354AF">
        <w:rPr>
          <w:rFonts w:ascii="Times New Roman" w:eastAsia="Times New Roman" w:hAnsi="Times New Roman"/>
          <w:sz w:val="24"/>
          <w:szCs w:val="24"/>
          <w:lang w:eastAsia="pl-PL"/>
        </w:rPr>
        <w:t xml:space="preserve">stan chemiczny wód powierzchniowych, a także zapobieganie pogorszeniu ich stanu ekologicznego i stanu chemicznego. Celem środowiskowym dla sztucznych i silnie </w:t>
      </w:r>
      <w:r w:rsidRPr="002354AF">
        <w:rPr>
          <w:rFonts w:ascii="Times New Roman" w:eastAsia="Times New Roman" w:hAnsi="Times New Roman"/>
          <w:sz w:val="24"/>
          <w:szCs w:val="24"/>
          <w:lang w:eastAsia="pl-PL"/>
        </w:rPr>
        <w:lastRenderedPageBreak/>
        <w:t>zmienionych jednolitych części wód powierzchniowych jest ochrona tych wód oraz poprawa ich potenc</w:t>
      </w:r>
      <w:r w:rsidRPr="002354AF">
        <w:rPr>
          <w:rFonts w:ascii="Times New Roman" w:eastAsia="Times New Roman" w:hAnsi="Times New Roman"/>
          <w:sz w:val="24"/>
          <w:szCs w:val="24"/>
          <w:lang w:eastAsia="pl-PL"/>
        </w:rPr>
        <w:t>jału ekologicznego i stanu chemicznego, tak aby osiągnąć co najmniej dobry potencjał ekologiczny i dobry stan chemiczny wód powierzchniowych, a także zapobieganie pogorszeniu ich potencjału ekologicznego oraz stanu chemicznego. Celem środowiskowym dla jedn</w:t>
      </w:r>
      <w:r w:rsidRPr="002354AF">
        <w:rPr>
          <w:rFonts w:ascii="Times New Roman" w:eastAsia="Times New Roman" w:hAnsi="Times New Roman"/>
          <w:sz w:val="24"/>
          <w:szCs w:val="24"/>
          <w:lang w:eastAsia="pl-PL"/>
        </w:rPr>
        <w:t>olitych części wód podziemnych jest: zapobieganie lub ograniczanie wprowadzania do nich zanieczyszczeń; zapobieganie pogorszeniu oraz poprawa ich stanu; ich ochrona i podejmowanie działań naprawczych, a także zapewnianie równowagi między poborem a zasilani</w:t>
      </w:r>
      <w:r w:rsidRPr="002354AF">
        <w:rPr>
          <w:rFonts w:ascii="Times New Roman" w:eastAsia="Times New Roman" w:hAnsi="Times New Roman"/>
          <w:sz w:val="24"/>
          <w:szCs w:val="24"/>
          <w:lang w:eastAsia="pl-PL"/>
        </w:rPr>
        <w:t>em tych wód, tak aby osiągnąć ich dobry stan. Natomiast celem środowiskowym dla obszarów chronionych jest osiągnięcie norm i celów wynikających z przepisów, na podstawie których te obszary chronione zostały utworzone, przepisów ustanawiających te obszary l</w:t>
      </w:r>
      <w:r w:rsidRPr="002354AF">
        <w:rPr>
          <w:rFonts w:ascii="Times New Roman" w:eastAsia="Times New Roman" w:hAnsi="Times New Roman"/>
          <w:sz w:val="24"/>
          <w:szCs w:val="24"/>
          <w:lang w:eastAsia="pl-PL"/>
        </w:rPr>
        <w:t>ub dotyczących tych obszarów, o ile nie zawierają one w tym zakresie odmiennych uregulowań.</w:t>
      </w:r>
    </w:p>
    <w:p w14:paraId="5BE28056"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Jak wynika z treści art. 66 i art. 67 p.w., dopuszczalne jest nieosiągnięcie celów środowiskowych wyznaczonych dla jednolitych części wód, jeżeli spełnione będą łąc</w:t>
      </w:r>
      <w:r w:rsidRPr="002354AF">
        <w:rPr>
          <w:rFonts w:ascii="Times New Roman" w:eastAsia="Times New Roman" w:hAnsi="Times New Roman"/>
          <w:sz w:val="24"/>
          <w:szCs w:val="24"/>
          <w:lang w:eastAsia="pl-PL"/>
        </w:rPr>
        <w:t>znie warunki, o których mowa w art. 68 powyższej ustawy, tj.:</w:t>
      </w:r>
    </w:p>
    <w:p w14:paraId="1B624806" w14:textId="77777777" w:rsidR="00B5204E" w:rsidRPr="002354AF" w:rsidRDefault="000060D6" w:rsidP="00336A51">
      <w:pPr>
        <w:numPr>
          <w:ilvl w:val="0"/>
          <w:numId w:val="20"/>
        </w:numPr>
        <w:spacing w:after="0" w:line="312" w:lineRule="auto"/>
        <w:ind w:left="714" w:hanging="357"/>
        <w:contextualSpacing/>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podejmowane są wszelkie działania, aby łagodzić skutki negatywnych oddziaływań na stan jednolitych części wód (pkt 1);</w:t>
      </w:r>
    </w:p>
    <w:p w14:paraId="2471CD6C" w14:textId="77777777" w:rsidR="00B5204E" w:rsidRPr="002354AF" w:rsidRDefault="000060D6" w:rsidP="00336A51">
      <w:pPr>
        <w:numPr>
          <w:ilvl w:val="0"/>
          <w:numId w:val="20"/>
        </w:numPr>
        <w:spacing w:after="0" w:line="312" w:lineRule="auto"/>
        <w:ind w:left="714" w:hanging="357"/>
        <w:contextualSpacing/>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przyczyny zmian i działań, o których mowa w art. 66 i art. 67, są szczegóło</w:t>
      </w:r>
      <w:r w:rsidRPr="002354AF">
        <w:rPr>
          <w:rFonts w:ascii="Times New Roman" w:eastAsia="Times New Roman" w:hAnsi="Times New Roman"/>
          <w:sz w:val="24"/>
          <w:szCs w:val="24"/>
          <w:lang w:eastAsia="pl-PL"/>
        </w:rPr>
        <w:t>wo przedstawione w planie gospodarowania wodami na obszarze dorzecza i są aktualizowane co 6 lat (pkt 2);</w:t>
      </w:r>
    </w:p>
    <w:p w14:paraId="3CE26766" w14:textId="77777777" w:rsidR="00B5204E" w:rsidRPr="002354AF" w:rsidRDefault="000060D6" w:rsidP="00336A51">
      <w:pPr>
        <w:numPr>
          <w:ilvl w:val="0"/>
          <w:numId w:val="20"/>
        </w:numPr>
        <w:spacing w:after="0" w:line="312" w:lineRule="auto"/>
        <w:ind w:left="714" w:hanging="357"/>
        <w:contextualSpacing/>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przyczyny zmian i działań, o których mowa w art. 66, są uzasadnione nadrzędnym interesem publicznym, a pozytywne efekty związane z ochroną zdrowia, ut</w:t>
      </w:r>
      <w:r w:rsidRPr="002354AF">
        <w:rPr>
          <w:rFonts w:ascii="Times New Roman" w:eastAsia="Times New Roman" w:hAnsi="Times New Roman"/>
          <w:sz w:val="24"/>
          <w:szCs w:val="24"/>
          <w:lang w:eastAsia="pl-PL"/>
        </w:rPr>
        <w:t>rzymaniem bezpieczeństwa oraz zrównoważonym rozwojem przeważają nad korzyściami dla społeczeństwa i środowiska związanymi z osiągnięciem celów środowiskowych, o których mowa w art. 55, utraconymi w następstwie tych zmian i działań (pkt 3);</w:t>
      </w:r>
    </w:p>
    <w:p w14:paraId="54A5929D" w14:textId="77777777" w:rsidR="00B5204E" w:rsidRPr="002354AF" w:rsidRDefault="000060D6" w:rsidP="00336A51">
      <w:pPr>
        <w:numPr>
          <w:ilvl w:val="0"/>
          <w:numId w:val="20"/>
        </w:numPr>
        <w:spacing w:after="0" w:line="312" w:lineRule="auto"/>
        <w:ind w:left="714" w:hanging="357"/>
        <w:contextualSpacing/>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zakładane korzyś</w:t>
      </w:r>
      <w:r w:rsidRPr="002354AF">
        <w:rPr>
          <w:rFonts w:ascii="Times New Roman" w:eastAsia="Times New Roman" w:hAnsi="Times New Roman"/>
          <w:sz w:val="24"/>
          <w:szCs w:val="24"/>
          <w:lang w:eastAsia="pl-PL"/>
        </w:rPr>
        <w:t>ci wynikające ze zmian i działań, o których mowa w pkt 1-3, nie mogą zostać osiągnięte przy zastosowaniu innych działań, znacząco korzystniejszych z punktu widzenia interesów środowiska, ze względu na negatywne uwarunkowania wykonalności technicznej lub ni</w:t>
      </w:r>
      <w:r w:rsidRPr="002354AF">
        <w:rPr>
          <w:rFonts w:ascii="Times New Roman" w:eastAsia="Times New Roman" w:hAnsi="Times New Roman"/>
          <w:sz w:val="24"/>
          <w:szCs w:val="24"/>
          <w:lang w:eastAsia="pl-PL"/>
        </w:rPr>
        <w:t>eproporcjonalnie wysokie koszty (pkt 4).</w:t>
      </w:r>
    </w:p>
    <w:p w14:paraId="6EF673B7"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Przeprowadzona przez GDOŚ analiza raportu o oddziaływaniu przedsięwzięcia na środowisko wykazała, że nie jest możliwe wykluczenie znacząco negatywnego oddziaływania planowanego przedsięwzięcia na jednolite części wó</w:t>
      </w:r>
      <w:r w:rsidRPr="002354AF">
        <w:rPr>
          <w:rFonts w:ascii="Times New Roman" w:eastAsia="Times New Roman" w:hAnsi="Times New Roman"/>
          <w:sz w:val="24"/>
          <w:szCs w:val="24"/>
          <w:lang w:eastAsia="pl-PL"/>
        </w:rPr>
        <w:t>d, a także na możliwość osiągnięcia przez nie celów środowiskowych. P</w:t>
      </w:r>
      <w:r w:rsidRPr="002354AF">
        <w:rPr>
          <w:rFonts w:ascii="Times New Roman" w:eastAsia="Times New Roman" w:hAnsi="Times New Roman"/>
          <w:bCs/>
          <w:iCs/>
          <w:sz w:val="24"/>
          <w:szCs w:val="24"/>
          <w:lang w:eastAsia="pl-PL"/>
        </w:rPr>
        <w:t>rzedstawiony w raporcie i przedłożonych uzupełnieniach – na etapie postępowania pierwszoinstancyjnego – opis przewidywanych oddziaływań przedsięwzięcia na jednolite części wód jest nieakt</w:t>
      </w:r>
      <w:r w:rsidRPr="002354AF">
        <w:rPr>
          <w:rFonts w:ascii="Times New Roman" w:eastAsia="Times New Roman" w:hAnsi="Times New Roman"/>
          <w:bCs/>
          <w:iCs/>
          <w:sz w:val="24"/>
          <w:szCs w:val="24"/>
          <w:lang w:eastAsia="pl-PL"/>
        </w:rPr>
        <w:t>ualny, przez co uniemożliwia ocenę wpływu inwestycji na te elementy środowiska oraz na wyznaczone dla nich cele środowiskowe.</w:t>
      </w:r>
    </w:p>
    <w:p w14:paraId="7FC215C8" w14:textId="77777777" w:rsidR="00B5204E" w:rsidRPr="002354AF" w:rsidRDefault="000060D6" w:rsidP="00336A51">
      <w:pPr>
        <w:spacing w:after="0" w:line="312" w:lineRule="auto"/>
        <w:ind w:firstLine="709"/>
        <w:jc w:val="both"/>
        <w:rPr>
          <w:rFonts w:ascii="Times New Roman" w:eastAsia="Times New Roman" w:hAnsi="Times New Roman"/>
          <w:sz w:val="24"/>
          <w:szCs w:val="24"/>
          <w:lang w:eastAsia="pl-PL"/>
        </w:rPr>
      </w:pPr>
      <w:r w:rsidRPr="002354AF">
        <w:rPr>
          <w:rFonts w:ascii="Times New Roman" w:eastAsia="Times New Roman" w:hAnsi="Times New Roman"/>
          <w:bCs/>
          <w:sz w:val="24"/>
          <w:szCs w:val="24"/>
          <w:lang w:eastAsia="pl-PL"/>
        </w:rPr>
        <w:t>Mając na uwadze, że w rozpatrywanej sprawie inwestor nie ocenił wpływu na środowisko  poszczególnych wariantów na takim samym pozi</w:t>
      </w:r>
      <w:r w:rsidRPr="002354AF">
        <w:rPr>
          <w:rFonts w:ascii="Times New Roman" w:eastAsia="Times New Roman" w:hAnsi="Times New Roman"/>
          <w:bCs/>
          <w:sz w:val="24"/>
          <w:szCs w:val="24"/>
          <w:lang w:eastAsia="pl-PL"/>
        </w:rPr>
        <w:t xml:space="preserve">omie szczegółowości, nie zidentyfikował i nie przeanalizował możliwych </w:t>
      </w:r>
      <w:r w:rsidRPr="002354AF">
        <w:rPr>
          <w:rFonts w:ascii="Times New Roman" w:eastAsia="Times New Roman" w:hAnsi="Times New Roman"/>
          <w:sz w:val="24"/>
          <w:szCs w:val="24"/>
          <w:lang w:eastAsia="pl-PL"/>
        </w:rPr>
        <w:t xml:space="preserve">znaczących oddziaływań planowanego przedsięwzięcia na jednolite części wód w oparciu o obowiązujące przepisy prawa, w tym </w:t>
      </w:r>
      <w:r w:rsidRPr="002354AF">
        <w:rPr>
          <w:rFonts w:ascii="Times New Roman" w:eastAsia="Times New Roman" w:hAnsi="Times New Roman"/>
          <w:sz w:val="24"/>
          <w:szCs w:val="24"/>
          <w:lang w:eastAsia="pl-PL"/>
        </w:rPr>
        <w:lastRenderedPageBreak/>
        <w:t>wyznaczone dla nich cele środowiskowe, ani nie zaproponował dzi</w:t>
      </w:r>
      <w:r w:rsidRPr="002354AF">
        <w:rPr>
          <w:rFonts w:ascii="Times New Roman" w:eastAsia="Times New Roman" w:hAnsi="Times New Roman"/>
          <w:sz w:val="24"/>
          <w:szCs w:val="24"/>
          <w:lang w:eastAsia="pl-PL"/>
        </w:rPr>
        <w:t xml:space="preserve">ałań mających na celu zapobieganie, ograniczanie lub kompensację przyrodniczą negatywnych oddziaływań na jednolite części wód, pomimo wezwania przez GDOŚ do uzupełnienia raportu w tym zakresie, nie można przyjąć, że w sprawie spełnione są łącznie warunki, </w:t>
      </w:r>
      <w:r w:rsidRPr="002354AF">
        <w:rPr>
          <w:rFonts w:ascii="Times New Roman" w:eastAsia="Times New Roman" w:hAnsi="Times New Roman"/>
          <w:sz w:val="24"/>
          <w:szCs w:val="24"/>
          <w:lang w:eastAsia="pl-PL"/>
        </w:rPr>
        <w:t>o których mowa w art. 68 pkt 1, 3 i 4 p.w. Powyższe – w myśl przepisu art. 81 ust. 3 u.o.o.ś. – stanowi podstawę do odmowy zgody na realizację przedmiotowego przedsięwzięcia.</w:t>
      </w:r>
    </w:p>
    <w:p w14:paraId="53CAA5D9" w14:textId="77777777" w:rsidR="00B5204E" w:rsidRPr="006E77FB" w:rsidRDefault="000060D6" w:rsidP="00336A51">
      <w:pPr>
        <w:spacing w:after="0" w:line="312" w:lineRule="auto"/>
        <w:ind w:firstLine="709"/>
        <w:jc w:val="both"/>
        <w:rPr>
          <w:rFonts w:ascii="Times New Roman" w:eastAsia="Times New Roman" w:hAnsi="Times New Roman"/>
          <w:bCs/>
          <w:iCs/>
          <w:sz w:val="24"/>
          <w:szCs w:val="24"/>
          <w:lang w:eastAsia="pl-PL"/>
        </w:rPr>
      </w:pPr>
      <w:r w:rsidRPr="006E77FB">
        <w:rPr>
          <w:rFonts w:ascii="Times New Roman" w:eastAsia="Times New Roman" w:hAnsi="Times New Roman"/>
          <w:bCs/>
          <w:iCs/>
          <w:sz w:val="24"/>
          <w:szCs w:val="24"/>
          <w:lang w:eastAsia="pl-PL"/>
        </w:rPr>
        <w:t>Podsumowując</w:t>
      </w:r>
      <w:r>
        <w:rPr>
          <w:rFonts w:ascii="Times New Roman" w:eastAsia="Times New Roman" w:hAnsi="Times New Roman"/>
          <w:bCs/>
          <w:iCs/>
          <w:sz w:val="24"/>
          <w:szCs w:val="24"/>
          <w:lang w:eastAsia="pl-PL"/>
        </w:rPr>
        <w:t xml:space="preserve">, </w:t>
      </w:r>
      <w:r w:rsidRPr="006E77FB">
        <w:rPr>
          <w:rFonts w:ascii="Times New Roman" w:eastAsia="Times New Roman" w:hAnsi="Times New Roman"/>
          <w:bCs/>
          <w:iCs/>
          <w:sz w:val="24"/>
          <w:szCs w:val="24"/>
          <w:lang w:eastAsia="pl-PL"/>
        </w:rPr>
        <w:t xml:space="preserve">należy stwierdzić, że decyzja RDOŚ w </w:t>
      </w:r>
      <w:r>
        <w:rPr>
          <w:rFonts w:ascii="Times New Roman" w:eastAsia="Times New Roman" w:hAnsi="Times New Roman"/>
          <w:bCs/>
          <w:iCs/>
          <w:sz w:val="24"/>
          <w:szCs w:val="24"/>
          <w:lang w:eastAsia="pl-PL"/>
        </w:rPr>
        <w:t>Poznaniu</w:t>
      </w:r>
      <w:r w:rsidRPr="006E77FB">
        <w:rPr>
          <w:rFonts w:ascii="Times New Roman" w:eastAsia="Times New Roman" w:hAnsi="Times New Roman"/>
          <w:bCs/>
          <w:iCs/>
          <w:sz w:val="24"/>
          <w:szCs w:val="24"/>
          <w:lang w:eastAsia="pl-PL"/>
        </w:rPr>
        <w:t xml:space="preserve"> z </w:t>
      </w:r>
      <w:r>
        <w:rPr>
          <w:rFonts w:ascii="Times New Roman" w:eastAsia="Times New Roman" w:hAnsi="Times New Roman"/>
          <w:bCs/>
          <w:iCs/>
          <w:sz w:val="24"/>
          <w:szCs w:val="24"/>
          <w:lang w:eastAsia="pl-PL"/>
        </w:rPr>
        <w:t>13</w:t>
      </w:r>
      <w:r w:rsidRPr="006E77FB">
        <w:rPr>
          <w:rFonts w:ascii="Times New Roman" w:eastAsia="Times New Roman" w:hAnsi="Times New Roman"/>
          <w:bCs/>
          <w:iCs/>
          <w:sz w:val="24"/>
          <w:szCs w:val="24"/>
          <w:lang w:eastAsia="pl-PL"/>
        </w:rPr>
        <w:t xml:space="preserve"> marca 20</w:t>
      </w:r>
      <w:r>
        <w:rPr>
          <w:rFonts w:ascii="Times New Roman" w:eastAsia="Times New Roman" w:hAnsi="Times New Roman"/>
          <w:bCs/>
          <w:iCs/>
          <w:sz w:val="24"/>
          <w:szCs w:val="24"/>
          <w:lang w:eastAsia="pl-PL"/>
        </w:rPr>
        <w:t>20</w:t>
      </w:r>
      <w:r w:rsidRPr="006E77FB">
        <w:rPr>
          <w:rFonts w:ascii="Times New Roman" w:eastAsia="Times New Roman" w:hAnsi="Times New Roman"/>
          <w:bCs/>
          <w:iCs/>
          <w:sz w:val="24"/>
          <w:szCs w:val="24"/>
          <w:lang w:eastAsia="pl-PL"/>
        </w:rPr>
        <w:t xml:space="preserve"> r. </w:t>
      </w:r>
      <w:r w:rsidRPr="006E77FB">
        <w:rPr>
          <w:rFonts w:ascii="Times New Roman" w:eastAsia="Times New Roman" w:hAnsi="Times New Roman"/>
          <w:bCs/>
          <w:iCs/>
          <w:sz w:val="24"/>
          <w:szCs w:val="24"/>
          <w:lang w:eastAsia="pl-PL"/>
        </w:rPr>
        <w:t>została wydana z naruszeniem:</w:t>
      </w:r>
    </w:p>
    <w:p w14:paraId="204949FB" w14:textId="77777777" w:rsidR="00B5204E" w:rsidRPr="002354AF" w:rsidRDefault="000060D6" w:rsidP="00336A51">
      <w:pPr>
        <w:numPr>
          <w:ilvl w:val="0"/>
          <w:numId w:val="15"/>
        </w:numPr>
        <w:spacing w:after="0" w:line="312" w:lineRule="auto"/>
        <w:ind w:left="357" w:hanging="357"/>
        <w:jc w:val="both"/>
        <w:rPr>
          <w:rFonts w:ascii="Times New Roman" w:eastAsia="Times New Roman" w:hAnsi="Times New Roman"/>
          <w:bCs/>
          <w:iCs/>
          <w:sz w:val="24"/>
          <w:szCs w:val="24"/>
          <w:lang w:eastAsia="pl-PL"/>
        </w:rPr>
      </w:pPr>
      <w:r w:rsidRPr="006E77FB">
        <w:rPr>
          <w:rFonts w:ascii="Times New Roman" w:eastAsia="Times New Roman" w:hAnsi="Times New Roman"/>
          <w:bCs/>
          <w:iCs/>
          <w:sz w:val="24"/>
          <w:szCs w:val="24"/>
          <w:lang w:eastAsia="pl-PL"/>
        </w:rPr>
        <w:t xml:space="preserve">art. 7 oraz 77 § 1 </w:t>
      </w:r>
      <w:r>
        <w:rPr>
          <w:rFonts w:ascii="Times New Roman" w:eastAsia="Times New Roman" w:hAnsi="Times New Roman"/>
          <w:bCs/>
          <w:iCs/>
          <w:sz w:val="24"/>
          <w:szCs w:val="24"/>
          <w:lang w:eastAsia="pl-PL"/>
        </w:rPr>
        <w:t>k.p.a.</w:t>
      </w:r>
      <w:r w:rsidRPr="006E77FB">
        <w:rPr>
          <w:rFonts w:ascii="Times New Roman" w:eastAsia="Times New Roman" w:hAnsi="Times New Roman"/>
          <w:bCs/>
          <w:iCs/>
          <w:sz w:val="24"/>
          <w:szCs w:val="24"/>
          <w:lang w:eastAsia="pl-PL"/>
        </w:rPr>
        <w:t xml:space="preserve"> w związku z art. 66 u</w:t>
      </w:r>
      <w:r>
        <w:rPr>
          <w:rFonts w:ascii="Times New Roman" w:eastAsia="Times New Roman" w:hAnsi="Times New Roman"/>
          <w:bCs/>
          <w:iCs/>
          <w:sz w:val="24"/>
          <w:szCs w:val="24"/>
          <w:lang w:eastAsia="pl-PL"/>
        </w:rPr>
        <w:t>.o.o.ś.,</w:t>
      </w:r>
      <w:r w:rsidRPr="006E77FB">
        <w:rPr>
          <w:rFonts w:ascii="Times New Roman" w:eastAsia="Times New Roman" w:hAnsi="Times New Roman"/>
          <w:bCs/>
          <w:iCs/>
          <w:sz w:val="24"/>
          <w:szCs w:val="24"/>
          <w:lang w:eastAsia="pl-PL"/>
        </w:rPr>
        <w:t xml:space="preserve"> bowiem organ pierwszej instancji nie przeprowadził postępowania dowodowego w celu uzupełnienia braków raportu o </w:t>
      </w:r>
      <w:r w:rsidRPr="002354AF">
        <w:rPr>
          <w:rFonts w:ascii="Times New Roman" w:eastAsia="Times New Roman" w:hAnsi="Times New Roman"/>
          <w:bCs/>
          <w:iCs/>
          <w:sz w:val="24"/>
          <w:szCs w:val="24"/>
          <w:lang w:eastAsia="pl-PL"/>
        </w:rPr>
        <w:t>oddziaływaniu przedsięwzięcia na środowisko;</w:t>
      </w:r>
    </w:p>
    <w:p w14:paraId="36A7D4FC" w14:textId="77777777" w:rsidR="00B5204E" w:rsidRPr="002354AF" w:rsidRDefault="000060D6" w:rsidP="00336A51">
      <w:pPr>
        <w:numPr>
          <w:ilvl w:val="0"/>
          <w:numId w:val="15"/>
        </w:numPr>
        <w:spacing w:after="0" w:line="312" w:lineRule="auto"/>
        <w:ind w:left="357" w:hanging="357"/>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art. 80 k.p.a</w:t>
      </w:r>
      <w:r w:rsidRPr="002354AF">
        <w:rPr>
          <w:rFonts w:ascii="Times New Roman" w:eastAsia="Times New Roman" w:hAnsi="Times New Roman"/>
          <w:bCs/>
          <w:iCs/>
          <w:sz w:val="24"/>
          <w:szCs w:val="24"/>
          <w:lang w:eastAsia="pl-PL"/>
        </w:rPr>
        <w:t xml:space="preserve">. w związku z art. 66 u.o.o.ś., bowiem organ pierwszej instancji nie dokonał właściwej oceny raportu o oddziaływaniu przedsięwzięcia na środowisko ani nie udowodnił, że przedmiotowe przedsięwzięcie nie będzie znacząco negatywnie oddziaływać na środowisko, </w:t>
      </w:r>
      <w:r w:rsidRPr="002354AF">
        <w:rPr>
          <w:rFonts w:ascii="Times New Roman" w:eastAsia="Times New Roman" w:hAnsi="Times New Roman"/>
          <w:bCs/>
          <w:iCs/>
          <w:sz w:val="24"/>
          <w:szCs w:val="24"/>
          <w:lang w:eastAsia="pl-PL"/>
        </w:rPr>
        <w:t>w tym na obszary Natura 2000, oraz nie wpłynie negatywnie na możliwość osiągnięcia celów środowiskowych wyznaczonych dla jednolitych części wód;</w:t>
      </w:r>
    </w:p>
    <w:p w14:paraId="5FA2A73B" w14:textId="77777777" w:rsidR="00B5204E" w:rsidRPr="002354AF" w:rsidRDefault="000060D6" w:rsidP="00336A51">
      <w:pPr>
        <w:numPr>
          <w:ilvl w:val="0"/>
          <w:numId w:val="15"/>
        </w:numPr>
        <w:spacing w:after="0" w:line="312" w:lineRule="auto"/>
        <w:ind w:left="357" w:hanging="357"/>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art. 71 ust. 2 pkt 1 w związku z art. 66 u.o.o.ś., przez wydanie decyzji o środowiskowych uwarunkowaniach w opa</w:t>
      </w:r>
      <w:r w:rsidRPr="002354AF">
        <w:rPr>
          <w:rFonts w:ascii="Times New Roman" w:eastAsia="Times New Roman" w:hAnsi="Times New Roman"/>
          <w:bCs/>
          <w:iCs/>
          <w:sz w:val="24"/>
          <w:szCs w:val="24"/>
          <w:lang w:eastAsia="pl-PL"/>
        </w:rPr>
        <w:t>rciu o raport o oddziaływaniu przedsięwzięcia na środowisko niespełniający wymogów określonych w przepisach powyższej ustawy;</w:t>
      </w:r>
    </w:p>
    <w:p w14:paraId="7DF65A8C" w14:textId="77777777" w:rsidR="00B5204E" w:rsidRPr="006E77FB" w:rsidRDefault="000060D6" w:rsidP="00336A51">
      <w:pPr>
        <w:numPr>
          <w:ilvl w:val="0"/>
          <w:numId w:val="15"/>
        </w:numPr>
        <w:spacing w:after="0" w:line="312" w:lineRule="auto"/>
        <w:ind w:left="357" w:hanging="357"/>
        <w:jc w:val="both"/>
        <w:rPr>
          <w:rFonts w:ascii="Times New Roman" w:eastAsia="Times New Roman" w:hAnsi="Times New Roman"/>
          <w:bCs/>
          <w:iCs/>
          <w:sz w:val="24"/>
          <w:szCs w:val="24"/>
          <w:lang w:eastAsia="pl-PL"/>
        </w:rPr>
      </w:pPr>
      <w:r w:rsidRPr="006E77FB">
        <w:rPr>
          <w:rFonts w:ascii="Times New Roman" w:eastAsia="Times New Roman" w:hAnsi="Times New Roman"/>
          <w:bCs/>
          <w:iCs/>
          <w:sz w:val="24"/>
          <w:szCs w:val="24"/>
          <w:lang w:eastAsia="pl-PL"/>
        </w:rPr>
        <w:t>art. 71 ust</w:t>
      </w:r>
      <w:r>
        <w:rPr>
          <w:rFonts w:ascii="Times New Roman" w:eastAsia="Times New Roman" w:hAnsi="Times New Roman"/>
          <w:bCs/>
          <w:iCs/>
          <w:sz w:val="24"/>
          <w:szCs w:val="24"/>
          <w:lang w:eastAsia="pl-PL"/>
        </w:rPr>
        <w:t>.</w:t>
      </w:r>
      <w:r w:rsidRPr="006E77FB">
        <w:rPr>
          <w:rFonts w:ascii="Times New Roman" w:eastAsia="Times New Roman" w:hAnsi="Times New Roman"/>
          <w:bCs/>
          <w:iCs/>
          <w:sz w:val="24"/>
          <w:szCs w:val="24"/>
          <w:lang w:eastAsia="pl-PL"/>
        </w:rPr>
        <w:t xml:space="preserve"> 2 pkt 1 w związku z art. 81 ust. 2 u</w:t>
      </w:r>
      <w:r>
        <w:rPr>
          <w:rFonts w:ascii="Times New Roman" w:eastAsia="Times New Roman" w:hAnsi="Times New Roman"/>
          <w:bCs/>
          <w:iCs/>
          <w:sz w:val="24"/>
          <w:szCs w:val="24"/>
          <w:lang w:eastAsia="pl-PL"/>
        </w:rPr>
        <w:t>.o.o.ś.</w:t>
      </w:r>
      <w:r w:rsidRPr="006E77FB">
        <w:rPr>
          <w:rFonts w:ascii="Times New Roman" w:eastAsia="Times New Roman" w:hAnsi="Times New Roman"/>
          <w:bCs/>
          <w:iCs/>
          <w:sz w:val="24"/>
          <w:szCs w:val="24"/>
          <w:lang w:eastAsia="pl-PL"/>
        </w:rPr>
        <w:t>, przez wydanie decyzji o środowiskowych uwarunkowaniach dla przedsięwzięc</w:t>
      </w:r>
      <w:r w:rsidRPr="006E77FB">
        <w:rPr>
          <w:rFonts w:ascii="Times New Roman" w:eastAsia="Times New Roman" w:hAnsi="Times New Roman"/>
          <w:bCs/>
          <w:iCs/>
          <w:sz w:val="24"/>
          <w:szCs w:val="24"/>
          <w:lang w:eastAsia="pl-PL"/>
        </w:rPr>
        <w:t xml:space="preserve">ia, względem którego nie wykluczono możliwości wystąpienia znacząco negatywnego oddziaływania na obszary Natura 2000, w sytuacji gdy nie zachodzą przesłanki, o których mowa w art. 34 </w:t>
      </w:r>
      <w:r w:rsidRPr="00C376E6">
        <w:rPr>
          <w:rFonts w:ascii="Times New Roman" w:eastAsia="Times New Roman" w:hAnsi="Times New Roman"/>
          <w:bCs/>
          <w:iCs/>
          <w:sz w:val="24"/>
          <w:szCs w:val="24"/>
          <w:lang w:eastAsia="pl-PL"/>
        </w:rPr>
        <w:t>u.o.p.</w:t>
      </w:r>
      <w:r>
        <w:rPr>
          <w:rFonts w:ascii="Times New Roman" w:eastAsia="Times New Roman" w:hAnsi="Times New Roman"/>
          <w:bCs/>
          <w:iCs/>
          <w:sz w:val="24"/>
          <w:szCs w:val="24"/>
          <w:lang w:eastAsia="pl-PL"/>
        </w:rPr>
        <w:t>;</w:t>
      </w:r>
    </w:p>
    <w:p w14:paraId="6EFC9E13" w14:textId="77777777" w:rsidR="00B5204E" w:rsidRPr="006E77FB" w:rsidRDefault="000060D6" w:rsidP="00336A51">
      <w:pPr>
        <w:numPr>
          <w:ilvl w:val="0"/>
          <w:numId w:val="15"/>
        </w:numPr>
        <w:spacing w:after="0" w:line="312" w:lineRule="auto"/>
        <w:ind w:left="357" w:hanging="357"/>
        <w:jc w:val="both"/>
        <w:rPr>
          <w:rFonts w:ascii="Times New Roman" w:eastAsia="Times New Roman" w:hAnsi="Times New Roman"/>
          <w:bCs/>
          <w:iCs/>
          <w:sz w:val="24"/>
          <w:szCs w:val="24"/>
          <w:lang w:eastAsia="pl-PL"/>
        </w:rPr>
      </w:pPr>
      <w:r w:rsidRPr="006E77FB">
        <w:rPr>
          <w:rFonts w:ascii="Times New Roman" w:eastAsia="Times New Roman" w:hAnsi="Times New Roman"/>
          <w:bCs/>
          <w:iCs/>
          <w:sz w:val="24"/>
          <w:szCs w:val="24"/>
          <w:lang w:eastAsia="pl-PL"/>
        </w:rPr>
        <w:t>art. 71 ust</w:t>
      </w:r>
      <w:r>
        <w:rPr>
          <w:rFonts w:ascii="Times New Roman" w:eastAsia="Times New Roman" w:hAnsi="Times New Roman"/>
          <w:bCs/>
          <w:iCs/>
          <w:sz w:val="24"/>
          <w:szCs w:val="24"/>
          <w:lang w:eastAsia="pl-PL"/>
        </w:rPr>
        <w:t>.</w:t>
      </w:r>
      <w:r w:rsidRPr="006E77FB">
        <w:rPr>
          <w:rFonts w:ascii="Times New Roman" w:eastAsia="Times New Roman" w:hAnsi="Times New Roman"/>
          <w:bCs/>
          <w:iCs/>
          <w:sz w:val="24"/>
          <w:szCs w:val="24"/>
          <w:lang w:eastAsia="pl-PL"/>
        </w:rPr>
        <w:t xml:space="preserve"> 2 pkt 1 i 2 w związku z art. 81 ust. 3 u</w:t>
      </w:r>
      <w:r>
        <w:rPr>
          <w:rFonts w:ascii="Times New Roman" w:eastAsia="Times New Roman" w:hAnsi="Times New Roman"/>
          <w:bCs/>
          <w:iCs/>
          <w:sz w:val="24"/>
          <w:szCs w:val="24"/>
          <w:lang w:eastAsia="pl-PL"/>
        </w:rPr>
        <w:t>.o.o.ś.</w:t>
      </w:r>
      <w:r w:rsidRPr="006E77FB">
        <w:rPr>
          <w:rFonts w:ascii="Times New Roman" w:eastAsia="Times New Roman" w:hAnsi="Times New Roman"/>
          <w:bCs/>
          <w:iCs/>
          <w:sz w:val="24"/>
          <w:szCs w:val="24"/>
          <w:lang w:eastAsia="pl-PL"/>
        </w:rPr>
        <w:t>, prz</w:t>
      </w:r>
      <w:r w:rsidRPr="006E77FB">
        <w:rPr>
          <w:rFonts w:ascii="Times New Roman" w:eastAsia="Times New Roman" w:hAnsi="Times New Roman"/>
          <w:bCs/>
          <w:iCs/>
          <w:sz w:val="24"/>
          <w:szCs w:val="24"/>
          <w:lang w:eastAsia="pl-PL"/>
        </w:rPr>
        <w:t xml:space="preserve">ez wydanie decyzji o środowiskowych uwarunkowaniach dla przedsięwzięcia mogącego znacząco negatywnie oddziaływać na możliwość osiągnięcia celów środowiskowych wyznaczonych dla jednolitych części wód, w sytuacji gdy nie zostały spełnione warunki, o których </w:t>
      </w:r>
      <w:r w:rsidRPr="006E77FB">
        <w:rPr>
          <w:rFonts w:ascii="Times New Roman" w:eastAsia="Times New Roman" w:hAnsi="Times New Roman"/>
          <w:bCs/>
          <w:iCs/>
          <w:sz w:val="24"/>
          <w:szCs w:val="24"/>
          <w:lang w:eastAsia="pl-PL"/>
        </w:rPr>
        <w:t xml:space="preserve">mowa w art. 68 pkt 1, 3 i 4 </w:t>
      </w:r>
      <w:r>
        <w:rPr>
          <w:rFonts w:ascii="Times New Roman" w:eastAsia="Times New Roman" w:hAnsi="Times New Roman"/>
          <w:bCs/>
          <w:iCs/>
          <w:sz w:val="24"/>
          <w:szCs w:val="24"/>
          <w:lang w:eastAsia="pl-PL"/>
        </w:rPr>
        <w:t>p.w.</w:t>
      </w:r>
      <w:r w:rsidRPr="006E77FB">
        <w:rPr>
          <w:rFonts w:ascii="Times New Roman" w:eastAsia="Times New Roman" w:hAnsi="Times New Roman"/>
          <w:bCs/>
          <w:iCs/>
          <w:sz w:val="24"/>
          <w:szCs w:val="24"/>
          <w:lang w:eastAsia="pl-PL"/>
        </w:rPr>
        <w:t>;</w:t>
      </w:r>
    </w:p>
    <w:p w14:paraId="6C492A6C" w14:textId="77777777" w:rsidR="00B5204E" w:rsidRPr="006E77FB" w:rsidRDefault="000060D6" w:rsidP="00336A51">
      <w:pPr>
        <w:numPr>
          <w:ilvl w:val="0"/>
          <w:numId w:val="15"/>
        </w:numPr>
        <w:spacing w:after="0" w:line="312" w:lineRule="auto"/>
        <w:ind w:left="357" w:hanging="357"/>
        <w:jc w:val="both"/>
        <w:rPr>
          <w:rFonts w:ascii="Times New Roman" w:eastAsia="Times New Roman" w:hAnsi="Times New Roman"/>
          <w:bCs/>
          <w:iCs/>
          <w:sz w:val="24"/>
          <w:szCs w:val="24"/>
          <w:lang w:eastAsia="pl-PL"/>
        </w:rPr>
      </w:pPr>
      <w:r w:rsidRPr="002354AF">
        <w:rPr>
          <w:rFonts w:ascii="Times New Roman" w:eastAsia="Times New Roman" w:hAnsi="Times New Roman"/>
          <w:bCs/>
          <w:iCs/>
          <w:sz w:val="24"/>
          <w:szCs w:val="24"/>
          <w:lang w:eastAsia="pl-PL"/>
        </w:rPr>
        <w:t>art. 107 § 1 oraz § 3 k.p.a. w związku z art. 16 ustawy z dnia 7 kwietnia 2017 r. o zmianie zmianie ustawy – Kodeks postępowania administracyjnego (Dz. U. z 2017 poz. 935), bowiem organ pierwszej instancji nie uzasadnił, ż</w:t>
      </w:r>
      <w:r w:rsidRPr="002354AF">
        <w:rPr>
          <w:rFonts w:ascii="Times New Roman" w:eastAsia="Times New Roman" w:hAnsi="Times New Roman"/>
          <w:bCs/>
          <w:iCs/>
          <w:sz w:val="24"/>
          <w:szCs w:val="24"/>
          <w:lang w:eastAsia="pl-PL"/>
        </w:rPr>
        <w:t>e przedmiotowe przedsięwzięcie nie</w:t>
      </w:r>
      <w:r w:rsidRPr="006E77FB">
        <w:rPr>
          <w:rFonts w:ascii="Times New Roman" w:eastAsia="Times New Roman" w:hAnsi="Times New Roman"/>
          <w:bCs/>
          <w:iCs/>
          <w:sz w:val="24"/>
          <w:szCs w:val="24"/>
          <w:lang w:eastAsia="pl-PL"/>
        </w:rPr>
        <w:t xml:space="preserve"> będzie znacząco negatywnie oddziaływać na środowisko, w tym na obszary Natura 2000, oraz nie wpłynie negatywnie na możliwość osiągnięcia celów środowiskowych wyznaczonych dla jednolitych części wód.</w:t>
      </w:r>
    </w:p>
    <w:p w14:paraId="4DED6440" w14:textId="77777777" w:rsidR="00B5204E" w:rsidRPr="00531496" w:rsidRDefault="000060D6" w:rsidP="00336A51">
      <w:pPr>
        <w:spacing w:after="0" w:line="312" w:lineRule="auto"/>
        <w:ind w:firstLine="709"/>
        <w:jc w:val="both"/>
        <w:rPr>
          <w:rFonts w:ascii="Times New Roman" w:eastAsia="Times New Roman" w:hAnsi="Times New Roman"/>
          <w:iCs/>
          <w:sz w:val="24"/>
          <w:szCs w:val="24"/>
          <w:lang w:eastAsia="pl-PL"/>
        </w:rPr>
      </w:pPr>
      <w:r w:rsidRPr="00EC669C">
        <w:rPr>
          <w:rFonts w:ascii="Times New Roman" w:eastAsia="Times New Roman" w:hAnsi="Times New Roman"/>
          <w:iCs/>
          <w:sz w:val="24"/>
          <w:szCs w:val="24"/>
          <w:lang w:eastAsia="pl-PL"/>
        </w:rPr>
        <w:t>Z uwagi na powyższe st</w:t>
      </w:r>
      <w:r w:rsidRPr="00EC669C">
        <w:rPr>
          <w:rFonts w:ascii="Times New Roman" w:eastAsia="Times New Roman" w:hAnsi="Times New Roman"/>
          <w:iCs/>
          <w:sz w:val="24"/>
          <w:szCs w:val="24"/>
          <w:lang w:eastAsia="pl-PL"/>
        </w:rPr>
        <w:t>wierdzić należy, że RDOŚ w Poznaniu nie rozpatrzył przedmiotowej sprawy w znacznym zakresie, co niewątpliwie mogło mieć istotny wpływ na podjęte w postępowaniu pierwszoinstancyjnym rozstrzygnięcie, tj. określenie środowiskowych uwarunkowań realizacji oceni</w:t>
      </w:r>
      <w:r w:rsidRPr="00EC669C">
        <w:rPr>
          <w:rFonts w:ascii="Times New Roman" w:eastAsia="Times New Roman" w:hAnsi="Times New Roman"/>
          <w:iCs/>
          <w:sz w:val="24"/>
          <w:szCs w:val="24"/>
          <w:lang w:eastAsia="pl-PL"/>
        </w:rPr>
        <w:t xml:space="preserve">anego przedsięwzięcia. Nie mając pełnej wiedzy o rodzaju i skali możliwego oddziaływania przedsięwzięcia na środowisko oraz elementy środowiska, na które </w:t>
      </w:r>
      <w:r w:rsidRPr="00EC669C">
        <w:rPr>
          <w:rFonts w:ascii="Times New Roman" w:eastAsia="Times New Roman" w:hAnsi="Times New Roman"/>
          <w:iCs/>
          <w:sz w:val="24"/>
          <w:szCs w:val="24"/>
          <w:lang w:eastAsia="pl-PL"/>
        </w:rPr>
        <w:lastRenderedPageBreak/>
        <w:t xml:space="preserve">przedsięwzięcie może oddziaływać, nie jest możliwe określenie wymagań dotyczących ochrony środowiska, </w:t>
      </w:r>
      <w:r w:rsidRPr="00EC669C">
        <w:rPr>
          <w:rFonts w:ascii="Times New Roman" w:eastAsia="Times New Roman" w:hAnsi="Times New Roman"/>
          <w:iCs/>
          <w:sz w:val="24"/>
          <w:szCs w:val="24"/>
          <w:lang w:eastAsia="pl-PL"/>
        </w:rPr>
        <w:t>koniecznych do podjęcia na dalszym etapie procesu inwestycyjnego, ani wskazanie właściwych i skutecznych działań mających na celu zapobieganie</w:t>
      </w:r>
      <w:r>
        <w:rPr>
          <w:rFonts w:ascii="Times New Roman" w:eastAsia="Times New Roman" w:hAnsi="Times New Roman"/>
          <w:iCs/>
          <w:sz w:val="24"/>
          <w:szCs w:val="24"/>
          <w:lang w:eastAsia="pl-PL"/>
        </w:rPr>
        <w:t>,</w:t>
      </w:r>
      <w:r w:rsidRPr="00EC669C">
        <w:rPr>
          <w:rFonts w:ascii="Times New Roman" w:eastAsia="Times New Roman" w:hAnsi="Times New Roman"/>
          <w:iCs/>
          <w:sz w:val="24"/>
          <w:szCs w:val="24"/>
          <w:lang w:eastAsia="pl-PL"/>
        </w:rPr>
        <w:t xml:space="preserve"> ograniczanie </w:t>
      </w:r>
      <w:r>
        <w:rPr>
          <w:rFonts w:ascii="Times New Roman" w:eastAsia="Times New Roman" w:hAnsi="Times New Roman"/>
          <w:iCs/>
          <w:sz w:val="24"/>
          <w:szCs w:val="24"/>
          <w:lang w:eastAsia="pl-PL"/>
        </w:rPr>
        <w:t xml:space="preserve">lub kompensację negatywnego </w:t>
      </w:r>
      <w:r w:rsidRPr="00EC669C">
        <w:rPr>
          <w:rFonts w:ascii="Times New Roman" w:eastAsia="Times New Roman" w:hAnsi="Times New Roman"/>
          <w:iCs/>
          <w:sz w:val="24"/>
          <w:szCs w:val="24"/>
          <w:lang w:eastAsia="pl-PL"/>
        </w:rPr>
        <w:t>oddziaływania przedsięwzięcia na poszczególne elementy środowiska.</w:t>
      </w:r>
    </w:p>
    <w:p w14:paraId="272BBE33" w14:textId="77777777" w:rsidR="00B5204E" w:rsidRPr="009C0533" w:rsidRDefault="000060D6" w:rsidP="00336A51">
      <w:pPr>
        <w:spacing w:after="0" w:line="312" w:lineRule="auto"/>
        <w:ind w:firstLine="709"/>
        <w:jc w:val="both"/>
        <w:rPr>
          <w:rFonts w:ascii="Times New Roman" w:eastAsia="Times New Roman" w:hAnsi="Times New Roman"/>
          <w:bCs/>
          <w:iCs/>
          <w:sz w:val="24"/>
          <w:szCs w:val="24"/>
          <w:lang w:eastAsia="pl-PL"/>
        </w:rPr>
      </w:pPr>
      <w:r w:rsidRPr="009C0533">
        <w:rPr>
          <w:rFonts w:ascii="Times New Roman" w:eastAsia="Times New Roman" w:hAnsi="Times New Roman"/>
          <w:bCs/>
          <w:iCs/>
          <w:sz w:val="24"/>
          <w:szCs w:val="24"/>
          <w:lang w:eastAsia="pl-PL"/>
        </w:rPr>
        <w:t>Kierując się zasadą dwuinstancyjności postępowania administracyjnego, którego istotą jest zapewnienie stronom prawa do dwukrotnego rozpatrzenia i rozstrzygnięcia sprawy GDOŚ w ramach postępowania odwoławczego dokonał analizy zgromadzonego materiału dowodow</w:t>
      </w:r>
      <w:r w:rsidRPr="009C0533">
        <w:rPr>
          <w:rFonts w:ascii="Times New Roman" w:eastAsia="Times New Roman" w:hAnsi="Times New Roman"/>
          <w:bCs/>
          <w:iCs/>
          <w:sz w:val="24"/>
          <w:szCs w:val="24"/>
          <w:lang w:eastAsia="pl-PL"/>
        </w:rPr>
        <w:t>ego, w tym wniosku o wydanie decyzji o środowiskowych uwarunkowaniach, zaskarżonej decyzji, wniesionych odwołań oraz raportu wraz z jego uzupełnieniami. Mając na uwadze, że w pierwszej kolejności należy podjąć wszelkie niezbędne kroki, aby rozpoznać sprawę</w:t>
      </w:r>
      <w:r w:rsidRPr="009C0533">
        <w:rPr>
          <w:rFonts w:ascii="Times New Roman" w:eastAsia="Times New Roman" w:hAnsi="Times New Roman"/>
          <w:bCs/>
          <w:iCs/>
          <w:sz w:val="24"/>
          <w:szCs w:val="24"/>
          <w:lang w:eastAsia="pl-PL"/>
        </w:rPr>
        <w:t xml:space="preserve"> merytorycznie i rozstrzygnąć ją co do istoty, GDOŚ w celu naprawienia uchybień popełnionych przez RDOŚ w </w:t>
      </w:r>
      <w:r>
        <w:rPr>
          <w:rFonts w:ascii="Times New Roman" w:eastAsia="Times New Roman" w:hAnsi="Times New Roman"/>
          <w:bCs/>
          <w:iCs/>
          <w:sz w:val="24"/>
          <w:szCs w:val="24"/>
          <w:lang w:eastAsia="pl-PL"/>
        </w:rPr>
        <w:t>Poznaniu</w:t>
      </w:r>
      <w:r w:rsidRPr="009C0533">
        <w:rPr>
          <w:rFonts w:ascii="Times New Roman" w:eastAsia="Times New Roman" w:hAnsi="Times New Roman"/>
          <w:bCs/>
          <w:iCs/>
          <w:sz w:val="24"/>
          <w:szCs w:val="24"/>
          <w:lang w:eastAsia="pl-PL"/>
        </w:rPr>
        <w:t xml:space="preserve"> podjął się przeprowadzenia dodatkowego postępowania wyjaśniającego w oparciu o art. 136 </w:t>
      </w:r>
      <w:r>
        <w:rPr>
          <w:rFonts w:ascii="Times New Roman" w:eastAsia="Times New Roman" w:hAnsi="Times New Roman"/>
          <w:bCs/>
          <w:iCs/>
          <w:sz w:val="24"/>
          <w:szCs w:val="24"/>
          <w:lang w:eastAsia="pl-PL"/>
        </w:rPr>
        <w:t>k.p.a</w:t>
      </w:r>
      <w:r w:rsidRPr="009C0533">
        <w:rPr>
          <w:rFonts w:ascii="Times New Roman" w:eastAsia="Times New Roman" w:hAnsi="Times New Roman"/>
          <w:bCs/>
          <w:iCs/>
          <w:sz w:val="24"/>
          <w:szCs w:val="24"/>
          <w:lang w:eastAsia="pl-PL"/>
        </w:rPr>
        <w:t xml:space="preserve">. Pomimo </w:t>
      </w:r>
      <w:r>
        <w:rPr>
          <w:rFonts w:ascii="Times New Roman" w:eastAsia="Times New Roman" w:hAnsi="Times New Roman"/>
          <w:bCs/>
          <w:iCs/>
          <w:sz w:val="24"/>
          <w:szCs w:val="24"/>
          <w:lang w:eastAsia="pl-PL"/>
        </w:rPr>
        <w:t>trzykrotnego</w:t>
      </w:r>
      <w:r w:rsidRPr="009C0533">
        <w:rPr>
          <w:rFonts w:ascii="Times New Roman" w:eastAsia="Times New Roman" w:hAnsi="Times New Roman"/>
          <w:bCs/>
          <w:iCs/>
          <w:sz w:val="24"/>
          <w:szCs w:val="24"/>
          <w:lang w:eastAsia="pl-PL"/>
        </w:rPr>
        <w:t xml:space="preserve"> wezwania </w:t>
      </w:r>
      <w:r>
        <w:rPr>
          <w:rFonts w:ascii="Times New Roman" w:eastAsia="Times New Roman" w:hAnsi="Times New Roman"/>
          <w:bCs/>
          <w:iCs/>
          <w:sz w:val="24"/>
          <w:szCs w:val="24"/>
          <w:lang w:eastAsia="pl-PL"/>
        </w:rPr>
        <w:t>PGW Wody Polskie</w:t>
      </w:r>
      <w:r w:rsidRPr="009C0533">
        <w:rPr>
          <w:rFonts w:ascii="Times New Roman" w:eastAsia="Times New Roman" w:hAnsi="Times New Roman"/>
          <w:bCs/>
          <w:iCs/>
          <w:sz w:val="24"/>
          <w:szCs w:val="24"/>
          <w:lang w:eastAsia="pl-PL"/>
        </w:rPr>
        <w:t xml:space="preserve"> </w:t>
      </w:r>
      <w:r w:rsidRPr="009C0533">
        <w:rPr>
          <w:rFonts w:ascii="Times New Roman" w:eastAsia="Times New Roman" w:hAnsi="Times New Roman"/>
          <w:bCs/>
          <w:iCs/>
          <w:sz w:val="24"/>
          <w:szCs w:val="24"/>
          <w:lang w:eastAsia="pl-PL"/>
        </w:rPr>
        <w:t>nie uzupełnił</w:t>
      </w:r>
      <w:r>
        <w:rPr>
          <w:rFonts w:ascii="Times New Roman" w:eastAsia="Times New Roman" w:hAnsi="Times New Roman"/>
          <w:bCs/>
          <w:iCs/>
          <w:sz w:val="24"/>
          <w:szCs w:val="24"/>
          <w:lang w:eastAsia="pl-PL"/>
        </w:rPr>
        <w:t>o</w:t>
      </w:r>
      <w:r w:rsidRPr="009C0533">
        <w:rPr>
          <w:rFonts w:ascii="Times New Roman" w:eastAsia="Times New Roman" w:hAnsi="Times New Roman"/>
          <w:bCs/>
          <w:iCs/>
          <w:sz w:val="24"/>
          <w:szCs w:val="24"/>
          <w:lang w:eastAsia="pl-PL"/>
        </w:rPr>
        <w:t xml:space="preserve"> dokumentacji w wymaganym zakresie. W związku z powyższym organ drugiej instancji rozpatrzył sprawę co do okoliczności faktycznych i prawnych w oparciu o dotychczas złożony materiał dowodowy. Przedłożony przez inwestora raport nie pozwala na </w:t>
      </w:r>
      <w:r w:rsidRPr="009C0533">
        <w:rPr>
          <w:rFonts w:ascii="Times New Roman" w:eastAsia="Times New Roman" w:hAnsi="Times New Roman"/>
          <w:bCs/>
          <w:iCs/>
          <w:sz w:val="24"/>
          <w:szCs w:val="24"/>
          <w:lang w:eastAsia="pl-PL"/>
        </w:rPr>
        <w:t>przeprowadzenie oceny oddziaływania planowanego przedsięwzięcia na środowisko w zakresie wskazanym w art. 62 u.o.o.ś., tym samym nie może stanowić podstawy do określenia środowiskowych uwarunkowań jego realizacji.</w:t>
      </w:r>
    </w:p>
    <w:p w14:paraId="542C60ED" w14:textId="77777777" w:rsidR="00B5204E" w:rsidRPr="0017259B" w:rsidRDefault="000060D6" w:rsidP="00336A51">
      <w:pPr>
        <w:spacing w:after="0" w:line="312" w:lineRule="auto"/>
        <w:ind w:firstLine="709"/>
        <w:jc w:val="both"/>
        <w:rPr>
          <w:rFonts w:ascii="Times New Roman" w:eastAsia="Times New Roman" w:hAnsi="Times New Roman"/>
          <w:iCs/>
          <w:sz w:val="24"/>
          <w:szCs w:val="24"/>
          <w:lang w:eastAsia="pl-PL"/>
        </w:rPr>
      </w:pPr>
      <w:r>
        <w:rPr>
          <w:rFonts w:ascii="Times New Roman" w:eastAsia="Times New Roman" w:hAnsi="Times New Roman"/>
          <w:iCs/>
          <w:sz w:val="24"/>
          <w:szCs w:val="24"/>
          <w:lang w:eastAsia="pl-PL"/>
        </w:rPr>
        <w:t>W opinii organu odwoławczego wskazane w tr</w:t>
      </w:r>
      <w:r>
        <w:rPr>
          <w:rFonts w:ascii="Times New Roman" w:eastAsia="Times New Roman" w:hAnsi="Times New Roman"/>
          <w:iCs/>
          <w:sz w:val="24"/>
          <w:szCs w:val="24"/>
          <w:lang w:eastAsia="pl-PL"/>
        </w:rPr>
        <w:t xml:space="preserve">eści niniejszej decyzji okoliczności uzasadniają uchylenie decyzji RDOŚ w Poznaniu z 13 lutego 2020 r. oraz </w:t>
      </w:r>
      <w:r w:rsidRPr="0017259B">
        <w:rPr>
          <w:rFonts w:ascii="Times New Roman" w:eastAsia="Times New Roman" w:hAnsi="Times New Roman"/>
          <w:iCs/>
          <w:sz w:val="24"/>
          <w:szCs w:val="24"/>
          <w:lang w:eastAsia="pl-PL"/>
        </w:rPr>
        <w:t>odmowę określenia środowiskowych uwarunkowań realizacji przedmiotowego przedsięwzięcia.</w:t>
      </w:r>
    </w:p>
    <w:p w14:paraId="458F38FE" w14:textId="77777777" w:rsidR="00B5204E" w:rsidRDefault="000060D6" w:rsidP="00765CDF">
      <w:pPr>
        <w:spacing w:after="240" w:line="312" w:lineRule="auto"/>
        <w:ind w:firstLine="709"/>
        <w:jc w:val="both"/>
        <w:rPr>
          <w:rFonts w:ascii="Times New Roman" w:eastAsia="Times New Roman" w:hAnsi="Times New Roman"/>
          <w:iCs/>
          <w:sz w:val="24"/>
          <w:szCs w:val="24"/>
          <w:lang w:eastAsia="pl-PL"/>
        </w:rPr>
      </w:pPr>
      <w:r w:rsidRPr="0017259B">
        <w:rPr>
          <w:rFonts w:ascii="Times New Roman" w:eastAsia="Times New Roman" w:hAnsi="Times New Roman"/>
          <w:iCs/>
          <w:sz w:val="24"/>
          <w:szCs w:val="24"/>
          <w:lang w:eastAsia="pl-PL"/>
        </w:rPr>
        <w:t>Wobec powyższego orzeczono jak w sentencji.</w:t>
      </w:r>
      <w:bookmarkEnd w:id="51"/>
    </w:p>
    <w:p w14:paraId="228A3A66" w14:textId="77777777" w:rsidR="00B5204E" w:rsidRPr="00D409EF" w:rsidRDefault="00B5204E" w:rsidP="00765CDF">
      <w:pPr>
        <w:spacing w:after="240" w:line="312" w:lineRule="auto"/>
        <w:ind w:firstLine="709"/>
        <w:jc w:val="both"/>
        <w:rPr>
          <w:rFonts w:ascii="Times New Roman" w:eastAsia="Times New Roman" w:hAnsi="Times New Roman"/>
          <w:bCs/>
          <w:iCs/>
          <w:sz w:val="24"/>
          <w:szCs w:val="24"/>
          <w:lang w:eastAsia="pl-PL"/>
        </w:rPr>
      </w:pPr>
    </w:p>
    <w:p w14:paraId="2BEF1187" w14:textId="77777777" w:rsidR="00B5204E" w:rsidRPr="00D409EF" w:rsidRDefault="000060D6" w:rsidP="00D409EF">
      <w:pPr>
        <w:keepNext/>
        <w:spacing w:after="120" w:line="312" w:lineRule="auto"/>
        <w:rPr>
          <w:rFonts w:ascii="Times New Roman" w:eastAsia="Times New Roman" w:hAnsi="Times New Roman"/>
          <w:bCs/>
          <w:sz w:val="24"/>
          <w:szCs w:val="24"/>
          <w:lang w:eastAsia="pl-PL"/>
        </w:rPr>
      </w:pPr>
      <w:r w:rsidRPr="00D409EF">
        <w:rPr>
          <w:rFonts w:ascii="Times New Roman" w:eastAsia="Times New Roman" w:hAnsi="Times New Roman"/>
          <w:bCs/>
          <w:sz w:val="24"/>
          <w:szCs w:val="24"/>
          <w:lang w:eastAsia="pl-PL"/>
        </w:rPr>
        <w:t>Pouczenie</w:t>
      </w:r>
    </w:p>
    <w:p w14:paraId="0D8043E9" w14:textId="77777777" w:rsidR="00B5204E" w:rsidRPr="002354AF" w:rsidRDefault="000060D6" w:rsidP="00336A51">
      <w:pPr>
        <w:spacing w:after="0" w:line="312" w:lineRule="auto"/>
        <w:jc w:val="both"/>
        <w:rPr>
          <w:rFonts w:ascii="Times New Roman" w:eastAsia="Times New Roman" w:hAnsi="Times New Roman"/>
          <w:sz w:val="24"/>
          <w:szCs w:val="24"/>
          <w:lang w:eastAsia="pl-PL"/>
        </w:rPr>
      </w:pPr>
      <w:r w:rsidRPr="002354AF">
        <w:rPr>
          <w:rFonts w:ascii="Times New Roman" w:eastAsia="Times New Roman" w:hAnsi="Times New Roman"/>
          <w:sz w:val="24"/>
          <w:szCs w:val="24"/>
          <w:lang w:eastAsia="pl-PL"/>
        </w:rPr>
        <w:t xml:space="preserve">Niniejsza decyzja jest ostateczna w administracyjnym toku instancji. Na decyzję, zgodnie z art. 50 § 1 w związku z art. 3 § 2 pkt 1 ustawy z dnia 30 sierpnia 2002 r. – </w:t>
      </w:r>
      <w:r w:rsidRPr="002354AF">
        <w:rPr>
          <w:rFonts w:ascii="Times New Roman" w:eastAsia="Times New Roman" w:hAnsi="Times New Roman"/>
          <w:iCs/>
          <w:sz w:val="24"/>
          <w:szCs w:val="24"/>
          <w:lang w:eastAsia="pl-PL"/>
        </w:rPr>
        <w:t>Prawo o postępowaniu przed sądami administracyjnymi</w:t>
      </w:r>
      <w:r w:rsidRPr="002354AF">
        <w:rPr>
          <w:rFonts w:ascii="Times New Roman" w:eastAsia="Times New Roman" w:hAnsi="Times New Roman"/>
          <w:i/>
          <w:sz w:val="24"/>
          <w:szCs w:val="24"/>
          <w:lang w:eastAsia="pl-PL"/>
        </w:rPr>
        <w:t xml:space="preserve"> </w:t>
      </w:r>
      <w:r w:rsidRPr="002354AF">
        <w:rPr>
          <w:rFonts w:ascii="Times New Roman" w:eastAsia="Times New Roman" w:hAnsi="Times New Roman"/>
          <w:sz w:val="24"/>
          <w:szCs w:val="24"/>
          <w:lang w:eastAsia="pl-PL"/>
        </w:rPr>
        <w:t>(Dz. U. z 2024 r. poz. 935), dalej p</w:t>
      </w:r>
      <w:r w:rsidRPr="002354AF">
        <w:rPr>
          <w:rFonts w:ascii="Times New Roman" w:eastAsia="Times New Roman" w:hAnsi="Times New Roman"/>
          <w:sz w:val="24"/>
          <w:szCs w:val="24"/>
          <w:lang w:eastAsia="pl-PL"/>
        </w:rPr>
        <w:t xml:space="preserve">.p.s.a., służy skarga do Wojewódzkiego Sądu Administracyjnego w Warszawie. Zgodnie z art. 54 § 1 oraz art. 53 § 1 p.p.s.a. skargę wnosi się za pośrednictwem GDOŚ </w:t>
      </w:r>
      <w:bookmarkStart w:id="54" w:name="_Hlk182296914"/>
      <w:r w:rsidRPr="002354AF">
        <w:rPr>
          <w:rFonts w:ascii="Times New Roman" w:eastAsia="Times New Roman" w:hAnsi="Times New Roman"/>
          <w:sz w:val="24"/>
          <w:szCs w:val="24"/>
          <w:lang w:eastAsia="pl-PL"/>
        </w:rPr>
        <w:t>(Generalna Dyrekcja Ochrony Środowiska, Al. Jerozolimskie 136, 02-305 Warszawa; ePUAP: /gdosgo</w:t>
      </w:r>
      <w:r w:rsidRPr="002354AF">
        <w:rPr>
          <w:rFonts w:ascii="Times New Roman" w:eastAsia="Times New Roman" w:hAnsi="Times New Roman"/>
          <w:sz w:val="24"/>
          <w:szCs w:val="24"/>
          <w:lang w:eastAsia="pl-PL"/>
        </w:rPr>
        <w:t>vpl/SkrytkaESP)</w:t>
      </w:r>
      <w:bookmarkEnd w:id="54"/>
      <w:r w:rsidRPr="002354AF">
        <w:rPr>
          <w:rFonts w:ascii="Times New Roman" w:eastAsia="Times New Roman" w:hAnsi="Times New Roman"/>
          <w:sz w:val="24"/>
          <w:szCs w:val="24"/>
          <w:lang w:eastAsia="pl-PL"/>
        </w:rPr>
        <w:t xml:space="preserve"> w terminie trzydziestu dni od dnia doręczenia skarżącemu decyzji.</w:t>
      </w:r>
    </w:p>
    <w:p w14:paraId="0CB9E949" w14:textId="77777777" w:rsidR="00B5204E" w:rsidRPr="001F6337" w:rsidRDefault="00B5204E" w:rsidP="00336A51">
      <w:pPr>
        <w:spacing w:after="0" w:line="312" w:lineRule="auto"/>
        <w:jc w:val="both"/>
        <w:rPr>
          <w:rFonts w:ascii="Times New Roman" w:eastAsia="Times New Roman" w:hAnsi="Times New Roman"/>
          <w:bCs/>
          <w:sz w:val="24"/>
          <w:szCs w:val="24"/>
          <w:lang w:eastAsia="pl-PL"/>
        </w:rPr>
      </w:pPr>
    </w:p>
    <w:p w14:paraId="53374C5E" w14:textId="77777777" w:rsidR="00B5204E" w:rsidRPr="001F6337" w:rsidRDefault="00B5204E" w:rsidP="00336A51">
      <w:pPr>
        <w:spacing w:after="0" w:line="312" w:lineRule="auto"/>
        <w:jc w:val="both"/>
        <w:rPr>
          <w:rFonts w:ascii="Times New Roman" w:eastAsia="Times New Roman" w:hAnsi="Times New Roman"/>
          <w:bCs/>
          <w:sz w:val="24"/>
          <w:szCs w:val="24"/>
          <w:lang w:eastAsia="pl-PL"/>
        </w:rPr>
      </w:pPr>
    </w:p>
    <w:p w14:paraId="0B798A7E" w14:textId="77777777" w:rsidR="00B5204E" w:rsidRPr="001F6337" w:rsidRDefault="00B5204E" w:rsidP="00336A51">
      <w:pPr>
        <w:spacing w:after="0" w:line="312" w:lineRule="auto"/>
        <w:jc w:val="both"/>
        <w:rPr>
          <w:rFonts w:ascii="Times New Roman" w:eastAsia="Times New Roman" w:hAnsi="Times New Roman"/>
          <w:bCs/>
          <w:sz w:val="24"/>
          <w:szCs w:val="24"/>
          <w:lang w:eastAsia="pl-PL"/>
        </w:rPr>
      </w:pPr>
    </w:p>
    <w:p w14:paraId="50C2BD2B" w14:textId="77777777" w:rsidR="00B5204E" w:rsidRPr="001F6337" w:rsidRDefault="00B5204E" w:rsidP="00336A51">
      <w:pPr>
        <w:spacing w:after="0" w:line="312" w:lineRule="auto"/>
        <w:jc w:val="both"/>
        <w:rPr>
          <w:rFonts w:ascii="Times New Roman" w:eastAsia="Times New Roman" w:hAnsi="Times New Roman"/>
          <w:bCs/>
          <w:sz w:val="24"/>
          <w:szCs w:val="24"/>
          <w:lang w:eastAsia="pl-PL"/>
        </w:rPr>
      </w:pPr>
    </w:p>
    <w:p w14:paraId="59DFF9B4" w14:textId="77777777" w:rsidR="00B5204E" w:rsidRPr="00997607" w:rsidRDefault="000060D6" w:rsidP="00D409EF">
      <w:pPr>
        <w:spacing w:after="0" w:line="240" w:lineRule="auto"/>
        <w:rPr>
          <w:rFonts w:ascii="Times New Roman" w:hAnsi="Times New Roman"/>
          <w:kern w:val="2"/>
          <w:sz w:val="24"/>
          <w:szCs w:val="24"/>
        </w:rPr>
      </w:pPr>
      <w:r w:rsidRPr="00997607">
        <w:rPr>
          <w:rFonts w:ascii="Times New Roman" w:hAnsi="Times New Roman"/>
          <w:kern w:val="2"/>
          <w:sz w:val="24"/>
          <w:szCs w:val="24"/>
        </w:rPr>
        <w:lastRenderedPageBreak/>
        <w:t>PIOTR OTAWSKI</w:t>
      </w:r>
    </w:p>
    <w:p w14:paraId="007B5B7E" w14:textId="77777777" w:rsidR="00B5204E" w:rsidRPr="00997607" w:rsidRDefault="000060D6" w:rsidP="00D409EF">
      <w:pPr>
        <w:spacing w:after="120" w:line="240" w:lineRule="auto"/>
        <w:rPr>
          <w:rFonts w:ascii="Times New Roman" w:hAnsi="Times New Roman"/>
          <w:kern w:val="2"/>
          <w:sz w:val="24"/>
          <w:szCs w:val="24"/>
        </w:rPr>
      </w:pPr>
      <w:r w:rsidRPr="00997607">
        <w:rPr>
          <w:rFonts w:ascii="Times New Roman" w:hAnsi="Times New Roman"/>
          <w:kern w:val="2"/>
          <w:sz w:val="24"/>
          <w:szCs w:val="24"/>
        </w:rPr>
        <w:t>Generalny Dyrektor Ochrony Środowiska</w:t>
      </w:r>
    </w:p>
    <w:p w14:paraId="45414C5D" w14:textId="77777777" w:rsidR="00B5204E" w:rsidRDefault="00B5204E" w:rsidP="00336A51">
      <w:pPr>
        <w:spacing w:after="0" w:line="312" w:lineRule="auto"/>
        <w:jc w:val="both"/>
        <w:rPr>
          <w:rFonts w:ascii="Times New Roman" w:eastAsia="Times New Roman" w:hAnsi="Times New Roman"/>
          <w:bCs/>
          <w:sz w:val="24"/>
          <w:szCs w:val="24"/>
          <w:lang w:eastAsia="pl-PL"/>
        </w:rPr>
      </w:pPr>
    </w:p>
    <w:p w14:paraId="751B75F5" w14:textId="77777777" w:rsidR="00B5204E" w:rsidRDefault="00B5204E" w:rsidP="00336A51">
      <w:pPr>
        <w:spacing w:after="0" w:line="312" w:lineRule="auto"/>
        <w:jc w:val="both"/>
        <w:rPr>
          <w:rFonts w:ascii="Times New Roman" w:eastAsia="Times New Roman" w:hAnsi="Times New Roman"/>
          <w:bCs/>
          <w:sz w:val="24"/>
          <w:szCs w:val="24"/>
          <w:lang w:eastAsia="pl-PL"/>
        </w:rPr>
      </w:pPr>
    </w:p>
    <w:p w14:paraId="3989209B" w14:textId="77777777" w:rsidR="00B5204E" w:rsidRPr="001F6337" w:rsidRDefault="00B5204E" w:rsidP="00336A51">
      <w:pPr>
        <w:spacing w:after="0" w:line="312" w:lineRule="auto"/>
        <w:jc w:val="both"/>
        <w:rPr>
          <w:rFonts w:ascii="Times New Roman" w:eastAsia="Times New Roman" w:hAnsi="Times New Roman"/>
          <w:bCs/>
          <w:sz w:val="24"/>
          <w:szCs w:val="24"/>
          <w:lang w:eastAsia="pl-PL"/>
        </w:rPr>
      </w:pPr>
    </w:p>
    <w:p w14:paraId="5CB4A3A9" w14:textId="77777777" w:rsidR="00B5204E" w:rsidRPr="001F6337" w:rsidRDefault="00B5204E" w:rsidP="00336A51">
      <w:pPr>
        <w:spacing w:after="0" w:line="312" w:lineRule="auto"/>
        <w:jc w:val="both"/>
        <w:rPr>
          <w:rFonts w:ascii="Times New Roman" w:eastAsia="Times New Roman" w:hAnsi="Times New Roman"/>
          <w:bCs/>
          <w:sz w:val="24"/>
          <w:szCs w:val="24"/>
          <w:lang w:eastAsia="pl-PL"/>
        </w:rPr>
      </w:pPr>
    </w:p>
    <w:p w14:paraId="18F783EE" w14:textId="77777777" w:rsidR="00B5204E" w:rsidRDefault="00B5204E" w:rsidP="00336A51">
      <w:pPr>
        <w:spacing w:after="0" w:line="312" w:lineRule="auto"/>
        <w:jc w:val="both"/>
        <w:rPr>
          <w:rFonts w:ascii="Times New Roman" w:eastAsia="Times New Roman" w:hAnsi="Times New Roman"/>
          <w:bCs/>
          <w:sz w:val="24"/>
          <w:szCs w:val="24"/>
          <w:lang w:eastAsia="pl-PL"/>
        </w:rPr>
      </w:pPr>
    </w:p>
    <w:p w14:paraId="6A8D0CC3" w14:textId="77777777" w:rsidR="00B5204E" w:rsidRDefault="00B5204E" w:rsidP="00336A51">
      <w:pPr>
        <w:spacing w:after="0" w:line="312" w:lineRule="auto"/>
        <w:jc w:val="both"/>
        <w:rPr>
          <w:rFonts w:ascii="Times New Roman" w:eastAsia="Times New Roman" w:hAnsi="Times New Roman"/>
          <w:bCs/>
          <w:sz w:val="24"/>
          <w:szCs w:val="24"/>
          <w:lang w:eastAsia="pl-PL"/>
        </w:rPr>
      </w:pPr>
    </w:p>
    <w:p w14:paraId="402F83BC" w14:textId="77777777" w:rsidR="00B5204E" w:rsidRPr="001F6337" w:rsidRDefault="00B5204E" w:rsidP="00336A51">
      <w:pPr>
        <w:spacing w:after="0" w:line="312" w:lineRule="auto"/>
        <w:jc w:val="both"/>
        <w:rPr>
          <w:rFonts w:ascii="Times New Roman" w:eastAsia="Times New Roman" w:hAnsi="Times New Roman"/>
          <w:bCs/>
          <w:sz w:val="24"/>
          <w:szCs w:val="24"/>
          <w:lang w:eastAsia="pl-PL"/>
        </w:rPr>
      </w:pPr>
    </w:p>
    <w:p w14:paraId="79DD968A" w14:textId="77777777" w:rsidR="00B5204E" w:rsidRPr="00D409EF" w:rsidRDefault="000060D6" w:rsidP="00336A51">
      <w:pPr>
        <w:spacing w:after="0" w:line="312" w:lineRule="auto"/>
        <w:jc w:val="both"/>
        <w:rPr>
          <w:rFonts w:ascii="Times New Roman" w:eastAsia="Times New Roman" w:hAnsi="Times New Roman"/>
          <w:color w:val="000000"/>
          <w:sz w:val="20"/>
          <w:szCs w:val="20"/>
          <w:lang w:eastAsia="pl-PL"/>
        </w:rPr>
      </w:pPr>
      <w:r w:rsidRPr="00D409EF">
        <w:rPr>
          <w:rFonts w:ascii="Times New Roman" w:eastAsia="Times New Roman" w:hAnsi="Times New Roman"/>
          <w:color w:val="000000"/>
          <w:sz w:val="20"/>
          <w:szCs w:val="20"/>
          <w:lang w:eastAsia="pl-PL"/>
        </w:rPr>
        <w:t>Otrzymują:</w:t>
      </w:r>
    </w:p>
    <w:p w14:paraId="44E524C4" w14:textId="71AA864F" w:rsidR="00B5204E" w:rsidRPr="00D409EF" w:rsidRDefault="00127905" w:rsidP="00336A51">
      <w:pPr>
        <w:numPr>
          <w:ilvl w:val="0"/>
          <w:numId w:val="1"/>
        </w:numPr>
        <w:spacing w:after="0" w:line="312"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sidR="000060D6" w:rsidRPr="00D409EF">
        <w:rPr>
          <w:rFonts w:ascii="Times New Roman" w:eastAsia="Times New Roman" w:hAnsi="Times New Roman"/>
          <w:sz w:val="20"/>
          <w:szCs w:val="20"/>
          <w:lang w:eastAsia="pl-PL"/>
        </w:rPr>
        <w:t xml:space="preserve"> – pełnomocnik Państwowego Gospodarstwa Wodnego Wody Polskie, Biuro Projektów</w:t>
      </w:r>
    </w:p>
    <w:p w14:paraId="25C05E21" w14:textId="77777777" w:rsidR="00B5204E" w:rsidRPr="00D409EF" w:rsidRDefault="000060D6" w:rsidP="00336A51">
      <w:pPr>
        <w:spacing w:after="0" w:line="312" w:lineRule="auto"/>
        <w:ind w:left="720"/>
        <w:jc w:val="both"/>
        <w:rPr>
          <w:rFonts w:ascii="Times New Roman" w:eastAsia="Times New Roman" w:hAnsi="Times New Roman"/>
          <w:sz w:val="20"/>
          <w:szCs w:val="20"/>
          <w:lang w:eastAsia="pl-PL"/>
        </w:rPr>
      </w:pPr>
      <w:r w:rsidRPr="00D409EF">
        <w:rPr>
          <w:rFonts w:ascii="Times New Roman" w:eastAsia="Times New Roman" w:hAnsi="Times New Roman"/>
          <w:sz w:val="20"/>
          <w:szCs w:val="20"/>
          <w:lang w:eastAsia="pl-PL"/>
        </w:rPr>
        <w:t xml:space="preserve">Wodnych </w:t>
      </w:r>
      <w:r w:rsidRPr="00D409EF">
        <w:rPr>
          <w:rFonts w:ascii="Times New Roman" w:eastAsia="Times New Roman" w:hAnsi="Times New Roman"/>
          <w:sz w:val="20"/>
          <w:szCs w:val="20"/>
          <w:lang w:eastAsia="pl-PL"/>
        </w:rPr>
        <w:t>Melioracji i Inżynierii Środowiska „BIPROWODMEL” Sp. z o.o., ul. Murawa 29, 61-655 Poznań</w:t>
      </w:r>
    </w:p>
    <w:p w14:paraId="5FE7D32E" w14:textId="0B278A86" w:rsidR="00B5204E" w:rsidRPr="00D409EF" w:rsidRDefault="00127905" w:rsidP="00336A51">
      <w:pPr>
        <w:numPr>
          <w:ilvl w:val="0"/>
          <w:numId w:val="1"/>
        </w:numPr>
        <w:tabs>
          <w:tab w:val="clear" w:pos="0"/>
        </w:tabs>
        <w:suppressAutoHyphens/>
        <w:spacing w:after="0" w:line="312" w:lineRule="auto"/>
        <w:ind w:left="714" w:hanging="357"/>
        <w:contextualSpacing/>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14:paraId="5B9D7895" w14:textId="72DCDAE2" w:rsidR="00B5204E" w:rsidRPr="00D409EF" w:rsidRDefault="00127905" w:rsidP="00336A51">
      <w:pPr>
        <w:numPr>
          <w:ilvl w:val="0"/>
          <w:numId w:val="1"/>
        </w:numPr>
        <w:tabs>
          <w:tab w:val="clear" w:pos="0"/>
        </w:tabs>
        <w:suppressAutoHyphens/>
        <w:spacing w:after="0" w:line="312" w:lineRule="auto"/>
        <w:ind w:left="714" w:hanging="357"/>
        <w:contextualSpacing/>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14:paraId="4327C30C" w14:textId="6FCCE613" w:rsidR="00B5204E" w:rsidRPr="00D409EF" w:rsidRDefault="00127905" w:rsidP="00336A51">
      <w:pPr>
        <w:numPr>
          <w:ilvl w:val="0"/>
          <w:numId w:val="1"/>
        </w:numPr>
        <w:tabs>
          <w:tab w:val="clear" w:pos="0"/>
        </w:tabs>
        <w:suppressAutoHyphens/>
        <w:spacing w:after="0" w:line="312" w:lineRule="auto"/>
        <w:ind w:left="714" w:hanging="357"/>
        <w:contextualSpacing/>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14:paraId="677271CF" w14:textId="77777777" w:rsidR="00B5204E" w:rsidRPr="00D409EF" w:rsidRDefault="000060D6" w:rsidP="00336A51">
      <w:pPr>
        <w:numPr>
          <w:ilvl w:val="0"/>
          <w:numId w:val="1"/>
        </w:numPr>
        <w:tabs>
          <w:tab w:val="clear" w:pos="0"/>
        </w:tabs>
        <w:suppressAutoHyphens/>
        <w:spacing w:after="0" w:line="312" w:lineRule="auto"/>
        <w:ind w:left="714" w:hanging="357"/>
        <w:contextualSpacing/>
        <w:jc w:val="both"/>
        <w:rPr>
          <w:rFonts w:ascii="Times New Roman" w:eastAsia="Times New Roman" w:hAnsi="Times New Roman"/>
          <w:sz w:val="20"/>
          <w:szCs w:val="20"/>
          <w:lang w:eastAsia="pl-PL"/>
        </w:rPr>
      </w:pPr>
      <w:r w:rsidRPr="00D409EF">
        <w:rPr>
          <w:rFonts w:ascii="Times New Roman" w:eastAsia="Times New Roman" w:hAnsi="Times New Roman"/>
          <w:sz w:val="20"/>
          <w:szCs w:val="20"/>
          <w:lang w:eastAsia="pl-PL"/>
        </w:rPr>
        <w:t>Fundacja Czeremcha, Kolno 4C, 62-590 Kolno</w:t>
      </w:r>
    </w:p>
    <w:p w14:paraId="2C84F2DC" w14:textId="77777777" w:rsidR="00B5204E" w:rsidRPr="00D409EF" w:rsidRDefault="000060D6" w:rsidP="00336A51">
      <w:pPr>
        <w:numPr>
          <w:ilvl w:val="0"/>
          <w:numId w:val="1"/>
        </w:numPr>
        <w:suppressAutoHyphens/>
        <w:spacing w:after="240" w:line="312" w:lineRule="auto"/>
        <w:ind w:left="714" w:hanging="357"/>
        <w:jc w:val="both"/>
        <w:rPr>
          <w:rFonts w:ascii="Times New Roman" w:eastAsia="Times New Roman" w:hAnsi="Times New Roman"/>
          <w:sz w:val="20"/>
          <w:szCs w:val="20"/>
          <w:lang w:eastAsia="pl-PL"/>
        </w:rPr>
      </w:pPr>
      <w:r w:rsidRPr="00D409EF">
        <w:rPr>
          <w:rFonts w:ascii="Times New Roman" w:eastAsia="Times New Roman" w:hAnsi="Times New Roman"/>
          <w:sz w:val="20"/>
          <w:szCs w:val="20"/>
          <w:lang w:eastAsia="pl-PL"/>
        </w:rPr>
        <w:t>Pozostałe strony postępowania – zgodnie z art. 49 k.p.a. w związk</w:t>
      </w:r>
      <w:r w:rsidRPr="00D409EF">
        <w:rPr>
          <w:rFonts w:ascii="Times New Roman" w:eastAsia="Times New Roman" w:hAnsi="Times New Roman"/>
          <w:sz w:val="20"/>
          <w:szCs w:val="20"/>
          <w:lang w:eastAsia="pl-PL"/>
        </w:rPr>
        <w:t xml:space="preserve">u z art. 16 ustawy z dnia 7 kwietnia 2017 r. o zmianie ustawy – Kodeks postępowania administracyjnego oraz niektórych innych ustaw (Dz. U. poz. 935) oraz art. 74 ust. 3 u.o.o. w związku z art. 6 ust. 2 ustawy z dnia 9 października 2015 r. o zmianie ustawy </w:t>
      </w:r>
      <w:r w:rsidRPr="00D409EF">
        <w:rPr>
          <w:rFonts w:ascii="Times New Roman" w:eastAsia="Times New Roman" w:hAnsi="Times New Roman"/>
          <w:sz w:val="20"/>
          <w:szCs w:val="20"/>
          <w:lang w:eastAsia="pl-PL"/>
        </w:rPr>
        <w:t xml:space="preserve">o udostępnianiu informacji o środowisku i jego ochronie, udziale społeczeństwa w ochronie środowiska oraz o ocenach oddziaływania na środowisko oraz niektórych innych ustaw (Dz. U. poz. 1936) i art. 4 ust. 1 ustawy z dnia 19 lipca 2019 r. o zmianie ustawy </w:t>
      </w:r>
      <w:r w:rsidRPr="00D409EF">
        <w:rPr>
          <w:rFonts w:ascii="Times New Roman" w:eastAsia="Times New Roman" w:hAnsi="Times New Roman"/>
          <w:sz w:val="20"/>
          <w:szCs w:val="20"/>
          <w:lang w:eastAsia="pl-PL"/>
        </w:rPr>
        <w:t>o udostępnianiu informacji o środowisku i jego ochronie, udziale społeczeństwa w ochronie środowiska oraz o ocenach oddziaływania na środowisko oraz niektórych innych ustaw (Dz. U. poz. 1712)</w:t>
      </w:r>
    </w:p>
    <w:p w14:paraId="0365A18A" w14:textId="77777777" w:rsidR="00B5204E" w:rsidRPr="00D409EF" w:rsidRDefault="000060D6" w:rsidP="00336A51">
      <w:pPr>
        <w:spacing w:after="0" w:line="312" w:lineRule="auto"/>
        <w:jc w:val="both"/>
        <w:rPr>
          <w:rFonts w:ascii="Times New Roman" w:eastAsia="Times New Roman" w:hAnsi="Times New Roman"/>
          <w:color w:val="000000"/>
          <w:sz w:val="20"/>
          <w:szCs w:val="20"/>
          <w:lang w:eastAsia="pl-PL"/>
        </w:rPr>
      </w:pPr>
      <w:r w:rsidRPr="00D409EF">
        <w:rPr>
          <w:rFonts w:ascii="Times New Roman" w:eastAsia="Times New Roman" w:hAnsi="Times New Roman"/>
          <w:color w:val="000000"/>
          <w:sz w:val="20"/>
          <w:szCs w:val="20"/>
          <w:lang w:eastAsia="pl-PL"/>
        </w:rPr>
        <w:t>Do wiadomości:</w:t>
      </w:r>
    </w:p>
    <w:p w14:paraId="6CF2E6C6" w14:textId="77777777" w:rsidR="00B5204E" w:rsidRPr="00443319" w:rsidRDefault="000060D6" w:rsidP="00985B8F">
      <w:pPr>
        <w:pStyle w:val="Akapitzlist"/>
        <w:numPr>
          <w:ilvl w:val="0"/>
          <w:numId w:val="9"/>
        </w:numPr>
        <w:spacing w:after="0" w:line="312" w:lineRule="auto"/>
        <w:ind w:left="714" w:hanging="357"/>
        <w:jc w:val="both"/>
        <w:rPr>
          <w:rFonts w:ascii="Times New Roman" w:hAnsi="Times New Roman"/>
          <w:color w:val="000000" w:themeColor="text1"/>
          <w:sz w:val="20"/>
          <w:szCs w:val="20"/>
        </w:rPr>
      </w:pPr>
      <w:r w:rsidRPr="001D0B25">
        <w:rPr>
          <w:rFonts w:ascii="Times New Roman" w:hAnsi="Times New Roman"/>
          <w:color w:val="000000" w:themeColor="text1"/>
          <w:sz w:val="20"/>
          <w:szCs w:val="20"/>
        </w:rPr>
        <w:t>Regionalna Dyrekcja Ochrony Środowiska w Poznaniu</w:t>
      </w:r>
      <w:r w:rsidRPr="001D0B25">
        <w:rPr>
          <w:rFonts w:ascii="Times New Roman" w:hAnsi="Times New Roman"/>
          <w:color w:val="000000" w:themeColor="text1"/>
          <w:sz w:val="20"/>
          <w:szCs w:val="20"/>
        </w:rPr>
        <w:t xml:space="preserve">, ul. </w:t>
      </w:r>
      <w:r>
        <w:rPr>
          <w:rFonts w:ascii="Times New Roman" w:hAnsi="Times New Roman"/>
          <w:color w:val="000000" w:themeColor="text1"/>
          <w:sz w:val="20"/>
          <w:szCs w:val="20"/>
        </w:rPr>
        <w:t>Kościuszki 57</w:t>
      </w:r>
      <w:r w:rsidRPr="001D0B25">
        <w:rPr>
          <w:rFonts w:ascii="Times New Roman" w:hAnsi="Times New Roman"/>
          <w:color w:val="000000" w:themeColor="text1"/>
          <w:sz w:val="20"/>
          <w:szCs w:val="20"/>
        </w:rPr>
        <w:t>, 6</w:t>
      </w:r>
      <w:r>
        <w:rPr>
          <w:rFonts w:ascii="Times New Roman" w:hAnsi="Times New Roman"/>
          <w:color w:val="000000" w:themeColor="text1"/>
          <w:sz w:val="20"/>
          <w:szCs w:val="20"/>
        </w:rPr>
        <w:t>1</w:t>
      </w:r>
      <w:r w:rsidRPr="001D0B25">
        <w:rPr>
          <w:rFonts w:ascii="Times New Roman" w:hAnsi="Times New Roman"/>
          <w:color w:val="000000" w:themeColor="text1"/>
          <w:sz w:val="20"/>
          <w:szCs w:val="20"/>
        </w:rPr>
        <w:t>-</w:t>
      </w:r>
      <w:r>
        <w:rPr>
          <w:rFonts w:ascii="Times New Roman" w:hAnsi="Times New Roman"/>
          <w:color w:val="000000" w:themeColor="text1"/>
          <w:sz w:val="20"/>
          <w:szCs w:val="20"/>
        </w:rPr>
        <w:t>891</w:t>
      </w:r>
      <w:r w:rsidRPr="001D0B25">
        <w:rPr>
          <w:rFonts w:ascii="Times New Roman" w:hAnsi="Times New Roman"/>
          <w:color w:val="000000" w:themeColor="text1"/>
          <w:sz w:val="20"/>
          <w:szCs w:val="20"/>
        </w:rPr>
        <w:t xml:space="preserve"> Poznań</w:t>
      </w:r>
    </w:p>
    <w:sectPr w:rsidR="00B5204E" w:rsidRPr="00443319" w:rsidSect="00A3212B">
      <w:headerReference w:type="default" r:id="rId9"/>
      <w:footerReference w:type="default" r:id="rId10"/>
      <w:pgSz w:w="11906" w:h="16838"/>
      <w:pgMar w:top="1417" w:right="1417" w:bottom="1417" w:left="141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2FEB3" w14:textId="77777777" w:rsidR="000060D6" w:rsidRDefault="000060D6">
      <w:pPr>
        <w:spacing w:after="0" w:line="240" w:lineRule="auto"/>
      </w:pPr>
      <w:r>
        <w:separator/>
      </w:r>
    </w:p>
  </w:endnote>
  <w:endnote w:type="continuationSeparator" w:id="0">
    <w:p w14:paraId="7450D0BA" w14:textId="77777777" w:rsidR="000060D6" w:rsidRDefault="00006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91204"/>
      <w:docPartObj>
        <w:docPartGallery w:val="Page Numbers (Bottom of Page)"/>
        <w:docPartUnique/>
      </w:docPartObj>
    </w:sdtPr>
    <w:sdtEndPr/>
    <w:sdtContent>
      <w:p w14:paraId="42806E39" w14:textId="551F4288" w:rsidR="00B5204E" w:rsidRDefault="000060D6">
        <w:pPr>
          <w:pStyle w:val="Stopka"/>
          <w:jc w:val="right"/>
        </w:pPr>
        <w:r>
          <w:fldChar w:fldCharType="begin"/>
        </w:r>
        <w:r>
          <w:instrText>PAGE   \* MERGEFORMAT</w:instrText>
        </w:r>
        <w:r>
          <w:fldChar w:fldCharType="separate"/>
        </w:r>
        <w:r w:rsidR="00127905">
          <w:rPr>
            <w:noProof/>
          </w:rPr>
          <w:t>2</w:t>
        </w:r>
        <w:r>
          <w:fldChar w:fldCharType="end"/>
        </w:r>
      </w:p>
    </w:sdtContent>
  </w:sdt>
  <w:p w14:paraId="54115F31" w14:textId="77777777" w:rsidR="00B5204E" w:rsidRDefault="00B5204E" w:rsidP="007A7EB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7C531" w14:textId="77777777" w:rsidR="000060D6" w:rsidRDefault="000060D6">
      <w:pPr>
        <w:spacing w:after="0" w:line="240" w:lineRule="auto"/>
      </w:pPr>
      <w:r>
        <w:separator/>
      </w:r>
    </w:p>
  </w:footnote>
  <w:footnote w:type="continuationSeparator" w:id="0">
    <w:p w14:paraId="1BE25149" w14:textId="77777777" w:rsidR="000060D6" w:rsidRDefault="00006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784B" w14:textId="77777777" w:rsidR="00B5204E" w:rsidRDefault="00B5204E" w:rsidP="000F38F9">
    <w:pPr>
      <w:pStyle w:val="Nagwek"/>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1"/>
    <w:lvl w:ilvl="0">
      <w:start w:val="1"/>
      <w:numFmt w:val="decimal"/>
      <w:lvlText w:val="%1."/>
      <w:lvlJc w:val="left"/>
      <w:pPr>
        <w:tabs>
          <w:tab w:val="num" w:pos="0"/>
        </w:tabs>
        <w:ind w:left="720" w:hanging="360"/>
      </w:pPr>
      <w:rPr>
        <w:rFonts w:ascii="Garamond" w:hAnsi="Garamond"/>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9B1EAF"/>
    <w:multiLevelType w:val="hybridMultilevel"/>
    <w:tmpl w:val="AAF023AC"/>
    <w:lvl w:ilvl="0" w:tplc="0F30214A">
      <w:start w:val="1"/>
      <w:numFmt w:val="bullet"/>
      <w:lvlText w:val=""/>
      <w:lvlJc w:val="left"/>
      <w:pPr>
        <w:ind w:left="1429" w:hanging="360"/>
      </w:pPr>
      <w:rPr>
        <w:rFonts w:ascii="Symbol" w:hAnsi="Symbol" w:hint="default"/>
      </w:rPr>
    </w:lvl>
    <w:lvl w:ilvl="1" w:tplc="9DD45982" w:tentative="1">
      <w:start w:val="1"/>
      <w:numFmt w:val="bullet"/>
      <w:lvlText w:val="o"/>
      <w:lvlJc w:val="left"/>
      <w:pPr>
        <w:ind w:left="2149" w:hanging="360"/>
      </w:pPr>
      <w:rPr>
        <w:rFonts w:ascii="Courier New" w:hAnsi="Courier New" w:cs="Courier New" w:hint="default"/>
      </w:rPr>
    </w:lvl>
    <w:lvl w:ilvl="2" w:tplc="4E126E36" w:tentative="1">
      <w:start w:val="1"/>
      <w:numFmt w:val="bullet"/>
      <w:lvlText w:val=""/>
      <w:lvlJc w:val="left"/>
      <w:pPr>
        <w:ind w:left="2869" w:hanging="360"/>
      </w:pPr>
      <w:rPr>
        <w:rFonts w:ascii="Wingdings" w:hAnsi="Wingdings" w:hint="default"/>
      </w:rPr>
    </w:lvl>
    <w:lvl w:ilvl="3" w:tplc="98509B0E" w:tentative="1">
      <w:start w:val="1"/>
      <w:numFmt w:val="bullet"/>
      <w:lvlText w:val=""/>
      <w:lvlJc w:val="left"/>
      <w:pPr>
        <w:ind w:left="3589" w:hanging="360"/>
      </w:pPr>
      <w:rPr>
        <w:rFonts w:ascii="Symbol" w:hAnsi="Symbol" w:hint="default"/>
      </w:rPr>
    </w:lvl>
    <w:lvl w:ilvl="4" w:tplc="17A46078" w:tentative="1">
      <w:start w:val="1"/>
      <w:numFmt w:val="bullet"/>
      <w:lvlText w:val="o"/>
      <w:lvlJc w:val="left"/>
      <w:pPr>
        <w:ind w:left="4309" w:hanging="360"/>
      </w:pPr>
      <w:rPr>
        <w:rFonts w:ascii="Courier New" w:hAnsi="Courier New" w:cs="Courier New" w:hint="default"/>
      </w:rPr>
    </w:lvl>
    <w:lvl w:ilvl="5" w:tplc="50927FD6" w:tentative="1">
      <w:start w:val="1"/>
      <w:numFmt w:val="bullet"/>
      <w:lvlText w:val=""/>
      <w:lvlJc w:val="left"/>
      <w:pPr>
        <w:ind w:left="5029" w:hanging="360"/>
      </w:pPr>
      <w:rPr>
        <w:rFonts w:ascii="Wingdings" w:hAnsi="Wingdings" w:hint="default"/>
      </w:rPr>
    </w:lvl>
    <w:lvl w:ilvl="6" w:tplc="D8B6740E" w:tentative="1">
      <w:start w:val="1"/>
      <w:numFmt w:val="bullet"/>
      <w:lvlText w:val=""/>
      <w:lvlJc w:val="left"/>
      <w:pPr>
        <w:ind w:left="5749" w:hanging="360"/>
      </w:pPr>
      <w:rPr>
        <w:rFonts w:ascii="Symbol" w:hAnsi="Symbol" w:hint="default"/>
      </w:rPr>
    </w:lvl>
    <w:lvl w:ilvl="7" w:tplc="E1A62CEC" w:tentative="1">
      <w:start w:val="1"/>
      <w:numFmt w:val="bullet"/>
      <w:lvlText w:val="o"/>
      <w:lvlJc w:val="left"/>
      <w:pPr>
        <w:ind w:left="6469" w:hanging="360"/>
      </w:pPr>
      <w:rPr>
        <w:rFonts w:ascii="Courier New" w:hAnsi="Courier New" w:cs="Courier New" w:hint="default"/>
      </w:rPr>
    </w:lvl>
    <w:lvl w:ilvl="8" w:tplc="C978A8D0" w:tentative="1">
      <w:start w:val="1"/>
      <w:numFmt w:val="bullet"/>
      <w:lvlText w:val=""/>
      <w:lvlJc w:val="left"/>
      <w:pPr>
        <w:ind w:left="7189" w:hanging="360"/>
      </w:pPr>
      <w:rPr>
        <w:rFonts w:ascii="Wingdings" w:hAnsi="Wingdings" w:hint="default"/>
      </w:rPr>
    </w:lvl>
  </w:abstractNum>
  <w:abstractNum w:abstractNumId="2" w15:restartNumberingAfterBreak="0">
    <w:nsid w:val="13DC0EB0"/>
    <w:multiLevelType w:val="hybridMultilevel"/>
    <w:tmpl w:val="1806F1B4"/>
    <w:lvl w:ilvl="0" w:tplc="8714A4AA">
      <w:start w:val="1"/>
      <w:numFmt w:val="decimal"/>
      <w:lvlText w:val="%1."/>
      <w:lvlJc w:val="left"/>
      <w:pPr>
        <w:ind w:left="643" w:hanging="360"/>
      </w:pPr>
      <w:rPr>
        <w:i w:val="0"/>
        <w:iCs w:val="0"/>
      </w:rPr>
    </w:lvl>
    <w:lvl w:ilvl="1" w:tplc="A1306090" w:tentative="1">
      <w:start w:val="1"/>
      <w:numFmt w:val="lowerLetter"/>
      <w:lvlText w:val="%2."/>
      <w:lvlJc w:val="left"/>
      <w:pPr>
        <w:ind w:left="1440" w:hanging="360"/>
      </w:pPr>
    </w:lvl>
    <w:lvl w:ilvl="2" w:tplc="D71E4768" w:tentative="1">
      <w:start w:val="1"/>
      <w:numFmt w:val="lowerRoman"/>
      <w:lvlText w:val="%3."/>
      <w:lvlJc w:val="right"/>
      <w:pPr>
        <w:ind w:left="2160" w:hanging="180"/>
      </w:pPr>
    </w:lvl>
    <w:lvl w:ilvl="3" w:tplc="E6028B38" w:tentative="1">
      <w:start w:val="1"/>
      <w:numFmt w:val="decimal"/>
      <w:lvlText w:val="%4."/>
      <w:lvlJc w:val="left"/>
      <w:pPr>
        <w:ind w:left="2880" w:hanging="360"/>
      </w:pPr>
    </w:lvl>
    <w:lvl w:ilvl="4" w:tplc="648CD9D4" w:tentative="1">
      <w:start w:val="1"/>
      <w:numFmt w:val="lowerLetter"/>
      <w:lvlText w:val="%5."/>
      <w:lvlJc w:val="left"/>
      <w:pPr>
        <w:ind w:left="3600" w:hanging="360"/>
      </w:pPr>
    </w:lvl>
    <w:lvl w:ilvl="5" w:tplc="2CFE9B78" w:tentative="1">
      <w:start w:val="1"/>
      <w:numFmt w:val="lowerRoman"/>
      <w:lvlText w:val="%6."/>
      <w:lvlJc w:val="right"/>
      <w:pPr>
        <w:ind w:left="4320" w:hanging="180"/>
      </w:pPr>
    </w:lvl>
    <w:lvl w:ilvl="6" w:tplc="DECA6DDA" w:tentative="1">
      <w:start w:val="1"/>
      <w:numFmt w:val="decimal"/>
      <w:lvlText w:val="%7."/>
      <w:lvlJc w:val="left"/>
      <w:pPr>
        <w:ind w:left="5040" w:hanging="360"/>
      </w:pPr>
    </w:lvl>
    <w:lvl w:ilvl="7" w:tplc="E4564388" w:tentative="1">
      <w:start w:val="1"/>
      <w:numFmt w:val="lowerLetter"/>
      <w:lvlText w:val="%8."/>
      <w:lvlJc w:val="left"/>
      <w:pPr>
        <w:ind w:left="5760" w:hanging="360"/>
      </w:pPr>
    </w:lvl>
    <w:lvl w:ilvl="8" w:tplc="273EE798" w:tentative="1">
      <w:start w:val="1"/>
      <w:numFmt w:val="lowerRoman"/>
      <w:lvlText w:val="%9."/>
      <w:lvlJc w:val="right"/>
      <w:pPr>
        <w:ind w:left="6480" w:hanging="180"/>
      </w:pPr>
    </w:lvl>
  </w:abstractNum>
  <w:abstractNum w:abstractNumId="3" w15:restartNumberingAfterBreak="0">
    <w:nsid w:val="1D434DAA"/>
    <w:multiLevelType w:val="hybridMultilevel"/>
    <w:tmpl w:val="78805DB2"/>
    <w:lvl w:ilvl="0" w:tplc="65889D4A">
      <w:start w:val="1"/>
      <w:numFmt w:val="bullet"/>
      <w:lvlText w:val=""/>
      <w:lvlJc w:val="left"/>
      <w:pPr>
        <w:ind w:left="1636" w:hanging="360"/>
      </w:pPr>
      <w:rPr>
        <w:rFonts w:ascii="Symbol" w:hAnsi="Symbol" w:hint="default"/>
        <w:sz w:val="16"/>
        <w:szCs w:val="16"/>
      </w:rPr>
    </w:lvl>
    <w:lvl w:ilvl="1" w:tplc="9F96A9C0" w:tentative="1">
      <w:start w:val="1"/>
      <w:numFmt w:val="bullet"/>
      <w:lvlText w:val="o"/>
      <w:lvlJc w:val="left"/>
      <w:pPr>
        <w:ind w:left="2149" w:hanging="360"/>
      </w:pPr>
      <w:rPr>
        <w:rFonts w:ascii="Courier New" w:hAnsi="Courier New" w:cs="Courier New" w:hint="default"/>
      </w:rPr>
    </w:lvl>
    <w:lvl w:ilvl="2" w:tplc="9412EEB2" w:tentative="1">
      <w:start w:val="1"/>
      <w:numFmt w:val="bullet"/>
      <w:lvlText w:val=""/>
      <w:lvlJc w:val="left"/>
      <w:pPr>
        <w:ind w:left="2869" w:hanging="360"/>
      </w:pPr>
      <w:rPr>
        <w:rFonts w:ascii="Wingdings" w:hAnsi="Wingdings" w:hint="default"/>
      </w:rPr>
    </w:lvl>
    <w:lvl w:ilvl="3" w:tplc="AF305118" w:tentative="1">
      <w:start w:val="1"/>
      <w:numFmt w:val="bullet"/>
      <w:lvlText w:val=""/>
      <w:lvlJc w:val="left"/>
      <w:pPr>
        <w:ind w:left="3589" w:hanging="360"/>
      </w:pPr>
      <w:rPr>
        <w:rFonts w:ascii="Symbol" w:hAnsi="Symbol" w:hint="default"/>
      </w:rPr>
    </w:lvl>
    <w:lvl w:ilvl="4" w:tplc="8EB65ACA" w:tentative="1">
      <w:start w:val="1"/>
      <w:numFmt w:val="bullet"/>
      <w:lvlText w:val="o"/>
      <w:lvlJc w:val="left"/>
      <w:pPr>
        <w:ind w:left="4309" w:hanging="360"/>
      </w:pPr>
      <w:rPr>
        <w:rFonts w:ascii="Courier New" w:hAnsi="Courier New" w:cs="Courier New" w:hint="default"/>
      </w:rPr>
    </w:lvl>
    <w:lvl w:ilvl="5" w:tplc="90D48CE6" w:tentative="1">
      <w:start w:val="1"/>
      <w:numFmt w:val="bullet"/>
      <w:lvlText w:val=""/>
      <w:lvlJc w:val="left"/>
      <w:pPr>
        <w:ind w:left="5029" w:hanging="360"/>
      </w:pPr>
      <w:rPr>
        <w:rFonts w:ascii="Wingdings" w:hAnsi="Wingdings" w:hint="default"/>
      </w:rPr>
    </w:lvl>
    <w:lvl w:ilvl="6" w:tplc="E9AACD7C" w:tentative="1">
      <w:start w:val="1"/>
      <w:numFmt w:val="bullet"/>
      <w:lvlText w:val=""/>
      <w:lvlJc w:val="left"/>
      <w:pPr>
        <w:ind w:left="5749" w:hanging="360"/>
      </w:pPr>
      <w:rPr>
        <w:rFonts w:ascii="Symbol" w:hAnsi="Symbol" w:hint="default"/>
      </w:rPr>
    </w:lvl>
    <w:lvl w:ilvl="7" w:tplc="CBC49CC6" w:tentative="1">
      <w:start w:val="1"/>
      <w:numFmt w:val="bullet"/>
      <w:lvlText w:val="o"/>
      <w:lvlJc w:val="left"/>
      <w:pPr>
        <w:ind w:left="6469" w:hanging="360"/>
      </w:pPr>
      <w:rPr>
        <w:rFonts w:ascii="Courier New" w:hAnsi="Courier New" w:cs="Courier New" w:hint="default"/>
      </w:rPr>
    </w:lvl>
    <w:lvl w:ilvl="8" w:tplc="C2302CDE" w:tentative="1">
      <w:start w:val="1"/>
      <w:numFmt w:val="bullet"/>
      <w:lvlText w:val=""/>
      <w:lvlJc w:val="left"/>
      <w:pPr>
        <w:ind w:left="7189" w:hanging="360"/>
      </w:pPr>
      <w:rPr>
        <w:rFonts w:ascii="Wingdings" w:hAnsi="Wingdings" w:hint="default"/>
      </w:rPr>
    </w:lvl>
  </w:abstractNum>
  <w:abstractNum w:abstractNumId="4" w15:restartNumberingAfterBreak="0">
    <w:nsid w:val="24D77A75"/>
    <w:multiLevelType w:val="hybridMultilevel"/>
    <w:tmpl w:val="5D04B7D2"/>
    <w:lvl w:ilvl="0" w:tplc="CCC075CC">
      <w:start w:val="1"/>
      <w:numFmt w:val="bullet"/>
      <w:lvlText w:val=""/>
      <w:lvlJc w:val="left"/>
      <w:pPr>
        <w:ind w:left="720" w:hanging="360"/>
      </w:pPr>
      <w:rPr>
        <w:rFonts w:ascii="Symbol" w:hAnsi="Symbol" w:hint="default"/>
      </w:rPr>
    </w:lvl>
    <w:lvl w:ilvl="1" w:tplc="94502D3A" w:tentative="1">
      <w:start w:val="1"/>
      <w:numFmt w:val="bullet"/>
      <w:lvlText w:val="o"/>
      <w:lvlJc w:val="left"/>
      <w:pPr>
        <w:ind w:left="1440" w:hanging="360"/>
      </w:pPr>
      <w:rPr>
        <w:rFonts w:ascii="Courier New" w:hAnsi="Courier New" w:cs="Courier New" w:hint="default"/>
      </w:rPr>
    </w:lvl>
    <w:lvl w:ilvl="2" w:tplc="5F245052" w:tentative="1">
      <w:start w:val="1"/>
      <w:numFmt w:val="bullet"/>
      <w:lvlText w:val=""/>
      <w:lvlJc w:val="left"/>
      <w:pPr>
        <w:ind w:left="2160" w:hanging="360"/>
      </w:pPr>
      <w:rPr>
        <w:rFonts w:ascii="Wingdings" w:hAnsi="Wingdings" w:hint="default"/>
      </w:rPr>
    </w:lvl>
    <w:lvl w:ilvl="3" w:tplc="ADC4B1A4" w:tentative="1">
      <w:start w:val="1"/>
      <w:numFmt w:val="bullet"/>
      <w:lvlText w:val=""/>
      <w:lvlJc w:val="left"/>
      <w:pPr>
        <w:ind w:left="2880" w:hanging="360"/>
      </w:pPr>
      <w:rPr>
        <w:rFonts w:ascii="Symbol" w:hAnsi="Symbol" w:hint="default"/>
      </w:rPr>
    </w:lvl>
    <w:lvl w:ilvl="4" w:tplc="81760D50" w:tentative="1">
      <w:start w:val="1"/>
      <w:numFmt w:val="bullet"/>
      <w:lvlText w:val="o"/>
      <w:lvlJc w:val="left"/>
      <w:pPr>
        <w:ind w:left="3600" w:hanging="360"/>
      </w:pPr>
      <w:rPr>
        <w:rFonts w:ascii="Courier New" w:hAnsi="Courier New" w:cs="Courier New" w:hint="default"/>
      </w:rPr>
    </w:lvl>
    <w:lvl w:ilvl="5" w:tplc="006A4188" w:tentative="1">
      <w:start w:val="1"/>
      <w:numFmt w:val="bullet"/>
      <w:lvlText w:val=""/>
      <w:lvlJc w:val="left"/>
      <w:pPr>
        <w:ind w:left="4320" w:hanging="360"/>
      </w:pPr>
      <w:rPr>
        <w:rFonts w:ascii="Wingdings" w:hAnsi="Wingdings" w:hint="default"/>
      </w:rPr>
    </w:lvl>
    <w:lvl w:ilvl="6" w:tplc="7A80FBA0" w:tentative="1">
      <w:start w:val="1"/>
      <w:numFmt w:val="bullet"/>
      <w:lvlText w:val=""/>
      <w:lvlJc w:val="left"/>
      <w:pPr>
        <w:ind w:left="5040" w:hanging="360"/>
      </w:pPr>
      <w:rPr>
        <w:rFonts w:ascii="Symbol" w:hAnsi="Symbol" w:hint="default"/>
      </w:rPr>
    </w:lvl>
    <w:lvl w:ilvl="7" w:tplc="DFAAFA32" w:tentative="1">
      <w:start w:val="1"/>
      <w:numFmt w:val="bullet"/>
      <w:lvlText w:val="o"/>
      <w:lvlJc w:val="left"/>
      <w:pPr>
        <w:ind w:left="5760" w:hanging="360"/>
      </w:pPr>
      <w:rPr>
        <w:rFonts w:ascii="Courier New" w:hAnsi="Courier New" w:cs="Courier New" w:hint="default"/>
      </w:rPr>
    </w:lvl>
    <w:lvl w:ilvl="8" w:tplc="DE20206E" w:tentative="1">
      <w:start w:val="1"/>
      <w:numFmt w:val="bullet"/>
      <w:lvlText w:val=""/>
      <w:lvlJc w:val="left"/>
      <w:pPr>
        <w:ind w:left="6480" w:hanging="360"/>
      </w:pPr>
      <w:rPr>
        <w:rFonts w:ascii="Wingdings" w:hAnsi="Wingdings" w:hint="default"/>
      </w:rPr>
    </w:lvl>
  </w:abstractNum>
  <w:abstractNum w:abstractNumId="5" w15:restartNumberingAfterBreak="0">
    <w:nsid w:val="25420E2E"/>
    <w:multiLevelType w:val="hybridMultilevel"/>
    <w:tmpl w:val="359AAF8E"/>
    <w:lvl w:ilvl="0" w:tplc="D3783024">
      <w:start w:val="1"/>
      <w:numFmt w:val="bullet"/>
      <w:lvlText w:val=""/>
      <w:lvlJc w:val="left"/>
      <w:pPr>
        <w:ind w:left="1080" w:hanging="360"/>
      </w:pPr>
      <w:rPr>
        <w:rFonts w:ascii="Symbol" w:hAnsi="Symbol" w:hint="default"/>
      </w:rPr>
    </w:lvl>
    <w:lvl w:ilvl="1" w:tplc="532C1F7E" w:tentative="1">
      <w:start w:val="1"/>
      <w:numFmt w:val="bullet"/>
      <w:lvlText w:val="o"/>
      <w:lvlJc w:val="left"/>
      <w:pPr>
        <w:ind w:left="1800" w:hanging="360"/>
      </w:pPr>
      <w:rPr>
        <w:rFonts w:ascii="Courier New" w:hAnsi="Courier New" w:cs="Courier New" w:hint="default"/>
      </w:rPr>
    </w:lvl>
    <w:lvl w:ilvl="2" w:tplc="76A62712" w:tentative="1">
      <w:start w:val="1"/>
      <w:numFmt w:val="bullet"/>
      <w:lvlText w:val=""/>
      <w:lvlJc w:val="left"/>
      <w:pPr>
        <w:ind w:left="2520" w:hanging="360"/>
      </w:pPr>
      <w:rPr>
        <w:rFonts w:ascii="Wingdings" w:hAnsi="Wingdings" w:hint="default"/>
      </w:rPr>
    </w:lvl>
    <w:lvl w:ilvl="3" w:tplc="64F0C0E8" w:tentative="1">
      <w:start w:val="1"/>
      <w:numFmt w:val="bullet"/>
      <w:lvlText w:val=""/>
      <w:lvlJc w:val="left"/>
      <w:pPr>
        <w:ind w:left="3240" w:hanging="360"/>
      </w:pPr>
      <w:rPr>
        <w:rFonts w:ascii="Symbol" w:hAnsi="Symbol" w:hint="default"/>
      </w:rPr>
    </w:lvl>
    <w:lvl w:ilvl="4" w:tplc="3EACBABE" w:tentative="1">
      <w:start w:val="1"/>
      <w:numFmt w:val="bullet"/>
      <w:lvlText w:val="o"/>
      <w:lvlJc w:val="left"/>
      <w:pPr>
        <w:ind w:left="3960" w:hanging="360"/>
      </w:pPr>
      <w:rPr>
        <w:rFonts w:ascii="Courier New" w:hAnsi="Courier New" w:cs="Courier New" w:hint="default"/>
      </w:rPr>
    </w:lvl>
    <w:lvl w:ilvl="5" w:tplc="9346624C" w:tentative="1">
      <w:start w:val="1"/>
      <w:numFmt w:val="bullet"/>
      <w:lvlText w:val=""/>
      <w:lvlJc w:val="left"/>
      <w:pPr>
        <w:ind w:left="4680" w:hanging="360"/>
      </w:pPr>
      <w:rPr>
        <w:rFonts w:ascii="Wingdings" w:hAnsi="Wingdings" w:hint="default"/>
      </w:rPr>
    </w:lvl>
    <w:lvl w:ilvl="6" w:tplc="79567BF0" w:tentative="1">
      <w:start w:val="1"/>
      <w:numFmt w:val="bullet"/>
      <w:lvlText w:val=""/>
      <w:lvlJc w:val="left"/>
      <w:pPr>
        <w:ind w:left="5400" w:hanging="360"/>
      </w:pPr>
      <w:rPr>
        <w:rFonts w:ascii="Symbol" w:hAnsi="Symbol" w:hint="default"/>
      </w:rPr>
    </w:lvl>
    <w:lvl w:ilvl="7" w:tplc="089223EA" w:tentative="1">
      <w:start w:val="1"/>
      <w:numFmt w:val="bullet"/>
      <w:lvlText w:val="o"/>
      <w:lvlJc w:val="left"/>
      <w:pPr>
        <w:ind w:left="6120" w:hanging="360"/>
      </w:pPr>
      <w:rPr>
        <w:rFonts w:ascii="Courier New" w:hAnsi="Courier New" w:cs="Courier New" w:hint="default"/>
      </w:rPr>
    </w:lvl>
    <w:lvl w:ilvl="8" w:tplc="520CE684" w:tentative="1">
      <w:start w:val="1"/>
      <w:numFmt w:val="bullet"/>
      <w:lvlText w:val=""/>
      <w:lvlJc w:val="left"/>
      <w:pPr>
        <w:ind w:left="6840" w:hanging="360"/>
      </w:pPr>
      <w:rPr>
        <w:rFonts w:ascii="Wingdings" w:hAnsi="Wingdings" w:hint="default"/>
      </w:rPr>
    </w:lvl>
  </w:abstractNum>
  <w:abstractNum w:abstractNumId="6" w15:restartNumberingAfterBreak="0">
    <w:nsid w:val="270D4C47"/>
    <w:multiLevelType w:val="hybridMultilevel"/>
    <w:tmpl w:val="F2566B34"/>
    <w:lvl w:ilvl="0" w:tplc="AD923BBA">
      <w:start w:val="1"/>
      <w:numFmt w:val="bullet"/>
      <w:lvlText w:val=""/>
      <w:lvlJc w:val="left"/>
      <w:pPr>
        <w:ind w:left="1636" w:hanging="360"/>
      </w:pPr>
      <w:rPr>
        <w:rFonts w:ascii="Symbol" w:hAnsi="Symbol" w:hint="default"/>
        <w:sz w:val="16"/>
        <w:szCs w:val="16"/>
      </w:rPr>
    </w:lvl>
    <w:lvl w:ilvl="1" w:tplc="D794F168" w:tentative="1">
      <w:start w:val="1"/>
      <w:numFmt w:val="bullet"/>
      <w:lvlText w:val="o"/>
      <w:lvlJc w:val="left"/>
      <w:pPr>
        <w:ind w:left="2149" w:hanging="360"/>
      </w:pPr>
      <w:rPr>
        <w:rFonts w:ascii="Courier New" w:hAnsi="Courier New" w:cs="Courier New" w:hint="default"/>
      </w:rPr>
    </w:lvl>
    <w:lvl w:ilvl="2" w:tplc="B104814A" w:tentative="1">
      <w:start w:val="1"/>
      <w:numFmt w:val="bullet"/>
      <w:lvlText w:val=""/>
      <w:lvlJc w:val="left"/>
      <w:pPr>
        <w:ind w:left="2869" w:hanging="360"/>
      </w:pPr>
      <w:rPr>
        <w:rFonts w:ascii="Wingdings" w:hAnsi="Wingdings" w:hint="default"/>
      </w:rPr>
    </w:lvl>
    <w:lvl w:ilvl="3" w:tplc="94EA42A2" w:tentative="1">
      <w:start w:val="1"/>
      <w:numFmt w:val="bullet"/>
      <w:lvlText w:val=""/>
      <w:lvlJc w:val="left"/>
      <w:pPr>
        <w:ind w:left="3589" w:hanging="360"/>
      </w:pPr>
      <w:rPr>
        <w:rFonts w:ascii="Symbol" w:hAnsi="Symbol" w:hint="default"/>
      </w:rPr>
    </w:lvl>
    <w:lvl w:ilvl="4" w:tplc="B3A07860" w:tentative="1">
      <w:start w:val="1"/>
      <w:numFmt w:val="bullet"/>
      <w:lvlText w:val="o"/>
      <w:lvlJc w:val="left"/>
      <w:pPr>
        <w:ind w:left="4309" w:hanging="360"/>
      </w:pPr>
      <w:rPr>
        <w:rFonts w:ascii="Courier New" w:hAnsi="Courier New" w:cs="Courier New" w:hint="default"/>
      </w:rPr>
    </w:lvl>
    <w:lvl w:ilvl="5" w:tplc="794A87E2" w:tentative="1">
      <w:start w:val="1"/>
      <w:numFmt w:val="bullet"/>
      <w:lvlText w:val=""/>
      <w:lvlJc w:val="left"/>
      <w:pPr>
        <w:ind w:left="5029" w:hanging="360"/>
      </w:pPr>
      <w:rPr>
        <w:rFonts w:ascii="Wingdings" w:hAnsi="Wingdings" w:hint="default"/>
      </w:rPr>
    </w:lvl>
    <w:lvl w:ilvl="6" w:tplc="60A02FC2" w:tentative="1">
      <w:start w:val="1"/>
      <w:numFmt w:val="bullet"/>
      <w:lvlText w:val=""/>
      <w:lvlJc w:val="left"/>
      <w:pPr>
        <w:ind w:left="5749" w:hanging="360"/>
      </w:pPr>
      <w:rPr>
        <w:rFonts w:ascii="Symbol" w:hAnsi="Symbol" w:hint="default"/>
      </w:rPr>
    </w:lvl>
    <w:lvl w:ilvl="7" w:tplc="987899B6" w:tentative="1">
      <w:start w:val="1"/>
      <w:numFmt w:val="bullet"/>
      <w:lvlText w:val="o"/>
      <w:lvlJc w:val="left"/>
      <w:pPr>
        <w:ind w:left="6469" w:hanging="360"/>
      </w:pPr>
      <w:rPr>
        <w:rFonts w:ascii="Courier New" w:hAnsi="Courier New" w:cs="Courier New" w:hint="default"/>
      </w:rPr>
    </w:lvl>
    <w:lvl w:ilvl="8" w:tplc="7120475A" w:tentative="1">
      <w:start w:val="1"/>
      <w:numFmt w:val="bullet"/>
      <w:lvlText w:val=""/>
      <w:lvlJc w:val="left"/>
      <w:pPr>
        <w:ind w:left="7189" w:hanging="360"/>
      </w:pPr>
      <w:rPr>
        <w:rFonts w:ascii="Wingdings" w:hAnsi="Wingdings" w:hint="default"/>
      </w:rPr>
    </w:lvl>
  </w:abstractNum>
  <w:abstractNum w:abstractNumId="7" w15:restartNumberingAfterBreak="0">
    <w:nsid w:val="28771BBD"/>
    <w:multiLevelType w:val="hybridMultilevel"/>
    <w:tmpl w:val="8E3C3FAA"/>
    <w:lvl w:ilvl="0" w:tplc="66184116">
      <w:start w:val="1"/>
      <w:numFmt w:val="decimal"/>
      <w:lvlText w:val="%1)"/>
      <w:lvlJc w:val="left"/>
      <w:pPr>
        <w:ind w:left="720" w:hanging="360"/>
      </w:pPr>
    </w:lvl>
    <w:lvl w:ilvl="1" w:tplc="6EF65782" w:tentative="1">
      <w:start w:val="1"/>
      <w:numFmt w:val="lowerLetter"/>
      <w:lvlText w:val="%2."/>
      <w:lvlJc w:val="left"/>
      <w:pPr>
        <w:ind w:left="1440" w:hanging="360"/>
      </w:pPr>
    </w:lvl>
    <w:lvl w:ilvl="2" w:tplc="866AFD60" w:tentative="1">
      <w:start w:val="1"/>
      <w:numFmt w:val="lowerRoman"/>
      <w:lvlText w:val="%3."/>
      <w:lvlJc w:val="right"/>
      <w:pPr>
        <w:ind w:left="2160" w:hanging="180"/>
      </w:pPr>
    </w:lvl>
    <w:lvl w:ilvl="3" w:tplc="D6CAB46E" w:tentative="1">
      <w:start w:val="1"/>
      <w:numFmt w:val="decimal"/>
      <w:lvlText w:val="%4."/>
      <w:lvlJc w:val="left"/>
      <w:pPr>
        <w:ind w:left="2880" w:hanging="360"/>
      </w:pPr>
    </w:lvl>
    <w:lvl w:ilvl="4" w:tplc="97E01212" w:tentative="1">
      <w:start w:val="1"/>
      <w:numFmt w:val="lowerLetter"/>
      <w:lvlText w:val="%5."/>
      <w:lvlJc w:val="left"/>
      <w:pPr>
        <w:ind w:left="3600" w:hanging="360"/>
      </w:pPr>
    </w:lvl>
    <w:lvl w:ilvl="5" w:tplc="83141928" w:tentative="1">
      <w:start w:val="1"/>
      <w:numFmt w:val="lowerRoman"/>
      <w:lvlText w:val="%6."/>
      <w:lvlJc w:val="right"/>
      <w:pPr>
        <w:ind w:left="4320" w:hanging="180"/>
      </w:pPr>
    </w:lvl>
    <w:lvl w:ilvl="6" w:tplc="67A6BB4C" w:tentative="1">
      <w:start w:val="1"/>
      <w:numFmt w:val="decimal"/>
      <w:lvlText w:val="%7."/>
      <w:lvlJc w:val="left"/>
      <w:pPr>
        <w:ind w:left="5040" w:hanging="360"/>
      </w:pPr>
    </w:lvl>
    <w:lvl w:ilvl="7" w:tplc="C50CE092" w:tentative="1">
      <w:start w:val="1"/>
      <w:numFmt w:val="lowerLetter"/>
      <w:lvlText w:val="%8."/>
      <w:lvlJc w:val="left"/>
      <w:pPr>
        <w:ind w:left="5760" w:hanging="360"/>
      </w:pPr>
    </w:lvl>
    <w:lvl w:ilvl="8" w:tplc="EB76BAAC" w:tentative="1">
      <w:start w:val="1"/>
      <w:numFmt w:val="lowerRoman"/>
      <w:lvlText w:val="%9."/>
      <w:lvlJc w:val="right"/>
      <w:pPr>
        <w:ind w:left="6480" w:hanging="180"/>
      </w:pPr>
    </w:lvl>
  </w:abstractNum>
  <w:abstractNum w:abstractNumId="8" w15:restartNumberingAfterBreak="0">
    <w:nsid w:val="2DCD46CA"/>
    <w:multiLevelType w:val="hybridMultilevel"/>
    <w:tmpl w:val="DB4EFAF8"/>
    <w:lvl w:ilvl="0" w:tplc="7C4AB9DC">
      <w:start w:val="1"/>
      <w:numFmt w:val="bullet"/>
      <w:lvlText w:val=""/>
      <w:lvlJc w:val="left"/>
      <w:pPr>
        <w:ind w:left="1080" w:hanging="360"/>
      </w:pPr>
      <w:rPr>
        <w:rFonts w:ascii="Symbol" w:hAnsi="Symbol" w:hint="default"/>
      </w:rPr>
    </w:lvl>
    <w:lvl w:ilvl="1" w:tplc="E6143C04" w:tentative="1">
      <w:start w:val="1"/>
      <w:numFmt w:val="bullet"/>
      <w:lvlText w:val="o"/>
      <w:lvlJc w:val="left"/>
      <w:pPr>
        <w:ind w:left="1800" w:hanging="360"/>
      </w:pPr>
      <w:rPr>
        <w:rFonts w:ascii="Courier New" w:hAnsi="Courier New" w:cs="Courier New" w:hint="default"/>
      </w:rPr>
    </w:lvl>
    <w:lvl w:ilvl="2" w:tplc="F7CA82A0" w:tentative="1">
      <w:start w:val="1"/>
      <w:numFmt w:val="bullet"/>
      <w:lvlText w:val=""/>
      <w:lvlJc w:val="left"/>
      <w:pPr>
        <w:ind w:left="2520" w:hanging="360"/>
      </w:pPr>
      <w:rPr>
        <w:rFonts w:ascii="Wingdings" w:hAnsi="Wingdings" w:hint="default"/>
      </w:rPr>
    </w:lvl>
    <w:lvl w:ilvl="3" w:tplc="CDE66F38" w:tentative="1">
      <w:start w:val="1"/>
      <w:numFmt w:val="bullet"/>
      <w:lvlText w:val=""/>
      <w:lvlJc w:val="left"/>
      <w:pPr>
        <w:ind w:left="3240" w:hanging="360"/>
      </w:pPr>
      <w:rPr>
        <w:rFonts w:ascii="Symbol" w:hAnsi="Symbol" w:hint="default"/>
      </w:rPr>
    </w:lvl>
    <w:lvl w:ilvl="4" w:tplc="259E9BD2" w:tentative="1">
      <w:start w:val="1"/>
      <w:numFmt w:val="bullet"/>
      <w:lvlText w:val="o"/>
      <w:lvlJc w:val="left"/>
      <w:pPr>
        <w:ind w:left="3960" w:hanging="360"/>
      </w:pPr>
      <w:rPr>
        <w:rFonts w:ascii="Courier New" w:hAnsi="Courier New" w:cs="Courier New" w:hint="default"/>
      </w:rPr>
    </w:lvl>
    <w:lvl w:ilvl="5" w:tplc="3EC21418" w:tentative="1">
      <w:start w:val="1"/>
      <w:numFmt w:val="bullet"/>
      <w:lvlText w:val=""/>
      <w:lvlJc w:val="left"/>
      <w:pPr>
        <w:ind w:left="4680" w:hanging="360"/>
      </w:pPr>
      <w:rPr>
        <w:rFonts w:ascii="Wingdings" w:hAnsi="Wingdings" w:hint="default"/>
      </w:rPr>
    </w:lvl>
    <w:lvl w:ilvl="6" w:tplc="1E0AC828" w:tentative="1">
      <w:start w:val="1"/>
      <w:numFmt w:val="bullet"/>
      <w:lvlText w:val=""/>
      <w:lvlJc w:val="left"/>
      <w:pPr>
        <w:ind w:left="5400" w:hanging="360"/>
      </w:pPr>
      <w:rPr>
        <w:rFonts w:ascii="Symbol" w:hAnsi="Symbol" w:hint="default"/>
      </w:rPr>
    </w:lvl>
    <w:lvl w:ilvl="7" w:tplc="42FC4DDE" w:tentative="1">
      <w:start w:val="1"/>
      <w:numFmt w:val="bullet"/>
      <w:lvlText w:val="o"/>
      <w:lvlJc w:val="left"/>
      <w:pPr>
        <w:ind w:left="6120" w:hanging="360"/>
      </w:pPr>
      <w:rPr>
        <w:rFonts w:ascii="Courier New" w:hAnsi="Courier New" w:cs="Courier New" w:hint="default"/>
      </w:rPr>
    </w:lvl>
    <w:lvl w:ilvl="8" w:tplc="8C32D4D8" w:tentative="1">
      <w:start w:val="1"/>
      <w:numFmt w:val="bullet"/>
      <w:lvlText w:val=""/>
      <w:lvlJc w:val="left"/>
      <w:pPr>
        <w:ind w:left="6840" w:hanging="360"/>
      </w:pPr>
      <w:rPr>
        <w:rFonts w:ascii="Wingdings" w:hAnsi="Wingdings" w:hint="default"/>
      </w:rPr>
    </w:lvl>
  </w:abstractNum>
  <w:abstractNum w:abstractNumId="9" w15:restartNumberingAfterBreak="0">
    <w:nsid w:val="2F9771F9"/>
    <w:multiLevelType w:val="hybridMultilevel"/>
    <w:tmpl w:val="54081CFE"/>
    <w:lvl w:ilvl="0" w:tplc="BF18ABA8">
      <w:start w:val="1"/>
      <w:numFmt w:val="bullet"/>
      <w:lvlText w:val=""/>
      <w:lvlJc w:val="left"/>
      <w:pPr>
        <w:ind w:left="1440" w:hanging="360"/>
      </w:pPr>
      <w:rPr>
        <w:rFonts w:ascii="Symbol" w:hAnsi="Symbol" w:hint="default"/>
      </w:rPr>
    </w:lvl>
    <w:lvl w:ilvl="1" w:tplc="D458C94E" w:tentative="1">
      <w:start w:val="1"/>
      <w:numFmt w:val="bullet"/>
      <w:lvlText w:val="o"/>
      <w:lvlJc w:val="left"/>
      <w:pPr>
        <w:ind w:left="2160" w:hanging="360"/>
      </w:pPr>
      <w:rPr>
        <w:rFonts w:ascii="Courier New" w:hAnsi="Courier New" w:cs="Courier New" w:hint="default"/>
      </w:rPr>
    </w:lvl>
    <w:lvl w:ilvl="2" w:tplc="50D683DE" w:tentative="1">
      <w:start w:val="1"/>
      <w:numFmt w:val="bullet"/>
      <w:lvlText w:val=""/>
      <w:lvlJc w:val="left"/>
      <w:pPr>
        <w:ind w:left="2880" w:hanging="360"/>
      </w:pPr>
      <w:rPr>
        <w:rFonts w:ascii="Wingdings" w:hAnsi="Wingdings" w:hint="default"/>
      </w:rPr>
    </w:lvl>
    <w:lvl w:ilvl="3" w:tplc="6C38FA6C" w:tentative="1">
      <w:start w:val="1"/>
      <w:numFmt w:val="bullet"/>
      <w:lvlText w:val=""/>
      <w:lvlJc w:val="left"/>
      <w:pPr>
        <w:ind w:left="3600" w:hanging="360"/>
      </w:pPr>
      <w:rPr>
        <w:rFonts w:ascii="Symbol" w:hAnsi="Symbol" w:hint="default"/>
      </w:rPr>
    </w:lvl>
    <w:lvl w:ilvl="4" w:tplc="BFB628FC" w:tentative="1">
      <w:start w:val="1"/>
      <w:numFmt w:val="bullet"/>
      <w:lvlText w:val="o"/>
      <w:lvlJc w:val="left"/>
      <w:pPr>
        <w:ind w:left="4320" w:hanging="360"/>
      </w:pPr>
      <w:rPr>
        <w:rFonts w:ascii="Courier New" w:hAnsi="Courier New" w:cs="Courier New" w:hint="default"/>
      </w:rPr>
    </w:lvl>
    <w:lvl w:ilvl="5" w:tplc="B99C05C8" w:tentative="1">
      <w:start w:val="1"/>
      <w:numFmt w:val="bullet"/>
      <w:lvlText w:val=""/>
      <w:lvlJc w:val="left"/>
      <w:pPr>
        <w:ind w:left="5040" w:hanging="360"/>
      </w:pPr>
      <w:rPr>
        <w:rFonts w:ascii="Wingdings" w:hAnsi="Wingdings" w:hint="default"/>
      </w:rPr>
    </w:lvl>
    <w:lvl w:ilvl="6" w:tplc="43266B86" w:tentative="1">
      <w:start w:val="1"/>
      <w:numFmt w:val="bullet"/>
      <w:lvlText w:val=""/>
      <w:lvlJc w:val="left"/>
      <w:pPr>
        <w:ind w:left="5760" w:hanging="360"/>
      </w:pPr>
      <w:rPr>
        <w:rFonts w:ascii="Symbol" w:hAnsi="Symbol" w:hint="default"/>
      </w:rPr>
    </w:lvl>
    <w:lvl w:ilvl="7" w:tplc="670A66F6" w:tentative="1">
      <w:start w:val="1"/>
      <w:numFmt w:val="bullet"/>
      <w:lvlText w:val="o"/>
      <w:lvlJc w:val="left"/>
      <w:pPr>
        <w:ind w:left="6480" w:hanging="360"/>
      </w:pPr>
      <w:rPr>
        <w:rFonts w:ascii="Courier New" w:hAnsi="Courier New" w:cs="Courier New" w:hint="default"/>
      </w:rPr>
    </w:lvl>
    <w:lvl w:ilvl="8" w:tplc="481EFB6A" w:tentative="1">
      <w:start w:val="1"/>
      <w:numFmt w:val="bullet"/>
      <w:lvlText w:val=""/>
      <w:lvlJc w:val="left"/>
      <w:pPr>
        <w:ind w:left="7200" w:hanging="360"/>
      </w:pPr>
      <w:rPr>
        <w:rFonts w:ascii="Wingdings" w:hAnsi="Wingdings" w:hint="default"/>
      </w:rPr>
    </w:lvl>
  </w:abstractNum>
  <w:abstractNum w:abstractNumId="10" w15:restartNumberingAfterBreak="0">
    <w:nsid w:val="4E044205"/>
    <w:multiLevelType w:val="hybridMultilevel"/>
    <w:tmpl w:val="E572068A"/>
    <w:lvl w:ilvl="0" w:tplc="382EA660">
      <w:start w:val="1"/>
      <w:numFmt w:val="bullet"/>
      <w:lvlText w:val=""/>
      <w:lvlJc w:val="left"/>
      <w:pPr>
        <w:ind w:left="787" w:hanging="360"/>
      </w:pPr>
      <w:rPr>
        <w:rFonts w:ascii="Symbol" w:hAnsi="Symbol" w:hint="default"/>
      </w:rPr>
    </w:lvl>
    <w:lvl w:ilvl="1" w:tplc="4E8CE414" w:tentative="1">
      <w:start w:val="1"/>
      <w:numFmt w:val="bullet"/>
      <w:lvlText w:val="o"/>
      <w:lvlJc w:val="left"/>
      <w:pPr>
        <w:ind w:left="1507" w:hanging="360"/>
      </w:pPr>
      <w:rPr>
        <w:rFonts w:ascii="Courier New" w:hAnsi="Courier New" w:cs="Courier New" w:hint="default"/>
      </w:rPr>
    </w:lvl>
    <w:lvl w:ilvl="2" w:tplc="5F8856D4" w:tentative="1">
      <w:start w:val="1"/>
      <w:numFmt w:val="bullet"/>
      <w:lvlText w:val=""/>
      <w:lvlJc w:val="left"/>
      <w:pPr>
        <w:ind w:left="2227" w:hanging="360"/>
      </w:pPr>
      <w:rPr>
        <w:rFonts w:ascii="Wingdings" w:hAnsi="Wingdings" w:hint="default"/>
      </w:rPr>
    </w:lvl>
    <w:lvl w:ilvl="3" w:tplc="8FB0E95A" w:tentative="1">
      <w:start w:val="1"/>
      <w:numFmt w:val="bullet"/>
      <w:lvlText w:val=""/>
      <w:lvlJc w:val="left"/>
      <w:pPr>
        <w:ind w:left="2947" w:hanging="360"/>
      </w:pPr>
      <w:rPr>
        <w:rFonts w:ascii="Symbol" w:hAnsi="Symbol" w:hint="default"/>
      </w:rPr>
    </w:lvl>
    <w:lvl w:ilvl="4" w:tplc="BCD6E210" w:tentative="1">
      <w:start w:val="1"/>
      <w:numFmt w:val="bullet"/>
      <w:lvlText w:val="o"/>
      <w:lvlJc w:val="left"/>
      <w:pPr>
        <w:ind w:left="3667" w:hanging="360"/>
      </w:pPr>
      <w:rPr>
        <w:rFonts w:ascii="Courier New" w:hAnsi="Courier New" w:cs="Courier New" w:hint="default"/>
      </w:rPr>
    </w:lvl>
    <w:lvl w:ilvl="5" w:tplc="FD50A970" w:tentative="1">
      <w:start w:val="1"/>
      <w:numFmt w:val="bullet"/>
      <w:lvlText w:val=""/>
      <w:lvlJc w:val="left"/>
      <w:pPr>
        <w:ind w:left="4387" w:hanging="360"/>
      </w:pPr>
      <w:rPr>
        <w:rFonts w:ascii="Wingdings" w:hAnsi="Wingdings" w:hint="default"/>
      </w:rPr>
    </w:lvl>
    <w:lvl w:ilvl="6" w:tplc="98A8FB10" w:tentative="1">
      <w:start w:val="1"/>
      <w:numFmt w:val="bullet"/>
      <w:lvlText w:val=""/>
      <w:lvlJc w:val="left"/>
      <w:pPr>
        <w:ind w:left="5107" w:hanging="360"/>
      </w:pPr>
      <w:rPr>
        <w:rFonts w:ascii="Symbol" w:hAnsi="Symbol" w:hint="default"/>
      </w:rPr>
    </w:lvl>
    <w:lvl w:ilvl="7" w:tplc="22B8375C" w:tentative="1">
      <w:start w:val="1"/>
      <w:numFmt w:val="bullet"/>
      <w:lvlText w:val="o"/>
      <w:lvlJc w:val="left"/>
      <w:pPr>
        <w:ind w:left="5827" w:hanging="360"/>
      </w:pPr>
      <w:rPr>
        <w:rFonts w:ascii="Courier New" w:hAnsi="Courier New" w:cs="Courier New" w:hint="default"/>
      </w:rPr>
    </w:lvl>
    <w:lvl w:ilvl="8" w:tplc="42D42BA0" w:tentative="1">
      <w:start w:val="1"/>
      <w:numFmt w:val="bullet"/>
      <w:lvlText w:val=""/>
      <w:lvlJc w:val="left"/>
      <w:pPr>
        <w:ind w:left="6547" w:hanging="360"/>
      </w:pPr>
      <w:rPr>
        <w:rFonts w:ascii="Wingdings" w:hAnsi="Wingdings" w:hint="default"/>
      </w:rPr>
    </w:lvl>
  </w:abstractNum>
  <w:abstractNum w:abstractNumId="11" w15:restartNumberingAfterBreak="0">
    <w:nsid w:val="507726DC"/>
    <w:multiLevelType w:val="hybridMultilevel"/>
    <w:tmpl w:val="D9484148"/>
    <w:lvl w:ilvl="0" w:tplc="863E59A8">
      <w:start w:val="1"/>
      <w:numFmt w:val="bullet"/>
      <w:lvlText w:val=""/>
      <w:lvlJc w:val="left"/>
      <w:pPr>
        <w:ind w:left="1429" w:hanging="360"/>
      </w:pPr>
      <w:rPr>
        <w:rFonts w:ascii="Symbol" w:hAnsi="Symbol" w:hint="default"/>
      </w:rPr>
    </w:lvl>
    <w:lvl w:ilvl="1" w:tplc="D3AE3070" w:tentative="1">
      <w:start w:val="1"/>
      <w:numFmt w:val="bullet"/>
      <w:lvlText w:val="o"/>
      <w:lvlJc w:val="left"/>
      <w:pPr>
        <w:ind w:left="2149" w:hanging="360"/>
      </w:pPr>
      <w:rPr>
        <w:rFonts w:ascii="Courier New" w:hAnsi="Courier New" w:cs="Courier New" w:hint="default"/>
      </w:rPr>
    </w:lvl>
    <w:lvl w:ilvl="2" w:tplc="C02A9C78" w:tentative="1">
      <w:start w:val="1"/>
      <w:numFmt w:val="bullet"/>
      <w:lvlText w:val=""/>
      <w:lvlJc w:val="left"/>
      <w:pPr>
        <w:ind w:left="2869" w:hanging="360"/>
      </w:pPr>
      <w:rPr>
        <w:rFonts w:ascii="Wingdings" w:hAnsi="Wingdings" w:hint="default"/>
      </w:rPr>
    </w:lvl>
    <w:lvl w:ilvl="3" w:tplc="31C811EC" w:tentative="1">
      <w:start w:val="1"/>
      <w:numFmt w:val="bullet"/>
      <w:lvlText w:val=""/>
      <w:lvlJc w:val="left"/>
      <w:pPr>
        <w:ind w:left="3589" w:hanging="360"/>
      </w:pPr>
      <w:rPr>
        <w:rFonts w:ascii="Symbol" w:hAnsi="Symbol" w:hint="default"/>
      </w:rPr>
    </w:lvl>
    <w:lvl w:ilvl="4" w:tplc="E566FE24" w:tentative="1">
      <w:start w:val="1"/>
      <w:numFmt w:val="bullet"/>
      <w:lvlText w:val="o"/>
      <w:lvlJc w:val="left"/>
      <w:pPr>
        <w:ind w:left="4309" w:hanging="360"/>
      </w:pPr>
      <w:rPr>
        <w:rFonts w:ascii="Courier New" w:hAnsi="Courier New" w:cs="Courier New" w:hint="default"/>
      </w:rPr>
    </w:lvl>
    <w:lvl w:ilvl="5" w:tplc="3D46F21E" w:tentative="1">
      <w:start w:val="1"/>
      <w:numFmt w:val="bullet"/>
      <w:lvlText w:val=""/>
      <w:lvlJc w:val="left"/>
      <w:pPr>
        <w:ind w:left="5029" w:hanging="360"/>
      </w:pPr>
      <w:rPr>
        <w:rFonts w:ascii="Wingdings" w:hAnsi="Wingdings" w:hint="default"/>
      </w:rPr>
    </w:lvl>
    <w:lvl w:ilvl="6" w:tplc="19567620" w:tentative="1">
      <w:start w:val="1"/>
      <w:numFmt w:val="bullet"/>
      <w:lvlText w:val=""/>
      <w:lvlJc w:val="left"/>
      <w:pPr>
        <w:ind w:left="5749" w:hanging="360"/>
      </w:pPr>
      <w:rPr>
        <w:rFonts w:ascii="Symbol" w:hAnsi="Symbol" w:hint="default"/>
      </w:rPr>
    </w:lvl>
    <w:lvl w:ilvl="7" w:tplc="409E48F4" w:tentative="1">
      <w:start w:val="1"/>
      <w:numFmt w:val="bullet"/>
      <w:lvlText w:val="o"/>
      <w:lvlJc w:val="left"/>
      <w:pPr>
        <w:ind w:left="6469" w:hanging="360"/>
      </w:pPr>
      <w:rPr>
        <w:rFonts w:ascii="Courier New" w:hAnsi="Courier New" w:cs="Courier New" w:hint="default"/>
      </w:rPr>
    </w:lvl>
    <w:lvl w:ilvl="8" w:tplc="433CB45E" w:tentative="1">
      <w:start w:val="1"/>
      <w:numFmt w:val="bullet"/>
      <w:lvlText w:val=""/>
      <w:lvlJc w:val="left"/>
      <w:pPr>
        <w:ind w:left="7189" w:hanging="360"/>
      </w:pPr>
      <w:rPr>
        <w:rFonts w:ascii="Wingdings" w:hAnsi="Wingdings" w:hint="default"/>
      </w:rPr>
    </w:lvl>
  </w:abstractNum>
  <w:abstractNum w:abstractNumId="12" w15:restartNumberingAfterBreak="0">
    <w:nsid w:val="54E061E9"/>
    <w:multiLevelType w:val="hybridMultilevel"/>
    <w:tmpl w:val="D318C8C2"/>
    <w:lvl w:ilvl="0" w:tplc="260865BC">
      <w:start w:val="1"/>
      <w:numFmt w:val="bullet"/>
      <w:lvlText w:val=""/>
      <w:lvlJc w:val="left"/>
      <w:pPr>
        <w:ind w:left="720" w:hanging="360"/>
      </w:pPr>
      <w:rPr>
        <w:rFonts w:ascii="Symbol" w:hAnsi="Symbol" w:hint="default"/>
      </w:rPr>
    </w:lvl>
    <w:lvl w:ilvl="1" w:tplc="32A89EE8" w:tentative="1">
      <w:start w:val="1"/>
      <w:numFmt w:val="bullet"/>
      <w:lvlText w:val="o"/>
      <w:lvlJc w:val="left"/>
      <w:pPr>
        <w:ind w:left="1440" w:hanging="360"/>
      </w:pPr>
      <w:rPr>
        <w:rFonts w:ascii="Courier New" w:hAnsi="Courier New" w:cs="Courier New" w:hint="default"/>
      </w:rPr>
    </w:lvl>
    <w:lvl w:ilvl="2" w:tplc="90C43C62" w:tentative="1">
      <w:start w:val="1"/>
      <w:numFmt w:val="bullet"/>
      <w:lvlText w:val=""/>
      <w:lvlJc w:val="left"/>
      <w:pPr>
        <w:ind w:left="2160" w:hanging="360"/>
      </w:pPr>
      <w:rPr>
        <w:rFonts w:ascii="Wingdings" w:hAnsi="Wingdings" w:hint="default"/>
      </w:rPr>
    </w:lvl>
    <w:lvl w:ilvl="3" w:tplc="D3748508" w:tentative="1">
      <w:start w:val="1"/>
      <w:numFmt w:val="bullet"/>
      <w:lvlText w:val=""/>
      <w:lvlJc w:val="left"/>
      <w:pPr>
        <w:ind w:left="2880" w:hanging="360"/>
      </w:pPr>
      <w:rPr>
        <w:rFonts w:ascii="Symbol" w:hAnsi="Symbol" w:hint="default"/>
      </w:rPr>
    </w:lvl>
    <w:lvl w:ilvl="4" w:tplc="22F6A212" w:tentative="1">
      <w:start w:val="1"/>
      <w:numFmt w:val="bullet"/>
      <w:lvlText w:val="o"/>
      <w:lvlJc w:val="left"/>
      <w:pPr>
        <w:ind w:left="3600" w:hanging="360"/>
      </w:pPr>
      <w:rPr>
        <w:rFonts w:ascii="Courier New" w:hAnsi="Courier New" w:cs="Courier New" w:hint="default"/>
      </w:rPr>
    </w:lvl>
    <w:lvl w:ilvl="5" w:tplc="FEBC25CA" w:tentative="1">
      <w:start w:val="1"/>
      <w:numFmt w:val="bullet"/>
      <w:lvlText w:val=""/>
      <w:lvlJc w:val="left"/>
      <w:pPr>
        <w:ind w:left="4320" w:hanging="360"/>
      </w:pPr>
      <w:rPr>
        <w:rFonts w:ascii="Wingdings" w:hAnsi="Wingdings" w:hint="default"/>
      </w:rPr>
    </w:lvl>
    <w:lvl w:ilvl="6" w:tplc="178825E6" w:tentative="1">
      <w:start w:val="1"/>
      <w:numFmt w:val="bullet"/>
      <w:lvlText w:val=""/>
      <w:lvlJc w:val="left"/>
      <w:pPr>
        <w:ind w:left="5040" w:hanging="360"/>
      </w:pPr>
      <w:rPr>
        <w:rFonts w:ascii="Symbol" w:hAnsi="Symbol" w:hint="default"/>
      </w:rPr>
    </w:lvl>
    <w:lvl w:ilvl="7" w:tplc="6944C270" w:tentative="1">
      <w:start w:val="1"/>
      <w:numFmt w:val="bullet"/>
      <w:lvlText w:val="o"/>
      <w:lvlJc w:val="left"/>
      <w:pPr>
        <w:ind w:left="5760" w:hanging="360"/>
      </w:pPr>
      <w:rPr>
        <w:rFonts w:ascii="Courier New" w:hAnsi="Courier New" w:cs="Courier New" w:hint="default"/>
      </w:rPr>
    </w:lvl>
    <w:lvl w:ilvl="8" w:tplc="F5B819E6" w:tentative="1">
      <w:start w:val="1"/>
      <w:numFmt w:val="bullet"/>
      <w:lvlText w:val=""/>
      <w:lvlJc w:val="left"/>
      <w:pPr>
        <w:ind w:left="6480" w:hanging="360"/>
      </w:pPr>
      <w:rPr>
        <w:rFonts w:ascii="Wingdings" w:hAnsi="Wingdings" w:hint="default"/>
      </w:rPr>
    </w:lvl>
  </w:abstractNum>
  <w:abstractNum w:abstractNumId="13" w15:restartNumberingAfterBreak="0">
    <w:nsid w:val="5B1174D4"/>
    <w:multiLevelType w:val="hybridMultilevel"/>
    <w:tmpl w:val="5574DEB2"/>
    <w:lvl w:ilvl="0" w:tplc="3F865C6E">
      <w:start w:val="1"/>
      <w:numFmt w:val="decimal"/>
      <w:lvlText w:val="%1."/>
      <w:lvlJc w:val="left"/>
      <w:pPr>
        <w:ind w:left="720" w:hanging="360"/>
      </w:pPr>
    </w:lvl>
    <w:lvl w:ilvl="1" w:tplc="3E76AB7A" w:tentative="1">
      <w:start w:val="1"/>
      <w:numFmt w:val="lowerLetter"/>
      <w:lvlText w:val="%2."/>
      <w:lvlJc w:val="left"/>
      <w:pPr>
        <w:ind w:left="1440" w:hanging="360"/>
      </w:pPr>
    </w:lvl>
    <w:lvl w:ilvl="2" w:tplc="0D5CC60E" w:tentative="1">
      <w:start w:val="1"/>
      <w:numFmt w:val="lowerRoman"/>
      <w:lvlText w:val="%3."/>
      <w:lvlJc w:val="right"/>
      <w:pPr>
        <w:ind w:left="2160" w:hanging="180"/>
      </w:pPr>
    </w:lvl>
    <w:lvl w:ilvl="3" w:tplc="89B681DA" w:tentative="1">
      <w:start w:val="1"/>
      <w:numFmt w:val="decimal"/>
      <w:lvlText w:val="%4."/>
      <w:lvlJc w:val="left"/>
      <w:pPr>
        <w:ind w:left="2880" w:hanging="360"/>
      </w:pPr>
    </w:lvl>
    <w:lvl w:ilvl="4" w:tplc="E7509D30" w:tentative="1">
      <w:start w:val="1"/>
      <w:numFmt w:val="lowerLetter"/>
      <w:lvlText w:val="%5."/>
      <w:lvlJc w:val="left"/>
      <w:pPr>
        <w:ind w:left="3600" w:hanging="360"/>
      </w:pPr>
    </w:lvl>
    <w:lvl w:ilvl="5" w:tplc="E5E66FA4" w:tentative="1">
      <w:start w:val="1"/>
      <w:numFmt w:val="lowerRoman"/>
      <w:lvlText w:val="%6."/>
      <w:lvlJc w:val="right"/>
      <w:pPr>
        <w:ind w:left="4320" w:hanging="180"/>
      </w:pPr>
    </w:lvl>
    <w:lvl w:ilvl="6" w:tplc="3F2E1FAA" w:tentative="1">
      <w:start w:val="1"/>
      <w:numFmt w:val="decimal"/>
      <w:lvlText w:val="%7."/>
      <w:lvlJc w:val="left"/>
      <w:pPr>
        <w:ind w:left="5040" w:hanging="360"/>
      </w:pPr>
    </w:lvl>
    <w:lvl w:ilvl="7" w:tplc="0E2C01AE" w:tentative="1">
      <w:start w:val="1"/>
      <w:numFmt w:val="lowerLetter"/>
      <w:lvlText w:val="%8."/>
      <w:lvlJc w:val="left"/>
      <w:pPr>
        <w:ind w:left="5760" w:hanging="360"/>
      </w:pPr>
    </w:lvl>
    <w:lvl w:ilvl="8" w:tplc="AF527018" w:tentative="1">
      <w:start w:val="1"/>
      <w:numFmt w:val="lowerRoman"/>
      <w:lvlText w:val="%9."/>
      <w:lvlJc w:val="right"/>
      <w:pPr>
        <w:ind w:left="6480" w:hanging="180"/>
      </w:pPr>
    </w:lvl>
  </w:abstractNum>
  <w:abstractNum w:abstractNumId="14" w15:restartNumberingAfterBreak="0">
    <w:nsid w:val="69FF32CD"/>
    <w:multiLevelType w:val="hybridMultilevel"/>
    <w:tmpl w:val="5334779A"/>
    <w:lvl w:ilvl="0" w:tplc="570868D8">
      <w:start w:val="1"/>
      <w:numFmt w:val="bullet"/>
      <w:lvlText w:val=""/>
      <w:lvlJc w:val="left"/>
      <w:pPr>
        <w:ind w:left="720" w:hanging="360"/>
      </w:pPr>
      <w:rPr>
        <w:rFonts w:ascii="Symbol" w:hAnsi="Symbol" w:hint="default"/>
        <w:sz w:val="16"/>
      </w:rPr>
    </w:lvl>
    <w:lvl w:ilvl="1" w:tplc="A4E099FA" w:tentative="1">
      <w:start w:val="1"/>
      <w:numFmt w:val="bullet"/>
      <w:lvlText w:val="o"/>
      <w:lvlJc w:val="left"/>
      <w:pPr>
        <w:ind w:left="1440" w:hanging="360"/>
      </w:pPr>
      <w:rPr>
        <w:rFonts w:ascii="Courier New" w:hAnsi="Courier New" w:cs="Courier New" w:hint="default"/>
      </w:rPr>
    </w:lvl>
    <w:lvl w:ilvl="2" w:tplc="8E44445E" w:tentative="1">
      <w:start w:val="1"/>
      <w:numFmt w:val="bullet"/>
      <w:lvlText w:val=""/>
      <w:lvlJc w:val="left"/>
      <w:pPr>
        <w:ind w:left="2160" w:hanging="360"/>
      </w:pPr>
      <w:rPr>
        <w:rFonts w:ascii="Wingdings" w:hAnsi="Wingdings" w:hint="default"/>
      </w:rPr>
    </w:lvl>
    <w:lvl w:ilvl="3" w:tplc="5C70C4B0" w:tentative="1">
      <w:start w:val="1"/>
      <w:numFmt w:val="bullet"/>
      <w:lvlText w:val=""/>
      <w:lvlJc w:val="left"/>
      <w:pPr>
        <w:ind w:left="2880" w:hanging="360"/>
      </w:pPr>
      <w:rPr>
        <w:rFonts w:ascii="Symbol" w:hAnsi="Symbol" w:hint="default"/>
      </w:rPr>
    </w:lvl>
    <w:lvl w:ilvl="4" w:tplc="27B00C12" w:tentative="1">
      <w:start w:val="1"/>
      <w:numFmt w:val="bullet"/>
      <w:lvlText w:val="o"/>
      <w:lvlJc w:val="left"/>
      <w:pPr>
        <w:ind w:left="3600" w:hanging="360"/>
      </w:pPr>
      <w:rPr>
        <w:rFonts w:ascii="Courier New" w:hAnsi="Courier New" w:cs="Courier New" w:hint="default"/>
      </w:rPr>
    </w:lvl>
    <w:lvl w:ilvl="5" w:tplc="6E62FF5A" w:tentative="1">
      <w:start w:val="1"/>
      <w:numFmt w:val="bullet"/>
      <w:lvlText w:val=""/>
      <w:lvlJc w:val="left"/>
      <w:pPr>
        <w:ind w:left="4320" w:hanging="360"/>
      </w:pPr>
      <w:rPr>
        <w:rFonts w:ascii="Wingdings" w:hAnsi="Wingdings" w:hint="default"/>
      </w:rPr>
    </w:lvl>
    <w:lvl w:ilvl="6" w:tplc="D7AA15A4" w:tentative="1">
      <w:start w:val="1"/>
      <w:numFmt w:val="bullet"/>
      <w:lvlText w:val=""/>
      <w:lvlJc w:val="left"/>
      <w:pPr>
        <w:ind w:left="5040" w:hanging="360"/>
      </w:pPr>
      <w:rPr>
        <w:rFonts w:ascii="Symbol" w:hAnsi="Symbol" w:hint="default"/>
      </w:rPr>
    </w:lvl>
    <w:lvl w:ilvl="7" w:tplc="8474F070" w:tentative="1">
      <w:start w:val="1"/>
      <w:numFmt w:val="bullet"/>
      <w:lvlText w:val="o"/>
      <w:lvlJc w:val="left"/>
      <w:pPr>
        <w:ind w:left="5760" w:hanging="360"/>
      </w:pPr>
      <w:rPr>
        <w:rFonts w:ascii="Courier New" w:hAnsi="Courier New" w:cs="Courier New" w:hint="default"/>
      </w:rPr>
    </w:lvl>
    <w:lvl w:ilvl="8" w:tplc="928A42EC" w:tentative="1">
      <w:start w:val="1"/>
      <w:numFmt w:val="bullet"/>
      <w:lvlText w:val=""/>
      <w:lvlJc w:val="left"/>
      <w:pPr>
        <w:ind w:left="6480" w:hanging="360"/>
      </w:pPr>
      <w:rPr>
        <w:rFonts w:ascii="Wingdings" w:hAnsi="Wingdings" w:hint="default"/>
      </w:rPr>
    </w:lvl>
  </w:abstractNum>
  <w:abstractNum w:abstractNumId="15" w15:restartNumberingAfterBreak="0">
    <w:nsid w:val="713E3045"/>
    <w:multiLevelType w:val="hybridMultilevel"/>
    <w:tmpl w:val="A68E1786"/>
    <w:lvl w:ilvl="0" w:tplc="03C87B08">
      <w:start w:val="1"/>
      <w:numFmt w:val="decimal"/>
      <w:lvlText w:val="%1."/>
      <w:lvlJc w:val="left"/>
      <w:pPr>
        <w:ind w:left="720" w:hanging="360"/>
      </w:pPr>
      <w:rPr>
        <w:rFonts w:hint="default"/>
      </w:rPr>
    </w:lvl>
    <w:lvl w:ilvl="1" w:tplc="825A4F42" w:tentative="1">
      <w:start w:val="1"/>
      <w:numFmt w:val="lowerLetter"/>
      <w:lvlText w:val="%2."/>
      <w:lvlJc w:val="left"/>
      <w:pPr>
        <w:ind w:left="1440" w:hanging="360"/>
      </w:pPr>
    </w:lvl>
    <w:lvl w:ilvl="2" w:tplc="18FE0CA8" w:tentative="1">
      <w:start w:val="1"/>
      <w:numFmt w:val="lowerRoman"/>
      <w:lvlText w:val="%3."/>
      <w:lvlJc w:val="right"/>
      <w:pPr>
        <w:ind w:left="2160" w:hanging="180"/>
      </w:pPr>
    </w:lvl>
    <w:lvl w:ilvl="3" w:tplc="DF5A2A4C" w:tentative="1">
      <w:start w:val="1"/>
      <w:numFmt w:val="decimal"/>
      <w:lvlText w:val="%4."/>
      <w:lvlJc w:val="left"/>
      <w:pPr>
        <w:ind w:left="2880" w:hanging="360"/>
      </w:pPr>
    </w:lvl>
    <w:lvl w:ilvl="4" w:tplc="F782DB3A" w:tentative="1">
      <w:start w:val="1"/>
      <w:numFmt w:val="lowerLetter"/>
      <w:lvlText w:val="%5."/>
      <w:lvlJc w:val="left"/>
      <w:pPr>
        <w:ind w:left="3600" w:hanging="360"/>
      </w:pPr>
    </w:lvl>
    <w:lvl w:ilvl="5" w:tplc="C4F0AB2A" w:tentative="1">
      <w:start w:val="1"/>
      <w:numFmt w:val="lowerRoman"/>
      <w:lvlText w:val="%6."/>
      <w:lvlJc w:val="right"/>
      <w:pPr>
        <w:ind w:left="4320" w:hanging="180"/>
      </w:pPr>
    </w:lvl>
    <w:lvl w:ilvl="6" w:tplc="EA80AE32" w:tentative="1">
      <w:start w:val="1"/>
      <w:numFmt w:val="decimal"/>
      <w:lvlText w:val="%7."/>
      <w:lvlJc w:val="left"/>
      <w:pPr>
        <w:ind w:left="5040" w:hanging="360"/>
      </w:pPr>
    </w:lvl>
    <w:lvl w:ilvl="7" w:tplc="31BEB470" w:tentative="1">
      <w:start w:val="1"/>
      <w:numFmt w:val="lowerLetter"/>
      <w:lvlText w:val="%8."/>
      <w:lvlJc w:val="left"/>
      <w:pPr>
        <w:ind w:left="5760" w:hanging="360"/>
      </w:pPr>
    </w:lvl>
    <w:lvl w:ilvl="8" w:tplc="D32A73F8" w:tentative="1">
      <w:start w:val="1"/>
      <w:numFmt w:val="lowerRoman"/>
      <w:lvlText w:val="%9."/>
      <w:lvlJc w:val="right"/>
      <w:pPr>
        <w:ind w:left="6480" w:hanging="180"/>
      </w:pPr>
    </w:lvl>
  </w:abstractNum>
  <w:abstractNum w:abstractNumId="16" w15:restartNumberingAfterBreak="0">
    <w:nsid w:val="7506264E"/>
    <w:multiLevelType w:val="hybridMultilevel"/>
    <w:tmpl w:val="40349476"/>
    <w:lvl w:ilvl="0" w:tplc="A97A4C90">
      <w:start w:val="1"/>
      <w:numFmt w:val="bullet"/>
      <w:lvlText w:val=""/>
      <w:lvlJc w:val="left"/>
      <w:pPr>
        <w:ind w:left="1117" w:hanging="360"/>
      </w:pPr>
      <w:rPr>
        <w:rFonts w:ascii="Symbol" w:hAnsi="Symbol" w:hint="default"/>
      </w:rPr>
    </w:lvl>
    <w:lvl w:ilvl="1" w:tplc="982696BC" w:tentative="1">
      <w:start w:val="1"/>
      <w:numFmt w:val="bullet"/>
      <w:lvlText w:val="o"/>
      <w:lvlJc w:val="left"/>
      <w:pPr>
        <w:ind w:left="1837" w:hanging="360"/>
      </w:pPr>
      <w:rPr>
        <w:rFonts w:ascii="Courier New" w:hAnsi="Courier New" w:cs="Courier New" w:hint="default"/>
      </w:rPr>
    </w:lvl>
    <w:lvl w:ilvl="2" w:tplc="4A261DEC" w:tentative="1">
      <w:start w:val="1"/>
      <w:numFmt w:val="bullet"/>
      <w:lvlText w:val=""/>
      <w:lvlJc w:val="left"/>
      <w:pPr>
        <w:ind w:left="2557" w:hanging="360"/>
      </w:pPr>
      <w:rPr>
        <w:rFonts w:ascii="Wingdings" w:hAnsi="Wingdings" w:hint="default"/>
      </w:rPr>
    </w:lvl>
    <w:lvl w:ilvl="3" w:tplc="45227A82" w:tentative="1">
      <w:start w:val="1"/>
      <w:numFmt w:val="bullet"/>
      <w:lvlText w:val=""/>
      <w:lvlJc w:val="left"/>
      <w:pPr>
        <w:ind w:left="3277" w:hanging="360"/>
      </w:pPr>
      <w:rPr>
        <w:rFonts w:ascii="Symbol" w:hAnsi="Symbol" w:hint="default"/>
      </w:rPr>
    </w:lvl>
    <w:lvl w:ilvl="4" w:tplc="4BDA4F10" w:tentative="1">
      <w:start w:val="1"/>
      <w:numFmt w:val="bullet"/>
      <w:lvlText w:val="o"/>
      <w:lvlJc w:val="left"/>
      <w:pPr>
        <w:ind w:left="3997" w:hanging="360"/>
      </w:pPr>
      <w:rPr>
        <w:rFonts w:ascii="Courier New" w:hAnsi="Courier New" w:cs="Courier New" w:hint="default"/>
      </w:rPr>
    </w:lvl>
    <w:lvl w:ilvl="5" w:tplc="76E6F776" w:tentative="1">
      <w:start w:val="1"/>
      <w:numFmt w:val="bullet"/>
      <w:lvlText w:val=""/>
      <w:lvlJc w:val="left"/>
      <w:pPr>
        <w:ind w:left="4717" w:hanging="360"/>
      </w:pPr>
      <w:rPr>
        <w:rFonts w:ascii="Wingdings" w:hAnsi="Wingdings" w:hint="default"/>
      </w:rPr>
    </w:lvl>
    <w:lvl w:ilvl="6" w:tplc="1FFA3AA2" w:tentative="1">
      <w:start w:val="1"/>
      <w:numFmt w:val="bullet"/>
      <w:lvlText w:val=""/>
      <w:lvlJc w:val="left"/>
      <w:pPr>
        <w:ind w:left="5437" w:hanging="360"/>
      </w:pPr>
      <w:rPr>
        <w:rFonts w:ascii="Symbol" w:hAnsi="Symbol" w:hint="default"/>
      </w:rPr>
    </w:lvl>
    <w:lvl w:ilvl="7" w:tplc="ABA2FDB6" w:tentative="1">
      <w:start w:val="1"/>
      <w:numFmt w:val="bullet"/>
      <w:lvlText w:val="o"/>
      <w:lvlJc w:val="left"/>
      <w:pPr>
        <w:ind w:left="6157" w:hanging="360"/>
      </w:pPr>
      <w:rPr>
        <w:rFonts w:ascii="Courier New" w:hAnsi="Courier New" w:cs="Courier New" w:hint="default"/>
      </w:rPr>
    </w:lvl>
    <w:lvl w:ilvl="8" w:tplc="F7BA5224" w:tentative="1">
      <w:start w:val="1"/>
      <w:numFmt w:val="bullet"/>
      <w:lvlText w:val=""/>
      <w:lvlJc w:val="left"/>
      <w:pPr>
        <w:ind w:left="6877" w:hanging="360"/>
      </w:pPr>
      <w:rPr>
        <w:rFonts w:ascii="Wingdings" w:hAnsi="Wingdings" w:hint="default"/>
      </w:rPr>
    </w:lvl>
  </w:abstractNum>
  <w:abstractNum w:abstractNumId="17" w15:restartNumberingAfterBreak="0">
    <w:nsid w:val="75994B13"/>
    <w:multiLevelType w:val="hybridMultilevel"/>
    <w:tmpl w:val="0BE832D0"/>
    <w:lvl w:ilvl="0" w:tplc="FFD08418">
      <w:start w:val="1"/>
      <w:numFmt w:val="decimal"/>
      <w:lvlText w:val="%1."/>
      <w:lvlJc w:val="left"/>
      <w:pPr>
        <w:ind w:left="360" w:hanging="360"/>
      </w:pPr>
      <w:rPr>
        <w:rFonts w:hint="default"/>
      </w:rPr>
    </w:lvl>
    <w:lvl w:ilvl="1" w:tplc="346A1752" w:tentative="1">
      <w:start w:val="1"/>
      <w:numFmt w:val="lowerLetter"/>
      <w:lvlText w:val="%2."/>
      <w:lvlJc w:val="left"/>
      <w:pPr>
        <w:ind w:left="1080" w:hanging="360"/>
      </w:pPr>
    </w:lvl>
    <w:lvl w:ilvl="2" w:tplc="0452240E" w:tentative="1">
      <w:start w:val="1"/>
      <w:numFmt w:val="lowerRoman"/>
      <w:lvlText w:val="%3."/>
      <w:lvlJc w:val="right"/>
      <w:pPr>
        <w:ind w:left="1800" w:hanging="180"/>
      </w:pPr>
    </w:lvl>
    <w:lvl w:ilvl="3" w:tplc="A290083A" w:tentative="1">
      <w:start w:val="1"/>
      <w:numFmt w:val="decimal"/>
      <w:lvlText w:val="%4."/>
      <w:lvlJc w:val="left"/>
      <w:pPr>
        <w:ind w:left="2520" w:hanging="360"/>
      </w:pPr>
    </w:lvl>
    <w:lvl w:ilvl="4" w:tplc="DD3CDB46" w:tentative="1">
      <w:start w:val="1"/>
      <w:numFmt w:val="lowerLetter"/>
      <w:lvlText w:val="%5."/>
      <w:lvlJc w:val="left"/>
      <w:pPr>
        <w:ind w:left="3240" w:hanging="360"/>
      </w:pPr>
    </w:lvl>
    <w:lvl w:ilvl="5" w:tplc="BB38CC8C" w:tentative="1">
      <w:start w:val="1"/>
      <w:numFmt w:val="lowerRoman"/>
      <w:lvlText w:val="%6."/>
      <w:lvlJc w:val="right"/>
      <w:pPr>
        <w:ind w:left="3960" w:hanging="180"/>
      </w:pPr>
    </w:lvl>
    <w:lvl w:ilvl="6" w:tplc="BA806F6A" w:tentative="1">
      <w:start w:val="1"/>
      <w:numFmt w:val="decimal"/>
      <w:lvlText w:val="%7."/>
      <w:lvlJc w:val="left"/>
      <w:pPr>
        <w:ind w:left="4680" w:hanging="360"/>
      </w:pPr>
    </w:lvl>
    <w:lvl w:ilvl="7" w:tplc="D262904E" w:tentative="1">
      <w:start w:val="1"/>
      <w:numFmt w:val="lowerLetter"/>
      <w:lvlText w:val="%8."/>
      <w:lvlJc w:val="left"/>
      <w:pPr>
        <w:ind w:left="5400" w:hanging="360"/>
      </w:pPr>
    </w:lvl>
    <w:lvl w:ilvl="8" w:tplc="9DB813B8" w:tentative="1">
      <w:start w:val="1"/>
      <w:numFmt w:val="lowerRoman"/>
      <w:lvlText w:val="%9."/>
      <w:lvlJc w:val="right"/>
      <w:pPr>
        <w:ind w:left="6120" w:hanging="180"/>
      </w:pPr>
    </w:lvl>
  </w:abstractNum>
  <w:abstractNum w:abstractNumId="18" w15:restartNumberingAfterBreak="0">
    <w:nsid w:val="76FB4BE2"/>
    <w:multiLevelType w:val="hybridMultilevel"/>
    <w:tmpl w:val="D73A6064"/>
    <w:lvl w:ilvl="0" w:tplc="08F868EC">
      <w:start w:val="1"/>
      <w:numFmt w:val="bullet"/>
      <w:lvlText w:val=""/>
      <w:lvlJc w:val="left"/>
      <w:pPr>
        <w:ind w:left="2280" w:hanging="360"/>
      </w:pPr>
      <w:rPr>
        <w:rFonts w:ascii="Symbol" w:hAnsi="Symbol" w:hint="default"/>
      </w:rPr>
    </w:lvl>
    <w:lvl w:ilvl="1" w:tplc="BD38980A" w:tentative="1">
      <w:start w:val="1"/>
      <w:numFmt w:val="bullet"/>
      <w:lvlText w:val="o"/>
      <w:lvlJc w:val="left"/>
      <w:pPr>
        <w:ind w:left="3000" w:hanging="360"/>
      </w:pPr>
      <w:rPr>
        <w:rFonts w:ascii="Courier New" w:hAnsi="Courier New" w:cs="Courier New" w:hint="default"/>
      </w:rPr>
    </w:lvl>
    <w:lvl w:ilvl="2" w:tplc="481E337C" w:tentative="1">
      <w:start w:val="1"/>
      <w:numFmt w:val="bullet"/>
      <w:lvlText w:val=""/>
      <w:lvlJc w:val="left"/>
      <w:pPr>
        <w:ind w:left="3720" w:hanging="360"/>
      </w:pPr>
      <w:rPr>
        <w:rFonts w:ascii="Wingdings" w:hAnsi="Wingdings" w:hint="default"/>
      </w:rPr>
    </w:lvl>
    <w:lvl w:ilvl="3" w:tplc="6F1CE6DA" w:tentative="1">
      <w:start w:val="1"/>
      <w:numFmt w:val="bullet"/>
      <w:lvlText w:val=""/>
      <w:lvlJc w:val="left"/>
      <w:pPr>
        <w:ind w:left="4440" w:hanging="360"/>
      </w:pPr>
      <w:rPr>
        <w:rFonts w:ascii="Symbol" w:hAnsi="Symbol" w:hint="default"/>
      </w:rPr>
    </w:lvl>
    <w:lvl w:ilvl="4" w:tplc="FE943C9A" w:tentative="1">
      <w:start w:val="1"/>
      <w:numFmt w:val="bullet"/>
      <w:lvlText w:val="o"/>
      <w:lvlJc w:val="left"/>
      <w:pPr>
        <w:ind w:left="5160" w:hanging="360"/>
      </w:pPr>
      <w:rPr>
        <w:rFonts w:ascii="Courier New" w:hAnsi="Courier New" w:cs="Courier New" w:hint="default"/>
      </w:rPr>
    </w:lvl>
    <w:lvl w:ilvl="5" w:tplc="540A9F58" w:tentative="1">
      <w:start w:val="1"/>
      <w:numFmt w:val="bullet"/>
      <w:lvlText w:val=""/>
      <w:lvlJc w:val="left"/>
      <w:pPr>
        <w:ind w:left="5880" w:hanging="360"/>
      </w:pPr>
      <w:rPr>
        <w:rFonts w:ascii="Wingdings" w:hAnsi="Wingdings" w:hint="default"/>
      </w:rPr>
    </w:lvl>
    <w:lvl w:ilvl="6" w:tplc="66C4E10C" w:tentative="1">
      <w:start w:val="1"/>
      <w:numFmt w:val="bullet"/>
      <w:lvlText w:val=""/>
      <w:lvlJc w:val="left"/>
      <w:pPr>
        <w:ind w:left="6600" w:hanging="360"/>
      </w:pPr>
      <w:rPr>
        <w:rFonts w:ascii="Symbol" w:hAnsi="Symbol" w:hint="default"/>
      </w:rPr>
    </w:lvl>
    <w:lvl w:ilvl="7" w:tplc="0F28ECFA" w:tentative="1">
      <w:start w:val="1"/>
      <w:numFmt w:val="bullet"/>
      <w:lvlText w:val="o"/>
      <w:lvlJc w:val="left"/>
      <w:pPr>
        <w:ind w:left="7320" w:hanging="360"/>
      </w:pPr>
      <w:rPr>
        <w:rFonts w:ascii="Courier New" w:hAnsi="Courier New" w:cs="Courier New" w:hint="default"/>
      </w:rPr>
    </w:lvl>
    <w:lvl w:ilvl="8" w:tplc="FC96B7D6" w:tentative="1">
      <w:start w:val="1"/>
      <w:numFmt w:val="bullet"/>
      <w:lvlText w:val=""/>
      <w:lvlJc w:val="left"/>
      <w:pPr>
        <w:ind w:left="8040" w:hanging="360"/>
      </w:pPr>
      <w:rPr>
        <w:rFonts w:ascii="Wingdings" w:hAnsi="Wingdings" w:hint="default"/>
      </w:rPr>
    </w:lvl>
  </w:abstractNum>
  <w:num w:numId="1">
    <w:abstractNumId w:val="0"/>
  </w:num>
  <w:num w:numId="2">
    <w:abstractNumId w:val="14"/>
  </w:num>
  <w:num w:numId="3">
    <w:abstractNumId w:val="17"/>
  </w:num>
  <w:num w:numId="4">
    <w:abstractNumId w:val="13"/>
  </w:num>
  <w:num w:numId="5">
    <w:abstractNumId w:val="1"/>
  </w:num>
  <w:num w:numId="6">
    <w:abstractNumId w:val="16"/>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7"/>
  </w:num>
  <w:num w:numId="13">
    <w:abstractNumId w:val="2"/>
  </w:num>
  <w:num w:numId="14">
    <w:abstractNumId w:val="6"/>
  </w:num>
  <w:num w:numId="15">
    <w:abstractNumId w:val="3"/>
  </w:num>
  <w:num w:numId="16">
    <w:abstractNumId w:val="4"/>
  </w:num>
  <w:num w:numId="17">
    <w:abstractNumId w:val="12"/>
  </w:num>
  <w:num w:numId="18">
    <w:abstractNumId w:val="5"/>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BB"/>
    <w:rsid w:val="000060D6"/>
    <w:rsid w:val="001226BB"/>
    <w:rsid w:val="00127905"/>
    <w:rsid w:val="00373FD0"/>
    <w:rsid w:val="00954FEB"/>
    <w:rsid w:val="00B5204E"/>
    <w:rsid w:val="00C65A78"/>
    <w:rsid w:val="00D40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5C30"/>
  <w15:docId w15:val="{D953D878-DAE2-4B11-9483-A206050E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paragraph" w:styleId="Nagwek1">
    <w:name w:val="heading 1"/>
    <w:basedOn w:val="Normalny"/>
    <w:next w:val="Normalny"/>
    <w:link w:val="Nagwek1Znak"/>
    <w:uiPriority w:val="9"/>
    <w:qFormat/>
    <w:rsid w:val="00D409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rsid w:val="00336A51"/>
    <w:rPr>
      <w:rFonts w:ascii="Times New Roman" w:eastAsia="Times New Roman" w:hAnsi="Times New Roman"/>
      <w:sz w:val="24"/>
      <w:szCs w:val="24"/>
    </w:rPr>
  </w:style>
  <w:style w:type="paragraph" w:styleId="Poprawka">
    <w:name w:val="Revision"/>
    <w:hidden/>
    <w:uiPriority w:val="99"/>
    <w:semiHidden/>
    <w:rsid w:val="00336A51"/>
    <w:rPr>
      <w:sz w:val="22"/>
      <w:szCs w:val="22"/>
      <w:lang w:eastAsia="en-US"/>
    </w:rPr>
  </w:style>
  <w:style w:type="paragraph" w:styleId="Akapitzlist">
    <w:name w:val="List Paragraph"/>
    <w:aliases w:val="List Paragraph_0,Obiekt,Wyliczanie"/>
    <w:basedOn w:val="Normalny"/>
    <w:link w:val="AkapitzlistZnak"/>
    <w:uiPriority w:val="34"/>
    <w:qFormat/>
    <w:rsid w:val="00336A51"/>
    <w:pPr>
      <w:ind w:left="720"/>
      <w:contextualSpacing/>
    </w:pPr>
  </w:style>
  <w:style w:type="character" w:styleId="Odwoaniedokomentarza">
    <w:name w:val="annotation reference"/>
    <w:basedOn w:val="Domylnaczcionkaakapitu"/>
    <w:uiPriority w:val="99"/>
    <w:semiHidden/>
    <w:unhideWhenUsed/>
    <w:rsid w:val="00336A51"/>
    <w:rPr>
      <w:sz w:val="16"/>
      <w:szCs w:val="16"/>
    </w:rPr>
  </w:style>
  <w:style w:type="paragraph" w:styleId="Tekstkomentarza">
    <w:name w:val="annotation text"/>
    <w:basedOn w:val="Normalny"/>
    <w:link w:val="TekstkomentarzaZnak"/>
    <w:uiPriority w:val="99"/>
    <w:semiHidden/>
    <w:unhideWhenUsed/>
    <w:rsid w:val="00336A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6A51"/>
    <w:rPr>
      <w:lang w:eastAsia="en-US"/>
    </w:rPr>
  </w:style>
  <w:style w:type="paragraph" w:styleId="Tematkomentarza">
    <w:name w:val="annotation subject"/>
    <w:basedOn w:val="Tekstkomentarza"/>
    <w:next w:val="Tekstkomentarza"/>
    <w:link w:val="TematkomentarzaZnak"/>
    <w:uiPriority w:val="99"/>
    <w:semiHidden/>
    <w:unhideWhenUsed/>
    <w:rsid w:val="00336A51"/>
    <w:rPr>
      <w:b/>
      <w:bCs/>
    </w:rPr>
  </w:style>
  <w:style w:type="character" w:customStyle="1" w:styleId="TematkomentarzaZnak">
    <w:name w:val="Temat komentarza Znak"/>
    <w:basedOn w:val="TekstkomentarzaZnak"/>
    <w:link w:val="Tematkomentarza"/>
    <w:uiPriority w:val="99"/>
    <w:semiHidden/>
    <w:rsid w:val="00336A51"/>
    <w:rPr>
      <w:b/>
      <w:bCs/>
      <w:lang w:eastAsia="en-US"/>
    </w:rPr>
  </w:style>
  <w:style w:type="character" w:customStyle="1" w:styleId="AkapitzlistZnak">
    <w:name w:val="Akapit z listą Znak"/>
    <w:aliases w:val="List Paragraph_0 Znak,Obiekt Znak,Wyliczanie Znak"/>
    <w:link w:val="Akapitzlist"/>
    <w:uiPriority w:val="34"/>
    <w:rsid w:val="00336A51"/>
    <w:rPr>
      <w:sz w:val="22"/>
      <w:szCs w:val="22"/>
      <w:lang w:eastAsia="en-US"/>
    </w:rPr>
  </w:style>
  <w:style w:type="character" w:customStyle="1" w:styleId="Nierozpoznanawzmianka1">
    <w:name w:val="Nierozpoznana wzmianka1"/>
    <w:basedOn w:val="Domylnaczcionkaakapitu"/>
    <w:uiPriority w:val="99"/>
    <w:rsid w:val="00336A51"/>
    <w:rPr>
      <w:color w:val="605E5C"/>
      <w:shd w:val="clear" w:color="auto" w:fill="E1DFDD"/>
    </w:rPr>
  </w:style>
  <w:style w:type="character" w:customStyle="1" w:styleId="Nagwek1Znak">
    <w:name w:val="Nagłówek 1 Znak"/>
    <w:basedOn w:val="Domylnaczcionkaakapitu"/>
    <w:link w:val="Nagwek1"/>
    <w:uiPriority w:val="9"/>
    <w:rsid w:val="00D409EF"/>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6D323-026B-4E7F-9ADA-07E65149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33</TotalTime>
  <Pages>1</Pages>
  <Words>10210</Words>
  <Characters>61262</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Iwona Domaszewska</cp:lastModifiedBy>
  <cp:revision>14</cp:revision>
  <cp:lastPrinted>2010-12-24T09:23:00Z</cp:lastPrinted>
  <dcterms:created xsi:type="dcterms:W3CDTF">2022-10-20T15:35:00Z</dcterms:created>
  <dcterms:modified xsi:type="dcterms:W3CDTF">2024-12-10T06:36:00Z</dcterms:modified>
</cp:coreProperties>
</file>