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F90F" w14:textId="2298E4E0" w:rsidR="00BC4F70" w:rsidRDefault="00BC4F70" w:rsidP="00BC4F70">
      <w:pPr>
        <w:pStyle w:val="Tekstpodstawowy"/>
        <w:tabs>
          <w:tab w:val="left" w:pos="792"/>
          <w:tab w:val="left" w:pos="3168"/>
        </w:tabs>
        <w:spacing w:before="0"/>
        <w:jc w:val="left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ab/>
      </w:r>
      <w:r>
        <w:rPr>
          <w:rFonts w:ascii="Arial" w:hAnsi="Arial" w:cs="Arial"/>
          <w:b/>
          <w:bCs/>
          <w:color w:val="000000" w:themeColor="text1"/>
        </w:rPr>
        <w:tab/>
      </w:r>
    </w:p>
    <w:p w14:paraId="5E912FDA" w14:textId="682E2FD6" w:rsidR="00BC4F70" w:rsidRDefault="00BC4F70" w:rsidP="00BC4F70">
      <w:pPr>
        <w:pStyle w:val="Tekstpodstawowy"/>
        <w:tabs>
          <w:tab w:val="left" w:pos="792"/>
          <w:tab w:val="left" w:pos="3168"/>
        </w:tabs>
        <w:spacing w:before="0"/>
        <w:jc w:val="left"/>
        <w:rPr>
          <w:rFonts w:ascii="Arial" w:hAnsi="Arial" w:cs="Arial"/>
          <w:b/>
          <w:bCs/>
          <w:color w:val="000000" w:themeColor="text1"/>
        </w:rPr>
      </w:pPr>
    </w:p>
    <w:p w14:paraId="4EEE2086" w14:textId="6E1CCD07" w:rsidR="00BC4F70" w:rsidRDefault="00BC4F70" w:rsidP="00BC4F70">
      <w:pPr>
        <w:pStyle w:val="Tekstpodstawowy"/>
        <w:tabs>
          <w:tab w:val="left" w:pos="792"/>
          <w:tab w:val="left" w:pos="3168"/>
        </w:tabs>
        <w:spacing w:before="0"/>
        <w:jc w:val="left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28FD9D59" wp14:editId="0FBB88AE">
            <wp:extent cx="6120130" cy="61201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F45A" w14:textId="77777777" w:rsidR="00BC4F70" w:rsidRPr="009F7501" w:rsidRDefault="00BC4F70" w:rsidP="00BC4F70">
      <w:pPr>
        <w:pStyle w:val="Tekstpodstawowy"/>
        <w:tabs>
          <w:tab w:val="left" w:pos="2256"/>
        </w:tabs>
        <w:spacing w:befor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000000" w:themeColor="text1"/>
        </w:rPr>
        <w:br w:type="column"/>
      </w:r>
      <w:r w:rsidRPr="009F7501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lastRenderedPageBreak/>
        <w:t>Spis treści</w:t>
      </w:r>
    </w:p>
    <w:p w14:paraId="7D3D2697" w14:textId="77777777" w:rsidR="00BC4F70" w:rsidRPr="00DB016C" w:rsidRDefault="00BC4F70" w:rsidP="00BC4F70">
      <w:pPr>
        <w:pStyle w:val="Tekstpodstawowy"/>
        <w:tabs>
          <w:tab w:val="left" w:pos="2256"/>
        </w:tabs>
        <w:spacing w:before="0"/>
        <w:jc w:val="center"/>
        <w:rPr>
          <w:rFonts w:ascii="Arial" w:hAnsi="Arial" w:cs="Arial"/>
          <w:color w:val="000000" w:themeColor="text1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1417"/>
        <w:gridCol w:w="1276"/>
      </w:tblGrid>
      <w:tr w:rsidR="00BC4F70" w:rsidRPr="00DB016C" w14:paraId="5895A943" w14:textId="77777777" w:rsidTr="00F86611">
        <w:trPr>
          <w:trHeight w:val="490"/>
        </w:trPr>
        <w:tc>
          <w:tcPr>
            <w:tcW w:w="7938" w:type="dxa"/>
            <w:gridSpan w:val="2"/>
            <w:tcBorders>
              <w:bottom w:val="single" w:sz="4" w:space="0" w:color="auto"/>
            </w:tcBorders>
            <w:vAlign w:val="center"/>
          </w:tcPr>
          <w:p w14:paraId="2DFE5F79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Wstęp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A17F19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BC4F70" w:rsidRPr="00DB016C" w14:paraId="4A3444B9" w14:textId="77777777" w:rsidTr="00F86611">
        <w:trPr>
          <w:trHeight w:val="981"/>
        </w:trPr>
        <w:tc>
          <w:tcPr>
            <w:tcW w:w="7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B5E9D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Postanowienia umowne dotyczące waloryzacji wynagrodzenia Wykonawcy (</w:t>
            </w:r>
            <w:r w:rsidRPr="00BC4F7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jeden wskaźnik waloryzacji</w:t>
            </w: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95664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6</w:t>
            </w:r>
          </w:p>
        </w:tc>
      </w:tr>
      <w:tr w:rsidR="00BC4F70" w:rsidRPr="00DB016C" w14:paraId="3A3158E3" w14:textId="77777777" w:rsidTr="00F86611">
        <w:trPr>
          <w:trHeight w:val="981"/>
        </w:trPr>
        <w:tc>
          <w:tcPr>
            <w:tcW w:w="7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D3F1A" w14:textId="01A62CE2" w:rsidR="00BC4F70" w:rsidRPr="00DB016C" w:rsidRDefault="00BC4F70" w:rsidP="00F86611">
            <w:pPr>
              <w:pStyle w:val="Tekstpodstawowy"/>
              <w:tabs>
                <w:tab w:val="left" w:pos="225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Postanowienia umowne dotyczące waloryzacji wynagrodzenia Wykonawcy (</w:t>
            </w:r>
            <w:r w:rsidRPr="00BC4F7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„Koszyk waloryzacyjny”</w:t>
            </w: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AB6BE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9</w:t>
            </w:r>
          </w:p>
        </w:tc>
      </w:tr>
      <w:tr w:rsidR="00BC4F70" w:rsidRPr="00DB016C" w14:paraId="5C13D708" w14:textId="77777777" w:rsidTr="00F86611">
        <w:trPr>
          <w:trHeight w:val="1314"/>
        </w:trPr>
        <w:tc>
          <w:tcPr>
            <w:tcW w:w="7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BC958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Klauzula waloryzacyjna w umowach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>przygotowanych w oparciu o Warunki Kontraktowe FIDIC,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stosowana przez </w:t>
            </w:r>
            <w:r w:rsidRPr="00BC4F7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Generalną Dyrekcję Dróg Krajowych i Autostrad</w:t>
            </w: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dla kontraktów realizowanych w systemie “projektuj i buduj”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7F662" w14:textId="57E0579E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BC4F70" w:rsidRPr="00DB016C" w14:paraId="6B3B6C67" w14:textId="77777777" w:rsidTr="00F86611">
        <w:trPr>
          <w:trHeight w:val="981"/>
        </w:trPr>
        <w:tc>
          <w:tcPr>
            <w:tcW w:w="7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D280D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Klauzula waloryzacyjna stosowana w umowach zawieranych </w:t>
            </w:r>
            <w:r w:rsidRPr="00BC4F7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przez </w:t>
            </w:r>
            <w:r w:rsidRPr="00BC4F7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PKP Polskie Linie Kolejowe S.A.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61B8A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B016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20</w:t>
            </w:r>
          </w:p>
        </w:tc>
      </w:tr>
      <w:tr w:rsidR="00BC4F70" w:rsidRPr="00DB016C" w14:paraId="73858740" w14:textId="77777777" w:rsidTr="00F86611">
        <w:trPr>
          <w:trHeight w:val="4330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14:paraId="59D40528" w14:textId="43062802" w:rsidR="00164738" w:rsidRPr="00164738" w:rsidRDefault="00164738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Załącznik nr 1</w:t>
            </w:r>
          </w:p>
          <w:p w14:paraId="61BA8987" w14:textId="764F4341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Załącznik do klauzuli waloryzacyjnej w oparciu o koszyk waloryzacyjny - koszyki waloryzacyjne dla następujących rodzajów robót budowlanych:</w:t>
            </w:r>
          </w:p>
          <w:p w14:paraId="4C3ADF47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Ogólny koszyk waloryzacyjny</w:t>
            </w:r>
          </w:p>
          <w:p w14:paraId="09947B77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Budynek</w:t>
            </w:r>
          </w:p>
          <w:p w14:paraId="20514173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Obiekt mostowy</w:t>
            </w:r>
          </w:p>
          <w:p w14:paraId="68489B9C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Droga</w:t>
            </w:r>
          </w:p>
          <w:p w14:paraId="4486B0C6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Hydrotechnika</w:t>
            </w:r>
          </w:p>
          <w:p w14:paraId="7E38747E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Sieci wod-kan-co</w:t>
            </w:r>
          </w:p>
          <w:p w14:paraId="56D9FA70" w14:textId="77777777" w:rsidR="00BC4F70" w:rsidRPr="0016473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left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164738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 Sieć oświetleniowa</w:t>
            </w:r>
          </w:p>
          <w:p w14:paraId="03696D7D" w14:textId="77777777" w:rsidR="00BC4F70" w:rsidRPr="00DB016C" w:rsidRDefault="00BC4F70" w:rsidP="00F86611">
            <w:pPr>
              <w:pStyle w:val="Tekstpodstawowy"/>
              <w:tabs>
                <w:tab w:val="left" w:pos="2256"/>
              </w:tabs>
              <w:spacing w:before="0"/>
              <w:ind w:firstLine="601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7E99FCDE" w14:textId="4975A844" w:rsidR="00BC4F70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Załącznik w formie pliku </w:t>
            </w:r>
            <w:r w:rsidR="009F750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Excel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7486D425" w14:textId="77777777" w:rsidR="00BC4F70" w:rsidRPr="00B82FE8" w:rsidRDefault="00BC4F70" w:rsidP="00F86611">
            <w:pPr>
              <w:pStyle w:val="Tekstpodstawowy"/>
              <w:tabs>
                <w:tab w:val="left" w:pos="2256"/>
              </w:tabs>
              <w:spacing w:before="0"/>
              <w:jc w:val="right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>„K</w:t>
            </w:r>
            <w:r w:rsidRPr="00B82FE8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>oszyki waloryzacyjne”</w:t>
            </w:r>
          </w:p>
        </w:tc>
      </w:tr>
    </w:tbl>
    <w:p w14:paraId="021B5872" w14:textId="6B16C23E" w:rsidR="00BC4F70" w:rsidRDefault="00BC4F70" w:rsidP="00BC4F70">
      <w:pPr>
        <w:pStyle w:val="Tekstpodstawowy"/>
        <w:tabs>
          <w:tab w:val="left" w:pos="792"/>
          <w:tab w:val="left" w:pos="3168"/>
        </w:tabs>
        <w:spacing w:before="0"/>
        <w:jc w:val="left"/>
        <w:rPr>
          <w:rFonts w:ascii="Arial" w:hAnsi="Arial" w:cs="Arial"/>
          <w:b/>
          <w:bCs/>
          <w:color w:val="000000" w:themeColor="text1"/>
        </w:rPr>
      </w:pPr>
    </w:p>
    <w:p w14:paraId="442CA202" w14:textId="5C31231C" w:rsidR="0038470E" w:rsidRDefault="00BC4F70" w:rsidP="00BC4F70">
      <w:pPr>
        <w:pStyle w:val="Tekstpodstawowy"/>
        <w:tabs>
          <w:tab w:val="left" w:pos="792"/>
          <w:tab w:val="left" w:pos="3168"/>
        </w:tabs>
        <w:spacing w:before="0"/>
        <w:jc w:val="left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column"/>
      </w:r>
      <w:r w:rsidR="0038470E">
        <w:rPr>
          <w:rFonts w:ascii="Arial" w:hAnsi="Arial" w:cs="Arial"/>
          <w:b/>
          <w:bCs/>
          <w:color w:val="000000" w:themeColor="text1"/>
        </w:rPr>
        <w:lastRenderedPageBreak/>
        <w:t xml:space="preserve"> </w:t>
      </w:r>
    </w:p>
    <w:p w14:paraId="5F1CEA83" w14:textId="24C60817" w:rsidR="00BC4F70" w:rsidRDefault="00BC4F70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PRZYKŁADOWE KLAUZULE WALORYZACYJNE</w:t>
      </w:r>
    </w:p>
    <w:p w14:paraId="6F874481" w14:textId="77777777" w:rsidR="00BC4F70" w:rsidRDefault="0038470E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DLA SEKTORA BUDOWNICTWA</w:t>
      </w:r>
    </w:p>
    <w:p w14:paraId="6AAF44F0" w14:textId="77777777" w:rsidR="00BC4F70" w:rsidRDefault="00BC4F70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/>
        <w:jc w:val="center"/>
        <w:rPr>
          <w:rFonts w:ascii="Arial" w:hAnsi="Arial" w:cs="Arial"/>
          <w:b/>
          <w:bCs/>
          <w:color w:val="000000" w:themeColor="text1"/>
        </w:rPr>
      </w:pPr>
    </w:p>
    <w:p w14:paraId="6214BF80" w14:textId="3D791F37" w:rsidR="00894A44" w:rsidRPr="00894A44" w:rsidRDefault="00BC4F70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– WSTĘP –</w:t>
      </w:r>
      <w:r w:rsidR="0038470E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510374C5" w14:textId="77777777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/>
        <w:jc w:val="center"/>
        <w:rPr>
          <w:rFonts w:ascii="Arial" w:hAnsi="Arial" w:cs="Arial"/>
          <w:b/>
          <w:bCs/>
          <w:color w:val="000000" w:themeColor="text1"/>
        </w:rPr>
      </w:pPr>
    </w:p>
    <w:p w14:paraId="0CA38DF9" w14:textId="295738BD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>Umowna waloryzacja wynagrodzenia stanowi narzędzie dostosowania treści stosunku prawnego łączącego strony do warunków rynkowych, w których umowa jest realizowana. Ma na celu przywrócenie równowagi ekonomicznej, określonej przez strony w umowie w chwili jej zawierania</w:t>
      </w:r>
      <w:r w:rsidR="006477A0">
        <w:rPr>
          <w:rFonts w:ascii="Arial" w:hAnsi="Arial" w:cs="Arial"/>
          <w:color w:val="000000" w:themeColor="text1"/>
          <w:sz w:val="22"/>
          <w:szCs w:val="22"/>
        </w:rPr>
        <w:t>,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w przypadku jej </w:t>
      </w:r>
      <w:r w:rsidR="00BB0330">
        <w:rPr>
          <w:rFonts w:ascii="Arial" w:hAnsi="Arial" w:cs="Arial"/>
          <w:color w:val="000000" w:themeColor="text1"/>
          <w:sz w:val="22"/>
          <w:szCs w:val="22"/>
        </w:rPr>
        <w:t xml:space="preserve">naruszenia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przez określone zdarzenia, zaistniałe w trakcie wykonywania umowy. </w:t>
      </w:r>
    </w:p>
    <w:p w14:paraId="798A4C37" w14:textId="77777777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Prawidłowo sformułowane i adekwatne do danego stanu faktycznego klauzule waloryzacyjne nie tylko przyczyniają się do zwiększenia konkurencyjności prowadzonego postępowania o udzielenie zamówienia publicznego, ale także sprzyjają prawidłowej i efektywnej realizacji zawartej w wyniku tego postępowania umowy. </w:t>
      </w:r>
    </w:p>
    <w:p w14:paraId="499AD41D" w14:textId="4BE688CF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Tytułem przypomnienia wskazać warto, że przesłanki waloryzacji 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umów na roboty budowlane</w:t>
      </w:r>
      <w:r w:rsidR="006B75D1">
        <w:rPr>
          <w:rFonts w:ascii="Arial" w:eastAsia="Times New Roman" w:hAnsi="Arial" w:cs="Arial"/>
          <w:color w:val="000000" w:themeColor="text1"/>
          <w:sz w:val="22"/>
          <w:szCs w:val="22"/>
        </w:rPr>
        <w:t>, usługi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lub </w:t>
      </w:r>
      <w:r w:rsidR="006B75D1">
        <w:rPr>
          <w:rFonts w:ascii="Arial" w:eastAsia="Times New Roman" w:hAnsi="Arial" w:cs="Arial"/>
          <w:color w:val="000000" w:themeColor="text1"/>
          <w:sz w:val="22"/>
          <w:szCs w:val="22"/>
        </w:rPr>
        <w:t>dostawy</w:t>
      </w:r>
      <w:r w:rsidR="00101E26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zawartych na okres dłuższy niż 6 miesięcy, uregulowane zostały w art. 439 ustawy Pzp</w:t>
      </w:r>
      <w:r w:rsidRPr="00894A44">
        <w:rPr>
          <w:rStyle w:val="Odwoanieprzypisudolnego"/>
          <w:rFonts w:ascii="Arial" w:eastAsia="Times New Roman" w:hAnsi="Arial" w:cs="Arial"/>
          <w:color w:val="000000" w:themeColor="text1"/>
          <w:sz w:val="22"/>
          <w:szCs w:val="22"/>
        </w:rPr>
        <w:footnoteReference w:id="1"/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W dniu 26 października 2022 r. została ogłoszona ustawa z dnia 7 października 2022 r. </w:t>
      </w:r>
      <w:r w:rsidRPr="00894A44">
        <w:rPr>
          <w:rFonts w:ascii="Arial" w:eastAsia="Times New Roman" w:hAnsi="Arial" w:cs="Arial"/>
          <w:i/>
          <w:iCs/>
          <w:color w:val="000000" w:themeColor="text1"/>
          <w:sz w:val="22"/>
          <w:szCs w:val="22"/>
        </w:rPr>
        <w:t>o zmianie niektórych ustaw w celu uproszczenia procedur administracyjnych dla obywateli i przedsiębiorców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 </w:t>
      </w:r>
      <w:hyperlink r:id="rId9" w:history="1">
        <w:r w:rsidRPr="00196339">
          <w:rPr>
            <w:rFonts w:ascii="Arial" w:eastAsia="Times New Roman" w:hAnsi="Arial" w:cs="Arial"/>
            <w:color w:val="000000" w:themeColor="text1"/>
            <w:sz w:val="22"/>
            <w:szCs w:val="22"/>
          </w:rPr>
          <w:t>(Dz.U. poz. 2185, dalej jako: „ustawa”)</w:t>
        </w:r>
      </w:hyperlink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, która wprowadz</w:t>
      </w:r>
      <w:r w:rsidR="001F2960">
        <w:rPr>
          <w:rFonts w:ascii="Arial" w:eastAsia="Times New Roman" w:hAnsi="Arial" w:cs="Arial"/>
          <w:color w:val="000000" w:themeColor="text1"/>
          <w:sz w:val="22"/>
          <w:szCs w:val="22"/>
        </w:rPr>
        <w:t>iła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zmiany w ustawie Pzp. Na podstawie art. 44 </w:t>
      </w:r>
      <w:r w:rsidR="008040D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pkt 1 lit. </w:t>
      </w:r>
      <w:r w:rsidR="0061498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a) 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ustawy</w:t>
      </w:r>
      <w:r w:rsidR="006477A0">
        <w:rPr>
          <w:rFonts w:ascii="Arial" w:eastAsia="Times New Roman" w:hAnsi="Arial" w:cs="Arial"/>
          <w:color w:val="000000" w:themeColor="text1"/>
          <w:sz w:val="22"/>
          <w:szCs w:val="22"/>
        </w:rPr>
        <w:t>,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zmianie uległ m.in. art. 439 ust. 1 ustawy Pzp. Zgodnie z nowym jego brzmieniem: „Umowa, której przedmiotem są roboty budowlane, dostawy lub usługi, zawarta na okres dłuższy niż 6 miesięcy, zawiera postanowienia dotyczące zasad wprowadzania zmian wysokości wynagrodzenia należnego wykonawcy, w przypadku zmiany ceny materiałów lub kosztów związanych z realizacją zamówienia”. Powyższa zmiana weszła w życie </w:t>
      </w:r>
      <w:r w:rsidR="003F6FC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od dnia 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>10 listopada 2022 r.</w:t>
      </w:r>
    </w:p>
    <w:p w14:paraId="53C8395F" w14:textId="5AB52420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Należy </w:t>
      </w:r>
      <w:r w:rsidR="006477A0">
        <w:rPr>
          <w:rFonts w:ascii="Arial" w:eastAsia="Times New Roman" w:hAnsi="Arial" w:cs="Arial"/>
          <w:color w:val="000000" w:themeColor="text1"/>
          <w:sz w:val="22"/>
          <w:szCs w:val="22"/>
        </w:rPr>
        <w:t>przy tym</w:t>
      </w:r>
      <w:r w:rsidRPr="00894A4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podkreślić, że istnieje możliwość wprowadzenia do projektowanej umowy postanowień określających zasady zmian wysokości wynagrodzenia należnego wykonawcy także do umów na roboty budowlane, dostawy lub usługi zawarte na okres krótszy niż 6 miesięcy.</w:t>
      </w:r>
    </w:p>
    <w:p w14:paraId="434DCD60" w14:textId="434DAEAC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W obecnej sytuacji rynkowej w sektorze budownictwa, charakteryzującej się m.in. dynamicznymi </w:t>
      </w:r>
      <w:r w:rsidR="009F7501" w:rsidRPr="00894A44">
        <w:rPr>
          <w:rFonts w:ascii="Arial" w:hAnsi="Arial" w:cs="Arial"/>
          <w:color w:val="000000" w:themeColor="text1"/>
          <w:sz w:val="22"/>
          <w:szCs w:val="22"/>
        </w:rPr>
        <w:t>zmianami cen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towarów i usług, problemami z realizacją dostaw produktów i ich komponentów, a także brakami kadrowymi, prawidłowe kształtowanie oraz stosowanie waloryzacji umownej nabiera szczególnego znaczenia i jest niezwykle istotne dla uczestników rynku zamówień publicznych. </w:t>
      </w:r>
    </w:p>
    <w:p w14:paraId="1ACCA9E1" w14:textId="62455433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W związku z wskazanymi wyżej okolicznościami, Prezes Urzędu Zamówień Publicznych podjął inicjatywę, polegającą na utworzeniu grupy roboczej, w skład której, obok przedstawicieli Urzędu Zamówień Publicznych i Prokuratorii Generalnej Rzeczypospolitej Polskiej, weszli przedstawiciele zamawiających, wykonawców oraz organizacji branżowych, którzy zgłosili chęć udziału w tym przedsięwzięciu. Celem grupy roboczej było wypracowanie klauzul waloryzacyjnych, które mogą być wykorzystywane w umowach na roboty budowlane. </w:t>
      </w:r>
    </w:p>
    <w:p w14:paraId="389DD396" w14:textId="18BC02D2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W wyniku prac powstały </w:t>
      </w:r>
      <w:r w:rsidRPr="00BB0330">
        <w:rPr>
          <w:rFonts w:ascii="Arial" w:hAnsi="Arial" w:cs="Arial"/>
          <w:color w:val="000000" w:themeColor="text1"/>
          <w:sz w:val="22"/>
          <w:szCs w:val="22"/>
        </w:rPr>
        <w:t>przykładowe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klauzule, bazujące na różnych mechanizmach.</w:t>
      </w:r>
    </w:p>
    <w:p w14:paraId="19CAF9D6" w14:textId="77777777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Pierwsza klauzula oparta jest o jeden wskaźnik waloryzacji, którym jest wskaźnik cen produkcji budowlano-montażowej, publikowany przez Główny Urząd Statystyczny. Wskaźnik ma charakter przykładowy, zamawiający może oprzeć klauzulę na innym wskaźniku, który będzie adekwatny do planowanej inwestycji. </w:t>
      </w:r>
    </w:p>
    <w:p w14:paraId="1ADF4024" w14:textId="464558A5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>Druga klauzula bazuje na tzw. koszyku waloryzacyjnym i polega na tym, że waloryzacja odbywać się będzie w oparciu o wskaźniki produkcji sprzedanej wyrobów przemysłowych, wynagrodzenia oraz cen towarów i usług konsumpcyjnych publikowane przez Główny Urząd Statystyczny, a także dane wskazane w tabeli Koszyk Waloryzacyjny. Elementy składowe koszyka</w:t>
      </w:r>
      <w:r w:rsidR="00BB0330">
        <w:rPr>
          <w:rFonts w:ascii="Arial" w:hAnsi="Arial" w:cs="Arial"/>
          <w:color w:val="000000" w:themeColor="text1"/>
          <w:sz w:val="22"/>
          <w:szCs w:val="22"/>
        </w:rPr>
        <w:t>, przedziały wagowe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mają </w:t>
      </w:r>
      <w:r w:rsidR="00BB0330">
        <w:rPr>
          <w:rFonts w:ascii="Arial" w:hAnsi="Arial" w:cs="Arial"/>
          <w:color w:val="000000" w:themeColor="text1"/>
          <w:sz w:val="22"/>
          <w:szCs w:val="22"/>
        </w:rPr>
        <w:t xml:space="preserve">jedynie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>charakter przykładowy. Zamawiający konstruując klauzulę waloryzacyjną samodzielnie decyduje o wskaźnikach uwzględnionych w koszyku oraz o wagach im nadanych.</w:t>
      </w:r>
    </w:p>
    <w:p w14:paraId="01AC5DCE" w14:textId="6FB7295B" w:rsidR="00894A44" w:rsidRPr="00894A44" w:rsidRDefault="00DB3E80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 xml:space="preserve">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powyższych 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>dwóch klauzul, Główny Urząd Statystyczny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 xml:space="preserve"> we współpracy z grupą roboczą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 xml:space="preserve"> opracow</w:t>
      </w:r>
      <w:r w:rsidR="005C7A15">
        <w:rPr>
          <w:rFonts w:ascii="Arial" w:hAnsi="Arial" w:cs="Arial"/>
          <w:color w:val="000000" w:themeColor="text1"/>
          <w:sz w:val="22"/>
          <w:szCs w:val="22"/>
        </w:rPr>
        <w:t>uje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 xml:space="preserve"> kalkulatory waloryzacyjne, umożliwiające automatyczne wyliczanie wynagrodzenia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wykonawcy </w:t>
      </w:r>
      <w:r w:rsidR="00894A44" w:rsidRPr="00894A44">
        <w:rPr>
          <w:rFonts w:ascii="Arial" w:hAnsi="Arial" w:cs="Arial"/>
          <w:color w:val="000000" w:themeColor="text1"/>
          <w:sz w:val="22"/>
          <w:szCs w:val="22"/>
        </w:rPr>
        <w:t xml:space="preserve">po dokonanej waloryzacji. </w:t>
      </w:r>
      <w:r w:rsidR="0015098E">
        <w:rPr>
          <w:rFonts w:ascii="Arial" w:hAnsi="Arial" w:cs="Arial"/>
          <w:color w:val="000000" w:themeColor="text1"/>
          <w:sz w:val="22"/>
          <w:szCs w:val="22"/>
        </w:rPr>
        <w:t xml:space="preserve">Kalkulatory zostaną udostępnione przez Urząd niezwłocznie po </w:t>
      </w:r>
      <w:r w:rsidR="000105B7">
        <w:rPr>
          <w:rFonts w:ascii="Arial" w:hAnsi="Arial" w:cs="Arial"/>
          <w:color w:val="000000" w:themeColor="text1"/>
          <w:sz w:val="22"/>
          <w:szCs w:val="22"/>
        </w:rPr>
        <w:t xml:space="preserve">ich przygotowaniu. </w:t>
      </w:r>
      <w:r w:rsidR="0015098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C7A1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C974834" w14:textId="65695F64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Kolejne prezentowane w niniejszym opracowaniu klauzule to postanowienia stosowane przez </w:t>
      </w:r>
      <w:bookmarkStart w:id="0" w:name="_Hlk114126881"/>
      <w:r w:rsidRPr="00894A44">
        <w:rPr>
          <w:rFonts w:ascii="Arial" w:hAnsi="Arial" w:cs="Arial"/>
          <w:color w:val="000000" w:themeColor="text1"/>
          <w:sz w:val="22"/>
          <w:szCs w:val="22"/>
        </w:rPr>
        <w:t>Generalną Dyrekcję Dróg Krajowych i Autostrad i PKP Polskie Linie Kolejowe S.A</w:t>
      </w:r>
      <w:bookmarkEnd w:id="0"/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305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24D60">
        <w:rPr>
          <w:rFonts w:ascii="Arial" w:hAnsi="Arial" w:cs="Arial"/>
          <w:color w:val="000000" w:themeColor="text1"/>
          <w:sz w:val="22"/>
          <w:szCs w:val="22"/>
        </w:rPr>
        <w:t>C</w:t>
      </w:r>
      <w:r w:rsidR="00B1305F">
        <w:rPr>
          <w:rFonts w:ascii="Arial" w:hAnsi="Arial" w:cs="Arial"/>
          <w:color w:val="000000" w:themeColor="text1"/>
          <w:sz w:val="22"/>
          <w:szCs w:val="22"/>
        </w:rPr>
        <w:t>elem niniejszego dokumentu jest prezentowanie jedynie przykładowych postanowień</w:t>
      </w:r>
      <w:r w:rsidR="00624D60">
        <w:rPr>
          <w:rFonts w:ascii="Arial" w:hAnsi="Arial" w:cs="Arial"/>
          <w:color w:val="000000" w:themeColor="text1"/>
          <w:sz w:val="22"/>
          <w:szCs w:val="22"/>
        </w:rPr>
        <w:t xml:space="preserve">, dlatego </w:t>
      </w:r>
      <w:r w:rsidR="00B1305F">
        <w:rPr>
          <w:rFonts w:ascii="Arial" w:hAnsi="Arial" w:cs="Arial"/>
          <w:color w:val="000000" w:themeColor="text1"/>
          <w:sz w:val="22"/>
          <w:szCs w:val="22"/>
        </w:rPr>
        <w:t>z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klauzul tych usunięto wagi, limity i wskaźnik określający podział ryzyk. Inni zamawiający, którzy będą chcieli wykorzystać ww. przykładowe klauzule w swojej praktyce udzielania zamówień, powinni określić i dostosować wpisywane </w:t>
      </w:r>
      <w:r w:rsidR="009F7501" w:rsidRPr="00894A44">
        <w:rPr>
          <w:rFonts w:ascii="Arial" w:hAnsi="Arial" w:cs="Arial"/>
          <w:color w:val="000000" w:themeColor="text1"/>
          <w:sz w:val="22"/>
          <w:szCs w:val="22"/>
        </w:rPr>
        <w:t xml:space="preserve">wartości </w:t>
      </w:r>
      <w:r w:rsidR="009F7501">
        <w:rPr>
          <w:rFonts w:ascii="Arial" w:hAnsi="Arial" w:cs="Arial"/>
          <w:color w:val="000000" w:themeColor="text1"/>
          <w:sz w:val="22"/>
          <w:szCs w:val="22"/>
        </w:rPr>
        <w:t>do</w:t>
      </w:r>
      <w:r w:rsidR="00D50D4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>realiów danego kontraktu, aby stworzona w taki sposób klauzula mogła być efektywnie wykorzystana w danym stanie faktycznym</w:t>
      </w:r>
      <w:r w:rsidR="00BD5DF5">
        <w:rPr>
          <w:rFonts w:ascii="Arial" w:hAnsi="Arial" w:cs="Arial"/>
          <w:color w:val="000000" w:themeColor="text1"/>
          <w:sz w:val="22"/>
          <w:szCs w:val="22"/>
        </w:rPr>
        <w:t xml:space="preserve"> obejmującym również aktualną sytuację rynkową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. Niezbędne jest zatem dokonanie całościowej analizy stanu faktycznego, warunków umowy, do której wprowadzona będzie klauzula, co wymaga także kompleksowego spojrzenia na wszystkie </w:t>
      </w:r>
      <w:r w:rsidR="003D7E20">
        <w:rPr>
          <w:rFonts w:ascii="Arial" w:hAnsi="Arial" w:cs="Arial"/>
          <w:color w:val="000000" w:themeColor="text1"/>
          <w:sz w:val="22"/>
          <w:szCs w:val="22"/>
        </w:rPr>
        <w:t>postanowienia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umowy.  Dla ułatwienia, w celu zaprezentowania mechanizmu działania ww. klauzul, w przypisach wskazano, jakie wartości stosują </w:t>
      </w:r>
      <w:r w:rsidR="0084155A" w:rsidRPr="00894A44">
        <w:rPr>
          <w:rFonts w:ascii="Arial" w:hAnsi="Arial" w:cs="Arial"/>
          <w:color w:val="000000" w:themeColor="text1"/>
          <w:sz w:val="22"/>
          <w:szCs w:val="22"/>
        </w:rPr>
        <w:t xml:space="preserve">w swoich umowach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zamawiający: Generalna Dyrekcja Dróg Krajowych i Autostrad i PKP Polskie Linie Kolejowe </w:t>
      </w:r>
      <w:r w:rsidR="009F7501" w:rsidRPr="00894A44">
        <w:rPr>
          <w:rFonts w:ascii="Arial" w:hAnsi="Arial" w:cs="Arial"/>
          <w:color w:val="000000" w:themeColor="text1"/>
          <w:sz w:val="22"/>
          <w:szCs w:val="22"/>
        </w:rPr>
        <w:t>S.A.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Przy dostosowywaniu klauzul i wpisywaniu poszczególnych wartości należy zadbać o to, aby wartości by</w:t>
      </w:r>
      <w:r w:rsidR="00872A6E">
        <w:rPr>
          <w:rFonts w:ascii="Arial" w:hAnsi="Arial" w:cs="Arial"/>
          <w:color w:val="000000" w:themeColor="text1"/>
          <w:sz w:val="22"/>
          <w:szCs w:val="22"/>
        </w:rPr>
        <w:t>ły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zgodne (w tym matematycznie) z mechanizmem zawartym w klauzuli. </w:t>
      </w:r>
    </w:p>
    <w:p w14:paraId="7936FF46" w14:textId="298C302E" w:rsidR="003A7F1A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Wszystkie przedstawione klauzule mają charakter przykładowy, </w:t>
      </w:r>
      <w:r w:rsidR="00E71C3B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F43E1F">
        <w:rPr>
          <w:rFonts w:ascii="Arial" w:hAnsi="Arial" w:cs="Arial"/>
          <w:color w:val="000000" w:themeColor="text1"/>
          <w:sz w:val="22"/>
          <w:szCs w:val="22"/>
        </w:rPr>
        <w:t xml:space="preserve">niniejszy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dokument ma na celu zaprezentowanie różnych mechanizmów waloryzacji w praktyce udzielania zamówień publicznych, co powinno ułatwić konstruowanie klauzul waloryzacyjnych w projektowanych umowach. Posługiwanie się przez strony umowy </w:t>
      </w:r>
      <w:r w:rsidR="00F43E1F">
        <w:rPr>
          <w:rFonts w:ascii="Arial" w:hAnsi="Arial" w:cs="Arial"/>
          <w:color w:val="000000" w:themeColor="text1"/>
          <w:sz w:val="22"/>
          <w:szCs w:val="22"/>
        </w:rPr>
        <w:t xml:space="preserve">w sprawie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>zamówieni</w:t>
      </w:r>
      <w:r w:rsidR="00F43E1F">
        <w:rPr>
          <w:rFonts w:ascii="Arial" w:hAnsi="Arial" w:cs="Arial"/>
          <w:color w:val="000000" w:themeColor="text1"/>
          <w:sz w:val="22"/>
          <w:szCs w:val="22"/>
        </w:rPr>
        <w:t>a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publiczne</w:t>
      </w:r>
      <w:r w:rsidR="0040668E">
        <w:rPr>
          <w:rFonts w:ascii="Arial" w:hAnsi="Arial" w:cs="Arial"/>
          <w:color w:val="000000" w:themeColor="text1"/>
          <w:sz w:val="22"/>
          <w:szCs w:val="22"/>
        </w:rPr>
        <w:t>go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 klauzulami o innej treści jest w pełni dopuszczalne. </w:t>
      </w:r>
    </w:p>
    <w:p w14:paraId="62B9DEB7" w14:textId="6E710D90" w:rsidR="00894A44" w:rsidRPr="00894A4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>Klauzule nie wyczerpują wszystkich zagadnień związanych</w:t>
      </w:r>
      <w:r w:rsidR="00095703">
        <w:rPr>
          <w:rFonts w:ascii="Arial" w:hAnsi="Arial" w:cs="Arial"/>
          <w:color w:val="000000" w:themeColor="text1"/>
          <w:sz w:val="22"/>
          <w:szCs w:val="22"/>
        </w:rPr>
        <w:t xml:space="preserve"> z waloryzacją</w:t>
      </w:r>
      <w:r w:rsidR="008576E9">
        <w:rPr>
          <w:rFonts w:ascii="Arial" w:hAnsi="Arial" w:cs="Arial"/>
          <w:color w:val="000000" w:themeColor="text1"/>
          <w:sz w:val="22"/>
          <w:szCs w:val="22"/>
        </w:rPr>
        <w:t>,</w:t>
      </w:r>
      <w:r w:rsidR="008A57AA" w:rsidRPr="008A57A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E50DD">
        <w:rPr>
          <w:rFonts w:ascii="Arial" w:hAnsi="Arial" w:cs="Arial"/>
          <w:color w:val="000000" w:themeColor="text1"/>
          <w:sz w:val="22"/>
          <w:szCs w:val="22"/>
        </w:rPr>
        <w:t>koncentrując</w:t>
      </w:r>
      <w:r w:rsidR="008A57AA" w:rsidRPr="00894A44">
        <w:rPr>
          <w:rFonts w:ascii="Arial" w:hAnsi="Arial" w:cs="Arial"/>
          <w:color w:val="000000" w:themeColor="text1"/>
          <w:sz w:val="22"/>
          <w:szCs w:val="22"/>
        </w:rPr>
        <w:t xml:space="preserve"> się na prezentacji 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przykładowych </w:t>
      </w:r>
      <w:r w:rsidR="008A57AA" w:rsidRPr="00894A44">
        <w:rPr>
          <w:rFonts w:ascii="Arial" w:hAnsi="Arial" w:cs="Arial"/>
          <w:color w:val="000000" w:themeColor="text1"/>
          <w:sz w:val="22"/>
          <w:szCs w:val="22"/>
        </w:rPr>
        <w:t>mechanizm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>ów</w:t>
      </w:r>
      <w:r w:rsidR="008A57AA" w:rsidRPr="00894A44">
        <w:rPr>
          <w:rFonts w:ascii="Arial" w:hAnsi="Arial" w:cs="Arial"/>
          <w:color w:val="000000" w:themeColor="text1"/>
          <w:sz w:val="22"/>
          <w:szCs w:val="22"/>
        </w:rPr>
        <w:t xml:space="preserve"> waloryzacji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>. Tym samym</w:t>
      </w:r>
      <w:r w:rsidR="00E71C3B">
        <w:rPr>
          <w:rFonts w:ascii="Arial" w:hAnsi="Arial" w:cs="Arial"/>
          <w:color w:val="000000" w:themeColor="text1"/>
          <w:sz w:val="22"/>
          <w:szCs w:val="22"/>
        </w:rPr>
        <w:t>,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w opracowaniu nie uwzględniono takich przykładowych zagadnień jak: </w:t>
      </w:r>
      <w:r w:rsidR="00095703">
        <w:rPr>
          <w:rFonts w:ascii="Arial" w:hAnsi="Arial" w:cs="Arial"/>
          <w:color w:val="000000" w:themeColor="text1"/>
          <w:sz w:val="22"/>
          <w:szCs w:val="22"/>
        </w:rPr>
        <w:t>zasad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>y</w:t>
      </w:r>
      <w:r w:rsidR="00095703">
        <w:rPr>
          <w:rFonts w:ascii="Arial" w:hAnsi="Arial" w:cs="Arial"/>
          <w:color w:val="000000" w:themeColor="text1"/>
          <w:sz w:val="22"/>
          <w:szCs w:val="22"/>
        </w:rPr>
        <w:t xml:space="preserve"> waloryzacji lub brak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u</w:t>
      </w:r>
      <w:r w:rsidR="00095703">
        <w:rPr>
          <w:rFonts w:ascii="Arial" w:hAnsi="Arial" w:cs="Arial"/>
          <w:color w:val="000000" w:themeColor="text1"/>
          <w:sz w:val="22"/>
          <w:szCs w:val="22"/>
        </w:rPr>
        <w:t xml:space="preserve"> waloryzacji robót zamiennych lub dodatkowych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, zasad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>y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waloryzacji </w:t>
      </w:r>
      <w:r w:rsidR="002E5BE6">
        <w:rPr>
          <w:rFonts w:ascii="Arial" w:hAnsi="Arial" w:cs="Arial"/>
          <w:color w:val="000000" w:themeColor="text1"/>
          <w:sz w:val="22"/>
          <w:szCs w:val="22"/>
        </w:rPr>
        <w:t xml:space="preserve">lub braku waloryzacji 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okres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>ie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niezawinionego przez wykonawcę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przedłużenia realizacji umowy, zasad waloryzacji lub braku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 waloryzacji uzasadnionych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roszczeń wykonawcy. Powyższe kwestie</w:t>
      </w:r>
      <w:r w:rsidR="00E71C3B">
        <w:rPr>
          <w:rFonts w:ascii="Arial" w:hAnsi="Arial" w:cs="Arial"/>
          <w:color w:val="000000" w:themeColor="text1"/>
          <w:sz w:val="22"/>
          <w:szCs w:val="22"/>
        </w:rPr>
        <w:t>,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z uwagi na 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różnorodność przedmiotów zamówienia oraz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zindywidualizowan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ie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stanów faktycznych</w:t>
      </w:r>
      <w:r w:rsidR="009653A8">
        <w:rPr>
          <w:rFonts w:ascii="Arial" w:hAnsi="Arial" w:cs="Arial"/>
          <w:color w:val="000000" w:themeColor="text1"/>
          <w:sz w:val="22"/>
          <w:szCs w:val="22"/>
        </w:rPr>
        <w:t>,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1E3E">
        <w:rPr>
          <w:rFonts w:ascii="Arial" w:hAnsi="Arial" w:cs="Arial"/>
          <w:color w:val="000000" w:themeColor="text1"/>
          <w:sz w:val="22"/>
          <w:szCs w:val="22"/>
        </w:rPr>
        <w:t xml:space="preserve">zamawiający </w:t>
      </w:r>
      <w:r w:rsidR="009F7501">
        <w:rPr>
          <w:rFonts w:ascii="Arial" w:hAnsi="Arial" w:cs="Arial"/>
          <w:color w:val="000000" w:themeColor="text1"/>
          <w:sz w:val="22"/>
          <w:szCs w:val="22"/>
        </w:rPr>
        <w:t>powinni rozważyć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>wprowadz</w:t>
      </w:r>
      <w:r w:rsidR="000339A2">
        <w:rPr>
          <w:rFonts w:ascii="Arial" w:hAnsi="Arial" w:cs="Arial"/>
          <w:color w:val="000000" w:themeColor="text1"/>
          <w:sz w:val="22"/>
          <w:szCs w:val="22"/>
        </w:rPr>
        <w:t>ając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 do umowy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odpowiedni</w:t>
      </w:r>
      <w:r w:rsidR="000339A2">
        <w:rPr>
          <w:rFonts w:ascii="Arial" w:hAnsi="Arial" w:cs="Arial"/>
          <w:color w:val="000000" w:themeColor="text1"/>
          <w:sz w:val="22"/>
          <w:szCs w:val="22"/>
        </w:rPr>
        <w:t>e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>klauzul</w:t>
      </w:r>
      <w:r w:rsidR="000339A2">
        <w:rPr>
          <w:rFonts w:ascii="Arial" w:hAnsi="Arial" w:cs="Arial"/>
          <w:color w:val="000000" w:themeColor="text1"/>
          <w:sz w:val="22"/>
          <w:szCs w:val="22"/>
        </w:rPr>
        <w:t>e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7F1A">
        <w:rPr>
          <w:rFonts w:ascii="Arial" w:hAnsi="Arial" w:cs="Arial"/>
          <w:color w:val="000000" w:themeColor="text1"/>
          <w:sz w:val="22"/>
          <w:szCs w:val="22"/>
        </w:rPr>
        <w:t>umown</w:t>
      </w:r>
      <w:r w:rsidR="000339A2">
        <w:rPr>
          <w:rFonts w:ascii="Arial" w:hAnsi="Arial" w:cs="Arial"/>
          <w:color w:val="000000" w:themeColor="text1"/>
          <w:sz w:val="22"/>
          <w:szCs w:val="22"/>
        </w:rPr>
        <w:t>e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. W przypadku braku takich </w:t>
      </w:r>
      <w:r w:rsidR="00552E33">
        <w:rPr>
          <w:rFonts w:ascii="Arial" w:hAnsi="Arial" w:cs="Arial"/>
          <w:color w:val="000000" w:themeColor="text1"/>
          <w:sz w:val="22"/>
          <w:szCs w:val="22"/>
        </w:rPr>
        <w:t>postanowień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, w zależności od stanu </w:t>
      </w:r>
      <w:r w:rsidR="009F7501">
        <w:rPr>
          <w:rFonts w:ascii="Arial" w:hAnsi="Arial" w:cs="Arial"/>
          <w:color w:val="000000" w:themeColor="text1"/>
          <w:sz w:val="22"/>
          <w:szCs w:val="22"/>
        </w:rPr>
        <w:t>faktycznego mogą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 xml:space="preserve"> znaleźć </w:t>
      </w:r>
      <w:r w:rsidR="00D868E6">
        <w:rPr>
          <w:rFonts w:ascii="Arial" w:hAnsi="Arial" w:cs="Arial"/>
          <w:color w:val="000000" w:themeColor="text1"/>
          <w:sz w:val="22"/>
          <w:szCs w:val="22"/>
        </w:rPr>
        <w:t xml:space="preserve">zastosowanie </w:t>
      </w:r>
      <w:r w:rsidR="00552E33">
        <w:rPr>
          <w:rFonts w:ascii="Arial" w:hAnsi="Arial" w:cs="Arial"/>
          <w:color w:val="000000" w:themeColor="text1"/>
          <w:sz w:val="22"/>
          <w:szCs w:val="22"/>
        </w:rPr>
        <w:t>regulacje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ustawy P</w:t>
      </w:r>
      <w:r w:rsidR="00ED032E">
        <w:rPr>
          <w:rFonts w:ascii="Arial" w:hAnsi="Arial" w:cs="Arial"/>
          <w:color w:val="000000" w:themeColor="text1"/>
          <w:sz w:val="22"/>
          <w:szCs w:val="22"/>
        </w:rPr>
        <w:t>zp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dotycząc</w:t>
      </w:r>
      <w:r w:rsidR="003A34AD">
        <w:rPr>
          <w:rFonts w:ascii="Arial" w:hAnsi="Arial" w:cs="Arial"/>
          <w:color w:val="000000" w:themeColor="text1"/>
          <w:sz w:val="22"/>
          <w:szCs w:val="22"/>
        </w:rPr>
        <w:t>e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wystąpienia okoliczności nieprzewidzianych (art. 455 ust. 1 pkt </w:t>
      </w:r>
      <w:r w:rsidR="00A25E0B">
        <w:rPr>
          <w:rFonts w:ascii="Arial" w:hAnsi="Arial" w:cs="Arial"/>
          <w:color w:val="000000" w:themeColor="text1"/>
          <w:sz w:val="22"/>
          <w:szCs w:val="22"/>
        </w:rPr>
        <w:t>4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ustawy Pzp)</w:t>
      </w:r>
      <w:r w:rsidR="000339A2">
        <w:rPr>
          <w:rFonts w:ascii="Arial" w:hAnsi="Arial" w:cs="Arial"/>
          <w:color w:val="000000" w:themeColor="text1"/>
          <w:sz w:val="22"/>
          <w:szCs w:val="22"/>
        </w:rPr>
        <w:t xml:space="preserve"> czy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F7501">
        <w:rPr>
          <w:rFonts w:ascii="Arial" w:hAnsi="Arial" w:cs="Arial"/>
          <w:color w:val="000000" w:themeColor="text1"/>
          <w:sz w:val="22"/>
          <w:szCs w:val="22"/>
        </w:rPr>
        <w:t>postanowienia Kodeksu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cywilnego</w:t>
      </w:r>
      <w:r w:rsidR="00220069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A57A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A2CA0A7" w14:textId="784D96AA" w:rsidR="00F71364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894A44">
        <w:rPr>
          <w:rFonts w:ascii="Arial" w:hAnsi="Arial" w:cs="Arial"/>
          <w:color w:val="000000" w:themeColor="text1"/>
          <w:sz w:val="22"/>
          <w:szCs w:val="22"/>
        </w:rPr>
        <w:t xml:space="preserve">Konstruując klauzulę waloryzacyjną, należy wszechstronnie rozważyć i przeanalizować stan faktyczny danej sprawy, w celu wybrania odpowiedniej klauzuli i adekwatnego dostosowania jej parametrów do warunków danego zamówienia. W przypadku klauzul waloryzacyjnych bazujących na koszyku waloryzacyjnym szczególną rolę </w:t>
      </w:r>
      <w:r w:rsidR="00563BD8">
        <w:rPr>
          <w:rFonts w:ascii="Arial" w:hAnsi="Arial" w:cs="Arial"/>
          <w:color w:val="000000" w:themeColor="text1"/>
          <w:sz w:val="22"/>
          <w:szCs w:val="22"/>
        </w:rPr>
        <w:t xml:space="preserve">odgrywają 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>kosztorysan</w:t>
      </w:r>
      <w:r w:rsidR="00563BD8">
        <w:rPr>
          <w:rFonts w:ascii="Arial" w:hAnsi="Arial" w:cs="Arial"/>
          <w:color w:val="000000" w:themeColor="text1"/>
          <w:sz w:val="22"/>
          <w:szCs w:val="22"/>
        </w:rPr>
        <w:t>ci</w:t>
      </w:r>
      <w:r w:rsidRPr="00894A44">
        <w:rPr>
          <w:rFonts w:ascii="Arial" w:hAnsi="Arial" w:cs="Arial"/>
          <w:color w:val="000000" w:themeColor="text1"/>
          <w:sz w:val="22"/>
          <w:szCs w:val="22"/>
        </w:rPr>
        <w:t>, których wiedza i doświadczenie pozwolą, na etapie przygotowania zamówienia, dokonać oceny, które parametry zamówienia mogą w danym przypadku podlegać waloryzacji, a także umożliwią odpowiedni dobór elementów wchodzących w skład koszyka waloryzacyjnego.</w:t>
      </w:r>
      <w:r w:rsidRPr="00EE4F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3D536342" w14:textId="43139CEA" w:rsidR="00894A44" w:rsidRPr="00894A44" w:rsidRDefault="00894A44">
      <w:pPr>
        <w:rPr>
          <w:vanish/>
          <w:specVanish/>
        </w:rPr>
      </w:pPr>
    </w:p>
    <w:p w14:paraId="3E31F0D0" w14:textId="77777777" w:rsidR="00894A44" w:rsidRPr="00894A44" w:rsidRDefault="00894A44">
      <w:pPr>
        <w:rPr>
          <w:vanish/>
          <w:specVanish/>
        </w:rPr>
      </w:pPr>
      <w:r>
        <w:t xml:space="preserve"> </w:t>
      </w:r>
    </w:p>
    <w:p w14:paraId="6D30F2E0" w14:textId="13510B8E" w:rsidR="00894A44" w:rsidRDefault="00894A44" w:rsidP="00894A44">
      <w:r>
        <w:t xml:space="preserve"> </w:t>
      </w:r>
    </w:p>
    <w:p w14:paraId="273502D5" w14:textId="37BA5A5B" w:rsidR="00894A44" w:rsidRDefault="00894A44" w:rsidP="00894A44"/>
    <w:p w14:paraId="032918A6" w14:textId="5AA345A3" w:rsidR="00894A44" w:rsidRDefault="00894A44" w:rsidP="00894A44"/>
    <w:p w14:paraId="44B353EF" w14:textId="2EA7E0E0" w:rsidR="00894A44" w:rsidRDefault="00894A44" w:rsidP="00894A44"/>
    <w:p w14:paraId="796ABE2C" w14:textId="0F0EA529" w:rsidR="00894A44" w:rsidRDefault="00894A44" w:rsidP="00894A44"/>
    <w:p w14:paraId="3FE2BD15" w14:textId="787CA864" w:rsidR="00894A44" w:rsidRDefault="00894A44" w:rsidP="00894A44"/>
    <w:p w14:paraId="6154F565" w14:textId="607CF0BD" w:rsidR="00894A44" w:rsidRDefault="00894A44" w:rsidP="00894A44"/>
    <w:p w14:paraId="342C59A7" w14:textId="77777777" w:rsidR="00BC4F70" w:rsidRDefault="00BC4F70" w:rsidP="00894A44"/>
    <w:p w14:paraId="0BD8D59E" w14:textId="1F189067" w:rsidR="00894A44" w:rsidRDefault="00894A44" w:rsidP="00894A44"/>
    <w:p w14:paraId="0C688255" w14:textId="205CB239" w:rsidR="0049196F" w:rsidRDefault="0049196F" w:rsidP="00894A44"/>
    <w:p w14:paraId="1F2E0927" w14:textId="77777777" w:rsidR="0049196F" w:rsidRDefault="0049196F" w:rsidP="00894A44"/>
    <w:p w14:paraId="05A01FD4" w14:textId="5399EF31" w:rsidR="00894A44" w:rsidRPr="00BC4F70" w:rsidRDefault="001F0921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lastRenderedPageBreak/>
        <w:t>Postanowienia</w:t>
      </w:r>
      <w:r w:rsidR="00894A44" w:rsidRPr="00BC4F70">
        <w:rPr>
          <w:rFonts w:ascii="Arial" w:hAnsi="Arial" w:cs="Arial"/>
          <w:b/>
          <w:bCs/>
          <w:color w:val="000000" w:themeColor="text1"/>
        </w:rPr>
        <w:t xml:space="preserve"> umowne dotyczące waloryzacji wynagrodzenia Wykonawcy </w:t>
      </w:r>
    </w:p>
    <w:p w14:paraId="65922963" w14:textId="1C18FC9F" w:rsidR="00894A44" w:rsidRPr="00BC4F70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t>(jeden wskaźnik waloryzacji)</w:t>
      </w:r>
    </w:p>
    <w:p w14:paraId="03ADF8F4" w14:textId="6AF1C71A" w:rsidR="00894A44" w:rsidRDefault="00894A44" w:rsidP="00894A44"/>
    <w:p w14:paraId="53130A85" w14:textId="1E3BC3F8" w:rsidR="00894A44" w:rsidRPr="007C35D4" w:rsidRDefault="00894A44" w:rsidP="00894A44">
      <w:pPr>
        <w:spacing w:line="360" w:lineRule="auto"/>
        <w:ind w:left="12" w:hanging="12"/>
        <w:jc w:val="both"/>
        <w:rPr>
          <w:rFonts w:ascii="Arial" w:hAnsi="Arial" w:cs="Arial"/>
          <w:i/>
          <w:iCs/>
        </w:rPr>
      </w:pPr>
      <w:bookmarkStart w:id="1" w:name="_Hlk118289541"/>
      <w:r w:rsidRPr="007C35D4">
        <w:rPr>
          <w:rFonts w:ascii="Arial" w:hAnsi="Arial" w:cs="Arial"/>
          <w:i/>
          <w:iCs/>
        </w:rPr>
        <w:t>Wskazana poniżej klauzula waloryzacyjna ma  na celu ułatwienie opracowania umowy w zakresie waloryzacji wynagrodzenia</w:t>
      </w:r>
      <w:r w:rsidR="005F0DB0">
        <w:rPr>
          <w:rFonts w:ascii="Arial" w:hAnsi="Arial" w:cs="Arial"/>
          <w:i/>
          <w:iCs/>
        </w:rPr>
        <w:t xml:space="preserve"> i</w:t>
      </w:r>
      <w:r w:rsidRPr="007C35D4">
        <w:rPr>
          <w:rFonts w:ascii="Arial" w:hAnsi="Arial" w:cs="Arial"/>
          <w:i/>
          <w:iCs/>
        </w:rPr>
        <w:t xml:space="preserve">   </w:t>
      </w:r>
      <w:r w:rsidR="005F0DB0">
        <w:rPr>
          <w:rFonts w:ascii="Arial" w:hAnsi="Arial" w:cs="Arial"/>
          <w:i/>
          <w:iCs/>
        </w:rPr>
        <w:t xml:space="preserve">ma </w:t>
      </w:r>
      <w:r w:rsidRPr="007C35D4">
        <w:rPr>
          <w:rFonts w:ascii="Arial" w:hAnsi="Arial" w:cs="Arial"/>
          <w:i/>
          <w:iCs/>
        </w:rPr>
        <w:t xml:space="preserve">charakter przykładowy. W każdym przypadku klauzula waloryzacyjna powinna zostać dostosowana do warunków zamówienia i innych postanowień umownych. Posługiwanie się przez strony umowy </w:t>
      </w:r>
      <w:r w:rsidR="00F10F63">
        <w:rPr>
          <w:rFonts w:ascii="Arial" w:hAnsi="Arial" w:cs="Arial"/>
          <w:i/>
          <w:iCs/>
        </w:rPr>
        <w:t>w sprawie</w:t>
      </w:r>
      <w:r w:rsidRPr="007C35D4">
        <w:rPr>
          <w:rFonts w:ascii="Arial" w:hAnsi="Arial" w:cs="Arial"/>
          <w:i/>
          <w:iCs/>
        </w:rPr>
        <w:t xml:space="preserve"> zamówieni</w:t>
      </w:r>
      <w:r w:rsidR="00F10F63">
        <w:rPr>
          <w:rFonts w:ascii="Arial" w:hAnsi="Arial" w:cs="Arial"/>
          <w:i/>
          <w:iCs/>
        </w:rPr>
        <w:t>a</w:t>
      </w:r>
      <w:r w:rsidRPr="007C35D4">
        <w:rPr>
          <w:rFonts w:ascii="Arial" w:hAnsi="Arial" w:cs="Arial"/>
          <w:i/>
          <w:iCs/>
        </w:rPr>
        <w:t xml:space="preserve"> publiczne</w:t>
      </w:r>
      <w:r w:rsidR="00F10F63">
        <w:rPr>
          <w:rFonts w:ascii="Arial" w:hAnsi="Arial" w:cs="Arial"/>
          <w:i/>
          <w:iCs/>
        </w:rPr>
        <w:t>go</w:t>
      </w:r>
      <w:r w:rsidRPr="007C35D4">
        <w:rPr>
          <w:rFonts w:ascii="Arial" w:hAnsi="Arial" w:cs="Arial"/>
          <w:i/>
          <w:iCs/>
        </w:rPr>
        <w:t xml:space="preserve"> klauzulami waloryzacyjnymi o innej treści jest w pełni dopuszczalne.</w:t>
      </w:r>
      <w:bookmarkEnd w:id="1"/>
    </w:p>
    <w:p w14:paraId="1C876C42" w14:textId="77777777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 xml:space="preserve">Kwoty płatne Wykonawcy będą korygowane dla oddania wzrostów lub spadków cen zgodnie z poniższymi zapisami. </w:t>
      </w:r>
    </w:p>
    <w:p w14:paraId="1250CE96" w14:textId="4B776E9B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 xml:space="preserve">Waloryzacja będzie  odbywać </w:t>
      </w:r>
      <w:r w:rsidR="00AF1182">
        <w:rPr>
          <w:sz w:val="22"/>
          <w:szCs w:val="22"/>
        </w:rPr>
        <w:t xml:space="preserve">się </w:t>
      </w:r>
      <w:r w:rsidRPr="00894A44">
        <w:rPr>
          <w:sz w:val="22"/>
          <w:szCs w:val="22"/>
        </w:rPr>
        <w:t xml:space="preserve">w oparciu o  wskaźnik </w:t>
      </w:r>
      <w:r w:rsidRPr="00894A44">
        <w:rPr>
          <w:rFonts w:eastAsia="Times New Roman"/>
          <w:sz w:val="22"/>
          <w:szCs w:val="22"/>
        </w:rPr>
        <w:t>cen produkcji budowlano-montażowej, pozycja …..</w:t>
      </w:r>
      <w:r w:rsidRPr="00894A44">
        <w:rPr>
          <w:rStyle w:val="Odwoanieprzypisudolnego"/>
          <w:sz w:val="22"/>
          <w:szCs w:val="22"/>
        </w:rPr>
        <w:footnoteReference w:id="2"/>
      </w:r>
      <w:r w:rsidRPr="00894A44">
        <w:rPr>
          <w:sz w:val="22"/>
          <w:szCs w:val="22"/>
        </w:rPr>
        <w:t xml:space="preserve"> publikowany przez Główny Urząd Statystyczny (zwany dalej GUS), dostępny w Dziedzinowej Bazie Wiedzy  pod linkiem</w:t>
      </w:r>
      <w:r w:rsidR="0049196F">
        <w:rPr>
          <w:sz w:val="22"/>
          <w:szCs w:val="22"/>
        </w:rPr>
        <w:t>:</w:t>
      </w:r>
      <w:r w:rsidRPr="00894A44">
        <w:rPr>
          <w:sz w:val="22"/>
          <w:szCs w:val="22"/>
        </w:rPr>
        <w:t xml:space="preserve">  </w:t>
      </w:r>
      <w:hyperlink r:id="rId10" w:history="1">
        <w:r w:rsidRPr="00894A44">
          <w:rPr>
            <w:rStyle w:val="Hipercze"/>
            <w:sz w:val="22"/>
            <w:szCs w:val="22"/>
          </w:rPr>
          <w:t>http://swaid.stat.gov.pl/Ceny_dashboards/Raporty_predefiniowane/RAP_DBD_CEN_30.aspx</w:t>
        </w:r>
      </w:hyperlink>
      <w:r w:rsidRPr="00894A44">
        <w:rPr>
          <w:rStyle w:val="Hipercze"/>
          <w:sz w:val="22"/>
          <w:szCs w:val="22"/>
        </w:rPr>
        <w:t>,</w:t>
      </w:r>
      <w:r w:rsidRPr="00894A44">
        <w:rPr>
          <w:sz w:val="22"/>
          <w:szCs w:val="22"/>
        </w:rPr>
        <w:t xml:space="preserve"> lub w Biuletynie Statystycznym, w układzie miesiąc poprzedni = 100, dotyczący kolejnych miesięcy kalendarzowych począwszy od miesiąca otwarcia oferty, do miesiąca za który została wystawiona faktura VAT. W przypadku, gdyby w/w wskaźnik przestał być dostępny, strony uzgodnią inny, najbardziej zbliżony wskaźnik publikowany przez GUS.</w:t>
      </w:r>
    </w:p>
    <w:p w14:paraId="41120338" w14:textId="5D9081AC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>Wskaźnik waloryzacji W</w:t>
      </w:r>
      <w:r w:rsidRPr="00894A44">
        <w:rPr>
          <w:sz w:val="22"/>
          <w:szCs w:val="22"/>
          <w:vertAlign w:val="subscript"/>
        </w:rPr>
        <w:t>w (n)</w:t>
      </w:r>
      <w:r w:rsidRPr="00894A44">
        <w:rPr>
          <w:sz w:val="22"/>
          <w:szCs w:val="22"/>
        </w:rPr>
        <w:t xml:space="preserve"> przez który należy każdorazowo przemnożyć wartość faktury VAT za n-ty miesiąc powstaje poprzez przemnożenie przez siebie wskaźników cen produkcji budowlano-montażowej dla kolejnych miesięcy począwszy od miesiąca w którym nastąpiło otwarcie oferty (miesiąc 0 gdy wskaźnik jest równy 100) do miesiąca za który nastąpi wystawienie faktury (miesiąc n-</w:t>
      </w:r>
      <w:r w:rsidR="009F7501" w:rsidRPr="00894A44">
        <w:rPr>
          <w:sz w:val="22"/>
          <w:szCs w:val="22"/>
        </w:rPr>
        <w:t>ty) wg</w:t>
      </w:r>
      <w:r w:rsidRPr="00894A44">
        <w:rPr>
          <w:sz w:val="22"/>
          <w:szCs w:val="22"/>
        </w:rPr>
        <w:t xml:space="preserve"> poniższego wzoru:</w:t>
      </w:r>
    </w:p>
    <w:p w14:paraId="6B12540E" w14:textId="77777777" w:rsidR="00894A44" w:rsidRPr="00894A44" w:rsidRDefault="00000000" w:rsidP="00894A44">
      <w:pPr>
        <w:pStyle w:val="numerowanie"/>
        <w:spacing w:after="260" w:line="360" w:lineRule="auto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W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w (n)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=a+</m:t>
          </m:r>
          <m:d>
            <m:d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1-a</m:t>
              </m:r>
            </m:e>
          </m:d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(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3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×………….×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n-1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</w:rPr>
            <m:t>)</m:t>
          </m:r>
        </m:oMath>
      </m:oMathPara>
    </w:p>
    <w:p w14:paraId="392F9FB0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t>gdzie:</w:t>
      </w:r>
    </w:p>
    <w:p w14:paraId="730DED7D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w (n)</w:t>
      </w:r>
      <w:r w:rsidRPr="00894A44">
        <w:rPr>
          <w:rFonts w:ascii="Arial" w:hAnsi="Arial" w:cs="Arial"/>
          <w:spacing w:val="4"/>
          <w:lang w:eastAsia="pl-PL"/>
        </w:rPr>
        <w:t>" –wskaźnik waloryzacji dla n-tego miesiąca;</w:t>
      </w:r>
    </w:p>
    <w:p w14:paraId="785CCA58" w14:textId="4C804A3E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t xml:space="preserve">„a" - stały współczynnik o </w:t>
      </w:r>
      <w:r w:rsidR="009F7501" w:rsidRPr="00894A44">
        <w:rPr>
          <w:rFonts w:ascii="Arial" w:hAnsi="Arial" w:cs="Arial"/>
          <w:spacing w:val="4"/>
          <w:lang w:eastAsia="pl-PL"/>
        </w:rPr>
        <w:t>wartości [●]</w:t>
      </w:r>
      <w:r w:rsidRPr="00894A44">
        <w:rPr>
          <w:rFonts w:ascii="Arial" w:hAnsi="Arial" w:cs="Arial"/>
          <w:spacing w:val="4"/>
          <w:lang w:eastAsia="pl-PL"/>
        </w:rPr>
        <w:t xml:space="preserve"> </w:t>
      </w:r>
      <w:r w:rsidRPr="00894A44">
        <w:rPr>
          <w:rStyle w:val="Odwoanieprzypisudolnego"/>
          <w:rFonts w:ascii="Arial" w:hAnsi="Arial" w:cs="Arial"/>
          <w:spacing w:val="4"/>
          <w:lang w:eastAsia="pl-PL"/>
        </w:rPr>
        <w:footnoteReference w:id="3"/>
      </w:r>
      <w:r w:rsidRPr="00894A44">
        <w:rPr>
          <w:rFonts w:ascii="Arial" w:hAnsi="Arial" w:cs="Arial"/>
          <w:spacing w:val="4"/>
          <w:lang w:eastAsia="pl-PL"/>
        </w:rPr>
        <w:t>obrazujący część wynagrodzenia, które nie podlega waloryzacji (element niewaloryzowany).</w:t>
      </w:r>
    </w:p>
    <w:p w14:paraId="1ACB8E94" w14:textId="77777777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0</w:t>
      </w:r>
      <w:r w:rsidRPr="00894A44">
        <w:rPr>
          <w:rFonts w:ascii="Arial" w:hAnsi="Arial" w:cs="Arial"/>
          <w:spacing w:val="4"/>
          <w:lang w:eastAsia="pl-PL"/>
        </w:rPr>
        <w:t xml:space="preserve">" – </w:t>
      </w:r>
      <w:bookmarkStart w:id="2" w:name="_Hlk115193629"/>
      <w:r w:rsidRPr="00894A44">
        <w:rPr>
          <w:rFonts w:ascii="Arial" w:hAnsi="Arial" w:cs="Arial"/>
        </w:rPr>
        <w:t>wskaźnik „0” z miesiąca otwarcia oferty = 100</w:t>
      </w:r>
      <w:bookmarkEnd w:id="2"/>
    </w:p>
    <w:p w14:paraId="0E2979F1" w14:textId="739F10D1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lastRenderedPageBreak/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1</w:t>
      </w:r>
      <w:r w:rsidRPr="00894A44">
        <w:rPr>
          <w:rFonts w:ascii="Arial" w:hAnsi="Arial" w:cs="Arial"/>
          <w:spacing w:val="4"/>
          <w:lang w:eastAsia="pl-PL"/>
        </w:rPr>
        <w:t xml:space="preserve">" – </w:t>
      </w:r>
      <w:bookmarkStart w:id="3" w:name="_Hlk115193657"/>
      <w:r w:rsidRPr="00894A44">
        <w:rPr>
          <w:rFonts w:ascii="Arial" w:hAnsi="Arial" w:cs="Arial"/>
        </w:rPr>
        <w:t xml:space="preserve">wskaźnik „1” </w:t>
      </w:r>
      <w:r w:rsidR="009F7501" w:rsidRPr="00894A44">
        <w:rPr>
          <w:rFonts w:ascii="Arial" w:hAnsi="Arial" w:cs="Arial"/>
        </w:rPr>
        <w:t>z następnego</w:t>
      </w:r>
      <w:r w:rsidRPr="00894A44">
        <w:rPr>
          <w:rFonts w:ascii="Arial" w:hAnsi="Arial" w:cs="Arial"/>
        </w:rPr>
        <w:t xml:space="preserve"> miesiąca po miesiącu otwarcia oferty </w:t>
      </w:r>
      <w:bookmarkEnd w:id="3"/>
      <w:r w:rsidRPr="00894A44">
        <w:rPr>
          <w:rFonts w:ascii="Arial" w:hAnsi="Arial" w:cs="Arial"/>
        </w:rPr>
        <w:t xml:space="preserve">(wskaźnik </w:t>
      </w:r>
      <w:r w:rsidRPr="00894A44">
        <w:rPr>
          <w:rFonts w:ascii="Arial" w:eastAsia="Times New Roman" w:hAnsi="Arial" w:cs="Arial"/>
        </w:rPr>
        <w:t>cen produkcji budowlano-montażowej</w:t>
      </w:r>
      <w:r w:rsidRPr="00894A44">
        <w:rPr>
          <w:rFonts w:ascii="Arial" w:hAnsi="Arial" w:cs="Arial"/>
        </w:rPr>
        <w:t xml:space="preserve"> publikowany przez GUS, w układzie miesiąc poprzedni = 100)</w:t>
      </w:r>
    </w:p>
    <w:p w14:paraId="6837D28A" w14:textId="3B919029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2</w:t>
      </w:r>
      <w:r w:rsidR="009F7501" w:rsidRPr="00894A44">
        <w:rPr>
          <w:rFonts w:ascii="Arial" w:hAnsi="Arial" w:cs="Arial"/>
          <w:spacing w:val="4"/>
          <w:lang w:eastAsia="pl-PL"/>
        </w:rPr>
        <w:t>”, „</w:t>
      </w:r>
      <w:r w:rsidRPr="00894A44">
        <w:rPr>
          <w:rFonts w:ascii="Arial" w:hAnsi="Arial" w:cs="Arial"/>
          <w:spacing w:val="4"/>
          <w:lang w:eastAsia="pl-PL"/>
        </w:rPr>
        <w:t>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3</w:t>
      </w:r>
      <w:r w:rsidRPr="00894A44">
        <w:rPr>
          <w:rFonts w:ascii="Arial" w:hAnsi="Arial" w:cs="Arial"/>
          <w:spacing w:val="4"/>
          <w:lang w:eastAsia="pl-PL"/>
        </w:rPr>
        <w:t xml:space="preserve">",… – </w:t>
      </w:r>
      <w:r w:rsidRPr="00894A44">
        <w:rPr>
          <w:rFonts w:ascii="Arial" w:hAnsi="Arial" w:cs="Arial"/>
        </w:rPr>
        <w:t xml:space="preserve">wskaźniki „2”, „3”, … </w:t>
      </w:r>
      <w:r w:rsidR="009F7501" w:rsidRPr="00894A44">
        <w:rPr>
          <w:rFonts w:ascii="Arial" w:hAnsi="Arial" w:cs="Arial"/>
        </w:rPr>
        <w:t>z kolejnych</w:t>
      </w:r>
      <w:r w:rsidRPr="00894A44">
        <w:rPr>
          <w:rFonts w:ascii="Arial" w:hAnsi="Arial" w:cs="Arial"/>
        </w:rPr>
        <w:t xml:space="preserve"> miesięcy po miesiącu otwarcia oferty (wskaźnik </w:t>
      </w:r>
      <w:r w:rsidRPr="00894A44">
        <w:rPr>
          <w:rFonts w:ascii="Arial" w:eastAsia="Times New Roman" w:hAnsi="Arial" w:cs="Arial"/>
        </w:rPr>
        <w:t>cen produkcji budowlano-montażowej</w:t>
      </w:r>
      <w:r w:rsidRPr="00894A44">
        <w:rPr>
          <w:rFonts w:ascii="Arial" w:hAnsi="Arial" w:cs="Arial"/>
        </w:rPr>
        <w:t xml:space="preserve"> publikowany przez GUS, w układzie miesiąc poprzedni = 100)</w:t>
      </w:r>
    </w:p>
    <w:p w14:paraId="4094D69E" w14:textId="346A30C5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n-1</w:t>
      </w:r>
      <w:r w:rsidRPr="00894A44">
        <w:rPr>
          <w:rFonts w:ascii="Arial" w:hAnsi="Arial" w:cs="Arial"/>
          <w:spacing w:val="4"/>
          <w:lang w:eastAsia="pl-PL"/>
        </w:rPr>
        <w:t xml:space="preserve">– </w:t>
      </w:r>
      <w:r w:rsidRPr="00894A44">
        <w:rPr>
          <w:rFonts w:ascii="Arial" w:hAnsi="Arial" w:cs="Arial"/>
        </w:rPr>
        <w:t xml:space="preserve">wskaźnik „n-1” </w:t>
      </w:r>
      <w:r w:rsidR="009F7501" w:rsidRPr="00894A44">
        <w:rPr>
          <w:rFonts w:ascii="Arial" w:hAnsi="Arial" w:cs="Arial"/>
        </w:rPr>
        <w:t>z miesiąca</w:t>
      </w:r>
      <w:r w:rsidRPr="00894A44">
        <w:rPr>
          <w:rFonts w:ascii="Arial" w:hAnsi="Arial" w:cs="Arial"/>
        </w:rPr>
        <w:t xml:space="preserve"> poprzedzającego miesiąc za który nastąpi wystawienie faktury (wskaźnik </w:t>
      </w:r>
      <w:r w:rsidRPr="00894A44">
        <w:rPr>
          <w:rFonts w:ascii="Arial" w:eastAsia="Times New Roman" w:hAnsi="Arial" w:cs="Arial"/>
        </w:rPr>
        <w:t>cen produkcji budowlano-montażowej</w:t>
      </w:r>
      <w:r w:rsidRPr="00894A44">
        <w:rPr>
          <w:rFonts w:ascii="Arial" w:hAnsi="Arial" w:cs="Arial"/>
        </w:rPr>
        <w:t xml:space="preserve"> publikowany przez GUS, w układzie miesiąc poprzedni = 100)</w:t>
      </w:r>
    </w:p>
    <w:p w14:paraId="28FA471D" w14:textId="1DC9F8B8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n</w:t>
      </w:r>
      <w:r w:rsidRPr="00894A44">
        <w:rPr>
          <w:rFonts w:ascii="Arial" w:hAnsi="Arial" w:cs="Arial"/>
          <w:spacing w:val="4"/>
          <w:lang w:eastAsia="pl-PL"/>
        </w:rPr>
        <w:t xml:space="preserve">" – </w:t>
      </w:r>
      <w:r w:rsidRPr="00894A44">
        <w:rPr>
          <w:rFonts w:ascii="Arial" w:hAnsi="Arial" w:cs="Arial"/>
        </w:rPr>
        <w:t xml:space="preserve">wskaźnik „n” </w:t>
      </w:r>
      <w:r w:rsidR="009F7501" w:rsidRPr="00894A44">
        <w:rPr>
          <w:rFonts w:ascii="Arial" w:hAnsi="Arial" w:cs="Arial"/>
        </w:rPr>
        <w:t>z miesiąca</w:t>
      </w:r>
      <w:r w:rsidRPr="00894A44">
        <w:rPr>
          <w:rFonts w:ascii="Arial" w:hAnsi="Arial" w:cs="Arial"/>
        </w:rPr>
        <w:t xml:space="preserve"> za który nastąpi wystawienie faktury (wskaźnik </w:t>
      </w:r>
      <w:r w:rsidRPr="00894A44">
        <w:rPr>
          <w:rFonts w:ascii="Arial" w:eastAsia="Times New Roman" w:hAnsi="Arial" w:cs="Arial"/>
        </w:rPr>
        <w:t>cen produkcji budowlano-montażowej</w:t>
      </w:r>
      <w:r w:rsidRPr="00894A44">
        <w:rPr>
          <w:rFonts w:ascii="Arial" w:hAnsi="Arial" w:cs="Arial"/>
        </w:rPr>
        <w:t xml:space="preserve"> publikowany przez GUS, w układzie miesiąc poprzedni = 100)</w:t>
      </w:r>
    </w:p>
    <w:p w14:paraId="2486E39A" w14:textId="7B82392E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</w:rPr>
        <w:t xml:space="preserve">W praktyce wskaźnik </w:t>
      </w:r>
      <w:r w:rsidR="000171AB" w:rsidRPr="00894A44">
        <w:rPr>
          <w:rFonts w:ascii="Arial" w:hAnsi="Arial" w:cs="Arial"/>
          <w:spacing w:val="4"/>
          <w:lang w:eastAsia="pl-PL"/>
        </w:rPr>
        <w:t>„W</w:t>
      </w:r>
      <w:r w:rsidR="000171AB" w:rsidRPr="00894A44">
        <w:rPr>
          <w:rFonts w:ascii="Arial" w:hAnsi="Arial" w:cs="Arial"/>
          <w:spacing w:val="4"/>
          <w:vertAlign w:val="subscript"/>
          <w:lang w:eastAsia="pl-PL"/>
        </w:rPr>
        <w:t>w (n)</w:t>
      </w:r>
      <w:r w:rsidR="000171AB" w:rsidRPr="00894A44">
        <w:rPr>
          <w:rFonts w:ascii="Arial" w:hAnsi="Arial" w:cs="Arial"/>
          <w:spacing w:val="4"/>
          <w:lang w:eastAsia="pl-PL"/>
        </w:rPr>
        <w:t>"</w:t>
      </w:r>
      <w:r w:rsidR="00600BA6">
        <w:rPr>
          <w:rFonts w:ascii="Arial" w:hAnsi="Arial" w:cs="Arial"/>
          <w:spacing w:val="4"/>
          <w:lang w:eastAsia="pl-PL"/>
        </w:rPr>
        <w:t xml:space="preserve"> </w:t>
      </w:r>
      <w:r w:rsidRPr="00894A44">
        <w:rPr>
          <w:rFonts w:ascii="Arial" w:hAnsi="Arial" w:cs="Arial"/>
        </w:rPr>
        <w:t xml:space="preserve">powstaje poprzez przemnożenie poprzednio obliczonego wskaźnika dla miesiąca n-1 </w:t>
      </w:r>
      <w:r w:rsidR="009F7501" w:rsidRPr="00894A44">
        <w:rPr>
          <w:rFonts w:ascii="Arial" w:hAnsi="Arial" w:cs="Arial"/>
        </w:rPr>
        <w:t>przez wskaźnik</w:t>
      </w:r>
      <w:r w:rsidRPr="00894A44">
        <w:rPr>
          <w:rFonts w:ascii="Arial" w:hAnsi="Arial" w:cs="Arial"/>
        </w:rPr>
        <w:t xml:space="preserve"> dla miesiąca bieżącego n</w:t>
      </w:r>
    </w:p>
    <w:p w14:paraId="65D64A08" w14:textId="77777777" w:rsidR="00894A44" w:rsidRPr="00894A44" w:rsidRDefault="00000000" w:rsidP="00894A44">
      <w:pPr>
        <w:pStyle w:val="numerowanie"/>
        <w:spacing w:after="260" w:line="360" w:lineRule="auto"/>
        <w:jc w:val="center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W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w(n)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=a+(1-a) × (</m:t>
        </m:r>
        <m:sSub>
          <m:sSub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W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w (n-1)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</m:oMath>
      <w:r w:rsidR="00894A44" w:rsidRPr="00894A44">
        <w:rPr>
          <w:rFonts w:eastAsiaTheme="minorEastAsia"/>
          <w:color w:val="000000" w:themeColor="text1"/>
          <w:sz w:val="22"/>
          <w:szCs w:val="22"/>
        </w:rPr>
        <w:t>)</w:t>
      </w:r>
    </w:p>
    <w:p w14:paraId="68E312DC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t>gdzie:</w:t>
      </w:r>
    </w:p>
    <w:p w14:paraId="6A5768B9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w (n)</w:t>
      </w:r>
      <w:r w:rsidRPr="00894A44">
        <w:rPr>
          <w:rFonts w:ascii="Arial" w:hAnsi="Arial" w:cs="Arial"/>
          <w:spacing w:val="4"/>
          <w:lang w:eastAsia="pl-PL"/>
        </w:rPr>
        <w:t>" – wskaźnik waloryzacji dla n-tego miesiąca;</w:t>
      </w:r>
    </w:p>
    <w:p w14:paraId="36596324" w14:textId="77777777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w (n-1)</w:t>
      </w:r>
      <w:r w:rsidRPr="00894A44">
        <w:rPr>
          <w:rFonts w:ascii="Arial" w:hAnsi="Arial" w:cs="Arial"/>
          <w:spacing w:val="4"/>
          <w:lang w:eastAsia="pl-PL"/>
        </w:rPr>
        <w:t xml:space="preserve">" – wskaźnik waloryzacji </w:t>
      </w:r>
      <w:r w:rsidRPr="00894A44">
        <w:rPr>
          <w:rFonts w:ascii="Arial" w:hAnsi="Arial" w:cs="Arial"/>
        </w:rPr>
        <w:t>z miesiąca poprzedzającego miesiąc za który nastąpiło wystawienie faktury</w:t>
      </w:r>
    </w:p>
    <w:p w14:paraId="1E3D1F11" w14:textId="4DD89E42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</w:rPr>
      </w:pPr>
      <w:r w:rsidRPr="00894A44">
        <w:rPr>
          <w:rFonts w:ascii="Arial" w:hAnsi="Arial" w:cs="Arial"/>
          <w:spacing w:val="4"/>
          <w:lang w:eastAsia="pl-PL"/>
        </w:rPr>
        <w:t>„W</w:t>
      </w:r>
      <w:r w:rsidRPr="00894A44">
        <w:rPr>
          <w:rFonts w:ascii="Arial" w:hAnsi="Arial" w:cs="Arial"/>
          <w:spacing w:val="4"/>
          <w:vertAlign w:val="subscript"/>
          <w:lang w:eastAsia="pl-PL"/>
        </w:rPr>
        <w:t>n</w:t>
      </w:r>
      <w:r w:rsidRPr="00894A44">
        <w:rPr>
          <w:rFonts w:ascii="Arial" w:hAnsi="Arial" w:cs="Arial"/>
          <w:spacing w:val="4"/>
          <w:lang w:eastAsia="pl-PL"/>
        </w:rPr>
        <w:t xml:space="preserve">" – </w:t>
      </w:r>
      <w:r w:rsidRPr="00894A44">
        <w:rPr>
          <w:rFonts w:ascii="Arial" w:hAnsi="Arial" w:cs="Arial"/>
        </w:rPr>
        <w:t xml:space="preserve">wskaźnik „n” z miesiąca za który nastąpiło wystawienie faktury (wskaźnik </w:t>
      </w:r>
      <w:r w:rsidRPr="00894A44">
        <w:rPr>
          <w:rFonts w:ascii="Arial" w:eastAsia="Times New Roman" w:hAnsi="Arial" w:cs="Arial"/>
        </w:rPr>
        <w:t>cen produkcji budowlano-montażowej</w:t>
      </w:r>
      <w:r w:rsidRPr="00894A44">
        <w:rPr>
          <w:rFonts w:ascii="Arial" w:hAnsi="Arial" w:cs="Arial"/>
        </w:rPr>
        <w:t xml:space="preserve"> publikowany przez GUS, w układzie miesiąc poprzedni = 100)</w:t>
      </w:r>
    </w:p>
    <w:p w14:paraId="29DD917D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spacing w:val="4"/>
          <w:lang w:eastAsia="pl-PL"/>
        </w:rPr>
      </w:pPr>
    </w:p>
    <w:p w14:paraId="342338BC" w14:textId="1515A2D3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bookmarkStart w:id="4" w:name="_Hlk115194943"/>
      <w:r w:rsidRPr="00894A44">
        <w:rPr>
          <w:sz w:val="22"/>
          <w:szCs w:val="22"/>
        </w:rPr>
        <w:t xml:space="preserve">Ilorazy wskaźników cen (np.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</m:oMath>
      <w:r w:rsidRPr="00894A44">
        <w:rPr>
          <w:rFonts w:eastAsiaTheme="minorEastAsia"/>
          <w:color w:val="000000" w:themeColor="text1"/>
          <w:sz w:val="22"/>
          <w:szCs w:val="22"/>
        </w:rPr>
        <w:t xml:space="preserve">) </w:t>
      </w:r>
      <w:r w:rsidRPr="00894A44">
        <w:rPr>
          <w:sz w:val="22"/>
          <w:szCs w:val="22"/>
        </w:rPr>
        <w:t>należy obliczać z dokładnością do trzech miejsc po przecinku. Natomiast wynik iloczynów tj. wskaźnik waloryzacji W</w:t>
      </w:r>
      <w:r w:rsidRPr="00894A44">
        <w:rPr>
          <w:sz w:val="22"/>
          <w:szCs w:val="22"/>
          <w:vertAlign w:val="subscript"/>
        </w:rPr>
        <w:t>w (</w:t>
      </w:r>
      <w:r w:rsidR="009F7501" w:rsidRPr="00894A44">
        <w:rPr>
          <w:sz w:val="22"/>
          <w:szCs w:val="22"/>
          <w:vertAlign w:val="subscript"/>
        </w:rPr>
        <w:t>n)</w:t>
      </w:r>
      <w:r w:rsidR="009F7501" w:rsidRPr="00894A44">
        <w:rPr>
          <w:sz w:val="22"/>
          <w:szCs w:val="22"/>
        </w:rPr>
        <w:t xml:space="preserve"> należy</w:t>
      </w:r>
      <w:r w:rsidRPr="00894A44">
        <w:rPr>
          <w:sz w:val="22"/>
          <w:szCs w:val="22"/>
        </w:rPr>
        <w:t xml:space="preserve"> obliczać z dokładnością do 4 miejsc po przecinku. </w:t>
      </w:r>
    </w:p>
    <w:p w14:paraId="46445359" w14:textId="5CB3FC09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 xml:space="preserve">Kwoty netto płatne Wykonawcy będą waloryzowane miesięcznie począwszy od </w:t>
      </w:r>
      <w:r w:rsidR="002D6B4F">
        <w:rPr>
          <w:sz w:val="22"/>
          <w:szCs w:val="22"/>
        </w:rPr>
        <w:t>………</w:t>
      </w:r>
      <w:r w:rsidR="005A3AEE">
        <w:rPr>
          <w:rStyle w:val="Odwoanieprzypisudolnego"/>
          <w:sz w:val="22"/>
          <w:szCs w:val="22"/>
        </w:rPr>
        <w:footnoteReference w:id="4"/>
      </w:r>
      <w:r w:rsidR="002D6B4F" w:rsidRPr="00894A44">
        <w:rPr>
          <w:sz w:val="22"/>
          <w:szCs w:val="22"/>
        </w:rPr>
        <w:t xml:space="preserve"> </w:t>
      </w:r>
      <w:r w:rsidRPr="00894A44">
        <w:rPr>
          <w:sz w:val="22"/>
          <w:szCs w:val="22"/>
        </w:rPr>
        <w:t>miesiąca po podpisaniu Umowy do osiągnięcia limitu waloryzacji +/- [●</w:t>
      </w:r>
      <w:r w:rsidRPr="00894A44">
        <w:rPr>
          <w:rStyle w:val="Odwoanieprzypisudolnego"/>
          <w:sz w:val="22"/>
          <w:szCs w:val="22"/>
        </w:rPr>
        <w:footnoteReference w:id="5"/>
      </w:r>
      <w:r w:rsidRPr="00894A44">
        <w:rPr>
          <w:sz w:val="22"/>
          <w:szCs w:val="22"/>
        </w:rPr>
        <w:t xml:space="preserve">]% wynagrodzenia umownego netto. Z powodu braku aktualnego wskaźnika (publikacja wskaźników w biuletynach GUS odbywa się z opóźnieniem) waloryzacja z bieżącego okresu rozliczeniowego zostanie wyliczona ostatecznie, gdy GUS opublikuje wskaźnik dla danego miesiąca objętego rozliczeniem </w:t>
      </w:r>
      <w:r w:rsidRPr="00894A44">
        <w:rPr>
          <w:sz w:val="22"/>
          <w:szCs w:val="22"/>
        </w:rPr>
        <w:lastRenderedPageBreak/>
        <w:t xml:space="preserve">wynagrodzenia Wykonawcy. Występując o rozliczenie wynagrodzenia za dany miesiąc realizacji świadczeń, Wykonawca obliczy wstępne wartości zwaloryzowanych kwot dla świadczeń zrealizowanych w każdym miesiącu, używając ostatnich z wyliczonych wskaźników waloryzacji. Ustalone w ten sposób wartości będą skorygowane z zastosowaniem wskaźnika waloryzacji właściwego dla </w:t>
      </w:r>
      <w:r w:rsidR="009F7501" w:rsidRPr="00894A44">
        <w:rPr>
          <w:sz w:val="22"/>
          <w:szCs w:val="22"/>
        </w:rPr>
        <w:t>miesiąca,</w:t>
      </w:r>
      <w:r w:rsidRPr="00894A44">
        <w:rPr>
          <w:sz w:val="22"/>
          <w:szCs w:val="22"/>
        </w:rPr>
        <w:t xml:space="preserve"> którego dotyczyło dane rozliczenie wynagrodzenia Wykonawcy, niezwłocznie po ich publikacji. </w:t>
      </w:r>
    </w:p>
    <w:p w14:paraId="463E4902" w14:textId="77777777" w:rsidR="00894A44" w:rsidRPr="00894A44" w:rsidRDefault="00894A44" w:rsidP="00894A44">
      <w:pPr>
        <w:pStyle w:val="numerowanie"/>
        <w:spacing w:after="26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>W sytuacji gdy rozliczenie wynagrodzenia Wykonawcy będzie dotyczyło okresu rozliczeniowego w skład którego będą wchodziły dwa lub więcej miesięcy, jako właściwy wskaźnik waloryzacji należy przyjmować średnią arytmetyczną ze wskaźników waloryzacji wyliczonych dla kolejnych miesięcy objętych okresem rozliczeniowym.</w:t>
      </w:r>
    </w:p>
    <w:p w14:paraId="7C86609B" w14:textId="330C6205" w:rsidR="00894A44" w:rsidRDefault="00894A44" w:rsidP="00BC4F70">
      <w:pPr>
        <w:pStyle w:val="numerowanie"/>
        <w:spacing w:after="24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 xml:space="preserve">Jeżeli wynagrodzenie Wykonawcy zostanie zwaloryzowane zgodnie z art. 439 ust. 1-3 ustawy </w:t>
      </w:r>
      <w:proofErr w:type="spellStart"/>
      <w:r w:rsidRPr="00894A44">
        <w:rPr>
          <w:sz w:val="22"/>
          <w:szCs w:val="22"/>
        </w:rPr>
        <w:t>P</w:t>
      </w:r>
      <w:r w:rsidR="00BA3CDE">
        <w:rPr>
          <w:sz w:val="22"/>
          <w:szCs w:val="22"/>
        </w:rPr>
        <w:t>zp</w:t>
      </w:r>
      <w:proofErr w:type="spellEnd"/>
      <w:r w:rsidRPr="00894A44">
        <w:rPr>
          <w:sz w:val="22"/>
          <w:szCs w:val="22"/>
        </w:rPr>
        <w:t xml:space="preserve">, Wykonawca zobowiązany jest do zmiany wynagrodzenia przysługującego Podwykonawcy i odpowiednio Podwykonawca dalszemu Podwykonawcy, z którym zawarł umowę, jeżeli łącznie spełnione są następujące warunki: przedmiotem umowy są roboty budowlane, dostawy lub usługi oraz okres obowiązywania umowy </w:t>
      </w:r>
      <w:r w:rsidRPr="00BA3CDE">
        <w:rPr>
          <w:sz w:val="22"/>
          <w:szCs w:val="22"/>
        </w:rPr>
        <w:t>wraz z aneksami</w:t>
      </w:r>
      <w:r w:rsidRPr="00894A44">
        <w:rPr>
          <w:sz w:val="22"/>
          <w:szCs w:val="22"/>
        </w:rPr>
        <w:t xml:space="preserve"> przekracza 6 miesięcy. Waloryzacja będzie się odbywać na analogicznych zasadach jak waloryzacja wynagrodzenia Wykonawcy</w:t>
      </w:r>
      <w:r w:rsidR="00037153">
        <w:rPr>
          <w:sz w:val="22"/>
          <w:szCs w:val="22"/>
        </w:rPr>
        <w:t xml:space="preserve"> </w:t>
      </w:r>
      <w:r w:rsidRPr="00894A44">
        <w:rPr>
          <w:sz w:val="22"/>
          <w:szCs w:val="22"/>
        </w:rPr>
        <w:t xml:space="preserve">z zastrzeżeniem, że wskaźniki waloryzacji wynagrodzenia będą kalkulowane w odniesieniu do dnia zawarcia umowy pomiędzy Wykonawcą a Podwykonawcą, lub Podwykonawcą, a dalszym Podwykonawcą. </w:t>
      </w:r>
    </w:p>
    <w:p w14:paraId="63E63C07" w14:textId="1299CE7C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31931AC7" w14:textId="737712D1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3A19C38D" w14:textId="096FDA28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2310F385" w14:textId="5C5AF7A0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28DAABD0" w14:textId="67FE199C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1A2967B7" w14:textId="417C9C7D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648C4C69" w14:textId="3FDB0427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503B2FD2" w14:textId="77777777" w:rsidR="0049196F" w:rsidRDefault="0049196F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71DBA9D4" w14:textId="130F3037" w:rsidR="00BC4F70" w:rsidRDefault="00BC4F70" w:rsidP="00BC4F70">
      <w:pPr>
        <w:pStyle w:val="numerowanie"/>
        <w:spacing w:after="240" w:line="360" w:lineRule="auto"/>
        <w:rPr>
          <w:sz w:val="22"/>
          <w:szCs w:val="22"/>
        </w:rPr>
      </w:pPr>
    </w:p>
    <w:p w14:paraId="48B96DBF" w14:textId="77777777" w:rsidR="00BC4F70" w:rsidRPr="004A3FA0" w:rsidRDefault="00BC4F70" w:rsidP="00BC4F70">
      <w:pPr>
        <w:pStyle w:val="numerowanie"/>
        <w:spacing w:after="240" w:line="360" w:lineRule="auto"/>
        <w:rPr>
          <w:color w:val="000000" w:themeColor="text1"/>
        </w:rPr>
      </w:pPr>
    </w:p>
    <w:p w14:paraId="18B91841" w14:textId="403A936A" w:rsidR="00894A44" w:rsidRPr="00BC4F70" w:rsidRDefault="001F0921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lastRenderedPageBreak/>
        <w:t>Postanowienia</w:t>
      </w:r>
      <w:r w:rsidR="00894A44" w:rsidRPr="00BC4F70">
        <w:rPr>
          <w:rFonts w:ascii="Arial" w:hAnsi="Arial" w:cs="Arial"/>
          <w:b/>
          <w:bCs/>
          <w:color w:val="000000" w:themeColor="text1"/>
        </w:rPr>
        <w:t xml:space="preserve"> umowne dotyczące waloryzacji wynagrodzenia Wykonawcy </w:t>
      </w:r>
    </w:p>
    <w:p w14:paraId="0FE42E1D" w14:textId="3BE0078C" w:rsidR="00894A44" w:rsidRPr="00BC4F70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t>(„Koszyk waloryzacyjny</w:t>
      </w:r>
      <w:r w:rsidR="009F7501" w:rsidRPr="00BC4F70">
        <w:rPr>
          <w:rFonts w:ascii="Arial" w:hAnsi="Arial" w:cs="Arial"/>
          <w:b/>
          <w:bCs/>
          <w:color w:val="000000" w:themeColor="text1"/>
        </w:rPr>
        <w:t>”)</w:t>
      </w:r>
    </w:p>
    <w:p w14:paraId="09D703CA" w14:textId="77777777" w:rsidR="00894A44" w:rsidRDefault="00894A44" w:rsidP="00894A44">
      <w:pPr>
        <w:jc w:val="both"/>
        <w:rPr>
          <w:rFonts w:ascii="Arial" w:hAnsi="Arial" w:cs="Arial"/>
          <w:i/>
          <w:iCs/>
          <w:color w:val="000000" w:themeColor="text1"/>
        </w:rPr>
      </w:pPr>
    </w:p>
    <w:p w14:paraId="6FF3E008" w14:textId="5B08B721" w:rsidR="00894A44" w:rsidRPr="00894A44" w:rsidRDefault="00894A44" w:rsidP="00894A4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894A44">
        <w:rPr>
          <w:rFonts w:ascii="Arial" w:hAnsi="Arial" w:cs="Arial"/>
          <w:i/>
          <w:iCs/>
          <w:color w:val="000000" w:themeColor="text1"/>
        </w:rPr>
        <w:t>Wskazana poniżej klauzula waloryzacyjna ma na celu ułatwienie opracowania umowy w zakresie waloryzacji wynagrodzenia</w:t>
      </w:r>
      <w:r w:rsidR="002B27F2">
        <w:rPr>
          <w:rFonts w:ascii="Arial" w:hAnsi="Arial" w:cs="Arial"/>
          <w:i/>
          <w:iCs/>
          <w:color w:val="000000" w:themeColor="text1"/>
        </w:rPr>
        <w:t xml:space="preserve"> i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 </w:t>
      </w:r>
      <w:r w:rsidR="002B27F2">
        <w:rPr>
          <w:rFonts w:ascii="Arial" w:hAnsi="Arial" w:cs="Arial"/>
          <w:i/>
          <w:iCs/>
          <w:color w:val="000000" w:themeColor="text1"/>
        </w:rPr>
        <w:t>m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a  charakter przykładowy. W każdym przypadku klauzula waloryzacyjna powinna zostać dostosowana do warunków zamówienia i innych postanowień umownych.  </w:t>
      </w:r>
      <w:r w:rsidR="00EB411A">
        <w:rPr>
          <w:rFonts w:ascii="Arial" w:hAnsi="Arial" w:cs="Arial"/>
          <w:i/>
          <w:iCs/>
          <w:color w:val="000000" w:themeColor="text1"/>
        </w:rPr>
        <w:t>P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osługiwanie się przez strony umowy </w:t>
      </w:r>
      <w:r w:rsidR="00571E9D">
        <w:rPr>
          <w:rFonts w:ascii="Arial" w:hAnsi="Arial" w:cs="Arial"/>
          <w:i/>
          <w:iCs/>
          <w:color w:val="000000" w:themeColor="text1"/>
        </w:rPr>
        <w:t>w sprawie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 zamówieni</w:t>
      </w:r>
      <w:r w:rsidR="00571E9D">
        <w:rPr>
          <w:rFonts w:ascii="Arial" w:hAnsi="Arial" w:cs="Arial"/>
          <w:i/>
          <w:iCs/>
          <w:color w:val="000000" w:themeColor="text1"/>
        </w:rPr>
        <w:t>a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 publiczne</w:t>
      </w:r>
      <w:r w:rsidR="00571E9D">
        <w:rPr>
          <w:rFonts w:ascii="Arial" w:hAnsi="Arial" w:cs="Arial"/>
          <w:i/>
          <w:iCs/>
          <w:color w:val="000000" w:themeColor="text1"/>
        </w:rPr>
        <w:t>go</w:t>
      </w:r>
      <w:r w:rsidRPr="00894A44">
        <w:rPr>
          <w:rFonts w:ascii="Arial" w:hAnsi="Arial" w:cs="Arial"/>
          <w:i/>
          <w:iCs/>
          <w:color w:val="000000" w:themeColor="text1"/>
        </w:rPr>
        <w:t xml:space="preserve"> klauzulami waloryzacyjnymi o innej treści jest w pełni dopuszczalne. </w:t>
      </w:r>
      <w:r w:rsidRPr="00BC4F70">
        <w:rPr>
          <w:rFonts w:ascii="Arial" w:hAnsi="Arial" w:cs="Arial"/>
          <w:i/>
          <w:iCs/>
          <w:color w:val="000000" w:themeColor="text1"/>
        </w:rPr>
        <w:t xml:space="preserve">Załącznikiem </w:t>
      </w:r>
      <w:r w:rsidR="007C35D4" w:rsidRPr="00BC4F70">
        <w:rPr>
          <w:rFonts w:ascii="Arial" w:hAnsi="Arial" w:cs="Arial"/>
          <w:i/>
          <w:iCs/>
          <w:color w:val="000000" w:themeColor="text1"/>
        </w:rPr>
        <w:t xml:space="preserve">do niniejszej klauzuli jest koszyk waloryzacyjny </w:t>
      </w:r>
      <w:r w:rsidR="000339A2" w:rsidRPr="00BC4F70">
        <w:rPr>
          <w:rFonts w:ascii="Arial" w:hAnsi="Arial" w:cs="Arial"/>
          <w:i/>
          <w:iCs/>
          <w:color w:val="000000" w:themeColor="text1"/>
        </w:rPr>
        <w:t xml:space="preserve">ułatwiający uwzględnienie w </w:t>
      </w:r>
      <w:r w:rsidR="0041792F">
        <w:rPr>
          <w:rFonts w:ascii="Arial" w:hAnsi="Arial" w:cs="Arial"/>
          <w:i/>
          <w:iCs/>
          <w:color w:val="000000" w:themeColor="text1"/>
        </w:rPr>
        <w:t xml:space="preserve">danym </w:t>
      </w:r>
      <w:r w:rsidR="000339A2" w:rsidRPr="00BC4F70">
        <w:rPr>
          <w:rFonts w:ascii="Arial" w:hAnsi="Arial" w:cs="Arial"/>
          <w:i/>
          <w:iCs/>
          <w:color w:val="000000" w:themeColor="text1"/>
        </w:rPr>
        <w:t xml:space="preserve"> stanie faktycznym </w:t>
      </w:r>
      <w:r w:rsidR="007C35D4" w:rsidRPr="00BC4F70">
        <w:rPr>
          <w:rFonts w:ascii="Arial" w:hAnsi="Arial" w:cs="Arial"/>
          <w:i/>
          <w:iCs/>
          <w:color w:val="000000" w:themeColor="text1"/>
        </w:rPr>
        <w:t>konkretn</w:t>
      </w:r>
      <w:r w:rsidR="000339A2" w:rsidRPr="00BC4F70">
        <w:rPr>
          <w:rFonts w:ascii="Arial" w:hAnsi="Arial" w:cs="Arial"/>
          <w:i/>
          <w:iCs/>
          <w:color w:val="000000" w:themeColor="text1"/>
        </w:rPr>
        <w:t>ego</w:t>
      </w:r>
      <w:r w:rsidR="007C35D4" w:rsidRPr="00BC4F70">
        <w:rPr>
          <w:rFonts w:ascii="Arial" w:hAnsi="Arial" w:cs="Arial"/>
          <w:i/>
          <w:iCs/>
          <w:color w:val="000000" w:themeColor="text1"/>
        </w:rPr>
        <w:t xml:space="preserve"> zakres</w:t>
      </w:r>
      <w:r w:rsidR="000339A2" w:rsidRPr="00BC4F70">
        <w:rPr>
          <w:rFonts w:ascii="Arial" w:hAnsi="Arial" w:cs="Arial"/>
          <w:i/>
          <w:iCs/>
          <w:color w:val="000000" w:themeColor="text1"/>
        </w:rPr>
        <w:t>u</w:t>
      </w:r>
      <w:r w:rsidR="007C35D4" w:rsidRPr="00BC4F70">
        <w:rPr>
          <w:rFonts w:ascii="Arial" w:hAnsi="Arial" w:cs="Arial"/>
          <w:i/>
          <w:iCs/>
          <w:color w:val="000000" w:themeColor="text1"/>
        </w:rPr>
        <w:t xml:space="preserve"> robót </w:t>
      </w:r>
      <w:r w:rsidR="000339A2" w:rsidRPr="00BC4F70">
        <w:rPr>
          <w:rFonts w:ascii="Arial" w:hAnsi="Arial" w:cs="Arial"/>
          <w:i/>
          <w:iCs/>
          <w:color w:val="000000" w:themeColor="text1"/>
        </w:rPr>
        <w:t xml:space="preserve">objętego </w:t>
      </w:r>
      <w:r w:rsidR="007C35D4" w:rsidRPr="00BC4F70">
        <w:rPr>
          <w:rFonts w:ascii="Arial" w:hAnsi="Arial" w:cs="Arial"/>
          <w:i/>
          <w:iCs/>
          <w:color w:val="000000" w:themeColor="text1"/>
        </w:rPr>
        <w:t>umow</w:t>
      </w:r>
      <w:r w:rsidR="000339A2" w:rsidRPr="00BC4F70">
        <w:rPr>
          <w:rFonts w:ascii="Arial" w:hAnsi="Arial" w:cs="Arial"/>
          <w:i/>
          <w:iCs/>
          <w:color w:val="000000" w:themeColor="text1"/>
        </w:rPr>
        <w:t>ą o zamówienie publiczne</w:t>
      </w:r>
      <w:r w:rsidR="007C35D4" w:rsidRPr="00BC4F70">
        <w:rPr>
          <w:rFonts w:ascii="Arial" w:hAnsi="Arial" w:cs="Arial"/>
          <w:i/>
          <w:iCs/>
          <w:color w:val="000000" w:themeColor="text1"/>
        </w:rPr>
        <w:t>.</w:t>
      </w:r>
    </w:p>
    <w:p w14:paraId="79E6755C" w14:textId="2CC04F6C" w:rsidR="00894A44" w:rsidRPr="00894A44" w:rsidRDefault="000C2D20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Postanowienia</w:t>
      </w:r>
      <w:r w:rsidR="00894A44" w:rsidRPr="00894A44">
        <w:rPr>
          <w:rFonts w:ascii="Arial" w:hAnsi="Arial" w:cs="Arial"/>
          <w:b/>
          <w:bCs/>
          <w:color w:val="000000" w:themeColor="text1"/>
        </w:rPr>
        <w:t xml:space="preserve"> umowne dotyczące waloryzacji wynagrodzenia Wykonawcy</w:t>
      </w:r>
    </w:p>
    <w:p w14:paraId="19313E57" w14:textId="68B3A6B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Kwoty wynagrodzenia płatne Wykonawcy na podstawie paragrafu [●</w:t>
      </w:r>
      <w:bookmarkStart w:id="5" w:name="_Ref111041955"/>
      <w:r w:rsidRPr="00894A44">
        <w:rPr>
          <w:rStyle w:val="Odwoanieprzypisudolnego"/>
          <w:rFonts w:ascii="Arial" w:hAnsi="Arial" w:cs="Arial"/>
          <w:color w:val="000000" w:themeColor="text1"/>
        </w:rPr>
        <w:footnoteReference w:id="6"/>
      </w:r>
      <w:bookmarkEnd w:id="5"/>
      <w:r w:rsidRPr="00894A44">
        <w:rPr>
          <w:rFonts w:ascii="Arial" w:hAnsi="Arial" w:cs="Arial"/>
          <w:color w:val="000000" w:themeColor="text1"/>
        </w:rPr>
        <w:t xml:space="preserve">] Umowy będą korygowane dla oddania wzrostów lub spadków cen zgodnie z poniższymi </w:t>
      </w:r>
      <w:r w:rsidR="00740A50">
        <w:rPr>
          <w:rFonts w:ascii="Arial" w:hAnsi="Arial" w:cs="Arial"/>
          <w:color w:val="000000" w:themeColor="text1"/>
        </w:rPr>
        <w:t>postanowieniami.</w:t>
      </w:r>
    </w:p>
    <w:p w14:paraId="29E74E4D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 xml:space="preserve">Waloryzacja będzie się odbywać w oparciu o wskaźniki cen produkcji sprzedanej wyrobów przemysłowych, wynagrodzenia oraz cen towarów i usług konsumpcyjnych publikowane przez Główny Urząd Statystyczny, (zwany dalej GUS) w Dziedzinowej Bazie Wiedzy dostępnej pod linkiem </w:t>
      </w:r>
      <w:hyperlink r:id="rId11" w:history="1">
        <w:r w:rsidRPr="00894A44">
          <w:rPr>
            <w:rStyle w:val="Hipercze"/>
            <w:rFonts w:ascii="Arial" w:hAnsi="Arial" w:cs="Arial"/>
          </w:rPr>
          <w:t>www.swaid.stat.gov.pl</w:t>
        </w:r>
      </w:hyperlink>
      <w:r w:rsidRPr="00894A44">
        <w:rPr>
          <w:rFonts w:ascii="Arial" w:hAnsi="Arial" w:cs="Arial"/>
          <w:color w:val="000000" w:themeColor="text1"/>
        </w:rPr>
        <w:t xml:space="preserve"> lub w Biuletynach Statystycznych a także dane (wagi) wskazane w poniższej tabeli Koszyk Waloryzacyjny: </w:t>
      </w:r>
    </w:p>
    <w:p w14:paraId="29B3B95D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894A44">
        <w:rPr>
          <w:rFonts w:ascii="Arial" w:hAnsi="Arial" w:cs="Arial"/>
          <w:i/>
          <w:iCs/>
          <w:color w:val="000000" w:themeColor="text1"/>
        </w:rPr>
        <w:t>……………………………………………………………………..</w:t>
      </w:r>
      <w:r w:rsidRPr="00894A44">
        <w:rPr>
          <w:rStyle w:val="Odwoanieprzypisudolnego"/>
          <w:rFonts w:ascii="Arial" w:hAnsi="Arial" w:cs="Arial"/>
          <w:i/>
          <w:iCs/>
          <w:color w:val="000000" w:themeColor="text1"/>
        </w:rPr>
        <w:footnoteReference w:id="7"/>
      </w:r>
    </w:p>
    <w:p w14:paraId="6EDAF302" w14:textId="5362BA95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W przypadku, gdyby którykolwiek ze wskaźników przestał być dostępny, wówczas strony uzgodnią inne, najbardziej zbliżone, wskaźniki publikowane przez GUS.</w:t>
      </w:r>
    </w:p>
    <w:p w14:paraId="60A985D7" w14:textId="1CEEA838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  <w:color w:val="000000" w:themeColor="text1"/>
        </w:rPr>
        <w:t xml:space="preserve">Kwoty netto płatne Wykonawcy na podstawie Umowy będą waloryzowane miesięcznie, w odniesieniu do Daty </w:t>
      </w:r>
      <w:r w:rsidR="009F7501" w:rsidRPr="00894A44">
        <w:rPr>
          <w:rFonts w:ascii="Arial" w:hAnsi="Arial" w:cs="Arial"/>
          <w:color w:val="000000" w:themeColor="text1"/>
        </w:rPr>
        <w:t>odniesienia, począwszy</w:t>
      </w:r>
      <w:r w:rsidRPr="00894A44">
        <w:rPr>
          <w:rFonts w:ascii="Arial" w:hAnsi="Arial" w:cs="Arial"/>
          <w:color w:val="000000" w:themeColor="text1"/>
        </w:rPr>
        <w:t xml:space="preserve"> od </w:t>
      </w:r>
      <w:r w:rsidR="00096868">
        <w:rPr>
          <w:rFonts w:ascii="Arial" w:hAnsi="Arial" w:cs="Arial"/>
          <w:color w:val="000000" w:themeColor="text1"/>
        </w:rPr>
        <w:t>……..</w:t>
      </w:r>
      <w:r w:rsidR="004C7DE8">
        <w:rPr>
          <w:rStyle w:val="Odwoanieprzypisudolnego"/>
          <w:rFonts w:ascii="Arial" w:hAnsi="Arial" w:cs="Arial"/>
          <w:color w:val="000000" w:themeColor="text1"/>
        </w:rPr>
        <w:footnoteReference w:id="8"/>
      </w:r>
      <w:r w:rsidR="004C7DE8">
        <w:rPr>
          <w:rFonts w:ascii="Arial" w:hAnsi="Arial" w:cs="Arial"/>
          <w:color w:val="000000" w:themeColor="text1"/>
        </w:rPr>
        <w:t xml:space="preserve"> </w:t>
      </w:r>
      <w:r w:rsidRPr="00894A44">
        <w:rPr>
          <w:rFonts w:ascii="Arial" w:hAnsi="Arial" w:cs="Arial"/>
          <w:color w:val="000000" w:themeColor="text1"/>
        </w:rPr>
        <w:t>miesiąca realizacji Umowy do osiągnięcia limitu waloryzacji stanowiącego +/- [●</w:t>
      </w:r>
      <w:r w:rsidRPr="00894A44">
        <w:rPr>
          <w:rStyle w:val="Odwoanieprzypisudolnego"/>
          <w:rFonts w:ascii="Arial" w:hAnsi="Arial" w:cs="Arial"/>
          <w:color w:val="000000" w:themeColor="text1"/>
        </w:rPr>
        <w:footnoteReference w:id="9"/>
      </w:r>
      <w:r w:rsidRPr="00894A44">
        <w:rPr>
          <w:rFonts w:ascii="Arial" w:hAnsi="Arial" w:cs="Arial"/>
          <w:color w:val="000000" w:themeColor="text1"/>
        </w:rPr>
        <w:t xml:space="preserve">]% wynagrodzenia Umownego netto. </w:t>
      </w:r>
    </w:p>
    <w:p w14:paraId="62807B85" w14:textId="0A35FC79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C0850">
        <w:rPr>
          <w:rFonts w:ascii="Arial" w:hAnsi="Arial" w:cs="Arial"/>
          <w:color w:val="000000" w:themeColor="text1"/>
        </w:rPr>
        <w:t>Data odniesienia oznacza datę</w:t>
      </w:r>
      <w:r w:rsidR="007C0850">
        <w:rPr>
          <w:rFonts w:ascii="Arial" w:hAnsi="Arial" w:cs="Arial"/>
          <w:color w:val="000000" w:themeColor="text1"/>
        </w:rPr>
        <w:t>…..</w:t>
      </w:r>
      <w:r w:rsidR="007C0850">
        <w:rPr>
          <w:rStyle w:val="Odwoanieprzypisudolnego"/>
          <w:rFonts w:ascii="Arial" w:hAnsi="Arial" w:cs="Arial"/>
          <w:color w:val="000000" w:themeColor="text1"/>
        </w:rPr>
        <w:footnoteReference w:id="10"/>
      </w:r>
    </w:p>
    <w:p w14:paraId="760F852A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Kwoty netto płatne Wykonawcy podlegać będą waloryzacji poprzez przemnożenie kwoty należnej Wykonawcy w każdym miesiącu przez Wskaźnik waloryzacji (W</w:t>
      </w:r>
      <w:r w:rsidRPr="00894A44">
        <w:rPr>
          <w:rFonts w:ascii="Arial" w:hAnsi="Arial" w:cs="Arial"/>
          <w:color w:val="000000" w:themeColor="text1"/>
          <w:vertAlign w:val="subscript"/>
        </w:rPr>
        <w:t>k n</w:t>
      </w:r>
      <w:r w:rsidRPr="00894A44">
        <w:rPr>
          <w:rFonts w:ascii="Arial" w:hAnsi="Arial" w:cs="Arial"/>
          <w:color w:val="000000" w:themeColor="text1"/>
        </w:rPr>
        <w:t>) wyliczony według wzoru:</w:t>
      </w:r>
    </w:p>
    <w:p w14:paraId="4C749305" w14:textId="77777777" w:rsidR="00894A44" w:rsidRPr="00894A44" w:rsidRDefault="00000000" w:rsidP="00894A44">
      <w:pPr>
        <w:spacing w:line="360" w:lineRule="auto"/>
        <w:ind w:left="-993" w:right="-1039"/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W</m:t>
              </m:r>
              <m:ctrlPr>
                <w:rPr>
                  <w:rFonts w:ascii="Cambria Math" w:hAnsi="Cambria Math" w:cs="Arial"/>
                  <w:b/>
                  <w:sz w:val="20"/>
                  <w:szCs w:val="20"/>
                </w:rPr>
              </m:ctrlP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k 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=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a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d>
            <m:dPr>
              <m:ctrlPr>
                <w:rPr>
                  <w:rFonts w:ascii="Cambria Math" w:hAnsi="Cambria Math" w:cs="Arial"/>
                  <w:b/>
                  <w:bCs/>
                  <w:sz w:val="20"/>
                  <w:szCs w:val="20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1-a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*(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b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CPI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c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d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e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f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A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g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S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h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K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+</m:t>
          </m:r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i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T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+j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SZ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 w:val="20"/>
              <w:szCs w:val="20"/>
            </w:rPr>
            <m:t>+k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×</m:t>
          </m:r>
          <m:sSub>
            <m:sSubPr>
              <m:ctrlPr>
                <w:rPr>
                  <w:rFonts w:ascii="Cambria Math" w:hAnsi="Cambria Math" w:cs="Arial"/>
                  <w:sz w:val="20"/>
                  <w:szCs w:val="2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M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m:t>)</m:t>
          </m:r>
          <m:r>
            <m:rPr>
              <m:sty m:val="p"/>
            </m:rPr>
            <w:rPr>
              <w:rFonts w:ascii="Cambria Math" w:hAnsi="Cambria Math" w:cs="Arial"/>
              <w:sz w:val="20"/>
              <w:szCs w:val="20"/>
            </w:rPr>
            <w:br/>
          </m:r>
        </m:oMath>
      </m:oMathPara>
    </w:p>
    <w:p w14:paraId="2F38FCE9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</w:rPr>
        <w:t>gdzie:</w:t>
      </w:r>
    </w:p>
    <w:p w14:paraId="384B452C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  <w:b/>
          <w:bCs/>
        </w:rPr>
        <w:t>„W</w:t>
      </w:r>
      <w:r w:rsidRPr="00894A44">
        <w:rPr>
          <w:rFonts w:ascii="Arial" w:hAnsi="Arial" w:cs="Arial"/>
          <w:b/>
          <w:bCs/>
          <w:vertAlign w:val="subscript"/>
        </w:rPr>
        <w:t>k n</w:t>
      </w:r>
      <w:r w:rsidRPr="00894A44">
        <w:rPr>
          <w:rFonts w:ascii="Arial" w:hAnsi="Arial" w:cs="Arial"/>
          <w:b/>
          <w:bCs/>
        </w:rPr>
        <w:t>"</w:t>
      </w:r>
      <w:r w:rsidRPr="00894A44">
        <w:rPr>
          <w:rFonts w:ascii="Arial" w:hAnsi="Arial" w:cs="Arial"/>
        </w:rPr>
        <w:t xml:space="preserve"> – Wskaźnik waloryzacji dla n-tego miesiąca;</w:t>
      </w:r>
    </w:p>
    <w:p w14:paraId="3AA96A3F" w14:textId="5710B149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  <w:b/>
          <w:bCs/>
        </w:rPr>
        <w:t>„a"</w:t>
      </w:r>
      <w:r w:rsidRPr="00894A44">
        <w:rPr>
          <w:rFonts w:ascii="Arial" w:hAnsi="Arial" w:cs="Arial"/>
        </w:rPr>
        <w:t xml:space="preserve"> jest stałym współczynnikiem o </w:t>
      </w:r>
      <w:r w:rsidR="009F7501" w:rsidRPr="00894A44">
        <w:rPr>
          <w:rFonts w:ascii="Arial" w:hAnsi="Arial" w:cs="Arial"/>
        </w:rPr>
        <w:t>wartości [</w:t>
      </w:r>
      <w:r w:rsidRPr="00894A44">
        <w:rPr>
          <w:rFonts w:ascii="Arial" w:hAnsi="Arial" w:cs="Arial"/>
        </w:rPr>
        <w:t>●</w:t>
      </w:r>
      <w:r w:rsidRPr="00894A44">
        <w:rPr>
          <w:rStyle w:val="Odwoanieprzypisudolnego"/>
          <w:rFonts w:ascii="Arial" w:hAnsi="Arial" w:cs="Arial"/>
        </w:rPr>
        <w:footnoteReference w:id="11"/>
      </w:r>
      <w:r w:rsidRPr="00894A44">
        <w:rPr>
          <w:rFonts w:ascii="Arial" w:hAnsi="Arial" w:cs="Arial"/>
        </w:rPr>
        <w:t>] obrazującym część wynagrodzenia, które nie podlega waloryzacji (element niewaloryzowany).</w:t>
      </w:r>
    </w:p>
    <w:p w14:paraId="105DD4BF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  <w:b/>
          <w:bCs/>
        </w:rPr>
        <w:t>„b", „c", „d", „e”, „f”, „g”, „h”, „i”, „j”, „k”</w:t>
      </w:r>
      <w:r w:rsidRPr="00894A44">
        <w:rPr>
          <w:rFonts w:ascii="Arial" w:hAnsi="Arial" w:cs="Arial"/>
        </w:rPr>
        <w:t xml:space="preserve"> są wagami stałymi określonymi w tabeli Koszyk Waloryzacyjny powyżej; podanymi z dokładnością do dwóch miejsc po przecinku; obrazującymi udział poszczególnych asortymentów w wartości Umowy; z zastrzeżeniem sytuacji gdy Zamawiający stanie się dostawcą któregokolwiek z Elementów robót ujętych w tabeli Koszyk waloryzacyjny, wówczas waga tego elementu zostanie przyjęta jako „0” w wzorze na W</w:t>
      </w:r>
      <w:r w:rsidRPr="00894A44">
        <w:rPr>
          <w:rFonts w:ascii="Arial" w:hAnsi="Arial" w:cs="Arial"/>
          <w:vertAlign w:val="subscript"/>
        </w:rPr>
        <w:t>n</w:t>
      </w:r>
      <w:r w:rsidRPr="00894A44">
        <w:rPr>
          <w:rFonts w:ascii="Arial" w:hAnsi="Arial" w:cs="Arial"/>
        </w:rPr>
        <w:t xml:space="preserve">. W takim przypadku waga CPI zostanie powiększona o wartość wagi, która została przyjęta jako „0”. </w:t>
      </w:r>
    </w:p>
    <w:p w14:paraId="7AB75F67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</w:rPr>
      </w:pPr>
      <w:r w:rsidRPr="00894A44">
        <w:rPr>
          <w:rFonts w:ascii="Arial" w:hAnsi="Arial" w:cs="Arial"/>
        </w:rPr>
        <w:t xml:space="preserve">Suma wartości wag z Koszyka waloryzacji od „b” do „k” wynosi 1,00.  </w:t>
      </w:r>
    </w:p>
    <w:p w14:paraId="462710EE" w14:textId="1327D01C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>„CPI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", „P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", „R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", „C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„A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„S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„K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„T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„SZ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„M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</w:t>
      </w:r>
      <w:r w:rsidRPr="00894A44">
        <w:rPr>
          <w:rFonts w:ascii="Arial" w:hAnsi="Arial" w:cs="Arial"/>
          <w:color w:val="000000" w:themeColor="text1"/>
        </w:rPr>
        <w:t xml:space="preserve"> są wskaźnikami liczonymi przez przemnożenie wszystkich kolejnych wskaźników cen miesiąc do miesiąca (w </w:t>
      </w:r>
      <w:r w:rsidR="009F7501" w:rsidRPr="00894A44">
        <w:rPr>
          <w:rFonts w:ascii="Arial" w:hAnsi="Arial" w:cs="Arial"/>
          <w:color w:val="000000" w:themeColor="text1"/>
        </w:rPr>
        <w:t>układzie,</w:t>
      </w:r>
      <w:r w:rsidRPr="00894A44">
        <w:rPr>
          <w:rFonts w:ascii="Arial" w:hAnsi="Arial" w:cs="Arial"/>
          <w:color w:val="000000" w:themeColor="text1"/>
        </w:rPr>
        <w:t xml:space="preserve"> gdzie poprzedni miesiąc = 100) obliczonymi wg poniższego wzoru:</w:t>
      </w:r>
    </w:p>
    <w:p w14:paraId="09B50C31" w14:textId="77777777" w:rsidR="00894A44" w:rsidRPr="00894A44" w:rsidRDefault="00000000" w:rsidP="00894A44">
      <w:pPr>
        <w:pStyle w:val="numerowanie"/>
        <w:spacing w:after="260" w:line="360" w:lineRule="auto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CPI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CPI(0)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</m:t>
                </m:r>
                <m:d>
                  <m:dPr>
                    <m:ctrlPr>
                      <w:rPr>
                        <w:rFonts w:ascii="Cambria Math" w:hAnsi="Cambria Math"/>
                        <w:b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1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</m:t>
                </m:r>
                <m:d>
                  <m:dPr>
                    <m:ctrlPr>
                      <w:rPr>
                        <w:rFonts w:ascii="Cambria Math" w:hAnsi="Cambria Math"/>
                        <w:b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2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</m:t>
                </m:r>
                <m:d>
                  <m:dPr>
                    <m:ctrlPr>
                      <w:rPr>
                        <w:rFonts w:ascii="Cambria Math" w:hAnsi="Cambria Math"/>
                        <w:b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3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×………×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</m:t>
                </m:r>
                <m:d>
                  <m:dPr>
                    <m:ctrlPr>
                      <w:rPr>
                        <w:rFonts w:ascii="Cambria Math" w:hAnsi="Cambria Math"/>
                        <w:b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n-1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2"/>
            <w:szCs w:val="22"/>
          </w:rPr>
          <m:t>×</m:t>
        </m:r>
        <m:f>
          <m:f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CPI</m:t>
                </m:r>
                <m:d>
                  <m:dPr>
                    <m:ctrlPr>
                      <w:rPr>
                        <w:rFonts w:ascii="Cambria Math" w:hAnsi="Cambria Math"/>
                        <w:b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100</m:t>
            </m:r>
          </m:den>
        </m:f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 </m:t>
        </m:r>
      </m:oMath>
      <w:r w:rsidR="00894A44" w:rsidRPr="00894A44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01A176F1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gdzie:</w:t>
      </w:r>
    </w:p>
    <w:p w14:paraId="2A5CA570" w14:textId="56F72540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 xml:space="preserve">„CPI 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</w:t>
      </w:r>
      <w:r w:rsidRPr="00894A44">
        <w:rPr>
          <w:rFonts w:ascii="Arial" w:hAnsi="Arial" w:cs="Arial"/>
          <w:color w:val="000000" w:themeColor="text1"/>
        </w:rPr>
        <w:t xml:space="preserve"> – wskaźnik wyliczony dla n-tego </w:t>
      </w:r>
      <w:r w:rsidR="009F7501" w:rsidRPr="00894A44">
        <w:rPr>
          <w:rFonts w:ascii="Arial" w:hAnsi="Arial" w:cs="Arial"/>
          <w:color w:val="000000" w:themeColor="text1"/>
        </w:rPr>
        <w:t>miesiąca,</w:t>
      </w:r>
      <w:r w:rsidRPr="00894A44">
        <w:rPr>
          <w:rFonts w:ascii="Arial" w:hAnsi="Arial" w:cs="Arial"/>
          <w:color w:val="000000" w:themeColor="text1"/>
        </w:rPr>
        <w:t xml:space="preserve"> czyli miesiąca wystawienia kolejnej faktury;</w:t>
      </w:r>
    </w:p>
    <w:p w14:paraId="1BD63DDE" w14:textId="77777777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>„W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CPI(0)</w:t>
      </w:r>
      <w:r w:rsidRPr="00894A44">
        <w:rPr>
          <w:rFonts w:ascii="Arial" w:hAnsi="Arial" w:cs="Arial"/>
          <w:b/>
          <w:bCs/>
          <w:color w:val="000000" w:themeColor="text1"/>
        </w:rPr>
        <w:t>"</w:t>
      </w:r>
      <w:r w:rsidRPr="00894A44">
        <w:rPr>
          <w:rFonts w:ascii="Arial" w:hAnsi="Arial" w:cs="Arial"/>
          <w:color w:val="000000" w:themeColor="text1"/>
        </w:rPr>
        <w:t xml:space="preserve"> – wskaźnik „0” z miesiąca Daty odniesienia = 100 (odczytany z odpowiedniej tabeli w Biuletynie Statystycznym lub w Dziedzinowej Bazie Wiedzy, w przypadku CPI to wskaźnik cen towarów i usług konsumpcyjnych ogółem, w układzie gdzie miesiąc poprzedni = 100)</w:t>
      </w:r>
    </w:p>
    <w:p w14:paraId="5B994355" w14:textId="1EC84950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>„W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CPI(1)</w:t>
      </w:r>
      <w:r w:rsidRPr="00894A44">
        <w:rPr>
          <w:rFonts w:ascii="Arial" w:hAnsi="Arial" w:cs="Arial"/>
          <w:b/>
          <w:bCs/>
          <w:color w:val="000000" w:themeColor="text1"/>
        </w:rPr>
        <w:t xml:space="preserve">" </w:t>
      </w:r>
      <w:r w:rsidRPr="00894A44">
        <w:rPr>
          <w:rFonts w:ascii="Arial" w:hAnsi="Arial" w:cs="Arial"/>
          <w:color w:val="000000" w:themeColor="text1"/>
        </w:rPr>
        <w:t xml:space="preserve">– wskaźnik „1” </w:t>
      </w:r>
      <w:r w:rsidR="009F7501" w:rsidRPr="00894A44">
        <w:rPr>
          <w:rFonts w:ascii="Arial" w:hAnsi="Arial" w:cs="Arial"/>
          <w:color w:val="000000" w:themeColor="text1"/>
        </w:rPr>
        <w:t>z następnego</w:t>
      </w:r>
      <w:r w:rsidRPr="00894A44">
        <w:rPr>
          <w:rFonts w:ascii="Arial" w:hAnsi="Arial" w:cs="Arial"/>
          <w:color w:val="000000" w:themeColor="text1"/>
        </w:rPr>
        <w:t xml:space="preserve"> miesiąca po Dacie odniesienia (odczytany z odpowiedniej tabeli w Biuletynie Statystycznym lub w Dziedzinowej Bazie Wiedzy, w przypadku CPI to wskaźnik cen towarów i usług konsumpcyjnych ogółem, w układzie gdzie miesiąc poprzedni = 100)</w:t>
      </w:r>
    </w:p>
    <w:p w14:paraId="21B8FA88" w14:textId="4235B263" w:rsidR="00894A44" w:rsidRPr="00894A44" w:rsidRDefault="00894A44" w:rsidP="00894A44">
      <w:pPr>
        <w:spacing w:line="360" w:lineRule="auto"/>
        <w:ind w:left="851" w:hanging="851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>„W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CPI(2)</w:t>
      </w:r>
      <w:r w:rsidRPr="00894A44">
        <w:rPr>
          <w:rFonts w:ascii="Arial" w:hAnsi="Arial" w:cs="Arial"/>
          <w:b/>
          <w:bCs/>
          <w:color w:val="000000" w:themeColor="text1"/>
        </w:rPr>
        <w:t>"</w:t>
      </w:r>
      <w:r w:rsidRPr="00894A44">
        <w:rPr>
          <w:rFonts w:ascii="Arial" w:hAnsi="Arial" w:cs="Arial"/>
          <w:color w:val="000000" w:themeColor="text1"/>
        </w:rPr>
        <w:t xml:space="preserve"> ,„W</w:t>
      </w:r>
      <w:r w:rsidRPr="00894A44">
        <w:rPr>
          <w:rFonts w:ascii="Arial" w:hAnsi="Arial" w:cs="Arial"/>
          <w:color w:val="000000" w:themeColor="text1"/>
          <w:vertAlign w:val="subscript"/>
        </w:rPr>
        <w:t>CPI(3)</w:t>
      </w:r>
      <w:r w:rsidRPr="00894A44">
        <w:rPr>
          <w:rFonts w:ascii="Arial" w:hAnsi="Arial" w:cs="Arial"/>
          <w:color w:val="000000" w:themeColor="text1"/>
        </w:rPr>
        <w:t xml:space="preserve">"… – wskaźniki „2”, „3”… dla miesiąca drugiego, trzeciego, … po Dacie odniesienia (odczytany z odpowiedniej tabeli w Biuletynie Statystycznym lub w Dziedzinowej Bazie Wiedzy, w przypadku CPI to wskaźnik cen towarów i usług konsumpcyjnych ogółem, w </w:t>
      </w:r>
      <w:r w:rsidR="009F7501" w:rsidRPr="00894A44">
        <w:rPr>
          <w:rFonts w:ascii="Arial" w:hAnsi="Arial" w:cs="Arial"/>
          <w:color w:val="000000" w:themeColor="text1"/>
        </w:rPr>
        <w:t>układzie,</w:t>
      </w:r>
      <w:r w:rsidRPr="00894A44">
        <w:rPr>
          <w:rFonts w:ascii="Arial" w:hAnsi="Arial" w:cs="Arial"/>
          <w:color w:val="000000" w:themeColor="text1"/>
        </w:rPr>
        <w:t xml:space="preserve"> gdzie miesiąc poprzedni = 100)</w:t>
      </w:r>
    </w:p>
    <w:p w14:paraId="74D8C5A5" w14:textId="3A7B6358" w:rsidR="00894A44" w:rsidRPr="00894A44" w:rsidRDefault="00894A44" w:rsidP="00894A44">
      <w:pPr>
        <w:spacing w:line="360" w:lineRule="auto"/>
        <w:ind w:left="851" w:hanging="851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lastRenderedPageBreak/>
        <w:t>„W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CPI(n-1)</w:t>
      </w:r>
      <w:r w:rsidRPr="00894A44">
        <w:rPr>
          <w:rFonts w:ascii="Arial" w:hAnsi="Arial" w:cs="Arial"/>
          <w:b/>
          <w:bCs/>
          <w:color w:val="000000" w:themeColor="text1"/>
        </w:rPr>
        <w:t>"</w:t>
      </w:r>
      <w:r w:rsidRPr="00894A44">
        <w:rPr>
          <w:rFonts w:ascii="Arial" w:hAnsi="Arial" w:cs="Arial"/>
          <w:color w:val="000000" w:themeColor="text1"/>
        </w:rPr>
        <w:t xml:space="preserve"> – wskaźnik „n-1” dla miesiąca poprzedzającego miesiąc za który nastąpi wystawienie faktury (odczytany z odpowiedniej tabeli w Biuletynie Statystycznym lub w Dziedzinowej Bazie Wiedzy, w przypadku CPI to wskaźnik cen towarów i usług konsumpcyjnych ogółem, w </w:t>
      </w:r>
      <w:r w:rsidR="009F7501" w:rsidRPr="00894A44">
        <w:rPr>
          <w:rFonts w:ascii="Arial" w:hAnsi="Arial" w:cs="Arial"/>
          <w:color w:val="000000" w:themeColor="text1"/>
        </w:rPr>
        <w:t>układzie,</w:t>
      </w:r>
      <w:r w:rsidRPr="00894A44">
        <w:rPr>
          <w:rFonts w:ascii="Arial" w:hAnsi="Arial" w:cs="Arial"/>
          <w:color w:val="000000" w:themeColor="text1"/>
        </w:rPr>
        <w:t xml:space="preserve"> gdzie miesiąc poprzedni = 100)</w:t>
      </w:r>
    </w:p>
    <w:p w14:paraId="50634617" w14:textId="4A4CAA05" w:rsidR="00894A44" w:rsidRPr="00894A44" w:rsidRDefault="00894A44" w:rsidP="00894A44">
      <w:pPr>
        <w:spacing w:line="360" w:lineRule="auto"/>
        <w:ind w:left="708" w:hanging="708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>„W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CPI(n)</w:t>
      </w:r>
      <w:r w:rsidRPr="00894A44">
        <w:rPr>
          <w:rFonts w:ascii="Arial" w:hAnsi="Arial" w:cs="Arial"/>
          <w:b/>
          <w:bCs/>
          <w:color w:val="000000" w:themeColor="text1"/>
        </w:rPr>
        <w:t>"</w:t>
      </w:r>
      <w:r w:rsidRPr="00894A44">
        <w:rPr>
          <w:rFonts w:ascii="Arial" w:hAnsi="Arial" w:cs="Arial"/>
          <w:color w:val="000000" w:themeColor="text1"/>
          <w:vertAlign w:val="subscript"/>
        </w:rPr>
        <w:t xml:space="preserve"> </w:t>
      </w:r>
      <w:r w:rsidRPr="00894A44">
        <w:rPr>
          <w:rFonts w:ascii="Arial" w:hAnsi="Arial" w:cs="Arial"/>
          <w:color w:val="000000" w:themeColor="text1"/>
        </w:rPr>
        <w:t xml:space="preserve">– wskaźnik „n” dla miesiąca za który nastąpi wystawienie faktury (odczytany z odpowiedniej tabeli w Biuletynie Statystycznym lub w Dziedzinowej Bazie Wiedzy, w przypadku CPI to wskaźnik cen towarów i usług konsumpcyjnych ogółem, w </w:t>
      </w:r>
      <w:r w:rsidR="009F7501" w:rsidRPr="00894A44">
        <w:rPr>
          <w:rFonts w:ascii="Arial" w:hAnsi="Arial" w:cs="Arial"/>
          <w:color w:val="000000" w:themeColor="text1"/>
        </w:rPr>
        <w:t>układzie,</w:t>
      </w:r>
      <w:r w:rsidRPr="00894A44">
        <w:rPr>
          <w:rFonts w:ascii="Arial" w:hAnsi="Arial" w:cs="Arial"/>
          <w:color w:val="000000" w:themeColor="text1"/>
        </w:rPr>
        <w:t xml:space="preserve"> gdzie miesiąc poprzedni = 100)</w:t>
      </w:r>
    </w:p>
    <w:p w14:paraId="7DC28384" w14:textId="372188FE" w:rsidR="00894A44" w:rsidRPr="00894A44" w:rsidRDefault="00894A44" w:rsidP="00894A44">
      <w:pPr>
        <w:pStyle w:val="numerowanie"/>
        <w:spacing w:after="260" w:line="360" w:lineRule="auto"/>
        <w:rPr>
          <w:color w:val="000000" w:themeColor="text1"/>
          <w:spacing w:val="0"/>
          <w:sz w:val="22"/>
          <w:szCs w:val="22"/>
          <w:lang w:eastAsia="en-US"/>
        </w:rPr>
      </w:pPr>
      <w:r w:rsidRPr="00894A44">
        <w:rPr>
          <w:color w:val="000000" w:themeColor="text1"/>
          <w:spacing w:val="0"/>
          <w:sz w:val="22"/>
          <w:szCs w:val="22"/>
          <w:lang w:eastAsia="en-US"/>
        </w:rPr>
        <w:t xml:space="preserve">W praktyce dany wskaźnik powstaje poprzez przemnożenie poprzednio obliczonego wskaźnika dla miesiąca n-1 </w:t>
      </w:r>
      <w:r w:rsidR="009F7501" w:rsidRPr="00894A44">
        <w:rPr>
          <w:color w:val="000000" w:themeColor="text1"/>
          <w:spacing w:val="0"/>
          <w:sz w:val="22"/>
          <w:szCs w:val="22"/>
          <w:lang w:eastAsia="en-US"/>
        </w:rPr>
        <w:t>przez wskaźnik</w:t>
      </w:r>
      <w:r w:rsidRPr="00894A44">
        <w:rPr>
          <w:color w:val="000000" w:themeColor="text1"/>
          <w:spacing w:val="0"/>
          <w:sz w:val="22"/>
          <w:szCs w:val="22"/>
          <w:lang w:eastAsia="en-US"/>
        </w:rPr>
        <w:t xml:space="preserve"> dla miesiąca bieżącego.</w:t>
      </w:r>
    </w:p>
    <w:p w14:paraId="2A3C478E" w14:textId="77777777" w:rsidR="00894A44" w:rsidRPr="00894A44" w:rsidRDefault="00000000" w:rsidP="00894A44">
      <w:pPr>
        <w:pStyle w:val="numerowanie"/>
        <w:spacing w:after="260" w:line="360" w:lineRule="auto"/>
        <w:rPr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CPI</m:t>
              </m:r>
            </m:e>
            <m:sub>
              <m:d>
                <m:dPr>
                  <m:ctrlPr>
                    <w:rPr>
                      <w:rFonts w:ascii="Cambria Math" w:hAnsi="Cambria Math"/>
                      <w:b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e>
              </m:d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CPI</m:t>
              </m:r>
            </m:e>
            <m:sub>
              <m:d>
                <m:dPr>
                  <m:ctrlPr>
                    <w:rPr>
                      <w:rFonts w:ascii="Cambria Math" w:hAnsi="Cambria Math"/>
                      <w:b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n-1</m:t>
                  </m:r>
                </m:e>
              </m:d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W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CPI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color w:val="000000" w:themeColor="text1"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n</m:t>
                      </m:r>
                    </m:e>
                  </m:d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100</m:t>
              </m:r>
            </m:den>
          </m:f>
        </m:oMath>
      </m:oMathPara>
    </w:p>
    <w:p w14:paraId="6591DBF0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gdzie:</w:t>
      </w:r>
    </w:p>
    <w:p w14:paraId="27AF7FB9" w14:textId="11C7A1E4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 xml:space="preserve">„CPI 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(n)</w:t>
      </w:r>
      <w:r w:rsidRPr="00894A44">
        <w:rPr>
          <w:rFonts w:ascii="Arial" w:hAnsi="Arial" w:cs="Arial"/>
          <w:b/>
          <w:bCs/>
          <w:color w:val="000000" w:themeColor="text1"/>
        </w:rPr>
        <w:t xml:space="preserve"> "</w:t>
      </w:r>
      <w:r w:rsidRPr="00894A44">
        <w:rPr>
          <w:rFonts w:ascii="Arial" w:hAnsi="Arial" w:cs="Arial"/>
          <w:color w:val="000000" w:themeColor="text1"/>
        </w:rPr>
        <w:t xml:space="preserve"> – wskaźnik wyliczony dla n-tego </w:t>
      </w:r>
      <w:r w:rsidR="009F7501" w:rsidRPr="00894A44">
        <w:rPr>
          <w:rFonts w:ascii="Arial" w:hAnsi="Arial" w:cs="Arial"/>
          <w:color w:val="000000" w:themeColor="text1"/>
        </w:rPr>
        <w:t>miesiąca,</w:t>
      </w:r>
      <w:r w:rsidRPr="00894A44">
        <w:rPr>
          <w:rFonts w:ascii="Arial" w:hAnsi="Arial" w:cs="Arial"/>
          <w:color w:val="000000" w:themeColor="text1"/>
        </w:rPr>
        <w:t xml:space="preserve"> czyli miesiąca wystawienia faktury;</w:t>
      </w:r>
    </w:p>
    <w:p w14:paraId="76FE151E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 xml:space="preserve">„CPI 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(n-1)</w:t>
      </w:r>
      <w:r w:rsidRPr="00894A44">
        <w:rPr>
          <w:rFonts w:ascii="Arial" w:hAnsi="Arial" w:cs="Arial"/>
          <w:b/>
          <w:bCs/>
          <w:color w:val="000000" w:themeColor="text1"/>
        </w:rPr>
        <w:t xml:space="preserve"> "</w:t>
      </w:r>
      <w:r w:rsidRPr="00894A44">
        <w:rPr>
          <w:rFonts w:ascii="Arial" w:hAnsi="Arial" w:cs="Arial"/>
          <w:color w:val="000000" w:themeColor="text1"/>
        </w:rPr>
        <w:t xml:space="preserve"> – wskaźnik wyliczony dla miesiąca poprzedzającego miesiąc wystawienia faktury</w:t>
      </w:r>
    </w:p>
    <w:p w14:paraId="36486293" w14:textId="6E9A4651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b/>
          <w:bCs/>
          <w:color w:val="000000" w:themeColor="text1"/>
        </w:rPr>
        <w:t xml:space="preserve">„W 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CPI(n)</w:t>
      </w:r>
      <w:r w:rsidRPr="00894A44">
        <w:rPr>
          <w:rFonts w:ascii="Arial" w:hAnsi="Arial" w:cs="Arial"/>
          <w:b/>
          <w:bCs/>
          <w:color w:val="000000" w:themeColor="text1"/>
        </w:rPr>
        <w:t xml:space="preserve">” </w:t>
      </w:r>
      <w:r w:rsidRPr="00894A44">
        <w:rPr>
          <w:rFonts w:ascii="Arial" w:hAnsi="Arial" w:cs="Arial"/>
          <w:color w:val="000000" w:themeColor="text1"/>
        </w:rPr>
        <w:t xml:space="preserve">– wskaźnik „n” miesiąca za który nastąpi wystawienie faktury (odczytany z odpowiedniej tabeli w Biuletynie Statystycznym lub w Dziedzinowej Bazie Wiedzy, w przypadku CPI to wskaźnik cen towarów i usług konsumpcyjnych ogółem, w </w:t>
      </w:r>
      <w:r w:rsidR="009F7501" w:rsidRPr="00894A44">
        <w:rPr>
          <w:rFonts w:ascii="Arial" w:hAnsi="Arial" w:cs="Arial"/>
          <w:color w:val="000000" w:themeColor="text1"/>
        </w:rPr>
        <w:t>układzie,</w:t>
      </w:r>
      <w:r w:rsidRPr="00894A44">
        <w:rPr>
          <w:rFonts w:ascii="Arial" w:hAnsi="Arial" w:cs="Arial"/>
          <w:color w:val="000000" w:themeColor="text1"/>
        </w:rPr>
        <w:t xml:space="preserve"> gdzie miesiąc poprzedni = 100)</w:t>
      </w:r>
    </w:p>
    <w:p w14:paraId="4F2C0428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Dla wskaźników „</w:t>
      </w:r>
      <w:r w:rsidRPr="00894A44">
        <w:rPr>
          <w:rFonts w:ascii="Arial" w:hAnsi="Arial" w:cs="Arial"/>
          <w:b/>
          <w:bCs/>
          <w:color w:val="000000" w:themeColor="text1"/>
        </w:rPr>
        <w:t>P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", „R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", „C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„A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„S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„K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„T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„SZ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b/>
          <w:bCs/>
          <w:color w:val="000000" w:themeColor="text1"/>
        </w:rPr>
        <w:t>”, „M</w:t>
      </w:r>
      <w:r w:rsidRPr="00894A44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894A44">
        <w:rPr>
          <w:rFonts w:ascii="Arial" w:hAnsi="Arial" w:cs="Arial"/>
          <w:color w:val="000000" w:themeColor="text1"/>
        </w:rPr>
        <w:t>” obliczenia analogiczne.</w:t>
      </w:r>
    </w:p>
    <w:p w14:paraId="66A841A7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FEB9CAD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bookmarkStart w:id="6" w:name="_Hlk115195934"/>
      <w:r w:rsidRPr="00894A44">
        <w:rPr>
          <w:rFonts w:ascii="Arial" w:hAnsi="Arial" w:cs="Arial"/>
          <w:color w:val="000000" w:themeColor="text1"/>
        </w:rPr>
        <w:t xml:space="preserve">Ilorazy wskaźników cen (np. </w:t>
      </w:r>
      <m:oMath>
        <m:f>
          <m:fPr>
            <m:ctrlPr>
              <w:rPr>
                <w:rFonts w:ascii="Cambria Math" w:hAnsi="Cambria Math" w:cs="Arial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color w:val="000000" w:themeColor="text1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  <w:color w:val="000000" w:themeColor="text1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color w:val="000000" w:themeColor="text1"/>
                  </w:rPr>
                  <m:t>CPI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color w:val="000000" w:themeColor="text1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color w:val="000000" w:themeColor="text1"/>
                      </w:rPr>
                      <m:t>1</m:t>
                    </m:r>
                  </m:e>
                </m:d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100</m:t>
            </m:r>
          </m:den>
        </m:f>
        <m:r>
          <w:rPr>
            <w:rFonts w:ascii="Cambria Math" w:hAnsi="Cambria Math" w:cs="Arial"/>
            <w:color w:val="000000" w:themeColor="text1"/>
          </w:rPr>
          <m:t xml:space="preserve">) </m:t>
        </m:r>
      </m:oMath>
      <w:r w:rsidRPr="00894A44">
        <w:rPr>
          <w:rFonts w:ascii="Arial" w:hAnsi="Arial" w:cs="Arial"/>
          <w:color w:val="000000" w:themeColor="text1"/>
        </w:rPr>
        <w:t xml:space="preserve">dla poszczególnych zmiennych należy obliczać z dokładnością do trzech miejsc po przecinku. Iloczyny wskaźników cen i wag (np. </w:t>
      </w:r>
      <m:oMath>
        <m:r>
          <m:rPr>
            <m:sty m:val="b"/>
          </m:rPr>
          <w:rPr>
            <w:rFonts w:ascii="Cambria Math" w:hAnsi="Cambria Math" w:cs="Arial"/>
            <w:color w:val="000000" w:themeColor="text1"/>
          </w:rPr>
          <m:t>b</m:t>
        </m:r>
        <m:r>
          <m:rPr>
            <m:sty m:val="p"/>
          </m:rPr>
          <w:rPr>
            <w:rFonts w:ascii="Cambria Math" w:hAnsi="Cambria Math" w:cs="Arial"/>
            <w:color w:val="000000" w:themeColor="text1"/>
          </w:rPr>
          <m:t>×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CPI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n</m:t>
            </m:r>
          </m:sub>
        </m:sSub>
      </m:oMath>
      <w:r w:rsidRPr="00894A44">
        <w:rPr>
          <w:rFonts w:ascii="Arial" w:hAnsi="Arial" w:cs="Arial"/>
          <w:color w:val="000000" w:themeColor="text1"/>
        </w:rPr>
        <w:t xml:space="preserve"> ) należy obliczać z dokładnością do 6 miejsc po przecinku. Natomiast wyniki tj.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k n</m:t>
            </m:r>
          </m:sub>
        </m:sSub>
      </m:oMath>
      <w:r w:rsidRPr="00894A44">
        <w:rPr>
          <w:rFonts w:ascii="Arial" w:hAnsi="Arial" w:cs="Arial"/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</m:oMath>
      <w:r w:rsidRPr="00894A44">
        <w:rPr>
          <w:rFonts w:ascii="Arial" w:hAnsi="Arial" w:cs="Arial"/>
          <w:color w:val="000000" w:themeColor="text1"/>
        </w:rPr>
        <w:t xml:space="preserve"> należy obliczać z dokładnością do 4 miejsc po przecinku. </w:t>
      </w:r>
    </w:p>
    <w:bookmarkEnd w:id="6"/>
    <w:p w14:paraId="6CE68019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br/>
        <w:t xml:space="preserve">Z powodu braku aktualnego wskaźnika waloryzacji (publikacja wskaźników w biuletynach GUS odbywa się z opóźnieniem) waloryzacja z bieżącego okresu rozliczeniowego zostanie wyliczona ostatecznie, gdy Prezes GUS ogłosi wskaźniki cen dla danego miesiąca objętego rozliczeniem wynagrodzenia Wykonawcy. Występując o rozliczenie wynagrodzenia za dany miesiąc realizacji świadczeń, Wykonawca obliczy wstępne wartości zwaloryzowanych kwot dla świadczeń zrealizowanych w każdym miesiącu, używając ostatnich z wyliczonych wskaźników waloryzacji. </w:t>
      </w:r>
      <w:r w:rsidRPr="00894A44">
        <w:rPr>
          <w:rFonts w:ascii="Arial" w:hAnsi="Arial" w:cs="Arial"/>
          <w:color w:val="000000" w:themeColor="text1"/>
        </w:rPr>
        <w:lastRenderedPageBreak/>
        <w:t xml:space="preserve">Ustalone w ten sposób wartości będą skorygowane z zastosowaniem wskaźnika waloryzacji właściwego dla miesiąca którego dotyczyło dane rozliczenie wynagrodzenia Wykonawcy, niezwłocznie po ich publikacji. </w:t>
      </w:r>
    </w:p>
    <w:p w14:paraId="61CD2475" w14:textId="77777777" w:rsidR="00894A44" w:rsidRPr="00894A44" w:rsidRDefault="00894A44" w:rsidP="00894A44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94A44">
        <w:rPr>
          <w:rFonts w:ascii="Arial" w:hAnsi="Arial" w:cs="Arial"/>
          <w:color w:val="000000" w:themeColor="text1"/>
        </w:rPr>
        <w:t>W sytuacji gdy rozliczenie wynagrodzenia Wykonawcy będzie dotyczyło okresu rozliczeniowego w skład którego będą wchodziły dwa lub więcej miesięcy, należy przyjmować średnią arytmetyczną ze wskaźników waloryzacji wyliczonych dla kolejnych miesięcy objętych okresem rozliczeniowym.</w:t>
      </w:r>
    </w:p>
    <w:p w14:paraId="48BCD86D" w14:textId="77777777" w:rsidR="00037153" w:rsidRDefault="00037153" w:rsidP="00037153">
      <w:pPr>
        <w:pStyle w:val="numerowanie"/>
        <w:spacing w:after="240" w:line="360" w:lineRule="auto"/>
        <w:rPr>
          <w:sz w:val="22"/>
          <w:szCs w:val="22"/>
        </w:rPr>
      </w:pPr>
      <w:r w:rsidRPr="00894A44">
        <w:rPr>
          <w:sz w:val="22"/>
          <w:szCs w:val="22"/>
        </w:rPr>
        <w:t xml:space="preserve">Jeżeli wynagrodzenie Wykonawcy zostanie zwaloryzowane zgodnie z art. 439 ust. 1-3 ustawy </w:t>
      </w:r>
      <w:proofErr w:type="spellStart"/>
      <w:r w:rsidRPr="00894A44">
        <w:rPr>
          <w:sz w:val="22"/>
          <w:szCs w:val="22"/>
        </w:rPr>
        <w:t>P</w:t>
      </w:r>
      <w:r>
        <w:rPr>
          <w:sz w:val="22"/>
          <w:szCs w:val="22"/>
        </w:rPr>
        <w:t>zp</w:t>
      </w:r>
      <w:proofErr w:type="spellEnd"/>
      <w:r w:rsidRPr="00894A44">
        <w:rPr>
          <w:sz w:val="22"/>
          <w:szCs w:val="22"/>
        </w:rPr>
        <w:t xml:space="preserve">, Wykonawca zobowiązany jest do zmiany wynagrodzenia przysługującego Podwykonawcy i odpowiednio Podwykonawca dalszemu Podwykonawcy, z którym zawarł umowę, jeżeli łącznie spełnione są następujące warunki: przedmiotem umowy są roboty budowlane, dostawy lub usługi oraz okres obowiązywania umowy </w:t>
      </w:r>
      <w:r w:rsidRPr="00BA3CDE">
        <w:rPr>
          <w:sz w:val="22"/>
          <w:szCs w:val="22"/>
        </w:rPr>
        <w:t>wraz z aneksami</w:t>
      </w:r>
      <w:r w:rsidRPr="00894A44">
        <w:rPr>
          <w:sz w:val="22"/>
          <w:szCs w:val="22"/>
        </w:rPr>
        <w:t xml:space="preserve"> przekracza 6 miesięcy. Waloryzacja będzie się odbywać na analogicznych zasadach jak waloryzacja wynagrodzenia Wykonawcy</w:t>
      </w:r>
      <w:r>
        <w:rPr>
          <w:sz w:val="22"/>
          <w:szCs w:val="22"/>
        </w:rPr>
        <w:t xml:space="preserve"> </w:t>
      </w:r>
      <w:r w:rsidRPr="00894A44">
        <w:rPr>
          <w:sz w:val="22"/>
          <w:szCs w:val="22"/>
        </w:rPr>
        <w:t xml:space="preserve">z zastrzeżeniem, że wskaźniki waloryzacji wynagrodzenia będą kalkulowane w odniesieniu do dnia zawarcia umowy pomiędzy Wykonawcą a Podwykonawcą, lub Podwykonawcą, a dalszym Podwykonawcą. </w:t>
      </w:r>
    </w:p>
    <w:p w14:paraId="489A9C21" w14:textId="77777777" w:rsidR="00037153" w:rsidRDefault="00037153" w:rsidP="0049196F">
      <w:pPr>
        <w:spacing w:line="360" w:lineRule="auto"/>
        <w:jc w:val="both"/>
      </w:pPr>
    </w:p>
    <w:p w14:paraId="5F0F5DC6" w14:textId="6B8D5E0D" w:rsidR="00BC4F70" w:rsidRDefault="00BC4F70" w:rsidP="00894A44"/>
    <w:p w14:paraId="295E12DC" w14:textId="213B5397" w:rsidR="00BC4F70" w:rsidRDefault="00BC4F70" w:rsidP="00894A44"/>
    <w:p w14:paraId="7C027EB3" w14:textId="6A100541" w:rsidR="00BC4F70" w:rsidRDefault="00BC4F70" w:rsidP="00894A44"/>
    <w:p w14:paraId="03A67798" w14:textId="0BDB2ED4" w:rsidR="00BC4F70" w:rsidRDefault="00BC4F70" w:rsidP="00894A44"/>
    <w:p w14:paraId="72A031EF" w14:textId="0930FD64" w:rsidR="00BC4F70" w:rsidRDefault="00BC4F70" w:rsidP="00894A44"/>
    <w:p w14:paraId="3775A88A" w14:textId="193DF235" w:rsidR="00BC4F70" w:rsidRDefault="00BC4F70" w:rsidP="00894A44"/>
    <w:p w14:paraId="78819C5D" w14:textId="28992228" w:rsidR="00BC4F70" w:rsidRDefault="00BC4F70" w:rsidP="00894A44"/>
    <w:p w14:paraId="15C02F87" w14:textId="654187C0" w:rsidR="00BC4F70" w:rsidRDefault="00BC4F70" w:rsidP="00894A44"/>
    <w:p w14:paraId="1E01AF3D" w14:textId="346BF51F" w:rsidR="00BC4F70" w:rsidRDefault="00BC4F70" w:rsidP="00894A44"/>
    <w:p w14:paraId="2CA77DDB" w14:textId="7C03A606" w:rsidR="00BC4F70" w:rsidRDefault="00BC4F70" w:rsidP="00894A44"/>
    <w:p w14:paraId="33051CDB" w14:textId="0DA5DBBD" w:rsidR="00BC4F70" w:rsidRDefault="00BC4F70" w:rsidP="00894A44"/>
    <w:p w14:paraId="2EEBA71F" w14:textId="74AEADF2" w:rsidR="00BC4F70" w:rsidRDefault="00BC4F70" w:rsidP="00894A44"/>
    <w:p w14:paraId="6C540DD4" w14:textId="5FC49DA8" w:rsidR="00BC4F70" w:rsidRDefault="00BC4F70" w:rsidP="00894A44"/>
    <w:p w14:paraId="14E120F5" w14:textId="0BBD3131" w:rsidR="00BC4F70" w:rsidRDefault="00BC4F70" w:rsidP="00894A44"/>
    <w:p w14:paraId="7414CCE2" w14:textId="04C80DE9" w:rsidR="00BC4F70" w:rsidRDefault="00BC4F70" w:rsidP="00894A44"/>
    <w:p w14:paraId="250DE8CC" w14:textId="77777777" w:rsidR="00BC4F70" w:rsidRDefault="00BC4F70" w:rsidP="00BC4F70">
      <w:pPr>
        <w:pStyle w:val="Tekstpodstawowy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7" w:name="_Hlk118434995"/>
    </w:p>
    <w:p w14:paraId="2E85177C" w14:textId="110D67EA" w:rsidR="00894A44" w:rsidRPr="00BC4F70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lastRenderedPageBreak/>
        <w:t xml:space="preserve">Klauzula waloryzacyjna w umowach </w:t>
      </w:r>
      <w:r w:rsidRPr="00BC4F70">
        <w:rPr>
          <w:rFonts w:ascii="Arial" w:hAnsi="Arial" w:cs="Arial"/>
          <w:b/>
          <w:bCs/>
          <w:color w:val="000000" w:themeColor="text1"/>
        </w:rPr>
        <w:br/>
        <w:t>przygotowanych w oparciu o Warunki Kontraktowe FIDIC,</w:t>
      </w:r>
    </w:p>
    <w:p w14:paraId="42E2C0E5" w14:textId="77777777" w:rsidR="00894A44" w:rsidRPr="00BC4F70" w:rsidRDefault="00894A44" w:rsidP="00894A44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before="0" w:after="0" w:line="288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C4F70">
        <w:rPr>
          <w:rFonts w:ascii="Arial" w:hAnsi="Arial" w:cs="Arial"/>
          <w:b/>
          <w:bCs/>
          <w:color w:val="000000" w:themeColor="text1"/>
        </w:rPr>
        <w:t>stosowana przez Generalną Dyrekcję Dróg Krajowych i Autostrad dla kontraktów realizowanych w systemie “projektuj i buduj”</w:t>
      </w:r>
    </w:p>
    <w:bookmarkEnd w:id="7"/>
    <w:p w14:paraId="100EEAA9" w14:textId="77777777" w:rsidR="00894A44" w:rsidRPr="00D426F9" w:rsidRDefault="00894A44" w:rsidP="00D426F9">
      <w:pPr>
        <w:pStyle w:val="Tekstpodstawowy"/>
        <w:spacing w:before="24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426F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Korekty wynikające ze zmian w Koszcie  </w:t>
      </w:r>
    </w:p>
    <w:p w14:paraId="50A7ECB3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I. Waloryzacja</w:t>
      </w:r>
    </w:p>
    <w:p w14:paraId="40EE3362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Kwoty płatne Wykonawcy na podstawie Subklauzuli 14.3 [Występowanie o Przejściowe Płatności] podpunkt (i) oraz podpunkt (v) będą korygowane dla oddania wzrostów lub spadków cen zgodnie z niniejszą Subklauzulą. W zakresie, w jakim rekompensata za wzrost lub spadek cen, nie jest objęta postanowieniami niniejszej lub innych Klauzul, będzie się uważało, że Zaakceptowana Kwota Kontraktowa uwzględnia wzrosty lub spadki cen.</w:t>
      </w:r>
    </w:p>
    <w:p w14:paraId="0D361CE2" w14:textId="22EBFA65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 xml:space="preserve">Waloryzacji – zgodnie z postanowieniami niniejszej Subklauzuli - nie podlegają wartości </w:t>
      </w:r>
      <w:r w:rsidR="009F7501" w:rsidRPr="00D426F9">
        <w:rPr>
          <w:color w:val="000000" w:themeColor="text1"/>
          <w:sz w:val="22"/>
          <w:szCs w:val="22"/>
        </w:rPr>
        <w:t>wprowadzone do</w:t>
      </w:r>
      <w:r w:rsidRPr="00D426F9">
        <w:rPr>
          <w:color w:val="000000" w:themeColor="text1"/>
          <w:sz w:val="22"/>
          <w:szCs w:val="22"/>
        </w:rPr>
        <w:t xml:space="preserve"> Kontraktu na podstawie Subklauzuli 20.1 [</w:t>
      </w:r>
      <w:r w:rsidRPr="00D426F9">
        <w:rPr>
          <w:rStyle w:val="TeksttreciKursywa"/>
          <w:color w:val="000000" w:themeColor="text1"/>
          <w:sz w:val="22"/>
          <w:szCs w:val="22"/>
        </w:rPr>
        <w:t>Roszczenia Wykonawcy</w:t>
      </w:r>
      <w:r w:rsidRPr="00D426F9">
        <w:rPr>
          <w:color w:val="000000" w:themeColor="text1"/>
          <w:sz w:val="22"/>
          <w:szCs w:val="22"/>
        </w:rPr>
        <w:t>] niniejszych Warunków Kontraktu.</w:t>
      </w:r>
    </w:p>
    <w:p w14:paraId="6FFEBB40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1A628C73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Waloryzacja będzie się odbywać w oparciu o podane w niniejszej Subklauzuli wskaźniki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2"/>
      </w:r>
      <w:r w:rsidRPr="00D426F9">
        <w:rPr>
          <w:color w:val="000000" w:themeColor="text1"/>
          <w:sz w:val="22"/>
          <w:szCs w:val="22"/>
        </w:rPr>
        <w:t xml:space="preserve"> cen wyrobów publikowane przez Prezesa Głównego Urzędu Statystycznego, zwanego dalej Prezesem GUS w Dziedzinowej Bazie Wiedzy: </w:t>
      </w:r>
    </w:p>
    <w:p w14:paraId="51B2D78A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5503B913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P - symbol 19.2 według PKWIU Brykiety, brykietki i podobne paliwa stałe z węgla i torfu oraz produkty rafinacji ropy naftowej (jako paliwo),</w:t>
      </w:r>
    </w:p>
    <w:p w14:paraId="0ADFF5FB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C – symbol 23.5 według PKWIU Cement, wapno i gips (jako cement,)</w:t>
      </w:r>
    </w:p>
    <w:p w14:paraId="4CEC5D1F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A – symbol 08.9 według PKWIU Produkty górnictwa i wydobywania, gdzie indziej niesklasyfikowanych (jako asfalt),</w:t>
      </w:r>
    </w:p>
    <w:p w14:paraId="22BD5E48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S – symbol 24.1 według PKWIU Żeliwo, stal i żelazostopy (jako stal),</w:t>
      </w:r>
    </w:p>
    <w:p w14:paraId="55D6B8D6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K - symbol 08.1 według PKWIU Kamienia, piasku i gliny (jako kruszywo),</w:t>
      </w:r>
    </w:p>
    <w:p w14:paraId="297DCAED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CPI - Cen towarów i usług konsumpcyjnych (jako CPI),</w:t>
      </w:r>
    </w:p>
    <w:p w14:paraId="59DEB020" w14:textId="77777777" w:rsidR="00894A44" w:rsidRPr="00D426F9" w:rsidRDefault="00894A44" w:rsidP="00D426F9">
      <w:pPr>
        <w:pStyle w:val="numerowanie"/>
        <w:numPr>
          <w:ilvl w:val="0"/>
          <w:numId w:val="1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Wskaźnik R – symbol 42 zgodnie z klasyfikacją PKD przeciętne wynagrodzenie miesięczne brutto w sektorze przedsiębiorstw - budowa obiektów inżynierii lądowej i wodnej (jako robocizna),</w:t>
      </w:r>
    </w:p>
    <w:p w14:paraId="4F17A726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br/>
        <w:t>W przypadku, gdyby te wskaźniki przestały być dostępne, zastosowanie znajdą inne, najbardziej zbliżone, wskaźniki publikowane przez Prezesa GUS.</w:t>
      </w:r>
    </w:p>
    <w:p w14:paraId="59742961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58646081" w14:textId="42FD7B0E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lastRenderedPageBreak/>
        <w:t>Kwoty płatne Wykonawcy na podstawie Subklauzuli 14.3 [Występowanie o Przejściowe Płatności] podpunkt (i) oraz podpunkt (v) będą waloryzowane miesięcznie począwszy od pierwszego Przejściowego Świadectwa Płatności wystawionego po …… miesiącach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3"/>
      </w:r>
      <w:r w:rsidRPr="00D426F9">
        <w:rPr>
          <w:color w:val="000000" w:themeColor="text1"/>
          <w:sz w:val="22"/>
          <w:szCs w:val="22"/>
        </w:rPr>
        <w:t xml:space="preserve"> od Daty rozpoczęcia do wystawienia Przejściowego Świadectwa Płatności, w którym łączna wartość korekt dla oddania wzrostu lub spadku cen, wynikających z niniejszej Subklauzuli, osiągnie limit +/- ……%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4"/>
      </w:r>
      <w:r w:rsidRPr="00D426F9">
        <w:rPr>
          <w:color w:val="000000" w:themeColor="text1"/>
          <w:sz w:val="22"/>
          <w:szCs w:val="22"/>
        </w:rPr>
        <w:t xml:space="preserve"> Zaakceptowanej Kwoty Kontraktowej netto. Waloryzacji będą podlegać jedynie kwoty poświadczone w Przejściowych Świadectwach Płatności wystawionych za okresy rozliczeniowe mieszczące </w:t>
      </w:r>
      <w:r w:rsidR="009F7501" w:rsidRPr="00D426F9">
        <w:rPr>
          <w:color w:val="000000" w:themeColor="text1"/>
          <w:sz w:val="22"/>
          <w:szCs w:val="22"/>
        </w:rPr>
        <w:t>się w</w:t>
      </w:r>
      <w:r w:rsidRPr="00D426F9">
        <w:rPr>
          <w:color w:val="000000" w:themeColor="text1"/>
          <w:sz w:val="22"/>
          <w:szCs w:val="22"/>
        </w:rPr>
        <w:t xml:space="preserve"> Czasie na Ukończenie. Od  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5"/>
      </w:r>
      <w:r w:rsidRPr="00D426F9">
        <w:rPr>
          <w:color w:val="000000" w:themeColor="text1"/>
          <w:sz w:val="22"/>
          <w:szCs w:val="22"/>
        </w:rPr>
        <w:t xml:space="preserve"> dnia przed upływem Czasu na Ukończenie waloryzacja będzie dokonywana przy zastosowaniu wskaźników obowiązujących na 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6"/>
      </w:r>
      <w:r w:rsidRPr="00D426F9">
        <w:rPr>
          <w:color w:val="000000" w:themeColor="text1"/>
          <w:sz w:val="22"/>
          <w:szCs w:val="22"/>
        </w:rPr>
        <w:t xml:space="preserve"> dni przed upływem Czasu na Ukończenie i pochodzących z tego samego miesiąca.  Po tym terminie wskaźniki z tabeli Koszyk waloryzacyjny nie będą podlegały dalszym zmianom. Kwoty płatne Wykonawcy podlegać będą waloryzacji o Współczynnik zmiany cen (W</w:t>
      </w:r>
      <w:r w:rsidRPr="00D426F9">
        <w:rPr>
          <w:color w:val="000000" w:themeColor="text1"/>
          <w:spacing w:val="0"/>
          <w:sz w:val="22"/>
          <w:szCs w:val="22"/>
          <w:vertAlign w:val="subscript"/>
          <w:lang w:eastAsia="en-US"/>
        </w:rPr>
        <w:t>n</w:t>
      </w:r>
      <w:r w:rsidRPr="00D426F9">
        <w:rPr>
          <w:color w:val="000000" w:themeColor="text1"/>
          <w:sz w:val="22"/>
          <w:szCs w:val="22"/>
        </w:rPr>
        <w:t>) wyliczony według wzoru:</w:t>
      </w:r>
    </w:p>
    <w:p w14:paraId="1DD70EC8" w14:textId="77777777" w:rsidR="00894A44" w:rsidRPr="00D426F9" w:rsidRDefault="00000000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W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=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a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b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c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d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R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R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e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f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g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h</m:t>
          </m:r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×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K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K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w:br/>
          </m:r>
        </m:oMath>
      </m:oMathPara>
      <w:r w:rsidR="00894A44" w:rsidRPr="00D426F9">
        <w:rPr>
          <w:color w:val="000000" w:themeColor="text1"/>
          <w:sz w:val="22"/>
          <w:szCs w:val="22"/>
        </w:rPr>
        <w:t>gdzie:</w:t>
      </w:r>
    </w:p>
    <w:p w14:paraId="5E5EC0EE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741C6617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„W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"</w:t>
      </w:r>
      <w:r w:rsidRPr="00D426F9">
        <w:rPr>
          <w:rFonts w:ascii="Arial" w:hAnsi="Arial" w:cs="Arial"/>
          <w:color w:val="000000" w:themeColor="text1"/>
        </w:rPr>
        <w:t xml:space="preserve"> jest mnożnikiem korygującym, obliczanym na podstawie wzoru powyżej, do zastosowania w stosunku do wszystkich kwot;</w:t>
      </w:r>
    </w:p>
    <w:p w14:paraId="1AF29319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„a"</w:t>
      </w:r>
      <w:r w:rsidRPr="00D426F9">
        <w:rPr>
          <w:rFonts w:ascii="Arial" w:hAnsi="Arial" w:cs="Arial"/>
          <w:color w:val="000000" w:themeColor="text1"/>
        </w:rPr>
        <w:t xml:space="preserve"> jest stałym współczynnikiem o wartości: ……</w:t>
      </w:r>
      <w:r w:rsidRPr="00D426F9">
        <w:rPr>
          <w:rStyle w:val="Odwoanieprzypisudolnego"/>
          <w:rFonts w:ascii="Arial" w:hAnsi="Arial" w:cs="Arial"/>
          <w:color w:val="000000" w:themeColor="text1"/>
        </w:rPr>
        <w:footnoteReference w:id="17"/>
      </w:r>
    </w:p>
    <w:p w14:paraId="4EA4ED5F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„b", „c", „d", „e”, „f”, „g”, „h”</w:t>
      </w:r>
      <w:r w:rsidRPr="00D426F9">
        <w:rPr>
          <w:rFonts w:ascii="Arial" w:hAnsi="Arial" w:cs="Arial"/>
          <w:color w:val="000000" w:themeColor="text1"/>
        </w:rPr>
        <w:t xml:space="preserve"> są wagami stałymi określonymi w tabeli Koszyk waloryzacyjny; z zastrzeżeniem sytuacji gdy Zamawiający stanie się dostawcą któregokolwiek z Elementów robót ujętych w tabeli Koszyk waloryzacyjny, wówczas waga tego elementu zostanie przyjęta jako „0” w wzorze na W</w:t>
      </w:r>
      <w:r w:rsidRPr="00D426F9">
        <w:rPr>
          <w:rFonts w:ascii="Arial" w:hAnsi="Arial" w:cs="Arial"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color w:val="000000" w:themeColor="text1"/>
        </w:rPr>
        <w:t>. W takim przypadku waga CPI zostanie powiększona o wartość wagi, która została przyjęta jako „0”, tak aby suma wartości wszystkich wag z Koszyka waloryzacji wynosiła …..</w:t>
      </w:r>
      <w:r w:rsidRPr="00D426F9">
        <w:rPr>
          <w:rStyle w:val="Odwoanieprzypisudolnego"/>
          <w:rFonts w:ascii="Arial" w:hAnsi="Arial" w:cs="Arial"/>
          <w:color w:val="000000" w:themeColor="text1"/>
        </w:rPr>
        <w:footnoteReference w:id="18"/>
      </w:r>
      <w:r w:rsidRPr="00D426F9">
        <w:rPr>
          <w:rFonts w:ascii="Arial" w:hAnsi="Arial" w:cs="Arial"/>
          <w:color w:val="000000" w:themeColor="text1"/>
        </w:rPr>
        <w:t xml:space="preserve">.  </w:t>
      </w:r>
    </w:p>
    <w:p w14:paraId="4D7E8EF2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„CPI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", „P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", „R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", „C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”, „A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”, „S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”, „K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</w:t>
      </w:r>
      <w:r w:rsidRPr="00D426F9">
        <w:rPr>
          <w:rFonts w:ascii="Arial" w:hAnsi="Arial" w:cs="Arial"/>
          <w:b/>
          <w:bCs/>
          <w:color w:val="000000" w:themeColor="text1"/>
        </w:rPr>
        <w:t>”</w:t>
      </w:r>
      <w:r w:rsidRPr="00D426F9">
        <w:rPr>
          <w:rFonts w:ascii="Arial" w:hAnsi="Arial" w:cs="Arial"/>
          <w:color w:val="000000" w:themeColor="text1"/>
        </w:rPr>
        <w:t xml:space="preserve"> są narastającymi wskaźnikami cen publikowanymi przez Prezesa GUS w Dziedzinowej Bazie Wiedzy obowiązującymi w danym okresie rozliczeniowym.</w:t>
      </w:r>
    </w:p>
    <w:p w14:paraId="0B3EBE06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color w:val="000000" w:themeColor="text1"/>
        </w:rPr>
        <w:lastRenderedPageBreak/>
        <w:t>W przypadku korygowania obliczonej wstępnej wartości zwaloryzowanych kwot, wskaźnikami tymi są wskaźniki GUS dotyczące tego samego miesiąca za który wystawione było Przejściowe Świadectwo Płatności.</w:t>
      </w:r>
    </w:p>
    <w:p w14:paraId="5A72D76E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CPI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", „P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", „R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", „C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”, „A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”, „S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b/>
          <w:bCs/>
          <w:color w:val="000000" w:themeColor="text1"/>
        </w:rPr>
        <w:t>”, „K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</w:t>
      </w:r>
      <w:r w:rsidRPr="00D426F9">
        <w:rPr>
          <w:rFonts w:ascii="Arial" w:hAnsi="Arial" w:cs="Arial"/>
          <w:color w:val="000000" w:themeColor="text1"/>
        </w:rPr>
        <w:t xml:space="preserve">” są narastającymi wskaźnikami cen opublikowanymi przez Prezesa GUS w Dziedzinowej Bazie Wiedzy w Dacie Odniesienia zgodnie </w:t>
      </w:r>
      <w:r w:rsidRPr="00D426F9">
        <w:rPr>
          <w:rFonts w:ascii="Arial" w:hAnsi="Arial" w:cs="Arial"/>
          <w:color w:val="000000" w:themeColor="text1"/>
        </w:rPr>
        <w:br/>
        <w:t>z Subklauzulą 1.1.4 Szczególnych Warunków Kontraktu. W przypadku wartości Zmian wprowadzonych do Kontraktu na podstawie Klauzuli 13 [Zmiany i korekty] są one narastającymi wskaźnikami cen opublikowanymi przez Prezesa GUS w Dziedzinowej Bazie Wiedzy w dacie ustalenia wartości robót objętych Poleceniem Zmiany na podstawie Klauzuli 13.</w:t>
      </w:r>
    </w:p>
    <w:p w14:paraId="058B0349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color w:val="000000" w:themeColor="text1"/>
        </w:rPr>
        <w:t xml:space="preserve">Ilorazy wskaźników cen (tj. </w:t>
      </w:r>
      <m:oMath>
        <m:f>
          <m:fPr>
            <m:ctrlPr>
              <w:rPr>
                <w:rFonts w:ascii="Cambria Math" w:hAnsi="Cambria Math" w:cs="Arial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o</m:t>
            </m:r>
          </m:den>
        </m:f>
      </m:oMath>
      <w:r w:rsidRPr="00D426F9">
        <w:rPr>
          <w:rFonts w:ascii="Arial" w:hAnsi="Arial" w:cs="Arial"/>
          <w:color w:val="000000" w:themeColor="text1"/>
        </w:rPr>
        <w:t>)  dla poszczególnych zmiennych należy obliczać z dokładnością do dwóch miejsc po przecinku. Iloczyny wskaźników cen i wag (np.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b×</m:t>
        </m:r>
        <m:f>
          <m:fPr>
            <m:ctrlPr>
              <w:rPr>
                <w:rFonts w:ascii="Cambria Math" w:hAnsi="Cambria Math" w:cs="Arial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CPI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CPI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o</m:t>
                </m:r>
              </m:sub>
            </m:sSub>
          </m:den>
        </m:f>
      </m:oMath>
      <w:r w:rsidRPr="00D426F9">
        <w:rPr>
          <w:rFonts w:ascii="Arial" w:hAnsi="Arial" w:cs="Arial"/>
          <w:color w:val="000000" w:themeColor="text1"/>
        </w:rPr>
        <w:t>) należy obliczać z dokładnością do 6 miejsc po przecinku. Natomiast wyniki tj.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</m:t>
            </m:r>
          </m:sub>
        </m:sSub>
      </m:oMath>
      <w:r w:rsidRPr="00D426F9">
        <w:rPr>
          <w:rFonts w:ascii="Arial" w:hAnsi="Arial" w:cs="Arial"/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np</m:t>
            </m:r>
          </m:sub>
        </m:sSub>
      </m:oMath>
      <w:r w:rsidRPr="00D426F9">
        <w:rPr>
          <w:rFonts w:ascii="Arial" w:hAnsi="Arial" w:cs="Arial"/>
          <w:color w:val="000000" w:themeColor="text1"/>
        </w:rPr>
        <w:t xml:space="preserve"> należy obliczać z dokładnością do 4 miejsc po przecinku. </w:t>
      </w:r>
    </w:p>
    <w:p w14:paraId="4109B514" w14:textId="6E38EB1E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Do wyliczania wartości waloryzacji zastosowanie będzie miała:</w:t>
      </w:r>
    </w:p>
    <w:p w14:paraId="2C749B85" w14:textId="77777777" w:rsidR="00894A44" w:rsidRPr="00D426F9" w:rsidRDefault="00894A44" w:rsidP="00D426F9">
      <w:pPr>
        <w:pStyle w:val="numerowanie"/>
        <w:numPr>
          <w:ilvl w:val="0"/>
          <w:numId w:val="2"/>
        </w:numPr>
        <w:spacing w:line="360" w:lineRule="auto"/>
        <w:rPr>
          <w:rFonts w:eastAsia="Times New Roman"/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Tabela Koszyk waloryzacyjny BITUM w przypadku wyboru przez Wykonawcę konstrukcji nawierzchni podatnej dla ciągu głównego, lub</w:t>
      </w:r>
    </w:p>
    <w:p w14:paraId="75BC75CE" w14:textId="0A08F127" w:rsidR="00894A44" w:rsidRPr="00D426F9" w:rsidRDefault="00894A44" w:rsidP="00D426F9">
      <w:pPr>
        <w:pStyle w:val="numerowanie"/>
        <w:numPr>
          <w:ilvl w:val="0"/>
          <w:numId w:val="2"/>
        </w:numPr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rFonts w:eastAsia="Times New Roman"/>
          <w:color w:val="000000" w:themeColor="text1"/>
          <w:sz w:val="22"/>
          <w:szCs w:val="22"/>
        </w:rPr>
        <w:t>Tabela Koszyk waloryzacyjny BETON w przypadku wyboru przez Wykonawcę konstrukcji nawierzchni sztywnej dla ciągu głównego.</w:t>
      </w:r>
    </w:p>
    <w:p w14:paraId="14181E19" w14:textId="7C476234" w:rsidR="00CD7161" w:rsidRDefault="00CD7161" w:rsidP="00CD7161">
      <w:pPr>
        <w:pStyle w:val="numerowanie"/>
        <w:rPr>
          <w:rFonts w:eastAsia="Times New Roman"/>
          <w:color w:val="000000" w:themeColor="text1"/>
          <w:sz w:val="22"/>
          <w:szCs w:val="22"/>
        </w:rPr>
      </w:pPr>
    </w:p>
    <w:p w14:paraId="598F4EF8" w14:textId="77777777" w:rsidR="00CD7161" w:rsidRPr="004B525E" w:rsidRDefault="00CD7161" w:rsidP="00CD7161">
      <w:pPr>
        <w:pStyle w:val="numerowanie"/>
        <w:rPr>
          <w:color w:val="000000" w:themeColor="text1"/>
          <w:sz w:val="22"/>
          <w:szCs w:val="22"/>
        </w:rPr>
      </w:pPr>
    </w:p>
    <w:tbl>
      <w:tblPr>
        <w:tblW w:w="9246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9"/>
        <w:gridCol w:w="1797"/>
        <w:gridCol w:w="3060"/>
        <w:gridCol w:w="11"/>
      </w:tblGrid>
      <w:tr w:rsidR="00CD7161" w:rsidRPr="004A3FA0" w14:paraId="3C2BE508" w14:textId="77777777" w:rsidTr="00D426F9">
        <w:trPr>
          <w:trHeight w:val="337"/>
        </w:trPr>
        <w:tc>
          <w:tcPr>
            <w:tcW w:w="92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1416D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Tabela Koszyk waloryzacyjny BITUM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a)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1F37D67B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4E5401BB" w14:textId="77777777" w:rsidTr="00D426F9">
        <w:trPr>
          <w:trHeight w:val="37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E2E28" w14:textId="77777777" w:rsidR="00CD7161" w:rsidRPr="00D426F9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043DB4F6" w14:textId="77777777" w:rsidR="00CD7161" w:rsidRPr="004A3FA0" w:rsidRDefault="00CD7161" w:rsidP="00D72875">
            <w:pPr>
              <w:jc w:val="both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CD7161" w:rsidRPr="004A3FA0" w14:paraId="706934E1" w14:textId="77777777" w:rsidTr="00D426F9">
        <w:trPr>
          <w:trHeight w:val="470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D33DE6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Elementy robót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FA67A9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SYMBOL WSKAŻNIKA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7A6B3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Waga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1572CE83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5087DCB0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1E8BE9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CPI (b)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EA19FA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CPI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F3455E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b)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0BB8EDCF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2C656949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2A3883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PALIWO (c)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C6B4A1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0C89C9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c)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170EC342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77A85DD9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84D2BC" w14:textId="11669EDB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ROBOCIZNA (d)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55F80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D65E1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DBA1AF1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4A1EB6FE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2546EB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CEMENT (e)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1E6D3A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512B54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e)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54F80683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473CE5E8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5EFB3A" w14:textId="0C81B371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ASFALT </w:t>
            </w:r>
            <w:r w:rsidR="009F7501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(f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8A874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32F73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f)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5E00294A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50A82111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4CCFF3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STAL (g)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D24883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349C02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g)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651F170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0BA0A80C" w14:textId="77777777" w:rsidTr="00D426F9">
        <w:trPr>
          <w:trHeight w:val="195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0958AC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KRUSZYWO (h)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9BB3F9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42A1A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h)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01E00EB3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D7161" w:rsidRPr="004A3FA0" w14:paraId="53761505" w14:textId="77777777" w:rsidTr="00D426F9">
        <w:trPr>
          <w:trHeight w:val="205"/>
        </w:trPr>
        <w:tc>
          <w:tcPr>
            <w:tcW w:w="6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5B7E9F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color w:val="000000" w:themeColor="text1"/>
                <w:sz w:val="20"/>
                <w:szCs w:val="20"/>
              </w:rPr>
              <w:t>SUMA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157551" w14:textId="77777777" w:rsidR="00CD7161" w:rsidRPr="00D426F9" w:rsidRDefault="00CD7161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i)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14426DAC" w14:textId="77777777" w:rsidR="00CD7161" w:rsidRPr="004A3FA0" w:rsidRDefault="00CD7161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7411457B" w14:textId="77777777" w:rsidR="00CD7161" w:rsidRPr="004A3FA0" w:rsidRDefault="00CD7161" w:rsidP="00CD7161">
      <w:pPr>
        <w:pStyle w:val="numerowanie"/>
        <w:rPr>
          <w:color w:val="000000" w:themeColor="text1"/>
          <w:sz w:val="22"/>
          <w:szCs w:val="22"/>
        </w:rPr>
      </w:pPr>
    </w:p>
    <w:p w14:paraId="55A36DFA" w14:textId="7470BAD6" w:rsidR="00CD7161" w:rsidRPr="00092F2B" w:rsidRDefault="00CD7161" w:rsidP="00CD7161">
      <w:pPr>
        <w:pStyle w:val="numerowanie"/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Uwagi do koszyka:</w:t>
      </w:r>
    </w:p>
    <w:p w14:paraId="79BEF80B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Przykładowy koszyk waloryzacyjny. Należy określić stosownie do rodzaju robót, jakie ma wykonać wykonawca. Propozycje wskazywane w postępowaniach prowadzonych przez GDDKiA, w których wykorzystywana jest ta klauzula.</w:t>
      </w:r>
    </w:p>
    <w:p w14:paraId="2E3EB13D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lastRenderedPageBreak/>
        <w:t xml:space="preserve">Zamawiający samodzielnie określa wartość. Przykładowo, GDDKiA w swoich klauzulach wskaźnik ten określa na: 0,2. Suma wszystkich wartości musi wynosić tyle, co określony wcześniej współczynnik podziału ryzyk. </w:t>
      </w:r>
    </w:p>
    <w:p w14:paraId="362232B9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0,06. Suma wszystkich wartości musi wynosić tyle, co określony wcześniej współczynnik podziału ryzyk.</w:t>
      </w:r>
    </w:p>
    <w:p w14:paraId="5900BA92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0,05. Suma wszystkich wartości musi wynosić tyle, co określony wcześniej współczynnik podziału ryzyk.</w:t>
      </w:r>
    </w:p>
    <w:p w14:paraId="0C026B4D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0,04. Suma wszystkich wartości musi wynosić tyle, co określony wcześniej współczynnik podziału ryzyk.</w:t>
      </w:r>
    </w:p>
    <w:p w14:paraId="53DB30E7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0,08. Suma wszystkich wartości musi wynosić tyle, co określony wcześniej współczynnik podziału ryzyk.</w:t>
      </w:r>
    </w:p>
    <w:p w14:paraId="556F9D9E" w14:textId="061AB5DB" w:rsidR="000C0931" w:rsidRPr="00092F2B" w:rsidRDefault="000C0931" w:rsidP="000C093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</w:t>
      </w:r>
      <w:r>
        <w:rPr>
          <w:i/>
          <w:iCs/>
          <w:color w:val="000000" w:themeColor="text1"/>
        </w:rPr>
        <w:t>3</w:t>
      </w:r>
      <w:r w:rsidRPr="00092F2B">
        <w:rPr>
          <w:i/>
          <w:iCs/>
          <w:color w:val="000000" w:themeColor="text1"/>
        </w:rPr>
        <w:t>. Suma wszystkich wartości musi wynosić tyle, co określony wcześniej współczynnik podziału ryzyk.</w:t>
      </w:r>
    </w:p>
    <w:p w14:paraId="1AEFF625" w14:textId="0792A672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Przykładowo, GDDKiA w swoich klauzulach wskaźnik ten określa na: 0,04. Suma wszystkich wartości musi wynosić tyle, co określony wcześniej współczynnik podziału ryzyk.</w:t>
      </w:r>
    </w:p>
    <w:p w14:paraId="02C2B652" w14:textId="77777777" w:rsidR="00CD7161" w:rsidRPr="00092F2B" w:rsidRDefault="00CD7161" w:rsidP="00CD7161">
      <w:pPr>
        <w:pStyle w:val="numerowanie"/>
        <w:numPr>
          <w:ilvl w:val="0"/>
          <w:numId w:val="3"/>
        </w:numPr>
        <w:rPr>
          <w:i/>
          <w:iCs/>
          <w:color w:val="000000" w:themeColor="text1"/>
        </w:rPr>
      </w:pPr>
      <w:r w:rsidRPr="00092F2B">
        <w:rPr>
          <w:i/>
          <w:iCs/>
          <w:color w:val="000000" w:themeColor="text1"/>
        </w:rPr>
        <w:t>Zamawiający samodzielnie określa wartość. Jest to suma wszystkich ww. elementów wskazanych w koszyku waloryzacyjnym BITUM. Suma musi wynosić tyle, co określony wcześniej współczynnik podziału ryzyk. Przykładowo, GDDKiA w swoich klauzulach wskaźnik ten określa na: 0,5.</w:t>
      </w:r>
    </w:p>
    <w:p w14:paraId="346E4CA8" w14:textId="77777777" w:rsidR="004B525E" w:rsidRPr="004B525E" w:rsidRDefault="004B525E" w:rsidP="004B525E">
      <w:pPr>
        <w:pStyle w:val="numerowanie"/>
        <w:rPr>
          <w:color w:val="000000" w:themeColor="text1"/>
          <w:sz w:val="22"/>
          <w:szCs w:val="22"/>
        </w:rPr>
      </w:pPr>
    </w:p>
    <w:p w14:paraId="7AB417C7" w14:textId="77777777" w:rsidR="00894A44" w:rsidRPr="004A3FA0" w:rsidRDefault="00894A44" w:rsidP="00894A44">
      <w:pPr>
        <w:pStyle w:val="numerowanie"/>
        <w:rPr>
          <w:color w:val="000000" w:themeColor="text1"/>
          <w:sz w:val="22"/>
          <w:szCs w:val="22"/>
        </w:rPr>
      </w:pPr>
    </w:p>
    <w:tbl>
      <w:tblPr>
        <w:tblpPr w:leftFromText="141" w:rightFromText="141" w:bottomFromText="70" w:vertAnchor="text"/>
        <w:tblW w:w="9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4"/>
        <w:gridCol w:w="1799"/>
        <w:gridCol w:w="3194"/>
        <w:gridCol w:w="11"/>
      </w:tblGrid>
      <w:tr w:rsidR="00894A44" w:rsidRPr="004A3FA0" w14:paraId="5E7F40F3" w14:textId="77777777" w:rsidTr="00D426F9">
        <w:trPr>
          <w:trHeight w:val="336"/>
        </w:trPr>
        <w:tc>
          <w:tcPr>
            <w:tcW w:w="92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011CB6" w14:textId="176D0D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bookmarkStart w:id="13" w:name="OLE_LINK3"/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Tabela Koszyk waloryzacyjny BETON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a)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7B74FDA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3654A3E8" w14:textId="77777777" w:rsidTr="00D426F9">
        <w:trPr>
          <w:trHeight w:val="51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B938D" w14:textId="77777777" w:rsidR="00894A44" w:rsidRPr="00D426F9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328869EE" w14:textId="77777777" w:rsidR="00894A44" w:rsidRPr="004A3FA0" w:rsidRDefault="00894A44" w:rsidP="00D72875">
            <w:pPr>
              <w:jc w:val="both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94A44" w:rsidRPr="004A3FA0" w14:paraId="18A46C07" w14:textId="77777777" w:rsidTr="00D426F9">
        <w:trPr>
          <w:trHeight w:val="467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20C9F4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Elementy robót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F08B34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SYMBOL WSKAŻNIKA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192381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Waga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3673EEFF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0C57C9FB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D115A4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CPI (b)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83142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CPI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C69468" w14:textId="1AEEE8AA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b)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938350B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246C4573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EC53A3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PALIWO (c)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1698E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4B6885" w14:textId="45106758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c)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0F57A94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56614F8A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B123C4" w14:textId="7CA25E0E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ROBOCIZNA </w:t>
            </w:r>
            <w:r w:rsidR="009F7501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(d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B611FB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DCCD15" w14:textId="35DA70E3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</w:t>
            </w:r>
            <w:r w:rsidR="00D426F9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06B4850F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714A65E9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3538B9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CEMENT (e)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DF803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046A9" w14:textId="18299533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e)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77938461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23BE2992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49268" w14:textId="0837A223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ASFALT </w:t>
            </w:r>
            <w:r w:rsidR="009F7501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(f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E175E0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73E0E6" w14:textId="6F49C80E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…. 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f)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6587BF2E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72988787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4D820E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STAL (g)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833FE2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 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6910D" w14:textId="7C81E883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g)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4367724B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18A61854" w14:textId="77777777" w:rsidTr="00D426F9">
        <w:trPr>
          <w:trHeight w:val="194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942F8A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KRUSZYWO (h)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0B7BF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5E278" w14:textId="105840BD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h)</w:t>
            </w: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028DE565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894A44" w:rsidRPr="004A3FA0" w14:paraId="3BF419BD" w14:textId="77777777" w:rsidTr="00D426F9">
        <w:trPr>
          <w:trHeight w:val="204"/>
        </w:trPr>
        <w:tc>
          <w:tcPr>
            <w:tcW w:w="6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0010AE" w14:textId="77777777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color w:val="000000" w:themeColor="text1"/>
                <w:sz w:val="20"/>
                <w:szCs w:val="20"/>
              </w:rPr>
              <w:t>SUMA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CBC9A" w14:textId="4FCE7733" w:rsidR="00894A44" w:rsidRPr="00D426F9" w:rsidRDefault="00894A44" w:rsidP="00D72875">
            <w:pPr>
              <w:spacing w:line="252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….</w:t>
            </w:r>
            <w:r w:rsidR="004F3D63" w:rsidRPr="00D426F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i)</w:t>
            </w:r>
          </w:p>
        </w:tc>
        <w:tc>
          <w:tcPr>
            <w:tcW w:w="10" w:type="dxa"/>
            <w:tcBorders>
              <w:left w:val="single" w:sz="4" w:space="0" w:color="auto"/>
            </w:tcBorders>
            <w:vAlign w:val="center"/>
            <w:hideMark/>
          </w:tcPr>
          <w:p w14:paraId="6A2C2E2B" w14:textId="77777777" w:rsidR="00894A44" w:rsidRPr="004A3FA0" w:rsidRDefault="00894A44" w:rsidP="00D72875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bookmarkEnd w:id="13"/>
    </w:tbl>
    <w:p w14:paraId="1E8C33A4" w14:textId="0547EE15" w:rsidR="00894A44" w:rsidRDefault="00894A44" w:rsidP="00894A44">
      <w:pPr>
        <w:pStyle w:val="numerowanie"/>
        <w:rPr>
          <w:color w:val="000000" w:themeColor="text1"/>
          <w:sz w:val="22"/>
          <w:szCs w:val="22"/>
        </w:rPr>
      </w:pPr>
    </w:p>
    <w:p w14:paraId="338544B1" w14:textId="520674B2" w:rsidR="004F3D63" w:rsidRPr="00D426F9" w:rsidRDefault="004F3D63" w:rsidP="00894A44">
      <w:pPr>
        <w:pStyle w:val="numerowanie"/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Uwagi do koszyka:</w:t>
      </w:r>
    </w:p>
    <w:p w14:paraId="2275E2C7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Przykładowy koszyk waloryzacyjny. Należy określić stosownie do rodzaju robót jakie ma wykonać wykonawca. Propozycje wskazywane w postępowaniach prowadzonych przez GDDKiA, w których wykorzystywana jest ta klauzula.</w:t>
      </w:r>
    </w:p>
    <w:p w14:paraId="36CCFA79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0,23. Suma wszystkich wartości musi wynosić tyle, co określony wcześniej współczynnik podziału ryzyk.</w:t>
      </w:r>
    </w:p>
    <w:p w14:paraId="11E7E495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0,07. Suma wszystkich wartości musi wynosić tyle, co określony wcześniej współczynnik podziału ryzyk.</w:t>
      </w:r>
    </w:p>
    <w:p w14:paraId="3C49FD75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0,04. Suma wszystkich wartości musi wynosić tyle, co określony wcześniej współczynnik podziału ryzyk.</w:t>
      </w:r>
    </w:p>
    <w:p w14:paraId="2117777D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lastRenderedPageBreak/>
        <w:t>Zamawiający samodzielnie określa wartość. Przykładowo, GDDKiA w swoich klauzulach wskaźnik ten określa na: 0,07. Suma wszystkich wartości musi wynosić tyle, co określony wcześniej współczynnik podziału ryzyk.</w:t>
      </w:r>
    </w:p>
    <w:p w14:paraId="667AB0B4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0,02. Suma wszystkich wartości musi wynosić tyle, co określony wcześniej współczynnik podziału ryzyk.</w:t>
      </w:r>
    </w:p>
    <w:p w14:paraId="55D4FAB3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0,03. Suma wszystkich wartości musi wynosić tyle, co określony wcześniej współczynnik podziału ryzyk.</w:t>
      </w:r>
    </w:p>
    <w:p w14:paraId="17700A54" w14:textId="77777777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Przykładowo, GDDKiA w swoich klauzulach wskaźnik ten określa na: 0,04. Suma wszystkich wartości musi wynosić tyle, co określony wcześniej współczynnik podziału ryzyk.</w:t>
      </w:r>
    </w:p>
    <w:p w14:paraId="5CB7B285" w14:textId="11BCEA2A" w:rsidR="004F3D63" w:rsidRPr="00D426F9" w:rsidRDefault="004F3D63" w:rsidP="004F3D63">
      <w:pPr>
        <w:pStyle w:val="numerowanie"/>
        <w:numPr>
          <w:ilvl w:val="0"/>
          <w:numId w:val="4"/>
        </w:numPr>
        <w:rPr>
          <w:i/>
          <w:iCs/>
          <w:color w:val="000000" w:themeColor="text1"/>
        </w:rPr>
      </w:pPr>
      <w:r w:rsidRPr="00D426F9">
        <w:rPr>
          <w:i/>
          <w:iCs/>
          <w:color w:val="000000" w:themeColor="text1"/>
        </w:rPr>
        <w:t>Zamawiający samodzielnie określa wartość. Jest to suma wszystkich ww. elementów wskazanych w koszyku waloryzacyjnym BETON. Suma musi wynosić tyle, co określony wcześniej współczynnik podziału ryzyk. Przykładowo, GDDKiA w swoich klauzulach wskaźnik ten określa na: 0,5.</w:t>
      </w:r>
    </w:p>
    <w:p w14:paraId="03A5D51A" w14:textId="77777777" w:rsidR="00894A44" w:rsidRPr="004A3FA0" w:rsidRDefault="00894A44" w:rsidP="00894A44">
      <w:pPr>
        <w:pStyle w:val="numerowanie"/>
        <w:rPr>
          <w:color w:val="000000" w:themeColor="text1"/>
          <w:sz w:val="22"/>
          <w:szCs w:val="22"/>
        </w:rPr>
      </w:pPr>
    </w:p>
    <w:p w14:paraId="0BECF49B" w14:textId="77777777" w:rsidR="00894A44" w:rsidRPr="004A3FA0" w:rsidRDefault="00894A44" w:rsidP="00894A44">
      <w:pPr>
        <w:pStyle w:val="numerowanie"/>
        <w:rPr>
          <w:color w:val="000000" w:themeColor="text1"/>
          <w:sz w:val="22"/>
          <w:szCs w:val="22"/>
        </w:rPr>
      </w:pPr>
    </w:p>
    <w:p w14:paraId="1C708D97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 xml:space="preserve">Z powodu braku aktualnych wskaźników (publikacja wskaźników w biuletynach GUS odbywa się z opóźnieniem) waloryzacja z bieżącego okresu rozliczeniowego zostanie wyliczona, gdy Prezes GUS ogłosi wskaźniki dla danego miesiąca objętego Przejściowym Świadectwem Płatności. Występując o Przejściowe Świadectwo Płatności Wykonawca obliczy wstępne wartości zwaloryzowanych kwot poświadczonych w każdym Przejściowym Świadectwie Płatności, zrealizowanych w każdym miesiącu, używając ostatnich z opublikowanych dla tego samego miesiąca wskaźników GUS. </w:t>
      </w:r>
    </w:p>
    <w:p w14:paraId="24F4A4F0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58683ED0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Ustalone w ten sposób wartości będą skorygowane z zastosowaniem wskaźników GUS właściwych dla miesiąca za który wystawione było Świadectwo Płatności, niezwłocznie po ich publikacji. W sytuacji gdy Przejściowe Świadectwo Płatności będzie dotyczyło okresu rozliczeniowego w skład którego będą wchodziły dwa lub więcej miesięcy, należy przyjmować wskaźniki GUS dla miesiąca będącego ostatnim w danym okresie rozliczeniowym.</w:t>
      </w:r>
    </w:p>
    <w:p w14:paraId="323E912C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25541622" w14:textId="7E040E86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Jeżeli wynagrodzenie Wykonawcy zostanie zwaloryzowane zgodnie z art. 439 ust. 1-3 ustawy P</w:t>
      </w:r>
      <w:r w:rsidR="000B79F9">
        <w:rPr>
          <w:color w:val="000000" w:themeColor="text1"/>
          <w:sz w:val="22"/>
          <w:szCs w:val="22"/>
        </w:rPr>
        <w:t>zp</w:t>
      </w:r>
      <w:r w:rsidRPr="00D426F9">
        <w:rPr>
          <w:color w:val="000000" w:themeColor="text1"/>
          <w:sz w:val="22"/>
          <w:szCs w:val="22"/>
        </w:rPr>
        <w:t>, Wykonawca zobowiązany jest do zmiany wynagrodzenia przysługującego Podwykonawcy i odpowiednio Podwykonawca dalszemu Podwykonawcy, z którym zawarł umowę, jeżeli łącznie spełnione są następujące warunki: przedmiotem umowy są roboty budowlane, dostawy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19"/>
      </w:r>
      <w:r w:rsidRPr="00D426F9">
        <w:rPr>
          <w:color w:val="000000" w:themeColor="text1"/>
          <w:sz w:val="22"/>
          <w:szCs w:val="22"/>
        </w:rPr>
        <w:t xml:space="preserve"> lub usługi oraz okres obowiązywania umowy wraz z aneksami </w:t>
      </w:r>
      <w:r w:rsidR="009F7501" w:rsidRPr="00D426F9">
        <w:rPr>
          <w:color w:val="000000" w:themeColor="text1"/>
          <w:sz w:val="22"/>
          <w:szCs w:val="22"/>
        </w:rPr>
        <w:t>przekracza …</w:t>
      </w:r>
      <w:r w:rsidRPr="00D426F9">
        <w:rPr>
          <w:color w:val="000000" w:themeColor="text1"/>
          <w:sz w:val="22"/>
          <w:szCs w:val="22"/>
        </w:rPr>
        <w:t>…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20"/>
      </w:r>
      <w:r w:rsidRPr="00D426F9">
        <w:rPr>
          <w:color w:val="000000" w:themeColor="text1"/>
          <w:sz w:val="22"/>
          <w:szCs w:val="22"/>
        </w:rPr>
        <w:t>.</w:t>
      </w:r>
    </w:p>
    <w:p w14:paraId="25E1E554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66278C39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lastRenderedPageBreak/>
        <w:t>W przypadku braku zapłaty albo nieterminowej zapłaty wynagrodzenia należnego Podwykonawcy z tytułu zmiany wysokości wynagrodzenia, zgodnie z Subklauzula 13.7 [Korekty wynikające ze zmian w Koszcie] Wykonawca zobowiązany będzie do zapłaty Kar umownych określonych w Subklauzuli 8.8 [Kary umowne].</w:t>
      </w:r>
    </w:p>
    <w:p w14:paraId="163B5634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D66C727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 xml:space="preserve">Kwoty płatne Podwykonawcy lub dalszemu Podwykonawcy przez Wykonawcę lub Podwykonawcę będą korygowane dla oddania wzrostów lub spadków cen. </w:t>
      </w:r>
    </w:p>
    <w:p w14:paraId="6AF32132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Waloryzacja będzie się odbywać w oparciu o wskaźnik dla: Cen towarów i usług konsumpcyjnych (jako CPI) oraz co najmniej o jeden inny wskaźnik wybrany z tabeli Koszyk waloryzacyjny, publikowany przez Prezesa GUS. Jeżeli kwoty płatne Podwykonawcy lub dalszemu Podwykonawcy zawierają w sobie płatności za materiały należy to uwzględnić przy doborze wskaźników.</w:t>
      </w:r>
    </w:p>
    <w:p w14:paraId="0C4D6916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10C53674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Zgodnie z poniższym wzorem:</w:t>
      </w:r>
    </w:p>
    <w:p w14:paraId="78C6C239" w14:textId="14FCC1D2" w:rsidR="00894A44" w:rsidRPr="00D426F9" w:rsidRDefault="00000000" w:rsidP="00D426F9">
      <w:pPr>
        <w:pStyle w:val="numerowanie"/>
        <w:spacing w:line="360" w:lineRule="auto"/>
        <w:rPr>
          <w:b/>
          <w:bCs/>
          <w:color w:val="000000" w:themeColor="text1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color w:val="000000" w:themeColor="text1"/>
                  <w:sz w:val="22"/>
                  <w:szCs w:val="22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W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np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=a+b×</m:t>
          </m:r>
          <m:f>
            <m:fPr>
              <m:ctrlPr>
                <w:rPr>
                  <w:rFonts w:ascii="Cambria Math" w:hAnsi="Cambria Math"/>
                  <w:b/>
                  <w:bCs/>
                  <w:color w:val="000000" w:themeColor="text1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op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="Cambria Math"/>
              <w:color w:val="000000" w:themeColor="text1"/>
              <w:sz w:val="22"/>
              <w:szCs w:val="22"/>
            </w:rPr>
            <m:t>+c×X+…+h×Y</m:t>
          </m:r>
        </m:oMath>
      </m:oMathPara>
    </w:p>
    <w:p w14:paraId="7C160CD9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gdzie:</w:t>
      </w:r>
    </w:p>
    <w:p w14:paraId="74F7E2AE" w14:textId="7684F8AD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b/>
          <w:bCs/>
          <w:color w:val="000000" w:themeColor="text1"/>
          <w:sz w:val="22"/>
          <w:szCs w:val="22"/>
        </w:rPr>
        <w:t>„a"</w:t>
      </w:r>
      <w:r w:rsidRPr="00D426F9">
        <w:rPr>
          <w:color w:val="000000" w:themeColor="text1"/>
          <w:sz w:val="22"/>
          <w:szCs w:val="22"/>
        </w:rPr>
        <w:t xml:space="preserve"> jest stałym współczynnikiem o </w:t>
      </w:r>
      <w:r w:rsidR="009F7501" w:rsidRPr="00D426F9">
        <w:rPr>
          <w:color w:val="000000" w:themeColor="text1"/>
          <w:sz w:val="22"/>
          <w:szCs w:val="22"/>
        </w:rPr>
        <w:t>wartości:  ….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21"/>
      </w:r>
      <w:r w:rsidRPr="00D426F9">
        <w:rPr>
          <w:color w:val="000000" w:themeColor="text1"/>
          <w:sz w:val="22"/>
          <w:szCs w:val="22"/>
        </w:rPr>
        <w:t xml:space="preserve"> </w:t>
      </w:r>
    </w:p>
    <w:p w14:paraId="64C0252B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A5EDB7B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b/>
          <w:bCs/>
          <w:color w:val="000000" w:themeColor="text1"/>
          <w:sz w:val="22"/>
          <w:szCs w:val="22"/>
        </w:rPr>
        <w:t>„b”</w:t>
      </w:r>
      <w:r w:rsidRPr="00D426F9">
        <w:rPr>
          <w:color w:val="000000" w:themeColor="text1"/>
          <w:sz w:val="22"/>
          <w:szCs w:val="22"/>
        </w:rPr>
        <w:t xml:space="preserve"> waga z przedziału ……… 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22"/>
      </w:r>
    </w:p>
    <w:p w14:paraId="6416D6FF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5B42E241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b/>
          <w:bCs/>
          <w:color w:val="000000" w:themeColor="text1"/>
          <w:sz w:val="22"/>
          <w:szCs w:val="22"/>
        </w:rPr>
        <w:t>„c”, … , „h</w:t>
      </w:r>
      <w:r w:rsidRPr="00D426F9">
        <w:rPr>
          <w:color w:val="000000" w:themeColor="text1"/>
          <w:sz w:val="22"/>
          <w:szCs w:val="22"/>
        </w:rPr>
        <w:t>” wagi wybranych poszczególnych Elementów robót ustalone w taki sposób aby ich suma wynosiła wraz z wagami „a” i „b” wynosiła …..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23"/>
      </w:r>
    </w:p>
    <w:p w14:paraId="2FEECDDA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75BEFCB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b/>
          <w:bCs/>
          <w:color w:val="000000" w:themeColor="text1"/>
          <w:sz w:val="22"/>
          <w:szCs w:val="22"/>
        </w:rPr>
        <w:t>„X”, …, „Y</w:t>
      </w:r>
      <w:r w:rsidRPr="00D426F9">
        <w:rPr>
          <w:color w:val="000000" w:themeColor="text1"/>
          <w:sz w:val="22"/>
          <w:szCs w:val="22"/>
        </w:rPr>
        <w:t>” minimum jeden z współczynników dla wybranych Elementów robót z Koszyka waloryzacyjnego i każdy odpowiednio wynosi: P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/P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 xml:space="preserve"> </w:t>
      </w:r>
      <w:r w:rsidRPr="00D426F9">
        <w:rPr>
          <w:b/>
          <w:bCs/>
          <w:color w:val="000000" w:themeColor="text1"/>
          <w:sz w:val="22"/>
          <w:szCs w:val="22"/>
        </w:rPr>
        <w:t xml:space="preserve">lub </w:t>
      </w:r>
      <w:r w:rsidRPr="00D426F9">
        <w:rPr>
          <w:color w:val="000000" w:themeColor="text1"/>
          <w:sz w:val="22"/>
          <w:szCs w:val="22"/>
        </w:rPr>
        <w:t>R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/R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 xml:space="preserve"> </w:t>
      </w:r>
      <w:r w:rsidRPr="00D426F9">
        <w:rPr>
          <w:b/>
          <w:bCs/>
          <w:color w:val="000000" w:themeColor="text1"/>
          <w:sz w:val="22"/>
          <w:szCs w:val="22"/>
        </w:rPr>
        <w:t>lub</w:t>
      </w:r>
      <w:r w:rsidRPr="00D426F9">
        <w:rPr>
          <w:color w:val="000000" w:themeColor="text1"/>
          <w:sz w:val="22"/>
          <w:szCs w:val="22"/>
        </w:rPr>
        <w:t xml:space="preserve"> C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/C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 xml:space="preserve"> </w:t>
      </w:r>
      <w:r w:rsidRPr="00D426F9">
        <w:rPr>
          <w:b/>
          <w:bCs/>
          <w:color w:val="000000" w:themeColor="text1"/>
          <w:sz w:val="22"/>
          <w:szCs w:val="22"/>
        </w:rPr>
        <w:t>lub</w:t>
      </w:r>
      <w:r w:rsidRPr="00D426F9">
        <w:rPr>
          <w:color w:val="000000" w:themeColor="text1"/>
          <w:sz w:val="22"/>
          <w:szCs w:val="22"/>
        </w:rPr>
        <w:t xml:space="preserve"> A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/A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 xml:space="preserve"> </w:t>
      </w:r>
      <w:r w:rsidRPr="00D426F9">
        <w:rPr>
          <w:b/>
          <w:bCs/>
          <w:color w:val="000000" w:themeColor="text1"/>
          <w:sz w:val="22"/>
          <w:szCs w:val="22"/>
        </w:rPr>
        <w:t>lub</w:t>
      </w:r>
      <w:r w:rsidRPr="00D426F9">
        <w:rPr>
          <w:color w:val="000000" w:themeColor="text1"/>
          <w:sz w:val="22"/>
          <w:szCs w:val="22"/>
        </w:rPr>
        <w:t xml:space="preserve"> S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/S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 xml:space="preserve"> </w:t>
      </w:r>
      <w:r w:rsidRPr="00D426F9">
        <w:rPr>
          <w:b/>
          <w:bCs/>
          <w:color w:val="000000" w:themeColor="text1"/>
          <w:sz w:val="22"/>
          <w:szCs w:val="22"/>
        </w:rPr>
        <w:t>lub</w:t>
      </w:r>
      <w:r w:rsidRPr="00D426F9">
        <w:rPr>
          <w:color w:val="000000" w:themeColor="text1"/>
          <w:sz w:val="22"/>
          <w:szCs w:val="22"/>
        </w:rPr>
        <w:t xml:space="preserve"> K</w:t>
      </w:r>
      <w:r w:rsidRPr="00D426F9">
        <w:rPr>
          <w:color w:val="000000" w:themeColor="text1"/>
          <w:sz w:val="22"/>
          <w:szCs w:val="22"/>
          <w:vertAlign w:val="subscript"/>
        </w:rPr>
        <w:t>np</w:t>
      </w:r>
      <w:r w:rsidRPr="00D426F9">
        <w:rPr>
          <w:color w:val="000000" w:themeColor="text1"/>
          <w:sz w:val="22"/>
          <w:szCs w:val="22"/>
        </w:rPr>
        <w:t>/K</w:t>
      </w:r>
      <w:r w:rsidRPr="00D426F9">
        <w:rPr>
          <w:color w:val="000000" w:themeColor="text1"/>
          <w:sz w:val="22"/>
          <w:szCs w:val="22"/>
          <w:vertAlign w:val="subscript"/>
        </w:rPr>
        <w:t>op</w:t>
      </w:r>
      <w:r w:rsidRPr="00D426F9">
        <w:rPr>
          <w:color w:val="000000" w:themeColor="text1"/>
          <w:sz w:val="22"/>
          <w:szCs w:val="22"/>
        </w:rPr>
        <w:t>.</w:t>
      </w:r>
    </w:p>
    <w:p w14:paraId="1D0B4984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55100FB7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t>„CPI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", „P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", „R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", „C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”, „A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”, „S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”, „K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np</w:t>
      </w:r>
      <w:r w:rsidRPr="00D426F9">
        <w:rPr>
          <w:rFonts w:ascii="Arial" w:hAnsi="Arial" w:cs="Arial"/>
          <w:b/>
          <w:bCs/>
          <w:color w:val="000000" w:themeColor="text1"/>
        </w:rPr>
        <w:t>”</w:t>
      </w:r>
      <w:r w:rsidRPr="00D426F9">
        <w:rPr>
          <w:rFonts w:ascii="Arial" w:hAnsi="Arial" w:cs="Arial"/>
          <w:color w:val="000000" w:themeColor="text1"/>
        </w:rPr>
        <w:t xml:space="preserve"> są narastającymi wskaźnikami cen publikowanymi przez Prezesa GUS w Dziedzinowej Bazie Wiedzy obowiązującymi w danym okresie rozliczeniowym z Podwykonawcą, oraz</w:t>
      </w:r>
    </w:p>
    <w:p w14:paraId="6437B340" w14:textId="77777777" w:rsidR="00894A44" w:rsidRPr="00D426F9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47E47AF0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b/>
          <w:bCs/>
          <w:color w:val="000000" w:themeColor="text1"/>
        </w:rPr>
        <w:lastRenderedPageBreak/>
        <w:t>„CPI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”, „P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", „R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", „C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”, „A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”, „S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”, „K</w:t>
      </w:r>
      <w:r w:rsidRPr="00D426F9">
        <w:rPr>
          <w:rFonts w:ascii="Arial" w:hAnsi="Arial" w:cs="Arial"/>
          <w:b/>
          <w:bCs/>
          <w:color w:val="000000" w:themeColor="text1"/>
          <w:vertAlign w:val="subscript"/>
        </w:rPr>
        <w:t>op</w:t>
      </w:r>
      <w:r w:rsidRPr="00D426F9">
        <w:rPr>
          <w:rFonts w:ascii="Arial" w:hAnsi="Arial" w:cs="Arial"/>
          <w:b/>
          <w:bCs/>
          <w:color w:val="000000" w:themeColor="text1"/>
        </w:rPr>
        <w:t>”</w:t>
      </w:r>
      <w:r w:rsidRPr="00D426F9">
        <w:rPr>
          <w:rFonts w:ascii="Arial" w:hAnsi="Arial" w:cs="Arial"/>
          <w:color w:val="000000" w:themeColor="text1"/>
        </w:rPr>
        <w:t xml:space="preserve"> są narastającymi wskaźnikami cen opublikowanymi przez Prezesa GUS w Dziedzinowej Bazie Wiedzy obowiązującymi w dacie zawarcia umowy pomiędzy Wykonawcą a Podwykonawcą lub Podwykonawcą a dalszym Podwykonawcą.</w:t>
      </w:r>
    </w:p>
    <w:p w14:paraId="5F7C89C7" w14:textId="77777777" w:rsidR="00894A44" w:rsidRPr="00D426F9" w:rsidRDefault="00894A44" w:rsidP="00D426F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D426F9">
        <w:rPr>
          <w:rFonts w:ascii="Arial" w:hAnsi="Arial" w:cs="Arial"/>
          <w:color w:val="000000" w:themeColor="text1"/>
        </w:rPr>
        <w:t xml:space="preserve">Ilorazy wskaźników cen (tj. </w:t>
      </w:r>
      <m:oMath>
        <m:f>
          <m:fPr>
            <m:ctrlPr>
              <w:rPr>
                <w:rFonts w:ascii="Cambria Math" w:hAnsi="Cambria Math" w:cs="Arial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o</m:t>
            </m:r>
          </m:den>
        </m:f>
      </m:oMath>
      <w:r w:rsidRPr="00D426F9">
        <w:rPr>
          <w:rFonts w:ascii="Arial" w:hAnsi="Arial" w:cs="Arial"/>
          <w:color w:val="000000" w:themeColor="text1"/>
        </w:rPr>
        <w:t>)  dla poszczególnych zmiennych należy obliczać z dokładnością do dwóch miejsc po przecinku. Iloczyny wskaźników cen i wag (np.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b×</m:t>
        </m:r>
        <m:f>
          <m:fPr>
            <m:ctrlPr>
              <w:rPr>
                <w:rFonts w:ascii="Cambria Math" w:hAnsi="Cambria Math" w:cs="Arial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CPI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color w:val="000000" w:themeColor="text1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CPI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o</m:t>
                </m:r>
              </m:sub>
            </m:sSub>
          </m:den>
        </m:f>
      </m:oMath>
      <w:r w:rsidRPr="00D426F9">
        <w:rPr>
          <w:rFonts w:ascii="Arial" w:hAnsi="Arial" w:cs="Arial"/>
          <w:color w:val="000000" w:themeColor="text1"/>
        </w:rPr>
        <w:t>) należy obliczać z dokładnością do 6 miejsc po przecinku. Natomiast wyniki tj.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</m:t>
            </m:r>
          </m:sub>
        </m:sSub>
      </m:oMath>
      <w:r w:rsidRPr="00D426F9">
        <w:rPr>
          <w:rFonts w:ascii="Arial" w:hAnsi="Arial" w:cs="Arial"/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 w:cs="Arial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np</m:t>
            </m:r>
          </m:sub>
        </m:sSub>
      </m:oMath>
      <w:r w:rsidRPr="00D426F9">
        <w:rPr>
          <w:rFonts w:ascii="Arial" w:hAnsi="Arial" w:cs="Arial"/>
          <w:color w:val="000000" w:themeColor="text1"/>
        </w:rPr>
        <w:t xml:space="preserve"> należy obliczać z dokładnością do 4 miejsc po przecinku. </w:t>
      </w:r>
    </w:p>
    <w:p w14:paraId="706B927F" w14:textId="57F08A42" w:rsidR="00894A44" w:rsidRDefault="00894A44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  <w:r w:rsidRPr="00D426F9">
        <w:rPr>
          <w:color w:val="000000" w:themeColor="text1"/>
          <w:sz w:val="22"/>
          <w:szCs w:val="22"/>
        </w:rPr>
        <w:t>Jeżeli wynagrodzenie Wykonawcy zostało zwaloryzowane kwoty płatne Podwykonawcy lub dalszemu Podwykonawcy będą waloryzowane comiesięcznie począwszy od pierwszego rozliczenia dokonanego po upływie …..</w:t>
      </w:r>
      <w:r w:rsidRPr="00D426F9">
        <w:rPr>
          <w:rStyle w:val="Odwoanieprzypisudolnego"/>
          <w:color w:val="000000" w:themeColor="text1"/>
          <w:sz w:val="22"/>
          <w:szCs w:val="22"/>
        </w:rPr>
        <w:footnoteReference w:id="24"/>
      </w:r>
      <w:r w:rsidRPr="00D426F9">
        <w:rPr>
          <w:color w:val="000000" w:themeColor="text1"/>
          <w:sz w:val="22"/>
          <w:szCs w:val="22"/>
        </w:rPr>
        <w:t xml:space="preserve">  od daty zawarcia Umowy o podwykonawstwo, której przedmiotem są roboty budowlane</w:t>
      </w:r>
      <w:r w:rsidR="00AD6B40">
        <w:rPr>
          <w:color w:val="000000" w:themeColor="text1"/>
          <w:sz w:val="22"/>
          <w:szCs w:val="22"/>
        </w:rPr>
        <w:t xml:space="preserve">, </w:t>
      </w:r>
      <w:r w:rsidRPr="00D426F9">
        <w:rPr>
          <w:color w:val="000000" w:themeColor="text1"/>
          <w:sz w:val="22"/>
          <w:szCs w:val="22"/>
        </w:rPr>
        <w:t>usługi</w:t>
      </w:r>
      <w:r w:rsidR="00AD6B40">
        <w:rPr>
          <w:color w:val="000000" w:themeColor="text1"/>
          <w:sz w:val="22"/>
          <w:szCs w:val="22"/>
        </w:rPr>
        <w:t xml:space="preserve"> lub dostawy</w:t>
      </w:r>
      <w:r w:rsidRPr="00D426F9">
        <w:rPr>
          <w:color w:val="000000" w:themeColor="text1"/>
          <w:sz w:val="22"/>
          <w:szCs w:val="22"/>
        </w:rPr>
        <w:t>.</w:t>
      </w:r>
    </w:p>
    <w:p w14:paraId="3CC5741B" w14:textId="7E03FC9B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9FECD7A" w14:textId="3F1DB53C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1BE98A2" w14:textId="37F276E3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6BC7BC00" w14:textId="68844E86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6C554B4" w14:textId="4B4F580E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DF1E2AF" w14:textId="03922600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18C879FC" w14:textId="5DFC83EC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B5DEA99" w14:textId="1CFDBEB5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4D89F866" w14:textId="410B484E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68E1BDB6" w14:textId="3737E61B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6835E5D" w14:textId="28C81DB5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20286F6A" w14:textId="4A46F3FF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1F0B6A36" w14:textId="13F654AA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6C1AB654" w14:textId="57D193AC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1E1B21B3" w14:textId="11E89F4E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24342D8F" w14:textId="00C47F99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0D5FD059" w14:textId="2FC8AFEA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6307DEA3" w14:textId="3FF4FEBD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4DD653D" w14:textId="2C81A110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040CBCBB" w14:textId="5061ADBB" w:rsidR="00AF12D9" w:rsidRDefault="00AF12D9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4E52C01D" w14:textId="38DE1F0C" w:rsidR="00BC4F70" w:rsidRDefault="00BC4F70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3C59D5B8" w14:textId="77777777" w:rsidR="00BC4F70" w:rsidRDefault="00BC4F70" w:rsidP="00D426F9">
      <w:pPr>
        <w:pStyle w:val="numerowanie"/>
        <w:spacing w:line="360" w:lineRule="auto"/>
        <w:rPr>
          <w:color w:val="000000" w:themeColor="text1"/>
          <w:sz w:val="22"/>
          <w:szCs w:val="22"/>
        </w:rPr>
      </w:pPr>
    </w:p>
    <w:p w14:paraId="723F9891" w14:textId="08048BC5" w:rsidR="00AF12D9" w:rsidRPr="00BC4F70" w:rsidRDefault="00D426F9" w:rsidP="00AF1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C4F70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Klauzula waloryzacyjna stosowana w umowach </w:t>
      </w:r>
    </w:p>
    <w:p w14:paraId="50AE1945" w14:textId="7BB88E7F" w:rsidR="00D426F9" w:rsidRPr="00BC4F70" w:rsidRDefault="00D426F9" w:rsidP="00AF1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C4F7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zawieranych przez PKP Polskie Linie Kolejowe S.A. </w:t>
      </w:r>
    </w:p>
    <w:p w14:paraId="420C58F0" w14:textId="77777777" w:rsidR="00D426F9" w:rsidRPr="004A3FA0" w:rsidRDefault="00D426F9" w:rsidP="00D426F9">
      <w:pPr>
        <w:jc w:val="both"/>
        <w:rPr>
          <w:rFonts w:ascii="Arial" w:hAnsi="Arial" w:cs="Arial"/>
          <w:color w:val="000000" w:themeColor="text1"/>
        </w:rPr>
      </w:pPr>
    </w:p>
    <w:p w14:paraId="6EBCC61A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Kwoty płatne Wykonawcy będą korygowane dla oddania wzrostów lub spadków cen zgodnie z niniejszym paragrafem. W zakresie, w jakim rekompensata za wzrost lub spadek cen, nie jest objęta postanowieniami niniejszego lub innych zapisów Umowy, będzie się uważało, że Wynagrodzenie uwzględnia wzrosty lub spadki cen. Waloryzacji – zgodnie z postanowieniami niniejszego paragrafu - nie podlegają wartości wprowadzone do Umowy na podstawie § X Umowy oraz przepisów ustawy Pzp. </w:t>
      </w:r>
    </w:p>
    <w:p w14:paraId="5B08C842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Waloryzacja będzie się odbywać w oparciu o podane w niniejszym paragrafie wskaźniki cen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25"/>
      </w:r>
      <w:r w:rsidRPr="00AF12D9">
        <w:rPr>
          <w:color w:val="000000" w:themeColor="text1"/>
          <w:sz w:val="22"/>
          <w:szCs w:val="22"/>
        </w:rPr>
        <w:t xml:space="preserve"> wyrobów publikowane przez Prezesa Głównego Urzędu Statystycznego, zwanego dalej „Prezesem GUS” w Dziedzinowej Bazy Wiedzy, tj.: </w:t>
      </w:r>
    </w:p>
    <w:p w14:paraId="7AF76CB5" w14:textId="77777777" w:rsidR="00D426F9" w:rsidRPr="00AF12D9" w:rsidRDefault="00D426F9" w:rsidP="00AF12D9">
      <w:pPr>
        <w:pStyle w:val="Default"/>
        <w:numPr>
          <w:ilvl w:val="0"/>
          <w:numId w:val="6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Cen towarów i usług konsumpcyjnych (jako CPI); </w:t>
      </w:r>
    </w:p>
    <w:p w14:paraId="011248B4" w14:textId="77777777" w:rsidR="00D426F9" w:rsidRPr="00AF12D9" w:rsidRDefault="00D426F9" w:rsidP="00AF12D9">
      <w:pPr>
        <w:pStyle w:val="Default"/>
        <w:numPr>
          <w:ilvl w:val="0"/>
          <w:numId w:val="6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Przeciętne wynagrodzenia miesięczne brutto w sektorze przedsiębiorstw - budowa obiektów inżynierii lądowej i wodnej (jako robocizna - R);</w:t>
      </w:r>
    </w:p>
    <w:p w14:paraId="357BD910" w14:textId="77777777" w:rsidR="00D426F9" w:rsidRPr="00AF12D9" w:rsidRDefault="00D426F9" w:rsidP="00AF12D9">
      <w:pPr>
        <w:pStyle w:val="Default"/>
        <w:spacing w:line="360" w:lineRule="auto"/>
        <w:ind w:left="709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oraz miesięczne Wskaźniki cen produkcji sprzedanej wyrobów przemysłowych: </w:t>
      </w:r>
    </w:p>
    <w:p w14:paraId="6B431314" w14:textId="77777777" w:rsidR="00D426F9" w:rsidRPr="00AF12D9" w:rsidRDefault="00D426F9" w:rsidP="00AF12D9">
      <w:pPr>
        <w:pStyle w:val="Default"/>
        <w:numPr>
          <w:ilvl w:val="0"/>
          <w:numId w:val="7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Brykiety i podobne paliwa stałe z węgla i torfu oraz produkty rafinacji ropy naftowej (jako paliwo - P) – indeks 19.2; </w:t>
      </w:r>
    </w:p>
    <w:p w14:paraId="073FCA86" w14:textId="77777777" w:rsidR="00D426F9" w:rsidRPr="00AF12D9" w:rsidRDefault="00D426F9" w:rsidP="00AF12D9">
      <w:pPr>
        <w:pStyle w:val="Default"/>
        <w:numPr>
          <w:ilvl w:val="0"/>
          <w:numId w:val="7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Cement, wapno i gips (jako cement - C) – indeks 23.5; </w:t>
      </w:r>
    </w:p>
    <w:p w14:paraId="35492BA8" w14:textId="77777777" w:rsidR="00D426F9" w:rsidRPr="00AF12D9" w:rsidRDefault="00D426F9" w:rsidP="00AF12D9">
      <w:pPr>
        <w:pStyle w:val="Default"/>
        <w:numPr>
          <w:ilvl w:val="0"/>
          <w:numId w:val="7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Żeliwa, stal i żelazostopy (jako stal - S) – indeks 24.1; </w:t>
      </w:r>
    </w:p>
    <w:p w14:paraId="531C8F9E" w14:textId="77777777" w:rsidR="00D426F9" w:rsidRPr="00AF12D9" w:rsidRDefault="00D426F9" w:rsidP="00AF12D9">
      <w:pPr>
        <w:pStyle w:val="Default"/>
        <w:numPr>
          <w:ilvl w:val="0"/>
          <w:numId w:val="7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Kamienia, piasku i gliny (jako kruszywo - K) – indeks 08.1; </w:t>
      </w:r>
    </w:p>
    <w:p w14:paraId="09BE7419" w14:textId="77777777" w:rsidR="00D426F9" w:rsidRPr="00AF12D9" w:rsidRDefault="00D426F9" w:rsidP="00AF12D9">
      <w:pPr>
        <w:pStyle w:val="Default"/>
        <w:numPr>
          <w:ilvl w:val="0"/>
          <w:numId w:val="7"/>
        </w:numPr>
        <w:spacing w:line="360" w:lineRule="auto"/>
        <w:ind w:left="993" w:hanging="284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Metale szlachetne i pozostałe metale nieżelazne (jako miedź - M) – indeks 24.4. </w:t>
      </w:r>
    </w:p>
    <w:p w14:paraId="6A78926F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W przypadku, gdyby którykolwiek z wyżej wymienionych wskaźników przestał być dostępny, zastosowanie znajdzie inny, najbardziej zbliżony, wskaźnik publikowany przez Prezesa GUS. </w:t>
      </w:r>
    </w:p>
    <w:p w14:paraId="2E96A4BC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Kwoty płatne Wykonawcy będą waloryzowane miesięcznie począwszy od miesiąca, za który dokonano odbioru częściowego za wykonane roboty budowlane oraz w którym dochodzi do zmiany cen lub kosztów wyliczonej zgodnie ze wzorem poniżej do wystawienia faktury, w którym łączna wartość korekt dla oddania wzrostu lub spadku cen, wynikających z niniejszego paragrafu, osiągnie limit +/- ……%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26"/>
      </w:r>
      <w:r w:rsidRPr="00AF12D9">
        <w:rPr>
          <w:color w:val="000000" w:themeColor="text1"/>
          <w:sz w:val="22"/>
          <w:szCs w:val="22"/>
        </w:rPr>
        <w:t xml:space="preserve"> wartości Robót netto wskazanej w Umowie w dniu jej zawarcia. Waloryzacji będą podlegać jedynie kwoty poświadczone w protokołach odbioru częściowego wystawionych za Dokumenty i Roboty wykonane w terminie końcowym wykonania Umowy. Od …….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27"/>
      </w:r>
      <w:r w:rsidRPr="00AF12D9">
        <w:rPr>
          <w:color w:val="000000" w:themeColor="text1"/>
          <w:sz w:val="22"/>
          <w:szCs w:val="22"/>
        </w:rPr>
        <w:t xml:space="preserve"> dnia przed upływem terminu końcowego wykonania Umowy </w:t>
      </w:r>
      <w:r w:rsidRPr="00AF12D9">
        <w:rPr>
          <w:color w:val="000000" w:themeColor="text1"/>
          <w:sz w:val="22"/>
          <w:szCs w:val="22"/>
        </w:rPr>
        <w:lastRenderedPageBreak/>
        <w:t>waloryzacja będzie dokonywana przy zastosowaniu wskaźników obowiązujących na ……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28"/>
      </w:r>
      <w:r w:rsidRPr="00AF12D9">
        <w:rPr>
          <w:color w:val="000000" w:themeColor="text1"/>
          <w:sz w:val="22"/>
          <w:szCs w:val="22"/>
        </w:rPr>
        <w:t xml:space="preserve"> dni przed upływem terminu końcowego wykonania Umowy. Po tym terminie, wskaźniki z tabeli Koszyk Waloryzacyjny nie będą podlegały dalszym zmianom. </w:t>
      </w:r>
    </w:p>
    <w:p w14:paraId="643A962A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Kwoty płatne Wykonawcy podlegać będą waloryzacji o współczynnik zmiany cen (</w:t>
      </w:r>
      <w:r w:rsidRPr="00AF12D9">
        <w:rPr>
          <w:rFonts w:ascii="Cambria Math" w:hAnsi="Cambria Math" w:cs="Cambria Math"/>
          <w:color w:val="000000" w:themeColor="text1"/>
          <w:sz w:val="22"/>
          <w:szCs w:val="22"/>
        </w:rPr>
        <w:t>𝑊𝐺𝑛</w:t>
      </w:r>
      <w:r w:rsidRPr="00AF12D9">
        <w:rPr>
          <w:color w:val="000000" w:themeColor="text1"/>
          <w:sz w:val="22"/>
          <w:szCs w:val="22"/>
        </w:rPr>
        <w:t>) wyliczony według wzoru:</w:t>
      </w:r>
    </w:p>
    <w:p w14:paraId="262C7D27" w14:textId="61F3C04E" w:rsidR="00D426F9" w:rsidRPr="00AF12D9" w:rsidRDefault="00D426F9" w:rsidP="007C35D4">
      <w:pPr>
        <w:spacing w:line="360" w:lineRule="auto"/>
        <w:ind w:firstLine="708"/>
        <w:jc w:val="center"/>
        <w:rPr>
          <w:rFonts w:ascii="Arial" w:hAnsi="Arial" w:cs="Arial"/>
          <w:b/>
          <w:bCs/>
          <w:color w:val="000000" w:themeColor="text1"/>
        </w:rPr>
      </w:pPr>
      <w:bookmarkStart w:id="14" w:name="OLE_LINK1"/>
      <w:r w:rsidRPr="00AF12D9">
        <w:rPr>
          <w:rFonts w:ascii="Cambria Math" w:hAnsi="Cambria Math" w:cs="Cambria Math"/>
          <w:b/>
          <w:bCs/>
          <w:color w:val="000000" w:themeColor="text1"/>
        </w:rPr>
        <w:t>𝑊</w:t>
      </w:r>
      <w:r w:rsidRPr="00AF12D9">
        <w:rPr>
          <w:rFonts w:ascii="Cambria Math" w:hAnsi="Cambria Math" w:cs="Cambria Math"/>
          <w:b/>
          <w:bCs/>
          <w:color w:val="000000" w:themeColor="text1"/>
          <w:vertAlign w:val="subscript"/>
        </w:rPr>
        <w:t>𝐺𝑛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=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𝑎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𝑏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CPIn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CPIo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𝑐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Rn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Ro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𝑑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Pn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Po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𝑒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Cn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Co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>+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𝑓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Sn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So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𝑔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Kn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Ko</m:t>
            </m:r>
          </m:den>
        </m:f>
      </m:oMath>
      <w:r w:rsidRPr="00AF12D9">
        <w:rPr>
          <w:rFonts w:ascii="Arial" w:hAnsi="Arial" w:cs="Arial"/>
          <w:b/>
          <w:bCs/>
          <w:color w:val="000000" w:themeColor="text1"/>
        </w:rPr>
        <w:t xml:space="preserve"> + </w:t>
      </w:r>
      <w:r w:rsidRPr="00AF12D9">
        <w:rPr>
          <w:rFonts w:ascii="Cambria Math" w:hAnsi="Cambria Math" w:cs="Cambria Math"/>
          <w:b/>
          <w:bCs/>
          <w:color w:val="000000" w:themeColor="text1"/>
        </w:rPr>
        <w:t>ℎ</w:t>
      </w:r>
      <w:r w:rsidRPr="00AF12D9">
        <w:rPr>
          <w:rFonts w:ascii="Arial" w:hAnsi="Arial" w:cs="Arial"/>
          <w:b/>
          <w:bCs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Mn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</w:rPr>
              <m:t>Mo</m:t>
            </m:r>
          </m:den>
        </m:f>
      </m:oMath>
    </w:p>
    <w:bookmarkEnd w:id="14"/>
    <w:p w14:paraId="13C9FB8A" w14:textId="77777777" w:rsidR="00D426F9" w:rsidRPr="00AF12D9" w:rsidRDefault="00D426F9" w:rsidP="00AF12D9">
      <w:pPr>
        <w:pStyle w:val="Default"/>
        <w:spacing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gdzie: </w:t>
      </w:r>
    </w:p>
    <w:p w14:paraId="46C3A3B7" w14:textId="7CD6FF9A" w:rsidR="00D426F9" w:rsidRPr="00AF12D9" w:rsidRDefault="00AF12D9" w:rsidP="00AF12D9">
      <w:pPr>
        <w:pStyle w:val="Default"/>
        <w:spacing w:line="360" w:lineRule="auto"/>
        <w:ind w:left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–</w:t>
      </w:r>
      <w:r w:rsidRPr="00AF12D9">
        <w:rPr>
          <w:b/>
          <w:bCs/>
          <w:color w:val="000000" w:themeColor="text1"/>
          <w:sz w:val="22"/>
          <w:szCs w:val="22"/>
        </w:rPr>
        <w:t xml:space="preserve"> </w:t>
      </w:r>
      <w:r w:rsidR="00D426F9" w:rsidRPr="00AF12D9">
        <w:rPr>
          <w:b/>
          <w:bCs/>
          <w:color w:val="000000" w:themeColor="text1"/>
          <w:sz w:val="22"/>
          <w:szCs w:val="22"/>
        </w:rPr>
        <w:t>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𝑊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  <w:vertAlign w:val="subscript"/>
        </w:rPr>
        <w:t>𝐺𝑛</w:t>
      </w:r>
      <w:r w:rsidR="00D426F9" w:rsidRPr="00AF12D9">
        <w:rPr>
          <w:b/>
          <w:bCs/>
          <w:color w:val="000000" w:themeColor="text1"/>
          <w:sz w:val="22"/>
          <w:szCs w:val="22"/>
        </w:rPr>
        <w:t>”</w:t>
      </w:r>
      <w:r w:rsidR="00D426F9" w:rsidRPr="00AF12D9">
        <w:rPr>
          <w:color w:val="000000" w:themeColor="text1"/>
          <w:sz w:val="22"/>
          <w:szCs w:val="22"/>
        </w:rPr>
        <w:t xml:space="preserve"> jest mnożnikiem korygującym, do zastosowania w stosunku do szacunkowej kontraktowej wartości pracy wykonanej w okresie „</w:t>
      </w:r>
      <w:r w:rsidR="00D426F9" w:rsidRPr="00AF12D9">
        <w:rPr>
          <w:rFonts w:ascii="Cambria Math" w:hAnsi="Cambria Math" w:cs="Cambria Math"/>
          <w:color w:val="000000" w:themeColor="text1"/>
          <w:sz w:val="22"/>
          <w:szCs w:val="22"/>
        </w:rPr>
        <w:t>𝑛</w:t>
      </w:r>
      <w:r w:rsidR="00D426F9" w:rsidRPr="00AF12D9">
        <w:rPr>
          <w:color w:val="000000" w:themeColor="text1"/>
          <w:sz w:val="22"/>
          <w:szCs w:val="22"/>
        </w:rPr>
        <w:t xml:space="preserve">”; przy czym okresem tym jest miesiąc, jeśli nie jest inaczej podane w Umowie; </w:t>
      </w:r>
    </w:p>
    <w:p w14:paraId="5A6C815D" w14:textId="538D0F3C" w:rsidR="00D426F9" w:rsidRPr="00AF12D9" w:rsidRDefault="00AF12D9" w:rsidP="00AF12D9">
      <w:pPr>
        <w:pStyle w:val="Default"/>
        <w:spacing w:after="133" w:line="360" w:lineRule="auto"/>
        <w:ind w:firstLine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–</w:t>
      </w:r>
      <w:r w:rsidRPr="00AF12D9">
        <w:rPr>
          <w:b/>
          <w:bCs/>
          <w:color w:val="000000" w:themeColor="text1"/>
          <w:sz w:val="22"/>
          <w:szCs w:val="22"/>
        </w:rPr>
        <w:t xml:space="preserve"> </w:t>
      </w:r>
      <w:r w:rsidR="00D426F9" w:rsidRPr="00AF12D9">
        <w:rPr>
          <w:b/>
          <w:bCs/>
          <w:color w:val="000000" w:themeColor="text1"/>
          <w:sz w:val="22"/>
          <w:szCs w:val="22"/>
        </w:rPr>
        <w:t>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𝑎</w:t>
      </w:r>
      <w:r w:rsidR="00D426F9" w:rsidRPr="00AF12D9">
        <w:rPr>
          <w:b/>
          <w:bCs/>
          <w:color w:val="000000" w:themeColor="text1"/>
          <w:sz w:val="22"/>
          <w:szCs w:val="22"/>
        </w:rPr>
        <w:t>”</w:t>
      </w:r>
      <w:r w:rsidR="00D426F9" w:rsidRPr="00AF12D9">
        <w:rPr>
          <w:color w:val="000000" w:themeColor="text1"/>
          <w:sz w:val="22"/>
          <w:szCs w:val="22"/>
        </w:rPr>
        <w:t xml:space="preserve"> jest stałym współczynnikiem o wartości: …… (….%)</w:t>
      </w:r>
      <w:r w:rsidR="00D426F9" w:rsidRPr="00AF12D9">
        <w:rPr>
          <w:rStyle w:val="Odwoanieprzypisudolnego"/>
          <w:color w:val="000000" w:themeColor="text1"/>
          <w:sz w:val="22"/>
          <w:szCs w:val="22"/>
        </w:rPr>
        <w:footnoteReference w:id="29"/>
      </w:r>
      <w:r w:rsidR="00D426F9" w:rsidRPr="00AF12D9">
        <w:rPr>
          <w:color w:val="000000" w:themeColor="text1"/>
          <w:sz w:val="22"/>
          <w:szCs w:val="22"/>
        </w:rPr>
        <w:t xml:space="preserve">  niepodlegającym korekcie; </w:t>
      </w:r>
    </w:p>
    <w:p w14:paraId="0FABBD7B" w14:textId="507806EF" w:rsidR="00D426F9" w:rsidRPr="00AF12D9" w:rsidRDefault="00AF12D9" w:rsidP="00AF12D9">
      <w:pPr>
        <w:pStyle w:val="Default"/>
        <w:spacing w:after="133" w:line="360" w:lineRule="auto"/>
        <w:ind w:left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–</w:t>
      </w:r>
      <w:r w:rsidRPr="00AF12D9">
        <w:rPr>
          <w:b/>
          <w:bCs/>
          <w:color w:val="000000" w:themeColor="text1"/>
          <w:sz w:val="22"/>
          <w:szCs w:val="22"/>
        </w:rPr>
        <w:t xml:space="preserve"> </w:t>
      </w:r>
      <w:r w:rsidR="00D426F9" w:rsidRPr="00AF12D9">
        <w:rPr>
          <w:b/>
          <w:bCs/>
          <w:color w:val="000000" w:themeColor="text1"/>
          <w:sz w:val="22"/>
          <w:szCs w:val="22"/>
        </w:rPr>
        <w:t>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𝑏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𝑐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𝑑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𝑒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𝑓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𝑔</w:t>
      </w:r>
      <w:r w:rsidR="00D426F9" w:rsidRPr="00AF12D9">
        <w:rPr>
          <w:b/>
          <w:bCs/>
          <w:color w:val="000000" w:themeColor="text1"/>
          <w:sz w:val="22"/>
          <w:szCs w:val="22"/>
        </w:rPr>
        <w:t>”, „</w:t>
      </w:r>
      <w:r w:rsidR="00D426F9"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ℎ</w:t>
      </w:r>
      <w:r w:rsidR="00D426F9" w:rsidRPr="00AF12D9">
        <w:rPr>
          <w:b/>
          <w:bCs/>
          <w:color w:val="000000" w:themeColor="text1"/>
          <w:sz w:val="22"/>
          <w:szCs w:val="22"/>
        </w:rPr>
        <w:t>”</w:t>
      </w:r>
      <w:r w:rsidR="00D426F9" w:rsidRPr="00AF12D9">
        <w:rPr>
          <w:color w:val="000000" w:themeColor="text1"/>
          <w:sz w:val="22"/>
          <w:szCs w:val="22"/>
        </w:rPr>
        <w:t xml:space="preserve"> są współczynnikami stałymi określonymi w tabeli Koszyk Waloryzacyjny, niepodlegającymi korekcie, z zastrzeżeniem sytuacji gdy Zamawiający stanie się dostawcą któregokolwiek z elementów robót ujętych w tabeli Koszyk Waloryzacyjny, wówczas waga tego elementu zostanie przyjęta jako „0” we wzorze na </w:t>
      </w:r>
      <w:r w:rsidR="00D426F9" w:rsidRPr="00AF12D9">
        <w:rPr>
          <w:rFonts w:ascii="Cambria Math" w:hAnsi="Cambria Math" w:cs="Cambria Math"/>
          <w:color w:val="000000" w:themeColor="text1"/>
          <w:sz w:val="22"/>
          <w:szCs w:val="22"/>
        </w:rPr>
        <w:t>𝑊</w:t>
      </w:r>
      <w:r w:rsidR="00D426F9" w:rsidRPr="00AF12D9">
        <w:rPr>
          <w:rFonts w:ascii="Cambria Math" w:hAnsi="Cambria Math" w:cs="Cambria Math"/>
          <w:color w:val="000000" w:themeColor="text1"/>
          <w:sz w:val="22"/>
          <w:szCs w:val="22"/>
          <w:vertAlign w:val="subscript"/>
        </w:rPr>
        <w:t>𝐺𝑛</w:t>
      </w:r>
      <w:r w:rsidR="00D426F9" w:rsidRPr="00AF12D9">
        <w:rPr>
          <w:color w:val="000000" w:themeColor="text1"/>
          <w:sz w:val="22"/>
          <w:szCs w:val="22"/>
        </w:rPr>
        <w:t xml:space="preserve">; W takim przypadku waga CPI zostanie powiększona o wartość wagi, która została przyjęta jako „0”, tak aby suma wartości wszystkich wag z Koszyka Waloryzacyjnego wynosiła ……. </w:t>
      </w:r>
      <w:r w:rsidR="00D426F9" w:rsidRPr="00AF12D9">
        <w:rPr>
          <w:rStyle w:val="Odwoanieprzypisudolnego"/>
          <w:color w:val="000000" w:themeColor="text1"/>
          <w:sz w:val="22"/>
          <w:szCs w:val="22"/>
        </w:rPr>
        <w:footnoteReference w:id="30"/>
      </w:r>
      <w:r w:rsidR="00D426F9" w:rsidRPr="00AF12D9">
        <w:rPr>
          <w:color w:val="000000" w:themeColor="text1"/>
          <w:sz w:val="22"/>
          <w:szCs w:val="22"/>
        </w:rPr>
        <w:t xml:space="preserve">; </w:t>
      </w:r>
    </w:p>
    <w:p w14:paraId="4A90D25A" w14:textId="77777777" w:rsidR="00D426F9" w:rsidRPr="00AF12D9" w:rsidRDefault="00D426F9" w:rsidP="00AF12D9">
      <w:pPr>
        <w:pStyle w:val="Default"/>
        <w:spacing w:after="133" w:line="360" w:lineRule="auto"/>
        <w:ind w:left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– symbole wskaźnika z indexem dolnym „</w:t>
      </w:r>
      <w:r w:rsidRPr="00AF12D9">
        <w:rPr>
          <w:rFonts w:ascii="Cambria Math" w:hAnsi="Cambria Math" w:cs="Cambria Math"/>
          <w:color w:val="000000" w:themeColor="text1"/>
          <w:sz w:val="22"/>
          <w:szCs w:val="22"/>
        </w:rPr>
        <w:t>𝑛</w:t>
      </w:r>
      <w:r w:rsidRPr="00AF12D9">
        <w:rPr>
          <w:color w:val="000000" w:themeColor="text1"/>
          <w:sz w:val="22"/>
          <w:szCs w:val="22"/>
        </w:rPr>
        <w:t>” są narastającymi wskaźnikami kosztu bieżącego okresu (cenami porównawczymi dla okresu „</w:t>
      </w:r>
      <w:r w:rsidRPr="00AF12D9">
        <w:rPr>
          <w:rFonts w:ascii="Cambria Math" w:hAnsi="Cambria Math" w:cs="Cambria Math"/>
          <w:color w:val="000000" w:themeColor="text1"/>
          <w:sz w:val="22"/>
          <w:szCs w:val="22"/>
        </w:rPr>
        <w:t>𝑛</w:t>
      </w:r>
      <w:r w:rsidRPr="00AF12D9">
        <w:rPr>
          <w:color w:val="000000" w:themeColor="text1"/>
          <w:sz w:val="22"/>
          <w:szCs w:val="22"/>
        </w:rPr>
        <w:t xml:space="preserve">”), publikowanymi przez Prezesa GUS w Dziedzinowej Bazie Wiedzy obowiązującymi w danym okresie rozliczeniowym; </w:t>
      </w:r>
    </w:p>
    <w:p w14:paraId="30E2A927" w14:textId="658E6070" w:rsidR="00D426F9" w:rsidRDefault="00D426F9" w:rsidP="00AF12D9">
      <w:pPr>
        <w:pStyle w:val="Default"/>
        <w:spacing w:line="360" w:lineRule="auto"/>
        <w:ind w:left="708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>– symbole wskaźnika z indexem dolnym „</w:t>
      </w:r>
      <w:r w:rsidRPr="00AF12D9">
        <w:rPr>
          <w:rFonts w:ascii="Cambria Math" w:hAnsi="Cambria Math" w:cs="Cambria Math"/>
          <w:color w:val="000000" w:themeColor="text1"/>
          <w:sz w:val="22"/>
          <w:szCs w:val="22"/>
        </w:rPr>
        <w:t>𝑜</w:t>
      </w:r>
      <w:r w:rsidRPr="00AF12D9">
        <w:rPr>
          <w:color w:val="000000" w:themeColor="text1"/>
          <w:sz w:val="22"/>
          <w:szCs w:val="22"/>
        </w:rPr>
        <w:t xml:space="preserve">” są wskaźnikami kosztu odniesienia (cenami odniesienia) na Datę Odniesienia, publikowanymi przez Prezesa GUS w Dziedzinowej Bazie Wiedzy obowiązującymi w danym okresie rozliczeniowym. </w:t>
      </w:r>
    </w:p>
    <w:p w14:paraId="22169B41" w14:textId="584EDC09" w:rsidR="00AF12D9" w:rsidRDefault="00AF12D9" w:rsidP="00AF12D9">
      <w:pPr>
        <w:pStyle w:val="Default"/>
        <w:spacing w:line="360" w:lineRule="auto"/>
        <w:ind w:left="708"/>
        <w:jc w:val="both"/>
        <w:rPr>
          <w:color w:val="000000" w:themeColor="text1"/>
          <w:sz w:val="22"/>
          <w:szCs w:val="22"/>
        </w:rPr>
      </w:pPr>
    </w:p>
    <w:p w14:paraId="4AEECFAE" w14:textId="6B8A667E" w:rsidR="00AF12D9" w:rsidRDefault="00AF12D9" w:rsidP="0049196F">
      <w:pPr>
        <w:pStyle w:val="Default"/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378AF333" w14:textId="64CB87FB" w:rsidR="00B66322" w:rsidRDefault="00B66322" w:rsidP="0049196F">
      <w:pPr>
        <w:pStyle w:val="Default"/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6F2C9D25" w14:textId="77777777" w:rsidR="00B66322" w:rsidRPr="00AF12D9" w:rsidRDefault="00B66322" w:rsidP="0049196F">
      <w:pPr>
        <w:pStyle w:val="Default"/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02800A93" w14:textId="77777777" w:rsidR="00D426F9" w:rsidRPr="00AF12D9" w:rsidRDefault="00D426F9" w:rsidP="00AF12D9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ela-Siatka"/>
        <w:tblW w:w="8257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096"/>
        <w:gridCol w:w="2100"/>
        <w:gridCol w:w="2100"/>
        <w:gridCol w:w="1961"/>
      </w:tblGrid>
      <w:tr w:rsidR="00D426F9" w:rsidRPr="00AF12D9" w14:paraId="10386D9A" w14:textId="77777777" w:rsidTr="00AF12D9">
        <w:trPr>
          <w:trHeight w:val="196"/>
        </w:trPr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5224EDF" w14:textId="351305D5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bookmarkStart w:id="15" w:name="OLE_LINK4"/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Tabela </w:t>
            </w:r>
            <w:r w:rsidR="00AF12D9">
              <w:rPr>
                <w:b/>
                <w:bCs/>
                <w:color w:val="000000" w:themeColor="text1"/>
                <w:sz w:val="22"/>
                <w:szCs w:val="22"/>
              </w:rPr>
              <w:t xml:space="preserve">– </w:t>
            </w:r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t>Koszyk Waloryzacyjny</w:t>
            </w:r>
            <w:r w:rsidRPr="00AF12D9">
              <w:rPr>
                <w:rStyle w:val="Odwoanieprzypisudolnego"/>
                <w:b/>
                <w:bCs/>
                <w:color w:val="000000" w:themeColor="text1"/>
                <w:sz w:val="22"/>
                <w:szCs w:val="22"/>
              </w:rPr>
              <w:footnoteReference w:id="31"/>
            </w:r>
          </w:p>
        </w:tc>
      </w:tr>
      <w:tr w:rsidR="00D426F9" w:rsidRPr="00AF12D9" w14:paraId="56023768" w14:textId="77777777" w:rsidTr="00AF12D9">
        <w:trPr>
          <w:trHeight w:val="263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FD153F9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t xml:space="preserve">Wskaźnik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C8F5A65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t xml:space="preserve">Symbol / indeks wskaźnika GUS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28BE29C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t xml:space="preserve">Współczynnik stały dla danego wskaźnika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B812F58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b/>
                <w:bCs/>
                <w:color w:val="000000" w:themeColor="text1"/>
                <w:sz w:val="22"/>
                <w:szCs w:val="22"/>
              </w:rPr>
              <w:t xml:space="preserve">Wartość współczynnika stałego dla danego wskaźnika [%] </w:t>
            </w:r>
          </w:p>
        </w:tc>
      </w:tr>
      <w:tr w:rsidR="00D426F9" w:rsidRPr="00AF12D9" w14:paraId="213B1B2B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E14751D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CPI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1DD9554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CPI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CB68F69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2A86518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2"/>
            </w:r>
          </w:p>
        </w:tc>
      </w:tr>
      <w:tr w:rsidR="00D426F9" w:rsidRPr="00AF12D9" w14:paraId="4AF408C3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38E051A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robocizna - R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A66B766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1968EC2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7EF85FD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3"/>
            </w:r>
          </w:p>
        </w:tc>
      </w:tr>
      <w:tr w:rsidR="00D426F9" w:rsidRPr="00AF12D9" w14:paraId="1B2659BA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F00F01E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paliwo- P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208691E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P / 19.2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7B582E9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96BE468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4"/>
            </w:r>
          </w:p>
        </w:tc>
      </w:tr>
      <w:tr w:rsidR="00D426F9" w:rsidRPr="00AF12D9" w14:paraId="5C5A6C9A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94CF649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cement – C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8910D77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C / 23.5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FBE3186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E7EAA5B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….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5"/>
            </w:r>
            <w:r w:rsidRPr="00AF12D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426F9" w:rsidRPr="00AF12D9" w14:paraId="53B95C3B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405406A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stal – S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884EEA3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S / 24.1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EC3ABAD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39DB1C4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6"/>
            </w:r>
          </w:p>
        </w:tc>
      </w:tr>
      <w:tr w:rsidR="00D426F9" w:rsidRPr="00AF12D9" w14:paraId="36214B65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9142DD6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kruszywo - K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62F1B85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K / 08.1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83FA0AC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C03BAC6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7"/>
            </w:r>
          </w:p>
        </w:tc>
      </w:tr>
      <w:tr w:rsidR="00D426F9" w:rsidRPr="00AF12D9" w14:paraId="4F93B4EC" w14:textId="77777777" w:rsidTr="00AF12D9">
        <w:trPr>
          <w:trHeight w:val="59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6563922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miedź - M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4DAA638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M / 24.4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3277627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BEC9EC4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….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8"/>
            </w:r>
            <w:r w:rsidRPr="00AF12D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426F9" w:rsidRPr="00AF12D9" w14:paraId="156C6A1A" w14:textId="77777777" w:rsidTr="00AF12D9">
        <w:trPr>
          <w:trHeight w:val="59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09094E7" w14:textId="77777777" w:rsidR="00D426F9" w:rsidRPr="00AF12D9" w:rsidRDefault="00D426F9" w:rsidP="00AF12D9">
            <w:pPr>
              <w:pStyle w:val="Default"/>
              <w:spacing w:line="36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>SUMA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5AD5395" w14:textId="77777777" w:rsidR="00D426F9" w:rsidRPr="00AF12D9" w:rsidRDefault="00D426F9" w:rsidP="00AF12D9">
            <w:pPr>
              <w:pStyle w:val="Default"/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AF12D9">
              <w:rPr>
                <w:color w:val="000000" w:themeColor="text1"/>
                <w:sz w:val="22"/>
                <w:szCs w:val="22"/>
              </w:rPr>
              <w:t xml:space="preserve">…. </w:t>
            </w:r>
            <w:r w:rsidRPr="00AF12D9">
              <w:rPr>
                <w:rStyle w:val="Odwoanieprzypisudolnego"/>
                <w:color w:val="000000" w:themeColor="text1"/>
                <w:sz w:val="22"/>
                <w:szCs w:val="22"/>
              </w:rPr>
              <w:footnoteReference w:id="39"/>
            </w:r>
          </w:p>
        </w:tc>
      </w:tr>
      <w:bookmarkEnd w:id="15"/>
    </w:tbl>
    <w:p w14:paraId="7B2F1B5E" w14:textId="77777777" w:rsidR="00D426F9" w:rsidRPr="00AF12D9" w:rsidRDefault="00D426F9" w:rsidP="00AF12D9">
      <w:pPr>
        <w:pStyle w:val="Default"/>
        <w:spacing w:line="360" w:lineRule="auto"/>
        <w:ind w:left="720"/>
        <w:jc w:val="both"/>
        <w:rPr>
          <w:color w:val="000000" w:themeColor="text1"/>
          <w:sz w:val="22"/>
          <w:szCs w:val="22"/>
        </w:rPr>
      </w:pPr>
    </w:p>
    <w:p w14:paraId="5939E0A1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W przypadku braku aktualnych wskaźników (publikacja wskaźników w biuletynach GUS odbywa się z opóźnieniem) waloryzacja z bieżącego okresu rozliczeniowego zostanie wyliczona, gdy Prezes GUS ogłosi wskaźniki dla danego miesiąca objętego protokołem odbioru częściowego. Przygotowując protokół odbioru częściowego, Wykonawca obliczy wstępne wartości zwaloryzowanych kwot poświadczonych w każdym protokole odbioru częściowego, zrealizowanych w każdym miesiącu, używając ostatniego z opublikowanych miesięcznych wskaźników GUS. Ustalone w ten sposób wartości będą skorygowane z zastosowaniem wskaźników GUS dotyczących miesiąca, za który wystawiony był protokół odbioru częściowego, niezwłocznie po ich publikacji. </w:t>
      </w:r>
      <w:r w:rsidRPr="00AF12D9">
        <w:rPr>
          <w:sz w:val="22"/>
          <w:szCs w:val="22"/>
        </w:rPr>
        <w:t>Waloryzacja o współczynnik zmiany cen (</w:t>
      </w:r>
      <w:r w:rsidRPr="00AF12D9">
        <w:rPr>
          <w:rFonts w:ascii="Cambria Math" w:hAnsi="Cambria Math" w:cs="Cambria Math"/>
          <w:sz w:val="22"/>
          <w:szCs w:val="22"/>
        </w:rPr>
        <w:t>𝑊𝐺𝑛</w:t>
      </w:r>
      <w:r w:rsidRPr="00AF12D9">
        <w:rPr>
          <w:sz w:val="22"/>
          <w:szCs w:val="22"/>
        </w:rPr>
        <w:t>) wyliczony według powyższego wzoru uwzględnia wpływ zmian cen materiałów lub kosztów na koszt wykonania zamówienia</w:t>
      </w:r>
    </w:p>
    <w:p w14:paraId="1C6B6784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lastRenderedPageBreak/>
        <w:t>Jeżeli Umowa została zawarta po upływie 180 dni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40"/>
      </w:r>
      <w:r w:rsidRPr="00AF12D9">
        <w:rPr>
          <w:color w:val="000000" w:themeColor="text1"/>
          <w:sz w:val="22"/>
          <w:szCs w:val="22"/>
        </w:rPr>
        <w:t xml:space="preserve"> od dnia upływu terminu składania ofert, początkowym terminem ustalenia zmiany wynagrodzenia jest data otwarcia ofert </w:t>
      </w:r>
    </w:p>
    <w:p w14:paraId="5F6F036D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W umowach zawieranych pomiędzy Wykonawcą a Podwykonawcą lub Podwykonawcą a dalszym Podwykonawcą, których przedmiotem jest wykonanie robót budowlanych, Wykonawca lub Podwykonawca jest zobowiązany zawrzeć postanowienia przewidujące, iż w przypadku gdy umowa o podwykonawstwo lub współpraca pomiędzy stronami przekracza lub przekroczy … 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41"/>
      </w:r>
      <w:r w:rsidRPr="00AF12D9">
        <w:rPr>
          <w:color w:val="000000" w:themeColor="text1"/>
          <w:sz w:val="22"/>
          <w:szCs w:val="22"/>
        </w:rPr>
        <w:t xml:space="preserve"> (np. w wyniku zawarcia aneksu lub kolejnej umowy z Podwykonawcą lub dalszym Podwykonawcą), kwoty płatne Podwykonawcy lub dalszemu Podwykonawcy będą korygowane dla oddania wzrostów lub spadków cen, zgodnie z niniejszym paragrafem.</w:t>
      </w:r>
    </w:p>
    <w:p w14:paraId="40E34995" w14:textId="77777777" w:rsidR="00D426F9" w:rsidRPr="00AF12D9" w:rsidRDefault="00D426F9" w:rsidP="00AF12D9">
      <w:pPr>
        <w:pStyle w:val="Default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Waloryzacja kwot płatnych Podwykonawcy lub dalszemu Podwykonawcy będzie się odbywać w oparciu o wskaźnik dla: Cen towarów i usług konsumpcyjnych (jako CPI) oraz o minimum jeden inny wskaźnik (adekwatny do zakresu robót Podwykonawcy lub dalszego Podwykonawcy) wybrany z tabeli „Koszyk Waloryzacyjny” publikowany przez Prezesa GUS. </w:t>
      </w:r>
    </w:p>
    <w:p w14:paraId="6A8AC2ED" w14:textId="55A59949" w:rsidR="00D426F9" w:rsidRDefault="00D426F9" w:rsidP="00AF12D9">
      <w:pPr>
        <w:pStyle w:val="numerowanie"/>
        <w:numPr>
          <w:ilvl w:val="0"/>
          <w:numId w:val="5"/>
        </w:numPr>
        <w:spacing w:line="360" w:lineRule="auto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>Wskaźnik CPI określony będzie na poziomie od ….. do ….. %</w:t>
      </w:r>
      <w:r w:rsidRPr="00AF12D9">
        <w:rPr>
          <w:rStyle w:val="Odwoanieprzypisudolnego"/>
          <w:color w:val="000000"/>
          <w:sz w:val="22"/>
          <w:szCs w:val="22"/>
        </w:rPr>
        <w:footnoteReference w:id="42"/>
      </w:r>
      <w:r w:rsidRPr="00AF12D9">
        <w:rPr>
          <w:color w:val="000000"/>
          <w:sz w:val="22"/>
          <w:szCs w:val="22"/>
        </w:rPr>
        <w:t>, a wybrane, pozostałe wskaźniki zostaną określone na poziomie od ….. do ….. %</w:t>
      </w:r>
      <w:r w:rsidRPr="00AF12D9">
        <w:rPr>
          <w:rStyle w:val="Odwoanieprzypisudolnego"/>
          <w:color w:val="000000"/>
          <w:sz w:val="22"/>
          <w:szCs w:val="22"/>
        </w:rPr>
        <w:footnoteReference w:id="43"/>
      </w:r>
      <w:r w:rsidRPr="00AF12D9">
        <w:rPr>
          <w:color w:val="000000"/>
          <w:sz w:val="22"/>
          <w:szCs w:val="22"/>
        </w:rPr>
        <w:t xml:space="preserve"> każdy. Suma wszystkich wskaźników powinna wynosić ….. %</w:t>
      </w:r>
      <w:r w:rsidRPr="00AF12D9">
        <w:rPr>
          <w:rStyle w:val="Odwoanieprzypisudolnego"/>
          <w:color w:val="000000"/>
          <w:sz w:val="22"/>
          <w:szCs w:val="22"/>
        </w:rPr>
        <w:footnoteReference w:id="44"/>
      </w:r>
      <w:r w:rsidRPr="00AF12D9">
        <w:rPr>
          <w:color w:val="000000"/>
          <w:sz w:val="22"/>
          <w:szCs w:val="22"/>
        </w:rPr>
        <w:t>. Kwoty płatne Podwykonawcy lub dalszemu Podwykonawcy podlegać będą waloryzacji o współczynnik zmiany cen (</w:t>
      </w:r>
      <w:r w:rsidRPr="00AF12D9">
        <w:rPr>
          <w:rFonts w:ascii="Cambria Math" w:hAnsi="Cambria Math" w:cs="Cambria Math"/>
          <w:color w:val="000000"/>
          <w:sz w:val="22"/>
          <w:szCs w:val="22"/>
        </w:rPr>
        <w:t>𝑊𝑃𝑛</w:t>
      </w:r>
      <w:r w:rsidRPr="00AF12D9">
        <w:rPr>
          <w:color w:val="000000"/>
          <w:sz w:val="22"/>
          <w:szCs w:val="22"/>
        </w:rPr>
        <w:t>) wyliczony według wzoru:</w:t>
      </w:r>
    </w:p>
    <w:p w14:paraId="4CF674F0" w14:textId="4EC9358E" w:rsidR="00AF12D9" w:rsidRPr="007C35D4" w:rsidRDefault="00000000" w:rsidP="001C40B2">
      <w:pPr>
        <w:pStyle w:val="numerowanie"/>
        <w:spacing w:line="360" w:lineRule="auto"/>
        <w:ind w:left="709"/>
        <w:rPr>
          <w:b/>
          <w:bCs/>
          <w:color w:val="000000"/>
          <w:sz w:val="22"/>
          <w:szCs w:val="22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Pn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/>
              <w:color w:val="000000"/>
              <w:sz w:val="22"/>
              <w:szCs w:val="22"/>
            </w:rPr>
            <m:t>=a+b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/>
                      <w:sz w:val="22"/>
                      <w:szCs w:val="22"/>
                    </w:rPr>
                    <m:t>CPI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EastAsia" w:hAnsi="Cambria Math"/>
              <w:color w:val="000000"/>
              <w:sz w:val="22"/>
              <w:szCs w:val="22"/>
            </w:rPr>
            <m:t>+X+Y+…+Z</m:t>
          </m:r>
        </m:oMath>
      </m:oMathPara>
    </w:p>
    <w:p w14:paraId="279B35A3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 xml:space="preserve">gdzie: </w:t>
      </w:r>
    </w:p>
    <w:p w14:paraId="086564C5" w14:textId="35DD7C80" w:rsidR="00D426F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rFonts w:ascii="Cambria Math" w:hAnsi="Cambria Math" w:cs="Cambria Math"/>
          <w:b/>
          <w:bCs/>
          <w:color w:val="000000"/>
          <w:sz w:val="22"/>
          <w:szCs w:val="22"/>
        </w:rPr>
        <w:t>𝑋</w:t>
      </w:r>
      <w:r w:rsidRPr="00AF12D9">
        <w:rPr>
          <w:b/>
          <w:bCs/>
          <w:color w:val="000000"/>
          <w:sz w:val="22"/>
          <w:szCs w:val="22"/>
        </w:rPr>
        <w:t>,</w:t>
      </w:r>
      <w:r w:rsidRPr="00AF12D9">
        <w:rPr>
          <w:rFonts w:ascii="Cambria Math" w:hAnsi="Cambria Math" w:cs="Cambria Math"/>
          <w:b/>
          <w:bCs/>
          <w:color w:val="000000"/>
          <w:sz w:val="22"/>
          <w:szCs w:val="22"/>
        </w:rPr>
        <w:t>𝑌</w:t>
      </w:r>
      <w:r w:rsidRPr="00AF12D9">
        <w:rPr>
          <w:b/>
          <w:bCs/>
          <w:color w:val="000000"/>
          <w:sz w:val="22"/>
          <w:szCs w:val="22"/>
        </w:rPr>
        <w:t>,…,</w:t>
      </w:r>
      <w:r w:rsidRPr="00AF12D9">
        <w:rPr>
          <w:rFonts w:ascii="Cambria Math" w:hAnsi="Cambria Math" w:cs="Cambria Math"/>
          <w:b/>
          <w:bCs/>
          <w:color w:val="000000"/>
          <w:sz w:val="22"/>
          <w:szCs w:val="22"/>
        </w:rPr>
        <w:t>𝑍</w:t>
      </w:r>
      <w:r w:rsidRPr="00AF12D9">
        <w:rPr>
          <w:color w:val="000000"/>
          <w:sz w:val="22"/>
          <w:szCs w:val="22"/>
        </w:rPr>
        <w:t xml:space="preserve"> uzależnione są od wybranych elementów z Koszyka Waloryzacyjnego, składających się z:</w:t>
      </w:r>
    </w:p>
    <w:p w14:paraId="0CFE128B" w14:textId="4CCB46CC" w:rsidR="00AF12D9" w:rsidRPr="007C35D4" w:rsidRDefault="00AF12D9" w:rsidP="001C40B2">
      <w:pPr>
        <w:pStyle w:val="numerowanie"/>
        <w:spacing w:line="360" w:lineRule="auto"/>
        <w:ind w:left="709"/>
        <w:rPr>
          <w:b/>
          <w:bCs/>
          <w:color w:val="000000"/>
          <w:sz w:val="22"/>
          <w:szCs w:val="22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>c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lub d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lub e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lub f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lub g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lub h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o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2"/>
              <w:szCs w:val="22"/>
            </w:rPr>
            <m:t xml:space="preserve"> </m:t>
          </m:r>
        </m:oMath>
      </m:oMathPara>
    </w:p>
    <w:p w14:paraId="34D786AD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</w:p>
    <w:p w14:paraId="4B565BA9" w14:textId="77777777" w:rsidR="00D426F9" w:rsidRPr="00AF12D9" w:rsidRDefault="00D426F9" w:rsidP="00AF12D9">
      <w:pPr>
        <w:pStyle w:val="numerowanie"/>
        <w:spacing w:line="360" w:lineRule="auto"/>
        <w:ind w:left="708"/>
        <w:rPr>
          <w:noProof/>
          <w:color w:val="000000"/>
          <w:sz w:val="22"/>
          <w:szCs w:val="22"/>
        </w:rPr>
      </w:pPr>
    </w:p>
    <w:p w14:paraId="4B0740CE" w14:textId="2D67D4BE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</w:p>
    <w:p w14:paraId="704DF394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</w:p>
    <w:p w14:paraId="79865F4F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 xml:space="preserve">- </w:t>
      </w:r>
      <w:r w:rsidRPr="00AF12D9">
        <w:rPr>
          <w:b/>
          <w:bCs/>
          <w:color w:val="000000"/>
          <w:sz w:val="22"/>
          <w:szCs w:val="22"/>
        </w:rPr>
        <w:t>„</w:t>
      </w:r>
      <w:r w:rsidRPr="00AF12D9">
        <w:rPr>
          <w:rFonts w:ascii="Cambria Math" w:hAnsi="Cambria Math" w:cs="Cambria Math"/>
          <w:b/>
          <w:bCs/>
          <w:color w:val="000000"/>
          <w:sz w:val="22"/>
          <w:szCs w:val="22"/>
        </w:rPr>
        <w:t>𝑊𝑃𝑛</w:t>
      </w:r>
      <w:r w:rsidRPr="00AF12D9">
        <w:rPr>
          <w:b/>
          <w:bCs/>
          <w:color w:val="000000"/>
          <w:sz w:val="22"/>
          <w:szCs w:val="22"/>
        </w:rPr>
        <w:t>"</w:t>
      </w:r>
      <w:r w:rsidRPr="00AF12D9">
        <w:rPr>
          <w:color w:val="000000"/>
          <w:sz w:val="22"/>
          <w:szCs w:val="22"/>
        </w:rPr>
        <w:t xml:space="preserve"> jest mnożnikiem korygującym, do zastosowania w stosunku do szacunkowej kontraktowej wartości pracy wykonanej w okresie „</w:t>
      </w:r>
      <w:r w:rsidRPr="00AF12D9">
        <w:rPr>
          <w:rFonts w:ascii="Cambria Math" w:hAnsi="Cambria Math" w:cs="Cambria Math"/>
          <w:color w:val="000000"/>
          <w:sz w:val="22"/>
          <w:szCs w:val="22"/>
        </w:rPr>
        <w:t>𝑛</w:t>
      </w:r>
      <w:r w:rsidRPr="00AF12D9">
        <w:rPr>
          <w:color w:val="000000"/>
          <w:sz w:val="22"/>
          <w:szCs w:val="22"/>
        </w:rPr>
        <w:t xml:space="preserve">”; przy czym okresem tym jest miesiąc, jeśli nie jest inaczej podane w Kontrakcie; </w:t>
      </w:r>
    </w:p>
    <w:p w14:paraId="3303654B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lastRenderedPageBreak/>
        <w:t xml:space="preserve">– </w:t>
      </w:r>
      <w:r w:rsidRPr="00AF12D9">
        <w:rPr>
          <w:b/>
          <w:bCs/>
          <w:color w:val="000000"/>
          <w:sz w:val="22"/>
          <w:szCs w:val="22"/>
        </w:rPr>
        <w:t>„</w:t>
      </w:r>
      <w:r w:rsidRPr="00AF12D9">
        <w:rPr>
          <w:rFonts w:ascii="Cambria Math" w:hAnsi="Cambria Math" w:cs="Cambria Math"/>
          <w:b/>
          <w:bCs/>
          <w:color w:val="000000"/>
          <w:sz w:val="22"/>
          <w:szCs w:val="22"/>
        </w:rPr>
        <w:t>𝑎</w:t>
      </w:r>
      <w:r w:rsidRPr="00AF12D9">
        <w:rPr>
          <w:b/>
          <w:bCs/>
          <w:color w:val="000000"/>
          <w:sz w:val="22"/>
          <w:szCs w:val="22"/>
        </w:rPr>
        <w:t>”</w:t>
      </w:r>
      <w:r w:rsidRPr="00AF12D9">
        <w:rPr>
          <w:color w:val="000000"/>
          <w:sz w:val="22"/>
          <w:szCs w:val="22"/>
        </w:rPr>
        <w:t xml:space="preserve"> jest stałym współczynnikiem o wartości: ….  (…. %)</w:t>
      </w:r>
      <w:r w:rsidRPr="00AF12D9">
        <w:rPr>
          <w:rStyle w:val="Odwoanieprzypisudolnego"/>
          <w:color w:val="000000"/>
          <w:sz w:val="22"/>
          <w:szCs w:val="22"/>
        </w:rPr>
        <w:footnoteReference w:id="45"/>
      </w:r>
      <w:r w:rsidRPr="00AF12D9">
        <w:rPr>
          <w:color w:val="000000"/>
          <w:sz w:val="22"/>
          <w:szCs w:val="22"/>
        </w:rPr>
        <w:t xml:space="preserve"> niepodlegającym korekcie; </w:t>
      </w:r>
    </w:p>
    <w:p w14:paraId="2451B102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 w:themeColor="text1"/>
          <w:sz w:val="22"/>
          <w:szCs w:val="22"/>
        </w:rPr>
        <w:t xml:space="preserve">– </w:t>
      </w:r>
      <w:r w:rsidRPr="00AF12D9">
        <w:rPr>
          <w:b/>
          <w:bCs/>
          <w:color w:val="000000" w:themeColor="text1"/>
          <w:sz w:val="22"/>
          <w:szCs w:val="22"/>
        </w:rPr>
        <w:t>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𝑏</w:t>
      </w:r>
      <w:r w:rsidRPr="00AF12D9">
        <w:rPr>
          <w:b/>
          <w:bCs/>
          <w:color w:val="000000" w:themeColor="text1"/>
          <w:sz w:val="22"/>
          <w:szCs w:val="22"/>
        </w:rPr>
        <w:t>”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𝑐</w:t>
      </w:r>
      <w:r w:rsidRPr="00AF12D9">
        <w:rPr>
          <w:b/>
          <w:bCs/>
          <w:color w:val="000000" w:themeColor="text1"/>
          <w:sz w:val="22"/>
          <w:szCs w:val="22"/>
        </w:rPr>
        <w:t>”,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𝑑</w:t>
      </w:r>
      <w:r w:rsidRPr="00AF12D9">
        <w:rPr>
          <w:b/>
          <w:bCs/>
          <w:color w:val="000000" w:themeColor="text1"/>
          <w:sz w:val="22"/>
          <w:szCs w:val="22"/>
        </w:rPr>
        <w:t>”,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𝑒</w:t>
      </w:r>
      <w:r w:rsidRPr="00AF12D9">
        <w:rPr>
          <w:b/>
          <w:bCs/>
          <w:color w:val="000000" w:themeColor="text1"/>
          <w:sz w:val="22"/>
          <w:szCs w:val="22"/>
        </w:rPr>
        <w:t>”,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𝑓</w:t>
      </w:r>
      <w:r w:rsidRPr="00AF12D9">
        <w:rPr>
          <w:b/>
          <w:bCs/>
          <w:color w:val="000000" w:themeColor="text1"/>
          <w:sz w:val="22"/>
          <w:szCs w:val="22"/>
        </w:rPr>
        <w:t>”,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𝑔</w:t>
      </w:r>
      <w:r w:rsidRPr="00AF12D9">
        <w:rPr>
          <w:b/>
          <w:bCs/>
          <w:color w:val="000000" w:themeColor="text1"/>
          <w:sz w:val="22"/>
          <w:szCs w:val="22"/>
        </w:rPr>
        <w:t>” „</w:t>
      </w:r>
      <w:r w:rsidRPr="00AF12D9">
        <w:rPr>
          <w:rFonts w:ascii="Cambria Math" w:hAnsi="Cambria Math" w:cs="Cambria Math"/>
          <w:b/>
          <w:bCs/>
          <w:color w:val="000000" w:themeColor="text1"/>
          <w:sz w:val="22"/>
          <w:szCs w:val="22"/>
        </w:rPr>
        <w:t>ℎ</w:t>
      </w:r>
      <w:r w:rsidRPr="00AF12D9">
        <w:rPr>
          <w:b/>
          <w:bCs/>
          <w:color w:val="000000" w:themeColor="text1"/>
          <w:sz w:val="22"/>
          <w:szCs w:val="22"/>
        </w:rPr>
        <w:t>”</w:t>
      </w:r>
      <w:r w:rsidRPr="00AF12D9">
        <w:rPr>
          <w:color w:val="000000" w:themeColor="text1"/>
          <w:sz w:val="22"/>
          <w:szCs w:val="22"/>
        </w:rPr>
        <w:t xml:space="preserve"> są współczynnikami stałymi określonymi przez strony umowy zawieranej między Wykonawcą a Podwykonawcą lub Podwykonawcą a dalszym Podwykonawcą z uwzględnieniem ograniczenia wysokości wskaźników wynikającego z ustępu powyżej, niepodlegającymi korekcie, z zastrzeżeniem sytuacji gdy Zamawiający stanie się dostawcą któregokolwiek z elementów robót ujętych w tabeli Koszyk Waloryzacyjny, wówczas waga tego elementu zostanie przyjęta jako „0” we wzorze na </w:t>
      </w:r>
      <w:r w:rsidRPr="00AF12D9">
        <w:rPr>
          <w:rFonts w:ascii="Cambria Math" w:hAnsi="Cambria Math" w:cs="Cambria Math"/>
          <w:color w:val="000000" w:themeColor="text1"/>
          <w:sz w:val="22"/>
          <w:szCs w:val="22"/>
        </w:rPr>
        <w:t>𝑊𝑃𝑛</w:t>
      </w:r>
      <w:r w:rsidRPr="00AF12D9">
        <w:rPr>
          <w:color w:val="000000" w:themeColor="text1"/>
          <w:sz w:val="22"/>
          <w:szCs w:val="22"/>
        </w:rPr>
        <w:t>; W takim przypadku waga CPI zostanie powiększona o wartość wagi, która została przyjęta jako „0”, tak aby suma wartości wszystkich wag z Koszyka Waloryzacyjnego wynosiła …. (… %)</w:t>
      </w:r>
      <w:r w:rsidRPr="00AF12D9">
        <w:rPr>
          <w:rStyle w:val="Odwoanieprzypisudolnego"/>
          <w:color w:val="000000" w:themeColor="text1"/>
          <w:sz w:val="22"/>
          <w:szCs w:val="22"/>
        </w:rPr>
        <w:footnoteReference w:id="46"/>
      </w:r>
      <w:r w:rsidRPr="00AF12D9">
        <w:rPr>
          <w:color w:val="000000" w:themeColor="text1"/>
          <w:sz w:val="22"/>
          <w:szCs w:val="22"/>
        </w:rPr>
        <w:t xml:space="preserve">; </w:t>
      </w:r>
    </w:p>
    <w:p w14:paraId="6D006D7E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>– symbole wskaźnika z indexem dolnym „</w:t>
      </w:r>
      <w:r w:rsidRPr="00AF12D9">
        <w:rPr>
          <w:rFonts w:ascii="Cambria Math" w:hAnsi="Cambria Math" w:cs="Cambria Math"/>
          <w:color w:val="000000"/>
          <w:sz w:val="22"/>
          <w:szCs w:val="22"/>
        </w:rPr>
        <w:t>𝑛</w:t>
      </w:r>
      <w:r w:rsidRPr="00AF12D9">
        <w:rPr>
          <w:color w:val="000000"/>
          <w:sz w:val="22"/>
          <w:szCs w:val="22"/>
        </w:rPr>
        <w:t>” są narastającymi wskaźnikami kosztu bieżącego okresu (cenami porównawczymi dla okresu „</w:t>
      </w:r>
      <w:r w:rsidRPr="00AF12D9">
        <w:rPr>
          <w:rFonts w:ascii="Cambria Math" w:hAnsi="Cambria Math" w:cs="Cambria Math"/>
          <w:color w:val="000000"/>
          <w:sz w:val="22"/>
          <w:szCs w:val="22"/>
        </w:rPr>
        <w:t>𝑛</w:t>
      </w:r>
      <w:r w:rsidRPr="00AF12D9">
        <w:rPr>
          <w:color w:val="000000"/>
          <w:sz w:val="22"/>
          <w:szCs w:val="22"/>
        </w:rPr>
        <w:t xml:space="preserve">”), publikowanymi przez Prezesa GUS w Dziedzinowej Bazie Wiedzy obowiązującymi w danym okresie rozliczeniowym; </w:t>
      </w:r>
    </w:p>
    <w:p w14:paraId="44757DD3" w14:textId="77777777" w:rsidR="00D426F9" w:rsidRPr="00AF12D9" w:rsidRDefault="00D426F9" w:rsidP="00AF12D9">
      <w:pPr>
        <w:pStyle w:val="numerowanie"/>
        <w:spacing w:line="360" w:lineRule="auto"/>
        <w:ind w:left="708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>– symbole wskaźnika z indexem dolnym „</w:t>
      </w:r>
      <w:r w:rsidRPr="00AF12D9">
        <w:rPr>
          <w:rFonts w:ascii="Cambria Math" w:hAnsi="Cambria Math" w:cs="Cambria Math"/>
          <w:color w:val="000000"/>
          <w:sz w:val="22"/>
          <w:szCs w:val="22"/>
        </w:rPr>
        <w:t>𝑜</w:t>
      </w:r>
      <w:r w:rsidRPr="00AF12D9">
        <w:rPr>
          <w:color w:val="000000"/>
          <w:sz w:val="22"/>
          <w:szCs w:val="22"/>
        </w:rPr>
        <w:t xml:space="preserve">” są narastającymi wskaźnikami kosztu odniesienia (cenami odniesienia) na datę zawarcia umowy o podwykonawstwo, publikowanymi przez Prezesa GUS w Dziedzinowej Bazie Wiedzy obowiązującymi w danym okresie rozliczeniowym. </w:t>
      </w:r>
    </w:p>
    <w:p w14:paraId="6A68D5A7" w14:textId="77777777" w:rsidR="00D426F9" w:rsidRPr="00AF12D9" w:rsidRDefault="00D426F9" w:rsidP="00AF12D9">
      <w:pPr>
        <w:pStyle w:val="numerowanie"/>
        <w:numPr>
          <w:ilvl w:val="0"/>
          <w:numId w:val="5"/>
        </w:numPr>
        <w:spacing w:line="360" w:lineRule="auto"/>
        <w:rPr>
          <w:color w:val="000000"/>
          <w:sz w:val="22"/>
          <w:szCs w:val="22"/>
        </w:rPr>
      </w:pPr>
      <w:r w:rsidRPr="00AF12D9">
        <w:rPr>
          <w:color w:val="000000"/>
          <w:sz w:val="22"/>
          <w:szCs w:val="22"/>
        </w:rPr>
        <w:t>Kwoty płatne Podwykonawcy lub dalszemu Podwykonawcy będą waloryzowane miesięcznie począwszy od  ….. miesiąca</w:t>
      </w:r>
      <w:r w:rsidRPr="00AF12D9">
        <w:rPr>
          <w:rStyle w:val="Odwoanieprzypisudolnego"/>
          <w:color w:val="000000"/>
          <w:sz w:val="22"/>
          <w:szCs w:val="22"/>
        </w:rPr>
        <w:footnoteReference w:id="47"/>
      </w:r>
      <w:r w:rsidRPr="00AF12D9">
        <w:rPr>
          <w:color w:val="000000"/>
          <w:sz w:val="22"/>
          <w:szCs w:val="22"/>
        </w:rPr>
        <w:t xml:space="preserve"> od rozpoczęcia realizacji robót objętych umową o podwykonawstwo do momentu, w którym łączna wartość korekt dla oddania wzrostu lub spadku cen, wynikających z, niniejszego</w:t>
      </w:r>
      <w:r w:rsidRPr="00AF12D9" w:rsidDel="78A2805F">
        <w:rPr>
          <w:color w:val="000000" w:themeColor="text1"/>
          <w:sz w:val="22"/>
          <w:szCs w:val="22"/>
        </w:rPr>
        <w:t xml:space="preserve"> zapisu</w:t>
      </w:r>
      <w:r w:rsidRPr="00AF12D9">
        <w:rPr>
          <w:color w:val="000000"/>
          <w:sz w:val="22"/>
          <w:szCs w:val="22"/>
        </w:rPr>
        <w:t xml:space="preserve"> osiągnie limit +/- ….. %</w:t>
      </w:r>
      <w:r w:rsidRPr="00AF12D9">
        <w:rPr>
          <w:rStyle w:val="Odwoanieprzypisudolnego"/>
          <w:color w:val="000000"/>
          <w:sz w:val="22"/>
          <w:szCs w:val="22"/>
        </w:rPr>
        <w:footnoteReference w:id="48"/>
      </w:r>
      <w:r w:rsidRPr="00AF12D9">
        <w:rPr>
          <w:color w:val="000000"/>
          <w:sz w:val="22"/>
          <w:szCs w:val="22"/>
        </w:rPr>
        <w:t xml:space="preserve"> wartości zawartej umowy o podwykonawstwo. </w:t>
      </w:r>
    </w:p>
    <w:p w14:paraId="58702E66" w14:textId="6C5D62D6" w:rsidR="00894A44" w:rsidRDefault="00D426F9" w:rsidP="00AF12D9">
      <w:pPr>
        <w:spacing w:line="360" w:lineRule="auto"/>
        <w:ind w:left="708"/>
        <w:jc w:val="both"/>
      </w:pPr>
      <w:r w:rsidRPr="00AF12D9">
        <w:rPr>
          <w:rFonts w:ascii="Arial" w:hAnsi="Arial" w:cs="Arial"/>
          <w:color w:val="000000"/>
          <w:spacing w:val="4"/>
          <w:lang w:eastAsia="pl-PL"/>
        </w:rPr>
        <w:t>Waloryzacja według powyższego wzoru uwzględnia wpływ zmian cen materiałów lub kosztów na koszt wykonania zamówienia.</w:t>
      </w:r>
      <w:bookmarkEnd w:id="4"/>
    </w:p>
    <w:sectPr w:rsidR="00894A44" w:rsidSect="00894A44">
      <w:footerReference w:type="default" r:id="rId12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DD45C" w14:textId="77777777" w:rsidR="007E1BD9" w:rsidRDefault="007E1BD9" w:rsidP="00894A44">
      <w:pPr>
        <w:spacing w:after="0" w:line="240" w:lineRule="auto"/>
      </w:pPr>
      <w:r>
        <w:separator/>
      </w:r>
    </w:p>
  </w:endnote>
  <w:endnote w:type="continuationSeparator" w:id="0">
    <w:p w14:paraId="0ED37024" w14:textId="77777777" w:rsidR="007E1BD9" w:rsidRDefault="007E1BD9" w:rsidP="0089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356562"/>
      <w:docPartObj>
        <w:docPartGallery w:val="Page Numbers (Bottom of Page)"/>
        <w:docPartUnique/>
      </w:docPartObj>
    </w:sdtPr>
    <w:sdtContent>
      <w:p w14:paraId="79D2BDF5" w14:textId="02222657" w:rsidR="000B79F9" w:rsidRDefault="000B79F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C281F3" w14:textId="77777777" w:rsidR="000B79F9" w:rsidRDefault="000B79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1244B" w14:textId="77777777" w:rsidR="007E1BD9" w:rsidRDefault="007E1BD9" w:rsidP="00894A44">
      <w:pPr>
        <w:spacing w:after="0" w:line="240" w:lineRule="auto"/>
      </w:pPr>
      <w:r>
        <w:separator/>
      </w:r>
    </w:p>
  </w:footnote>
  <w:footnote w:type="continuationSeparator" w:id="0">
    <w:p w14:paraId="533E0753" w14:textId="77777777" w:rsidR="007E1BD9" w:rsidRDefault="007E1BD9" w:rsidP="00894A44">
      <w:pPr>
        <w:spacing w:after="0" w:line="240" w:lineRule="auto"/>
      </w:pPr>
      <w:r>
        <w:continuationSeparator/>
      </w:r>
    </w:p>
  </w:footnote>
  <w:footnote w:id="1">
    <w:p w14:paraId="58A7FE87" w14:textId="51E1850B" w:rsidR="00894A44" w:rsidRDefault="00894A44" w:rsidP="0049196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8413A">
        <w:rPr>
          <w:rFonts w:ascii="Arial" w:hAnsi="Arial" w:cs="Arial"/>
          <w:sz w:val="16"/>
          <w:szCs w:val="16"/>
        </w:rPr>
        <w:t>Ustawa z dnia 11 września 2019 r. „Prawo zamówień publicznych”</w:t>
      </w:r>
      <w:r>
        <w:rPr>
          <w:rFonts w:ascii="Arial" w:hAnsi="Arial" w:cs="Arial"/>
          <w:sz w:val="16"/>
          <w:szCs w:val="16"/>
        </w:rPr>
        <w:t xml:space="preserve"> (Dz.U. z 202</w:t>
      </w:r>
      <w:r w:rsidR="00917C09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 xml:space="preserve"> r. poz. 1</w:t>
      </w:r>
      <w:r w:rsidR="00CC6EE4">
        <w:rPr>
          <w:rFonts w:ascii="Arial" w:hAnsi="Arial" w:cs="Arial"/>
          <w:sz w:val="16"/>
          <w:szCs w:val="16"/>
        </w:rPr>
        <w:t>710</w:t>
      </w:r>
      <w:r>
        <w:rPr>
          <w:rFonts w:ascii="Arial" w:hAnsi="Arial" w:cs="Arial"/>
          <w:sz w:val="16"/>
          <w:szCs w:val="16"/>
        </w:rPr>
        <w:t xml:space="preserve"> ze zm.)</w:t>
      </w:r>
      <w:r w:rsidRPr="0078413A">
        <w:rPr>
          <w:rFonts w:ascii="Arial" w:hAnsi="Arial" w:cs="Arial"/>
          <w:sz w:val="16"/>
          <w:szCs w:val="16"/>
        </w:rPr>
        <w:t xml:space="preserve">, w niniejszym opracowaniu jako: „ustawa </w:t>
      </w:r>
      <w:proofErr w:type="spellStart"/>
      <w:r w:rsidRPr="0078413A">
        <w:rPr>
          <w:rFonts w:ascii="Arial" w:hAnsi="Arial" w:cs="Arial"/>
          <w:sz w:val="16"/>
          <w:szCs w:val="16"/>
        </w:rPr>
        <w:t>Pzp</w:t>
      </w:r>
      <w:proofErr w:type="spellEnd"/>
      <w:r w:rsidRPr="0078413A">
        <w:rPr>
          <w:rFonts w:ascii="Arial" w:hAnsi="Arial" w:cs="Arial"/>
          <w:sz w:val="16"/>
          <w:szCs w:val="16"/>
        </w:rPr>
        <w:t>”</w:t>
      </w:r>
      <w:r w:rsidR="00F00D9C">
        <w:rPr>
          <w:rFonts w:ascii="Arial" w:hAnsi="Arial" w:cs="Arial"/>
          <w:sz w:val="16"/>
          <w:szCs w:val="16"/>
        </w:rPr>
        <w:t>.</w:t>
      </w:r>
    </w:p>
  </w:footnote>
  <w:footnote w:id="2">
    <w:p w14:paraId="7EFA4D15" w14:textId="7A50CBE8" w:rsidR="00894A44" w:rsidRPr="0049196F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Pozycja ogółem lub budowa budynków lub budowa obiektów inżynierii lądowej i wodnej lub budowa obiektów specjalistycznych – w zależności od specyfiki zamówienia</w:t>
      </w:r>
      <w:r w:rsidR="00F00D9C">
        <w:rPr>
          <w:rFonts w:ascii="Arial" w:hAnsi="Arial" w:cs="Arial"/>
          <w:sz w:val="16"/>
          <w:szCs w:val="16"/>
        </w:rPr>
        <w:t>.</w:t>
      </w:r>
    </w:p>
  </w:footnote>
  <w:footnote w:id="3">
    <w:p w14:paraId="636C1923" w14:textId="08AB73AD" w:rsidR="00894A44" w:rsidRDefault="00894A44" w:rsidP="00894A44">
      <w:pPr>
        <w:pStyle w:val="Tekstprzypisudolnego"/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="00BB0330" w:rsidRPr="008E23C0">
        <w:rPr>
          <w:rFonts w:ascii="Arial" w:hAnsi="Arial" w:cs="Arial"/>
          <w:sz w:val="16"/>
          <w:szCs w:val="16"/>
        </w:rPr>
        <w:t>Zamawiający musi samodzielnie ustalić, jaka wartość będzie odpowiednia dla stanu faktycznego danej sprawy.</w:t>
      </w:r>
    </w:p>
  </w:footnote>
  <w:footnote w:id="4">
    <w:p w14:paraId="493FD598" w14:textId="596E7F81" w:rsidR="005A3AEE" w:rsidRPr="0049196F" w:rsidRDefault="005A3AEE" w:rsidP="0049196F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Zamawiający wskazuje początkowy miesiąc</w:t>
      </w:r>
      <w:r w:rsidR="00AA3CE0" w:rsidRPr="0049196F">
        <w:rPr>
          <w:rFonts w:ascii="Arial" w:hAnsi="Arial" w:cs="Arial"/>
          <w:sz w:val="16"/>
          <w:szCs w:val="16"/>
        </w:rPr>
        <w:t xml:space="preserve"> waloryzacji</w:t>
      </w:r>
      <w:r w:rsidRPr="0049196F">
        <w:rPr>
          <w:rFonts w:ascii="Arial" w:hAnsi="Arial" w:cs="Arial"/>
          <w:sz w:val="16"/>
          <w:szCs w:val="16"/>
        </w:rPr>
        <w:t xml:space="preserve">. </w:t>
      </w:r>
    </w:p>
  </w:footnote>
  <w:footnote w:id="5">
    <w:p w14:paraId="450D2CF4" w14:textId="5C13C122" w:rsidR="00894A44" w:rsidRDefault="00894A44" w:rsidP="0049196F">
      <w:pPr>
        <w:pStyle w:val="Tekstprzypisudolnego"/>
        <w:jc w:val="both"/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Wstawić właściwą wartość procentową limitu</w:t>
      </w:r>
      <w:r w:rsidR="00F00D9C">
        <w:rPr>
          <w:rFonts w:ascii="Arial" w:hAnsi="Arial" w:cs="Arial"/>
          <w:sz w:val="16"/>
          <w:szCs w:val="16"/>
        </w:rPr>
        <w:t>.</w:t>
      </w:r>
    </w:p>
  </w:footnote>
  <w:footnote w:id="6">
    <w:p w14:paraId="315A7A66" w14:textId="34817902" w:rsidR="00894A44" w:rsidRPr="0049196F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="00F00D9C">
        <w:rPr>
          <w:rFonts w:ascii="Arial" w:hAnsi="Arial" w:cs="Arial"/>
          <w:color w:val="000000" w:themeColor="text1"/>
          <w:sz w:val="16"/>
          <w:szCs w:val="16"/>
        </w:rPr>
        <w:t>W</w:t>
      </w:r>
      <w:r w:rsidRPr="0049196F">
        <w:rPr>
          <w:rFonts w:ascii="Arial" w:hAnsi="Arial" w:cs="Arial"/>
          <w:color w:val="000000" w:themeColor="text1"/>
          <w:sz w:val="16"/>
          <w:szCs w:val="16"/>
        </w:rPr>
        <w:t>stawić właściwe odniesienie do Umowy</w:t>
      </w:r>
      <w:r w:rsidR="00F00D9C">
        <w:rPr>
          <w:rFonts w:ascii="Arial" w:hAnsi="Arial" w:cs="Arial"/>
          <w:color w:val="000000" w:themeColor="text1"/>
          <w:sz w:val="16"/>
          <w:szCs w:val="16"/>
        </w:rPr>
        <w:t>.</w:t>
      </w:r>
    </w:p>
  </w:footnote>
  <w:footnote w:id="7">
    <w:p w14:paraId="77166E99" w14:textId="660C0E4D" w:rsidR="00894A44" w:rsidRPr="0049196F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="00F00D9C">
        <w:rPr>
          <w:rFonts w:ascii="Arial" w:hAnsi="Arial" w:cs="Arial"/>
          <w:sz w:val="16"/>
          <w:szCs w:val="16"/>
        </w:rPr>
        <w:t>T</w:t>
      </w:r>
      <w:r w:rsidRPr="0049196F">
        <w:rPr>
          <w:rFonts w:ascii="Arial" w:hAnsi="Arial" w:cs="Arial"/>
          <w:sz w:val="16"/>
          <w:szCs w:val="16"/>
        </w:rPr>
        <w:t xml:space="preserve">abela Koszyk </w:t>
      </w:r>
      <w:r w:rsidR="009F7501" w:rsidRPr="0049196F">
        <w:rPr>
          <w:rFonts w:ascii="Arial" w:hAnsi="Arial" w:cs="Arial"/>
          <w:sz w:val="16"/>
          <w:szCs w:val="16"/>
        </w:rPr>
        <w:t>Waloryzacyjny do</w:t>
      </w:r>
      <w:r w:rsidRPr="0049196F">
        <w:rPr>
          <w:rFonts w:ascii="Arial" w:hAnsi="Arial" w:cs="Arial"/>
          <w:sz w:val="16"/>
          <w:szCs w:val="16"/>
        </w:rPr>
        <w:t xml:space="preserve"> wstawienia w zależności od rodzaju umowy; inna tabela dla umów na budynek; sieć wod-kan; drogę; most; sieć oświetleniową; kontrakt hydrotechniczny</w:t>
      </w:r>
      <w:r w:rsidR="00F00D9C">
        <w:rPr>
          <w:rFonts w:ascii="Arial" w:hAnsi="Arial" w:cs="Arial"/>
          <w:sz w:val="16"/>
          <w:szCs w:val="16"/>
        </w:rPr>
        <w:t>.</w:t>
      </w:r>
    </w:p>
  </w:footnote>
  <w:footnote w:id="8">
    <w:p w14:paraId="447841F5" w14:textId="2D5812B0" w:rsidR="004C7DE8" w:rsidRPr="0049196F" w:rsidRDefault="004C7DE8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Zamawiający wskazuje początkowy miesiąc waloryzacji.</w:t>
      </w:r>
    </w:p>
  </w:footnote>
  <w:footnote w:id="9">
    <w:p w14:paraId="329DD1BA" w14:textId="5AB4A31A" w:rsidR="00894A44" w:rsidRPr="004B3A4B" w:rsidRDefault="00894A44" w:rsidP="00894A44">
      <w:pPr>
        <w:pStyle w:val="Tekstprzypisudolnego"/>
        <w:rPr>
          <w:rFonts w:asciiTheme="minorHAnsi" w:hAnsiTheme="minorHAnsi" w:cstheme="minorHAnsi"/>
          <w:i/>
          <w:iCs/>
          <w:sz w:val="18"/>
          <w:szCs w:val="18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Wstawić właściwą wartość procentową limitu waloryzacji</w:t>
      </w:r>
      <w:r w:rsidR="00F00D9C">
        <w:rPr>
          <w:rFonts w:ascii="Arial" w:hAnsi="Arial" w:cs="Arial"/>
          <w:sz w:val="16"/>
          <w:szCs w:val="16"/>
        </w:rPr>
        <w:t>.</w:t>
      </w:r>
    </w:p>
  </w:footnote>
  <w:footnote w:id="10">
    <w:p w14:paraId="6AA76523" w14:textId="25FF1476" w:rsidR="007C0850" w:rsidRDefault="007C085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E3665" w:rsidRPr="0049196F">
        <w:rPr>
          <w:rFonts w:ascii="Arial" w:hAnsi="Arial" w:cs="Arial"/>
          <w:sz w:val="16"/>
          <w:szCs w:val="16"/>
        </w:rPr>
        <w:t>Wskazuje Zamawiający</w:t>
      </w:r>
      <w:r w:rsidR="000E3665">
        <w:t>.</w:t>
      </w:r>
    </w:p>
  </w:footnote>
  <w:footnote w:id="11">
    <w:p w14:paraId="6B83A702" w14:textId="0D300814" w:rsidR="00894A44" w:rsidRPr="0049196F" w:rsidRDefault="00894A44" w:rsidP="00894A44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49196F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49196F">
        <w:rPr>
          <w:rFonts w:ascii="Arial" w:hAnsi="Arial" w:cs="Arial"/>
          <w:i/>
          <w:iCs/>
          <w:sz w:val="16"/>
          <w:szCs w:val="16"/>
        </w:rPr>
        <w:t xml:space="preserve"> </w:t>
      </w:r>
      <w:r w:rsidR="00BB0330" w:rsidRPr="00BB0330">
        <w:rPr>
          <w:rFonts w:ascii="Arial" w:hAnsi="Arial" w:cs="Arial"/>
          <w:sz w:val="16"/>
          <w:szCs w:val="16"/>
        </w:rPr>
        <w:t xml:space="preserve"> </w:t>
      </w:r>
      <w:r w:rsidR="00BB0330" w:rsidRPr="008E23C0">
        <w:rPr>
          <w:rFonts w:ascii="Arial" w:hAnsi="Arial" w:cs="Arial"/>
          <w:sz w:val="16"/>
          <w:szCs w:val="16"/>
        </w:rPr>
        <w:t>Zamawiający musi samodzielnie ustalić, jaka wartość będzie odpowiednia dla stanu faktycznego danej sprawy.</w:t>
      </w:r>
    </w:p>
  </w:footnote>
  <w:footnote w:id="12">
    <w:p w14:paraId="4FBCF85C" w14:textId="77777777" w:rsidR="00894A44" w:rsidRPr="0078413A" w:rsidRDefault="00894A44" w:rsidP="00894A4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2F3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F3D">
        <w:rPr>
          <w:rFonts w:ascii="Arial" w:hAnsi="Arial" w:cs="Arial"/>
          <w:sz w:val="16"/>
          <w:szCs w:val="16"/>
        </w:rPr>
        <w:t xml:space="preserve"> </w:t>
      </w:r>
      <w:r w:rsidRPr="0078413A">
        <w:rPr>
          <w:rFonts w:ascii="Arial" w:hAnsi="Arial" w:cs="Arial"/>
          <w:sz w:val="16"/>
          <w:szCs w:val="16"/>
        </w:rPr>
        <w:t>Wskazano przykładowe wskaźniki. Zamawiający powinien wybrać wskaźniki adekwatne do stanu faktycznego jego zamówienia. W takim przypadku należy pamiętać o konieczności modyfikacji wzoru służącego wyliczeniu kwot płatnych wykonawcy.</w:t>
      </w:r>
    </w:p>
  </w:footnote>
  <w:footnote w:id="13">
    <w:p w14:paraId="1F90CB5F" w14:textId="77777777" w:rsidR="00894A44" w:rsidRPr="0078413A" w:rsidRDefault="00894A44" w:rsidP="00894A4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Należy wskazać termin</w:t>
      </w:r>
      <w:bookmarkStart w:id="8" w:name="_Hlk106215563"/>
      <w:r>
        <w:rPr>
          <w:rFonts w:ascii="Arial" w:hAnsi="Arial" w:cs="Arial"/>
          <w:sz w:val="16"/>
          <w:szCs w:val="16"/>
        </w:rPr>
        <w:t>.</w:t>
      </w:r>
      <w:bookmarkEnd w:id="8"/>
    </w:p>
  </w:footnote>
  <w:footnote w:id="14">
    <w:p w14:paraId="10D6CF36" w14:textId="53AD51BE" w:rsidR="00894A44" w:rsidRPr="0078413A" w:rsidRDefault="00894A44" w:rsidP="00894A4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</w:t>
      </w:r>
      <w:bookmarkStart w:id="9" w:name="_Hlk106215418"/>
      <w:r w:rsidRPr="0078413A">
        <w:rPr>
          <w:rFonts w:ascii="Arial" w:hAnsi="Arial" w:cs="Arial"/>
          <w:sz w:val="16"/>
          <w:szCs w:val="16"/>
        </w:rPr>
        <w:t>Należy wskazać liczbę. Przykładowo, w postępowaniach prowadzonych przez GDDK</w:t>
      </w:r>
      <w:r>
        <w:rPr>
          <w:rFonts w:ascii="Arial" w:hAnsi="Arial" w:cs="Arial"/>
          <w:sz w:val="16"/>
          <w:szCs w:val="16"/>
        </w:rPr>
        <w:t>iA</w:t>
      </w:r>
      <w:r w:rsidRPr="0078413A">
        <w:rPr>
          <w:rFonts w:ascii="Arial" w:hAnsi="Arial" w:cs="Arial"/>
          <w:sz w:val="16"/>
          <w:szCs w:val="16"/>
        </w:rPr>
        <w:t xml:space="preserve">, w których wykorzystywana jest ta klauzula, </w:t>
      </w:r>
      <w:bookmarkStart w:id="10" w:name="_Hlk107315612"/>
      <w:r>
        <w:rPr>
          <w:rFonts w:ascii="Arial" w:hAnsi="Arial" w:cs="Arial"/>
          <w:sz w:val="16"/>
          <w:szCs w:val="16"/>
        </w:rPr>
        <w:t>na datę opracowywania rekomendacji</w:t>
      </w:r>
      <w:bookmarkEnd w:id="10"/>
      <w:r>
        <w:rPr>
          <w:rFonts w:ascii="Arial" w:hAnsi="Arial" w:cs="Arial"/>
          <w:sz w:val="16"/>
          <w:szCs w:val="16"/>
        </w:rPr>
        <w:t xml:space="preserve">, </w:t>
      </w:r>
      <w:r w:rsidRPr="0078413A">
        <w:rPr>
          <w:rFonts w:ascii="Arial" w:hAnsi="Arial" w:cs="Arial"/>
          <w:sz w:val="16"/>
          <w:szCs w:val="16"/>
        </w:rPr>
        <w:t>wskazywana jest wartość 10%.</w:t>
      </w:r>
      <w:bookmarkEnd w:id="9"/>
      <w:r>
        <w:rPr>
          <w:rFonts w:ascii="Arial" w:hAnsi="Arial" w:cs="Arial"/>
          <w:sz w:val="16"/>
          <w:szCs w:val="16"/>
        </w:rPr>
        <w:t xml:space="preserve"> Wartość każdorazowo musi być dostosowana przez zamawiającego, który będzie wzorował się na prezentowanej klauzuli, do stanu faktycznego danej sprawy</w:t>
      </w:r>
      <w:r w:rsidR="00EA620E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15">
    <w:p w14:paraId="1BD7F9F9" w14:textId="77777777" w:rsidR="00894A44" w:rsidRPr="0078413A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W</w:t>
      </w:r>
      <w:r w:rsidRPr="0078413A">
        <w:rPr>
          <w:rFonts w:ascii="Arial" w:hAnsi="Arial" w:cs="Arial"/>
          <w:sz w:val="16"/>
          <w:szCs w:val="16"/>
        </w:rPr>
        <w:t xml:space="preserve"> postępowaniach prowadzonych przez GDDK</w:t>
      </w:r>
      <w:r>
        <w:rPr>
          <w:rFonts w:ascii="Arial" w:hAnsi="Arial" w:cs="Arial"/>
          <w:sz w:val="16"/>
          <w:szCs w:val="16"/>
        </w:rPr>
        <w:t>iA -30 dni.</w:t>
      </w:r>
    </w:p>
  </w:footnote>
  <w:footnote w:id="16">
    <w:p w14:paraId="479D9781" w14:textId="77777777" w:rsidR="00894A44" w:rsidRDefault="00894A44" w:rsidP="00894A44">
      <w:pPr>
        <w:pStyle w:val="Tekstprzypisudolnego"/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</w:t>
      </w:r>
      <w:r w:rsidRPr="0078413A">
        <w:rPr>
          <w:rFonts w:ascii="Arial" w:hAnsi="Arial" w:cs="Arial"/>
          <w:sz w:val="16"/>
          <w:szCs w:val="16"/>
        </w:rPr>
        <w:t xml:space="preserve"> postępowaniach prowadzonych przez GDDK</w:t>
      </w:r>
      <w:r>
        <w:rPr>
          <w:rFonts w:ascii="Arial" w:hAnsi="Arial" w:cs="Arial"/>
          <w:sz w:val="16"/>
          <w:szCs w:val="16"/>
        </w:rPr>
        <w:t>iA – 30 dni.</w:t>
      </w:r>
    </w:p>
  </w:footnote>
  <w:footnote w:id="17">
    <w:p w14:paraId="03CA05BC" w14:textId="484A801E" w:rsidR="00894A44" w:rsidRPr="0072175E" w:rsidRDefault="00894A44" w:rsidP="00894A44">
      <w:pPr>
        <w:rPr>
          <w:rFonts w:ascii="Arial" w:hAnsi="Arial" w:cs="Arial"/>
          <w:sz w:val="16"/>
          <w:szCs w:val="16"/>
        </w:rPr>
      </w:pPr>
      <w:r w:rsidRPr="0072175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2175E">
        <w:rPr>
          <w:rFonts w:ascii="Arial" w:hAnsi="Arial" w:cs="Arial"/>
          <w:sz w:val="16"/>
          <w:szCs w:val="16"/>
        </w:rPr>
        <w:t xml:space="preserve"> </w:t>
      </w:r>
      <w:bookmarkStart w:id="11" w:name="_Hlk114742783"/>
      <w:r w:rsidRPr="008E23C0">
        <w:rPr>
          <w:rFonts w:ascii="Arial" w:hAnsi="Arial" w:cs="Arial"/>
          <w:sz w:val="16"/>
          <w:szCs w:val="16"/>
        </w:rPr>
        <w:t>Współczynnik ten d</w:t>
      </w:r>
      <w:r w:rsidRPr="0072175E">
        <w:rPr>
          <w:rFonts w:ascii="Arial" w:hAnsi="Arial" w:cs="Arial"/>
          <w:sz w:val="16"/>
          <w:szCs w:val="16"/>
        </w:rPr>
        <w:t xml:space="preserve">otyczy </w:t>
      </w:r>
      <w:r w:rsidRPr="008E23C0">
        <w:rPr>
          <w:rFonts w:ascii="Arial" w:hAnsi="Arial" w:cs="Arial"/>
          <w:sz w:val="16"/>
          <w:szCs w:val="16"/>
        </w:rPr>
        <w:t>podziału</w:t>
      </w:r>
      <w:r w:rsidRPr="0072175E">
        <w:rPr>
          <w:rFonts w:ascii="Arial" w:hAnsi="Arial" w:cs="Arial"/>
          <w:sz w:val="16"/>
          <w:szCs w:val="16"/>
        </w:rPr>
        <w:t xml:space="preserve"> ryzyk.</w:t>
      </w:r>
      <w:r w:rsidRPr="008E23C0">
        <w:rPr>
          <w:rFonts w:ascii="Arial" w:hAnsi="Arial" w:cs="Arial"/>
          <w:sz w:val="16"/>
          <w:szCs w:val="16"/>
        </w:rPr>
        <w:t xml:space="preserve"> </w:t>
      </w:r>
      <w:bookmarkStart w:id="12" w:name="_Hlk120704177"/>
      <w:r w:rsidRPr="008E23C0">
        <w:rPr>
          <w:rFonts w:ascii="Arial" w:hAnsi="Arial" w:cs="Arial"/>
          <w:sz w:val="16"/>
          <w:szCs w:val="16"/>
        </w:rPr>
        <w:t xml:space="preserve">Zamawiający musi samodzielnie ustalić, jaka wartość będzie odpowiednia dla stanu faktycznego danej sprawy. </w:t>
      </w:r>
      <w:bookmarkEnd w:id="12"/>
      <w:r w:rsidRPr="008E23C0">
        <w:rPr>
          <w:rFonts w:ascii="Arial" w:hAnsi="Arial" w:cs="Arial"/>
          <w:sz w:val="16"/>
          <w:szCs w:val="16"/>
        </w:rPr>
        <w:t>Przykładowo, GDDKiA w swoich klauzulach stosuje wskaźnik: 0,5.</w:t>
      </w:r>
      <w:r>
        <w:rPr>
          <w:rFonts w:ascii="Arial" w:hAnsi="Arial" w:cs="Arial"/>
          <w:sz w:val="16"/>
          <w:szCs w:val="16"/>
        </w:rPr>
        <w:t xml:space="preserve"> </w:t>
      </w:r>
      <w:r w:rsidRPr="00C87C3E">
        <w:rPr>
          <w:rFonts w:ascii="Arial" w:hAnsi="Arial" w:cs="Arial"/>
          <w:sz w:val="16"/>
          <w:szCs w:val="16"/>
        </w:rPr>
        <w:t>Czyli ryzyko</w:t>
      </w:r>
      <w:r w:rsidRPr="0072175E">
        <w:rPr>
          <w:rFonts w:ascii="Arial" w:hAnsi="Arial" w:cs="Arial"/>
          <w:sz w:val="16"/>
          <w:szCs w:val="16"/>
        </w:rPr>
        <w:t xml:space="preserve"> niemożliwego do przewidzenia wzrostu cen materiałów i kosztów niezbędnych do wykonania umowy jest równomierne </w:t>
      </w:r>
      <w:r w:rsidRPr="00C704FC">
        <w:rPr>
          <w:rFonts w:ascii="Arial" w:hAnsi="Arial" w:cs="Arial"/>
          <w:sz w:val="16"/>
          <w:szCs w:val="16"/>
        </w:rPr>
        <w:t>rozłoż</w:t>
      </w:r>
      <w:r>
        <w:rPr>
          <w:rFonts w:ascii="Arial" w:hAnsi="Arial" w:cs="Arial"/>
          <w:sz w:val="16"/>
          <w:szCs w:val="16"/>
        </w:rPr>
        <w:t>o</w:t>
      </w:r>
      <w:r w:rsidRPr="00C704FC">
        <w:rPr>
          <w:rFonts w:ascii="Arial" w:hAnsi="Arial" w:cs="Arial"/>
          <w:sz w:val="16"/>
          <w:szCs w:val="16"/>
        </w:rPr>
        <w:t>ne</w:t>
      </w:r>
      <w:r w:rsidRPr="0072175E">
        <w:rPr>
          <w:rFonts w:ascii="Arial" w:hAnsi="Arial" w:cs="Arial"/>
          <w:sz w:val="16"/>
          <w:szCs w:val="16"/>
        </w:rPr>
        <w:t xml:space="preserve"> na obie strony.</w:t>
      </w:r>
    </w:p>
    <w:bookmarkEnd w:id="11"/>
  </w:footnote>
  <w:footnote w:id="18">
    <w:p w14:paraId="784AB6EA" w14:textId="06B2998C" w:rsidR="00894A44" w:rsidRPr="0072175E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72175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2175E">
        <w:rPr>
          <w:rFonts w:ascii="Arial" w:hAnsi="Arial" w:cs="Arial"/>
          <w:sz w:val="16"/>
          <w:szCs w:val="16"/>
        </w:rPr>
        <w:t xml:space="preserve"> Wartość ta wiąże się ze współczynnikiem podziału ryzyk – ma wynosić tyle, ile ustalona wartość współczynnika podziału ryzyk (zob. przypis </w:t>
      </w:r>
      <w:r w:rsidR="00844C7D">
        <w:rPr>
          <w:rFonts w:ascii="Arial" w:hAnsi="Arial" w:cs="Arial"/>
          <w:sz w:val="16"/>
          <w:szCs w:val="16"/>
        </w:rPr>
        <w:t>1</w:t>
      </w:r>
      <w:r w:rsidR="0049196F">
        <w:rPr>
          <w:rFonts w:ascii="Arial" w:hAnsi="Arial" w:cs="Arial"/>
          <w:sz w:val="16"/>
          <w:szCs w:val="16"/>
        </w:rPr>
        <w:t>7</w:t>
      </w:r>
      <w:r w:rsidRPr="0072175E">
        <w:rPr>
          <w:rFonts w:ascii="Arial" w:hAnsi="Arial" w:cs="Arial"/>
          <w:sz w:val="16"/>
          <w:szCs w:val="16"/>
        </w:rPr>
        <w:t>)</w:t>
      </w:r>
      <w:r w:rsidR="00EA620E">
        <w:rPr>
          <w:rFonts w:ascii="Arial" w:hAnsi="Arial" w:cs="Arial"/>
          <w:sz w:val="16"/>
          <w:szCs w:val="16"/>
        </w:rPr>
        <w:t>.</w:t>
      </w:r>
    </w:p>
  </w:footnote>
  <w:footnote w:id="19">
    <w:p w14:paraId="7FA3D122" w14:textId="77777777" w:rsidR="00894A44" w:rsidRPr="0049196F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884406">
        <w:rPr>
          <w:rFonts w:ascii="Arial" w:hAnsi="Arial" w:cs="Arial"/>
          <w:sz w:val="16"/>
          <w:szCs w:val="16"/>
        </w:rPr>
        <w:t>Dodano słowo „dostawy” w stosunku do dotychczasowych standardowych zapisów stosowanych przez GDDKiA, w związku z wejściem w życie ustawy z dnia 7 października 2022 r. o zmianie niektórych ustaw w celu uproszczenia procedur administracyjnych dla obywateli i przedsiębiorców (Dz.U. z 2022 r. poz. 2185).</w:t>
      </w:r>
    </w:p>
  </w:footnote>
  <w:footnote w:id="20">
    <w:p w14:paraId="4A9B149D" w14:textId="77777777" w:rsidR="00894A44" w:rsidRPr="0078413A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8844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84406">
        <w:rPr>
          <w:rFonts w:ascii="Arial" w:hAnsi="Arial" w:cs="Arial"/>
          <w:sz w:val="16"/>
          <w:szCs w:val="16"/>
        </w:rPr>
        <w:t xml:space="preserve"> Stosownie do art.439 ust. 5 ustawy Pzp, wykonawca, którego wynagrodzenie zostało zmienione zgodnie z art. 439 ust. 1-3 ustawy Pzp, zobowiązany jest do zmiany wynagrodzenia przysługującego podwykonawcy, z którym zawarł umowę, w zakresie odpowiadającym zmianom cen materiałów lub kosztów dotyczących zobowiązania podwykonawcy, jeżeli łącznie spełnione są warunki wskazane w tym przepisie.</w:t>
      </w:r>
    </w:p>
  </w:footnote>
  <w:footnote w:id="21">
    <w:p w14:paraId="3A72B044" w14:textId="6442E64B" w:rsidR="00894A44" w:rsidRPr="0072175E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72175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2175E">
        <w:rPr>
          <w:rFonts w:ascii="Arial" w:hAnsi="Arial" w:cs="Arial"/>
          <w:sz w:val="16"/>
          <w:szCs w:val="16"/>
        </w:rPr>
        <w:t xml:space="preserve"> Zamawiający wskazuje w tym miejscu współczynnik rozkładu ryzyk. Należy dostosować do przyjętych wag. </w:t>
      </w:r>
      <w:r w:rsidRPr="00DD0115">
        <w:rPr>
          <w:rFonts w:ascii="Arial" w:hAnsi="Arial" w:cs="Arial"/>
          <w:sz w:val="16"/>
          <w:szCs w:val="16"/>
        </w:rPr>
        <w:t>Przykładowo, GDDKiA w swoich klauzulach wskazuje wartość: 0,5</w:t>
      </w:r>
      <w:r w:rsidR="00EA620E">
        <w:rPr>
          <w:rFonts w:ascii="Arial" w:hAnsi="Arial" w:cs="Arial"/>
          <w:sz w:val="16"/>
          <w:szCs w:val="16"/>
        </w:rPr>
        <w:t>.</w:t>
      </w:r>
    </w:p>
  </w:footnote>
  <w:footnote w:id="22">
    <w:p w14:paraId="5CE0E363" w14:textId="77777777" w:rsidR="00894A44" w:rsidRPr="0072175E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72175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2175E">
        <w:rPr>
          <w:rFonts w:ascii="Arial" w:hAnsi="Arial" w:cs="Arial"/>
          <w:sz w:val="16"/>
          <w:szCs w:val="16"/>
        </w:rPr>
        <w:t xml:space="preserve"> Zamawiający wskazuje w tym miejscu przedział wag. Należy je dostosować do stanu faktycznego danej sprawy. Przykładowo, GDDKiA wskazuje w swoich klauzulach w tym miejscu przedział: 0,2-0,3. </w:t>
      </w:r>
    </w:p>
  </w:footnote>
  <w:footnote w:id="23">
    <w:p w14:paraId="3A804021" w14:textId="120B6292" w:rsidR="00894A44" w:rsidRPr="0072175E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72175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2175E">
        <w:rPr>
          <w:rFonts w:ascii="Arial" w:hAnsi="Arial" w:cs="Arial"/>
          <w:sz w:val="16"/>
          <w:szCs w:val="16"/>
        </w:rPr>
        <w:t xml:space="preserve"> Zamawiający wskazuje w tym miejscu wartość, dostosowaną do ustalonych parametrów. Przykładowo, GDDKiA wskazuje w swoich klauzulach wartość: 1</w:t>
      </w:r>
      <w:r w:rsidR="00EA620E">
        <w:rPr>
          <w:rFonts w:ascii="Arial" w:hAnsi="Arial" w:cs="Arial"/>
          <w:sz w:val="16"/>
          <w:szCs w:val="16"/>
        </w:rPr>
        <w:t>.</w:t>
      </w:r>
    </w:p>
  </w:footnote>
  <w:footnote w:id="24">
    <w:p w14:paraId="652912CB" w14:textId="77777777" w:rsidR="00894A44" w:rsidRPr="0049196F" w:rsidRDefault="00894A44" w:rsidP="00894A44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884406">
        <w:rPr>
          <w:rFonts w:ascii="Arial" w:hAnsi="Arial" w:cs="Arial"/>
          <w:sz w:val="16"/>
          <w:szCs w:val="16"/>
        </w:rPr>
        <w:t>Należy wskazać termin. Analogicznie, jak w przypadku wynagrodzenia wykonawcy.</w:t>
      </w:r>
    </w:p>
  </w:footnote>
  <w:footnote w:id="25">
    <w:p w14:paraId="02FF9F39" w14:textId="77777777" w:rsidR="00D426F9" w:rsidRPr="0078413A" w:rsidRDefault="00D426F9" w:rsidP="00D426F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Wskazano przykładowe wskaźniki. Zamawiający powinien wybrać wskaźniki adekwatne do stanu faktycznego jego zamówienia. W takim przypadku należy pamiętać o konieczności modyfikacji wzoru służącego wyliczeniu kwot płatnych wykonawcy.</w:t>
      </w:r>
    </w:p>
  </w:footnote>
  <w:footnote w:id="26">
    <w:p w14:paraId="238BFBCA" w14:textId="77777777" w:rsidR="00D426F9" w:rsidRPr="0078413A" w:rsidRDefault="00D426F9" w:rsidP="00D426F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Należy wskazać liczbę. Przykładowo, w postępowaniach prowadzonych przez PKP PLK</w:t>
      </w:r>
      <w:r>
        <w:rPr>
          <w:rFonts w:ascii="Arial" w:hAnsi="Arial" w:cs="Arial"/>
          <w:sz w:val="16"/>
          <w:szCs w:val="16"/>
        </w:rPr>
        <w:t xml:space="preserve"> SA</w:t>
      </w:r>
      <w:r w:rsidRPr="0078413A">
        <w:rPr>
          <w:rFonts w:ascii="Arial" w:hAnsi="Arial" w:cs="Arial"/>
          <w:sz w:val="16"/>
          <w:szCs w:val="16"/>
        </w:rPr>
        <w:t xml:space="preserve">, w których wykorzystywana jest ta klauzula, </w:t>
      </w:r>
      <w:r w:rsidRPr="00C351A3">
        <w:rPr>
          <w:rFonts w:ascii="Arial" w:hAnsi="Arial" w:cs="Arial"/>
          <w:sz w:val="16"/>
          <w:szCs w:val="16"/>
        </w:rPr>
        <w:t xml:space="preserve">na datę opracowywania rekomendacji </w:t>
      </w:r>
      <w:r w:rsidRPr="0078413A">
        <w:rPr>
          <w:rFonts w:ascii="Arial" w:hAnsi="Arial" w:cs="Arial"/>
          <w:sz w:val="16"/>
          <w:szCs w:val="16"/>
        </w:rPr>
        <w:t>wskazywana jest wartość 10%.</w:t>
      </w:r>
    </w:p>
  </w:footnote>
  <w:footnote w:id="27">
    <w:p w14:paraId="4C47430F" w14:textId="77777777" w:rsidR="00D426F9" w:rsidRPr="0078413A" w:rsidRDefault="00D426F9" w:rsidP="00D426F9">
      <w:pPr>
        <w:pStyle w:val="Tekstprzypisudolnego"/>
        <w:jc w:val="both"/>
      </w:pPr>
      <w:r w:rsidRPr="0078413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8413A">
        <w:rPr>
          <w:rFonts w:ascii="Arial" w:hAnsi="Arial" w:cs="Arial"/>
          <w:sz w:val="16"/>
          <w:szCs w:val="16"/>
        </w:rPr>
        <w:t xml:space="preserve"> Należy wskazać liczbę dni. Przykładowo, w postępowaniach prowadzonych przez PKP PLK</w:t>
      </w:r>
      <w:r>
        <w:rPr>
          <w:rFonts w:ascii="Arial" w:hAnsi="Arial" w:cs="Arial"/>
          <w:sz w:val="16"/>
          <w:szCs w:val="16"/>
        </w:rPr>
        <w:t xml:space="preserve"> SA</w:t>
      </w:r>
      <w:r w:rsidRPr="0078413A">
        <w:rPr>
          <w:rFonts w:ascii="Arial" w:hAnsi="Arial" w:cs="Arial"/>
          <w:sz w:val="16"/>
          <w:szCs w:val="16"/>
        </w:rPr>
        <w:t>, w których wykorzystywana jest ta klauzula, wskazywane jest 30.</w:t>
      </w:r>
    </w:p>
  </w:footnote>
  <w:footnote w:id="28">
    <w:p w14:paraId="64E47CA6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Należy wskazać liczbę dni. Przykładowo, w postępowaniach prowadzonych przez PKP PLK SA, w których wykorzystywana jest ta klauzula, wskazywane jest 30.</w:t>
      </w:r>
    </w:p>
  </w:footnote>
  <w:footnote w:id="29">
    <w:p w14:paraId="2C8EE338" w14:textId="69859750" w:rsidR="00D426F9" w:rsidRPr="00570206" w:rsidRDefault="00D426F9" w:rsidP="00D426F9">
      <w:pPr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Współczynnik rozkładu ryzyk. Każdy zamawiający określa go samodzielnie, dobierając odpowiednią wartość dla danego stanu faktycznego. Przykładowo, PKP PLK S.A. w swoich klauzulach wskazuje wartość: 0,5 (50%</w:t>
      </w:r>
      <w:r w:rsidR="009F7501" w:rsidRPr="00570206">
        <w:rPr>
          <w:rFonts w:ascii="Arial" w:hAnsi="Arial" w:cs="Arial"/>
          <w:sz w:val="16"/>
          <w:szCs w:val="16"/>
        </w:rPr>
        <w:t>). Czyli</w:t>
      </w:r>
      <w:r w:rsidRPr="00570206">
        <w:rPr>
          <w:rFonts w:ascii="Arial" w:hAnsi="Arial" w:cs="Arial"/>
          <w:sz w:val="16"/>
          <w:szCs w:val="16"/>
        </w:rPr>
        <w:t xml:space="preserve"> ryzyko niemożliwego do przewidzenia wzrostu cen materiałów i kosztów niezbędnych do wykonania umowy jest równomierne rozłożone na obie strony.</w:t>
      </w:r>
    </w:p>
  </w:footnote>
  <w:footnote w:id="30">
    <w:p w14:paraId="00AF98F0" w14:textId="1E45B845" w:rsidR="00D426F9" w:rsidRPr="00570206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Zamawiający wskazuje wartość. Musi być ona zgodna z ustalonym wcześniej współczynnikiem rozkładu ryzyk. Przykładowo, PKP PLK S.A. w swoich klauzulach wskazuje wartość: 0,5 (50%)</w:t>
      </w:r>
      <w:r w:rsidR="00ED39B5">
        <w:rPr>
          <w:rFonts w:ascii="Arial" w:hAnsi="Arial" w:cs="Arial"/>
          <w:sz w:val="16"/>
          <w:szCs w:val="16"/>
        </w:rPr>
        <w:t>.</w:t>
      </w:r>
    </w:p>
  </w:footnote>
  <w:footnote w:id="31">
    <w:p w14:paraId="6B8AEE80" w14:textId="77777777" w:rsidR="00D426F9" w:rsidRPr="008C01E4" w:rsidRDefault="00D426F9" w:rsidP="00D426F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</w:t>
      </w:r>
      <w:bookmarkStart w:id="16" w:name="_Hlk106216560"/>
      <w:r w:rsidRPr="00570206">
        <w:rPr>
          <w:rFonts w:ascii="Arial" w:hAnsi="Arial" w:cs="Arial"/>
          <w:sz w:val="16"/>
          <w:szCs w:val="16"/>
        </w:rPr>
        <w:t xml:space="preserve">Przykładowy koszyk waloryzacyjny. Należy określić stosownie do rodzaju robót jakie ma wykonać wykonawca. </w:t>
      </w:r>
      <w:bookmarkEnd w:id="16"/>
      <w:r w:rsidRPr="00570206">
        <w:rPr>
          <w:rFonts w:ascii="Arial" w:hAnsi="Arial" w:cs="Arial"/>
          <w:sz w:val="16"/>
          <w:szCs w:val="16"/>
        </w:rPr>
        <w:t>Propozycje wskazywane w postępowaniach prowadzonych przez PKP PLK SA, w których wykorzystywana jest ta klauzula.</w:t>
      </w:r>
    </w:p>
  </w:footnote>
  <w:footnote w:id="32">
    <w:p w14:paraId="4BEC90FF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15,0%. Suma wszystkich wartości musi wynosić tyle, co określony wcześniej współczynnik podziału ryzyk.</w:t>
      </w:r>
    </w:p>
  </w:footnote>
  <w:footnote w:id="33">
    <w:p w14:paraId="4D836C9D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6,0%. Suma wszystkich wartości musi wynosić tyle, co określony wcześniej współczynnik podziału ryzyk.</w:t>
      </w:r>
    </w:p>
  </w:footnote>
  <w:footnote w:id="34">
    <w:p w14:paraId="45EAA50B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4,0%. Suma wszystkich wartości musi wynosić tyle, co określony wcześniej współczynnik podziału ryzyk.</w:t>
      </w:r>
    </w:p>
  </w:footnote>
  <w:footnote w:id="35">
    <w:p w14:paraId="55CA60F3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1,0%. Suma wszystkich wartości musi wynosić tyle, co określony wcześniej współczynnik podziału ryzyk.</w:t>
      </w:r>
    </w:p>
  </w:footnote>
  <w:footnote w:id="36">
    <w:p w14:paraId="4FF62ED5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9,0%. Suma wszystkich wartości musi wynosić tyle, co określony wcześniej współczynnik podziału ryzyk.</w:t>
      </w:r>
    </w:p>
  </w:footnote>
  <w:footnote w:id="37">
    <w:p w14:paraId="326F7214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13,0%. Suma wszystkich wartości musi wynosić tyle, co określony wcześniej współczynnik podziału ryzyk.</w:t>
      </w:r>
    </w:p>
  </w:footnote>
  <w:footnote w:id="38">
    <w:p w14:paraId="787834CA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Przykładowo, PKP PLK S.A.  w swoich klauzulach wskaźnik ten określa na: 2,0%. Suma wszystkich wartości musi wynosić tyle, co określony wcześniej współczynnik podziału ryzyk.</w:t>
      </w:r>
    </w:p>
  </w:footnote>
  <w:footnote w:id="39">
    <w:p w14:paraId="368E2D2F" w14:textId="77777777" w:rsidR="00D426F9" w:rsidRDefault="00D426F9" w:rsidP="00D426F9">
      <w:pPr>
        <w:pStyle w:val="Tekstprzypisudolnego"/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samodzielnie określa wartość. Jest to suma wszystkich ww. elementów wskazanych w koszyku waloryzacyjnym. Suma musi wynosić tyle, co określony wcześniej współczynnik podziału ryzyk. Przykładowo, PKP PLK S.A. w swoich klauzulach wskaźnik ten określa na: 50%.</w:t>
      </w:r>
    </w:p>
  </w:footnote>
  <w:footnote w:id="40">
    <w:p w14:paraId="07682B09" w14:textId="0311A52E" w:rsidR="00D426F9" w:rsidRPr="00F935FB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547E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47EA">
        <w:rPr>
          <w:rFonts w:ascii="Arial" w:hAnsi="Arial" w:cs="Arial"/>
          <w:sz w:val="16"/>
          <w:szCs w:val="16"/>
        </w:rPr>
        <w:t xml:space="preserve"> Wartość przykładowa</w:t>
      </w:r>
      <w:r w:rsidR="00ED39B5">
        <w:rPr>
          <w:rFonts w:ascii="Arial" w:hAnsi="Arial" w:cs="Arial"/>
          <w:sz w:val="16"/>
          <w:szCs w:val="16"/>
        </w:rPr>
        <w:t>.</w:t>
      </w:r>
      <w:r w:rsidRPr="00F935FB">
        <w:rPr>
          <w:rFonts w:ascii="Arial" w:hAnsi="Arial" w:cs="Arial"/>
          <w:sz w:val="16"/>
          <w:szCs w:val="16"/>
        </w:rPr>
        <w:t xml:space="preserve"> </w:t>
      </w:r>
    </w:p>
  </w:footnote>
  <w:footnote w:id="41">
    <w:p w14:paraId="4247AC45" w14:textId="77777777" w:rsidR="00D426F9" w:rsidRPr="00570206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Wskazać liczbę dni.</w:t>
      </w:r>
    </w:p>
  </w:footnote>
  <w:footnote w:id="42">
    <w:p w14:paraId="52A8AF27" w14:textId="77777777" w:rsidR="00D426F9" w:rsidRPr="00570206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Zamawiający ustala samodzielnie, dostosowując do realiów stanu faktycznego i mechanizmu opisanego w klauzuli. Przykładowo, PKP PLK S.A. w swoich klauzulach wskazuje przedział: od 15% do 30%. </w:t>
      </w:r>
    </w:p>
  </w:footnote>
  <w:footnote w:id="43">
    <w:p w14:paraId="2C544E13" w14:textId="77777777" w:rsidR="00D426F9" w:rsidRPr="00570206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>Zamawiający ustala samodzielnie, dostosowując do realiów stanu faktycznego i mechanizmu opisanego w klauzuli. Przykładowo, PKP PLK S.A. w swoich klauzulach wskazuje przedział: od 1% do 20%.</w:t>
      </w:r>
    </w:p>
  </w:footnote>
  <w:footnote w:id="44">
    <w:p w14:paraId="3943FFC0" w14:textId="77777777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Należy dostosować do przyjętej wartości w zakresie rozkładu ryzyk. Przykładowo, PKP PLK S.A. w swoich klauzulach wskazuje wartość: 50%.</w:t>
      </w:r>
    </w:p>
  </w:footnote>
  <w:footnote w:id="45">
    <w:p w14:paraId="00B74238" w14:textId="05017DAE" w:rsidR="00D426F9" w:rsidRPr="005547EA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Wskaźnik poziomu rozkładu ryzyk. Należy dostosować do wcześniej ustalonego wskaźnika. Przykładowo, PKP PLK S.A. w swoich klauzulach wskazuje wartość:0,5 </w:t>
      </w:r>
      <w:r w:rsidR="009F7501" w:rsidRPr="00570206">
        <w:rPr>
          <w:rFonts w:ascii="Arial" w:hAnsi="Arial" w:cs="Arial"/>
          <w:sz w:val="16"/>
          <w:szCs w:val="16"/>
        </w:rPr>
        <w:t>(50</w:t>
      </w:r>
      <w:r w:rsidRPr="00570206">
        <w:rPr>
          <w:rFonts w:ascii="Arial" w:hAnsi="Arial" w:cs="Arial"/>
          <w:sz w:val="16"/>
          <w:szCs w:val="16"/>
        </w:rPr>
        <w:t>%)</w:t>
      </w:r>
      <w:r w:rsidR="00ED39B5">
        <w:rPr>
          <w:rFonts w:ascii="Arial" w:hAnsi="Arial" w:cs="Arial"/>
          <w:sz w:val="16"/>
          <w:szCs w:val="16"/>
        </w:rPr>
        <w:t>.</w:t>
      </w:r>
    </w:p>
  </w:footnote>
  <w:footnote w:id="46">
    <w:p w14:paraId="11740D2D" w14:textId="32702E26" w:rsidR="00D426F9" w:rsidRPr="0049196F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 xml:space="preserve">Wskaźnik poziomu rozkładu ryzyk. Należy dostosować do wcześniej ustalonego wskaźnika. Przykładowo, PKP PLK S.A. w swoich klauzulach wskazuje wartość:0,5 </w:t>
      </w:r>
      <w:r w:rsidR="009F7501" w:rsidRPr="00570206">
        <w:rPr>
          <w:rFonts w:ascii="Arial" w:hAnsi="Arial" w:cs="Arial"/>
          <w:sz w:val="16"/>
          <w:szCs w:val="16"/>
        </w:rPr>
        <w:t>(50</w:t>
      </w:r>
      <w:r w:rsidRPr="00570206">
        <w:rPr>
          <w:rFonts w:ascii="Arial" w:hAnsi="Arial" w:cs="Arial"/>
          <w:sz w:val="16"/>
          <w:szCs w:val="16"/>
        </w:rPr>
        <w:t>%)</w:t>
      </w:r>
      <w:r w:rsidR="00ED39B5">
        <w:rPr>
          <w:rFonts w:ascii="Arial" w:hAnsi="Arial" w:cs="Arial"/>
          <w:sz w:val="16"/>
          <w:szCs w:val="16"/>
        </w:rPr>
        <w:t>.</w:t>
      </w:r>
    </w:p>
  </w:footnote>
  <w:footnote w:id="47">
    <w:p w14:paraId="2C2A3EFB" w14:textId="77777777" w:rsidR="00D426F9" w:rsidRPr="00570206" w:rsidRDefault="00D426F9" w:rsidP="00D426F9">
      <w:pPr>
        <w:pStyle w:val="Tekstprzypisudolnego"/>
        <w:rPr>
          <w:rFonts w:ascii="Arial" w:hAnsi="Arial" w:cs="Arial"/>
          <w:sz w:val="16"/>
          <w:szCs w:val="16"/>
        </w:rPr>
      </w:pPr>
      <w:r w:rsidRPr="0057020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70206">
        <w:rPr>
          <w:rFonts w:ascii="Arial" w:hAnsi="Arial" w:cs="Arial"/>
          <w:sz w:val="16"/>
          <w:szCs w:val="16"/>
        </w:rPr>
        <w:t xml:space="preserve"> Należy wskazać liczbę miesięcy. Przykładowo, w postępowaniach prowadzonych przez PKP PLK SA, w których wykorzystywana jest ta klauzula, wskazywana jest liczba 7 miesięcy. </w:t>
      </w:r>
    </w:p>
  </w:footnote>
  <w:footnote w:id="48">
    <w:p w14:paraId="6BBEFB09" w14:textId="2C59EDF3" w:rsidR="00D426F9" w:rsidRPr="00570206" w:rsidRDefault="00D426F9" w:rsidP="00D426F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91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9196F">
        <w:rPr>
          <w:rFonts w:ascii="Arial" w:hAnsi="Arial" w:cs="Arial"/>
          <w:sz w:val="16"/>
          <w:szCs w:val="16"/>
        </w:rPr>
        <w:t xml:space="preserve"> </w:t>
      </w:r>
      <w:r w:rsidRPr="00570206">
        <w:rPr>
          <w:rFonts w:ascii="Arial" w:hAnsi="Arial" w:cs="Arial"/>
          <w:sz w:val="16"/>
          <w:szCs w:val="16"/>
        </w:rPr>
        <w:t xml:space="preserve">Należy wskazać liczbę. Przykładowo, w postępowaniach prowadzonych przez PKP PLK SA, w których wykorzystywana jest ta klauzula, wskazywana jest wartość </w:t>
      </w:r>
      <w:r w:rsidR="009F7501" w:rsidRPr="00570206">
        <w:rPr>
          <w:rFonts w:ascii="Arial" w:hAnsi="Arial" w:cs="Arial"/>
          <w:sz w:val="16"/>
          <w:szCs w:val="16"/>
        </w:rPr>
        <w:t>10 %</w:t>
      </w:r>
      <w:r w:rsidRPr="00570206">
        <w:rPr>
          <w:rFonts w:ascii="Arial" w:hAnsi="Arial" w:cs="Arial"/>
          <w:sz w:val="16"/>
          <w:szCs w:val="16"/>
        </w:rPr>
        <w:t>.</w:t>
      </w:r>
    </w:p>
    <w:p w14:paraId="18B17448" w14:textId="77777777" w:rsidR="00D426F9" w:rsidRDefault="00D426F9" w:rsidP="00D426F9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D354B"/>
    <w:multiLevelType w:val="hybridMultilevel"/>
    <w:tmpl w:val="9C142C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B394E"/>
    <w:multiLevelType w:val="hybridMultilevel"/>
    <w:tmpl w:val="656E85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07D89"/>
    <w:multiLevelType w:val="hybridMultilevel"/>
    <w:tmpl w:val="656E85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B85E62"/>
    <w:multiLevelType w:val="hybridMultilevel"/>
    <w:tmpl w:val="1E46E5B4"/>
    <w:lvl w:ilvl="0" w:tplc="24A8C786">
      <w:start w:val="1"/>
      <w:numFmt w:val="lowerRoman"/>
      <w:lvlText w:val="(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C220F"/>
    <w:multiLevelType w:val="hybridMultilevel"/>
    <w:tmpl w:val="4E7EB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D129D"/>
    <w:multiLevelType w:val="hybridMultilevel"/>
    <w:tmpl w:val="138073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64D31"/>
    <w:multiLevelType w:val="hybridMultilevel"/>
    <w:tmpl w:val="F684C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4516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25453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06142152">
    <w:abstractNumId w:val="5"/>
  </w:num>
  <w:num w:numId="4" w16cid:durableId="770860303">
    <w:abstractNumId w:val="0"/>
  </w:num>
  <w:num w:numId="5" w16cid:durableId="985742334">
    <w:abstractNumId w:val="4"/>
  </w:num>
  <w:num w:numId="6" w16cid:durableId="1405376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16090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A44"/>
    <w:rsid w:val="000105B7"/>
    <w:rsid w:val="000171AB"/>
    <w:rsid w:val="000339A2"/>
    <w:rsid w:val="00037153"/>
    <w:rsid w:val="00050FE7"/>
    <w:rsid w:val="000575D5"/>
    <w:rsid w:val="00095703"/>
    <w:rsid w:val="00096868"/>
    <w:rsid w:val="000B0421"/>
    <w:rsid w:val="000B79F9"/>
    <w:rsid w:val="000C0931"/>
    <w:rsid w:val="000C2D20"/>
    <w:rsid w:val="000E3665"/>
    <w:rsid w:val="00101E26"/>
    <w:rsid w:val="001104A9"/>
    <w:rsid w:val="0015098E"/>
    <w:rsid w:val="00161E3E"/>
    <w:rsid w:val="00164738"/>
    <w:rsid w:val="00174E7B"/>
    <w:rsid w:val="00196339"/>
    <w:rsid w:val="001C40B2"/>
    <w:rsid w:val="001F0921"/>
    <w:rsid w:val="001F2960"/>
    <w:rsid w:val="00220069"/>
    <w:rsid w:val="00267BD6"/>
    <w:rsid w:val="00282890"/>
    <w:rsid w:val="00285977"/>
    <w:rsid w:val="002B27F2"/>
    <w:rsid w:val="002C1B6D"/>
    <w:rsid w:val="002D6B4F"/>
    <w:rsid w:val="002E0BEB"/>
    <w:rsid w:val="002E50DD"/>
    <w:rsid w:val="002E5BE6"/>
    <w:rsid w:val="002F7081"/>
    <w:rsid w:val="00380A6D"/>
    <w:rsid w:val="0038470E"/>
    <w:rsid w:val="0039301A"/>
    <w:rsid w:val="003A34AD"/>
    <w:rsid w:val="003A7F1A"/>
    <w:rsid w:val="003D7E20"/>
    <w:rsid w:val="003F6FC4"/>
    <w:rsid w:val="0040668E"/>
    <w:rsid w:val="004158A8"/>
    <w:rsid w:val="0041792F"/>
    <w:rsid w:val="004466FE"/>
    <w:rsid w:val="004546C4"/>
    <w:rsid w:val="00456740"/>
    <w:rsid w:val="00480E89"/>
    <w:rsid w:val="0049196F"/>
    <w:rsid w:val="004B525E"/>
    <w:rsid w:val="004C7DE8"/>
    <w:rsid w:val="004D6534"/>
    <w:rsid w:val="004E534E"/>
    <w:rsid w:val="004F10D0"/>
    <w:rsid w:val="004F3D63"/>
    <w:rsid w:val="00552E33"/>
    <w:rsid w:val="00553794"/>
    <w:rsid w:val="0056146F"/>
    <w:rsid w:val="00563BD8"/>
    <w:rsid w:val="00570206"/>
    <w:rsid w:val="00571E9D"/>
    <w:rsid w:val="0057440C"/>
    <w:rsid w:val="0058147F"/>
    <w:rsid w:val="005865D4"/>
    <w:rsid w:val="005A3AEE"/>
    <w:rsid w:val="005C7A15"/>
    <w:rsid w:val="005D7C41"/>
    <w:rsid w:val="005E2FD2"/>
    <w:rsid w:val="005F0DB0"/>
    <w:rsid w:val="00600BA6"/>
    <w:rsid w:val="00613EE5"/>
    <w:rsid w:val="0061498F"/>
    <w:rsid w:val="00624D60"/>
    <w:rsid w:val="006477A0"/>
    <w:rsid w:val="00651964"/>
    <w:rsid w:val="006612EE"/>
    <w:rsid w:val="006B3649"/>
    <w:rsid w:val="006B75D1"/>
    <w:rsid w:val="006D57F3"/>
    <w:rsid w:val="00721BA3"/>
    <w:rsid w:val="0072711E"/>
    <w:rsid w:val="00740A50"/>
    <w:rsid w:val="00772563"/>
    <w:rsid w:val="00773DAD"/>
    <w:rsid w:val="0079331B"/>
    <w:rsid w:val="007A5BAC"/>
    <w:rsid w:val="007C0850"/>
    <w:rsid w:val="007C35D4"/>
    <w:rsid w:val="007E1BD9"/>
    <w:rsid w:val="008040DB"/>
    <w:rsid w:val="00810AB0"/>
    <w:rsid w:val="00811B03"/>
    <w:rsid w:val="0084155A"/>
    <w:rsid w:val="00844C7D"/>
    <w:rsid w:val="008576E9"/>
    <w:rsid w:val="00872614"/>
    <w:rsid w:val="00872A6E"/>
    <w:rsid w:val="00884406"/>
    <w:rsid w:val="00894A44"/>
    <w:rsid w:val="008A57AA"/>
    <w:rsid w:val="008E0A8E"/>
    <w:rsid w:val="008F31AA"/>
    <w:rsid w:val="009079BF"/>
    <w:rsid w:val="00917C09"/>
    <w:rsid w:val="009653A8"/>
    <w:rsid w:val="00970BAC"/>
    <w:rsid w:val="00976292"/>
    <w:rsid w:val="009D131A"/>
    <w:rsid w:val="009F7501"/>
    <w:rsid w:val="00A25E0B"/>
    <w:rsid w:val="00AA3CE0"/>
    <w:rsid w:val="00AA7DF0"/>
    <w:rsid w:val="00AB70E3"/>
    <w:rsid w:val="00AD6B40"/>
    <w:rsid w:val="00AF1182"/>
    <w:rsid w:val="00AF12D9"/>
    <w:rsid w:val="00B1305F"/>
    <w:rsid w:val="00B31549"/>
    <w:rsid w:val="00B66322"/>
    <w:rsid w:val="00BA3CDE"/>
    <w:rsid w:val="00BB0330"/>
    <w:rsid w:val="00BB3911"/>
    <w:rsid w:val="00BC4F70"/>
    <w:rsid w:val="00BD5DF5"/>
    <w:rsid w:val="00C01DDA"/>
    <w:rsid w:val="00C12092"/>
    <w:rsid w:val="00C63399"/>
    <w:rsid w:val="00CC6EE4"/>
    <w:rsid w:val="00CD7161"/>
    <w:rsid w:val="00CF75BA"/>
    <w:rsid w:val="00D2620E"/>
    <w:rsid w:val="00D426F9"/>
    <w:rsid w:val="00D50D45"/>
    <w:rsid w:val="00D54C36"/>
    <w:rsid w:val="00D868E6"/>
    <w:rsid w:val="00D94180"/>
    <w:rsid w:val="00DA6731"/>
    <w:rsid w:val="00DB3E80"/>
    <w:rsid w:val="00DC5881"/>
    <w:rsid w:val="00E671E5"/>
    <w:rsid w:val="00E71C3B"/>
    <w:rsid w:val="00E72CA4"/>
    <w:rsid w:val="00EA5789"/>
    <w:rsid w:val="00EA620E"/>
    <w:rsid w:val="00EB411A"/>
    <w:rsid w:val="00ED032E"/>
    <w:rsid w:val="00ED39B5"/>
    <w:rsid w:val="00F00D9C"/>
    <w:rsid w:val="00F10F63"/>
    <w:rsid w:val="00F15EEE"/>
    <w:rsid w:val="00F43E1F"/>
    <w:rsid w:val="00F71364"/>
    <w:rsid w:val="00F7235C"/>
    <w:rsid w:val="00F80139"/>
    <w:rsid w:val="00FE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9656A"/>
  <w15:chartTrackingRefBased/>
  <w15:docId w15:val="{47BF4934-CD2C-4E8C-A286-E5808B87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894A44"/>
    <w:pPr>
      <w:spacing w:before="120" w:after="12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94A44"/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A44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A44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A44"/>
    <w:rPr>
      <w:vertAlign w:val="superscript"/>
    </w:rPr>
  </w:style>
  <w:style w:type="paragraph" w:customStyle="1" w:styleId="numerowanie">
    <w:name w:val="numerowanie"/>
    <w:basedOn w:val="Normalny"/>
    <w:rsid w:val="00894A44"/>
    <w:pPr>
      <w:spacing w:after="0" w:line="240" w:lineRule="auto"/>
      <w:jc w:val="both"/>
    </w:pPr>
    <w:rPr>
      <w:rFonts w:ascii="Arial" w:hAnsi="Arial" w:cs="Arial"/>
      <w:spacing w:val="4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894A44"/>
    <w:rPr>
      <w:color w:val="0563C1" w:themeColor="hyperlink"/>
      <w:u w:val="single"/>
    </w:rPr>
  </w:style>
  <w:style w:type="character" w:customStyle="1" w:styleId="TeksttreciKursywa">
    <w:name w:val="Tekst treści + Kursywa"/>
    <w:basedOn w:val="Domylnaczcionkaakapitu"/>
    <w:rsid w:val="00894A44"/>
    <w:rPr>
      <w:rFonts w:ascii="Arial" w:hAnsi="Arial" w:cs="Arial" w:hint="default"/>
      <w:b w:val="0"/>
      <w:bCs w:val="0"/>
      <w:i/>
      <w:iCs/>
      <w:smallCaps w:val="0"/>
      <w:strike w:val="0"/>
      <w:dstrike w:val="0"/>
      <w:color w:val="000000"/>
      <w:spacing w:val="0"/>
      <w:position w:val="0"/>
      <w:u w:val="none"/>
      <w:effect w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42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26F9"/>
    <w:rPr>
      <w:sz w:val="20"/>
      <w:szCs w:val="20"/>
    </w:rPr>
  </w:style>
  <w:style w:type="paragraph" w:customStyle="1" w:styleId="Default">
    <w:name w:val="Default"/>
    <w:rsid w:val="00D426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6F9"/>
    <w:rPr>
      <w:sz w:val="16"/>
      <w:szCs w:val="16"/>
    </w:rPr>
  </w:style>
  <w:style w:type="table" w:styleId="Tabela-Siatka">
    <w:name w:val="Table Grid"/>
    <w:basedOn w:val="Standardowy"/>
    <w:uiPriority w:val="39"/>
    <w:rsid w:val="00D426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F12D9"/>
    <w:rPr>
      <w:color w:val="808080"/>
    </w:rPr>
  </w:style>
  <w:style w:type="paragraph" w:styleId="Poprawka">
    <w:name w:val="Revision"/>
    <w:hidden/>
    <w:uiPriority w:val="99"/>
    <w:semiHidden/>
    <w:rsid w:val="00EA5789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30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305F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B7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79F9"/>
  </w:style>
  <w:style w:type="paragraph" w:styleId="Stopka">
    <w:name w:val="footer"/>
    <w:basedOn w:val="Normalny"/>
    <w:link w:val="StopkaZnak"/>
    <w:uiPriority w:val="99"/>
    <w:unhideWhenUsed/>
    <w:rsid w:val="000B7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79F9"/>
  </w:style>
  <w:style w:type="character" w:customStyle="1" w:styleId="cf01">
    <w:name w:val="cf01"/>
    <w:basedOn w:val="Domylnaczcionkaakapitu"/>
    <w:rsid w:val="00811B03"/>
    <w:rPr>
      <w:rFonts w:ascii="Segoe UI" w:hAnsi="Segoe UI" w:cs="Segoe UI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1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waid.stat.gov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waid.stat.gov.pl/Ceny_dashboards/Raporty_predefiniowane/RAP_DBD_CEN_30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mbwheyd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19586-1F13-45AE-B13E-F5EFDB8A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6290</Words>
  <Characters>37740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Trybusz Michał</dc:creator>
  <cp:keywords/>
  <dc:description/>
  <cp:lastModifiedBy>Trybusz Michał</cp:lastModifiedBy>
  <cp:revision>2</cp:revision>
  <cp:lastPrinted>2022-11-30T06:44:00Z</cp:lastPrinted>
  <dcterms:created xsi:type="dcterms:W3CDTF">2022-11-30T13:16:00Z</dcterms:created>
  <dcterms:modified xsi:type="dcterms:W3CDTF">2022-11-30T13:16:00Z</dcterms:modified>
</cp:coreProperties>
</file>