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88ED1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8505"/>
      </w:tblGrid>
      <w:tr w:rsidR="007A0A3D" w:rsidRPr="002450C4" w14:paraId="1A9C481E" w14:textId="77777777" w:rsidTr="00E950CB">
        <w:tc>
          <w:tcPr>
            <w:tcW w:w="425" w:type="dxa"/>
          </w:tcPr>
          <w:p w14:paraId="159BCEF5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418" w:type="dxa"/>
          </w:tcPr>
          <w:p w14:paraId="155F371E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8505" w:type="dxa"/>
          </w:tcPr>
          <w:p w14:paraId="00D23086" w14:textId="77777777" w:rsidR="007A0A3D" w:rsidRPr="002450C4" w:rsidRDefault="007A0A3D" w:rsidP="00E950CB">
            <w:pPr>
              <w:ind w:right="-675"/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30835F2E" w14:textId="77777777" w:rsidTr="00E950CB">
        <w:tc>
          <w:tcPr>
            <w:tcW w:w="425" w:type="dxa"/>
          </w:tcPr>
          <w:p w14:paraId="78876CA8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7E60527D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8505" w:type="dxa"/>
          </w:tcPr>
          <w:p w14:paraId="50498BC2" w14:textId="77777777" w:rsidR="007A0A3D" w:rsidRPr="002450C4" w:rsidRDefault="005F08BC" w:rsidP="00981922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Chmura </w:t>
            </w:r>
            <w:r w:rsidR="00981922">
              <w:rPr>
                <w:i/>
                <w:sz w:val="18"/>
                <w:szCs w:val="20"/>
              </w:rPr>
              <w:t>o</w:t>
            </w:r>
            <w:r>
              <w:rPr>
                <w:i/>
                <w:sz w:val="18"/>
                <w:szCs w:val="20"/>
              </w:rPr>
              <w:t>bliczeniowa resortu finansów (HARF)</w:t>
            </w:r>
          </w:p>
        </w:tc>
      </w:tr>
      <w:tr w:rsidR="007A0A3D" w:rsidRPr="002450C4" w14:paraId="14A4390D" w14:textId="77777777" w:rsidTr="00E950CB">
        <w:trPr>
          <w:trHeight w:val="265"/>
        </w:trPr>
        <w:tc>
          <w:tcPr>
            <w:tcW w:w="425" w:type="dxa"/>
          </w:tcPr>
          <w:p w14:paraId="3AE7290D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511E9A2F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8505" w:type="dxa"/>
          </w:tcPr>
          <w:p w14:paraId="1E0DDB56" w14:textId="77777777" w:rsidR="001C611C" w:rsidRPr="00A1534B" w:rsidRDefault="005F08BC" w:rsidP="0092099A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Ministerstwo Finansów</w:t>
            </w:r>
          </w:p>
        </w:tc>
      </w:tr>
      <w:tr w:rsidR="007A0A3D" w:rsidRPr="002450C4" w14:paraId="06A00EFE" w14:textId="77777777" w:rsidTr="00E950CB">
        <w:tc>
          <w:tcPr>
            <w:tcW w:w="425" w:type="dxa"/>
          </w:tcPr>
          <w:p w14:paraId="7B2D7425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19CDBA23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8505" w:type="dxa"/>
          </w:tcPr>
          <w:p w14:paraId="046A8C96" w14:textId="77777777" w:rsidR="007A0A3D" w:rsidRPr="002450C4" w:rsidRDefault="00216286" w:rsidP="00FD074F">
            <w:pPr>
              <w:jc w:val="both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n/d</w:t>
            </w:r>
          </w:p>
        </w:tc>
      </w:tr>
      <w:tr w:rsidR="003B107D" w:rsidRPr="002450C4" w14:paraId="5AB8D07E" w14:textId="77777777" w:rsidTr="00E950CB">
        <w:trPr>
          <w:trHeight w:val="6377"/>
        </w:trPr>
        <w:tc>
          <w:tcPr>
            <w:tcW w:w="425" w:type="dxa"/>
          </w:tcPr>
          <w:p w14:paraId="456BD81A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554E2F44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8505" w:type="dxa"/>
          </w:tcPr>
          <w:p w14:paraId="33782B08" w14:textId="77777777" w:rsidR="007B7A20" w:rsidRDefault="007B7A20" w:rsidP="00BC120E">
            <w:pPr>
              <w:jc w:val="both"/>
              <w:rPr>
                <w:i/>
                <w:sz w:val="18"/>
                <w:szCs w:val="20"/>
              </w:rPr>
            </w:pPr>
          </w:p>
          <w:p w14:paraId="241797E4" w14:textId="77777777" w:rsidR="00D90394" w:rsidRPr="000829FE" w:rsidRDefault="00D90394" w:rsidP="000829FE">
            <w:pPr>
              <w:jc w:val="both"/>
              <w:rPr>
                <w:i/>
                <w:color w:val="0070C0"/>
                <w:sz w:val="18"/>
                <w:szCs w:val="20"/>
              </w:rPr>
            </w:pPr>
            <w:r w:rsidRPr="000829FE">
              <w:rPr>
                <w:i/>
                <w:color w:val="0070C0"/>
                <w:sz w:val="18"/>
                <w:szCs w:val="20"/>
              </w:rPr>
              <w:t>Dofinansowanie ze środków Europejskiego Funduszu Rozwoju Regionalnego w ramach Osi Priorytetowej nr 2 „E-administracja i otwarty rząd” Programu Operacyjnego Polska Cyfrowa na lata 2014-2020, o numerze POPC.02.01.00-00-0006/15 wraz z aneksami. Wysoka dostępność i jakość e-usług publicznych.</w:t>
            </w:r>
          </w:p>
          <w:p w14:paraId="382AD255" w14:textId="77777777" w:rsidR="007B7A20" w:rsidRPr="000829FE" w:rsidRDefault="00D90394" w:rsidP="00D90394">
            <w:pPr>
              <w:jc w:val="both"/>
              <w:rPr>
                <w:i/>
                <w:color w:val="0070C0"/>
                <w:sz w:val="18"/>
                <w:szCs w:val="20"/>
              </w:rPr>
            </w:pPr>
            <w:r w:rsidRPr="000829FE">
              <w:rPr>
                <w:i/>
                <w:color w:val="0070C0"/>
                <w:sz w:val="18"/>
                <w:szCs w:val="20"/>
              </w:rPr>
              <w:t>Finansowanie ze środków cz. 19 budżetu państwa</w:t>
            </w:r>
            <w:r w:rsidR="00386766">
              <w:rPr>
                <w:i/>
                <w:color w:val="0070C0"/>
                <w:sz w:val="18"/>
                <w:szCs w:val="20"/>
              </w:rPr>
              <w:t>.</w:t>
            </w:r>
          </w:p>
          <w:p w14:paraId="5DD3CBD0" w14:textId="77777777" w:rsidR="007B7A20" w:rsidRDefault="007B7A20" w:rsidP="00BC120E">
            <w:pPr>
              <w:jc w:val="both"/>
              <w:rPr>
                <w:i/>
                <w:sz w:val="18"/>
                <w:szCs w:val="20"/>
              </w:rPr>
            </w:pPr>
          </w:p>
          <w:p w14:paraId="213EC89A" w14:textId="77777777" w:rsidR="00F83107" w:rsidRPr="009F43C6" w:rsidRDefault="00F83107" w:rsidP="00F83107">
            <w:pPr>
              <w:jc w:val="both"/>
              <w:rPr>
                <w:i/>
                <w:color w:val="0070C0"/>
                <w:sz w:val="18"/>
                <w:szCs w:val="20"/>
              </w:rPr>
            </w:pPr>
            <w:r w:rsidRPr="009F43C6">
              <w:rPr>
                <w:i/>
                <w:color w:val="0070C0"/>
                <w:sz w:val="18"/>
                <w:szCs w:val="20"/>
              </w:rPr>
              <w:t xml:space="preserve">Planowany budżet projektu zgodnie z aneksem nr </w:t>
            </w:r>
            <w:r w:rsidR="00386766" w:rsidRPr="009F43C6">
              <w:rPr>
                <w:i/>
                <w:color w:val="0070C0"/>
                <w:sz w:val="18"/>
                <w:szCs w:val="20"/>
              </w:rPr>
              <w:t>6</w:t>
            </w:r>
            <w:r w:rsidRPr="009F43C6">
              <w:rPr>
                <w:i/>
                <w:color w:val="0070C0"/>
                <w:sz w:val="18"/>
                <w:szCs w:val="20"/>
              </w:rPr>
              <w:t xml:space="preserve"> do Porozumienia o dofinansowanie projektu wynosił </w:t>
            </w:r>
            <w:r w:rsidR="00386766" w:rsidRPr="009F43C6">
              <w:rPr>
                <w:i/>
                <w:color w:val="0070C0"/>
                <w:sz w:val="18"/>
                <w:szCs w:val="20"/>
              </w:rPr>
              <w:t>–</w:t>
            </w:r>
            <w:r w:rsidRPr="009F43C6">
              <w:rPr>
                <w:i/>
                <w:color w:val="0070C0"/>
                <w:sz w:val="18"/>
                <w:szCs w:val="20"/>
              </w:rPr>
              <w:t xml:space="preserve"> </w:t>
            </w:r>
            <w:r w:rsidR="00386766" w:rsidRPr="009F43C6">
              <w:rPr>
                <w:i/>
                <w:color w:val="0070C0"/>
                <w:sz w:val="18"/>
                <w:szCs w:val="20"/>
              </w:rPr>
              <w:t>192 500 000,00</w:t>
            </w:r>
            <w:r w:rsidRPr="009F43C6">
              <w:rPr>
                <w:i/>
                <w:color w:val="0070C0"/>
                <w:sz w:val="18"/>
                <w:szCs w:val="20"/>
              </w:rPr>
              <w:t xml:space="preserve"> zł</w:t>
            </w:r>
            <w:r w:rsidR="00386766" w:rsidRPr="009F43C6">
              <w:rPr>
                <w:i/>
                <w:color w:val="0070C0"/>
                <w:sz w:val="18"/>
                <w:szCs w:val="20"/>
              </w:rPr>
              <w:t>.</w:t>
            </w:r>
          </w:p>
          <w:p w14:paraId="00A26DDA" w14:textId="77777777" w:rsidR="00F83107" w:rsidRPr="009F43C6" w:rsidRDefault="00F83107" w:rsidP="00F83107">
            <w:pPr>
              <w:jc w:val="both"/>
              <w:rPr>
                <w:i/>
                <w:color w:val="0070C0"/>
                <w:sz w:val="18"/>
                <w:szCs w:val="20"/>
              </w:rPr>
            </w:pPr>
            <w:r w:rsidRPr="009F43C6">
              <w:rPr>
                <w:i/>
                <w:color w:val="0070C0"/>
                <w:sz w:val="18"/>
                <w:szCs w:val="20"/>
              </w:rPr>
              <w:t xml:space="preserve">Faktycznie poniesione wydatki wyniosły </w:t>
            </w:r>
            <w:r w:rsidR="00386766" w:rsidRPr="009F43C6">
              <w:rPr>
                <w:i/>
                <w:color w:val="0070C0"/>
                <w:sz w:val="18"/>
                <w:szCs w:val="20"/>
              </w:rPr>
              <w:t>–</w:t>
            </w:r>
            <w:r w:rsidRPr="009F43C6">
              <w:rPr>
                <w:i/>
                <w:color w:val="0070C0"/>
                <w:sz w:val="18"/>
                <w:szCs w:val="20"/>
              </w:rPr>
              <w:t xml:space="preserve"> </w:t>
            </w:r>
            <w:r w:rsidR="00386766" w:rsidRPr="009F43C6">
              <w:rPr>
                <w:i/>
                <w:color w:val="0070C0"/>
                <w:sz w:val="18"/>
                <w:szCs w:val="20"/>
              </w:rPr>
              <w:t>176 293 658,75</w:t>
            </w:r>
            <w:r w:rsidRPr="009F43C6">
              <w:rPr>
                <w:i/>
                <w:color w:val="0070C0"/>
                <w:sz w:val="18"/>
                <w:szCs w:val="20"/>
              </w:rPr>
              <w:t xml:space="preserve"> zł.</w:t>
            </w:r>
          </w:p>
          <w:p w14:paraId="725CF69F" w14:textId="77777777" w:rsidR="00F83107" w:rsidRPr="009F43C6" w:rsidRDefault="00F83107" w:rsidP="00F83107">
            <w:pPr>
              <w:jc w:val="both"/>
              <w:rPr>
                <w:i/>
                <w:color w:val="0070C0"/>
                <w:sz w:val="18"/>
                <w:szCs w:val="20"/>
              </w:rPr>
            </w:pPr>
            <w:r w:rsidRPr="009F43C6">
              <w:rPr>
                <w:i/>
                <w:color w:val="0070C0"/>
                <w:sz w:val="18"/>
                <w:szCs w:val="20"/>
              </w:rPr>
              <w:t>Na dzień 24.0</w:t>
            </w:r>
            <w:r w:rsidR="00386766" w:rsidRPr="009F43C6">
              <w:rPr>
                <w:i/>
                <w:color w:val="0070C0"/>
                <w:sz w:val="18"/>
                <w:szCs w:val="20"/>
              </w:rPr>
              <w:t>6</w:t>
            </w:r>
            <w:r w:rsidRPr="009F43C6">
              <w:rPr>
                <w:i/>
                <w:color w:val="0070C0"/>
                <w:sz w:val="18"/>
                <w:szCs w:val="20"/>
              </w:rPr>
              <w:t xml:space="preserve">.2019 r. Beneficjent nie otrzymał od Instytucji Pośredniczącej CPPC informacji nt. wszystkich wykazanych wydatków w złożonych wnioskach o płatność. Końcowy Wniosek o płatność został złożony w dniu </w:t>
            </w:r>
            <w:r w:rsidR="00386766" w:rsidRPr="009F43C6">
              <w:rPr>
                <w:i/>
                <w:color w:val="0070C0"/>
                <w:sz w:val="18"/>
                <w:szCs w:val="20"/>
              </w:rPr>
              <w:t>24</w:t>
            </w:r>
            <w:r w:rsidRPr="009F43C6">
              <w:rPr>
                <w:i/>
                <w:color w:val="0070C0"/>
                <w:sz w:val="18"/>
                <w:szCs w:val="20"/>
              </w:rPr>
              <w:t xml:space="preserve">.05.2019 r. </w:t>
            </w:r>
          </w:p>
          <w:p w14:paraId="736E14F7" w14:textId="77777777" w:rsidR="00F83107" w:rsidRPr="009F43C6" w:rsidRDefault="00F83107" w:rsidP="00F83107">
            <w:pPr>
              <w:jc w:val="both"/>
              <w:rPr>
                <w:i/>
                <w:color w:val="0070C0"/>
                <w:sz w:val="18"/>
                <w:szCs w:val="20"/>
              </w:rPr>
            </w:pPr>
            <w:r w:rsidRPr="009F43C6">
              <w:rPr>
                <w:i/>
                <w:color w:val="0070C0"/>
                <w:sz w:val="18"/>
                <w:szCs w:val="20"/>
              </w:rPr>
              <w:t xml:space="preserve">Kwota zatwierdzona przez CPPC do certyfikacji wynosi – </w:t>
            </w:r>
            <w:r w:rsidR="00386766" w:rsidRPr="009F43C6">
              <w:rPr>
                <w:i/>
                <w:color w:val="0070C0"/>
                <w:sz w:val="18"/>
                <w:szCs w:val="20"/>
              </w:rPr>
              <w:t>150 508 432,79</w:t>
            </w:r>
            <w:r w:rsidRPr="009F43C6">
              <w:rPr>
                <w:i/>
                <w:color w:val="0070C0"/>
                <w:sz w:val="18"/>
                <w:szCs w:val="20"/>
              </w:rPr>
              <w:t xml:space="preserve">zł, </w:t>
            </w:r>
          </w:p>
          <w:p w14:paraId="61273FFD" w14:textId="77777777" w:rsidR="00F83107" w:rsidRPr="009F43C6" w:rsidRDefault="00F83107" w:rsidP="00F83107">
            <w:pPr>
              <w:jc w:val="both"/>
              <w:rPr>
                <w:i/>
                <w:color w:val="0070C0"/>
                <w:sz w:val="18"/>
                <w:szCs w:val="20"/>
              </w:rPr>
            </w:pPr>
            <w:r w:rsidRPr="009F43C6">
              <w:rPr>
                <w:i/>
                <w:color w:val="0070C0"/>
                <w:sz w:val="18"/>
                <w:szCs w:val="20"/>
              </w:rPr>
              <w:t xml:space="preserve">Kwota wydatków oczekujących na certyfikację wynosi – </w:t>
            </w:r>
            <w:r w:rsidR="00386766" w:rsidRPr="009F43C6">
              <w:rPr>
                <w:i/>
                <w:color w:val="0070C0"/>
                <w:sz w:val="18"/>
                <w:szCs w:val="20"/>
              </w:rPr>
              <w:t xml:space="preserve">   25 723 587,38</w:t>
            </w:r>
            <w:r w:rsidRPr="009F43C6">
              <w:rPr>
                <w:i/>
                <w:color w:val="0070C0"/>
                <w:sz w:val="18"/>
                <w:szCs w:val="20"/>
              </w:rPr>
              <w:t xml:space="preserve"> zł.</w:t>
            </w:r>
          </w:p>
          <w:p w14:paraId="39CEBB48" w14:textId="77777777" w:rsidR="00F83107" w:rsidRPr="009F43C6" w:rsidRDefault="00F83107" w:rsidP="00F83107">
            <w:pPr>
              <w:jc w:val="both"/>
              <w:rPr>
                <w:i/>
                <w:color w:val="0070C0"/>
                <w:sz w:val="18"/>
                <w:szCs w:val="20"/>
              </w:rPr>
            </w:pPr>
            <w:r w:rsidRPr="009F43C6">
              <w:rPr>
                <w:i/>
                <w:color w:val="0070C0"/>
                <w:sz w:val="18"/>
                <w:szCs w:val="20"/>
              </w:rPr>
              <w:t xml:space="preserve">Kwota wydatków uznanych przez CPPC za niekwalifikowalne -  </w:t>
            </w:r>
            <w:r w:rsidR="00386766" w:rsidRPr="009F43C6">
              <w:rPr>
                <w:i/>
                <w:color w:val="0070C0"/>
                <w:sz w:val="18"/>
                <w:szCs w:val="20"/>
              </w:rPr>
              <w:t>61 638,58</w:t>
            </w:r>
            <w:r w:rsidRPr="009F43C6">
              <w:rPr>
                <w:i/>
                <w:color w:val="0070C0"/>
                <w:sz w:val="18"/>
                <w:szCs w:val="20"/>
              </w:rPr>
              <w:t xml:space="preserve"> zł, </w:t>
            </w:r>
            <w:bookmarkStart w:id="0" w:name="_GoBack"/>
            <w:bookmarkEnd w:id="0"/>
          </w:p>
          <w:p w14:paraId="4AF381FC" w14:textId="77777777" w:rsidR="00F83107" w:rsidRPr="009F43C6" w:rsidRDefault="00F83107" w:rsidP="00F83107">
            <w:pPr>
              <w:jc w:val="both"/>
              <w:rPr>
                <w:i/>
                <w:color w:val="0070C0"/>
                <w:sz w:val="18"/>
                <w:szCs w:val="20"/>
              </w:rPr>
            </w:pPr>
            <w:r w:rsidRPr="009F43C6">
              <w:rPr>
                <w:i/>
                <w:color w:val="0070C0"/>
                <w:sz w:val="18"/>
                <w:szCs w:val="20"/>
              </w:rPr>
              <w:t>w tym:</w:t>
            </w:r>
          </w:p>
          <w:p w14:paraId="7ACE8FAA" w14:textId="77777777" w:rsidR="00F83107" w:rsidRPr="009F43C6" w:rsidRDefault="00F83107" w:rsidP="00F83107">
            <w:pPr>
              <w:jc w:val="both"/>
              <w:rPr>
                <w:i/>
                <w:color w:val="0070C0"/>
                <w:sz w:val="18"/>
                <w:szCs w:val="20"/>
              </w:rPr>
            </w:pPr>
            <w:r w:rsidRPr="009F43C6">
              <w:rPr>
                <w:i/>
                <w:color w:val="0070C0"/>
                <w:sz w:val="18"/>
                <w:szCs w:val="20"/>
              </w:rPr>
              <w:t xml:space="preserve">- </w:t>
            </w:r>
            <w:r w:rsidR="00386766" w:rsidRPr="009F43C6">
              <w:rPr>
                <w:i/>
                <w:color w:val="0070C0"/>
                <w:sz w:val="18"/>
                <w:szCs w:val="20"/>
              </w:rPr>
              <w:t>13 068 ,87</w:t>
            </w:r>
            <w:r w:rsidRPr="009F43C6">
              <w:rPr>
                <w:i/>
                <w:color w:val="0070C0"/>
                <w:sz w:val="18"/>
                <w:szCs w:val="20"/>
              </w:rPr>
              <w:t xml:space="preserve"> zł </w:t>
            </w:r>
            <w:r w:rsidR="00DF1451" w:rsidRPr="009F43C6">
              <w:rPr>
                <w:i/>
                <w:color w:val="0070C0"/>
                <w:sz w:val="18"/>
                <w:szCs w:val="20"/>
              </w:rPr>
              <w:t>– kwota korekty finansowej nałożonej przez CPPC w wysokości 25% na podstawie poz. 13 Taryfikatora za naruszenie art. 26 ust. 2b oraz 22 ust.4 ustawy PzP</w:t>
            </w:r>
            <w:r w:rsidR="003F099B" w:rsidRPr="009F43C6">
              <w:rPr>
                <w:i/>
                <w:color w:val="0070C0"/>
                <w:sz w:val="18"/>
                <w:szCs w:val="20"/>
              </w:rPr>
              <w:t xml:space="preserve"> dla zamówienia „ Zakup dedykowanej usługi DWDM oraz dostępu do sieci Internet (U2 i U4)”,</w:t>
            </w:r>
          </w:p>
          <w:p w14:paraId="616A54E8" w14:textId="77777777" w:rsidR="00386766" w:rsidRPr="009F43C6" w:rsidRDefault="00F83107" w:rsidP="00F83107">
            <w:pPr>
              <w:jc w:val="both"/>
              <w:rPr>
                <w:i/>
                <w:color w:val="0070C0"/>
                <w:sz w:val="18"/>
                <w:szCs w:val="20"/>
              </w:rPr>
            </w:pPr>
            <w:r w:rsidRPr="009F43C6">
              <w:rPr>
                <w:i/>
                <w:color w:val="0070C0"/>
                <w:sz w:val="18"/>
                <w:szCs w:val="20"/>
              </w:rPr>
              <w:t xml:space="preserve">- </w:t>
            </w:r>
            <w:r w:rsidR="00386766" w:rsidRPr="009F43C6">
              <w:rPr>
                <w:i/>
                <w:color w:val="0070C0"/>
                <w:sz w:val="18"/>
                <w:szCs w:val="20"/>
              </w:rPr>
              <w:t>48 569,71</w:t>
            </w:r>
            <w:r w:rsidRPr="009F43C6">
              <w:rPr>
                <w:i/>
                <w:color w:val="0070C0"/>
                <w:sz w:val="18"/>
                <w:szCs w:val="20"/>
              </w:rPr>
              <w:t xml:space="preserve"> zł – kwota uznana za niekwalifikowalną dotycząca </w:t>
            </w:r>
            <w:r w:rsidR="003F099B" w:rsidRPr="009F43C6">
              <w:rPr>
                <w:i/>
                <w:color w:val="0070C0"/>
                <w:sz w:val="18"/>
                <w:szCs w:val="20"/>
              </w:rPr>
              <w:t>zakupu wraz z dostawą sprzętu AGD i pozostałych akcesoriów</w:t>
            </w:r>
            <w:r w:rsidR="00DF1451" w:rsidRPr="009F43C6">
              <w:rPr>
                <w:i/>
                <w:color w:val="0070C0"/>
                <w:sz w:val="18"/>
                <w:szCs w:val="20"/>
              </w:rPr>
              <w:t>, dostaw</w:t>
            </w:r>
            <w:r w:rsidR="003F099B" w:rsidRPr="009F43C6">
              <w:rPr>
                <w:i/>
                <w:color w:val="0070C0"/>
                <w:sz w:val="18"/>
                <w:szCs w:val="20"/>
              </w:rPr>
              <w:t>y</w:t>
            </w:r>
            <w:r w:rsidR="00DF1451" w:rsidRPr="009F43C6">
              <w:rPr>
                <w:i/>
                <w:color w:val="0070C0"/>
                <w:sz w:val="18"/>
                <w:szCs w:val="20"/>
              </w:rPr>
              <w:t xml:space="preserve"> mebli biurowych oraz wyposażenia biurowego (</w:t>
            </w:r>
            <w:r w:rsidR="003F099B" w:rsidRPr="009F43C6">
              <w:rPr>
                <w:i/>
                <w:color w:val="0070C0"/>
                <w:sz w:val="18"/>
                <w:szCs w:val="20"/>
              </w:rPr>
              <w:t>sofa</w:t>
            </w:r>
            <w:r w:rsidR="00DF1451" w:rsidRPr="009F43C6">
              <w:rPr>
                <w:i/>
                <w:color w:val="0070C0"/>
                <w:sz w:val="18"/>
                <w:szCs w:val="20"/>
              </w:rPr>
              <w:t>), dostaw</w:t>
            </w:r>
            <w:r w:rsidR="003F099B" w:rsidRPr="009F43C6">
              <w:rPr>
                <w:i/>
                <w:color w:val="0070C0"/>
                <w:sz w:val="18"/>
                <w:szCs w:val="20"/>
              </w:rPr>
              <w:t>y</w:t>
            </w:r>
            <w:r w:rsidR="00DF1451" w:rsidRPr="009F43C6">
              <w:rPr>
                <w:i/>
                <w:color w:val="0070C0"/>
                <w:sz w:val="18"/>
                <w:szCs w:val="20"/>
              </w:rPr>
              <w:t xml:space="preserve"> mebli biurowych oraz wyposażenia biurowego wraz z ich transportem </w:t>
            </w:r>
            <w:r w:rsidR="003F099B" w:rsidRPr="009F43C6">
              <w:rPr>
                <w:i/>
                <w:color w:val="0070C0"/>
                <w:sz w:val="18"/>
                <w:szCs w:val="20"/>
              </w:rPr>
              <w:t>(rolety, stojaki mobilne, flipcharty mobilne, tablica filcowo – magnetyczna, tablice sucho ścieralnych magnetycznych, tablica korkowa, lampki biurowe, drabina ) zakupionych</w:t>
            </w:r>
            <w:r w:rsidR="00DF1451" w:rsidRPr="009F43C6">
              <w:rPr>
                <w:i/>
                <w:color w:val="0070C0"/>
                <w:sz w:val="18"/>
                <w:szCs w:val="20"/>
              </w:rPr>
              <w:t xml:space="preserve"> ramach zadania </w:t>
            </w:r>
            <w:r w:rsidR="003F099B" w:rsidRPr="009F43C6">
              <w:rPr>
                <w:i/>
                <w:color w:val="0070C0"/>
                <w:sz w:val="18"/>
                <w:szCs w:val="20"/>
              </w:rPr>
              <w:t>Rozbudowane CPD MF.</w:t>
            </w:r>
          </w:p>
          <w:p w14:paraId="474834B4" w14:textId="77777777" w:rsidR="00386766" w:rsidRPr="009F43C6" w:rsidRDefault="00386766" w:rsidP="00F83107">
            <w:pPr>
              <w:jc w:val="both"/>
              <w:rPr>
                <w:i/>
                <w:color w:val="0070C0"/>
                <w:sz w:val="18"/>
                <w:szCs w:val="20"/>
              </w:rPr>
            </w:pPr>
          </w:p>
          <w:p w14:paraId="381AB0DD" w14:textId="77777777" w:rsidR="00F83107" w:rsidRPr="009F43C6" w:rsidRDefault="00F83107" w:rsidP="00F83107">
            <w:pPr>
              <w:jc w:val="both"/>
              <w:rPr>
                <w:i/>
                <w:color w:val="0070C0"/>
                <w:sz w:val="18"/>
                <w:szCs w:val="20"/>
              </w:rPr>
            </w:pPr>
            <w:r w:rsidRPr="009F43C6">
              <w:rPr>
                <w:i/>
                <w:color w:val="0070C0"/>
                <w:sz w:val="18"/>
                <w:szCs w:val="20"/>
              </w:rPr>
              <w:t>Brak wydatkowania środków w pełnej wysokości wynika z:</w:t>
            </w:r>
          </w:p>
          <w:p w14:paraId="72FFCF18" w14:textId="77777777" w:rsidR="007B7A20" w:rsidRPr="00216286" w:rsidRDefault="00F83107" w:rsidP="00BC120E">
            <w:pPr>
              <w:jc w:val="both"/>
              <w:rPr>
                <w:i/>
                <w:color w:val="0070C0"/>
                <w:sz w:val="18"/>
                <w:szCs w:val="20"/>
              </w:rPr>
            </w:pPr>
            <w:r w:rsidRPr="009F43C6">
              <w:rPr>
                <w:i/>
                <w:color w:val="0070C0"/>
                <w:sz w:val="18"/>
                <w:szCs w:val="20"/>
              </w:rPr>
              <w:t xml:space="preserve">- </w:t>
            </w:r>
            <w:r w:rsidR="003F099B" w:rsidRPr="009F43C6">
              <w:rPr>
                <w:i/>
                <w:color w:val="0070C0"/>
                <w:sz w:val="18"/>
                <w:szCs w:val="20"/>
              </w:rPr>
              <w:t>niższych niż szacowano kwot podpisanych kontraktów z Wykonawcami</w:t>
            </w:r>
            <w:r w:rsidR="009F43C6">
              <w:rPr>
                <w:i/>
                <w:color w:val="0070C0"/>
                <w:sz w:val="18"/>
                <w:szCs w:val="20"/>
              </w:rPr>
              <w:t xml:space="preserve"> oraz</w:t>
            </w:r>
            <w:r w:rsidR="003F099B" w:rsidRPr="009F43C6">
              <w:rPr>
                <w:i/>
                <w:color w:val="0070C0"/>
                <w:sz w:val="18"/>
                <w:szCs w:val="20"/>
              </w:rPr>
              <w:t xml:space="preserve"> z braku konieczności realizacji </w:t>
            </w:r>
            <w:r w:rsidR="009F43C6">
              <w:rPr>
                <w:i/>
                <w:color w:val="0070C0"/>
                <w:sz w:val="18"/>
                <w:szCs w:val="20"/>
              </w:rPr>
              <w:t xml:space="preserve">całego </w:t>
            </w:r>
            <w:r w:rsidR="003F099B" w:rsidRPr="009F43C6">
              <w:rPr>
                <w:i/>
                <w:color w:val="0070C0"/>
                <w:sz w:val="18"/>
                <w:szCs w:val="20"/>
              </w:rPr>
              <w:t xml:space="preserve">prawa opcji </w:t>
            </w:r>
            <w:r w:rsidR="009F43C6">
              <w:rPr>
                <w:i/>
                <w:color w:val="0070C0"/>
                <w:sz w:val="18"/>
                <w:szCs w:val="20"/>
              </w:rPr>
              <w:t xml:space="preserve">wskazanego w umowach, </w:t>
            </w:r>
            <w:r w:rsidR="003F099B" w:rsidRPr="009F43C6">
              <w:rPr>
                <w:i/>
                <w:color w:val="0070C0"/>
                <w:sz w:val="18"/>
                <w:szCs w:val="20"/>
              </w:rPr>
              <w:t>na które były zabezpieczone środki.</w:t>
            </w:r>
          </w:p>
        </w:tc>
      </w:tr>
      <w:tr w:rsidR="007A0A3D" w:rsidRPr="002450C4" w14:paraId="711124F9" w14:textId="77777777" w:rsidTr="00E950CB">
        <w:tc>
          <w:tcPr>
            <w:tcW w:w="425" w:type="dxa"/>
          </w:tcPr>
          <w:p w14:paraId="7F234684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07552081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8505" w:type="dxa"/>
          </w:tcPr>
          <w:tbl>
            <w:tblPr>
              <w:tblStyle w:val="Tabela-Siatka"/>
              <w:tblW w:w="8065" w:type="dxa"/>
              <w:jc w:val="center"/>
              <w:tblLayout w:type="fixed"/>
              <w:tblLook w:val="04A0" w:firstRow="1" w:lastRow="0" w:firstColumn="1" w:lastColumn="0" w:noHBand="0" w:noVBand="1"/>
              <w:tblCaption w:val="Kamienie milowe."/>
            </w:tblPr>
            <w:tblGrid>
              <w:gridCol w:w="3147"/>
              <w:gridCol w:w="1276"/>
              <w:gridCol w:w="851"/>
              <w:gridCol w:w="2791"/>
            </w:tblGrid>
            <w:tr w:rsidR="005F08BC" w:rsidRPr="00197C00" w14:paraId="751B4037" w14:textId="77777777" w:rsidTr="002239C5">
              <w:trPr>
                <w:trHeight w:val="837"/>
                <w:tblHeader/>
                <w:jc w:val="center"/>
              </w:trPr>
              <w:tc>
                <w:tcPr>
                  <w:tcW w:w="3147" w:type="dxa"/>
                  <w:shd w:val="clear" w:color="auto" w:fill="D0CECE" w:themeFill="background2" w:themeFillShade="E6"/>
                  <w:vAlign w:val="center"/>
                </w:tcPr>
                <w:p w14:paraId="67CCB3BA" w14:textId="77777777" w:rsidR="005F08BC" w:rsidRPr="00197C00" w:rsidRDefault="005F08BC" w:rsidP="005F08BC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Nazwa</w:t>
                  </w:r>
                </w:p>
              </w:tc>
              <w:tc>
                <w:tcPr>
                  <w:tcW w:w="1276" w:type="dxa"/>
                  <w:shd w:val="clear" w:color="auto" w:fill="D0CECE" w:themeFill="background2" w:themeFillShade="E6"/>
                  <w:vAlign w:val="center"/>
                </w:tcPr>
                <w:p w14:paraId="3317CF9F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Planowany termin </w:t>
                  </w:r>
                </w:p>
                <w:p w14:paraId="3384D390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osiągnięcia</w:t>
                  </w:r>
                </w:p>
              </w:tc>
              <w:tc>
                <w:tcPr>
                  <w:tcW w:w="851" w:type="dxa"/>
                  <w:shd w:val="clear" w:color="auto" w:fill="D0CECE" w:themeFill="background2" w:themeFillShade="E6"/>
                  <w:vAlign w:val="center"/>
                </w:tcPr>
                <w:p w14:paraId="09B51C20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Rzeczywisty termin </w:t>
                  </w:r>
                </w:p>
                <w:p w14:paraId="04049ED1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osiągnięcia</w:t>
                  </w:r>
                </w:p>
              </w:tc>
              <w:tc>
                <w:tcPr>
                  <w:tcW w:w="2791" w:type="dxa"/>
                  <w:shd w:val="clear" w:color="auto" w:fill="D0CECE" w:themeFill="background2" w:themeFillShade="E6"/>
                  <w:vAlign w:val="center"/>
                </w:tcPr>
                <w:p w14:paraId="404D6B54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Status realizacji kamienia milowego</w:t>
                  </w:r>
                </w:p>
              </w:tc>
            </w:tr>
            <w:tr w:rsidR="005F08BC" w:rsidRPr="00197C00" w14:paraId="40147526" w14:textId="77777777" w:rsidTr="002239C5">
              <w:trPr>
                <w:trHeight w:val="379"/>
                <w:jc w:val="center"/>
              </w:trPr>
              <w:tc>
                <w:tcPr>
                  <w:tcW w:w="3147" w:type="dxa"/>
                  <w:vAlign w:val="center"/>
                </w:tcPr>
                <w:p w14:paraId="317B81DB" w14:textId="77777777" w:rsidR="005F08BC" w:rsidRPr="00197C00" w:rsidRDefault="005F08BC" w:rsidP="005F08BC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Usługa anonimowego dostępu do Internetu</w:t>
                  </w:r>
                </w:p>
              </w:tc>
              <w:tc>
                <w:tcPr>
                  <w:tcW w:w="1276" w:type="dxa"/>
                  <w:vAlign w:val="center"/>
                </w:tcPr>
                <w:p w14:paraId="6A317C68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04-2019</w:t>
                  </w:r>
                </w:p>
              </w:tc>
              <w:tc>
                <w:tcPr>
                  <w:tcW w:w="851" w:type="dxa"/>
                  <w:vAlign w:val="center"/>
                </w:tcPr>
                <w:p w14:paraId="077E976C" w14:textId="77777777" w:rsidR="005F08BC" w:rsidRPr="00197C00" w:rsidRDefault="005F08BC" w:rsidP="005F08BC">
                  <w:pPr>
                    <w:pStyle w:val="Akapitzlist"/>
                    <w:ind w:left="7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03-2019</w:t>
                  </w:r>
                </w:p>
              </w:tc>
              <w:tc>
                <w:tcPr>
                  <w:tcW w:w="2791" w:type="dxa"/>
                  <w:vAlign w:val="center"/>
                </w:tcPr>
                <w:p w14:paraId="1E83C475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Osiągnięty</w:t>
                  </w:r>
                  <w:r w:rsidR="00BC216D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.</w:t>
                  </w:r>
                  <w:r w:rsidR="006729BB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 Świadczenie usługi zakończyło się w dniu 28 lutego, jednak raport ze świadczenia usługi został przekazany do Beneficjenta na przełomie marca i kwietnia </w:t>
                  </w:r>
                </w:p>
              </w:tc>
            </w:tr>
            <w:tr w:rsidR="005F08BC" w:rsidRPr="00197C00" w14:paraId="6A3AD0B3" w14:textId="77777777" w:rsidTr="002239C5">
              <w:trPr>
                <w:trHeight w:val="253"/>
                <w:jc w:val="center"/>
              </w:trPr>
              <w:tc>
                <w:tcPr>
                  <w:tcW w:w="3147" w:type="dxa"/>
                  <w:vAlign w:val="center"/>
                </w:tcPr>
                <w:p w14:paraId="6BDF18EE" w14:textId="77777777" w:rsidR="005F08BC" w:rsidRPr="00197C00" w:rsidRDefault="005F08BC" w:rsidP="005F08BC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Usługa dostępu z Internetu dla systemów centralnych</w:t>
                  </w:r>
                </w:p>
              </w:tc>
              <w:tc>
                <w:tcPr>
                  <w:tcW w:w="1276" w:type="dxa"/>
                  <w:vAlign w:val="center"/>
                </w:tcPr>
                <w:p w14:paraId="68CC5267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11-2016</w:t>
                  </w:r>
                </w:p>
              </w:tc>
              <w:tc>
                <w:tcPr>
                  <w:tcW w:w="851" w:type="dxa"/>
                  <w:vAlign w:val="center"/>
                </w:tcPr>
                <w:p w14:paraId="018221A6" w14:textId="77777777" w:rsidR="005F08BC" w:rsidRPr="00197C00" w:rsidRDefault="005F08BC" w:rsidP="005F08BC">
                  <w:pPr>
                    <w:pStyle w:val="Akapitzlist"/>
                    <w:ind w:left="7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04-2017</w:t>
                  </w:r>
                </w:p>
              </w:tc>
              <w:tc>
                <w:tcPr>
                  <w:tcW w:w="2791" w:type="dxa"/>
                  <w:vAlign w:val="center"/>
                </w:tcPr>
                <w:p w14:paraId="785183D1" w14:textId="77777777" w:rsidR="005F08BC" w:rsidRPr="00197C00" w:rsidRDefault="005F08BC" w:rsidP="00BC216D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Osiągnięty. Zadanie </w:t>
                  </w:r>
                  <w:r w:rsidR="00BC216D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zostało z</w:t>
                  </w: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realizowane zgodnie z planem naprawczym. Opóźnienie wynikało ze złożenia skargi na wyrok KIO w sprawie odrzucenia oferty i wyboru kolejnej.  </w:t>
                  </w:r>
                </w:p>
              </w:tc>
            </w:tr>
            <w:tr w:rsidR="005F08BC" w:rsidRPr="00197C00" w14:paraId="7C3E0B07" w14:textId="77777777" w:rsidTr="002239C5">
              <w:trPr>
                <w:trHeight w:val="253"/>
                <w:jc w:val="center"/>
              </w:trPr>
              <w:tc>
                <w:tcPr>
                  <w:tcW w:w="3147" w:type="dxa"/>
                  <w:vAlign w:val="center"/>
                </w:tcPr>
                <w:p w14:paraId="6D655E6F" w14:textId="77777777" w:rsidR="005F08BC" w:rsidRPr="00197C00" w:rsidRDefault="005F08BC" w:rsidP="005F08BC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Profilowana usługa dostępu do sieci transmisji danych resortu finansów</w:t>
                  </w:r>
                </w:p>
              </w:tc>
              <w:tc>
                <w:tcPr>
                  <w:tcW w:w="1276" w:type="dxa"/>
                  <w:vAlign w:val="center"/>
                </w:tcPr>
                <w:p w14:paraId="64E4A861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04-2019</w:t>
                  </w:r>
                </w:p>
              </w:tc>
              <w:tc>
                <w:tcPr>
                  <w:tcW w:w="851" w:type="dxa"/>
                  <w:vAlign w:val="center"/>
                </w:tcPr>
                <w:p w14:paraId="331C8C59" w14:textId="77777777" w:rsidR="005F08BC" w:rsidRPr="00197C00" w:rsidRDefault="00BC216D" w:rsidP="005F08BC">
                  <w:pPr>
                    <w:pStyle w:val="Akapitzlist"/>
                    <w:ind w:left="7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03-2019</w:t>
                  </w:r>
                </w:p>
              </w:tc>
              <w:tc>
                <w:tcPr>
                  <w:tcW w:w="2791" w:type="dxa"/>
                  <w:vAlign w:val="center"/>
                </w:tcPr>
                <w:p w14:paraId="6940F684" w14:textId="77777777" w:rsidR="005F08BC" w:rsidRPr="00197C00" w:rsidRDefault="00BC216D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Osiągnięty.</w:t>
                  </w:r>
                  <w:r w:rsidR="006729BB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 Świadczenie usługi zakończyło się w dniu 28 lutego, jednak raport ze świadczenia usługi został przekazany do Beneficjenta na przełomie marca i kwietnia</w:t>
                  </w:r>
                </w:p>
              </w:tc>
            </w:tr>
            <w:tr w:rsidR="005F08BC" w:rsidRPr="00197C00" w14:paraId="2BC675F2" w14:textId="77777777" w:rsidTr="002239C5">
              <w:trPr>
                <w:trHeight w:val="245"/>
                <w:jc w:val="center"/>
              </w:trPr>
              <w:tc>
                <w:tcPr>
                  <w:tcW w:w="3147" w:type="dxa"/>
                  <w:vAlign w:val="center"/>
                </w:tcPr>
                <w:p w14:paraId="733A0D04" w14:textId="77777777" w:rsidR="005F08BC" w:rsidRPr="00197C00" w:rsidRDefault="005F08BC" w:rsidP="005F08BC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Dedykowana usługa transmisji danych do zewnętrznych rejestrów, usług publicznych oraz usług replikacji DWDM</w:t>
                  </w:r>
                </w:p>
              </w:tc>
              <w:tc>
                <w:tcPr>
                  <w:tcW w:w="1276" w:type="dxa"/>
                  <w:vAlign w:val="center"/>
                </w:tcPr>
                <w:p w14:paraId="15124DDD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11-2016</w:t>
                  </w:r>
                </w:p>
              </w:tc>
              <w:tc>
                <w:tcPr>
                  <w:tcW w:w="851" w:type="dxa"/>
                  <w:vAlign w:val="center"/>
                </w:tcPr>
                <w:p w14:paraId="7A41D10D" w14:textId="77777777" w:rsidR="005F08BC" w:rsidRPr="00197C00" w:rsidRDefault="005F08BC" w:rsidP="005F08BC">
                  <w:pPr>
                    <w:pStyle w:val="Akapitzlist"/>
                    <w:ind w:left="7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04-2017</w:t>
                  </w:r>
                </w:p>
              </w:tc>
              <w:tc>
                <w:tcPr>
                  <w:tcW w:w="2791" w:type="dxa"/>
                  <w:vAlign w:val="center"/>
                </w:tcPr>
                <w:p w14:paraId="49FDE1A6" w14:textId="77777777" w:rsidR="005F08BC" w:rsidRPr="00197C00" w:rsidRDefault="005F08BC" w:rsidP="00BC216D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Osiągnięty. Zadanie </w:t>
                  </w:r>
                  <w:r w:rsidR="00BC216D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zostało</w:t>
                  </w: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 realizowane zgodnie z planem naprawczym. Opóźnienie wynikało ze złożenia skargi na wyrok KIO w sprawie odrzucenia oferty i wyboru kolejnej.  </w:t>
                  </w:r>
                </w:p>
              </w:tc>
            </w:tr>
            <w:tr w:rsidR="005F08BC" w:rsidRPr="00197C00" w14:paraId="6BA28997" w14:textId="77777777" w:rsidTr="002239C5">
              <w:trPr>
                <w:trHeight w:val="378"/>
                <w:jc w:val="center"/>
              </w:trPr>
              <w:tc>
                <w:tcPr>
                  <w:tcW w:w="3147" w:type="dxa"/>
                  <w:vAlign w:val="center"/>
                </w:tcPr>
                <w:p w14:paraId="77A79A2E" w14:textId="77777777" w:rsidR="005F08BC" w:rsidRPr="00197C00" w:rsidRDefault="005F08BC" w:rsidP="005F08BC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Usługa odtworzenia po katastrofie dla kluczowych usług elektronicznych resortu finansów (DR)</w:t>
                  </w:r>
                </w:p>
              </w:tc>
              <w:tc>
                <w:tcPr>
                  <w:tcW w:w="1276" w:type="dxa"/>
                  <w:vAlign w:val="center"/>
                </w:tcPr>
                <w:p w14:paraId="73D2CBAC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01-2019</w:t>
                  </w:r>
                </w:p>
              </w:tc>
              <w:tc>
                <w:tcPr>
                  <w:tcW w:w="851" w:type="dxa"/>
                  <w:vAlign w:val="center"/>
                </w:tcPr>
                <w:p w14:paraId="78DC7426" w14:textId="77777777" w:rsidR="005F08BC" w:rsidRPr="00197C00" w:rsidRDefault="00BC216D" w:rsidP="00BC216D">
                  <w:pPr>
                    <w:pStyle w:val="Akapitzlist"/>
                    <w:ind w:left="7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04-2019</w:t>
                  </w:r>
                </w:p>
              </w:tc>
              <w:tc>
                <w:tcPr>
                  <w:tcW w:w="2791" w:type="dxa"/>
                  <w:vAlign w:val="center"/>
                </w:tcPr>
                <w:p w14:paraId="3C60E0F2" w14:textId="77777777" w:rsidR="005F08BC" w:rsidRPr="00197C00" w:rsidRDefault="00BC216D" w:rsidP="00BC216D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Osiągnięty</w:t>
                  </w:r>
                  <w:r w:rsidR="005F08BC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. Zadanie </w:t>
                  </w: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zostało z</w:t>
                  </w:r>
                  <w:r w:rsidR="005F08BC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realizowane zgodnie z planem naprawczym – przesuniecie daty </w:t>
                  </w:r>
                  <w:r w:rsidR="005F08BC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lastRenderedPageBreak/>
                    <w:t>punktu ostatecznego na 14.04.2019 r. Opóźnienie wynikało z trudności w uzyskaniu zgody na okna serwisowe od właścicieli biznesowych celem przetestowania usługi DR dla poszczególnych systemów biznesowych.</w:t>
                  </w:r>
                </w:p>
              </w:tc>
            </w:tr>
            <w:tr w:rsidR="005F08BC" w:rsidRPr="00197C00" w14:paraId="007527A5" w14:textId="77777777" w:rsidTr="002239C5">
              <w:trPr>
                <w:trHeight w:val="244"/>
                <w:jc w:val="center"/>
              </w:trPr>
              <w:tc>
                <w:tcPr>
                  <w:tcW w:w="3147" w:type="dxa"/>
                  <w:vAlign w:val="center"/>
                </w:tcPr>
                <w:p w14:paraId="5585525A" w14:textId="77777777" w:rsidR="005F08BC" w:rsidRPr="00197C00" w:rsidRDefault="005F08BC" w:rsidP="00C038ED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lastRenderedPageBreak/>
                    <w:t xml:space="preserve">Usługi migracji systemów do </w:t>
                  </w:r>
                  <w:r w:rsidR="00C038ED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CIRF</w:t>
                  </w:r>
                </w:p>
              </w:tc>
              <w:tc>
                <w:tcPr>
                  <w:tcW w:w="1276" w:type="dxa"/>
                  <w:vAlign w:val="center"/>
                </w:tcPr>
                <w:p w14:paraId="76B52121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01-2019</w:t>
                  </w:r>
                </w:p>
              </w:tc>
              <w:tc>
                <w:tcPr>
                  <w:tcW w:w="851" w:type="dxa"/>
                  <w:vAlign w:val="center"/>
                </w:tcPr>
                <w:p w14:paraId="1DC4F869" w14:textId="77777777" w:rsidR="005F08BC" w:rsidRPr="00197C00" w:rsidRDefault="005F08BC" w:rsidP="005F08BC">
                  <w:pPr>
                    <w:pStyle w:val="Akapitzlist"/>
                    <w:ind w:left="7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02-2019</w:t>
                  </w:r>
                </w:p>
              </w:tc>
              <w:tc>
                <w:tcPr>
                  <w:tcW w:w="2791" w:type="dxa"/>
                  <w:vAlign w:val="center"/>
                </w:tcPr>
                <w:p w14:paraId="287A8CB8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Osiągnięty. Opóźnienie w stosunku do pierwotnego terminu wynikało z zapisów umowy z Wykonawcą. Produkt odebrany w dacie punktu ostatecznego tj. 02.2019</w:t>
                  </w:r>
                </w:p>
              </w:tc>
            </w:tr>
            <w:tr w:rsidR="005F08BC" w:rsidRPr="00197C00" w14:paraId="28564F4D" w14:textId="77777777" w:rsidTr="002239C5">
              <w:trPr>
                <w:trHeight w:val="255"/>
                <w:jc w:val="center"/>
              </w:trPr>
              <w:tc>
                <w:tcPr>
                  <w:tcW w:w="3147" w:type="dxa"/>
                  <w:vAlign w:val="center"/>
                </w:tcPr>
                <w:p w14:paraId="297E8C48" w14:textId="77777777" w:rsidR="005F08BC" w:rsidRPr="00197C00" w:rsidRDefault="005F08BC" w:rsidP="005F08BC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Usługa zintegrowanego środowiska teleinformatycznego dla nowych rozwiązań biznesowych</w:t>
                  </w:r>
                </w:p>
              </w:tc>
              <w:tc>
                <w:tcPr>
                  <w:tcW w:w="1276" w:type="dxa"/>
                  <w:vAlign w:val="center"/>
                </w:tcPr>
                <w:p w14:paraId="76D8677E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01-2019</w:t>
                  </w:r>
                </w:p>
              </w:tc>
              <w:tc>
                <w:tcPr>
                  <w:tcW w:w="851" w:type="dxa"/>
                  <w:vAlign w:val="center"/>
                </w:tcPr>
                <w:p w14:paraId="67074119" w14:textId="77777777" w:rsidR="005F08BC" w:rsidRPr="00197C00" w:rsidRDefault="005F08BC" w:rsidP="005F08BC">
                  <w:pPr>
                    <w:pStyle w:val="Akapitzlist"/>
                    <w:ind w:left="7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02-2019</w:t>
                  </w:r>
                </w:p>
              </w:tc>
              <w:tc>
                <w:tcPr>
                  <w:tcW w:w="2791" w:type="dxa"/>
                  <w:vAlign w:val="center"/>
                </w:tcPr>
                <w:p w14:paraId="1C59491B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Osiągnięty. Opóźnienie w stosunku do pierwotnego terminu wynikało z zapisów umowy z Wykonawcą. Produkt odebrany w dacie punktu ostatecznego tj. 02.2019</w:t>
                  </w:r>
                </w:p>
              </w:tc>
            </w:tr>
            <w:tr w:rsidR="005F08BC" w:rsidRPr="00197C00" w14:paraId="06925A15" w14:textId="77777777" w:rsidTr="002239C5">
              <w:trPr>
                <w:trHeight w:val="221"/>
                <w:jc w:val="center"/>
              </w:trPr>
              <w:tc>
                <w:tcPr>
                  <w:tcW w:w="3147" w:type="dxa"/>
                  <w:vAlign w:val="center"/>
                </w:tcPr>
                <w:p w14:paraId="122D032F" w14:textId="77777777" w:rsidR="005F08BC" w:rsidRPr="00197C00" w:rsidRDefault="005F08BC" w:rsidP="005F08BC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Usługa wirtualnej stacji roboczej użytkowników MF</w:t>
                  </w:r>
                </w:p>
              </w:tc>
              <w:tc>
                <w:tcPr>
                  <w:tcW w:w="1276" w:type="dxa"/>
                  <w:vAlign w:val="center"/>
                </w:tcPr>
                <w:p w14:paraId="63DFDD1E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10-2018</w:t>
                  </w:r>
                </w:p>
              </w:tc>
              <w:tc>
                <w:tcPr>
                  <w:tcW w:w="851" w:type="dxa"/>
                  <w:vAlign w:val="center"/>
                </w:tcPr>
                <w:p w14:paraId="1E32A6D6" w14:textId="77777777" w:rsidR="005F08BC" w:rsidRPr="00197C00" w:rsidRDefault="00BC216D" w:rsidP="005F08BC">
                  <w:pPr>
                    <w:pStyle w:val="Akapitzlist"/>
                    <w:ind w:left="7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04-2019</w:t>
                  </w:r>
                </w:p>
              </w:tc>
              <w:tc>
                <w:tcPr>
                  <w:tcW w:w="2791" w:type="dxa"/>
                  <w:vAlign w:val="center"/>
                </w:tcPr>
                <w:p w14:paraId="1837188A" w14:textId="77777777" w:rsidR="005F08BC" w:rsidRPr="00197C00" w:rsidRDefault="00BC216D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Osiągnięty</w:t>
                  </w:r>
                  <w:r w:rsidR="005F08BC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. </w:t>
                  </w:r>
                </w:p>
                <w:p w14:paraId="14B533D6" w14:textId="77777777" w:rsidR="005F08BC" w:rsidRPr="00197C00" w:rsidRDefault="00BC216D" w:rsidP="00216286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Opóźnienie w stosunku do pierwotnego terminu wynikało z postawy Wykonawcy,</w:t>
                  </w:r>
                  <w:r w:rsidR="005F08BC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 Wykonawca nie chc</w:t>
                  </w: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iał</w:t>
                  </w:r>
                  <w:r w:rsidR="005F08BC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 przystąpić do testów </w:t>
                  </w:r>
                  <w:r w:rsidR="00216286">
                    <w:rPr>
                      <w:bCs/>
                      <w:i/>
                      <w:color w:val="0070C0"/>
                      <w:sz w:val="18"/>
                      <w:szCs w:val="20"/>
                    </w:rPr>
                    <w:t>akceptacyjnych</w:t>
                  </w:r>
                  <w:r w:rsidR="005F08BC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. Plan naprawczy </w:t>
                  </w: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został przekazany do</w:t>
                  </w:r>
                  <w:r w:rsidR="005F08BC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 CPPC</w:t>
                  </w: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 celem akceptacji</w:t>
                  </w:r>
                  <w:r w:rsidR="005F08BC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. </w:t>
                  </w:r>
                  <w:r w:rsidR="00E1448C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Zamawiający sam dokończył wdrożenie, przetestował produkt i dokonał odbioru Usługi. </w:t>
                  </w:r>
                </w:p>
              </w:tc>
            </w:tr>
            <w:tr w:rsidR="005F08BC" w:rsidRPr="00197C00" w14:paraId="5920D64A" w14:textId="77777777" w:rsidTr="002239C5">
              <w:trPr>
                <w:trHeight w:val="372"/>
                <w:jc w:val="center"/>
              </w:trPr>
              <w:tc>
                <w:tcPr>
                  <w:tcW w:w="3147" w:type="dxa"/>
                  <w:vAlign w:val="center"/>
                </w:tcPr>
                <w:p w14:paraId="37969A17" w14:textId="77777777" w:rsidR="005F08BC" w:rsidRPr="00197C00" w:rsidRDefault="005F08BC" w:rsidP="005F08BC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Usługa dostępu do aplikacji na żądanie (wirtualna aplikacja)</w:t>
                  </w:r>
                </w:p>
              </w:tc>
              <w:tc>
                <w:tcPr>
                  <w:tcW w:w="1276" w:type="dxa"/>
                  <w:vAlign w:val="center"/>
                </w:tcPr>
                <w:p w14:paraId="27A2429E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10-2018</w:t>
                  </w:r>
                </w:p>
              </w:tc>
              <w:tc>
                <w:tcPr>
                  <w:tcW w:w="851" w:type="dxa"/>
                  <w:vAlign w:val="center"/>
                </w:tcPr>
                <w:p w14:paraId="16E26E35" w14:textId="77777777" w:rsidR="005F08BC" w:rsidRPr="00197C00" w:rsidRDefault="00BC216D" w:rsidP="005F08BC">
                  <w:pPr>
                    <w:pStyle w:val="Akapitzlist"/>
                    <w:ind w:left="7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04-2019</w:t>
                  </w:r>
                </w:p>
              </w:tc>
              <w:tc>
                <w:tcPr>
                  <w:tcW w:w="2791" w:type="dxa"/>
                  <w:vAlign w:val="center"/>
                </w:tcPr>
                <w:p w14:paraId="07AAB3AF" w14:textId="77777777" w:rsidR="005F08BC" w:rsidRPr="00197C00" w:rsidRDefault="00BC216D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Osiągnięty.</w:t>
                  </w:r>
                </w:p>
                <w:p w14:paraId="3ABBFE8A" w14:textId="77777777" w:rsidR="005F08BC" w:rsidRPr="00197C00" w:rsidRDefault="00BC216D" w:rsidP="00216286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Opóźnienie w stosunku do pierwotnego terminu wynikało z postawy Wykonawcy, </w:t>
                  </w:r>
                  <w:r w:rsidR="005F08BC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 Wykonawca nie chc</w:t>
                  </w: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iał</w:t>
                  </w:r>
                  <w:r w:rsidR="0039576A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 przystąpić do testów </w:t>
                  </w:r>
                  <w:r w:rsidR="00216286">
                    <w:rPr>
                      <w:bCs/>
                      <w:i/>
                      <w:color w:val="0070C0"/>
                      <w:sz w:val="18"/>
                      <w:szCs w:val="20"/>
                    </w:rPr>
                    <w:t>akceptacyjnych</w:t>
                  </w:r>
                  <w:r w:rsidR="005F08BC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. </w:t>
                  </w:r>
                  <w:r w:rsidR="00E1448C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Zamawiający sam  przetestował produkt i dokonał odbioru Usługi.</w:t>
                  </w:r>
                </w:p>
              </w:tc>
            </w:tr>
            <w:tr w:rsidR="005F08BC" w:rsidRPr="00197C00" w14:paraId="14928324" w14:textId="77777777" w:rsidTr="002239C5">
              <w:trPr>
                <w:trHeight w:val="185"/>
                <w:jc w:val="center"/>
              </w:trPr>
              <w:tc>
                <w:tcPr>
                  <w:tcW w:w="3147" w:type="dxa"/>
                  <w:vAlign w:val="center"/>
                </w:tcPr>
                <w:p w14:paraId="5BC9ACC6" w14:textId="77777777" w:rsidR="005F08BC" w:rsidRPr="00197C00" w:rsidRDefault="005F08BC" w:rsidP="005F08BC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Usługi poczty elektronicznej (wdrożony centralny system poczty elektronicznej w resorcie finansów)</w:t>
                  </w:r>
                </w:p>
              </w:tc>
              <w:tc>
                <w:tcPr>
                  <w:tcW w:w="1276" w:type="dxa"/>
                  <w:vAlign w:val="center"/>
                </w:tcPr>
                <w:p w14:paraId="62F6043D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11-2018</w:t>
                  </w:r>
                </w:p>
              </w:tc>
              <w:tc>
                <w:tcPr>
                  <w:tcW w:w="851" w:type="dxa"/>
                  <w:vAlign w:val="center"/>
                </w:tcPr>
                <w:p w14:paraId="130D8FF9" w14:textId="77777777" w:rsidR="005F08BC" w:rsidRPr="00197C00" w:rsidRDefault="005F08BC" w:rsidP="005F08BC">
                  <w:pPr>
                    <w:pStyle w:val="Akapitzlist"/>
                    <w:ind w:left="7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11-2018</w:t>
                  </w:r>
                </w:p>
              </w:tc>
              <w:tc>
                <w:tcPr>
                  <w:tcW w:w="2791" w:type="dxa"/>
                  <w:vAlign w:val="center"/>
                </w:tcPr>
                <w:p w14:paraId="0A5907F2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Osiągnięty</w:t>
                  </w:r>
                </w:p>
              </w:tc>
            </w:tr>
            <w:tr w:rsidR="005F08BC" w:rsidRPr="00197C00" w14:paraId="58B6B8B9" w14:textId="77777777" w:rsidTr="002239C5">
              <w:trPr>
                <w:trHeight w:val="301"/>
                <w:jc w:val="center"/>
              </w:trPr>
              <w:tc>
                <w:tcPr>
                  <w:tcW w:w="3147" w:type="dxa"/>
                  <w:vAlign w:val="center"/>
                </w:tcPr>
                <w:p w14:paraId="53BDC6B5" w14:textId="77777777" w:rsidR="005F08BC" w:rsidRPr="00197C00" w:rsidRDefault="005F08BC" w:rsidP="005F08BC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Usługi ochrony zasobów informacyjnych przetwarzanych w chmurze</w:t>
                  </w:r>
                </w:p>
              </w:tc>
              <w:tc>
                <w:tcPr>
                  <w:tcW w:w="1276" w:type="dxa"/>
                  <w:vAlign w:val="center"/>
                </w:tcPr>
                <w:p w14:paraId="327CE44C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06-2018</w:t>
                  </w:r>
                </w:p>
              </w:tc>
              <w:tc>
                <w:tcPr>
                  <w:tcW w:w="851" w:type="dxa"/>
                  <w:vAlign w:val="center"/>
                </w:tcPr>
                <w:p w14:paraId="7C4F0994" w14:textId="77777777" w:rsidR="005F08BC" w:rsidRPr="00197C00" w:rsidRDefault="005F08BC" w:rsidP="005F08BC">
                  <w:pPr>
                    <w:pStyle w:val="Akapitzlist"/>
                    <w:ind w:left="7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06-2018</w:t>
                  </w:r>
                </w:p>
              </w:tc>
              <w:tc>
                <w:tcPr>
                  <w:tcW w:w="2791" w:type="dxa"/>
                  <w:vAlign w:val="center"/>
                </w:tcPr>
                <w:p w14:paraId="7F2F6806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Osiągnięty.</w:t>
                  </w:r>
                </w:p>
              </w:tc>
            </w:tr>
            <w:tr w:rsidR="005F08BC" w:rsidRPr="00197C00" w14:paraId="1CE84631" w14:textId="77777777" w:rsidTr="002239C5">
              <w:trPr>
                <w:trHeight w:val="244"/>
                <w:jc w:val="center"/>
              </w:trPr>
              <w:tc>
                <w:tcPr>
                  <w:tcW w:w="3147" w:type="dxa"/>
                  <w:vAlign w:val="center"/>
                </w:tcPr>
                <w:p w14:paraId="74D96580" w14:textId="77777777" w:rsidR="005F08BC" w:rsidRPr="00197C00" w:rsidRDefault="005F08BC" w:rsidP="005F08BC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Usługi zarządzania infrastrukturą techniczną</w:t>
                  </w:r>
                </w:p>
              </w:tc>
              <w:tc>
                <w:tcPr>
                  <w:tcW w:w="1276" w:type="dxa"/>
                  <w:vAlign w:val="center"/>
                </w:tcPr>
                <w:p w14:paraId="5317C69A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11-2018</w:t>
                  </w:r>
                </w:p>
              </w:tc>
              <w:tc>
                <w:tcPr>
                  <w:tcW w:w="851" w:type="dxa"/>
                  <w:vAlign w:val="center"/>
                </w:tcPr>
                <w:p w14:paraId="522AD963" w14:textId="77777777" w:rsidR="005F08BC" w:rsidRPr="00197C00" w:rsidRDefault="005F08BC" w:rsidP="005F08BC">
                  <w:pPr>
                    <w:pStyle w:val="Akapitzlist"/>
                    <w:ind w:left="7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10-2018</w:t>
                  </w:r>
                </w:p>
              </w:tc>
              <w:tc>
                <w:tcPr>
                  <w:tcW w:w="2791" w:type="dxa"/>
                  <w:vAlign w:val="center"/>
                </w:tcPr>
                <w:p w14:paraId="50E283D4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Osiągnięty</w:t>
                  </w:r>
                </w:p>
              </w:tc>
            </w:tr>
            <w:tr w:rsidR="005F08BC" w:rsidRPr="00197C00" w14:paraId="04D19E5C" w14:textId="77777777" w:rsidTr="002239C5">
              <w:trPr>
                <w:trHeight w:val="244"/>
                <w:jc w:val="center"/>
              </w:trPr>
              <w:tc>
                <w:tcPr>
                  <w:tcW w:w="3147" w:type="dxa"/>
                  <w:vAlign w:val="center"/>
                </w:tcPr>
                <w:p w14:paraId="15D9880A" w14:textId="77777777" w:rsidR="005F08BC" w:rsidRPr="00197C00" w:rsidRDefault="005F08BC" w:rsidP="005F08BC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Usługa integracji systemów biznesowych w modelu synchronicznym i asynchronicznym</w:t>
                  </w:r>
                </w:p>
              </w:tc>
              <w:tc>
                <w:tcPr>
                  <w:tcW w:w="1276" w:type="dxa"/>
                  <w:vAlign w:val="center"/>
                </w:tcPr>
                <w:p w14:paraId="5544B0FD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03-2018</w:t>
                  </w:r>
                </w:p>
              </w:tc>
              <w:tc>
                <w:tcPr>
                  <w:tcW w:w="851" w:type="dxa"/>
                  <w:vAlign w:val="center"/>
                </w:tcPr>
                <w:p w14:paraId="4746AD15" w14:textId="77777777" w:rsidR="005F08BC" w:rsidRPr="00197C00" w:rsidRDefault="005F08BC" w:rsidP="005F08BC">
                  <w:pPr>
                    <w:pStyle w:val="Akapitzlist"/>
                    <w:ind w:left="7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03-2018</w:t>
                  </w:r>
                </w:p>
              </w:tc>
              <w:tc>
                <w:tcPr>
                  <w:tcW w:w="2791" w:type="dxa"/>
                  <w:vAlign w:val="center"/>
                </w:tcPr>
                <w:p w14:paraId="7D6AC9EE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Osiągnięty.</w:t>
                  </w:r>
                </w:p>
              </w:tc>
            </w:tr>
            <w:tr w:rsidR="005F08BC" w:rsidRPr="00197C00" w14:paraId="684EE1C7" w14:textId="77777777" w:rsidTr="002239C5">
              <w:trPr>
                <w:trHeight w:val="244"/>
                <w:jc w:val="center"/>
              </w:trPr>
              <w:tc>
                <w:tcPr>
                  <w:tcW w:w="3147" w:type="dxa"/>
                  <w:vAlign w:val="center"/>
                </w:tcPr>
                <w:p w14:paraId="78B4DC4D" w14:textId="77777777" w:rsidR="005F08BC" w:rsidRPr="00197C00" w:rsidRDefault="005F08BC" w:rsidP="005F08BC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Usługa kolokacji dla działań pilotażowych</w:t>
                  </w:r>
                </w:p>
              </w:tc>
              <w:tc>
                <w:tcPr>
                  <w:tcW w:w="1276" w:type="dxa"/>
                  <w:vAlign w:val="center"/>
                </w:tcPr>
                <w:p w14:paraId="4D746E9B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07-2017</w:t>
                  </w:r>
                </w:p>
              </w:tc>
              <w:tc>
                <w:tcPr>
                  <w:tcW w:w="851" w:type="dxa"/>
                  <w:vAlign w:val="center"/>
                </w:tcPr>
                <w:p w14:paraId="06C41B3C" w14:textId="77777777" w:rsidR="005F08BC" w:rsidRPr="00197C00" w:rsidRDefault="005F08BC" w:rsidP="005F08BC">
                  <w:pPr>
                    <w:pStyle w:val="Akapitzlist"/>
                    <w:ind w:left="7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12-2016</w:t>
                  </w:r>
                </w:p>
              </w:tc>
              <w:tc>
                <w:tcPr>
                  <w:tcW w:w="2791" w:type="dxa"/>
                  <w:vAlign w:val="center"/>
                </w:tcPr>
                <w:p w14:paraId="2C5587FE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Osiągnięty.</w:t>
                  </w:r>
                </w:p>
              </w:tc>
            </w:tr>
            <w:tr w:rsidR="005F08BC" w:rsidRPr="00197C00" w14:paraId="6A1CBEFD" w14:textId="77777777" w:rsidTr="002239C5">
              <w:trPr>
                <w:trHeight w:val="244"/>
                <w:jc w:val="center"/>
              </w:trPr>
              <w:tc>
                <w:tcPr>
                  <w:tcW w:w="3147" w:type="dxa"/>
                  <w:vAlign w:val="center"/>
                </w:tcPr>
                <w:p w14:paraId="35388C93" w14:textId="77777777" w:rsidR="005F08BC" w:rsidRPr="00197C00" w:rsidRDefault="005F08BC" w:rsidP="00C038ED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Rozbudowane </w:t>
                  </w:r>
                  <w:r w:rsidR="00C038ED"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CIRF</w:t>
                  </w:r>
                </w:p>
              </w:tc>
              <w:tc>
                <w:tcPr>
                  <w:tcW w:w="1276" w:type="dxa"/>
                  <w:vAlign w:val="center"/>
                </w:tcPr>
                <w:p w14:paraId="5575B1DA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07-2018</w:t>
                  </w:r>
                </w:p>
              </w:tc>
              <w:tc>
                <w:tcPr>
                  <w:tcW w:w="851" w:type="dxa"/>
                  <w:vAlign w:val="center"/>
                </w:tcPr>
                <w:p w14:paraId="1F34D8DB" w14:textId="77777777" w:rsidR="005F08BC" w:rsidRPr="00197C00" w:rsidRDefault="005F08BC" w:rsidP="005F08BC">
                  <w:pPr>
                    <w:pStyle w:val="Akapitzlist"/>
                    <w:ind w:left="7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09-2018</w:t>
                  </w:r>
                </w:p>
              </w:tc>
              <w:tc>
                <w:tcPr>
                  <w:tcW w:w="2791" w:type="dxa"/>
                  <w:vAlign w:val="center"/>
                </w:tcPr>
                <w:p w14:paraId="4970092C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 xml:space="preserve">Osiągnięty, zgodnie z datą punktu ostatecznego przedstawionego w Planie Projektu </w:t>
                  </w:r>
                  <w:r w:rsidRPr="00903F7E">
                    <w:rPr>
                      <w:bCs/>
                      <w:i/>
                      <w:color w:val="0070C0"/>
                      <w:sz w:val="18"/>
                      <w:szCs w:val="20"/>
                    </w:rPr>
                    <w:t>(załącznik Nr 1 do DIP z dnia 28.08.2017).</w:t>
                  </w:r>
                </w:p>
              </w:tc>
            </w:tr>
            <w:tr w:rsidR="005F08BC" w:rsidRPr="00197C00" w14:paraId="36B57AEE" w14:textId="77777777" w:rsidTr="002239C5">
              <w:trPr>
                <w:trHeight w:val="244"/>
                <w:jc w:val="center"/>
              </w:trPr>
              <w:tc>
                <w:tcPr>
                  <w:tcW w:w="3147" w:type="dxa"/>
                  <w:vAlign w:val="center"/>
                </w:tcPr>
                <w:p w14:paraId="6BD7E03A" w14:textId="77777777" w:rsidR="005F08BC" w:rsidRPr="00197C00" w:rsidRDefault="005F08BC" w:rsidP="005F08BC">
                  <w:pPr>
                    <w:jc w:val="center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Rozwój Zmodernizowanego Procesu Wytwórczego Oprogramowania</w:t>
                  </w:r>
                </w:p>
              </w:tc>
              <w:tc>
                <w:tcPr>
                  <w:tcW w:w="1276" w:type="dxa"/>
                  <w:vAlign w:val="center"/>
                </w:tcPr>
                <w:p w14:paraId="53C1F5A0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04-2018</w:t>
                  </w:r>
                </w:p>
              </w:tc>
              <w:tc>
                <w:tcPr>
                  <w:tcW w:w="851" w:type="dxa"/>
                  <w:vAlign w:val="center"/>
                </w:tcPr>
                <w:p w14:paraId="52F8CBF9" w14:textId="77777777" w:rsidR="005F08BC" w:rsidRPr="00197C00" w:rsidRDefault="005F08BC" w:rsidP="005F08BC">
                  <w:pPr>
                    <w:pStyle w:val="Akapitzlist"/>
                    <w:ind w:left="7"/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12-2017</w:t>
                  </w:r>
                </w:p>
              </w:tc>
              <w:tc>
                <w:tcPr>
                  <w:tcW w:w="2791" w:type="dxa"/>
                  <w:vAlign w:val="center"/>
                </w:tcPr>
                <w:p w14:paraId="2DB5E8EC" w14:textId="77777777" w:rsidR="005F08BC" w:rsidRPr="00197C00" w:rsidRDefault="005F08BC" w:rsidP="005F08BC">
                  <w:pPr>
                    <w:rPr>
                      <w:bCs/>
                      <w:i/>
                      <w:color w:val="0070C0"/>
                      <w:sz w:val="18"/>
                      <w:szCs w:val="20"/>
                    </w:rPr>
                  </w:pPr>
                  <w:r w:rsidRPr="00197C00">
                    <w:rPr>
                      <w:bCs/>
                      <w:i/>
                      <w:color w:val="0070C0"/>
                      <w:sz w:val="18"/>
                      <w:szCs w:val="20"/>
                    </w:rPr>
                    <w:t>Osiągnięty.</w:t>
                  </w:r>
                </w:p>
              </w:tc>
            </w:tr>
          </w:tbl>
          <w:p w14:paraId="6B39C417" w14:textId="77777777" w:rsidR="005F08BC" w:rsidRPr="00197C00" w:rsidRDefault="005F08BC" w:rsidP="005F08BC">
            <w:pPr>
              <w:spacing w:before="240" w:after="120"/>
              <w:rPr>
                <w:bCs/>
                <w:i/>
                <w:color w:val="0070C0"/>
                <w:sz w:val="18"/>
                <w:szCs w:val="20"/>
              </w:rPr>
            </w:pPr>
          </w:p>
          <w:p w14:paraId="22249913" w14:textId="77777777" w:rsidR="002450C4" w:rsidRPr="00197C00" w:rsidRDefault="002450C4" w:rsidP="009D3D41">
            <w:pPr>
              <w:jc w:val="both"/>
              <w:rPr>
                <w:bCs/>
                <w:i/>
                <w:color w:val="0070C0"/>
                <w:sz w:val="18"/>
                <w:szCs w:val="20"/>
              </w:rPr>
            </w:pPr>
          </w:p>
        </w:tc>
      </w:tr>
      <w:tr w:rsidR="004D135D" w:rsidRPr="002450C4" w14:paraId="096E43B9" w14:textId="77777777" w:rsidTr="00E950CB">
        <w:tc>
          <w:tcPr>
            <w:tcW w:w="425" w:type="dxa"/>
          </w:tcPr>
          <w:p w14:paraId="39C451B4" w14:textId="77777777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3B7F39F0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8505" w:type="dxa"/>
          </w:tcPr>
          <w:p w14:paraId="1ADE73F9" w14:textId="77777777" w:rsidR="00080EA4" w:rsidRDefault="00725479" w:rsidP="00474972">
            <w:pPr>
              <w:jc w:val="both"/>
              <w:rPr>
                <w:bCs/>
                <w:i/>
                <w:color w:val="0070C0"/>
                <w:sz w:val="18"/>
                <w:szCs w:val="20"/>
              </w:rPr>
            </w:pPr>
            <w:r w:rsidRPr="00197C00">
              <w:rPr>
                <w:bCs/>
                <w:i/>
                <w:color w:val="0070C0"/>
                <w:sz w:val="18"/>
                <w:szCs w:val="20"/>
              </w:rPr>
              <w:t xml:space="preserve">Projekt </w:t>
            </w:r>
            <w:r w:rsidR="00080EA4">
              <w:rPr>
                <w:bCs/>
                <w:i/>
                <w:color w:val="0070C0"/>
                <w:sz w:val="18"/>
                <w:szCs w:val="20"/>
              </w:rPr>
              <w:t xml:space="preserve">zgodnie z założeniami </w:t>
            </w:r>
            <w:r w:rsidRPr="00197C00">
              <w:rPr>
                <w:bCs/>
                <w:i/>
                <w:color w:val="0070C0"/>
                <w:sz w:val="18"/>
                <w:szCs w:val="20"/>
              </w:rPr>
              <w:t xml:space="preserve">nie </w:t>
            </w:r>
            <w:r w:rsidR="00080EA4">
              <w:rPr>
                <w:bCs/>
                <w:i/>
                <w:color w:val="0070C0"/>
                <w:sz w:val="18"/>
                <w:szCs w:val="20"/>
              </w:rPr>
              <w:t>dostarczył e-usług publicznych dla obywateli i przedsiębiorców.</w:t>
            </w:r>
          </w:p>
          <w:p w14:paraId="6313CB61" w14:textId="77777777" w:rsidR="004D135D" w:rsidRPr="00197C00" w:rsidRDefault="004D135D" w:rsidP="002239C5">
            <w:pPr>
              <w:jc w:val="both"/>
              <w:rPr>
                <w:bCs/>
                <w:i/>
                <w:color w:val="0070C0"/>
                <w:sz w:val="18"/>
                <w:szCs w:val="20"/>
              </w:rPr>
            </w:pPr>
          </w:p>
        </w:tc>
      </w:tr>
      <w:tr w:rsidR="00920CE8" w:rsidRPr="002450C4" w14:paraId="0AAFE20B" w14:textId="77777777" w:rsidTr="00E950CB">
        <w:tc>
          <w:tcPr>
            <w:tcW w:w="425" w:type="dxa"/>
          </w:tcPr>
          <w:p w14:paraId="6628D0DE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46E1CB7C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8505" w:type="dxa"/>
          </w:tcPr>
          <w:p w14:paraId="5F483108" w14:textId="77777777" w:rsidR="00C038ED" w:rsidRPr="00197C00" w:rsidRDefault="00C038ED" w:rsidP="00474972">
            <w:pPr>
              <w:jc w:val="both"/>
              <w:rPr>
                <w:bCs/>
                <w:i/>
                <w:color w:val="0070C0"/>
                <w:sz w:val="18"/>
                <w:szCs w:val="20"/>
              </w:rPr>
            </w:pPr>
            <w:r w:rsidRPr="00197C00">
              <w:rPr>
                <w:bCs/>
                <w:i/>
                <w:color w:val="0070C0"/>
                <w:sz w:val="18"/>
                <w:szCs w:val="20"/>
              </w:rPr>
              <w:t>Projekt jest zgodny z założeniami Europejskiej Agendy Cyfrowej i wspiera działania w zakresie wykorzystywania technologii cyfrowych oraz interoperacyjności systemów informatycznych.</w:t>
            </w:r>
          </w:p>
          <w:p w14:paraId="6F8DE9B4" w14:textId="77777777" w:rsidR="00C038ED" w:rsidRPr="00197C00" w:rsidRDefault="00C038ED" w:rsidP="00474972">
            <w:pPr>
              <w:jc w:val="both"/>
              <w:rPr>
                <w:bCs/>
                <w:i/>
                <w:color w:val="0070C0"/>
                <w:sz w:val="18"/>
                <w:szCs w:val="20"/>
              </w:rPr>
            </w:pPr>
            <w:r w:rsidRPr="00197C00">
              <w:rPr>
                <w:bCs/>
                <w:i/>
                <w:color w:val="0070C0"/>
                <w:sz w:val="18"/>
                <w:szCs w:val="20"/>
              </w:rPr>
              <w:t xml:space="preserve">W szczególności realizuje cele działania 2.7.4 „e-administracja” poprzez ułatwianie wymiany informacji poprzez wykorzystanie usługi integracji systemów biznesowych w modelu synchronicznym i asynchronicznym oraz migracji i modernizacji systemów SIGIIF i ALERT w ramach Usługi migracji systemów do CIRF. </w:t>
            </w:r>
          </w:p>
          <w:p w14:paraId="324B8A83" w14:textId="77777777" w:rsidR="00EA548F" w:rsidRDefault="00EA548F" w:rsidP="00474972">
            <w:pPr>
              <w:jc w:val="both"/>
              <w:rPr>
                <w:bCs/>
                <w:i/>
                <w:color w:val="0070C0"/>
                <w:sz w:val="18"/>
                <w:szCs w:val="20"/>
              </w:rPr>
            </w:pPr>
          </w:p>
          <w:p w14:paraId="170DA1A1" w14:textId="77777777" w:rsidR="00C038ED" w:rsidRPr="00197C00" w:rsidRDefault="00EA548F" w:rsidP="00474972">
            <w:pPr>
              <w:jc w:val="both"/>
              <w:rPr>
                <w:bCs/>
                <w:i/>
                <w:color w:val="0070C0"/>
                <w:sz w:val="18"/>
                <w:szCs w:val="20"/>
              </w:rPr>
            </w:pPr>
            <w:r>
              <w:rPr>
                <w:bCs/>
                <w:i/>
                <w:color w:val="0070C0"/>
                <w:sz w:val="18"/>
                <w:szCs w:val="20"/>
              </w:rPr>
              <w:t xml:space="preserve">W odniesieniu do </w:t>
            </w:r>
            <w:r w:rsidRPr="00197C00">
              <w:rPr>
                <w:bCs/>
                <w:i/>
                <w:color w:val="0070C0"/>
                <w:sz w:val="18"/>
                <w:szCs w:val="20"/>
              </w:rPr>
              <w:t>Strategi</w:t>
            </w:r>
            <w:r>
              <w:rPr>
                <w:bCs/>
                <w:i/>
                <w:color w:val="0070C0"/>
                <w:sz w:val="18"/>
                <w:szCs w:val="20"/>
              </w:rPr>
              <w:t>i</w:t>
            </w:r>
            <w:r w:rsidRPr="00197C00">
              <w:rPr>
                <w:bCs/>
                <w:i/>
                <w:color w:val="0070C0"/>
                <w:sz w:val="18"/>
                <w:szCs w:val="20"/>
              </w:rPr>
              <w:t xml:space="preserve"> </w:t>
            </w:r>
            <w:r w:rsidR="00C038ED" w:rsidRPr="00197C00">
              <w:rPr>
                <w:bCs/>
                <w:i/>
                <w:color w:val="0070C0"/>
                <w:sz w:val="18"/>
                <w:szCs w:val="20"/>
              </w:rPr>
              <w:t>Rozwoju Kraju 2020 (SRK)</w:t>
            </w:r>
            <w:r>
              <w:rPr>
                <w:bCs/>
                <w:i/>
                <w:color w:val="0070C0"/>
                <w:sz w:val="18"/>
                <w:szCs w:val="20"/>
              </w:rPr>
              <w:t xml:space="preserve">projekt HARF </w:t>
            </w:r>
            <w:r w:rsidR="00353006">
              <w:rPr>
                <w:bCs/>
                <w:i/>
                <w:color w:val="0070C0"/>
                <w:sz w:val="18"/>
                <w:szCs w:val="20"/>
              </w:rPr>
              <w:t xml:space="preserve">realizuje </w:t>
            </w:r>
            <w:r w:rsidR="00C038ED" w:rsidRPr="00197C00">
              <w:rPr>
                <w:bCs/>
                <w:i/>
                <w:color w:val="0070C0"/>
                <w:sz w:val="18"/>
                <w:szCs w:val="20"/>
              </w:rPr>
              <w:t xml:space="preserve">Cel Zwiększenie wykorzystania technologii cyfrowych, w tym zakresie Projekt dostarczył infrastrukturę o wysokiej dostępności (HA) dla nowych </w:t>
            </w:r>
            <w:r w:rsidR="00C038ED" w:rsidRPr="00197C00">
              <w:rPr>
                <w:bCs/>
                <w:i/>
                <w:color w:val="0070C0"/>
                <w:sz w:val="18"/>
                <w:szCs w:val="20"/>
              </w:rPr>
              <w:lastRenderedPageBreak/>
              <w:t xml:space="preserve">systemów biznesowych w ramach usługi zintegrowanego środowiska teleinformatycznego dla nowych rozwiązań biznesowych oraz zapewnił nieprzerwany dostęp do tych zasobów poprzez dostarczenie usługi </w:t>
            </w:r>
            <w:r w:rsidR="00474972" w:rsidRPr="00197C00">
              <w:rPr>
                <w:bCs/>
                <w:i/>
                <w:color w:val="0070C0"/>
                <w:sz w:val="18"/>
                <w:szCs w:val="20"/>
              </w:rPr>
              <w:t>dostępu z Internetu dla systemów centralnych oraz profilowanej usługi dostępu do sieci transmisji danych resortu finansów.</w:t>
            </w:r>
          </w:p>
          <w:p w14:paraId="00FE4F65" w14:textId="77777777" w:rsidR="00EA548F" w:rsidRDefault="00EA548F" w:rsidP="00474972">
            <w:pPr>
              <w:jc w:val="both"/>
              <w:rPr>
                <w:bCs/>
                <w:i/>
                <w:color w:val="0070C0"/>
                <w:sz w:val="18"/>
                <w:szCs w:val="20"/>
              </w:rPr>
            </w:pPr>
          </w:p>
          <w:p w14:paraId="3738881E" w14:textId="77777777" w:rsidR="00474972" w:rsidRPr="00197C00" w:rsidRDefault="00474972" w:rsidP="00474972">
            <w:pPr>
              <w:jc w:val="both"/>
              <w:rPr>
                <w:bCs/>
                <w:i/>
                <w:color w:val="0070C0"/>
                <w:sz w:val="18"/>
                <w:szCs w:val="20"/>
              </w:rPr>
            </w:pPr>
            <w:r w:rsidRPr="00197C00">
              <w:rPr>
                <w:bCs/>
                <w:i/>
                <w:color w:val="0070C0"/>
                <w:sz w:val="18"/>
                <w:szCs w:val="20"/>
              </w:rPr>
              <w:t xml:space="preserve">W zakresie Strategii Sprawne Państwo 2020 </w:t>
            </w:r>
            <w:r w:rsidR="00EA548F">
              <w:rPr>
                <w:bCs/>
                <w:i/>
                <w:color w:val="0070C0"/>
                <w:sz w:val="18"/>
                <w:szCs w:val="20"/>
              </w:rPr>
              <w:t xml:space="preserve">projekt </w:t>
            </w:r>
            <w:r w:rsidR="001B0955">
              <w:rPr>
                <w:bCs/>
                <w:i/>
                <w:color w:val="0070C0"/>
                <w:sz w:val="18"/>
                <w:szCs w:val="20"/>
              </w:rPr>
              <w:t xml:space="preserve">realizuje </w:t>
            </w:r>
            <w:r w:rsidRPr="00197C00">
              <w:rPr>
                <w:bCs/>
                <w:i/>
                <w:color w:val="0070C0"/>
                <w:sz w:val="18"/>
                <w:szCs w:val="20"/>
              </w:rPr>
              <w:t>Cel 5. Efektywne świadczenie usług publicznych</w:t>
            </w:r>
          </w:p>
          <w:p w14:paraId="0ECACA1C" w14:textId="77777777" w:rsidR="00474972" w:rsidRPr="00197C00" w:rsidRDefault="00474972" w:rsidP="00474972">
            <w:pPr>
              <w:jc w:val="both"/>
              <w:rPr>
                <w:bCs/>
                <w:i/>
                <w:color w:val="0070C0"/>
                <w:sz w:val="18"/>
                <w:szCs w:val="20"/>
              </w:rPr>
            </w:pPr>
            <w:r w:rsidRPr="00197C00">
              <w:rPr>
                <w:bCs/>
                <w:i/>
                <w:color w:val="0070C0"/>
                <w:sz w:val="18"/>
                <w:szCs w:val="20"/>
              </w:rPr>
              <w:t xml:space="preserve">5.7. Sprawnie funkcjonujące rejestry publiczne poprzez bezawaryjną pracę systemów zapewniającą wspólne dla nich, redundantne centrum przetwarzania danych dostarczone w ramach usługi odtworzenia po katastrofie dla kluczowych usług elektronicznych resortu finansów (DR) oraz Usługi kolokacji dla działań pilotażowych. </w:t>
            </w:r>
          </w:p>
          <w:p w14:paraId="14B83FA2" w14:textId="77777777" w:rsidR="00474972" w:rsidRDefault="00353006" w:rsidP="00466637">
            <w:pPr>
              <w:spacing w:after="80"/>
              <w:jc w:val="both"/>
              <w:rPr>
                <w:bCs/>
                <w:i/>
                <w:color w:val="0070C0"/>
                <w:sz w:val="18"/>
                <w:szCs w:val="20"/>
              </w:rPr>
            </w:pPr>
            <w:r>
              <w:rPr>
                <w:bCs/>
                <w:i/>
                <w:color w:val="0070C0"/>
                <w:sz w:val="18"/>
                <w:szCs w:val="20"/>
              </w:rPr>
              <w:t xml:space="preserve">W odniesieniu do </w:t>
            </w:r>
            <w:r w:rsidR="00474972" w:rsidRPr="00197C00">
              <w:rPr>
                <w:bCs/>
                <w:i/>
                <w:color w:val="0070C0"/>
                <w:sz w:val="18"/>
                <w:szCs w:val="20"/>
              </w:rPr>
              <w:t xml:space="preserve"> Program</w:t>
            </w:r>
            <w:r>
              <w:rPr>
                <w:bCs/>
                <w:i/>
                <w:color w:val="0070C0"/>
                <w:sz w:val="18"/>
                <w:szCs w:val="20"/>
              </w:rPr>
              <w:t>u</w:t>
            </w:r>
            <w:r w:rsidR="00474972" w:rsidRPr="00197C00">
              <w:rPr>
                <w:bCs/>
                <w:i/>
                <w:color w:val="0070C0"/>
                <w:sz w:val="18"/>
                <w:szCs w:val="20"/>
              </w:rPr>
              <w:t xml:space="preserve"> Zintegrowanej Informatyzacji Państwa (PZIP) </w:t>
            </w:r>
            <w:r w:rsidR="00EA548F">
              <w:rPr>
                <w:bCs/>
                <w:i/>
                <w:color w:val="0070C0"/>
                <w:sz w:val="18"/>
                <w:szCs w:val="20"/>
              </w:rPr>
              <w:t>projekt HARF wpisuje się we</w:t>
            </w:r>
            <w:r w:rsidR="00EA548F" w:rsidRPr="00197C00">
              <w:rPr>
                <w:bCs/>
                <w:i/>
                <w:color w:val="0070C0"/>
                <w:sz w:val="18"/>
                <w:szCs w:val="20"/>
              </w:rPr>
              <w:t xml:space="preserve"> </w:t>
            </w:r>
            <w:r w:rsidR="00474972" w:rsidRPr="00197C00">
              <w:rPr>
                <w:bCs/>
                <w:i/>
                <w:color w:val="0070C0"/>
                <w:sz w:val="18"/>
                <w:szCs w:val="20"/>
              </w:rPr>
              <w:t>wsparcie kluczowych działań zintegrowanej informatyzacji w zakresie osiągnięci</w:t>
            </w:r>
            <w:r w:rsidR="00466637" w:rsidRPr="00197C00">
              <w:rPr>
                <w:bCs/>
                <w:i/>
                <w:color w:val="0070C0"/>
                <w:sz w:val="18"/>
                <w:szCs w:val="20"/>
              </w:rPr>
              <w:t>a</w:t>
            </w:r>
            <w:r w:rsidR="00474972" w:rsidRPr="00197C00">
              <w:rPr>
                <w:bCs/>
                <w:i/>
                <w:color w:val="0070C0"/>
                <w:sz w:val="18"/>
                <w:szCs w:val="20"/>
              </w:rPr>
              <w:t xml:space="preserve"> interoperacyjności rejestrów publicznych i innych systemów teleinformatycznych (zgodnie z Krajowymi Ramami Interoperacyjności) i zapewnienie sprawnego korzystania z zawartych w nich danych</w:t>
            </w:r>
            <w:r w:rsidR="00466637" w:rsidRPr="00197C00">
              <w:rPr>
                <w:bCs/>
                <w:i/>
                <w:color w:val="0070C0"/>
                <w:sz w:val="18"/>
                <w:szCs w:val="20"/>
              </w:rPr>
              <w:t xml:space="preserve"> poprzez dostarczenie zapewnienie usługi odtworzenia po katastrofie zmigrowanych systemów do CIRF takich jak SIGIIF, e-Deklaracje/bramka UBD czy Zwrot Vat dla podróżnych, TREZOR, NCTS2/EMCS2; wybudowanie platformy integracyjnej rejestrów publicznych, celem dostarczenia uniwersalnego systemu wymiany danych rejestrowych przechowywanych w systemach krajowych i europejskich w ramach dostarczenia usługi integracji systemów biznesowych w modelu synchronicznym i asynchronicznym.</w:t>
            </w:r>
          </w:p>
          <w:p w14:paraId="7B6DEAD0" w14:textId="77777777" w:rsidR="00F87B11" w:rsidRDefault="00F87B11" w:rsidP="00466637">
            <w:pPr>
              <w:spacing w:after="80"/>
              <w:jc w:val="both"/>
              <w:rPr>
                <w:bCs/>
                <w:color w:val="0070C0"/>
                <w:sz w:val="18"/>
                <w:szCs w:val="20"/>
              </w:rPr>
            </w:pPr>
          </w:p>
          <w:p w14:paraId="42D619E9" w14:textId="77777777" w:rsidR="00F87B11" w:rsidRPr="002239C5" w:rsidRDefault="00F87B11" w:rsidP="00466637">
            <w:pPr>
              <w:spacing w:after="80"/>
              <w:jc w:val="both"/>
              <w:rPr>
                <w:bCs/>
                <w:color w:val="0070C0"/>
                <w:sz w:val="18"/>
                <w:szCs w:val="20"/>
              </w:rPr>
            </w:pPr>
            <w:r w:rsidRPr="00F87B11">
              <w:rPr>
                <w:bCs/>
                <w:color w:val="0070C0"/>
                <w:sz w:val="18"/>
                <w:szCs w:val="20"/>
              </w:rPr>
              <w:t xml:space="preserve">W ramach projektu </w:t>
            </w:r>
            <w:r w:rsidR="00353006">
              <w:rPr>
                <w:bCs/>
                <w:color w:val="0070C0"/>
                <w:sz w:val="18"/>
                <w:szCs w:val="20"/>
              </w:rPr>
              <w:t xml:space="preserve">HARF </w:t>
            </w:r>
            <w:r w:rsidRPr="00F87B11">
              <w:rPr>
                <w:bCs/>
                <w:color w:val="0070C0"/>
                <w:sz w:val="18"/>
                <w:szCs w:val="20"/>
              </w:rPr>
              <w:t>wyznaczono następujące mierniki:</w:t>
            </w:r>
          </w:p>
          <w:tbl>
            <w:tblPr>
              <w:tblStyle w:val="Tabela-Siatka"/>
              <w:tblW w:w="8034" w:type="dxa"/>
              <w:tblLayout w:type="fixed"/>
              <w:tblLook w:val="04A0" w:firstRow="1" w:lastRow="0" w:firstColumn="1" w:lastColumn="0" w:noHBand="0" w:noVBand="1"/>
              <w:tblCaption w:val="Wskaźniki efektywności projektu (KPI)."/>
            </w:tblPr>
            <w:tblGrid>
              <w:gridCol w:w="3006"/>
              <w:gridCol w:w="992"/>
              <w:gridCol w:w="1134"/>
              <w:gridCol w:w="2902"/>
            </w:tblGrid>
            <w:tr w:rsidR="00293320" w:rsidRPr="002B50C0" w14:paraId="57125D45" w14:textId="77777777" w:rsidTr="002239C5">
              <w:trPr>
                <w:trHeight w:val="922"/>
                <w:tblHeader/>
              </w:trPr>
              <w:tc>
                <w:tcPr>
                  <w:tcW w:w="3006" w:type="dxa"/>
                  <w:shd w:val="clear" w:color="auto" w:fill="D0CECE" w:themeFill="background2" w:themeFillShade="E6"/>
                  <w:vAlign w:val="center"/>
                </w:tcPr>
                <w:p w14:paraId="2AACCC4C" w14:textId="77777777" w:rsidR="00293320" w:rsidRPr="00141A92" w:rsidRDefault="00293320" w:rsidP="0029332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Nazwa</w:t>
                  </w:r>
                </w:p>
              </w:tc>
              <w:tc>
                <w:tcPr>
                  <w:tcW w:w="992" w:type="dxa"/>
                  <w:shd w:val="clear" w:color="auto" w:fill="D0CECE" w:themeFill="background2" w:themeFillShade="E6"/>
                  <w:vAlign w:val="center"/>
                </w:tcPr>
                <w:p w14:paraId="4226527B" w14:textId="77777777" w:rsidR="00293320" w:rsidRPr="00141A92" w:rsidRDefault="00293320" w:rsidP="0029332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Jedn. miary</w:t>
                  </w:r>
                </w:p>
              </w:tc>
              <w:tc>
                <w:tcPr>
                  <w:tcW w:w="1134" w:type="dxa"/>
                  <w:shd w:val="clear" w:color="auto" w:fill="D0CECE" w:themeFill="background2" w:themeFillShade="E6"/>
                  <w:vAlign w:val="center"/>
                </w:tcPr>
                <w:p w14:paraId="53370E7A" w14:textId="77777777" w:rsidR="00293320" w:rsidRDefault="00293320" w:rsidP="0029332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Wartość</w:t>
                  </w:r>
                </w:p>
                <w:p w14:paraId="02333757" w14:textId="77777777" w:rsidR="00293320" w:rsidRPr="00141A92" w:rsidRDefault="00293320" w:rsidP="0029332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>docelowa</w:t>
                  </w:r>
                </w:p>
              </w:tc>
              <w:tc>
                <w:tcPr>
                  <w:tcW w:w="2902" w:type="dxa"/>
                  <w:shd w:val="clear" w:color="auto" w:fill="D0CECE" w:themeFill="background2" w:themeFillShade="E6"/>
                  <w:vAlign w:val="center"/>
                </w:tcPr>
                <w:p w14:paraId="01DEAFFE" w14:textId="77777777" w:rsidR="00293320" w:rsidRPr="00141A92" w:rsidRDefault="00293320" w:rsidP="00293320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41A92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Wartość osiągnięta od początku realizacji projektu </w:t>
                  </w:r>
                </w:p>
              </w:tc>
            </w:tr>
            <w:tr w:rsidR="00293320" w:rsidRPr="002B50C0" w14:paraId="3A6C554A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7691012A" w14:textId="77777777" w:rsidR="00293320" w:rsidRPr="00085BA7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1. Liczba udostępnionych usług wewnątrzadministracyjnych (A2A)</w:t>
                  </w:r>
                </w:p>
              </w:tc>
              <w:tc>
                <w:tcPr>
                  <w:tcW w:w="992" w:type="dxa"/>
                  <w:vAlign w:val="center"/>
                </w:tcPr>
                <w:p w14:paraId="33E6B067" w14:textId="77777777" w:rsidR="00293320" w:rsidRPr="00085BA7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4" w:type="dxa"/>
                  <w:vAlign w:val="center"/>
                </w:tcPr>
                <w:p w14:paraId="340A3AE8" w14:textId="77777777" w:rsidR="00293320" w:rsidRPr="00085BA7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2902" w:type="dxa"/>
                  <w:vAlign w:val="center"/>
                </w:tcPr>
                <w:p w14:paraId="0782A7CF" w14:textId="77777777" w:rsidR="00293320" w:rsidRPr="00085BA7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16</w:t>
                  </w:r>
                </w:p>
              </w:tc>
            </w:tr>
            <w:tr w:rsidR="00293320" w:rsidRPr="002B50C0" w14:paraId="6CCB1A33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6910CE59" w14:textId="77777777" w:rsidR="00293320" w:rsidRPr="00085BA7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2</w:t>
                  </w:r>
                  <w:r w:rsidRPr="00085BA7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 xml:space="preserve">. Liczba rejestrów publicznych o poprawionej interoperacyjności </w:t>
                  </w:r>
                </w:p>
              </w:tc>
              <w:tc>
                <w:tcPr>
                  <w:tcW w:w="992" w:type="dxa"/>
                  <w:vAlign w:val="center"/>
                </w:tcPr>
                <w:p w14:paraId="44C91DB3" w14:textId="77777777" w:rsidR="00293320" w:rsidRPr="00085BA7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085BA7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4" w:type="dxa"/>
                  <w:vAlign w:val="center"/>
                </w:tcPr>
                <w:p w14:paraId="72852F0C" w14:textId="77777777" w:rsidR="00293320" w:rsidRPr="00085BA7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085BA7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902" w:type="dxa"/>
                  <w:vAlign w:val="center"/>
                </w:tcPr>
                <w:p w14:paraId="7A6AC316" w14:textId="77777777" w:rsidR="00293320" w:rsidRPr="00085BA7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2</w:t>
                  </w:r>
                </w:p>
              </w:tc>
            </w:tr>
            <w:tr w:rsidR="00293320" w:rsidRPr="002B50C0" w14:paraId="7B3E0D17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46B9166E" w14:textId="77777777" w:rsidR="00293320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 xml:space="preserve">3. </w:t>
                  </w:r>
                  <w:r w:rsidRPr="001C256E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Liczba jednostek korzystających z anonimowego dostępu do Internetu</w:t>
                  </w:r>
                </w:p>
              </w:tc>
              <w:tc>
                <w:tcPr>
                  <w:tcW w:w="992" w:type="dxa"/>
                  <w:vAlign w:val="center"/>
                </w:tcPr>
                <w:p w14:paraId="459E5633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4" w:type="dxa"/>
                  <w:vAlign w:val="center"/>
                </w:tcPr>
                <w:p w14:paraId="665DAD01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902" w:type="dxa"/>
                  <w:vAlign w:val="center"/>
                </w:tcPr>
                <w:p w14:paraId="32C2EE55" w14:textId="77777777" w:rsidR="00293320" w:rsidRPr="00AA0C1A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2</w:t>
                  </w:r>
                </w:p>
              </w:tc>
            </w:tr>
            <w:tr w:rsidR="00293320" w:rsidRPr="002B50C0" w14:paraId="51807A15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16891FDF" w14:textId="77777777" w:rsidR="00293320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 xml:space="preserve">4. </w:t>
                  </w:r>
                  <w:r w:rsidRPr="001C256E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Liczba miesięcy świadczenia usługi profilowanej dla jednostek resortu</w:t>
                  </w:r>
                </w:p>
              </w:tc>
              <w:tc>
                <w:tcPr>
                  <w:tcW w:w="992" w:type="dxa"/>
                  <w:vAlign w:val="center"/>
                </w:tcPr>
                <w:p w14:paraId="259872DF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m-c</w:t>
                  </w:r>
                </w:p>
              </w:tc>
              <w:tc>
                <w:tcPr>
                  <w:tcW w:w="1134" w:type="dxa"/>
                  <w:vAlign w:val="center"/>
                </w:tcPr>
                <w:p w14:paraId="647BAC14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2902" w:type="dxa"/>
                  <w:vAlign w:val="center"/>
                </w:tcPr>
                <w:p w14:paraId="778557A6" w14:textId="77777777" w:rsidR="00293320" w:rsidRPr="00AA0C1A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32</w:t>
                  </w:r>
                </w:p>
              </w:tc>
            </w:tr>
            <w:tr w:rsidR="00293320" w:rsidRPr="002B50C0" w14:paraId="40C6CD22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48D85E5B" w14:textId="77777777" w:rsidR="00293320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 xml:space="preserve">5. </w:t>
                  </w: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Liczba usług DW</w:t>
                  </w: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DM dla Disaster Recovery</w:t>
                  </w:r>
                </w:p>
              </w:tc>
              <w:tc>
                <w:tcPr>
                  <w:tcW w:w="992" w:type="dxa"/>
                  <w:vAlign w:val="center"/>
                </w:tcPr>
                <w:p w14:paraId="2FA8A406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4" w:type="dxa"/>
                  <w:vAlign w:val="center"/>
                </w:tcPr>
                <w:p w14:paraId="73A94149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902" w:type="dxa"/>
                  <w:vAlign w:val="center"/>
                </w:tcPr>
                <w:p w14:paraId="3F3A75D2" w14:textId="77777777" w:rsidR="00293320" w:rsidRPr="00AA0C1A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1</w:t>
                  </w:r>
                </w:p>
              </w:tc>
            </w:tr>
            <w:tr w:rsidR="00293320" w:rsidRPr="002B50C0" w14:paraId="19F2BE1E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25B87502" w14:textId="77777777" w:rsidR="00293320" w:rsidRPr="001C256E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 xml:space="preserve">6. </w:t>
                  </w: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Liczba usług elektronicznych objętych mechanizmem Disaster</w:t>
                  </w: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 xml:space="preserve"> Recover</w:t>
                  </w:r>
                </w:p>
              </w:tc>
              <w:tc>
                <w:tcPr>
                  <w:tcW w:w="992" w:type="dxa"/>
                  <w:vAlign w:val="center"/>
                </w:tcPr>
                <w:p w14:paraId="306D9788" w14:textId="77777777" w:rsidR="00293320" w:rsidRPr="00EB1C5A" w:rsidRDefault="00293320" w:rsidP="00293320">
                  <w:pPr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4" w:type="dxa"/>
                  <w:vAlign w:val="center"/>
                </w:tcPr>
                <w:p w14:paraId="775B1305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902" w:type="dxa"/>
                  <w:vAlign w:val="center"/>
                </w:tcPr>
                <w:p w14:paraId="7BF5A61E" w14:textId="77777777" w:rsidR="00293320" w:rsidRPr="000852BB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  <w:lang w:val="en-GB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20"/>
                      <w:lang w:val="en-GB"/>
                    </w:rPr>
                    <w:t>8</w:t>
                  </w:r>
                </w:p>
              </w:tc>
            </w:tr>
            <w:tr w:rsidR="00293320" w:rsidRPr="002B50C0" w14:paraId="2A2B8028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10744A0F" w14:textId="77777777" w:rsidR="00293320" w:rsidRPr="00594EB1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7</w:t>
                  </w:r>
                  <w:r w:rsidRPr="00594EB1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. Liczba uruchomionych systemów teleinformatycznych w podmiotach wykonujących zadania publiczne</w:t>
                  </w:r>
                </w:p>
              </w:tc>
              <w:tc>
                <w:tcPr>
                  <w:tcW w:w="992" w:type="dxa"/>
                  <w:vAlign w:val="center"/>
                </w:tcPr>
                <w:p w14:paraId="5849EE06" w14:textId="77777777" w:rsidR="00293320" w:rsidRPr="00EB1C5A" w:rsidRDefault="00293320" w:rsidP="00293320">
                  <w:pPr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4" w:type="dxa"/>
                  <w:vAlign w:val="center"/>
                </w:tcPr>
                <w:p w14:paraId="273D4E72" w14:textId="77777777" w:rsidR="00293320" w:rsidRPr="00594EB1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594EB1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2902" w:type="dxa"/>
                  <w:vAlign w:val="center"/>
                </w:tcPr>
                <w:p w14:paraId="75F74553" w14:textId="77777777" w:rsidR="00293320" w:rsidRPr="00594EB1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6</w:t>
                  </w:r>
                </w:p>
              </w:tc>
            </w:tr>
            <w:tr w:rsidR="00293320" w:rsidRPr="002B50C0" w14:paraId="61BB12FC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61E053DF" w14:textId="77777777" w:rsidR="00293320" w:rsidRPr="001C256E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 xml:space="preserve">8. </w:t>
                  </w: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 xml:space="preserve">Liczba zmigrowanych do </w:t>
                  </w: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CIR</w:t>
                  </w: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F syste</w:t>
                  </w: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mów świadczących e-usługi</w:t>
                  </w:r>
                </w:p>
              </w:tc>
              <w:tc>
                <w:tcPr>
                  <w:tcW w:w="992" w:type="dxa"/>
                  <w:vAlign w:val="center"/>
                </w:tcPr>
                <w:p w14:paraId="75FE8DF1" w14:textId="77777777" w:rsidR="00293320" w:rsidRPr="00EB1C5A" w:rsidRDefault="00293320" w:rsidP="00293320">
                  <w:pPr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4" w:type="dxa"/>
                  <w:vAlign w:val="center"/>
                </w:tcPr>
                <w:p w14:paraId="41984106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2902" w:type="dxa"/>
                  <w:vAlign w:val="center"/>
                </w:tcPr>
                <w:p w14:paraId="0903615E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4</w:t>
                  </w:r>
                </w:p>
              </w:tc>
            </w:tr>
            <w:tr w:rsidR="00293320" w:rsidRPr="002B50C0" w14:paraId="71F8875A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60D44475" w14:textId="77777777" w:rsidR="00293320" w:rsidRPr="001C1ECF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1C1ECF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9. Przestrzeń dyskowa serwerowni</w:t>
                  </w:r>
                </w:p>
              </w:tc>
              <w:tc>
                <w:tcPr>
                  <w:tcW w:w="992" w:type="dxa"/>
                  <w:vAlign w:val="center"/>
                </w:tcPr>
                <w:p w14:paraId="4A532075" w14:textId="77777777" w:rsidR="00293320" w:rsidRPr="00EB1C5A" w:rsidRDefault="00293320" w:rsidP="00293320">
                  <w:pPr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terabajty</w:t>
                  </w:r>
                </w:p>
              </w:tc>
              <w:tc>
                <w:tcPr>
                  <w:tcW w:w="1134" w:type="dxa"/>
                  <w:vAlign w:val="center"/>
                </w:tcPr>
                <w:p w14:paraId="72110E2E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800</w:t>
                  </w:r>
                </w:p>
              </w:tc>
              <w:tc>
                <w:tcPr>
                  <w:tcW w:w="2902" w:type="dxa"/>
                  <w:vAlign w:val="center"/>
                </w:tcPr>
                <w:p w14:paraId="1359E736" w14:textId="77777777" w:rsidR="00293320" w:rsidRPr="006E2F8B" w:rsidRDefault="00293320" w:rsidP="00293320">
                  <w:pPr>
                    <w:rPr>
                      <w:rFonts w:ascii="Arial" w:hAnsi="Arial" w:cs="Arial"/>
                      <w:color w:val="FF000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 xml:space="preserve">810,46. </w:t>
                  </w:r>
                  <w:r w:rsidRPr="00EC569A"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Przekroczenie jest spowodowane postępem jaki nastąpił w technologii macierzowej w zakresie rosnących pojemości pojedynczych dysków oraz wpływu ich liczby na wydajność rozwiązania.</w:t>
                  </w:r>
                  <w:r w:rsidRPr="006E2F8B">
                    <w:rPr>
                      <w:rFonts w:ascii="Arial" w:hAnsi="Arial" w:cs="Arial"/>
                      <w:color w:val="FF0000"/>
                      <w:sz w:val="18"/>
                      <w:szCs w:val="20"/>
                    </w:rPr>
                    <w:t xml:space="preserve"> </w:t>
                  </w:r>
                </w:p>
                <w:p w14:paraId="7B07B6B0" w14:textId="77777777" w:rsidR="00293320" w:rsidRPr="0075475B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</w:p>
              </w:tc>
            </w:tr>
            <w:tr w:rsidR="00293320" w:rsidRPr="002B50C0" w14:paraId="0757869F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666D8CFE" w14:textId="77777777" w:rsidR="00293320" w:rsidRPr="001C1ECF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1C1ECF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10. Moc obliczeniowa serwerowni</w:t>
                  </w:r>
                </w:p>
              </w:tc>
              <w:tc>
                <w:tcPr>
                  <w:tcW w:w="992" w:type="dxa"/>
                  <w:vAlign w:val="center"/>
                </w:tcPr>
                <w:p w14:paraId="13C6CB83" w14:textId="77777777" w:rsidR="00293320" w:rsidRPr="00EB1C5A" w:rsidRDefault="00293320" w:rsidP="00293320">
                  <w:pPr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 w:rsidRPr="00F14CB6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teraflopsy</w:t>
                  </w:r>
                </w:p>
              </w:tc>
              <w:tc>
                <w:tcPr>
                  <w:tcW w:w="1134" w:type="dxa"/>
                  <w:vAlign w:val="center"/>
                </w:tcPr>
                <w:p w14:paraId="4C7A0EE5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2902" w:type="dxa"/>
                  <w:vAlign w:val="center"/>
                </w:tcPr>
                <w:p w14:paraId="019A4AC6" w14:textId="77777777" w:rsidR="00293320" w:rsidRPr="008A7CCA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 w:rsidRPr="0075475B"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33,66</w:t>
                  </w:r>
                  <w: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 xml:space="preserve">. </w:t>
                  </w:r>
                  <w:r w:rsidRPr="008A7CCA"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Przekroczenie jest spowodowane postępem jaki nastąpił w technologii serwerowej.</w:t>
                  </w:r>
                  <w: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 xml:space="preserve"> </w:t>
                  </w:r>
                  <w:r w:rsidRPr="008A7CCA"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w segmencie procesorów serwerowych polegający na zwiększeniu częstotliwości taktowania wewnętrznych magistrali (danych i adresowej) rdzeni procesorów co w efekcie przełożyło się na zwiększenie wartości TFlops.</w:t>
                  </w:r>
                </w:p>
                <w:p w14:paraId="173350C5" w14:textId="77777777" w:rsidR="00293320" w:rsidRPr="008A7CCA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</w:p>
                <w:p w14:paraId="26AE49F2" w14:textId="77777777" w:rsidR="00293320" w:rsidRPr="0075475B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</w:p>
              </w:tc>
            </w:tr>
            <w:tr w:rsidR="00293320" w:rsidRPr="002B50C0" w14:paraId="3C0F055E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43D43859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 xml:space="preserve">11. </w:t>
                  </w: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Liczba użytkowników korzystających z c</w:t>
                  </w: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entralnego systemu poczty</w:t>
                  </w:r>
                </w:p>
              </w:tc>
              <w:tc>
                <w:tcPr>
                  <w:tcW w:w="992" w:type="dxa"/>
                  <w:vAlign w:val="center"/>
                </w:tcPr>
                <w:p w14:paraId="3F828177" w14:textId="77777777" w:rsidR="00293320" w:rsidRPr="00EB1C5A" w:rsidRDefault="00293320" w:rsidP="00293320">
                  <w:pPr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osoby</w:t>
                  </w:r>
                </w:p>
              </w:tc>
              <w:tc>
                <w:tcPr>
                  <w:tcW w:w="1134" w:type="dxa"/>
                  <w:vAlign w:val="center"/>
                </w:tcPr>
                <w:p w14:paraId="0CAD8D32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60 000</w:t>
                  </w:r>
                </w:p>
              </w:tc>
              <w:tc>
                <w:tcPr>
                  <w:tcW w:w="2902" w:type="dxa"/>
                  <w:vAlign w:val="center"/>
                </w:tcPr>
                <w:p w14:paraId="790E7E45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60 0</w:t>
                  </w: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00</w:t>
                  </w:r>
                </w:p>
              </w:tc>
            </w:tr>
            <w:tr w:rsidR="00293320" w:rsidRPr="002B50C0" w14:paraId="43543A9A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274DBAFF" w14:textId="77777777" w:rsidR="00293320" w:rsidRPr="00A832F3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832F3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lastRenderedPageBreak/>
                    <w:t>12. Liczba aplikacji dostępnych w modelu wirtualnym</w:t>
                  </w:r>
                </w:p>
              </w:tc>
              <w:tc>
                <w:tcPr>
                  <w:tcW w:w="992" w:type="dxa"/>
                  <w:vAlign w:val="center"/>
                </w:tcPr>
                <w:p w14:paraId="6C0B85ED" w14:textId="77777777" w:rsidR="00293320" w:rsidRPr="00A832F3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832F3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4" w:type="dxa"/>
                  <w:vAlign w:val="center"/>
                </w:tcPr>
                <w:p w14:paraId="111DC545" w14:textId="77777777" w:rsidR="00293320" w:rsidRPr="00A832F3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832F3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2902" w:type="dxa"/>
                  <w:vAlign w:val="center"/>
                </w:tcPr>
                <w:p w14:paraId="3E259865" w14:textId="77777777" w:rsidR="00293320" w:rsidRPr="00933F00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293320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2</w:t>
                  </w:r>
                  <w:r w:rsidRPr="00E806CD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 xml:space="preserve">0 </w:t>
                  </w:r>
                </w:p>
              </w:tc>
            </w:tr>
            <w:tr w:rsidR="00293320" w:rsidRPr="002B50C0" w14:paraId="2DAFA256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1158EC9B" w14:textId="77777777" w:rsidR="00293320" w:rsidRPr="00A832F3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832F3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13. Liczba usług przeniesionych do chmury</w:t>
                  </w:r>
                </w:p>
              </w:tc>
              <w:tc>
                <w:tcPr>
                  <w:tcW w:w="992" w:type="dxa"/>
                  <w:vAlign w:val="center"/>
                </w:tcPr>
                <w:p w14:paraId="1B79B4CD" w14:textId="77777777" w:rsidR="00293320" w:rsidRPr="00A832F3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832F3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4" w:type="dxa"/>
                  <w:vAlign w:val="center"/>
                </w:tcPr>
                <w:p w14:paraId="2719E2AF" w14:textId="77777777" w:rsidR="00293320" w:rsidRPr="00A832F3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A832F3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902" w:type="dxa"/>
                  <w:vAlign w:val="center"/>
                </w:tcPr>
                <w:p w14:paraId="271A0E9F" w14:textId="77777777" w:rsidR="00293320" w:rsidRPr="00933F00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E806CD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2</w:t>
                  </w:r>
                </w:p>
              </w:tc>
            </w:tr>
            <w:tr w:rsidR="00293320" w:rsidRPr="002B50C0" w14:paraId="3809181E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45F3760A" w14:textId="77777777" w:rsidR="00293320" w:rsidRPr="00C273A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C273A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14. Liczba zmodernizowanych systemów bezpieczeństwa</w:t>
                  </w:r>
                </w:p>
              </w:tc>
              <w:tc>
                <w:tcPr>
                  <w:tcW w:w="992" w:type="dxa"/>
                  <w:vAlign w:val="center"/>
                </w:tcPr>
                <w:p w14:paraId="28042B56" w14:textId="77777777" w:rsidR="00293320" w:rsidRPr="00C273A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C273A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4" w:type="dxa"/>
                  <w:vAlign w:val="center"/>
                </w:tcPr>
                <w:p w14:paraId="42FF4394" w14:textId="77777777" w:rsidR="00293320" w:rsidRPr="00C273A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C273A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2902" w:type="dxa"/>
                  <w:vAlign w:val="center"/>
                </w:tcPr>
                <w:p w14:paraId="55D06D97" w14:textId="77777777" w:rsidR="00293320" w:rsidRPr="00C273A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9</w:t>
                  </w:r>
                </w:p>
              </w:tc>
            </w:tr>
            <w:tr w:rsidR="00293320" w:rsidRPr="002B50C0" w14:paraId="2CC75446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4FEEFDB4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 xml:space="preserve">15. </w:t>
                  </w: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Liczba systemów korzystających</w:t>
                  </w: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 xml:space="preserve"> z resortowej szyny usług</w:t>
                  </w:r>
                </w:p>
              </w:tc>
              <w:tc>
                <w:tcPr>
                  <w:tcW w:w="992" w:type="dxa"/>
                  <w:vAlign w:val="center"/>
                </w:tcPr>
                <w:p w14:paraId="1E87D52F" w14:textId="77777777" w:rsidR="00293320" w:rsidRPr="00EB1C5A" w:rsidRDefault="00293320" w:rsidP="00293320">
                  <w:pPr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4" w:type="dxa"/>
                  <w:vAlign w:val="center"/>
                </w:tcPr>
                <w:p w14:paraId="5C0A2A0A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2902" w:type="dxa"/>
                  <w:vAlign w:val="center"/>
                </w:tcPr>
                <w:p w14:paraId="0CFBA3CB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 w:rsidRPr="00436162"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10</w:t>
                  </w:r>
                </w:p>
              </w:tc>
            </w:tr>
            <w:tr w:rsidR="00293320" w:rsidRPr="002B50C0" w14:paraId="5CDA4219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75F8DDBD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7D0BB0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 xml:space="preserve">16. Przyrost mocy obliczeniowej w </w:t>
                  </w: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CIR</w:t>
                  </w:r>
                  <w:r w:rsidRPr="007D0BB0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992" w:type="dxa"/>
                  <w:vAlign w:val="center"/>
                </w:tcPr>
                <w:p w14:paraId="675F9378" w14:textId="77777777" w:rsidR="00293320" w:rsidRPr="00EB1C5A" w:rsidRDefault="00293320" w:rsidP="00293320">
                  <w:pPr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vAlign w:val="center"/>
                </w:tcPr>
                <w:p w14:paraId="58A94D84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2902" w:type="dxa"/>
                  <w:vAlign w:val="center"/>
                </w:tcPr>
                <w:p w14:paraId="720FA282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60</w:t>
                  </w:r>
                </w:p>
              </w:tc>
            </w:tr>
            <w:tr w:rsidR="00293320" w:rsidRPr="002B50C0" w14:paraId="388F3D59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3C269013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7D0BB0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 xml:space="preserve">17. Przyrost przestrzeni dyskowej w </w:t>
                  </w: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CIR</w:t>
                  </w:r>
                  <w:r w:rsidRPr="007D0BB0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992" w:type="dxa"/>
                  <w:vAlign w:val="center"/>
                </w:tcPr>
                <w:p w14:paraId="2E71FE52" w14:textId="77777777" w:rsidR="00293320" w:rsidRPr="00EB1C5A" w:rsidRDefault="00293320" w:rsidP="00293320">
                  <w:pPr>
                    <w:rPr>
                      <w:rFonts w:ascii="Arial" w:hAnsi="Arial" w:cs="Arial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%</w:t>
                  </w:r>
                </w:p>
              </w:tc>
              <w:tc>
                <w:tcPr>
                  <w:tcW w:w="1134" w:type="dxa"/>
                  <w:vAlign w:val="center"/>
                </w:tcPr>
                <w:p w14:paraId="66366C53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60</w:t>
                  </w:r>
                </w:p>
              </w:tc>
              <w:tc>
                <w:tcPr>
                  <w:tcW w:w="2902" w:type="dxa"/>
                  <w:vAlign w:val="center"/>
                </w:tcPr>
                <w:p w14:paraId="50E69281" w14:textId="77777777" w:rsidR="00293320" w:rsidRPr="00436162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 w:rsidRPr="00DD48F3"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6</w:t>
                  </w:r>
                  <w: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0</w:t>
                  </w:r>
                </w:p>
              </w:tc>
            </w:tr>
            <w:tr w:rsidR="00293320" w:rsidRPr="002B50C0" w14:paraId="2EB3EED9" w14:textId="77777777" w:rsidTr="002239C5">
              <w:trPr>
                <w:trHeight w:val="555"/>
              </w:trPr>
              <w:tc>
                <w:tcPr>
                  <w:tcW w:w="3006" w:type="dxa"/>
                  <w:vAlign w:val="center"/>
                </w:tcPr>
                <w:p w14:paraId="6A315B0B" w14:textId="77777777" w:rsidR="00293320" w:rsidRPr="00F127E4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F127E4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18. Liczba rozbudowanych systemów infrastrukturalnych w CIRF</w:t>
                  </w:r>
                </w:p>
              </w:tc>
              <w:tc>
                <w:tcPr>
                  <w:tcW w:w="992" w:type="dxa"/>
                  <w:vAlign w:val="center"/>
                </w:tcPr>
                <w:p w14:paraId="027E9B6D" w14:textId="77777777" w:rsidR="00293320" w:rsidRPr="00F127E4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F127E4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szt.</w:t>
                  </w:r>
                </w:p>
              </w:tc>
              <w:tc>
                <w:tcPr>
                  <w:tcW w:w="1134" w:type="dxa"/>
                  <w:vAlign w:val="center"/>
                </w:tcPr>
                <w:p w14:paraId="4E1D63B0" w14:textId="77777777" w:rsidR="00293320" w:rsidRPr="00F127E4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</w:pPr>
                  <w:r w:rsidRPr="00F127E4">
                    <w:rPr>
                      <w:rFonts w:ascii="Arial" w:hAnsi="Arial" w:cs="Arial"/>
                      <w:color w:val="0070C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2902" w:type="dxa"/>
                  <w:vAlign w:val="center"/>
                </w:tcPr>
                <w:p w14:paraId="58862E88" w14:textId="77777777" w:rsidR="00293320" w:rsidRPr="00F127E4" w:rsidRDefault="00293320" w:rsidP="00293320">
                  <w:pP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</w:pPr>
                  <w:r>
                    <w:rPr>
                      <w:rFonts w:ascii="Arial" w:hAnsi="Arial" w:cs="Arial"/>
                      <w:color w:val="0070C0"/>
                      <w:sz w:val="18"/>
                      <w:szCs w:val="20"/>
                    </w:rPr>
                    <w:t>8</w:t>
                  </w:r>
                </w:p>
              </w:tc>
            </w:tr>
          </w:tbl>
          <w:p w14:paraId="47DED3B2" w14:textId="77777777" w:rsidR="00F87B11" w:rsidRPr="00197C00" w:rsidRDefault="00F87B11" w:rsidP="00466637">
            <w:pPr>
              <w:spacing w:after="80"/>
              <w:jc w:val="both"/>
              <w:rPr>
                <w:bCs/>
                <w:i/>
                <w:color w:val="0070C0"/>
                <w:sz w:val="18"/>
                <w:szCs w:val="20"/>
              </w:rPr>
            </w:pPr>
          </w:p>
          <w:p w14:paraId="4A6C3DD6" w14:textId="77777777" w:rsidR="00831CA7" w:rsidRPr="00197C00" w:rsidRDefault="00831CA7" w:rsidP="00466637">
            <w:pPr>
              <w:rPr>
                <w:bCs/>
                <w:i/>
                <w:color w:val="0070C0"/>
                <w:sz w:val="18"/>
                <w:szCs w:val="20"/>
              </w:rPr>
            </w:pPr>
          </w:p>
          <w:p w14:paraId="358D2358" w14:textId="77777777" w:rsidR="00831CA7" w:rsidRPr="00197C00" w:rsidRDefault="00831CA7" w:rsidP="00466637">
            <w:pPr>
              <w:rPr>
                <w:bCs/>
                <w:i/>
                <w:color w:val="0070C0"/>
                <w:sz w:val="18"/>
                <w:szCs w:val="20"/>
              </w:rPr>
            </w:pPr>
            <w:r w:rsidRPr="00197C00">
              <w:rPr>
                <w:bCs/>
                <w:i/>
                <w:color w:val="0070C0"/>
                <w:sz w:val="18"/>
                <w:szCs w:val="20"/>
              </w:rPr>
              <w:t>Miarą dla korzyści wypływających po zakończeniu projektu HARF, będzie ilość nowych systemów biznesowych, świadczących e-usługi dla obywateli i przedsiębiorców, posadowiona na infrastrukturze zakupionej w ramach projektu oraz objęta usługą odtworzenia po katastrofie jak również ilość systemów biznesowych zintegrowana w ramach rozwijanej usługi integracji systemów biznesowych w modelu synchronicznym i asynchronicznym.</w:t>
            </w:r>
          </w:p>
          <w:p w14:paraId="0291B054" w14:textId="77777777" w:rsidR="00831CA7" w:rsidRPr="00197C00" w:rsidRDefault="00831CA7" w:rsidP="00466637">
            <w:pPr>
              <w:rPr>
                <w:bCs/>
                <w:i/>
                <w:color w:val="0070C0"/>
                <w:sz w:val="18"/>
                <w:szCs w:val="20"/>
              </w:rPr>
            </w:pPr>
          </w:p>
          <w:p w14:paraId="2A263353" w14:textId="77777777" w:rsidR="00831CA7" w:rsidRPr="00197C00" w:rsidRDefault="00831CA7" w:rsidP="00466637">
            <w:pPr>
              <w:rPr>
                <w:bCs/>
                <w:i/>
                <w:color w:val="0070C0"/>
                <w:sz w:val="18"/>
                <w:szCs w:val="20"/>
              </w:rPr>
            </w:pPr>
            <w:r w:rsidRPr="00197C00">
              <w:rPr>
                <w:bCs/>
                <w:i/>
                <w:color w:val="0070C0"/>
                <w:sz w:val="18"/>
                <w:szCs w:val="20"/>
              </w:rPr>
              <w:t>Pomiar będzie dokonywany raz do roku, którego efektem będzie raport, udostępniany na stronie www. projektu HARF.</w:t>
            </w:r>
          </w:p>
          <w:p w14:paraId="168BC276" w14:textId="77777777" w:rsidR="00920CE8" w:rsidRPr="00197C00" w:rsidRDefault="00920CE8" w:rsidP="00BC120E">
            <w:pPr>
              <w:jc w:val="both"/>
              <w:rPr>
                <w:bCs/>
                <w:i/>
                <w:color w:val="0070C0"/>
                <w:sz w:val="18"/>
                <w:szCs w:val="20"/>
              </w:rPr>
            </w:pPr>
          </w:p>
        </w:tc>
      </w:tr>
      <w:tr w:rsidR="007A0A3D" w:rsidRPr="002450C4" w14:paraId="588762FE" w14:textId="77777777" w:rsidTr="00E950CB">
        <w:tc>
          <w:tcPr>
            <w:tcW w:w="425" w:type="dxa"/>
          </w:tcPr>
          <w:p w14:paraId="187F63D1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6A24F5A8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8505" w:type="dxa"/>
          </w:tcPr>
          <w:p w14:paraId="26F118BB" w14:textId="77777777" w:rsidR="00FD4C07" w:rsidRDefault="00FD4C07" w:rsidP="00BC120E">
            <w:pPr>
              <w:jc w:val="both"/>
              <w:rPr>
                <w:i/>
                <w:sz w:val="18"/>
                <w:szCs w:val="20"/>
              </w:rPr>
            </w:pPr>
          </w:p>
          <w:tbl>
            <w:tblPr>
              <w:tblW w:w="782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33"/>
              <w:gridCol w:w="709"/>
              <w:gridCol w:w="4678"/>
            </w:tblGrid>
            <w:tr w:rsidR="00FD4C07" w:rsidRPr="00FD4C07" w14:paraId="0C03BEC9" w14:textId="77777777" w:rsidTr="00FD4C07">
              <w:trPr>
                <w:trHeight w:val="315"/>
              </w:trPr>
              <w:tc>
                <w:tcPr>
                  <w:tcW w:w="243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0A4E8A97" w14:textId="77777777" w:rsidR="00FD4C07" w:rsidRPr="00FD4C07" w:rsidRDefault="00FD4C07" w:rsidP="00FD4C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D4C0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Opis ryzyka / problemu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02276F5E" w14:textId="77777777" w:rsidR="00FD4C07" w:rsidRPr="00FD4C07" w:rsidRDefault="00FD4C07" w:rsidP="00FD4C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D4C0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Wpływ na projekt</w:t>
                  </w:r>
                </w:p>
              </w:tc>
              <w:tc>
                <w:tcPr>
                  <w:tcW w:w="46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D9D9D9"/>
                  <w:vAlign w:val="center"/>
                  <w:hideMark/>
                </w:tcPr>
                <w:p w14:paraId="3DE81894" w14:textId="77777777" w:rsidR="00FD4C07" w:rsidRPr="00FD4C07" w:rsidRDefault="00FD4C07" w:rsidP="00FD4C0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FD4C07">
                    <w:rPr>
                      <w:rFonts w:ascii="Calibri" w:eastAsia="Times New Roman" w:hAnsi="Calibri" w:cs="Times New Roman"/>
                      <w:b/>
                      <w:bCs/>
                      <w:color w:val="000000"/>
                      <w:sz w:val="16"/>
                      <w:szCs w:val="16"/>
                      <w:lang w:eastAsia="pl-PL"/>
                    </w:rPr>
                    <w:t>Sposób obsługi ryzyka / problemu</w:t>
                  </w:r>
                </w:p>
              </w:tc>
            </w:tr>
            <w:tr w:rsidR="00FD4C07" w:rsidRPr="00FD4C07" w14:paraId="65F6066E" w14:textId="77777777" w:rsidTr="00FD4C07">
              <w:trPr>
                <w:trHeight w:val="1590"/>
              </w:trPr>
              <w:tc>
                <w:tcPr>
                  <w:tcW w:w="2433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14:paraId="06BAE769" w14:textId="77777777" w:rsidR="00FD4C07" w:rsidRPr="00E950CB" w:rsidRDefault="00FD4C07" w:rsidP="00FD4C07">
                  <w:pPr>
                    <w:spacing w:after="0" w:line="240" w:lineRule="auto"/>
                    <w:rPr>
                      <w:i/>
                      <w:color w:val="0070C0"/>
                      <w:sz w:val="18"/>
                      <w:szCs w:val="20"/>
                    </w:rPr>
                  </w:pP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>Niezadowalająca jakość i terminowość prac Wykonawców zewnętrznych . Nierzetelny lub niedoświadczony Wykonawca niebędący w stanie zrealizować zamówienia w sposób należyty.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4B4C5813" w14:textId="77777777" w:rsidR="00FD4C07" w:rsidRPr="00E950CB" w:rsidRDefault="00640251" w:rsidP="00FD4C07">
                  <w:pPr>
                    <w:spacing w:after="0" w:line="240" w:lineRule="auto"/>
                    <w:jc w:val="both"/>
                    <w:rPr>
                      <w:i/>
                      <w:color w:val="0070C0"/>
                      <w:sz w:val="18"/>
                      <w:szCs w:val="20"/>
                    </w:rPr>
                  </w:pP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>średni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4ADB9BD5" w14:textId="77777777" w:rsidR="00FD4C07" w:rsidRPr="00E950CB" w:rsidRDefault="00FD4C07" w:rsidP="00FD4C07">
                  <w:pPr>
                    <w:spacing w:after="0" w:line="240" w:lineRule="auto"/>
                    <w:jc w:val="both"/>
                    <w:rPr>
                      <w:i/>
                      <w:color w:val="0070C0"/>
                      <w:sz w:val="18"/>
                      <w:szCs w:val="20"/>
                    </w:rPr>
                  </w:pP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>Ciągły monitoring prac realizowanych przez Wykonawcę. Opracowanie procedur eskalacji opóźnień. Opracowanie strategii wyboru wykonawcy i jej skuteczna realizacja. Zabezpieczenie własnych zasobów. Analiza na etapie przygotowania postępowania i adekwatne do skali i charakteru zamówienia warunki udziału w postępowaniu.</w:t>
                  </w:r>
                </w:p>
              </w:tc>
            </w:tr>
            <w:tr w:rsidR="00FD4C07" w:rsidRPr="00FD4C07" w14:paraId="7FC28C85" w14:textId="77777777" w:rsidTr="001D6F44">
              <w:trPr>
                <w:trHeight w:val="449"/>
              </w:trPr>
              <w:tc>
                <w:tcPr>
                  <w:tcW w:w="2433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2A6191D0" w14:textId="77777777" w:rsidR="00FD4C07" w:rsidRPr="00E950CB" w:rsidRDefault="00FD4C07" w:rsidP="00FD4C07">
                  <w:pPr>
                    <w:spacing w:after="0" w:line="240" w:lineRule="auto"/>
                    <w:jc w:val="both"/>
                    <w:rPr>
                      <w:i/>
                      <w:color w:val="0070C0"/>
                      <w:sz w:val="18"/>
                      <w:szCs w:val="20"/>
                    </w:rPr>
                  </w:pP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>Niewystarczające zasoby osobowe i techniczne dla efektywnej realizacji projektu. Fluktuacja kadr, odejście osób kluczowych dla realizacji projektu.  Konflikty związane z podziałem zasobów pomiędzy projektami realizowanymi lub planowanymi do realizacji w resorcie finansów.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C23A8F5" w14:textId="77777777" w:rsidR="00FD4C07" w:rsidRPr="00E950CB" w:rsidRDefault="00640251" w:rsidP="00FD4C07">
                  <w:pPr>
                    <w:spacing w:after="0" w:line="240" w:lineRule="auto"/>
                    <w:jc w:val="both"/>
                    <w:rPr>
                      <w:i/>
                      <w:color w:val="0070C0"/>
                      <w:sz w:val="18"/>
                      <w:szCs w:val="20"/>
                    </w:rPr>
                  </w:pP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>średni</w:t>
                  </w:r>
                </w:p>
              </w:tc>
              <w:tc>
                <w:tcPr>
                  <w:tcW w:w="4678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7F15BB62" w14:textId="77777777" w:rsidR="00FD4C07" w:rsidRPr="00E950CB" w:rsidRDefault="00FD4C07" w:rsidP="00FD4C07">
                  <w:pPr>
                    <w:spacing w:after="0" w:line="240" w:lineRule="auto"/>
                    <w:jc w:val="both"/>
                    <w:rPr>
                      <w:i/>
                      <w:color w:val="0070C0"/>
                      <w:sz w:val="18"/>
                      <w:szCs w:val="20"/>
                    </w:rPr>
                  </w:pP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 xml:space="preserve">Racjonalna przemyślana polityka kadrowa i dobór odpowiednich doświadczonych kadr do struktur projektowych. Aktualizacja i zatwierdzenie modelu angażowania i wynagradzania zespołu projektowego. Wdrożenie systemu motywacyjnego dla osób uczestniczących w realizacji projektu. Zaplanowanie i realizacja szkoleń. </w:t>
                  </w:r>
                </w:p>
              </w:tc>
            </w:tr>
            <w:tr w:rsidR="00FD4C07" w:rsidRPr="00FD4C07" w14:paraId="6D224AEF" w14:textId="77777777" w:rsidTr="00FD4C07">
              <w:trPr>
                <w:trHeight w:val="825"/>
              </w:trPr>
              <w:tc>
                <w:tcPr>
                  <w:tcW w:w="2433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595B623" w14:textId="77777777" w:rsidR="00FD4C07" w:rsidRPr="00E950CB" w:rsidRDefault="00FD4C07" w:rsidP="00FD4C07">
                  <w:pPr>
                    <w:spacing w:after="0" w:line="240" w:lineRule="auto"/>
                    <w:jc w:val="both"/>
                    <w:rPr>
                      <w:i/>
                      <w:color w:val="0070C0"/>
                      <w:sz w:val="18"/>
                      <w:szCs w:val="20"/>
                    </w:rPr>
                  </w:pP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>Brak skutecznej komunik</w:t>
                  </w:r>
                  <w:r w:rsidR="001D6F44" w:rsidRPr="00E950CB">
                    <w:rPr>
                      <w:i/>
                      <w:color w:val="0070C0"/>
                      <w:sz w:val="18"/>
                      <w:szCs w:val="20"/>
                    </w:rPr>
                    <w:t>a</w:t>
                  </w: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>cji między uczestnikami projektu.</w:t>
                  </w:r>
                </w:p>
              </w:tc>
              <w:tc>
                <w:tcPr>
                  <w:tcW w:w="70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3B79453E" w14:textId="77777777" w:rsidR="00FD4C07" w:rsidRPr="00E950CB" w:rsidRDefault="00640251" w:rsidP="00FD4C07">
                  <w:pPr>
                    <w:spacing w:after="0" w:line="240" w:lineRule="auto"/>
                    <w:jc w:val="both"/>
                    <w:rPr>
                      <w:i/>
                      <w:color w:val="0070C0"/>
                      <w:sz w:val="18"/>
                      <w:szCs w:val="20"/>
                    </w:rPr>
                  </w:pP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>średni</w:t>
                  </w:r>
                </w:p>
              </w:tc>
              <w:tc>
                <w:tcPr>
                  <w:tcW w:w="467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36621DE9" w14:textId="77777777" w:rsidR="00FD4C07" w:rsidRPr="00E950CB" w:rsidRDefault="00FD4C07" w:rsidP="00FD4C07">
                  <w:pPr>
                    <w:spacing w:after="0" w:line="240" w:lineRule="auto"/>
                    <w:jc w:val="both"/>
                    <w:rPr>
                      <w:i/>
                      <w:color w:val="0070C0"/>
                      <w:sz w:val="18"/>
                      <w:szCs w:val="20"/>
                    </w:rPr>
                  </w:pP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 xml:space="preserve">Zapewnienie odpowiednich narzędzi i procedur komunikacji w ramach projektu. </w:t>
                  </w:r>
                </w:p>
              </w:tc>
            </w:tr>
            <w:tr w:rsidR="00FD4C07" w:rsidRPr="00FD4C07" w14:paraId="32A5DA8A" w14:textId="77777777" w:rsidTr="00216286">
              <w:trPr>
                <w:trHeight w:val="915"/>
              </w:trPr>
              <w:tc>
                <w:tcPr>
                  <w:tcW w:w="2433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57A1A41D" w14:textId="77777777" w:rsidR="00FD4C07" w:rsidRPr="00E950CB" w:rsidRDefault="00FD4C07" w:rsidP="00FD4C07">
                  <w:pPr>
                    <w:spacing w:after="0" w:line="240" w:lineRule="auto"/>
                    <w:jc w:val="both"/>
                    <w:rPr>
                      <w:i/>
                      <w:color w:val="0070C0"/>
                      <w:sz w:val="18"/>
                      <w:szCs w:val="20"/>
                    </w:rPr>
                  </w:pP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>Niedoszacowane koszty utrzymania produktów projektu spowodowane brakiem pełnej informacji co do przyszłych cen i zakresu produktów (nowe wersje) a także kursów walut.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6F21DEF3" w14:textId="77777777" w:rsidR="00FD4C07" w:rsidRPr="00E950CB" w:rsidRDefault="00640251" w:rsidP="00FD4C07">
                  <w:pPr>
                    <w:spacing w:after="0" w:line="240" w:lineRule="auto"/>
                    <w:jc w:val="both"/>
                    <w:rPr>
                      <w:i/>
                      <w:color w:val="0070C0"/>
                      <w:sz w:val="18"/>
                      <w:szCs w:val="20"/>
                    </w:rPr>
                  </w:pP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>duży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14:paraId="0172F822" w14:textId="77777777" w:rsidR="00FD4C07" w:rsidRPr="00E950CB" w:rsidRDefault="00FD4C07" w:rsidP="00C13BD5">
                  <w:pPr>
                    <w:spacing w:after="0" w:line="240" w:lineRule="auto"/>
                    <w:jc w:val="both"/>
                    <w:rPr>
                      <w:i/>
                      <w:color w:val="0070C0"/>
                      <w:sz w:val="18"/>
                      <w:szCs w:val="20"/>
                    </w:rPr>
                  </w:pP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 xml:space="preserve">Ponowne szacowanie kosztów utrzymania oraz </w:t>
                  </w:r>
                  <w:r w:rsidR="00C13BD5">
                    <w:rPr>
                      <w:i/>
                      <w:color w:val="0070C0"/>
                      <w:sz w:val="18"/>
                      <w:szCs w:val="20"/>
                    </w:rPr>
                    <w:t>zapewnienie</w:t>
                  </w:r>
                  <w:r w:rsidR="00C13BD5" w:rsidRPr="00E950CB">
                    <w:rPr>
                      <w:i/>
                      <w:color w:val="0070C0"/>
                      <w:sz w:val="18"/>
                      <w:szCs w:val="20"/>
                    </w:rPr>
                    <w:t xml:space="preserve"> </w:t>
                  </w: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>finansowanie utrzymania produktów projektu ze środków budżetu państwa.</w:t>
                  </w:r>
                </w:p>
              </w:tc>
            </w:tr>
            <w:tr w:rsidR="00216286" w:rsidRPr="00FD4C07" w14:paraId="663DC733" w14:textId="77777777" w:rsidTr="00FD4C07">
              <w:trPr>
                <w:trHeight w:val="915"/>
              </w:trPr>
              <w:tc>
                <w:tcPr>
                  <w:tcW w:w="243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000000" w:fill="FFFFFF"/>
                  <w:vAlign w:val="center"/>
                </w:tcPr>
                <w:p w14:paraId="1FBD9DBA" w14:textId="77777777" w:rsidR="00216286" w:rsidRPr="00E950CB" w:rsidRDefault="00640251" w:rsidP="00640251">
                  <w:pPr>
                    <w:spacing w:after="0" w:line="240" w:lineRule="auto"/>
                    <w:jc w:val="both"/>
                    <w:rPr>
                      <w:i/>
                      <w:color w:val="0070C0"/>
                      <w:sz w:val="18"/>
                      <w:szCs w:val="20"/>
                    </w:rPr>
                  </w:pP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>Opóźnienia w realizacji projektów biznesowych.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4858B363" w14:textId="77777777" w:rsidR="00216286" w:rsidRPr="00E950CB" w:rsidRDefault="00640251" w:rsidP="00FD4C07">
                  <w:pPr>
                    <w:spacing w:after="0" w:line="240" w:lineRule="auto"/>
                    <w:jc w:val="both"/>
                    <w:rPr>
                      <w:i/>
                      <w:color w:val="0070C0"/>
                      <w:sz w:val="18"/>
                      <w:szCs w:val="20"/>
                    </w:rPr>
                  </w:pP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>duży</w:t>
                  </w:r>
                </w:p>
              </w:tc>
              <w:tc>
                <w:tcPr>
                  <w:tcW w:w="467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</w:tcPr>
                <w:p w14:paraId="0DE6B1C0" w14:textId="77777777" w:rsidR="00216286" w:rsidRPr="00E950CB" w:rsidRDefault="00640251" w:rsidP="00EC6FF4">
                  <w:pPr>
                    <w:spacing w:after="0" w:line="240" w:lineRule="auto"/>
                    <w:jc w:val="both"/>
                    <w:rPr>
                      <w:i/>
                      <w:color w:val="0070C0"/>
                      <w:sz w:val="18"/>
                      <w:szCs w:val="20"/>
                    </w:rPr>
                  </w:pP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 xml:space="preserve">Bieżące spotkania z przedstawicielami </w:t>
                  </w:r>
                  <w:r w:rsidR="00EC6FF4">
                    <w:rPr>
                      <w:i/>
                      <w:color w:val="0070C0"/>
                      <w:sz w:val="18"/>
                      <w:szCs w:val="20"/>
                    </w:rPr>
                    <w:t>departamentów merytorycznych</w:t>
                  </w:r>
                  <w:r w:rsidR="001D58A0">
                    <w:rPr>
                      <w:i/>
                      <w:color w:val="0070C0"/>
                      <w:sz w:val="18"/>
                      <w:szCs w:val="20"/>
                    </w:rPr>
                    <w:t xml:space="preserve"> MF</w:t>
                  </w:r>
                  <w:r w:rsidR="00EC6FF4">
                    <w:rPr>
                      <w:i/>
                      <w:color w:val="0070C0"/>
                      <w:sz w:val="18"/>
                      <w:szCs w:val="20"/>
                    </w:rPr>
                    <w:t>,</w:t>
                  </w:r>
                  <w:r w:rsidR="00EC6FF4" w:rsidRPr="00E950CB">
                    <w:rPr>
                      <w:i/>
                      <w:color w:val="0070C0"/>
                      <w:sz w:val="18"/>
                      <w:szCs w:val="20"/>
                    </w:rPr>
                    <w:t xml:space="preserve"> </w:t>
                  </w: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>odpowiadający</w:t>
                  </w:r>
                  <w:r w:rsidR="00EC6FF4">
                    <w:rPr>
                      <w:i/>
                      <w:color w:val="0070C0"/>
                      <w:sz w:val="18"/>
                      <w:szCs w:val="20"/>
                    </w:rPr>
                    <w:t>ch</w:t>
                  </w:r>
                  <w:r w:rsidRPr="00E950CB">
                    <w:rPr>
                      <w:i/>
                      <w:color w:val="0070C0"/>
                      <w:sz w:val="18"/>
                      <w:szCs w:val="20"/>
                    </w:rPr>
                    <w:t xml:space="preserve"> za projekty i monitorowanie stopnia realizacji poszczególnych projektów.</w:t>
                  </w:r>
                </w:p>
              </w:tc>
            </w:tr>
          </w:tbl>
          <w:p w14:paraId="6B0FCF0F" w14:textId="77777777" w:rsidR="00197C00" w:rsidRPr="002450C4" w:rsidRDefault="00197C00" w:rsidP="00197C00">
            <w:pPr>
              <w:rPr>
                <w:i/>
                <w:sz w:val="18"/>
                <w:szCs w:val="20"/>
              </w:rPr>
            </w:pPr>
          </w:p>
        </w:tc>
      </w:tr>
      <w:tr w:rsidR="00813FEF" w:rsidRPr="002450C4" w14:paraId="460F481D" w14:textId="77777777" w:rsidTr="00E950CB">
        <w:tc>
          <w:tcPr>
            <w:tcW w:w="425" w:type="dxa"/>
          </w:tcPr>
          <w:p w14:paraId="5CED7D84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1DF52997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8505" w:type="dxa"/>
          </w:tcPr>
          <w:p w14:paraId="61494A43" w14:textId="77777777" w:rsidR="00D53E48" w:rsidRPr="00D53E48" w:rsidRDefault="00D53E48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 w:rsidRPr="00D53E48">
              <w:rPr>
                <w:bCs/>
                <w:i/>
                <w:color w:val="0070C0"/>
                <w:sz w:val="18"/>
                <w:szCs w:val="20"/>
              </w:rPr>
              <w:t>Korzyści dla obywateli i przedsiębiorców</w:t>
            </w:r>
          </w:p>
          <w:p w14:paraId="53B2E652" w14:textId="77777777" w:rsidR="00D53E48" w:rsidRPr="00D53E48" w:rsidRDefault="00D53E48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 w:rsidRPr="00D53E48">
              <w:rPr>
                <w:bCs/>
                <w:i/>
                <w:color w:val="0070C0"/>
                <w:sz w:val="18"/>
                <w:szCs w:val="20"/>
              </w:rPr>
              <w:t>Zapewnienie wysokiej dostępności i bezpieczeństwa e-usług resortu finansów poprzez:</w:t>
            </w:r>
          </w:p>
          <w:p w14:paraId="113ACCE8" w14:textId="77777777" w:rsidR="00D53E48" w:rsidRPr="00D53E48" w:rsidRDefault="00D53E48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>
              <w:rPr>
                <w:bCs/>
                <w:i/>
                <w:color w:val="0070C0"/>
                <w:sz w:val="18"/>
                <w:szCs w:val="20"/>
              </w:rPr>
              <w:t>-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 xml:space="preserve">usługę Disaster Recovery dla kluczowych usług elektronicznych resortu finansów, </w:t>
            </w:r>
          </w:p>
          <w:p w14:paraId="17D39017" w14:textId="77777777" w:rsidR="00D53E48" w:rsidRPr="00D53E48" w:rsidRDefault="00D53E48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>
              <w:rPr>
                <w:bCs/>
                <w:i/>
                <w:color w:val="0070C0"/>
                <w:sz w:val="18"/>
                <w:szCs w:val="20"/>
              </w:rPr>
              <w:lastRenderedPageBreak/>
              <w:t>-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>usługę zintegrowanego środowiska teleinformatycznego dla nowych rozwiązań biznesowych świadczących usługi elektroniczne.</w:t>
            </w:r>
          </w:p>
          <w:p w14:paraId="2A4B717D" w14:textId="77777777" w:rsidR="00D53E48" w:rsidRPr="00D53E48" w:rsidRDefault="007A0775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>
              <w:rPr>
                <w:bCs/>
                <w:i/>
                <w:color w:val="0070C0"/>
                <w:sz w:val="18"/>
                <w:szCs w:val="20"/>
              </w:rPr>
              <w:t>Stworzenie</w:t>
            </w:r>
            <w:r w:rsidR="00D53E48" w:rsidRPr="00D53E48">
              <w:rPr>
                <w:bCs/>
                <w:i/>
                <w:color w:val="0070C0"/>
                <w:sz w:val="18"/>
                <w:szCs w:val="20"/>
              </w:rPr>
              <w:t xml:space="preserve"> wysoko wydajnego scentralizowanego środowiska z centrum podstawowym i zapasowym, zapewni</w:t>
            </w:r>
            <w:r>
              <w:rPr>
                <w:bCs/>
                <w:i/>
                <w:color w:val="0070C0"/>
                <w:sz w:val="18"/>
                <w:szCs w:val="20"/>
              </w:rPr>
              <w:t>ło</w:t>
            </w:r>
            <w:r w:rsidR="00D53E48" w:rsidRPr="00D53E48">
              <w:rPr>
                <w:bCs/>
                <w:i/>
                <w:color w:val="0070C0"/>
                <w:sz w:val="18"/>
                <w:szCs w:val="20"/>
              </w:rPr>
              <w:t xml:space="preserve"> redundancję środowiska szczególnie dla krytycznych systemów, zarówno z  punktu widzenia podatnika, jak i samej administracji. Wysoka dostępność i bezpieczeństwo e-usług związana z ciągłością działania oraz wspierającego użytkowników (personel resortu finansów) środowiska przyczyni</w:t>
            </w:r>
            <w:r>
              <w:rPr>
                <w:bCs/>
                <w:i/>
                <w:color w:val="0070C0"/>
                <w:sz w:val="18"/>
                <w:szCs w:val="20"/>
              </w:rPr>
              <w:t>ło</w:t>
            </w:r>
            <w:r w:rsidR="00D53E48" w:rsidRPr="00D53E48">
              <w:rPr>
                <w:bCs/>
                <w:i/>
                <w:color w:val="0070C0"/>
                <w:sz w:val="18"/>
                <w:szCs w:val="20"/>
              </w:rPr>
              <w:t xml:space="preserve"> się do zwiększenia zaufania do usług świadczonych drogą elektroniczną.</w:t>
            </w:r>
          </w:p>
          <w:p w14:paraId="2B4D858E" w14:textId="77777777" w:rsidR="00D53E48" w:rsidRPr="00D53E48" w:rsidRDefault="00D53E48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 w:rsidRPr="00D53E48">
              <w:rPr>
                <w:bCs/>
                <w:i/>
                <w:color w:val="0070C0"/>
                <w:sz w:val="18"/>
                <w:szCs w:val="20"/>
              </w:rPr>
              <w:t>Zmniejszenie barier komunikacyjnych i przyspieszenie przepływu informacji, dzięki zapewnieniu bezpiecznego dostępu do informacji, a także zastosowaniu nowoczesnych technologii informacyjnych m.in. poprzez profilowaną usługę dostępu do sieci transmisji danych resortu finansów.</w:t>
            </w:r>
          </w:p>
          <w:p w14:paraId="58095474" w14:textId="77777777" w:rsidR="00D53E48" w:rsidRPr="00D53E48" w:rsidRDefault="00D53E48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 w:rsidRPr="00D53E48">
              <w:rPr>
                <w:bCs/>
                <w:i/>
                <w:color w:val="0070C0"/>
                <w:sz w:val="18"/>
                <w:szCs w:val="20"/>
              </w:rPr>
              <w:t>Wytworzenie wysoko wydajnej, bezpiecznej i zapewniającej ciągłość działania infrastruktury transmisji danych wspierającej oraz umożliwiającej efektywne świadczenie e-usług przyczyni</w:t>
            </w:r>
            <w:r w:rsidR="007A0775">
              <w:rPr>
                <w:bCs/>
                <w:i/>
                <w:color w:val="0070C0"/>
                <w:sz w:val="18"/>
                <w:szCs w:val="20"/>
              </w:rPr>
              <w:t>ło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 xml:space="preserve"> się do poprawy warunków funkcjonowania przedsiębiorców i obywateli kraju poprzez:</w:t>
            </w:r>
          </w:p>
          <w:p w14:paraId="78F9C4FF" w14:textId="77777777" w:rsidR="00D53E48" w:rsidRPr="00D53E48" w:rsidRDefault="007A0775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>
              <w:rPr>
                <w:bCs/>
                <w:i/>
                <w:color w:val="0070C0"/>
                <w:sz w:val="18"/>
                <w:szCs w:val="20"/>
              </w:rPr>
              <w:t>-</w:t>
            </w:r>
            <w:r w:rsidR="00D53E48" w:rsidRPr="00D53E48">
              <w:rPr>
                <w:bCs/>
                <w:i/>
                <w:color w:val="0070C0"/>
                <w:sz w:val="18"/>
                <w:szCs w:val="20"/>
              </w:rPr>
              <w:t>ułatwienie możliwości kontaktu z organami resortu finansów drogą elektroniczną z jednoczesnym znacznym ograniczeniem konieczności osobistego kontaktu,</w:t>
            </w:r>
          </w:p>
          <w:p w14:paraId="21076931" w14:textId="77777777" w:rsidR="00D53E48" w:rsidRPr="00D53E48" w:rsidRDefault="007A0775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>
              <w:rPr>
                <w:bCs/>
                <w:i/>
                <w:color w:val="0070C0"/>
                <w:sz w:val="18"/>
                <w:szCs w:val="20"/>
              </w:rPr>
              <w:t>-</w:t>
            </w:r>
            <w:r w:rsidR="00D53E48" w:rsidRPr="00D53E48">
              <w:rPr>
                <w:bCs/>
                <w:i/>
                <w:color w:val="0070C0"/>
                <w:sz w:val="18"/>
                <w:szCs w:val="20"/>
              </w:rPr>
              <w:t>zapewnienie poufności i bezpieczeństwa w dostępie do korzystania z e-usług, jako integralnego składnika poczucia komfortu i satysfakcji z korzystania z elektronicznych form komunikacji między stronami.</w:t>
            </w:r>
          </w:p>
          <w:p w14:paraId="345B4EB3" w14:textId="77777777" w:rsidR="00D53E48" w:rsidRPr="00D53E48" w:rsidRDefault="00D53E48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 w:rsidRPr="00D53E48">
              <w:rPr>
                <w:bCs/>
                <w:i/>
                <w:color w:val="0070C0"/>
                <w:sz w:val="18"/>
                <w:szCs w:val="20"/>
              </w:rPr>
              <w:t>Skrócenie czasu załatwiania spraw przez obywatela poprzez zapewnienie szybkiej wymiany informacji przy wykorzystaniu wysokowydajnej infrastruktury teleinformatycznej.</w:t>
            </w:r>
          </w:p>
          <w:p w14:paraId="2DE6F0F6" w14:textId="77777777" w:rsidR="00D53E48" w:rsidRPr="00D53E48" w:rsidRDefault="00D53E48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</w:p>
          <w:p w14:paraId="0FB6CF3C" w14:textId="77777777" w:rsidR="00D53E48" w:rsidRPr="00D53E48" w:rsidRDefault="00D53E48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 w:rsidRPr="00D53E48">
              <w:rPr>
                <w:bCs/>
                <w:i/>
                <w:color w:val="0070C0"/>
                <w:sz w:val="18"/>
                <w:szCs w:val="20"/>
              </w:rPr>
              <w:t>Korzyści dla administracji</w:t>
            </w:r>
          </w:p>
          <w:p w14:paraId="7338D74F" w14:textId="77777777" w:rsidR="00D53E48" w:rsidRPr="00D53E48" w:rsidRDefault="00D53E48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 w:rsidRPr="00D53E48">
              <w:rPr>
                <w:bCs/>
                <w:i/>
                <w:color w:val="0070C0"/>
                <w:sz w:val="18"/>
                <w:szCs w:val="20"/>
              </w:rPr>
              <w:t>Zapewnienie wysokiej dostępności i jakości usług resortu finansów świadczonych drogą elektroniczną.</w:t>
            </w:r>
          </w:p>
          <w:p w14:paraId="66A8D979" w14:textId="77777777" w:rsidR="00D53E48" w:rsidRPr="00D53E48" w:rsidRDefault="00D53E48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 w:rsidRPr="00D53E48">
              <w:rPr>
                <w:bCs/>
                <w:i/>
                <w:color w:val="0070C0"/>
                <w:sz w:val="18"/>
                <w:szCs w:val="20"/>
              </w:rPr>
              <w:t xml:space="preserve">Projekt </w:t>
            </w:r>
            <w:r w:rsidR="007A0775">
              <w:rPr>
                <w:bCs/>
                <w:i/>
                <w:color w:val="0070C0"/>
                <w:sz w:val="18"/>
                <w:szCs w:val="20"/>
              </w:rPr>
              <w:t>przeszedł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 xml:space="preserve"> do modelu pro aktywnego, co przyczyni</w:t>
            </w:r>
            <w:r w:rsidR="007A0775">
              <w:rPr>
                <w:bCs/>
                <w:i/>
                <w:color w:val="0070C0"/>
                <w:sz w:val="18"/>
                <w:szCs w:val="20"/>
              </w:rPr>
              <w:t>ło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 xml:space="preserve"> się do zapewnienia ciągłości działania, przy jednoczesnym ograniczeniu kosztów obsługi i rozwoju wytworzonej w ramach projektu infrastruktury informatycznej oraz skróceni</w:t>
            </w:r>
            <w:r w:rsidR="007A0775">
              <w:rPr>
                <w:bCs/>
                <w:i/>
                <w:color w:val="0070C0"/>
                <w:sz w:val="18"/>
                <w:szCs w:val="20"/>
              </w:rPr>
              <w:t>u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 xml:space="preserve"> czasu obsługi incydentów i uzyskanie przez biznes efektywnego wsparcia ze strony służb IT.</w:t>
            </w:r>
          </w:p>
          <w:p w14:paraId="76ABE6D2" w14:textId="77777777" w:rsidR="00D53E48" w:rsidRPr="00D53E48" w:rsidRDefault="00D53E48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 w:rsidRPr="00D53E48">
              <w:rPr>
                <w:bCs/>
                <w:i/>
                <w:color w:val="0070C0"/>
                <w:sz w:val="18"/>
                <w:szCs w:val="20"/>
              </w:rPr>
              <w:t>Zapewnienie ciągłości działań i wysokiego poziomu bezpieczeństwa systemów informatycznych resortu finansów.</w:t>
            </w:r>
          </w:p>
          <w:p w14:paraId="3BC30DC3" w14:textId="77777777" w:rsidR="00D53E48" w:rsidRPr="00D53E48" w:rsidRDefault="00D53E48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 w:rsidRPr="00D53E48">
              <w:rPr>
                <w:bCs/>
                <w:i/>
                <w:color w:val="0070C0"/>
                <w:sz w:val="18"/>
                <w:szCs w:val="20"/>
              </w:rPr>
              <w:t>Zapewnienie jednolitych standardów bezpieczeństwa z możliwością zarządzania w sposób jednolity bezpieczeństwem informatycznym biznesu wraz z wysoko wydajnym scentralizowanym środowiskiem IT z centrum podstawowym i zapasowym zapewni</w:t>
            </w:r>
            <w:r w:rsidR="007A0775">
              <w:rPr>
                <w:bCs/>
                <w:i/>
                <w:color w:val="0070C0"/>
                <w:sz w:val="18"/>
                <w:szCs w:val="20"/>
              </w:rPr>
              <w:t>a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 xml:space="preserve"> redundancję środowiska szczególnie dla krytycznych systemów. </w:t>
            </w:r>
          </w:p>
          <w:p w14:paraId="44F3B4E7" w14:textId="77777777" w:rsidR="00D53E48" w:rsidRPr="00D53E48" w:rsidRDefault="00D53E48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bookmarkStart w:id="1" w:name="bookmark83"/>
            <w:r w:rsidRPr="00D53E48">
              <w:rPr>
                <w:bCs/>
                <w:i/>
                <w:color w:val="0070C0"/>
                <w:sz w:val="18"/>
                <w:szCs w:val="20"/>
              </w:rPr>
              <w:t xml:space="preserve">Odpowiednie warunki transmisji danych stymulują rozwój perspektywicznych e-usług resortu finansów </w:t>
            </w:r>
            <w:bookmarkEnd w:id="1"/>
            <w:r w:rsidR="007A0775">
              <w:rPr>
                <w:bCs/>
                <w:i/>
                <w:color w:val="0070C0"/>
                <w:sz w:val="18"/>
                <w:szCs w:val="20"/>
              </w:rPr>
              <w:t xml:space="preserve">poprzez 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>rozbudow</w:t>
            </w:r>
            <w:r w:rsidR="007A0775">
              <w:rPr>
                <w:bCs/>
                <w:i/>
                <w:color w:val="0070C0"/>
                <w:sz w:val="18"/>
                <w:szCs w:val="20"/>
              </w:rPr>
              <w:t>aną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 xml:space="preserve"> i utrzym</w:t>
            </w:r>
            <w:r w:rsidR="007A0775">
              <w:rPr>
                <w:bCs/>
                <w:i/>
                <w:color w:val="0070C0"/>
                <w:sz w:val="18"/>
                <w:szCs w:val="20"/>
              </w:rPr>
              <w:t xml:space="preserve">ywaną 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>skalowaln</w:t>
            </w:r>
            <w:r w:rsidR="007A0775">
              <w:rPr>
                <w:bCs/>
                <w:i/>
                <w:color w:val="0070C0"/>
                <w:sz w:val="18"/>
                <w:szCs w:val="20"/>
              </w:rPr>
              <w:t>ą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>, wysokowydajn</w:t>
            </w:r>
            <w:r w:rsidR="007A0775">
              <w:rPr>
                <w:bCs/>
                <w:i/>
                <w:color w:val="0070C0"/>
                <w:sz w:val="18"/>
                <w:szCs w:val="20"/>
              </w:rPr>
              <w:t>ą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>, spójn</w:t>
            </w:r>
            <w:r w:rsidR="007A0775">
              <w:rPr>
                <w:bCs/>
                <w:i/>
                <w:color w:val="0070C0"/>
                <w:sz w:val="18"/>
                <w:szCs w:val="20"/>
              </w:rPr>
              <w:t>ą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 xml:space="preserve"> oraz bezpieczn</w:t>
            </w:r>
            <w:r w:rsidR="007A0775">
              <w:rPr>
                <w:bCs/>
                <w:i/>
                <w:color w:val="0070C0"/>
                <w:sz w:val="18"/>
                <w:szCs w:val="20"/>
              </w:rPr>
              <w:t>ą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 xml:space="preserve"> i technologicznie otwart</w:t>
            </w:r>
            <w:r w:rsidR="007A0775">
              <w:rPr>
                <w:bCs/>
                <w:i/>
                <w:color w:val="0070C0"/>
                <w:sz w:val="18"/>
                <w:szCs w:val="20"/>
              </w:rPr>
              <w:t>ą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 xml:space="preserve"> infrastruktur</w:t>
            </w:r>
            <w:r w:rsidR="007A0775">
              <w:rPr>
                <w:bCs/>
                <w:i/>
                <w:color w:val="0070C0"/>
                <w:sz w:val="18"/>
                <w:szCs w:val="20"/>
              </w:rPr>
              <w:t>ę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 xml:space="preserve"> transmisji danych. </w:t>
            </w:r>
          </w:p>
          <w:p w14:paraId="546FCB32" w14:textId="77777777" w:rsidR="00D53E48" w:rsidRPr="00D53E48" w:rsidRDefault="007A0775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>
              <w:rPr>
                <w:bCs/>
                <w:i/>
                <w:color w:val="0070C0"/>
                <w:sz w:val="18"/>
                <w:szCs w:val="20"/>
              </w:rPr>
              <w:t>Dostarczona w ramach projektu infrastruktura</w:t>
            </w:r>
            <w:r w:rsidR="00D53E48" w:rsidRPr="00D53E48">
              <w:rPr>
                <w:bCs/>
                <w:i/>
                <w:color w:val="0070C0"/>
                <w:sz w:val="18"/>
                <w:szCs w:val="20"/>
              </w:rPr>
              <w:t xml:space="preserve"> pozwoli na zwiększenie ilości elektronicznych usług publicznych, przyczyniając się tym samym do ułatwienia przedsiębiorcom prowadzenia działalności gospodarczej, przy znacząco mniejszym zaangażowaniu czasowym obu stron.</w:t>
            </w:r>
          </w:p>
          <w:p w14:paraId="5FD32FBA" w14:textId="77777777" w:rsidR="00D53E48" w:rsidRDefault="00D53E48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 w:rsidRPr="00D53E48">
              <w:rPr>
                <w:bCs/>
                <w:i/>
                <w:color w:val="0070C0"/>
                <w:sz w:val="18"/>
                <w:szCs w:val="20"/>
              </w:rPr>
              <w:t>Wdrożenie kompleksowych rozwiązań w obszarze monitorowania i bezpieczeństwa świadczenia e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noBreakHyphen/>
              <w:t xml:space="preserve">usług, w tym realizacji zadań wewnętrznych, </w:t>
            </w:r>
            <w:r w:rsidR="00C77A43" w:rsidRPr="00D53E48">
              <w:rPr>
                <w:bCs/>
                <w:i/>
                <w:color w:val="0070C0"/>
                <w:sz w:val="18"/>
                <w:szCs w:val="20"/>
              </w:rPr>
              <w:t>przełoż</w:t>
            </w:r>
            <w:r w:rsidR="00C77A43">
              <w:rPr>
                <w:bCs/>
                <w:i/>
                <w:color w:val="0070C0"/>
                <w:sz w:val="18"/>
                <w:szCs w:val="20"/>
              </w:rPr>
              <w:t>yło</w:t>
            </w:r>
            <w:r w:rsidRPr="00D53E48">
              <w:rPr>
                <w:bCs/>
                <w:i/>
                <w:color w:val="0070C0"/>
                <w:sz w:val="18"/>
                <w:szCs w:val="20"/>
              </w:rPr>
              <w:t xml:space="preserve"> się na sprawniejsze zarządzanie ryzykiem poprzez odpowiednio wczesne sygnalizowanie potencjalnych zagrożeń w obszarach związanych z ciągłością funkcjonowania infrastruktury, wydajnością transmisji danych, a także bezpieczeństwem realizowanych transakcji.</w:t>
            </w:r>
          </w:p>
          <w:p w14:paraId="43DAE85C" w14:textId="77777777" w:rsidR="00640251" w:rsidRDefault="00640251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>
              <w:rPr>
                <w:bCs/>
                <w:i/>
                <w:color w:val="0070C0"/>
                <w:sz w:val="18"/>
                <w:szCs w:val="20"/>
              </w:rPr>
              <w:t>Raz do roku:</w:t>
            </w:r>
          </w:p>
          <w:p w14:paraId="4010D994" w14:textId="77777777" w:rsidR="00640251" w:rsidRDefault="00640251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>
              <w:rPr>
                <w:bCs/>
                <w:i/>
                <w:color w:val="0070C0"/>
                <w:sz w:val="18"/>
                <w:szCs w:val="20"/>
              </w:rPr>
              <w:t>- będą odbywać się testy systemu DR,</w:t>
            </w:r>
          </w:p>
          <w:p w14:paraId="6177D988" w14:textId="77777777" w:rsidR="00640251" w:rsidRDefault="00640251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>
              <w:rPr>
                <w:bCs/>
                <w:i/>
                <w:color w:val="0070C0"/>
                <w:sz w:val="18"/>
                <w:szCs w:val="20"/>
              </w:rPr>
              <w:t>- zostanie zweryfikowana ilości usług uruchomionych na dostarczonej infrastrukturze,</w:t>
            </w:r>
          </w:p>
          <w:p w14:paraId="4DE11D48" w14:textId="77777777" w:rsidR="00640251" w:rsidRDefault="00640251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>
              <w:rPr>
                <w:bCs/>
                <w:i/>
                <w:color w:val="0070C0"/>
                <w:sz w:val="18"/>
                <w:szCs w:val="20"/>
              </w:rPr>
              <w:t>- nastąpi weryfikacja poziomu dostępności usług;</w:t>
            </w:r>
          </w:p>
          <w:p w14:paraId="502D3C0E" w14:textId="77777777" w:rsidR="00640251" w:rsidRPr="00D53E48" w:rsidRDefault="00640251" w:rsidP="00D53E48">
            <w:pPr>
              <w:rPr>
                <w:bCs/>
                <w:i/>
                <w:color w:val="0070C0"/>
                <w:sz w:val="18"/>
                <w:szCs w:val="20"/>
              </w:rPr>
            </w:pPr>
            <w:r>
              <w:rPr>
                <w:bCs/>
                <w:i/>
                <w:color w:val="0070C0"/>
                <w:sz w:val="18"/>
                <w:szCs w:val="20"/>
              </w:rPr>
              <w:t>Na podstawie czego zostaną sporządzone raporty i udostępnione na stronie www.harf.gov.pl</w:t>
            </w:r>
          </w:p>
          <w:p w14:paraId="7265CA50" w14:textId="77777777" w:rsidR="00D53E48" w:rsidRPr="002450C4" w:rsidRDefault="00D53E48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F82254" w:rsidRPr="002450C4" w14:paraId="63EE787A" w14:textId="77777777" w:rsidTr="00E950CB">
        <w:tc>
          <w:tcPr>
            <w:tcW w:w="425" w:type="dxa"/>
          </w:tcPr>
          <w:p w14:paraId="534E4D7C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7DFF7CCA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8505" w:type="dxa"/>
          </w:tcPr>
          <w:p w14:paraId="4D633D0E" w14:textId="77777777" w:rsidR="00470045" w:rsidRDefault="00470045" w:rsidP="00470045">
            <w:pPr>
              <w:rPr>
                <w:bCs/>
                <w:i/>
                <w:color w:val="0070C0"/>
                <w:sz w:val="18"/>
                <w:szCs w:val="20"/>
              </w:rPr>
            </w:pPr>
            <w:r w:rsidRPr="00470045">
              <w:rPr>
                <w:bCs/>
                <w:i/>
                <w:color w:val="0070C0"/>
                <w:sz w:val="18"/>
                <w:szCs w:val="20"/>
              </w:rPr>
              <w:t>W ramach projektu nie był wytwarzany system biznesowy</w:t>
            </w:r>
            <w:r>
              <w:rPr>
                <w:color w:val="1F497D"/>
              </w:rPr>
              <w:t xml:space="preserve"> </w:t>
            </w:r>
            <w:r w:rsidRPr="00470045">
              <w:rPr>
                <w:bCs/>
                <w:i/>
                <w:color w:val="0070C0"/>
                <w:sz w:val="18"/>
                <w:szCs w:val="20"/>
              </w:rPr>
              <w:t>świadczący e- usług</w:t>
            </w:r>
            <w:r>
              <w:rPr>
                <w:bCs/>
                <w:i/>
                <w:color w:val="0070C0"/>
                <w:sz w:val="18"/>
                <w:szCs w:val="20"/>
              </w:rPr>
              <w:t>i, projekt był typowym projektem infrastrukturalnym wytwarzającym wewnętrzne usługi dla administracji państwowej.</w:t>
            </w:r>
          </w:p>
          <w:p w14:paraId="732A1CAC" w14:textId="77777777" w:rsidR="00470045" w:rsidRDefault="00470045" w:rsidP="00470045">
            <w:pPr>
              <w:rPr>
                <w:bCs/>
                <w:i/>
                <w:color w:val="0070C0"/>
                <w:sz w:val="18"/>
                <w:szCs w:val="20"/>
              </w:rPr>
            </w:pPr>
            <w:r>
              <w:rPr>
                <w:bCs/>
                <w:i/>
                <w:color w:val="0070C0"/>
                <w:sz w:val="18"/>
                <w:szCs w:val="20"/>
              </w:rPr>
              <w:t xml:space="preserve">W ramach </w:t>
            </w:r>
            <w:r w:rsidR="00307DC5">
              <w:rPr>
                <w:bCs/>
                <w:i/>
                <w:color w:val="0070C0"/>
                <w:sz w:val="18"/>
                <w:szCs w:val="20"/>
              </w:rPr>
              <w:t>Usługi</w:t>
            </w:r>
            <w:r w:rsidR="00307DC5" w:rsidRPr="00307DC5">
              <w:rPr>
                <w:bCs/>
                <w:i/>
                <w:color w:val="0070C0"/>
                <w:sz w:val="18"/>
                <w:szCs w:val="20"/>
              </w:rPr>
              <w:t xml:space="preserve"> integracji systemów biznesowych w modelu synchronicznym i asynchronicznym</w:t>
            </w:r>
            <w:r w:rsidR="00307DC5">
              <w:rPr>
                <w:bCs/>
                <w:i/>
                <w:color w:val="0070C0"/>
                <w:sz w:val="18"/>
                <w:szCs w:val="20"/>
              </w:rPr>
              <w:t xml:space="preserve"> zostały zintegrowane następujące rejestry :</w:t>
            </w:r>
          </w:p>
          <w:p w14:paraId="319AE37A" w14:textId="77777777" w:rsidR="00470045" w:rsidRPr="00307DC5" w:rsidRDefault="00D53E48" w:rsidP="00470045">
            <w:pPr>
              <w:rPr>
                <w:bCs/>
                <w:i/>
                <w:color w:val="0070C0"/>
                <w:sz w:val="18"/>
                <w:szCs w:val="20"/>
              </w:rPr>
            </w:pPr>
            <w:r>
              <w:rPr>
                <w:bCs/>
                <w:i/>
                <w:color w:val="0070C0"/>
                <w:sz w:val="18"/>
                <w:szCs w:val="20"/>
              </w:rPr>
              <w:t>1</w:t>
            </w:r>
            <w:r w:rsidR="00470045" w:rsidRPr="00307DC5">
              <w:rPr>
                <w:bCs/>
                <w:i/>
                <w:color w:val="0070C0"/>
                <w:sz w:val="18"/>
                <w:szCs w:val="20"/>
              </w:rPr>
              <w:t>.  System Kas Fiskalnych - Centralne Repozytorium danych o sprzedaży detalicznej (CEKR2)</w:t>
            </w:r>
          </w:p>
          <w:p w14:paraId="1E1595DD" w14:textId="77777777" w:rsidR="00470045" w:rsidRPr="00307DC5" w:rsidRDefault="00D53E48" w:rsidP="00470045">
            <w:pPr>
              <w:rPr>
                <w:bCs/>
                <w:i/>
                <w:color w:val="0070C0"/>
                <w:sz w:val="18"/>
                <w:szCs w:val="20"/>
              </w:rPr>
            </w:pPr>
            <w:r>
              <w:rPr>
                <w:bCs/>
                <w:i/>
                <w:color w:val="0070C0"/>
                <w:sz w:val="18"/>
                <w:szCs w:val="20"/>
              </w:rPr>
              <w:t>2</w:t>
            </w:r>
            <w:r w:rsidR="00470045" w:rsidRPr="00307DC5">
              <w:rPr>
                <w:bCs/>
                <w:i/>
                <w:color w:val="0070C0"/>
                <w:sz w:val="18"/>
                <w:szCs w:val="20"/>
              </w:rPr>
              <w:t>. CRP KEP - STIR (KIR)</w:t>
            </w:r>
          </w:p>
          <w:p w14:paraId="3D231142" w14:textId="77777777" w:rsidR="00470045" w:rsidRDefault="00470045" w:rsidP="00470045">
            <w:pPr>
              <w:rPr>
                <w:color w:val="1F497D"/>
              </w:rPr>
            </w:pPr>
          </w:p>
          <w:p w14:paraId="0559DFE1" w14:textId="77777777" w:rsidR="00470045" w:rsidRDefault="00470045" w:rsidP="00DB70A5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7C54F9" w:rsidRPr="002450C4" w14:paraId="3665BB62" w14:textId="77777777" w:rsidTr="00E950CB">
        <w:tc>
          <w:tcPr>
            <w:tcW w:w="425" w:type="dxa"/>
          </w:tcPr>
          <w:p w14:paraId="4E90D3EF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251F5C15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8505" w:type="dxa"/>
          </w:tcPr>
          <w:p w14:paraId="3F1C4674" w14:textId="77777777" w:rsidR="00866DFD" w:rsidRDefault="00866DFD" w:rsidP="007C54F9">
            <w:pPr>
              <w:jc w:val="both"/>
              <w:rPr>
                <w:bCs/>
                <w:i/>
                <w:sz w:val="18"/>
                <w:szCs w:val="20"/>
              </w:rPr>
            </w:pPr>
          </w:p>
          <w:p w14:paraId="3AC7AC27" w14:textId="77777777" w:rsidR="00866DFD" w:rsidRDefault="00866DFD" w:rsidP="007C54F9">
            <w:pPr>
              <w:jc w:val="both"/>
              <w:rPr>
                <w:bCs/>
                <w:i/>
                <w:color w:val="0070C0"/>
                <w:sz w:val="18"/>
                <w:szCs w:val="20"/>
              </w:rPr>
            </w:pPr>
          </w:p>
          <w:p w14:paraId="1924301C" w14:textId="77777777" w:rsidR="00FD4C07" w:rsidRDefault="00FD4C07" w:rsidP="00FD4C07">
            <w:pPr>
              <w:jc w:val="both"/>
              <w:rPr>
                <w:bCs/>
                <w:i/>
                <w:color w:val="0070C0"/>
                <w:sz w:val="18"/>
                <w:szCs w:val="20"/>
              </w:rPr>
            </w:pPr>
            <w:r w:rsidRPr="00FD4C07">
              <w:rPr>
                <w:bCs/>
                <w:i/>
                <w:color w:val="0070C0"/>
                <w:sz w:val="18"/>
                <w:szCs w:val="20"/>
              </w:rPr>
              <w:t xml:space="preserve">W zakresie trwałości finansowej – Beneficjent jest jednostką sektora publicznego i w związku z tym zapewni finansowanie utrzymania produktów projektu ze środków budżetu państwa. </w:t>
            </w:r>
            <w:r w:rsidRPr="00866DFD">
              <w:rPr>
                <w:bCs/>
                <w:i/>
                <w:color w:val="0070C0"/>
                <w:sz w:val="18"/>
                <w:szCs w:val="20"/>
              </w:rPr>
              <w:t>Środki na utrzymanie projektu w okresie trwałości będą zabezpieczane w corocznym budżecie Departamentu Informatyzacji po wcześniejszych zgłoszeniach.</w:t>
            </w:r>
          </w:p>
          <w:p w14:paraId="1C5650C8" w14:textId="77777777" w:rsidR="00866DFD" w:rsidRDefault="00866DFD" w:rsidP="00FD4C07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  <w:tr w:rsidR="009D3D41" w:rsidRPr="002450C4" w14:paraId="4C712EFB" w14:textId="77777777" w:rsidTr="002239C5">
        <w:trPr>
          <w:trHeight w:val="1905"/>
        </w:trPr>
        <w:tc>
          <w:tcPr>
            <w:tcW w:w="425" w:type="dxa"/>
          </w:tcPr>
          <w:p w14:paraId="77D27750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418" w:type="dxa"/>
          </w:tcPr>
          <w:p w14:paraId="60383AA9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8505" w:type="dxa"/>
          </w:tcPr>
          <w:tbl>
            <w:tblPr>
              <w:tblW w:w="83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28"/>
              <w:gridCol w:w="4564"/>
            </w:tblGrid>
            <w:tr w:rsidR="002F3037" w:rsidRPr="006B2EB3" w14:paraId="0B17E550" w14:textId="77777777" w:rsidTr="00661C3A">
              <w:trPr>
                <w:trHeight w:val="864"/>
              </w:trPr>
              <w:tc>
                <w:tcPr>
                  <w:tcW w:w="3828" w:type="dxa"/>
                  <w:shd w:val="clear" w:color="4F81BD" w:fill="4F81BD"/>
                  <w:vAlign w:val="center"/>
                  <w:hideMark/>
                </w:tcPr>
                <w:p w14:paraId="682F564F" w14:textId="77777777" w:rsidR="002F3037" w:rsidRPr="008B7628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8"/>
                      <w:szCs w:val="18"/>
                      <w:lang w:eastAsia="pl-PL"/>
                    </w:rPr>
                  </w:pPr>
                  <w:r w:rsidRPr="008B7628"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8"/>
                      <w:szCs w:val="18"/>
                      <w:lang w:eastAsia="pl-PL"/>
                    </w:rPr>
                    <w:t>Opis zdarzenia</w:t>
                  </w:r>
                </w:p>
              </w:tc>
              <w:tc>
                <w:tcPr>
                  <w:tcW w:w="4564" w:type="dxa"/>
                  <w:shd w:val="clear" w:color="4F81BD" w:fill="4F81BD"/>
                  <w:vAlign w:val="center"/>
                  <w:hideMark/>
                </w:tcPr>
                <w:p w14:paraId="7B0F0AA2" w14:textId="77777777" w:rsidR="002F3037" w:rsidRPr="008B7628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8"/>
                      <w:szCs w:val="18"/>
                      <w:lang w:eastAsia="pl-PL"/>
                    </w:rPr>
                  </w:pPr>
                  <w:r w:rsidRPr="008B7628">
                    <w:rPr>
                      <w:rFonts w:ascii="Calibri" w:eastAsia="Times New Roman" w:hAnsi="Calibri" w:cs="Calibri"/>
                      <w:b/>
                      <w:bCs/>
                      <w:color w:val="FFFFFF"/>
                      <w:sz w:val="18"/>
                      <w:szCs w:val="18"/>
                      <w:lang w:eastAsia="pl-PL"/>
                    </w:rPr>
                    <w:t>Wnioski, doświadczenia</w:t>
                  </w:r>
                </w:p>
              </w:tc>
            </w:tr>
            <w:tr w:rsidR="002F3037" w:rsidRPr="006B2EB3" w14:paraId="43A078A0" w14:textId="77777777" w:rsidTr="00661C3A">
              <w:trPr>
                <w:trHeight w:val="1629"/>
              </w:trPr>
              <w:tc>
                <w:tcPr>
                  <w:tcW w:w="3828" w:type="dxa"/>
                  <w:shd w:val="clear" w:color="auto" w:fill="auto"/>
                  <w:vAlign w:val="center"/>
                  <w:hideMark/>
                </w:tcPr>
                <w:p w14:paraId="2EC4D64D" w14:textId="77777777" w:rsidR="002F3037" w:rsidRPr="008B7628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8B762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Cykliczne spotkania kierownictwa projektu pozwalające na bieżące monitorowanie prac poszczególnych zespołów, analizę </w:t>
                  </w:r>
                  <w:r w:rsidRPr="006B2EB3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zaistniałych</w:t>
                  </w:r>
                  <w:r w:rsidRPr="008B762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problemów i zidentyfikowanie ryzyk</w:t>
                  </w:r>
                </w:p>
              </w:tc>
              <w:tc>
                <w:tcPr>
                  <w:tcW w:w="4564" w:type="dxa"/>
                  <w:shd w:val="clear" w:color="auto" w:fill="auto"/>
                  <w:vAlign w:val="center"/>
                  <w:hideMark/>
                </w:tcPr>
                <w:p w14:paraId="505E1034" w14:textId="77777777" w:rsidR="002F3037" w:rsidRPr="008B7628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8B762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W celu sprawnego i efektywnego zarządzania zespołem/wątkiem/realizacją zadań konieczne jest stałe nadzorowanie i koordynowanie prac członków zespołu/wątku, realizacji produktów zgodnie z harmonogramem, identyfikacja i ocena ryzyka w celu kontroli m.in. terminowości i skuteczności działań oraz zastosowania rozwiązań zapobiegawczych i </w:t>
                  </w:r>
                  <w:r w:rsidRPr="006B2EB3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uzupełniających</w:t>
                  </w:r>
                  <w:r w:rsidRPr="008B762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, identyfikacja zagadnień projektowych nowych oraz </w:t>
                  </w:r>
                  <w:r w:rsidRPr="006B2EB3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wymagających</w:t>
                  </w:r>
                  <w:r w:rsidRPr="008B762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 szczególnego nadzoru z punktu widzenia realizacji celów projektu</w:t>
                  </w:r>
                </w:p>
              </w:tc>
            </w:tr>
            <w:tr w:rsidR="002F3037" w:rsidRPr="006B2EB3" w14:paraId="2922E5DF" w14:textId="77777777" w:rsidTr="00661C3A">
              <w:trPr>
                <w:trHeight w:val="864"/>
              </w:trPr>
              <w:tc>
                <w:tcPr>
                  <w:tcW w:w="3828" w:type="dxa"/>
                  <w:shd w:val="clear" w:color="auto" w:fill="auto"/>
                  <w:vAlign w:val="center"/>
                  <w:hideMark/>
                </w:tcPr>
                <w:p w14:paraId="7E4074E1" w14:textId="77777777" w:rsidR="002F3037" w:rsidRPr="008B7628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8B762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Zmiany w planie, wypłata nagród i wynagrodzeń (porozumień zmieniających i dodatków specjalnych /zadaniowych), przeniesienia  środków finansowych z Centrali MF do CIRF.</w:t>
                  </w:r>
                </w:p>
              </w:tc>
              <w:tc>
                <w:tcPr>
                  <w:tcW w:w="4564" w:type="dxa"/>
                  <w:shd w:val="clear" w:color="auto" w:fill="auto"/>
                  <w:vAlign w:val="center"/>
                  <w:hideMark/>
                </w:tcPr>
                <w:p w14:paraId="09D0C504" w14:textId="77777777" w:rsidR="002F3037" w:rsidRPr="008B7628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8B762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Długotrwała procedura dokonywania zmian w planie finansowym  powoduje opóźnienia w wypłatach wynagrodzeń, wyrównań oraz nagród.</w:t>
                  </w:r>
                </w:p>
              </w:tc>
            </w:tr>
            <w:tr w:rsidR="002F3037" w:rsidRPr="006B2EB3" w14:paraId="5200B6BE" w14:textId="77777777" w:rsidTr="00661C3A">
              <w:trPr>
                <w:trHeight w:val="1088"/>
              </w:trPr>
              <w:tc>
                <w:tcPr>
                  <w:tcW w:w="3828" w:type="dxa"/>
                  <w:shd w:val="clear" w:color="000000" w:fill="FFFFFF"/>
                  <w:vAlign w:val="center"/>
                  <w:hideMark/>
                </w:tcPr>
                <w:p w14:paraId="3AD9776D" w14:textId="77777777" w:rsidR="002F3037" w:rsidRPr="008B7628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8B762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Jednoczesne obciążenie poszczególnych członków zespołu projektowego zadaniami z wielu obszarów stanowi zagrożenie dla jakości i terminowości realizacji zadań i w konsekwencji jakości produktów.</w:t>
                  </w:r>
                </w:p>
              </w:tc>
              <w:tc>
                <w:tcPr>
                  <w:tcW w:w="4564" w:type="dxa"/>
                  <w:shd w:val="clear" w:color="000000" w:fill="FFFFFF"/>
                  <w:vAlign w:val="center"/>
                  <w:hideMark/>
                </w:tcPr>
                <w:p w14:paraId="43C75B27" w14:textId="77777777" w:rsidR="002F3037" w:rsidRPr="008B7628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8B7628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Zwrócenie szczególnej uwagi podczas konstruowania harmonogramu prac na bieżące obciążenie zadaniami kluczowymi członków zespołu projektowego (uczestniczących w wielu wątkach), unikanie nakładania się prac wymagających dużego zaangażowania czasowego, wynikającego ze złożoności analizowanych wątków/realizowanych zadań.</w:t>
                  </w:r>
                </w:p>
              </w:tc>
            </w:tr>
            <w:tr w:rsidR="002F3037" w:rsidRPr="006B2EB3" w14:paraId="6FC9A4DC" w14:textId="77777777" w:rsidTr="00661C3A">
              <w:trPr>
                <w:trHeight w:val="976"/>
              </w:trPr>
              <w:tc>
                <w:tcPr>
                  <w:tcW w:w="3828" w:type="dxa"/>
                  <w:shd w:val="clear" w:color="000000" w:fill="FFFFFF"/>
                  <w:vAlign w:val="center"/>
                  <w:hideMark/>
                </w:tcPr>
                <w:p w14:paraId="006F6D1F" w14:textId="77777777" w:rsidR="002F3037" w:rsidRPr="00661C3A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661C3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Nadzorowanie oddziaływania na siebie poszczególnych elementów projektu.</w:t>
                  </w:r>
                </w:p>
              </w:tc>
              <w:tc>
                <w:tcPr>
                  <w:tcW w:w="4564" w:type="dxa"/>
                  <w:shd w:val="clear" w:color="000000" w:fill="FFFFFF"/>
                  <w:vAlign w:val="center"/>
                  <w:hideMark/>
                </w:tcPr>
                <w:p w14:paraId="4DB9E66C" w14:textId="77777777" w:rsidR="002F3037" w:rsidRPr="00661C3A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661C3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Nadzorowanie oddziaływania na siebie poszczególnych elementów projektu przyczyniło się do umożliwienia podjęcia w odpowiednim czasie właściwych decyzji projektowych oraz bieżące monitorowanie realizacji projektu.</w:t>
                  </w:r>
                </w:p>
              </w:tc>
            </w:tr>
            <w:tr w:rsidR="002F3037" w:rsidRPr="006B2EB3" w14:paraId="32BED56C" w14:textId="77777777" w:rsidTr="00661C3A">
              <w:trPr>
                <w:trHeight w:val="547"/>
              </w:trPr>
              <w:tc>
                <w:tcPr>
                  <w:tcW w:w="3828" w:type="dxa"/>
                  <w:shd w:val="clear" w:color="DCE6F1" w:fill="DCE6F1"/>
                  <w:vAlign w:val="center"/>
                  <w:hideMark/>
                </w:tcPr>
                <w:p w14:paraId="25C6793F" w14:textId="77777777" w:rsidR="002F3037" w:rsidRPr="00661C3A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661C3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Płatności są realizowane w sposób częściowy za odebrane funkcjonujące prawidłowo  części produktów. </w:t>
                  </w:r>
                </w:p>
              </w:tc>
              <w:tc>
                <w:tcPr>
                  <w:tcW w:w="4564" w:type="dxa"/>
                  <w:shd w:val="clear" w:color="DCE6F1" w:fill="DCE6F1"/>
                  <w:vAlign w:val="center"/>
                  <w:hideMark/>
                </w:tcPr>
                <w:p w14:paraId="4A2619F6" w14:textId="77777777" w:rsidR="002F3037" w:rsidRPr="00661C3A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661C3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Planowanie płatności rozłożone w czasie. Unikanie kumulacji kwot rozliczanej umowy z Wykonawcą.</w:t>
                  </w:r>
                </w:p>
              </w:tc>
            </w:tr>
            <w:tr w:rsidR="002F3037" w:rsidRPr="006B2EB3" w14:paraId="44CA2993" w14:textId="77777777" w:rsidTr="00661C3A">
              <w:trPr>
                <w:trHeight w:val="2592"/>
              </w:trPr>
              <w:tc>
                <w:tcPr>
                  <w:tcW w:w="3828" w:type="dxa"/>
                  <w:shd w:val="clear" w:color="DCE6F1" w:fill="DCE6F1"/>
                  <w:vAlign w:val="center"/>
                  <w:hideMark/>
                </w:tcPr>
                <w:p w14:paraId="5E0E6F04" w14:textId="77777777" w:rsidR="002F3037" w:rsidRPr="00661C3A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661C3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Złożone postępowania przetargowe w zakresie zamówień informatycznych, w tym w szczególności te na wdrożenie systemu i dostarczanie lub rozbudowywanie infrastruktury, mają to do siebie, że zawsze istnieje ryzyko, że potrzeby zostały niedoszacowane lub źle zdefiniowane np.  po szacowaniu wartości zamówienia zaistniała konieczność dodatkowych zmian , w trakcie realizacji wdrożenia ujawniły się potrzeby na dodatkowe modyfikacje/usługi których nie przewidziano na etapie planowania zamówienia. </w:t>
                  </w:r>
                </w:p>
              </w:tc>
              <w:tc>
                <w:tcPr>
                  <w:tcW w:w="4564" w:type="dxa"/>
                  <w:shd w:val="clear" w:color="DCE6F1" w:fill="DCE6F1"/>
                  <w:vAlign w:val="center"/>
                  <w:hideMark/>
                </w:tcPr>
                <w:p w14:paraId="6AC5E409" w14:textId="77777777" w:rsidR="002F3037" w:rsidRPr="00661C3A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661C3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Stosowanie w ramach realizacji postępowań przetargowych zapisów dot. korzystania z prawa opcji</w:t>
                  </w:r>
                </w:p>
              </w:tc>
            </w:tr>
            <w:tr w:rsidR="002F3037" w:rsidRPr="006B2EB3" w14:paraId="0B27C650" w14:textId="77777777" w:rsidTr="00661C3A">
              <w:trPr>
                <w:trHeight w:val="1526"/>
              </w:trPr>
              <w:tc>
                <w:tcPr>
                  <w:tcW w:w="3828" w:type="dxa"/>
                  <w:shd w:val="clear" w:color="000000" w:fill="FFFFFF"/>
                  <w:vAlign w:val="center"/>
                  <w:hideMark/>
                </w:tcPr>
                <w:p w14:paraId="1AA9D36E" w14:textId="77777777" w:rsidR="002F3037" w:rsidRPr="00661C3A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661C3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 xml:space="preserve">W celu zracjonalizowania kosztów utrzymania i rozwoju elementów infrastruktury teleinformatycznej w ramach planowanych kontraktów w ramach projektu, przewidziano zakontraktowanie usługi utrzymania na optymalny okres przewidywanego użytkowania tj. w okresie 48 miesięcy. </w:t>
                  </w:r>
                </w:p>
              </w:tc>
              <w:tc>
                <w:tcPr>
                  <w:tcW w:w="4564" w:type="dxa"/>
                  <w:shd w:val="clear" w:color="000000" w:fill="FFFFFF"/>
                  <w:vAlign w:val="center"/>
                  <w:hideMark/>
                </w:tcPr>
                <w:p w14:paraId="0020F370" w14:textId="77777777" w:rsidR="002F3037" w:rsidRPr="00661C3A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661C3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Zawieranie w SIWZ i umowach o zamówienie publiczne zapisu dot. maksymalnego okresu gwarancji/usług serwisowych na 48 miesięcy oraz zabezpieczenie serwisu pogwarancyjnego na kolejne lata, bez konieczności przeprowadzania dodatkowego postępowania przetargowego.</w:t>
                  </w:r>
                </w:p>
              </w:tc>
            </w:tr>
            <w:tr w:rsidR="002F3037" w:rsidRPr="006B2EB3" w14:paraId="7EB78F21" w14:textId="77777777" w:rsidTr="00661C3A">
              <w:trPr>
                <w:trHeight w:val="1210"/>
              </w:trPr>
              <w:tc>
                <w:tcPr>
                  <w:tcW w:w="3828" w:type="dxa"/>
                  <w:shd w:val="clear" w:color="DCE6F1" w:fill="DCE6F1"/>
                  <w:vAlign w:val="center"/>
                  <w:hideMark/>
                </w:tcPr>
                <w:p w14:paraId="0FEFAE81" w14:textId="77777777" w:rsidR="002F3037" w:rsidRPr="00661C3A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661C3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Zakładane terminy realizacji postępowań były nierealne i często ulegały przesunięciom z uwagi na zmiany specyfikacji, odwołania wykonawców.</w:t>
                  </w:r>
                </w:p>
              </w:tc>
              <w:tc>
                <w:tcPr>
                  <w:tcW w:w="4564" w:type="dxa"/>
                  <w:shd w:val="clear" w:color="DCE6F1" w:fill="DCE6F1"/>
                  <w:vAlign w:val="center"/>
                  <w:hideMark/>
                </w:tcPr>
                <w:p w14:paraId="790638A2" w14:textId="77777777" w:rsidR="002F3037" w:rsidRPr="00661C3A" w:rsidRDefault="002F3037" w:rsidP="002F303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</w:pPr>
                  <w:r w:rsidRPr="00661C3A">
                    <w:rPr>
                      <w:rFonts w:ascii="Calibri" w:eastAsia="Times New Roman" w:hAnsi="Calibri" w:cs="Calibri"/>
                      <w:color w:val="000000"/>
                      <w:sz w:val="18"/>
                      <w:szCs w:val="18"/>
                      <w:lang w:eastAsia="pl-PL"/>
                    </w:rPr>
                    <w:t>Uwzględnianie w harmonogramach realizacji postępowania czasu na odwołania do KIO na SIWZ i na wybór najkorzystniejszej oferty (łącznie + 60 dni ) oraz czasu na przeprowadzenie kontroli ex-ante CPPC. W przypadkach dużych opóźnień w realizacji postępowania, o ile to było możliwe, skracano termin realizacji wdrożenia przez wykonawcę tak aby osiągnąć kamienie milowe w projekcie w terminie</w:t>
                  </w:r>
                </w:p>
              </w:tc>
            </w:tr>
          </w:tbl>
          <w:p w14:paraId="62FAD95A" w14:textId="77777777" w:rsidR="009D3D41" w:rsidRDefault="009D3D41" w:rsidP="009D3D41">
            <w:pPr>
              <w:jc w:val="both"/>
              <w:rPr>
                <w:bCs/>
                <w:i/>
                <w:sz w:val="18"/>
                <w:szCs w:val="20"/>
              </w:rPr>
            </w:pPr>
          </w:p>
        </w:tc>
      </w:tr>
    </w:tbl>
    <w:p w14:paraId="2D24327E" w14:textId="77777777" w:rsidR="007A0A3D" w:rsidRPr="006B2EB3" w:rsidRDefault="007A0A3D" w:rsidP="007A0A3D">
      <w:pPr>
        <w:rPr>
          <w:sz w:val="18"/>
          <w:szCs w:val="18"/>
        </w:rPr>
      </w:pPr>
    </w:p>
    <w:sectPr w:rsidR="007A0A3D" w:rsidRPr="006B2EB3" w:rsidSect="00661C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37626" w14:textId="77777777" w:rsidR="00801849" w:rsidRDefault="00801849" w:rsidP="005F08BC">
      <w:pPr>
        <w:spacing w:after="0" w:line="240" w:lineRule="auto"/>
      </w:pPr>
      <w:r>
        <w:separator/>
      </w:r>
    </w:p>
  </w:endnote>
  <w:endnote w:type="continuationSeparator" w:id="0">
    <w:p w14:paraId="099DFF8C" w14:textId="77777777" w:rsidR="00801849" w:rsidRDefault="00801849" w:rsidP="005F0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F9191B" w14:textId="77777777" w:rsidR="00801849" w:rsidRDefault="00801849" w:rsidP="005F08BC">
      <w:pPr>
        <w:spacing w:after="0" w:line="240" w:lineRule="auto"/>
      </w:pPr>
      <w:r>
        <w:separator/>
      </w:r>
    </w:p>
  </w:footnote>
  <w:footnote w:type="continuationSeparator" w:id="0">
    <w:p w14:paraId="2B616C2F" w14:textId="77777777" w:rsidR="00801849" w:rsidRDefault="00801849" w:rsidP="005F0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9241D5"/>
    <w:multiLevelType w:val="hybridMultilevel"/>
    <w:tmpl w:val="8BAA9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F685D"/>
    <w:multiLevelType w:val="hybridMultilevel"/>
    <w:tmpl w:val="1722C6C4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D3F13A7"/>
    <w:multiLevelType w:val="hybridMultilevel"/>
    <w:tmpl w:val="D542C556"/>
    <w:lvl w:ilvl="0" w:tplc="DDB8A0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61385E"/>
    <w:multiLevelType w:val="hybridMultilevel"/>
    <w:tmpl w:val="60562882"/>
    <w:lvl w:ilvl="0" w:tplc="04150003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05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C95829"/>
    <w:multiLevelType w:val="hybridMultilevel"/>
    <w:tmpl w:val="A8927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9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3D"/>
    <w:rsid w:val="0002716D"/>
    <w:rsid w:val="00055D03"/>
    <w:rsid w:val="00065D92"/>
    <w:rsid w:val="00080EA4"/>
    <w:rsid w:val="000829FE"/>
    <w:rsid w:val="000C7199"/>
    <w:rsid w:val="000D3CA9"/>
    <w:rsid w:val="000E0C6F"/>
    <w:rsid w:val="001455E8"/>
    <w:rsid w:val="001600BB"/>
    <w:rsid w:val="001806EC"/>
    <w:rsid w:val="00197C00"/>
    <w:rsid w:val="001B0955"/>
    <w:rsid w:val="001C611C"/>
    <w:rsid w:val="001C6D7D"/>
    <w:rsid w:val="001D58A0"/>
    <w:rsid w:val="001D6F44"/>
    <w:rsid w:val="001E3009"/>
    <w:rsid w:val="0021582D"/>
    <w:rsid w:val="00216286"/>
    <w:rsid w:val="002239C5"/>
    <w:rsid w:val="002450C4"/>
    <w:rsid w:val="00293320"/>
    <w:rsid w:val="002A153C"/>
    <w:rsid w:val="002A728C"/>
    <w:rsid w:val="002F3037"/>
    <w:rsid w:val="00307DC5"/>
    <w:rsid w:val="00353006"/>
    <w:rsid w:val="003624C9"/>
    <w:rsid w:val="003824C3"/>
    <w:rsid w:val="00386766"/>
    <w:rsid w:val="0039576A"/>
    <w:rsid w:val="003B107D"/>
    <w:rsid w:val="003B7BD6"/>
    <w:rsid w:val="003D7919"/>
    <w:rsid w:val="003E1001"/>
    <w:rsid w:val="003F099B"/>
    <w:rsid w:val="004046DC"/>
    <w:rsid w:val="00416D24"/>
    <w:rsid w:val="00435089"/>
    <w:rsid w:val="00466637"/>
    <w:rsid w:val="00470045"/>
    <w:rsid w:val="00474972"/>
    <w:rsid w:val="004B19FE"/>
    <w:rsid w:val="004D135D"/>
    <w:rsid w:val="004D3C4D"/>
    <w:rsid w:val="0058262E"/>
    <w:rsid w:val="005A4344"/>
    <w:rsid w:val="005A619F"/>
    <w:rsid w:val="005D4188"/>
    <w:rsid w:val="005F08BC"/>
    <w:rsid w:val="00632AA0"/>
    <w:rsid w:val="00640251"/>
    <w:rsid w:val="00640B45"/>
    <w:rsid w:val="00643672"/>
    <w:rsid w:val="00661C3A"/>
    <w:rsid w:val="006729BB"/>
    <w:rsid w:val="00687AFE"/>
    <w:rsid w:val="006B2EB3"/>
    <w:rsid w:val="006B7454"/>
    <w:rsid w:val="00704826"/>
    <w:rsid w:val="00716201"/>
    <w:rsid w:val="007248BD"/>
    <w:rsid w:val="00725479"/>
    <w:rsid w:val="0073498B"/>
    <w:rsid w:val="007408A3"/>
    <w:rsid w:val="00743031"/>
    <w:rsid w:val="007437D9"/>
    <w:rsid w:val="00773523"/>
    <w:rsid w:val="00794FE7"/>
    <w:rsid w:val="007A0775"/>
    <w:rsid w:val="007A0A3D"/>
    <w:rsid w:val="007B7A20"/>
    <w:rsid w:val="007C54F9"/>
    <w:rsid w:val="007E2F1F"/>
    <w:rsid w:val="007E6098"/>
    <w:rsid w:val="007F63EF"/>
    <w:rsid w:val="00801849"/>
    <w:rsid w:val="008032CD"/>
    <w:rsid w:val="00813FEF"/>
    <w:rsid w:val="00814C23"/>
    <w:rsid w:val="008213A6"/>
    <w:rsid w:val="00824909"/>
    <w:rsid w:val="00831CA7"/>
    <w:rsid w:val="00843C3D"/>
    <w:rsid w:val="008632E4"/>
    <w:rsid w:val="00866DFD"/>
    <w:rsid w:val="008927DE"/>
    <w:rsid w:val="008B7628"/>
    <w:rsid w:val="008E0416"/>
    <w:rsid w:val="008E5497"/>
    <w:rsid w:val="008F6EAA"/>
    <w:rsid w:val="00903F7E"/>
    <w:rsid w:val="00905779"/>
    <w:rsid w:val="0092099A"/>
    <w:rsid w:val="00920CE8"/>
    <w:rsid w:val="00981922"/>
    <w:rsid w:val="00982DC4"/>
    <w:rsid w:val="009C24EF"/>
    <w:rsid w:val="009D3D41"/>
    <w:rsid w:val="009E1398"/>
    <w:rsid w:val="009E42FC"/>
    <w:rsid w:val="009F43C6"/>
    <w:rsid w:val="00A12836"/>
    <w:rsid w:val="00A1534B"/>
    <w:rsid w:val="00A522AB"/>
    <w:rsid w:val="00A6601B"/>
    <w:rsid w:val="00A710B2"/>
    <w:rsid w:val="00A80369"/>
    <w:rsid w:val="00AA1C73"/>
    <w:rsid w:val="00B14A99"/>
    <w:rsid w:val="00B33C04"/>
    <w:rsid w:val="00B57299"/>
    <w:rsid w:val="00B93735"/>
    <w:rsid w:val="00BC120E"/>
    <w:rsid w:val="00BC216D"/>
    <w:rsid w:val="00BC5680"/>
    <w:rsid w:val="00C038ED"/>
    <w:rsid w:val="00C13BD5"/>
    <w:rsid w:val="00C37A3A"/>
    <w:rsid w:val="00C42446"/>
    <w:rsid w:val="00C5117F"/>
    <w:rsid w:val="00C546B0"/>
    <w:rsid w:val="00C56B53"/>
    <w:rsid w:val="00C67B9B"/>
    <w:rsid w:val="00C77A43"/>
    <w:rsid w:val="00C948E6"/>
    <w:rsid w:val="00CA79E4"/>
    <w:rsid w:val="00CD39F4"/>
    <w:rsid w:val="00CF0685"/>
    <w:rsid w:val="00CF4111"/>
    <w:rsid w:val="00D22A05"/>
    <w:rsid w:val="00D2582C"/>
    <w:rsid w:val="00D31EF9"/>
    <w:rsid w:val="00D401DF"/>
    <w:rsid w:val="00D4334F"/>
    <w:rsid w:val="00D50019"/>
    <w:rsid w:val="00D53E48"/>
    <w:rsid w:val="00D65F79"/>
    <w:rsid w:val="00D90394"/>
    <w:rsid w:val="00D9056C"/>
    <w:rsid w:val="00DB70A5"/>
    <w:rsid w:val="00DD71D5"/>
    <w:rsid w:val="00DE3F76"/>
    <w:rsid w:val="00DF1451"/>
    <w:rsid w:val="00E1448C"/>
    <w:rsid w:val="00E2327E"/>
    <w:rsid w:val="00E30008"/>
    <w:rsid w:val="00E52249"/>
    <w:rsid w:val="00E806CD"/>
    <w:rsid w:val="00E950CB"/>
    <w:rsid w:val="00EA548F"/>
    <w:rsid w:val="00EB145E"/>
    <w:rsid w:val="00EC6FF4"/>
    <w:rsid w:val="00ED0A24"/>
    <w:rsid w:val="00EE6E11"/>
    <w:rsid w:val="00EF094D"/>
    <w:rsid w:val="00F05654"/>
    <w:rsid w:val="00F078A2"/>
    <w:rsid w:val="00F236A4"/>
    <w:rsid w:val="00F32CAA"/>
    <w:rsid w:val="00F55F45"/>
    <w:rsid w:val="00F741B3"/>
    <w:rsid w:val="00F82254"/>
    <w:rsid w:val="00F83107"/>
    <w:rsid w:val="00F87B11"/>
    <w:rsid w:val="00FA2C7F"/>
    <w:rsid w:val="00FD074F"/>
    <w:rsid w:val="00FD2EFE"/>
    <w:rsid w:val="00FD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D1694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08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08B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08B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1C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1CA7"/>
    <w:rPr>
      <w:b/>
      <w:bCs/>
      <w:sz w:val="20"/>
      <w:szCs w:val="20"/>
    </w:rPr>
  </w:style>
  <w:style w:type="paragraph" w:styleId="Legenda">
    <w:name w:val="caption"/>
    <w:basedOn w:val="Normalny"/>
    <w:next w:val="Normalny"/>
    <w:link w:val="LegendaZnak"/>
    <w:uiPriority w:val="99"/>
    <w:qFormat/>
    <w:rsid w:val="00D401D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character" w:customStyle="1" w:styleId="LegendaZnak">
    <w:name w:val="Legenda Znak"/>
    <w:link w:val="Legenda"/>
    <w:uiPriority w:val="99"/>
    <w:locked/>
    <w:rsid w:val="00D401DF"/>
    <w:rPr>
      <w:rFonts w:ascii="Times New Roman" w:eastAsia="Arial Unicode MS" w:hAnsi="Times New Roman" w:cs="Times New Roman"/>
      <w:b/>
      <w:bCs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0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BBA579A608D6438710041FC7154240" ma:contentTypeVersion="" ma:contentTypeDescription="Utwórz nowy dokument." ma:contentTypeScope="" ma:versionID="a35025c6d4dac721aab5afcd084bf51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2F991B-7A68-4C74-830D-48E1192C58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A34C20-E694-4496-B564-02A899B3545B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D0B7764-E5E4-48B4-A600-ECC6A213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DC327F-70A4-4313-87B7-A7C2881B7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2962</Words>
  <Characters>17775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20696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Panek Robert</dc:creator>
  <cp:keywords/>
  <dc:description/>
  <cp:lastModifiedBy>Autor</cp:lastModifiedBy>
  <cp:revision>3</cp:revision>
  <dcterms:created xsi:type="dcterms:W3CDTF">2019-08-02T09:43:00Z</dcterms:created>
  <dcterms:modified xsi:type="dcterms:W3CDTF">2019-08-22T10:15:00Z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0x01010035BBA579A608D6438710041FC7154240</vt:lpwstr>
  </property>
</Properties>
</file>