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FD5E" w14:textId="77777777" w:rsidR="00961586" w:rsidRPr="006F52C0" w:rsidRDefault="00961586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3B83CE74" w14:textId="67088CE0" w:rsidR="006F52C0" w:rsidRPr="006F52C0" w:rsidRDefault="006F52C0" w:rsidP="00BE496B">
      <w:pPr>
        <w:spacing w:after="480" w:line="360" w:lineRule="auto"/>
        <w:rPr>
          <w:rFonts w:ascii="Arial" w:eastAsia="Calibri" w:hAnsi="Arial" w:cs="Arial"/>
          <w:szCs w:val="24"/>
        </w:rPr>
      </w:pPr>
      <w:r w:rsidRPr="006F52C0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nagłówku,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lewej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stronie,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znajduje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logo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Komisji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spraw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reprywatyzacji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warszawskich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zawierające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godło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państwa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polskiego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podkreślenie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formie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miniaturki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flagi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6F52C0">
        <w:rPr>
          <w:rFonts w:ascii="Arial" w:eastAsia="Calibri" w:hAnsi="Arial" w:cs="Arial"/>
          <w:szCs w:val="24"/>
        </w:rPr>
        <w:t>RP</w:t>
      </w:r>
    </w:p>
    <w:p w14:paraId="17A7DAE3" w14:textId="340EFE8A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Warszawa,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</w:p>
    <w:p w14:paraId="0087A7E0" w14:textId="416B19E4" w:rsidR="0029114E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22</w:t>
      </w:r>
    </w:p>
    <w:p w14:paraId="04E518EF" w14:textId="77777777" w:rsidR="00370FA2" w:rsidRPr="003E7E7E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</w:p>
    <w:p w14:paraId="6F3FE549" w14:textId="088CACEC" w:rsidR="0029114E" w:rsidRPr="003E7E7E" w:rsidRDefault="0029114E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3E7E7E">
        <w:rPr>
          <w:rFonts w:ascii="Arial" w:eastAsia="Calibri" w:hAnsi="Arial" w:cs="Arial"/>
          <w:b/>
          <w:bCs/>
          <w:sz w:val="28"/>
          <w:szCs w:val="28"/>
        </w:rPr>
        <w:t>DECYZJA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3E7E7E">
        <w:rPr>
          <w:rFonts w:ascii="Arial" w:eastAsia="Calibri" w:hAnsi="Arial" w:cs="Arial"/>
          <w:b/>
          <w:bCs/>
          <w:sz w:val="28"/>
          <w:szCs w:val="28"/>
        </w:rPr>
        <w:t>nr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3E7E7E">
        <w:rPr>
          <w:rFonts w:ascii="Arial" w:eastAsia="Calibri" w:hAnsi="Arial" w:cs="Arial"/>
          <w:b/>
          <w:bCs/>
          <w:sz w:val="28"/>
          <w:szCs w:val="28"/>
        </w:rPr>
        <w:t>KR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3E7E7E">
        <w:rPr>
          <w:rFonts w:ascii="Arial" w:eastAsia="Calibri" w:hAnsi="Arial" w:cs="Arial"/>
          <w:b/>
          <w:bCs/>
          <w:sz w:val="28"/>
          <w:szCs w:val="28"/>
        </w:rPr>
        <w:t>III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3E7E7E">
        <w:rPr>
          <w:rFonts w:ascii="Arial" w:eastAsia="Calibri" w:hAnsi="Arial" w:cs="Arial"/>
          <w:b/>
          <w:bCs/>
          <w:sz w:val="28"/>
          <w:szCs w:val="28"/>
        </w:rPr>
        <w:t>R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370FA2">
        <w:rPr>
          <w:rFonts w:ascii="Arial" w:eastAsia="Calibri" w:hAnsi="Arial" w:cs="Arial"/>
          <w:b/>
          <w:bCs/>
          <w:sz w:val="28"/>
          <w:szCs w:val="28"/>
        </w:rPr>
        <w:t>96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370FA2">
        <w:rPr>
          <w:rFonts w:ascii="Arial" w:eastAsia="Calibri" w:hAnsi="Arial" w:cs="Arial"/>
          <w:b/>
          <w:bCs/>
          <w:sz w:val="28"/>
          <w:szCs w:val="28"/>
        </w:rPr>
        <w:t>ukośnik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3E7E7E">
        <w:rPr>
          <w:rFonts w:ascii="Arial" w:eastAsia="Calibri" w:hAnsi="Arial" w:cs="Arial"/>
          <w:b/>
          <w:bCs/>
          <w:sz w:val="28"/>
          <w:szCs w:val="28"/>
        </w:rPr>
        <w:t>2</w:t>
      </w:r>
      <w:r w:rsidR="00370FA2">
        <w:rPr>
          <w:rFonts w:ascii="Arial" w:eastAsia="Calibri" w:hAnsi="Arial" w:cs="Arial"/>
          <w:b/>
          <w:bCs/>
          <w:sz w:val="28"/>
          <w:szCs w:val="28"/>
        </w:rPr>
        <w:t>2</w:t>
      </w:r>
    </w:p>
    <w:p w14:paraId="014C021C" w14:textId="77777777" w:rsidR="0029114E" w:rsidRPr="0029114E" w:rsidRDefault="0029114E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164B53CE" w14:textId="08F7F86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składzie:</w:t>
      </w:r>
    </w:p>
    <w:p w14:paraId="62DAB4E4" w14:textId="202BA8DA" w:rsidR="00370FA2" w:rsidRPr="00CC342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CC3428">
        <w:rPr>
          <w:rFonts w:ascii="Arial" w:eastAsia="Calibri" w:hAnsi="Arial" w:cs="Arial"/>
          <w:b/>
          <w:bCs/>
          <w:szCs w:val="24"/>
        </w:rPr>
        <w:t>Przewodniczący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CC3428">
        <w:rPr>
          <w:rFonts w:ascii="Arial" w:eastAsia="Calibri" w:hAnsi="Arial" w:cs="Arial"/>
          <w:b/>
          <w:bCs/>
          <w:szCs w:val="24"/>
        </w:rPr>
        <w:t>Komisji: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</w:p>
    <w:p w14:paraId="7B5A6B5C" w14:textId="1114AA69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Sebastian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Kaleta</w:t>
      </w:r>
    </w:p>
    <w:p w14:paraId="56D5B523" w14:textId="2FBF5AA4" w:rsidR="00370FA2" w:rsidRPr="00CC342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CC3428">
        <w:rPr>
          <w:rFonts w:ascii="Arial" w:eastAsia="Calibri" w:hAnsi="Arial" w:cs="Arial"/>
          <w:b/>
          <w:bCs/>
          <w:szCs w:val="24"/>
        </w:rPr>
        <w:t>Członkowie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CC3428">
        <w:rPr>
          <w:rFonts w:ascii="Arial" w:eastAsia="Calibri" w:hAnsi="Arial" w:cs="Arial"/>
          <w:b/>
          <w:bCs/>
          <w:szCs w:val="24"/>
        </w:rPr>
        <w:t>Komisji:</w:t>
      </w:r>
    </w:p>
    <w:p w14:paraId="5F92DE59" w14:textId="00EE4D9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Paweł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Lisiecki,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Wiktor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Klimiuk,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Łukasz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Kondratko,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Robert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Kropiwnicki,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Mosiński,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Sławomir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Potapowicz,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Adam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Zieliński</w:t>
      </w:r>
    </w:p>
    <w:p w14:paraId="4BF8A086" w14:textId="3E8F9CA6" w:rsidR="00CC3428" w:rsidRPr="00CC3428" w:rsidRDefault="00CC3428" w:rsidP="00CC3428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CC3428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rozpoznaniu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15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lutego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2023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posiedzeniu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niejawnym</w:t>
      </w:r>
    </w:p>
    <w:p w14:paraId="1C3318A3" w14:textId="77CC69A1" w:rsidR="00CC3428" w:rsidRPr="00CC3428" w:rsidRDefault="00CC3428" w:rsidP="00CC3428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CC3428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przedmiocie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przedmiocie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31,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opisanej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ewidencji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działka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ukośnik,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prowadzona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księga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wieczysta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numer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księgi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hip.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6F44E487" w14:textId="221B53B3" w:rsidR="00CC3428" w:rsidRPr="00CC3428" w:rsidRDefault="00CC3428" w:rsidP="00CC3428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udziałem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stron: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Miasta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Stołecznego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Warszawy,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S.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T.,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36285F7B" w14:textId="55636C66" w:rsidR="00370FA2" w:rsidRPr="00370FA2" w:rsidRDefault="00CC3428" w:rsidP="00CC3428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CC3428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3a)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4)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szczególnych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zasadach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usuwania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reprywatyzacyjnych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dotyczących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warszawskich,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wydanych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naruszeniem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(Dz.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2021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poz.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795;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dalej: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ustawa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roku)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1960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Kodeks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(Dz.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poz.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2000,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2185;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dalej: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k.p.a.)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października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1945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użytkowaniu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obszarze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(Dz.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50,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poz.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276;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dalej: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dekret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warszawski)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38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CC3428">
        <w:rPr>
          <w:rFonts w:ascii="Arial" w:eastAsia="Calibri" w:hAnsi="Arial" w:cs="Arial"/>
          <w:szCs w:val="24"/>
        </w:rPr>
        <w:t>roku</w:t>
      </w:r>
    </w:p>
    <w:p w14:paraId="45E3B0FF" w14:textId="51851B65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lastRenderedPageBreak/>
        <w:t>o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r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z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e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k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a:</w:t>
      </w:r>
    </w:p>
    <w:p w14:paraId="4B0A1322" w14:textId="2AA9F6B3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stwierdzić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całości.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5C8CD9CA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228BFD71" w14:textId="77777777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7260E8">
        <w:rPr>
          <w:rFonts w:ascii="Arial" w:eastAsia="Calibri" w:hAnsi="Arial" w:cs="Arial"/>
          <w:b/>
          <w:bCs/>
          <w:sz w:val="28"/>
          <w:szCs w:val="28"/>
        </w:rPr>
        <w:t>UZASADNIENIE</w:t>
      </w:r>
    </w:p>
    <w:p w14:paraId="6F869078" w14:textId="77777777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7260E8">
        <w:rPr>
          <w:rFonts w:ascii="Arial" w:eastAsia="Calibri" w:hAnsi="Arial" w:cs="Arial"/>
          <w:b/>
          <w:bCs/>
          <w:sz w:val="28"/>
          <w:szCs w:val="28"/>
        </w:rPr>
        <w:t>I.</w:t>
      </w:r>
    </w:p>
    <w:p w14:paraId="1861432F" w14:textId="38EDFAFD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7260E8">
        <w:rPr>
          <w:rFonts w:ascii="Arial" w:eastAsia="Calibri" w:hAnsi="Arial" w:cs="Arial"/>
          <w:b/>
          <w:bCs/>
          <w:sz w:val="28"/>
          <w:szCs w:val="28"/>
        </w:rPr>
        <w:t>Przebieg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postępowania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administracyjnego</w:t>
      </w:r>
    </w:p>
    <w:p w14:paraId="665B11A7" w14:textId="0E343BCD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7260E8">
        <w:rPr>
          <w:rFonts w:ascii="Arial" w:eastAsia="Calibri" w:hAnsi="Arial" w:cs="Arial"/>
          <w:b/>
          <w:bCs/>
          <w:sz w:val="28"/>
          <w:szCs w:val="28"/>
        </w:rPr>
        <w:t>przed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Komisją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do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spraw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reprywatyzacji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nieruchomości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warszawskich</w:t>
      </w:r>
    </w:p>
    <w:p w14:paraId="4EC11A9E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61270F44" w14:textId="649FB29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Postanowieniem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(dalej: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działając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wszczęła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rozpoznawcze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opisanej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ewidencji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prowadzona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księga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numer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księgi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hip.</w:t>
      </w:r>
    </w:p>
    <w:p w14:paraId="328184D0" w14:textId="5C1654AE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Postanowieniem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zawiadomiono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wszczęciu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rozpoznawczego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2DD0E2A0" w14:textId="65A6B6D4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Postanowieniem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zwróciła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Społecznej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opinii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4192DD68" w14:textId="00F20E6F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Postanowieniem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zabezpieczyła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rozpoznawcze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nakazanie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księdze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prowadzonej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Rejonowy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Mokotowa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VII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Wydział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Ksiąg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Wieczystych,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zakazu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zbywania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obciążania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3A44AAFC" w14:textId="51BAA9D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lastRenderedPageBreak/>
        <w:t>Zawiadomieniem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dokonano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powiadomienia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wszczęciu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rozpoznawczego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22.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776054F8" w14:textId="122DD1BB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Powyższe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zawiadomienie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opublikowane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Biuletynie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Informacji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</w:p>
    <w:p w14:paraId="45A89C9D" w14:textId="4D410225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Zawiadomieniem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stycznia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poinformowano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zakończeniu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rozpoznawczego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możliwości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wypowiedzenia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zebranych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dowodów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materiałów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zgłoszonych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żądań.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Jednocześnie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pouczono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zawiadomienie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doręczone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upływie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ogłoszenia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Biuletynie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Informacji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Zawiadomienie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opublikowane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Biuletynie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Informacji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stycznia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708D09E0" w14:textId="3979844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wpłynęła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opinia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Społecznej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2023.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opinii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Społeczna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wyeliminowanie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obrotu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wskazując,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DF32BA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</w:t>
      </w:r>
      <w:r w:rsidR="00DF32BA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DF32BA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</w:t>
      </w:r>
      <w:r w:rsidR="00DF32BA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przysługiwał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przymiot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determinuje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dyspozycji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6DC0C438" w14:textId="58AD182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Społeczna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podniosła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także,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doprowadziło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rażąco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sprzecznych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społecznym,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doszło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przekazania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prywatne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ręce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wielkiej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wartości.</w:t>
      </w:r>
    </w:p>
    <w:p w14:paraId="17347D46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53B6B3AE" w14:textId="77777777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7260E8">
        <w:rPr>
          <w:rFonts w:ascii="Arial" w:eastAsia="Calibri" w:hAnsi="Arial" w:cs="Arial"/>
          <w:b/>
          <w:bCs/>
          <w:sz w:val="28"/>
          <w:szCs w:val="28"/>
        </w:rPr>
        <w:t>II.</w:t>
      </w:r>
    </w:p>
    <w:p w14:paraId="2317FE78" w14:textId="0CB27713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7260E8">
        <w:rPr>
          <w:rFonts w:ascii="Arial" w:eastAsia="Calibri" w:hAnsi="Arial" w:cs="Arial"/>
          <w:b/>
          <w:bCs/>
          <w:sz w:val="28"/>
          <w:szCs w:val="28"/>
        </w:rPr>
        <w:t>Na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podstawie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zebranego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materiału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dowodowego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Komisja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ustaliła,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co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następuje:</w:t>
      </w:r>
    </w:p>
    <w:p w14:paraId="6A89F66A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49BF42E2" w14:textId="43F369D9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1.</w:t>
      </w:r>
      <w:r w:rsidRPr="007260E8">
        <w:rPr>
          <w:rFonts w:ascii="Arial" w:eastAsia="Calibri" w:hAnsi="Arial" w:cs="Arial"/>
          <w:b/>
          <w:bCs/>
          <w:szCs w:val="24"/>
        </w:rPr>
        <w:tab/>
        <w:t>Opis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nieruchomości</w:t>
      </w:r>
    </w:p>
    <w:p w14:paraId="4975B40A" w14:textId="53D9B63A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Nieruchomość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uregulowana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księdze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hipotecznej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ozn.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m2.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Obecnie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składa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zabudowanej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mieszkalnym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ewidencyjnej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obrębu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powierzchni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uregulowanej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księdze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ewidencyjnej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powierzchni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m2,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Skarbu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Państwa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uregulowanej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pozostającej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Instytutu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Hematologii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</w:p>
    <w:p w14:paraId="4388B89A" w14:textId="678A0744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Transfuzjologii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ewidencyjnej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powierzchni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m2,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podwórko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mieszkalnego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zabudowanej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pięcioma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powojennymi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boksami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garażowymi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powojennym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wyłączonym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eksploatacji,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uregulowanej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w.</w:t>
      </w:r>
    </w:p>
    <w:p w14:paraId="6F1EC508" w14:textId="57B1F5F5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Przedmiotowa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znajduje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obszarze,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gdzie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miejscowy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plan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zagospodarowania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przestrzennego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rejonu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Starego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Mokotowa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zatwierdzony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uchwałą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LXX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2187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14.01.201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</w:t>
      </w:r>
      <w:proofErr w:type="spellStart"/>
      <w:r w:rsidRPr="00370FA2">
        <w:rPr>
          <w:rFonts w:ascii="Arial" w:eastAsia="Calibri" w:hAnsi="Arial" w:cs="Arial"/>
          <w:szCs w:val="24"/>
        </w:rPr>
        <w:t>publ</w:t>
      </w:r>
      <w:proofErr w:type="spellEnd"/>
      <w:r w:rsidRPr="00370FA2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Dzienniku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Województwa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Mazowieckiego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38,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525).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planem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strefie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oznaczonej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U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zabudowa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mieszkaniowa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wielorodzinna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usługi.</w:t>
      </w:r>
    </w:p>
    <w:p w14:paraId="0A79C2FD" w14:textId="3571C41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ab/>
        <w:t>Zastępca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Dyrektora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Biura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Stołecznego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Konserwatora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Zabytków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piśmie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ewidencji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zabytków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ujęty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zlokalizowany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głębi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ewidencyjnej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obrębu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oficyny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Piekarnia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Spółdzielcz</w:t>
      </w:r>
      <w:r w:rsidR="007474B0">
        <w:rPr>
          <w:rFonts w:ascii="Arial" w:eastAsia="Calibri" w:hAnsi="Arial" w:cs="Arial"/>
          <w:szCs w:val="24"/>
        </w:rPr>
        <w:t>a</w:t>
      </w:r>
      <w:r w:rsidRPr="00370FA2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7C3A19C8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5BFBFE7F" w14:textId="37726C7F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2.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Pierwotni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prawni</w:t>
      </w:r>
    </w:p>
    <w:p w14:paraId="6D5F3D41" w14:textId="045CDC6F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zaświadczenia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Oddziału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Ksiąg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Grodzkiego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„KW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"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(dotychczasowa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nazwa)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uregulowana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stanowiąca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parcelę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zabudowaną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obszarze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m2,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tytuł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imię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7474B0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małż.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7474B0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części.</w:t>
      </w:r>
    </w:p>
    <w:p w14:paraId="79BDCEC3" w14:textId="4C7133CC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Rejonowy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Mokotowa,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zmarłym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1964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nabyli: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żona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474B0">
        <w:rPr>
          <w:rFonts w:ascii="Arial" w:eastAsia="Calibri" w:hAnsi="Arial" w:cs="Arial"/>
          <w:szCs w:val="24"/>
        </w:rPr>
        <w:t>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wyłączeniem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spadkodawcy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wspólnym,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dziedziczą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synowie: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474B0">
        <w:rPr>
          <w:rFonts w:ascii="Arial" w:eastAsia="Calibri" w:hAnsi="Arial" w:cs="Arial"/>
          <w:szCs w:val="24"/>
        </w:rPr>
        <w:t>L.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474B0">
        <w:rPr>
          <w:rFonts w:ascii="Arial" w:eastAsia="Calibri" w:hAnsi="Arial" w:cs="Arial"/>
          <w:szCs w:val="24"/>
        </w:rPr>
        <w:t>Ś.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każdy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nich;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zmarłej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1970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synowie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474B0">
        <w:rPr>
          <w:rFonts w:ascii="Arial" w:eastAsia="Calibri" w:hAnsi="Arial" w:cs="Arial"/>
          <w:szCs w:val="24"/>
        </w:rPr>
        <w:t>Ś.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7474B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każdy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nich.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01B1FB44" w14:textId="0FDFCBC6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1974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Rejonowy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AB113B">
        <w:rPr>
          <w:rFonts w:ascii="Arial" w:eastAsia="Calibri" w:hAnsi="Arial" w:cs="Arial"/>
          <w:szCs w:val="24"/>
        </w:rPr>
        <w:t>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całości.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24010CE3" w14:textId="672AB93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Rejonowy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Mokotowa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zmarłym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1989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AB113B">
        <w:rPr>
          <w:rFonts w:ascii="Arial" w:eastAsia="Calibri" w:hAnsi="Arial" w:cs="Arial"/>
          <w:szCs w:val="24"/>
        </w:rPr>
        <w:t>Ś.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całości.</w:t>
      </w:r>
    </w:p>
    <w:p w14:paraId="5758283F" w14:textId="2F83912E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Rejonowego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Mokotowa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AB113B">
        <w:rPr>
          <w:rFonts w:ascii="Arial" w:eastAsia="Calibri" w:hAnsi="Arial" w:cs="Arial"/>
          <w:szCs w:val="24"/>
        </w:rPr>
        <w:t>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zmarłej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1984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córka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synowie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AB113B">
        <w:rPr>
          <w:rFonts w:ascii="Arial" w:eastAsia="Calibri" w:hAnsi="Arial" w:cs="Arial"/>
          <w:szCs w:val="24"/>
        </w:rPr>
        <w:t>S.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W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każde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nich.</w:t>
      </w:r>
    </w:p>
    <w:p w14:paraId="6C0CEA2D" w14:textId="4E03987A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Rejonowy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Mokotowa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stycznia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zmarłej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nabyli: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AB113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każdy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nich.</w:t>
      </w:r>
    </w:p>
    <w:p w14:paraId="4680B2C3" w14:textId="04955D1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Rejonowy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Mokotowa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5253C0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zmarłym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stycznia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całości.</w:t>
      </w:r>
    </w:p>
    <w:p w14:paraId="5256CAC4" w14:textId="5233947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kwietnia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zmarł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5253C0">
        <w:rPr>
          <w:rFonts w:ascii="Arial" w:eastAsia="Calibri" w:hAnsi="Arial" w:cs="Arial"/>
          <w:szCs w:val="24"/>
        </w:rPr>
        <w:t>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5253C0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testamentu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kwietnia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sporządzonego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notariusza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5253C0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otwartego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ogłoszonego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Rejonowym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wnuczka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treścią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prawomocnego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akt.</w:t>
      </w:r>
    </w:p>
    <w:p w14:paraId="66AD9891" w14:textId="4191540E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sierpnia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5253C0">
        <w:rPr>
          <w:rFonts w:ascii="Arial" w:eastAsia="Calibri" w:hAnsi="Arial" w:cs="Arial"/>
          <w:szCs w:val="24"/>
        </w:rPr>
        <w:t>S.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notariuszem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wykonaniu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zwykłego.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2CC2EAF0" w14:textId="6A7DF5CA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1.2.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spadkodawca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testamencie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między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uczynił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zwykły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5253C0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zobowiązał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testamentowego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spełnienia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zapisobiercy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świadczenia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polegającego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wszelkich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zwrotu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ulicy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4CBBC11E" w14:textId="7ECA92AB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wykonaniu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zwykłego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przeniosła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wszelkie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zwrotu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przeniosła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wszystkie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znajdujące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naniesienia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budowlane,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przeszły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Skarbu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Państwa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pozostały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5253C0">
        <w:rPr>
          <w:rFonts w:ascii="Arial" w:eastAsia="Calibri" w:hAnsi="Arial" w:cs="Arial"/>
          <w:szCs w:val="24"/>
        </w:rPr>
        <w:t>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wyraził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naniesień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budowlanych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59EC841F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61958C80" w14:textId="70BCE87F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3.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Postępowanie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na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podstawie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wniosku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dekretowego</w:t>
      </w:r>
    </w:p>
    <w:p w14:paraId="413BF247" w14:textId="7639626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Nieruchomość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objęta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działaniem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warszawskiego.</w:t>
      </w:r>
    </w:p>
    <w:p w14:paraId="33CA5739" w14:textId="1DCF4BB4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lastRenderedPageBreak/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wejścia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życie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przeszły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kwietnia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1950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chwilą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likwidacji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Skarbu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Państwa.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7480FFD8" w14:textId="3A9B9C3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Objęcie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posiadanie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nastąpiło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sierpnia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ogłoszenia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Dzienniku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Narodowej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Zarządu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Miejskiego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13E3EF04" w14:textId="07CB5FB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stycznia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czasowej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trybie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złożony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hipotecznych: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5253C0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F66AAB">
        <w:rPr>
          <w:rFonts w:ascii="Arial" w:eastAsia="Calibri" w:hAnsi="Arial" w:cs="Arial"/>
          <w:szCs w:val="24"/>
        </w:rPr>
        <w:t>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F66AAB">
        <w:rPr>
          <w:rFonts w:ascii="Arial" w:eastAsia="Calibri" w:hAnsi="Arial" w:cs="Arial"/>
          <w:szCs w:val="24"/>
        </w:rPr>
        <w:t>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małżeństwo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2A553583" w14:textId="17382CAD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1950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orzeczeniem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odmówił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właścicielom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21F299E4" w14:textId="6650B3E3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kwietnia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1951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Ministerstwo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Gospodarki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Komunalnej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utrzymało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decyzję.</w:t>
      </w:r>
    </w:p>
    <w:p w14:paraId="73067540" w14:textId="3D88D60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Mieszkalnictwa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Rozwoju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orzeczenie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1950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utrzymująca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Ministerstwa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Gospodarki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Komunalnej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kwietnia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1951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lokali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mieszkalnych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oddaniem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naruszeniem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pozostałej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nieważność.</w:t>
      </w:r>
    </w:p>
    <w:p w14:paraId="59CD05A5" w14:textId="0101C689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sierpnia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Mieszkalnictwa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Rozwoju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uchylił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Ministerstwa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Gospodarki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Komunalnej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kwietnia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1951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utrzymana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Prezesa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Mieszkalnictwa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Rozwoju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Naczelny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oddalił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skargę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</w:p>
    <w:p w14:paraId="295E6C46" w14:textId="3701B8A2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Samorządowe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Kolegium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Odwoławcze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uchyliło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orzeczenie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1950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odmawiające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czasowej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przekazało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ponownego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rozpatrzenia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instancji.</w:t>
      </w:r>
    </w:p>
    <w:p w14:paraId="266C9166" w14:textId="3484B34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lastRenderedPageBreak/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stycznia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września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odmówił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spadkobiercom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współwłaścicieli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działkę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ewidencyjną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zabudowaną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kondygnacyjnym,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powojennym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mieszkalnym.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2E12B2F9" w14:textId="53C3F7AE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Decyzją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Samorządowe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Kolegium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Odwoławcze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uchyliło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przekazało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ponownego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rozpatrzenia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instancji.</w:t>
      </w:r>
    </w:p>
    <w:p w14:paraId="1E68C7C9" w14:textId="3261D7B4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Decyzją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orzekł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wynoszącego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zabudowanego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działkę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ewidencyjną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obrębie,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F66AAB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jednocześnie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odmówił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wynoszącego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lokali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mieszkalnych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nr.</w:t>
      </w:r>
    </w:p>
    <w:p w14:paraId="34C52EE1" w14:textId="3232AACA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Jednak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Samorządowe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Kolegium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Odwoławcze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kwietnia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uchyliło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instancji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przekazało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ponownego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rozpoznania.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Kolegium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podniosło,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skierowana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zmarłych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lokali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mieszkalnych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nr.</w:t>
      </w:r>
    </w:p>
    <w:p w14:paraId="0BA444CF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37F06F39" w14:textId="6488760D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4.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Sprzedaż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praw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i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roszczeń</w:t>
      </w:r>
    </w:p>
    <w:p w14:paraId="1DE7B620" w14:textId="07471D85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Umową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formie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F66AAB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notariuszem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stawający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</w:t>
      </w:r>
      <w:r w:rsidR="00F66AAB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działający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13.1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</w:t>
      </w:r>
      <w:r w:rsidR="00F66A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</w:t>
      </w:r>
      <w:r w:rsidR="007329C9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7329C9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wynoszące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ulicy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cenę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już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uiszczoną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łącznej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kwocie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5D42A9FD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618029DF" w14:textId="0EB99ACE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5.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Decyzja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reprywatyzacyjna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Prezydenta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m.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st.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Warszawy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z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dnia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17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grudnia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2014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roku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nr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610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ukośnik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GK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ukośnik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DW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ukośnik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2014</w:t>
      </w:r>
    </w:p>
    <w:p w14:paraId="0CD33D7C" w14:textId="2A9D233A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Decyzją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sentencji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orzekł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zabudowanego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powierzchni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m2,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oznaczonego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ewidencyjna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uregulowanego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księdze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ulicy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rzecz: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329C9">
        <w:rPr>
          <w:rFonts w:ascii="Arial" w:eastAsia="Calibri" w:hAnsi="Arial" w:cs="Arial"/>
          <w:szCs w:val="24"/>
        </w:rPr>
        <w:t>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7329C9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7329C9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wynoszącym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7329C9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</w:t>
      </w:r>
      <w:r w:rsidR="007329C9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wynoszącym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7329C9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329C9">
        <w:rPr>
          <w:rFonts w:ascii="Arial" w:eastAsia="Calibri" w:hAnsi="Arial" w:cs="Arial"/>
          <w:szCs w:val="24"/>
        </w:rPr>
        <w:t>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wynoszącym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1EEA7FFC" w14:textId="671B7F1C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lastRenderedPageBreak/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sentencji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"czynsz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symboliczny"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tytułu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opisanego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sentencji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wysokości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zł.</w:t>
      </w:r>
    </w:p>
    <w:p w14:paraId="253CBA65" w14:textId="5F267EB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ab/>
        <w:t>Ponadto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VI.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sentencji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m.in.,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oddanie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nastąpi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równoczesną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powojennych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wybudowanych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Warunki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wysokość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operatach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szacunkowych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sporządzonych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rzeczoznawcę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majątkowego.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podlegać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zapłacie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najpóźniej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przeddzień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podpisania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zaznaczeniu,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zapłaty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przyjmie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odpowiedniej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kwoty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protokole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rokowań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rachunek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bankowy.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ab/>
      </w:r>
    </w:p>
    <w:p w14:paraId="25C771FC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6F6C9A59" w14:textId="6B0467A1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6.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Zgromadzony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materiał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dowodowy</w:t>
      </w:r>
    </w:p>
    <w:p w14:paraId="346A4550" w14:textId="59BD93EF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Powyższy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faktyczny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ustaliła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Miasta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Stołecznego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zakończonego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Okręgowym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Apelacyjnym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Samorządowym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Kolegium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Odwoławczym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zarejestrowanych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329C9">
        <w:rPr>
          <w:rFonts w:ascii="Arial" w:eastAsia="Calibri" w:hAnsi="Arial" w:cs="Arial"/>
          <w:szCs w:val="24"/>
        </w:rPr>
        <w:t>sygn.</w:t>
      </w:r>
    </w:p>
    <w:p w14:paraId="6BF1E700" w14:textId="063E2DFA" w:rsid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Powyższe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dokumenty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wiarygodne,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okoliczności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wskazanych.</w:t>
      </w:r>
    </w:p>
    <w:p w14:paraId="61A8E759" w14:textId="77777777" w:rsidR="007260E8" w:rsidRPr="00370FA2" w:rsidRDefault="007260E8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3A37DC24" w14:textId="77777777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7260E8">
        <w:rPr>
          <w:rFonts w:ascii="Arial" w:eastAsia="Calibri" w:hAnsi="Arial" w:cs="Arial"/>
          <w:b/>
          <w:bCs/>
          <w:sz w:val="28"/>
          <w:szCs w:val="28"/>
        </w:rPr>
        <w:t>III.</w:t>
      </w:r>
    </w:p>
    <w:p w14:paraId="0C0535B6" w14:textId="4E4D0AC9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7260E8">
        <w:rPr>
          <w:rFonts w:ascii="Arial" w:eastAsia="Calibri" w:hAnsi="Arial" w:cs="Arial"/>
          <w:b/>
          <w:bCs/>
          <w:sz w:val="28"/>
          <w:szCs w:val="28"/>
        </w:rPr>
        <w:t>Po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rozpatrzeniu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zebranego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materiału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dowodowego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Komisja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zważyła,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co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następuje:</w:t>
      </w:r>
    </w:p>
    <w:p w14:paraId="3EEA386C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3A834EA4" w14:textId="373DF5C5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1.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Brak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legitymacji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następców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prawnych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w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postępowaniu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dekretowym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jako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przesłanka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rażącego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naruszenia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prawa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–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rażące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naruszenie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prawa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tj.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art.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28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k.p.a.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w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zw.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z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art.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7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ust.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1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dekretu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="007260E8" w:rsidRPr="007260E8">
        <w:rPr>
          <w:rFonts w:ascii="Arial" w:eastAsia="Calibri" w:hAnsi="Arial" w:cs="Arial"/>
          <w:b/>
          <w:bCs/>
          <w:szCs w:val="24"/>
        </w:rPr>
        <w:t>warszawskiego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="007260E8" w:rsidRPr="007260E8">
        <w:rPr>
          <w:rFonts w:ascii="Arial" w:eastAsia="Calibri" w:hAnsi="Arial" w:cs="Arial"/>
          <w:b/>
          <w:bCs/>
          <w:szCs w:val="24"/>
        </w:rPr>
        <w:t>myślnik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="007260E8" w:rsidRPr="007260E8">
        <w:rPr>
          <w:rFonts w:ascii="Arial" w:eastAsia="Calibri" w:hAnsi="Arial" w:cs="Arial"/>
          <w:b/>
          <w:bCs/>
          <w:szCs w:val="24"/>
        </w:rPr>
        <w:t>przesłanka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z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art.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30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ust.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1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pkt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4)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in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fine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ustawy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z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dnia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9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marca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2017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roku</w:t>
      </w:r>
    </w:p>
    <w:p w14:paraId="5A6CC763" w14:textId="7FF72E6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ocenie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rażącym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naruszeniem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ponieważ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doszło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konsekwencji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statusu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nabywcom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1A2A0AB1" w14:textId="670BCC5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Przepis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wszelkie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usytuowane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obszarze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przeszły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będący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posiadaniu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reprezentujące,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jeżeli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chodzi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oddane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obowiązujących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zarząd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użytkownicy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mogli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ciągu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miesięcy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objęcia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posiadanie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zgłosić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dotychczasowemu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dzierżawy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czynszem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symbolicznym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zabudowy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opłatą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symboliczną.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59E8E717" w14:textId="29F3A08B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Podstawowe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fundamentalne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znaczenie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legitymacji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formalnej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złożenia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konsekwencji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materialnoprawnej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określającej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stronom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prowadzonej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wywieść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facto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kreują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żaden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sposób,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elementem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niezbędnym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powołanym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przepisie.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materialnoprawnej,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kreują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modyfikować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unormowanych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skoro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oświadczeń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swoboda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zawierania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skonkretyzowanie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przypisanie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prawodawcę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konkretnie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mogą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oczekiwać,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swoboda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zawierania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wyrażania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swojej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wywoła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administracyjnego.</w:t>
      </w:r>
    </w:p>
    <w:p w14:paraId="56F63F6F" w14:textId="2295964C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faktycznym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oznaczona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hipotecznym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przeszła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3FEC7C9C" w14:textId="16E5ED0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zaświadczeniem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Oddziału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Ksiąg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Grodzkiego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„KW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"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(dotychczasowa)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uregulowana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stanowiąca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parcelę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zabudowaną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obszarze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m2,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tytuł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imię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7C1BEC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7C1BEC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małż.,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części.</w:t>
      </w:r>
    </w:p>
    <w:p w14:paraId="6E754D1A" w14:textId="06A9F5EB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współwłaścicieli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hipotecznych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m.in.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329C9">
        <w:rPr>
          <w:rFonts w:ascii="Arial" w:eastAsia="Calibri" w:hAnsi="Arial" w:cs="Arial"/>
          <w:szCs w:val="24"/>
        </w:rPr>
        <w:t>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7329C9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dokonała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udziałów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wynoszących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8973A3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</w:t>
      </w:r>
      <w:r w:rsidR="008973A3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8973A3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</w:t>
      </w:r>
      <w:r w:rsidR="008973A3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formie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</w:t>
      </w:r>
      <w:r w:rsidR="008973A3">
        <w:rPr>
          <w:rFonts w:ascii="Arial" w:eastAsia="Calibri" w:hAnsi="Arial" w:cs="Arial"/>
          <w:szCs w:val="24"/>
        </w:rPr>
        <w:t>r</w:t>
      </w:r>
      <w:r w:rsidRPr="00370FA2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251BD5E2" w14:textId="09F4F87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Prezydent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zabudowanego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powierzchni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m2,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oznaczonego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ewidencyjna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obrębie,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uregulowanego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księdze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ulicy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</w:t>
      </w:r>
      <w:r w:rsidR="0000244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00244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00244F">
        <w:rPr>
          <w:rFonts w:ascii="Arial" w:eastAsia="Calibri" w:hAnsi="Arial" w:cs="Arial"/>
          <w:szCs w:val="24"/>
        </w:rPr>
        <w:t>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wynoszącym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00244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</w:t>
      </w:r>
      <w:r w:rsidR="0000244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wynoszącym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00244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</w:t>
      </w:r>
      <w:r w:rsidR="0000244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wynoszącym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37E90742" w14:textId="121A1F4B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Prezydent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zakończonego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00244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</w:t>
      </w:r>
      <w:r w:rsidR="0000244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00244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</w:t>
      </w:r>
      <w:r w:rsidR="0000244F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osobom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statusu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</w:p>
    <w:p w14:paraId="01C845BF" w14:textId="3C9CA09C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podkreślić,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dyspozycja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przybrała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niezmienioną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września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1980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chwili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obecnej,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ugruntowaną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pozycję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swój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ponad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przeszło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letni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kształt.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7B2870E6" w14:textId="23E28A9C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Naczelny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października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1819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10,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kategorią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materialnoprawną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wiąże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konkretnego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więc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mówić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wówczas,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pomiędzy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obowiązującą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sytuacją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konkretnego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polegający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wpływ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sytuację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materialnego.</w:t>
      </w:r>
    </w:p>
    <w:p w14:paraId="59801075" w14:textId="057F7C4B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świetle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okoliczności,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istota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problemu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sprowadza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odpowiedzi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pytanie,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beneficjenci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tytułu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mogli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występować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„następca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prawny”,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konsekwencji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umożliwiałoby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nadanie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statusu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dekretowym.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21042E73" w14:textId="0D664A4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Postępowanie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wszczyna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żądanie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zaś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jednostka,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żąda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swój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obowiązek.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najczęstszych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problemów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występujących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aktualnego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kręgu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Ponieważ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treść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samoistnej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wywodzenia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przysługującego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przymiotu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nastąpić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konkretną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3876B25E" w14:textId="79E2A226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legitymacji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formalnej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konieczne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pierwszej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kolejności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pojęcia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„dotychczasowy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właściciel”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„następca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prawny”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3CA589A7" w14:textId="406EB4FB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wykładni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językowej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treści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pojęcia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„dotychczasowy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właściciel”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powinno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żadnych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wątpliwości,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chodzi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wejścia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życie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zarówno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fizycznych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konstrukcja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oznacza,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wolą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prawodawcy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mógł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występować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aktualny,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tamtą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datę,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posiadacz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samoistny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359EACC7" w14:textId="073747CC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jeżeli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chodzi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drugą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kategorię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uprawnionych,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„następców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właściciela”,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rodzaj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następstwa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chodzi.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ocenie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„następcy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prawnego”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kategorii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szczególnych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okolicznościach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złożenia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dekretowego.</w:t>
      </w:r>
    </w:p>
    <w:p w14:paraId="2357115B" w14:textId="397A65AF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orzecznictwie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sądowoadministracyjnym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legitymacji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formalnej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wywołanym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podkreślono,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nastąpiło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drodze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oznacza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określające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wyłącznie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dotychczasowemu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spadkobiercom.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kręgu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drodze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zajął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Naczelny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sierpnia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2034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odróżnić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zawsze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powodują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powstanie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Dzieje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tylko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wtedy,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wyraźnie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unormował.</w:t>
      </w:r>
    </w:p>
    <w:p w14:paraId="5E419956" w14:textId="55965322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Naczelny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ostatecznie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przesądził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kwestię,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kontekście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tworzy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procedurze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prowadzonej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Źródłem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sytuacji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mogą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wyłącznie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bezpośredni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indywidualnego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pozwala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kwalifikować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dokonanej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samoistnie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więc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źródła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źródło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mogą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tylko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wtedy,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nawiązująca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swojej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treści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sfery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wyznaczany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wolą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adresatów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wolą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prawodawcy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kształtującego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uzyskania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przymiotu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konieczne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łączyłaby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przypisania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stronom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prawnoadministracyjnej.</w:t>
      </w:r>
    </w:p>
    <w:p w14:paraId="15A46ACF" w14:textId="2CBAEE7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Przesądzono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bezsprzecznie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kwestię,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legitymowały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umowach,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ubiegania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Podobne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zajął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Naczelny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sierpnia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sprawach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następujących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akt.: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2875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707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I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5FA2569F" w14:textId="71CDC3E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Argumentację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wyrokach,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rozciągłości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podziela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Obowiązująca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materialnoprawna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przewiduje,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uzyskać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status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71E20047" w14:textId="7BCE64C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konsekwencji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charakterze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publicznoprawnym,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ponieważ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przewidział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rodzaju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żądania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formę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zaś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charakteru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ponieważ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niezbywalnym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publicznym.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0631A0ED" w14:textId="3CBC3A74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Reasumując,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sfomułowaniu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„następcy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prawni”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mieszczą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uzyskały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intencją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gratyfikowanie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utraciły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uchwalenia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wyrównanie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szkody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przymusowego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pozbawienia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utrata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musi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ściśle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spadkobiercami,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osobami,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drodze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Celu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realizować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wobec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drodze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wynikałoby,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drodze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przysługiwałoby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bardziej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sytuacji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utracił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zasady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utożsamiane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ściśle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szczególnej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uprawnienia.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38F764C3" w14:textId="337FBBE3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konsekwencji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ocenie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skoro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faktycznym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współwłaścicielami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hipotecznymi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byli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8A3DAB">
        <w:rPr>
          <w:rFonts w:ascii="Arial" w:eastAsia="Calibri" w:hAnsi="Arial" w:cs="Arial"/>
          <w:szCs w:val="24"/>
        </w:rPr>
        <w:t>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8A3D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8A3DAB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8A3DAB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małżeństwo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</w:t>
      </w:r>
      <w:r w:rsidR="008A3DAB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przysługiwało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wyłącznie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spadkobiercom,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osobom,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sporządzonych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formie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drodze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nieruchomości.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wadliwy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beneficjentów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Tymczasem,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mogła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skutecznie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ubiegać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skuteczną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rażące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naruszenie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wyczerpuje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przesłankę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</w:p>
    <w:p w14:paraId="05E15D51" w14:textId="661E00C6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miejscu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podkreślenia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wymaga,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żadnym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stopniu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oceniała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pozostającego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kognicją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31C5A30D" w14:textId="24581C6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marginesie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Naczelnego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wyrażone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sierpnia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2034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koresponduje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Najwyższego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wyrażonym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kwestii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podatkowych,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powoływał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Wojewódzki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2405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14,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zauważyć,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polskim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systemie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już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uprzednio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dokonywano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rozróżnień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wskazywano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charakter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restytucyjny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miejscu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przypomnieć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Skarżący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utraciła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W</w:t>
      </w:r>
      <w:proofErr w:type="spellEnd"/>
      <w:r w:rsidRPr="00370FA2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odjęte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Spór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więc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pytania,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następców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Najwyższy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cytowanym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obejmuje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wyłącznie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będące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obejmuje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ewentualnych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spadkobierców,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miejsce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sprawie).</w:t>
      </w:r>
    </w:p>
    <w:p w14:paraId="060CED29" w14:textId="7DF86645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Kwestia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już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rozważań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(por.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tutejszego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września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1541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06,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2607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12,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2498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12).</w:t>
      </w:r>
    </w:p>
    <w:p w14:paraId="38F303A7" w14:textId="7F46B623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lastRenderedPageBreak/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orzeczeniach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wskazywano,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W</w:t>
      </w:r>
      <w:proofErr w:type="spellEnd"/>
      <w:r w:rsidRPr="00370FA2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trybie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8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u.p.d.o.f</w:t>
      </w:r>
      <w:proofErr w:type="spellEnd"/>
      <w:r w:rsidRPr="00370FA2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konsekwencji,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przypadku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upływem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terminu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powstaje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przychód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podlegający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opodatkowaniu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zasadach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u.p.d.o.f</w:t>
      </w:r>
      <w:proofErr w:type="spellEnd"/>
      <w:r w:rsidRPr="00370FA2">
        <w:rPr>
          <w:rFonts w:ascii="Arial" w:eastAsia="Calibri" w:hAnsi="Arial" w:cs="Arial"/>
          <w:szCs w:val="24"/>
        </w:rPr>
        <w:t>.</w:t>
      </w:r>
    </w:p>
    <w:p w14:paraId="5DDFFBA0" w14:textId="30576775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uzasadnieniu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wskazywano,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Najwyższy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02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nabyciem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znaczeniu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Jednakże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Najwyższy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celem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opodatkowaniem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jeżeli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dokonana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następców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uzyskali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realizacji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przypadku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doszło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gdyż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właścicielami,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państwo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odebrało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nigdy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wywiązało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zrekompensowania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właścicielom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wywłaszczonych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poniesionego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uszczerbku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majątkowego.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ocenie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potraktować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jeżeli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uzyskali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realizacji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przeszły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spadkodawców.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przywołanych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tutejszego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wskazywano,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argumentacja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Najwyższego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stosunku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łączącego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treścią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zrekompensowania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strat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poniesionych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wskutek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komunalizacji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Najwyższy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podkreślał,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przypadku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dochodziło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składnika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majątkowego,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gdyż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uzyskiwały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rekompensatę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zamian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odebrane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74C520C8" w14:textId="4934F986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Mając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uwadze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weryfikowana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dotknięta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wadą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powinna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wyeliminowana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obrotu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49879BEE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7275DC4A" w14:textId="5AA8A81E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6F26F1">
        <w:rPr>
          <w:rFonts w:ascii="Arial" w:eastAsia="Calibri" w:hAnsi="Arial" w:cs="Arial"/>
          <w:b/>
          <w:bCs/>
          <w:szCs w:val="24"/>
        </w:rPr>
        <w:t>2.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Brak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podstawy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prawnej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do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określenia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warunków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przeniesienia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własności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powojennych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garaży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–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rażące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naruszenie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prawa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tj.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art.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6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k.p.a.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 </w:t>
      </w:r>
      <w:r w:rsidR="007260E8" w:rsidRPr="006F26F1">
        <w:rPr>
          <w:rFonts w:ascii="Arial" w:eastAsia="Calibri" w:hAnsi="Arial" w:cs="Arial"/>
          <w:b/>
          <w:bCs/>
          <w:szCs w:val="24"/>
        </w:rPr>
        <w:t>myślnik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="007260E8" w:rsidRPr="006F26F1">
        <w:rPr>
          <w:rFonts w:ascii="Arial" w:eastAsia="Calibri" w:hAnsi="Arial" w:cs="Arial"/>
          <w:b/>
          <w:bCs/>
          <w:szCs w:val="24"/>
        </w:rPr>
        <w:t>przesłanka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z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art.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30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ust.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1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pkt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4)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in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fine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ustawy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z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dnia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9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marca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2017</w:t>
      </w:r>
      <w:r w:rsidR="006F26F1" w:rsidRP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6F26F1">
        <w:rPr>
          <w:rFonts w:ascii="Arial" w:eastAsia="Calibri" w:hAnsi="Arial" w:cs="Arial"/>
          <w:b/>
          <w:bCs/>
          <w:szCs w:val="24"/>
        </w:rPr>
        <w:t>roku</w:t>
      </w:r>
    </w:p>
    <w:p w14:paraId="2E90F320" w14:textId="0FEE2DD5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ab/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punkcie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VI.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m.in.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wskazał: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Oddanie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nastąpi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równoczesną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powojennych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wybudowanych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21.11.1945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Warunki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wysokość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Protokole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rokowań.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będzie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wartość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operatach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szacunkowych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sporządzonych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rzeczoznawcę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majątkowego.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podlega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zapłacie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najpóźniej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przeddzień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podpisania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zapłaty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przyjmuje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odpowiedniej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kwoty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Protokole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rokowań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rachunku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bankowym.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Termin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wyznaczony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podpisaniu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protokołu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rokowań.</w:t>
      </w:r>
      <w:r w:rsidR="006F26F1">
        <w:rPr>
          <w:rFonts w:ascii="Arial" w:eastAsia="Calibri" w:hAnsi="Arial" w:cs="Arial"/>
          <w:szCs w:val="24"/>
        </w:rPr>
        <w:t xml:space="preserve">  </w:t>
      </w:r>
    </w:p>
    <w:p w14:paraId="09CBF05D" w14:textId="7CBAE04F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ab/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pisma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Zakładu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Gospodarowania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Dzielnicy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Mokotów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zabudowana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pięcioma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garażami,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B77FA2" w:rsidRPr="00370FA2">
        <w:rPr>
          <w:rFonts w:ascii="Arial" w:eastAsia="Calibri" w:hAnsi="Arial" w:cs="Arial"/>
          <w:szCs w:val="24"/>
        </w:rPr>
        <w:t>nr</w:t>
      </w:r>
      <w:r w:rsidR="00B77FA2">
        <w:rPr>
          <w:rFonts w:ascii="Arial" w:eastAsia="Calibri" w:hAnsi="Arial" w:cs="Arial"/>
          <w:szCs w:val="24"/>
        </w:rPr>
        <w:t xml:space="preserve"> wybudowany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środków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najemców,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przekazane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dyspozycji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Zakładu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Gospodarowania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pustostany.</w:t>
      </w:r>
    </w:p>
    <w:p w14:paraId="6FD0DC2D" w14:textId="0E036A6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ab/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działają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prawa.</w:t>
      </w:r>
    </w:p>
    <w:p w14:paraId="3A9B939F" w14:textId="422A34C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ab/>
        <w:t>Wojewódzki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Szczecinie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Sz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654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wskazał: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zakwalifikowane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niezgodne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zarówno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wówczas,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podjęte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obowiązującym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prawem,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wówczas,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działania.</w:t>
      </w:r>
    </w:p>
    <w:p w14:paraId="7D7B1C8A" w14:textId="7938D3F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ab/>
        <w:t>Naczelny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580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06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zaznaczył: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orzecznictwie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Naczelnego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począwszy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uchwały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VI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95,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ONSA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1996,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uchwały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października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00,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ONSA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60,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przyjmuje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rozstrzyganie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złożonych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trybie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października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drodze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Konstrukcja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uwzględniającego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odrębną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przewidzianą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przewidywała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możliwości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orzekania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(vide: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2718,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niepubl.).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ustanawiającej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przenosić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gdyż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zaś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stanowiąca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dotknięta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wadą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Trafnie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Wojewódzki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wskazuje,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właściwą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drogą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pozytywnie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rozpatrzono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znajduje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budynek,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droga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cywilnoprawna.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trybie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administracyjnoprawnym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regulować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kwestii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zwrotu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nakładów,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przesądzać,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zwrot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nastąpić.</w:t>
      </w:r>
    </w:p>
    <w:p w14:paraId="7702DBE8" w14:textId="224A04FE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ab/>
        <w:t>Wojewódzki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stycznia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1351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Rację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wskazując,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konsekwencje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trzecich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(określone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punkcie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brzmieniu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nadanym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kwietnia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władcze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kształtowanie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warunków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przyszłej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przystąpienia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(ujęte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punkcie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IV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brzmieniu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uwzględniającym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zmianę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dokonaną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(...)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mieściło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kompetencjach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orzekających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gospodarce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nieruchomościami,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zawierają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jakichkolwiek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regulacji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pozwalających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władcze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kształtowanie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etapie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przyszłego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zasadnie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zauważano,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fine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wprawdzie,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uwzględnienie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warunki,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Jednakże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"warunków"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uregulowanych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obecnie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odnosić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etapu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będzie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dopiero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prowadzone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Formułowane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zaś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wówczas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aspekcie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będzie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wykonywania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władzy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(imperium),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realizacji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sfery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dominium.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Kształtując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warunki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etapie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(...)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uczynił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dysponując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opartymi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powszechnie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obowiązującego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kompetencjami,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zadział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wadliwej,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wykroczył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granice,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mógł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poruszać.</w:t>
      </w:r>
    </w:p>
    <w:p w14:paraId="43BB4433" w14:textId="3F1C5D5E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lastRenderedPageBreak/>
        <w:tab/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ulega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żadnym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wątpliwościom,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weryfikowanej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znaczące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warunki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powojennych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garaży: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sekwencje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przyszłych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podejmowanych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względzie,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sposobu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obliczenia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ceny,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terminu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zapłaty,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rachunku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bankowego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przesądzenie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wprost,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uiszczona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Warszawy.</w:t>
      </w:r>
    </w:p>
    <w:p w14:paraId="0234282E" w14:textId="0B0A806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ab/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relewantności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punktu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VI.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kontrolowanej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pismo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Miasta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Stołecznego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Biura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wskazano: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Ponadto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nadmieniam,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podpisały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protokołu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powojennych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wpłaciły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ceny.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25F62369" w14:textId="5C193859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ab/>
        <w:t>Mając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uwadze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dotknięta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wadą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powinna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wyeliminowana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obrotu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6EB93D8C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537B22DD" w14:textId="2240FB95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3.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Nieodwracalne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skutki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prawne</w:t>
      </w:r>
    </w:p>
    <w:p w14:paraId="35F54DA1" w14:textId="2E71ABC4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Kontrolowana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wywołała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1EAFEF0F" w14:textId="2052FBD2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powstały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wskutek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trzecią,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nastąpiło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nieodpłatnie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działającego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wierze,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zagospodarowania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gospodarce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nieruchomościami.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definicja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zawiera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sobie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elementy,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konstytuuje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zasadę,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drugi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wyjątek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Pierwszy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trzeciej,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zasady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przesądza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Drugi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statuuje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wyjątki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wymienionej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zasady.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Analiza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treści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prowadzi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przyjąć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jeśli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nieodpłatnie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nastąpiło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wierze.</w:t>
      </w:r>
    </w:p>
    <w:p w14:paraId="5E72D68F" w14:textId="5820AF54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„nieodwracalności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prawnego”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płaszczyźnie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odnosi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następstw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(reprywatyzacyjnej),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możliwości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odmiennego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ukształtowania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sytuacji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jednostki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będącej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następstwem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wyklucza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powrót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poprzedniego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(B.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Adamiak,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Glosa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uchwały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IIIAZP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92,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OSP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1993,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104,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Przybysz,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2017).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Funkcjonuje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przesłankę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negatywną,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wyłącza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pomimo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kwalifikowanych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następczej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stosunku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uprzedniej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(M.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Wincenciak</w:t>
      </w:r>
      <w:proofErr w:type="spellEnd"/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tzw.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„nieodwracalnych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prawnych”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(Kodyfikacja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lecie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red.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J.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Niczyporuk</w:t>
      </w:r>
      <w:proofErr w:type="spellEnd"/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Lublin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2010,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901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902).</w:t>
      </w:r>
    </w:p>
    <w:p w14:paraId="769E0A0E" w14:textId="1B482B0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orzecznictwie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podkreśla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będące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wadliwej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powoduje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powstanie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(por.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stycznia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V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432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96,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LEX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45663).</w:t>
      </w:r>
    </w:p>
    <w:p w14:paraId="27F4C0AF" w14:textId="14669DDD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przypadku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pozytywnej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(http: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ukośnik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orzeczenia.nsa.gov.pl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doc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730032490A),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powodująca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wywołuje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jeżeli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obrotu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warunkach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pozwalających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rękojmi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ksiąg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wieczystych.</w:t>
      </w:r>
    </w:p>
    <w:p w14:paraId="7390CE51" w14:textId="2D8ECE8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wyłączony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Komisją,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jednakże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utrwalonego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orzecznictwa,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zastosowanie.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zauważyć,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zasadą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racjonalnego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założyć,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obydwu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regulacjach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analogiczne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rozwiązania.</w:t>
      </w:r>
    </w:p>
    <w:p w14:paraId="1547E3FA" w14:textId="6C7B0702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nowelizacji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wprowadzona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41a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samodzielna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definicja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„złej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wiary”.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chwili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dokonania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osobą,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wiedział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łatwością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mógł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dowiedzieć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okolicznościach,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ustawy.</w:t>
      </w:r>
    </w:p>
    <w:p w14:paraId="0201ACB0" w14:textId="79DCDBF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lastRenderedPageBreak/>
        <w:t>Dokonując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dobrej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zlej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kontekście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zaistnienia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niezaistnienia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już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wstępie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zaznaczyć,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„złej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wiary”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żadnego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definiować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znaczenie,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szczególności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wymienionego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terminu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1982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księgach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hipotece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(por.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A.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Pawlyta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[w:]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Dalkowska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(red.)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Szczególne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zasady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usuwania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naruszeniem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Komentarz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wybranych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5.6).</w:t>
      </w:r>
    </w:p>
    <w:p w14:paraId="154A9EA0" w14:textId="622A8AAA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dobrej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kategorię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właściwą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przypisać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jednolitego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znaczenia.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definicja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dobrej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literaturze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kwestii,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jednakowy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wyrażane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przekonanie,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kryteria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oceny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płynne,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jednolitości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pojęcia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dobrej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polskim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utrzymać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(A.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Szpunar</w:t>
      </w:r>
      <w:proofErr w:type="spellEnd"/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Dobra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przesłanka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nieuprawnionego,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PiP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1997,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4;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tenże,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nieuprawnionego,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Kraków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1999,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97).</w:t>
      </w:r>
    </w:p>
    <w:p w14:paraId="6AB42CED" w14:textId="65AC0FE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doktrynie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zauważa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dobra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charakterze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mentalnego,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intelektualnym,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polegającym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usprawiedliwionej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niewiedzy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szczególności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błędne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przeświadczenie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przysługiwaniu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stosunku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subiektywne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dobrej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(por.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Bryl,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Komentarz,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1972).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sytuację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przeciwną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występuje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wiedza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nieusprawiedliwiona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niewiedza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(por.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Machnikowski,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Gniewek,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Komentarz,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2006).</w:t>
      </w:r>
    </w:p>
    <w:p w14:paraId="1D2C77E9" w14:textId="63335FB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Przesłanka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„nabywcy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działającego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wierze”,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definicji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1982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księgach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hipotece,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ponieważ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zawiera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definicję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„złej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wiary”.</w:t>
      </w:r>
    </w:p>
    <w:p w14:paraId="4E00EA21" w14:textId="7C785D3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chwili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dokonania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osobą,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wiedział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łatwością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mógł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dowiedzieć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okolicznościach,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wiara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obiektywnych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okoliczności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mogących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świadczyć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wiedzy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bądź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łatwości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pozyskania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wiedzy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okolicznościach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rażącym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naruszeniem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ustawy).</w:t>
      </w:r>
    </w:p>
    <w:p w14:paraId="1422CE94" w14:textId="04EB689D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wyraźnie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podkreślić,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principio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wskazuje,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dopiero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relewantne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instytucji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165BCE66" w14:textId="7870F586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Przenosząc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poczynionych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ustaleń,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doszło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oddanie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5B09CF3B" w14:textId="3364D69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księgi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prowadzonej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ewidencyjnej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obręb</w:t>
      </w:r>
      <w:r w:rsidR="00C34B2D">
        <w:rPr>
          <w:rFonts w:ascii="Arial" w:eastAsia="Calibri" w:hAnsi="Arial" w:cs="Arial"/>
          <w:szCs w:val="24"/>
        </w:rPr>
        <w:t>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Rejonowym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Mokotowa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VII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Wydział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Ksiąg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Wieczystych,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przysługuje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Miastu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Stołecznemu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226002C5" w14:textId="2EB1AEDB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Nadto,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Miasta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Stołecznego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Biura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piśmie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Samorządowe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Kolegium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Odwoławcze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sierpnia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utrzymało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Ponadto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nadmieniam,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podpisały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protokołu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powojennych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wpłaciły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ceny.</w:t>
      </w:r>
    </w:p>
    <w:p w14:paraId="58570E77" w14:textId="0CB1F72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Mając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uwadze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podkreślić,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zaszły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</w:p>
    <w:p w14:paraId="1ED2CF56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1868E37F" w14:textId="6FBFF121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4.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Podstawy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stwierdzenia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nieważności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decyzji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w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całości</w:t>
      </w:r>
    </w:p>
    <w:p w14:paraId="0AEC3D08" w14:textId="18E5681F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ocenie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koniecznym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wystąpienia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przesłanki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rażącym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naruszeniem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warunków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sprzedaży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powojennych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garaży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prawnej.</w:t>
      </w:r>
    </w:p>
    <w:p w14:paraId="23EE10BC" w14:textId="30C8229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3a)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rozpoznawczego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jeżeli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zachodzą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przesłanki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1960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szczególnych.</w:t>
      </w:r>
    </w:p>
    <w:p w14:paraId="7F04B1F1" w14:textId="29D96EA2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rażącym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naruszeniem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prawa.</w:t>
      </w:r>
    </w:p>
    <w:p w14:paraId="722B6CD9" w14:textId="24C76D7E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7260E8" w:rsidRPr="00370FA2">
        <w:rPr>
          <w:rFonts w:ascii="Arial" w:eastAsia="Calibri" w:hAnsi="Arial" w:cs="Arial"/>
          <w:szCs w:val="24"/>
        </w:rPr>
        <w:t>)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4</w:t>
      </w:r>
      <w:r w:rsidRPr="00370FA2">
        <w:rPr>
          <w:rFonts w:ascii="Arial" w:eastAsia="Calibri" w:hAnsi="Arial" w:cs="Arial"/>
          <w:szCs w:val="24"/>
        </w:rPr>
        <w:t>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jeżeli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rażącym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naruszeniem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06FBBC3E" w14:textId="42907AD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Stosownie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nieuregulowanych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odpowiednio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1960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Kodeks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wyłączeniem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13,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25,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96a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96n,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122h,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127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144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ustawy.</w:t>
      </w:r>
    </w:p>
    <w:p w14:paraId="0271504C" w14:textId="0467D56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Według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zachodzą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przesłanki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determinujące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konieczność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502228CF" w14:textId="21D2BFF4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rażąco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naruszył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498465B1" w14:textId="63A67B25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Powyższe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obligowało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uznania,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weryfikowana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powinna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wyeliminowana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obrotu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prawnego.</w:t>
      </w:r>
    </w:p>
    <w:p w14:paraId="773E15A2" w14:textId="364DF59C" w:rsidR="00370FA2" w:rsidRPr="00370FA2" w:rsidRDefault="006F26F1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niniejszej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sprawie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Komisja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uznała,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iż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charakter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waga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popełnionych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przez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organ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uchybień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uzasadniały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stwierdzenie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nieważności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decyzji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całości.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Za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punkt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wyjścia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dla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podjęcia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takiej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decyzji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Komisja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przyjęła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zagadnienie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wadliwości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decyzji,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co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do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przyznania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konkretnym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osobom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statusu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strony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postępowaniu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z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art.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7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dekretu</w:t>
      </w:r>
      <w:r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warszawskiego</w:t>
      </w:r>
      <w:r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myślnik</w:t>
      </w:r>
      <w:r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jako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założenie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gradacji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wad,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których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ciężar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powoduje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określone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konsekwencje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zakresie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skutków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prawnych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decyzji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co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do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całości.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Jak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już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wyżej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wykazano,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przedmiotowa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decyzja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reprywatyzacyjna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jest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wadliwa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pod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kątem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formalnym,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tj.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stwierdzono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brak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interesu</w:t>
      </w:r>
      <w:r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prawnego</w:t>
      </w:r>
      <w:r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myślnik</w:t>
      </w:r>
      <w:r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rozumieniu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art.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28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k.p.a.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–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osób,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które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umową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cywilnoprawną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nabyły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prawa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roszczenia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do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nieruchomości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położonej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przy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ul.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Puławskiej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31.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Owe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ustalenia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obligowały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Komisję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do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uznania,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że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decyzja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reprywatyzacyjna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została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obarczona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wadą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nieważności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pod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kątem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niewłaściwego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przyznania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osobom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niej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wskazanym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statusu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strony.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Wobec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lastRenderedPageBreak/>
        <w:t>powyższego,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decyzja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nie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mogła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ostać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się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obrocie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prawnym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jakimkolwiek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zakresie.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Uchybienia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organu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tym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zakresie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są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na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tyle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istotne,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że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powodują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skutek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nieważności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co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do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całości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decyzji,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tym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sensie,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że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opisane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wyżej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naruszenia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pod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kątem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przesłanek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formalnych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eliminują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decyzję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reprywatyzacyjną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w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pozostałym</w:t>
      </w:r>
      <w:r>
        <w:rPr>
          <w:rFonts w:ascii="Arial" w:eastAsia="Calibri" w:hAnsi="Arial" w:cs="Arial"/>
          <w:szCs w:val="24"/>
        </w:rPr>
        <w:t xml:space="preserve"> </w:t>
      </w:r>
      <w:r w:rsidR="00370FA2" w:rsidRPr="00370FA2">
        <w:rPr>
          <w:rFonts w:ascii="Arial" w:eastAsia="Calibri" w:hAnsi="Arial" w:cs="Arial"/>
          <w:szCs w:val="24"/>
        </w:rPr>
        <w:t>zakresie.</w:t>
      </w:r>
    </w:p>
    <w:p w14:paraId="23D0DBFE" w14:textId="5E893254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podkreśla,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zaprezentowane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spotkało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aprobatą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Wojewódzkiego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uzasadnieniu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         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1777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oceniał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prawidłowość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skierowania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zmarłej.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przedstawionym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faktycznym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przyjął,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przedstawionej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usunąć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częściowe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podmiotowym.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normujące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nadzorcze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przewidują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konstrukcji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według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możliwe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dodatek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status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przysługiwał,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ponieważ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śmiercią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wszczęciem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zdolności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Konstrukcji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zawiera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gramStart"/>
      <w:r w:rsidRPr="00370FA2">
        <w:rPr>
          <w:rFonts w:ascii="Arial" w:eastAsia="Calibri" w:hAnsi="Arial" w:cs="Arial"/>
          <w:szCs w:val="24"/>
        </w:rPr>
        <w:t>(....</w:t>
      </w:r>
      <w:proofErr w:type="gramEnd"/>
      <w:r w:rsidRPr="00370FA2">
        <w:rPr>
          <w:rFonts w:ascii="Arial" w:eastAsia="Calibri" w:hAnsi="Arial" w:cs="Arial"/>
          <w:szCs w:val="24"/>
        </w:rPr>
        <w:t>).Wada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charakter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materialnoprawny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faktycznego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konsekwencją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możliwości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zawiązania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(powstania)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prawidłowy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stosunku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administracyjnoprawnego,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elementów.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Koniecznym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elementem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każdego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postępowaniu.</w:t>
      </w:r>
    </w:p>
    <w:p w14:paraId="1E9467BB" w14:textId="1B602782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Przenosząc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wywiodła,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możliwości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jednoczesnym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wystąpienia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nieodwracalnych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skutkował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stwierdzeniem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całości.</w:t>
      </w:r>
    </w:p>
    <w:p w14:paraId="3E5C3D36" w14:textId="77777777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</w:p>
    <w:p w14:paraId="73A51702" w14:textId="77777777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7260E8">
        <w:rPr>
          <w:rFonts w:ascii="Arial" w:eastAsia="Calibri" w:hAnsi="Arial" w:cs="Arial"/>
          <w:b/>
          <w:bCs/>
          <w:sz w:val="28"/>
          <w:szCs w:val="28"/>
        </w:rPr>
        <w:t>IV.</w:t>
      </w:r>
    </w:p>
    <w:p w14:paraId="1F709221" w14:textId="75EF8CCC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7260E8">
        <w:rPr>
          <w:rFonts w:ascii="Arial" w:eastAsia="Calibri" w:hAnsi="Arial" w:cs="Arial"/>
          <w:b/>
          <w:bCs/>
          <w:sz w:val="28"/>
          <w:szCs w:val="28"/>
        </w:rPr>
        <w:t>Strony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260E8">
        <w:rPr>
          <w:rFonts w:ascii="Arial" w:eastAsia="Calibri" w:hAnsi="Arial" w:cs="Arial"/>
          <w:b/>
          <w:bCs/>
          <w:sz w:val="28"/>
          <w:szCs w:val="28"/>
        </w:rPr>
        <w:t>postępowania</w:t>
      </w:r>
      <w:r w:rsidR="006F26F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3CA2ACC4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47CABE8F" w14:textId="3FA37986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1.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Ustalony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krąg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stron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postępowania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</w:p>
    <w:p w14:paraId="47FD483E" w14:textId="1FC5F7E6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lastRenderedPageBreak/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każdy,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żąda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swój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obowiązek.</w:t>
      </w:r>
    </w:p>
    <w:p w14:paraId="5AC959A0" w14:textId="44BF45DA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Zasadą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zachowaniu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reguł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procesowego.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(strony)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jednostki,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pozbawiono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zwykłym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jednostki,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następstwa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zarówno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uczestniczących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pozbawionych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udziału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(por.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08).</w:t>
      </w:r>
    </w:p>
    <w:p w14:paraId="79802690" w14:textId="1CCC5636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rozpoznawczego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przyjęto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beneficjentów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reprywatyzacyjnej,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4454618A" w14:textId="5AB9CB7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zmarłego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beneficjenta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B24FF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testamencie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między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uczynił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zwykły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zobowiązał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testamentowego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spełnienia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zapisobiercy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świadczenia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polegającego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wszelkich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zwrotu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ulicy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Puławskiej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Zapisobiercę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zwykłego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następcę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spadkodawcy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tytułem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szczególnym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(por.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Ciszewski,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J.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Knabe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[w:]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Nazaruk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(red.)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Ciszewski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(red.),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Komentarz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aktualizowany,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968,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3).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742ED574" w14:textId="2BBDCE93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Apelacyjny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czerwca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ACa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stwierdził: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Testator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chcąc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dokonać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przysporzenia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konkretnej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zrealizować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swój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zamiar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zapisobiercy,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zaś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wprowadza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ograniczeń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43BFB9AD" w14:textId="0EBC62A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Per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analogiam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wykonanego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zwykłego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odnieść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wyrażone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doktrynie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windykacyjnego: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Trzeba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odnotować,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zmianą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18.03.2011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zmianie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cywilny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niektórych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(Dz.U.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85,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458),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polegającą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wprowadzeniu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systemu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instytucji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windykacyjnego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9811–9816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k.c.),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uczynionego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testamencie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przejść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zapisobiercę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chwilą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otwarcia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windykacyjnego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oznaczona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tożsamości,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zbywalne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majątkowe,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przedsiębiorstwo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gospodarstwo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rolne,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zapisobiercy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służebności.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Dokonanie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rodzaju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następcę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spadkodawcy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trzeba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będzie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uważać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zapisobiercę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windykacyjnego,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zaś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kręgu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testamentowych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(tak: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Romańska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[w:]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H.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Knysiak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Sudyka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(red.),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Komentarz,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15).</w:t>
      </w:r>
    </w:p>
    <w:p w14:paraId="2D43097A" w14:textId="7FA1081C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treścią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wszczęciu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rozpoznawczego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zawiadamia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pozostałe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treści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cytowanego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rozpoznawczego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Warszawa.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7FCF48CF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4E2935F1" w14:textId="65BB03A1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2.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Stanowisko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stron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postępowania</w:t>
      </w:r>
    </w:p>
    <w:p w14:paraId="1E074B6D" w14:textId="6E715925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M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</w:t>
      </w:r>
      <w:r w:rsidR="006B24FF">
        <w:rPr>
          <w:rFonts w:ascii="Arial" w:eastAsia="Calibri" w:hAnsi="Arial" w:cs="Arial"/>
          <w:szCs w:val="24"/>
        </w:rPr>
        <w:t>.</w:t>
      </w:r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zastępowani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profesjonalnego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pełnomocnika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przedstawili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sprawie.</w:t>
      </w:r>
    </w:p>
    <w:p w14:paraId="18E54527" w14:textId="37F6A1D3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wstępie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poczynić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uwagę,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zgłaszały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żadnych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dowodowych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wnosiły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uzupełnienie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zgromadzonego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materiału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dowodowego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sprawie.</w:t>
      </w:r>
    </w:p>
    <w:p w14:paraId="2E9AB79F" w14:textId="7C78F383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reprezentując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wstępie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zaznaczyły,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ocenie,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prawidłowa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zostały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spełnione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żadne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przesłanki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pozwalały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uchylenie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bądź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stwierdzenie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weryfikowanej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wnosząc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utrzymanie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0083090F" w14:textId="397014A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uzasadnieniu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twierdzeń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odniosły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uzasadnienia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sierpnia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2034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wskazując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odmienny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faktyczny,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działki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niezabudowanej,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zabudowanej,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spełniała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wymogi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wywodzą,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posiadają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wypadku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140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k.c.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ocenie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dopuszczalne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zmiany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prowadzonym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dyspozycji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Zaakcentowano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też,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prowadzone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zbywalnych.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konsekwencji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sprawie,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przysługiwały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żądania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rozstrzygnięcia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</w:t>
      </w:r>
      <w:r w:rsidR="006B24FF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3DFF4410" w14:textId="30C17A05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Odnosząc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przywołać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treść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będący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posiadaniu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reprezentujące,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jeżeli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chodzi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oddane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obowiązujących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zarząd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użytkownicy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mogą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ciągu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miesięcy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objęcia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posiadanie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zgłosić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dotychczasowemu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dzierżawy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czynszem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symbolicznym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zabudowy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opłatą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symboliczną.</w:t>
      </w:r>
    </w:p>
    <w:p w14:paraId="04E2FBD3" w14:textId="54E09DF5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Przede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wszystkim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zaakcentować,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interpretować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szeroko,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stosując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wykładnię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rozszerzającą.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wstępie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wskazuję,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dalszej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kolejności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następców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wystarczy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skupić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potrzeby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kategoriach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podmiotów.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następstwo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sukcesji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singularnej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uniwersalnej.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Skoro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wykładnia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językowa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okazuje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wystarczająca,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sięgnąć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wykładnie.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sięgnąć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wykładnię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funkcjonalną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jasny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powinien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wzbudzać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wątpliwości.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cel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restytucyjny.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zadość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roszczeniom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spadkobierców,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uszczerbek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przedkładać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uszczerbek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spadkobierców,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forma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zadośćuczynienia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weszłaby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masy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spadkowej.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12E37CB6" w14:textId="6A9D3FA6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doktrynie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wyrażono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następujące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stanowisko: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Oddanie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utożsamione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zwrotem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własności;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swoistą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restytucję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tytułu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komunalizacji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położonych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obszarze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(tak: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E.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Buczeki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Kopeć,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obszarze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Komentarz,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2).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słownikiem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języka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polskiego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restytucje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„przywrócenie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czemuś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stanu”.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3C34084A" w14:textId="41C6FBDD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Naczelny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sierpnia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2034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wskazał: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rozpatrywanej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nastąpiło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drodze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2011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oznacza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właściwości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indywidualnych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rozstrzyganych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drodze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załatwianych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milcząco.</w:t>
      </w:r>
    </w:p>
    <w:p w14:paraId="332EE53C" w14:textId="4F362A26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konsekwencji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stanowiącego,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każdy,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żąda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swój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obowiązek.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Cytowany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przepis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odczytywać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wszystkim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określającego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dotychczasowemu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właścicielowi.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Uwzględniając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faktyczne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uwarunkowania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chwili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wejścia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życie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listopadzie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1945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7260E8" w:rsidRPr="00370FA2">
        <w:rPr>
          <w:rFonts w:ascii="Arial" w:eastAsia="Calibri" w:hAnsi="Arial" w:cs="Arial"/>
          <w:szCs w:val="24"/>
        </w:rPr>
        <w:t>czas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tuż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powojenny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charakteryzujący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szczególnie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ogromem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zniszczeń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miasta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utratą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wielu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czasie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wojny,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dopuścił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wyłącznie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żyjącym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właścicielom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Przyjęcie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literalnej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wykładni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uzyskania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polegające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uznaniu,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uprawnionymi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mieliby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tylko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żyjący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akceptacją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sferze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wszystkim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faktycznych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światowej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="00B77FA2" w:rsidRPr="00370FA2">
        <w:rPr>
          <w:rFonts w:ascii="Arial" w:eastAsia="Calibri" w:hAnsi="Arial" w:cs="Arial"/>
          <w:szCs w:val="24"/>
        </w:rPr>
        <w:t>i</w:t>
      </w:r>
      <w:r w:rsidR="00B77FA2">
        <w:rPr>
          <w:rFonts w:ascii="Arial" w:eastAsia="Calibri" w:hAnsi="Arial" w:cs="Arial"/>
          <w:szCs w:val="24"/>
        </w:rPr>
        <w:t xml:space="preserve"> działań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okupanta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zaistniałych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terenie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miasta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Warszawy.</w:t>
      </w:r>
    </w:p>
    <w:p w14:paraId="291D0D48" w14:textId="20644ABE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uzyskania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należałoby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tylko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następców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identyfikowanych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pierwszej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kolejności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pryzmat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procedury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normujących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przymiot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skoro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następowało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nadal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procedurze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5A935EDE" w14:textId="232EEAD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wywodzącego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faktu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objęcia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wywodzić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przymiotu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okoliczność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irrelewantna.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wprost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prinicpio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samego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złożenia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stroną.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Sformułowanie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powinno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wzbudzać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żadnych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wątpliwości,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chodzi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1945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przejęty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przypadku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zastosowałby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zwrot: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aktualny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właściciel.</w:t>
      </w:r>
    </w:p>
    <w:p w14:paraId="62AB5113" w14:textId="3B0B6B5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doktrynie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wyrażono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następujące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stanowisko: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komentowanym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znajdujące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przechodzących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gminy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pozostają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szczególne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inaczej.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chwili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wejścia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życie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znajdujące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stawały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więc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odrębnej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wprowadził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czasowe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odstępstwo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zasady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superficies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solo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cedit</w:t>
      </w:r>
      <w:proofErr w:type="spellEnd"/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„utrwalało”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uwzględnienia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złożonego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trybie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d.w.u.g</w:t>
      </w:r>
      <w:proofErr w:type="spellEnd"/>
      <w:r w:rsidRPr="00370FA2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(wyrok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NSA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stycznia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475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09,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LEX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595396).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Natomiast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wypadku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uwzględnienia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bezskutecznego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upływu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terminu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złożenia,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powrotem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stawał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częścią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składową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gruntowej,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następowało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Strus,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warszawskie...,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8)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(tak: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E.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Buczek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Kopeć,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obszarze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Komentarz,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2).</w:t>
      </w:r>
    </w:p>
    <w:p w14:paraId="61522B5B" w14:textId="7C084A9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Wobec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trafne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wywodzenie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tylko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budynku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powoływanie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140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k.c.</w:t>
      </w:r>
    </w:p>
    <w:p w14:paraId="285619A7" w14:textId="32929E2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kontekście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poruszanych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twierdzeń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wykładni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systemowej.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uwadze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pozycję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kodeksie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przypadku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kolizji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powinien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pierwszeństwo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zastosowania,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szczególnym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stosunku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ponieważ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pewnymi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warunkami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również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powinien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wykładany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zawężający.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0A22DC1C" w14:textId="55F1F8F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przypadku,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jeśli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bardziej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dopełniać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konkurować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nim.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7662D9BD" w14:textId="184BB29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Stanowisko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konkurencyjności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wprost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Naczelny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października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2022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sygn.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999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21: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Brak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spełnienia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niniejszej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przesłanek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przysługiwania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konsekwentnie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wyklucza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zastosowanie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znajduje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zastosowanie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tylko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wobec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osób,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przypisać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przysługiwanie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obowiązku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sposób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bowiem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odrębnej,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konkurencyjnej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wobec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definiującej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przymiot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pochodną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Omawiany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dotyczących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zbywalnych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dziedzicznych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śmierci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miejsce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wstępują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cytowanym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wprost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odwołał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pojęcia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definiuje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zdefiniowane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względu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interes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procedurze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Chodzi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więc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takie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istniejącej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normie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oddziaływanie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nastąpiło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stąd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źródło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uzyskania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byłemu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przysługuje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już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wejścia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życie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własność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przedmiotem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warszawskiego.</w:t>
      </w:r>
    </w:p>
    <w:p w14:paraId="49481102" w14:textId="48FBE8C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Ponadto,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następstwo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wynikające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zbycia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zbywalnych.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Tymczasem,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ustawodawca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wyraźnie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dotychczasowemu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właścicielowi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które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dopiero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nastąpić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stosownym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rozstrzygnięciem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sfery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rozstrzygnięcia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wymienione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dekrecie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jeszcze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istnieją,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objęte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wydaniem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wspomnianego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rozstrzygnięcia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istnieje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ukształtowane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powołanym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dopiero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właściwy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przyznał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uprawnionej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prawo.</w:t>
      </w:r>
    </w:p>
    <w:p w14:paraId="6CC1628D" w14:textId="773BDF5D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zawarte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notarialne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przeniesienia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legitymowały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(tj.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cywilnego)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ubiegania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użytkowania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wieczystego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Prezydenta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m.st.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(...)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lipca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skuteczną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podstawę,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rozumieniu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powołaną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umowach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nabywcy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roszczeń,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zatem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rażące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naruszenie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określających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gruntu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wyczerpuje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przesłankę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nieważności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</w:p>
    <w:p w14:paraId="51EE997B" w14:textId="619CB62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Reasumując,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beneficjenci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mieścili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żadnej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kategorii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wskazanych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dyspozycji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przepis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4982F101" w14:textId="7382800A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Mając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uwadze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było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uwzględnić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jakimkolwiek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zakresie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stanowiska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stron.</w:t>
      </w:r>
    </w:p>
    <w:p w14:paraId="3F648DBA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0F9DF4A9" w14:textId="77777777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Konkluzja</w:t>
      </w:r>
    </w:p>
    <w:p w14:paraId="39BFB3F0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0A66CF0A" w14:textId="3ACF1DF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uwagi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powyższe,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3a)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156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k.p.a.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dekretu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związku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38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marca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orzeczono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wstępie.</w:t>
      </w:r>
      <w:r w:rsidR="006F26F1">
        <w:rPr>
          <w:rFonts w:ascii="Arial" w:eastAsia="Calibri" w:hAnsi="Arial" w:cs="Arial"/>
          <w:szCs w:val="24"/>
        </w:rPr>
        <w:t xml:space="preserve"> </w:t>
      </w:r>
    </w:p>
    <w:p w14:paraId="252165BC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0D48B27E" w14:textId="1FAF4BB1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Przewodniczący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Komisji</w:t>
      </w:r>
    </w:p>
    <w:p w14:paraId="38F45368" w14:textId="0A90BF97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t>Sebastian</w:t>
      </w:r>
      <w:r w:rsidR="006F26F1">
        <w:rPr>
          <w:rFonts w:ascii="Arial" w:eastAsia="Calibri" w:hAnsi="Arial" w:cs="Arial"/>
          <w:b/>
          <w:bCs/>
          <w:szCs w:val="24"/>
        </w:rPr>
        <w:t xml:space="preserve"> </w:t>
      </w:r>
      <w:r w:rsidRPr="007260E8">
        <w:rPr>
          <w:rFonts w:ascii="Arial" w:eastAsia="Calibri" w:hAnsi="Arial" w:cs="Arial"/>
          <w:b/>
          <w:bCs/>
          <w:szCs w:val="24"/>
        </w:rPr>
        <w:t>Kaleta</w:t>
      </w:r>
    </w:p>
    <w:p w14:paraId="10308923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3109BAB7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5D4CBE65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38126D56" w14:textId="77777777" w:rsidR="00B77FA2" w:rsidRDefault="00B77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</w:p>
    <w:p w14:paraId="376E4C10" w14:textId="77777777" w:rsidR="00B77FA2" w:rsidRDefault="00B77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</w:p>
    <w:p w14:paraId="5A242E52" w14:textId="77777777" w:rsidR="00B77FA2" w:rsidRDefault="00B77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</w:p>
    <w:p w14:paraId="016012EB" w14:textId="77777777" w:rsidR="00B77FA2" w:rsidRDefault="00B77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</w:p>
    <w:p w14:paraId="05ADD5AB" w14:textId="77777777" w:rsidR="00B77FA2" w:rsidRDefault="00B77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</w:p>
    <w:p w14:paraId="5E3C0D78" w14:textId="77777777" w:rsidR="00B77FA2" w:rsidRDefault="00B77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</w:p>
    <w:p w14:paraId="116B6A72" w14:textId="77777777" w:rsidR="00B77FA2" w:rsidRDefault="00B77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</w:p>
    <w:p w14:paraId="70012D3E" w14:textId="77777777" w:rsidR="00B77FA2" w:rsidRDefault="00B77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</w:p>
    <w:p w14:paraId="2BE2034B" w14:textId="60DF4259" w:rsidR="00370FA2" w:rsidRPr="007260E8" w:rsidRDefault="00370FA2" w:rsidP="00BE496B">
      <w:pPr>
        <w:spacing w:after="480" w:line="360" w:lineRule="auto"/>
        <w:contextualSpacing/>
        <w:rPr>
          <w:rFonts w:ascii="Arial" w:eastAsia="Calibri" w:hAnsi="Arial" w:cs="Arial"/>
          <w:b/>
          <w:bCs/>
          <w:szCs w:val="24"/>
        </w:rPr>
      </w:pPr>
      <w:r w:rsidRPr="007260E8">
        <w:rPr>
          <w:rFonts w:ascii="Arial" w:eastAsia="Calibri" w:hAnsi="Arial" w:cs="Arial"/>
          <w:b/>
          <w:bCs/>
          <w:szCs w:val="24"/>
        </w:rPr>
        <w:lastRenderedPageBreak/>
        <w:t>Pouczenie:</w:t>
      </w:r>
    </w:p>
    <w:p w14:paraId="18A512D0" w14:textId="3F4638D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1.</w:t>
      </w:r>
      <w:r w:rsidRPr="00370FA2">
        <w:rPr>
          <w:rFonts w:ascii="Arial" w:eastAsia="Calibri" w:hAnsi="Arial" w:cs="Arial"/>
          <w:szCs w:val="24"/>
        </w:rPr>
        <w:tab/>
        <w:t>Niniejsza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ostateczna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kpa).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wnieść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skargę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Wojewódzkiego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Warszawie,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ul.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Jasna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ukośnik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00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myślnik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013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pośrednictwem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reprywatyzacji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nieruchomości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warszawskich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terminie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doręczenia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ppsa</w:t>
      </w:r>
      <w:proofErr w:type="spellEnd"/>
      <w:r w:rsidRPr="00370FA2">
        <w:rPr>
          <w:rFonts w:ascii="Arial" w:eastAsia="Calibri" w:hAnsi="Arial" w:cs="Arial"/>
          <w:szCs w:val="24"/>
        </w:rPr>
        <w:t>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ppsa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ppsa</w:t>
      </w:r>
      <w:proofErr w:type="spellEnd"/>
      <w:r w:rsidRPr="00370FA2">
        <w:rPr>
          <w:rFonts w:ascii="Arial" w:eastAsia="Calibri" w:hAnsi="Arial" w:cs="Arial"/>
          <w:szCs w:val="24"/>
        </w:rPr>
        <w:t>).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Skarga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powinna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czynić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zadość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wymogom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określonym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57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ppsa</w:t>
      </w:r>
      <w:proofErr w:type="spellEnd"/>
      <w:r w:rsidRPr="00370FA2">
        <w:rPr>
          <w:rFonts w:ascii="Arial" w:eastAsia="Calibri" w:hAnsi="Arial" w:cs="Arial"/>
          <w:szCs w:val="24"/>
        </w:rPr>
        <w:t>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skargi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należy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dołączyć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odpisy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odpisy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załączników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doręczenia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stronom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dla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tut.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organu),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ponadto,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jeżeli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złożono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załączników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oryginale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jednym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odpisie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każdego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załącznika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ppsa</w:t>
      </w:r>
      <w:proofErr w:type="spellEnd"/>
      <w:r w:rsidRPr="00370FA2">
        <w:rPr>
          <w:rFonts w:ascii="Arial" w:eastAsia="Calibri" w:hAnsi="Arial" w:cs="Arial"/>
          <w:szCs w:val="24"/>
        </w:rPr>
        <w:t>)</w:t>
      </w:r>
    </w:p>
    <w:p w14:paraId="0FCF82BE" w14:textId="4D382610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2.</w:t>
      </w:r>
      <w:r w:rsidRPr="00370FA2">
        <w:rPr>
          <w:rFonts w:ascii="Arial" w:eastAsia="Calibri" w:hAnsi="Arial" w:cs="Arial"/>
          <w:szCs w:val="24"/>
        </w:rPr>
        <w:tab/>
        <w:t>Wpis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skargi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charakter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stały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wynosi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200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(dwieście)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zł,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pkt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5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rozporządzenia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rady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Ministrów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16.12.2003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wysokości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szczegółowych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zasad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pobierania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wpisu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postepowaniu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przed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sądami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administracyjnymi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(Dz.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Nr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221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poz.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2193,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późn.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zm.).</w:t>
      </w:r>
    </w:p>
    <w:p w14:paraId="26D769F3" w14:textId="0D1619A1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3.</w:t>
      </w:r>
      <w:r w:rsidRPr="00370FA2">
        <w:rPr>
          <w:rFonts w:ascii="Arial" w:eastAsia="Calibri" w:hAnsi="Arial" w:cs="Arial"/>
          <w:szCs w:val="24"/>
        </w:rPr>
        <w:tab/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zaś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243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§1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ppsa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pomocy.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wolny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jest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opłat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sądowych.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przyznanie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powinien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zawierać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oświadczenie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obejmujące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dokładne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majątkowym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dochodach,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jeżeli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składa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osoba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fizyczna,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ponadto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dokładne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stanie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rodzinnym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oświadczenie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niezatrudnieniu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niepozostawaniu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stosunku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adwokatem,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radcą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prawnym,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doradcą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podatkowym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rzecznikiem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patentowym.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Wniosek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składa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urzędowym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formularzu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według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ustalonego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wzoru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(art.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252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ppsa</w:t>
      </w:r>
      <w:proofErr w:type="spellEnd"/>
      <w:r w:rsidRPr="00370FA2">
        <w:rPr>
          <w:rFonts w:ascii="Arial" w:eastAsia="Calibri" w:hAnsi="Arial" w:cs="Arial"/>
          <w:szCs w:val="24"/>
        </w:rPr>
        <w:t>).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Zgodnie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zaś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244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paragraf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ppsa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pomocy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obejmuje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zwolnienie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kosztów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sądowych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oraz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ustanowienie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adwokata,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radcy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prawnego,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doradcy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podatkowego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lub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rzecznika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patentowego.</w:t>
      </w:r>
    </w:p>
    <w:p w14:paraId="31084839" w14:textId="0073E188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4.</w:t>
      </w:r>
      <w:r w:rsidRPr="00370FA2">
        <w:rPr>
          <w:rFonts w:ascii="Arial" w:eastAsia="Calibri" w:hAnsi="Arial" w:cs="Arial"/>
          <w:szCs w:val="24"/>
        </w:rPr>
        <w:tab/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uwagi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to,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doręczenie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następuje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formie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ogłoszenia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podstawie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9.03.2017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zw.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49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§1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kpa,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informuje,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że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treścią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mogą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zapoznać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urzędzie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zapewniającym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obsługę</w:t>
      </w:r>
      <w:r w:rsidR="006F26F1">
        <w:rPr>
          <w:rFonts w:ascii="Arial" w:eastAsia="Calibri" w:hAnsi="Arial" w:cs="Arial"/>
          <w:szCs w:val="24"/>
        </w:rPr>
        <w:t xml:space="preserve"> </w:t>
      </w:r>
      <w:proofErr w:type="spellStart"/>
      <w:r w:rsidRPr="00370FA2">
        <w:rPr>
          <w:rFonts w:ascii="Arial" w:eastAsia="Calibri" w:hAnsi="Arial" w:cs="Arial"/>
          <w:szCs w:val="24"/>
        </w:rPr>
        <w:t>administracyjno</w:t>
      </w:r>
      <w:proofErr w:type="spellEnd"/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–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biurową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godzinach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pracy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tego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urzędu.</w:t>
      </w:r>
    </w:p>
    <w:p w14:paraId="25C78E59" w14:textId="5129DF13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  <w:r w:rsidRPr="00370FA2">
        <w:rPr>
          <w:rFonts w:ascii="Arial" w:eastAsia="Calibri" w:hAnsi="Arial" w:cs="Arial"/>
          <w:szCs w:val="24"/>
        </w:rPr>
        <w:t>5.</w:t>
      </w:r>
      <w:r w:rsidRPr="00370FA2">
        <w:rPr>
          <w:rFonts w:ascii="Arial" w:eastAsia="Calibri" w:hAnsi="Arial" w:cs="Arial"/>
          <w:szCs w:val="24"/>
        </w:rPr>
        <w:tab/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myśl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zaś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art.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16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3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ustawy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9.03.2017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roku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strony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mogą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być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zawiadamiane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wszczęciu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postępowania,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decyzjach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innych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czynnościach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Komisji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poprzez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ogłoszenie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w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Biuletynie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Informacji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Publicznej,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na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stronie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podmiotowej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lastRenderedPageBreak/>
        <w:t>urzędu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obsługującego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Ministra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Sprawiedliwości.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Zawiadomienie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albo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doręczenie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uważa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się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za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dokonane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upływie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7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od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dnia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publicznego</w:t>
      </w:r>
      <w:r w:rsidR="006F26F1">
        <w:rPr>
          <w:rFonts w:ascii="Arial" w:eastAsia="Calibri" w:hAnsi="Arial" w:cs="Arial"/>
          <w:szCs w:val="24"/>
        </w:rPr>
        <w:t xml:space="preserve"> </w:t>
      </w:r>
      <w:r w:rsidRPr="00370FA2">
        <w:rPr>
          <w:rFonts w:ascii="Arial" w:eastAsia="Calibri" w:hAnsi="Arial" w:cs="Arial"/>
          <w:szCs w:val="24"/>
        </w:rPr>
        <w:t>ogłoszenia.</w:t>
      </w:r>
    </w:p>
    <w:p w14:paraId="73ACA56D" w14:textId="77777777" w:rsidR="00370FA2" w:rsidRPr="00370FA2" w:rsidRDefault="00370FA2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p w14:paraId="06A1C024" w14:textId="77777777" w:rsidR="006F52C0" w:rsidRDefault="006F52C0" w:rsidP="00BE496B">
      <w:pPr>
        <w:spacing w:after="480" w:line="360" w:lineRule="auto"/>
        <w:contextualSpacing/>
        <w:rPr>
          <w:rFonts w:ascii="Arial" w:eastAsia="Calibri" w:hAnsi="Arial" w:cs="Arial"/>
          <w:szCs w:val="24"/>
        </w:rPr>
      </w:pPr>
    </w:p>
    <w:sectPr w:rsidR="006F52C0">
      <w:footerReference w:type="even" r:id="rId8"/>
      <w:footerReference w:type="default" r:id="rId9"/>
      <w:head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76F7" w14:textId="77777777" w:rsidR="005B1DB0" w:rsidRDefault="005B1DB0">
      <w:pPr>
        <w:spacing w:after="0" w:line="240" w:lineRule="auto"/>
      </w:pPr>
      <w:r>
        <w:separator/>
      </w:r>
    </w:p>
  </w:endnote>
  <w:endnote w:type="continuationSeparator" w:id="0">
    <w:p w14:paraId="3E819E7F" w14:textId="77777777" w:rsidR="005B1DB0" w:rsidRDefault="005B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DDEB" w14:textId="24DD5478" w:rsidR="00805711" w:rsidRDefault="00805711" w:rsidP="00747A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26D5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FF986F9" w14:textId="77777777" w:rsidR="00805711" w:rsidRDefault="00805711" w:rsidP="0080571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D0D1" w14:textId="545F6373" w:rsidR="00805711" w:rsidRDefault="00805711" w:rsidP="00747A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7295B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E5E3936" w14:textId="1261F07F" w:rsidR="00961586" w:rsidRDefault="00961586" w:rsidP="00805711">
    <w:pPr>
      <w:pStyle w:val="Stopka"/>
      <w:ind w:right="360"/>
      <w:jc w:val="center"/>
      <w:rPr>
        <w:rFonts w:ascii="Times New Roman" w:hAnsi="Times New Roman" w:cs="Times New Roman"/>
        <w:sz w:val="24"/>
        <w:szCs w:val="24"/>
      </w:rPr>
    </w:pPr>
  </w:p>
  <w:p w14:paraId="2435CCA5" w14:textId="77777777" w:rsidR="00ED4E8F" w:rsidRDefault="00ED4E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E053" w14:textId="77777777" w:rsidR="005B1DB0" w:rsidRDefault="005B1DB0">
      <w:pPr>
        <w:spacing w:after="0" w:line="240" w:lineRule="auto"/>
      </w:pPr>
      <w:r>
        <w:separator/>
      </w:r>
    </w:p>
  </w:footnote>
  <w:footnote w:type="continuationSeparator" w:id="0">
    <w:p w14:paraId="2AA5C863" w14:textId="77777777" w:rsidR="005B1DB0" w:rsidRDefault="005B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FD20" w14:textId="327AF293" w:rsidR="00961586" w:rsidRDefault="00662E3A" w:rsidP="00726D51">
    <w:pPr>
      <w:pStyle w:val="Nagwek"/>
    </w:pPr>
    <w:r>
      <w:rPr>
        <w:noProof/>
        <w:lang w:eastAsia="pl-PL"/>
      </w:rPr>
      <w:drawing>
        <wp:inline distT="0" distB="0" distL="0" distR="0" wp14:anchorId="6604DD4F" wp14:editId="2896E456">
          <wp:extent cx="2591435" cy="623570"/>
          <wp:effectExtent l="0" t="0" r="0" b="5080"/>
          <wp:docPr id="1" name="Obraz 2" descr="W nagłówku, po lewej stronie,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W nagłówku, po lewej stronie,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E4506A"/>
    <w:lvl w:ilvl="0">
      <w:numFmt w:val="bullet"/>
      <w:lvlText w:val="*"/>
      <w:lvlJc w:val="left"/>
    </w:lvl>
  </w:abstractNum>
  <w:abstractNum w:abstractNumId="1" w15:restartNumberingAfterBreak="0">
    <w:nsid w:val="1ED04C10"/>
    <w:multiLevelType w:val="singleLevel"/>
    <w:tmpl w:val="B3DED832"/>
    <w:lvl w:ilvl="0">
      <w:start w:val="3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7C2B05"/>
    <w:multiLevelType w:val="multilevel"/>
    <w:tmpl w:val="244CD9C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3" w15:restartNumberingAfterBreak="0">
    <w:nsid w:val="297C307F"/>
    <w:multiLevelType w:val="multilevel"/>
    <w:tmpl w:val="8EE6A3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DE4537"/>
    <w:multiLevelType w:val="multilevel"/>
    <w:tmpl w:val="1C0A18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</w:lvl>
  </w:abstractNum>
  <w:abstractNum w:abstractNumId="5" w15:restartNumberingAfterBreak="0">
    <w:nsid w:val="34D57F47"/>
    <w:multiLevelType w:val="singleLevel"/>
    <w:tmpl w:val="5A2E03B2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CB0EF1"/>
    <w:multiLevelType w:val="multilevel"/>
    <w:tmpl w:val="ADD206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93C3D12"/>
    <w:multiLevelType w:val="multilevel"/>
    <w:tmpl w:val="89AC04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D45277A"/>
    <w:multiLevelType w:val="hybridMultilevel"/>
    <w:tmpl w:val="D938FD40"/>
    <w:lvl w:ilvl="0" w:tplc="7F76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555EE"/>
    <w:multiLevelType w:val="singleLevel"/>
    <w:tmpl w:val="C35E723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5415A6"/>
    <w:multiLevelType w:val="multilevel"/>
    <w:tmpl w:val="DC4CE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9235DB"/>
    <w:multiLevelType w:val="multilevel"/>
    <w:tmpl w:val="89AC04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74823240">
    <w:abstractNumId w:val="10"/>
  </w:num>
  <w:num w:numId="2" w16cid:durableId="99839289">
    <w:abstractNumId w:val="11"/>
  </w:num>
  <w:num w:numId="3" w16cid:durableId="853961619">
    <w:abstractNumId w:val="4"/>
  </w:num>
  <w:num w:numId="4" w16cid:durableId="1987389785">
    <w:abstractNumId w:val="2"/>
  </w:num>
  <w:num w:numId="5" w16cid:durableId="1411654037">
    <w:abstractNumId w:val="6"/>
  </w:num>
  <w:num w:numId="6" w16cid:durableId="154761654">
    <w:abstractNumId w:val="10"/>
    <w:lvlOverride w:ilvl="0">
      <w:startOverride w:val="1"/>
    </w:lvlOverride>
  </w:num>
  <w:num w:numId="7" w16cid:durableId="71584668">
    <w:abstractNumId w:val="7"/>
  </w:num>
  <w:num w:numId="8" w16cid:durableId="122960733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9" w16cid:durableId="1173572244">
    <w:abstractNumId w:val="9"/>
  </w:num>
  <w:num w:numId="10" w16cid:durableId="1266034109">
    <w:abstractNumId w:val="5"/>
  </w:num>
  <w:num w:numId="11" w16cid:durableId="1317611570">
    <w:abstractNumId w:val="1"/>
  </w:num>
  <w:num w:numId="12" w16cid:durableId="1957250678">
    <w:abstractNumId w:val="1"/>
    <w:lvlOverride w:ilvl="0">
      <w:lvl w:ilvl="0">
        <w:start w:val="5"/>
        <w:numFmt w:val="decimal"/>
        <w:lvlText w:val="1.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13" w16cid:durableId="74908286">
    <w:abstractNumId w:val="1"/>
    <w:lvlOverride w:ilvl="0">
      <w:lvl w:ilvl="0">
        <w:start w:val="5"/>
        <w:numFmt w:val="decimal"/>
        <w:lvlText w:val="1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4" w16cid:durableId="1298143488">
    <w:abstractNumId w:val="3"/>
  </w:num>
  <w:num w:numId="15" w16cid:durableId="617880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86"/>
    <w:rsid w:val="000000BD"/>
    <w:rsid w:val="00001A5F"/>
    <w:rsid w:val="0000244F"/>
    <w:rsid w:val="00002CC9"/>
    <w:rsid w:val="000045F9"/>
    <w:rsid w:val="000128A3"/>
    <w:rsid w:val="00013182"/>
    <w:rsid w:val="00013CBA"/>
    <w:rsid w:val="00023ADB"/>
    <w:rsid w:val="00023B9A"/>
    <w:rsid w:val="000268DC"/>
    <w:rsid w:val="00027E08"/>
    <w:rsid w:val="00032291"/>
    <w:rsid w:val="0003586F"/>
    <w:rsid w:val="00036C9D"/>
    <w:rsid w:val="00043398"/>
    <w:rsid w:val="00053BF4"/>
    <w:rsid w:val="00065674"/>
    <w:rsid w:val="000662C8"/>
    <w:rsid w:val="00077BDD"/>
    <w:rsid w:val="00077DFD"/>
    <w:rsid w:val="0008231A"/>
    <w:rsid w:val="000933A1"/>
    <w:rsid w:val="000944DB"/>
    <w:rsid w:val="000961B4"/>
    <w:rsid w:val="000971D7"/>
    <w:rsid w:val="00097D6C"/>
    <w:rsid w:val="000A518F"/>
    <w:rsid w:val="000A6C5C"/>
    <w:rsid w:val="000A7A63"/>
    <w:rsid w:val="000B3745"/>
    <w:rsid w:val="000B6ECA"/>
    <w:rsid w:val="000B747C"/>
    <w:rsid w:val="000C0662"/>
    <w:rsid w:val="000C76A0"/>
    <w:rsid w:val="000D0361"/>
    <w:rsid w:val="000D03EE"/>
    <w:rsid w:val="000D5037"/>
    <w:rsid w:val="001063B5"/>
    <w:rsid w:val="001065E9"/>
    <w:rsid w:val="0010750A"/>
    <w:rsid w:val="001111D9"/>
    <w:rsid w:val="001125C4"/>
    <w:rsid w:val="00117B6B"/>
    <w:rsid w:val="00117B7A"/>
    <w:rsid w:val="001204F5"/>
    <w:rsid w:val="001258E3"/>
    <w:rsid w:val="00126BE8"/>
    <w:rsid w:val="00131B37"/>
    <w:rsid w:val="00136172"/>
    <w:rsid w:val="00136CE0"/>
    <w:rsid w:val="00143AC6"/>
    <w:rsid w:val="001452B5"/>
    <w:rsid w:val="001476C7"/>
    <w:rsid w:val="001523B9"/>
    <w:rsid w:val="00154434"/>
    <w:rsid w:val="001566D0"/>
    <w:rsid w:val="00156806"/>
    <w:rsid w:val="00176F81"/>
    <w:rsid w:val="00190E93"/>
    <w:rsid w:val="00191333"/>
    <w:rsid w:val="00194439"/>
    <w:rsid w:val="001A3EB1"/>
    <w:rsid w:val="001B3A60"/>
    <w:rsid w:val="001B418B"/>
    <w:rsid w:val="001C77A9"/>
    <w:rsid w:val="001E5B09"/>
    <w:rsid w:val="001E7DDA"/>
    <w:rsid w:val="001F0B53"/>
    <w:rsid w:val="001F0FBB"/>
    <w:rsid w:val="001F384F"/>
    <w:rsid w:val="0020452E"/>
    <w:rsid w:val="00207877"/>
    <w:rsid w:val="00207C8D"/>
    <w:rsid w:val="00212EC5"/>
    <w:rsid w:val="0022310A"/>
    <w:rsid w:val="00234436"/>
    <w:rsid w:val="002446A8"/>
    <w:rsid w:val="00250548"/>
    <w:rsid w:val="002514EA"/>
    <w:rsid w:val="00252A16"/>
    <w:rsid w:val="00256634"/>
    <w:rsid w:val="00261D93"/>
    <w:rsid w:val="00261DC9"/>
    <w:rsid w:val="0026339B"/>
    <w:rsid w:val="002712FE"/>
    <w:rsid w:val="00272050"/>
    <w:rsid w:val="00275506"/>
    <w:rsid w:val="00276E2C"/>
    <w:rsid w:val="00281D8C"/>
    <w:rsid w:val="00281E79"/>
    <w:rsid w:val="00287FC6"/>
    <w:rsid w:val="0029114E"/>
    <w:rsid w:val="002A240B"/>
    <w:rsid w:val="002A6FFD"/>
    <w:rsid w:val="002B3BC3"/>
    <w:rsid w:val="002C0290"/>
    <w:rsid w:val="002C6383"/>
    <w:rsid w:val="002D1574"/>
    <w:rsid w:val="002D4D4B"/>
    <w:rsid w:val="002E059F"/>
    <w:rsid w:val="002E22DE"/>
    <w:rsid w:val="002E44D5"/>
    <w:rsid w:val="002E5B28"/>
    <w:rsid w:val="002E5FBA"/>
    <w:rsid w:val="002F0E11"/>
    <w:rsid w:val="002F1C05"/>
    <w:rsid w:val="00302E0C"/>
    <w:rsid w:val="003031A1"/>
    <w:rsid w:val="00303968"/>
    <w:rsid w:val="00304A2D"/>
    <w:rsid w:val="00304D03"/>
    <w:rsid w:val="00304E3E"/>
    <w:rsid w:val="003116E8"/>
    <w:rsid w:val="00312E8D"/>
    <w:rsid w:val="00316794"/>
    <w:rsid w:val="00322075"/>
    <w:rsid w:val="003251C8"/>
    <w:rsid w:val="00325F8A"/>
    <w:rsid w:val="00340E8C"/>
    <w:rsid w:val="00351567"/>
    <w:rsid w:val="00352FBF"/>
    <w:rsid w:val="003600F7"/>
    <w:rsid w:val="003610CF"/>
    <w:rsid w:val="0036271A"/>
    <w:rsid w:val="003655CE"/>
    <w:rsid w:val="00370FA2"/>
    <w:rsid w:val="003747A1"/>
    <w:rsid w:val="0037539E"/>
    <w:rsid w:val="003826ED"/>
    <w:rsid w:val="003832E8"/>
    <w:rsid w:val="003847D8"/>
    <w:rsid w:val="003B531E"/>
    <w:rsid w:val="003B7EE6"/>
    <w:rsid w:val="003C1A94"/>
    <w:rsid w:val="003C3E0F"/>
    <w:rsid w:val="003D325E"/>
    <w:rsid w:val="003D532F"/>
    <w:rsid w:val="003D7DFE"/>
    <w:rsid w:val="003E3977"/>
    <w:rsid w:val="003E7E7E"/>
    <w:rsid w:val="003F19E2"/>
    <w:rsid w:val="003F5D5D"/>
    <w:rsid w:val="003F7945"/>
    <w:rsid w:val="004022DD"/>
    <w:rsid w:val="004024AE"/>
    <w:rsid w:val="00406812"/>
    <w:rsid w:val="00416081"/>
    <w:rsid w:val="00416FCA"/>
    <w:rsid w:val="00427387"/>
    <w:rsid w:val="004318D3"/>
    <w:rsid w:val="00432CC3"/>
    <w:rsid w:val="00441D22"/>
    <w:rsid w:val="0044661A"/>
    <w:rsid w:val="00446B2D"/>
    <w:rsid w:val="004479AB"/>
    <w:rsid w:val="004546DC"/>
    <w:rsid w:val="00461424"/>
    <w:rsid w:val="004634D7"/>
    <w:rsid w:val="00466F0D"/>
    <w:rsid w:val="00472788"/>
    <w:rsid w:val="00477075"/>
    <w:rsid w:val="00485954"/>
    <w:rsid w:val="00486CB0"/>
    <w:rsid w:val="00491868"/>
    <w:rsid w:val="00491ACF"/>
    <w:rsid w:val="0049248A"/>
    <w:rsid w:val="00494603"/>
    <w:rsid w:val="00496B58"/>
    <w:rsid w:val="00496C77"/>
    <w:rsid w:val="004A20E6"/>
    <w:rsid w:val="004A3D61"/>
    <w:rsid w:val="004A4ED3"/>
    <w:rsid w:val="004A65AC"/>
    <w:rsid w:val="004B2669"/>
    <w:rsid w:val="004B5309"/>
    <w:rsid w:val="004B5C20"/>
    <w:rsid w:val="004C1E67"/>
    <w:rsid w:val="004C367B"/>
    <w:rsid w:val="004C482F"/>
    <w:rsid w:val="004D009E"/>
    <w:rsid w:val="004D5A24"/>
    <w:rsid w:val="004D7F15"/>
    <w:rsid w:val="004E3057"/>
    <w:rsid w:val="004F212B"/>
    <w:rsid w:val="005016EA"/>
    <w:rsid w:val="00504237"/>
    <w:rsid w:val="00504E06"/>
    <w:rsid w:val="005176A9"/>
    <w:rsid w:val="00524279"/>
    <w:rsid w:val="005253C0"/>
    <w:rsid w:val="00527B89"/>
    <w:rsid w:val="00527D2E"/>
    <w:rsid w:val="005301BF"/>
    <w:rsid w:val="00541359"/>
    <w:rsid w:val="00542E81"/>
    <w:rsid w:val="00556BB2"/>
    <w:rsid w:val="00556BF1"/>
    <w:rsid w:val="00560B67"/>
    <w:rsid w:val="005610CA"/>
    <w:rsid w:val="0057181C"/>
    <w:rsid w:val="00575289"/>
    <w:rsid w:val="005759A5"/>
    <w:rsid w:val="00575E80"/>
    <w:rsid w:val="00585DE5"/>
    <w:rsid w:val="0058654F"/>
    <w:rsid w:val="00593890"/>
    <w:rsid w:val="00594F92"/>
    <w:rsid w:val="005A3FC1"/>
    <w:rsid w:val="005A5363"/>
    <w:rsid w:val="005A7209"/>
    <w:rsid w:val="005B1DB0"/>
    <w:rsid w:val="005B4AD5"/>
    <w:rsid w:val="005C1BBA"/>
    <w:rsid w:val="005C51A3"/>
    <w:rsid w:val="005D04B5"/>
    <w:rsid w:val="005D3CF0"/>
    <w:rsid w:val="005D46D3"/>
    <w:rsid w:val="005D55EF"/>
    <w:rsid w:val="005F23EE"/>
    <w:rsid w:val="005F360C"/>
    <w:rsid w:val="005F685A"/>
    <w:rsid w:val="005F7719"/>
    <w:rsid w:val="006006D8"/>
    <w:rsid w:val="00605FA5"/>
    <w:rsid w:val="0060622F"/>
    <w:rsid w:val="00607C1A"/>
    <w:rsid w:val="00616628"/>
    <w:rsid w:val="00616C8B"/>
    <w:rsid w:val="00616D13"/>
    <w:rsid w:val="00623321"/>
    <w:rsid w:val="006236F5"/>
    <w:rsid w:val="006263B6"/>
    <w:rsid w:val="00630536"/>
    <w:rsid w:val="00641C80"/>
    <w:rsid w:val="00644FD9"/>
    <w:rsid w:val="00647D48"/>
    <w:rsid w:val="00650A2D"/>
    <w:rsid w:val="00650B1A"/>
    <w:rsid w:val="00661A6F"/>
    <w:rsid w:val="00662E3A"/>
    <w:rsid w:val="00671428"/>
    <w:rsid w:val="0067295B"/>
    <w:rsid w:val="006731FE"/>
    <w:rsid w:val="00681364"/>
    <w:rsid w:val="00683C41"/>
    <w:rsid w:val="00686281"/>
    <w:rsid w:val="006950F6"/>
    <w:rsid w:val="006A07D8"/>
    <w:rsid w:val="006A1E75"/>
    <w:rsid w:val="006B24FF"/>
    <w:rsid w:val="006B43DC"/>
    <w:rsid w:val="006B6516"/>
    <w:rsid w:val="006B71A0"/>
    <w:rsid w:val="006C0960"/>
    <w:rsid w:val="006C20F6"/>
    <w:rsid w:val="006C2E6B"/>
    <w:rsid w:val="006C570A"/>
    <w:rsid w:val="006D0A22"/>
    <w:rsid w:val="006D73B8"/>
    <w:rsid w:val="006D74F8"/>
    <w:rsid w:val="006E2C2F"/>
    <w:rsid w:val="006E3C36"/>
    <w:rsid w:val="006E4859"/>
    <w:rsid w:val="006E5AF7"/>
    <w:rsid w:val="006E661D"/>
    <w:rsid w:val="006F125E"/>
    <w:rsid w:val="006F26F1"/>
    <w:rsid w:val="006F2E32"/>
    <w:rsid w:val="006F52C0"/>
    <w:rsid w:val="006F7392"/>
    <w:rsid w:val="006F7CEE"/>
    <w:rsid w:val="00706F0A"/>
    <w:rsid w:val="007200AD"/>
    <w:rsid w:val="00722287"/>
    <w:rsid w:val="00725A80"/>
    <w:rsid w:val="007260E8"/>
    <w:rsid w:val="00726D51"/>
    <w:rsid w:val="007329C9"/>
    <w:rsid w:val="007345FF"/>
    <w:rsid w:val="0073558F"/>
    <w:rsid w:val="007372F5"/>
    <w:rsid w:val="0074652B"/>
    <w:rsid w:val="00746C9C"/>
    <w:rsid w:val="007474B0"/>
    <w:rsid w:val="00747AA4"/>
    <w:rsid w:val="00752C29"/>
    <w:rsid w:val="00755058"/>
    <w:rsid w:val="00764C18"/>
    <w:rsid w:val="00767CC1"/>
    <w:rsid w:val="00770F17"/>
    <w:rsid w:val="00783E62"/>
    <w:rsid w:val="0078477D"/>
    <w:rsid w:val="00787970"/>
    <w:rsid w:val="007908D0"/>
    <w:rsid w:val="007934FC"/>
    <w:rsid w:val="007B1DBE"/>
    <w:rsid w:val="007B1F18"/>
    <w:rsid w:val="007B4ABA"/>
    <w:rsid w:val="007B528D"/>
    <w:rsid w:val="007B5E06"/>
    <w:rsid w:val="007C1BEC"/>
    <w:rsid w:val="007C24DF"/>
    <w:rsid w:val="007C43B1"/>
    <w:rsid w:val="007C7B60"/>
    <w:rsid w:val="007D7327"/>
    <w:rsid w:val="007E57CE"/>
    <w:rsid w:val="007F4842"/>
    <w:rsid w:val="0080167B"/>
    <w:rsid w:val="008049BD"/>
    <w:rsid w:val="00805711"/>
    <w:rsid w:val="00807376"/>
    <w:rsid w:val="008077D4"/>
    <w:rsid w:val="008174D0"/>
    <w:rsid w:val="00817DB4"/>
    <w:rsid w:val="00834033"/>
    <w:rsid w:val="00834C31"/>
    <w:rsid w:val="00837878"/>
    <w:rsid w:val="00843F0A"/>
    <w:rsid w:val="008479D2"/>
    <w:rsid w:val="00850806"/>
    <w:rsid w:val="00851294"/>
    <w:rsid w:val="00853000"/>
    <w:rsid w:val="008604DB"/>
    <w:rsid w:val="00865169"/>
    <w:rsid w:val="008666B4"/>
    <w:rsid w:val="008711FF"/>
    <w:rsid w:val="0087223D"/>
    <w:rsid w:val="00875247"/>
    <w:rsid w:val="00887E7E"/>
    <w:rsid w:val="008973A3"/>
    <w:rsid w:val="008A14EF"/>
    <w:rsid w:val="008A22F2"/>
    <w:rsid w:val="008A3DAB"/>
    <w:rsid w:val="008B0FCF"/>
    <w:rsid w:val="008B5C89"/>
    <w:rsid w:val="008C0AAE"/>
    <w:rsid w:val="008C1A2B"/>
    <w:rsid w:val="008C2E36"/>
    <w:rsid w:val="008C528D"/>
    <w:rsid w:val="008C620B"/>
    <w:rsid w:val="008C7980"/>
    <w:rsid w:val="008D43E0"/>
    <w:rsid w:val="008E3F32"/>
    <w:rsid w:val="008E4004"/>
    <w:rsid w:val="008F0A55"/>
    <w:rsid w:val="008F0DEE"/>
    <w:rsid w:val="008F245B"/>
    <w:rsid w:val="008F41EE"/>
    <w:rsid w:val="00904915"/>
    <w:rsid w:val="00905470"/>
    <w:rsid w:val="009056C1"/>
    <w:rsid w:val="00911F2E"/>
    <w:rsid w:val="00915677"/>
    <w:rsid w:val="009274B7"/>
    <w:rsid w:val="00930DF3"/>
    <w:rsid w:val="00933C9A"/>
    <w:rsid w:val="009360B3"/>
    <w:rsid w:val="00936257"/>
    <w:rsid w:val="00937751"/>
    <w:rsid w:val="009400EF"/>
    <w:rsid w:val="00942DC3"/>
    <w:rsid w:val="00946F1C"/>
    <w:rsid w:val="00954DA3"/>
    <w:rsid w:val="00961586"/>
    <w:rsid w:val="009710B1"/>
    <w:rsid w:val="00976579"/>
    <w:rsid w:val="009838AE"/>
    <w:rsid w:val="00991406"/>
    <w:rsid w:val="009923AB"/>
    <w:rsid w:val="00995487"/>
    <w:rsid w:val="009A0CC0"/>
    <w:rsid w:val="009A5B9A"/>
    <w:rsid w:val="009B388B"/>
    <w:rsid w:val="009B4964"/>
    <w:rsid w:val="009B548A"/>
    <w:rsid w:val="009C0884"/>
    <w:rsid w:val="009C3A0C"/>
    <w:rsid w:val="009D145E"/>
    <w:rsid w:val="009D1F11"/>
    <w:rsid w:val="009D6AD4"/>
    <w:rsid w:val="009D796A"/>
    <w:rsid w:val="009E1465"/>
    <w:rsid w:val="009E3656"/>
    <w:rsid w:val="009E4AD0"/>
    <w:rsid w:val="009E608D"/>
    <w:rsid w:val="009E71EB"/>
    <w:rsid w:val="009F08BE"/>
    <w:rsid w:val="009F3974"/>
    <w:rsid w:val="00A04D6B"/>
    <w:rsid w:val="00A1117B"/>
    <w:rsid w:val="00A156A2"/>
    <w:rsid w:val="00A20CEA"/>
    <w:rsid w:val="00A23F6C"/>
    <w:rsid w:val="00A263E6"/>
    <w:rsid w:val="00A35E1B"/>
    <w:rsid w:val="00A424B2"/>
    <w:rsid w:val="00A42D87"/>
    <w:rsid w:val="00A47F40"/>
    <w:rsid w:val="00A551EB"/>
    <w:rsid w:val="00A5614C"/>
    <w:rsid w:val="00A801AD"/>
    <w:rsid w:val="00A856C1"/>
    <w:rsid w:val="00A92961"/>
    <w:rsid w:val="00A948AF"/>
    <w:rsid w:val="00A95087"/>
    <w:rsid w:val="00AB113B"/>
    <w:rsid w:val="00AB22A8"/>
    <w:rsid w:val="00AB2768"/>
    <w:rsid w:val="00AB2E82"/>
    <w:rsid w:val="00AB44D8"/>
    <w:rsid w:val="00AB7881"/>
    <w:rsid w:val="00AC3F59"/>
    <w:rsid w:val="00AC6B31"/>
    <w:rsid w:val="00AD00E1"/>
    <w:rsid w:val="00AD42F7"/>
    <w:rsid w:val="00AE191C"/>
    <w:rsid w:val="00AF5EB8"/>
    <w:rsid w:val="00B0445A"/>
    <w:rsid w:val="00B16019"/>
    <w:rsid w:val="00B312BD"/>
    <w:rsid w:val="00B336E2"/>
    <w:rsid w:val="00B34549"/>
    <w:rsid w:val="00B44A17"/>
    <w:rsid w:val="00B46FA9"/>
    <w:rsid w:val="00B50504"/>
    <w:rsid w:val="00B5185B"/>
    <w:rsid w:val="00B552C9"/>
    <w:rsid w:val="00B564E3"/>
    <w:rsid w:val="00B62D4E"/>
    <w:rsid w:val="00B67A95"/>
    <w:rsid w:val="00B726B7"/>
    <w:rsid w:val="00B77FA2"/>
    <w:rsid w:val="00B82F3E"/>
    <w:rsid w:val="00B8412B"/>
    <w:rsid w:val="00B97FAF"/>
    <w:rsid w:val="00BB2D4F"/>
    <w:rsid w:val="00BB507D"/>
    <w:rsid w:val="00BC3992"/>
    <w:rsid w:val="00BC6B3F"/>
    <w:rsid w:val="00BD17D7"/>
    <w:rsid w:val="00BD256E"/>
    <w:rsid w:val="00BD7179"/>
    <w:rsid w:val="00BD7F87"/>
    <w:rsid w:val="00BE3EED"/>
    <w:rsid w:val="00BE496B"/>
    <w:rsid w:val="00BF07E7"/>
    <w:rsid w:val="00BF0AE7"/>
    <w:rsid w:val="00BF4FDB"/>
    <w:rsid w:val="00C10C9A"/>
    <w:rsid w:val="00C10D77"/>
    <w:rsid w:val="00C142BC"/>
    <w:rsid w:val="00C24813"/>
    <w:rsid w:val="00C34B2D"/>
    <w:rsid w:val="00C406E3"/>
    <w:rsid w:val="00C42FC1"/>
    <w:rsid w:val="00C645C4"/>
    <w:rsid w:val="00C7556A"/>
    <w:rsid w:val="00C82EA3"/>
    <w:rsid w:val="00C840DC"/>
    <w:rsid w:val="00C91447"/>
    <w:rsid w:val="00C94FB1"/>
    <w:rsid w:val="00CA319C"/>
    <w:rsid w:val="00CB181D"/>
    <w:rsid w:val="00CC3428"/>
    <w:rsid w:val="00CC400E"/>
    <w:rsid w:val="00CD0C17"/>
    <w:rsid w:val="00CD0E74"/>
    <w:rsid w:val="00CD0FF8"/>
    <w:rsid w:val="00CD279F"/>
    <w:rsid w:val="00CE1505"/>
    <w:rsid w:val="00CE71AE"/>
    <w:rsid w:val="00CF68C2"/>
    <w:rsid w:val="00D06A0E"/>
    <w:rsid w:val="00D12BAA"/>
    <w:rsid w:val="00D21554"/>
    <w:rsid w:val="00D255CD"/>
    <w:rsid w:val="00D41DC4"/>
    <w:rsid w:val="00D47EC4"/>
    <w:rsid w:val="00D5007D"/>
    <w:rsid w:val="00D51DF7"/>
    <w:rsid w:val="00D54F3D"/>
    <w:rsid w:val="00D576DE"/>
    <w:rsid w:val="00D61122"/>
    <w:rsid w:val="00D6477D"/>
    <w:rsid w:val="00D66539"/>
    <w:rsid w:val="00D708F3"/>
    <w:rsid w:val="00D94C80"/>
    <w:rsid w:val="00DA0759"/>
    <w:rsid w:val="00DA6146"/>
    <w:rsid w:val="00DB1E63"/>
    <w:rsid w:val="00DC43D2"/>
    <w:rsid w:val="00DC4AD4"/>
    <w:rsid w:val="00DD2637"/>
    <w:rsid w:val="00DD3283"/>
    <w:rsid w:val="00DE1618"/>
    <w:rsid w:val="00DE2AD2"/>
    <w:rsid w:val="00DE2F96"/>
    <w:rsid w:val="00DE445A"/>
    <w:rsid w:val="00DF09DD"/>
    <w:rsid w:val="00DF1087"/>
    <w:rsid w:val="00DF1DDD"/>
    <w:rsid w:val="00DF1E38"/>
    <w:rsid w:val="00DF32BA"/>
    <w:rsid w:val="00DF4DE6"/>
    <w:rsid w:val="00E00C67"/>
    <w:rsid w:val="00E02617"/>
    <w:rsid w:val="00E0528C"/>
    <w:rsid w:val="00E05D83"/>
    <w:rsid w:val="00E06C5B"/>
    <w:rsid w:val="00E13547"/>
    <w:rsid w:val="00E144ED"/>
    <w:rsid w:val="00E1559A"/>
    <w:rsid w:val="00E22939"/>
    <w:rsid w:val="00E243C1"/>
    <w:rsid w:val="00E266BA"/>
    <w:rsid w:val="00E304EF"/>
    <w:rsid w:val="00E33828"/>
    <w:rsid w:val="00E36E54"/>
    <w:rsid w:val="00E37C6D"/>
    <w:rsid w:val="00E5632D"/>
    <w:rsid w:val="00E57D93"/>
    <w:rsid w:val="00E60E63"/>
    <w:rsid w:val="00E728B4"/>
    <w:rsid w:val="00E76B7B"/>
    <w:rsid w:val="00E81402"/>
    <w:rsid w:val="00E81670"/>
    <w:rsid w:val="00E83047"/>
    <w:rsid w:val="00EA062E"/>
    <w:rsid w:val="00EA7DE9"/>
    <w:rsid w:val="00EB6DE0"/>
    <w:rsid w:val="00EC15E6"/>
    <w:rsid w:val="00ED2B83"/>
    <w:rsid w:val="00ED4616"/>
    <w:rsid w:val="00ED4E8F"/>
    <w:rsid w:val="00ED587D"/>
    <w:rsid w:val="00EE7353"/>
    <w:rsid w:val="00F07E96"/>
    <w:rsid w:val="00F1567A"/>
    <w:rsid w:val="00F16833"/>
    <w:rsid w:val="00F25D57"/>
    <w:rsid w:val="00F30300"/>
    <w:rsid w:val="00F314E1"/>
    <w:rsid w:val="00F3340E"/>
    <w:rsid w:val="00F404B5"/>
    <w:rsid w:val="00F45483"/>
    <w:rsid w:val="00F510D0"/>
    <w:rsid w:val="00F53BD7"/>
    <w:rsid w:val="00F54B5E"/>
    <w:rsid w:val="00F65B78"/>
    <w:rsid w:val="00F66AAB"/>
    <w:rsid w:val="00F8357A"/>
    <w:rsid w:val="00F83C45"/>
    <w:rsid w:val="00F83F74"/>
    <w:rsid w:val="00F90812"/>
    <w:rsid w:val="00F92820"/>
    <w:rsid w:val="00F92AD0"/>
    <w:rsid w:val="00F95101"/>
    <w:rsid w:val="00F956AD"/>
    <w:rsid w:val="00F975C1"/>
    <w:rsid w:val="00FA01C4"/>
    <w:rsid w:val="00FB019C"/>
    <w:rsid w:val="00FB23AA"/>
    <w:rsid w:val="00FC25C4"/>
    <w:rsid w:val="00FC61FE"/>
    <w:rsid w:val="00FC63AE"/>
    <w:rsid w:val="00FD06F1"/>
    <w:rsid w:val="00FD2C97"/>
    <w:rsid w:val="00FD40C9"/>
    <w:rsid w:val="00FD4FD5"/>
    <w:rsid w:val="00FD58D4"/>
    <w:rsid w:val="00FE394F"/>
    <w:rsid w:val="00FE479D"/>
    <w:rsid w:val="00FE5AED"/>
    <w:rsid w:val="00FF3EC5"/>
    <w:rsid w:val="00FF4B6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72D9C"/>
  <w15:docId w15:val="{73989690-F291-4FDC-A519-4841B9D0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E0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E7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6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67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B0A8F"/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0A8F"/>
    <w:rPr>
      <w:rFonts w:ascii="Calibri" w:hAnsi="Calibri"/>
      <w:sz w:val="22"/>
    </w:rPr>
  </w:style>
  <w:style w:type="character" w:customStyle="1" w:styleId="FontStyle22">
    <w:name w:val="Font Style22"/>
    <w:basedOn w:val="Domylnaczcionkaakapitu"/>
    <w:uiPriority w:val="99"/>
    <w:qFormat/>
    <w:rsid w:val="00C92FFE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AE14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14C6"/>
    <w:rPr>
      <w:color w:val="605E5C"/>
      <w:shd w:val="clear" w:color="auto" w:fill="E1DFDD"/>
    </w:rPr>
  </w:style>
  <w:style w:type="character" w:customStyle="1" w:styleId="FontStyle11">
    <w:name w:val="Font Style11"/>
    <w:basedOn w:val="Domylnaczcionkaakapitu"/>
    <w:uiPriority w:val="99"/>
    <w:qFormat/>
    <w:rsid w:val="000C2FE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E7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967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967A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8712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8712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8712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0A8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B0A8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</w:rPr>
  </w:style>
  <w:style w:type="paragraph" w:styleId="NormalnyWeb">
    <w:name w:val="Normal (Web)"/>
    <w:basedOn w:val="Normalny"/>
    <w:uiPriority w:val="99"/>
    <w:semiHidden/>
    <w:unhideWhenUsed/>
    <w:qFormat/>
    <w:rsid w:val="00AE14C6"/>
    <w:rPr>
      <w:rFonts w:cs="Times New Roman"/>
      <w:szCs w:val="24"/>
    </w:rPr>
  </w:style>
  <w:style w:type="paragraph" w:styleId="Akapitzlist">
    <w:name w:val="List Paragraph"/>
    <w:basedOn w:val="Normalny"/>
    <w:uiPriority w:val="34"/>
    <w:qFormat/>
    <w:rsid w:val="003A7295"/>
    <w:pPr>
      <w:ind w:left="720"/>
      <w:contextualSpacing/>
    </w:pPr>
  </w:style>
  <w:style w:type="paragraph" w:customStyle="1" w:styleId="Style1">
    <w:name w:val="Style1"/>
    <w:basedOn w:val="Normalny"/>
    <w:uiPriority w:val="99"/>
    <w:qFormat/>
    <w:rsid w:val="000C2FE8"/>
    <w:pPr>
      <w:widowControl w:val="0"/>
      <w:spacing w:after="0" w:line="413" w:lineRule="exact"/>
      <w:ind w:firstLine="710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0C2FE8"/>
    <w:pPr>
      <w:widowControl w:val="0"/>
      <w:spacing w:after="0" w:line="413" w:lineRule="exact"/>
      <w:ind w:firstLine="706"/>
      <w:jc w:val="both"/>
    </w:pPr>
    <w:rPr>
      <w:rFonts w:eastAsiaTheme="minorEastAsia" w:cs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8712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87120"/>
    <w:rPr>
      <w:b/>
      <w:bCs/>
    </w:rPr>
  </w:style>
  <w:style w:type="paragraph" w:customStyle="1" w:styleId="Style4">
    <w:name w:val="Style4"/>
    <w:basedOn w:val="Normalny"/>
    <w:uiPriority w:val="99"/>
    <w:rsid w:val="00BC3992"/>
    <w:pPr>
      <w:widowControl w:val="0"/>
      <w:suppressAutoHyphens w:val="0"/>
      <w:autoSpaceDE w:val="0"/>
      <w:autoSpaceDN w:val="0"/>
      <w:adjustRightInd w:val="0"/>
      <w:spacing w:after="0" w:line="415" w:lineRule="exact"/>
    </w:pPr>
    <w:rPr>
      <w:rFonts w:eastAsiaTheme="minorEastAsia" w:cs="Times New Roman"/>
      <w:szCs w:val="24"/>
      <w:lang w:eastAsia="pl-PL"/>
    </w:rPr>
  </w:style>
  <w:style w:type="paragraph" w:customStyle="1" w:styleId="Style6">
    <w:name w:val="Style6"/>
    <w:basedOn w:val="Normalny"/>
    <w:uiPriority w:val="99"/>
    <w:rsid w:val="00BC3992"/>
    <w:pPr>
      <w:widowControl w:val="0"/>
      <w:suppressAutoHyphens w:val="0"/>
      <w:autoSpaceDE w:val="0"/>
      <w:autoSpaceDN w:val="0"/>
      <w:adjustRightInd w:val="0"/>
      <w:spacing w:after="0" w:line="414" w:lineRule="exact"/>
      <w:ind w:firstLine="427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16">
    <w:name w:val="Style16"/>
    <w:basedOn w:val="Normalny"/>
    <w:uiPriority w:val="99"/>
    <w:rsid w:val="00BC399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19">
    <w:name w:val="Style19"/>
    <w:basedOn w:val="Normalny"/>
    <w:uiPriority w:val="99"/>
    <w:rsid w:val="00BC3992"/>
    <w:pPr>
      <w:widowControl w:val="0"/>
      <w:suppressAutoHyphens w:val="0"/>
      <w:autoSpaceDE w:val="0"/>
      <w:autoSpaceDN w:val="0"/>
      <w:adjustRightInd w:val="0"/>
      <w:spacing w:after="0" w:line="414" w:lineRule="exact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28">
    <w:name w:val="Style28"/>
    <w:basedOn w:val="Normalny"/>
    <w:uiPriority w:val="99"/>
    <w:rsid w:val="00BC3992"/>
    <w:pPr>
      <w:widowControl w:val="0"/>
      <w:suppressAutoHyphens w:val="0"/>
      <w:autoSpaceDE w:val="0"/>
      <w:autoSpaceDN w:val="0"/>
      <w:adjustRightInd w:val="0"/>
      <w:spacing w:after="0" w:line="727" w:lineRule="exact"/>
    </w:pPr>
    <w:rPr>
      <w:rFonts w:eastAsiaTheme="minorEastAsia" w:cs="Times New Roman"/>
      <w:szCs w:val="24"/>
      <w:lang w:eastAsia="pl-PL"/>
    </w:rPr>
  </w:style>
  <w:style w:type="paragraph" w:customStyle="1" w:styleId="Style29">
    <w:name w:val="Style29"/>
    <w:basedOn w:val="Normalny"/>
    <w:uiPriority w:val="99"/>
    <w:rsid w:val="00BC3992"/>
    <w:pPr>
      <w:widowControl w:val="0"/>
      <w:suppressAutoHyphens w:val="0"/>
      <w:autoSpaceDE w:val="0"/>
      <w:autoSpaceDN w:val="0"/>
      <w:adjustRightInd w:val="0"/>
      <w:spacing w:after="0" w:line="418" w:lineRule="exact"/>
      <w:ind w:firstLine="425"/>
    </w:pPr>
    <w:rPr>
      <w:rFonts w:eastAsiaTheme="minorEastAsia" w:cs="Times New Roman"/>
      <w:szCs w:val="24"/>
      <w:lang w:eastAsia="pl-PL"/>
    </w:rPr>
  </w:style>
  <w:style w:type="character" w:customStyle="1" w:styleId="FontStyle35">
    <w:name w:val="Font Style35"/>
    <w:basedOn w:val="Domylnaczcionkaakapitu"/>
    <w:uiPriority w:val="99"/>
    <w:rsid w:val="00BC39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BC3992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BC39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Domylnaczcionkaakapitu"/>
    <w:uiPriority w:val="99"/>
    <w:rsid w:val="00BC3992"/>
    <w:rPr>
      <w:rFonts w:ascii="Franklin Gothic Medium Cond" w:hAnsi="Franklin Gothic Medium Cond" w:cs="Franklin Gothic Medium Cond"/>
      <w:b/>
      <w:bCs/>
      <w:i/>
      <w:iCs/>
      <w:sz w:val="22"/>
      <w:szCs w:val="22"/>
    </w:rPr>
  </w:style>
  <w:style w:type="character" w:styleId="Hipercze">
    <w:name w:val="Hyperlink"/>
    <w:basedOn w:val="Domylnaczcionkaakapitu"/>
    <w:uiPriority w:val="99"/>
    <w:rsid w:val="00BC3992"/>
    <w:rPr>
      <w:color w:val="0066CC"/>
      <w:u w:val="single"/>
    </w:rPr>
  </w:style>
  <w:style w:type="paragraph" w:customStyle="1" w:styleId="Style30">
    <w:name w:val="Style30"/>
    <w:basedOn w:val="Normalny"/>
    <w:uiPriority w:val="99"/>
    <w:rsid w:val="00BC3992"/>
    <w:pPr>
      <w:widowControl w:val="0"/>
      <w:suppressAutoHyphens w:val="0"/>
      <w:autoSpaceDE w:val="0"/>
      <w:autoSpaceDN w:val="0"/>
      <w:adjustRightInd w:val="0"/>
      <w:spacing w:after="0" w:line="482" w:lineRule="exact"/>
      <w:ind w:firstLine="418"/>
      <w:jc w:val="both"/>
    </w:pPr>
    <w:rPr>
      <w:rFonts w:eastAsiaTheme="minorEastAsia" w:cs="Times New Roman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805711"/>
  </w:style>
  <w:style w:type="paragraph" w:styleId="Tekstdymka">
    <w:name w:val="Balloon Text"/>
    <w:basedOn w:val="Normalny"/>
    <w:link w:val="TekstdymkaZnak"/>
    <w:uiPriority w:val="99"/>
    <w:semiHidden/>
    <w:unhideWhenUsed/>
    <w:rsid w:val="00D6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5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34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7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377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3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6" w:color="DEDEDE"/>
            <w:right w:val="none" w:sz="0" w:space="0" w:color="auto"/>
          </w:divBdr>
          <w:divsChild>
            <w:div w:id="1265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36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81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5A33-4B9F-40F1-9DAD-434200F9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32</Pages>
  <Words>10563</Words>
  <Characters>63384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w sprawie KR III R 96/22– ul. Puławska 31  – wersja cyfrowa [ogłoszono w BIP .11.2022 r.]</vt:lpstr>
    </vt:vector>
  </TitlesOfParts>
  <Company>MS</Company>
  <LinksUpToDate>false</LinksUpToDate>
  <CharactersWithSpaces>73800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KR III R 96/22– ul. Puławska 31  – wersja cyfrowa [ogłoszono w BIP 20.02.2023 r.]</dc:title>
  <dc:creator>Haintze Tomasz  (DPA)</dc:creator>
  <cp:lastModifiedBy>Nowak Damian  (DPA)</cp:lastModifiedBy>
  <cp:revision>16</cp:revision>
  <cp:lastPrinted>2022-05-31T08:33:00Z</cp:lastPrinted>
  <dcterms:created xsi:type="dcterms:W3CDTF">2023-02-17T13:42:00Z</dcterms:created>
  <dcterms:modified xsi:type="dcterms:W3CDTF">2023-02-20T09:15:00Z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