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E3FC" w14:textId="77777777" w:rsidR="0067033B" w:rsidRPr="009A1B05" w:rsidRDefault="0067033B" w:rsidP="0067033B">
      <w:pPr>
        <w:spacing w:before="120" w:after="120" w:line="360" w:lineRule="auto"/>
        <w:contextualSpacing/>
        <w:rPr>
          <w:rFonts w:eastAsiaTheme="majorEastAsia" w:cstheme="minorHAnsi"/>
          <w:b/>
          <w:bCs/>
          <w:iCs/>
          <w:sz w:val="24"/>
          <w:szCs w:val="24"/>
          <w:lang w:val="pl-PL"/>
        </w:rPr>
      </w:pPr>
    </w:p>
    <w:p w14:paraId="136B3595" w14:textId="77777777" w:rsidR="0067033B" w:rsidRPr="009A1B05" w:rsidRDefault="0067033B" w:rsidP="0067033B">
      <w:pPr>
        <w:spacing w:before="120" w:after="120" w:line="360" w:lineRule="auto"/>
        <w:contextualSpacing/>
        <w:rPr>
          <w:rFonts w:eastAsiaTheme="majorEastAsia" w:cstheme="minorHAnsi"/>
          <w:b/>
          <w:bCs/>
          <w:iCs/>
          <w:sz w:val="24"/>
          <w:szCs w:val="24"/>
          <w:lang w:val="pl-PL"/>
        </w:rPr>
      </w:pPr>
    </w:p>
    <w:p w14:paraId="12F35259" w14:textId="77777777" w:rsidR="0067033B" w:rsidRPr="009A1B05" w:rsidRDefault="0067033B" w:rsidP="0067033B">
      <w:pPr>
        <w:spacing w:before="120" w:after="120" w:line="360" w:lineRule="auto"/>
        <w:contextualSpacing/>
        <w:rPr>
          <w:rFonts w:eastAsiaTheme="majorEastAsia" w:cstheme="minorHAnsi"/>
          <w:b/>
          <w:bCs/>
          <w:iCs/>
          <w:sz w:val="24"/>
          <w:szCs w:val="24"/>
          <w:lang w:val="pl-PL"/>
        </w:rPr>
      </w:pPr>
    </w:p>
    <w:p w14:paraId="1BAAE32C" w14:textId="77777777" w:rsidR="0067033B" w:rsidRPr="009A1B05" w:rsidRDefault="0067033B" w:rsidP="0067033B">
      <w:pPr>
        <w:spacing w:before="120" w:after="120" w:line="360" w:lineRule="auto"/>
        <w:contextualSpacing/>
        <w:rPr>
          <w:rFonts w:eastAsiaTheme="majorEastAsia" w:cstheme="minorHAnsi"/>
          <w:b/>
          <w:bCs/>
          <w:iCs/>
          <w:sz w:val="24"/>
          <w:szCs w:val="24"/>
          <w:lang w:val="pl-PL"/>
        </w:rPr>
      </w:pPr>
    </w:p>
    <w:p w14:paraId="05D9C35D" w14:textId="77777777" w:rsidR="0067033B" w:rsidRPr="009A1B05" w:rsidRDefault="0067033B" w:rsidP="0067033B">
      <w:pPr>
        <w:spacing w:before="120" w:after="120" w:line="360" w:lineRule="auto"/>
        <w:contextualSpacing/>
        <w:rPr>
          <w:rFonts w:eastAsiaTheme="majorEastAsia" w:cstheme="minorHAnsi"/>
          <w:b/>
          <w:bCs/>
          <w:iCs/>
          <w:sz w:val="24"/>
          <w:szCs w:val="24"/>
          <w:lang w:val="pl-PL"/>
        </w:rPr>
      </w:pPr>
    </w:p>
    <w:p w14:paraId="0E2878FE" w14:textId="77777777" w:rsidR="0067033B" w:rsidRPr="009A1B05" w:rsidRDefault="0067033B" w:rsidP="0067033B">
      <w:pPr>
        <w:spacing w:before="120" w:after="120" w:line="360" w:lineRule="auto"/>
        <w:contextualSpacing/>
        <w:rPr>
          <w:rFonts w:eastAsiaTheme="majorEastAsia" w:cstheme="minorHAnsi"/>
          <w:b/>
          <w:bCs/>
          <w:iCs/>
          <w:sz w:val="24"/>
          <w:szCs w:val="24"/>
          <w:lang w:val="pl-PL"/>
        </w:rPr>
      </w:pPr>
    </w:p>
    <w:p w14:paraId="41B65036" w14:textId="77777777" w:rsidR="0067033B" w:rsidRPr="009A1B05" w:rsidRDefault="0067033B" w:rsidP="0067033B">
      <w:pPr>
        <w:spacing w:before="120" w:after="120" w:line="360" w:lineRule="auto"/>
        <w:contextualSpacing/>
        <w:rPr>
          <w:rFonts w:eastAsiaTheme="majorEastAsia" w:cstheme="minorHAnsi"/>
          <w:b/>
          <w:bCs/>
          <w:iCs/>
          <w:sz w:val="24"/>
          <w:szCs w:val="24"/>
          <w:lang w:val="pl-PL"/>
        </w:rPr>
      </w:pPr>
    </w:p>
    <w:p w14:paraId="0A2FFA57" w14:textId="77777777" w:rsidR="0067033B" w:rsidRPr="009A1B05" w:rsidRDefault="0067033B" w:rsidP="0067033B">
      <w:pPr>
        <w:spacing w:before="120" w:after="120" w:line="360" w:lineRule="auto"/>
        <w:contextualSpacing/>
        <w:rPr>
          <w:rFonts w:eastAsiaTheme="majorEastAsia" w:cstheme="minorHAnsi"/>
          <w:b/>
          <w:bCs/>
          <w:iCs/>
          <w:sz w:val="24"/>
          <w:szCs w:val="24"/>
          <w:lang w:val="pl-PL"/>
        </w:rPr>
      </w:pPr>
    </w:p>
    <w:p w14:paraId="6DA3A376" w14:textId="77777777" w:rsidR="0067033B" w:rsidRPr="009A1B05" w:rsidRDefault="0067033B" w:rsidP="0067033B">
      <w:pPr>
        <w:spacing w:before="120" w:after="120" w:line="360" w:lineRule="auto"/>
        <w:contextualSpacing/>
        <w:rPr>
          <w:rFonts w:eastAsiaTheme="majorEastAsia" w:cstheme="minorHAnsi"/>
          <w:b/>
          <w:bCs/>
          <w:iCs/>
          <w:sz w:val="24"/>
          <w:szCs w:val="24"/>
          <w:lang w:val="pl-PL"/>
        </w:rPr>
      </w:pPr>
    </w:p>
    <w:p w14:paraId="39C2C720" w14:textId="77777777" w:rsidR="0067033B" w:rsidRPr="009A1B05" w:rsidRDefault="0067033B" w:rsidP="0067033B">
      <w:pPr>
        <w:spacing w:before="120" w:after="120" w:line="360" w:lineRule="auto"/>
        <w:contextualSpacing/>
        <w:jc w:val="center"/>
        <w:rPr>
          <w:rFonts w:eastAsiaTheme="majorEastAsia" w:cstheme="minorHAnsi"/>
          <w:b/>
          <w:bCs/>
          <w:iCs/>
          <w:sz w:val="24"/>
          <w:szCs w:val="24"/>
          <w:lang w:val="pl-PL"/>
        </w:rPr>
      </w:pPr>
      <w:r w:rsidRPr="009A1B05">
        <w:rPr>
          <w:rFonts w:eastAsiaTheme="majorEastAsia" w:cstheme="minorHAnsi"/>
          <w:b/>
          <w:bCs/>
          <w:iCs/>
          <w:sz w:val="24"/>
          <w:szCs w:val="24"/>
          <w:lang w:val="pl-PL"/>
        </w:rPr>
        <w:t xml:space="preserve">Załącznik </w:t>
      </w:r>
      <w:r>
        <w:rPr>
          <w:rFonts w:eastAsiaTheme="majorEastAsia" w:cstheme="minorHAnsi"/>
          <w:b/>
          <w:bCs/>
          <w:iCs/>
          <w:sz w:val="24"/>
          <w:szCs w:val="24"/>
          <w:lang w:val="pl-PL"/>
        </w:rPr>
        <w:t xml:space="preserve">nr </w:t>
      </w:r>
      <w:r w:rsidRPr="009A1B05">
        <w:rPr>
          <w:rFonts w:eastAsiaTheme="majorEastAsia" w:cstheme="minorHAnsi"/>
          <w:b/>
          <w:bCs/>
          <w:iCs/>
          <w:sz w:val="24"/>
          <w:szCs w:val="24"/>
          <w:lang w:val="pl-PL"/>
        </w:rPr>
        <w:t>1</w:t>
      </w:r>
      <w:bookmarkStart w:id="0" w:name="_Toc428535187"/>
      <w:bookmarkStart w:id="1" w:name="_Toc431295988"/>
      <w:bookmarkStart w:id="2" w:name="_Toc78468497"/>
      <w:bookmarkStart w:id="3" w:name="_Toc406509583"/>
      <w:r>
        <w:rPr>
          <w:rFonts w:eastAsiaTheme="majorEastAsia" w:cstheme="minorHAnsi"/>
          <w:b/>
          <w:bCs/>
          <w:iCs/>
          <w:sz w:val="24"/>
          <w:szCs w:val="24"/>
          <w:lang w:val="pl-PL"/>
        </w:rPr>
        <w:t>.</w:t>
      </w:r>
    </w:p>
    <w:p w14:paraId="005DE7C7" w14:textId="77777777" w:rsidR="0067033B" w:rsidRPr="009A1B05" w:rsidRDefault="0067033B" w:rsidP="0067033B">
      <w:pPr>
        <w:spacing w:before="120" w:after="120" w:line="360" w:lineRule="auto"/>
        <w:contextualSpacing/>
        <w:jc w:val="center"/>
        <w:rPr>
          <w:rFonts w:cstheme="minorHAnsi"/>
          <w:b/>
          <w:iCs/>
          <w:sz w:val="24"/>
          <w:szCs w:val="24"/>
          <w:lang w:val="pl-PL"/>
        </w:rPr>
      </w:pPr>
      <w:r w:rsidRPr="009A1B05">
        <w:rPr>
          <w:rFonts w:cstheme="minorHAnsi"/>
          <w:b/>
          <w:iCs/>
          <w:sz w:val="24"/>
          <w:szCs w:val="24"/>
          <w:lang w:val="pl-PL"/>
        </w:rPr>
        <w:t>Zamówienia udzielane w Przedsięwzięciach</w:t>
      </w:r>
      <w:bookmarkEnd w:id="0"/>
      <w:bookmarkEnd w:id="1"/>
      <w:bookmarkEnd w:id="2"/>
      <w:r w:rsidRPr="009A1B05">
        <w:rPr>
          <w:rFonts w:cstheme="minorHAnsi"/>
          <w:b/>
          <w:iCs/>
          <w:sz w:val="24"/>
          <w:szCs w:val="24"/>
          <w:lang w:val="pl-PL"/>
        </w:rPr>
        <w:t xml:space="preserve"> realizowanych w ramach inwestycji C3.1.1.</w:t>
      </w:r>
    </w:p>
    <w:p w14:paraId="2D9165E8" w14:textId="77777777" w:rsidR="0067033B" w:rsidRPr="009A1B05" w:rsidRDefault="0067033B" w:rsidP="0067033B">
      <w:pPr>
        <w:spacing w:before="120" w:after="120" w:line="360" w:lineRule="auto"/>
        <w:contextualSpacing/>
        <w:rPr>
          <w:rFonts w:cstheme="minorHAnsi"/>
          <w:b/>
          <w:iCs/>
          <w:sz w:val="24"/>
          <w:szCs w:val="24"/>
          <w:lang w:val="pl-PL"/>
        </w:rPr>
      </w:pPr>
    </w:p>
    <w:p w14:paraId="3DFF39FE" w14:textId="77777777" w:rsidR="0067033B" w:rsidRPr="009A1B05" w:rsidRDefault="0067033B" w:rsidP="0067033B">
      <w:pPr>
        <w:spacing w:before="120" w:after="120" w:line="360" w:lineRule="auto"/>
        <w:contextualSpacing/>
        <w:rPr>
          <w:rFonts w:cstheme="minorHAnsi"/>
          <w:b/>
          <w:iCs/>
          <w:sz w:val="24"/>
          <w:szCs w:val="24"/>
          <w:lang w:val="pl-PL"/>
        </w:rPr>
      </w:pPr>
    </w:p>
    <w:p w14:paraId="03609CCB" w14:textId="77777777" w:rsidR="0067033B" w:rsidRPr="009A1B05" w:rsidRDefault="0067033B" w:rsidP="0067033B">
      <w:pPr>
        <w:spacing w:before="120" w:after="120" w:line="360" w:lineRule="auto"/>
        <w:contextualSpacing/>
        <w:rPr>
          <w:rFonts w:cstheme="minorHAnsi"/>
          <w:b/>
          <w:iCs/>
          <w:sz w:val="24"/>
          <w:szCs w:val="24"/>
          <w:lang w:val="pl-PL"/>
        </w:rPr>
      </w:pPr>
    </w:p>
    <w:p w14:paraId="2C6BD138" w14:textId="77777777" w:rsidR="0067033B" w:rsidRPr="009A1B05" w:rsidRDefault="0067033B" w:rsidP="0067033B">
      <w:pPr>
        <w:spacing w:before="120" w:after="120" w:line="360" w:lineRule="auto"/>
        <w:contextualSpacing/>
        <w:rPr>
          <w:rFonts w:cstheme="minorHAnsi"/>
          <w:b/>
          <w:iCs/>
          <w:sz w:val="24"/>
          <w:szCs w:val="24"/>
          <w:lang w:val="pl-PL"/>
        </w:rPr>
      </w:pPr>
    </w:p>
    <w:p w14:paraId="3F461108" w14:textId="77777777" w:rsidR="0067033B" w:rsidRPr="009A1B05" w:rsidRDefault="0067033B" w:rsidP="0067033B">
      <w:pPr>
        <w:spacing w:before="120" w:after="120" w:line="360" w:lineRule="auto"/>
        <w:contextualSpacing/>
        <w:rPr>
          <w:rFonts w:cstheme="minorHAnsi"/>
          <w:b/>
          <w:iCs/>
          <w:sz w:val="24"/>
          <w:szCs w:val="24"/>
          <w:lang w:val="pl-PL"/>
        </w:rPr>
      </w:pPr>
    </w:p>
    <w:p w14:paraId="7E0848E1" w14:textId="77777777" w:rsidR="0067033B" w:rsidRPr="009A1B05" w:rsidRDefault="0067033B" w:rsidP="0067033B">
      <w:pPr>
        <w:spacing w:before="120" w:after="120" w:line="360" w:lineRule="auto"/>
        <w:contextualSpacing/>
        <w:rPr>
          <w:rFonts w:cstheme="minorHAnsi"/>
          <w:b/>
          <w:iCs/>
          <w:sz w:val="24"/>
          <w:szCs w:val="24"/>
          <w:lang w:val="pl-PL"/>
        </w:rPr>
      </w:pPr>
    </w:p>
    <w:p w14:paraId="1EE0CBF0" w14:textId="77777777" w:rsidR="0067033B" w:rsidRPr="009A1B05" w:rsidRDefault="0067033B" w:rsidP="0067033B">
      <w:pPr>
        <w:spacing w:before="120" w:after="120" w:line="360" w:lineRule="auto"/>
        <w:contextualSpacing/>
        <w:rPr>
          <w:rFonts w:cstheme="minorHAnsi"/>
          <w:b/>
          <w:iCs/>
          <w:sz w:val="24"/>
          <w:szCs w:val="24"/>
          <w:lang w:val="pl-PL"/>
        </w:rPr>
      </w:pPr>
    </w:p>
    <w:p w14:paraId="30FC74C1" w14:textId="77777777" w:rsidR="0067033B" w:rsidRPr="009A1B05" w:rsidRDefault="0067033B" w:rsidP="0067033B">
      <w:pPr>
        <w:spacing w:before="120" w:after="120" w:line="360" w:lineRule="auto"/>
        <w:contextualSpacing/>
        <w:rPr>
          <w:rFonts w:cstheme="minorHAnsi"/>
          <w:b/>
          <w:iCs/>
          <w:sz w:val="24"/>
          <w:szCs w:val="24"/>
          <w:lang w:val="pl-PL"/>
        </w:rPr>
      </w:pPr>
    </w:p>
    <w:p w14:paraId="6017DD4A" w14:textId="77777777" w:rsidR="0067033B" w:rsidRPr="009A1B05" w:rsidRDefault="0067033B" w:rsidP="0067033B">
      <w:pPr>
        <w:spacing w:before="120" w:after="120" w:line="360" w:lineRule="auto"/>
        <w:contextualSpacing/>
        <w:rPr>
          <w:rFonts w:cstheme="minorHAnsi"/>
          <w:b/>
          <w:iCs/>
          <w:sz w:val="24"/>
          <w:szCs w:val="24"/>
          <w:lang w:val="pl-PL"/>
        </w:rPr>
      </w:pPr>
    </w:p>
    <w:p w14:paraId="0E913D2C" w14:textId="77777777" w:rsidR="0067033B" w:rsidRPr="009A1B05" w:rsidRDefault="0067033B" w:rsidP="0067033B">
      <w:pPr>
        <w:spacing w:before="120" w:after="120" w:line="360" w:lineRule="auto"/>
        <w:contextualSpacing/>
        <w:rPr>
          <w:rFonts w:cstheme="minorHAnsi"/>
          <w:b/>
          <w:iCs/>
          <w:sz w:val="24"/>
          <w:szCs w:val="24"/>
          <w:lang w:val="pl-PL"/>
        </w:rPr>
      </w:pPr>
    </w:p>
    <w:p w14:paraId="74E479ED" w14:textId="77777777" w:rsidR="0067033B" w:rsidRPr="009A1B05" w:rsidRDefault="0067033B" w:rsidP="0067033B">
      <w:pPr>
        <w:spacing w:before="120" w:after="120" w:line="360" w:lineRule="auto"/>
        <w:contextualSpacing/>
        <w:rPr>
          <w:rFonts w:cstheme="minorHAnsi"/>
          <w:b/>
          <w:iCs/>
          <w:sz w:val="24"/>
          <w:szCs w:val="24"/>
          <w:lang w:val="pl-PL"/>
        </w:rPr>
      </w:pPr>
    </w:p>
    <w:p w14:paraId="7C267B18" w14:textId="77777777" w:rsidR="0067033B" w:rsidRPr="009A1B05" w:rsidRDefault="0067033B" w:rsidP="0067033B">
      <w:pPr>
        <w:spacing w:before="120" w:after="120" w:line="360" w:lineRule="auto"/>
        <w:contextualSpacing/>
        <w:rPr>
          <w:rFonts w:cstheme="minorHAnsi"/>
          <w:b/>
          <w:iCs/>
          <w:sz w:val="24"/>
          <w:szCs w:val="24"/>
          <w:lang w:val="pl-PL"/>
        </w:rPr>
      </w:pPr>
    </w:p>
    <w:p w14:paraId="6B4D4D9D" w14:textId="77777777" w:rsidR="0067033B" w:rsidRPr="009A1B05" w:rsidRDefault="0067033B" w:rsidP="0067033B">
      <w:pPr>
        <w:spacing w:before="120" w:after="120" w:line="360" w:lineRule="auto"/>
        <w:contextualSpacing/>
        <w:rPr>
          <w:rFonts w:cstheme="minorHAnsi"/>
          <w:b/>
          <w:iCs/>
          <w:sz w:val="24"/>
          <w:szCs w:val="24"/>
          <w:lang w:val="pl-PL"/>
        </w:rPr>
      </w:pPr>
    </w:p>
    <w:p w14:paraId="0FA770A8" w14:textId="77777777" w:rsidR="0067033B" w:rsidRPr="009A1B05" w:rsidRDefault="0067033B" w:rsidP="0067033B">
      <w:pPr>
        <w:spacing w:before="120" w:after="120" w:line="360" w:lineRule="auto"/>
        <w:contextualSpacing/>
        <w:rPr>
          <w:rFonts w:cstheme="minorHAnsi"/>
          <w:b/>
          <w:iCs/>
          <w:sz w:val="24"/>
          <w:szCs w:val="24"/>
          <w:lang w:val="pl-PL"/>
        </w:rPr>
      </w:pPr>
    </w:p>
    <w:p w14:paraId="259990CF" w14:textId="77777777" w:rsidR="0067033B" w:rsidRPr="009A1B05" w:rsidRDefault="0067033B" w:rsidP="0067033B">
      <w:pPr>
        <w:spacing w:before="120" w:after="120" w:line="360" w:lineRule="auto"/>
        <w:contextualSpacing/>
        <w:rPr>
          <w:rFonts w:cstheme="minorHAnsi"/>
          <w:b/>
          <w:iCs/>
          <w:sz w:val="24"/>
          <w:szCs w:val="24"/>
          <w:lang w:val="pl-PL"/>
        </w:rPr>
      </w:pPr>
    </w:p>
    <w:p w14:paraId="0F551C62" w14:textId="77777777" w:rsidR="0067033B" w:rsidRPr="009A1B05" w:rsidRDefault="0067033B" w:rsidP="0067033B">
      <w:pPr>
        <w:spacing w:before="120" w:after="120" w:line="360" w:lineRule="auto"/>
        <w:contextualSpacing/>
        <w:rPr>
          <w:rFonts w:cstheme="minorHAnsi"/>
          <w:b/>
          <w:iCs/>
          <w:sz w:val="24"/>
          <w:szCs w:val="24"/>
          <w:lang w:val="pl-PL"/>
        </w:rPr>
      </w:pPr>
    </w:p>
    <w:p w14:paraId="4F2EA482" w14:textId="77777777" w:rsidR="0067033B" w:rsidRPr="009A1B05" w:rsidRDefault="0067033B" w:rsidP="0067033B">
      <w:pPr>
        <w:spacing w:before="120" w:after="120" w:line="360" w:lineRule="auto"/>
        <w:contextualSpacing/>
        <w:rPr>
          <w:rFonts w:cstheme="minorHAnsi"/>
          <w:b/>
          <w:iCs/>
          <w:sz w:val="24"/>
          <w:szCs w:val="24"/>
          <w:lang w:val="pl-PL"/>
        </w:rPr>
      </w:pPr>
    </w:p>
    <w:p w14:paraId="4B69DEF3" w14:textId="77777777" w:rsidR="0067033B" w:rsidRPr="009A1B05" w:rsidRDefault="0067033B" w:rsidP="0067033B">
      <w:pPr>
        <w:spacing w:before="120" w:after="120" w:line="360" w:lineRule="auto"/>
        <w:contextualSpacing/>
        <w:rPr>
          <w:rFonts w:cstheme="minorHAnsi"/>
          <w:b/>
          <w:iCs/>
          <w:sz w:val="24"/>
          <w:szCs w:val="24"/>
          <w:lang w:val="pl-PL"/>
        </w:rPr>
      </w:pPr>
    </w:p>
    <w:p w14:paraId="379AF44F" w14:textId="77777777" w:rsidR="0067033B" w:rsidRPr="009A1B05" w:rsidRDefault="0067033B" w:rsidP="0067033B">
      <w:pPr>
        <w:spacing w:before="120" w:after="120" w:line="360" w:lineRule="auto"/>
        <w:contextualSpacing/>
        <w:rPr>
          <w:rFonts w:cstheme="minorHAnsi"/>
          <w:b/>
          <w:iCs/>
          <w:sz w:val="24"/>
          <w:szCs w:val="24"/>
          <w:lang w:val="pl-PL"/>
        </w:rPr>
      </w:pPr>
    </w:p>
    <w:p w14:paraId="4E9B40FB" w14:textId="77777777" w:rsidR="0067033B" w:rsidRPr="009A1B05" w:rsidRDefault="0067033B" w:rsidP="0067033B">
      <w:pPr>
        <w:spacing w:before="120" w:after="120" w:line="360" w:lineRule="auto"/>
        <w:contextualSpacing/>
        <w:rPr>
          <w:rFonts w:cstheme="minorHAnsi"/>
          <w:b/>
          <w:iCs/>
          <w:sz w:val="24"/>
          <w:szCs w:val="24"/>
          <w:lang w:val="pl-PL"/>
        </w:rPr>
      </w:pPr>
    </w:p>
    <w:sdt>
      <w:sdtPr>
        <w:rPr>
          <w:rFonts w:asciiTheme="minorHAnsi" w:eastAsiaTheme="minorHAnsi" w:hAnsiTheme="minorHAnsi" w:cstheme="minorHAnsi"/>
          <w:iCs/>
          <w:color w:val="auto"/>
          <w:sz w:val="24"/>
          <w:szCs w:val="24"/>
          <w:shd w:val="clear" w:color="auto" w:fill="E6E6E6"/>
          <w:lang w:eastAsia="en-US"/>
        </w:rPr>
        <w:id w:val="-1936120184"/>
        <w:docPartObj>
          <w:docPartGallery w:val="Table of Contents"/>
          <w:docPartUnique/>
        </w:docPartObj>
      </w:sdtPr>
      <w:sdtEndPr>
        <w:rPr>
          <w:b/>
          <w:bCs/>
        </w:rPr>
      </w:sdtEndPr>
      <w:sdtContent>
        <w:p w14:paraId="3518C58F" w14:textId="77777777" w:rsidR="0067033B" w:rsidRPr="009A1B05" w:rsidRDefault="0067033B" w:rsidP="0067033B">
          <w:pPr>
            <w:pStyle w:val="Nagwekspisutreci"/>
            <w:spacing w:before="120" w:after="120" w:line="360" w:lineRule="auto"/>
            <w:contextualSpacing/>
            <w:rPr>
              <w:rFonts w:asciiTheme="minorHAnsi" w:hAnsiTheme="minorHAnsi" w:cstheme="minorHAnsi"/>
              <w:b/>
              <w:iCs/>
              <w:color w:val="auto"/>
              <w:sz w:val="24"/>
              <w:szCs w:val="24"/>
            </w:rPr>
          </w:pPr>
          <w:r w:rsidRPr="009A1B05">
            <w:rPr>
              <w:rFonts w:asciiTheme="minorHAnsi" w:hAnsiTheme="minorHAnsi" w:cstheme="minorHAnsi"/>
              <w:b/>
              <w:iCs/>
              <w:color w:val="auto"/>
              <w:sz w:val="24"/>
              <w:szCs w:val="24"/>
            </w:rPr>
            <w:t>Spis treści</w:t>
          </w:r>
        </w:p>
        <w:p w14:paraId="125FD9C4" w14:textId="77777777" w:rsidR="0067033B" w:rsidRPr="00160AF3" w:rsidRDefault="0067033B" w:rsidP="0067033B">
          <w:pPr>
            <w:pStyle w:val="Spistreci2"/>
            <w:rPr>
              <w:rFonts w:eastAsiaTheme="minorEastAsia"/>
              <w:noProof/>
              <w:kern w:val="2"/>
              <w:sz w:val="24"/>
              <w:szCs w:val="24"/>
              <w:lang w:val="pl-PL" w:eastAsia="pl-PL"/>
              <w14:ligatures w14:val="standardContextual"/>
            </w:rPr>
          </w:pPr>
          <w:r w:rsidRPr="00160AF3">
            <w:rPr>
              <w:color w:val="2B579A"/>
              <w:sz w:val="24"/>
              <w:szCs w:val="24"/>
              <w:shd w:val="clear" w:color="auto" w:fill="E6E6E6"/>
            </w:rPr>
            <w:fldChar w:fldCharType="begin"/>
          </w:r>
          <w:r w:rsidRPr="00160AF3">
            <w:rPr>
              <w:sz w:val="24"/>
              <w:szCs w:val="24"/>
            </w:rPr>
            <w:instrText xml:space="preserve"> TOC \o "1-3" \h \z \u </w:instrText>
          </w:r>
          <w:r w:rsidRPr="00160AF3">
            <w:rPr>
              <w:color w:val="2B579A"/>
              <w:sz w:val="24"/>
              <w:szCs w:val="24"/>
              <w:shd w:val="clear" w:color="auto" w:fill="E6E6E6"/>
            </w:rPr>
            <w:fldChar w:fldCharType="separate"/>
          </w:r>
          <w:hyperlink w:anchor="_Toc161824959" w:history="1">
            <w:r w:rsidRPr="00160AF3">
              <w:rPr>
                <w:rStyle w:val="Hipercze"/>
                <w:rFonts w:cstheme="minorHAnsi"/>
                <w:noProof/>
                <w:sz w:val="24"/>
                <w:szCs w:val="24"/>
              </w:rPr>
              <w:t>I.</w:t>
            </w:r>
            <w:r w:rsidRPr="00160AF3">
              <w:rPr>
                <w:rFonts w:eastAsiaTheme="minorEastAsia"/>
                <w:noProof/>
                <w:kern w:val="2"/>
                <w:sz w:val="24"/>
                <w:szCs w:val="24"/>
                <w:lang w:val="pl-PL" w:eastAsia="pl-PL"/>
                <w14:ligatures w14:val="standardContextual"/>
              </w:rPr>
              <w:tab/>
            </w:r>
            <w:r w:rsidRPr="00160AF3">
              <w:rPr>
                <w:rStyle w:val="Hipercze"/>
                <w:rFonts w:cstheme="minorHAnsi"/>
                <w:noProof/>
                <w:sz w:val="24"/>
                <w:szCs w:val="24"/>
              </w:rPr>
              <w:t>Zamówienia udzielane w ramach Przedsięwzięć</w:t>
            </w:r>
            <w:r w:rsidRPr="00160AF3">
              <w:rPr>
                <w:noProof/>
                <w:webHidden/>
                <w:sz w:val="24"/>
                <w:szCs w:val="24"/>
              </w:rPr>
              <w:tab/>
            </w:r>
            <w:r w:rsidRPr="00160AF3">
              <w:rPr>
                <w:noProof/>
                <w:webHidden/>
                <w:sz w:val="24"/>
                <w:szCs w:val="24"/>
              </w:rPr>
              <w:fldChar w:fldCharType="begin"/>
            </w:r>
            <w:r w:rsidRPr="00160AF3">
              <w:rPr>
                <w:noProof/>
                <w:webHidden/>
                <w:sz w:val="24"/>
                <w:szCs w:val="24"/>
              </w:rPr>
              <w:instrText xml:space="preserve"> PAGEREF _Toc161824959 \h </w:instrText>
            </w:r>
            <w:r w:rsidRPr="00160AF3">
              <w:rPr>
                <w:noProof/>
                <w:webHidden/>
                <w:sz w:val="24"/>
                <w:szCs w:val="24"/>
              </w:rPr>
            </w:r>
            <w:r w:rsidRPr="00160AF3">
              <w:rPr>
                <w:noProof/>
                <w:webHidden/>
                <w:sz w:val="24"/>
                <w:szCs w:val="24"/>
              </w:rPr>
              <w:fldChar w:fldCharType="separate"/>
            </w:r>
            <w:r>
              <w:rPr>
                <w:noProof/>
                <w:webHidden/>
                <w:sz w:val="24"/>
                <w:szCs w:val="24"/>
              </w:rPr>
              <w:t>3</w:t>
            </w:r>
            <w:r w:rsidRPr="00160AF3">
              <w:rPr>
                <w:noProof/>
                <w:webHidden/>
                <w:sz w:val="24"/>
                <w:szCs w:val="24"/>
              </w:rPr>
              <w:fldChar w:fldCharType="end"/>
            </w:r>
          </w:hyperlink>
        </w:p>
        <w:p w14:paraId="0231ED61" w14:textId="77777777" w:rsidR="0067033B" w:rsidRPr="00160AF3" w:rsidRDefault="0043188B" w:rsidP="0067033B">
          <w:pPr>
            <w:pStyle w:val="Spistreci2"/>
            <w:rPr>
              <w:rFonts w:eastAsiaTheme="minorEastAsia"/>
              <w:noProof/>
              <w:kern w:val="2"/>
              <w:sz w:val="24"/>
              <w:szCs w:val="24"/>
              <w:lang w:val="pl-PL" w:eastAsia="pl-PL"/>
              <w14:ligatures w14:val="standardContextual"/>
            </w:rPr>
          </w:pPr>
          <w:hyperlink w:anchor="_Toc161824960" w:history="1">
            <w:r w:rsidR="0067033B" w:rsidRPr="00160AF3">
              <w:rPr>
                <w:rStyle w:val="Hipercze"/>
                <w:rFonts w:cstheme="minorHAnsi"/>
                <w:noProof/>
                <w:sz w:val="24"/>
                <w:szCs w:val="24"/>
              </w:rPr>
              <w:t>II.</w:t>
            </w:r>
            <w:r w:rsidR="0067033B" w:rsidRPr="00160AF3">
              <w:rPr>
                <w:rFonts w:eastAsiaTheme="minorEastAsia"/>
                <w:noProof/>
                <w:kern w:val="2"/>
                <w:sz w:val="24"/>
                <w:szCs w:val="24"/>
                <w:lang w:val="pl-PL" w:eastAsia="pl-PL"/>
                <w14:ligatures w14:val="standardContextual"/>
              </w:rPr>
              <w:tab/>
            </w:r>
            <w:r w:rsidR="0067033B" w:rsidRPr="00160AF3">
              <w:rPr>
                <w:rStyle w:val="Hipercze"/>
                <w:rFonts w:cstheme="minorHAnsi"/>
                <w:noProof/>
                <w:sz w:val="24"/>
                <w:szCs w:val="24"/>
              </w:rPr>
              <w:t>Zasada konkurencyjności</w:t>
            </w:r>
            <w:r w:rsidR="0067033B" w:rsidRPr="00160AF3">
              <w:rPr>
                <w:noProof/>
                <w:webHidden/>
                <w:sz w:val="24"/>
                <w:szCs w:val="24"/>
              </w:rPr>
              <w:tab/>
            </w:r>
            <w:r w:rsidR="0067033B" w:rsidRPr="00160AF3">
              <w:rPr>
                <w:noProof/>
                <w:webHidden/>
                <w:sz w:val="24"/>
                <w:szCs w:val="24"/>
              </w:rPr>
              <w:fldChar w:fldCharType="begin"/>
            </w:r>
            <w:r w:rsidR="0067033B" w:rsidRPr="00160AF3">
              <w:rPr>
                <w:noProof/>
                <w:webHidden/>
                <w:sz w:val="24"/>
                <w:szCs w:val="24"/>
              </w:rPr>
              <w:instrText xml:space="preserve"> PAGEREF _Toc161824960 \h </w:instrText>
            </w:r>
            <w:r w:rsidR="0067033B" w:rsidRPr="00160AF3">
              <w:rPr>
                <w:noProof/>
                <w:webHidden/>
                <w:sz w:val="24"/>
                <w:szCs w:val="24"/>
              </w:rPr>
            </w:r>
            <w:r w:rsidR="0067033B" w:rsidRPr="00160AF3">
              <w:rPr>
                <w:noProof/>
                <w:webHidden/>
                <w:sz w:val="24"/>
                <w:szCs w:val="24"/>
              </w:rPr>
              <w:fldChar w:fldCharType="separate"/>
            </w:r>
            <w:r w:rsidR="0067033B">
              <w:rPr>
                <w:noProof/>
                <w:webHidden/>
                <w:sz w:val="24"/>
                <w:szCs w:val="24"/>
              </w:rPr>
              <w:t>7</w:t>
            </w:r>
            <w:r w:rsidR="0067033B" w:rsidRPr="00160AF3">
              <w:rPr>
                <w:noProof/>
                <w:webHidden/>
                <w:sz w:val="24"/>
                <w:szCs w:val="24"/>
              </w:rPr>
              <w:fldChar w:fldCharType="end"/>
            </w:r>
          </w:hyperlink>
        </w:p>
        <w:p w14:paraId="506C460E" w14:textId="77777777" w:rsidR="0067033B" w:rsidRPr="00160AF3" w:rsidRDefault="0043188B" w:rsidP="0067033B">
          <w:pPr>
            <w:pStyle w:val="Spistreci2"/>
            <w:rPr>
              <w:rFonts w:eastAsiaTheme="minorEastAsia"/>
              <w:noProof/>
              <w:kern w:val="2"/>
              <w:sz w:val="24"/>
              <w:szCs w:val="24"/>
              <w:lang w:val="pl-PL" w:eastAsia="pl-PL"/>
              <w14:ligatures w14:val="standardContextual"/>
            </w:rPr>
          </w:pPr>
          <w:hyperlink w:anchor="_Toc161824961" w:history="1">
            <w:r w:rsidR="0067033B" w:rsidRPr="00160AF3">
              <w:rPr>
                <w:rStyle w:val="Hipercze"/>
                <w:rFonts w:cstheme="minorHAnsi"/>
                <w:noProof/>
                <w:sz w:val="24"/>
                <w:szCs w:val="24"/>
              </w:rPr>
              <w:t>III.</w:t>
            </w:r>
            <w:r w:rsidR="0067033B" w:rsidRPr="00160AF3">
              <w:rPr>
                <w:rFonts w:eastAsiaTheme="minorEastAsia"/>
                <w:noProof/>
                <w:kern w:val="2"/>
                <w:sz w:val="24"/>
                <w:szCs w:val="24"/>
                <w:lang w:val="pl-PL" w:eastAsia="pl-PL"/>
                <w14:ligatures w14:val="standardContextual"/>
              </w:rPr>
              <w:tab/>
            </w:r>
            <w:r w:rsidR="0067033B" w:rsidRPr="00160AF3">
              <w:rPr>
                <w:rStyle w:val="Hipercze"/>
                <w:rFonts w:cstheme="minorHAnsi"/>
                <w:noProof/>
                <w:sz w:val="24"/>
                <w:szCs w:val="24"/>
              </w:rPr>
              <w:t>Zamówienia w trybie in-house</w:t>
            </w:r>
            <w:r w:rsidR="0067033B" w:rsidRPr="00160AF3">
              <w:rPr>
                <w:noProof/>
                <w:webHidden/>
                <w:sz w:val="24"/>
                <w:szCs w:val="24"/>
              </w:rPr>
              <w:tab/>
            </w:r>
            <w:r w:rsidR="0067033B" w:rsidRPr="00160AF3">
              <w:rPr>
                <w:noProof/>
                <w:webHidden/>
                <w:sz w:val="24"/>
                <w:szCs w:val="24"/>
              </w:rPr>
              <w:fldChar w:fldCharType="begin"/>
            </w:r>
            <w:r w:rsidR="0067033B" w:rsidRPr="00160AF3">
              <w:rPr>
                <w:noProof/>
                <w:webHidden/>
                <w:sz w:val="24"/>
                <w:szCs w:val="24"/>
              </w:rPr>
              <w:instrText xml:space="preserve"> PAGEREF _Toc161824961 \h </w:instrText>
            </w:r>
            <w:r w:rsidR="0067033B" w:rsidRPr="00160AF3">
              <w:rPr>
                <w:noProof/>
                <w:webHidden/>
                <w:sz w:val="24"/>
                <w:szCs w:val="24"/>
              </w:rPr>
            </w:r>
            <w:r w:rsidR="0067033B" w:rsidRPr="00160AF3">
              <w:rPr>
                <w:noProof/>
                <w:webHidden/>
                <w:sz w:val="24"/>
                <w:szCs w:val="24"/>
              </w:rPr>
              <w:fldChar w:fldCharType="separate"/>
            </w:r>
            <w:r w:rsidR="0067033B">
              <w:rPr>
                <w:noProof/>
                <w:webHidden/>
                <w:sz w:val="24"/>
                <w:szCs w:val="24"/>
              </w:rPr>
              <w:t>17</w:t>
            </w:r>
            <w:r w:rsidR="0067033B" w:rsidRPr="00160AF3">
              <w:rPr>
                <w:noProof/>
                <w:webHidden/>
                <w:sz w:val="24"/>
                <w:szCs w:val="24"/>
              </w:rPr>
              <w:fldChar w:fldCharType="end"/>
            </w:r>
          </w:hyperlink>
        </w:p>
        <w:p w14:paraId="64C85A2F" w14:textId="77777777" w:rsidR="0067033B" w:rsidRPr="00160AF3" w:rsidRDefault="0043188B" w:rsidP="0067033B">
          <w:pPr>
            <w:pStyle w:val="Spistreci2"/>
            <w:rPr>
              <w:rFonts w:eastAsiaTheme="minorEastAsia"/>
              <w:noProof/>
              <w:kern w:val="2"/>
              <w:sz w:val="24"/>
              <w:szCs w:val="24"/>
              <w:lang w:val="pl-PL" w:eastAsia="pl-PL"/>
              <w14:ligatures w14:val="standardContextual"/>
            </w:rPr>
          </w:pPr>
          <w:hyperlink w:anchor="_Toc161824962" w:history="1">
            <w:r w:rsidR="0067033B" w:rsidRPr="00160AF3">
              <w:rPr>
                <w:rStyle w:val="Hipercze"/>
                <w:rFonts w:cstheme="minorHAnsi"/>
                <w:noProof/>
                <w:sz w:val="24"/>
                <w:szCs w:val="24"/>
              </w:rPr>
              <w:t>IV.</w:t>
            </w:r>
            <w:r w:rsidR="0067033B" w:rsidRPr="00160AF3">
              <w:rPr>
                <w:rFonts w:eastAsiaTheme="minorEastAsia"/>
                <w:noProof/>
                <w:kern w:val="2"/>
                <w:sz w:val="24"/>
                <w:szCs w:val="24"/>
                <w:lang w:val="pl-PL" w:eastAsia="pl-PL"/>
                <w14:ligatures w14:val="standardContextual"/>
              </w:rPr>
              <w:tab/>
            </w:r>
            <w:r w:rsidR="0067033B" w:rsidRPr="00160AF3">
              <w:rPr>
                <w:rStyle w:val="Hipercze"/>
                <w:rFonts w:cstheme="minorHAnsi"/>
                <w:noProof/>
                <w:sz w:val="24"/>
                <w:szCs w:val="24"/>
              </w:rPr>
              <w:t>Przykłady możliwych nieprawidłowości w obszarze zamówień</w:t>
            </w:r>
            <w:r w:rsidR="0067033B" w:rsidRPr="00160AF3">
              <w:rPr>
                <w:noProof/>
                <w:webHidden/>
                <w:sz w:val="24"/>
                <w:szCs w:val="24"/>
              </w:rPr>
              <w:tab/>
            </w:r>
            <w:r w:rsidR="0067033B" w:rsidRPr="00160AF3">
              <w:rPr>
                <w:noProof/>
                <w:webHidden/>
                <w:sz w:val="24"/>
                <w:szCs w:val="24"/>
              </w:rPr>
              <w:fldChar w:fldCharType="begin"/>
            </w:r>
            <w:r w:rsidR="0067033B" w:rsidRPr="00160AF3">
              <w:rPr>
                <w:noProof/>
                <w:webHidden/>
                <w:sz w:val="24"/>
                <w:szCs w:val="24"/>
              </w:rPr>
              <w:instrText xml:space="preserve"> PAGEREF _Toc161824962 \h </w:instrText>
            </w:r>
            <w:r w:rsidR="0067033B" w:rsidRPr="00160AF3">
              <w:rPr>
                <w:noProof/>
                <w:webHidden/>
                <w:sz w:val="24"/>
                <w:szCs w:val="24"/>
              </w:rPr>
            </w:r>
            <w:r w:rsidR="0067033B" w:rsidRPr="00160AF3">
              <w:rPr>
                <w:noProof/>
                <w:webHidden/>
                <w:sz w:val="24"/>
                <w:szCs w:val="24"/>
              </w:rPr>
              <w:fldChar w:fldCharType="separate"/>
            </w:r>
            <w:r w:rsidR="0067033B">
              <w:rPr>
                <w:noProof/>
                <w:webHidden/>
                <w:sz w:val="24"/>
                <w:szCs w:val="24"/>
              </w:rPr>
              <w:t>18</w:t>
            </w:r>
            <w:r w:rsidR="0067033B" w:rsidRPr="00160AF3">
              <w:rPr>
                <w:noProof/>
                <w:webHidden/>
                <w:sz w:val="24"/>
                <w:szCs w:val="24"/>
              </w:rPr>
              <w:fldChar w:fldCharType="end"/>
            </w:r>
          </w:hyperlink>
        </w:p>
        <w:p w14:paraId="75389869" w14:textId="77777777" w:rsidR="0067033B" w:rsidRPr="00160AF3" w:rsidRDefault="0043188B" w:rsidP="0067033B">
          <w:pPr>
            <w:pStyle w:val="Spistreci2"/>
            <w:rPr>
              <w:rFonts w:eastAsiaTheme="minorEastAsia"/>
              <w:noProof/>
              <w:kern w:val="2"/>
              <w:sz w:val="24"/>
              <w:szCs w:val="24"/>
              <w:lang w:val="pl-PL" w:eastAsia="pl-PL"/>
              <w14:ligatures w14:val="standardContextual"/>
            </w:rPr>
          </w:pPr>
          <w:hyperlink w:anchor="_Toc161824963" w:history="1">
            <w:r w:rsidR="0067033B" w:rsidRPr="00160AF3">
              <w:rPr>
                <w:rStyle w:val="Hipercze"/>
                <w:rFonts w:cstheme="minorHAnsi"/>
                <w:noProof/>
                <w:sz w:val="24"/>
                <w:szCs w:val="24"/>
              </w:rPr>
              <w:t>V.</w:t>
            </w:r>
            <w:r w:rsidR="0067033B" w:rsidRPr="00160AF3">
              <w:rPr>
                <w:rFonts w:eastAsiaTheme="minorEastAsia"/>
                <w:noProof/>
                <w:kern w:val="2"/>
                <w:sz w:val="24"/>
                <w:szCs w:val="24"/>
                <w:lang w:val="pl-PL" w:eastAsia="pl-PL"/>
                <w14:ligatures w14:val="standardContextual"/>
              </w:rPr>
              <w:tab/>
            </w:r>
            <w:r w:rsidR="0067033B" w:rsidRPr="00160AF3">
              <w:rPr>
                <w:rStyle w:val="Hipercze"/>
                <w:rFonts w:cstheme="minorHAnsi"/>
                <w:noProof/>
                <w:sz w:val="24"/>
                <w:szCs w:val="24"/>
              </w:rPr>
              <w:t>Zestawienie regulacji w zakresie zasady konkurencyjności w odniesieniu do konieczności stosowania przez zamawiającego określonej ścieżki postępowania</w:t>
            </w:r>
            <w:r w:rsidR="0067033B" w:rsidRPr="00160AF3">
              <w:rPr>
                <w:noProof/>
                <w:webHidden/>
                <w:sz w:val="24"/>
                <w:szCs w:val="24"/>
              </w:rPr>
              <w:tab/>
            </w:r>
            <w:r w:rsidR="0067033B" w:rsidRPr="00160AF3">
              <w:rPr>
                <w:noProof/>
                <w:webHidden/>
                <w:sz w:val="24"/>
                <w:szCs w:val="24"/>
              </w:rPr>
              <w:fldChar w:fldCharType="begin"/>
            </w:r>
            <w:r w:rsidR="0067033B" w:rsidRPr="00160AF3">
              <w:rPr>
                <w:noProof/>
                <w:webHidden/>
                <w:sz w:val="24"/>
                <w:szCs w:val="24"/>
              </w:rPr>
              <w:instrText xml:space="preserve"> PAGEREF _Toc161824963 \h </w:instrText>
            </w:r>
            <w:r w:rsidR="0067033B" w:rsidRPr="00160AF3">
              <w:rPr>
                <w:noProof/>
                <w:webHidden/>
                <w:sz w:val="24"/>
                <w:szCs w:val="24"/>
              </w:rPr>
            </w:r>
            <w:r w:rsidR="0067033B" w:rsidRPr="00160AF3">
              <w:rPr>
                <w:noProof/>
                <w:webHidden/>
                <w:sz w:val="24"/>
                <w:szCs w:val="24"/>
              </w:rPr>
              <w:fldChar w:fldCharType="separate"/>
            </w:r>
            <w:r w:rsidR="0067033B">
              <w:rPr>
                <w:noProof/>
                <w:webHidden/>
                <w:sz w:val="24"/>
                <w:szCs w:val="24"/>
              </w:rPr>
              <w:t>21</w:t>
            </w:r>
            <w:r w:rsidR="0067033B" w:rsidRPr="00160AF3">
              <w:rPr>
                <w:noProof/>
                <w:webHidden/>
                <w:sz w:val="24"/>
                <w:szCs w:val="24"/>
              </w:rPr>
              <w:fldChar w:fldCharType="end"/>
            </w:r>
          </w:hyperlink>
        </w:p>
        <w:p w14:paraId="173BDE19" w14:textId="77777777" w:rsidR="0067033B" w:rsidRPr="009A1B05" w:rsidRDefault="0067033B" w:rsidP="0067033B">
          <w:pPr>
            <w:spacing w:before="120" w:after="120" w:line="360" w:lineRule="auto"/>
            <w:contextualSpacing/>
            <w:rPr>
              <w:rFonts w:cstheme="minorHAnsi"/>
              <w:iCs/>
              <w:sz w:val="24"/>
              <w:szCs w:val="24"/>
            </w:rPr>
          </w:pPr>
          <w:r w:rsidRPr="00160AF3">
            <w:rPr>
              <w:rFonts w:cstheme="minorHAnsi"/>
              <w:b/>
              <w:bCs/>
              <w:iCs/>
              <w:color w:val="2B579A"/>
              <w:sz w:val="24"/>
              <w:szCs w:val="24"/>
              <w:shd w:val="clear" w:color="auto" w:fill="E6E6E6"/>
            </w:rPr>
            <w:fldChar w:fldCharType="end"/>
          </w:r>
        </w:p>
      </w:sdtContent>
    </w:sdt>
    <w:p w14:paraId="6EC41290" w14:textId="77777777" w:rsidR="0067033B" w:rsidRPr="009A1B05" w:rsidRDefault="0067033B" w:rsidP="0067033B">
      <w:pPr>
        <w:spacing w:before="120" w:after="120" w:line="360" w:lineRule="auto"/>
        <w:contextualSpacing/>
        <w:rPr>
          <w:rFonts w:cstheme="minorHAnsi"/>
          <w:b/>
          <w:iCs/>
          <w:sz w:val="24"/>
          <w:szCs w:val="24"/>
          <w:lang w:val="pl-PL"/>
        </w:rPr>
      </w:pPr>
      <w:r w:rsidRPr="009A1B05">
        <w:rPr>
          <w:rFonts w:cstheme="minorHAnsi"/>
          <w:b/>
          <w:iCs/>
          <w:sz w:val="24"/>
          <w:szCs w:val="24"/>
          <w:lang w:val="pl-PL"/>
        </w:rPr>
        <w:br w:type="page"/>
      </w:r>
    </w:p>
    <w:p w14:paraId="730901F7" w14:textId="77777777" w:rsidR="0067033B" w:rsidRPr="00875CA1" w:rsidRDefault="0067033B" w:rsidP="0067033B">
      <w:pPr>
        <w:pStyle w:val="Nagwek2"/>
        <w:numPr>
          <w:ilvl w:val="0"/>
          <w:numId w:val="22"/>
        </w:numPr>
        <w:tabs>
          <w:tab w:val="num" w:pos="360"/>
        </w:tabs>
        <w:spacing w:before="120" w:after="120" w:line="360" w:lineRule="auto"/>
        <w:ind w:left="0" w:firstLine="0"/>
        <w:contextualSpacing/>
        <w:rPr>
          <w:rFonts w:cstheme="minorHAnsi"/>
        </w:rPr>
      </w:pPr>
      <w:bookmarkStart w:id="4" w:name="_Toc161824959"/>
      <w:bookmarkEnd w:id="3"/>
      <w:r w:rsidRPr="00875CA1">
        <w:rPr>
          <w:rFonts w:cstheme="minorHAnsi"/>
        </w:rPr>
        <w:lastRenderedPageBreak/>
        <w:t>Zamówienia udzielane w ramach Przedsięwzięć</w:t>
      </w:r>
      <w:bookmarkEnd w:id="4"/>
    </w:p>
    <w:p w14:paraId="3B9D510C" w14:textId="77777777" w:rsidR="0067033B" w:rsidRPr="009A1B05" w:rsidRDefault="0067033B" w:rsidP="0067033B">
      <w:pPr>
        <w:pStyle w:val="Akapitzlist"/>
        <w:numPr>
          <w:ilvl w:val="0"/>
          <w:numId w:val="1"/>
        </w:numPr>
        <w:spacing w:before="120" w:after="120" w:line="360" w:lineRule="auto"/>
        <w:ind w:left="426" w:hanging="284"/>
        <w:rPr>
          <w:rFonts w:eastAsia="MS Mincho" w:cstheme="minorHAnsi"/>
          <w:iCs/>
          <w:sz w:val="24"/>
          <w:szCs w:val="24"/>
          <w:lang w:eastAsia="ja-JP"/>
        </w:rPr>
      </w:pPr>
      <w:r w:rsidRPr="009A1B05">
        <w:rPr>
          <w:rFonts w:eastAsia="MS Mincho" w:cstheme="minorHAnsi"/>
          <w:iCs/>
          <w:sz w:val="24"/>
          <w:szCs w:val="24"/>
          <w:lang w:eastAsia="ja-JP"/>
        </w:rPr>
        <w:t>Ostateczny odbiorca wsparcia (dalej jako: “OOW”) / i Partner / i Podmiot upoważniony do ponoszenia wydatków jest zobowiązany do:</w:t>
      </w:r>
    </w:p>
    <w:p w14:paraId="1D3B1DFE" w14:textId="77777777" w:rsidR="0067033B" w:rsidRPr="009A1B05" w:rsidRDefault="0067033B" w:rsidP="0067033B">
      <w:pPr>
        <w:pStyle w:val="Akapitzlist"/>
        <w:numPr>
          <w:ilvl w:val="1"/>
          <w:numId w:val="1"/>
        </w:numPr>
        <w:spacing w:before="120" w:after="120" w:line="360" w:lineRule="auto"/>
        <w:ind w:left="1134"/>
        <w:rPr>
          <w:rFonts w:eastAsia="MS Mincho" w:cstheme="minorHAnsi"/>
          <w:iCs/>
          <w:sz w:val="24"/>
          <w:szCs w:val="24"/>
          <w:lang w:eastAsia="ja-JP"/>
        </w:rPr>
      </w:pPr>
      <w:r w:rsidRPr="009A1B05">
        <w:rPr>
          <w:rFonts w:eastAsia="MS Mincho" w:cstheme="minorHAnsi"/>
          <w:iCs/>
          <w:sz w:val="24"/>
          <w:szCs w:val="24"/>
          <w:lang w:eastAsia="ja-JP"/>
        </w:rPr>
        <w:t xml:space="preserve"> stosowania </w:t>
      </w:r>
      <w:r w:rsidRPr="009A1B05">
        <w:rPr>
          <w:rFonts w:cstheme="minorHAnsi"/>
          <w:iCs/>
          <w:sz w:val="24"/>
          <w:szCs w:val="24"/>
        </w:rPr>
        <w:t>Ustawy z dnia 11 września 2019 r. - Prawo zamówień publicznych (</w:t>
      </w:r>
      <w:bookmarkStart w:id="5" w:name="_Hlk135807607"/>
      <w:r w:rsidRPr="009A1B05">
        <w:rPr>
          <w:rFonts w:cstheme="minorHAnsi"/>
          <w:iCs/>
          <w:sz w:val="24"/>
          <w:szCs w:val="24"/>
        </w:rPr>
        <w:t>Dz. U. z 2022 r. poz. 1710 z późn. zm.)</w:t>
      </w:r>
      <w:r w:rsidRPr="009A1B05">
        <w:rPr>
          <w:rFonts w:eastAsia="MS Mincho" w:cstheme="minorHAnsi"/>
          <w:iCs/>
          <w:sz w:val="24"/>
          <w:szCs w:val="24"/>
          <w:lang w:eastAsia="ja-JP"/>
        </w:rPr>
        <w:t xml:space="preserve"> </w:t>
      </w:r>
      <w:bookmarkEnd w:id="5"/>
      <w:r w:rsidRPr="009A1B05">
        <w:rPr>
          <w:rFonts w:eastAsia="MS Mincho" w:cstheme="minorHAnsi"/>
          <w:iCs/>
          <w:sz w:val="24"/>
          <w:szCs w:val="24"/>
          <w:lang w:eastAsia="ja-JP"/>
        </w:rPr>
        <w:t>(dalej jako: “PZP”) lub właściwych przepisów prawa powszechnie obowiązującego,</w:t>
      </w:r>
    </w:p>
    <w:p w14:paraId="7FFA4A93" w14:textId="77777777" w:rsidR="0067033B" w:rsidRPr="009A1B05" w:rsidRDefault="0067033B" w:rsidP="0067033B">
      <w:pPr>
        <w:pStyle w:val="Akapitzlist"/>
        <w:numPr>
          <w:ilvl w:val="1"/>
          <w:numId w:val="1"/>
        </w:numPr>
        <w:spacing w:before="120" w:after="120" w:line="360" w:lineRule="auto"/>
        <w:ind w:left="1134"/>
        <w:rPr>
          <w:rFonts w:eastAsia="MS Mincho" w:cstheme="minorHAnsi"/>
          <w:iCs/>
          <w:sz w:val="24"/>
          <w:szCs w:val="24"/>
          <w:lang w:eastAsia="ja-JP"/>
        </w:rPr>
      </w:pPr>
      <w:r w:rsidRPr="009A1B05">
        <w:rPr>
          <w:rFonts w:eastAsia="MS Mincho" w:cstheme="minorHAnsi"/>
          <w:iCs/>
          <w:sz w:val="24"/>
          <w:szCs w:val="24"/>
          <w:lang w:eastAsia="ja-JP"/>
        </w:rPr>
        <w:t xml:space="preserve"> lub dla podmiotów nie zobowiązanych do stosowania PZP, do stosowania zasad, określonych w niniejszym załączniku.</w:t>
      </w:r>
    </w:p>
    <w:p w14:paraId="400BD72C" w14:textId="77777777" w:rsidR="0067033B" w:rsidRPr="009A1B05" w:rsidRDefault="0067033B" w:rsidP="0067033B">
      <w:pPr>
        <w:pStyle w:val="Akapitzlist"/>
        <w:numPr>
          <w:ilvl w:val="0"/>
          <w:numId w:val="1"/>
        </w:numPr>
        <w:spacing w:before="120" w:after="120" w:line="360" w:lineRule="auto"/>
        <w:ind w:left="426" w:hanging="284"/>
        <w:rPr>
          <w:rFonts w:eastAsia="MS Mincho" w:cstheme="minorHAnsi"/>
          <w:iCs/>
          <w:sz w:val="24"/>
          <w:szCs w:val="24"/>
          <w:lang w:eastAsia="ja-JP"/>
        </w:rPr>
      </w:pPr>
      <w:r w:rsidRPr="009A1B05">
        <w:rPr>
          <w:rFonts w:eastAsia="MS Mincho" w:cstheme="minorHAnsi"/>
          <w:iCs/>
          <w:sz w:val="24"/>
          <w:szCs w:val="24"/>
          <w:lang w:eastAsia="ja-JP"/>
        </w:rPr>
        <w:t xml:space="preserve">OOW / i Partner / i Podmiot upoważniony do ponoszenia wydatków zobowiązani do stosowania PZP jak i podmioty nie mające takiego obowiązku dla wydatków o wartości </w:t>
      </w:r>
      <w:r w:rsidRPr="009A1B05">
        <w:rPr>
          <w:rFonts w:eastAsia="MS Mincho" w:cstheme="minorHAnsi"/>
          <w:b/>
          <w:bCs/>
          <w:iCs/>
          <w:sz w:val="24"/>
          <w:szCs w:val="24"/>
          <w:lang w:eastAsia="ja-JP"/>
        </w:rPr>
        <w:t>do 50 tys. PLN netto</w:t>
      </w:r>
      <w:r w:rsidRPr="009A1B05">
        <w:rPr>
          <w:rFonts w:eastAsia="MS Mincho" w:cstheme="minorHAnsi"/>
          <w:iCs/>
          <w:sz w:val="24"/>
          <w:szCs w:val="24"/>
          <w:lang w:eastAsia="ja-JP"/>
        </w:rPr>
        <w:t xml:space="preserve"> uprawnieni są do stosowania własnych wewnętrznych uregulowań określających zasady dokonywania zakupu towarów, usług oraz robót budowlanych. </w:t>
      </w:r>
    </w:p>
    <w:p w14:paraId="214A90DF" w14:textId="77777777" w:rsidR="0067033B" w:rsidRPr="009A1B05" w:rsidRDefault="0067033B" w:rsidP="0067033B">
      <w:pPr>
        <w:pStyle w:val="Akapitzlist"/>
        <w:numPr>
          <w:ilvl w:val="0"/>
          <w:numId w:val="1"/>
        </w:numPr>
        <w:spacing w:before="120" w:after="120" w:line="360" w:lineRule="auto"/>
        <w:ind w:left="426" w:hanging="284"/>
        <w:rPr>
          <w:rFonts w:eastAsia="MS Mincho" w:cstheme="minorHAnsi"/>
          <w:iCs/>
          <w:sz w:val="24"/>
          <w:szCs w:val="24"/>
          <w:lang w:eastAsia="ja-JP"/>
        </w:rPr>
      </w:pPr>
      <w:r w:rsidRPr="009A1B05">
        <w:rPr>
          <w:rFonts w:eastAsia="MS Mincho" w:cstheme="minorHAnsi"/>
          <w:iCs/>
          <w:sz w:val="24"/>
          <w:szCs w:val="24"/>
          <w:lang w:eastAsia="ja-JP"/>
        </w:rPr>
        <w:t xml:space="preserve">OOW / i Partner / i Podmiot upoważniony do ponoszenia wydatków jest zobowiązany do przeprowadzenia postępowania o udzielenie zamówienia o wartości szacunkowej </w:t>
      </w:r>
      <w:r w:rsidRPr="009A1B05">
        <w:rPr>
          <w:rFonts w:eastAsia="MS Mincho" w:cstheme="minorHAnsi"/>
          <w:b/>
          <w:bCs/>
          <w:iCs/>
          <w:sz w:val="24"/>
          <w:szCs w:val="24"/>
          <w:lang w:eastAsia="ja-JP"/>
        </w:rPr>
        <w:t>przekraczającej 50 tys. PLN netto</w:t>
      </w:r>
      <w:r w:rsidRPr="009A1B05">
        <w:rPr>
          <w:rFonts w:eastAsia="MS Mincho" w:cstheme="minorHAnsi"/>
          <w:iCs/>
          <w:sz w:val="24"/>
          <w:szCs w:val="24"/>
          <w:lang w:eastAsia="ja-JP"/>
        </w:rPr>
        <w:t xml:space="preserve">, tj. bez podatku od towarów i usług (VAT) w sposób zapewniający przejrzystość oraz zachowanie uczciwej konkurencji i równego traktowania wykonawców. Spełnienie powyższych wymogów następuje w drodze zastosowania </w:t>
      </w:r>
      <w:bookmarkStart w:id="6" w:name="_Hlk131401910"/>
      <w:r w:rsidRPr="009A1B05">
        <w:rPr>
          <w:rFonts w:eastAsia="MS Mincho" w:cstheme="minorHAnsi"/>
          <w:iCs/>
          <w:sz w:val="24"/>
          <w:szCs w:val="24"/>
          <w:lang w:eastAsia="ja-JP"/>
        </w:rPr>
        <w:t xml:space="preserve">PZP </w:t>
      </w:r>
      <w:bookmarkEnd w:id="6"/>
      <w:r w:rsidRPr="009A1B05">
        <w:rPr>
          <w:rFonts w:eastAsia="MS Mincho" w:cstheme="minorHAnsi"/>
          <w:iCs/>
          <w:sz w:val="24"/>
          <w:szCs w:val="24"/>
          <w:lang w:eastAsia="ja-JP"/>
        </w:rPr>
        <w:t xml:space="preserve">albo zasady konkurencyjności określonej w sekcji II. „Zasada konkurencyjności” niniejszego Załącznika. </w:t>
      </w:r>
    </w:p>
    <w:p w14:paraId="44A48557" w14:textId="77777777" w:rsidR="0067033B" w:rsidRPr="009A1B05" w:rsidRDefault="0067033B" w:rsidP="0067033B">
      <w:pPr>
        <w:pStyle w:val="Akapitzlist"/>
        <w:numPr>
          <w:ilvl w:val="0"/>
          <w:numId w:val="1"/>
        </w:numPr>
        <w:spacing w:before="120" w:after="120" w:line="360" w:lineRule="auto"/>
        <w:ind w:left="426" w:hanging="284"/>
        <w:rPr>
          <w:rFonts w:eastAsia="MS Mincho" w:cstheme="minorHAnsi"/>
          <w:iCs/>
          <w:sz w:val="24"/>
          <w:szCs w:val="24"/>
          <w:lang w:eastAsia="ja-JP"/>
        </w:rPr>
      </w:pPr>
      <w:r w:rsidRPr="009A1B05">
        <w:rPr>
          <w:rFonts w:eastAsia="MS Mincho" w:cstheme="minorHAnsi"/>
          <w:iCs/>
          <w:sz w:val="24"/>
          <w:szCs w:val="24"/>
          <w:lang w:eastAsia="ja-JP"/>
        </w:rPr>
        <w:t xml:space="preserve">Koszty w ramach Przedsięwzięcia muszą być ponoszone w sposób przejrzysty, racjonalny i efektywny. </w:t>
      </w:r>
    </w:p>
    <w:p w14:paraId="769C3BA2" w14:textId="77777777" w:rsidR="0067033B" w:rsidRPr="009A1B05" w:rsidRDefault="0067033B" w:rsidP="0067033B">
      <w:pPr>
        <w:pStyle w:val="Akapitzlist"/>
        <w:numPr>
          <w:ilvl w:val="0"/>
          <w:numId w:val="1"/>
        </w:numPr>
        <w:spacing w:before="120" w:after="120" w:line="360" w:lineRule="auto"/>
        <w:ind w:left="426" w:hanging="284"/>
        <w:rPr>
          <w:rFonts w:eastAsia="MS Mincho" w:cstheme="minorHAnsi"/>
          <w:iCs/>
          <w:sz w:val="24"/>
          <w:szCs w:val="24"/>
          <w:lang w:eastAsia="ja-JP"/>
        </w:rPr>
      </w:pPr>
      <w:r w:rsidRPr="009A1B05">
        <w:rPr>
          <w:rFonts w:eastAsia="MS Mincho" w:cstheme="minorHAnsi"/>
          <w:iCs/>
          <w:sz w:val="24"/>
          <w:szCs w:val="24"/>
          <w:lang w:eastAsia="ja-JP"/>
        </w:rPr>
        <w:t>W przypadku, gdy OOW / i Partner / i Podmiot upoważniony do ponoszenia wydatków jest organem administracji publicznej, może on powierzać na podstawie art. 5 ust. 2 pkt 1 ustawy z dnia 24 kwietnia 2003 r. o działalności pożytku publicznego i o wolontariacie (tj. Dz. U. z 2023 r. poz. 571) realizację zadań publicznych w trybie określonym w tej ustawie. Do powierzenia realizacji zadań publicznych w ww. trybie, procedury określonej w sekcji II. „Zasada konkurencyjności” niniejszego Załącznika nie stosuje się.</w:t>
      </w:r>
    </w:p>
    <w:p w14:paraId="62A8BEAB" w14:textId="77777777" w:rsidR="0067033B" w:rsidRPr="009A1B05" w:rsidRDefault="0067033B" w:rsidP="0067033B">
      <w:pPr>
        <w:pStyle w:val="Akapitzlist"/>
        <w:numPr>
          <w:ilvl w:val="0"/>
          <w:numId w:val="1"/>
        </w:numPr>
        <w:spacing w:before="120" w:after="120" w:line="360" w:lineRule="auto"/>
        <w:ind w:left="426" w:hanging="284"/>
        <w:rPr>
          <w:rFonts w:eastAsia="MS Mincho" w:cstheme="minorHAnsi"/>
          <w:iCs/>
          <w:sz w:val="24"/>
          <w:szCs w:val="24"/>
          <w:lang w:eastAsia="ja-JP"/>
        </w:rPr>
      </w:pPr>
      <w:r w:rsidRPr="009A1B05">
        <w:rPr>
          <w:rFonts w:eastAsia="MS Mincho" w:cstheme="minorHAnsi"/>
          <w:iCs/>
          <w:sz w:val="24"/>
          <w:szCs w:val="24"/>
          <w:lang w:eastAsia="ja-JP"/>
        </w:rPr>
        <w:t xml:space="preserve">W przypadku, gdy na podstawie obowiązujących przepisów prawa innych niż PZP, wyłącza się stosowanie PZP, OOW / i Partner / i Podmiot upoważniony do ponoszenia wydatków przeprowadza zamówienie z zastosowaniem tych przepisów. Do </w:t>
      </w:r>
      <w:r w:rsidRPr="009A1B05">
        <w:rPr>
          <w:rFonts w:eastAsia="MS Mincho" w:cstheme="minorHAnsi"/>
          <w:iCs/>
          <w:sz w:val="24"/>
          <w:szCs w:val="24"/>
          <w:lang w:eastAsia="ja-JP"/>
        </w:rPr>
        <w:lastRenderedPageBreak/>
        <w:t>przeprowadzenia zamówienia w ww. trybie, procedury określonej w sekcji II. „Zasada konkurencyjności” niniejszego Załącznika nie stosuje się.</w:t>
      </w:r>
    </w:p>
    <w:p w14:paraId="7EA79A08" w14:textId="4141ADAA" w:rsidR="0067033B" w:rsidRPr="009A1B05" w:rsidRDefault="0067033B" w:rsidP="0067033B">
      <w:pPr>
        <w:pStyle w:val="Akapitzlist"/>
        <w:numPr>
          <w:ilvl w:val="0"/>
          <w:numId w:val="1"/>
        </w:numPr>
        <w:spacing w:before="120" w:after="120" w:line="360" w:lineRule="auto"/>
        <w:ind w:left="426" w:hanging="284"/>
        <w:rPr>
          <w:rFonts w:eastAsia="MS Mincho" w:cstheme="minorHAnsi"/>
          <w:iCs/>
          <w:sz w:val="24"/>
          <w:szCs w:val="24"/>
          <w:lang w:eastAsia="ja-JP"/>
        </w:rPr>
      </w:pPr>
      <w:r w:rsidRPr="009A1B05">
        <w:rPr>
          <w:rFonts w:eastAsia="MS Mincho" w:cstheme="minorHAnsi"/>
          <w:iCs/>
          <w:sz w:val="24"/>
          <w:szCs w:val="24"/>
          <w:lang w:eastAsia="ja-JP"/>
        </w:rPr>
        <w:t xml:space="preserve">Procedury określonej w sekcji II. „Zasada konkurencyjności” nie stosuje się także do zamówień określonych w art. 9-14 PZP. </w:t>
      </w:r>
      <w:r w:rsidR="00D14ED5" w:rsidRPr="00D14ED5">
        <w:rPr>
          <w:rFonts w:eastAsia="MS Mincho" w:cstheme="minorHAnsi"/>
          <w:iCs/>
          <w:sz w:val="24"/>
          <w:szCs w:val="24"/>
          <w:lang w:eastAsia="ja-JP"/>
        </w:rPr>
        <w:t>Zamówienia objęte wyłączeniem o którym mowa w zdaniu pierwszym, zostaną przeprowadzone na podstawie wewnętrznych regulacji OOW / i Partnera / i Podmiotu upoważnionego do ponoszenia wydatków.</w:t>
      </w:r>
    </w:p>
    <w:p w14:paraId="7ECD2508" w14:textId="77777777" w:rsidR="0067033B" w:rsidRPr="009A1B05" w:rsidRDefault="0067033B" w:rsidP="0067033B">
      <w:pPr>
        <w:pStyle w:val="Akapitzlist"/>
        <w:numPr>
          <w:ilvl w:val="0"/>
          <w:numId w:val="1"/>
        </w:numPr>
        <w:spacing w:before="120" w:after="120" w:line="360" w:lineRule="auto"/>
        <w:ind w:left="426" w:hanging="284"/>
        <w:rPr>
          <w:rFonts w:eastAsia="MS Mincho" w:cstheme="minorHAnsi"/>
          <w:iCs/>
          <w:sz w:val="24"/>
          <w:szCs w:val="24"/>
          <w:lang w:eastAsia="ja-JP"/>
        </w:rPr>
      </w:pPr>
      <w:r w:rsidRPr="009A1B05">
        <w:rPr>
          <w:rFonts w:eastAsia="MS Mincho" w:cstheme="minorHAnsi"/>
          <w:iCs/>
          <w:sz w:val="24"/>
          <w:szCs w:val="24"/>
          <w:lang w:eastAsia="ja-JP"/>
        </w:rPr>
        <w:t>Możliwe jest niestosowanie procedury określonej w sekcji II. „Zasada konkurencyjności” - przy udzielaniu zamówień w następujących przypadkach:</w:t>
      </w:r>
      <w:r w:rsidRPr="009A1B05">
        <w:rPr>
          <w:rStyle w:val="Odwoanieprzypisudolnego"/>
          <w:rFonts w:eastAsia="MS Mincho" w:cstheme="minorHAnsi"/>
          <w:iCs/>
          <w:sz w:val="24"/>
          <w:szCs w:val="24"/>
          <w:lang w:eastAsia="ja-JP"/>
        </w:rPr>
        <w:footnoteReference w:id="1"/>
      </w:r>
    </w:p>
    <w:p w14:paraId="1F129520" w14:textId="77777777" w:rsidR="0067033B" w:rsidRPr="009A1B05" w:rsidRDefault="0067033B" w:rsidP="0067033B">
      <w:pPr>
        <w:pStyle w:val="Akapitzlist"/>
        <w:numPr>
          <w:ilvl w:val="0"/>
          <w:numId w:val="2"/>
        </w:numPr>
        <w:spacing w:before="120" w:after="120" w:line="360" w:lineRule="auto"/>
        <w:ind w:left="1134" w:hanging="283"/>
        <w:rPr>
          <w:rFonts w:eastAsia="MS Mincho" w:cstheme="minorHAnsi"/>
          <w:iCs/>
          <w:sz w:val="24"/>
          <w:szCs w:val="24"/>
          <w:lang w:eastAsia="ja-JP"/>
        </w:rPr>
      </w:pPr>
      <w:r w:rsidRPr="009A1B05">
        <w:rPr>
          <w:rFonts w:eastAsia="MS Mincho" w:cstheme="minorHAnsi"/>
          <w:iCs/>
          <w:sz w:val="24"/>
          <w:szCs w:val="24"/>
          <w:lang w:eastAsia="ja-JP"/>
        </w:rPr>
        <w:t>w wyniku prawidłowego zastosowania zasady konkurencyjności określonej w sekcji II. „Zasada konkurencyjności” nie wpłynęła żadna oferta lub wpłynęły tylko oferty podlegające odrzuceniu albo wszyscy wykonawcy zostali wykluczeni z postępowania lub nie spełnili warunków udziału w postępowaniu, przy czym zawarcie umowy w sprawie realizacji zamówienia z pominięciem zasady konkurencyjności jest możliwe, gdy pierwotne warunki zamówienia nie zostały zmienione,</w:t>
      </w:r>
    </w:p>
    <w:p w14:paraId="26EFB1C9" w14:textId="77777777" w:rsidR="0067033B" w:rsidRPr="009A1B05" w:rsidRDefault="0067033B" w:rsidP="0067033B">
      <w:pPr>
        <w:pStyle w:val="Akapitzlist"/>
        <w:numPr>
          <w:ilvl w:val="0"/>
          <w:numId w:val="2"/>
        </w:numPr>
        <w:spacing w:before="120" w:after="120" w:line="360" w:lineRule="auto"/>
        <w:ind w:left="1134" w:hanging="283"/>
        <w:rPr>
          <w:rFonts w:eastAsia="MS Mincho" w:cstheme="minorHAnsi"/>
          <w:iCs/>
          <w:sz w:val="24"/>
          <w:szCs w:val="24"/>
          <w:lang w:eastAsia="ja-JP"/>
        </w:rPr>
      </w:pPr>
      <w:r w:rsidRPr="009A1B05">
        <w:rPr>
          <w:rFonts w:eastAsia="MS Mincho" w:cstheme="minorHAnsi"/>
          <w:iCs/>
          <w:sz w:val="24"/>
          <w:szCs w:val="24"/>
          <w:lang w:eastAsia="ja-JP"/>
        </w:rPr>
        <w:t>zamówienie może być zrealizowane tylko przez jednego wykonawcę z jednego z następujących powodów:</w:t>
      </w:r>
    </w:p>
    <w:p w14:paraId="54843898" w14:textId="77777777" w:rsidR="0067033B" w:rsidRPr="009A1B05" w:rsidRDefault="0067033B" w:rsidP="0067033B">
      <w:pPr>
        <w:pStyle w:val="Akapitzlist"/>
        <w:numPr>
          <w:ilvl w:val="1"/>
          <w:numId w:val="11"/>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brak konkurencji ze względów technicznych o obiektywnym charakterze, tzn. istnieje tylko jeden wykonawca, który jako jedyny może zrealizować zamówienie, albo</w:t>
      </w:r>
    </w:p>
    <w:p w14:paraId="6F7C117B" w14:textId="77777777" w:rsidR="0067033B" w:rsidRPr="009A1B05" w:rsidRDefault="0067033B" w:rsidP="0067033B">
      <w:pPr>
        <w:pStyle w:val="Akapitzlist"/>
        <w:numPr>
          <w:ilvl w:val="1"/>
          <w:numId w:val="11"/>
        </w:numPr>
        <w:spacing w:before="120" w:after="120" w:line="360" w:lineRule="auto"/>
        <w:ind w:left="1560"/>
        <w:rPr>
          <w:rFonts w:cstheme="minorHAnsi"/>
          <w:iCs/>
          <w:sz w:val="24"/>
          <w:szCs w:val="24"/>
          <w:lang w:eastAsia="ja-JP"/>
        </w:rPr>
      </w:pPr>
      <w:r w:rsidRPr="009A1B05">
        <w:rPr>
          <w:rFonts w:eastAsia="MS Mincho" w:cstheme="minorHAnsi"/>
          <w:iCs/>
          <w:sz w:val="24"/>
          <w:szCs w:val="24"/>
          <w:lang w:eastAsia="ja-JP"/>
        </w:rPr>
        <w:t xml:space="preserve">przedmiot zamówienia jest objęty ochroną praw wyłącznych, w tym praw własności intelektualnej, tzn. istnieje tylko jeden wykonawca, który ma wyłączne prawo do dysponowania przedmiotem zamówienia, a prawo to podlega ochronie ustawowej, </w:t>
      </w:r>
    </w:p>
    <w:p w14:paraId="05B79BF7" w14:textId="77777777" w:rsidR="0067033B" w:rsidRPr="009A1B05" w:rsidRDefault="0067033B" w:rsidP="0067033B">
      <w:pPr>
        <w:spacing w:before="120" w:after="120" w:line="360" w:lineRule="auto"/>
        <w:ind w:left="1004"/>
        <w:contextualSpacing/>
        <w:rPr>
          <w:rFonts w:cstheme="minorHAnsi"/>
          <w:iCs/>
          <w:sz w:val="24"/>
          <w:szCs w:val="24"/>
          <w:lang w:eastAsia="ja-JP"/>
        </w:rPr>
      </w:pPr>
      <w:r w:rsidRPr="009A1B05">
        <w:rPr>
          <w:rFonts w:eastAsia="MS Mincho" w:cstheme="minorHAnsi"/>
          <w:iCs/>
          <w:sz w:val="24"/>
          <w:szCs w:val="24"/>
          <w:lang w:eastAsia="ja-JP"/>
        </w:rPr>
        <w:t>o ile nie istnieje rozwiązanie alternatywne lub zastępcze a brak konkurencji nie jest wynikiem sztucznego zawężania</w:t>
      </w:r>
      <w:r w:rsidRPr="009A1B05">
        <w:rPr>
          <w:rFonts w:cstheme="minorHAnsi"/>
          <w:iCs/>
          <w:sz w:val="24"/>
          <w:szCs w:val="24"/>
          <w:lang w:eastAsia="ja-JP"/>
        </w:rPr>
        <w:t xml:space="preserve"> parametrów zamówienia,</w:t>
      </w:r>
    </w:p>
    <w:p w14:paraId="6FE70501" w14:textId="77777777" w:rsidR="0067033B" w:rsidRPr="009A1B05" w:rsidRDefault="0067033B" w:rsidP="0067033B">
      <w:pPr>
        <w:pStyle w:val="Akapitzlist"/>
        <w:numPr>
          <w:ilvl w:val="0"/>
          <w:numId w:val="2"/>
        </w:numPr>
        <w:spacing w:before="120" w:after="120" w:line="360"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w przypadku zamówień, do których ma zastosowanie zasada konkurencyjności ze względu na pilną potrzebę (konieczność) udzielenia zamówienia niewynikającą z </w:t>
      </w:r>
      <w:r w:rsidRPr="009A1B05">
        <w:rPr>
          <w:rFonts w:eastAsia="MS Mincho" w:cstheme="minorHAnsi"/>
          <w:iCs/>
          <w:sz w:val="24"/>
          <w:szCs w:val="24"/>
          <w:lang w:eastAsia="ja-JP"/>
        </w:rPr>
        <w:lastRenderedPageBreak/>
        <w:t>przyczyn leżących po stronie zamawiającego, której wcześniej nie można było przewidzieć, nie można zachować terminów określonych w sekcji II. pkt. 11.,</w:t>
      </w:r>
    </w:p>
    <w:p w14:paraId="0CB7F300" w14:textId="77777777" w:rsidR="0067033B" w:rsidRPr="009A1B05" w:rsidRDefault="0067033B" w:rsidP="0067033B">
      <w:pPr>
        <w:pStyle w:val="Akapitzlist"/>
        <w:numPr>
          <w:ilvl w:val="0"/>
          <w:numId w:val="2"/>
        </w:numPr>
        <w:spacing w:before="120" w:after="120" w:line="360"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w przypadku zamówień, do których ma zastosowanie zasada konkurencyjności, ze względu na wyjątkową sytuację niewynikającą z przyczyn leżących po stronie zamawiającego, której wcześniej nie można było przewidzieć (np. klęski żywiołowe, katastrofy, awarie), wymagane jest natychmiastowe wykonanie zamówienia i nie można zachować terminów określonych w sekcji II. pkt. 11., </w:t>
      </w:r>
    </w:p>
    <w:p w14:paraId="07F1EF64" w14:textId="77777777" w:rsidR="0067033B" w:rsidRPr="009A1B05" w:rsidRDefault="0067033B" w:rsidP="0067033B">
      <w:pPr>
        <w:pStyle w:val="Akapitzlist"/>
        <w:numPr>
          <w:ilvl w:val="0"/>
          <w:numId w:val="2"/>
        </w:numPr>
        <w:spacing w:before="120" w:after="120" w:line="360" w:lineRule="auto"/>
        <w:ind w:left="1134" w:hanging="283"/>
        <w:rPr>
          <w:rFonts w:eastAsia="MS Mincho" w:cstheme="minorHAnsi"/>
          <w:iCs/>
          <w:sz w:val="24"/>
          <w:szCs w:val="24"/>
          <w:lang w:eastAsia="ja-JP"/>
        </w:rPr>
      </w:pPr>
      <w:r w:rsidRPr="009A1B05">
        <w:rPr>
          <w:rFonts w:eastAsia="MS Mincho" w:cstheme="minorHAnsi"/>
          <w:iCs/>
          <w:sz w:val="24"/>
          <w:szCs w:val="24"/>
          <w:lang w:eastAsia="ja-JP"/>
        </w:rPr>
        <w:t>zamawiający udziela wykonawcy wybranemu zgodnie z zasadą konkurencyjności zamówień na dodatkowe dostawy, polegających na częściowej wymianie dostarczonych produktów lub instalacji albo zwiększeniu bieżących dostaw lub rozbudowie istniejących instalacji, a zmiana wykonawcy prowadziłaby do nabycia materiałów o innych właściwościach technicznych, co powodowałoby niekompatybilność techniczną lub nieproporcjonalnie duże trudności techniczne w użytkowaniu i utrzymaniu tych produktów lub instalacji. Czas trwania umowy w sprawie zamówienia na dostawy dodatkowe nie może przekraczać 3 lat,</w:t>
      </w:r>
    </w:p>
    <w:p w14:paraId="67797F21" w14:textId="77777777" w:rsidR="0067033B" w:rsidRPr="009A1B05" w:rsidRDefault="0067033B" w:rsidP="0067033B">
      <w:pPr>
        <w:pStyle w:val="Akapitzlist"/>
        <w:numPr>
          <w:ilvl w:val="0"/>
          <w:numId w:val="2"/>
        </w:numPr>
        <w:spacing w:before="120" w:after="120" w:line="360" w:lineRule="auto"/>
        <w:ind w:left="1134" w:hanging="283"/>
        <w:rPr>
          <w:rFonts w:eastAsia="MS Mincho" w:cstheme="minorHAnsi"/>
          <w:iCs/>
          <w:sz w:val="24"/>
          <w:szCs w:val="24"/>
          <w:lang w:eastAsia="ja-JP"/>
        </w:rPr>
      </w:pPr>
      <w:r w:rsidRPr="009A1B05">
        <w:rPr>
          <w:rFonts w:eastAsia="MS Mincho" w:cstheme="minorHAnsi"/>
          <w:iCs/>
          <w:sz w:val="24"/>
          <w:szCs w:val="24"/>
          <w:lang w:eastAsia="ja-JP"/>
        </w:rPr>
        <w:t>zamawiający udziela wykonawcy wybranemu zgodnie z zasadą konkurencyjności w  okresie 3 lat od dnia udzielenia zamówienia podstawowego, przewidzianych w zapytaniu ofertowym zamówień na usługi, polegających na powtórzeniu podobnych usług do wysokości wartości pierwotnego zamówienia,</w:t>
      </w:r>
    </w:p>
    <w:p w14:paraId="3B0F10D8" w14:textId="77777777" w:rsidR="0067033B" w:rsidRPr="009A1B05" w:rsidRDefault="0067033B" w:rsidP="0067033B">
      <w:pPr>
        <w:pStyle w:val="Akapitzlist"/>
        <w:numPr>
          <w:ilvl w:val="0"/>
          <w:numId w:val="2"/>
        </w:numPr>
        <w:spacing w:before="120" w:after="120" w:line="360" w:lineRule="auto"/>
        <w:ind w:left="1134" w:hanging="283"/>
        <w:rPr>
          <w:rFonts w:eastAsia="MS Mincho" w:cstheme="minorHAnsi"/>
          <w:iCs/>
          <w:sz w:val="24"/>
          <w:szCs w:val="24"/>
          <w:lang w:eastAsia="ja-JP"/>
        </w:rPr>
      </w:pPr>
      <w:r w:rsidRPr="009A1B05">
        <w:rPr>
          <w:rFonts w:eastAsia="MS Mincho" w:cstheme="minorHAnsi"/>
          <w:iCs/>
          <w:sz w:val="24"/>
          <w:szCs w:val="24"/>
          <w:lang w:eastAsia="ja-JP"/>
        </w:rPr>
        <w:t>przedmiotem zamówienia są dostawy na szczególnie korzystnych warunkach w związku z likwidacją działalności innego podmiotu, postępowaniem egzekucyjnym albo upadłościowym,</w:t>
      </w:r>
    </w:p>
    <w:p w14:paraId="4C0611F9" w14:textId="77777777" w:rsidR="0067033B" w:rsidRPr="009A1B05" w:rsidRDefault="0067033B" w:rsidP="0067033B">
      <w:pPr>
        <w:pStyle w:val="Akapitzlist"/>
        <w:numPr>
          <w:ilvl w:val="0"/>
          <w:numId w:val="2"/>
        </w:numPr>
        <w:spacing w:before="120" w:after="120" w:line="360"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zamówienie na dostawy jest dokonywane na giełdzie towarowej w rozumieniu przepisów o giełdach towarowych, w tym na giełdzie towarowej innych państw członkowskich Europejskiego Obszaru Gospodarczego. </w:t>
      </w:r>
    </w:p>
    <w:p w14:paraId="1FEC5FB1" w14:textId="77777777" w:rsidR="0067033B" w:rsidRPr="009A1B05" w:rsidRDefault="0067033B" w:rsidP="0067033B">
      <w:pPr>
        <w:spacing w:before="120" w:after="120" w:line="360" w:lineRule="auto"/>
        <w:contextualSpacing/>
        <w:rPr>
          <w:rFonts w:eastAsia="MS Mincho" w:cstheme="minorHAnsi"/>
          <w:iCs/>
          <w:sz w:val="24"/>
          <w:szCs w:val="24"/>
          <w:lang w:val="pl-PL" w:eastAsia="ja-JP"/>
        </w:rPr>
      </w:pPr>
      <w:r w:rsidRPr="009A1B05">
        <w:rPr>
          <w:rFonts w:eastAsia="MS Mincho" w:cstheme="minorHAnsi"/>
          <w:iCs/>
          <w:sz w:val="24"/>
          <w:szCs w:val="24"/>
          <w:lang w:val="pl-PL" w:eastAsia="ja-JP"/>
        </w:rPr>
        <w:t xml:space="preserve">W przypadku </w:t>
      </w:r>
      <w:r w:rsidRPr="009A1B05">
        <w:rPr>
          <w:rFonts w:eastAsia="MS Mincho" w:cstheme="minorHAnsi"/>
          <w:iCs/>
          <w:sz w:val="24"/>
          <w:szCs w:val="24"/>
          <w:lang w:eastAsia="ja-JP"/>
        </w:rPr>
        <w:t>OOW / i Partnera / i Podmiotu upoważnionego do ponoszenia wydatków</w:t>
      </w:r>
      <w:r w:rsidRPr="009A1B05">
        <w:rPr>
          <w:rFonts w:eastAsia="MS Mincho" w:cstheme="minorHAnsi"/>
          <w:iCs/>
          <w:sz w:val="24"/>
          <w:szCs w:val="24"/>
          <w:lang w:val="pl-PL" w:eastAsia="ja-JP"/>
        </w:rPr>
        <w:t xml:space="preserve">, który nie jest zamawiającym w rozumieniu PZP zamówienia o wartości szacunkowej </w:t>
      </w:r>
      <w:r w:rsidRPr="009A1B05">
        <w:rPr>
          <w:rFonts w:eastAsia="MS Mincho" w:cstheme="minorHAnsi"/>
          <w:b/>
          <w:bCs/>
          <w:iCs/>
          <w:sz w:val="24"/>
          <w:szCs w:val="24"/>
          <w:lang w:val="pl-PL" w:eastAsia="ja-JP"/>
        </w:rPr>
        <w:t>przekraczającej 50 tys. PLN netto</w:t>
      </w:r>
      <w:r w:rsidRPr="009A1B05">
        <w:rPr>
          <w:rFonts w:eastAsia="MS Mincho" w:cstheme="minorHAnsi"/>
          <w:iCs/>
          <w:sz w:val="24"/>
          <w:szCs w:val="24"/>
          <w:lang w:val="pl-PL" w:eastAsia="ja-JP"/>
        </w:rPr>
        <w:t>, o których mowa w ppkt. 1) - 4) lub 7) - 8) nie mogą być udzielane podmiotom powiązanym z nim osobowo lub kapitałowo w sposób określony w pkt. 3. sekcji I. bez zgody JW.</w:t>
      </w:r>
    </w:p>
    <w:p w14:paraId="4A1FC1CC" w14:textId="77777777" w:rsidR="0067033B" w:rsidRPr="009A1B05" w:rsidRDefault="0067033B" w:rsidP="0067033B">
      <w:pPr>
        <w:pStyle w:val="Akapitzlist"/>
        <w:numPr>
          <w:ilvl w:val="0"/>
          <w:numId w:val="1"/>
        </w:numPr>
        <w:spacing w:before="120" w:after="120" w:line="360" w:lineRule="auto"/>
        <w:ind w:left="426" w:hanging="284"/>
        <w:rPr>
          <w:rFonts w:eastAsia="MS Mincho" w:cstheme="minorHAnsi"/>
          <w:iCs/>
          <w:sz w:val="24"/>
          <w:szCs w:val="24"/>
          <w:lang w:eastAsia="ja-JP"/>
        </w:rPr>
      </w:pPr>
      <w:r w:rsidRPr="009A1B05">
        <w:rPr>
          <w:rFonts w:eastAsia="MS Mincho" w:cstheme="minorHAnsi"/>
          <w:iCs/>
          <w:sz w:val="24"/>
          <w:szCs w:val="24"/>
          <w:lang w:eastAsia="ja-JP"/>
        </w:rPr>
        <w:lastRenderedPageBreak/>
        <w:t>W przypadku, gdy OOW / i Partner / i Podmiot upoważniony do ponoszenia wydatków jest zamawiającym w rozumieniu przepisów PZP, możliwe jest niestosowanie procedur określonych w niniejszej sekcji w przypadkach określonych w art. 214 ust. 1 PZP.</w:t>
      </w:r>
    </w:p>
    <w:p w14:paraId="3F5A874D" w14:textId="77777777" w:rsidR="0067033B" w:rsidRPr="009A1B05" w:rsidRDefault="0067033B" w:rsidP="0067033B">
      <w:pPr>
        <w:pStyle w:val="Akapitzlist"/>
        <w:numPr>
          <w:ilvl w:val="0"/>
          <w:numId w:val="1"/>
        </w:numPr>
        <w:spacing w:before="120" w:after="120" w:line="360" w:lineRule="auto"/>
        <w:ind w:left="426" w:hanging="426"/>
        <w:rPr>
          <w:rFonts w:eastAsia="MS Mincho" w:cstheme="minorHAnsi"/>
          <w:iCs/>
          <w:sz w:val="24"/>
          <w:szCs w:val="24"/>
          <w:lang w:eastAsia="ja-JP"/>
        </w:rPr>
      </w:pPr>
      <w:r w:rsidRPr="009A1B05">
        <w:rPr>
          <w:rFonts w:eastAsia="MS Mincho" w:cstheme="minorHAnsi"/>
          <w:iCs/>
          <w:sz w:val="24"/>
          <w:szCs w:val="24"/>
          <w:lang w:eastAsia="ja-JP"/>
        </w:rPr>
        <w:t>Spełnienie przesłanek z pkt. 8. i 9. musi być pisemnie uzasadnione. Do uzasadnienia muszą być załączone dowody uzasadniające twierdzenia zamawiającego.</w:t>
      </w:r>
    </w:p>
    <w:p w14:paraId="0F0566CC" w14:textId="77777777" w:rsidR="0067033B" w:rsidRPr="009A1B05" w:rsidRDefault="0067033B" w:rsidP="0067033B">
      <w:pPr>
        <w:pStyle w:val="Akapitzlist"/>
        <w:numPr>
          <w:ilvl w:val="0"/>
          <w:numId w:val="1"/>
        </w:numPr>
        <w:spacing w:before="120" w:after="120" w:line="360" w:lineRule="auto"/>
        <w:ind w:left="426" w:hanging="426"/>
        <w:rPr>
          <w:rFonts w:eastAsia="MS Mincho" w:cstheme="minorHAnsi"/>
          <w:iCs/>
          <w:sz w:val="24"/>
          <w:szCs w:val="24"/>
          <w:lang w:eastAsia="ja-JP"/>
        </w:rPr>
      </w:pPr>
      <w:r w:rsidRPr="009A1B05">
        <w:rPr>
          <w:rFonts w:eastAsia="MS Mincho" w:cstheme="minorHAnsi"/>
          <w:iCs/>
          <w:sz w:val="24"/>
          <w:szCs w:val="24"/>
          <w:lang w:eastAsia="ja-JP"/>
        </w:rPr>
        <w:t>Podstawą ustalenia wartości zamówienia w ramach Przedsięwzięcia jest całkowite szacunkowe wynagrodzenie wykonawcy netto, tj. bez podatku od towarów i usług (VAT), ustalone z należytą starannością, z uwzględnieniem ewentualnych zamówień, o których mowa w pkt. 8. ppkt. 6). Brak uwzględnienia zamówień dodatkowych uniemożliwia skorzystanie z zamówień dodatkowych. Szacowanie jest dokumentowane w sposób zapewniający właściwą ścieżkę audytu (np. w zatwierdzonym wniosku o objęcie Przedsięwzięcia wsparciem lub w notatce z szacowania). Określenie szacunkowej wartości zamówienia musi się odbyć z zachowaniem należytej staranności i musi objąć cały przedmiot zamówienia. Zabronione jest zawyżanie oraz zaniżanie wartości szacunkowej zamówienia lub jego podział skutkujący zaniżeniem jego wartości szacunkowej, przy czym ustalając wartość zamówienia lub przy ewentualnym sumowaniu odrębnych zamówień, należy wziąć pod uwagę konieczność łącznego spełnienia trzech przesłanek (tożsamości):</w:t>
      </w:r>
      <w:r w:rsidRPr="009A1B05">
        <w:rPr>
          <w:rStyle w:val="Odwoanieprzypisudolnego"/>
          <w:rFonts w:eastAsia="MS Mincho" w:cstheme="minorHAnsi"/>
          <w:iCs/>
          <w:sz w:val="24"/>
          <w:szCs w:val="24"/>
          <w:lang w:eastAsia="ja-JP"/>
        </w:rPr>
        <w:footnoteReference w:id="2"/>
      </w:r>
    </w:p>
    <w:p w14:paraId="5D456112" w14:textId="77777777" w:rsidR="0067033B" w:rsidRPr="009A1B05" w:rsidRDefault="0067033B" w:rsidP="0067033B">
      <w:pPr>
        <w:pStyle w:val="Akapitzlist"/>
        <w:numPr>
          <w:ilvl w:val="0"/>
          <w:numId w:val="9"/>
        </w:numPr>
        <w:spacing w:before="120" w:after="120" w:line="360" w:lineRule="auto"/>
        <w:ind w:left="1134"/>
        <w:rPr>
          <w:rFonts w:eastAsia="MS Mincho" w:cstheme="minorHAnsi"/>
          <w:iCs/>
          <w:sz w:val="24"/>
          <w:szCs w:val="24"/>
          <w:lang w:eastAsia="ja-JP"/>
        </w:rPr>
      </w:pPr>
      <w:r w:rsidRPr="009A1B05">
        <w:rPr>
          <w:rFonts w:eastAsia="MS Mincho" w:cstheme="minorHAnsi"/>
          <w:iCs/>
          <w:sz w:val="24"/>
          <w:szCs w:val="24"/>
          <w:lang w:eastAsia="ja-JP"/>
        </w:rPr>
        <w:t>usługi oraz dostawy są tożsame rodzajowo lub funkcjonalnie (tożsamość przedmiotowa),</w:t>
      </w:r>
    </w:p>
    <w:p w14:paraId="49A9DBE3" w14:textId="77777777" w:rsidR="0067033B" w:rsidRPr="009A1B05" w:rsidRDefault="0067033B" w:rsidP="0067033B">
      <w:pPr>
        <w:pStyle w:val="Akapitzlist"/>
        <w:numPr>
          <w:ilvl w:val="0"/>
          <w:numId w:val="9"/>
        </w:numPr>
        <w:spacing w:before="120" w:after="120" w:line="360" w:lineRule="auto"/>
        <w:ind w:left="1134"/>
        <w:rPr>
          <w:rFonts w:eastAsia="MS Mincho" w:cstheme="minorHAnsi"/>
          <w:iCs/>
          <w:sz w:val="24"/>
          <w:szCs w:val="24"/>
          <w:lang w:eastAsia="ja-JP"/>
        </w:rPr>
      </w:pPr>
      <w:r w:rsidRPr="009A1B05">
        <w:rPr>
          <w:rFonts w:eastAsia="MS Mincho" w:cstheme="minorHAnsi"/>
          <w:iCs/>
          <w:sz w:val="24"/>
          <w:szCs w:val="24"/>
          <w:lang w:eastAsia="ja-JP"/>
        </w:rPr>
        <w:t>możliwe jest udzielenie zamówienia w tym samym czasie (tożsamość czasowa),</w:t>
      </w:r>
      <w:r w:rsidRPr="009A1B05">
        <w:rPr>
          <w:rStyle w:val="Odwoanieprzypisudolnego"/>
          <w:rFonts w:eastAsia="MS Mincho" w:cstheme="minorHAnsi"/>
          <w:iCs/>
          <w:sz w:val="24"/>
          <w:szCs w:val="24"/>
          <w:lang w:eastAsia="ja-JP"/>
        </w:rPr>
        <w:footnoteReference w:id="3"/>
      </w:r>
    </w:p>
    <w:p w14:paraId="14655FF8" w14:textId="77777777" w:rsidR="0067033B" w:rsidRPr="009A1B05" w:rsidRDefault="0067033B" w:rsidP="0067033B">
      <w:pPr>
        <w:pStyle w:val="Akapitzlist"/>
        <w:numPr>
          <w:ilvl w:val="0"/>
          <w:numId w:val="9"/>
        </w:numPr>
        <w:spacing w:before="120" w:after="120" w:line="360" w:lineRule="auto"/>
        <w:ind w:left="1134"/>
        <w:rPr>
          <w:rFonts w:eastAsia="MS Mincho" w:cstheme="minorHAnsi"/>
          <w:iCs/>
          <w:sz w:val="24"/>
          <w:szCs w:val="24"/>
          <w:lang w:eastAsia="ja-JP"/>
        </w:rPr>
      </w:pPr>
      <w:r w:rsidRPr="009A1B05">
        <w:rPr>
          <w:rFonts w:eastAsia="MS Mincho" w:cstheme="minorHAnsi"/>
          <w:iCs/>
          <w:sz w:val="24"/>
          <w:szCs w:val="24"/>
          <w:lang w:eastAsia="ja-JP"/>
        </w:rPr>
        <w:t>możliwe jest wykonanie zamówienia przez jednego wykonawcę (tożsamość podmiotowa).</w:t>
      </w:r>
    </w:p>
    <w:p w14:paraId="101F7208" w14:textId="77777777" w:rsidR="0067033B" w:rsidRPr="009A1B05" w:rsidRDefault="0067033B" w:rsidP="0067033B">
      <w:pPr>
        <w:pStyle w:val="Akapitzlist"/>
        <w:numPr>
          <w:ilvl w:val="0"/>
          <w:numId w:val="1"/>
        </w:numPr>
        <w:spacing w:before="120" w:after="120" w:line="360" w:lineRule="auto"/>
        <w:rPr>
          <w:rFonts w:eastAsia="MS Mincho" w:cstheme="minorHAnsi"/>
          <w:iCs/>
          <w:sz w:val="24"/>
          <w:szCs w:val="24"/>
          <w:lang w:eastAsia="ja-JP"/>
        </w:rPr>
      </w:pPr>
      <w:r w:rsidRPr="009A1B05">
        <w:rPr>
          <w:rFonts w:eastAsia="MS Mincho" w:cstheme="minorHAnsi"/>
          <w:iCs/>
          <w:sz w:val="24"/>
          <w:szCs w:val="24"/>
          <w:lang w:eastAsia="ja-JP"/>
        </w:rPr>
        <w:t>W przypadku udzielania zamówienia w częściach (z określonych względów ekonomicznych, organizacyjnych, celowościowych), wartość zamówienia ustala się jako łączną wartość poszczególnych jego części</w:t>
      </w:r>
      <w:r w:rsidRPr="009A1B05">
        <w:rPr>
          <w:rStyle w:val="Odwoanieprzypisudolnego"/>
          <w:rFonts w:eastAsia="MS Mincho" w:cstheme="minorHAnsi"/>
          <w:iCs/>
          <w:sz w:val="24"/>
          <w:szCs w:val="24"/>
          <w:lang w:eastAsia="ja-JP"/>
        </w:rPr>
        <w:footnoteReference w:id="4"/>
      </w:r>
      <w:r w:rsidRPr="009A1B05">
        <w:rPr>
          <w:rFonts w:eastAsia="MS Mincho" w:cstheme="minorHAnsi"/>
          <w:iCs/>
          <w:sz w:val="24"/>
          <w:szCs w:val="24"/>
          <w:lang w:eastAsia="ja-JP"/>
        </w:rPr>
        <w:t>.</w:t>
      </w:r>
    </w:p>
    <w:p w14:paraId="21665495" w14:textId="77777777" w:rsidR="0067033B" w:rsidRPr="009A1B05" w:rsidRDefault="0067033B" w:rsidP="0067033B">
      <w:pPr>
        <w:pStyle w:val="Akapitzlist"/>
        <w:numPr>
          <w:ilvl w:val="0"/>
          <w:numId w:val="1"/>
        </w:numPr>
        <w:spacing w:before="120" w:after="120" w:line="360" w:lineRule="auto"/>
        <w:rPr>
          <w:rFonts w:eastAsia="MS Mincho" w:cstheme="minorHAnsi"/>
          <w:iCs/>
          <w:sz w:val="24"/>
          <w:szCs w:val="24"/>
          <w:lang w:eastAsia="ja-JP"/>
        </w:rPr>
      </w:pPr>
      <w:r w:rsidRPr="009A1B05">
        <w:rPr>
          <w:rFonts w:eastAsia="MS Mincho" w:cstheme="minorHAnsi"/>
          <w:iCs/>
          <w:sz w:val="24"/>
          <w:szCs w:val="24"/>
          <w:lang w:eastAsia="ja-JP"/>
        </w:rPr>
        <w:lastRenderedPageBreak/>
        <w:t xml:space="preserve">Podmioty będące zamawiającymi w rozumieniu PZP a także podmioty nie będące zamawiającymi w rozumieniu PZP, w pierwszej kolejności dokonują szacowania wartości zamówienia zgodnie z przepisami tej ustawy. Po stwierdzeniu, że szacunkowa wartość zamówienia ustalona na podstawie PZP nie przekracza wartości, od której istnieje obowiązek stosowania PZP, podmioty te zobowiązane są stosować zasady konkurencyjności do zamówień których wartość szacunkowa przekracza 50 tys. PLN netto, tj. bez podatku od towarów i usług (VAT). </w:t>
      </w:r>
    </w:p>
    <w:p w14:paraId="6DC78A07" w14:textId="77777777" w:rsidR="0067033B" w:rsidRPr="009A1B05" w:rsidRDefault="0067033B" w:rsidP="0067033B">
      <w:pPr>
        <w:pStyle w:val="Akapitzlist"/>
        <w:numPr>
          <w:ilvl w:val="0"/>
          <w:numId w:val="1"/>
        </w:numPr>
        <w:spacing w:before="120" w:after="120" w:line="360" w:lineRule="auto"/>
        <w:rPr>
          <w:rFonts w:eastAsia="MS Mincho" w:cstheme="minorHAnsi"/>
          <w:iCs/>
          <w:sz w:val="24"/>
          <w:szCs w:val="24"/>
          <w:lang w:eastAsia="ja-JP"/>
        </w:rPr>
      </w:pPr>
      <w:r w:rsidRPr="009A1B05">
        <w:rPr>
          <w:rFonts w:eastAsia="MS Mincho" w:cstheme="minorHAnsi"/>
          <w:iCs/>
          <w:sz w:val="24"/>
          <w:szCs w:val="24"/>
          <w:lang w:eastAsia="ja-JP"/>
        </w:rPr>
        <w:t xml:space="preserve">W przypadku naruszenia przez OOW / i Partnera / i Podmiot upoważniony do ponoszenia wydatków warunków i procedur postępowania o udzielenie zamówienia, JW uznaje całość lub część kosztów związanych z tym zamówieniem za niekwalifikowalne w zależności od skali naruszenia. </w:t>
      </w:r>
    </w:p>
    <w:p w14:paraId="1B072DB3" w14:textId="77777777" w:rsidR="0067033B" w:rsidRPr="00FE688E" w:rsidRDefault="0067033B" w:rsidP="0067033B">
      <w:pPr>
        <w:pStyle w:val="Akapitzlist"/>
        <w:numPr>
          <w:ilvl w:val="0"/>
          <w:numId w:val="1"/>
        </w:numPr>
        <w:spacing w:before="120" w:after="120" w:line="360" w:lineRule="auto"/>
        <w:rPr>
          <w:rFonts w:eastAsia="MS Mincho" w:cstheme="minorHAnsi"/>
          <w:iCs/>
          <w:sz w:val="24"/>
          <w:szCs w:val="24"/>
          <w:lang w:eastAsia="ja-JP"/>
        </w:rPr>
      </w:pPr>
      <w:r w:rsidRPr="00FE688E">
        <w:rPr>
          <w:rFonts w:eastAsia="MS Mincho" w:cstheme="minorHAnsi"/>
          <w:iCs/>
          <w:sz w:val="24"/>
          <w:szCs w:val="24"/>
          <w:lang w:eastAsia="ja-JP"/>
        </w:rPr>
        <w:t>Do zamówień udzielanych w ramach Przedsięwzięcia zastosowanie ma załącznik „Stawki procentowe korekt finansowych i pomniejszeń dla poszczególnych kategorii nieprawidłowości indywidualnych stosowane w zamówieniach”, stanowiących załącznik do Wytycznych dotyczących sposobu korygowania nieprawidłowych wydatków na lata 2021-2027.</w:t>
      </w:r>
    </w:p>
    <w:p w14:paraId="7D70E8F1" w14:textId="77777777" w:rsidR="0067033B" w:rsidRPr="005052BA" w:rsidRDefault="0067033B" w:rsidP="0067033B">
      <w:pPr>
        <w:pStyle w:val="Nagwek2"/>
        <w:numPr>
          <w:ilvl w:val="0"/>
          <w:numId w:val="22"/>
        </w:numPr>
        <w:tabs>
          <w:tab w:val="num" w:pos="360"/>
        </w:tabs>
        <w:spacing w:before="120" w:after="120" w:line="360" w:lineRule="auto"/>
        <w:ind w:left="0" w:firstLine="0"/>
        <w:contextualSpacing/>
        <w:rPr>
          <w:rFonts w:cstheme="minorHAnsi"/>
        </w:rPr>
      </w:pPr>
      <w:bookmarkStart w:id="7" w:name="_Toc161824960"/>
      <w:r w:rsidRPr="005052BA">
        <w:rPr>
          <w:rFonts w:cstheme="minorHAnsi"/>
        </w:rPr>
        <w:t>Zasada konkurencyjności</w:t>
      </w:r>
      <w:bookmarkEnd w:id="7"/>
    </w:p>
    <w:p w14:paraId="6FA5593D" w14:textId="77777777" w:rsidR="0067033B" w:rsidRPr="009A1B05" w:rsidRDefault="0067033B" w:rsidP="0067033B">
      <w:pPr>
        <w:pStyle w:val="Akapitzlist"/>
        <w:numPr>
          <w:ilvl w:val="0"/>
          <w:numId w:val="3"/>
        </w:numPr>
        <w:spacing w:before="120" w:after="120" w:line="360" w:lineRule="auto"/>
        <w:ind w:left="426" w:hanging="284"/>
        <w:rPr>
          <w:rFonts w:eastAsia="MS Mincho" w:cstheme="minorHAnsi"/>
          <w:iCs/>
          <w:sz w:val="24"/>
          <w:szCs w:val="24"/>
          <w:lang w:eastAsia="ja-JP"/>
        </w:rPr>
      </w:pPr>
      <w:r w:rsidRPr="009A1B05">
        <w:rPr>
          <w:rFonts w:eastAsia="MS Mincho" w:cstheme="minorHAnsi"/>
          <w:iCs/>
          <w:sz w:val="24"/>
          <w:szCs w:val="24"/>
          <w:lang w:eastAsia="ja-JP"/>
        </w:rPr>
        <w:t>Udzielenie zamówienia w ramach Przedsięwzięcia przez OOW / i Partnera / i Podmiot upoważniony do ponoszenia wydatków następuje zgodnie z zasadą konkurencyjności w przypadku:</w:t>
      </w:r>
    </w:p>
    <w:p w14:paraId="355D6462" w14:textId="77777777" w:rsidR="0067033B" w:rsidRPr="009A1B05" w:rsidRDefault="0067033B" w:rsidP="0067033B">
      <w:pPr>
        <w:pStyle w:val="Akapitzlist"/>
        <w:numPr>
          <w:ilvl w:val="0"/>
          <w:numId w:val="4"/>
        </w:numPr>
        <w:spacing w:before="120" w:after="120" w:line="360" w:lineRule="auto"/>
        <w:ind w:left="1134" w:hanging="283"/>
        <w:rPr>
          <w:rFonts w:eastAsia="MS Mincho" w:cstheme="minorHAnsi"/>
          <w:iCs/>
          <w:sz w:val="24"/>
          <w:szCs w:val="24"/>
          <w:lang w:eastAsia="ja-JP"/>
        </w:rPr>
      </w:pPr>
      <w:r w:rsidRPr="009A1B05">
        <w:rPr>
          <w:rFonts w:eastAsia="MS Mincho" w:cstheme="minorHAnsi"/>
          <w:iCs/>
          <w:sz w:val="24"/>
          <w:szCs w:val="24"/>
          <w:lang w:eastAsia="ja-JP"/>
        </w:rPr>
        <w:t>OOW / i Partner / i Podmiot upoważniony do ponoszenia wydatków</w:t>
      </w:r>
      <w:r w:rsidRPr="009A1B05" w:rsidDel="0056799E">
        <w:rPr>
          <w:rFonts w:eastAsia="MS Mincho" w:cstheme="minorHAnsi"/>
          <w:iCs/>
          <w:sz w:val="24"/>
          <w:szCs w:val="24"/>
          <w:lang w:eastAsia="ja-JP"/>
        </w:rPr>
        <w:t xml:space="preserve"> </w:t>
      </w:r>
      <w:r w:rsidRPr="009A1B05">
        <w:rPr>
          <w:rFonts w:eastAsia="MS Mincho" w:cstheme="minorHAnsi"/>
          <w:iCs/>
          <w:sz w:val="24"/>
          <w:szCs w:val="24"/>
          <w:lang w:eastAsia="ja-JP"/>
        </w:rPr>
        <w:t>niebędący zamawiającym w rozumieniu PZP w przypadku zamówień przekraczających wartość 50 tys. PLN netto, tj. bez podatku od towarów i usług (VAT),</w:t>
      </w:r>
    </w:p>
    <w:p w14:paraId="5AE0DABE" w14:textId="77777777" w:rsidR="0067033B" w:rsidRPr="009A1B05" w:rsidRDefault="0067033B" w:rsidP="0067033B">
      <w:pPr>
        <w:pStyle w:val="Akapitzlist"/>
        <w:numPr>
          <w:ilvl w:val="0"/>
          <w:numId w:val="4"/>
        </w:numPr>
        <w:spacing w:before="120" w:after="120" w:line="360" w:lineRule="auto"/>
        <w:ind w:left="1134" w:hanging="283"/>
        <w:rPr>
          <w:rFonts w:eastAsia="MS Mincho" w:cstheme="minorHAnsi"/>
          <w:iCs/>
          <w:sz w:val="24"/>
          <w:szCs w:val="24"/>
          <w:lang w:eastAsia="ja-JP"/>
        </w:rPr>
      </w:pPr>
      <w:r w:rsidRPr="009A1B05">
        <w:rPr>
          <w:rFonts w:eastAsia="MS Mincho" w:cstheme="minorHAnsi"/>
          <w:iCs/>
          <w:sz w:val="24"/>
          <w:szCs w:val="24"/>
          <w:lang w:eastAsia="ja-JP"/>
        </w:rPr>
        <w:t>OOW / i Partner / i Podmiot upoważniony do ponoszenia wydatków będącego zamawiającym w rozumieniu PZP w przypadku zamówień o wartości niższej niż kwoty określone w art. 2 ust. 1 PZP, a jednocześnie przekraczającej 50 tys. PLN netto, tj. bez podatku od towarów i usług (VAT).</w:t>
      </w:r>
    </w:p>
    <w:p w14:paraId="7F348E60" w14:textId="77777777" w:rsidR="0067033B" w:rsidRPr="009A1B05" w:rsidRDefault="0067033B" w:rsidP="0067033B">
      <w:pPr>
        <w:pStyle w:val="Akapitzlist"/>
        <w:numPr>
          <w:ilvl w:val="0"/>
          <w:numId w:val="3"/>
        </w:numPr>
        <w:spacing w:before="120" w:after="120" w:line="360" w:lineRule="auto"/>
        <w:ind w:left="426" w:hanging="284"/>
        <w:rPr>
          <w:rFonts w:eastAsia="MS Mincho" w:cstheme="minorHAnsi"/>
          <w:iCs/>
          <w:sz w:val="24"/>
          <w:szCs w:val="24"/>
          <w:lang w:eastAsia="ja-JP"/>
        </w:rPr>
      </w:pPr>
      <w:r w:rsidRPr="009A1B05">
        <w:rPr>
          <w:rFonts w:eastAsia="MS Mincho" w:cstheme="minorHAnsi"/>
          <w:iCs/>
          <w:sz w:val="24"/>
          <w:szCs w:val="24"/>
          <w:lang w:eastAsia="ja-JP"/>
        </w:rPr>
        <w:t>W celu uniknięcia konfliktu interesów:</w:t>
      </w:r>
    </w:p>
    <w:p w14:paraId="1E46F389" w14:textId="77777777" w:rsidR="0067033B" w:rsidRPr="009A1B05" w:rsidRDefault="0067033B" w:rsidP="0067033B">
      <w:pPr>
        <w:pStyle w:val="Akapitzlist"/>
        <w:numPr>
          <w:ilvl w:val="1"/>
          <w:numId w:val="5"/>
        </w:numPr>
        <w:spacing w:before="120" w:after="120" w:line="360"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w przypadku OOW / i Partnera / i Podmiotu upoważnionego do ponoszenia wydatków, który nie jest zamawiającym w rozumieniu PZP, zamówienia nie mogą być udzielane podmiotom powiązanym z nim osobowo lub kapitałowo, z </w:t>
      </w:r>
      <w:r w:rsidRPr="009A1B05">
        <w:rPr>
          <w:rFonts w:eastAsia="MS Mincho" w:cstheme="minorHAnsi"/>
          <w:iCs/>
          <w:sz w:val="24"/>
          <w:szCs w:val="24"/>
          <w:lang w:eastAsia="ja-JP"/>
        </w:rPr>
        <w:lastRenderedPageBreak/>
        <w:t>wyłączeniem zamówień sektorowych, zamówień określonych w sekcji I. pkt. 8. ppkt. 5) lub 6) oraz wyjątkowo w przypadku, w którym umożliwienie podmiotowi powiązanemu wzięcia udziału w postępowaniu jest uzasadnione ze względu na specyfikę Przedsięwzięcia lub typ OOW / i Partnera / i Podmiotu upoważnionego do ponoszenia wydatków, a wybór wykonawcy będącego podmiotem powiązanym będzie dokonany zgodnie z procedurą opisaną w niniejszej sekcji,</w:t>
      </w:r>
    </w:p>
    <w:p w14:paraId="22F98F96" w14:textId="77777777" w:rsidR="0067033B" w:rsidRPr="009A1B05" w:rsidRDefault="0067033B" w:rsidP="0067033B">
      <w:pPr>
        <w:pStyle w:val="Akapitzlist"/>
        <w:numPr>
          <w:ilvl w:val="2"/>
          <w:numId w:val="5"/>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IOI może wyrazić zgodę na wyłączenie zakazu w odniesieniu do danego postępowania przed jego przeprowadzeniem,</w:t>
      </w:r>
    </w:p>
    <w:p w14:paraId="5B06258A" w14:textId="77777777" w:rsidR="0067033B" w:rsidRPr="009A1B05" w:rsidRDefault="0067033B" w:rsidP="0067033B">
      <w:pPr>
        <w:pStyle w:val="Akapitzlist"/>
        <w:numPr>
          <w:ilvl w:val="1"/>
          <w:numId w:val="5"/>
        </w:numPr>
        <w:spacing w:before="120" w:after="120" w:line="360"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osoby wykonujące w imieniu zamawiającego czynności związane z procedurą wyboru wykonawcy, w szczególności osoby biorące udział w procesie oceny ofert, nie mogą być powiązane osobowo lub kapitałowo z wykonawcami, którzy złożyli oferty. Powinny być to osoby bezstronne i obiektywne. W tym celu składają oświadczenie </w:t>
      </w:r>
      <w:r w:rsidRPr="009A1B05">
        <w:rPr>
          <w:rFonts w:cstheme="minorHAnsi"/>
          <w:iCs/>
          <w:sz w:val="24"/>
          <w:szCs w:val="24"/>
        </w:rPr>
        <w:t>w formie pisemnej lub w formie elektronicznej (w rozumieniu odpowiednio art. 78 i art. 78¹ Kodeksu cywilnego) o braku istnienia albo braku wpływu powiązań osobowych lub kapitałowych z wykonawcami na bezstronność postępowania.</w:t>
      </w:r>
    </w:p>
    <w:p w14:paraId="15DAF3E1" w14:textId="77777777" w:rsidR="0067033B" w:rsidRPr="009A1B05" w:rsidRDefault="0067033B" w:rsidP="0067033B">
      <w:pPr>
        <w:pStyle w:val="Akapitzlist"/>
        <w:numPr>
          <w:ilvl w:val="0"/>
          <w:numId w:val="3"/>
        </w:numPr>
        <w:spacing w:before="120" w:after="120" w:line="360" w:lineRule="auto"/>
        <w:ind w:left="426" w:hanging="284"/>
        <w:rPr>
          <w:rFonts w:eastAsia="MS Mincho" w:cstheme="minorHAnsi"/>
          <w:iCs/>
          <w:sz w:val="24"/>
          <w:szCs w:val="24"/>
          <w:lang w:eastAsia="ja-JP"/>
        </w:rPr>
      </w:pPr>
      <w:r w:rsidRPr="009A1B05">
        <w:rPr>
          <w:rFonts w:eastAsia="MS Mincho" w:cstheme="minorHAnsi"/>
          <w:iCs/>
          <w:sz w:val="24"/>
          <w:szCs w:val="24"/>
          <w:lang w:eastAsia="ja-JP"/>
        </w:rPr>
        <w:t>Przez powiązania kapitałowe lub osobowe rozumie się wzajemne powiązania między OOW / i Partnerem / i Podmiotem upoważnionym do ponoszenia wydatków</w:t>
      </w:r>
      <w:r w:rsidRPr="009A1B05" w:rsidDel="0056799E">
        <w:rPr>
          <w:rFonts w:eastAsia="MS Mincho" w:cstheme="minorHAnsi"/>
          <w:iCs/>
          <w:sz w:val="24"/>
          <w:szCs w:val="24"/>
          <w:lang w:eastAsia="ja-JP"/>
        </w:rPr>
        <w:t xml:space="preserve"> </w:t>
      </w:r>
      <w:r w:rsidRPr="009A1B05">
        <w:rPr>
          <w:rFonts w:eastAsia="MS Mincho" w:cstheme="minorHAnsi"/>
          <w:iCs/>
          <w:sz w:val="24"/>
          <w:szCs w:val="24"/>
          <w:lang w:eastAsia="ja-JP"/>
        </w:rPr>
        <w:t>lub osobami upoważnionymi do zaciągania zobowiązań w imieniu OOW / i Partnera / i Podmiotu upoważnionego do ponoszenia wydatków lub osobami wykonującymi w imieniu OOW / i Partnera / i Podmiotu upoważnionego do ponoszenia wydatków czynności związane z przeprowadzeniem procedury wyboru wykonawcy a wykonawcą, polegające w szczególności na:</w:t>
      </w:r>
    </w:p>
    <w:p w14:paraId="0BCAC2ED" w14:textId="77777777" w:rsidR="0067033B" w:rsidRPr="009A1B05" w:rsidRDefault="0067033B" w:rsidP="0067033B">
      <w:pPr>
        <w:pStyle w:val="Akapitzlist"/>
        <w:numPr>
          <w:ilvl w:val="1"/>
          <w:numId w:val="10"/>
        </w:numPr>
        <w:spacing w:before="120" w:after="120" w:line="360" w:lineRule="auto"/>
        <w:ind w:left="1134"/>
        <w:rPr>
          <w:rFonts w:eastAsia="MS Mincho" w:cstheme="minorHAnsi"/>
          <w:iCs/>
          <w:sz w:val="24"/>
          <w:szCs w:val="24"/>
          <w:lang w:eastAsia="ja-JP"/>
        </w:rPr>
      </w:pPr>
      <w:r w:rsidRPr="009A1B05">
        <w:rPr>
          <w:rFonts w:eastAsia="MS Mincho" w:cstheme="minorHAnsi"/>
          <w:iCs/>
          <w:sz w:val="24"/>
          <w:szCs w:val="24"/>
          <w:lang w:eastAsia="ja-JP"/>
        </w:rPr>
        <w:t>uczestniczeniu w spółce jako wspólnik spółki cywilnej lub spółki osobowej,</w:t>
      </w:r>
    </w:p>
    <w:p w14:paraId="7CA4BCCF" w14:textId="77777777" w:rsidR="0067033B" w:rsidRPr="009A1B05" w:rsidRDefault="0067033B" w:rsidP="0067033B">
      <w:pPr>
        <w:pStyle w:val="Akapitzlist"/>
        <w:numPr>
          <w:ilvl w:val="1"/>
          <w:numId w:val="10"/>
        </w:numPr>
        <w:spacing w:before="120" w:after="120" w:line="360" w:lineRule="auto"/>
        <w:ind w:left="1134"/>
        <w:rPr>
          <w:rFonts w:eastAsia="MS Mincho" w:cstheme="minorHAnsi"/>
          <w:iCs/>
          <w:sz w:val="24"/>
          <w:szCs w:val="24"/>
          <w:lang w:eastAsia="ja-JP"/>
        </w:rPr>
      </w:pPr>
      <w:r w:rsidRPr="009A1B05">
        <w:rPr>
          <w:rFonts w:eastAsia="MS Mincho" w:cstheme="minorHAnsi"/>
          <w:iCs/>
          <w:sz w:val="24"/>
          <w:szCs w:val="24"/>
          <w:lang w:eastAsia="ja-JP"/>
        </w:rPr>
        <w:t>posiadaniu co najmniej 10% udziałów lub akcji, o ile niższy próg nie wynika z przepisów prawa,</w:t>
      </w:r>
    </w:p>
    <w:p w14:paraId="56EC52AD" w14:textId="77777777" w:rsidR="0067033B" w:rsidRPr="009A1B05" w:rsidRDefault="0067033B" w:rsidP="0067033B">
      <w:pPr>
        <w:pStyle w:val="Akapitzlist"/>
        <w:numPr>
          <w:ilvl w:val="1"/>
          <w:numId w:val="10"/>
        </w:numPr>
        <w:spacing w:before="120" w:after="120" w:line="360" w:lineRule="auto"/>
        <w:ind w:left="1134"/>
        <w:rPr>
          <w:rFonts w:eastAsia="MS Mincho" w:cstheme="minorHAnsi"/>
          <w:iCs/>
          <w:sz w:val="24"/>
          <w:szCs w:val="24"/>
          <w:lang w:eastAsia="ja-JP"/>
        </w:rPr>
      </w:pPr>
      <w:r w:rsidRPr="009A1B05">
        <w:rPr>
          <w:rFonts w:eastAsia="MS Mincho" w:cstheme="minorHAnsi"/>
          <w:iCs/>
          <w:sz w:val="24"/>
          <w:szCs w:val="24"/>
          <w:lang w:eastAsia="ja-JP"/>
        </w:rPr>
        <w:t>pełnieniu funkcji członka organu nadzorczego lub zarządzającego, prokurenta, pełnomocnika,</w:t>
      </w:r>
    </w:p>
    <w:p w14:paraId="432C8BE4" w14:textId="77777777" w:rsidR="0067033B" w:rsidRPr="009A1B05" w:rsidRDefault="0067033B" w:rsidP="0067033B">
      <w:pPr>
        <w:pStyle w:val="Akapitzlist"/>
        <w:numPr>
          <w:ilvl w:val="1"/>
          <w:numId w:val="10"/>
        </w:numPr>
        <w:spacing w:before="120" w:after="120" w:line="360" w:lineRule="auto"/>
        <w:ind w:left="1134"/>
        <w:rPr>
          <w:rFonts w:eastAsia="MS Mincho" w:cstheme="minorHAnsi"/>
          <w:iCs/>
          <w:sz w:val="24"/>
          <w:szCs w:val="24"/>
          <w:lang w:eastAsia="ja-JP"/>
        </w:rPr>
      </w:pPr>
      <w:r w:rsidRPr="009A1B05">
        <w:rPr>
          <w:rFonts w:eastAsia="MS Mincho" w:cstheme="minorHAnsi"/>
          <w:iCs/>
          <w:sz w:val="24"/>
          <w:szCs w:val="24"/>
          <w:lang w:eastAsia="ja-JP"/>
        </w:rPr>
        <w:t xml:space="preserve">pozostawaniu w związku małżeńskim, w stosunku pokrewieństwa lub powinowactwa w linii prostej, pokrewieństwa drugiego stopnia lub powinowactwa drugiego stopnia w linii bocznej lub w stosunku przysposobienia, </w:t>
      </w:r>
      <w:r w:rsidRPr="009A1B05">
        <w:rPr>
          <w:rFonts w:eastAsia="MS Mincho" w:cstheme="minorHAnsi"/>
          <w:iCs/>
          <w:sz w:val="24"/>
          <w:szCs w:val="24"/>
          <w:lang w:eastAsia="ja-JP"/>
        </w:rPr>
        <w:lastRenderedPageBreak/>
        <w:t>opieki lub kurateli. W przypadku, gdy JW stwierdzi udzielenie zamówienia podmiotowi powiązanemu w sposób inny niż wskazane w sekcji I. pkt. 8. ppkt. 1) - 4), jest zobowiązana przed wezwaniem do zwrotu środków wykazać istnienie naruszenia zasady konkurencyjności poprzez istniejące powiązanie,</w:t>
      </w:r>
    </w:p>
    <w:p w14:paraId="1EFF89E3" w14:textId="77777777" w:rsidR="0067033B" w:rsidRPr="009A1B05" w:rsidRDefault="0067033B" w:rsidP="0067033B">
      <w:pPr>
        <w:pStyle w:val="Akapitzlist"/>
        <w:numPr>
          <w:ilvl w:val="1"/>
          <w:numId w:val="10"/>
        </w:numPr>
        <w:spacing w:before="120" w:after="120" w:line="360" w:lineRule="auto"/>
        <w:ind w:left="1134"/>
        <w:rPr>
          <w:rFonts w:eastAsia="MS Mincho" w:cstheme="minorHAnsi"/>
          <w:iCs/>
          <w:sz w:val="24"/>
          <w:szCs w:val="24"/>
          <w:lang w:eastAsia="ja-JP"/>
        </w:rPr>
      </w:pPr>
      <w:r w:rsidRPr="009A1B05">
        <w:rPr>
          <w:rFonts w:eastAsia="MS Mincho" w:cstheme="minorHAnsi"/>
          <w:iCs/>
          <w:sz w:val="24"/>
          <w:szCs w:val="24"/>
          <w:lang w:eastAsia="ja-JP"/>
        </w:rPr>
        <w:t>pozostawaniu z wykonawcą w takim stosunku prawnym lub faktycznym, że istnieje uzasadniona wątpliwość co do ich bezstronności lub niezależności w związku z postępowaniem o udzielenie zamówienia.</w:t>
      </w:r>
    </w:p>
    <w:p w14:paraId="4C599E0F" w14:textId="77777777" w:rsidR="0067033B" w:rsidRPr="009A1B05" w:rsidRDefault="0067033B" w:rsidP="0067033B">
      <w:pPr>
        <w:pStyle w:val="Akapitzlist"/>
        <w:numPr>
          <w:ilvl w:val="0"/>
          <w:numId w:val="3"/>
        </w:numPr>
        <w:spacing w:before="120" w:after="120" w:line="360" w:lineRule="auto"/>
        <w:ind w:left="426" w:hanging="284"/>
        <w:rPr>
          <w:rFonts w:eastAsia="MS Mincho" w:cstheme="minorHAnsi"/>
          <w:iCs/>
          <w:sz w:val="24"/>
          <w:szCs w:val="24"/>
          <w:lang w:eastAsia="ja-JP"/>
        </w:rPr>
      </w:pPr>
      <w:r w:rsidRPr="009A1B05">
        <w:rPr>
          <w:rFonts w:eastAsia="MS Mincho" w:cstheme="minorHAnsi"/>
          <w:iCs/>
          <w:sz w:val="24"/>
          <w:szCs w:val="24"/>
          <w:lang w:eastAsia="ja-JP"/>
        </w:rPr>
        <w:t xml:space="preserve">Podmiot, który nie jest zamawiającym w rozumieniu PZP, stosuje zasady określone w art. 56 PZP, niezależnie od wartości szacunkowej zamówienia. </w:t>
      </w:r>
    </w:p>
    <w:p w14:paraId="25118210" w14:textId="77777777" w:rsidR="0067033B" w:rsidRPr="009A1B05" w:rsidRDefault="0067033B" w:rsidP="0067033B">
      <w:pPr>
        <w:pStyle w:val="Akapitzlist"/>
        <w:numPr>
          <w:ilvl w:val="0"/>
          <w:numId w:val="3"/>
        </w:numPr>
        <w:spacing w:before="120" w:after="120" w:line="360" w:lineRule="auto"/>
        <w:ind w:left="426" w:hanging="284"/>
        <w:rPr>
          <w:rFonts w:eastAsia="MS Mincho" w:cstheme="minorHAnsi"/>
          <w:iCs/>
          <w:sz w:val="24"/>
          <w:szCs w:val="24"/>
          <w:lang w:eastAsia="ja-JP"/>
        </w:rPr>
      </w:pPr>
      <w:r w:rsidRPr="009A1B05">
        <w:rPr>
          <w:rFonts w:eastAsia="MS Mincho" w:cstheme="minorHAnsi"/>
          <w:iCs/>
          <w:sz w:val="24"/>
          <w:szCs w:val="24"/>
          <w:lang w:eastAsia="ja-JP"/>
        </w:rPr>
        <w:t>W przypadku OOW / i Partnera / i Podmiotu upoważnionego do ponoszenia wydatków, który jest zamawiającym w rozumieniu PZP, zasadę konkurencyjności uznaje się za spełnioną, jeżeli postępowanie o udzielenie zamówienia przeprowadzone jest na zasadach i w trybach określonych w PZP.</w:t>
      </w:r>
    </w:p>
    <w:p w14:paraId="2BB766C5" w14:textId="77777777" w:rsidR="0067033B" w:rsidRPr="009A1B05" w:rsidRDefault="0067033B" w:rsidP="0067033B">
      <w:pPr>
        <w:pStyle w:val="Akapitzlist"/>
        <w:numPr>
          <w:ilvl w:val="0"/>
          <w:numId w:val="3"/>
        </w:numPr>
        <w:spacing w:before="120" w:after="120" w:line="360" w:lineRule="auto"/>
        <w:ind w:left="426" w:hanging="284"/>
        <w:rPr>
          <w:rFonts w:eastAsia="MS Mincho" w:cstheme="minorHAnsi"/>
          <w:iCs/>
          <w:sz w:val="24"/>
          <w:szCs w:val="24"/>
          <w:lang w:eastAsia="ja-JP"/>
        </w:rPr>
      </w:pPr>
      <w:r w:rsidRPr="009A1B05">
        <w:rPr>
          <w:rFonts w:eastAsia="MS Mincho" w:cstheme="minorHAnsi"/>
          <w:iCs/>
          <w:sz w:val="24"/>
          <w:szCs w:val="24"/>
          <w:lang w:eastAsia="ja-JP"/>
        </w:rPr>
        <w:t>Przedmiot zamówienia opisuje się w sposób jednoznaczny i wyczerpujący, przy pomocy dokładnych i zrozumiałych określeń, uwzględniając wszystkie wymagania i okoliczności mogące mieć wpływ na sporządzenie oferty. Jeżeli nie uzasadnia tego przedmiot zamówienia, opis przedmiotu zamówienia nie może zawierać odniesień do znaków towarowych, patentów lub pochodzenia, źródła lub szczególnego procesu, który charakteryzuje produkty lub usługi dostarczane przez konkretnego wykonawcę, jeżeli mogłoby to doprowadzić do uprzywilejowania lub wyeliminowania niektórych wykonawców lub produktów. W wyjątkowych przypadkach dopuszcza się stosowanie takich odniesień, jeżeli niemożliwe jest opisanie przedmiotu zamówienia w wystarczająco precyzyjny i zrozumiały sposób zgodnie ze zdaniem pierwszym. Takim odniesieniom muszą towarzyszyć słowa „lub równoważne” wraz z podaniem kryteriów równoważności. W przypadku, gdy zamawiający korzysta z możliwości zastosowania takich odniesień, nie może on odrzucić oferty jako niezgodnej z zapytaniem ofertowym, jeżeli wykonawca udowodni w swojej ofercie, że proponowane rozwiązania w równoważnym stopniu spełniają wymagania określone w zapytaniu ofertowym.</w:t>
      </w:r>
    </w:p>
    <w:p w14:paraId="35EE6DEE" w14:textId="77777777" w:rsidR="0067033B" w:rsidRPr="009A1B05" w:rsidRDefault="0067033B" w:rsidP="0067033B">
      <w:pPr>
        <w:pStyle w:val="Akapitzlist"/>
        <w:numPr>
          <w:ilvl w:val="0"/>
          <w:numId w:val="3"/>
        </w:numPr>
        <w:spacing w:before="120" w:after="120" w:line="360" w:lineRule="auto"/>
        <w:ind w:left="426" w:hanging="284"/>
        <w:rPr>
          <w:rFonts w:eastAsia="MS Mincho" w:cstheme="minorHAnsi"/>
          <w:iCs/>
          <w:sz w:val="24"/>
          <w:szCs w:val="24"/>
          <w:lang w:eastAsia="ja-JP"/>
        </w:rPr>
      </w:pPr>
      <w:r w:rsidRPr="009A1B05">
        <w:rPr>
          <w:rFonts w:eastAsia="MS Mincho" w:cstheme="minorHAnsi"/>
          <w:iCs/>
          <w:sz w:val="24"/>
          <w:szCs w:val="24"/>
          <w:lang w:eastAsia="ja-JP"/>
        </w:rPr>
        <w:t xml:space="preserve">Z uwagi na konieczność ochrony tajemnicy przedsiębiorstwa dopuszcza się możliwość ograniczenia zakresu opisu przedmiotu zamówienia, przy czym wymagane jest udostępnienie uzupełnienia wyłączonego opisu przedmiotu zamówienia potencjalnemu </w:t>
      </w:r>
      <w:r w:rsidRPr="009A1B05">
        <w:rPr>
          <w:rFonts w:eastAsia="MS Mincho" w:cstheme="minorHAnsi"/>
          <w:iCs/>
          <w:sz w:val="24"/>
          <w:szCs w:val="24"/>
          <w:lang w:eastAsia="ja-JP"/>
        </w:rPr>
        <w:lastRenderedPageBreak/>
        <w:t>wykonawcy, który zobowiązał się do zachowania poufności w odniesieniu do przedstawionych informacji, w terminie umożliwiającym przygotowanie i złożenie oferty.</w:t>
      </w:r>
    </w:p>
    <w:p w14:paraId="16FC1F8D" w14:textId="77777777" w:rsidR="0067033B" w:rsidRPr="009A1B05" w:rsidRDefault="0067033B" w:rsidP="0067033B">
      <w:pPr>
        <w:pStyle w:val="Akapitzlist"/>
        <w:numPr>
          <w:ilvl w:val="0"/>
          <w:numId w:val="3"/>
        </w:numPr>
        <w:spacing w:before="120" w:after="120" w:line="360" w:lineRule="auto"/>
        <w:ind w:left="426" w:hanging="284"/>
        <w:rPr>
          <w:rFonts w:eastAsia="MS Mincho" w:cstheme="minorHAnsi"/>
          <w:iCs/>
          <w:sz w:val="24"/>
          <w:szCs w:val="24"/>
          <w:lang w:eastAsia="ja-JP"/>
        </w:rPr>
      </w:pPr>
      <w:r w:rsidRPr="009A1B05">
        <w:rPr>
          <w:rFonts w:eastAsia="MS Mincho" w:cstheme="minorHAnsi"/>
          <w:iCs/>
          <w:sz w:val="24"/>
          <w:szCs w:val="24"/>
          <w:lang w:eastAsia="ja-JP"/>
        </w:rPr>
        <w:t>Do opisu przedmiotu zamówienia stosuje się nazwy i kody określone we Wspólnym Słowniku Zamówień, o którym mowa w rozporządzeniu (WE) nr 2195/2002 Parlamentu Europejskiego i Rady z dnia 5 listopada 2002 r. w sprawie Wspólnego Słownika Zamówień (CPV) (Dz. Urz. WE L 340 z 16.12.2002, str. 1, z późn. zm.; Dz. Urz. UE Polskie wydanie specjalne rozdz. 6, t. 5, str. 3).</w:t>
      </w:r>
      <w:r w:rsidRPr="009A1B05">
        <w:rPr>
          <w:rStyle w:val="Odwoanieprzypisudolnego"/>
          <w:rFonts w:eastAsia="MS Mincho" w:cstheme="minorHAnsi"/>
          <w:iCs/>
          <w:sz w:val="24"/>
          <w:szCs w:val="24"/>
          <w:lang w:eastAsia="ja-JP"/>
        </w:rPr>
        <w:footnoteReference w:id="5"/>
      </w:r>
    </w:p>
    <w:p w14:paraId="615320C3" w14:textId="77777777" w:rsidR="0067033B" w:rsidRPr="009A1B05" w:rsidRDefault="0067033B" w:rsidP="0067033B">
      <w:pPr>
        <w:pStyle w:val="Akapitzlist"/>
        <w:numPr>
          <w:ilvl w:val="0"/>
          <w:numId w:val="3"/>
        </w:numPr>
        <w:spacing w:before="120" w:after="120" w:line="360" w:lineRule="auto"/>
        <w:ind w:left="426" w:hanging="284"/>
        <w:rPr>
          <w:rFonts w:eastAsia="MS Mincho" w:cstheme="minorHAnsi"/>
          <w:iCs/>
          <w:sz w:val="24"/>
          <w:szCs w:val="24"/>
          <w:lang w:eastAsia="ja-JP"/>
        </w:rPr>
      </w:pPr>
      <w:r w:rsidRPr="009A1B05">
        <w:rPr>
          <w:rFonts w:eastAsia="MS Mincho" w:cstheme="minorHAnsi"/>
          <w:iCs/>
          <w:sz w:val="24"/>
          <w:szCs w:val="24"/>
          <w:lang w:eastAsia="ja-JP"/>
        </w:rPr>
        <w:t>Warunki udziału w postępowaniu o udzielenie zamówienia oraz opis sposobu dokonywania oceny ich spełniania, o ile zostaną zawarte w zapytaniu ofertowym, o którym mowa w pkt. 12. ppkt. 1), określane są w sposób proporcjonalny do przedmiotu zamówienia, zapewniający zachowanie uczciwej konkurencji i równego traktowania wykonawców. Nie można formułować warunków przewyższających wymagania wystarczające do należytego wykonania zamówienia.</w:t>
      </w:r>
    </w:p>
    <w:p w14:paraId="4D1CD00D" w14:textId="77777777" w:rsidR="0067033B" w:rsidRPr="009A1B05" w:rsidRDefault="0067033B" w:rsidP="0067033B">
      <w:pPr>
        <w:pStyle w:val="Akapitzlist"/>
        <w:numPr>
          <w:ilvl w:val="0"/>
          <w:numId w:val="3"/>
        </w:numPr>
        <w:spacing w:before="120" w:after="120" w:line="360" w:lineRule="auto"/>
        <w:rPr>
          <w:rFonts w:eastAsia="MS Mincho" w:cstheme="minorHAnsi"/>
          <w:iCs/>
          <w:sz w:val="24"/>
          <w:szCs w:val="24"/>
          <w:lang w:eastAsia="ja-JP"/>
        </w:rPr>
      </w:pPr>
      <w:r w:rsidRPr="009A1B05">
        <w:rPr>
          <w:rFonts w:eastAsia="MS Mincho" w:cstheme="minorHAnsi"/>
          <w:iCs/>
          <w:sz w:val="24"/>
          <w:szCs w:val="24"/>
          <w:lang w:eastAsia="ja-JP"/>
        </w:rPr>
        <w:t>Kryteria oceny ofert składanych w ramach postępowania o udzielenie zamówienia są formułowane w sposób zapewniający zachowanie uczciwej konkurencji oraz równego traktowania wykonawców, przy czym:</w:t>
      </w:r>
    </w:p>
    <w:p w14:paraId="65665C2F" w14:textId="77777777" w:rsidR="0067033B" w:rsidRPr="009A1B05" w:rsidRDefault="0067033B" w:rsidP="0067033B">
      <w:pPr>
        <w:pStyle w:val="Akapitzlist"/>
        <w:numPr>
          <w:ilvl w:val="1"/>
          <w:numId w:val="6"/>
        </w:numPr>
        <w:spacing w:before="120" w:after="120" w:line="360" w:lineRule="auto"/>
        <w:ind w:left="1134" w:hanging="283"/>
        <w:rPr>
          <w:rFonts w:eastAsia="MS Mincho" w:cstheme="minorHAnsi"/>
          <w:iCs/>
          <w:sz w:val="24"/>
          <w:szCs w:val="24"/>
          <w:lang w:eastAsia="ja-JP"/>
        </w:rPr>
      </w:pPr>
      <w:r w:rsidRPr="009A1B05">
        <w:rPr>
          <w:rFonts w:eastAsia="MS Mincho" w:cstheme="minorHAnsi"/>
          <w:iCs/>
          <w:sz w:val="24"/>
          <w:szCs w:val="24"/>
          <w:lang w:eastAsia="ja-JP"/>
        </w:rPr>
        <w:t>każde kryterium oceny ofert musi odnosić się do danego przedmiotu zamówienia,</w:t>
      </w:r>
    </w:p>
    <w:p w14:paraId="22EB72A2" w14:textId="77777777" w:rsidR="0067033B" w:rsidRPr="009A1B05" w:rsidRDefault="0067033B" w:rsidP="0067033B">
      <w:pPr>
        <w:pStyle w:val="Akapitzlist"/>
        <w:numPr>
          <w:ilvl w:val="1"/>
          <w:numId w:val="6"/>
        </w:numPr>
        <w:spacing w:before="120" w:after="120" w:line="360" w:lineRule="auto"/>
        <w:ind w:left="1134" w:hanging="283"/>
        <w:rPr>
          <w:rFonts w:eastAsia="MS Mincho" w:cstheme="minorHAnsi"/>
          <w:iCs/>
          <w:sz w:val="24"/>
          <w:szCs w:val="24"/>
          <w:lang w:eastAsia="ja-JP"/>
        </w:rPr>
      </w:pPr>
      <w:r w:rsidRPr="009A1B05">
        <w:rPr>
          <w:rFonts w:eastAsia="MS Mincho" w:cstheme="minorHAnsi"/>
          <w:iCs/>
          <w:sz w:val="24"/>
          <w:szCs w:val="24"/>
          <w:lang w:eastAsia="ja-JP"/>
        </w:rPr>
        <w:t>każde kryterium (i opis jego stosowania) musi być sformułowane jednoznacznie i precyzyjnie, tak żeby każdy wykonawca mógł interpretować je w jednakowy sposób,</w:t>
      </w:r>
    </w:p>
    <w:p w14:paraId="3D99787C" w14:textId="3DC3E182" w:rsidR="0067033B" w:rsidRPr="009A1B05" w:rsidRDefault="0067033B" w:rsidP="0067033B">
      <w:pPr>
        <w:pStyle w:val="Akapitzlist"/>
        <w:numPr>
          <w:ilvl w:val="1"/>
          <w:numId w:val="6"/>
        </w:numPr>
        <w:spacing w:before="120" w:after="120" w:line="360" w:lineRule="auto"/>
        <w:ind w:left="1134" w:hanging="283"/>
        <w:rPr>
          <w:rFonts w:eastAsia="MS Mincho" w:cstheme="minorHAnsi"/>
          <w:iCs/>
          <w:sz w:val="24"/>
          <w:szCs w:val="24"/>
          <w:lang w:eastAsia="ja-JP"/>
        </w:rPr>
      </w:pPr>
      <w:r w:rsidRPr="009A1B05">
        <w:rPr>
          <w:rFonts w:eastAsia="MS Mincho" w:cstheme="minorHAnsi"/>
          <w:iCs/>
          <w:sz w:val="24"/>
          <w:szCs w:val="24"/>
          <w:lang w:eastAsia="ja-JP"/>
        </w:rPr>
        <w:t>wagi (znaczenie) poszczególnych kryteriów powinny być określone w sposób umożliwiający wybór najkorzystniejszej oferty,</w:t>
      </w:r>
    </w:p>
    <w:p w14:paraId="43AFF966" w14:textId="77777777" w:rsidR="0067033B" w:rsidRPr="009A1B05" w:rsidRDefault="0067033B" w:rsidP="0067033B">
      <w:pPr>
        <w:pStyle w:val="Akapitzlist"/>
        <w:numPr>
          <w:ilvl w:val="1"/>
          <w:numId w:val="6"/>
        </w:numPr>
        <w:spacing w:before="120" w:after="120" w:line="360" w:lineRule="auto"/>
        <w:ind w:left="1134" w:hanging="283"/>
        <w:rPr>
          <w:rFonts w:eastAsia="MS Mincho" w:cstheme="minorHAnsi"/>
          <w:iCs/>
          <w:sz w:val="24"/>
          <w:szCs w:val="24"/>
          <w:lang w:eastAsia="ja-JP"/>
        </w:rPr>
      </w:pPr>
      <w:r w:rsidRPr="009A1B05">
        <w:rPr>
          <w:rFonts w:eastAsia="MS Mincho" w:cstheme="minorHAnsi"/>
          <w:iCs/>
          <w:sz w:val="24"/>
          <w:szCs w:val="24"/>
          <w:lang w:eastAsia="ja-JP"/>
        </w:rPr>
        <w:t>kryteria oceny ofert nie mogą dotyczyć właściwości wykonawcy, a w szczególności jego wiarygodności ekonomicznej, technicznej lub finansowej oraz doświadczenia. Zakaz ten nie dotyczy zamówień na usługi społeczne i innych szczególnych usług,</w:t>
      </w:r>
      <w:r w:rsidRPr="009A1B05">
        <w:rPr>
          <w:rStyle w:val="Odwoanieprzypisudolnego"/>
          <w:rFonts w:eastAsia="MS Mincho" w:cstheme="minorHAnsi"/>
          <w:iCs/>
          <w:sz w:val="24"/>
          <w:szCs w:val="24"/>
          <w:lang w:eastAsia="ja-JP"/>
        </w:rPr>
        <w:footnoteReference w:id="6"/>
      </w:r>
    </w:p>
    <w:p w14:paraId="50FF9B6A" w14:textId="77777777" w:rsidR="0067033B" w:rsidRPr="009A1B05" w:rsidRDefault="0067033B" w:rsidP="0067033B">
      <w:pPr>
        <w:pStyle w:val="Akapitzlist"/>
        <w:numPr>
          <w:ilvl w:val="1"/>
          <w:numId w:val="6"/>
        </w:numPr>
        <w:spacing w:before="120" w:after="120" w:line="360" w:lineRule="auto"/>
        <w:ind w:left="1134" w:hanging="283"/>
        <w:rPr>
          <w:rFonts w:eastAsia="MS Mincho" w:cstheme="minorHAnsi"/>
          <w:iCs/>
          <w:sz w:val="24"/>
          <w:szCs w:val="24"/>
          <w:lang w:eastAsia="ja-JP"/>
        </w:rPr>
      </w:pPr>
      <w:r w:rsidRPr="009A1B05">
        <w:rPr>
          <w:rFonts w:eastAsia="MS Mincho" w:cstheme="minorHAnsi"/>
          <w:iCs/>
          <w:sz w:val="24"/>
          <w:szCs w:val="24"/>
          <w:lang w:eastAsia="ja-JP"/>
        </w:rPr>
        <w:lastRenderedPageBreak/>
        <w:t>cena może być jedynym kryterium oceny ofert. Poza wymaganiami dotyczącymi oceny wskazane jest stosowanie jako kryterium oceny ofert innych wymagań odnoszących się do przedmiotu zamówienia, takich jak np. jakość, funkcjonalność, parametry techniczne, aspekty środowiskowe, społeczne, innowacyjne, serwis, termin wykonania zamówienia, koszty eksploatacji oraz organizacja, kwalifikacje zawodowe i doświadczenie osób wyznaczonych do realizacji zamówienia, jeżeli mogą mieć znaczący wpływ na jakość wykonania zamówienia.</w:t>
      </w:r>
    </w:p>
    <w:p w14:paraId="78FA17C8" w14:textId="77777777" w:rsidR="0067033B" w:rsidRPr="009A1B05" w:rsidRDefault="0067033B" w:rsidP="0067033B">
      <w:pPr>
        <w:pStyle w:val="Akapitzlist"/>
        <w:numPr>
          <w:ilvl w:val="0"/>
          <w:numId w:val="3"/>
        </w:numPr>
        <w:spacing w:before="120" w:after="120" w:line="360" w:lineRule="auto"/>
        <w:rPr>
          <w:rFonts w:eastAsia="MS Mincho" w:cstheme="minorHAnsi"/>
          <w:iCs/>
          <w:sz w:val="24"/>
          <w:szCs w:val="24"/>
          <w:lang w:eastAsia="ja-JP"/>
        </w:rPr>
      </w:pPr>
      <w:r w:rsidRPr="009A1B05">
        <w:rPr>
          <w:rFonts w:eastAsia="MS Mincho" w:cstheme="minorHAnsi"/>
          <w:iCs/>
          <w:sz w:val="24"/>
          <w:szCs w:val="24"/>
          <w:lang w:eastAsia="ja-JP"/>
        </w:rPr>
        <w:t>Termin na złożenie oferty (decyduje data wpływu oferty do zamawiającego) wynosi co najmniej 7 dni – w przypadku dostaw i usług, co najmniej 14 dni w przypadku zamówień sektorowych o wartości niższej niż progi unijne w rozumieniu art. 3 PZP. W przypadku zamówień o wartości szacunkowej równej lub przekraczającej progi unijne w rozumieniu art. 3 PZP</w:t>
      </w:r>
      <w:r w:rsidRPr="009A1B05">
        <w:rPr>
          <w:rStyle w:val="Odwoanieprzypisudolnego"/>
          <w:rFonts w:eastAsia="MS Mincho" w:cstheme="minorHAnsi"/>
          <w:iCs/>
          <w:sz w:val="24"/>
          <w:szCs w:val="24"/>
          <w:lang w:eastAsia="ja-JP"/>
        </w:rPr>
        <w:footnoteReference w:id="7"/>
      </w:r>
      <w:r w:rsidRPr="009A1B05">
        <w:rPr>
          <w:rFonts w:eastAsia="MS Mincho" w:cstheme="minorHAnsi"/>
          <w:iCs/>
          <w:sz w:val="24"/>
          <w:szCs w:val="24"/>
          <w:lang w:eastAsia="ja-JP"/>
        </w:rPr>
        <w:t xml:space="preserve"> termin wynosi co najmniej 30 dni. Bieg terminu rozpoczyna się w dniu następującym po dniu upublicznienia zapytania ofertowego, a kończy się z upływem ostatniego dnia. Jeżeli koniec terminu przypada na sobotę lub dzień ustawowo wolny od pracy, termin upływa dnia następującego po dniu lub dniach wolnych od pracy.</w:t>
      </w:r>
    </w:p>
    <w:p w14:paraId="2D6F518A" w14:textId="77777777" w:rsidR="0067033B" w:rsidRPr="009A1B05" w:rsidRDefault="0067033B" w:rsidP="0067033B">
      <w:pPr>
        <w:pStyle w:val="Akapitzlist"/>
        <w:numPr>
          <w:ilvl w:val="0"/>
          <w:numId w:val="3"/>
        </w:numPr>
        <w:spacing w:before="120" w:after="120" w:line="360" w:lineRule="auto"/>
        <w:rPr>
          <w:rFonts w:eastAsia="MS Mincho" w:cstheme="minorHAnsi"/>
          <w:iCs/>
          <w:sz w:val="24"/>
          <w:szCs w:val="24"/>
          <w:lang w:eastAsia="ja-JP"/>
        </w:rPr>
      </w:pPr>
      <w:r w:rsidRPr="009A1B05">
        <w:rPr>
          <w:rFonts w:eastAsia="MS Mincho" w:cstheme="minorHAnsi"/>
          <w:iCs/>
          <w:sz w:val="24"/>
          <w:szCs w:val="24"/>
          <w:lang w:eastAsia="ja-JP"/>
        </w:rPr>
        <w:t>W celu spełnienia zasady konkurencyjności należy:</w:t>
      </w:r>
    </w:p>
    <w:p w14:paraId="2297D49B" w14:textId="77777777" w:rsidR="0067033B" w:rsidRPr="009A1B05" w:rsidRDefault="0067033B" w:rsidP="0067033B">
      <w:pPr>
        <w:pStyle w:val="Akapitzlist"/>
        <w:numPr>
          <w:ilvl w:val="1"/>
          <w:numId w:val="7"/>
        </w:numPr>
        <w:spacing w:before="120" w:after="120" w:line="360" w:lineRule="auto"/>
        <w:ind w:left="1134" w:hanging="283"/>
        <w:rPr>
          <w:rFonts w:eastAsia="MS Mincho" w:cstheme="minorHAnsi"/>
          <w:iCs/>
          <w:sz w:val="24"/>
          <w:szCs w:val="24"/>
          <w:lang w:eastAsia="ja-JP"/>
        </w:rPr>
      </w:pPr>
      <w:r w:rsidRPr="009A1B05">
        <w:rPr>
          <w:rFonts w:eastAsia="MS Mincho" w:cstheme="minorHAnsi"/>
          <w:iCs/>
          <w:sz w:val="24"/>
          <w:szCs w:val="24"/>
          <w:lang w:eastAsia="ja-JP"/>
        </w:rPr>
        <w:t>upublicznić zapytanie ofertowe zgodnie z warunkami, o których mowa w pkt. 13. lub 14., które zawiera co najmniej:</w:t>
      </w:r>
    </w:p>
    <w:p w14:paraId="35C3FE00" w14:textId="77777777" w:rsidR="0067033B" w:rsidRPr="009A1B05" w:rsidRDefault="0067033B" w:rsidP="0067033B">
      <w:pPr>
        <w:pStyle w:val="Akapitzlist"/>
        <w:numPr>
          <w:ilvl w:val="0"/>
          <w:numId w:val="12"/>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opis przedmiotu zamówienia,</w:t>
      </w:r>
    </w:p>
    <w:p w14:paraId="3AF4089D" w14:textId="77777777" w:rsidR="0067033B" w:rsidRPr="009A1B05" w:rsidRDefault="0067033B" w:rsidP="0067033B">
      <w:pPr>
        <w:pStyle w:val="Akapitzlist"/>
        <w:numPr>
          <w:ilvl w:val="0"/>
          <w:numId w:val="12"/>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warunki udziału w postępowaniu oraz opis sposobu dokonywania oceny ich spełniania, przy czym stawianie warunków udziału nie jest obowiązkowe,</w:t>
      </w:r>
    </w:p>
    <w:p w14:paraId="3EFB34DE" w14:textId="77777777" w:rsidR="0067033B" w:rsidRPr="009A1B05" w:rsidRDefault="0067033B" w:rsidP="0067033B">
      <w:pPr>
        <w:pStyle w:val="Akapitzlist"/>
        <w:numPr>
          <w:ilvl w:val="0"/>
          <w:numId w:val="12"/>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kryteria oceny oferty,</w:t>
      </w:r>
    </w:p>
    <w:p w14:paraId="46280D94" w14:textId="77777777" w:rsidR="0067033B" w:rsidRPr="009A1B05" w:rsidRDefault="0067033B" w:rsidP="0067033B">
      <w:pPr>
        <w:pStyle w:val="Akapitzlist"/>
        <w:numPr>
          <w:ilvl w:val="0"/>
          <w:numId w:val="12"/>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informację o wagach punktowych lub procentowych przypisanych do poszczególnych kryteriów oceny oferty,</w:t>
      </w:r>
    </w:p>
    <w:p w14:paraId="099DB3F2" w14:textId="77777777" w:rsidR="0067033B" w:rsidRPr="009A1B05" w:rsidRDefault="0067033B" w:rsidP="0067033B">
      <w:pPr>
        <w:pStyle w:val="Akapitzlist"/>
        <w:numPr>
          <w:ilvl w:val="0"/>
          <w:numId w:val="12"/>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opis sposobu przyznawania punktacji za spełnienie danego kryterium oceny oferty,</w:t>
      </w:r>
    </w:p>
    <w:p w14:paraId="020D01D7" w14:textId="77777777" w:rsidR="0067033B" w:rsidRPr="009A1B05" w:rsidRDefault="0067033B" w:rsidP="0067033B">
      <w:pPr>
        <w:pStyle w:val="Akapitzlist"/>
        <w:numPr>
          <w:ilvl w:val="0"/>
          <w:numId w:val="12"/>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lastRenderedPageBreak/>
        <w:t>termin i sposób składania ofert,</w:t>
      </w:r>
    </w:p>
    <w:p w14:paraId="480C4E0D" w14:textId="77777777" w:rsidR="0067033B" w:rsidRPr="009A1B05" w:rsidRDefault="0067033B" w:rsidP="0067033B">
      <w:pPr>
        <w:pStyle w:val="Akapitzlist"/>
        <w:numPr>
          <w:ilvl w:val="0"/>
          <w:numId w:val="12"/>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termin realizacji umowy,</w:t>
      </w:r>
    </w:p>
    <w:p w14:paraId="1B1B245D" w14:textId="77777777" w:rsidR="0067033B" w:rsidRPr="009A1B05" w:rsidRDefault="0067033B" w:rsidP="0067033B">
      <w:pPr>
        <w:pStyle w:val="Akapitzlist"/>
        <w:numPr>
          <w:ilvl w:val="0"/>
          <w:numId w:val="12"/>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informację na temat zakazu powiązań osobowych lub kapitałowych, o którym mowa w pkt. 2 ppkt. 1) i 2)</w:t>
      </w:r>
      <w:r w:rsidRPr="009A1B05">
        <w:rPr>
          <w:rStyle w:val="Odwoanieprzypisudolnego"/>
          <w:rFonts w:eastAsia="MS Mincho" w:cstheme="minorHAnsi"/>
          <w:iCs/>
          <w:sz w:val="24"/>
          <w:szCs w:val="24"/>
          <w:lang w:eastAsia="ja-JP"/>
        </w:rPr>
        <w:footnoteReference w:id="8"/>
      </w:r>
      <w:r w:rsidRPr="009A1B05">
        <w:rPr>
          <w:rFonts w:eastAsia="MS Mincho" w:cstheme="minorHAnsi"/>
          <w:iCs/>
          <w:sz w:val="24"/>
          <w:szCs w:val="24"/>
          <w:lang w:eastAsia="ja-JP"/>
        </w:rPr>
        <w:t xml:space="preserve"> o ile zakaz taki nie został wyłączony na podstawie pkt. 2 ppkt. 1) lit. a),</w:t>
      </w:r>
    </w:p>
    <w:p w14:paraId="7B4ED3E1" w14:textId="77777777" w:rsidR="0067033B" w:rsidRPr="009A1B05" w:rsidRDefault="0067033B" w:rsidP="0067033B">
      <w:pPr>
        <w:pStyle w:val="Akapitzlist"/>
        <w:numPr>
          <w:ilvl w:val="0"/>
          <w:numId w:val="12"/>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określenie warunków istotnych zmian umowy zawartej w wyniku przeprowadzonego postępowania o udzielenie zamówienia, o ile przewiduje się możliwość zmiany takiej umowy,</w:t>
      </w:r>
    </w:p>
    <w:p w14:paraId="1A23659D" w14:textId="77777777" w:rsidR="0067033B" w:rsidRPr="009A1B05" w:rsidRDefault="0067033B" w:rsidP="0067033B">
      <w:pPr>
        <w:pStyle w:val="Akapitzlist"/>
        <w:numPr>
          <w:ilvl w:val="0"/>
          <w:numId w:val="12"/>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informację o możliwości składania ofert częściowych, o ile zamawiający taką możliwość przewiduje,</w:t>
      </w:r>
    </w:p>
    <w:p w14:paraId="5AFDE9B6" w14:textId="77777777" w:rsidR="0067033B" w:rsidRPr="009A1B05" w:rsidRDefault="0067033B" w:rsidP="0067033B">
      <w:pPr>
        <w:pStyle w:val="Akapitzlist"/>
        <w:numPr>
          <w:ilvl w:val="0"/>
          <w:numId w:val="12"/>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opis sposobu przedstawiania ofert wariantowych oraz minimalne warunki, jakim muszą odpowiadać oferty wariantowe wraz z wybranymi kryteriami oceny, jeżeli zamawiający wymaga lub dopuszcza ich składanie,</w:t>
      </w:r>
    </w:p>
    <w:p w14:paraId="59FBD55D" w14:textId="77777777" w:rsidR="0067033B" w:rsidRPr="009A1B05" w:rsidRDefault="0067033B" w:rsidP="0067033B">
      <w:pPr>
        <w:pStyle w:val="Akapitzlist"/>
        <w:numPr>
          <w:ilvl w:val="0"/>
          <w:numId w:val="12"/>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informację o planowanych zamówieniach, o których mowa w sekcji I. pkt. 8. ppkt. 6), ich zakres oraz warunki, na jakich zostaną udzielone, o ile zamawiający przewiduje udzielenie tego typu zamówień,</w:t>
      </w:r>
    </w:p>
    <w:p w14:paraId="2D35405B" w14:textId="77777777" w:rsidR="0067033B" w:rsidRPr="009A1B05" w:rsidRDefault="0067033B" w:rsidP="0067033B">
      <w:pPr>
        <w:pStyle w:val="Akapitzlist"/>
        <w:numPr>
          <w:ilvl w:val="0"/>
          <w:numId w:val="12"/>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wysokość wadium (jeśli dotyczy), zakazane jest ustalenie wysokości wadium o wartości większej aniżeli wskazano w art. 97 ust. 2 ustawy PZP,</w:t>
      </w:r>
    </w:p>
    <w:p w14:paraId="6EF2A84A" w14:textId="77777777" w:rsidR="0067033B" w:rsidRPr="009A1B05" w:rsidRDefault="0067033B" w:rsidP="0067033B">
      <w:pPr>
        <w:pStyle w:val="Akapitzlist"/>
        <w:numPr>
          <w:ilvl w:val="0"/>
          <w:numId w:val="12"/>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wysokość zabezpieczenia należytego wykonania umowy (jeśli dotyczy), zakazane jest ustalenie wysokości zabezpieczenia o wartości większej aniżeli wskazano w art. 452 ust. 2 i 3 ustawy PZP,</w:t>
      </w:r>
    </w:p>
    <w:p w14:paraId="6E2F18CA" w14:textId="77777777" w:rsidR="0067033B" w:rsidRPr="009A1B05" w:rsidRDefault="0067033B" w:rsidP="0067033B">
      <w:pPr>
        <w:pStyle w:val="Akapitzlist"/>
        <w:numPr>
          <w:ilvl w:val="0"/>
          <w:numId w:val="12"/>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wzór umowy,</w:t>
      </w:r>
    </w:p>
    <w:p w14:paraId="1FD6EB9B" w14:textId="77777777" w:rsidR="0067033B" w:rsidRPr="009A1B05" w:rsidRDefault="0067033B" w:rsidP="0067033B">
      <w:pPr>
        <w:pStyle w:val="Akapitzlist"/>
        <w:numPr>
          <w:ilvl w:val="1"/>
          <w:numId w:val="7"/>
        </w:numPr>
        <w:spacing w:before="120" w:after="120" w:line="360"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wybrać najkorzystniejszą ofertę zgodną z opisem przedmiotu zamówienia złożoną przez wykonawcę spełniającego warunki udziału w postępowaniu, w oparciu o ustalone w zapytaniu ofertowym kryteria oceny. Wybór oferty jest dokumentowany protokołem postępowania o udzielenie zamówienia, o którym mowa w pkt. 18. Postępowanie może zakończyć się wyborem kilku wykonawców, gdy zamawiający dopuszcza składanie ofert częściowych lub zamawiający planuje zawrzeć umowę ramową. </w:t>
      </w:r>
    </w:p>
    <w:p w14:paraId="13195448" w14:textId="77777777" w:rsidR="0067033B" w:rsidRPr="009A1B05" w:rsidRDefault="0067033B" w:rsidP="0067033B">
      <w:pPr>
        <w:pStyle w:val="Akapitzlist"/>
        <w:numPr>
          <w:ilvl w:val="0"/>
          <w:numId w:val="3"/>
        </w:numPr>
        <w:spacing w:before="120" w:after="120" w:line="360" w:lineRule="auto"/>
        <w:rPr>
          <w:rFonts w:eastAsia="MS Mincho" w:cstheme="minorHAnsi"/>
          <w:iCs/>
          <w:sz w:val="24"/>
          <w:szCs w:val="24"/>
          <w:lang w:eastAsia="ja-JP"/>
        </w:rPr>
      </w:pPr>
      <w:r w:rsidRPr="009A1B05">
        <w:rPr>
          <w:rFonts w:eastAsia="MS Mincho" w:cstheme="minorHAnsi"/>
          <w:iCs/>
          <w:sz w:val="24"/>
          <w:szCs w:val="24"/>
          <w:lang w:eastAsia="ja-JP"/>
        </w:rPr>
        <w:lastRenderedPageBreak/>
        <w:t>Upublicznienie zapytania ofertowego polega na jego umieszczeniu w bazie konkurencyjności,</w:t>
      </w:r>
      <w:r w:rsidRPr="009A1B05">
        <w:rPr>
          <w:rStyle w:val="Odwoanieprzypisudolnego"/>
          <w:rFonts w:eastAsia="MS Mincho" w:cstheme="minorHAnsi"/>
          <w:iCs/>
          <w:sz w:val="24"/>
          <w:szCs w:val="24"/>
          <w:lang w:eastAsia="ja-JP"/>
        </w:rPr>
        <w:footnoteReference w:id="9"/>
      </w:r>
      <w:r w:rsidRPr="009A1B05">
        <w:rPr>
          <w:rFonts w:eastAsia="MS Mincho" w:cstheme="minorHAnsi"/>
          <w:iCs/>
          <w:sz w:val="24"/>
          <w:szCs w:val="24"/>
          <w:lang w:eastAsia="ja-JP"/>
        </w:rPr>
        <w:t xml:space="preserve"> a w przypadku zawieszenia działalności bazy potwierdzonego odpowiednim komunikatem ministra właściwego do spraw rozwoju regionalnego - skierowaniu zapytania ofertowego do co najmniej trzech potencjalnych wykonawców, o ile na rynku istnieje trzech potencjalnych wykonawców danego zamówienia oraz upublicznieniu tego zapytania co najmniej na stronie internetowej OOW / i Partnera / i Podmiotu upoważnionego do ponoszenia wydatków, o ile posiadają taką stronę. Upublicznienie zapytania ofertowego oznacza wszczęcie postępowania o udzielenie zamówienia w ramach Przedsięwzięcia. Zapytanie ofertowe musi być ogólnodostępne do czasu formalnego zamknięcia Przedsięwzięcia wraz z finalnym rozliczeniem Wniosku o Płatność Końcową.</w:t>
      </w:r>
    </w:p>
    <w:p w14:paraId="4DC2FFC2" w14:textId="6CC3C473" w:rsidR="0067033B" w:rsidRPr="009A1B05" w:rsidRDefault="0067033B" w:rsidP="0067033B">
      <w:pPr>
        <w:pStyle w:val="Akapitzlist"/>
        <w:numPr>
          <w:ilvl w:val="0"/>
          <w:numId w:val="3"/>
        </w:numPr>
        <w:spacing w:before="120" w:after="120" w:line="360" w:lineRule="auto"/>
        <w:rPr>
          <w:rFonts w:eastAsia="MS Mincho" w:cstheme="minorHAnsi"/>
          <w:iCs/>
          <w:sz w:val="24"/>
          <w:szCs w:val="24"/>
          <w:lang w:eastAsia="ja-JP"/>
        </w:rPr>
      </w:pPr>
      <w:r w:rsidRPr="009A1B05">
        <w:rPr>
          <w:rFonts w:eastAsia="MS Mincho" w:cstheme="minorHAnsi"/>
          <w:iCs/>
          <w:sz w:val="24"/>
          <w:szCs w:val="24"/>
          <w:lang w:eastAsia="ja-JP"/>
        </w:rPr>
        <w:t>W przypadku, gdy OOW / i Partner / i Podmiot upoważniony do ponoszenia wydatków rozpoczyna realizację Przedsięwzięcia na własne ryzyko przed podpisaniem Umowy/Porozumienia</w:t>
      </w:r>
      <w:r w:rsidR="00962997">
        <w:rPr>
          <w:rFonts w:eastAsia="MS Mincho" w:cstheme="minorHAnsi"/>
          <w:iCs/>
          <w:sz w:val="24"/>
          <w:szCs w:val="24"/>
          <w:lang w:eastAsia="ja-JP"/>
        </w:rPr>
        <w:t>/Decyzji</w:t>
      </w:r>
      <w:r w:rsidRPr="009A1B05">
        <w:rPr>
          <w:rFonts w:eastAsia="MS Mincho" w:cstheme="minorHAnsi"/>
          <w:iCs/>
          <w:sz w:val="24"/>
          <w:szCs w:val="24"/>
          <w:lang w:eastAsia="ja-JP"/>
        </w:rPr>
        <w:t xml:space="preserve"> o objęciem Przedsięwzięcia wsparciem, upublicznia zapytanie ofertowe na stronie internetowej </w:t>
      </w:r>
      <w:r w:rsidRPr="009A1B05">
        <w:rPr>
          <w:rFonts w:eastAsia="Calibri" w:cstheme="minorHAnsi"/>
          <w:b/>
          <w:bCs/>
          <w:iCs/>
          <w:color w:val="000000" w:themeColor="text1"/>
          <w:sz w:val="24"/>
          <w:szCs w:val="24"/>
        </w:rPr>
        <w:t xml:space="preserve">Bazy Konkurencyjności (BK2021) </w:t>
      </w:r>
      <w:hyperlink r:id="rId7">
        <w:r w:rsidRPr="009A1B05">
          <w:rPr>
            <w:rStyle w:val="Hipercze"/>
            <w:rFonts w:eastAsia="MS Mincho" w:cstheme="minorHAnsi"/>
            <w:iCs/>
            <w:sz w:val="24"/>
            <w:szCs w:val="24"/>
            <w:lang w:eastAsia="ja-JP"/>
          </w:rPr>
          <w:t>https://bazakonkurencyjnosci.funduszeeuropejskie.gov.pl/</w:t>
        </w:r>
      </w:hyperlink>
      <w:r w:rsidRPr="009A1B05">
        <w:rPr>
          <w:rFonts w:eastAsia="MS Mincho" w:cstheme="minorHAnsi"/>
          <w:iCs/>
          <w:sz w:val="24"/>
          <w:szCs w:val="24"/>
          <w:lang w:eastAsia="ja-JP"/>
        </w:rPr>
        <w:t>.</w:t>
      </w:r>
    </w:p>
    <w:p w14:paraId="4CDA98C2" w14:textId="71093C5E" w:rsidR="0067033B" w:rsidRPr="009A1B05" w:rsidRDefault="0067033B" w:rsidP="0067033B">
      <w:pPr>
        <w:pStyle w:val="Akapitzlist"/>
        <w:numPr>
          <w:ilvl w:val="0"/>
          <w:numId w:val="3"/>
        </w:numPr>
        <w:spacing w:before="120" w:after="120" w:line="360" w:lineRule="auto"/>
        <w:rPr>
          <w:rFonts w:eastAsia="MS Mincho" w:cstheme="minorHAnsi"/>
          <w:iCs/>
          <w:sz w:val="24"/>
          <w:szCs w:val="24"/>
          <w:lang w:eastAsia="ja-JP"/>
        </w:rPr>
      </w:pPr>
      <w:r w:rsidRPr="009A1B05">
        <w:rPr>
          <w:rFonts w:eastAsia="MS Mincho" w:cstheme="minorHAnsi"/>
          <w:iCs/>
          <w:sz w:val="24"/>
          <w:szCs w:val="24"/>
          <w:lang w:eastAsia="ja-JP"/>
        </w:rPr>
        <w:t>W przypadku wszczęcia postępowania przed podpisaniem Umowy/Porozumienia</w:t>
      </w:r>
      <w:r w:rsidR="00962997">
        <w:rPr>
          <w:rFonts w:eastAsia="MS Mincho" w:cstheme="minorHAnsi"/>
          <w:iCs/>
          <w:sz w:val="24"/>
          <w:szCs w:val="24"/>
          <w:lang w:eastAsia="ja-JP"/>
        </w:rPr>
        <w:t>/Decyzji</w:t>
      </w:r>
      <w:r w:rsidRPr="009A1B05">
        <w:rPr>
          <w:rFonts w:eastAsia="MS Mincho" w:cstheme="minorHAnsi"/>
          <w:iCs/>
          <w:sz w:val="24"/>
          <w:szCs w:val="24"/>
          <w:lang w:eastAsia="ja-JP"/>
        </w:rPr>
        <w:t xml:space="preserve"> o objęciem Przedsięwzięcia wsparciem, ocena, czy stopień upublicznienia zapytania ofertowego był wystarczający do uznania koszt za kwalifikowalny, należy do JW.</w:t>
      </w:r>
    </w:p>
    <w:p w14:paraId="792317CD" w14:textId="77777777" w:rsidR="0067033B" w:rsidRPr="009A1B05" w:rsidRDefault="0067033B" w:rsidP="0067033B">
      <w:pPr>
        <w:pStyle w:val="Akapitzlist"/>
        <w:numPr>
          <w:ilvl w:val="0"/>
          <w:numId w:val="3"/>
        </w:numPr>
        <w:spacing w:before="120" w:after="120" w:line="360" w:lineRule="auto"/>
        <w:rPr>
          <w:rFonts w:eastAsia="MS Mincho" w:cstheme="minorHAnsi"/>
          <w:iCs/>
          <w:sz w:val="24"/>
          <w:szCs w:val="24"/>
          <w:lang w:eastAsia="ja-JP"/>
        </w:rPr>
      </w:pPr>
      <w:r w:rsidRPr="009A1B05">
        <w:rPr>
          <w:rFonts w:eastAsia="MS Mincho" w:cstheme="minorHAnsi"/>
          <w:iCs/>
          <w:sz w:val="24"/>
          <w:szCs w:val="24"/>
          <w:lang w:eastAsia="ja-JP"/>
        </w:rPr>
        <w:t>Zapytanie ofertowe może zostać zmienione przed upływem terminu składania ofert przewidzianym w zapytaniu ofertowym. W takim przypadku należy w opublikowanym zgodnie z pkt. 13. lub 14. zapytaniu ofertowym uwzględnić informację o zmianie. Informacja ta powinna zawierać co najmniej datę upublicznienia zmienianego zapytania ofertowego oraz opis dokonanych zmian. Zamawiający przedłuża termin składania ofert o czas niezbędny do wprowadzenia zmian w ofertach, jeżeli jest to konieczne z uwagi na zakres wprowadzonych zmian.</w:t>
      </w:r>
    </w:p>
    <w:p w14:paraId="5254FEB2" w14:textId="77777777" w:rsidR="0067033B" w:rsidRPr="009A1B05" w:rsidRDefault="0067033B" w:rsidP="0067033B">
      <w:pPr>
        <w:pStyle w:val="Akapitzlist"/>
        <w:numPr>
          <w:ilvl w:val="0"/>
          <w:numId w:val="3"/>
        </w:numPr>
        <w:spacing w:before="120" w:after="120" w:line="360" w:lineRule="auto"/>
        <w:rPr>
          <w:rFonts w:eastAsia="MS Mincho" w:cstheme="minorHAnsi"/>
          <w:iCs/>
          <w:sz w:val="24"/>
          <w:szCs w:val="24"/>
          <w:lang w:eastAsia="ja-JP"/>
        </w:rPr>
      </w:pPr>
      <w:r w:rsidRPr="009A1B05">
        <w:rPr>
          <w:rFonts w:eastAsia="MS Mincho" w:cstheme="minorHAnsi"/>
          <w:iCs/>
          <w:sz w:val="24"/>
          <w:szCs w:val="24"/>
          <w:lang w:eastAsia="ja-JP"/>
        </w:rPr>
        <w:t>Treść pytań dotyczących zapytania ofertowego wraz z wyjaśnieniami zamawiającego publikowana jest zgodnie z pkt. 13. lub 14.</w:t>
      </w:r>
    </w:p>
    <w:p w14:paraId="21BBC9CF" w14:textId="77777777" w:rsidR="0067033B" w:rsidRPr="009A1B05" w:rsidRDefault="0067033B" w:rsidP="0067033B">
      <w:pPr>
        <w:pStyle w:val="Akapitzlist"/>
        <w:numPr>
          <w:ilvl w:val="0"/>
          <w:numId w:val="3"/>
        </w:numPr>
        <w:spacing w:before="120" w:after="120" w:line="360" w:lineRule="auto"/>
        <w:rPr>
          <w:rFonts w:eastAsia="MS Mincho" w:cstheme="minorHAnsi"/>
          <w:iCs/>
          <w:sz w:val="24"/>
          <w:szCs w:val="24"/>
          <w:lang w:eastAsia="ja-JP"/>
        </w:rPr>
      </w:pPr>
      <w:r w:rsidRPr="009A1B05">
        <w:rPr>
          <w:rFonts w:eastAsia="MS Mincho" w:cstheme="minorHAnsi"/>
          <w:iCs/>
          <w:sz w:val="24"/>
          <w:szCs w:val="24"/>
          <w:lang w:eastAsia="ja-JP"/>
        </w:rPr>
        <w:lastRenderedPageBreak/>
        <w:t>Protokół z postępowania o udzielenie zamówienia należy sporządzić w formie pisemnej lub elektronicznej (wraz z kwalifikowanym podpisem elektronicznym. Protokół zawiera co najmniej:</w:t>
      </w:r>
    </w:p>
    <w:p w14:paraId="3C39C731" w14:textId="77777777" w:rsidR="0067033B" w:rsidRPr="009A1B05" w:rsidRDefault="0067033B" w:rsidP="0067033B">
      <w:pPr>
        <w:pStyle w:val="Akapitzlist"/>
        <w:numPr>
          <w:ilvl w:val="0"/>
          <w:numId w:val="13"/>
        </w:numPr>
        <w:spacing w:before="120" w:after="120" w:line="360" w:lineRule="auto"/>
        <w:ind w:left="1134"/>
        <w:rPr>
          <w:rFonts w:eastAsia="MS Mincho" w:cstheme="minorHAnsi"/>
          <w:iCs/>
          <w:sz w:val="24"/>
          <w:szCs w:val="24"/>
          <w:lang w:eastAsia="ja-JP"/>
        </w:rPr>
      </w:pPr>
      <w:r w:rsidRPr="009A1B05">
        <w:rPr>
          <w:rFonts w:eastAsia="MS Mincho" w:cstheme="minorHAnsi"/>
          <w:iCs/>
          <w:sz w:val="24"/>
          <w:szCs w:val="24"/>
          <w:lang w:eastAsia="ja-JP"/>
        </w:rPr>
        <w:t>wykaz wszystkich ofert, które wpłynęły w odpowiedzi na zapytanie ofertowe wraz ze wskazaniem daty wpłynięcia oferty do zamawiającego,</w:t>
      </w:r>
    </w:p>
    <w:p w14:paraId="0F9B7719" w14:textId="77777777" w:rsidR="0067033B" w:rsidRPr="009A1B05" w:rsidRDefault="0067033B" w:rsidP="0067033B">
      <w:pPr>
        <w:pStyle w:val="Akapitzlist"/>
        <w:numPr>
          <w:ilvl w:val="0"/>
          <w:numId w:val="13"/>
        </w:numPr>
        <w:spacing w:before="120" w:after="120" w:line="360" w:lineRule="auto"/>
        <w:ind w:left="1134"/>
        <w:rPr>
          <w:rFonts w:eastAsia="MS Mincho" w:cstheme="minorHAnsi"/>
          <w:iCs/>
          <w:sz w:val="24"/>
          <w:szCs w:val="24"/>
          <w:lang w:eastAsia="ja-JP"/>
        </w:rPr>
      </w:pPr>
      <w:r w:rsidRPr="009A1B05">
        <w:rPr>
          <w:rFonts w:eastAsia="MS Mincho" w:cstheme="minorHAnsi"/>
          <w:iCs/>
          <w:sz w:val="24"/>
          <w:szCs w:val="24"/>
          <w:lang w:eastAsia="ja-JP"/>
        </w:rPr>
        <w:t>informację o spełnieniu warunku, o którym mowa w pkt. 2. ppkt. 1),</w:t>
      </w:r>
    </w:p>
    <w:p w14:paraId="5A34BAD2" w14:textId="77777777" w:rsidR="0067033B" w:rsidRPr="009A1B05" w:rsidRDefault="0067033B" w:rsidP="0067033B">
      <w:pPr>
        <w:pStyle w:val="Akapitzlist"/>
        <w:numPr>
          <w:ilvl w:val="0"/>
          <w:numId w:val="13"/>
        </w:numPr>
        <w:spacing w:before="120" w:after="120" w:line="360" w:lineRule="auto"/>
        <w:ind w:left="1134"/>
        <w:rPr>
          <w:rFonts w:eastAsia="MS Mincho" w:cstheme="minorHAnsi"/>
          <w:iCs/>
          <w:sz w:val="24"/>
          <w:szCs w:val="24"/>
          <w:lang w:eastAsia="ja-JP"/>
        </w:rPr>
      </w:pPr>
      <w:r w:rsidRPr="009A1B05">
        <w:rPr>
          <w:rFonts w:eastAsia="MS Mincho" w:cstheme="minorHAnsi"/>
          <w:iCs/>
          <w:sz w:val="24"/>
          <w:szCs w:val="24"/>
          <w:lang w:eastAsia="ja-JP"/>
        </w:rPr>
        <w:t>informację o spełnieniu warunków udziału w postępowaniu przez wykonawców o ile takie warunki były stawiane,</w:t>
      </w:r>
    </w:p>
    <w:p w14:paraId="33EFE1BB" w14:textId="77777777" w:rsidR="0067033B" w:rsidRPr="009A1B05" w:rsidRDefault="0067033B" w:rsidP="0067033B">
      <w:pPr>
        <w:pStyle w:val="Akapitzlist"/>
        <w:numPr>
          <w:ilvl w:val="0"/>
          <w:numId w:val="13"/>
        </w:numPr>
        <w:spacing w:before="120" w:after="120" w:line="360" w:lineRule="auto"/>
        <w:ind w:left="1134"/>
        <w:rPr>
          <w:rFonts w:eastAsia="MS Mincho" w:cstheme="minorHAnsi"/>
          <w:iCs/>
          <w:sz w:val="24"/>
          <w:szCs w:val="24"/>
          <w:lang w:eastAsia="ja-JP"/>
        </w:rPr>
      </w:pPr>
      <w:r w:rsidRPr="009A1B05">
        <w:rPr>
          <w:rFonts w:eastAsia="MS Mincho" w:cstheme="minorHAnsi"/>
          <w:iCs/>
          <w:sz w:val="24"/>
          <w:szCs w:val="24"/>
          <w:lang w:eastAsia="ja-JP"/>
        </w:rPr>
        <w:t>informację o wagach punktowych lub procentowych przypisanych do poszczególnych kryteriów oceny i sposobie przyznawania punktacji poszczególnym wykonawcom za spełnienie danego kryterium,</w:t>
      </w:r>
    </w:p>
    <w:p w14:paraId="14B39BCD" w14:textId="77777777" w:rsidR="0067033B" w:rsidRPr="009A1B05" w:rsidRDefault="0067033B" w:rsidP="0067033B">
      <w:pPr>
        <w:pStyle w:val="Akapitzlist"/>
        <w:numPr>
          <w:ilvl w:val="0"/>
          <w:numId w:val="13"/>
        </w:numPr>
        <w:spacing w:before="120" w:after="120" w:line="360" w:lineRule="auto"/>
        <w:ind w:left="1134"/>
        <w:rPr>
          <w:rFonts w:eastAsia="MS Mincho" w:cstheme="minorHAnsi"/>
          <w:iCs/>
          <w:sz w:val="24"/>
          <w:szCs w:val="24"/>
          <w:lang w:eastAsia="ja-JP"/>
        </w:rPr>
      </w:pPr>
      <w:r w:rsidRPr="009A1B05">
        <w:rPr>
          <w:rFonts w:eastAsia="MS Mincho" w:cstheme="minorHAnsi"/>
          <w:iCs/>
          <w:sz w:val="24"/>
          <w:szCs w:val="24"/>
          <w:lang w:eastAsia="ja-JP"/>
        </w:rPr>
        <w:t>wskazanie wybranej oferty wraz z uzasadnieniem wyboru,</w:t>
      </w:r>
    </w:p>
    <w:p w14:paraId="496CCB48" w14:textId="77777777" w:rsidR="0067033B" w:rsidRPr="009A1B05" w:rsidRDefault="0067033B" w:rsidP="0067033B">
      <w:pPr>
        <w:pStyle w:val="Akapitzlist"/>
        <w:numPr>
          <w:ilvl w:val="0"/>
          <w:numId w:val="13"/>
        </w:numPr>
        <w:spacing w:before="120" w:after="120" w:line="360" w:lineRule="auto"/>
        <w:ind w:left="1134"/>
        <w:rPr>
          <w:rFonts w:eastAsia="MS Mincho" w:cstheme="minorHAnsi"/>
          <w:iCs/>
          <w:sz w:val="24"/>
          <w:szCs w:val="24"/>
          <w:lang w:eastAsia="ja-JP"/>
        </w:rPr>
      </w:pPr>
      <w:r w:rsidRPr="009A1B05">
        <w:rPr>
          <w:rFonts w:eastAsia="MS Mincho" w:cstheme="minorHAnsi"/>
          <w:iCs/>
          <w:sz w:val="24"/>
          <w:szCs w:val="24"/>
          <w:lang w:eastAsia="ja-JP"/>
        </w:rPr>
        <w:t>datę sporządzenia protokołu i podpis zamawiającego,</w:t>
      </w:r>
    </w:p>
    <w:p w14:paraId="6DBF71C1" w14:textId="77777777" w:rsidR="0067033B" w:rsidRPr="009A1B05" w:rsidRDefault="0067033B" w:rsidP="0067033B">
      <w:pPr>
        <w:pStyle w:val="Akapitzlist"/>
        <w:numPr>
          <w:ilvl w:val="0"/>
          <w:numId w:val="13"/>
        </w:numPr>
        <w:spacing w:before="120" w:after="120" w:line="360" w:lineRule="auto"/>
        <w:ind w:left="1134"/>
        <w:rPr>
          <w:rFonts w:eastAsia="MS Mincho" w:cstheme="minorHAnsi"/>
          <w:iCs/>
          <w:sz w:val="24"/>
          <w:szCs w:val="24"/>
          <w:lang w:eastAsia="ja-JP"/>
        </w:rPr>
      </w:pPr>
      <w:r w:rsidRPr="009A1B05">
        <w:rPr>
          <w:rFonts w:eastAsia="MS Mincho" w:cstheme="minorHAnsi"/>
          <w:iCs/>
          <w:sz w:val="24"/>
          <w:szCs w:val="24"/>
          <w:lang w:eastAsia="ja-JP"/>
        </w:rPr>
        <w:t>następujące załączniki:</w:t>
      </w:r>
    </w:p>
    <w:p w14:paraId="647BE8D4" w14:textId="77777777" w:rsidR="0067033B" w:rsidRPr="009A1B05" w:rsidRDefault="0067033B" w:rsidP="0067033B">
      <w:pPr>
        <w:pStyle w:val="Akapitzlist"/>
        <w:numPr>
          <w:ilvl w:val="1"/>
          <w:numId w:val="14"/>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potwierdzenie upublicznienia zapytania ofertowego w sposób wskazany w pkt. 13. lub 14. wraz ze zmianami w zapytaniu ofertowym o których mowa w pkt. 16., o ile zostały dokonane,</w:t>
      </w:r>
    </w:p>
    <w:p w14:paraId="00A006A1" w14:textId="77777777" w:rsidR="0067033B" w:rsidRPr="009A1B05" w:rsidRDefault="0067033B" w:rsidP="0067033B">
      <w:pPr>
        <w:pStyle w:val="Akapitzlist"/>
        <w:numPr>
          <w:ilvl w:val="1"/>
          <w:numId w:val="14"/>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złożone oferty,</w:t>
      </w:r>
    </w:p>
    <w:p w14:paraId="162AFA66" w14:textId="77777777" w:rsidR="0067033B" w:rsidRPr="009A1B05" w:rsidRDefault="0067033B" w:rsidP="0067033B">
      <w:pPr>
        <w:pStyle w:val="Akapitzlist"/>
        <w:numPr>
          <w:ilvl w:val="1"/>
          <w:numId w:val="14"/>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oświadczenia o braku powiązań z wykonawcami, którzy złożyli oferty, podpisane przez osoby uprawnione do reprezentowania zamawiającego i osoby wykonujące w imieniu zamawiającego czynności związane z procedurą wyboru wykonawcy, w tym biorące udział w procesie oceny ofert (tj. powiązań, o których mowa pkt. 2. ppkt. 2).</w:t>
      </w:r>
    </w:p>
    <w:p w14:paraId="09D4DF78" w14:textId="77777777" w:rsidR="0067033B" w:rsidRPr="009A1B05" w:rsidRDefault="0067033B" w:rsidP="0067033B">
      <w:pPr>
        <w:pStyle w:val="Akapitzlist"/>
        <w:numPr>
          <w:ilvl w:val="1"/>
          <w:numId w:val="14"/>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 xml:space="preserve">oświadczenie o którym mowa w art. 56 ust. 4 ustawy PZP. </w:t>
      </w:r>
    </w:p>
    <w:p w14:paraId="468DB75A" w14:textId="77777777" w:rsidR="0067033B" w:rsidRPr="009A1B05" w:rsidRDefault="0067033B" w:rsidP="0067033B">
      <w:pPr>
        <w:pStyle w:val="Akapitzlist"/>
        <w:numPr>
          <w:ilvl w:val="0"/>
          <w:numId w:val="3"/>
        </w:numPr>
        <w:spacing w:before="120" w:after="120" w:line="360" w:lineRule="auto"/>
        <w:rPr>
          <w:rFonts w:eastAsia="MS Mincho" w:cstheme="minorHAnsi"/>
          <w:iCs/>
          <w:sz w:val="24"/>
          <w:szCs w:val="24"/>
          <w:lang w:eastAsia="ja-JP"/>
        </w:rPr>
      </w:pPr>
      <w:r w:rsidRPr="009A1B05">
        <w:rPr>
          <w:rFonts w:eastAsia="MS Mincho" w:cstheme="minorHAnsi"/>
          <w:iCs/>
          <w:sz w:val="24"/>
          <w:szCs w:val="24"/>
          <w:lang w:eastAsia="ja-JP"/>
        </w:rPr>
        <w:t xml:space="preserve">Informację o wyniku postępowania upublicznia się w taki sposób, w jaki zostało upublicznione zapytanie ofertowe. Informacja o wyniku postępowania zawiera nazwę wybranego wykonawcy, adres jego siedziby oraz cenę zamówienia. Na wniosek wykonawcy, który złożył ofertę lub innego zainteresowanego podmiotu, należy </w:t>
      </w:r>
      <w:r w:rsidRPr="009A1B05">
        <w:rPr>
          <w:rFonts w:eastAsia="MS Mincho" w:cstheme="minorHAnsi"/>
          <w:iCs/>
          <w:sz w:val="24"/>
          <w:szCs w:val="24"/>
          <w:lang w:eastAsia="ja-JP"/>
        </w:rPr>
        <w:lastRenderedPageBreak/>
        <w:t>udostępnić protokół postępowania o udzielenie zamówienia, z wyłączeniem części ofert stanowiących tajemnicę przedsiębiorstwa.</w:t>
      </w:r>
      <w:r w:rsidRPr="009A1B05">
        <w:rPr>
          <w:rStyle w:val="Odwoanieprzypisudolnego"/>
          <w:rFonts w:eastAsia="MS Mincho" w:cstheme="minorHAnsi"/>
          <w:iCs/>
          <w:sz w:val="24"/>
          <w:szCs w:val="24"/>
          <w:lang w:eastAsia="ja-JP"/>
        </w:rPr>
        <w:footnoteReference w:id="10"/>
      </w:r>
    </w:p>
    <w:p w14:paraId="45BFD518" w14:textId="77777777" w:rsidR="0067033B" w:rsidRPr="009A1B05" w:rsidRDefault="0067033B" w:rsidP="0067033B">
      <w:pPr>
        <w:pStyle w:val="Akapitzlist"/>
        <w:numPr>
          <w:ilvl w:val="0"/>
          <w:numId w:val="3"/>
        </w:numPr>
        <w:spacing w:before="120" w:after="120" w:line="360" w:lineRule="auto"/>
        <w:rPr>
          <w:rFonts w:eastAsia="MS Mincho" w:cstheme="minorHAnsi"/>
          <w:iCs/>
          <w:sz w:val="24"/>
          <w:szCs w:val="24"/>
          <w:lang w:eastAsia="ja-JP"/>
        </w:rPr>
      </w:pPr>
      <w:r w:rsidRPr="009A1B05">
        <w:rPr>
          <w:rFonts w:eastAsia="MS Mincho" w:cstheme="minorHAnsi"/>
          <w:iCs/>
          <w:sz w:val="24"/>
          <w:szCs w:val="24"/>
          <w:lang w:eastAsia="ja-JP"/>
        </w:rPr>
        <w:t>Po przeprowadzeniu procedury uregulowanej w niniejszej sekcji następuje zawarcie umowy z wykonawcą w formie pisemnej lub elektronicznej (wraz z kwalifikowanym podpisem elektronicznym). W przypadku, gdy zamawiający dopuszcza składanie ofert częściowych, postępowanie może zakończyć się zawarciem umowy na część zamówienia. W przypadku gdy przedmiotem zamówienia jest zawarcie umowy ramowej, dopuszcza się sporządzenie jednej umowy z wieloma wykonawcami, lub kilku samodzielnych umów. W przypadku gdy wybrany wykonawca odstąpi od zawarcia umowy z zamawiającym, zamawiający zawiera umowę z kolejnym wykonawcą, który w postępowaniu o udzielenie zamówienia uzyskał kolejną najwyższą liczbę punktów.</w:t>
      </w:r>
    </w:p>
    <w:p w14:paraId="6B5ED055" w14:textId="77777777" w:rsidR="0067033B" w:rsidRPr="009A1B05" w:rsidRDefault="0067033B" w:rsidP="0067033B">
      <w:pPr>
        <w:pStyle w:val="Akapitzlist"/>
        <w:numPr>
          <w:ilvl w:val="0"/>
          <w:numId w:val="3"/>
        </w:numPr>
        <w:spacing w:before="120" w:after="120" w:line="360" w:lineRule="auto"/>
        <w:rPr>
          <w:rFonts w:eastAsia="MS Mincho" w:cstheme="minorHAnsi"/>
          <w:iCs/>
          <w:sz w:val="24"/>
          <w:szCs w:val="24"/>
          <w:lang w:eastAsia="ja-JP"/>
        </w:rPr>
      </w:pPr>
      <w:r w:rsidRPr="009A1B05">
        <w:rPr>
          <w:rFonts w:eastAsia="MS Mincho" w:cstheme="minorHAnsi"/>
          <w:iCs/>
          <w:sz w:val="24"/>
          <w:szCs w:val="24"/>
          <w:lang w:eastAsia="ja-JP"/>
        </w:rPr>
        <w:t>Nie jest możliwe dokonywanie istotnych zmian</w:t>
      </w:r>
      <w:r w:rsidRPr="009A1B05">
        <w:rPr>
          <w:rStyle w:val="Odwoanieprzypisudolnego"/>
          <w:rFonts w:eastAsia="MS Mincho" w:cstheme="minorHAnsi"/>
          <w:iCs/>
          <w:sz w:val="24"/>
          <w:szCs w:val="24"/>
          <w:lang w:eastAsia="ja-JP"/>
        </w:rPr>
        <w:footnoteReference w:id="11"/>
      </w:r>
      <w:r w:rsidRPr="009A1B05">
        <w:rPr>
          <w:rFonts w:eastAsia="MS Mincho" w:cstheme="minorHAnsi"/>
          <w:iCs/>
          <w:sz w:val="24"/>
          <w:szCs w:val="24"/>
          <w:lang w:eastAsia="ja-JP"/>
        </w:rPr>
        <w:t xml:space="preserve"> postanowień zawartej umowy w stosunku do treści oferty, na podstawie której dokonano wyboru wykonawcy, chyba że:</w:t>
      </w:r>
    </w:p>
    <w:p w14:paraId="2F6B4C2F" w14:textId="77777777" w:rsidR="0067033B" w:rsidRPr="009A1B05" w:rsidRDefault="0067033B" w:rsidP="0067033B">
      <w:pPr>
        <w:pStyle w:val="Akapitzlist"/>
        <w:numPr>
          <w:ilvl w:val="1"/>
          <w:numId w:val="15"/>
        </w:numPr>
        <w:spacing w:before="120" w:after="120" w:line="360" w:lineRule="auto"/>
        <w:ind w:left="1134"/>
        <w:rPr>
          <w:rFonts w:eastAsia="MS Mincho" w:cstheme="minorHAnsi"/>
          <w:iCs/>
          <w:sz w:val="24"/>
          <w:szCs w:val="24"/>
          <w:lang w:eastAsia="ja-JP"/>
        </w:rPr>
      </w:pPr>
      <w:r w:rsidRPr="009A1B05">
        <w:rPr>
          <w:rFonts w:eastAsia="MS Mincho" w:cstheme="minorHAnsi"/>
          <w:iCs/>
          <w:sz w:val="24"/>
          <w:szCs w:val="24"/>
          <w:lang w:eastAsia="ja-JP"/>
        </w:rPr>
        <w:t>zmiany zostały przewidziane w zapytaniu ofertowym w postaci jednoznacznych postanowień umownych, które określają ich zakres i charakter oraz warunki wprowadzenia zmian,</w:t>
      </w:r>
    </w:p>
    <w:p w14:paraId="425671EE" w14:textId="77777777" w:rsidR="0067033B" w:rsidRPr="009A1B05" w:rsidRDefault="0067033B" w:rsidP="0067033B">
      <w:pPr>
        <w:pStyle w:val="Akapitzlist"/>
        <w:numPr>
          <w:ilvl w:val="1"/>
          <w:numId w:val="15"/>
        </w:numPr>
        <w:spacing w:before="120" w:after="120" w:line="360" w:lineRule="auto"/>
        <w:ind w:left="1134"/>
        <w:rPr>
          <w:rFonts w:eastAsia="MS Mincho" w:cstheme="minorHAnsi"/>
          <w:iCs/>
          <w:sz w:val="24"/>
          <w:szCs w:val="24"/>
          <w:lang w:eastAsia="ja-JP"/>
        </w:rPr>
      </w:pPr>
      <w:r w:rsidRPr="009A1B05">
        <w:rPr>
          <w:rFonts w:eastAsia="MS Mincho" w:cstheme="minorHAnsi"/>
          <w:iCs/>
          <w:sz w:val="24"/>
          <w:szCs w:val="24"/>
          <w:lang w:eastAsia="ja-JP"/>
        </w:rPr>
        <w:t>zmiany dotyczą realizacji dodatkowych dostaw lub usług lub robót budowlanych od dotychczasowego wykonawcy, nieobjętych zamówieniem podstawowym, o ile stały się niezbędne i zostały spełnione łącznie następujące warunki:</w:t>
      </w:r>
    </w:p>
    <w:p w14:paraId="095D7C8C" w14:textId="77777777" w:rsidR="0067033B" w:rsidRPr="009A1B05" w:rsidRDefault="0067033B" w:rsidP="0067033B">
      <w:pPr>
        <w:pStyle w:val="Akapitzlist"/>
        <w:numPr>
          <w:ilvl w:val="1"/>
          <w:numId w:val="16"/>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zmiana wykonawcy nie może zostać dokonana z powodów ekonomicznych lub technicznych, w szczególności dotyczących zamienności lub interoperacyjności sprzętu, usług lub instalacji, zamówionych w ramach zamówienia podstawowego,</w:t>
      </w:r>
    </w:p>
    <w:p w14:paraId="627FCC77" w14:textId="77777777" w:rsidR="0067033B" w:rsidRPr="009A1B05" w:rsidRDefault="0067033B" w:rsidP="0067033B">
      <w:pPr>
        <w:pStyle w:val="Akapitzlist"/>
        <w:numPr>
          <w:ilvl w:val="1"/>
          <w:numId w:val="16"/>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zmiana wykonawcy spowodowałaby istotną niedogodność lub znaczne zwiększenie kosztów dla zamawiającego,</w:t>
      </w:r>
    </w:p>
    <w:p w14:paraId="5BD3E79E" w14:textId="77777777" w:rsidR="0067033B" w:rsidRPr="009A1B05" w:rsidRDefault="0067033B" w:rsidP="0067033B">
      <w:pPr>
        <w:pStyle w:val="Akapitzlist"/>
        <w:numPr>
          <w:ilvl w:val="1"/>
          <w:numId w:val="16"/>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lastRenderedPageBreak/>
        <w:t>wartość każdej kolejnej zmiany nie przekracza 50% wartości zamówienia określonej pierwotnie w umowie,</w:t>
      </w:r>
    </w:p>
    <w:p w14:paraId="6B6971EF" w14:textId="77777777" w:rsidR="0067033B" w:rsidRPr="009A1B05" w:rsidRDefault="0067033B" w:rsidP="0067033B">
      <w:pPr>
        <w:pStyle w:val="Akapitzlist"/>
        <w:numPr>
          <w:ilvl w:val="1"/>
          <w:numId w:val="15"/>
        </w:numPr>
        <w:spacing w:before="120" w:after="120" w:line="360" w:lineRule="auto"/>
        <w:ind w:left="1134"/>
        <w:rPr>
          <w:rFonts w:eastAsia="MS Mincho" w:cstheme="minorHAnsi"/>
          <w:iCs/>
          <w:sz w:val="24"/>
          <w:szCs w:val="24"/>
          <w:lang w:eastAsia="ja-JP"/>
        </w:rPr>
      </w:pPr>
      <w:r w:rsidRPr="009A1B05">
        <w:rPr>
          <w:rFonts w:eastAsia="MS Mincho" w:cstheme="minorHAnsi"/>
          <w:iCs/>
          <w:sz w:val="24"/>
          <w:szCs w:val="24"/>
          <w:lang w:eastAsia="ja-JP"/>
        </w:rPr>
        <w:t>zmiana nie prowadzi do zmiany charakteru umowy i zostały spełnione łącznie następujące warunki:</w:t>
      </w:r>
    </w:p>
    <w:p w14:paraId="4744E059" w14:textId="77777777" w:rsidR="0067033B" w:rsidRPr="009A1B05" w:rsidRDefault="0067033B" w:rsidP="0067033B">
      <w:pPr>
        <w:pStyle w:val="Akapitzlist"/>
        <w:numPr>
          <w:ilvl w:val="1"/>
          <w:numId w:val="17"/>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konieczność zmiany umowy spowodowana jest okolicznościami, których zamawiający, działając z należytą starannością, nie mógł przewidzieć,</w:t>
      </w:r>
    </w:p>
    <w:p w14:paraId="385FA05B" w14:textId="77777777" w:rsidR="0067033B" w:rsidRPr="009A1B05" w:rsidRDefault="0067033B" w:rsidP="0067033B">
      <w:pPr>
        <w:pStyle w:val="Akapitzlist"/>
        <w:numPr>
          <w:ilvl w:val="1"/>
          <w:numId w:val="17"/>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wartość zmiany nie przekracza 50% wartości zamówienia określonej pierwotnie w umowie,</w:t>
      </w:r>
    </w:p>
    <w:p w14:paraId="47979DB9" w14:textId="77777777" w:rsidR="0067033B" w:rsidRPr="009A1B05" w:rsidRDefault="0067033B" w:rsidP="0067033B">
      <w:pPr>
        <w:pStyle w:val="Akapitzlist"/>
        <w:numPr>
          <w:ilvl w:val="1"/>
          <w:numId w:val="15"/>
        </w:numPr>
        <w:spacing w:before="120" w:after="120" w:line="360" w:lineRule="auto"/>
        <w:ind w:left="1134"/>
        <w:rPr>
          <w:rFonts w:eastAsia="MS Mincho" w:cstheme="minorHAnsi"/>
          <w:iCs/>
          <w:sz w:val="24"/>
          <w:szCs w:val="24"/>
          <w:lang w:eastAsia="ja-JP"/>
        </w:rPr>
      </w:pPr>
      <w:r w:rsidRPr="009A1B05">
        <w:rPr>
          <w:rFonts w:eastAsia="MS Mincho" w:cstheme="minorHAnsi"/>
          <w:iCs/>
          <w:sz w:val="24"/>
          <w:szCs w:val="24"/>
          <w:lang w:eastAsia="ja-JP"/>
        </w:rPr>
        <w:t>wykonawcę, któremu zamawiający udzielił zamówienia ma zastąpić nowy wykonawca:</w:t>
      </w:r>
    </w:p>
    <w:p w14:paraId="1E8A93CE" w14:textId="77777777" w:rsidR="0067033B" w:rsidRPr="009A1B05" w:rsidRDefault="0067033B" w:rsidP="0067033B">
      <w:pPr>
        <w:pStyle w:val="Akapitzlist"/>
        <w:numPr>
          <w:ilvl w:val="1"/>
          <w:numId w:val="18"/>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na podstawie postanowień umownych, o których mowa w ppkt. 1),</w:t>
      </w:r>
    </w:p>
    <w:p w14:paraId="45551842" w14:textId="77777777" w:rsidR="0067033B" w:rsidRPr="009A1B05" w:rsidRDefault="0067033B" w:rsidP="0067033B">
      <w:pPr>
        <w:pStyle w:val="Akapitzlist"/>
        <w:numPr>
          <w:ilvl w:val="1"/>
          <w:numId w:val="18"/>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zasady konkurencyjności, lub</w:t>
      </w:r>
    </w:p>
    <w:p w14:paraId="6C906E52" w14:textId="77777777" w:rsidR="0067033B" w:rsidRPr="009A1B05" w:rsidRDefault="0067033B" w:rsidP="0067033B">
      <w:pPr>
        <w:pStyle w:val="Akapitzlist"/>
        <w:numPr>
          <w:ilvl w:val="1"/>
          <w:numId w:val="18"/>
        </w:numPr>
        <w:spacing w:before="120" w:after="120" w:line="360" w:lineRule="auto"/>
        <w:ind w:left="1560"/>
        <w:rPr>
          <w:rFonts w:eastAsia="MS Mincho" w:cstheme="minorHAnsi"/>
          <w:iCs/>
          <w:sz w:val="24"/>
          <w:szCs w:val="24"/>
          <w:lang w:eastAsia="ja-JP"/>
        </w:rPr>
      </w:pPr>
      <w:r w:rsidRPr="009A1B05">
        <w:rPr>
          <w:rFonts w:eastAsia="MS Mincho" w:cstheme="minorHAnsi"/>
          <w:iCs/>
          <w:sz w:val="24"/>
          <w:szCs w:val="24"/>
          <w:lang w:eastAsia="ja-JP"/>
        </w:rPr>
        <w:t>w wyniku przejęcia przez zamawiającego zobowiązań wykonawcy względem jego podwykonawców; w przypadku zmiany podwykonawcy, zamawiający może zawrzeć umowę z nowym podwykonawcą bez zmiany warunków realizacji zamówienia z uwzględnieniem dokonanych płatności z tytułu dotychczas zrealizowanych prac,</w:t>
      </w:r>
    </w:p>
    <w:p w14:paraId="7BE53187" w14:textId="77777777" w:rsidR="0067033B" w:rsidRPr="009A1B05" w:rsidRDefault="0067033B" w:rsidP="0067033B">
      <w:pPr>
        <w:pStyle w:val="Akapitzlist"/>
        <w:numPr>
          <w:ilvl w:val="1"/>
          <w:numId w:val="15"/>
        </w:numPr>
        <w:spacing w:before="120" w:after="120" w:line="360" w:lineRule="auto"/>
        <w:ind w:left="1134"/>
        <w:rPr>
          <w:rFonts w:eastAsia="MS Mincho" w:cstheme="minorHAnsi"/>
          <w:iCs/>
          <w:sz w:val="24"/>
          <w:szCs w:val="24"/>
          <w:lang w:eastAsia="ja-JP"/>
        </w:rPr>
      </w:pPr>
      <w:r w:rsidRPr="009A1B05">
        <w:rPr>
          <w:rFonts w:eastAsia="MS Mincho" w:cstheme="minorHAnsi"/>
          <w:iCs/>
          <w:sz w:val="24"/>
          <w:szCs w:val="24"/>
          <w:lang w:eastAsia="ja-JP"/>
        </w:rPr>
        <w:t>zmiana nie prowadzi do zmiany charakteru umowy a łączna wartość zmian jest mniejsza niż progi unijne w rozumieniu art. 3 PZP</w:t>
      </w:r>
      <w:r w:rsidRPr="009A1B05">
        <w:rPr>
          <w:rStyle w:val="Odwoanieprzypisudolnego"/>
          <w:rFonts w:eastAsia="MS Mincho" w:cstheme="minorHAnsi"/>
          <w:iCs/>
          <w:sz w:val="24"/>
          <w:szCs w:val="24"/>
          <w:lang w:eastAsia="ja-JP"/>
        </w:rPr>
        <w:footnoteReference w:id="12"/>
      </w:r>
      <w:r w:rsidRPr="009A1B05">
        <w:rPr>
          <w:rFonts w:eastAsia="MS Mincho" w:cstheme="minorHAnsi"/>
          <w:iCs/>
          <w:sz w:val="24"/>
          <w:szCs w:val="24"/>
          <w:lang w:eastAsia="ja-JP"/>
        </w:rPr>
        <w:t xml:space="preserve"> i jednocześnie jest mniejsza od 10% wartości zamówienia określonej pierwotnie w umowie w przypadku zamówień na usługi lub dostawy albo, w przypadku zamówień na roboty budowlane jest mniejsza od 15% wartości zamówienia określonej pierwotnie w umowie.</w:t>
      </w:r>
    </w:p>
    <w:p w14:paraId="22A9FE0F" w14:textId="77777777" w:rsidR="0067033B" w:rsidRPr="005052BA" w:rsidRDefault="0067033B" w:rsidP="0067033B">
      <w:pPr>
        <w:pStyle w:val="Nagwek2"/>
        <w:numPr>
          <w:ilvl w:val="0"/>
          <w:numId w:val="22"/>
        </w:numPr>
        <w:tabs>
          <w:tab w:val="num" w:pos="360"/>
        </w:tabs>
        <w:spacing w:before="120" w:after="120" w:line="360" w:lineRule="auto"/>
        <w:ind w:left="0" w:firstLine="0"/>
        <w:contextualSpacing/>
        <w:rPr>
          <w:rFonts w:cstheme="minorHAnsi"/>
        </w:rPr>
      </w:pPr>
      <w:bookmarkStart w:id="8" w:name="_Toc115082200"/>
      <w:bookmarkStart w:id="9" w:name="_Toc161824961"/>
      <w:r w:rsidRPr="005052BA">
        <w:rPr>
          <w:rFonts w:cstheme="minorHAnsi"/>
        </w:rPr>
        <w:lastRenderedPageBreak/>
        <w:t>Zamówienia w trybie in-house</w:t>
      </w:r>
      <w:bookmarkEnd w:id="8"/>
      <w:bookmarkEnd w:id="9"/>
      <w:r w:rsidRPr="005052BA">
        <w:rPr>
          <w:rFonts w:cstheme="minorHAnsi"/>
        </w:rPr>
        <w:t xml:space="preserve"> </w:t>
      </w:r>
    </w:p>
    <w:p w14:paraId="6E843C38" w14:textId="77777777" w:rsidR="0067033B" w:rsidRPr="009A1B05" w:rsidRDefault="0067033B" w:rsidP="0067033B">
      <w:pPr>
        <w:spacing w:before="120" w:after="120" w:line="360" w:lineRule="auto"/>
        <w:contextualSpacing/>
        <w:rPr>
          <w:rFonts w:eastAsia="Times New Roman" w:cstheme="minorHAnsi"/>
          <w:iCs/>
          <w:sz w:val="24"/>
          <w:szCs w:val="24"/>
          <w:lang w:val="pl-PL" w:eastAsia="pl-PL"/>
        </w:rPr>
      </w:pPr>
      <w:r w:rsidRPr="009A1B05">
        <w:rPr>
          <w:rFonts w:eastAsia="Times New Roman" w:cstheme="minorHAnsi"/>
          <w:iCs/>
          <w:sz w:val="24"/>
          <w:szCs w:val="24"/>
          <w:lang w:val="pl-PL" w:eastAsia="pl-PL"/>
        </w:rPr>
        <w:t xml:space="preserve">W przypadku zamówień w trybie in-house, oprócz zasad i warunków zawartych w niniejszym dokumencie wraz z załącznikiem oraz spełnienia przesłanek wskazanych w PZP, w celu uznania kosztów poniesionych w związku z zamówieniem w trybie in-house za kwalifikowalne </w:t>
      </w:r>
      <w:r w:rsidRPr="009A1B05">
        <w:rPr>
          <w:rFonts w:eastAsia="MS Mincho" w:cstheme="minorHAnsi"/>
          <w:iCs/>
          <w:sz w:val="24"/>
          <w:szCs w:val="24"/>
          <w:lang w:eastAsia="ja-JP"/>
        </w:rPr>
        <w:t xml:space="preserve">OOW </w:t>
      </w:r>
      <w:r w:rsidRPr="009A1B05">
        <w:rPr>
          <w:rFonts w:eastAsia="Times New Roman" w:cstheme="minorHAnsi"/>
          <w:iCs/>
          <w:sz w:val="24"/>
          <w:szCs w:val="24"/>
          <w:lang w:val="pl-PL" w:eastAsia="pl-PL"/>
        </w:rPr>
        <w:t>zobowiązany jest do:</w:t>
      </w:r>
    </w:p>
    <w:p w14:paraId="62072814" w14:textId="77777777" w:rsidR="0067033B" w:rsidRPr="009A1B05" w:rsidRDefault="0067033B" w:rsidP="0067033B">
      <w:pPr>
        <w:pStyle w:val="Akapitzlist"/>
        <w:numPr>
          <w:ilvl w:val="0"/>
          <w:numId w:val="19"/>
        </w:numPr>
        <w:spacing w:before="120" w:after="120" w:line="360" w:lineRule="auto"/>
        <w:rPr>
          <w:rFonts w:eastAsia="Times New Roman" w:cstheme="minorHAnsi"/>
          <w:iCs/>
          <w:sz w:val="24"/>
          <w:szCs w:val="24"/>
          <w:lang w:eastAsia="pl-PL"/>
        </w:rPr>
      </w:pPr>
      <w:r w:rsidRPr="009A1B05">
        <w:rPr>
          <w:rFonts w:eastAsia="Times New Roman" w:cstheme="minorHAnsi"/>
          <w:iCs/>
          <w:sz w:val="24"/>
          <w:szCs w:val="24"/>
          <w:lang w:eastAsia="pl-PL"/>
        </w:rPr>
        <w:t>Zlecenia prac podmiotowi wewnętrznemu na podstawie podpisanej umowy z podmiotem wewnętrznym.</w:t>
      </w:r>
    </w:p>
    <w:p w14:paraId="47996B4B" w14:textId="77777777" w:rsidR="0067033B" w:rsidRPr="009A1B05" w:rsidRDefault="0067033B" w:rsidP="0067033B">
      <w:pPr>
        <w:pStyle w:val="Akapitzlist"/>
        <w:numPr>
          <w:ilvl w:val="0"/>
          <w:numId w:val="19"/>
        </w:numPr>
        <w:spacing w:before="120" w:after="120" w:line="360" w:lineRule="auto"/>
        <w:rPr>
          <w:rFonts w:eastAsia="Times New Roman" w:cstheme="minorHAnsi"/>
          <w:iCs/>
          <w:sz w:val="24"/>
          <w:szCs w:val="24"/>
          <w:lang w:eastAsia="pl-PL"/>
        </w:rPr>
      </w:pPr>
      <w:r w:rsidRPr="009A1B05">
        <w:rPr>
          <w:rFonts w:eastAsia="Times New Roman" w:cstheme="minorHAnsi"/>
          <w:iCs/>
          <w:sz w:val="24"/>
          <w:szCs w:val="24"/>
          <w:lang w:eastAsia="pl-PL"/>
        </w:rPr>
        <w:t xml:space="preserve">Przeprowadzenia rozeznania rynku przed zleceniem prac in-house (ex </w:t>
      </w:r>
      <w:proofErr w:type="spellStart"/>
      <w:r w:rsidRPr="009A1B05">
        <w:rPr>
          <w:rFonts w:eastAsia="Times New Roman" w:cstheme="minorHAnsi"/>
          <w:iCs/>
          <w:sz w:val="24"/>
          <w:szCs w:val="24"/>
          <w:lang w:eastAsia="pl-PL"/>
        </w:rPr>
        <w:t>ante</w:t>
      </w:r>
      <w:proofErr w:type="spellEnd"/>
      <w:r w:rsidRPr="009A1B05">
        <w:rPr>
          <w:rFonts w:eastAsia="Times New Roman" w:cstheme="minorHAnsi"/>
          <w:iCs/>
          <w:sz w:val="24"/>
          <w:szCs w:val="24"/>
          <w:lang w:eastAsia="pl-PL"/>
        </w:rPr>
        <w:t>) poprzez:</w:t>
      </w:r>
    </w:p>
    <w:p w14:paraId="63B608E4" w14:textId="77777777" w:rsidR="0067033B" w:rsidRPr="009A1B05" w:rsidRDefault="0067033B" w:rsidP="0067033B">
      <w:pPr>
        <w:pStyle w:val="Akapitzlist"/>
        <w:numPr>
          <w:ilvl w:val="1"/>
          <w:numId w:val="8"/>
        </w:numPr>
        <w:spacing w:before="120" w:after="120" w:line="360" w:lineRule="auto"/>
        <w:ind w:left="1134"/>
        <w:rPr>
          <w:rFonts w:eastAsia="Times New Roman" w:cstheme="minorHAnsi"/>
          <w:iCs/>
          <w:sz w:val="24"/>
          <w:szCs w:val="24"/>
          <w:lang w:eastAsia="pl-PL"/>
        </w:rPr>
      </w:pPr>
      <w:r w:rsidRPr="009A1B05">
        <w:rPr>
          <w:rFonts w:eastAsia="Times New Roman" w:cstheme="minorHAnsi"/>
          <w:iCs/>
          <w:sz w:val="24"/>
          <w:szCs w:val="24"/>
          <w:lang w:eastAsia="pl-PL"/>
        </w:rPr>
        <w:t xml:space="preserve">przeprowadzenie niezależnej, zewnętrznej wyceny zakresu prac projektowych, przeznaczonych do powierzenia wewnętrznemu podmiotowi w ramach konkretnych zleceń, przez wyłonionego w otwartym konkursie eksperta rynkowego </w:t>
      </w:r>
      <w:r w:rsidRPr="009A1B05">
        <w:rPr>
          <w:rFonts w:eastAsia="Times New Roman" w:cstheme="minorHAnsi"/>
          <w:iCs/>
          <w:color w:val="000000" w:themeColor="text1"/>
          <w:sz w:val="24"/>
          <w:szCs w:val="24"/>
          <w:lang w:eastAsia="pl-PL"/>
        </w:rPr>
        <w:t xml:space="preserve">lub/i ekspertów z jednostek podległych i nadzorowanych przez </w:t>
      </w:r>
      <w:r w:rsidRPr="009A1B05">
        <w:rPr>
          <w:rFonts w:eastAsia="MS Mincho" w:cstheme="minorHAnsi"/>
          <w:iCs/>
          <w:sz w:val="24"/>
          <w:szCs w:val="24"/>
          <w:lang w:eastAsia="ja-JP"/>
        </w:rPr>
        <w:t>OOW</w:t>
      </w:r>
      <w:r w:rsidRPr="009A1B05">
        <w:rPr>
          <w:rFonts w:eastAsia="Times New Roman" w:cstheme="minorHAnsi"/>
          <w:iCs/>
          <w:color w:val="000000" w:themeColor="text1"/>
          <w:sz w:val="24"/>
          <w:szCs w:val="24"/>
          <w:lang w:eastAsia="pl-PL"/>
        </w:rPr>
        <w:t>,</w:t>
      </w:r>
    </w:p>
    <w:p w14:paraId="597FFB34" w14:textId="77777777" w:rsidR="0067033B" w:rsidRPr="009A1B05" w:rsidRDefault="0067033B" w:rsidP="0067033B">
      <w:pPr>
        <w:pStyle w:val="Akapitzlist"/>
        <w:numPr>
          <w:ilvl w:val="1"/>
          <w:numId w:val="8"/>
        </w:numPr>
        <w:spacing w:before="120" w:after="120" w:line="360" w:lineRule="auto"/>
        <w:ind w:left="1134"/>
        <w:rPr>
          <w:rFonts w:eastAsia="Times New Roman" w:cstheme="minorHAnsi"/>
          <w:iCs/>
          <w:sz w:val="24"/>
          <w:szCs w:val="24"/>
          <w:lang w:eastAsia="pl-PL"/>
        </w:rPr>
      </w:pPr>
      <w:r w:rsidRPr="009A1B05">
        <w:rPr>
          <w:rFonts w:eastAsia="Times New Roman" w:cstheme="minorHAnsi"/>
          <w:iCs/>
          <w:sz w:val="24"/>
          <w:szCs w:val="24"/>
          <w:lang w:eastAsia="pl-PL"/>
        </w:rPr>
        <w:t xml:space="preserve">przeprowadzenie niezależnej, zewnętrznej weryfikacji poprawności oszacowania kosztów prac przedstawionych przez podmiot wewnętrzny, w tym: metodologii szacowania i pracochłonności prac projektowych określonej przez podmiot wewnętrzny, przez wyłonionego w otwartym konkursie eksperta rynkowego </w:t>
      </w:r>
      <w:r w:rsidRPr="009A1B05">
        <w:rPr>
          <w:rFonts w:eastAsia="Times New Roman" w:cstheme="minorHAnsi"/>
          <w:iCs/>
          <w:color w:val="000000" w:themeColor="text1"/>
          <w:sz w:val="24"/>
          <w:szCs w:val="24"/>
          <w:lang w:eastAsia="pl-PL"/>
        </w:rPr>
        <w:t xml:space="preserve">lub/i ekspertów z jednostek podległych i nadzorowanych przez </w:t>
      </w:r>
      <w:r w:rsidRPr="009A1B05">
        <w:rPr>
          <w:rFonts w:eastAsia="MS Mincho" w:cstheme="minorHAnsi"/>
          <w:iCs/>
          <w:sz w:val="24"/>
          <w:szCs w:val="24"/>
          <w:lang w:eastAsia="ja-JP"/>
        </w:rPr>
        <w:t>OOW</w:t>
      </w:r>
      <w:r w:rsidRPr="009A1B05">
        <w:rPr>
          <w:rFonts w:eastAsia="Times New Roman" w:cstheme="minorHAnsi"/>
          <w:iCs/>
          <w:color w:val="000000" w:themeColor="text1"/>
          <w:sz w:val="24"/>
          <w:szCs w:val="24"/>
          <w:lang w:eastAsia="pl-PL"/>
        </w:rPr>
        <w:t>,</w:t>
      </w:r>
    </w:p>
    <w:p w14:paraId="1DD4D4B5" w14:textId="77777777" w:rsidR="0067033B" w:rsidRPr="009A1B05" w:rsidRDefault="0067033B" w:rsidP="0067033B">
      <w:pPr>
        <w:pStyle w:val="Akapitzlist"/>
        <w:numPr>
          <w:ilvl w:val="1"/>
          <w:numId w:val="8"/>
        </w:numPr>
        <w:spacing w:before="120" w:after="120" w:line="360" w:lineRule="auto"/>
        <w:ind w:left="1134"/>
        <w:rPr>
          <w:rFonts w:eastAsia="Times New Roman" w:cstheme="minorHAnsi"/>
          <w:iCs/>
          <w:sz w:val="24"/>
          <w:szCs w:val="24"/>
          <w:lang w:eastAsia="pl-PL"/>
        </w:rPr>
      </w:pPr>
      <w:r w:rsidRPr="009A1B05">
        <w:rPr>
          <w:rFonts w:eastAsia="Times New Roman" w:cstheme="minorHAnsi"/>
          <w:iCs/>
          <w:sz w:val="24"/>
          <w:szCs w:val="24"/>
          <w:lang w:eastAsia="pl-PL"/>
        </w:rPr>
        <w:t>przeprowadzenie zewnętrznej, niezależnej analizy porównawczej wyceny rynkowej (pkt. 2. ppkt. 1) powyżej) i oszacowania kosztów podmiotu wewnętrznego (pkt. 2. ppkt. 2) powyżej) przez wyłonionego w otwartym konkursie eksperta rynkowego</w:t>
      </w:r>
      <w:r w:rsidRPr="009A1B05">
        <w:rPr>
          <w:rFonts w:eastAsia="Times New Roman" w:cstheme="minorHAnsi"/>
          <w:iCs/>
          <w:color w:val="000000" w:themeColor="text1"/>
          <w:sz w:val="24"/>
          <w:szCs w:val="24"/>
          <w:lang w:eastAsia="pl-PL"/>
        </w:rPr>
        <w:t xml:space="preserve"> lub/i ekspertów z jednostek podległych i nadzorowanych przez - </w:t>
      </w:r>
      <w:r w:rsidRPr="009A1B05">
        <w:rPr>
          <w:rFonts w:eastAsia="MS Mincho" w:cstheme="minorHAnsi"/>
          <w:iCs/>
          <w:sz w:val="24"/>
          <w:szCs w:val="24"/>
          <w:lang w:eastAsia="ja-JP"/>
        </w:rPr>
        <w:t>OOW</w:t>
      </w:r>
      <w:r w:rsidRPr="009A1B05">
        <w:rPr>
          <w:rFonts w:eastAsia="Times New Roman" w:cstheme="minorHAnsi"/>
          <w:iCs/>
          <w:color w:val="000000" w:themeColor="text1"/>
          <w:sz w:val="24"/>
          <w:szCs w:val="24"/>
          <w:lang w:eastAsia="pl-PL"/>
        </w:rPr>
        <w:t xml:space="preserve">, </w:t>
      </w:r>
      <w:r w:rsidRPr="009A1B05">
        <w:rPr>
          <w:rFonts w:eastAsia="Times New Roman" w:cstheme="minorHAnsi"/>
          <w:iCs/>
          <w:sz w:val="24"/>
          <w:szCs w:val="24"/>
          <w:lang w:eastAsia="pl-PL"/>
        </w:rPr>
        <w:t>w celu potwierdzenia lub zaprzeczenia oszczędnego i efektywnego gospodarowania środkami finansowymi.</w:t>
      </w:r>
    </w:p>
    <w:p w14:paraId="08F0DCEE" w14:textId="77777777" w:rsidR="0067033B" w:rsidRPr="009A1B05" w:rsidRDefault="0067033B" w:rsidP="0067033B">
      <w:pPr>
        <w:spacing w:before="120" w:after="120" w:line="360" w:lineRule="auto"/>
        <w:contextualSpacing/>
        <w:rPr>
          <w:rFonts w:cstheme="minorHAnsi"/>
          <w:b/>
          <w:bCs/>
          <w:iCs/>
          <w:sz w:val="24"/>
          <w:szCs w:val="24"/>
          <w:lang w:val="pl-PL"/>
        </w:rPr>
      </w:pPr>
      <w:r w:rsidRPr="009A1B05">
        <w:rPr>
          <w:rFonts w:cstheme="minorHAnsi"/>
          <w:b/>
          <w:bCs/>
          <w:iCs/>
          <w:sz w:val="24"/>
          <w:szCs w:val="24"/>
          <w:lang w:val="pl-PL"/>
        </w:rPr>
        <w:t xml:space="preserve">Eksperci muszą jednocześnie spełniać warunek posiadania niezbędnej wiedzy eksperckiej oraz złożyć deklarację o braku konfliktu interesów/deklarację o bezstronności. </w:t>
      </w:r>
    </w:p>
    <w:p w14:paraId="1B583A47" w14:textId="41927F7F" w:rsidR="0067033B" w:rsidRPr="009A1B05" w:rsidRDefault="0067033B" w:rsidP="0067033B">
      <w:pPr>
        <w:pStyle w:val="Akapitzlist"/>
        <w:numPr>
          <w:ilvl w:val="0"/>
          <w:numId w:val="19"/>
        </w:numPr>
        <w:spacing w:before="120" w:after="120" w:line="360" w:lineRule="auto"/>
        <w:rPr>
          <w:rFonts w:cstheme="minorHAnsi"/>
          <w:b/>
          <w:bCs/>
          <w:iCs/>
          <w:sz w:val="24"/>
          <w:szCs w:val="24"/>
        </w:rPr>
      </w:pPr>
      <w:r w:rsidRPr="009A1B05">
        <w:rPr>
          <w:rFonts w:eastAsia="Times New Roman" w:cstheme="minorHAnsi"/>
          <w:iCs/>
          <w:sz w:val="24"/>
          <w:szCs w:val="24"/>
          <w:lang w:eastAsia="pl-PL"/>
        </w:rPr>
        <w:t>Odbioru prac zgodnie z przyjętym harmonogramem realizacji Przedsięwzięcia wskazanym w Umowie/Porozumieniu</w:t>
      </w:r>
      <w:r w:rsidR="00962997">
        <w:rPr>
          <w:rFonts w:eastAsia="Times New Roman" w:cstheme="minorHAnsi"/>
          <w:iCs/>
          <w:sz w:val="24"/>
          <w:szCs w:val="24"/>
          <w:lang w:eastAsia="pl-PL"/>
        </w:rPr>
        <w:t>/Decyzji</w:t>
      </w:r>
      <w:r w:rsidRPr="009A1B05">
        <w:rPr>
          <w:rFonts w:eastAsia="Times New Roman" w:cstheme="minorHAnsi"/>
          <w:iCs/>
          <w:sz w:val="24"/>
          <w:szCs w:val="24"/>
          <w:lang w:eastAsia="pl-PL"/>
        </w:rPr>
        <w:t xml:space="preserve"> o objęciu Przedsięwzięcia wsparciem.</w:t>
      </w:r>
    </w:p>
    <w:p w14:paraId="22C088E4" w14:textId="77777777" w:rsidR="0067033B" w:rsidRPr="009A1B05" w:rsidRDefault="0067033B" w:rsidP="0067033B">
      <w:pPr>
        <w:pStyle w:val="Akapitzlist"/>
        <w:numPr>
          <w:ilvl w:val="0"/>
          <w:numId w:val="19"/>
        </w:numPr>
        <w:spacing w:before="120" w:after="120" w:line="360" w:lineRule="auto"/>
        <w:rPr>
          <w:rFonts w:cstheme="minorHAnsi"/>
          <w:b/>
          <w:bCs/>
          <w:iCs/>
          <w:sz w:val="24"/>
          <w:szCs w:val="24"/>
        </w:rPr>
      </w:pPr>
      <w:r w:rsidRPr="009A1B05">
        <w:rPr>
          <w:rFonts w:eastAsia="Times New Roman" w:cstheme="minorHAnsi"/>
          <w:iCs/>
          <w:sz w:val="24"/>
          <w:szCs w:val="24"/>
          <w:lang w:eastAsia="pl-PL"/>
        </w:rPr>
        <w:t>Cyklicznego raportowania kosztów ponoszonych w trybie in-house do JW.</w:t>
      </w:r>
    </w:p>
    <w:p w14:paraId="4F50572A" w14:textId="77777777" w:rsidR="0067033B" w:rsidRPr="009A1B05" w:rsidRDefault="0067033B" w:rsidP="0067033B">
      <w:pPr>
        <w:pStyle w:val="Akapitzlist"/>
        <w:numPr>
          <w:ilvl w:val="0"/>
          <w:numId w:val="19"/>
        </w:numPr>
        <w:spacing w:before="120" w:after="120" w:line="360" w:lineRule="auto"/>
        <w:rPr>
          <w:rFonts w:cstheme="minorHAnsi"/>
          <w:b/>
          <w:bCs/>
          <w:iCs/>
          <w:sz w:val="24"/>
          <w:szCs w:val="24"/>
        </w:rPr>
      </w:pPr>
      <w:r w:rsidRPr="009A1B05">
        <w:rPr>
          <w:rFonts w:eastAsia="Times New Roman" w:cstheme="minorHAnsi"/>
          <w:iCs/>
          <w:sz w:val="24"/>
          <w:szCs w:val="24"/>
          <w:lang w:eastAsia="pl-PL"/>
        </w:rPr>
        <w:t>Podmiot wewnętrzny zobowiązany jest do:</w:t>
      </w:r>
    </w:p>
    <w:p w14:paraId="582CB2E9" w14:textId="77777777" w:rsidR="0067033B" w:rsidRPr="009A1B05" w:rsidRDefault="0067033B" w:rsidP="0067033B">
      <w:pPr>
        <w:pStyle w:val="Akapitzlist"/>
        <w:numPr>
          <w:ilvl w:val="1"/>
          <w:numId w:val="20"/>
        </w:numPr>
        <w:spacing w:before="120" w:after="120" w:line="360" w:lineRule="auto"/>
        <w:ind w:left="1134"/>
        <w:rPr>
          <w:rFonts w:eastAsia="Times New Roman" w:cstheme="minorHAnsi"/>
          <w:iCs/>
          <w:sz w:val="24"/>
          <w:szCs w:val="24"/>
          <w:lang w:eastAsia="pl-PL"/>
        </w:rPr>
      </w:pPr>
      <w:r w:rsidRPr="009A1B05">
        <w:rPr>
          <w:rFonts w:eastAsia="Times New Roman" w:cstheme="minorHAnsi"/>
          <w:iCs/>
          <w:sz w:val="24"/>
          <w:szCs w:val="24"/>
          <w:lang w:eastAsia="pl-PL"/>
        </w:rPr>
        <w:lastRenderedPageBreak/>
        <w:t xml:space="preserve">dokonywania zakupów towarów, materiałów i usług dotyczących podpisanej umowy zgodnie z ustawą PZP lub zgodnie z </w:t>
      </w:r>
      <w:r w:rsidRPr="009A1B05">
        <w:rPr>
          <w:rFonts w:eastAsia="Times New Roman" w:cstheme="minorHAnsi"/>
          <w:b/>
          <w:bCs/>
          <w:iCs/>
          <w:sz w:val="24"/>
          <w:szCs w:val="24"/>
          <w:lang w:eastAsia="pl-PL"/>
        </w:rPr>
        <w:t>Załącznikiem nr 3:</w:t>
      </w:r>
      <w:r w:rsidRPr="009A1B05">
        <w:rPr>
          <w:rFonts w:eastAsia="Times New Roman" w:cstheme="minorHAnsi"/>
          <w:iCs/>
          <w:sz w:val="24"/>
          <w:szCs w:val="24"/>
          <w:lang w:eastAsia="pl-PL"/>
        </w:rPr>
        <w:t xml:space="preserve"> „Zasady kwalifikowania wydatków w Przedsięwzięciach realizowanych w ramach Inwestycji C3.1.1. Krajowego Planu Odbudowy i Zwiększania Odporności”;</w:t>
      </w:r>
    </w:p>
    <w:p w14:paraId="45D86784" w14:textId="77777777" w:rsidR="0067033B" w:rsidRPr="009A1B05" w:rsidRDefault="0067033B" w:rsidP="0067033B">
      <w:pPr>
        <w:pStyle w:val="Akapitzlist"/>
        <w:numPr>
          <w:ilvl w:val="1"/>
          <w:numId w:val="20"/>
        </w:numPr>
        <w:spacing w:before="120" w:after="120" w:line="360" w:lineRule="auto"/>
        <w:ind w:left="1134"/>
        <w:rPr>
          <w:rFonts w:eastAsia="Times New Roman" w:cstheme="minorHAnsi"/>
          <w:iCs/>
          <w:sz w:val="24"/>
          <w:szCs w:val="24"/>
          <w:lang w:eastAsia="pl-PL"/>
        </w:rPr>
      </w:pPr>
      <w:r w:rsidRPr="009A1B05">
        <w:rPr>
          <w:rFonts w:eastAsia="Times New Roman" w:cstheme="minorHAnsi"/>
          <w:iCs/>
          <w:sz w:val="24"/>
          <w:szCs w:val="24"/>
          <w:lang w:eastAsia="pl-PL"/>
        </w:rPr>
        <w:t>prowadzenia wyodrębnionej ewidencji czasu pracy w ramach umowy w celu zapewnienia pełnej weryfikowalności i przejrzystości;</w:t>
      </w:r>
    </w:p>
    <w:p w14:paraId="1A0808C0" w14:textId="77777777" w:rsidR="0067033B" w:rsidRPr="009A1B05" w:rsidRDefault="0067033B" w:rsidP="0067033B">
      <w:pPr>
        <w:pStyle w:val="Akapitzlist"/>
        <w:numPr>
          <w:ilvl w:val="1"/>
          <w:numId w:val="20"/>
        </w:numPr>
        <w:spacing w:before="120" w:after="120" w:line="360" w:lineRule="auto"/>
        <w:ind w:left="1134"/>
        <w:rPr>
          <w:rFonts w:eastAsia="Times New Roman" w:cstheme="minorHAnsi"/>
          <w:iCs/>
          <w:sz w:val="24"/>
          <w:szCs w:val="24"/>
          <w:lang w:eastAsia="pl-PL"/>
        </w:rPr>
      </w:pPr>
      <w:r w:rsidRPr="009A1B05">
        <w:rPr>
          <w:rFonts w:eastAsia="Times New Roman" w:cstheme="minorHAnsi"/>
          <w:iCs/>
          <w:sz w:val="24"/>
          <w:szCs w:val="24"/>
          <w:lang w:eastAsia="pl-PL"/>
        </w:rPr>
        <w:t>prowadzenia wyodrębnionej ewidencji księgowej kosztów związanych z realizacją danej umowy.</w:t>
      </w:r>
    </w:p>
    <w:p w14:paraId="41446067" w14:textId="77777777" w:rsidR="0067033B" w:rsidRPr="005052BA" w:rsidRDefault="0067033B" w:rsidP="0067033B">
      <w:pPr>
        <w:pStyle w:val="Nagwek2"/>
        <w:numPr>
          <w:ilvl w:val="0"/>
          <w:numId w:val="22"/>
        </w:numPr>
        <w:tabs>
          <w:tab w:val="num" w:pos="360"/>
        </w:tabs>
        <w:spacing w:before="120" w:after="120" w:line="360" w:lineRule="auto"/>
        <w:ind w:left="0" w:firstLine="0"/>
        <w:contextualSpacing/>
        <w:rPr>
          <w:rFonts w:cstheme="minorHAnsi"/>
        </w:rPr>
      </w:pPr>
      <w:bookmarkStart w:id="10" w:name="_Toc161824962"/>
      <w:bookmarkStart w:id="11" w:name="_Toc78468510"/>
      <w:r w:rsidRPr="005052BA">
        <w:rPr>
          <w:rFonts w:cstheme="minorHAnsi"/>
        </w:rPr>
        <w:t>Przykłady możliwych nieprawidłowości w obszarze zamówień</w:t>
      </w:r>
      <w:bookmarkEnd w:id="10"/>
    </w:p>
    <w:p w14:paraId="77332129"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Times New Roman" w:cstheme="minorHAnsi"/>
          <w:iCs/>
          <w:sz w:val="24"/>
          <w:szCs w:val="24"/>
          <w:lang w:eastAsia="pl-PL"/>
        </w:rPr>
        <w:t>Nieuprawnione stosowanie trybów niekonkurencyjnych lub nieuprawnione stosowanie procedur przyspieszonych powołując się np. na termin zakończenia Przedsięwzięcia lub koniec roku budżetowego.</w:t>
      </w:r>
    </w:p>
    <w:p w14:paraId="7F8C289D"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Times New Roman" w:cstheme="minorHAnsi"/>
          <w:iCs/>
          <w:sz w:val="24"/>
          <w:szCs w:val="24"/>
          <w:lang w:eastAsia="pl-PL"/>
        </w:rPr>
        <w:t>Niekorzystne zjawisko „uzależnienia się” zamawiającego od pierwotnego wykonawcy systemu lub producenta sprzętu lub oprogramowania gotowego, uniemożliwiające nabycie niezbędnych usług lub dostaw w trybach konkurencyjnych np. brak zapewnienia sobie w pierwotnym przetargu autorskich praw</w:t>
      </w:r>
      <w:r w:rsidRPr="009A1B05">
        <w:rPr>
          <w:rFonts w:cstheme="minorHAnsi"/>
          <w:iCs/>
          <w:sz w:val="24"/>
          <w:szCs w:val="24"/>
        </w:rPr>
        <w:t xml:space="preserve"> majątkowych oraz praw zależnych, w tym do kodów źródłowych i dokumentacji lub nabycie licencji na niewystarczających polach eksploatacji odpowiadających zakresowi Przedsięwzięcia</w:t>
      </w:r>
      <w:r w:rsidRPr="009A1B05">
        <w:rPr>
          <w:rFonts w:eastAsia="Times New Roman" w:cstheme="minorHAnsi"/>
          <w:iCs/>
          <w:sz w:val="24"/>
          <w:szCs w:val="24"/>
          <w:lang w:eastAsia="pl-PL"/>
        </w:rPr>
        <w:t>.</w:t>
      </w:r>
    </w:p>
    <w:p w14:paraId="3EFEFFA7"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Times New Roman" w:cstheme="minorHAnsi"/>
          <w:iCs/>
          <w:sz w:val="24"/>
          <w:szCs w:val="24"/>
          <w:lang w:eastAsia="pl-PL"/>
        </w:rPr>
        <w:t>Nieuzasadnione udzielanie zamówień publicznych z wolnej ręki związanych z systemami informatycznymi, wynikające z niewłaściwego przygotowania postępowania i udzielania zamówienia publicznego.</w:t>
      </w:r>
    </w:p>
    <w:p w14:paraId="57A283CE"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Times New Roman" w:cstheme="minorHAnsi"/>
          <w:iCs/>
          <w:sz w:val="24"/>
          <w:szCs w:val="24"/>
          <w:lang w:eastAsia="pl-PL"/>
        </w:rPr>
        <w:t>Niedopuszczenie przez zamawiającego zaoferowania produktu równoważnego lub usługi równoważnej, w przypadku opisania przedmiotu zamówienia publicznego poprzez wskazanie znaków towarowych, patentów, pochodzenia, źródła lub szczególnego procesu, który charakteryzuje produkty lub usługi dostarczane przez konkretnego wykonawcę.</w:t>
      </w:r>
    </w:p>
    <w:p w14:paraId="10A76362"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Times New Roman" w:cstheme="minorHAnsi"/>
          <w:iCs/>
          <w:sz w:val="24"/>
          <w:szCs w:val="24"/>
          <w:lang w:eastAsia="pl-PL"/>
        </w:rPr>
        <w:t>Nieuprawnione dzielenie zamówienia publicznego na części w celu zastosowania mniej restrykcyjnej zasady udzielenia zamówienia w sytuacji, gdy zamawiający wszczyna kilka postępowań, które są tożsame przedmiotowo i czasowo, a zamówienie publiczne może być wykonane przez jednego wykonawcę. Tożsamość czasową należy odnosić nie tylko do roku budżetowego, ale także do całego okresu realizacji Przedsięwzięcia.</w:t>
      </w:r>
    </w:p>
    <w:p w14:paraId="009C6F83"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Times New Roman" w:cstheme="minorHAnsi"/>
          <w:iCs/>
          <w:sz w:val="24"/>
          <w:szCs w:val="24"/>
          <w:lang w:eastAsia="pl-PL"/>
        </w:rPr>
        <w:lastRenderedPageBreak/>
        <w:t xml:space="preserve">Nieuprawnione łączenie zamówień publicznych, które odrębnie udzielane wymagają zastosowania różnych zasad udzielenia. </w:t>
      </w:r>
    </w:p>
    <w:p w14:paraId="0C6E9DF4"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Times New Roman" w:cstheme="minorHAnsi"/>
          <w:iCs/>
          <w:sz w:val="24"/>
          <w:szCs w:val="24"/>
          <w:lang w:eastAsia="pl-PL"/>
        </w:rPr>
        <w:t>Nieuprawnione łączenie zamówień publicznych, które odrębnie udzielane skutkowałoby zwiększeniem konkurencyjności ofert wykonawców i umożliwiałoby złożenie oferty przez podmioty zainteresowane konkretną częścią zamówienia, np. łącznie dostaw sprzętu wraz z usługami w postaci budowy systemów informatycznych.</w:t>
      </w:r>
    </w:p>
    <w:p w14:paraId="0AAE5750"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Times New Roman" w:cstheme="minorHAnsi"/>
          <w:iCs/>
          <w:sz w:val="24"/>
          <w:szCs w:val="24"/>
          <w:lang w:eastAsia="pl-PL"/>
        </w:rPr>
        <w:t>Nieuzasadnione przedmiotem zamówienia publicznego ograniczenia dotyczące podwykonawstwa, np. wprowadzenie zasady, że określona w sposób procentowy część zamówienia publicznego nie może być zlecona podwykonawcom.</w:t>
      </w:r>
    </w:p>
    <w:p w14:paraId="5D58437B"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Times New Roman" w:cstheme="minorHAnsi"/>
          <w:iCs/>
          <w:sz w:val="24"/>
          <w:szCs w:val="24"/>
          <w:lang w:eastAsia="pl-PL"/>
        </w:rPr>
        <w:t>Wymaganie od wykonawcy posiadania potencjału technicznego już na etapie składania ofert/wniosków o dopuszczenie do udziału w postępowaniu.</w:t>
      </w:r>
    </w:p>
    <w:p w14:paraId="1E21BCB6"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Times New Roman" w:cstheme="minorHAnsi"/>
          <w:iCs/>
          <w:sz w:val="24"/>
          <w:szCs w:val="24"/>
          <w:lang w:eastAsia="pl-PL"/>
        </w:rPr>
        <w:t>Żądanie, aby wykonawca posiadał doświadczenie w realizacji usług, dostaw lub robót budowlanych współfinansowanych ze środków UE lub z funduszy krajowych (w sytuacji, gdy fakt współfinansowania nie ma wpływu na potwierdzenie umiejętności wykonawcy w zakresie wykonania zamówienia publicznego).</w:t>
      </w:r>
    </w:p>
    <w:p w14:paraId="0F514705"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Times New Roman" w:cstheme="minorHAnsi"/>
          <w:iCs/>
          <w:sz w:val="24"/>
          <w:szCs w:val="24"/>
          <w:lang w:eastAsia="pl-PL"/>
        </w:rPr>
        <w:t>Żądanie zamawiającego, aby wykonawca posiadał doświadczenie w realizacji usług, dostaw lub robót budowlanych wykonywanych wyłącznie w Polsce.</w:t>
      </w:r>
    </w:p>
    <w:p w14:paraId="3C1E476F"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Times New Roman" w:cstheme="minorHAnsi"/>
          <w:iCs/>
          <w:sz w:val="24"/>
          <w:szCs w:val="24"/>
          <w:lang w:eastAsia="pl-PL"/>
        </w:rPr>
        <w:t>Żądanie zamawiającego, aby wykonawca posiadał doświadczenie w realizacji usług, dostaw lub robót budowlanych, przewyższających wartość szacunkową zamówienia.</w:t>
      </w:r>
    </w:p>
    <w:p w14:paraId="70A74523"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Times New Roman" w:cstheme="minorHAnsi"/>
          <w:iCs/>
          <w:sz w:val="24"/>
          <w:szCs w:val="24"/>
          <w:lang w:eastAsia="pl-PL"/>
        </w:rPr>
        <w:t>Uwzględnianie przez zamawiającego jedynie doświadczenia zdobytego po uzyskaniu przez wykonawcę stosownych polskich uprawnień budowlanych lub posiadania doświadczenia zdobytego w Polsce.</w:t>
      </w:r>
    </w:p>
    <w:p w14:paraId="5C144B6C"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Times New Roman" w:cstheme="minorHAnsi"/>
          <w:iCs/>
          <w:sz w:val="24"/>
          <w:szCs w:val="24"/>
          <w:lang w:eastAsia="pl-PL"/>
        </w:rPr>
        <w:t>Nieuprawniony podział zamówienia na części, w sytuacji gdy w ramach kilku Przedsięwzięć realizowane są tożsame zamówienia, celem uniknięcia stosowania przepisów PZP lub zasad określonych w niniejszym dokumencie.</w:t>
      </w:r>
    </w:p>
    <w:p w14:paraId="119E43E1"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Times New Roman" w:cstheme="minorHAnsi"/>
          <w:iCs/>
          <w:sz w:val="24"/>
          <w:szCs w:val="24"/>
          <w:lang w:eastAsia="pl-PL"/>
        </w:rPr>
        <w:t xml:space="preserve">Odrzucenie przez zamawiającego oferty zamiast dokonania poprawy oczywistej omyłki pisarskiej/rachunkowej/innej. </w:t>
      </w:r>
      <w:r w:rsidRPr="009A1B05">
        <w:rPr>
          <w:rFonts w:eastAsia="Calibri" w:cstheme="minorHAnsi"/>
          <w:iCs/>
          <w:sz w:val="24"/>
          <w:szCs w:val="24"/>
        </w:rPr>
        <w:t>Za niedopuszczalne uznaje się natomiast uprzednie uzgodnienie z wykonawcą lub jakimkolwiek innym podmiotem/jakąkolwiek inną osobą sposobu poprawienia omyłek, które pojawiły się w ofercie, a o których mowa w przepisie art.  87 ust. 2 ustawy PZP.</w:t>
      </w:r>
    </w:p>
    <w:p w14:paraId="7F9ED9D0"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Calibri" w:cstheme="minorHAnsi"/>
          <w:iCs/>
          <w:sz w:val="24"/>
          <w:szCs w:val="24"/>
        </w:rPr>
        <w:lastRenderedPageBreak/>
        <w:t>Konstruowanie kryteriów oceny ofert, które w połączeniu z karami umownymi, mają charakter iluzoryczny,  m.in. takich jak kryterium terminu realizacji w sytuacji gdy brak jest kar umownej za zwłokę/opóźnienie ze strony wykonawcy.</w:t>
      </w:r>
    </w:p>
    <w:p w14:paraId="0C1700EB"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Calibri" w:cstheme="minorHAnsi"/>
          <w:iCs/>
          <w:sz w:val="24"/>
          <w:szCs w:val="24"/>
        </w:rPr>
        <w:t>Odrzucenie przez zamawiającego ofert przewyższających wartość środków, które zostały przeznaczone na realizację zamówienia.</w:t>
      </w:r>
    </w:p>
    <w:p w14:paraId="698AF0B0"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Calibri" w:cstheme="minorHAnsi"/>
          <w:iCs/>
          <w:sz w:val="24"/>
          <w:szCs w:val="24"/>
        </w:rPr>
        <w:t>Wybór oferty wykonawcy, która nie była najkorzystniejszą ofertą w postępowaniu, podczas gdy inne oferty uzyskały więcej punktów w ramach kryteriów oceny ofert i nie mieściły się w budżecie Zamawiającego.</w:t>
      </w:r>
    </w:p>
    <w:p w14:paraId="12408E6B"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Calibri" w:cstheme="minorHAnsi"/>
          <w:iCs/>
          <w:sz w:val="24"/>
          <w:szCs w:val="24"/>
        </w:rPr>
        <w:t>Przekazywanie wybranym wykonawcom określonych informacji dotyczących prowadzonego postępowania, które mogą stawiać ich w uprzywilejowanej pozycji w stosunku do innych wykonawców.</w:t>
      </w:r>
    </w:p>
    <w:p w14:paraId="51A469B9"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Calibri" w:cstheme="minorHAnsi"/>
          <w:iCs/>
          <w:sz w:val="24"/>
          <w:szCs w:val="24"/>
        </w:rPr>
        <w:t>Wyznaczenie nowego terminu na złożenie wyjaśnień/uzupełnień po upływie pierwotnie wyznaczonego terminu. Zamawiający może rozważyć przedłużenie pierwotnie wyznaczonego terminu w trakcie jego biegu na odpowiednio umotywowany wniosek wykonawcy, mając na względzie potrzebę zachowania zasady uczciwej konkurencji i równego traktowania wykonawców.</w:t>
      </w:r>
    </w:p>
    <w:p w14:paraId="2B78C9A8"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Calibri" w:cstheme="minorHAnsi"/>
          <w:iCs/>
          <w:sz w:val="24"/>
          <w:szCs w:val="24"/>
        </w:rPr>
        <w:t>Uznanie przez zamawiającego ofert, wyjaśnień lub uzupełnień, które wpłynęły do zamawiającego po upływie wyznaczonego terminu lub – w zakresie uzupełnień – także w nieodpowiedniej formie.</w:t>
      </w:r>
    </w:p>
    <w:p w14:paraId="53DCF7A4"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Calibri" w:cstheme="minorHAnsi"/>
          <w:iCs/>
          <w:sz w:val="24"/>
          <w:szCs w:val="24"/>
        </w:rPr>
        <w:t>Wszelkie działania mające na celu modyfikację daty lub godziny wpływu korespondencji do zamawiającego w sytuacji, gdy data lub godzina wpływu warunkuje uwzględnienie pisma wykonawcy.</w:t>
      </w:r>
    </w:p>
    <w:p w14:paraId="5F151E9A"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Calibri" w:cstheme="minorHAnsi"/>
          <w:iCs/>
          <w:sz w:val="24"/>
          <w:szCs w:val="24"/>
        </w:rPr>
        <w:t>Przygotowanie dokumentacji zamówienia w oparciu o konkretny produkt lub dostawcę.</w:t>
      </w:r>
    </w:p>
    <w:p w14:paraId="4843D37C"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Calibri" w:cstheme="minorHAnsi"/>
          <w:iCs/>
          <w:sz w:val="24"/>
          <w:szCs w:val="24"/>
        </w:rPr>
        <w:t>Skracanie terminów składania ofert celem uniemożliwienia lub utrudnienia złożenia ofert przez innych wykonawców.</w:t>
      </w:r>
    </w:p>
    <w:p w14:paraId="6D151835"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Calibri" w:cstheme="minorHAnsi"/>
          <w:iCs/>
          <w:sz w:val="24"/>
          <w:szCs w:val="24"/>
        </w:rPr>
        <w:t>Ustalanie terminów realizacji zamówienia niemożliwe do realizacji dla potencjalnego wykonawcy a następnie aneksowanie umowy w oparciu o niejasne zapisy dotyczące terminów realizacji.</w:t>
      </w:r>
    </w:p>
    <w:p w14:paraId="5D4E9320"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Calibri" w:cstheme="minorHAnsi"/>
          <w:iCs/>
          <w:sz w:val="24"/>
          <w:szCs w:val="24"/>
        </w:rPr>
        <w:t>Niepublikowanie wzoru umowy.</w:t>
      </w:r>
    </w:p>
    <w:p w14:paraId="2A6F25CB"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Calibri" w:cstheme="minorHAnsi"/>
          <w:iCs/>
          <w:sz w:val="24"/>
          <w:szCs w:val="24"/>
        </w:rPr>
        <w:t xml:space="preserve">Sporządzenie aneksu do umowy wydłużającego termin realizacji zamówienia, w sytuacji gdy przesłanka i warunki wydłużenia terminu nie zostały wprost określone w treści </w:t>
      </w:r>
      <w:r w:rsidRPr="009A1B05">
        <w:rPr>
          <w:rFonts w:eastAsia="Calibri" w:cstheme="minorHAnsi"/>
          <w:iCs/>
          <w:sz w:val="24"/>
          <w:szCs w:val="24"/>
        </w:rPr>
        <w:lastRenderedPageBreak/>
        <w:t>wzoru umowy a termin realizacji był kryterium punktowanym w ramach kryteriów oceny ofert.</w:t>
      </w:r>
    </w:p>
    <w:p w14:paraId="05099732" w14:textId="77777777" w:rsidR="0067033B" w:rsidRPr="009A1B05"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Calibri" w:cstheme="minorHAnsi"/>
          <w:iCs/>
          <w:sz w:val="24"/>
          <w:szCs w:val="24"/>
        </w:rPr>
        <w:t>Profilowanie opisu przedmiotu zamówienia pod konkretną technologię/produkt lub producenta/dostawcę.</w:t>
      </w:r>
    </w:p>
    <w:p w14:paraId="5BFA005A" w14:textId="77777777" w:rsidR="0067033B" w:rsidRPr="006446ED" w:rsidRDefault="0067033B" w:rsidP="0067033B">
      <w:pPr>
        <w:pStyle w:val="Akapitzlist"/>
        <w:numPr>
          <w:ilvl w:val="0"/>
          <w:numId w:val="21"/>
        </w:numPr>
        <w:spacing w:before="120" w:after="120" w:line="360" w:lineRule="auto"/>
        <w:ind w:left="426"/>
        <w:rPr>
          <w:rFonts w:eastAsia="Times New Roman" w:cstheme="minorHAnsi"/>
          <w:iCs/>
          <w:sz w:val="24"/>
          <w:szCs w:val="24"/>
          <w:lang w:eastAsia="pl-PL"/>
        </w:rPr>
      </w:pPr>
      <w:r w:rsidRPr="009A1B05">
        <w:rPr>
          <w:rFonts w:eastAsia="Calibri" w:cstheme="minorHAnsi"/>
          <w:iCs/>
          <w:sz w:val="24"/>
          <w:szCs w:val="24"/>
        </w:rPr>
        <w:t xml:space="preserve">Nieuzasadnione stosowanie wyłączeń ustawowych. </w:t>
      </w:r>
    </w:p>
    <w:p w14:paraId="20EC5676" w14:textId="77777777" w:rsidR="0067033B" w:rsidRPr="005052BA" w:rsidRDefault="0067033B" w:rsidP="0067033B">
      <w:pPr>
        <w:pStyle w:val="Nagwek2"/>
        <w:numPr>
          <w:ilvl w:val="0"/>
          <w:numId w:val="22"/>
        </w:numPr>
        <w:tabs>
          <w:tab w:val="num" w:pos="360"/>
        </w:tabs>
        <w:spacing w:before="120" w:after="120" w:line="360" w:lineRule="auto"/>
        <w:ind w:left="0" w:firstLine="0"/>
        <w:contextualSpacing/>
        <w:rPr>
          <w:rFonts w:cstheme="minorHAnsi"/>
        </w:rPr>
      </w:pPr>
      <w:bookmarkStart w:id="12" w:name="_Toc161824963"/>
      <w:r w:rsidRPr="005052BA">
        <w:rPr>
          <w:rFonts w:cstheme="minorHAnsi"/>
        </w:rPr>
        <w:t>Zestawienie regulacji w zakresie zasady konkurencyjności w odniesieniu do konieczności stosowania przez zamawiającego określonej ścieżki postępowania</w:t>
      </w:r>
      <w:bookmarkEnd w:id="11"/>
      <w:bookmarkEnd w:id="12"/>
    </w:p>
    <w:p w14:paraId="25BDB793" w14:textId="77777777" w:rsidR="0067033B" w:rsidRPr="009A1B05" w:rsidRDefault="0067033B" w:rsidP="0067033B">
      <w:pPr>
        <w:spacing w:before="120" w:after="120" w:line="360" w:lineRule="auto"/>
        <w:contextualSpacing/>
        <w:rPr>
          <w:rFonts w:eastAsia="MS Mincho" w:cstheme="minorHAnsi"/>
          <w:iCs/>
          <w:sz w:val="24"/>
          <w:szCs w:val="24"/>
          <w:lang w:val="pl-PL" w:eastAsia="ja-JP"/>
        </w:rPr>
      </w:pPr>
      <w:r w:rsidRPr="009A1B05">
        <w:rPr>
          <w:rFonts w:eastAsia="MS Mincho" w:cstheme="minorHAnsi"/>
          <w:iCs/>
          <w:sz w:val="24"/>
          <w:szCs w:val="24"/>
          <w:lang w:val="pl-PL" w:eastAsia="ja-JP"/>
        </w:rPr>
        <w:t>Poniższe zestawienie zostało opracowane na podstawie informacji zawartych w niniejszym Załączniku</w:t>
      </w:r>
      <w:r>
        <w:rPr>
          <w:rFonts w:eastAsia="MS Mincho" w:cstheme="minorHAnsi"/>
          <w:iCs/>
          <w:sz w:val="24"/>
          <w:szCs w:val="24"/>
          <w:lang w:val="pl-PL" w:eastAsia="ja-JP"/>
        </w:rPr>
        <w:t>.</w:t>
      </w:r>
    </w:p>
    <w:tbl>
      <w:tblPr>
        <w:tblStyle w:val="Tabela-Siatka"/>
        <w:tblW w:w="5700" w:type="pct"/>
        <w:tblInd w:w="-459" w:type="dxa"/>
        <w:tblLook w:val="04A0" w:firstRow="1" w:lastRow="0" w:firstColumn="1" w:lastColumn="0" w:noHBand="0" w:noVBand="1"/>
      </w:tblPr>
      <w:tblGrid>
        <w:gridCol w:w="2099"/>
        <w:gridCol w:w="2471"/>
        <w:gridCol w:w="2694"/>
        <w:gridCol w:w="3067"/>
      </w:tblGrid>
      <w:tr w:rsidR="0067033B" w:rsidRPr="009A1B05" w14:paraId="7F173C3F" w14:textId="77777777" w:rsidTr="002B1FDF">
        <w:trPr>
          <w:trHeight w:val="235"/>
        </w:trPr>
        <w:tc>
          <w:tcPr>
            <w:tcW w:w="2694" w:type="dxa"/>
            <w:vMerge w:val="restart"/>
            <w:vAlign w:val="center"/>
          </w:tcPr>
          <w:p w14:paraId="7A38398C" w14:textId="77777777" w:rsidR="0067033B" w:rsidRPr="009A1B05" w:rsidRDefault="0067033B" w:rsidP="002B1FDF">
            <w:pPr>
              <w:spacing w:before="120" w:after="120" w:line="360" w:lineRule="auto"/>
              <w:ind w:left="203"/>
              <w:contextualSpacing/>
              <w:rPr>
                <w:rFonts w:eastAsia="MS Mincho" w:cstheme="minorHAnsi"/>
                <w:iCs/>
                <w:sz w:val="24"/>
                <w:szCs w:val="24"/>
                <w:lang w:val="pl-PL" w:eastAsia="ja-JP"/>
              </w:rPr>
            </w:pPr>
            <w:r w:rsidRPr="009A1B05">
              <w:rPr>
                <w:rFonts w:eastAsia="MS Mincho" w:cstheme="minorHAnsi"/>
                <w:iCs/>
                <w:sz w:val="24"/>
                <w:szCs w:val="24"/>
                <w:lang w:val="pl-PL" w:eastAsia="ja-JP"/>
              </w:rPr>
              <w:t>Wartość zamówienia</w:t>
            </w:r>
          </w:p>
        </w:tc>
        <w:tc>
          <w:tcPr>
            <w:tcW w:w="11198" w:type="dxa"/>
            <w:gridSpan w:val="3"/>
            <w:vAlign w:val="center"/>
          </w:tcPr>
          <w:p w14:paraId="5A04A412" w14:textId="77777777" w:rsidR="0067033B" w:rsidRPr="009A1B05" w:rsidRDefault="0067033B" w:rsidP="002B1FDF">
            <w:pPr>
              <w:spacing w:before="120" w:after="120" w:line="360" w:lineRule="auto"/>
              <w:contextualSpacing/>
              <w:jc w:val="center"/>
              <w:rPr>
                <w:rFonts w:eastAsia="MS Mincho" w:cstheme="minorHAnsi"/>
                <w:b/>
                <w:iCs/>
                <w:sz w:val="24"/>
                <w:szCs w:val="24"/>
                <w:lang w:val="pl-PL" w:eastAsia="ja-JP"/>
              </w:rPr>
            </w:pPr>
            <w:r w:rsidRPr="009A1B05">
              <w:rPr>
                <w:rFonts w:eastAsia="MS Mincho" w:cstheme="minorHAnsi"/>
                <w:b/>
                <w:bCs/>
                <w:iCs/>
                <w:sz w:val="24"/>
                <w:szCs w:val="24"/>
                <w:lang w:val="pl-PL" w:eastAsia="ja-JP"/>
              </w:rPr>
              <w:t>Regulacja w zakresie zasady uczciwej konkurencji</w:t>
            </w:r>
          </w:p>
        </w:tc>
      </w:tr>
      <w:tr w:rsidR="0067033B" w:rsidRPr="009A1B05" w14:paraId="5FB1C426" w14:textId="77777777" w:rsidTr="002B1FDF">
        <w:trPr>
          <w:trHeight w:val="934"/>
        </w:trPr>
        <w:tc>
          <w:tcPr>
            <w:tcW w:w="2694" w:type="dxa"/>
            <w:vMerge/>
            <w:vAlign w:val="center"/>
          </w:tcPr>
          <w:p w14:paraId="396F4ACD" w14:textId="77777777" w:rsidR="0067033B" w:rsidRPr="009A1B05" w:rsidRDefault="0067033B" w:rsidP="002B1FDF">
            <w:pPr>
              <w:spacing w:before="120" w:after="120" w:line="360" w:lineRule="auto"/>
              <w:ind w:left="403"/>
              <w:contextualSpacing/>
              <w:rPr>
                <w:rFonts w:eastAsia="MS Mincho" w:cstheme="minorHAnsi"/>
                <w:iCs/>
                <w:sz w:val="24"/>
                <w:szCs w:val="24"/>
                <w:lang w:val="pl-PL" w:eastAsia="ja-JP"/>
              </w:rPr>
            </w:pPr>
          </w:p>
        </w:tc>
        <w:tc>
          <w:tcPr>
            <w:tcW w:w="3402" w:type="dxa"/>
            <w:vAlign w:val="center"/>
          </w:tcPr>
          <w:p w14:paraId="7D957582" w14:textId="77777777" w:rsidR="0067033B" w:rsidRPr="009A1B05" w:rsidRDefault="0067033B" w:rsidP="002B1FDF">
            <w:pPr>
              <w:spacing w:before="120" w:after="120" w:line="360" w:lineRule="auto"/>
              <w:ind w:left="89"/>
              <w:contextualSpacing/>
              <w:rPr>
                <w:rFonts w:eastAsia="MS Mincho" w:cstheme="minorHAnsi"/>
                <w:iCs/>
                <w:sz w:val="24"/>
                <w:szCs w:val="24"/>
                <w:lang w:val="pl-PL" w:eastAsia="ja-JP"/>
              </w:rPr>
            </w:pPr>
            <w:r w:rsidRPr="009A1B05">
              <w:rPr>
                <w:rFonts w:eastAsia="MS Mincho" w:cstheme="minorHAnsi"/>
                <w:iCs/>
                <w:sz w:val="24"/>
                <w:szCs w:val="24"/>
                <w:lang w:val="pl-PL" w:eastAsia="ja-JP"/>
              </w:rPr>
              <w:t>Zamawiający zobligowani do stosowania PZP (zgodnie z zapisami PZP)</w:t>
            </w:r>
          </w:p>
        </w:tc>
        <w:tc>
          <w:tcPr>
            <w:tcW w:w="3543" w:type="dxa"/>
            <w:vAlign w:val="center"/>
          </w:tcPr>
          <w:p w14:paraId="69C9F0AA" w14:textId="77777777" w:rsidR="0067033B" w:rsidRPr="009A1B05" w:rsidRDefault="0067033B" w:rsidP="002B1FDF">
            <w:pPr>
              <w:spacing w:before="120" w:after="120" w:line="360" w:lineRule="auto"/>
              <w:ind w:left="54"/>
              <w:contextualSpacing/>
              <w:rPr>
                <w:rFonts w:eastAsia="MS Mincho" w:cstheme="minorHAnsi"/>
                <w:iCs/>
                <w:sz w:val="24"/>
                <w:szCs w:val="24"/>
                <w:lang w:val="pl-PL" w:eastAsia="ja-JP"/>
              </w:rPr>
            </w:pPr>
            <w:r w:rsidRPr="009A1B05">
              <w:rPr>
                <w:rFonts w:eastAsia="MS Mincho" w:cstheme="minorHAnsi"/>
                <w:iCs/>
                <w:sz w:val="24"/>
                <w:szCs w:val="24"/>
                <w:lang w:val="pl-PL" w:eastAsia="ja-JP"/>
              </w:rPr>
              <w:t>Zamawiający zobowiązani do przestrzegania zasady konkurencyjności o której mowa w sekcji II.</w:t>
            </w:r>
          </w:p>
        </w:tc>
        <w:tc>
          <w:tcPr>
            <w:tcW w:w="4253" w:type="dxa"/>
            <w:vAlign w:val="center"/>
          </w:tcPr>
          <w:p w14:paraId="03228E17" w14:textId="77777777" w:rsidR="0067033B" w:rsidRPr="009A1B05" w:rsidRDefault="0067033B" w:rsidP="002B1FDF">
            <w:pPr>
              <w:spacing w:before="120" w:after="120" w:line="360" w:lineRule="auto"/>
              <w:ind w:left="80"/>
              <w:contextualSpacing/>
              <w:rPr>
                <w:rFonts w:eastAsia="MS Mincho" w:cstheme="minorHAnsi"/>
                <w:iCs/>
                <w:sz w:val="24"/>
                <w:szCs w:val="24"/>
                <w:lang w:val="pl-PL" w:eastAsia="ja-JP"/>
              </w:rPr>
            </w:pPr>
            <w:r w:rsidRPr="009A1B05">
              <w:rPr>
                <w:rFonts w:eastAsia="MS Mincho" w:cstheme="minorHAnsi"/>
                <w:iCs/>
                <w:sz w:val="24"/>
                <w:szCs w:val="24"/>
                <w:lang w:val="pl-PL" w:eastAsia="ja-JP"/>
              </w:rPr>
              <w:t>Zamawiający niezobowiązani do stosowania PZP lub zasady konkurencyjności, o której mowa w sekcji III.</w:t>
            </w:r>
          </w:p>
        </w:tc>
      </w:tr>
      <w:tr w:rsidR="0067033B" w:rsidRPr="009A1B05" w14:paraId="13787610" w14:textId="77777777" w:rsidTr="002B1FDF">
        <w:trPr>
          <w:trHeight w:val="70"/>
        </w:trPr>
        <w:tc>
          <w:tcPr>
            <w:tcW w:w="2694" w:type="dxa"/>
            <w:vAlign w:val="center"/>
          </w:tcPr>
          <w:p w14:paraId="41BEBDB3" w14:textId="77777777" w:rsidR="0067033B" w:rsidRPr="009A1B05" w:rsidRDefault="0067033B" w:rsidP="002B1FDF">
            <w:pPr>
              <w:spacing w:before="120" w:after="120" w:line="360" w:lineRule="auto"/>
              <w:ind w:left="61"/>
              <w:contextualSpacing/>
              <w:jc w:val="center"/>
              <w:rPr>
                <w:rFonts w:eastAsia="MS Mincho" w:cstheme="minorHAnsi"/>
                <w:iCs/>
                <w:sz w:val="24"/>
                <w:szCs w:val="24"/>
                <w:lang w:val="pl-PL" w:eastAsia="ja-JP"/>
              </w:rPr>
            </w:pPr>
            <w:r w:rsidRPr="009A1B05">
              <w:rPr>
                <w:rFonts w:eastAsia="MS Mincho" w:cstheme="minorHAnsi"/>
                <w:iCs/>
                <w:sz w:val="24"/>
                <w:szCs w:val="24"/>
                <w:lang w:val="pl-PL" w:eastAsia="ja-JP"/>
              </w:rPr>
              <w:t>1</w:t>
            </w:r>
          </w:p>
        </w:tc>
        <w:tc>
          <w:tcPr>
            <w:tcW w:w="3402" w:type="dxa"/>
            <w:vAlign w:val="center"/>
          </w:tcPr>
          <w:p w14:paraId="4D8048FA" w14:textId="77777777" w:rsidR="0067033B" w:rsidRPr="009A1B05" w:rsidRDefault="0067033B" w:rsidP="002B1FDF">
            <w:pPr>
              <w:spacing w:before="120" w:after="120" w:line="360" w:lineRule="auto"/>
              <w:ind w:left="89"/>
              <w:contextualSpacing/>
              <w:jc w:val="center"/>
              <w:rPr>
                <w:rFonts w:eastAsia="MS Mincho" w:cstheme="minorHAnsi"/>
                <w:iCs/>
                <w:sz w:val="24"/>
                <w:szCs w:val="24"/>
                <w:lang w:val="pl-PL" w:eastAsia="ja-JP"/>
              </w:rPr>
            </w:pPr>
            <w:r w:rsidRPr="009A1B05">
              <w:rPr>
                <w:rFonts w:eastAsia="MS Mincho" w:cstheme="minorHAnsi"/>
                <w:iCs/>
                <w:sz w:val="24"/>
                <w:szCs w:val="24"/>
                <w:lang w:val="pl-PL" w:eastAsia="ja-JP"/>
              </w:rPr>
              <w:t>2</w:t>
            </w:r>
          </w:p>
        </w:tc>
        <w:tc>
          <w:tcPr>
            <w:tcW w:w="3543" w:type="dxa"/>
            <w:vAlign w:val="center"/>
          </w:tcPr>
          <w:p w14:paraId="4D7C8D90" w14:textId="77777777" w:rsidR="0067033B" w:rsidRPr="009A1B05" w:rsidRDefault="0067033B" w:rsidP="002B1FDF">
            <w:pPr>
              <w:spacing w:before="120" w:after="120" w:line="360" w:lineRule="auto"/>
              <w:ind w:left="54"/>
              <w:contextualSpacing/>
              <w:jc w:val="center"/>
              <w:rPr>
                <w:rFonts w:eastAsia="MS Mincho" w:cstheme="minorHAnsi"/>
                <w:iCs/>
                <w:sz w:val="24"/>
                <w:szCs w:val="24"/>
                <w:lang w:val="pl-PL" w:eastAsia="ja-JP"/>
              </w:rPr>
            </w:pPr>
            <w:r w:rsidRPr="009A1B05">
              <w:rPr>
                <w:rFonts w:eastAsia="MS Mincho" w:cstheme="minorHAnsi"/>
                <w:iCs/>
                <w:sz w:val="24"/>
                <w:szCs w:val="24"/>
                <w:lang w:val="pl-PL" w:eastAsia="ja-JP"/>
              </w:rPr>
              <w:t>3</w:t>
            </w:r>
          </w:p>
        </w:tc>
        <w:tc>
          <w:tcPr>
            <w:tcW w:w="4253" w:type="dxa"/>
            <w:vAlign w:val="center"/>
          </w:tcPr>
          <w:p w14:paraId="3E4FB8FC" w14:textId="77777777" w:rsidR="0067033B" w:rsidRPr="009A1B05" w:rsidRDefault="0067033B" w:rsidP="002B1FDF">
            <w:pPr>
              <w:spacing w:before="120" w:after="120" w:line="360" w:lineRule="auto"/>
              <w:ind w:left="80"/>
              <w:contextualSpacing/>
              <w:jc w:val="center"/>
              <w:rPr>
                <w:rFonts w:eastAsia="MS Mincho" w:cstheme="minorHAnsi"/>
                <w:iCs/>
                <w:sz w:val="24"/>
                <w:szCs w:val="24"/>
                <w:lang w:val="pl-PL" w:eastAsia="ja-JP"/>
              </w:rPr>
            </w:pPr>
            <w:r w:rsidRPr="009A1B05">
              <w:rPr>
                <w:rFonts w:eastAsia="MS Mincho" w:cstheme="minorHAnsi"/>
                <w:iCs/>
                <w:sz w:val="24"/>
                <w:szCs w:val="24"/>
                <w:lang w:val="pl-PL" w:eastAsia="ja-JP"/>
              </w:rPr>
              <w:t>4</w:t>
            </w:r>
          </w:p>
        </w:tc>
      </w:tr>
      <w:tr w:rsidR="0067033B" w:rsidRPr="009A1B05" w14:paraId="51FA8FAF" w14:textId="77777777" w:rsidTr="002B1FDF">
        <w:tc>
          <w:tcPr>
            <w:tcW w:w="2694" w:type="dxa"/>
            <w:vAlign w:val="center"/>
          </w:tcPr>
          <w:p w14:paraId="0F56077A" w14:textId="77777777" w:rsidR="0067033B" w:rsidRPr="009A1B05" w:rsidRDefault="0067033B" w:rsidP="002B1FDF">
            <w:pPr>
              <w:spacing w:before="120" w:after="120" w:line="360" w:lineRule="auto"/>
              <w:contextualSpacing/>
              <w:rPr>
                <w:rFonts w:eastAsia="MS Mincho" w:cstheme="minorHAnsi"/>
                <w:iCs/>
                <w:sz w:val="24"/>
                <w:szCs w:val="24"/>
                <w:lang w:val="pl-PL" w:eastAsia="ja-JP"/>
              </w:rPr>
            </w:pPr>
            <w:r w:rsidRPr="009A1B05">
              <w:rPr>
                <w:rFonts w:eastAsia="MS Mincho" w:cstheme="minorHAnsi"/>
                <w:iCs/>
                <w:sz w:val="24"/>
                <w:szCs w:val="24"/>
                <w:lang w:val="pl-PL" w:eastAsia="ja-JP"/>
              </w:rPr>
              <w:t>Do - 50 tys. PLN netto włącznie</w:t>
            </w:r>
          </w:p>
        </w:tc>
        <w:tc>
          <w:tcPr>
            <w:tcW w:w="3402" w:type="dxa"/>
            <w:vAlign w:val="center"/>
          </w:tcPr>
          <w:p w14:paraId="7269879E" w14:textId="77777777" w:rsidR="0067033B" w:rsidRPr="009A1B05" w:rsidRDefault="0067033B" w:rsidP="002B1FDF">
            <w:pPr>
              <w:spacing w:before="120" w:after="120" w:line="360" w:lineRule="auto"/>
              <w:ind w:left="89"/>
              <w:contextualSpacing/>
              <w:rPr>
                <w:rFonts w:eastAsia="MS Mincho" w:cstheme="minorHAnsi"/>
                <w:iCs/>
                <w:sz w:val="24"/>
                <w:szCs w:val="24"/>
                <w:lang w:val="pl-PL" w:eastAsia="ja-JP"/>
              </w:rPr>
            </w:pPr>
            <w:r w:rsidRPr="009A1B05">
              <w:rPr>
                <w:rFonts w:eastAsia="MS Mincho" w:cstheme="minorHAnsi"/>
                <w:iCs/>
                <w:sz w:val="24"/>
                <w:szCs w:val="24"/>
                <w:lang w:val="pl-PL" w:eastAsia="ja-JP"/>
              </w:rPr>
              <w:t>Własne wewnętrzne uregulowania określające zasady dokonywania zakupu towarów, usług oraz robót budowlanych.</w:t>
            </w:r>
          </w:p>
        </w:tc>
        <w:tc>
          <w:tcPr>
            <w:tcW w:w="3543" w:type="dxa"/>
            <w:vAlign w:val="center"/>
          </w:tcPr>
          <w:p w14:paraId="5584B05C" w14:textId="77777777" w:rsidR="0067033B" w:rsidRPr="009A1B05" w:rsidRDefault="0067033B" w:rsidP="002B1FDF">
            <w:pPr>
              <w:spacing w:before="120" w:after="120" w:line="360" w:lineRule="auto"/>
              <w:ind w:left="54"/>
              <w:contextualSpacing/>
              <w:rPr>
                <w:rFonts w:eastAsia="MS Mincho" w:cstheme="minorHAnsi"/>
                <w:iCs/>
                <w:sz w:val="24"/>
                <w:szCs w:val="24"/>
                <w:lang w:val="pl-PL" w:eastAsia="ja-JP"/>
              </w:rPr>
            </w:pPr>
            <w:r w:rsidRPr="009A1B05">
              <w:rPr>
                <w:rFonts w:eastAsia="MS Mincho" w:cstheme="minorHAnsi"/>
                <w:iCs/>
                <w:sz w:val="24"/>
                <w:szCs w:val="24"/>
                <w:lang w:val="pl-PL" w:eastAsia="ja-JP"/>
              </w:rPr>
              <w:t>Własne wewnętrzne uregulowania określające zasady dokonywania zakupu towarów, usług oraz robót budowlanych.</w:t>
            </w:r>
          </w:p>
        </w:tc>
        <w:tc>
          <w:tcPr>
            <w:tcW w:w="4253" w:type="dxa"/>
            <w:vAlign w:val="center"/>
          </w:tcPr>
          <w:p w14:paraId="5E6E8BEB" w14:textId="77777777" w:rsidR="0067033B" w:rsidRPr="009A1B05" w:rsidRDefault="0067033B" w:rsidP="002B1FDF">
            <w:pPr>
              <w:spacing w:before="120" w:after="120" w:line="360" w:lineRule="auto"/>
              <w:ind w:left="80"/>
              <w:contextualSpacing/>
              <w:rPr>
                <w:rFonts w:eastAsia="MS Mincho" w:cstheme="minorHAnsi"/>
                <w:iCs/>
                <w:sz w:val="24"/>
                <w:szCs w:val="24"/>
                <w:lang w:val="pl-PL" w:eastAsia="ja-JP"/>
              </w:rPr>
            </w:pPr>
            <w:r w:rsidRPr="009A1B05">
              <w:rPr>
                <w:rFonts w:eastAsia="MS Mincho" w:cstheme="minorHAnsi"/>
                <w:iCs/>
                <w:sz w:val="24"/>
                <w:szCs w:val="24"/>
                <w:lang w:val="pl-PL" w:eastAsia="ja-JP"/>
              </w:rPr>
              <w:t>Własne wewnętrzne uregulowania określające zasady dokonywania zakupu towarów, usług oraz robót budowlanych. Koszty w ramach Przedsięwzięcia muszą być ponoszone w sposób przejrzysty, racjonalny i efektywny.</w:t>
            </w:r>
          </w:p>
        </w:tc>
      </w:tr>
      <w:tr w:rsidR="0067033B" w:rsidRPr="009A1B05" w14:paraId="04234AA8" w14:textId="77777777" w:rsidTr="002B1FDF">
        <w:trPr>
          <w:trHeight w:val="944"/>
        </w:trPr>
        <w:tc>
          <w:tcPr>
            <w:tcW w:w="2694" w:type="dxa"/>
            <w:vAlign w:val="center"/>
          </w:tcPr>
          <w:p w14:paraId="14671A33" w14:textId="77777777" w:rsidR="0067033B" w:rsidRPr="009A1B05" w:rsidRDefault="0067033B" w:rsidP="002B1FDF">
            <w:pPr>
              <w:spacing w:before="120" w:after="120" w:line="360" w:lineRule="auto"/>
              <w:contextualSpacing/>
              <w:rPr>
                <w:rFonts w:eastAsia="MS Mincho" w:cstheme="minorHAnsi"/>
                <w:iCs/>
                <w:sz w:val="24"/>
                <w:szCs w:val="24"/>
                <w:lang w:val="pl-PL" w:eastAsia="ja-JP"/>
              </w:rPr>
            </w:pPr>
            <w:r w:rsidRPr="009A1B05">
              <w:rPr>
                <w:rFonts w:eastAsia="MS Mincho" w:cstheme="minorHAnsi"/>
                <w:iCs/>
                <w:sz w:val="24"/>
                <w:szCs w:val="24"/>
                <w:lang w:val="pl-PL" w:eastAsia="ja-JP"/>
              </w:rPr>
              <w:t>Powyżej 50 tys. PLN netto – do kwoty 130 tys. PLN netto</w:t>
            </w:r>
          </w:p>
        </w:tc>
        <w:tc>
          <w:tcPr>
            <w:tcW w:w="3402" w:type="dxa"/>
            <w:vAlign w:val="center"/>
          </w:tcPr>
          <w:p w14:paraId="5264C009" w14:textId="77777777" w:rsidR="0067033B" w:rsidRPr="009A1B05" w:rsidRDefault="0067033B" w:rsidP="002B1FDF">
            <w:pPr>
              <w:spacing w:before="120" w:after="120" w:line="360" w:lineRule="auto"/>
              <w:ind w:left="89"/>
              <w:contextualSpacing/>
              <w:jc w:val="center"/>
              <w:rPr>
                <w:rFonts w:eastAsia="MS Mincho" w:cstheme="minorHAnsi"/>
                <w:iCs/>
                <w:sz w:val="24"/>
                <w:szCs w:val="24"/>
                <w:lang w:val="pl-PL" w:eastAsia="ja-JP"/>
              </w:rPr>
            </w:pPr>
            <w:r w:rsidRPr="009A1B05">
              <w:rPr>
                <w:rFonts w:eastAsia="MS Mincho" w:cstheme="minorHAnsi"/>
                <w:iCs/>
                <w:sz w:val="24"/>
                <w:szCs w:val="24"/>
                <w:lang w:val="pl-PL" w:eastAsia="ja-JP"/>
              </w:rPr>
              <w:t>Sekcja II.</w:t>
            </w:r>
          </w:p>
        </w:tc>
        <w:tc>
          <w:tcPr>
            <w:tcW w:w="3543" w:type="dxa"/>
            <w:vAlign w:val="center"/>
          </w:tcPr>
          <w:p w14:paraId="7E280B3B" w14:textId="77777777" w:rsidR="0067033B" w:rsidRPr="009A1B05" w:rsidRDefault="0067033B" w:rsidP="002B1FDF">
            <w:pPr>
              <w:spacing w:before="120" w:after="120" w:line="360" w:lineRule="auto"/>
              <w:ind w:left="54"/>
              <w:contextualSpacing/>
              <w:jc w:val="center"/>
              <w:rPr>
                <w:rFonts w:eastAsia="MS Mincho" w:cstheme="minorHAnsi"/>
                <w:iCs/>
                <w:sz w:val="24"/>
                <w:szCs w:val="24"/>
                <w:lang w:val="pl-PL" w:eastAsia="ja-JP"/>
              </w:rPr>
            </w:pPr>
            <w:r w:rsidRPr="009A1B05">
              <w:rPr>
                <w:rFonts w:eastAsia="MS Mincho" w:cstheme="minorHAnsi"/>
                <w:iCs/>
                <w:sz w:val="24"/>
                <w:szCs w:val="24"/>
                <w:lang w:val="pl-PL" w:eastAsia="ja-JP"/>
              </w:rPr>
              <w:t>Sekcja II.</w:t>
            </w:r>
          </w:p>
        </w:tc>
        <w:tc>
          <w:tcPr>
            <w:tcW w:w="4253" w:type="dxa"/>
            <w:vAlign w:val="center"/>
          </w:tcPr>
          <w:p w14:paraId="6143E133" w14:textId="77777777" w:rsidR="0067033B" w:rsidRPr="009A1B05" w:rsidRDefault="0067033B" w:rsidP="002B1FDF">
            <w:pPr>
              <w:spacing w:before="120" w:after="120" w:line="360" w:lineRule="auto"/>
              <w:ind w:left="80"/>
              <w:contextualSpacing/>
              <w:rPr>
                <w:rFonts w:eastAsia="MS Mincho" w:cstheme="minorHAnsi"/>
                <w:iCs/>
                <w:sz w:val="24"/>
                <w:szCs w:val="24"/>
                <w:lang w:val="pl-PL" w:eastAsia="ja-JP"/>
              </w:rPr>
            </w:pPr>
            <w:r w:rsidRPr="009A1B05">
              <w:rPr>
                <w:rFonts w:eastAsia="MS Mincho" w:cstheme="minorHAnsi"/>
                <w:iCs/>
                <w:sz w:val="24"/>
                <w:szCs w:val="24"/>
                <w:lang w:val="pl-PL" w:eastAsia="ja-JP"/>
              </w:rPr>
              <w:t xml:space="preserve">Własne wewnętrzne uregulowania określające zasady dokonywania zakupu towarów, usług oraz robót budowlanych. Koszty w </w:t>
            </w:r>
            <w:r w:rsidRPr="009A1B05">
              <w:rPr>
                <w:rFonts w:eastAsia="MS Mincho" w:cstheme="minorHAnsi"/>
                <w:iCs/>
                <w:sz w:val="24"/>
                <w:szCs w:val="24"/>
                <w:lang w:val="pl-PL" w:eastAsia="ja-JP"/>
              </w:rPr>
              <w:lastRenderedPageBreak/>
              <w:t xml:space="preserve">ramach Przedsięwzięcia muszą być ponoszone w sposób przejrzysty, racjonalny i efektywny. </w:t>
            </w:r>
          </w:p>
        </w:tc>
      </w:tr>
      <w:tr w:rsidR="0067033B" w:rsidRPr="009A1B05" w14:paraId="7AF443F0" w14:textId="77777777" w:rsidTr="002B1FDF">
        <w:tc>
          <w:tcPr>
            <w:tcW w:w="2694" w:type="dxa"/>
            <w:vAlign w:val="center"/>
          </w:tcPr>
          <w:p w14:paraId="58F3BC70" w14:textId="77777777" w:rsidR="0067033B" w:rsidRPr="009A1B05" w:rsidRDefault="0067033B" w:rsidP="002B1FDF">
            <w:pPr>
              <w:spacing w:before="120" w:after="120" w:line="360" w:lineRule="auto"/>
              <w:contextualSpacing/>
              <w:rPr>
                <w:rFonts w:eastAsia="MS Mincho" w:cstheme="minorHAnsi"/>
                <w:iCs/>
                <w:sz w:val="24"/>
                <w:szCs w:val="24"/>
                <w:lang w:val="pl-PL" w:eastAsia="ja-JP"/>
              </w:rPr>
            </w:pPr>
            <w:r w:rsidRPr="009A1B05">
              <w:rPr>
                <w:rFonts w:eastAsia="MS Mincho" w:cstheme="minorHAnsi"/>
                <w:iCs/>
                <w:sz w:val="24"/>
                <w:szCs w:val="24"/>
                <w:lang w:val="pl-PL" w:eastAsia="ja-JP"/>
              </w:rPr>
              <w:lastRenderedPageBreak/>
              <w:t>Od 130 tys. PLN netto włącznie</w:t>
            </w:r>
          </w:p>
        </w:tc>
        <w:tc>
          <w:tcPr>
            <w:tcW w:w="3402" w:type="dxa"/>
            <w:vAlign w:val="center"/>
          </w:tcPr>
          <w:p w14:paraId="1990F160" w14:textId="77777777" w:rsidR="0067033B" w:rsidRPr="009A1B05" w:rsidRDefault="0067033B" w:rsidP="002B1FDF">
            <w:pPr>
              <w:spacing w:before="120" w:after="120" w:line="360" w:lineRule="auto"/>
              <w:ind w:left="89"/>
              <w:contextualSpacing/>
              <w:jc w:val="center"/>
              <w:rPr>
                <w:rFonts w:eastAsia="MS Mincho" w:cstheme="minorHAnsi"/>
                <w:iCs/>
                <w:sz w:val="24"/>
                <w:szCs w:val="24"/>
                <w:lang w:val="pl-PL" w:eastAsia="ja-JP"/>
              </w:rPr>
            </w:pPr>
            <w:r w:rsidRPr="009A1B05">
              <w:rPr>
                <w:rFonts w:eastAsia="MS Mincho" w:cstheme="minorHAnsi"/>
                <w:iCs/>
                <w:sz w:val="24"/>
                <w:szCs w:val="24"/>
                <w:lang w:val="pl-PL" w:eastAsia="ja-JP"/>
              </w:rPr>
              <w:t>PZP</w:t>
            </w:r>
          </w:p>
        </w:tc>
        <w:tc>
          <w:tcPr>
            <w:tcW w:w="3543" w:type="dxa"/>
            <w:vAlign w:val="center"/>
          </w:tcPr>
          <w:p w14:paraId="6888BDCC" w14:textId="77777777" w:rsidR="0067033B" w:rsidRPr="009A1B05" w:rsidRDefault="0067033B" w:rsidP="002B1FDF">
            <w:pPr>
              <w:spacing w:before="120" w:after="120" w:line="360" w:lineRule="auto"/>
              <w:ind w:left="54"/>
              <w:contextualSpacing/>
              <w:jc w:val="center"/>
              <w:rPr>
                <w:rFonts w:eastAsia="MS Mincho" w:cstheme="minorHAnsi"/>
                <w:iCs/>
                <w:sz w:val="24"/>
                <w:szCs w:val="24"/>
                <w:lang w:val="pl-PL" w:eastAsia="ja-JP"/>
              </w:rPr>
            </w:pPr>
            <w:r w:rsidRPr="009A1B05">
              <w:rPr>
                <w:rFonts w:eastAsia="MS Mincho" w:cstheme="minorHAnsi"/>
                <w:iCs/>
                <w:sz w:val="24"/>
                <w:szCs w:val="24"/>
                <w:lang w:val="pl-PL" w:eastAsia="ja-JP"/>
              </w:rPr>
              <w:t>Sekcja II.</w:t>
            </w:r>
          </w:p>
        </w:tc>
        <w:tc>
          <w:tcPr>
            <w:tcW w:w="4253" w:type="dxa"/>
            <w:vAlign w:val="center"/>
          </w:tcPr>
          <w:p w14:paraId="60E637B7" w14:textId="77777777" w:rsidR="0067033B" w:rsidRPr="009A1B05" w:rsidRDefault="0067033B" w:rsidP="002B1FDF">
            <w:pPr>
              <w:spacing w:before="120" w:after="120" w:line="360" w:lineRule="auto"/>
              <w:ind w:left="80"/>
              <w:contextualSpacing/>
              <w:rPr>
                <w:rFonts w:eastAsia="MS Mincho" w:cstheme="minorHAnsi"/>
                <w:iCs/>
                <w:sz w:val="24"/>
                <w:szCs w:val="24"/>
                <w:lang w:val="pl-PL" w:eastAsia="ja-JP"/>
              </w:rPr>
            </w:pPr>
            <w:r w:rsidRPr="009A1B05">
              <w:rPr>
                <w:rFonts w:eastAsia="MS Mincho" w:cstheme="minorHAnsi"/>
                <w:iCs/>
                <w:sz w:val="24"/>
                <w:szCs w:val="24"/>
                <w:lang w:val="pl-PL" w:eastAsia="ja-JP"/>
              </w:rPr>
              <w:t xml:space="preserve">Własne wewnętrzne uregulowania określające zasady dokonywania zakupu towarów, usług oraz robót budowlanych. Koszty w ramach Przedsięwzięcia muszą być ponoszone w sposób przejrzysty, racjonalny i efektywny. </w:t>
            </w:r>
          </w:p>
        </w:tc>
      </w:tr>
    </w:tbl>
    <w:p w14:paraId="07DF53F0" w14:textId="77777777" w:rsidR="0067033B" w:rsidRPr="009A1B05" w:rsidRDefault="0067033B" w:rsidP="0067033B">
      <w:pPr>
        <w:spacing w:before="120" w:after="120" w:line="360" w:lineRule="auto"/>
        <w:contextualSpacing/>
        <w:rPr>
          <w:rFonts w:eastAsia="MS Mincho" w:cstheme="minorHAnsi"/>
          <w:iCs/>
          <w:sz w:val="24"/>
          <w:szCs w:val="24"/>
          <w:lang w:val="pl-PL" w:eastAsia="ja-JP"/>
        </w:rPr>
      </w:pPr>
    </w:p>
    <w:p w14:paraId="1DA3DA82" w14:textId="77777777" w:rsidR="0067033B" w:rsidRDefault="0067033B" w:rsidP="0067033B"/>
    <w:p w14:paraId="3202692C" w14:textId="77777777" w:rsidR="0067033B" w:rsidRDefault="0067033B" w:rsidP="0067033B"/>
    <w:p w14:paraId="10A3A124" w14:textId="77777777" w:rsidR="003613B9" w:rsidRDefault="003613B9"/>
    <w:sectPr w:rsidR="003613B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5205" w14:textId="77777777" w:rsidR="00EC16E5" w:rsidRDefault="00EC16E5" w:rsidP="0067033B">
      <w:pPr>
        <w:spacing w:after="0" w:line="240" w:lineRule="auto"/>
      </w:pPr>
      <w:r>
        <w:separator/>
      </w:r>
    </w:p>
  </w:endnote>
  <w:endnote w:type="continuationSeparator" w:id="0">
    <w:p w14:paraId="270C1F42" w14:textId="77777777" w:rsidR="00EC16E5" w:rsidRDefault="00EC16E5" w:rsidP="0067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824502"/>
      <w:docPartObj>
        <w:docPartGallery w:val="Page Numbers (Bottom of Page)"/>
        <w:docPartUnique/>
      </w:docPartObj>
    </w:sdtPr>
    <w:sdtEndPr/>
    <w:sdtContent>
      <w:p w14:paraId="31C4F273" w14:textId="77777777" w:rsidR="000D4C28" w:rsidRPr="00634D03" w:rsidRDefault="00A36F8B">
        <w:pPr>
          <w:pStyle w:val="Stopka"/>
          <w:jc w:val="right"/>
        </w:pPr>
        <w:r w:rsidRPr="00634D03">
          <w:fldChar w:fldCharType="begin"/>
        </w:r>
        <w:r w:rsidRPr="00634D03">
          <w:instrText>PAGE   \* MERGEFORMAT</w:instrText>
        </w:r>
        <w:r w:rsidRPr="00634D03">
          <w:fldChar w:fldCharType="separate"/>
        </w:r>
        <w:r w:rsidRPr="00634D03">
          <w:rPr>
            <w:noProof/>
            <w:lang w:val="pl-PL"/>
          </w:rPr>
          <w:t>13</w:t>
        </w:r>
        <w:r w:rsidRPr="00634D03">
          <w:fldChar w:fldCharType="end"/>
        </w:r>
      </w:p>
    </w:sdtContent>
  </w:sdt>
  <w:p w14:paraId="6B95FFC4" w14:textId="77777777" w:rsidR="000D4C28" w:rsidRDefault="004318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60E9" w14:textId="77777777" w:rsidR="00EC16E5" w:rsidRDefault="00EC16E5" w:rsidP="0067033B">
      <w:pPr>
        <w:spacing w:after="0" w:line="240" w:lineRule="auto"/>
      </w:pPr>
      <w:r>
        <w:separator/>
      </w:r>
    </w:p>
  </w:footnote>
  <w:footnote w:type="continuationSeparator" w:id="0">
    <w:p w14:paraId="6FCFA395" w14:textId="77777777" w:rsidR="00EC16E5" w:rsidRDefault="00EC16E5" w:rsidP="0067033B">
      <w:pPr>
        <w:spacing w:after="0" w:line="240" w:lineRule="auto"/>
      </w:pPr>
      <w:r>
        <w:continuationSeparator/>
      </w:r>
    </w:p>
  </w:footnote>
  <w:footnote w:id="1">
    <w:p w14:paraId="32781BD9" w14:textId="77777777" w:rsidR="0067033B" w:rsidRPr="00812017" w:rsidRDefault="0067033B" w:rsidP="0067033B">
      <w:pPr>
        <w:pStyle w:val="Tekstprzypisudolnego"/>
        <w:jc w:val="both"/>
        <w:rPr>
          <w:rFonts w:cstheme="minorHAnsi"/>
          <w:lang w:val="pl-PL"/>
        </w:rPr>
      </w:pPr>
      <w:r w:rsidRPr="00812017">
        <w:rPr>
          <w:rStyle w:val="Odwoanieprzypisudolnego"/>
          <w:rFonts w:cstheme="minorHAnsi"/>
        </w:rPr>
        <w:footnoteRef/>
      </w:r>
      <w:r w:rsidRPr="00812017">
        <w:rPr>
          <w:rFonts w:cstheme="minorHAnsi"/>
          <w:lang w:val="pl-PL"/>
        </w:rPr>
        <w:t xml:space="preserve"> Określone w </w:t>
      </w:r>
      <w:r w:rsidRPr="005E1EA6">
        <w:rPr>
          <w:rFonts w:cstheme="minorHAnsi"/>
          <w:lang w:val="pl-PL"/>
        </w:rPr>
        <w:t>sekcji I. pkt</w:t>
      </w:r>
      <w:r>
        <w:rPr>
          <w:rFonts w:cstheme="minorHAnsi"/>
          <w:lang w:val="pl-PL"/>
        </w:rPr>
        <w:t>.</w:t>
      </w:r>
      <w:r w:rsidRPr="005E1EA6">
        <w:rPr>
          <w:rFonts w:cstheme="minorHAnsi"/>
          <w:lang w:val="pl-PL"/>
        </w:rPr>
        <w:t xml:space="preserve"> 8</w:t>
      </w:r>
      <w:r>
        <w:rPr>
          <w:rFonts w:cstheme="minorHAnsi"/>
          <w:lang w:val="pl-PL"/>
        </w:rPr>
        <w:t>.</w:t>
      </w:r>
      <w:r w:rsidRPr="005E1EA6">
        <w:rPr>
          <w:rFonts w:cstheme="minorHAnsi"/>
          <w:lang w:val="pl-PL"/>
        </w:rPr>
        <w:t xml:space="preserve"> i 9</w:t>
      </w:r>
      <w:r>
        <w:rPr>
          <w:rFonts w:cstheme="minorHAnsi"/>
          <w:lang w:val="pl-PL"/>
        </w:rPr>
        <w:t>.</w:t>
      </w:r>
      <w:r w:rsidRPr="00812017">
        <w:rPr>
          <w:rFonts w:cstheme="minorHAnsi"/>
          <w:lang w:val="pl-PL"/>
        </w:rPr>
        <w:t xml:space="preserve"> przesłanki umożliwiające niestosowanie procedur należy interpretować biorąc pod uwagę wykładnię odpowiednich przepisów </w:t>
      </w:r>
      <w:r>
        <w:rPr>
          <w:rFonts w:cstheme="minorHAnsi"/>
          <w:lang w:val="pl-PL"/>
        </w:rPr>
        <w:t>PZP</w:t>
      </w:r>
      <w:r w:rsidRPr="00812017">
        <w:rPr>
          <w:rFonts w:cstheme="minorHAnsi"/>
          <w:lang w:val="pl-PL"/>
        </w:rPr>
        <w:t xml:space="preserve"> umożliwiających zastosowanie trybu niekonkurencyjnego po spełnieniu określonych warunków.</w:t>
      </w:r>
    </w:p>
  </w:footnote>
  <w:footnote w:id="2">
    <w:p w14:paraId="44D12607" w14:textId="77777777" w:rsidR="0067033B" w:rsidRPr="003A36EC" w:rsidRDefault="0067033B" w:rsidP="0067033B">
      <w:pPr>
        <w:pStyle w:val="Tekstprzypisudolnego"/>
        <w:jc w:val="both"/>
        <w:rPr>
          <w:rFonts w:cstheme="minorHAnsi"/>
          <w:lang w:val="pl-PL"/>
        </w:rPr>
      </w:pPr>
      <w:r w:rsidRPr="003A36EC">
        <w:rPr>
          <w:rStyle w:val="Odwoanieprzypisudolnego"/>
          <w:rFonts w:cstheme="minorHAnsi"/>
        </w:rPr>
        <w:footnoteRef/>
      </w:r>
      <w:r w:rsidRPr="003A36EC">
        <w:rPr>
          <w:rFonts w:cstheme="minorHAnsi"/>
          <w:lang w:val="pl-PL"/>
        </w:rPr>
        <w:t xml:space="preserve"> Wskazane przesłanki należy interpretować zgodnie z wykładnią przepisów PZP dotyczących szacowania wartości zamówienia.</w:t>
      </w:r>
    </w:p>
  </w:footnote>
  <w:footnote w:id="3">
    <w:p w14:paraId="26ACBE59" w14:textId="77777777" w:rsidR="0067033B" w:rsidRPr="00A9616F" w:rsidRDefault="0067033B" w:rsidP="0067033B">
      <w:pPr>
        <w:pStyle w:val="Tekstprzypisudolnego"/>
        <w:jc w:val="both"/>
        <w:rPr>
          <w:rFonts w:ascii="Arial" w:hAnsi="Arial" w:cs="Arial"/>
          <w:sz w:val="18"/>
          <w:szCs w:val="18"/>
          <w:lang w:val="pl-PL"/>
        </w:rPr>
      </w:pPr>
      <w:r w:rsidRPr="003A36EC">
        <w:rPr>
          <w:rStyle w:val="Odwoanieprzypisudolnego"/>
          <w:rFonts w:cstheme="minorHAnsi"/>
        </w:rPr>
        <w:footnoteRef/>
      </w:r>
      <w:r w:rsidRPr="003A36EC">
        <w:rPr>
          <w:rFonts w:cstheme="minorHAnsi"/>
          <w:lang w:val="pl-PL"/>
        </w:rPr>
        <w:t xml:space="preserve"> Np. w przypadku Przedsięwzięć dotyczących organizacji misji gospodarczych i targów wartość zamówienia na usługi hotelowe czy dostawę biletów lotniczych szacuje się ze względu na specyfikę tych Przedsięwzięć co do zasady odrębnie dla każdego wydarzenia.</w:t>
      </w:r>
    </w:p>
  </w:footnote>
  <w:footnote w:id="4">
    <w:p w14:paraId="4C0F3413" w14:textId="77777777" w:rsidR="0067033B" w:rsidRPr="00415538" w:rsidRDefault="0067033B" w:rsidP="0067033B">
      <w:pPr>
        <w:pStyle w:val="Tekstprzypisudolnego"/>
        <w:jc w:val="both"/>
        <w:rPr>
          <w:rFonts w:cstheme="minorHAnsi"/>
          <w:lang w:val="pl-PL"/>
        </w:rPr>
      </w:pPr>
      <w:r w:rsidRPr="00415538">
        <w:rPr>
          <w:rStyle w:val="Odwoanieprzypisudolnego"/>
          <w:rFonts w:cstheme="minorHAnsi"/>
        </w:rPr>
        <w:footnoteRef/>
      </w:r>
      <w:r w:rsidRPr="00415538">
        <w:rPr>
          <w:rFonts w:cstheme="minorHAnsi"/>
          <w:lang w:val="pl-PL"/>
        </w:rPr>
        <w:t xml:space="preserve"> W przypadku podmiotu zobowiązanego do stosowania </w:t>
      </w:r>
      <w:r>
        <w:rPr>
          <w:rFonts w:cstheme="minorHAnsi"/>
          <w:lang w:val="pl-PL"/>
        </w:rPr>
        <w:t>PZP</w:t>
      </w:r>
      <w:r w:rsidRPr="00415538">
        <w:rPr>
          <w:rFonts w:cstheme="minorHAnsi"/>
          <w:lang w:val="pl-PL"/>
        </w:rPr>
        <w:t xml:space="preserve"> – nie dotyczy to zamówień o których mowa w art. 30 ust. 4 </w:t>
      </w:r>
      <w:r>
        <w:rPr>
          <w:rFonts w:cstheme="minorHAnsi"/>
          <w:lang w:val="pl-PL"/>
        </w:rPr>
        <w:t>PZP</w:t>
      </w:r>
      <w:r w:rsidRPr="00415538">
        <w:rPr>
          <w:rFonts w:cstheme="minorHAnsi"/>
          <w:lang w:val="pl-PL"/>
        </w:rPr>
        <w:t>.</w:t>
      </w:r>
    </w:p>
  </w:footnote>
  <w:footnote w:id="5">
    <w:p w14:paraId="7E4D8B46" w14:textId="77777777" w:rsidR="0067033B" w:rsidRPr="00523F95" w:rsidRDefault="0067033B" w:rsidP="0067033B">
      <w:pPr>
        <w:pStyle w:val="Tekstprzypisudolnego"/>
        <w:jc w:val="both"/>
        <w:rPr>
          <w:rFonts w:cstheme="minorHAnsi"/>
          <w:lang w:val="pl-PL"/>
        </w:rPr>
      </w:pPr>
      <w:r w:rsidRPr="00303221">
        <w:rPr>
          <w:rStyle w:val="Odwoanieprzypisudolnego"/>
          <w:rFonts w:cstheme="minorHAnsi"/>
        </w:rPr>
        <w:footnoteRef/>
      </w:r>
      <w:r w:rsidRPr="00303221">
        <w:rPr>
          <w:rFonts w:cstheme="minorHAnsi"/>
          <w:lang w:val="pl-PL"/>
        </w:rPr>
        <w:t xml:space="preserve"> Wspólny</w:t>
      </w:r>
      <w:r>
        <w:rPr>
          <w:rFonts w:cstheme="minorHAnsi"/>
          <w:lang w:val="pl-PL"/>
        </w:rPr>
        <w:t xml:space="preserve"> </w:t>
      </w:r>
      <w:r w:rsidRPr="00303221">
        <w:rPr>
          <w:rFonts w:cstheme="minorHAnsi"/>
          <w:lang w:val="pl-PL"/>
        </w:rPr>
        <w:t>Słownik</w:t>
      </w:r>
      <w:r>
        <w:rPr>
          <w:rFonts w:cstheme="minorHAnsi"/>
          <w:lang w:val="pl-PL"/>
        </w:rPr>
        <w:t xml:space="preserve"> </w:t>
      </w:r>
      <w:r w:rsidRPr="00303221">
        <w:rPr>
          <w:rFonts w:cstheme="minorHAnsi"/>
          <w:lang w:val="pl-PL"/>
        </w:rPr>
        <w:t>Zamówień</w:t>
      </w:r>
      <w:r>
        <w:rPr>
          <w:rFonts w:cstheme="minorHAnsi"/>
          <w:lang w:val="pl-PL"/>
        </w:rPr>
        <w:t xml:space="preserve"> </w:t>
      </w:r>
      <w:r w:rsidRPr="00303221">
        <w:rPr>
          <w:rFonts w:cstheme="minorHAnsi"/>
          <w:lang w:val="pl-PL"/>
        </w:rPr>
        <w:t>dostępny jest m. in.: pod adresem: http://kody.uzp.gov.p</w:t>
      </w:r>
      <w:r>
        <w:rPr>
          <w:rFonts w:cstheme="minorHAnsi"/>
          <w:lang w:val="pl-PL"/>
        </w:rPr>
        <w:t>l.</w:t>
      </w:r>
    </w:p>
  </w:footnote>
  <w:footnote w:id="6">
    <w:p w14:paraId="7FE4FC7B" w14:textId="77777777" w:rsidR="0067033B" w:rsidRPr="00FA6EB4" w:rsidRDefault="0067033B" w:rsidP="0067033B">
      <w:pPr>
        <w:pStyle w:val="Tekstprzypisudolnego"/>
        <w:rPr>
          <w:lang w:val="pl-PL"/>
        </w:rPr>
      </w:pPr>
      <w:r w:rsidRPr="00303221">
        <w:rPr>
          <w:rStyle w:val="Odwoanieprzypisudolnego"/>
          <w:rFonts w:cstheme="minorHAnsi"/>
        </w:rPr>
        <w:footnoteRef/>
      </w:r>
      <w:r w:rsidRPr="00303221">
        <w:rPr>
          <w:rFonts w:cstheme="minorHAnsi"/>
          <w:lang w:val="pl-PL"/>
        </w:rPr>
        <w:t xml:space="preserve"> Wykaz usług społecznych i innych szczególnych usług stanowi załącznik XIV do dyrektywy 2014/24/UE z dnia 26 lutego 2014 r. w sprawie zamówień publicznych, uchylającej dyrektywę 2004/18/WE (Dz. Urz. UE L 94 z 28.03.2014, str. 65, z późn. zm.) oraz załącznik XVII dyrektywy 2014/25/UE z dnia 26 lutego 2014 r. w sprawie udzielania zamówień przez podmioty działające w sektorach gospodarki wodnej, energetyki, transportu i usług pocztowych, uchylającej dyrektywę 2004/17/WE (Dz. Urz. UE L 94 z 28.03.2014, str. 243, z późn. zm.).</w:t>
      </w:r>
    </w:p>
  </w:footnote>
  <w:footnote w:id="7">
    <w:p w14:paraId="0EB6E4DC" w14:textId="77777777" w:rsidR="0067033B" w:rsidRPr="00D923F9" w:rsidRDefault="0067033B" w:rsidP="0067033B">
      <w:pPr>
        <w:pStyle w:val="Tekstprzypisudolnego"/>
        <w:rPr>
          <w:lang w:val="pl-PL"/>
        </w:rPr>
      </w:pPr>
      <w:r w:rsidRPr="00D923F9">
        <w:rPr>
          <w:rStyle w:val="Odwoanieprzypisudolnego"/>
        </w:rPr>
        <w:footnoteRef/>
      </w:r>
      <w:r w:rsidRPr="00D923F9">
        <w:rPr>
          <w:lang w:val="pl-PL"/>
        </w:rPr>
        <w:t xml:space="preserve"> Średni kurs PLN w stosunku do EUR stanowiący podstawę przeliczania wartości zamówień ustala się w oparciu o przepisy art. 3 </w:t>
      </w:r>
      <w:r>
        <w:rPr>
          <w:lang w:val="pl-PL"/>
        </w:rPr>
        <w:t>PZP</w:t>
      </w:r>
      <w:r w:rsidRPr="00D923F9">
        <w:rPr>
          <w:lang w:val="pl-PL"/>
        </w:rPr>
        <w:t>.</w:t>
      </w:r>
    </w:p>
  </w:footnote>
  <w:footnote w:id="8">
    <w:p w14:paraId="19768E3C" w14:textId="77777777" w:rsidR="0067033B" w:rsidRPr="007F6C2E" w:rsidRDefault="0067033B" w:rsidP="0067033B">
      <w:pPr>
        <w:pStyle w:val="Tekstprzypisudolnego"/>
        <w:rPr>
          <w:rFonts w:cstheme="minorHAnsi"/>
          <w:lang w:val="pl-PL"/>
        </w:rPr>
      </w:pPr>
      <w:r w:rsidRPr="007F6C2E">
        <w:rPr>
          <w:rStyle w:val="Odwoanieprzypisudolnego"/>
          <w:rFonts w:cstheme="minorHAnsi"/>
        </w:rPr>
        <w:footnoteRef/>
      </w:r>
      <w:r w:rsidRPr="007F6C2E">
        <w:rPr>
          <w:rFonts w:cstheme="minorHAnsi"/>
          <w:lang w:val="pl-PL"/>
        </w:rPr>
        <w:t xml:space="preserve"> Nie dotyczy podmiotów będących zamawiającymi w rozumieniu PZP.</w:t>
      </w:r>
    </w:p>
  </w:footnote>
  <w:footnote w:id="9">
    <w:p w14:paraId="743B641E" w14:textId="77777777" w:rsidR="0067033B" w:rsidRPr="00FA6EB4" w:rsidRDefault="0067033B" w:rsidP="0067033B">
      <w:pPr>
        <w:pStyle w:val="Tekstprzypisudolnego"/>
        <w:rPr>
          <w:lang w:val="pl-PL"/>
        </w:rPr>
      </w:pPr>
      <w:r w:rsidRPr="007F6C2E">
        <w:rPr>
          <w:rStyle w:val="Odwoanieprzypisudolnego"/>
          <w:rFonts w:cstheme="minorHAnsi"/>
        </w:rPr>
        <w:footnoteRef/>
      </w:r>
      <w:r w:rsidRPr="007F6C2E">
        <w:rPr>
          <w:rFonts w:cstheme="minorHAnsi"/>
          <w:lang w:val="pl-PL"/>
        </w:rPr>
        <w:t xml:space="preserve"> Strona internetowa wskazana w komunikacie ministra właściwego do spraw rozwoju regionalnego, przeznaczona do umieszczania zapytań ofertowych (https://bazakonkurencyjnosci.funduszeeuropejskie.gov.pl/</w:t>
      </w:r>
    </w:p>
  </w:footnote>
  <w:footnote w:id="10">
    <w:p w14:paraId="257CC850" w14:textId="77777777" w:rsidR="0067033B" w:rsidRPr="00415538" w:rsidRDefault="0067033B" w:rsidP="0067033B">
      <w:pPr>
        <w:pStyle w:val="Tekstprzypisudolnego"/>
        <w:jc w:val="both"/>
        <w:rPr>
          <w:rFonts w:cstheme="minorHAnsi"/>
          <w:lang w:val="pl-PL"/>
        </w:rPr>
      </w:pPr>
      <w:r w:rsidRPr="00415538">
        <w:rPr>
          <w:rStyle w:val="Odwoanieprzypisudolnego"/>
          <w:rFonts w:cstheme="minorHAnsi"/>
        </w:rPr>
        <w:footnoteRef/>
      </w:r>
      <w:r w:rsidRPr="00415538">
        <w:rPr>
          <w:rFonts w:cstheme="minorHAnsi"/>
          <w:lang w:val="pl-PL"/>
        </w:rPr>
        <w:t xml:space="preserve"> Tajemnicę przedsiębiorstwa należy rozumieć zgodnie z przepisami o zwalczaniu nieuczciwej konkurencji (ustawa z dnia 16 kwietnia 1993 r. o zwalczaniu nieuczciwej konkurencji (Dz. U. z 2020 r. poz. 1913).</w:t>
      </w:r>
    </w:p>
  </w:footnote>
  <w:footnote w:id="11">
    <w:p w14:paraId="3F1D70D1" w14:textId="77777777" w:rsidR="0067033B" w:rsidRPr="00002616" w:rsidRDefault="0067033B" w:rsidP="0067033B">
      <w:pPr>
        <w:pStyle w:val="Tekstprzypisudolnego"/>
        <w:jc w:val="both"/>
        <w:rPr>
          <w:lang w:val="pl-PL"/>
        </w:rPr>
      </w:pPr>
      <w:r w:rsidRPr="00415538">
        <w:rPr>
          <w:rStyle w:val="Odwoanieprzypisudolnego"/>
          <w:rFonts w:cstheme="minorHAnsi"/>
        </w:rPr>
        <w:footnoteRef/>
      </w:r>
      <w:r w:rsidRPr="00415538">
        <w:rPr>
          <w:rFonts w:cstheme="minorHAnsi"/>
          <w:lang w:val="pl-PL"/>
        </w:rPr>
        <w:t xml:space="preserve"> Zmianę uznaje się za istotną jeżeli zmienia ogólny charakter umowy, w stosunku do charakteru umowy w pierwotnym brzmieniu albo nie zmienia ogólnego charakteru umowy i zachodzi co najmniej jedna z następujących okoliczności: zmiana wprowadza warunki, które, gdyby były postawione w postępowaniu o udzielenie zamówienia, to w tym postępowaniu wzięliby lub mogliby wziąć udział inni wykonawcy lub przyjęto by oferty innej treści, zmiana narusza równowagę ekonomiczną umowy na korzyść wykonawcy w sposób nieprzewidziany pierwotnie w umowie</w:t>
      </w:r>
      <w:r>
        <w:rPr>
          <w:rFonts w:cstheme="minorHAnsi"/>
          <w:lang w:val="pl-PL"/>
        </w:rPr>
        <w:t xml:space="preserve"> </w:t>
      </w:r>
      <w:r w:rsidRPr="00415538">
        <w:rPr>
          <w:rFonts w:cstheme="minorHAnsi"/>
          <w:lang w:val="pl-PL"/>
        </w:rPr>
        <w:t xml:space="preserve">zmiana znacznie rozszerza lub zmniejsza zakres świadczeń i zobowiązań wynikający z umowy lub polega na zastąpieniu wykonawcy, któremu zamawiający udzielił zamówienia, nowym wykonawcą, w przypadkach innych niż wymienione w </w:t>
      </w:r>
      <w:r>
        <w:rPr>
          <w:rFonts w:cstheme="minorHAnsi"/>
          <w:lang w:val="pl-PL"/>
        </w:rPr>
        <w:t>ppkt. 4)</w:t>
      </w:r>
      <w:r w:rsidRPr="00415538">
        <w:rPr>
          <w:rFonts w:cstheme="minorHAnsi"/>
          <w:lang w:val="pl-PL"/>
        </w:rPr>
        <w:t>.</w:t>
      </w:r>
    </w:p>
  </w:footnote>
  <w:footnote w:id="12">
    <w:p w14:paraId="677DCDE7" w14:textId="77777777" w:rsidR="0067033B" w:rsidRPr="00062CF2" w:rsidRDefault="0067033B" w:rsidP="0067033B">
      <w:pPr>
        <w:pStyle w:val="Tekstprzypisudolnego"/>
        <w:rPr>
          <w:rFonts w:cstheme="minorHAnsi"/>
          <w:lang w:val="pl-PL"/>
        </w:rPr>
      </w:pPr>
      <w:r w:rsidRPr="00062CF2">
        <w:rPr>
          <w:rStyle w:val="Odwoanieprzypisudolnego"/>
          <w:rFonts w:cstheme="minorHAnsi"/>
        </w:rPr>
        <w:footnoteRef/>
      </w:r>
      <w:r w:rsidRPr="00062CF2">
        <w:rPr>
          <w:rFonts w:cstheme="minorHAnsi"/>
          <w:lang w:val="pl-PL"/>
        </w:rPr>
        <w:t xml:space="preserve"> Średni kurs PLN w stosunku do EUR stanowiący podstawę przeliczania wartości zamówień ustala się w oparciu o przepisy art. 3 </w:t>
      </w:r>
      <w:r>
        <w:rPr>
          <w:rFonts w:cstheme="minorHAnsi"/>
          <w:lang w:val="pl-PL"/>
        </w:rPr>
        <w:t>PZP</w:t>
      </w:r>
      <w:r w:rsidRPr="00062CF2">
        <w:rPr>
          <w:rFonts w:cstheme="minorHAnsi"/>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F7CC" w14:textId="77777777" w:rsidR="00E94688" w:rsidRDefault="00A36F8B" w:rsidP="00E94688">
    <w:pPr>
      <w:pStyle w:val="Nagwek"/>
      <w:jc w:val="center"/>
    </w:pPr>
    <w:r>
      <w:rPr>
        <w:noProof/>
      </w:rPr>
      <w:drawing>
        <wp:inline distT="0" distB="0" distL="0" distR="0" wp14:anchorId="35C0B9B6" wp14:editId="3DA14A2B">
          <wp:extent cx="5758180" cy="344170"/>
          <wp:effectExtent l="0" t="0" r="0" b="0"/>
          <wp:docPr id="20510117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344170"/>
                  </a:xfrm>
                  <a:prstGeom prst="rect">
                    <a:avLst/>
                  </a:prstGeom>
                  <a:noFill/>
                  <a:ln>
                    <a:noFill/>
                  </a:ln>
                </pic:spPr>
              </pic:pic>
            </a:graphicData>
          </a:graphic>
        </wp:inline>
      </w:drawing>
    </w:r>
  </w:p>
  <w:p w14:paraId="1D3F47FF" w14:textId="77777777" w:rsidR="00C61F2C" w:rsidRPr="00E94688" w:rsidRDefault="0043188B" w:rsidP="00E9468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E95"/>
    <w:multiLevelType w:val="hybridMultilevel"/>
    <w:tmpl w:val="31142E7A"/>
    <w:lvl w:ilvl="0" w:tplc="04150011">
      <w:start w:val="1"/>
      <w:numFmt w:val="decimal"/>
      <w:lvlText w:val="%1)"/>
      <w:lvlJc w:val="left"/>
      <w:pPr>
        <w:ind w:left="1440" w:hanging="360"/>
      </w:pPr>
    </w:lvl>
    <w:lvl w:ilvl="1" w:tplc="FFFFFFFF">
      <w:start w:val="1"/>
      <w:numFmt w:val="lowerRoman"/>
      <w:lvlText w:val="%2."/>
      <w:lvlJc w:val="left"/>
      <w:pPr>
        <w:ind w:left="2520" w:hanging="72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74B67E4"/>
    <w:multiLevelType w:val="hybridMultilevel"/>
    <w:tmpl w:val="20A264E8"/>
    <w:lvl w:ilvl="0" w:tplc="FFFFFFFF">
      <w:start w:val="1"/>
      <w:numFmt w:val="lowerLetter"/>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2B3860"/>
    <w:multiLevelType w:val="hybridMultilevel"/>
    <w:tmpl w:val="5E4CF9DC"/>
    <w:lvl w:ilvl="0" w:tplc="04150017">
      <w:start w:val="1"/>
      <w:numFmt w:val="lowerLetter"/>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1A229B"/>
    <w:multiLevelType w:val="hybridMultilevel"/>
    <w:tmpl w:val="DBA4A104"/>
    <w:lvl w:ilvl="0" w:tplc="FFFFFFFF">
      <w:start w:val="1"/>
      <w:numFmt w:val="lowerRoman"/>
      <w:lvlText w:val="%1)"/>
      <w:lvlJc w:val="righ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55462C"/>
    <w:multiLevelType w:val="hybridMultilevel"/>
    <w:tmpl w:val="05DAC19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043465"/>
    <w:multiLevelType w:val="hybridMultilevel"/>
    <w:tmpl w:val="73B8C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366AE0"/>
    <w:multiLevelType w:val="hybridMultilevel"/>
    <w:tmpl w:val="389280DA"/>
    <w:lvl w:ilvl="0" w:tplc="04150017">
      <w:start w:val="1"/>
      <w:numFmt w:val="lowerLetter"/>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2149"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8643C4"/>
    <w:multiLevelType w:val="hybridMultilevel"/>
    <w:tmpl w:val="724E72D0"/>
    <w:lvl w:ilvl="0" w:tplc="FFFFFFFF">
      <w:start w:val="1"/>
      <w:numFmt w:val="lowerRoman"/>
      <w:lvlText w:val="%1)"/>
      <w:lvlJc w:val="right"/>
      <w:pPr>
        <w:ind w:left="1429" w:hanging="360"/>
      </w:pPr>
      <w:rPr>
        <w:rFonts w:hint="default"/>
      </w:rPr>
    </w:lvl>
    <w:lvl w:ilvl="1" w:tplc="04150017">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4C4C3209"/>
    <w:multiLevelType w:val="hybridMultilevel"/>
    <w:tmpl w:val="84C4E764"/>
    <w:lvl w:ilvl="0" w:tplc="04150011">
      <w:start w:val="1"/>
      <w:numFmt w:val="decimal"/>
      <w:lvlText w:val="%1)"/>
      <w:lvlJc w:val="left"/>
      <w:pPr>
        <w:ind w:left="720" w:hanging="360"/>
      </w:pPr>
    </w:lvl>
    <w:lvl w:ilvl="1" w:tplc="06380982">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F5192E"/>
    <w:multiLevelType w:val="hybridMultilevel"/>
    <w:tmpl w:val="5AE0962C"/>
    <w:lvl w:ilvl="0" w:tplc="FFFFFFFF">
      <w:start w:val="1"/>
      <w:numFmt w:val="lowerRoman"/>
      <w:lvlText w:val="%1)"/>
      <w:lvlJc w:val="righ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5B52C1"/>
    <w:multiLevelType w:val="hybridMultilevel"/>
    <w:tmpl w:val="CA96622E"/>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D8A6E24"/>
    <w:multiLevelType w:val="hybridMultilevel"/>
    <w:tmpl w:val="9702B226"/>
    <w:lvl w:ilvl="0" w:tplc="04150013">
      <w:start w:val="1"/>
      <w:numFmt w:val="upperRoman"/>
      <w:lvlText w:val="%1."/>
      <w:lvlJc w:val="righ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4EBA0695"/>
    <w:multiLevelType w:val="hybridMultilevel"/>
    <w:tmpl w:val="C93C9948"/>
    <w:lvl w:ilvl="0" w:tplc="FFFFFFFF">
      <w:start w:val="1"/>
      <w:numFmt w:val="lowerLetter"/>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4373EA"/>
    <w:multiLevelType w:val="hybridMultilevel"/>
    <w:tmpl w:val="9E20A6F2"/>
    <w:lvl w:ilvl="0" w:tplc="FE36E18C">
      <w:start w:val="1"/>
      <w:numFmt w:val="decimal"/>
      <w:lvlText w:val="%1."/>
      <w:lvlJc w:val="left"/>
      <w:pPr>
        <w:ind w:left="426" w:hanging="360"/>
      </w:pPr>
      <w:rPr>
        <w:b w:val="0"/>
        <w:bCs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4" w15:restartNumberingAfterBreak="0">
    <w:nsid w:val="57522912"/>
    <w:multiLevelType w:val="hybridMultilevel"/>
    <w:tmpl w:val="AFDAD4B8"/>
    <w:lvl w:ilvl="0" w:tplc="04150017">
      <w:start w:val="1"/>
      <w:numFmt w:val="lowerLetter"/>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C73FFC"/>
    <w:multiLevelType w:val="hybridMultilevel"/>
    <w:tmpl w:val="C536558C"/>
    <w:lvl w:ilvl="0" w:tplc="0415000F">
      <w:start w:val="1"/>
      <w:numFmt w:val="decimal"/>
      <w:lvlText w:val="%1."/>
      <w:lvlJc w:val="left"/>
      <w:pPr>
        <w:ind w:left="502"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123AA5"/>
    <w:multiLevelType w:val="hybridMultilevel"/>
    <w:tmpl w:val="313E6BD8"/>
    <w:lvl w:ilvl="0" w:tplc="FFFFFFFF">
      <w:start w:val="1"/>
      <w:numFmt w:val="decimal"/>
      <w:lvlText w:val="%1."/>
      <w:lvlJc w:val="left"/>
      <w:pPr>
        <w:ind w:left="720" w:hanging="360"/>
      </w:pPr>
      <w:rPr>
        <w:b w:val="0"/>
        <w:bCs w:val="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AE6A32"/>
    <w:multiLevelType w:val="hybridMultilevel"/>
    <w:tmpl w:val="7DBC37EC"/>
    <w:lvl w:ilvl="0" w:tplc="FAA2D486">
      <w:start w:val="1"/>
      <w:numFmt w:val="decimal"/>
      <w:lvlText w:val="%1."/>
      <w:lvlJc w:val="left"/>
      <w:pPr>
        <w:ind w:left="720" w:hanging="360"/>
      </w:pPr>
      <w:rPr>
        <w:b w:val="0"/>
        <w:bCs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B52E11"/>
    <w:multiLevelType w:val="hybridMultilevel"/>
    <w:tmpl w:val="194A8112"/>
    <w:lvl w:ilvl="0" w:tplc="FFFFFFFF">
      <w:start w:val="1"/>
      <w:numFmt w:val="lowerRoman"/>
      <w:lvlText w:val="%1)"/>
      <w:lvlJc w:val="righ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79643C7"/>
    <w:multiLevelType w:val="hybridMultilevel"/>
    <w:tmpl w:val="8034E0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197441"/>
    <w:multiLevelType w:val="hybridMultilevel"/>
    <w:tmpl w:val="23DC14C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4F0069"/>
    <w:multiLevelType w:val="hybridMultilevel"/>
    <w:tmpl w:val="8E48FF32"/>
    <w:lvl w:ilvl="0" w:tplc="FFFFFFFF">
      <w:start w:val="1"/>
      <w:numFmt w:val="lowerRoman"/>
      <w:lvlText w:val="%1)"/>
      <w:lvlJc w:val="right"/>
      <w:pPr>
        <w:ind w:left="720" w:hanging="360"/>
      </w:pPr>
      <w:rPr>
        <w:rFonts w:hint="default"/>
      </w:rPr>
    </w:lvl>
    <w:lvl w:ilvl="1" w:tplc="04150017">
      <w:start w:val="1"/>
      <w:numFmt w:val="lowerLetter"/>
      <w:lvlText w:val="%2)"/>
      <w:lvlJc w:val="left"/>
      <w:pPr>
        <w:ind w:left="720" w:hanging="360"/>
      </w:pPr>
    </w:lvl>
    <w:lvl w:ilvl="2" w:tplc="FFFFFFFF">
      <w:start w:val="4"/>
      <w:numFmt w:val="decimal"/>
      <w:lvlText w:val="%3."/>
      <w:lvlJc w:val="left"/>
      <w:pPr>
        <w:ind w:left="36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3181031">
    <w:abstractNumId w:val="15"/>
  </w:num>
  <w:num w:numId="2" w16cid:durableId="1001664738">
    <w:abstractNumId w:val="8"/>
  </w:num>
  <w:num w:numId="3" w16cid:durableId="241523402">
    <w:abstractNumId w:val="20"/>
  </w:num>
  <w:num w:numId="4" w16cid:durableId="973020962">
    <w:abstractNumId w:val="19"/>
  </w:num>
  <w:num w:numId="5" w16cid:durableId="326440237">
    <w:abstractNumId w:val="6"/>
  </w:num>
  <w:num w:numId="6" w16cid:durableId="586114268">
    <w:abstractNumId w:val="2"/>
  </w:num>
  <w:num w:numId="7" w16cid:durableId="346177863">
    <w:abstractNumId w:val="14"/>
  </w:num>
  <w:num w:numId="8" w16cid:durableId="1924991454">
    <w:abstractNumId w:val="17"/>
  </w:num>
  <w:num w:numId="9" w16cid:durableId="887692704">
    <w:abstractNumId w:val="10"/>
  </w:num>
  <w:num w:numId="10" w16cid:durableId="1243678503">
    <w:abstractNumId w:val="1"/>
  </w:num>
  <w:num w:numId="11" w16cid:durableId="52899464">
    <w:abstractNumId w:val="7"/>
  </w:num>
  <w:num w:numId="12" w16cid:durableId="1681158024">
    <w:abstractNumId w:val="4"/>
  </w:num>
  <w:num w:numId="13" w16cid:durableId="306133386">
    <w:abstractNumId w:val="0"/>
  </w:num>
  <w:num w:numId="14" w16cid:durableId="496070942">
    <w:abstractNumId w:val="18"/>
  </w:num>
  <w:num w:numId="15" w16cid:durableId="1788621016">
    <w:abstractNumId w:val="12"/>
  </w:num>
  <w:num w:numId="16" w16cid:durableId="88088736">
    <w:abstractNumId w:val="9"/>
  </w:num>
  <w:num w:numId="17" w16cid:durableId="1263951028">
    <w:abstractNumId w:val="3"/>
  </w:num>
  <w:num w:numId="18" w16cid:durableId="974724514">
    <w:abstractNumId w:val="21"/>
  </w:num>
  <w:num w:numId="19" w16cid:durableId="1999377490">
    <w:abstractNumId w:val="13"/>
  </w:num>
  <w:num w:numId="20" w16cid:durableId="1273395737">
    <w:abstractNumId w:val="16"/>
  </w:num>
  <w:num w:numId="21" w16cid:durableId="1373069741">
    <w:abstractNumId w:val="5"/>
  </w:num>
  <w:num w:numId="22" w16cid:durableId="16850170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1F"/>
    <w:rsid w:val="002F2377"/>
    <w:rsid w:val="003613B9"/>
    <w:rsid w:val="0043188B"/>
    <w:rsid w:val="0065211F"/>
    <w:rsid w:val="0067033B"/>
    <w:rsid w:val="006D4FF2"/>
    <w:rsid w:val="00962997"/>
    <w:rsid w:val="00A36F8B"/>
    <w:rsid w:val="00CB7399"/>
    <w:rsid w:val="00D14ED5"/>
    <w:rsid w:val="00EC1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D090"/>
  <w15:chartTrackingRefBased/>
  <w15:docId w15:val="{E2A2E22C-84BC-499E-AF75-9F339AE0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033B"/>
    <w:rPr>
      <w:rFonts w:eastAsiaTheme="minorHAnsi"/>
      <w:kern w:val="0"/>
      <w:lang w:val="en-GB"/>
      <w14:ligatures w14:val="none"/>
    </w:rPr>
  </w:style>
  <w:style w:type="paragraph" w:styleId="Nagwek1">
    <w:name w:val="heading 1"/>
    <w:basedOn w:val="Normalny"/>
    <w:next w:val="Normalny"/>
    <w:link w:val="Nagwek1Znak"/>
    <w:qFormat/>
    <w:rsid w:val="00CB7399"/>
    <w:pPr>
      <w:keepNext/>
      <w:keepLines/>
      <w:outlineLvl w:val="0"/>
    </w:pPr>
    <w:rPr>
      <w:rFonts w:eastAsiaTheme="majorEastAsia" w:cstheme="majorBidi"/>
      <w:b/>
      <w:bCs/>
      <w:kern w:val="2"/>
      <w:sz w:val="26"/>
      <w:szCs w:val="28"/>
      <w14:ligatures w14:val="standardContextual"/>
    </w:rPr>
  </w:style>
  <w:style w:type="paragraph" w:styleId="Nagwek2">
    <w:name w:val="heading 2"/>
    <w:basedOn w:val="Normalny"/>
    <w:next w:val="Normalny"/>
    <w:link w:val="Nagwek2Znak"/>
    <w:uiPriority w:val="9"/>
    <w:unhideWhenUsed/>
    <w:qFormat/>
    <w:rsid w:val="00CB7399"/>
    <w:pPr>
      <w:keepNext/>
      <w:keepLines/>
      <w:outlineLvl w:val="1"/>
    </w:pPr>
    <w:rPr>
      <w:rFonts w:eastAsiaTheme="majorEastAsia" w:cstheme="majorBidi"/>
      <w:b/>
      <w:kern w:val="2"/>
      <w:sz w:val="26"/>
      <w:szCs w:val="26"/>
      <w14:ligatures w14:val="standardContextual"/>
    </w:rPr>
  </w:style>
  <w:style w:type="paragraph" w:styleId="Nagwek3">
    <w:name w:val="heading 3"/>
    <w:basedOn w:val="Normalny"/>
    <w:next w:val="Normalny"/>
    <w:link w:val="Nagwek3Znak"/>
    <w:unhideWhenUsed/>
    <w:qFormat/>
    <w:rsid w:val="00CB7399"/>
    <w:pPr>
      <w:keepNext/>
      <w:keepLines/>
      <w:outlineLvl w:val="2"/>
    </w:pPr>
    <w:rPr>
      <w:rFonts w:eastAsiaTheme="majorEastAsia" w:cstheme="majorBidi"/>
      <w:b/>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B7399"/>
    <w:rPr>
      <w:rFonts w:eastAsiaTheme="majorEastAsia" w:cstheme="majorBidi"/>
      <w:b/>
      <w:bCs/>
      <w:sz w:val="26"/>
      <w:szCs w:val="28"/>
    </w:rPr>
  </w:style>
  <w:style w:type="character" w:customStyle="1" w:styleId="Nagwek2Znak">
    <w:name w:val="Nagłówek 2 Znak"/>
    <w:basedOn w:val="Domylnaczcionkaakapitu"/>
    <w:link w:val="Nagwek2"/>
    <w:uiPriority w:val="9"/>
    <w:rsid w:val="00CB7399"/>
    <w:rPr>
      <w:rFonts w:eastAsiaTheme="majorEastAsia" w:cstheme="majorBidi"/>
      <w:b/>
      <w:sz w:val="26"/>
      <w:szCs w:val="26"/>
    </w:rPr>
  </w:style>
  <w:style w:type="character" w:customStyle="1" w:styleId="Nagwek3Znak">
    <w:name w:val="Nagłówek 3 Znak"/>
    <w:basedOn w:val="Domylnaczcionkaakapitu"/>
    <w:link w:val="Nagwek3"/>
    <w:rsid w:val="00CB7399"/>
    <w:rPr>
      <w:rFonts w:eastAsiaTheme="majorEastAsia" w:cstheme="majorBidi"/>
      <w:b/>
    </w:rPr>
  </w:style>
  <w:style w:type="character" w:styleId="Hipercze">
    <w:name w:val="Hyperlink"/>
    <w:basedOn w:val="Domylnaczcionkaakapitu"/>
    <w:uiPriority w:val="99"/>
    <w:unhideWhenUsed/>
    <w:rsid w:val="0067033B"/>
    <w:rPr>
      <w:color w:val="0563C1" w:themeColor="hyperlink"/>
      <w:u w:val="single"/>
    </w:rPr>
  </w:style>
  <w:style w:type="paragraph" w:styleId="Akapitzlist">
    <w:name w:val="List Paragraph"/>
    <w:basedOn w:val="Normalny"/>
    <w:uiPriority w:val="34"/>
    <w:qFormat/>
    <w:rsid w:val="0067033B"/>
    <w:pPr>
      <w:spacing w:after="200" w:line="276" w:lineRule="auto"/>
      <w:ind w:left="720"/>
      <w:contextualSpacing/>
    </w:pPr>
    <w:rPr>
      <w:lang w:val="pl-PL"/>
    </w:rPr>
  </w:style>
  <w:style w:type="character" w:styleId="Odwoaniedokomentarza">
    <w:name w:val="annotation reference"/>
    <w:basedOn w:val="Domylnaczcionkaakapitu"/>
    <w:uiPriority w:val="99"/>
    <w:unhideWhenUsed/>
    <w:rsid w:val="0067033B"/>
    <w:rPr>
      <w:sz w:val="16"/>
      <w:szCs w:val="16"/>
    </w:rPr>
  </w:style>
  <w:style w:type="paragraph" w:styleId="Tekstkomentarza">
    <w:name w:val="annotation text"/>
    <w:basedOn w:val="Normalny"/>
    <w:link w:val="TekstkomentarzaZnak"/>
    <w:uiPriority w:val="99"/>
    <w:unhideWhenUsed/>
    <w:rsid w:val="0067033B"/>
    <w:pPr>
      <w:spacing w:line="240" w:lineRule="auto"/>
    </w:pPr>
    <w:rPr>
      <w:sz w:val="20"/>
      <w:szCs w:val="20"/>
    </w:rPr>
  </w:style>
  <w:style w:type="character" w:customStyle="1" w:styleId="TekstkomentarzaZnak">
    <w:name w:val="Tekst komentarza Znak"/>
    <w:basedOn w:val="Domylnaczcionkaakapitu"/>
    <w:link w:val="Tekstkomentarza"/>
    <w:uiPriority w:val="99"/>
    <w:rsid w:val="0067033B"/>
    <w:rPr>
      <w:rFonts w:eastAsiaTheme="minorHAnsi"/>
      <w:kern w:val="0"/>
      <w:sz w:val="20"/>
      <w:szCs w:val="20"/>
      <w:lang w:val="en-GB"/>
      <w14:ligatures w14:val="none"/>
    </w:rPr>
  </w:style>
  <w:style w:type="table" w:styleId="Tabela-Siatka">
    <w:name w:val="Table Grid"/>
    <w:basedOn w:val="Standardowy"/>
    <w:uiPriority w:val="39"/>
    <w:rsid w:val="0067033B"/>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67033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7033B"/>
    <w:rPr>
      <w:rFonts w:eastAsiaTheme="minorHAnsi"/>
      <w:kern w:val="0"/>
      <w:sz w:val="20"/>
      <w:szCs w:val="20"/>
      <w:lang w:val="en-GB"/>
      <w14:ligatures w14:val="none"/>
    </w:rPr>
  </w:style>
  <w:style w:type="character" w:styleId="Odwoanieprzypisudolnego">
    <w:name w:val="footnote reference"/>
    <w:basedOn w:val="Domylnaczcionkaakapitu"/>
    <w:uiPriority w:val="99"/>
    <w:semiHidden/>
    <w:unhideWhenUsed/>
    <w:rsid w:val="0067033B"/>
    <w:rPr>
      <w:vertAlign w:val="superscript"/>
    </w:rPr>
  </w:style>
  <w:style w:type="paragraph" w:styleId="Nagwekspisutreci">
    <w:name w:val="TOC Heading"/>
    <w:basedOn w:val="Nagwek1"/>
    <w:next w:val="Normalny"/>
    <w:uiPriority w:val="39"/>
    <w:unhideWhenUsed/>
    <w:qFormat/>
    <w:rsid w:val="0067033B"/>
    <w:pPr>
      <w:spacing w:before="240" w:after="0"/>
      <w:outlineLvl w:val="9"/>
    </w:pPr>
    <w:rPr>
      <w:rFonts w:asciiTheme="majorHAnsi" w:hAnsiTheme="majorHAnsi"/>
      <w:b w:val="0"/>
      <w:bCs w:val="0"/>
      <w:color w:val="2F5496" w:themeColor="accent1" w:themeShade="BF"/>
      <w:kern w:val="0"/>
      <w:sz w:val="32"/>
      <w:szCs w:val="32"/>
      <w:lang w:eastAsia="pl-PL"/>
      <w14:ligatures w14:val="none"/>
    </w:rPr>
  </w:style>
  <w:style w:type="paragraph" w:styleId="Spistreci2">
    <w:name w:val="toc 2"/>
    <w:basedOn w:val="Normalny"/>
    <w:next w:val="Normalny"/>
    <w:autoRedefine/>
    <w:uiPriority w:val="39"/>
    <w:unhideWhenUsed/>
    <w:rsid w:val="0067033B"/>
    <w:pPr>
      <w:tabs>
        <w:tab w:val="left" w:pos="660"/>
        <w:tab w:val="right" w:leader="dot" w:pos="9062"/>
      </w:tabs>
      <w:spacing w:after="0" w:line="360" w:lineRule="auto"/>
      <w:ind w:left="220"/>
    </w:pPr>
  </w:style>
  <w:style w:type="paragraph" w:styleId="Nagwek">
    <w:name w:val="header"/>
    <w:basedOn w:val="Normalny"/>
    <w:link w:val="NagwekZnak"/>
    <w:uiPriority w:val="99"/>
    <w:unhideWhenUsed/>
    <w:rsid w:val="006703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033B"/>
    <w:rPr>
      <w:rFonts w:eastAsiaTheme="minorHAnsi"/>
      <w:kern w:val="0"/>
      <w:lang w:val="en-GB"/>
      <w14:ligatures w14:val="none"/>
    </w:rPr>
  </w:style>
  <w:style w:type="paragraph" w:styleId="Stopka">
    <w:name w:val="footer"/>
    <w:basedOn w:val="Normalny"/>
    <w:link w:val="StopkaZnak"/>
    <w:uiPriority w:val="99"/>
    <w:unhideWhenUsed/>
    <w:rsid w:val="006703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033B"/>
    <w:rPr>
      <w:rFonts w:eastAsiaTheme="minorHAnsi"/>
      <w:kern w:val="0"/>
      <w:lang w:val="en-GB"/>
      <w14:ligatures w14:val="none"/>
    </w:rPr>
  </w:style>
  <w:style w:type="paragraph" w:styleId="Poprawka">
    <w:name w:val="Revision"/>
    <w:hidden/>
    <w:uiPriority w:val="99"/>
    <w:semiHidden/>
    <w:rsid w:val="00D14ED5"/>
    <w:pPr>
      <w:spacing w:after="0" w:line="240" w:lineRule="auto"/>
    </w:pPr>
    <w:rPr>
      <w:rFonts w:eastAsiaTheme="minorHAnsi"/>
      <w:kern w:val="0"/>
      <w:lang w:val="en-GB"/>
      <w14:ligatures w14:val="none"/>
    </w:rPr>
  </w:style>
  <w:style w:type="paragraph" w:styleId="Tematkomentarza">
    <w:name w:val="annotation subject"/>
    <w:basedOn w:val="Tekstkomentarza"/>
    <w:next w:val="Tekstkomentarza"/>
    <w:link w:val="TematkomentarzaZnak"/>
    <w:uiPriority w:val="99"/>
    <w:semiHidden/>
    <w:unhideWhenUsed/>
    <w:rsid w:val="00A36F8B"/>
    <w:rPr>
      <w:b/>
      <w:bCs/>
    </w:rPr>
  </w:style>
  <w:style w:type="character" w:customStyle="1" w:styleId="TematkomentarzaZnak">
    <w:name w:val="Temat komentarza Znak"/>
    <w:basedOn w:val="TekstkomentarzaZnak"/>
    <w:link w:val="Tematkomentarza"/>
    <w:uiPriority w:val="99"/>
    <w:semiHidden/>
    <w:rsid w:val="00A36F8B"/>
    <w:rPr>
      <w:rFonts w:eastAsiaTheme="minorHAnsi"/>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zakonkurencyjnosci.funduszeeuropejskie.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22</Pages>
  <Words>5365</Words>
  <Characters>32191</Characters>
  <Application>Microsoft Office Word</Application>
  <DocSecurity>0</DocSecurity>
  <Lines>268</Lines>
  <Paragraphs>74</Paragraphs>
  <ScaleCrop>false</ScaleCrop>
  <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Just</dc:creator>
  <cp:keywords/>
  <dc:description/>
  <cp:lastModifiedBy>Maciej Just</cp:lastModifiedBy>
  <cp:revision>8</cp:revision>
  <dcterms:created xsi:type="dcterms:W3CDTF">2024-09-04T09:40:00Z</dcterms:created>
  <dcterms:modified xsi:type="dcterms:W3CDTF">2024-09-27T08:08:00Z</dcterms:modified>
</cp:coreProperties>
</file>