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0"/>
        <w:gridCol w:w="708"/>
        <w:gridCol w:w="372"/>
        <w:gridCol w:w="329"/>
        <w:gridCol w:w="705"/>
        <w:gridCol w:w="701"/>
        <w:gridCol w:w="139"/>
        <w:gridCol w:w="138"/>
        <w:gridCol w:w="426"/>
        <w:gridCol w:w="283"/>
        <w:gridCol w:w="422"/>
        <w:gridCol w:w="422"/>
        <w:gridCol w:w="281"/>
        <w:gridCol w:w="414"/>
        <w:gridCol w:w="91"/>
        <w:gridCol w:w="54"/>
        <w:gridCol w:w="139"/>
        <w:gridCol w:w="703"/>
        <w:gridCol w:w="701"/>
        <w:gridCol w:w="142"/>
        <w:gridCol w:w="559"/>
        <w:gridCol w:w="887"/>
        <w:gridCol w:w="40"/>
      </w:tblGrid>
      <w:tr w:rsidR="00B302CE" w:rsidRPr="00B302CE" w14:paraId="6D0DC00C" w14:textId="77777777" w:rsidTr="00F70260">
        <w:trPr>
          <w:gridAfter w:val="1"/>
          <w:wAfter w:w="40" w:type="dxa"/>
          <w:trHeight w:val="1611"/>
          <w:jc w:val="center"/>
        </w:trPr>
        <w:tc>
          <w:tcPr>
            <w:tcW w:w="7691" w:type="dxa"/>
            <w:gridSpan w:val="15"/>
          </w:tcPr>
          <w:p w14:paraId="62F7A53F" w14:textId="6F902E39" w:rsidR="00F5245B" w:rsidRPr="00B302CE" w:rsidRDefault="00F5245B" w:rsidP="00F70260">
            <w:pPr>
              <w:spacing w:before="120"/>
              <w:ind w:hanging="45"/>
              <w:jc w:val="both"/>
              <w:rPr>
                <w:rFonts w:ascii="Times New Roman" w:hAnsi="Times New Roman"/>
              </w:rPr>
            </w:pPr>
            <w:bookmarkStart w:id="0" w:name="t1"/>
            <w:r w:rsidRPr="00B302CE">
              <w:rPr>
                <w:rFonts w:ascii="Times New Roman" w:hAnsi="Times New Roman"/>
                <w:b/>
              </w:rPr>
              <w:t>Nazwa projekt</w:t>
            </w:r>
            <w:r w:rsidR="00AA542C" w:rsidRPr="00B302CE">
              <w:rPr>
                <w:rFonts w:ascii="Times New Roman" w:hAnsi="Times New Roman"/>
                <w:b/>
              </w:rPr>
              <w:t>u</w:t>
            </w:r>
          </w:p>
          <w:p w14:paraId="518B422B" w14:textId="67F8EC11" w:rsidR="00F5245B" w:rsidRPr="00B302CE" w:rsidRDefault="00F5245B" w:rsidP="00F70260">
            <w:pPr>
              <w:spacing w:before="120"/>
              <w:ind w:hanging="45"/>
              <w:jc w:val="both"/>
              <w:rPr>
                <w:rFonts w:ascii="Times New Roman" w:hAnsi="Times New Roman"/>
              </w:rPr>
            </w:pPr>
            <w:r w:rsidRPr="00B302CE">
              <w:rPr>
                <w:rFonts w:ascii="Times New Roman" w:hAnsi="Times New Roman"/>
              </w:rPr>
              <w:t>Projekt ustawy o zmianie ustawy  ̶  Prawo o ustroju sądów powszechnyc</w:t>
            </w:r>
            <w:r w:rsidR="00F27D2C">
              <w:rPr>
                <w:rFonts w:ascii="Times New Roman" w:hAnsi="Times New Roman"/>
              </w:rPr>
              <w:t>h</w:t>
            </w:r>
          </w:p>
          <w:p w14:paraId="6676551E" w14:textId="77777777" w:rsidR="00F5245B" w:rsidRPr="00B302CE" w:rsidRDefault="00F5245B" w:rsidP="00F70260">
            <w:pPr>
              <w:spacing w:before="120"/>
              <w:ind w:hanging="45"/>
              <w:jc w:val="both"/>
              <w:rPr>
                <w:rFonts w:ascii="Times New Roman" w:hAnsi="Times New Roman"/>
                <w:b/>
              </w:rPr>
            </w:pPr>
            <w:r w:rsidRPr="00B302CE">
              <w:rPr>
                <w:rFonts w:ascii="Times New Roman" w:hAnsi="Times New Roman"/>
                <w:b/>
              </w:rPr>
              <w:t>Ministerstwo wiodące i ministerstwa współpracujące</w:t>
            </w:r>
          </w:p>
          <w:bookmarkEnd w:id="0"/>
          <w:p w14:paraId="64AC5682" w14:textId="0C70A45C" w:rsidR="00F5245B" w:rsidRPr="00B302CE" w:rsidRDefault="00F5245B" w:rsidP="00F70260">
            <w:pPr>
              <w:ind w:hanging="34"/>
              <w:jc w:val="both"/>
              <w:rPr>
                <w:rFonts w:ascii="Times New Roman" w:hAnsi="Times New Roman"/>
              </w:rPr>
            </w:pPr>
            <w:r w:rsidRPr="00B302CE">
              <w:rPr>
                <w:rFonts w:ascii="Times New Roman" w:hAnsi="Times New Roman"/>
              </w:rPr>
              <w:t>Ministerstwo Sprawiedliwości – ministerstwo wiodąc</w:t>
            </w:r>
            <w:r w:rsidR="0043591D">
              <w:rPr>
                <w:rFonts w:ascii="Times New Roman" w:hAnsi="Times New Roman"/>
              </w:rPr>
              <w:t>e</w:t>
            </w:r>
          </w:p>
          <w:p w14:paraId="427FA7AC" w14:textId="77777777" w:rsidR="00F5245B" w:rsidRPr="00B302CE" w:rsidRDefault="00F5245B" w:rsidP="00F70260">
            <w:pPr>
              <w:ind w:hanging="34"/>
              <w:jc w:val="both"/>
              <w:rPr>
                <w:rFonts w:ascii="Times New Roman" w:hAnsi="Times New Roman"/>
              </w:rPr>
            </w:pPr>
          </w:p>
          <w:p w14:paraId="36504149" w14:textId="0600C7A7" w:rsidR="00F5245B" w:rsidRPr="00B302CE" w:rsidRDefault="00F5245B" w:rsidP="00F70260">
            <w:pPr>
              <w:jc w:val="both"/>
              <w:rPr>
                <w:rFonts w:ascii="Times New Roman" w:hAnsi="Times New Roman"/>
                <w:b/>
              </w:rPr>
            </w:pPr>
            <w:r w:rsidRPr="00B302CE">
              <w:rPr>
                <w:rFonts w:ascii="Times New Roman" w:hAnsi="Times New Roman"/>
                <w:b/>
              </w:rPr>
              <w:t>Osoba odpowiedzialna za projekt w randze Ministra, Sekretarza Stanu lub Podsekretarza Stanu</w:t>
            </w:r>
          </w:p>
          <w:p w14:paraId="3FE55227" w14:textId="317A5773" w:rsidR="00F5245B" w:rsidRPr="00B302CE" w:rsidRDefault="00F5245B" w:rsidP="00F70260">
            <w:pPr>
              <w:jc w:val="both"/>
              <w:rPr>
                <w:rFonts w:ascii="Times New Roman" w:hAnsi="Times New Roman"/>
                <w:b/>
              </w:rPr>
            </w:pPr>
            <w:r w:rsidRPr="00B302CE">
              <w:rPr>
                <w:rFonts w:ascii="Times New Roman" w:hAnsi="Times New Roman"/>
              </w:rPr>
              <w:t>Michał Woś, Sekretarz Stanu w Ministerstwie Sprawiedliwośc</w:t>
            </w:r>
            <w:r w:rsidR="00CE55F0" w:rsidRPr="00B302CE">
              <w:rPr>
                <w:rFonts w:ascii="Times New Roman" w:hAnsi="Times New Roman"/>
              </w:rPr>
              <w:t>i</w:t>
            </w:r>
          </w:p>
          <w:p w14:paraId="5B8D8AB1" w14:textId="77777777" w:rsidR="00F5245B" w:rsidRPr="00B302CE" w:rsidRDefault="00F5245B" w:rsidP="00F70260">
            <w:pPr>
              <w:jc w:val="both"/>
              <w:rPr>
                <w:rFonts w:ascii="Times New Roman" w:hAnsi="Times New Roman"/>
                <w:b/>
              </w:rPr>
            </w:pPr>
          </w:p>
          <w:p w14:paraId="600E910D" w14:textId="77777777" w:rsidR="00F5245B" w:rsidRPr="00B302CE" w:rsidRDefault="00F5245B" w:rsidP="00F70260">
            <w:pPr>
              <w:jc w:val="both"/>
              <w:rPr>
                <w:rFonts w:ascii="Times New Roman" w:hAnsi="Times New Roman"/>
                <w:b/>
              </w:rPr>
            </w:pPr>
            <w:r w:rsidRPr="00B302CE">
              <w:rPr>
                <w:rFonts w:ascii="Times New Roman" w:hAnsi="Times New Roman"/>
                <w:b/>
              </w:rPr>
              <w:t>Kontakt do opiekuna merytorycznego projektu</w:t>
            </w:r>
          </w:p>
          <w:p w14:paraId="29DF7704" w14:textId="77777777" w:rsidR="00F5245B" w:rsidRPr="00B302CE" w:rsidRDefault="00F5245B" w:rsidP="00F70260">
            <w:pPr>
              <w:ind w:left="28"/>
              <w:jc w:val="both"/>
              <w:rPr>
                <w:rStyle w:val="Hipercze"/>
                <w:rFonts w:ascii="Times New Roman" w:hAnsi="Times New Roman"/>
                <w:color w:val="auto"/>
                <w:u w:val="none"/>
              </w:rPr>
            </w:pPr>
            <w:r w:rsidRPr="00B302CE">
              <w:rPr>
                <w:rFonts w:ascii="Times New Roman" w:hAnsi="Times New Roman"/>
              </w:rPr>
              <w:t xml:space="preserve">Honorata Łopianowska, Dyrektor Departamentu Legislacyjnego Ustroju Sądów, nr tel. (22) 52-12-764, e- mail: </w:t>
            </w:r>
            <w:hyperlink r:id="rId7" w:history="1">
              <w:r w:rsidRPr="00B302CE">
                <w:rPr>
                  <w:rStyle w:val="Hipercze"/>
                  <w:rFonts w:ascii="Times New Roman" w:hAnsi="Times New Roman"/>
                  <w:color w:val="auto"/>
                  <w:u w:val="none"/>
                </w:rPr>
                <w:t>honorata.lopianowska@ms.gov.pl</w:t>
              </w:r>
            </w:hyperlink>
          </w:p>
          <w:p w14:paraId="7CE59F61" w14:textId="77777777" w:rsidR="00F5245B" w:rsidRPr="00B302CE" w:rsidRDefault="00F5245B" w:rsidP="00F70260">
            <w:pPr>
              <w:ind w:hanging="45"/>
              <w:jc w:val="both"/>
              <w:rPr>
                <w:rFonts w:ascii="Times New Roman" w:hAnsi="Times New Roman"/>
              </w:rPr>
            </w:pPr>
          </w:p>
          <w:p w14:paraId="10203EA8" w14:textId="77777777" w:rsidR="00F5245B" w:rsidRPr="00B302CE" w:rsidRDefault="00F5245B" w:rsidP="00F70260">
            <w:pPr>
              <w:suppressAutoHyphens/>
              <w:jc w:val="both"/>
              <w:rPr>
                <w:rFonts w:ascii="Times New Roman" w:hAnsi="Times New Roman"/>
              </w:rPr>
            </w:pPr>
            <w:r w:rsidRPr="00B302CE">
              <w:rPr>
                <w:rFonts w:ascii="Times New Roman" w:hAnsi="Times New Roman"/>
              </w:rPr>
              <w:t xml:space="preserve">Łukasz Żak, Zastępca Dyrektora Departamentu Legislacyjnego Ustroju Sądów, </w:t>
            </w:r>
            <w:r w:rsidRPr="00B302CE">
              <w:rPr>
                <w:rFonts w:ascii="Times New Roman" w:hAnsi="Times New Roman"/>
              </w:rPr>
              <w:br/>
              <w:t>nr tel. (22) 52-12-764, e-mail: lukasz.zak@ms.gov.pl</w:t>
            </w:r>
          </w:p>
          <w:p w14:paraId="40107498" w14:textId="77777777" w:rsidR="00F5245B" w:rsidRPr="00B302CE" w:rsidRDefault="00F5245B" w:rsidP="00F70260">
            <w:pPr>
              <w:spacing w:line="240" w:lineRule="auto"/>
              <w:ind w:hanging="45"/>
              <w:rPr>
                <w:rFonts w:ascii="Times New Roman" w:hAnsi="Times New Roman"/>
                <w:b/>
              </w:rPr>
            </w:pPr>
          </w:p>
        </w:tc>
        <w:tc>
          <w:tcPr>
            <w:tcW w:w="3185" w:type="dxa"/>
            <w:gridSpan w:val="7"/>
            <w:shd w:val="clear" w:color="auto" w:fill="FFFFFF"/>
          </w:tcPr>
          <w:p w14:paraId="72A1F539" w14:textId="067B0004" w:rsidR="00D96739" w:rsidRDefault="00F5245B" w:rsidP="00EB5A41">
            <w:pPr>
              <w:spacing w:line="240" w:lineRule="auto"/>
              <w:rPr>
                <w:rFonts w:ascii="Times New Roman" w:hAnsi="Times New Roman"/>
              </w:rPr>
            </w:pPr>
            <w:r w:rsidRPr="00B302CE">
              <w:rPr>
                <w:rFonts w:ascii="Times New Roman" w:hAnsi="Times New Roman"/>
                <w:b/>
                <w:sz w:val="21"/>
                <w:szCs w:val="21"/>
              </w:rPr>
              <w:t>Data sporządzenia</w:t>
            </w:r>
            <w:r w:rsidRPr="00B302CE">
              <w:rPr>
                <w:rFonts w:ascii="Times New Roman" w:hAnsi="Times New Roman"/>
                <w:b/>
                <w:sz w:val="21"/>
                <w:szCs w:val="21"/>
              </w:rPr>
              <w:br/>
            </w:r>
            <w:r w:rsidR="00F11DAA">
              <w:rPr>
                <w:rFonts w:ascii="Times New Roman" w:hAnsi="Times New Roman"/>
              </w:rPr>
              <w:t>13</w:t>
            </w:r>
            <w:r w:rsidR="0049260A">
              <w:rPr>
                <w:rFonts w:ascii="Times New Roman" w:hAnsi="Times New Roman"/>
              </w:rPr>
              <w:t>.02</w:t>
            </w:r>
            <w:r w:rsidR="00D96739">
              <w:rPr>
                <w:rFonts w:ascii="Times New Roman" w:hAnsi="Times New Roman"/>
              </w:rPr>
              <w:t>.2023 r.</w:t>
            </w:r>
          </w:p>
          <w:p w14:paraId="7D7DC7FA" w14:textId="77777777" w:rsidR="00F5245B" w:rsidRPr="00B302CE" w:rsidRDefault="00F5245B" w:rsidP="00F70260">
            <w:pPr>
              <w:spacing w:line="240" w:lineRule="auto"/>
              <w:rPr>
                <w:rFonts w:ascii="Times New Roman" w:hAnsi="Times New Roman"/>
                <w:b/>
              </w:rPr>
            </w:pPr>
          </w:p>
          <w:p w14:paraId="5D6DB19D" w14:textId="77777777" w:rsidR="00F5245B" w:rsidRPr="00B302CE" w:rsidRDefault="00F5245B" w:rsidP="00F70260">
            <w:pPr>
              <w:spacing w:line="240" w:lineRule="auto"/>
              <w:rPr>
                <w:rFonts w:ascii="Times New Roman" w:hAnsi="Times New Roman"/>
                <w:b/>
              </w:rPr>
            </w:pPr>
            <w:r w:rsidRPr="00B302CE">
              <w:rPr>
                <w:rFonts w:ascii="Times New Roman" w:hAnsi="Times New Roman"/>
                <w:b/>
              </w:rPr>
              <w:t>Źródło:</w:t>
            </w:r>
          </w:p>
          <w:p w14:paraId="5443AE2C" w14:textId="77777777" w:rsidR="00F5245B" w:rsidRPr="00B302CE" w:rsidRDefault="00F5245B" w:rsidP="00F70260">
            <w:pPr>
              <w:spacing w:line="240" w:lineRule="auto"/>
              <w:rPr>
                <w:rFonts w:ascii="Times New Roman" w:hAnsi="Times New Roman"/>
                <w:bCs/>
              </w:rPr>
            </w:pPr>
            <w:r w:rsidRPr="00B302CE">
              <w:rPr>
                <w:rFonts w:ascii="Times New Roman" w:hAnsi="Times New Roman"/>
                <w:bCs/>
              </w:rPr>
              <w:t xml:space="preserve">Inicjatywa własna </w:t>
            </w:r>
          </w:p>
          <w:p w14:paraId="437DBB88" w14:textId="77777777" w:rsidR="00F5245B" w:rsidRPr="00B302CE" w:rsidRDefault="00F5245B" w:rsidP="00F70260">
            <w:pPr>
              <w:spacing w:line="240" w:lineRule="auto"/>
              <w:rPr>
                <w:rFonts w:ascii="Times New Roman" w:hAnsi="Times New Roman"/>
              </w:rPr>
            </w:pPr>
          </w:p>
          <w:p w14:paraId="49901950" w14:textId="77777777" w:rsidR="00F5245B" w:rsidRPr="00B302CE" w:rsidRDefault="00F5245B" w:rsidP="00F70260">
            <w:pPr>
              <w:spacing w:before="120" w:line="240" w:lineRule="auto"/>
              <w:rPr>
                <w:rFonts w:ascii="Times New Roman" w:hAnsi="Times New Roman"/>
                <w:b/>
              </w:rPr>
            </w:pPr>
            <w:r w:rsidRPr="00B302CE">
              <w:rPr>
                <w:rFonts w:ascii="Times New Roman" w:hAnsi="Times New Roman"/>
                <w:b/>
              </w:rPr>
              <w:t xml:space="preserve">Nr w wykazie prac: </w:t>
            </w:r>
          </w:p>
          <w:p w14:paraId="3827E1C9" w14:textId="05CA773A" w:rsidR="00F5245B" w:rsidRPr="00B302CE" w:rsidRDefault="00F5245B" w:rsidP="00F70260">
            <w:pPr>
              <w:spacing w:line="240" w:lineRule="auto"/>
              <w:rPr>
                <w:rFonts w:ascii="Times New Roman" w:hAnsi="Times New Roman"/>
              </w:rPr>
            </w:pPr>
            <w:r w:rsidRPr="00B302CE">
              <w:rPr>
                <w:rFonts w:ascii="TimesNewRomanPSMT" w:hAnsi="TimesNewRomanPSMT" w:cs="TimesNewRomanPSMT"/>
                <w:b/>
                <w:bCs/>
                <w:lang w:eastAsia="pl-PL"/>
              </w:rPr>
              <w:t>UD38</w:t>
            </w:r>
            <w:r w:rsidR="006316C9" w:rsidRPr="00B302CE">
              <w:rPr>
                <w:rFonts w:ascii="TimesNewRomanPSMT" w:hAnsi="TimesNewRomanPSMT" w:cs="TimesNewRomanPSMT"/>
                <w:b/>
                <w:bCs/>
                <w:lang w:eastAsia="pl-PL"/>
              </w:rPr>
              <w:t>5</w:t>
            </w:r>
          </w:p>
        </w:tc>
      </w:tr>
      <w:tr w:rsidR="00B302CE" w:rsidRPr="00B302CE" w14:paraId="256803E4" w14:textId="77777777" w:rsidTr="00F70260">
        <w:trPr>
          <w:gridAfter w:val="1"/>
          <w:wAfter w:w="40" w:type="dxa"/>
          <w:trHeight w:val="142"/>
          <w:jc w:val="center"/>
        </w:trPr>
        <w:tc>
          <w:tcPr>
            <w:tcW w:w="10876" w:type="dxa"/>
            <w:gridSpan w:val="22"/>
            <w:shd w:val="clear" w:color="auto" w:fill="99CCFF"/>
          </w:tcPr>
          <w:p w14:paraId="438D7901" w14:textId="77777777" w:rsidR="00F5245B" w:rsidRPr="00B302CE" w:rsidRDefault="00F5245B" w:rsidP="00F70260">
            <w:pPr>
              <w:spacing w:line="240" w:lineRule="auto"/>
              <w:ind w:left="57"/>
              <w:jc w:val="center"/>
              <w:rPr>
                <w:rFonts w:ascii="Times New Roman" w:hAnsi="Times New Roman"/>
                <w:b/>
              </w:rPr>
            </w:pPr>
            <w:r w:rsidRPr="00B302CE">
              <w:rPr>
                <w:rFonts w:ascii="Times New Roman" w:hAnsi="Times New Roman"/>
                <w:b/>
              </w:rPr>
              <w:t>OCENA SKUTKÓW REGULACJI</w:t>
            </w:r>
          </w:p>
        </w:tc>
      </w:tr>
      <w:tr w:rsidR="00B302CE" w:rsidRPr="00B302CE" w14:paraId="58308945" w14:textId="77777777" w:rsidTr="00F70260">
        <w:trPr>
          <w:gridAfter w:val="1"/>
          <w:wAfter w:w="40" w:type="dxa"/>
          <w:trHeight w:val="333"/>
          <w:jc w:val="center"/>
        </w:trPr>
        <w:tc>
          <w:tcPr>
            <w:tcW w:w="10876" w:type="dxa"/>
            <w:gridSpan w:val="22"/>
            <w:shd w:val="clear" w:color="auto" w:fill="99CCFF"/>
            <w:vAlign w:val="center"/>
          </w:tcPr>
          <w:p w14:paraId="226A0437" w14:textId="77777777" w:rsidR="00F5245B" w:rsidRPr="00B302CE" w:rsidRDefault="00F5245B" w:rsidP="00F70260">
            <w:pPr>
              <w:numPr>
                <w:ilvl w:val="0"/>
                <w:numId w:val="1"/>
              </w:numPr>
              <w:spacing w:before="60" w:after="60" w:line="240" w:lineRule="auto"/>
              <w:ind w:left="318" w:hanging="284"/>
              <w:jc w:val="both"/>
              <w:rPr>
                <w:rFonts w:ascii="Times New Roman" w:hAnsi="Times New Roman"/>
                <w:b/>
              </w:rPr>
            </w:pPr>
            <w:r w:rsidRPr="00B302CE">
              <w:rPr>
                <w:rFonts w:ascii="Times New Roman" w:hAnsi="Times New Roman"/>
                <w:b/>
              </w:rPr>
              <w:t>Jaki problem jest rozwiązywany?</w:t>
            </w:r>
          </w:p>
        </w:tc>
      </w:tr>
      <w:tr w:rsidR="00B302CE" w:rsidRPr="00B302CE" w14:paraId="63E4805E" w14:textId="77777777" w:rsidTr="00F70260">
        <w:trPr>
          <w:gridAfter w:val="1"/>
          <w:wAfter w:w="40" w:type="dxa"/>
          <w:trHeight w:val="274"/>
          <w:jc w:val="center"/>
        </w:trPr>
        <w:tc>
          <w:tcPr>
            <w:tcW w:w="10876" w:type="dxa"/>
            <w:gridSpan w:val="22"/>
            <w:shd w:val="clear" w:color="auto" w:fill="FFFFFF"/>
          </w:tcPr>
          <w:p w14:paraId="590F0D5B" w14:textId="02D40E4A"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Zgodnie z art. 31a § 1 pkt 1 w zw. z art. 8 pkt 1 ustawy z dnia 27 lipca 2001 r. – Prawo o ustroju sądów powszechnych (</w:t>
            </w:r>
            <w:r w:rsidR="00F11DAA" w:rsidRPr="00F11DAA">
              <w:rPr>
                <w:rFonts w:ascii="Times New Roman" w:eastAsia="Times New Roman" w:hAnsi="Times New Roman"/>
                <w:bCs/>
                <w:lang w:eastAsia="pl-PL"/>
              </w:rPr>
              <w:t>Dz. U. z 2023 r. poz. 217 oraz z 2022 r. poz. 2642</w:t>
            </w:r>
            <w:r w:rsidRPr="00B302CE">
              <w:rPr>
                <w:rFonts w:ascii="Times New Roman" w:eastAsia="Times New Roman" w:hAnsi="Times New Roman"/>
                <w:bCs/>
                <w:lang w:eastAsia="pl-PL"/>
              </w:rPr>
              <w:t>, dalej „u.s.p.”) dyrektor sądu kieruje działalnością administracyjną sądu m.in. w zakresie zapewnienia odpowiednich warunków techniczno-organizacyjnych funkcjonowania sądu i</w:t>
            </w:r>
            <w:r w:rsidR="00F11DAA">
              <w:rPr>
                <w:rFonts w:ascii="Times New Roman" w:eastAsia="Times New Roman" w:hAnsi="Times New Roman"/>
                <w:bCs/>
                <w:lang w:eastAsia="pl-PL"/>
              </w:rPr>
              <w:t> </w:t>
            </w:r>
            <w:r w:rsidRPr="00B302CE">
              <w:rPr>
                <w:rFonts w:ascii="Times New Roman" w:eastAsia="Times New Roman" w:hAnsi="Times New Roman"/>
                <w:bCs/>
                <w:lang w:eastAsia="pl-PL"/>
              </w:rPr>
              <w:t>wykonywania przez sąd zadań obejmujących zarządzanie systemami teleinformatycznymi, służącymi między innymi do</w:t>
            </w:r>
            <w:r w:rsidR="00F11DAA">
              <w:rPr>
                <w:rFonts w:ascii="Times New Roman" w:eastAsia="Times New Roman" w:hAnsi="Times New Roman"/>
                <w:bCs/>
                <w:lang w:eastAsia="pl-PL"/>
              </w:rPr>
              <w:t> </w:t>
            </w:r>
            <w:r w:rsidRPr="00B302CE">
              <w:rPr>
                <w:rFonts w:ascii="Times New Roman" w:eastAsia="Times New Roman" w:hAnsi="Times New Roman"/>
                <w:bCs/>
                <w:lang w:eastAsia="pl-PL"/>
              </w:rPr>
              <w:t>obsługi postępowań sądowych, zatrudniania nowych pracowników, zarządzania budżetem jednostki lub zakupu środków, sprzętu i wyposażenia.</w:t>
            </w:r>
          </w:p>
          <w:p w14:paraId="31804E7A"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Obecne przepisy ustawy Prawo o ustroju sądów powszechnych uniemożliwiają skuteczne działania Ministerstwa Sprawiedliwości i sądów powszechnych podejmowane w celu przyspieszenia i usprawnienia rozpoznawania spraw sądowych poprzez stworzenie, wdrożenie i utrzymanie odpowiednich narzędzi informatycznych. Z jednej strony bowiem przepisy tej ustawy bardzo niejednoznacznie i wybiórczo wskazują kompetencje Ministerstwa Sprawiedliwości do stworzenia i utrzymania takich narzędzi, posługując się wyłącznie określeniem „system teleinformatyczny obsługujący postępowanie sądowe”, z drugiej natomiast strony każdy z sądów (apelacyjnych, okręgowych, rejonowych) prowadzi samodzielnie sprawy z zakresu informatyzacji oraz obsługi informatycznej tego sądu, co powoduje wysoce nieefektywną i kosztowną sieć narzędzi informatycznych wytwarzanych przez podmioty zewnętrzne oddzielnie dla każdego z sądów.</w:t>
            </w:r>
          </w:p>
          <w:p w14:paraId="224F5FCF"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Z uwagi na olbrzymią różnorodność spraw prowadzonych przez sądy, nie jest możliwe stworzenie w dającym się przewidzieć terminie jednego systemu teleinformatycznego obsługującego wszystkie rodzaje postępowań sądowych, zapewniającego właściwą ewidencję tych spraw, a także wspierającego zarazem funkcjonowanie rejestrów sądowych i działalność administracyjną sądów.</w:t>
            </w:r>
          </w:p>
          <w:p w14:paraId="5A1B5899"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Należy zatem zbudować w resorcie sprawiedliwości potencjał do stopniowego stworzenia takiego systemu oraz integrowania z nim istniejących już rozwiązań informatycznych zarówno na poziomie Ministerstwa Sprawiedliwości, jak i w strukturze sądów apelacyjnych, z równoczesną konsolidacją ich działań na poziomie całej apelacji. Konieczna jest interwencja legislacyjna mająca na celu zarówno przyspieszenie postępowań sądowych, jak również zapewnienie możliwości ich sprawnej realizacji i udziału stron w formie elektronicznej w oparciu o zmieniające się dynamicznie uwarunkowania organizacyjne, społeczne i zdrowotne.</w:t>
            </w:r>
          </w:p>
          <w:p w14:paraId="6622BB99"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Zapewnienie warunków techniczno-organizacyjnych funkcjonowania sądu obejmuje też zarządzanie systemami teleinformatycznymi użytkowanymi w tym sądzie do wsparcia działalności operacyjnej (np. do obsługi postępowań sądowych), jak i do wsparcia działalności administracyjnej: kadrowej (np. zatrudnianie nowych pracowników), finansowej (np. zarządzanie budżetem jednostki) oraz inwestycyjnej (np. zakup środków trwałych). Równocześnie przepisy u.s.p., które weszły w życie 1 grudnia 2021 r. wskazują Ministra Sprawiedliwości jako podmiot odpowiedzialny za utrzymanie systemu teleinformatycznego obsługującego postepowania sądowe, w którym tworzy się i przetwarza akta sprawy (art. 53 </w:t>
            </w:r>
            <w:r w:rsidRPr="00B302CE">
              <w:rPr>
                <w:rFonts w:ascii="Times New Roman" w:eastAsia="Times New Roman" w:hAnsi="Times New Roman"/>
                <w:bCs/>
                <w:lang w:eastAsia="pl-PL"/>
              </w:rPr>
              <w:lastRenderedPageBreak/>
              <w:t>§ 1a). Zadania nakładane na sądy, w tym potrzeba usprawnienia postępowań, tak by sądy mogły wykonywać swoje zadania niejednokrotnie w warunkach kryzysowych, wywołanych nadzwyczajnymi okolicznościami (przykładowo stan epidemii i zagrożenia epidemicznego, konflikt zbrojny na terytorium Ukrainy), wymagają wprowadzenia rozwiązań pozwalających na wykorzystanie technologii informatycznych. Umożliwienie, przykładowo, wymiany informacji z innymi organami i podmiotami z zastosowaniem systemów teleinformatycznych wymaga zamieszczenia w ustawie ustrojowej przepisów dotyczących przetwarzania danych oraz przypisania ról i odpowiedzialności za zadania w zakresie informatyzacji.</w:t>
            </w:r>
          </w:p>
          <w:p w14:paraId="5D83CA80" w14:textId="354D870D"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Aktualne rozwiązanie ustrojowe, na podstawie którego dyrektor każdego z 11 sądów apelacyjnych, 47 sądów okręgowych oraz 318 sądów rejonowych odpowiada za utrzymanie i rozwój systemów teleinformatycznych na terenie swojej jednostki (z zastrzeżeniem regulacji, które weszły w życie 1 grudnia 2021 r.), jest nieefektywne i nie zapewnia sprawności funkcjonowania wymiaru sprawiedliwości w obszarze usług informatycznych.</w:t>
            </w:r>
            <w:r w:rsidRPr="00B302CE">
              <w:rPr>
                <w:rFonts w:ascii="Times New Roman" w:hAnsi="Times New Roman"/>
                <w:lang w:eastAsia="pl-PL"/>
              </w:rPr>
              <w:t xml:space="preserve"> Na przykład</w:t>
            </w:r>
            <w:r w:rsidRPr="00B302CE">
              <w:rPr>
                <w:rFonts w:ascii="Times New Roman" w:hAnsi="Times New Roman"/>
              </w:rPr>
              <w:t xml:space="preserve"> </w:t>
            </w:r>
            <w:r w:rsidRPr="00B302CE">
              <w:rPr>
                <w:rFonts w:ascii="Times New Roman" w:hAnsi="Times New Roman"/>
                <w:lang w:eastAsia="pl-PL"/>
              </w:rPr>
              <w:t>w roku 2020 system (serwery) był zlokalizowany na poziomie technicznym w 346 lokalizacjach w których stały po trzy serwery (domeny, serwer bazy danych i serwer aplikacyjny - w sumie 1038); oprogramowanie do każdego z nich kosztowało ok. 10 000 zł; czas wdrożenia nowej wersji systemu Ksiąg Wieczystych od 3 tygodni do 1,5 miesiąca na terenie całego kraju. W roku 2022 system (serwery) zlokalizowany na poziomie technicznym w 11 serwerowniach sądów apelacyjnych, w których przypada po jednym serwerze aplikacyjnym na wydział, czyli 22 serwery bazodanowe po 2 na apelację i 0 serwerów domenowych – podłączano do systemu domenowego centralnego. Czas wdrożenia nowej wersji wynosi do dwóch tygodni na terenie całego kraju. W wyniku podjętych działań przewiduje się oszczędności rzędu 5 000 000 zł na pięć lat.</w:t>
            </w:r>
          </w:p>
          <w:p w14:paraId="76473687" w14:textId="172B0826" w:rsidR="00554B94" w:rsidRPr="00B302CE" w:rsidRDefault="00F5245B" w:rsidP="00554B94">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W powiązaniu z innymi przepisami rangi ustawowej, np. art. 158 ust. 1 ustawy z dnia 22 marca 2018 r. o komornikach sądowych (Dz. U. z 2022 r. poz. 2224</w:t>
            </w:r>
            <w:r w:rsidR="003E316D">
              <w:rPr>
                <w:rFonts w:ascii="Times New Roman" w:eastAsia="Times New Roman" w:hAnsi="Times New Roman"/>
                <w:bCs/>
                <w:lang w:eastAsia="pl-PL"/>
              </w:rPr>
              <w:t xml:space="preserve"> i 2707</w:t>
            </w:r>
            <w:r w:rsidRPr="00B302CE">
              <w:rPr>
                <w:rFonts w:ascii="Times New Roman" w:eastAsia="Times New Roman" w:hAnsi="Times New Roman"/>
                <w:bCs/>
                <w:lang w:eastAsia="pl-PL"/>
              </w:rPr>
              <w:t xml:space="preserve">), w szczególności w zakresie umożliwienia sądom dostępu do systemu teleinformatycznego obsługującego postępowanie egzekucyjne i zabezpieczające, podział odpowiedzialności za zaprojektowanie, wdrożenie, utrzymanie i rozwój systemów teleinformatycznych użytkowanych w poszczególnych </w:t>
            </w:r>
            <w:r w:rsidR="009C1092" w:rsidRPr="00B302CE">
              <w:rPr>
                <w:rFonts w:ascii="Times New Roman" w:eastAsia="Times New Roman" w:hAnsi="Times New Roman"/>
                <w:bCs/>
                <w:lang w:eastAsia="pl-PL"/>
              </w:rPr>
              <w:t>jednostkach organizacyjnych podległych Ministrowi Sprawiedliwości lub przez niego nadzorowanych wydaje się ponadto niejasny, niespójny i mogący powodować szereg wątpliwości interpretacyjnych</w:t>
            </w:r>
            <w:r w:rsidRPr="00B302CE">
              <w:rPr>
                <w:rFonts w:ascii="Times New Roman" w:hAnsi="Times New Roman"/>
                <w:lang w:eastAsia="pl-PL"/>
              </w:rPr>
              <w:t>.</w:t>
            </w:r>
            <w:r w:rsidRPr="00B302CE">
              <w:rPr>
                <w:rFonts w:ascii="Times New Roman" w:eastAsia="Times New Roman" w:hAnsi="Times New Roman"/>
                <w:bCs/>
                <w:lang w:eastAsia="pl-PL"/>
              </w:rPr>
              <w:t xml:space="preserve"> </w:t>
            </w:r>
          </w:p>
          <w:p w14:paraId="28375E5F" w14:textId="54D7CFAE" w:rsidR="00F5245B" w:rsidRPr="00B302CE" w:rsidRDefault="00F5245B" w:rsidP="00554B94">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Niewystarczające są również przepisy prawne w zakresie uprawnień poszczególnych jednostek organizacyjnych </w:t>
            </w:r>
            <w:r w:rsidR="009C1092" w:rsidRPr="00B302CE">
              <w:rPr>
                <w:rFonts w:ascii="Times New Roman" w:eastAsia="Times New Roman" w:hAnsi="Times New Roman"/>
                <w:bCs/>
                <w:lang w:eastAsia="pl-PL"/>
              </w:rPr>
              <w:t xml:space="preserve">podległych Ministrowi Sprawiedliwości lub przez niego nadzorowanych </w:t>
            </w:r>
            <w:r w:rsidRPr="00B302CE">
              <w:rPr>
                <w:rFonts w:ascii="Times New Roman" w:eastAsia="Times New Roman" w:hAnsi="Times New Roman"/>
                <w:bCs/>
                <w:lang w:eastAsia="pl-PL"/>
              </w:rPr>
              <w:t>do przetwarzania danych (w tym danych osobowych) przy wdrażaniu centralnych, jak i lokalnych (na poziomie obszaru apelacji) rozwiązań informatycznych i</w:t>
            </w:r>
            <w:r w:rsidR="009C1092" w:rsidRPr="00B302CE">
              <w:rPr>
                <w:rFonts w:ascii="Times New Roman" w:eastAsia="Times New Roman" w:hAnsi="Times New Roman"/>
                <w:bCs/>
                <w:lang w:eastAsia="pl-PL"/>
              </w:rPr>
              <w:t> </w:t>
            </w:r>
            <w:r w:rsidRPr="00B302CE">
              <w:rPr>
                <w:rFonts w:ascii="Times New Roman" w:eastAsia="Times New Roman" w:hAnsi="Times New Roman"/>
                <w:bCs/>
                <w:lang w:eastAsia="pl-PL"/>
              </w:rPr>
              <w:t>podejmowaniu współpracy pomiędzy poszczególnymi sądami, np. w obszarze jednej apelacji.</w:t>
            </w:r>
          </w:p>
          <w:p w14:paraId="01BFA210"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Nie istnieje przy tym „centralny system teleinformatyczny” przewidujący jednolite rozwiązania informatyczne w sądach powszechnych. Obecne przepisy u.s.p. nie przewidują też jego utworzenia. Natomiast istnieje potrzeba stopniowej integracji istniejących i nowopowstałych narzędzi informatycznych wspierających bądź to poszczególne rodzaje postępowań, bądź to poszczególne usługi elektroniczne udostępniane w ramach tych postepowań na poziomie centralnym (tj. Ministerstwa Sprawiedliwości) oraz regionalnym (na poziomie sądów apelacyjnych).</w:t>
            </w:r>
          </w:p>
          <w:p w14:paraId="2FB8E98D" w14:textId="77777777" w:rsidR="00F5245B" w:rsidRPr="00B302CE" w:rsidRDefault="00F5245B" w:rsidP="00F70260">
            <w:pPr>
              <w:spacing w:line="240" w:lineRule="auto"/>
              <w:ind w:firstLine="306"/>
              <w:jc w:val="both"/>
              <w:rPr>
                <w:rFonts w:ascii="Times New Roman" w:hAnsi="Times New Roman"/>
                <w:lang w:eastAsia="pl-PL"/>
              </w:rPr>
            </w:pPr>
          </w:p>
        </w:tc>
      </w:tr>
      <w:tr w:rsidR="00B302CE" w:rsidRPr="00B302CE" w14:paraId="178B89FC" w14:textId="77777777" w:rsidTr="00F70260">
        <w:trPr>
          <w:gridAfter w:val="1"/>
          <w:wAfter w:w="40" w:type="dxa"/>
          <w:trHeight w:val="142"/>
          <w:jc w:val="center"/>
        </w:trPr>
        <w:tc>
          <w:tcPr>
            <w:tcW w:w="10876" w:type="dxa"/>
            <w:gridSpan w:val="22"/>
            <w:shd w:val="clear" w:color="auto" w:fill="99CCFF"/>
            <w:vAlign w:val="center"/>
          </w:tcPr>
          <w:p w14:paraId="501D8531" w14:textId="77777777" w:rsidR="00F5245B" w:rsidRPr="00B302CE" w:rsidRDefault="00F5245B" w:rsidP="00F70260">
            <w:pPr>
              <w:numPr>
                <w:ilvl w:val="0"/>
                <w:numId w:val="1"/>
              </w:numPr>
              <w:spacing w:before="60" w:after="60" w:line="240" w:lineRule="auto"/>
              <w:jc w:val="both"/>
              <w:rPr>
                <w:rFonts w:ascii="Times New Roman" w:hAnsi="Times New Roman"/>
                <w:b/>
              </w:rPr>
            </w:pPr>
            <w:r w:rsidRPr="00B302CE">
              <w:rPr>
                <w:rFonts w:ascii="Times New Roman" w:hAnsi="Times New Roman"/>
                <w:b/>
                <w:spacing w:val="-2"/>
              </w:rPr>
              <w:lastRenderedPageBreak/>
              <w:t>Rekomendowane rozwiązanie, w tym planowane narzędzia interwencji, i oczekiwany efekt</w:t>
            </w:r>
          </w:p>
        </w:tc>
      </w:tr>
      <w:tr w:rsidR="00B302CE" w:rsidRPr="00B302CE" w14:paraId="1B16FC3D" w14:textId="77777777" w:rsidTr="00F70260">
        <w:trPr>
          <w:gridAfter w:val="1"/>
          <w:wAfter w:w="40" w:type="dxa"/>
          <w:trHeight w:val="1408"/>
          <w:jc w:val="center"/>
        </w:trPr>
        <w:tc>
          <w:tcPr>
            <w:tcW w:w="10876" w:type="dxa"/>
            <w:gridSpan w:val="22"/>
            <w:shd w:val="clear" w:color="auto" w:fill="auto"/>
          </w:tcPr>
          <w:p w14:paraId="5F395293" w14:textId="03813546"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bookmarkStart w:id="1" w:name="_Hlk100226486"/>
            <w:r w:rsidRPr="00B302CE">
              <w:rPr>
                <w:rFonts w:ascii="Times New Roman" w:eastAsia="Times New Roman" w:hAnsi="Times New Roman"/>
                <w:bCs/>
                <w:lang w:eastAsia="pl-PL"/>
              </w:rPr>
              <w:t xml:space="preserve">Koncepcja usprawniania procesu zarządzania systemami teleinformatycznymi w Ministerstwie Sprawiedliwości zakłada przeniesienia odpowiedzialności za zapewnienie odpowiednich warunków techniczno-organizacyjnych sądów w zakresie informatyzacji sądów oraz ich obsługi informatycznej na poziom apelacji. W takim układzie dyrektor sądu apelacyjnego odpowiada za zadania z zakresu IT nie tylko w swoim sądzie, lecz </w:t>
            </w:r>
            <w:r w:rsidR="00AC5567" w:rsidRPr="00B302CE">
              <w:rPr>
                <w:rFonts w:ascii="Times New Roman" w:eastAsia="Times New Roman" w:hAnsi="Times New Roman"/>
                <w:bCs/>
                <w:lang w:eastAsia="pl-PL"/>
              </w:rPr>
              <w:t xml:space="preserve">także we wszystkich sądach </w:t>
            </w:r>
            <w:r w:rsidRPr="00B302CE">
              <w:rPr>
                <w:rFonts w:ascii="Times New Roman" w:eastAsia="Times New Roman" w:hAnsi="Times New Roman"/>
                <w:bCs/>
                <w:lang w:eastAsia="pl-PL"/>
              </w:rPr>
              <w:t>na obszarze całej apelacji.</w:t>
            </w:r>
          </w:p>
          <w:p w14:paraId="3521BCED"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Kompetencje dyrektora sądu zostały w związku z tym uzupełnione poprzez dodanie do art. 31a nowego przepisu – § 1a, zgodnie z którym to dyrektor sądu apelacyjnego kieruje działalnością administracją sądów działających na obszarze apelacji, dotyczącą realizacji zadań z zakresu informatyzacji sądownictwa oraz obsługi informatycznej sądów. Dyrektor sądu apelacyjnego ponosi w tym zakresie odpowiedzialność, która obejmuje w szczególności kwestie zapewnienia na terenie apelacji odpowiedniej infrastruktury sprzętowej, licencji na używanie seryjnego oprogramowania, odpowiednich warunków przetwarzania danych, bezpieczeństwa teleinformatycznego, organizacji procesów projektowania, wdrożenia, utrzymania i rozwoju systemów teleinformatycznych użytkowanych w poszczególnych sądach tej apelacji, a także sytemu szkoleń użytkowników tych systemów, z zastrzeżeniem powierzenia przez Ministra Sprawiedliwości dyrektorom wybranych sądów apelacyjnych niektórych zadań związanych z informatyzacją sądownictwa realizujących centralne rozwiązania informatyczne w sądownictwie powszechnym.</w:t>
            </w:r>
          </w:p>
          <w:p w14:paraId="6A599CAC"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lastRenderedPageBreak/>
              <w:t>Wraz z przejęciem odpowiedzialności za ww. zadania, dyrektor sądu apelacyjnego dysponowałby również wszelkimi zasobami służącymi do ich realizacji, w szczególności osobowymi, finansowymi oraz materialnymi. Z uwagi na olbrzymią ilość zasobów niezbędnych do realizacji tych zadań, konieczność zapewnienia specjalistycznej wiedzy merytorycznej przy ich realizacji, ich część powinna być realizowana przez pracowników sądownictwa, a nie Ministerstwa Sprawiedliwości, w uporządkowanej strukturze na poziomie sądów apelacyjnych.</w:t>
            </w:r>
          </w:p>
          <w:p w14:paraId="18B21082" w14:textId="180FB0A3" w:rsidR="00C7356B" w:rsidRPr="00B302CE" w:rsidRDefault="00F5245B" w:rsidP="00C7356B">
            <w:pPr>
              <w:suppressAutoHyphens/>
              <w:autoSpaceDE w:val="0"/>
              <w:autoSpaceDN w:val="0"/>
              <w:adjustRightInd w:val="0"/>
              <w:spacing w:before="120" w:line="240" w:lineRule="auto"/>
              <w:ind w:firstLine="510"/>
              <w:jc w:val="both"/>
              <w:rPr>
                <w:rFonts w:ascii="Times New Roman" w:eastAsia="Times New Roman" w:hAnsi="Times New Roman"/>
                <w:lang w:eastAsia="pl-PL"/>
              </w:rPr>
            </w:pPr>
            <w:r w:rsidRPr="00B302CE">
              <w:rPr>
                <w:rFonts w:ascii="Times New Roman" w:eastAsia="Times New Roman" w:hAnsi="Times New Roman"/>
                <w:lang w:eastAsia="pl-PL"/>
              </w:rPr>
              <w:t xml:space="preserve">Wątpliwość może jednak budzić, na podstawie jakiego stosunku prawnego dyrektor sądu apelacyjnego mógłby wydawać polecenia pracownikom innych sądów i na jakiej podstawie prawnej mieliby oni podlegać jego kierownictwu, w szczególności, że w obecnym stanie prawnym dyrektor danego sądu jest zwierzchnikiem służbowym i dokonuje czynności z zakresu prawa pracy oraz reprezentuje sąd w tym zakresie wobec pracowników sądu, z wyłączeniem sędziów, asesorów sądowych, referendarzy sądowych, kuratorów zawodowych, asystentów sędziów oraz kierowników i specjalistów opiniodawczych zespołów sądowych specjalistów (a więc w konkretnym sądzie – zgodnie z art. 31a § 1 pkt 3 u.s.p.). W celu usunięcia wątpliwości w tym zakresie wprowadza się § 1b do art. 31 u.s.p., zgodnie z którym dyrektor sądu apelacyjnego jest zwierzchnikiem służbowym i dokonuje czynności z zakresu prawa pracy oraz reprezentuje sąd w tym zakresie wobec pracowników sądu wykonujących zadania, o których mowa w § 1a, w sądach działających na obszarze właściwości danej apelacji. Wobec brzmienia projektowanego przepisu każdy pracownik, któremu zostaną powierzone obowiązki dotyczące informatyzacji sądownictwa i obsługi informatycznej sądów, będzie podlegał dyrektorowi sądu apelacyjnego w ramach stosunku pracy. </w:t>
            </w:r>
            <w:r w:rsidR="00C7356B" w:rsidRPr="00B302CE">
              <w:rPr>
                <w:rFonts w:ascii="Times New Roman" w:eastAsia="Times New Roman" w:hAnsi="Times New Roman"/>
                <w:lang w:eastAsia="pl-PL"/>
              </w:rPr>
              <w:t>Projektowany przepis jest konieczny z uwagi na zapewnienie możliwości egzekwowania przez dyrektora sądu apelacyjnego realizacji zadań przez tych pracowników. Ponadto dyrektor sądu apelacyjnego będzie miał bezpośredni wpływ na wynagrodzenia pracowników sądów działających na obszarze apelacji.</w:t>
            </w:r>
          </w:p>
          <w:p w14:paraId="4411F3AA" w14:textId="022FF963"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lang w:eastAsia="pl-PL"/>
              </w:rPr>
            </w:pPr>
            <w:r w:rsidRPr="00B302CE">
              <w:rPr>
                <w:rFonts w:ascii="Times New Roman" w:eastAsia="Times New Roman" w:hAnsi="Times New Roman"/>
                <w:lang w:eastAsia="pl-PL"/>
              </w:rPr>
              <w:t xml:space="preserve">Dyrektor sądu apelacyjnego staje się pracodawcą dla wszystkich pracowników sądów wykonujących zadania z zakresu informatyzacji sądownictwa i obsługi informatycznej sądów w sądach działających na obszarze danej apelacji (np. administrator systemu informatycznego/ administrator systemu teleinformatycznego, inspektor bezpieczeństwa teleinformatycznego, informatyk, menedżer usługi). Jednocześnie zmiany wymagał dotychczasowy art. 31a § 1 pkt 3 u.s.p. poprzez wprowadzenie zastrzeżenia regulowanego wprowadzonym art. 31a § 1b u.s.p. na rzecz dyrektora sądu apelacyjnego. Miejscem wykonywania obowiązków służbowych, czyli miejscem świadczenia pracy np. przez informatyka zatrudnionego w sądzie apelacyjnym może być ten sąd apelacyjny albo sąd okręgowy albo sąd rejonowy. Struktura kadrowa pracowników zajmujących się informatyzacją sądownictwa i obsługą informatyczną sądów w sądach powszechnych pozostanie bez zmian, z tą różnicą, że dyrektorzy sądów okręgowych i sądów rejonowych nie będą już zatrudniać informatyków, lecz kompetencja ta będzie należała do dyrektora sądu apelacyjnego. Bieżąca obsługa incydentów związanych z funkcjonowaniem systemów teleinformatycznych, potencjalne błędy w funkcjonowania tych systemów, luki w programach, wymiana sprzętu komputerowego i inne interwencje dotyczące obsługi informatycznej danego sądu okręgowego lub sądu rejonowego będą zgłaszane pracownikom sądu apelacyjnego wykonującym zadania z zakresu informatyzacji sądownictwa oraz obsługi informatycznej sądów, np. informatykom sądu apelacyjnego świadczącym pracę „na miejscu”, tj. w siedzibie danego sądu okręgowego lub sądu rejonowego – dotychczasowe miejsce świadczenia pracy przez tych pracowników pozostanie bez zmian; wszyscy ww. pracownicy sądów okręgowych i sądów rejonowych, którzy wyrażą na to wyraźną bądź dorozumianą zgodę staną się pracownikami sądów apelacyjnych. </w:t>
            </w:r>
          </w:p>
          <w:p w14:paraId="1483EB85" w14:textId="7D8F633F" w:rsidR="006572BD" w:rsidRPr="00B302CE" w:rsidRDefault="006572BD" w:rsidP="006572BD">
            <w:pPr>
              <w:suppressAutoHyphens/>
              <w:autoSpaceDE w:val="0"/>
              <w:autoSpaceDN w:val="0"/>
              <w:adjustRightInd w:val="0"/>
              <w:spacing w:before="120" w:line="240" w:lineRule="auto"/>
              <w:ind w:firstLine="510"/>
              <w:jc w:val="both"/>
              <w:rPr>
                <w:rFonts w:ascii="Times New Roman" w:eastAsia="Times New Roman" w:hAnsi="Times New Roman"/>
                <w:lang w:eastAsia="pl-PL"/>
              </w:rPr>
            </w:pPr>
            <w:r w:rsidRPr="00B302CE">
              <w:rPr>
                <w:rFonts w:ascii="Times New Roman" w:eastAsia="Times New Roman" w:hAnsi="Times New Roman"/>
                <w:lang w:eastAsia="pl-PL"/>
              </w:rPr>
              <w:t>Praktyczna realizacja koncepcji zatrudnienia pracowników zajmujących się informatyzacją sądownictwa i obsługą informatyczną sądów przez dyrektora sądu apelacyjnego wymaga określenia sytuacji tych pracowników po wejściu w życie projektowanego art. 31a § 1b u.s.p. Zagadnienie to wyjaśnia wprowadzany przepis art. 2 ustawy.</w:t>
            </w:r>
          </w:p>
          <w:p w14:paraId="0D9645E8" w14:textId="0917E097" w:rsidR="00F5245B" w:rsidRPr="00B302CE" w:rsidRDefault="00F5245B" w:rsidP="002263B2">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Uchylenie § 1a-1c i § 5 w art. 53 u.s.p. ma charakter porządkujący i dostosowawczy do propozycji doprecyzowania zagadnień wskazanych w projektowanym art. 175da u.s.p., dotyczących rodzajów sądowych systemów teleinformatycznych, tworzonych i utrzymywanych przez Ministra Sprawiedliwości, jednoznacznego wskazania podmiotu odpowiedzialnego za administrowanie tymi systemami, współadministrowania danymi, w tym danymi osobowymi znajdującymi się w tych systemach czy również możliwości określenia przez Ministra Sprawiedliwości, w drodze rozporządzenia, opisu systemów teleinformatycznych stosowanych w sądach powszechnych, wymaganiach standaryzujących w zakresie bezpieczeństwa, wydajności i rozwoju systemu lub sposobu postępowania w zakresie stwierdzania zgodności oprogramowania z opisem systemu. Celem takiego rozwiązania było przeniesienie części rozwiązań z uchylanych przepisów do działu IVA u.s.p. „Przetwarzanie danych osobowych, telekomunikacyjnych, pocztowych i internetowych oraz informatyzacja sądów powszechnych”. Uchylane przepisy definiowały system teleinformatyczny obsługujący postępowanie sądowe jako system do tworzenia i przetwarzania akt sprawy (§ 1a) oraz wskazywały Ministra Sprawiedliwości jako jego administratora (§ 1b), który jako administrator nie miał dostępu do akt </w:t>
            </w:r>
            <w:r w:rsidRPr="00B302CE">
              <w:rPr>
                <w:rFonts w:ascii="Times New Roman" w:eastAsia="Times New Roman" w:hAnsi="Times New Roman"/>
                <w:bCs/>
                <w:lang w:eastAsia="pl-PL"/>
              </w:rPr>
              <w:lastRenderedPageBreak/>
              <w:t>postępowania (§ 1c). Projekt przewiduje nowy katalog sądowych systemów teleinformatycznych (art. 175da § 1 u.s.p.), który nie ogranicza się do jednego systemu obsługującego postępowanie sądowe. Administratorem sądowych systemów teleinformatycznych będzie Minister Sprawiedliwości na podstawie projektowanego art. 175da § 2 i 3 u.s.p., właściwy dyrektor sądu apelacyjnego na podstawie projektowanego art. 175da § 7 u.s.p., sąd lub inny podmiot realizujący zadania publiczne, o którym mowa w art. 2 ust. 1 ustawy z dnia 17 lutego 2005 r. o informatyzacji działalności podmiotów realizujących zadania publiczne (Dz. U. z 202</w:t>
            </w:r>
            <w:r w:rsidR="00F11DAA">
              <w:rPr>
                <w:rFonts w:ascii="Times New Roman" w:eastAsia="Times New Roman" w:hAnsi="Times New Roman"/>
                <w:bCs/>
                <w:lang w:eastAsia="pl-PL"/>
              </w:rPr>
              <w:t>3</w:t>
            </w:r>
            <w:r w:rsidRPr="00B302CE">
              <w:rPr>
                <w:rFonts w:ascii="Times New Roman" w:eastAsia="Times New Roman" w:hAnsi="Times New Roman"/>
                <w:bCs/>
                <w:lang w:eastAsia="pl-PL"/>
              </w:rPr>
              <w:t xml:space="preserve"> r. </w:t>
            </w:r>
            <w:r w:rsidR="00F76773">
              <w:rPr>
                <w:rFonts w:ascii="Times New Roman" w:eastAsia="Times New Roman" w:hAnsi="Times New Roman"/>
                <w:bCs/>
                <w:lang w:eastAsia="pl-PL"/>
              </w:rPr>
              <w:t>poz. 57</w:t>
            </w:r>
            <w:r w:rsidRPr="00B302CE">
              <w:rPr>
                <w:rFonts w:ascii="Times New Roman" w:eastAsia="Times New Roman" w:hAnsi="Times New Roman"/>
                <w:bCs/>
                <w:lang w:eastAsia="pl-PL"/>
              </w:rPr>
              <w:t>) na podstawie projektowanego art. 175da § 8 u.s.p. Proponowane rozwiązanie będzie spójne z art. 175c § 1 u.s.p., który określa, że administratorem systemu służącego do przetwarzania danych osobowych uzyskanych z systemu teleinformatycznego, o którym mowa w art. 213 § 1a Kodeksu postępowania karnego, jest Minister Sprawiedliwości.</w:t>
            </w:r>
            <w:r w:rsidR="002263B2" w:rsidRPr="00B302CE">
              <w:rPr>
                <w:rFonts w:ascii="Times New Roman" w:eastAsiaTheme="minorHAnsi" w:hAnsi="Times New Roman"/>
                <w:bCs/>
                <w:sz w:val="20"/>
                <w:szCs w:val="20"/>
              </w:rPr>
              <w:t xml:space="preserve"> </w:t>
            </w:r>
            <w:r w:rsidR="002263B2" w:rsidRPr="00B302CE">
              <w:rPr>
                <w:rFonts w:ascii="Times New Roman" w:eastAsia="Times New Roman" w:hAnsi="Times New Roman"/>
                <w:bCs/>
                <w:lang w:eastAsia="pl-PL"/>
              </w:rPr>
              <w:t>Ponadto na podstawie projektowanego art. 175da § 9 u.s.p. Minister Sprawiedliwości nie będzie już zobowiązany, lecz uprawniony do określenia w drodze rozporządzenia w porozumieniu z ministrem właściwym do spraw informatyzacji, opisu systemów teleinformatycznych stosowanych w sądach powszechnych (struktura, minimalna funkcjonalność, zakres komunikacji pomiędzy elementami systemu bądź pomiędzy systemami), wymagań standaryzujących w zakresie bezpieczeństwa, wydajności i rozwoju systemów, a także sposobu postępowania w zakresie stwierdzania zgodności oprogramowania z opisem systemów.</w:t>
            </w:r>
          </w:p>
          <w:p w14:paraId="61E976CA" w14:textId="3A7BA767" w:rsidR="00A52EEE" w:rsidRPr="00B302CE" w:rsidRDefault="00A52EEE" w:rsidP="00A52EEE">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Projekt dodaje </w:t>
            </w:r>
            <w:r w:rsidR="000F76FE" w:rsidRPr="00B302CE">
              <w:rPr>
                <w:rFonts w:ascii="Times New Roman" w:eastAsia="Times New Roman" w:hAnsi="Times New Roman"/>
                <w:bCs/>
                <w:lang w:eastAsia="pl-PL"/>
              </w:rPr>
              <w:t xml:space="preserve">§ 4 w art. 175a </w:t>
            </w:r>
            <w:r w:rsidRPr="00B302CE">
              <w:rPr>
                <w:rFonts w:ascii="Times New Roman" w:eastAsia="Times New Roman" w:hAnsi="Times New Roman"/>
                <w:bCs/>
                <w:lang w:eastAsia="pl-PL"/>
              </w:rPr>
              <w:t>u.s.p., precyzując że administratorami danych osobowych przetwarzanych w związku z działalnością administracyjną sądów</w:t>
            </w:r>
            <w:r w:rsidR="00E74ED5" w:rsidRPr="00B302CE">
              <w:rPr>
                <w:rFonts w:ascii="Times New Roman" w:eastAsia="Times New Roman" w:hAnsi="Times New Roman"/>
                <w:bCs/>
                <w:lang w:eastAsia="pl-PL"/>
              </w:rPr>
              <w:t xml:space="preserve"> </w:t>
            </w:r>
            <w:r w:rsidRPr="00B302CE">
              <w:rPr>
                <w:rFonts w:ascii="Times New Roman" w:eastAsia="Times New Roman" w:hAnsi="Times New Roman"/>
                <w:bCs/>
                <w:lang w:eastAsia="pl-PL"/>
              </w:rPr>
              <w:t>są prezesi właściwych sądów, dyrektorzy właściwych sądów oraz Minister Sprawiedliwości w ramach realizowanych zadań. Celem tej zmiany jest wprowadzenie wyraźnego przepisu przyznającego status administratora danych osobowych przetwarzanych w ramach czynności administracyjnych sądu prezesom</w:t>
            </w:r>
            <w:r w:rsidR="0006437C" w:rsidRPr="00B302CE">
              <w:rPr>
                <w:rFonts w:ascii="Times New Roman" w:eastAsia="Times New Roman" w:hAnsi="Times New Roman"/>
                <w:bCs/>
                <w:lang w:eastAsia="pl-PL"/>
              </w:rPr>
              <w:t xml:space="preserve"> sądów</w:t>
            </w:r>
            <w:r w:rsidRPr="00B302CE">
              <w:rPr>
                <w:rFonts w:ascii="Times New Roman" w:eastAsia="Times New Roman" w:hAnsi="Times New Roman"/>
                <w:bCs/>
                <w:lang w:eastAsia="pl-PL"/>
              </w:rPr>
              <w:t>, dyrektorom sądów i Ministrowi Sprawiedliwości, w ramach realizowanych zadań, zwłaszcza w związku z projektowaną zmianą treści art. 175da, konstytuującą system teleinformatyczny wspierający działalność administracyjną sądów, a także odwołującą się wyraźnie do koncepcji współadministrowania danymi osobowymi przetwarzanymi w sądowych systemach teleinformatycznych (por. art. 175da § 2 i 5 u.s.p.), co może wywoływać wątpliwości co do statusu administratorów danych osobowych przetwarzanych w ramach czynności administracyjnych sądu czy trudność w ustaleniu podmiotu będącego administratorem tego rodzaju danych osobowych.</w:t>
            </w:r>
          </w:p>
          <w:p w14:paraId="59048516" w14:textId="48262B99" w:rsidR="00F5245B" w:rsidRPr="00B302CE" w:rsidRDefault="00F5245B" w:rsidP="00E67B33">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Projekt określa w art. 175da § 1 u.s.p., że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 </w:t>
            </w:r>
            <w:r w:rsidR="00E67B33" w:rsidRPr="00B302CE">
              <w:rPr>
                <w:rFonts w:ascii="Times New Roman" w:eastAsia="Times New Roman" w:hAnsi="Times New Roman"/>
                <w:bCs/>
                <w:lang w:eastAsia="pl-PL"/>
              </w:rPr>
              <w:t>W obliczu dalszego rozwoju nowoczesnych technologii we współczesnym społeczeństwie informacyjnym utrudnione i niecelowe jest wskazywanie kazuistycznego i zamkniętego katalogu zadań z obszaru informatyzacji sądownictwa, zadania te będą bowiem dotyczyły technicznych i organizacyjnych aspektów związanych ze stopniową integracją istniejących i nowopowstałych narzędzi informatycznych wspierających bądź to poszczególne rodzaje postępowań, bądź to poszczególne usługi elektroniczne udostępniane w ramach tych postepowań lub poza nimi, zarówno na poziomie centralnym (tj. Ministerstwa Sprawiedliwości), jak i regionalnym (na poziomie sądów apelacyjnych).</w:t>
            </w:r>
          </w:p>
          <w:p w14:paraId="1D72727D"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Projektowany art. 175da § 2 u.s.p. przewiduje otwarty katalog sądowych systemów teleinformatycznych, które Minister Sprawiedliwości może tworzyć i utrzymywać. Projektowany przepis wyróżnia wobec tego następujące sądowe systemy teleinformatyczne: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Przepis został tak sformułowany, aby obejmował jak najszerszą kategorię systemów teleinformatycznych, które mogą funkcjonować w przyszłości. Projektowane rozwiązania nie powinny bowiem doprowadzić do sytuacji, w której ich obowiązywanie miałoby zastosowanie wyłącznie do zamkniętego katalogu systemów teleinformatycznych wskazanych w aktualnie obowiązującym art. 175da u.s.p. Projektowane przepisy powinny obejmować nie tylko systemy teleinformatyczne określone w art. 175da w dotychczasowym brzmieniu (systemy teleinformatyczne obsługujące postępowania sądowe, systemy teleinformatyczne, w których są prowadzone rejestry sądowe, systemy teleinformatyczne, w których są prowadzone urządzenia ewidencyjne), ale również systemy wspierające działalność administracyjną sądów lub inne systemy teleinformatyczne wykorzystywane w działalności sądów. Dostrzegając doniosłość powyższego zagadnienia, racjonalne było takie sformułowanie przepisu, aby obejmował jak najszerszą, kategorię systemów teleinformatycznych, które mogą funkcjonować w przyszłości. Nie będzie więc potrzebna każdorazowa nowelizacja u.s.p.</w:t>
            </w:r>
          </w:p>
          <w:p w14:paraId="4A9EE28D"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lastRenderedPageBreak/>
              <w:t>Wyodrębnienie przykładowego katalogu zadań związanych z informatyzacją sądownictwa zostało przewidziane na potrzeby realizacji kompetencji Ministra Sprawiedliwości do przetwarzania danych zawartych w sądowych systemach teleinformatycznych (art. 175da § 6 u.s.p.).</w:t>
            </w:r>
          </w:p>
          <w:p w14:paraId="4C661D74"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Zaproponowany art. 175da § 6 ma stanowić podstawę prawną dla przetwarzania przez Ministra Sprawiedliwości danych, w tym danych osobowych znajdujących się w sądowych systemach teleinformatycznych, np. danych stron, pełnomocników i innych osób uczestniczących w postępowaniach sądowych, w zakresie niezbędnym do wykonywania ustawowych zadań Ministra Sprawiedliwości, w szczególności związanych z informatyzacją sądownictwa. Zakres i rodzaj przetwarzanych danych będzie uzależniony od tego, jakie dane będą niezbędne dla realizacji poszczególnych zadań. Będzie miało to istotne znaczenie w sytuacjach pojawienia się w systemach teleinformatycznych choćby szczątkowych danych, w tym danych osobowych osób będących uczestnikami postępowań. </w:t>
            </w:r>
          </w:p>
          <w:p w14:paraId="0484CA01"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Nie jest przy tym zasadne wskazanie w ustawie ustrojowej zamkniętego katalogu danych przetwarzanych w sądowych systemach informatycznych. Zakres i rodzaj przetwarzanych danych będzie uzależniony od tego, jakie dane będą niezbędne dla realizacji poszczególnych zadań podmiotów nimi administrującymi. Ponadto, zakres danych określony jest we właściwych szczególnych przepisach regulujących funkcjonowanie sądowych systemów informatycznych (np. art. 2 ustawy z dnia 6 grudnia 2018 r. o Krajowym Rejestrze Zadłużonych, który określa zakres danych ujawnianych w Rejestrze, art. 359 ust. 2 ustawy z dnia 9 czerwca 2022 r. o wspieraniu i resocjalizacji nieletnich, który określa zakres danych przetwarzanych przez Ministra Sprawiedliwości, okręgowe ośrodki wychowawcze, zakłady poprawcze, schroniska dla nieletnich oraz komisję do spraw kierowania nieletnich do młodzieżowego ośrodka wychowawczego). Ponadto częsta zmiana właściwych przepisów może zmienić zakres przetwarzanych danych; każda taka zmiana powodowałaby konieczność nowelizacji u.s.p.</w:t>
            </w:r>
          </w:p>
          <w:p w14:paraId="0A02C33A" w14:textId="1816031B" w:rsidR="00D5261C" w:rsidRPr="00B302CE" w:rsidRDefault="00D5261C" w:rsidP="00D5261C">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Przyjęte przez projektodawcę w art. 175da § 6 u.s.p. wyrażenie, zgodnie z którym Ministrowi Sprawiedliwości przysługuje kompetencja do przetwarzania danych zawartych w sądowych systemach teleinformatycznych „wyłącznie w zakresie niezbędnym dla realizacji ustawowych zadań Ministra Sprawiedliwości, w szczególności związanych z informatyzacją sądownictwa”, w istocie oznacza, że przepis ten nie przyznaje Ministrowi Sprawiedliwości jako administratorowi systemu teleinformatycznego ogólnej kompetencji upoważniającej go do dostępu do wszelkich danych zawartych w tych systemach, lecz tylko do tych informacji, do których dostęp jest niezbędny w celu realizacji ustawowych zadań Ministra Sprawiedliwości, w szczególności zadań związanych z informatyzacją sądownictwa wymienionych w art. 175da § 1 u.s.p. Minister Sprawiedliwości realizuje szereg zadań określonych przykładowo w ustawie – Prawo o ustroju sądów powszechnych, np. wskazanie wydziału sądu okręgowego rozpoznającego środki odwoławcze w elektronicznym postępowaniu upominawczym (art. 16 § 2 u.s.p.), tworzenie i znoszenie punktów kontaktowych Europejskiej Sieci Sądowej w sprawach cywilnych i handlowych (art. 16c u.s.p.), tworzenie i znoszenie wydziałów oraz wydziałów i ośrodków zamiejscowych sądów (art. 19 u.s.p.), tworzenie i znoszenie sądów oraz ustalanie ich siedzib, obszarów właściwości i zakres rozpoznawanych przez nie spraw (art. 20 pkt 1 u.s.p.), zmiany obszarów właściwości sądów okręgowych lub rejonowych w zakresie wymienionym w punktach 1a–10 przez przekazywanie jednemu sądowi okręgowemu rozpoznawania spraw należących do innych sądów okręgowych tej samej apelacji oraz jednemu sądowi rejonowemu zakresu spraw należącego do innych sądów rejonowych, przydział nowych stanowisk sędziowskich oraz asesorskich poszczególnym sądom (art. 20a § 1 u.s.p.), znoszenie stanowisk sędziowskich lub asesorskich (art. 20a § 2 u.s.p.), ustalenie liczby wiceprezesów sądu apelacyjnego (art. 22b § 3 u.s.p.), ustalenie liczby wiceprezesów sądu okręgowego (art. 22b § 4 u.s.p.), powołanie prezesa sądu apelacyjnego (art. 23 § 1 u.s.p.), powołanie wiceprezesa sądu apelacyjnego (art. 23 § 2 u.s.p.), powołanie prezesa sądu okręgowego (art. 24 § 1 u.s.p.), powołanie wiceprezesa sądu okręgowego (art. 24 § 2 u.s.p.), możliwość odwołania prezesa i wiceprezesa sądu (art. 27 u.s.p.), powołanie i odwołanie dyrektora sądu oraz jego zastępcy (art. 32 u.s.p.), ustalenie wysokości wynagrodzenia zasadniczego dyrektora sądu oraz jego zastępcy (art. 32c u.s.p.), sprawowanie zewnętrznego nadzoru administracyjnego (art. 37b u.s.p.), uprawnienia w ramach zewnętrznego nadzoru administracyjnego (art. 37g u.s.p.), delegowanie sędziego na podstawie art. 77 u.s.p., udzielenie sędziemu urlopu dla poratowania zdrowia (art. 93 § 3 u.s.p.), wybór Rzecznika Dyscyplinarnego Sędziów Sądów Powszechnych oraz dwóch Zastępców Rzecznika Dyscyplinarnego Sędziów Sądów Powszechnych (art. 112 § 3 u.s.p.), przeniesienie na inne miejsce służbowe referendarza sądowego poza obszar apelacji (art. 151a § 1 u.s.p.), delegowanie referendarza na podstawie art. 151a § 5, 5a i 9 u.s.p., przydział nowych stanowisk referendarza sądowego poszczególnym sądom oraz zniesienie stanowisk referendarza sądowego (art. 153b § 1 2 u.s.p.), delegowanie asystenta sędziego na podstawie art. 155e § 2, 2a i 5 u.s.p., powołanie koordynatora do spraw informatyzacji sądownictwa powszechnego (art. 175e § 1 u.s.p.). Ponadto ustawowe zadania Ministra Sprawiedliwości określają przepisy szczególne względem u.s.p. Do zadań Ministra Sprawiedliwości należy utrzymywanie systemu teleinformatycznego służącego do </w:t>
            </w:r>
            <w:r w:rsidRPr="00B302CE">
              <w:rPr>
                <w:rFonts w:ascii="Times New Roman" w:eastAsia="Times New Roman" w:hAnsi="Times New Roman"/>
                <w:bCs/>
                <w:lang w:eastAsia="pl-PL"/>
              </w:rPr>
              <w:lastRenderedPageBreak/>
              <w:t>prowadzenia Rejestru (art. 3a ust. 1 ustawy z dnia 20 sierpnia 1997 r. o Krajowym Rejestrze Sądowym, Dz. U. z 2022 r. poz. 1683 i 2436, dalej „u.k.r.s.” – Minister Sprawiedliwości zgodnie z art. 3a ust. 3 u.k.r.s. jest administratorem danych użytkowników systemu teleinformatycznego służącego do prowadzenia Rejestru), utworzenie Centralnej Informacji Krajowego Rejestru Sądowego, z oddziałami przy sądach rejestrowych (art. 4 ust. 1 u.k.r.s.), prowadzenie w systemie teleinformatycznym Krajowego Rejestru Zadłużonych (art. 1 ustawy z dnia 6 grudnia 2018 r. o Krajowym Rejestrze Zadłużonych, Dz. U. z 2021 r. poz. 1909, dalej „u.k.r.z.” – Minister Sprawiedliwości zgodnie z art. 12 ust. 2 u.k.r.z. jest administratorem danych zgromadzonych w Rejestrze oraz danych objętych treścią obwieszczeń), monitorowanie wykorzystania limitu wydatków oraz wdrożenie mechanizmu korygującego (art. 35 ust. 3 u.k.r.z.), utrzymywanie centralnej bazy danych ksiąg wieczystych stanowiącej ogólnokrajowy zbiór ksiąg wieczystych prowadzonych w systemie teleinformatycznym (art. 363 ust. 1 ustawy z dnia 6 lipca 1982 r. o księgach wieczystych i hipotece (</w:t>
            </w:r>
            <w:r w:rsidR="00F76773" w:rsidRPr="00F76773">
              <w:rPr>
                <w:rFonts w:ascii="Times New Roman" w:eastAsia="Times New Roman" w:hAnsi="Times New Roman"/>
                <w:bCs/>
                <w:lang w:eastAsia="pl-PL"/>
              </w:rPr>
              <w:t>Dz.</w:t>
            </w:r>
            <w:r w:rsidR="00F76773">
              <w:rPr>
                <w:rFonts w:ascii="Times New Roman" w:eastAsia="Times New Roman" w:hAnsi="Times New Roman"/>
                <w:bCs/>
                <w:lang w:eastAsia="pl-PL"/>
              </w:rPr>
              <w:t xml:space="preserve"> </w:t>
            </w:r>
            <w:r w:rsidR="00F76773" w:rsidRPr="00F76773">
              <w:rPr>
                <w:rFonts w:ascii="Times New Roman" w:eastAsia="Times New Roman" w:hAnsi="Times New Roman"/>
                <w:bCs/>
                <w:lang w:eastAsia="pl-PL"/>
              </w:rPr>
              <w:t xml:space="preserve">U. </w:t>
            </w:r>
            <w:r w:rsidR="00F76773">
              <w:rPr>
                <w:rFonts w:ascii="Times New Roman" w:eastAsia="Times New Roman" w:hAnsi="Times New Roman"/>
                <w:bCs/>
                <w:lang w:eastAsia="pl-PL"/>
              </w:rPr>
              <w:t xml:space="preserve">z </w:t>
            </w:r>
            <w:r w:rsidR="00F76773" w:rsidRPr="00F76773">
              <w:rPr>
                <w:rFonts w:ascii="Times New Roman" w:eastAsia="Times New Roman" w:hAnsi="Times New Roman"/>
                <w:bCs/>
                <w:lang w:eastAsia="pl-PL"/>
              </w:rPr>
              <w:t>2023 r. poz. 146</w:t>
            </w:r>
            <w:r w:rsidRPr="00B302CE">
              <w:rPr>
                <w:rFonts w:ascii="Times New Roman" w:eastAsia="Times New Roman" w:hAnsi="Times New Roman"/>
                <w:bCs/>
                <w:lang w:eastAsia="pl-PL"/>
              </w:rPr>
              <w:t>, dalej „u.k.w.h.”), zapewnienie bezpieczeństwa centralnej bazy danych ksiąg wieczystych, w szczególności ochronę przed nieuprawnionym dostępem osób trzecich, zniszczeniem oraz utratą danych (art. 363 ust. 2 u.k.w.h.), tworzenie i</w:t>
            </w:r>
            <w:r w:rsidR="00F11DAA">
              <w:rPr>
                <w:rFonts w:ascii="Times New Roman" w:eastAsia="Times New Roman" w:hAnsi="Times New Roman"/>
                <w:bCs/>
                <w:lang w:eastAsia="pl-PL"/>
              </w:rPr>
              <w:t> </w:t>
            </w:r>
            <w:r w:rsidRPr="00B302CE">
              <w:rPr>
                <w:rFonts w:ascii="Times New Roman" w:eastAsia="Times New Roman" w:hAnsi="Times New Roman"/>
                <w:bCs/>
                <w:lang w:eastAsia="pl-PL"/>
              </w:rPr>
              <w:t>znoszenie w sądzie sądowej służby doręczeniowej (art. 131 § 3 k.p.c.), etc.</w:t>
            </w:r>
          </w:p>
          <w:p w14:paraId="22333BA0"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W celu realizacji niektórych spośród wymienionych zadań konieczne jest przetwarzanie niektórych danych. Przykładowo, w celu realizacji zadania polegającego na udostępnianiu systemu Minister Sprawiedliwości musi utworzyć narzędzie uwierzytelniania użytkowników tego systemu, dzięki któremu będą mogli oni logować się do systemu i korzystać z danych w nim zawartych. W tym celu musi mieć dostęp do podstawowych danych osób, które będą użytkownikami określonego systemu.</w:t>
            </w:r>
          </w:p>
          <w:p w14:paraId="22832A17"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Na podstawie Zintegrowanego Systemu Rachunkowości i Kadr wielokrotnie sporządzane są w Ministerstwie Sprawiedliwości wewnętrze analizy, zestawienia, do których jest niezbędne przetworzenie danych, w tym danych osobowych. Są to analizy wytwarzane do celów wewnętrznych i niezbędnych do zarządzania administracyjnego (np. fluktuacja kadr w sądach, poziomy wynagrodzeń w sądach, liczby osób zatrudnionych w poszczególnych sądach, komórkach organizacyjnych sądów, weryfikacja zatrudnienia wskazanych osób w sądach itp.), na wewnętrzne zlecenie kierownictwa lub innych wydziałów. Efektem tych prac są zazwyczaj dane liczbowe o ilości pracowników, obsadzonych etatów/absencji – w różnorodnym ujęciu (rozbiciu na sądy, wydziały, z podziałem na płeć, z przedziałami wiekowymi, wynagrodzenie itp.). Wykonuje się także analizy dotyczące procesu nominacji sędziów, asesorów o ilości zgłoszeń, etapów procesów itp. W takich przypadkach Minister Sprawiedliwości przetwarza dane osobowe w ramach powierzonych zadań polegających na dokonywaniu analiz mających na celu realizację zasady racjonalnego wykorzystania kadr sądownictwa powszechnego, analiz obciążenia zadaniami poszczególnych sądów, przydzielania nowych stanowisk sędziowskich oraz asesorskich poszczególnym sądom. </w:t>
            </w:r>
          </w:p>
          <w:p w14:paraId="1CF27A57" w14:textId="5B6E66A5"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Ponadto Minister Sprawiedliwości, jako podmiot zobowiązany do udzielenia informacji, wykonując zadania publiczne i w ramach wykonywania powierzonych mu zadań publicznych, może wytwarzać lub pozyskiwać dane stanowiące informację publiczną. Przetwarzając powierzone dane, Minister Sprawiedliwości udziela informacji publicznych w trybie przepisów ustawy z dnia 6 września 2001 r. o dostępie do informacji publicznej (Dz. U. z 2022 r. poz. 902). Zazwyczaj są to pytania o dane liczbowe, listy osób, wynagrodzenia na stanowiskach, wiek minimalny, maksymalny, średni w różnych grupach pracowników czy wykaz urlopów wypoczynkowych sędziów z danego sądu. Dane przygotowywane do odpowiedzi w trybie dostępu do informacji publicznej również są przygotowywane w różnym ujęciu.</w:t>
            </w:r>
          </w:p>
          <w:p w14:paraId="1D4C281C"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W celu realizacji przykładowo wymienionych zadań ustawowych Minister Sprawiedliwości przetwarza dane, w tym dane osobowe znajdujące się w systemach teleinformatycznych określonych w art. 175da § 2 u.s.p. Przetwarzanie danych osobowych jest przy tym zgodne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177, s. 6, dalej „rozporządzenie 2016/679”, „RODO”. Stosownie do art. 5 ust. 1 lit. a RODO dane osobowe muszą być przetwarzane zgodnie z prawem, rzetelnie i w sposób przejrzysty dla osoby, której dane dotyczą. Z art. 6 ust. 1 lit. c i e rozporządzenia 2016/679 wynika, że przetwarzanie jest zgodne z prawem wyłącznie w przypadkach, gdy – i w takim zakresie, w jakim – spełniony jest co najmniej jeden z poniższych warunków: przetwarzanie jest niezbędne do wypełnienia obowiązku prawnego ciążącego na administratorze oraz przetwarzanie jest niezbędne do wykonania zadania realizowanego w interesie publicznym lub w ramach sprawowania władzy publicznej powierzonej administratorowi. </w:t>
            </w:r>
          </w:p>
          <w:p w14:paraId="07380CD9"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Ponadto art. 86 RODO określa relacje między prawem do ochrony danych osobowych a prawem dostępu do dokumentów urzędowych (prawem dostępu do informacji publicznej). Zgodnie z tym przepisem dane osobowe zawarte w dokumentach urzędowych, które posiada organ lub podmiot publiczny lub podmiot prywatny w celu wykonania zadania </w:t>
            </w:r>
            <w:r w:rsidRPr="00B302CE">
              <w:rPr>
                <w:rFonts w:ascii="Times New Roman" w:eastAsia="Times New Roman" w:hAnsi="Times New Roman"/>
                <w:bCs/>
                <w:lang w:eastAsia="pl-PL"/>
              </w:rPr>
              <w:lastRenderedPageBreak/>
              <w:t>realizowanego w interesie publicznym, mogą zostać przez ten organ lub podmiot ujawnione zgodnie z prawem Unii lub prawem państwa członkowskiego, któremu podlegają ten organ lub podmiot, dla pogodzenia publicznego dostępu do dokumentów urzędowych z prawem do ochrony danych osobowych na mocy niniejszego rozporządzenia. Prawodawca unijny potwierdza zatem możliwość ujawniania (udostępniania) danych osobowych zawartych w dokumentach urzędowych w oparciu o przepisy unijne lub przepisy obowiązujące w krajach członkowskich.</w:t>
            </w:r>
          </w:p>
          <w:p w14:paraId="4088E787" w14:textId="77777777" w:rsidR="002263B2" w:rsidRPr="00B302CE" w:rsidRDefault="002263B2" w:rsidP="002263B2">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Projektowany art. 175da § 6 u.s.p. nie przyznaje Ministrowi Sprawiedliwości ogólnej, nieograniczonej kompetencji do przetwarzania danych stron, pełnomocników i innych osób uczestniczących w postępowaniach sądowych zawartych w tych systemach, a jedynie w ramach realizowanych ustawowych zadań Ministra Sprawiedliwości, w szczególności z zakresu informatyzacji sądów. Pozyskanie danych osobowych, w tym danych wrażliwych w innym celu nie będzie dopuszczalne. Zasady przetwarzania danych wrażliwych reguluje art. 9 RODO.</w:t>
            </w:r>
          </w:p>
          <w:p w14:paraId="30770F17"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Pozyskanie niektórych danych stron, pełnomocników i innych osób uczestniczących w postępowaniach jest konieczne do realizacji ustawowych zadań Ministra Sprawiedliwości związanych w szczególności z tworzeniem warunków do sprawnego funkcjonowania sądów powszechnych w sprawach finansowych, kadrowych i administracyjno-gospodarczych, z zapewnieniem możliwości tworzenia i funkcjonowania sądowych systemów teleinformatycznych. Ingerencja przez art. 175da § 6 u.s.p. w autonomię informacyjną stanowiącą element konstytucyjnego prawa do prywatności jest zatem uzasadniona także realizacją procesu informatyzacji sądownictwa w zakresie koniecznym do realizacji tego celu. Informatyzacja sądownictwa ma służyć poprawieniu sprawności funkcjonowania sądów, przyspieszeniu pracy sędziów i innych pracowników sądów oraz ułatwieniu stronom i ich pełnomocnikom udziału w postępowaniu, co niewątpliwie przyczyni się do poprawy bezpieczeństwa i porządku publicznego w demokratycznym państwie prawnym. Oznacza to, że art. 175da § 6 u.s.p. spełnia przesłanki ograniczenia konstytucyjnego prawa do prywatności określone w art. 31 ust. 3 Konstytucji RP oraz przesłankę niezbędności pozyskiwania informacji o obywatelach określoną w art. 51 ust. 2 Konstytucji RP (por. wyrok Trybunału Konstytucyjnego z dnia 14 października 2015 r., Kp 1/15).</w:t>
            </w:r>
          </w:p>
          <w:p w14:paraId="628AA232" w14:textId="79477A3D" w:rsidR="00F5245B" w:rsidRPr="00B302CE" w:rsidRDefault="000D71B6"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Zachowano przy tym przepis stanowiący, że Minister Sprawiedliwości nie ma dostępu do akt postępowania (uchylony art. 53 § 1c u.s.p.). Zgodnie z art. 175da § 4 u.s.p. Minister Sprawiedliwości jako administrator systemów teleinformatycznych, o których mowa w § 2, nie ma dostępu do akt postępowania. Minister Sprawiedliwości wyłącznie w ramach realizacji ustawowych zadań związanych w szczególności z informatyzacją sądownictwa będzie mógł przetwarzać dane osobowe znajdujące się w sądowych systemach teleinformatycznych administrowanych przez Ministra Sprawiedliwości i wyłącznie w tym celu</w:t>
            </w:r>
            <w:r w:rsidR="00F5245B" w:rsidRPr="00B302CE">
              <w:rPr>
                <w:rFonts w:ascii="Times New Roman" w:eastAsia="Times New Roman" w:hAnsi="Times New Roman"/>
                <w:bCs/>
                <w:lang w:eastAsia="pl-PL"/>
              </w:rPr>
              <w:t>. Z uwagi na rozszerzenie rodzajów sądowych systemów teleinformatycznych uchylany art. 53 § 1c u.s.p. został zmodyfikowany i wskazuje, że Minister Sprawiedliwości, gdy występuje jako administrator określonych sądowych systemów teleinformatycznych, nie będzie miał dostępu do akt postępowania. Dotyczy to nie tylko systemów teleinformatycznych obsługujących postępowania sądowe lub ich części, które ściśle najczęściej stwarzają niebezpieczeństwo dostępu do akt postępowania, ale nie można wykluczyć istnienia takiego zagrożenia w przypadku systemów teleinformatycznych, w których prowadzone są rejestry sądowe, czy w których prowadzone są urządzenia ewidencyjne.</w:t>
            </w:r>
          </w:p>
          <w:p w14:paraId="7B7D44E2" w14:textId="69947240" w:rsidR="00F5245B" w:rsidRPr="00B302CE" w:rsidRDefault="00F5245B" w:rsidP="00FC1267">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W projektowanym art. 175da § 5 u.s.p. określono podmioty, które współadministrują danymi osobowymi przetwarzanymi w systemach teleinformatycznych użytkowanych w sądach powszechnych, ponieważ co do zasady ich użytkowanie będzie wykraczało poza obszar jednego sądu. Regulacje dotyczące przetwarzania danych, w tym danych osobowych, a przede wszystkim przyznanie na poziomie ustawowym Ministrowi Sprawiedliwości, sądom, prezesom sądów i dyrektorom sądów statusu współadministratorów danych przetwarzanych w systemach teleinformatycznych pozwoli uzyskać podstawę w postaci przepisu prawa krajowego niezbędną do zastosowania reżimu przetwarzania danych wynikających z przepisów RODO. Punktem wyjścia do stwierdzenia statusu współadministratorów jest bowiem zarówno określony stan faktyczny, jak i wyraźny przepis prawa. Nowelizacja u.s.p. odwołuje się już wyraźnie do roli, jaką mają pełnić poszczególne podmioty będące administratorami danych osobowych</w:t>
            </w:r>
            <w:r w:rsidR="00FC1267" w:rsidRPr="00B302CE">
              <w:rPr>
                <w:rFonts w:ascii="Times New Roman" w:eastAsia="Times New Roman" w:hAnsi="Times New Roman"/>
                <w:bCs/>
                <w:lang w:eastAsia="pl-PL"/>
              </w:rPr>
              <w:t xml:space="preserve"> – sądy w ramach sprawowania wymiaru sprawiedliwości albo realizacji zadań z zakresu ochrony prawnej, prezesi właściwych sądów, dyrektorzy właściwych sądów oraz Minister Sprawiedliwości w ramach realizowanych zadań. Prezes danego sądu występuje tutaj w podwójnej roli. Z jednej strony jest administratorem danych osobowych przetwarzanych w związku z działalnością administracyjną sądów, z drugiej strony jest reprezentantem sądu występującego w roli administratora danych osobowych przetwarzanych w postępowaniach sądowych w ramach sprawowania wymiaru sprawiedliwości albo realizacji zadań z zakresu ochrony prawnej – stosownie do art. 22 § 1 pkt 1 u.s.p. </w:t>
            </w:r>
          </w:p>
          <w:p w14:paraId="0FC88173"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Koncepcja współadministratora, jaką proponuje projekt ustawy w art. 175da, jest zgodna z jej znaczeniem uregulowanym przez art. 26 RODO i ma odniesienie do regulowanej przepisem art. 175da sytuacji, ponieważ, zgodnie </w:t>
            </w:r>
            <w:r w:rsidRPr="00B302CE">
              <w:rPr>
                <w:rFonts w:ascii="Times New Roman" w:eastAsia="Times New Roman" w:hAnsi="Times New Roman"/>
                <w:bCs/>
                <w:lang w:eastAsia="pl-PL"/>
              </w:rPr>
              <w:lastRenderedPageBreak/>
              <w:t xml:space="preserve">z art. 26 ust. 1 zdanie 1 RODO: Jeżeli co najmniej dwóch administratorów wspólnie ustala cele i sposoby przetwarzania, są oni współadministratorami. Zgodnie z przyjętym rozumieniem tego zagadnienia, ze współadministrowaniem mamy do czynienia wtedy, gdy jeden, bądź kilka celów jest realizowanych przez więcej niż jednego administratora danych osobowych z wykorzystaniem tych samych zasobów, jakimi w tym przypadku są dane osobowe, a zatem jest to dokładnie sytuacja, którą opisuje art. 175da. </w:t>
            </w:r>
          </w:p>
          <w:p w14:paraId="1A1AC942"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Warunkiem uznania danej relacji za współadministrowanie jest to, że każdy z uczestniczących w niej podmiotów ma status administratora. Artykuł 26 RODO opiera się na pojęciu, zdefiniowanym w art. 4 pkt 7 RODO, zgodnie z którym administrator oznacza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 Istotą administrowania jest decydowanie o celach i sposobach przetwarzania danych oraz ponoszenie odpowiedzialności za przetwarzanie danych, przy czym już w definicji prawodawca unijny przewidział możliwość, aby działania te były realizowane wspólnie przez kilka podmiotów. Cele i sposoby przetwarzania mogą być ustalane wspólnie przez kilku (dwóch lub więcej) administratorów. W praktyce jednym z czynników mających istotne znaczenie dla oceny, czy mamy do czynienia z współadministrowaniem danymi, jest wspólne wykorzystywanie tych samych danych osobowych przez kilku administratorów (określane również jako współdzielenie zasobów). </w:t>
            </w:r>
          </w:p>
          <w:p w14:paraId="10A7B076"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Cel przetwarzania nie musi być dla wszystkich współadministratorów tożsamy, wystarczy jedynie, że dokonują oni wspólnych ustaleń co do celów i sposobów przetwarzania określonych danych. Cele zatem nie muszą być tożsame, ale powinny być ustalane w drodze wspólnych uzgodnień (art. 26 ust. 1 RODO). Tak wynika również z innych wersji językowych RODO: np. angielskie </w:t>
            </w:r>
            <w:r w:rsidRPr="00B302CE">
              <w:rPr>
                <w:rFonts w:ascii="Times New Roman" w:eastAsia="Times New Roman" w:hAnsi="Times New Roman"/>
                <w:bCs/>
                <w:i/>
                <w:lang w:eastAsia="pl-PL"/>
              </w:rPr>
              <w:t>jointly</w:t>
            </w:r>
            <w:r w:rsidRPr="00B302CE">
              <w:rPr>
                <w:rFonts w:ascii="Times New Roman" w:eastAsia="Times New Roman" w:hAnsi="Times New Roman"/>
                <w:bCs/>
                <w:lang w:eastAsia="pl-PL"/>
              </w:rPr>
              <w:t xml:space="preserve"> czy francuskie </w:t>
            </w:r>
            <w:r w:rsidRPr="00B302CE">
              <w:rPr>
                <w:rFonts w:ascii="Times New Roman" w:eastAsia="Times New Roman" w:hAnsi="Times New Roman"/>
                <w:bCs/>
                <w:i/>
                <w:lang w:eastAsia="pl-PL"/>
              </w:rPr>
              <w:t>conjointement</w:t>
            </w:r>
            <w:r w:rsidRPr="00B302CE">
              <w:rPr>
                <w:rFonts w:ascii="Times New Roman" w:eastAsia="Times New Roman" w:hAnsi="Times New Roman"/>
                <w:bCs/>
                <w:lang w:eastAsia="pl-PL"/>
              </w:rPr>
              <w:t xml:space="preserve"> sugerują, że administratorzy muszą się porozumieć w zakresie celów i sposobów przetwarzania danych osobowych. Wykładnia językowa wskazuje zatem, że „wspólne” ustalenia oznaczają komunikację pomiędzy administratorami w powyższym zakresie. Ponadto również w literaturze przedmiotu wskazuje się na podstawie orzecznictwa TSUE, że „cel przetwarzania danych nie musi być wspólny dla współadministratorów, co oznacza, że każdy z nich może przetwarzać dane osobowe dla własnego celu, które to cele w sumie składają się na cel przetwarzania danych w ramach procesu przetwarzania objętego współadministrowaniem” (zob. P. Barta, M. Kawecki, P. Litwiński, Komentarz do art. 26, teza 2 [w:] Ogólne rozporządzenie o ochronie danych..., red. P. Litwiński, s. 300). W doktrynie niemieckiej wskazuje się, że współadministrowanie przybierać może dwie podstawowe formy: pełnego i częściowego współadministrowania. J. Hartung argumentuje, że w przypadku pełnego współadministrowania dochodzi do pełnego i zgodnego działania przy określaniu celów i sposobów przetwarzania. Natomiast przy częściowym współadministrowaniu administratorzy zachowują większą swobodę, a poszczególne podmioty określają jedynie niektóre ze sposobów lub celów. W tym modelu współdecydowanie nie rozciąga się więc równomiernie na wszystkie obszary danego przetwarzania. Ustalanie celów i sposobów przetwarzania „wspólnie” z innymi administratorami sprowadzać się może zarówno do ustalania razem z innymi administratorami lub innym administratorem tych celów, ale też może oznaczać ustalanie ich niesamodzielnie, w różnych konfiguracjach i zakresach. Udział stron w tym procesie decyzyjnym może więc przyjmować różne formy, a kwalifikacja podmiotowa i przypisanie statusu współadministratora następować musi z odpowiednią dozą elastyczności i z uwzględnieniem możliwie dużej różnorodności rodzajów pluralistycznej kontroli nad danymi (cyt. za: K. Witkowska-Nowakowska, Komentarz do art. 26, teza 7 [w:] RODO. Ogólne rozporządzenie o ochronie danych. Komentarz, red. E. Bielak-Jomaa, D. Lubasz, LEX).</w:t>
            </w:r>
          </w:p>
          <w:p w14:paraId="0C295D49"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Niejednokrotnie relacje współadministrowania są trudne do oceny i dotyczą wielu złożonych aspektów przetwarzania. Ten system przetwarzania z założenia nie jest transparentny, więc aby zapewnić realizację zasad rozporządzenia 2016/679, niezbędne jest znaczne zaangażowanie podmiotów uczestniczących w przetwarzaniu na zasadzie współadministrowania, ustalenie reguł postępowania w tych wspólnych relacjach oraz wzajemnych kompetencji. To specyficzne i złożone środowisko przetwarzania wymaga takich ustaleń, by łatwo można było przypisać współadministratorom role i zakres obowiązków. Z drugiej strony, ta złożoność i zawiłość relacji wyklucza możliwość stworzenia kompletnej, zamkniętej listy przypadków sprawowania wspólnej kontroli nad celami i sposobami przetwarzania.</w:t>
            </w:r>
          </w:p>
          <w:p w14:paraId="29EC78C3" w14:textId="198E36E0"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Najważniejszym celem przetwarzania danych osobowych w związku z informatyzacją sądownictwa jest zapewnienie sprawności czy przyspieszenie prowadzonych postępowań. </w:t>
            </w:r>
            <w:r w:rsidR="007A6106" w:rsidRPr="00B302CE">
              <w:rPr>
                <w:rFonts w:ascii="Times New Roman" w:eastAsia="Times New Roman" w:hAnsi="Times New Roman"/>
                <w:bCs/>
                <w:lang w:eastAsia="pl-PL"/>
              </w:rPr>
              <w:t xml:space="preserve">Celów tych będzie znacznie więcej, jak np. sprawowanie wymiaru sprawiedliwości (przetwarzanie danych biegłych sądowych, lekarzy sądowych, ławników, mediatorów, stron postępowania, świadków), zapewnienie sprawności administracyjnej sądów, realizacja nadzoru </w:t>
            </w:r>
            <w:r w:rsidR="007A6106" w:rsidRPr="00B302CE">
              <w:rPr>
                <w:rFonts w:ascii="Times New Roman" w:eastAsia="Times New Roman" w:hAnsi="Times New Roman"/>
                <w:bCs/>
                <w:lang w:eastAsia="pl-PL"/>
              </w:rPr>
              <w:lastRenderedPageBreak/>
              <w:t xml:space="preserve">administracyjnego przez Ministra Sprawiedliwości i prezesa właściwego sądu, etatyzacja sądownictwa (zatrudnienie w sądzie, dotyczące osób uczących się, kandydatów do pracy, pracowników, świadczenie usług na podstawie umów cywilnoprawnych, prowadzenie zamówień publicznych, wystawienie faktury, rachunku i prowadzenie sprawozdawczości finansowej), zapewnienie bezpieczeństwa osób i mienia, w tym przetwarzanie danych osób w systemie monitoringu wizyjnego, etc. </w:t>
            </w:r>
            <w:r w:rsidRPr="00B302CE">
              <w:rPr>
                <w:rFonts w:ascii="Times New Roman" w:eastAsia="Times New Roman" w:hAnsi="Times New Roman"/>
                <w:bCs/>
                <w:lang w:eastAsia="pl-PL"/>
              </w:rPr>
              <w:t>Początku tego celu w przypadku postępowań sądowych można się doszukać już w art. 45 ust. 1 Konstytucji RP, zgodnie z którym każdy ma prawo do sprawiedliwego i jawnego rozpatrzenia sprawy bez nieuzasadnionej zwłoki przez właściwy, niezależny, bezstronny i niezawisły sąd. Adresatem normy m.in. „o prawie rozpatrzenia sprawy bez nieuzasadnionej zwłoki”, obok obywateli i sądów, jest także Minister Sprawiedliwości, który sprawuje nadzór administracyjny nad sądami powszechnymi. Przy tym Konstytucja RP stanowi prawa podstawowe dla państwa oparte na współdziałaniu władz, w tym przypadku władzy wykonawczej i sądowniczej.</w:t>
            </w:r>
          </w:p>
          <w:p w14:paraId="6FE19000"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Każdy ze współadministratorów zobowiązany jest do realizacji zasady „minimalizacji danych” wyrażonej w art. 5 ust. 1 lit. c) RODO – zgodnie z którą dane osobowe muszą być „adekwatne, stosowne oraz ograniczone do tego, co niezbędne do celów, w których są przetwarzane”. Oznacza to, że każdy z podmiotów może przetwarzać dane w zakresie niezbędnym do realizacji zadań oraz celów przetwarzania, określonych w przepisach prawa. W tym zakresie należy uwzględnić fakt, że Minister Sprawiedliwości realizuje zadania związane wyłącznie z technicznym i administracyjnym utrzymaniem i zachowaniem ciągłości działania systemów teleinformatycznych (por. art. 175da § 1 i § 5 u.s.p.). Natomiast obszar funkcjonalny systemów teleinformatycznych oraz danych przetwarzanych w tych systemach jest zawsze w kompetencji i odpowiedzialności jednostek sądów. </w:t>
            </w:r>
          </w:p>
          <w:p w14:paraId="3B5E54EC"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Minister Sprawiedliwości został uprawniony do powierzenia, w drodze zarządzenia, dyrektorom sądów apelacyjnych wykonywania niektórych zadań związanych z informatyzacją sądownictwa. Konstrukcja przewidująca powierzenie przez Ministra Sprawiedliwości zadań związanych z informatyzacją sądownictwa w drodze zarządzenia Ministra Sprawiedliwości argumentowana jest tym, że są to przepisy o charakterze organizacyjno-technicznym, skierowane do wewnętrznych organów sądów, nie wywołujące skutków dla osób trzecich. Kryterium podziału jest zatem zakres obowiązywania aktu prawnego </w:t>
            </w:r>
            <w:r w:rsidRPr="00B302CE">
              <w:rPr>
                <w:rFonts w:ascii="Times New Roman" w:eastAsia="Times New Roman" w:hAnsi="Times New Roman"/>
                <w:bCs/>
                <w:lang w:eastAsia="pl-PL"/>
              </w:rPr>
              <w:noBreakHyphen/>
              <w:t xml:space="preserve"> powierzenie dyrektorom sądów apelacyjnych wykonywania niektórych zadań związanych z informatyzacją sądownictwa nie wywołuje skutków dla obywateli i obowiązuje względem podległych Ministrowi Sprawiedliwości wewnętrznych organów sądów.</w:t>
            </w:r>
          </w:p>
          <w:p w14:paraId="2CECC491" w14:textId="417BF72C" w:rsidR="00F5245B" w:rsidRPr="00B302CE" w:rsidRDefault="00893956"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Minister Sprawiedliwości może, w drodze porozumienia, powierzyć innym niż dyrektorzy sądów apelacyjnych podmiotom realizującym zadania publiczne, o których mowa w art. 2 ust. 1 ustawy z dnia 17 lutego 2005 r. o informatyzacji działalności podmiotów realizujących zadania publiczne (Dz. U. z 202</w:t>
            </w:r>
            <w:r w:rsidR="00F11DAA">
              <w:rPr>
                <w:rFonts w:ascii="Times New Roman" w:eastAsia="Times New Roman" w:hAnsi="Times New Roman"/>
                <w:bCs/>
                <w:lang w:eastAsia="pl-PL"/>
              </w:rPr>
              <w:t>3</w:t>
            </w:r>
            <w:r w:rsidRPr="00B302CE">
              <w:rPr>
                <w:rFonts w:ascii="Times New Roman" w:eastAsia="Times New Roman" w:hAnsi="Times New Roman"/>
                <w:bCs/>
                <w:lang w:eastAsia="pl-PL"/>
              </w:rPr>
              <w:t xml:space="preserve"> r. </w:t>
            </w:r>
            <w:r w:rsidR="00EB15B9">
              <w:rPr>
                <w:rFonts w:ascii="Times New Roman" w:eastAsia="Times New Roman" w:hAnsi="Times New Roman"/>
                <w:bCs/>
                <w:lang w:eastAsia="pl-PL"/>
              </w:rPr>
              <w:t>poz. 57</w:t>
            </w:r>
            <w:r w:rsidRPr="00B302CE">
              <w:rPr>
                <w:rFonts w:ascii="Times New Roman" w:eastAsia="Times New Roman" w:hAnsi="Times New Roman"/>
                <w:bCs/>
                <w:lang w:eastAsia="pl-PL"/>
              </w:rPr>
              <w:t>), wykonywanie niektórych zadań związanych z informatyzacją sądownictwa</w:t>
            </w:r>
            <w:r w:rsidR="00F5245B" w:rsidRPr="00B302CE">
              <w:rPr>
                <w:rFonts w:ascii="Times New Roman" w:eastAsia="Times New Roman" w:hAnsi="Times New Roman"/>
                <w:bCs/>
                <w:lang w:eastAsia="pl-PL"/>
              </w:rPr>
              <w:t>. Projekt przyjmuje formułę porozumienia w tym zakresie, a zatem wymaga zgody danego podmiotu na przyjęcie dodatkowych zadań (art. 175da § 8 u.s.p.).</w:t>
            </w:r>
            <w:r w:rsidR="00835272" w:rsidRPr="00B302CE">
              <w:rPr>
                <w:rFonts w:ascii="Times" w:eastAsia="Times New Roman" w:hAnsi="Times" w:cs="Arial"/>
                <w:bCs/>
                <w:sz w:val="24"/>
                <w:szCs w:val="20"/>
                <w:lang w:eastAsia="pl-PL"/>
              </w:rPr>
              <w:t xml:space="preserve"> </w:t>
            </w:r>
            <w:r w:rsidR="00835272" w:rsidRPr="00B302CE">
              <w:rPr>
                <w:rFonts w:ascii="Times New Roman" w:eastAsia="Times New Roman" w:hAnsi="Times New Roman"/>
                <w:bCs/>
                <w:lang w:eastAsia="pl-PL"/>
              </w:rPr>
              <w:t>Minister Sprawiedliwości dysponuje swobodą w zakresie wyboru podmiotów publicznych realizujących zadania publiczne, o których mowa w art. 2 ust. 1 ustawy z dnia 17 lutego 2005 r. o informatyzacji działalności podmiotów realizujących zadania publiczne, którym powierzy wykonywanie niektórych zadań związanych z informatyzacją sądownictwa. Podstawą powierzenia zadań będzie porozumienie zawarte między Ministrem Sprawiedliwości a ww. podmiotem. Zadania w tym zakresie będą związane jednak co do zasady z tworzeniem i/lub administrowaniem systemu teleinformatycznego, etc. (por. art. 175da § 1 u.s.p.). Administrowanie/współadministrowanie danymi osobowymi pozostanie bez zmian w stosunku do regulacji np. art. 175a, art. 175da, art. 175db. Kwestię tą będzie mogło określać porozumienie wymienione w projektowanym przepisie art. 175da § 8 u.s.p., ale Minister Sprawiedliwości będzie upraw</w:t>
            </w:r>
            <w:r w:rsidR="0019307C" w:rsidRPr="00B302CE">
              <w:rPr>
                <w:rFonts w:ascii="Times New Roman" w:eastAsia="Times New Roman" w:hAnsi="Times New Roman"/>
                <w:bCs/>
                <w:lang w:eastAsia="pl-PL"/>
              </w:rPr>
              <w:t>n</w:t>
            </w:r>
            <w:r w:rsidR="00835272" w:rsidRPr="00B302CE">
              <w:rPr>
                <w:rFonts w:ascii="Times New Roman" w:eastAsia="Times New Roman" w:hAnsi="Times New Roman"/>
                <w:bCs/>
                <w:lang w:eastAsia="pl-PL"/>
              </w:rPr>
              <w:t>iony do powierzenia w tym porozumieniu przetwarzania danych osobowych tylko w takim w zakresie, w jakim sam może przetwarzać dane osobowe jako administrator/współadministrator.</w:t>
            </w:r>
          </w:p>
          <w:p w14:paraId="123DB88F" w14:textId="3E74A8CA"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Rola Ministra Sprawiedliwości, niezależnie od odpowiedzialności za utrzymanie systemów teleinformatycznych, określonych w art. 175da § 2, polegać ma ponadto na zapewnieniu spójności architektonicznej rozwiązań informatycznych stosowanych w sądach powszechnych oraz ich interoperacyjności na poziomie krajowym i międzynarodowym. Narzędziem służącym do osiągnięcia tego celu jest delegacja ustawowa uprawniająca Ministra Sprawiedliwości do określenia w drodze rozporządzenia, w porozumieniu z ministrem właściwym do spraw informatyzacji, opisu systemów informatycznych (struktura, minimalna funkcjonalność, zakres komunikacji pomiędzy elementami systemu bądź pomiędzy systemami), wymagania standaryzujące w zakresie bezpieczeństwa, wydajności i rozwoju systemów, a także sposób postępowania w zakresie stwierdzania zgodności oprogramowania z opisem systemów (art. 175da § 9 u.s.p.).</w:t>
            </w:r>
          </w:p>
          <w:p w14:paraId="1C7C2E0B" w14:textId="0E1D5B65" w:rsidR="00882FCA" w:rsidRPr="00B302CE" w:rsidRDefault="00882FCA" w:rsidP="00882FCA">
            <w:pPr>
              <w:suppressAutoHyphens/>
              <w:autoSpaceDE w:val="0"/>
              <w:autoSpaceDN w:val="0"/>
              <w:adjustRightInd w:val="0"/>
              <w:spacing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lastRenderedPageBreak/>
              <w:t xml:space="preserve">Zmiana w art. 179a w § 1 w pkt 1 u.s.p. polegająca na zastąpieniu wyrazów „informatyzacji sądów” wyrazami „informatyzacji sądownictwa” ma charakter wynikowy – stanowi wyraz dostosowania do terminologii określonej w projektowanym art. 175da u.s.p. </w:t>
            </w:r>
          </w:p>
          <w:p w14:paraId="64DDFD2B" w14:textId="77777777" w:rsidR="00F5245B" w:rsidRPr="00B302CE" w:rsidRDefault="00F5245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 xml:space="preserve">Projekt ustawy w dodanym art. 179b § 1 i 2 przewiduje, że niektóre zadania sądów związane z pobieraniem opłat oraz innych kosztów i należności sądowych wnoszonych za pomocą systemów teleinformatycznych mogą być wykonywane przez inne sądy. W tym celu konieczne było wprowadzenie wspólnego rachunku bankowego, tj. umożliwienie wykonywania określonych czynności dokonywanych w odniesieniu do określonego rodzaju należności   przy użyciu wspólnego rachunku bankowego. W § 2 art. 179b zaprojektowano delegację ustawową, która określi rodzaj należności pieniężnych, które będą obsługiwane przy użyciu rachunku bankowego jednego, wskazanego w tym akcie sądu. Na podstawie ww. delegacji ustawowej, Minister Sprawiedliwości będzie mógł wyznaczyć, w drodze rozporządzenia, sąd apelacyjny właściwy w ww. zakresie. Przyjęta forma rozporządzenia znajduje uzasadnienie, bowiem akt ten będzie wywoływał skutek także względem stron i uczestników postępowań </w:t>
            </w:r>
            <w:r w:rsidRPr="00B302CE">
              <w:rPr>
                <w:rFonts w:ascii="Times New Roman" w:eastAsia="Times New Roman" w:hAnsi="Times New Roman"/>
                <w:bCs/>
                <w:lang w:eastAsia="pl-PL"/>
              </w:rPr>
              <w:noBreakHyphen/>
              <w:t xml:space="preserve"> rozporządzenie wskaże rodzaj należności pieniężnych, które będą obsługiwane przy użyciu rachunku bankowego jednego, wskazanego w tym akcie sądu, co ułatwi wnoszenie należności pieniężnych przez obywateli.</w:t>
            </w:r>
          </w:p>
          <w:p w14:paraId="334655CE" w14:textId="174AFE5B" w:rsidR="00F5245B" w:rsidRPr="00B302CE" w:rsidRDefault="00F80B1B" w:rsidP="00F70260">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Artykuł 2 ustawy określa sytuację prawną pracowników wykonujących zadania z zakresu informatyzacji sądownictwa oraz obsługi informatycznej sądów, którzy przed dniem wejścia w życie niniejszej ustawy są zatrudnieni przez dyrektorów sądów w sądach okręgowych i sądach rejonowych działających na obszarze danej apelacji, a po wejściu w życie tej ustawy zatrudnienie takich pracowników będzie w wyłącznej kompetencji dyrektora sądu apelacyjnego.</w:t>
            </w:r>
            <w:r w:rsidR="00F5245B" w:rsidRPr="00B302CE">
              <w:rPr>
                <w:rFonts w:ascii="Times New Roman" w:eastAsia="Times New Roman" w:hAnsi="Times New Roman"/>
                <w:bCs/>
                <w:lang w:eastAsia="pl-PL"/>
              </w:rPr>
              <w:t xml:space="preserve"> Zgodnie z art. 2 ustawy pracownicy sądów wykonujący zadania z zakresu informatyzacji sądownictwa oraz obsługi informatycznej sądów zatrudnieni w sądach okręgowych i sądach rejonowych działających na obszarze właściwości danego sądu apelacyjnego z dniem wejścia w życie niniejszej ustawy stają się pracownikami wykonującymi zadania z zakresu informatyzacji sądownictwa oraz obsługi informatycznej sądów zatrudnionymi w tym sądzie apelacyjnym i zachowują ciągłość pracy. Miejsce wykonywania obowiązków służbowych nie ulega zmianie.</w:t>
            </w:r>
          </w:p>
          <w:p w14:paraId="3071DC23" w14:textId="330CB004" w:rsidR="00F5245B" w:rsidRPr="00B302CE" w:rsidRDefault="00F5245B" w:rsidP="003C7CF4">
            <w:pPr>
              <w:suppressAutoHyphens/>
              <w:autoSpaceDE w:val="0"/>
              <w:autoSpaceDN w:val="0"/>
              <w:adjustRightInd w:val="0"/>
              <w:spacing w:before="120" w:line="240" w:lineRule="auto"/>
              <w:ind w:firstLine="510"/>
              <w:jc w:val="both"/>
              <w:rPr>
                <w:rFonts w:ascii="Times New Roman" w:eastAsia="Times New Roman" w:hAnsi="Times New Roman"/>
                <w:bCs/>
                <w:lang w:eastAsia="pl-PL"/>
              </w:rPr>
            </w:pPr>
            <w:r w:rsidRPr="00B302CE">
              <w:rPr>
                <w:rFonts w:ascii="Times New Roman" w:eastAsia="Times New Roman" w:hAnsi="Times New Roman"/>
                <w:bCs/>
                <w:lang w:eastAsia="pl-PL"/>
              </w:rPr>
              <w:t>Z powyższego przepisu wynika, że w umowach o pracę takich pracowników obecnie zatrudnionych przez dyrektora sądu okręgowego lub dyrektora sądu rejonowego nastąpi zmiana po stronie pracodawcy. Jednocześnie miejsce świadczenia pracy dotychczasowo zatrudnionych pracowników nie ulegnie zmianie. Podobnie niezmienione pozostaną dotychczasowe warunki pracy i płacy. Ewentualne zmiany w tym zakresie będą możliwe w przyszłości na zasadach ogólnych przewidzianych w kodeksie pracy.</w:t>
            </w:r>
          </w:p>
        </w:tc>
      </w:tr>
      <w:bookmarkEnd w:id="1"/>
      <w:tr w:rsidR="00B302CE" w:rsidRPr="00B302CE" w14:paraId="74AE0C80" w14:textId="77777777" w:rsidTr="00F70260">
        <w:trPr>
          <w:gridAfter w:val="1"/>
          <w:wAfter w:w="40" w:type="dxa"/>
          <w:trHeight w:val="307"/>
          <w:jc w:val="center"/>
        </w:trPr>
        <w:tc>
          <w:tcPr>
            <w:tcW w:w="10876" w:type="dxa"/>
            <w:gridSpan w:val="22"/>
            <w:shd w:val="clear" w:color="auto" w:fill="99CCFF"/>
            <w:vAlign w:val="center"/>
          </w:tcPr>
          <w:p w14:paraId="5BD77B9D" w14:textId="77777777" w:rsidR="00F5245B" w:rsidRPr="00B302CE" w:rsidRDefault="00F5245B" w:rsidP="00F70260">
            <w:pPr>
              <w:numPr>
                <w:ilvl w:val="0"/>
                <w:numId w:val="1"/>
              </w:numPr>
              <w:spacing w:before="60" w:after="60" w:line="240" w:lineRule="auto"/>
              <w:jc w:val="both"/>
              <w:rPr>
                <w:rFonts w:ascii="Times New Roman" w:hAnsi="Times New Roman"/>
                <w:b/>
              </w:rPr>
            </w:pPr>
            <w:r w:rsidRPr="00B302CE">
              <w:rPr>
                <w:rFonts w:ascii="Times New Roman" w:hAnsi="Times New Roman"/>
                <w:b/>
                <w:spacing w:val="-2"/>
              </w:rPr>
              <w:lastRenderedPageBreak/>
              <w:t>Jak problem został rozwiązany w innych krajach, w szczególności krajach członkowskich OECD/UE</w:t>
            </w:r>
            <w:r w:rsidRPr="00B302CE">
              <w:rPr>
                <w:rFonts w:ascii="Times New Roman" w:hAnsi="Times New Roman"/>
                <w:b/>
              </w:rPr>
              <w:t>?</w:t>
            </w:r>
            <w:r w:rsidRPr="00B302CE">
              <w:rPr>
                <w:rFonts w:ascii="Times New Roman" w:hAnsi="Times New Roman"/>
                <w:i/>
              </w:rPr>
              <w:t xml:space="preserve"> </w:t>
            </w:r>
          </w:p>
        </w:tc>
      </w:tr>
      <w:tr w:rsidR="00B302CE" w:rsidRPr="00B302CE" w14:paraId="49F6C6BE" w14:textId="77777777" w:rsidTr="00F70260">
        <w:trPr>
          <w:gridAfter w:val="1"/>
          <w:wAfter w:w="40" w:type="dxa"/>
          <w:trHeight w:val="512"/>
          <w:jc w:val="center"/>
        </w:trPr>
        <w:tc>
          <w:tcPr>
            <w:tcW w:w="10876" w:type="dxa"/>
            <w:gridSpan w:val="22"/>
            <w:shd w:val="clear" w:color="auto" w:fill="auto"/>
          </w:tcPr>
          <w:p w14:paraId="54227BDE" w14:textId="77777777" w:rsidR="00F5245B" w:rsidRPr="00B302CE" w:rsidRDefault="00F5245B" w:rsidP="00F70260">
            <w:pPr>
              <w:spacing w:before="120" w:after="120" w:line="240" w:lineRule="auto"/>
              <w:jc w:val="both"/>
              <w:rPr>
                <w:rFonts w:ascii="Times New Roman" w:hAnsi="Times New Roman"/>
              </w:rPr>
            </w:pPr>
            <w:r w:rsidRPr="00B302CE">
              <w:rPr>
                <w:rFonts w:ascii="Times New Roman" w:hAnsi="Times New Roman"/>
                <w:lang w:eastAsia="pl-PL"/>
              </w:rPr>
              <w:t xml:space="preserve">Projektowana regulacja ze względu na stopień jej szczegółowości nie była poddawana analizie prawnoporównawczej. </w:t>
            </w:r>
          </w:p>
        </w:tc>
      </w:tr>
      <w:tr w:rsidR="00B302CE" w:rsidRPr="00B302CE" w14:paraId="1AD2F2DC" w14:textId="77777777" w:rsidTr="00F70260">
        <w:trPr>
          <w:gridAfter w:val="1"/>
          <w:wAfter w:w="40" w:type="dxa"/>
          <w:trHeight w:val="359"/>
          <w:jc w:val="center"/>
        </w:trPr>
        <w:tc>
          <w:tcPr>
            <w:tcW w:w="10876" w:type="dxa"/>
            <w:gridSpan w:val="22"/>
            <w:shd w:val="clear" w:color="auto" w:fill="99CCFF"/>
            <w:vAlign w:val="center"/>
          </w:tcPr>
          <w:p w14:paraId="1B3351B9" w14:textId="77777777" w:rsidR="00F5245B" w:rsidRPr="00B302CE" w:rsidRDefault="00F5245B" w:rsidP="00F70260">
            <w:pPr>
              <w:numPr>
                <w:ilvl w:val="0"/>
                <w:numId w:val="1"/>
              </w:numPr>
              <w:spacing w:before="60" w:after="60" w:line="240" w:lineRule="auto"/>
              <w:jc w:val="both"/>
              <w:rPr>
                <w:rFonts w:ascii="Times New Roman" w:hAnsi="Times New Roman"/>
                <w:b/>
              </w:rPr>
            </w:pPr>
            <w:r w:rsidRPr="00B302CE">
              <w:rPr>
                <w:rFonts w:ascii="Times New Roman" w:hAnsi="Times New Roman"/>
                <w:b/>
              </w:rPr>
              <w:t>Podmioty, na które oddziałuje projekt</w:t>
            </w:r>
          </w:p>
        </w:tc>
      </w:tr>
      <w:tr w:rsidR="00B302CE" w:rsidRPr="00B302CE" w14:paraId="7495D094" w14:textId="77777777" w:rsidTr="00F70260">
        <w:trPr>
          <w:gridAfter w:val="1"/>
          <w:wAfter w:w="40" w:type="dxa"/>
          <w:trHeight w:val="142"/>
          <w:jc w:val="center"/>
        </w:trPr>
        <w:tc>
          <w:tcPr>
            <w:tcW w:w="2260" w:type="dxa"/>
            <w:shd w:val="clear" w:color="auto" w:fill="auto"/>
          </w:tcPr>
          <w:p w14:paraId="29BBB4CB" w14:textId="77777777" w:rsidR="00F5245B" w:rsidRPr="00B302CE" w:rsidRDefault="00F5245B" w:rsidP="00F70260">
            <w:pPr>
              <w:spacing w:before="120" w:after="120" w:line="240" w:lineRule="auto"/>
              <w:jc w:val="center"/>
              <w:rPr>
                <w:rFonts w:ascii="Times New Roman" w:hAnsi="Times New Roman"/>
                <w:spacing w:val="-2"/>
              </w:rPr>
            </w:pPr>
            <w:r w:rsidRPr="00B302CE">
              <w:rPr>
                <w:rFonts w:ascii="Times New Roman" w:hAnsi="Times New Roman"/>
                <w:spacing w:val="-2"/>
              </w:rPr>
              <w:t>Grupa</w:t>
            </w:r>
          </w:p>
        </w:tc>
        <w:tc>
          <w:tcPr>
            <w:tcW w:w="3092" w:type="dxa"/>
            <w:gridSpan w:val="7"/>
            <w:shd w:val="clear" w:color="auto" w:fill="auto"/>
          </w:tcPr>
          <w:p w14:paraId="2113A58B" w14:textId="77777777" w:rsidR="00F5245B" w:rsidRPr="00B302CE" w:rsidRDefault="00F5245B" w:rsidP="00F70260">
            <w:pPr>
              <w:spacing w:before="120" w:after="120" w:line="240" w:lineRule="auto"/>
              <w:jc w:val="center"/>
              <w:rPr>
                <w:rFonts w:ascii="Times New Roman" w:hAnsi="Times New Roman"/>
                <w:spacing w:val="-2"/>
              </w:rPr>
            </w:pPr>
            <w:r w:rsidRPr="00B302CE">
              <w:rPr>
                <w:rFonts w:ascii="Times New Roman" w:hAnsi="Times New Roman"/>
                <w:spacing w:val="-2"/>
              </w:rPr>
              <w:t>Wielkość</w:t>
            </w:r>
          </w:p>
        </w:tc>
        <w:tc>
          <w:tcPr>
            <w:tcW w:w="2248" w:type="dxa"/>
            <w:gridSpan w:val="6"/>
            <w:shd w:val="clear" w:color="auto" w:fill="auto"/>
          </w:tcPr>
          <w:p w14:paraId="09C27827" w14:textId="77777777" w:rsidR="00F5245B" w:rsidRPr="00B302CE" w:rsidRDefault="00F5245B" w:rsidP="00F70260">
            <w:pPr>
              <w:spacing w:before="120" w:after="120" w:line="240" w:lineRule="auto"/>
              <w:jc w:val="center"/>
              <w:rPr>
                <w:rFonts w:ascii="Times New Roman" w:hAnsi="Times New Roman"/>
                <w:spacing w:val="-2"/>
              </w:rPr>
            </w:pPr>
            <w:r w:rsidRPr="00B302CE">
              <w:rPr>
                <w:rFonts w:ascii="Times New Roman" w:hAnsi="Times New Roman"/>
                <w:spacing w:val="-2"/>
              </w:rPr>
              <w:t>Źródło danych</w:t>
            </w:r>
            <w:r w:rsidRPr="00B302CE" w:rsidDel="00260F33">
              <w:rPr>
                <w:rFonts w:ascii="Times New Roman" w:hAnsi="Times New Roman"/>
                <w:spacing w:val="-2"/>
              </w:rPr>
              <w:t xml:space="preserve"> </w:t>
            </w:r>
          </w:p>
        </w:tc>
        <w:tc>
          <w:tcPr>
            <w:tcW w:w="3276" w:type="dxa"/>
            <w:gridSpan w:val="8"/>
            <w:shd w:val="clear" w:color="auto" w:fill="auto"/>
          </w:tcPr>
          <w:p w14:paraId="04881B8E" w14:textId="77777777" w:rsidR="00F5245B" w:rsidRPr="00B302CE" w:rsidRDefault="00F5245B" w:rsidP="00F70260">
            <w:pPr>
              <w:spacing w:before="120" w:after="120" w:line="240" w:lineRule="auto"/>
              <w:jc w:val="center"/>
              <w:rPr>
                <w:rFonts w:ascii="Times New Roman" w:hAnsi="Times New Roman"/>
                <w:spacing w:val="-2"/>
              </w:rPr>
            </w:pPr>
            <w:r w:rsidRPr="00B302CE">
              <w:rPr>
                <w:rFonts w:ascii="Times New Roman" w:hAnsi="Times New Roman"/>
                <w:spacing w:val="-2"/>
              </w:rPr>
              <w:t>Oddziaływanie</w:t>
            </w:r>
          </w:p>
        </w:tc>
      </w:tr>
      <w:tr w:rsidR="00B302CE" w:rsidRPr="00B302CE" w14:paraId="014200DD" w14:textId="77777777" w:rsidTr="00F70260">
        <w:trPr>
          <w:gridAfter w:val="1"/>
          <w:wAfter w:w="40" w:type="dxa"/>
          <w:trHeight w:val="699"/>
          <w:jc w:val="center"/>
        </w:trPr>
        <w:tc>
          <w:tcPr>
            <w:tcW w:w="2260" w:type="dxa"/>
            <w:shd w:val="clear" w:color="auto" w:fill="auto"/>
            <w:vAlign w:val="center"/>
          </w:tcPr>
          <w:p w14:paraId="326FAE3C" w14:textId="77777777" w:rsidR="00F5245B" w:rsidRPr="00B302CE" w:rsidRDefault="00F5245B" w:rsidP="00F70260">
            <w:pPr>
              <w:spacing w:before="120" w:after="120" w:line="240" w:lineRule="auto"/>
              <w:ind w:left="34"/>
              <w:rPr>
                <w:rFonts w:ascii="Times New Roman" w:hAnsi="Times New Roman"/>
              </w:rPr>
            </w:pPr>
            <w:r w:rsidRPr="00B302CE">
              <w:rPr>
                <w:rFonts w:ascii="Times New Roman" w:hAnsi="Times New Roman"/>
              </w:rPr>
              <w:t>Minister Sprawiedliwości</w:t>
            </w:r>
          </w:p>
        </w:tc>
        <w:tc>
          <w:tcPr>
            <w:tcW w:w="3092" w:type="dxa"/>
            <w:gridSpan w:val="7"/>
            <w:shd w:val="clear" w:color="auto" w:fill="auto"/>
            <w:vAlign w:val="center"/>
          </w:tcPr>
          <w:p w14:paraId="017C0001"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1</w:t>
            </w:r>
          </w:p>
        </w:tc>
        <w:tc>
          <w:tcPr>
            <w:tcW w:w="2248" w:type="dxa"/>
            <w:gridSpan w:val="6"/>
            <w:shd w:val="clear" w:color="auto" w:fill="auto"/>
            <w:vAlign w:val="center"/>
          </w:tcPr>
          <w:p w14:paraId="0D18CF6D" w14:textId="77777777" w:rsidR="00F5245B" w:rsidRPr="00B302CE" w:rsidRDefault="00F5245B" w:rsidP="00F70260">
            <w:pPr>
              <w:spacing w:before="120" w:after="120" w:line="240" w:lineRule="auto"/>
              <w:jc w:val="center"/>
              <w:rPr>
                <w:rFonts w:ascii="Times New Roman" w:hAnsi="Times New Roman"/>
                <w:spacing w:val="-2"/>
              </w:rPr>
            </w:pPr>
            <w:r w:rsidRPr="00B302CE">
              <w:rPr>
                <w:rFonts w:ascii="Times New Roman" w:eastAsia="Times New Roman" w:hAnsi="Times New Roman"/>
                <w:lang w:eastAsia="pl-PL"/>
              </w:rPr>
              <w:t>Informacja ogólnodostępna</w:t>
            </w:r>
          </w:p>
        </w:tc>
        <w:tc>
          <w:tcPr>
            <w:tcW w:w="3276" w:type="dxa"/>
            <w:gridSpan w:val="8"/>
            <w:shd w:val="clear" w:color="auto" w:fill="auto"/>
            <w:vAlign w:val="center"/>
          </w:tcPr>
          <w:p w14:paraId="0BDA50C2" w14:textId="3A828797"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Przetwarzanie danych osobowych uczestników postępowań sądowych w zakresie niezbędnym do wykonywania zadań związanych z informatyzacją sądownictwa. Zakres i rodzaj przetwarzanych danych będzie uzależniony od tego, jakie dane będą niezbędne dla realizacji poszczególnych zadań.</w:t>
            </w:r>
          </w:p>
          <w:p w14:paraId="3C986D1E" w14:textId="7740E9EB" w:rsidR="007D5422" w:rsidRPr="00B302CE" w:rsidRDefault="007D5422" w:rsidP="004E2BD2">
            <w:pPr>
              <w:pStyle w:val="Style6"/>
              <w:spacing w:before="120" w:after="120" w:line="240" w:lineRule="auto"/>
              <w:ind w:firstLine="0"/>
              <w:jc w:val="left"/>
              <w:rPr>
                <w:sz w:val="22"/>
                <w:szCs w:val="22"/>
              </w:rPr>
            </w:pPr>
            <w:r w:rsidRPr="00B302CE">
              <w:rPr>
                <w:sz w:val="22"/>
                <w:szCs w:val="22"/>
              </w:rPr>
              <w:t xml:space="preserve">Wykonywanie zadań z zakresu informatyzacji sądownictwa polegających w szczególności na projektowaniu, wdrażaniu, eksploatacji, integracji, utrzymaniu, rozwoju, administrowaniu i udostępnianiu </w:t>
            </w:r>
            <w:r w:rsidRPr="00B302CE">
              <w:rPr>
                <w:sz w:val="22"/>
                <w:szCs w:val="22"/>
              </w:rPr>
              <w:lastRenderedPageBreak/>
              <w:t>sądowych systemów teleinformatycznych, zabezpieczaniu danych osobowych przetwarzanych w</w:t>
            </w:r>
            <w:r w:rsidR="004E2BD2" w:rsidRPr="00B302CE">
              <w:rPr>
                <w:sz w:val="22"/>
                <w:szCs w:val="22"/>
              </w:rPr>
              <w:t> </w:t>
            </w:r>
            <w:r w:rsidRPr="00B302CE">
              <w:rPr>
                <w:sz w:val="22"/>
                <w:szCs w:val="22"/>
              </w:rPr>
              <w:t>tych systemach, koordynowaniu tych działań oraz zapewnieniu możliwości wymiany informacji pomiędzy tymi systemami.</w:t>
            </w:r>
          </w:p>
          <w:p w14:paraId="5158DE62" w14:textId="7E2846CB"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 xml:space="preserve">Możliwość tworzenia i utrzymywania systemów teleinformatycznych </w:t>
            </w:r>
            <w:r w:rsidR="004E2BD2" w:rsidRPr="00B302CE">
              <w:rPr>
                <w:sz w:val="22"/>
                <w:szCs w:val="22"/>
              </w:rPr>
              <w:t xml:space="preserve">wspierających działalność administracyjną sądów, systemów teleinformatycznych obsługujących postępowania sądowe lub ich części, w tym systemów, w których tworzy się lub przetwarza akta sprawy, systemów teleinformatycznych, w których są prowadzone rejestry sądowe, systemów teleinformatycznych, w których są prowadzone urządzenia ewidencyjne </w:t>
            </w:r>
            <w:r w:rsidRPr="00B302CE">
              <w:rPr>
                <w:sz w:val="22"/>
                <w:szCs w:val="22"/>
              </w:rPr>
              <w:t>i innych systemów wspierających działalność administracyjną sądów</w:t>
            </w:r>
            <w:r w:rsidR="004E2BD2" w:rsidRPr="00B302CE">
              <w:rPr>
                <w:sz w:val="22"/>
                <w:szCs w:val="22"/>
              </w:rPr>
              <w:t xml:space="preserve"> (sądowych systemów teleinformatycznych)</w:t>
            </w:r>
            <w:r w:rsidRPr="00B302CE">
              <w:rPr>
                <w:sz w:val="22"/>
                <w:szCs w:val="22"/>
              </w:rPr>
              <w:t>.</w:t>
            </w:r>
          </w:p>
          <w:p w14:paraId="595824C3" w14:textId="5AD702A1"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Obowiązek określenia w drodze rozporządzeń opisu systemów informatycznych, zakresu komunikacji, wymagań w zakresie bezpieczeństwa, wydajności i rozwoju, wskazania sądu apelacyjnego odpowiedzialnego za wspólny rachunek bankowy i przekazania sądom apelacyjnym części zadań w zakresie tworzenia i utrzymywania systemów teleinformatycznych.</w:t>
            </w:r>
          </w:p>
          <w:p w14:paraId="25873631" w14:textId="7052FB60"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 xml:space="preserve">Możliwość powierzenia niektórych zadań związanych </w:t>
            </w:r>
            <w:r w:rsidR="007D5422" w:rsidRPr="00B302CE">
              <w:rPr>
                <w:sz w:val="22"/>
                <w:szCs w:val="22"/>
              </w:rPr>
              <w:t>z informatyzacją sądownictwa</w:t>
            </w:r>
            <w:r w:rsidRPr="00B302CE">
              <w:rPr>
                <w:sz w:val="22"/>
                <w:szCs w:val="22"/>
              </w:rPr>
              <w:t xml:space="preserve"> innym niż dyrektorzy sądów apelacyjnych podmiotom realizującym zadania publiczne.</w:t>
            </w:r>
          </w:p>
          <w:p w14:paraId="4F36B81D" w14:textId="03339D94"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Powierzenie funkcji współadministratora danych osobowych przetwarzanych w systemach teleinformatycznych w ramach sprawowania wymiaru sprawiedliwości albo realizacji zadań z zakresu ochrony prawnej.</w:t>
            </w:r>
          </w:p>
        </w:tc>
      </w:tr>
      <w:tr w:rsidR="00B302CE" w:rsidRPr="00B302CE" w14:paraId="160C6A08" w14:textId="77777777" w:rsidTr="00F70260">
        <w:trPr>
          <w:gridAfter w:val="1"/>
          <w:wAfter w:w="40" w:type="dxa"/>
          <w:trHeight w:val="1399"/>
          <w:jc w:val="center"/>
        </w:trPr>
        <w:tc>
          <w:tcPr>
            <w:tcW w:w="2260" w:type="dxa"/>
            <w:shd w:val="clear" w:color="auto" w:fill="auto"/>
            <w:vAlign w:val="center"/>
          </w:tcPr>
          <w:p w14:paraId="5C27C6F8" w14:textId="77777777" w:rsidR="00F5245B" w:rsidRPr="00B302CE" w:rsidRDefault="00F5245B" w:rsidP="00F70260">
            <w:pPr>
              <w:spacing w:before="120" w:after="120" w:line="240" w:lineRule="auto"/>
              <w:ind w:left="34"/>
              <w:rPr>
                <w:rFonts w:ascii="Times New Roman" w:hAnsi="Times New Roman"/>
              </w:rPr>
            </w:pPr>
            <w:r w:rsidRPr="00B302CE">
              <w:rPr>
                <w:rFonts w:ascii="Times New Roman" w:hAnsi="Times New Roman"/>
              </w:rPr>
              <w:lastRenderedPageBreak/>
              <w:t>Sądy powszechne</w:t>
            </w:r>
          </w:p>
        </w:tc>
        <w:tc>
          <w:tcPr>
            <w:tcW w:w="3092" w:type="dxa"/>
            <w:gridSpan w:val="7"/>
            <w:shd w:val="clear" w:color="auto" w:fill="auto"/>
            <w:vAlign w:val="center"/>
          </w:tcPr>
          <w:p w14:paraId="7D090A22"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11 sądów apelacyjnych</w:t>
            </w:r>
          </w:p>
          <w:p w14:paraId="5ED6B130"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47 sądów okręgowych</w:t>
            </w:r>
          </w:p>
          <w:p w14:paraId="6D585B92"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 xml:space="preserve">318 sądów rejonowych </w:t>
            </w:r>
          </w:p>
        </w:tc>
        <w:tc>
          <w:tcPr>
            <w:tcW w:w="2248" w:type="dxa"/>
            <w:gridSpan w:val="6"/>
            <w:shd w:val="clear" w:color="auto" w:fill="auto"/>
            <w:vAlign w:val="center"/>
          </w:tcPr>
          <w:p w14:paraId="71BDE7C6" w14:textId="77777777" w:rsidR="00F5245B" w:rsidRPr="00B302CE" w:rsidRDefault="00F5245B" w:rsidP="00F70260">
            <w:pPr>
              <w:spacing w:before="120" w:after="120" w:line="240" w:lineRule="auto"/>
              <w:jc w:val="center"/>
              <w:rPr>
                <w:rFonts w:ascii="Times New Roman" w:eastAsia="Times New Roman" w:hAnsi="Times New Roman"/>
                <w:lang w:eastAsia="pl-PL"/>
              </w:rPr>
            </w:pPr>
            <w:r w:rsidRPr="00B302CE">
              <w:rPr>
                <w:rFonts w:ascii="Times New Roman" w:eastAsia="Times New Roman" w:hAnsi="Times New Roman"/>
                <w:lang w:eastAsia="pl-PL"/>
              </w:rPr>
              <w:t>Ministerstwo Sprawiedliwości</w:t>
            </w:r>
          </w:p>
          <w:p w14:paraId="1D717AF6" w14:textId="77777777" w:rsidR="00F5245B" w:rsidRPr="00B302CE" w:rsidRDefault="00F5245B" w:rsidP="00F70260">
            <w:pPr>
              <w:spacing w:before="120" w:after="120" w:line="240" w:lineRule="auto"/>
              <w:jc w:val="center"/>
              <w:rPr>
                <w:rFonts w:ascii="Times New Roman" w:eastAsia="Times New Roman" w:hAnsi="Times New Roman"/>
                <w:lang w:eastAsia="pl-PL"/>
              </w:rPr>
            </w:pPr>
          </w:p>
        </w:tc>
        <w:tc>
          <w:tcPr>
            <w:tcW w:w="3276" w:type="dxa"/>
            <w:gridSpan w:val="8"/>
            <w:shd w:val="clear" w:color="auto" w:fill="auto"/>
            <w:vAlign w:val="center"/>
          </w:tcPr>
          <w:p w14:paraId="2586F5BA" w14:textId="77777777"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Przeniesienie odpowiedzialności za systemy teleinformatyczne sądów powszechnych na terenie danej apelacji z sądów okręgowych i rejonowych na sądy apelacyjne.</w:t>
            </w:r>
          </w:p>
          <w:p w14:paraId="458DA98D" w14:textId="3AD3CB3F" w:rsidR="00F5245B" w:rsidRPr="00B302CE" w:rsidRDefault="008C00DB" w:rsidP="004E2BD2">
            <w:pPr>
              <w:pStyle w:val="Style6"/>
              <w:widowControl/>
              <w:spacing w:before="120" w:after="120" w:line="240" w:lineRule="auto"/>
              <w:ind w:firstLine="0"/>
              <w:jc w:val="left"/>
              <w:rPr>
                <w:sz w:val="22"/>
                <w:szCs w:val="22"/>
              </w:rPr>
            </w:pPr>
            <w:r w:rsidRPr="00B302CE">
              <w:rPr>
                <w:sz w:val="22"/>
                <w:szCs w:val="22"/>
              </w:rPr>
              <w:t>Zatrudnianie przez dyrektora sądów apelacyjnych wszystkich pracowników sądów wykonujących zadania z zakresu informatyzacji sądownictwa oraz obsługi informatycznej sądów w sądach działających na obszarze apelacji.</w:t>
            </w:r>
          </w:p>
          <w:p w14:paraId="4210D4F2" w14:textId="64933B68" w:rsidR="00457A96" w:rsidRPr="00B302CE" w:rsidRDefault="00457A96" w:rsidP="00457A96">
            <w:pPr>
              <w:pStyle w:val="Style6"/>
              <w:spacing w:after="120" w:line="240" w:lineRule="auto"/>
              <w:ind w:firstLine="0"/>
              <w:jc w:val="left"/>
              <w:rPr>
                <w:sz w:val="22"/>
                <w:szCs w:val="22"/>
              </w:rPr>
            </w:pPr>
            <w:r w:rsidRPr="00B302CE">
              <w:rPr>
                <w:sz w:val="22"/>
                <w:szCs w:val="22"/>
              </w:rPr>
              <w:t xml:space="preserve">Pracownicy sądów wykonujący zadania z zakresu informatyzacji sądownictwa oraz obsługi informatycznej sądów zatrudnieni </w:t>
            </w:r>
            <w:r w:rsidR="00A8481D" w:rsidRPr="00B302CE">
              <w:rPr>
                <w:sz w:val="22"/>
                <w:szCs w:val="22"/>
              </w:rPr>
              <w:t xml:space="preserve">dotychczas </w:t>
            </w:r>
            <w:r w:rsidRPr="00B302CE">
              <w:rPr>
                <w:sz w:val="22"/>
                <w:szCs w:val="22"/>
              </w:rPr>
              <w:t>w sądach okręgowych i sądach rejonowych działających na obszarze właściwości danego sądu apelacyjnego staną się pracownikami wykonującymi zadania z zakresu informatyzacji sądownictwa oraz obsługi informatycznej sądów zatrudnionymi w tym sądzie apelacyjnym i zachowają ciągłość pracy. Miejsce wykonywania obowiązków służbowych nie ulegnie zmianie.</w:t>
            </w:r>
          </w:p>
          <w:p w14:paraId="66AE5CEA" w14:textId="32BA977F"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Wprowadzenie dla sądów wspólnego rachunku bankowego, umożliwiającego wykonywanie niektórych zadań związanych z pobieraniem opłat oraz innych kosztów i należności sądowych wnoszonych za pomocą systemów teleinformatycznych.</w:t>
            </w:r>
          </w:p>
          <w:p w14:paraId="4A2F5CEA" w14:textId="6E9066DB" w:rsidR="00F5245B" w:rsidRPr="00B302CE" w:rsidRDefault="00F5245B" w:rsidP="004E2BD2">
            <w:pPr>
              <w:pStyle w:val="Style6"/>
              <w:widowControl/>
              <w:spacing w:before="120" w:after="120" w:line="240" w:lineRule="auto"/>
              <w:ind w:firstLine="0"/>
              <w:jc w:val="left"/>
              <w:rPr>
                <w:sz w:val="22"/>
                <w:szCs w:val="22"/>
              </w:rPr>
            </w:pPr>
            <w:r w:rsidRPr="00B302CE">
              <w:rPr>
                <w:sz w:val="22"/>
                <w:szCs w:val="22"/>
              </w:rPr>
              <w:t>Powierzenie funkcji współadministratora danych osobowych przetwarzanych w systemach teleinformatycznych w ramach sprawowania wymiaru sprawiedliwości albo realizacji zadań z zakresu ochrony prawnej.</w:t>
            </w:r>
          </w:p>
        </w:tc>
      </w:tr>
      <w:tr w:rsidR="00B302CE" w:rsidRPr="00B302CE" w14:paraId="3AA9FD3A" w14:textId="77777777" w:rsidTr="00F70260">
        <w:trPr>
          <w:gridAfter w:val="1"/>
          <w:wAfter w:w="40" w:type="dxa"/>
          <w:trHeight w:val="351"/>
          <w:jc w:val="center"/>
        </w:trPr>
        <w:tc>
          <w:tcPr>
            <w:tcW w:w="2260" w:type="dxa"/>
            <w:shd w:val="clear" w:color="auto" w:fill="auto"/>
            <w:vAlign w:val="center"/>
          </w:tcPr>
          <w:p w14:paraId="754C7365" w14:textId="77777777" w:rsidR="00F5245B" w:rsidRPr="00B302CE" w:rsidRDefault="00F5245B" w:rsidP="00F70260">
            <w:pPr>
              <w:spacing w:before="120" w:after="120" w:line="240" w:lineRule="auto"/>
              <w:ind w:left="34"/>
              <w:rPr>
                <w:rFonts w:ascii="Times New Roman" w:hAnsi="Times New Roman"/>
              </w:rPr>
            </w:pPr>
            <w:r w:rsidRPr="00B302CE">
              <w:rPr>
                <w:rFonts w:ascii="Times New Roman" w:hAnsi="Times New Roman"/>
              </w:rPr>
              <w:t>Organy administracji rządowej</w:t>
            </w:r>
          </w:p>
          <w:p w14:paraId="10F3D644" w14:textId="77777777" w:rsidR="00F5245B" w:rsidRPr="00B302CE" w:rsidRDefault="00F5245B" w:rsidP="00F70260">
            <w:pPr>
              <w:spacing w:before="120" w:after="120" w:line="240" w:lineRule="auto"/>
              <w:ind w:left="34"/>
              <w:rPr>
                <w:rFonts w:ascii="Times New Roman" w:hAnsi="Times New Roman"/>
              </w:rPr>
            </w:pPr>
          </w:p>
        </w:tc>
        <w:tc>
          <w:tcPr>
            <w:tcW w:w="3092" w:type="dxa"/>
            <w:gridSpan w:val="7"/>
            <w:shd w:val="clear" w:color="auto" w:fill="auto"/>
            <w:vAlign w:val="center"/>
          </w:tcPr>
          <w:p w14:paraId="756FA9D2"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Prezes Rady Ministrów</w:t>
            </w:r>
          </w:p>
          <w:p w14:paraId="57D2C331"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Rada Ministrów</w:t>
            </w:r>
          </w:p>
          <w:p w14:paraId="4B9709D7"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16 ministerstw</w:t>
            </w:r>
          </w:p>
          <w:p w14:paraId="7C614B2D"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16 wojewodów</w:t>
            </w:r>
          </w:p>
          <w:p w14:paraId="3B8E07E4"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lastRenderedPageBreak/>
              <w:t>46 pozostałych organów administracji rządowej</w:t>
            </w:r>
          </w:p>
        </w:tc>
        <w:tc>
          <w:tcPr>
            <w:tcW w:w="2248" w:type="dxa"/>
            <w:gridSpan w:val="6"/>
            <w:shd w:val="clear" w:color="auto" w:fill="auto"/>
            <w:vAlign w:val="center"/>
          </w:tcPr>
          <w:p w14:paraId="52D18A1F" w14:textId="77777777" w:rsidR="00F5245B" w:rsidRPr="00B302CE" w:rsidRDefault="00F5245B" w:rsidP="00F70260">
            <w:pPr>
              <w:spacing w:before="120" w:after="120" w:line="240" w:lineRule="auto"/>
              <w:jc w:val="center"/>
              <w:rPr>
                <w:rFonts w:ascii="Times New Roman" w:eastAsia="Times New Roman" w:hAnsi="Times New Roman"/>
                <w:lang w:eastAsia="pl-PL"/>
              </w:rPr>
            </w:pPr>
            <w:r w:rsidRPr="00B302CE">
              <w:rPr>
                <w:rFonts w:ascii="Times New Roman" w:eastAsia="Times New Roman" w:hAnsi="Times New Roman"/>
                <w:lang w:eastAsia="pl-PL"/>
              </w:rPr>
              <w:lastRenderedPageBreak/>
              <w:t>Informacja ogólnodostępna</w:t>
            </w:r>
          </w:p>
        </w:tc>
        <w:tc>
          <w:tcPr>
            <w:tcW w:w="3276" w:type="dxa"/>
            <w:gridSpan w:val="8"/>
            <w:vMerge w:val="restart"/>
            <w:shd w:val="clear" w:color="auto" w:fill="auto"/>
            <w:vAlign w:val="center"/>
          </w:tcPr>
          <w:p w14:paraId="492F6244" w14:textId="1B5D6D23" w:rsidR="00FA36F6" w:rsidRPr="00B302CE" w:rsidRDefault="00FA36F6" w:rsidP="004E2BD2">
            <w:pPr>
              <w:pStyle w:val="Style6"/>
              <w:widowControl/>
              <w:spacing w:before="120" w:after="120" w:line="240" w:lineRule="auto"/>
              <w:ind w:firstLine="0"/>
              <w:jc w:val="left"/>
              <w:rPr>
                <w:sz w:val="22"/>
                <w:szCs w:val="22"/>
              </w:rPr>
            </w:pPr>
            <w:r w:rsidRPr="00B302CE">
              <w:rPr>
                <w:bCs/>
                <w:sz w:val="22"/>
                <w:szCs w:val="22"/>
              </w:rPr>
              <w:t xml:space="preserve">Możliwość powierzenia przez Ministra Sprawiedliwości w drodze porozumienia, innym </w:t>
            </w:r>
            <w:r w:rsidRPr="00B302CE">
              <w:rPr>
                <w:bCs/>
                <w:sz w:val="22"/>
                <w:szCs w:val="22"/>
              </w:rPr>
              <w:lastRenderedPageBreak/>
              <w:t>niż dyrektorzy sądów apelacyjnych podmiotom realizującym zadania publiczne, o których mowa w art. 2 ust. 1 ustawy z dnia 17 lutego 2005 r. o informatyzacji działalności podmiotów realizujących zadania publiczne (Dz. U. z 202</w:t>
            </w:r>
            <w:r w:rsidR="0026098B">
              <w:rPr>
                <w:bCs/>
                <w:sz w:val="22"/>
                <w:szCs w:val="22"/>
              </w:rPr>
              <w:t>3</w:t>
            </w:r>
            <w:r w:rsidRPr="00B302CE">
              <w:rPr>
                <w:bCs/>
                <w:sz w:val="22"/>
                <w:szCs w:val="22"/>
              </w:rPr>
              <w:t xml:space="preserve"> r. poz.</w:t>
            </w:r>
            <w:r w:rsidR="0026098B">
              <w:rPr>
                <w:bCs/>
                <w:sz w:val="22"/>
                <w:szCs w:val="22"/>
              </w:rPr>
              <w:t> </w:t>
            </w:r>
            <w:r w:rsidR="00EB15B9">
              <w:rPr>
                <w:bCs/>
                <w:sz w:val="22"/>
                <w:szCs w:val="22"/>
              </w:rPr>
              <w:t>57</w:t>
            </w:r>
            <w:r w:rsidRPr="00B302CE">
              <w:rPr>
                <w:bCs/>
                <w:sz w:val="22"/>
                <w:szCs w:val="22"/>
              </w:rPr>
              <w:t>), niektórych zadań związanych z informatyzacją sądownictwa</w:t>
            </w:r>
          </w:p>
          <w:p w14:paraId="4BACAE5D" w14:textId="41EA00D9" w:rsidR="00FA36F6" w:rsidRPr="00B302CE" w:rsidRDefault="00FA36F6" w:rsidP="00F70260">
            <w:pPr>
              <w:pStyle w:val="Style6"/>
              <w:widowControl/>
              <w:spacing w:before="120" w:after="120" w:line="240" w:lineRule="auto"/>
              <w:ind w:firstLine="0"/>
              <w:rPr>
                <w:sz w:val="22"/>
                <w:szCs w:val="22"/>
              </w:rPr>
            </w:pPr>
          </w:p>
        </w:tc>
      </w:tr>
      <w:tr w:rsidR="00B302CE" w:rsidRPr="00B302CE" w14:paraId="2DCEE7FE" w14:textId="77777777" w:rsidTr="00F70260">
        <w:trPr>
          <w:gridAfter w:val="1"/>
          <w:wAfter w:w="40" w:type="dxa"/>
          <w:trHeight w:val="348"/>
          <w:jc w:val="center"/>
        </w:trPr>
        <w:tc>
          <w:tcPr>
            <w:tcW w:w="2260" w:type="dxa"/>
            <w:shd w:val="clear" w:color="auto" w:fill="auto"/>
            <w:vAlign w:val="center"/>
          </w:tcPr>
          <w:p w14:paraId="266472F0" w14:textId="77777777" w:rsidR="00F5245B" w:rsidRPr="00B302CE" w:rsidRDefault="00F5245B" w:rsidP="00F70260">
            <w:pPr>
              <w:spacing w:before="120" w:after="120" w:line="240" w:lineRule="auto"/>
              <w:ind w:left="34"/>
              <w:rPr>
                <w:rFonts w:ascii="Times New Roman" w:hAnsi="Times New Roman"/>
              </w:rPr>
            </w:pPr>
            <w:r w:rsidRPr="00B302CE">
              <w:rPr>
                <w:rFonts w:ascii="Times New Roman" w:hAnsi="Times New Roman"/>
              </w:rPr>
              <w:lastRenderedPageBreak/>
              <w:t>Organy kontroli państwowej i ochrony prawa</w:t>
            </w:r>
          </w:p>
        </w:tc>
        <w:tc>
          <w:tcPr>
            <w:tcW w:w="3092" w:type="dxa"/>
            <w:gridSpan w:val="7"/>
            <w:shd w:val="clear" w:color="auto" w:fill="auto"/>
            <w:vAlign w:val="center"/>
          </w:tcPr>
          <w:p w14:paraId="769A24FF"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Najwyższa Izba Kontroli</w:t>
            </w:r>
          </w:p>
          <w:p w14:paraId="128A333D"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Rzecznik Praw Obywatelskich</w:t>
            </w:r>
          </w:p>
          <w:p w14:paraId="5ADC7483" w14:textId="28359480"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Krajowa Rada Radiofonii i</w:t>
            </w:r>
            <w:r w:rsidR="002F38C8" w:rsidRPr="00B302CE">
              <w:rPr>
                <w:rFonts w:ascii="Times New Roman" w:hAnsi="Times New Roman"/>
                <w:spacing w:val="-2"/>
              </w:rPr>
              <w:t> </w:t>
            </w:r>
            <w:r w:rsidRPr="00B302CE">
              <w:rPr>
                <w:rFonts w:ascii="Times New Roman" w:hAnsi="Times New Roman"/>
                <w:spacing w:val="-2"/>
              </w:rPr>
              <w:t>Telewizji</w:t>
            </w:r>
          </w:p>
        </w:tc>
        <w:tc>
          <w:tcPr>
            <w:tcW w:w="2248" w:type="dxa"/>
            <w:gridSpan w:val="6"/>
            <w:shd w:val="clear" w:color="auto" w:fill="auto"/>
            <w:vAlign w:val="center"/>
          </w:tcPr>
          <w:p w14:paraId="566EBF1F" w14:textId="77777777" w:rsidR="00F5245B" w:rsidRPr="00B302CE" w:rsidRDefault="00F5245B" w:rsidP="00F70260">
            <w:pPr>
              <w:spacing w:before="120" w:after="120" w:line="240" w:lineRule="auto"/>
              <w:jc w:val="center"/>
              <w:rPr>
                <w:rFonts w:ascii="Times New Roman" w:eastAsia="Times New Roman" w:hAnsi="Times New Roman"/>
                <w:lang w:eastAsia="pl-PL"/>
              </w:rPr>
            </w:pPr>
            <w:r w:rsidRPr="00B302CE">
              <w:rPr>
                <w:rFonts w:ascii="Times New Roman" w:eastAsia="Times New Roman" w:hAnsi="Times New Roman"/>
                <w:lang w:eastAsia="pl-PL"/>
              </w:rPr>
              <w:t>Rozdział IX Konstytucji RP</w:t>
            </w:r>
          </w:p>
        </w:tc>
        <w:tc>
          <w:tcPr>
            <w:tcW w:w="3276" w:type="dxa"/>
            <w:gridSpan w:val="8"/>
            <w:vMerge/>
            <w:shd w:val="clear" w:color="auto" w:fill="auto"/>
            <w:vAlign w:val="center"/>
          </w:tcPr>
          <w:p w14:paraId="71A6F9ED" w14:textId="77777777" w:rsidR="00F5245B" w:rsidRPr="00B302CE" w:rsidRDefault="00F5245B" w:rsidP="00F70260">
            <w:pPr>
              <w:pStyle w:val="Style6"/>
              <w:widowControl/>
              <w:spacing w:before="120" w:after="120" w:line="240" w:lineRule="auto"/>
              <w:ind w:firstLine="0"/>
              <w:rPr>
                <w:sz w:val="22"/>
                <w:szCs w:val="22"/>
              </w:rPr>
            </w:pPr>
          </w:p>
        </w:tc>
      </w:tr>
      <w:tr w:rsidR="00B302CE" w:rsidRPr="00B302CE" w14:paraId="48760939" w14:textId="77777777" w:rsidTr="00F70260">
        <w:trPr>
          <w:gridAfter w:val="1"/>
          <w:wAfter w:w="40" w:type="dxa"/>
          <w:trHeight w:val="348"/>
          <w:jc w:val="center"/>
        </w:trPr>
        <w:tc>
          <w:tcPr>
            <w:tcW w:w="2260" w:type="dxa"/>
            <w:shd w:val="clear" w:color="auto" w:fill="auto"/>
            <w:vAlign w:val="center"/>
          </w:tcPr>
          <w:p w14:paraId="75A6CE84" w14:textId="77777777" w:rsidR="00F5245B" w:rsidRPr="00B302CE" w:rsidRDefault="00F5245B" w:rsidP="00F70260">
            <w:pPr>
              <w:spacing w:before="120" w:after="120" w:line="240" w:lineRule="auto"/>
              <w:ind w:left="34"/>
              <w:rPr>
                <w:rFonts w:ascii="Times New Roman" w:hAnsi="Times New Roman"/>
              </w:rPr>
            </w:pPr>
            <w:r w:rsidRPr="00B302CE">
              <w:rPr>
                <w:rFonts w:ascii="Times New Roman" w:hAnsi="Times New Roman"/>
              </w:rPr>
              <w:t>Jednostki organizacyjne prokuratury</w:t>
            </w:r>
          </w:p>
        </w:tc>
        <w:tc>
          <w:tcPr>
            <w:tcW w:w="3092" w:type="dxa"/>
            <w:gridSpan w:val="7"/>
            <w:shd w:val="clear" w:color="auto" w:fill="auto"/>
            <w:vAlign w:val="center"/>
          </w:tcPr>
          <w:p w14:paraId="1B4D9697"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11 prokuratur regionalnych</w:t>
            </w:r>
          </w:p>
          <w:p w14:paraId="0A96E36B"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46 prokuratur okręgowych</w:t>
            </w:r>
          </w:p>
          <w:p w14:paraId="599F3B10"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358 prokuratur rejonowych</w:t>
            </w:r>
          </w:p>
        </w:tc>
        <w:tc>
          <w:tcPr>
            <w:tcW w:w="2248" w:type="dxa"/>
            <w:gridSpan w:val="6"/>
            <w:shd w:val="clear" w:color="auto" w:fill="auto"/>
            <w:vAlign w:val="center"/>
          </w:tcPr>
          <w:p w14:paraId="4CA9C1AF" w14:textId="77777777" w:rsidR="00F5245B" w:rsidRPr="00B302CE" w:rsidRDefault="00F5245B" w:rsidP="00F70260">
            <w:pPr>
              <w:spacing w:before="120" w:after="120" w:line="240" w:lineRule="auto"/>
              <w:jc w:val="center"/>
              <w:rPr>
                <w:rFonts w:ascii="Times New Roman" w:eastAsia="Times New Roman" w:hAnsi="Times New Roman"/>
                <w:lang w:eastAsia="pl-PL"/>
              </w:rPr>
            </w:pPr>
            <w:r w:rsidRPr="00B302CE">
              <w:rPr>
                <w:rFonts w:ascii="Times New Roman" w:eastAsia="Times New Roman" w:hAnsi="Times New Roman"/>
                <w:lang w:eastAsia="pl-PL"/>
              </w:rPr>
              <w:t>Ministerstwo Sprawiedliwości</w:t>
            </w:r>
          </w:p>
        </w:tc>
        <w:tc>
          <w:tcPr>
            <w:tcW w:w="3276" w:type="dxa"/>
            <w:gridSpan w:val="8"/>
            <w:vMerge/>
            <w:shd w:val="clear" w:color="auto" w:fill="auto"/>
            <w:vAlign w:val="center"/>
          </w:tcPr>
          <w:p w14:paraId="27782D7E" w14:textId="77777777" w:rsidR="00F5245B" w:rsidRPr="00B302CE" w:rsidRDefault="00F5245B" w:rsidP="00F70260">
            <w:pPr>
              <w:pStyle w:val="Style6"/>
              <w:widowControl/>
              <w:spacing w:before="120" w:after="120" w:line="240" w:lineRule="auto"/>
              <w:ind w:firstLine="0"/>
              <w:rPr>
                <w:sz w:val="22"/>
                <w:szCs w:val="22"/>
              </w:rPr>
            </w:pPr>
          </w:p>
        </w:tc>
      </w:tr>
      <w:tr w:rsidR="00B302CE" w:rsidRPr="00B302CE" w14:paraId="24D15C4A" w14:textId="77777777" w:rsidTr="00F70260">
        <w:trPr>
          <w:gridAfter w:val="1"/>
          <w:wAfter w:w="40" w:type="dxa"/>
          <w:trHeight w:val="348"/>
          <w:jc w:val="center"/>
        </w:trPr>
        <w:tc>
          <w:tcPr>
            <w:tcW w:w="2260" w:type="dxa"/>
            <w:shd w:val="clear" w:color="auto" w:fill="auto"/>
            <w:vAlign w:val="center"/>
          </w:tcPr>
          <w:p w14:paraId="734CB05D" w14:textId="77777777" w:rsidR="00F5245B" w:rsidRPr="00B302CE" w:rsidRDefault="00F5245B" w:rsidP="00F70260">
            <w:pPr>
              <w:spacing w:before="120" w:after="120" w:line="240" w:lineRule="auto"/>
              <w:ind w:left="34"/>
              <w:rPr>
                <w:rFonts w:ascii="Times New Roman" w:hAnsi="Times New Roman"/>
              </w:rPr>
            </w:pPr>
            <w:r w:rsidRPr="00B302CE">
              <w:rPr>
                <w:rFonts w:ascii="Times New Roman" w:hAnsi="Times New Roman"/>
              </w:rPr>
              <w:t>Jednostki samorządu terytorialnego</w:t>
            </w:r>
          </w:p>
        </w:tc>
        <w:tc>
          <w:tcPr>
            <w:tcW w:w="3092" w:type="dxa"/>
            <w:gridSpan w:val="7"/>
            <w:shd w:val="clear" w:color="auto" w:fill="auto"/>
            <w:vAlign w:val="center"/>
          </w:tcPr>
          <w:p w14:paraId="6016C5C3"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16 województw,</w:t>
            </w:r>
          </w:p>
          <w:p w14:paraId="64ADABEB"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314 powiatów i 66 miast na prawach powiatu,</w:t>
            </w:r>
          </w:p>
          <w:p w14:paraId="75A94DA7" w14:textId="77777777" w:rsidR="00F5245B" w:rsidRPr="00B302CE" w:rsidRDefault="00F5245B" w:rsidP="00F70260">
            <w:pPr>
              <w:spacing w:before="120" w:after="120" w:line="240" w:lineRule="auto"/>
              <w:ind w:left="252"/>
              <w:contextualSpacing/>
              <w:jc w:val="center"/>
              <w:rPr>
                <w:rFonts w:ascii="Times New Roman" w:hAnsi="Times New Roman"/>
                <w:spacing w:val="-2"/>
              </w:rPr>
            </w:pPr>
            <w:r w:rsidRPr="00B302CE">
              <w:rPr>
                <w:rFonts w:ascii="Times New Roman" w:hAnsi="Times New Roman"/>
                <w:spacing w:val="-2"/>
              </w:rPr>
              <w:t>2477 gmin</w:t>
            </w:r>
          </w:p>
        </w:tc>
        <w:tc>
          <w:tcPr>
            <w:tcW w:w="2248" w:type="dxa"/>
            <w:gridSpan w:val="6"/>
            <w:shd w:val="clear" w:color="auto" w:fill="auto"/>
            <w:vAlign w:val="center"/>
          </w:tcPr>
          <w:p w14:paraId="7B150676" w14:textId="77777777" w:rsidR="00F5245B" w:rsidRPr="00B302CE" w:rsidRDefault="00F5245B" w:rsidP="00F70260">
            <w:pPr>
              <w:spacing w:before="120" w:after="120" w:line="240" w:lineRule="auto"/>
              <w:jc w:val="center"/>
              <w:rPr>
                <w:rFonts w:ascii="Times New Roman" w:eastAsia="Times New Roman" w:hAnsi="Times New Roman"/>
                <w:lang w:eastAsia="pl-PL"/>
              </w:rPr>
            </w:pPr>
            <w:r w:rsidRPr="00B302CE">
              <w:rPr>
                <w:rFonts w:ascii="Times New Roman" w:eastAsia="Times New Roman" w:hAnsi="Times New Roman"/>
                <w:lang w:eastAsia="pl-PL"/>
              </w:rPr>
              <w:t>Główny Urząd Statystyczny</w:t>
            </w:r>
          </w:p>
        </w:tc>
        <w:tc>
          <w:tcPr>
            <w:tcW w:w="3276" w:type="dxa"/>
            <w:gridSpan w:val="8"/>
            <w:vMerge/>
            <w:shd w:val="clear" w:color="auto" w:fill="auto"/>
            <w:vAlign w:val="center"/>
          </w:tcPr>
          <w:p w14:paraId="70A5D460" w14:textId="77777777" w:rsidR="00F5245B" w:rsidRPr="00B302CE" w:rsidRDefault="00F5245B" w:rsidP="00F70260">
            <w:pPr>
              <w:pStyle w:val="Style6"/>
              <w:widowControl/>
              <w:spacing w:before="120" w:after="120" w:line="240" w:lineRule="auto"/>
              <w:ind w:firstLine="0"/>
              <w:rPr>
                <w:sz w:val="22"/>
                <w:szCs w:val="22"/>
              </w:rPr>
            </w:pPr>
          </w:p>
        </w:tc>
      </w:tr>
      <w:tr w:rsidR="00B302CE" w:rsidRPr="00B302CE" w14:paraId="1BAB8F32" w14:textId="77777777" w:rsidTr="00F70260">
        <w:trPr>
          <w:gridAfter w:val="1"/>
          <w:wAfter w:w="40" w:type="dxa"/>
          <w:trHeight w:val="302"/>
          <w:jc w:val="center"/>
        </w:trPr>
        <w:tc>
          <w:tcPr>
            <w:tcW w:w="10876" w:type="dxa"/>
            <w:gridSpan w:val="22"/>
            <w:shd w:val="clear" w:color="auto" w:fill="99CCFF"/>
            <w:vAlign w:val="center"/>
          </w:tcPr>
          <w:p w14:paraId="0ECE4EA3" w14:textId="77777777" w:rsidR="00F5245B" w:rsidRPr="00B302CE" w:rsidRDefault="00F5245B" w:rsidP="00F70260">
            <w:pPr>
              <w:numPr>
                <w:ilvl w:val="0"/>
                <w:numId w:val="1"/>
              </w:numPr>
              <w:spacing w:before="60" w:after="60" w:line="240" w:lineRule="auto"/>
              <w:jc w:val="both"/>
              <w:rPr>
                <w:rFonts w:ascii="Times New Roman" w:hAnsi="Times New Roman"/>
                <w:b/>
              </w:rPr>
            </w:pPr>
            <w:r w:rsidRPr="00B302CE">
              <w:rPr>
                <w:rFonts w:ascii="Times New Roman" w:hAnsi="Times New Roman"/>
                <w:b/>
              </w:rPr>
              <w:t>Informacje na temat zakresu, czasu trwania i podsumowanie wyników konsultacji</w:t>
            </w:r>
          </w:p>
        </w:tc>
      </w:tr>
      <w:tr w:rsidR="00B302CE" w:rsidRPr="00B302CE" w14:paraId="11E454EE" w14:textId="77777777" w:rsidTr="00F70260">
        <w:trPr>
          <w:gridAfter w:val="1"/>
          <w:wAfter w:w="40" w:type="dxa"/>
          <w:trHeight w:val="342"/>
          <w:jc w:val="center"/>
        </w:trPr>
        <w:tc>
          <w:tcPr>
            <w:tcW w:w="10876" w:type="dxa"/>
            <w:gridSpan w:val="22"/>
            <w:shd w:val="clear" w:color="auto" w:fill="FFFFFF"/>
          </w:tcPr>
          <w:p w14:paraId="1FA12BAF" w14:textId="52235097" w:rsidR="00F5245B" w:rsidRPr="00B302CE" w:rsidRDefault="00F5245B" w:rsidP="00F70260">
            <w:pPr>
              <w:pStyle w:val="ARTartustawynprozporzdzenia"/>
              <w:spacing w:after="120" w:line="240" w:lineRule="auto"/>
              <w:ind w:firstLine="306"/>
              <w:rPr>
                <w:rFonts w:ascii="Times New Roman" w:hAnsi="Times New Roman" w:cs="Times New Roman"/>
                <w:sz w:val="22"/>
                <w:szCs w:val="22"/>
              </w:rPr>
            </w:pPr>
            <w:r w:rsidRPr="00B302CE">
              <w:rPr>
                <w:rFonts w:ascii="Times New Roman" w:hAnsi="Times New Roman" w:cs="Times New Roman"/>
                <w:sz w:val="22"/>
                <w:szCs w:val="22"/>
              </w:rPr>
              <w:t xml:space="preserve">Projekt zmiany ustawy został udostępniony w Biuletynie Informacji Publicznej na stronie podmiotowej Rządowego Centrum Legislacji w serwisie Rządowy Proces Legislacyjny oraz w Biuletynie Informacji Publicznej Ministerstwa Sprawiedliwości w zakładce „Projekty aktów prawnych”, zgodnie z art. 5 ustawy z dnia 7 lipca 2005 r. </w:t>
            </w:r>
            <w:r w:rsidRPr="00B302CE">
              <w:rPr>
                <w:rFonts w:ascii="Times New Roman" w:hAnsi="Times New Roman" w:cs="Times New Roman"/>
                <w:i/>
                <w:iCs/>
                <w:sz w:val="22"/>
                <w:szCs w:val="22"/>
              </w:rPr>
              <w:t>o działalności lobbingowej w procesie stanowienia prawa</w:t>
            </w:r>
            <w:r w:rsidRPr="00B302CE">
              <w:rPr>
                <w:rFonts w:ascii="Times New Roman" w:hAnsi="Times New Roman" w:cs="Times New Roman"/>
                <w:sz w:val="22"/>
                <w:szCs w:val="22"/>
              </w:rPr>
              <w:t xml:space="preserve"> (Dz. U. z 2017 r. poz. 248) i § 4 uchwały Rady Ministrów z dnia 29 października 2013 r. – </w:t>
            </w:r>
            <w:r w:rsidRPr="00B302CE">
              <w:rPr>
                <w:rFonts w:ascii="Times New Roman" w:hAnsi="Times New Roman" w:cs="Times New Roman"/>
                <w:i/>
                <w:iCs/>
                <w:sz w:val="22"/>
                <w:szCs w:val="22"/>
              </w:rPr>
              <w:t>Regulamin pracy Rady Ministrów</w:t>
            </w:r>
            <w:r w:rsidRPr="00B302CE">
              <w:rPr>
                <w:rFonts w:ascii="Times New Roman" w:hAnsi="Times New Roman" w:cs="Times New Roman"/>
                <w:sz w:val="22"/>
                <w:szCs w:val="22"/>
              </w:rPr>
              <w:t xml:space="preserve"> (M.P. z 2022 r. poz. 348).</w:t>
            </w:r>
            <w:r w:rsidR="00DA4DBC" w:rsidRPr="00B302CE">
              <w:rPr>
                <w:rFonts w:ascii="Times New Roman" w:eastAsia="Calibri" w:hAnsi="Times New Roman" w:cs="Times New Roman"/>
                <w:spacing w:val="-2"/>
                <w:sz w:val="22"/>
                <w:szCs w:val="22"/>
                <w:lang w:eastAsia="en-US"/>
              </w:rPr>
              <w:t xml:space="preserve"> W trybie ww. ustawy nie odnotowano zgłoszeń zainteresowanych podmiotów.</w:t>
            </w:r>
          </w:p>
          <w:p w14:paraId="0515AD19" w14:textId="4B219954" w:rsidR="00F5245B" w:rsidRPr="00B302CE" w:rsidRDefault="00F5245B" w:rsidP="00F70260">
            <w:pPr>
              <w:spacing w:after="120" w:line="240" w:lineRule="auto"/>
              <w:ind w:firstLine="306"/>
              <w:jc w:val="both"/>
              <w:rPr>
                <w:rFonts w:ascii="Times New Roman" w:hAnsi="Times New Roman"/>
                <w:b/>
                <w:bCs/>
                <w:spacing w:val="-2"/>
              </w:rPr>
            </w:pPr>
            <w:r w:rsidRPr="00B302CE">
              <w:rPr>
                <w:rFonts w:ascii="Times New Roman" w:hAnsi="Times New Roman"/>
                <w:b/>
                <w:bCs/>
                <w:spacing w:val="-2"/>
              </w:rPr>
              <w:t xml:space="preserve">Projekt ustawy został skierowany do </w:t>
            </w:r>
            <w:r w:rsidR="004666A9" w:rsidRPr="00B302CE">
              <w:rPr>
                <w:rFonts w:ascii="Times New Roman" w:hAnsi="Times New Roman"/>
                <w:b/>
                <w:bCs/>
                <w:spacing w:val="-2"/>
              </w:rPr>
              <w:t xml:space="preserve">konsultacji publicznych i </w:t>
            </w:r>
            <w:r w:rsidRPr="00B302CE">
              <w:rPr>
                <w:rFonts w:ascii="Times New Roman" w:hAnsi="Times New Roman"/>
                <w:b/>
                <w:bCs/>
                <w:spacing w:val="-2"/>
              </w:rPr>
              <w:t xml:space="preserve">opiniowania przez: </w:t>
            </w:r>
          </w:p>
          <w:p w14:paraId="2B9E475D"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Sąd Najwyższy (w terminie 14 dni od dnia otrzymania pisma),</w:t>
            </w:r>
          </w:p>
          <w:p w14:paraId="722485DC"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Prokuraturę Krajową (w terminie 14 dni od dnia otrzymania pisma),</w:t>
            </w:r>
          </w:p>
          <w:p w14:paraId="7E304945"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Krajową Radę Sądownictwa (w terminie 14 dni od dnia otrzymania pisma),</w:t>
            </w:r>
          </w:p>
          <w:p w14:paraId="1D77E21E"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Rzecznika Praw Obywatelskich (w terminie 14 dni od dnia otrzymania pisma),</w:t>
            </w:r>
          </w:p>
          <w:p w14:paraId="1B2A4ABA"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Prezesów sądów apelacyjnych (w terminie 14 dni od dnia otrzymania pisma),</w:t>
            </w:r>
          </w:p>
          <w:p w14:paraId="40819364"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Prezesa Urzędu Ochrony Danych Osobowych (w terminie 14 dni od dnia otrzymania pisma),</w:t>
            </w:r>
          </w:p>
          <w:p w14:paraId="46004AA7"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Naczelną Radę Adwokacką (w terminie 14 dni od dnia otrzymania pisma),</w:t>
            </w:r>
          </w:p>
          <w:p w14:paraId="143CD504"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Krajową Radę Radców Prawnych (w terminie 14 dni od dnia otrzymania pisma),</w:t>
            </w:r>
          </w:p>
          <w:p w14:paraId="7CC4C6F4"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Niezależne Stowarzyszenie Prokuratorów „Ad Vocem” (w terminie 14 dni od dnia otrzymania pisma),</w:t>
            </w:r>
          </w:p>
          <w:p w14:paraId="241169F1"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Ogólnopolskie Stowarzyszenie Referendarzy Sądowych (w terminie 14 dni od dnia otrzymania pisma),</w:t>
            </w:r>
          </w:p>
          <w:p w14:paraId="4B19FA39"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Fundację Polskie Towarzystwo Prawnicze OPUS IURIS (w terminie 14 dni od dnia otrzymania pisma),</w:t>
            </w:r>
          </w:p>
          <w:p w14:paraId="3EA134F9"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Porozumienie samorządów zawodowych i stowarzyszeń prawniczych (w terminie 14 dni od dnia otrzymania pisma),</w:t>
            </w:r>
          </w:p>
          <w:p w14:paraId="497A0D3F"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Stowarzyszenie Sędziów Rodzinnych w Polsce (w terminie 14 dni od dnia otrzymania pisma),</w:t>
            </w:r>
          </w:p>
          <w:p w14:paraId="6A5B0D17"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Stowarzyszenie Sędziów Rodzinnych „Pro Familia”(w terminie 14 dni od dnia otrzymania pisma),</w:t>
            </w:r>
          </w:p>
          <w:p w14:paraId="42121814"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SABI – Stowarzyszenie Inspektorów Ochrony Danych (w terminie 14 dni od dnia otrzymania pisma),</w:t>
            </w:r>
          </w:p>
          <w:p w14:paraId="4B32803F" w14:textId="77777777" w:rsidR="00F5245B" w:rsidRPr="00B302CE" w:rsidRDefault="00F5245B" w:rsidP="00F5245B">
            <w:pPr>
              <w:pStyle w:val="Akapitzlist"/>
              <w:numPr>
                <w:ilvl w:val="0"/>
                <w:numId w:val="2"/>
              </w:numPr>
              <w:spacing w:before="240" w:after="120" w:line="240" w:lineRule="auto"/>
              <w:jc w:val="both"/>
              <w:rPr>
                <w:rFonts w:ascii="Times New Roman" w:hAnsi="Times New Roman"/>
                <w:spacing w:val="-2"/>
              </w:rPr>
            </w:pPr>
            <w:r w:rsidRPr="00B302CE">
              <w:rPr>
                <w:rFonts w:ascii="Times New Roman" w:hAnsi="Times New Roman"/>
                <w:spacing w:val="-2"/>
              </w:rPr>
              <w:t>Przewodniczącego Krajowej Rady Związku Zawodowego Pracowników Wymiaru Sprawiedliwości Rzeczypospolitej Polskiej (w terminie 21 dni od dnia otrzymania pisma),</w:t>
            </w:r>
          </w:p>
          <w:p w14:paraId="6B6EC794"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Przewodniczącego Niezależnego Samorządnego Związku Zawodowego Pracowników Wymiaru Sprawiedliwości Rzeczypospolitej Polskiej (w terminie 21 dni od dnia  otrzymania pisma),</w:t>
            </w:r>
          </w:p>
          <w:p w14:paraId="13EB58AD"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Przewodniczącą Międzyzakładowej Organizacji Związkowej Niezależnego Samorządnego Związku Zawodowego „Solidarność” Pracowników Sądownictwa (w terminie 21 dni od dnia otrzymania pisma),</w:t>
            </w:r>
          </w:p>
          <w:p w14:paraId="46B5AB81"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Przewodniczącego Prezydium Krajowego Zarządu Krajowego Niezależnego Samorządnego Związku Zawodowego „Ad Rem” (w terminie 21 dni od dnia  otrzymania pisma),</w:t>
            </w:r>
          </w:p>
          <w:p w14:paraId="428158B8"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Niezależny Samorządny Związek Zawodowy „Solidarność” (w terminie 21 dni od dnia  otrzymania pisma),</w:t>
            </w:r>
          </w:p>
          <w:p w14:paraId="7735510C"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Ogólnopolskie Porozumienie Związków Zawodowych (w terminie 21 dni od dnia  otrzymania pisma),</w:t>
            </w:r>
          </w:p>
          <w:p w14:paraId="53734121"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Forum Związków Zawodowych (w terminie 21 dni od dnia  otrzymania pisma),</w:t>
            </w:r>
          </w:p>
          <w:p w14:paraId="07966DED"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Konfederacja Lewiatan (w terminie 21 dni od dnia otrzymania pisma),</w:t>
            </w:r>
          </w:p>
          <w:p w14:paraId="3103D5E5"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Pracodawcy Rzeczypospolitej Polskiej (w terminie 21 dni od dnia otrzymania pisma),</w:t>
            </w:r>
          </w:p>
          <w:p w14:paraId="7B317FE4"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Związek Rzemiosła Polskiego (w terminie 21 dni od dnia otrzymania pisma),</w:t>
            </w:r>
          </w:p>
          <w:p w14:paraId="35043588"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lastRenderedPageBreak/>
              <w:t>Związek Pracodawców Business Centre Club (w terminie 21 dni od dnia otrzymania pisma),</w:t>
            </w:r>
          </w:p>
          <w:p w14:paraId="7D8664DD" w14:textId="77777777" w:rsidR="00F5245B" w:rsidRPr="00B302CE" w:rsidRDefault="00F5245B" w:rsidP="00F5245B">
            <w:pPr>
              <w:pStyle w:val="Akapitzlist"/>
              <w:numPr>
                <w:ilvl w:val="0"/>
                <w:numId w:val="2"/>
              </w:numPr>
              <w:spacing w:after="120" w:line="240" w:lineRule="auto"/>
              <w:jc w:val="both"/>
              <w:rPr>
                <w:rFonts w:ascii="Times New Roman" w:hAnsi="Times New Roman"/>
                <w:spacing w:val="-2"/>
              </w:rPr>
            </w:pPr>
            <w:r w:rsidRPr="00B302CE">
              <w:rPr>
                <w:rFonts w:ascii="Times New Roman" w:hAnsi="Times New Roman"/>
                <w:spacing w:val="-2"/>
              </w:rPr>
              <w:t>Związek Przedsiębiorców i Pracodawców (w terminie 21 dni od dnia otrzymania pisma),</w:t>
            </w:r>
          </w:p>
          <w:p w14:paraId="36568F9A" w14:textId="454172CB" w:rsidR="00F5245B" w:rsidRPr="00B302CE" w:rsidRDefault="00F5245B" w:rsidP="00D25B27">
            <w:pPr>
              <w:pStyle w:val="Akapitzlist"/>
              <w:numPr>
                <w:ilvl w:val="0"/>
                <w:numId w:val="2"/>
              </w:numPr>
              <w:spacing w:after="120" w:line="240" w:lineRule="auto"/>
              <w:ind w:left="714" w:hanging="357"/>
              <w:jc w:val="both"/>
              <w:rPr>
                <w:rFonts w:ascii="Times New Roman" w:hAnsi="Times New Roman"/>
                <w:spacing w:val="-2"/>
              </w:rPr>
            </w:pPr>
            <w:r w:rsidRPr="00B302CE">
              <w:rPr>
                <w:rFonts w:ascii="Times New Roman" w:hAnsi="Times New Roman"/>
                <w:spacing w:val="-2"/>
              </w:rPr>
              <w:t>Federacja Przedsiębiorców Polskich (w terminie 21 dni od dnia otrzymania pisma).</w:t>
            </w:r>
          </w:p>
          <w:p w14:paraId="572E818D" w14:textId="3699C202" w:rsidR="005B414F" w:rsidRPr="00B302CE" w:rsidRDefault="00193EC4" w:rsidP="00C3669B">
            <w:pPr>
              <w:spacing w:line="240" w:lineRule="auto"/>
              <w:ind w:firstLine="312"/>
              <w:jc w:val="both"/>
              <w:rPr>
                <w:rFonts w:ascii="Times New Roman" w:hAnsi="Times New Roman"/>
              </w:rPr>
            </w:pPr>
            <w:r w:rsidRPr="00B302CE">
              <w:rPr>
                <w:rFonts w:ascii="Times New Roman" w:hAnsi="Times New Roman"/>
              </w:rPr>
              <w:t>Wyznaczenie terminu krótszego niż 21 dni, o którym mowa w § 129 Regulaminu pracy Rady Ministrów</w:t>
            </w:r>
            <w:r w:rsidR="00AE5DE4" w:rsidRPr="00B302CE">
              <w:rPr>
                <w:rFonts w:ascii="Times New Roman" w:hAnsi="Times New Roman"/>
              </w:rPr>
              <w:t xml:space="preserve"> oraz krótszego niż 30 dni</w:t>
            </w:r>
            <w:r w:rsidRPr="00B302CE">
              <w:rPr>
                <w:rFonts w:ascii="Times New Roman" w:hAnsi="Times New Roman"/>
              </w:rPr>
              <w:t xml:space="preserve">, </w:t>
            </w:r>
            <w:r w:rsidR="00AE5DE4" w:rsidRPr="00B302CE">
              <w:rPr>
                <w:rFonts w:ascii="Times New Roman" w:hAnsi="Times New Roman"/>
              </w:rPr>
              <w:t xml:space="preserve">o którym mowa w art. 19 ust. 2 ustawy o związkach zawodowych, </w:t>
            </w:r>
            <w:r w:rsidRPr="00B302CE">
              <w:rPr>
                <w:rFonts w:ascii="Times New Roman" w:hAnsi="Times New Roman"/>
              </w:rPr>
              <w:t xml:space="preserve">uzasadnione </w:t>
            </w:r>
            <w:r w:rsidR="00AE5DE4" w:rsidRPr="00B302CE">
              <w:rPr>
                <w:rFonts w:ascii="Times New Roman" w:hAnsi="Times New Roman"/>
              </w:rPr>
              <w:t>było</w:t>
            </w:r>
            <w:r w:rsidRPr="00B302CE">
              <w:rPr>
                <w:rFonts w:ascii="Times New Roman" w:hAnsi="Times New Roman"/>
              </w:rPr>
              <w:t xml:space="preserve"> </w:t>
            </w:r>
            <w:r w:rsidR="005B414F" w:rsidRPr="00B302CE">
              <w:rPr>
                <w:rFonts w:ascii="Times New Roman" w:hAnsi="Times New Roman"/>
              </w:rPr>
              <w:t>ważnym interesem publicznym</w:t>
            </w:r>
            <w:r w:rsidR="00C3669B" w:rsidRPr="00B302CE">
              <w:rPr>
                <w:rFonts w:ascii="Times New Roman" w:hAnsi="Times New Roman"/>
              </w:rPr>
              <w:t xml:space="preserve">, tj. </w:t>
            </w:r>
            <w:r w:rsidRPr="00B302CE">
              <w:rPr>
                <w:rFonts w:ascii="Times New Roman" w:hAnsi="Times New Roman"/>
              </w:rPr>
              <w:t>doniosłą potrzebą dalszej informatyzacji sądownictwa powszechnego</w:t>
            </w:r>
            <w:r w:rsidR="005B414F" w:rsidRPr="00B302CE">
              <w:rPr>
                <w:rFonts w:ascii="Times New Roman" w:hAnsi="Times New Roman"/>
              </w:rPr>
              <w:t>, zwłaszcza w obliczu nowych wyzwań stawianych przed sądami we współczesnym społeczeństwie informacyjnym.</w:t>
            </w:r>
          </w:p>
          <w:p w14:paraId="38A8684E" w14:textId="008CAE5D" w:rsidR="00AE5DE4" w:rsidRPr="00B302CE" w:rsidRDefault="00193EC4" w:rsidP="00AE5DE4">
            <w:pPr>
              <w:spacing w:line="240" w:lineRule="auto"/>
              <w:ind w:firstLine="312"/>
              <w:jc w:val="both"/>
              <w:rPr>
                <w:rFonts w:ascii="Times New Roman" w:hAnsi="Times New Roman"/>
              </w:rPr>
            </w:pPr>
            <w:r w:rsidRPr="00B302CE">
              <w:rPr>
                <w:rFonts w:ascii="Times New Roman" w:hAnsi="Times New Roman"/>
              </w:rPr>
              <w:t>Projekt ustawy nie wprowadza szeroko zakrojonych i skomplikowanych instytucji prawnych, a podjęta interwencja legislacyjna nie ma na celu wyłącznie przyspieszenia postępowań sądowych, lecz zapewnienia możliwości ich sprawnej realizacji i udziału stron w formie elektronicznej w oparciu o zmieniające się dynamicznie uwarunkowania organizacyjne, społeczne i zdrowotne. Obecne przepisy ustawy - Prawo o ustroju sądów powszechnych uniemożliwiają skuteczne działania Ministerstwa Sprawiedliwości i sądów powszechnych podejmowane w celu przyspieszenia i usprawnienia rozpoznawania spraw sądowych poprzez stworzenie, wdrożenie i utrzymanie odpowiednich narzędzi informatycznych. Z</w:t>
            </w:r>
            <w:r w:rsidR="00C3669B" w:rsidRPr="00B302CE">
              <w:rPr>
                <w:rFonts w:ascii="Times New Roman" w:hAnsi="Times New Roman"/>
              </w:rPr>
              <w:t> </w:t>
            </w:r>
            <w:r w:rsidRPr="00B302CE">
              <w:rPr>
                <w:rFonts w:ascii="Times New Roman" w:hAnsi="Times New Roman"/>
              </w:rPr>
              <w:t>jednej strony bowiem przepisy tej ustawy bardzo niejednoznacznie i</w:t>
            </w:r>
            <w:r w:rsidR="00AE5DE4" w:rsidRPr="00B302CE">
              <w:rPr>
                <w:rFonts w:ascii="Times New Roman" w:hAnsi="Times New Roman"/>
              </w:rPr>
              <w:t> </w:t>
            </w:r>
            <w:r w:rsidRPr="00B302CE">
              <w:rPr>
                <w:rFonts w:ascii="Times New Roman" w:hAnsi="Times New Roman"/>
              </w:rPr>
              <w:t xml:space="preserve">wybiórczo wskazują kompetencje Ministerstwa Sprawiedliwości do stworzenia i utrzymania takich narzędzi, posługując się wyłącznie określeniem „system teleinformatyczny obsługujący postępowanie sądowe”, z drugiej natomiast strony każdy z sądów (apelacyjnych, okręgowych, rejonowych) prowadzi samodzielnie sprawy z zakresu informatyzacji oraz obsługi informatycznej tego sądu, co powoduje wysoce nieefektywną i kosztowną sieć narzędzi informatycznych wytwarzanych przez podmioty zewnętrzne oddzielnie dla każdego z sądu. </w:t>
            </w:r>
          </w:p>
          <w:p w14:paraId="05DE5B4B" w14:textId="77777777" w:rsidR="00AE5DE4" w:rsidRPr="00B302CE" w:rsidRDefault="00193EC4" w:rsidP="00AE5DE4">
            <w:pPr>
              <w:spacing w:line="240" w:lineRule="auto"/>
              <w:ind w:firstLine="312"/>
              <w:jc w:val="both"/>
              <w:rPr>
                <w:rFonts w:ascii="Times New Roman" w:hAnsi="Times New Roman"/>
              </w:rPr>
            </w:pPr>
            <w:r w:rsidRPr="00B302CE">
              <w:rPr>
                <w:rFonts w:ascii="Times New Roman" w:hAnsi="Times New Roman"/>
              </w:rPr>
              <w:t>Konieczne jest zatem stworzenie ram prawnych, które powinny być dostosowane do potrzeb współczesnego obrotu prawnego. Wprowadzane przepisy stanowią doniosłą płaszczyznę dla dalszej informatyzacji sądownictwa powszechnego, która spełni pokładaną w niej nadzieję – uproszczenia i przyspieszenia trwających postepowań sądowych, zwłaszcza w</w:t>
            </w:r>
            <w:r w:rsidR="00AE5DE4" w:rsidRPr="00B302CE">
              <w:rPr>
                <w:rFonts w:ascii="Times New Roman" w:hAnsi="Times New Roman"/>
              </w:rPr>
              <w:t> </w:t>
            </w:r>
            <w:r w:rsidRPr="00B302CE">
              <w:rPr>
                <w:rFonts w:ascii="Times New Roman" w:hAnsi="Times New Roman"/>
              </w:rPr>
              <w:t>obliczu nowych wyzwań stawianych przed sądami we współczesnym społeczeństwie informacyjnym.</w:t>
            </w:r>
          </w:p>
          <w:p w14:paraId="2F459619" w14:textId="77777777" w:rsidR="00BB7F32" w:rsidRPr="00B302CE" w:rsidRDefault="00193EC4" w:rsidP="00BB7F32">
            <w:pPr>
              <w:spacing w:line="240" w:lineRule="auto"/>
              <w:ind w:firstLine="312"/>
              <w:jc w:val="both"/>
              <w:rPr>
                <w:rFonts w:ascii="Times New Roman" w:hAnsi="Times New Roman"/>
              </w:rPr>
            </w:pPr>
            <w:r w:rsidRPr="00B302CE">
              <w:rPr>
                <w:rFonts w:ascii="Times New Roman" w:hAnsi="Times New Roman"/>
              </w:rPr>
              <w:t>Coraz więcej zadań realizowanych przez sądy wymaga podjęcia szybkich i efektywnych działań przez wymiar sprawiedliwości, co utrudniają przestarzałe metody pracy sądów, w tym w zakresie komunikacji czy prowadzenia akt w</w:t>
            </w:r>
            <w:r w:rsidR="00AE5DE4" w:rsidRPr="00B302CE">
              <w:rPr>
                <w:rFonts w:ascii="Times New Roman" w:hAnsi="Times New Roman"/>
              </w:rPr>
              <w:t> </w:t>
            </w:r>
            <w:r w:rsidRPr="00B302CE">
              <w:rPr>
                <w:rFonts w:ascii="Times New Roman" w:hAnsi="Times New Roman"/>
              </w:rPr>
              <w:t xml:space="preserve">formie papierowej. Ponadto w aktualnej sytuacji społeczno-politycznej i gospodarczej w Polsce, wywołanej z jednej strony pandemią COVID-19, a z drugiej konfliktem zbrojnym Rosji i Ukrainy, konieczne jest natychmiastowe usprawnienie postepowań sądowych. Już choćby ustawa o pomocy obywatelom Ukrainy w związku z konfliktem zbrojnym na terytorium tego państwa przewiduje wprowadzenie procedury ustanowienia opieki tymczasowej względem małoletniego obywatela Ukrainy, który przebywa na terytorium Rzeczypospolitej Polskiej bez opieki osób dorosłych, odpowiedzialnych za niego zgodnie z prawem obowiązującym w Rzeczypospolitej Polskiej i którego pobyt został zalegalizowany zgodnie z przepisami niniejszej ustawy. Sądy mają rozpoznawać tego rodzaju sprawy bezzwłocznie, nie później niż w terminie 3 dni od dnia wpływu do sądu wniosku lub powzięcia informacji o konieczności ustanowienia opiekuna tymczasowego. Sądy, w sytuacji rosyjskiej agresji na Ukrainę, </w:t>
            </w:r>
            <w:r w:rsidR="00AE5DE4" w:rsidRPr="00B302CE">
              <w:rPr>
                <w:rFonts w:ascii="Times New Roman" w:hAnsi="Times New Roman"/>
              </w:rPr>
              <w:t>mierzą</w:t>
            </w:r>
            <w:r w:rsidRPr="00B302CE">
              <w:rPr>
                <w:rFonts w:ascii="Times New Roman" w:hAnsi="Times New Roman"/>
              </w:rPr>
              <w:t xml:space="preserve"> się z sytuacją ekstremalną – </w:t>
            </w:r>
            <w:r w:rsidR="00AE5DE4" w:rsidRPr="00B302CE">
              <w:rPr>
                <w:rFonts w:ascii="Times New Roman" w:hAnsi="Times New Roman"/>
              </w:rPr>
              <w:t>ciąży</w:t>
            </w:r>
            <w:r w:rsidRPr="00B302CE">
              <w:rPr>
                <w:rFonts w:ascii="Times New Roman" w:hAnsi="Times New Roman"/>
              </w:rPr>
              <w:t xml:space="preserve"> na nich niebywałe zadanie, tj. potrzeba zapewnienia w krótkim terminie opieki wielu małoletnim ofiarom rosyjskiej agresji, które zmuszone były opuścić swój dom rodzinny wobec zbrodni dokonywanych na ludności cywilnej przez żołnierzy rosyjskiego reżimu. Przy obecnym stanie prawnym z ustawy o cudzoziemcach, która przewiduje, że Krajowy zbiór rejestrów, ewidencji i wykazu w sprawach cudzoziemców jest tworzony i prowadzony przez Szefa Urzędu do Spraw Cudzoziemców w systemie teleinformatycznym, zachodzi potrzeba unormowania zaproponowanych w nowelizacji ustawy – Prawo o ustroju sądów powszechnych rozwiązań teleinformatycznych, które umożliwią bezzwłoczne rozpoznawanie spraw o ustanowienie opiekuna tymczasowego w najbliższej perspektywie czasu. </w:t>
            </w:r>
          </w:p>
          <w:p w14:paraId="3414FE80" w14:textId="77777777" w:rsidR="00BB7F32" w:rsidRPr="00B302CE" w:rsidRDefault="00193EC4" w:rsidP="00BB7F32">
            <w:pPr>
              <w:spacing w:line="240" w:lineRule="auto"/>
              <w:ind w:firstLine="312"/>
              <w:jc w:val="both"/>
              <w:rPr>
                <w:rFonts w:ascii="Times New Roman" w:hAnsi="Times New Roman"/>
              </w:rPr>
            </w:pPr>
            <w:r w:rsidRPr="00B302CE">
              <w:rPr>
                <w:rFonts w:ascii="Times New Roman" w:hAnsi="Times New Roman"/>
              </w:rPr>
              <w:t xml:space="preserve">Proponowane rozwiązania stworzą w zamierzeniu projektodawcy płaszczyznę dla dalszych zmian w tym obszarze. Obecne i proponowane przepisy ustawy – Prawo o ustroju sądów powszechnych nie przewidują utworzenia centralnego systemu informatycznego. W miejsce centralnego systemu istnieje natomiast potrzeba stopniowej integracji na poziomie centralnym (tj. Ministerstwa Sprawiedliwości) oraz w obecnych warunkach przede wszystkim na poziomie </w:t>
            </w:r>
            <w:r w:rsidR="00BB7F32" w:rsidRPr="00B302CE">
              <w:rPr>
                <w:rFonts w:ascii="Times New Roman" w:hAnsi="Times New Roman"/>
              </w:rPr>
              <w:t>regionalnym</w:t>
            </w:r>
            <w:r w:rsidRPr="00B302CE">
              <w:rPr>
                <w:rFonts w:ascii="Times New Roman" w:hAnsi="Times New Roman"/>
              </w:rPr>
              <w:t xml:space="preserve"> (na poziomie sądów apelacyjnych) istniejących i nowopowstających narzędzi informatycznych wspierających bądź to poszczególne rodzaje postępowań, bądź to poszczególne usługi elektroniczne udostępniane w ramach tych postępowań czy innych usług elektronicznych jakie może zapewnić sąd. Nowelizacja przepisów ustawy – Prawo o ustroju sądów powszechnych posłuży integracji systemów </w:t>
            </w:r>
            <w:r w:rsidR="00BB7F32" w:rsidRPr="00B302CE">
              <w:rPr>
                <w:rFonts w:ascii="Times New Roman" w:hAnsi="Times New Roman"/>
              </w:rPr>
              <w:t>tele</w:t>
            </w:r>
            <w:r w:rsidRPr="00B302CE">
              <w:rPr>
                <w:rFonts w:ascii="Times New Roman" w:hAnsi="Times New Roman"/>
              </w:rPr>
              <w:t xml:space="preserve">informatycznych na poziomie apelacji. W dalszej perspektywie rozwiązania ustawy posłużą zminimalizowaniu zjawiska przewlekłości i uchybiania standardom rzetelności i sprawności postępowań. </w:t>
            </w:r>
          </w:p>
          <w:p w14:paraId="59C4D63F" w14:textId="5B8D614A" w:rsidR="00193EC4" w:rsidRPr="00B302CE" w:rsidRDefault="00193EC4" w:rsidP="00BB7F32">
            <w:pPr>
              <w:spacing w:line="240" w:lineRule="auto"/>
              <w:ind w:firstLine="312"/>
              <w:jc w:val="both"/>
              <w:rPr>
                <w:rFonts w:ascii="Times New Roman" w:hAnsi="Times New Roman"/>
              </w:rPr>
            </w:pPr>
            <w:r w:rsidRPr="00B302CE">
              <w:rPr>
                <w:rFonts w:ascii="Times New Roman" w:hAnsi="Times New Roman"/>
              </w:rPr>
              <w:t xml:space="preserve">Proponowane rozwiązania są pilnym zadaniem projektodawcy. Nowelizacja przepisów stwarzająca podstawy dla dalszej integracji systemów </w:t>
            </w:r>
            <w:r w:rsidR="00BB7F32" w:rsidRPr="00B302CE">
              <w:rPr>
                <w:rFonts w:ascii="Times New Roman" w:hAnsi="Times New Roman"/>
              </w:rPr>
              <w:t>tele</w:t>
            </w:r>
            <w:r w:rsidRPr="00B302CE">
              <w:rPr>
                <w:rFonts w:ascii="Times New Roman" w:hAnsi="Times New Roman"/>
              </w:rPr>
              <w:t>informatycznych nie stworzy problemów interpretacyjnych i stanowić będzie gotowe rozwiązania dla zminimalizowania zjawiska przewlekłości i uchybiania standardom rzetelności i sprawności postępowań.</w:t>
            </w:r>
          </w:p>
          <w:p w14:paraId="14EBEC33" w14:textId="76B73073" w:rsidR="00193EC4" w:rsidRPr="00B302CE" w:rsidRDefault="00193EC4" w:rsidP="00D25B27">
            <w:pPr>
              <w:spacing w:after="120" w:line="240" w:lineRule="auto"/>
              <w:jc w:val="both"/>
              <w:rPr>
                <w:rFonts w:ascii="Times New Roman" w:hAnsi="Times New Roman"/>
              </w:rPr>
            </w:pPr>
            <w:r w:rsidRPr="00B302CE">
              <w:rPr>
                <w:rFonts w:ascii="Times New Roman" w:hAnsi="Times New Roman"/>
              </w:rPr>
              <w:lastRenderedPageBreak/>
              <w:t>Opóźnienie, czy też wstrzymanie obecnie prowadzonych prac mogłoby skutkować obniżeniem dostępności, szybkości i</w:t>
            </w:r>
            <w:r w:rsidR="00BB7F32" w:rsidRPr="00B302CE">
              <w:rPr>
                <w:rFonts w:ascii="Times New Roman" w:hAnsi="Times New Roman"/>
              </w:rPr>
              <w:t> </w:t>
            </w:r>
            <w:r w:rsidRPr="00B302CE">
              <w:rPr>
                <w:rFonts w:ascii="Times New Roman" w:hAnsi="Times New Roman"/>
              </w:rPr>
              <w:t>efektywności wymiaru sprawiedliwości, co przemawia</w:t>
            </w:r>
            <w:r w:rsidR="00BB7F32" w:rsidRPr="00B302CE">
              <w:rPr>
                <w:rFonts w:ascii="Times New Roman" w:hAnsi="Times New Roman"/>
              </w:rPr>
              <w:t>ło</w:t>
            </w:r>
            <w:r w:rsidRPr="00B302CE">
              <w:rPr>
                <w:rFonts w:ascii="Times New Roman" w:hAnsi="Times New Roman"/>
              </w:rPr>
              <w:t xml:space="preserve"> za wyznaczeniem terminu 14 dni </w:t>
            </w:r>
            <w:r w:rsidR="00BB7F32" w:rsidRPr="00B302CE">
              <w:rPr>
                <w:rFonts w:ascii="Times New Roman" w:hAnsi="Times New Roman"/>
              </w:rPr>
              <w:t xml:space="preserve">i 21 dni w przypadku związków zawodowych </w:t>
            </w:r>
            <w:r w:rsidRPr="00B302CE">
              <w:rPr>
                <w:rFonts w:ascii="Times New Roman" w:hAnsi="Times New Roman"/>
              </w:rPr>
              <w:t>na zajęcie stanowiska względem projektu przedstawionej ustawy.</w:t>
            </w:r>
          </w:p>
          <w:p w14:paraId="35BE7152" w14:textId="79EDAED6" w:rsidR="00E45772" w:rsidRPr="00B302CE" w:rsidRDefault="00E45772" w:rsidP="00D25B27">
            <w:pPr>
              <w:spacing w:after="120" w:line="240" w:lineRule="auto"/>
              <w:ind w:firstLine="312"/>
              <w:jc w:val="both"/>
              <w:rPr>
                <w:rFonts w:ascii="Times New Roman" w:hAnsi="Times New Roman"/>
              </w:rPr>
            </w:pPr>
            <w:r w:rsidRPr="00B302CE">
              <w:rPr>
                <w:rFonts w:ascii="Times New Roman" w:hAnsi="Times New Roman"/>
              </w:rPr>
              <w:t>Uwagi do projektu zostały zgłoszone przez</w:t>
            </w:r>
            <w:r w:rsidR="00C401E0" w:rsidRPr="00B302CE">
              <w:rPr>
                <w:rFonts w:ascii="Times New Roman" w:hAnsi="Times New Roman"/>
              </w:rPr>
              <w:t xml:space="preserve"> </w:t>
            </w:r>
            <w:r w:rsidR="006D44E8" w:rsidRPr="00B302CE">
              <w:rPr>
                <w:rFonts w:ascii="Times New Roman" w:hAnsi="Times New Roman"/>
              </w:rPr>
              <w:t xml:space="preserve">Sąd Najwyższy, Prezesa Urzędu Ochrony Danych Osobowych, Rzecznika Praw Obywatelskich, </w:t>
            </w:r>
            <w:r w:rsidR="00B14AB4" w:rsidRPr="00B302CE">
              <w:rPr>
                <w:rFonts w:ascii="Times New Roman" w:hAnsi="Times New Roman"/>
              </w:rPr>
              <w:t xml:space="preserve">Prezesa Sądu Apelacyjnego w Krakowie, Prezesa Sądu Apelacyjnego w Lublinie, Dyrektora Sądu Apelacyjnego w Lublinie, Dyrektora Sądu Apelacyjnego w Łodzi, Prezesa Sądu Apelacyjnego w Szczecinie, Inspektora Ochrony Danych Sądu Apelacyjnego w Warszawie, </w:t>
            </w:r>
            <w:r w:rsidR="00C401E0" w:rsidRPr="00B302CE">
              <w:rPr>
                <w:rFonts w:ascii="Times New Roman" w:hAnsi="Times New Roman"/>
              </w:rPr>
              <w:t xml:space="preserve">Prezesa Sądu Apelacyjnego we Wrocławiu, </w:t>
            </w:r>
            <w:r w:rsidR="00B14AB4" w:rsidRPr="00B302CE">
              <w:rPr>
                <w:rFonts w:ascii="Times New Roman" w:hAnsi="Times New Roman"/>
              </w:rPr>
              <w:t>Inspektora Ochrony Danych Sądu Okręgowego w Warszawie</w:t>
            </w:r>
            <w:r w:rsidR="00C401E0" w:rsidRPr="00B302CE">
              <w:rPr>
                <w:rFonts w:ascii="Times New Roman" w:hAnsi="Times New Roman"/>
              </w:rPr>
              <w:t xml:space="preserve">, </w:t>
            </w:r>
            <w:r w:rsidR="00B14AB4" w:rsidRPr="00B302CE">
              <w:rPr>
                <w:rFonts w:ascii="Times New Roman" w:hAnsi="Times New Roman"/>
              </w:rPr>
              <w:t>Prezesa Sądu Rejonowego dla m. st. Warszawy w Warszawie</w:t>
            </w:r>
            <w:r w:rsidR="00C401E0" w:rsidRPr="00B302CE">
              <w:rPr>
                <w:rFonts w:ascii="Times New Roman" w:hAnsi="Times New Roman"/>
              </w:rPr>
              <w:t xml:space="preserve">, </w:t>
            </w:r>
            <w:r w:rsidR="00B14AB4" w:rsidRPr="00B302CE">
              <w:rPr>
                <w:rFonts w:ascii="Times New Roman" w:hAnsi="Times New Roman"/>
              </w:rPr>
              <w:t>Dyrektora Sądu Rejonowego dla m. st. Warszawy w Warszawie</w:t>
            </w:r>
            <w:r w:rsidR="00C401E0" w:rsidRPr="00B302CE">
              <w:rPr>
                <w:rFonts w:ascii="Times New Roman" w:hAnsi="Times New Roman"/>
              </w:rPr>
              <w:t>, Dyrektor</w:t>
            </w:r>
            <w:r w:rsidR="006D44E8" w:rsidRPr="00B302CE">
              <w:rPr>
                <w:rFonts w:ascii="Times New Roman" w:hAnsi="Times New Roman"/>
              </w:rPr>
              <w:t>a</w:t>
            </w:r>
            <w:r w:rsidR="00C401E0" w:rsidRPr="00B302CE">
              <w:rPr>
                <w:rFonts w:ascii="Times New Roman" w:hAnsi="Times New Roman"/>
              </w:rPr>
              <w:t xml:space="preserve"> Sądu Rejonowego dla Warszawy – Mokotowa w Warszawie,</w:t>
            </w:r>
            <w:r w:rsidR="00B14AB4" w:rsidRPr="00B302CE">
              <w:rPr>
                <w:rFonts w:ascii="Times New Roman" w:hAnsi="Times New Roman"/>
              </w:rPr>
              <w:t xml:space="preserve"> </w:t>
            </w:r>
            <w:r w:rsidR="00C401E0" w:rsidRPr="00B302CE">
              <w:rPr>
                <w:rFonts w:ascii="Times New Roman" w:hAnsi="Times New Roman"/>
              </w:rPr>
              <w:t>Niezależny Samorządny Związek Zawodowy Pracowników Wymiaru Sprawiedliwości Rzeczypospolitej Polskiej, Niezależny Samorządny Związek Zawodowy SOLIDARNOŚĆ.</w:t>
            </w:r>
          </w:p>
          <w:p w14:paraId="31CFE14F" w14:textId="7CFDF774" w:rsidR="00F5245B" w:rsidRPr="00B302CE" w:rsidRDefault="004666A9" w:rsidP="00F70260">
            <w:pPr>
              <w:spacing w:line="240" w:lineRule="auto"/>
              <w:jc w:val="both"/>
              <w:rPr>
                <w:rFonts w:ascii="Times New Roman" w:hAnsi="Times New Roman"/>
                <w:b/>
                <w:bCs/>
              </w:rPr>
            </w:pPr>
            <w:r w:rsidRPr="00B302CE">
              <w:rPr>
                <w:rFonts w:ascii="Times New Roman" w:hAnsi="Times New Roman"/>
                <w:b/>
                <w:bCs/>
              </w:rPr>
              <w:t>Szczegółowe odniesienie się do zgłoszonych propozycji zawiera raport z konsultacji i opiniowania</w:t>
            </w:r>
            <w:r w:rsidR="009202F3" w:rsidRPr="00B302CE">
              <w:rPr>
                <w:rFonts w:ascii="Times New Roman" w:hAnsi="Times New Roman"/>
                <w:b/>
                <w:bCs/>
              </w:rPr>
              <w:t xml:space="preserve"> oraz zestawienie uwag zgłoszonych w ramach opiniowania</w:t>
            </w:r>
            <w:r w:rsidRPr="00B302CE">
              <w:rPr>
                <w:rFonts w:ascii="Times New Roman" w:hAnsi="Times New Roman"/>
                <w:b/>
                <w:bCs/>
              </w:rPr>
              <w:t>.</w:t>
            </w:r>
          </w:p>
          <w:p w14:paraId="0F036FCA" w14:textId="77777777" w:rsidR="00F5245B" w:rsidRPr="00B302CE" w:rsidRDefault="00F5245B" w:rsidP="00F70260">
            <w:pPr>
              <w:pStyle w:val="ARTartustawynprozporzdzenia"/>
              <w:spacing w:after="120" w:line="240" w:lineRule="auto"/>
              <w:ind w:firstLine="0"/>
              <w:rPr>
                <w:rFonts w:ascii="Times New Roman" w:hAnsi="Times New Roman" w:cs="Times New Roman"/>
                <w:sz w:val="22"/>
                <w:szCs w:val="22"/>
              </w:rPr>
            </w:pPr>
          </w:p>
        </w:tc>
      </w:tr>
      <w:tr w:rsidR="00B302CE" w:rsidRPr="00B302CE" w14:paraId="72819560" w14:textId="77777777" w:rsidTr="00F70260">
        <w:trPr>
          <w:gridAfter w:val="1"/>
          <w:wAfter w:w="40" w:type="dxa"/>
          <w:trHeight w:val="363"/>
          <w:jc w:val="center"/>
        </w:trPr>
        <w:tc>
          <w:tcPr>
            <w:tcW w:w="10876" w:type="dxa"/>
            <w:gridSpan w:val="22"/>
            <w:shd w:val="clear" w:color="auto" w:fill="99CCFF"/>
            <w:vAlign w:val="center"/>
          </w:tcPr>
          <w:p w14:paraId="7F9AD8F1" w14:textId="77777777" w:rsidR="00F5245B" w:rsidRPr="00B302CE" w:rsidRDefault="00F5245B" w:rsidP="00F70260">
            <w:pPr>
              <w:numPr>
                <w:ilvl w:val="0"/>
                <w:numId w:val="1"/>
              </w:numPr>
              <w:spacing w:before="60" w:after="60" w:line="240" w:lineRule="auto"/>
              <w:jc w:val="both"/>
              <w:rPr>
                <w:rFonts w:ascii="Times New Roman" w:hAnsi="Times New Roman"/>
                <w:b/>
              </w:rPr>
            </w:pPr>
            <w:r w:rsidRPr="00B302CE">
              <w:rPr>
                <w:rFonts w:ascii="Times New Roman" w:hAnsi="Times New Roman"/>
                <w:b/>
              </w:rPr>
              <w:lastRenderedPageBreak/>
              <w:t xml:space="preserve"> Wpływ na sektor finansów publicznych</w:t>
            </w:r>
          </w:p>
        </w:tc>
      </w:tr>
      <w:tr w:rsidR="00B302CE" w:rsidRPr="00B302CE" w14:paraId="15D91316" w14:textId="77777777" w:rsidTr="00F70260">
        <w:trPr>
          <w:gridAfter w:val="1"/>
          <w:wAfter w:w="40" w:type="dxa"/>
          <w:trHeight w:val="142"/>
          <w:jc w:val="center"/>
        </w:trPr>
        <w:tc>
          <w:tcPr>
            <w:tcW w:w="2260" w:type="dxa"/>
            <w:vMerge w:val="restart"/>
            <w:shd w:val="clear" w:color="auto" w:fill="FFFFFF"/>
            <w:vAlign w:val="center"/>
          </w:tcPr>
          <w:p w14:paraId="704C7F94" w14:textId="77777777" w:rsidR="00F5245B" w:rsidRPr="00B302CE" w:rsidRDefault="00F5245B" w:rsidP="00F70260">
            <w:pPr>
              <w:spacing w:line="240" w:lineRule="auto"/>
              <w:rPr>
                <w:rFonts w:ascii="Times New Roman" w:hAnsi="Times New Roman"/>
                <w:i/>
              </w:rPr>
            </w:pPr>
            <w:r w:rsidRPr="00B302CE">
              <w:rPr>
                <w:rFonts w:ascii="Times New Roman" w:hAnsi="Times New Roman"/>
              </w:rPr>
              <w:t>(ceny stałe z 2022 r.)</w:t>
            </w:r>
          </w:p>
        </w:tc>
        <w:tc>
          <w:tcPr>
            <w:tcW w:w="8616" w:type="dxa"/>
            <w:gridSpan w:val="21"/>
            <w:shd w:val="clear" w:color="auto" w:fill="FFFFFF"/>
            <w:vAlign w:val="center"/>
          </w:tcPr>
          <w:p w14:paraId="41C74CC6" w14:textId="77777777" w:rsidR="00F5245B" w:rsidRPr="00B302CE" w:rsidRDefault="00F5245B" w:rsidP="00F70260">
            <w:pPr>
              <w:spacing w:line="240" w:lineRule="auto"/>
              <w:jc w:val="center"/>
              <w:rPr>
                <w:rFonts w:ascii="Times New Roman" w:hAnsi="Times New Roman"/>
                <w:i/>
                <w:spacing w:val="-2"/>
              </w:rPr>
            </w:pPr>
            <w:r w:rsidRPr="00B302CE">
              <w:rPr>
                <w:rFonts w:ascii="Times New Roman" w:hAnsi="Times New Roman"/>
              </w:rPr>
              <w:t>Skutki w okresie 10 lat od wejścia w życie zmian [mln zł]</w:t>
            </w:r>
          </w:p>
        </w:tc>
      </w:tr>
      <w:tr w:rsidR="00B302CE" w:rsidRPr="00B302CE" w14:paraId="1ED611E2" w14:textId="77777777" w:rsidTr="00F70260">
        <w:trPr>
          <w:gridAfter w:val="1"/>
          <w:wAfter w:w="40" w:type="dxa"/>
          <w:trHeight w:val="142"/>
          <w:jc w:val="center"/>
        </w:trPr>
        <w:tc>
          <w:tcPr>
            <w:tcW w:w="2260" w:type="dxa"/>
            <w:vMerge/>
            <w:shd w:val="clear" w:color="auto" w:fill="FFFFFF"/>
            <w:vAlign w:val="center"/>
          </w:tcPr>
          <w:p w14:paraId="43BDED96" w14:textId="77777777" w:rsidR="00F5245B" w:rsidRPr="00B302CE" w:rsidRDefault="00F5245B" w:rsidP="00F70260">
            <w:pPr>
              <w:spacing w:line="240" w:lineRule="auto"/>
              <w:rPr>
                <w:rFonts w:ascii="Times New Roman" w:hAnsi="Times New Roman"/>
                <w:i/>
              </w:rPr>
            </w:pPr>
          </w:p>
        </w:tc>
        <w:tc>
          <w:tcPr>
            <w:tcW w:w="708" w:type="dxa"/>
            <w:tcBorders>
              <w:bottom w:val="single" w:sz="4" w:space="0" w:color="auto"/>
            </w:tcBorders>
            <w:shd w:val="clear" w:color="auto" w:fill="D9D9D9"/>
            <w:vAlign w:val="center"/>
          </w:tcPr>
          <w:p w14:paraId="68506EFA"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0</w:t>
            </w:r>
          </w:p>
        </w:tc>
        <w:tc>
          <w:tcPr>
            <w:tcW w:w="701" w:type="dxa"/>
            <w:gridSpan w:val="2"/>
            <w:tcBorders>
              <w:bottom w:val="single" w:sz="4" w:space="0" w:color="auto"/>
            </w:tcBorders>
            <w:shd w:val="clear" w:color="auto" w:fill="D9D9D9"/>
            <w:vAlign w:val="center"/>
          </w:tcPr>
          <w:p w14:paraId="70BE64B4"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1</w:t>
            </w:r>
          </w:p>
        </w:tc>
        <w:tc>
          <w:tcPr>
            <w:tcW w:w="705" w:type="dxa"/>
            <w:tcBorders>
              <w:bottom w:val="single" w:sz="4" w:space="0" w:color="auto"/>
            </w:tcBorders>
            <w:shd w:val="clear" w:color="auto" w:fill="D9D9D9"/>
            <w:vAlign w:val="center"/>
          </w:tcPr>
          <w:p w14:paraId="532A3F35"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2</w:t>
            </w:r>
          </w:p>
        </w:tc>
        <w:tc>
          <w:tcPr>
            <w:tcW w:w="701" w:type="dxa"/>
            <w:tcBorders>
              <w:bottom w:val="single" w:sz="4" w:space="0" w:color="auto"/>
            </w:tcBorders>
            <w:shd w:val="clear" w:color="auto" w:fill="D9D9D9"/>
            <w:vAlign w:val="center"/>
          </w:tcPr>
          <w:p w14:paraId="16C7AACD"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3</w:t>
            </w:r>
          </w:p>
        </w:tc>
        <w:tc>
          <w:tcPr>
            <w:tcW w:w="703" w:type="dxa"/>
            <w:gridSpan w:val="3"/>
            <w:tcBorders>
              <w:bottom w:val="single" w:sz="4" w:space="0" w:color="auto"/>
            </w:tcBorders>
            <w:shd w:val="clear" w:color="auto" w:fill="D9D9D9"/>
            <w:vAlign w:val="center"/>
          </w:tcPr>
          <w:p w14:paraId="04F02616"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4</w:t>
            </w:r>
          </w:p>
        </w:tc>
        <w:tc>
          <w:tcPr>
            <w:tcW w:w="705" w:type="dxa"/>
            <w:gridSpan w:val="2"/>
            <w:tcBorders>
              <w:bottom w:val="single" w:sz="4" w:space="0" w:color="auto"/>
            </w:tcBorders>
            <w:shd w:val="clear" w:color="auto" w:fill="D9D9D9"/>
            <w:vAlign w:val="center"/>
          </w:tcPr>
          <w:p w14:paraId="0BF1C288"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5</w:t>
            </w:r>
          </w:p>
        </w:tc>
        <w:tc>
          <w:tcPr>
            <w:tcW w:w="703" w:type="dxa"/>
            <w:gridSpan w:val="2"/>
            <w:tcBorders>
              <w:bottom w:val="single" w:sz="4" w:space="0" w:color="auto"/>
            </w:tcBorders>
            <w:shd w:val="clear" w:color="auto" w:fill="D9D9D9"/>
            <w:vAlign w:val="center"/>
          </w:tcPr>
          <w:p w14:paraId="54C09925"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6</w:t>
            </w:r>
          </w:p>
        </w:tc>
        <w:tc>
          <w:tcPr>
            <w:tcW w:w="698" w:type="dxa"/>
            <w:gridSpan w:val="4"/>
            <w:tcBorders>
              <w:bottom w:val="single" w:sz="4" w:space="0" w:color="auto"/>
            </w:tcBorders>
            <w:shd w:val="clear" w:color="auto" w:fill="D9D9D9"/>
            <w:vAlign w:val="center"/>
          </w:tcPr>
          <w:p w14:paraId="7BC0140D"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7</w:t>
            </w:r>
          </w:p>
        </w:tc>
        <w:tc>
          <w:tcPr>
            <w:tcW w:w="703" w:type="dxa"/>
            <w:tcBorders>
              <w:bottom w:val="single" w:sz="4" w:space="0" w:color="auto"/>
            </w:tcBorders>
            <w:shd w:val="clear" w:color="auto" w:fill="D9D9D9"/>
            <w:vAlign w:val="center"/>
          </w:tcPr>
          <w:p w14:paraId="12CE4158"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8</w:t>
            </w:r>
          </w:p>
        </w:tc>
        <w:tc>
          <w:tcPr>
            <w:tcW w:w="701" w:type="dxa"/>
            <w:tcBorders>
              <w:bottom w:val="single" w:sz="4" w:space="0" w:color="auto"/>
            </w:tcBorders>
            <w:shd w:val="clear" w:color="auto" w:fill="D9D9D9"/>
            <w:vAlign w:val="center"/>
          </w:tcPr>
          <w:p w14:paraId="0DAD81F2"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9</w:t>
            </w:r>
          </w:p>
        </w:tc>
        <w:tc>
          <w:tcPr>
            <w:tcW w:w="701" w:type="dxa"/>
            <w:gridSpan w:val="2"/>
            <w:tcBorders>
              <w:bottom w:val="single" w:sz="4" w:space="0" w:color="auto"/>
            </w:tcBorders>
            <w:shd w:val="clear" w:color="auto" w:fill="D9D9D9"/>
            <w:vAlign w:val="center"/>
          </w:tcPr>
          <w:p w14:paraId="545EE480" w14:textId="77777777" w:rsidR="00F5245B" w:rsidRPr="00B302CE" w:rsidRDefault="00F5245B" w:rsidP="00F70260">
            <w:pPr>
              <w:spacing w:line="240" w:lineRule="auto"/>
              <w:jc w:val="center"/>
              <w:rPr>
                <w:rFonts w:ascii="Times New Roman" w:hAnsi="Times New Roman"/>
              </w:rPr>
            </w:pPr>
            <w:r w:rsidRPr="00B302CE">
              <w:rPr>
                <w:rFonts w:ascii="Times New Roman" w:hAnsi="Times New Roman"/>
              </w:rPr>
              <w:t>10</w:t>
            </w:r>
          </w:p>
        </w:tc>
        <w:tc>
          <w:tcPr>
            <w:tcW w:w="887" w:type="dxa"/>
            <w:tcBorders>
              <w:bottom w:val="single" w:sz="4" w:space="0" w:color="auto"/>
            </w:tcBorders>
            <w:shd w:val="clear" w:color="auto" w:fill="D9D9D9"/>
            <w:vAlign w:val="center"/>
          </w:tcPr>
          <w:p w14:paraId="5770D632" w14:textId="77777777" w:rsidR="00F5245B" w:rsidRPr="00B302CE" w:rsidRDefault="00F5245B" w:rsidP="00F70260">
            <w:pPr>
              <w:spacing w:line="240" w:lineRule="auto"/>
              <w:jc w:val="center"/>
              <w:rPr>
                <w:rFonts w:ascii="Times New Roman" w:hAnsi="Times New Roman"/>
                <w:i/>
                <w:spacing w:val="-2"/>
              </w:rPr>
            </w:pPr>
            <w:r w:rsidRPr="00B302CE">
              <w:rPr>
                <w:rFonts w:ascii="Times New Roman" w:hAnsi="Times New Roman"/>
                <w:i/>
                <w:spacing w:val="-2"/>
              </w:rPr>
              <w:t>Łącznie (0-10)</w:t>
            </w:r>
          </w:p>
        </w:tc>
      </w:tr>
      <w:tr w:rsidR="00B302CE" w:rsidRPr="00B302CE" w14:paraId="15842BBC" w14:textId="77777777" w:rsidTr="00F70260">
        <w:trPr>
          <w:gridAfter w:val="1"/>
          <w:wAfter w:w="40" w:type="dxa"/>
          <w:trHeight w:val="321"/>
          <w:jc w:val="center"/>
        </w:trPr>
        <w:tc>
          <w:tcPr>
            <w:tcW w:w="2260" w:type="dxa"/>
            <w:shd w:val="clear" w:color="auto" w:fill="FFFFFF"/>
            <w:vAlign w:val="center"/>
          </w:tcPr>
          <w:p w14:paraId="1578DD27" w14:textId="77777777" w:rsidR="00F5245B" w:rsidRPr="00B302CE" w:rsidRDefault="00F5245B" w:rsidP="00F70260">
            <w:pPr>
              <w:spacing w:line="240" w:lineRule="auto"/>
              <w:rPr>
                <w:rFonts w:ascii="Times New Roman" w:hAnsi="Times New Roman"/>
              </w:rPr>
            </w:pPr>
            <w:r w:rsidRPr="00B302CE">
              <w:rPr>
                <w:rFonts w:ascii="Times New Roman" w:hAnsi="Times New Roman"/>
                <w:b/>
              </w:rPr>
              <w:t>Dochody ogółem</w:t>
            </w:r>
          </w:p>
        </w:tc>
        <w:tc>
          <w:tcPr>
            <w:tcW w:w="708" w:type="dxa"/>
            <w:tcBorders>
              <w:top w:val="single" w:sz="4" w:space="0" w:color="auto"/>
              <w:left w:val="nil"/>
              <w:bottom w:val="single" w:sz="4" w:space="0" w:color="auto"/>
              <w:right w:val="single" w:sz="4" w:space="0" w:color="auto"/>
            </w:tcBorders>
            <w:shd w:val="clear" w:color="auto" w:fill="auto"/>
          </w:tcPr>
          <w:p w14:paraId="58C8D0AC"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2AFA3678" w14:textId="77777777" w:rsidR="00F5245B" w:rsidRPr="00B302CE" w:rsidRDefault="00F5245B" w:rsidP="00F70260">
            <w:pPr>
              <w:spacing w:line="240" w:lineRule="auto"/>
              <w:jc w:val="center"/>
              <w:rPr>
                <w:rFonts w:ascii="Times New Roman" w:hAnsi="Times New Roman"/>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C086738"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496CB013" w14:textId="77777777" w:rsidR="00F5245B" w:rsidRPr="00B302CE" w:rsidRDefault="00F5245B" w:rsidP="00F70260">
            <w:pPr>
              <w:spacing w:line="240" w:lineRule="auto"/>
              <w:jc w:val="center"/>
              <w:rPr>
                <w:rFonts w:ascii="Times New Roman" w:hAnsi="Times New Roman"/>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69ABB5D9" w14:textId="77777777" w:rsidR="00F5245B" w:rsidRPr="00B302CE" w:rsidRDefault="00F5245B" w:rsidP="00F70260">
            <w:pPr>
              <w:spacing w:line="240" w:lineRule="auto"/>
              <w:jc w:val="center"/>
              <w:rPr>
                <w:rFonts w:ascii="Times New Roman" w:hAnsi="Times New Roman"/>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7B6C23B7" w14:textId="77777777" w:rsidR="00F5245B" w:rsidRPr="00B302CE" w:rsidRDefault="00F5245B" w:rsidP="00F70260">
            <w:pPr>
              <w:spacing w:line="240" w:lineRule="auto"/>
              <w:jc w:val="center"/>
              <w:rPr>
                <w:rFonts w:ascii="Times New Roman" w:hAnsi="Times New Roma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7EA3142B" w14:textId="77777777" w:rsidR="00F5245B" w:rsidRPr="00B302CE" w:rsidRDefault="00F5245B" w:rsidP="00F70260">
            <w:pPr>
              <w:spacing w:line="240" w:lineRule="auto"/>
              <w:jc w:val="center"/>
              <w:rPr>
                <w:rFonts w:ascii="Times New Roman" w:hAnsi="Times New Roman"/>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5149BD04" w14:textId="77777777" w:rsidR="00F5245B" w:rsidRPr="00B302CE" w:rsidRDefault="00F5245B" w:rsidP="00F70260">
            <w:pPr>
              <w:spacing w:line="240" w:lineRule="auto"/>
              <w:jc w:val="center"/>
              <w:rPr>
                <w:rFonts w:ascii="Times New Roman" w:hAnsi="Times New Roman"/>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14E524FD"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35C8ABEB"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6E781E13" w14:textId="77777777" w:rsidR="00F5245B" w:rsidRPr="00B302CE" w:rsidRDefault="00F5245B" w:rsidP="00F70260">
            <w:pPr>
              <w:spacing w:line="240" w:lineRule="auto"/>
              <w:jc w:val="center"/>
              <w:rPr>
                <w:rFonts w:ascii="Times New Roman" w:hAnsi="Times New Roman"/>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1126B897" w14:textId="77777777" w:rsidR="00F5245B" w:rsidRPr="00B302CE" w:rsidRDefault="00F5245B" w:rsidP="00F70260">
            <w:pPr>
              <w:spacing w:line="240" w:lineRule="auto"/>
              <w:jc w:val="center"/>
              <w:rPr>
                <w:rFonts w:ascii="Times New Roman" w:hAnsi="Times New Roman"/>
              </w:rPr>
            </w:pPr>
          </w:p>
        </w:tc>
      </w:tr>
      <w:tr w:rsidR="00B302CE" w:rsidRPr="00B302CE" w14:paraId="3B567586" w14:textId="77777777" w:rsidTr="00F70260">
        <w:trPr>
          <w:gridAfter w:val="1"/>
          <w:wAfter w:w="40" w:type="dxa"/>
          <w:trHeight w:val="321"/>
          <w:jc w:val="center"/>
        </w:trPr>
        <w:tc>
          <w:tcPr>
            <w:tcW w:w="2260" w:type="dxa"/>
            <w:shd w:val="clear" w:color="auto" w:fill="FFFFFF"/>
            <w:vAlign w:val="center"/>
          </w:tcPr>
          <w:p w14:paraId="0A8E8B97" w14:textId="77777777" w:rsidR="00F5245B" w:rsidRPr="00B302CE" w:rsidRDefault="00F5245B" w:rsidP="00F70260">
            <w:pPr>
              <w:spacing w:line="240" w:lineRule="auto"/>
              <w:rPr>
                <w:rFonts w:ascii="Times New Roman" w:hAnsi="Times New Roman"/>
              </w:rPr>
            </w:pPr>
            <w:r w:rsidRPr="00B302CE">
              <w:rPr>
                <w:rFonts w:ascii="Times New Roman" w:hAnsi="Times New Roman"/>
              </w:rPr>
              <w:t>budżet państwa</w:t>
            </w:r>
          </w:p>
        </w:tc>
        <w:tc>
          <w:tcPr>
            <w:tcW w:w="708" w:type="dxa"/>
            <w:tcBorders>
              <w:top w:val="single" w:sz="4" w:space="0" w:color="auto"/>
              <w:left w:val="nil"/>
              <w:bottom w:val="single" w:sz="4" w:space="0" w:color="auto"/>
              <w:right w:val="single" w:sz="4" w:space="0" w:color="auto"/>
            </w:tcBorders>
            <w:shd w:val="clear" w:color="auto" w:fill="auto"/>
          </w:tcPr>
          <w:p w14:paraId="198DCD7D"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7010FFA3" w14:textId="77777777" w:rsidR="00F5245B" w:rsidRPr="00B302CE" w:rsidRDefault="00F5245B" w:rsidP="00F70260">
            <w:pPr>
              <w:spacing w:line="240" w:lineRule="auto"/>
              <w:jc w:val="center"/>
              <w:rPr>
                <w:rFonts w:ascii="Times New Roman" w:hAnsi="Times New Roman"/>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72BF824"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4CDB5485" w14:textId="77777777" w:rsidR="00F5245B" w:rsidRPr="00B302CE" w:rsidRDefault="00F5245B" w:rsidP="00F70260">
            <w:pPr>
              <w:spacing w:line="240" w:lineRule="auto"/>
              <w:jc w:val="center"/>
              <w:rPr>
                <w:rFonts w:ascii="Times New Roman" w:hAnsi="Times New Roman"/>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15464B2F" w14:textId="77777777" w:rsidR="00F5245B" w:rsidRPr="00B302CE" w:rsidRDefault="00F5245B" w:rsidP="00F70260">
            <w:pPr>
              <w:spacing w:line="240" w:lineRule="auto"/>
              <w:jc w:val="center"/>
              <w:rPr>
                <w:rFonts w:ascii="Times New Roman" w:hAnsi="Times New Roman"/>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44BF0DE2" w14:textId="77777777" w:rsidR="00F5245B" w:rsidRPr="00B302CE" w:rsidRDefault="00F5245B" w:rsidP="00F70260">
            <w:pPr>
              <w:spacing w:line="240" w:lineRule="auto"/>
              <w:jc w:val="center"/>
              <w:rPr>
                <w:rFonts w:ascii="Times New Roman" w:hAnsi="Times New Roma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70847FB3" w14:textId="77777777" w:rsidR="00F5245B" w:rsidRPr="00B302CE" w:rsidRDefault="00F5245B" w:rsidP="00F70260">
            <w:pPr>
              <w:spacing w:line="240" w:lineRule="auto"/>
              <w:jc w:val="center"/>
              <w:rPr>
                <w:rFonts w:ascii="Times New Roman" w:hAnsi="Times New Roman"/>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2623E5BF" w14:textId="77777777" w:rsidR="00F5245B" w:rsidRPr="00B302CE" w:rsidRDefault="00F5245B" w:rsidP="00F70260">
            <w:pPr>
              <w:spacing w:line="240" w:lineRule="auto"/>
              <w:jc w:val="center"/>
              <w:rPr>
                <w:rFonts w:ascii="Times New Roman" w:hAnsi="Times New Roman"/>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4A31A3A2"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6D5F501F"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7C91A008" w14:textId="77777777" w:rsidR="00F5245B" w:rsidRPr="00B302CE" w:rsidRDefault="00F5245B" w:rsidP="00F70260">
            <w:pPr>
              <w:spacing w:line="240" w:lineRule="auto"/>
              <w:jc w:val="center"/>
              <w:rPr>
                <w:rFonts w:ascii="Times New Roman" w:hAnsi="Times New Roman"/>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79B54CF6" w14:textId="77777777" w:rsidR="00F5245B" w:rsidRPr="00B302CE" w:rsidRDefault="00F5245B" w:rsidP="00F70260">
            <w:pPr>
              <w:spacing w:line="240" w:lineRule="auto"/>
              <w:jc w:val="center"/>
              <w:rPr>
                <w:rFonts w:ascii="Times New Roman" w:hAnsi="Times New Roman"/>
              </w:rPr>
            </w:pPr>
          </w:p>
        </w:tc>
      </w:tr>
      <w:tr w:rsidR="00B302CE" w:rsidRPr="00B302CE" w14:paraId="6C1FC26E" w14:textId="77777777" w:rsidTr="00F70260">
        <w:trPr>
          <w:gridAfter w:val="1"/>
          <w:wAfter w:w="40" w:type="dxa"/>
          <w:trHeight w:val="344"/>
          <w:jc w:val="center"/>
        </w:trPr>
        <w:tc>
          <w:tcPr>
            <w:tcW w:w="2260" w:type="dxa"/>
            <w:shd w:val="clear" w:color="auto" w:fill="FFFFFF"/>
            <w:vAlign w:val="center"/>
          </w:tcPr>
          <w:p w14:paraId="7EE76EC4" w14:textId="77777777" w:rsidR="00F5245B" w:rsidRPr="00B302CE" w:rsidRDefault="00F5245B" w:rsidP="00F70260">
            <w:pPr>
              <w:spacing w:line="240" w:lineRule="auto"/>
              <w:rPr>
                <w:rFonts w:ascii="Times New Roman" w:hAnsi="Times New Roman"/>
              </w:rPr>
            </w:pPr>
            <w:r w:rsidRPr="00B302CE">
              <w:rPr>
                <w:rFonts w:ascii="Times New Roman" w:hAnsi="Times New Roman"/>
              </w:rPr>
              <w:t>JST</w:t>
            </w:r>
          </w:p>
        </w:tc>
        <w:tc>
          <w:tcPr>
            <w:tcW w:w="708" w:type="dxa"/>
            <w:tcBorders>
              <w:top w:val="single" w:sz="4" w:space="0" w:color="auto"/>
              <w:left w:val="nil"/>
              <w:bottom w:val="single" w:sz="4" w:space="0" w:color="auto"/>
              <w:right w:val="single" w:sz="4" w:space="0" w:color="auto"/>
            </w:tcBorders>
            <w:shd w:val="clear" w:color="auto" w:fill="auto"/>
          </w:tcPr>
          <w:p w14:paraId="0F915449"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555B2A64" w14:textId="77777777" w:rsidR="00F5245B" w:rsidRPr="00B302CE" w:rsidRDefault="00F5245B" w:rsidP="00F70260">
            <w:pPr>
              <w:spacing w:line="240" w:lineRule="auto"/>
              <w:jc w:val="center"/>
              <w:rPr>
                <w:rFonts w:ascii="Times New Roman" w:hAnsi="Times New Roman"/>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5762F2C"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41FC7397" w14:textId="77777777" w:rsidR="00F5245B" w:rsidRPr="00B302CE" w:rsidRDefault="00F5245B" w:rsidP="00F70260">
            <w:pPr>
              <w:spacing w:line="240" w:lineRule="auto"/>
              <w:jc w:val="center"/>
              <w:rPr>
                <w:rFonts w:ascii="Times New Roman" w:hAnsi="Times New Roman"/>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0CEB4213" w14:textId="77777777" w:rsidR="00F5245B" w:rsidRPr="00B302CE" w:rsidRDefault="00F5245B" w:rsidP="00F70260">
            <w:pPr>
              <w:spacing w:line="240" w:lineRule="auto"/>
              <w:jc w:val="center"/>
              <w:rPr>
                <w:rFonts w:ascii="Times New Roman" w:hAnsi="Times New Roman"/>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38527AB1" w14:textId="77777777" w:rsidR="00F5245B" w:rsidRPr="00B302CE" w:rsidRDefault="00F5245B" w:rsidP="00F70260">
            <w:pPr>
              <w:spacing w:line="240" w:lineRule="auto"/>
              <w:jc w:val="center"/>
              <w:rPr>
                <w:rFonts w:ascii="Times New Roman" w:hAnsi="Times New Roma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4F399D16" w14:textId="77777777" w:rsidR="00F5245B" w:rsidRPr="00B302CE" w:rsidRDefault="00F5245B" w:rsidP="00F70260">
            <w:pPr>
              <w:spacing w:line="240" w:lineRule="auto"/>
              <w:jc w:val="center"/>
              <w:rPr>
                <w:rFonts w:ascii="Times New Roman" w:hAnsi="Times New Roman"/>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704C2517" w14:textId="77777777" w:rsidR="00F5245B" w:rsidRPr="00B302CE" w:rsidRDefault="00F5245B" w:rsidP="00F70260">
            <w:pPr>
              <w:spacing w:line="240" w:lineRule="auto"/>
              <w:jc w:val="center"/>
              <w:rPr>
                <w:rFonts w:ascii="Times New Roman" w:hAnsi="Times New Roman"/>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3437C3DD"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5A61CD53"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750ED366" w14:textId="77777777" w:rsidR="00F5245B" w:rsidRPr="00B302CE" w:rsidRDefault="00F5245B" w:rsidP="00F70260">
            <w:pPr>
              <w:spacing w:line="240" w:lineRule="auto"/>
              <w:jc w:val="center"/>
              <w:rPr>
                <w:rFonts w:ascii="Times New Roman" w:hAnsi="Times New Roman"/>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54D0DF9F" w14:textId="77777777" w:rsidR="00F5245B" w:rsidRPr="00B302CE" w:rsidRDefault="00F5245B" w:rsidP="00F70260">
            <w:pPr>
              <w:spacing w:line="240" w:lineRule="auto"/>
              <w:jc w:val="center"/>
              <w:rPr>
                <w:rFonts w:ascii="Times New Roman" w:hAnsi="Times New Roman"/>
              </w:rPr>
            </w:pPr>
          </w:p>
        </w:tc>
      </w:tr>
      <w:tr w:rsidR="00B302CE" w:rsidRPr="00B302CE" w14:paraId="676ACA5F" w14:textId="77777777" w:rsidTr="00F70260">
        <w:trPr>
          <w:gridAfter w:val="1"/>
          <w:wAfter w:w="40" w:type="dxa"/>
          <w:trHeight w:val="330"/>
          <w:jc w:val="center"/>
        </w:trPr>
        <w:tc>
          <w:tcPr>
            <w:tcW w:w="2260" w:type="dxa"/>
            <w:shd w:val="clear" w:color="auto" w:fill="FFFFFF"/>
            <w:vAlign w:val="center"/>
          </w:tcPr>
          <w:p w14:paraId="1972F6D7" w14:textId="77777777" w:rsidR="00F5245B" w:rsidRPr="00B302CE" w:rsidRDefault="00F5245B" w:rsidP="00F70260">
            <w:pPr>
              <w:spacing w:line="240" w:lineRule="auto"/>
              <w:rPr>
                <w:rFonts w:ascii="Times New Roman" w:hAnsi="Times New Roman"/>
              </w:rPr>
            </w:pPr>
            <w:r w:rsidRPr="00B302CE">
              <w:rPr>
                <w:rFonts w:ascii="Times New Roman" w:hAnsi="Times New Roman"/>
                <w:b/>
              </w:rPr>
              <w:t>Wydatki ogółem</w:t>
            </w:r>
          </w:p>
        </w:tc>
        <w:tc>
          <w:tcPr>
            <w:tcW w:w="708" w:type="dxa"/>
            <w:tcBorders>
              <w:top w:val="single" w:sz="4" w:space="0" w:color="auto"/>
              <w:left w:val="nil"/>
              <w:bottom w:val="single" w:sz="4" w:space="0" w:color="auto"/>
              <w:right w:val="single" w:sz="4" w:space="0" w:color="auto"/>
            </w:tcBorders>
            <w:shd w:val="clear" w:color="auto" w:fill="auto"/>
          </w:tcPr>
          <w:p w14:paraId="6A7459C3"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0CA48EDF" w14:textId="77777777" w:rsidR="00F5245B" w:rsidRPr="00B302CE" w:rsidRDefault="00F5245B" w:rsidP="00F70260">
            <w:pPr>
              <w:spacing w:line="240" w:lineRule="auto"/>
              <w:rPr>
                <w:rFonts w:ascii="Times New Roman" w:hAnsi="Times New Roman"/>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009AC3F"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2E21BF4F" w14:textId="77777777" w:rsidR="00F5245B" w:rsidRPr="00B302CE" w:rsidRDefault="00F5245B" w:rsidP="00F70260">
            <w:pPr>
              <w:spacing w:line="240" w:lineRule="auto"/>
              <w:jc w:val="center"/>
              <w:rPr>
                <w:rFonts w:ascii="Times New Roman" w:hAnsi="Times New Roman"/>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5FB50C0B" w14:textId="77777777" w:rsidR="00F5245B" w:rsidRPr="00B302CE" w:rsidRDefault="00F5245B" w:rsidP="00F70260">
            <w:pPr>
              <w:spacing w:line="240" w:lineRule="auto"/>
              <w:jc w:val="center"/>
              <w:rPr>
                <w:rFonts w:ascii="Times New Roman" w:hAnsi="Times New Roman"/>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3F9BF3BD" w14:textId="77777777" w:rsidR="00F5245B" w:rsidRPr="00B302CE" w:rsidRDefault="00F5245B" w:rsidP="00F70260">
            <w:pPr>
              <w:spacing w:line="240" w:lineRule="auto"/>
              <w:jc w:val="center"/>
              <w:rPr>
                <w:rFonts w:ascii="Times New Roman" w:hAnsi="Times New Roma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5CE26928" w14:textId="77777777" w:rsidR="00F5245B" w:rsidRPr="00B302CE" w:rsidRDefault="00F5245B" w:rsidP="00F70260">
            <w:pPr>
              <w:spacing w:line="240" w:lineRule="auto"/>
              <w:jc w:val="center"/>
              <w:rPr>
                <w:rFonts w:ascii="Times New Roman" w:hAnsi="Times New Roman"/>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74E91904" w14:textId="77777777" w:rsidR="00F5245B" w:rsidRPr="00B302CE" w:rsidRDefault="00F5245B" w:rsidP="00F70260">
            <w:pPr>
              <w:spacing w:line="240" w:lineRule="auto"/>
              <w:jc w:val="center"/>
              <w:rPr>
                <w:rFonts w:ascii="Times New Roman" w:hAnsi="Times New Roman"/>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2D71A777"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7C324131"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2EFBE126" w14:textId="77777777" w:rsidR="00F5245B" w:rsidRPr="00B302CE" w:rsidRDefault="00F5245B" w:rsidP="00F70260">
            <w:pPr>
              <w:spacing w:line="240" w:lineRule="auto"/>
              <w:jc w:val="center"/>
              <w:rPr>
                <w:rFonts w:ascii="Times New Roman" w:hAnsi="Times New Roman"/>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0FF93B76" w14:textId="77777777" w:rsidR="00F5245B" w:rsidRPr="00B302CE" w:rsidRDefault="00F5245B" w:rsidP="00F70260">
            <w:pPr>
              <w:spacing w:line="240" w:lineRule="auto"/>
              <w:jc w:val="center"/>
              <w:rPr>
                <w:rFonts w:ascii="Times New Roman" w:hAnsi="Times New Roman"/>
              </w:rPr>
            </w:pPr>
          </w:p>
        </w:tc>
      </w:tr>
      <w:tr w:rsidR="00B302CE" w:rsidRPr="00B302CE" w14:paraId="3D9DF69C" w14:textId="77777777" w:rsidTr="00F70260">
        <w:trPr>
          <w:gridAfter w:val="1"/>
          <w:wAfter w:w="40" w:type="dxa"/>
          <w:trHeight w:val="330"/>
          <w:jc w:val="center"/>
        </w:trPr>
        <w:tc>
          <w:tcPr>
            <w:tcW w:w="2260" w:type="dxa"/>
            <w:shd w:val="clear" w:color="auto" w:fill="FFFFFF"/>
            <w:vAlign w:val="center"/>
          </w:tcPr>
          <w:p w14:paraId="06E29AAC" w14:textId="77777777" w:rsidR="00F5245B" w:rsidRPr="00B302CE" w:rsidRDefault="00F5245B" w:rsidP="00F70260">
            <w:pPr>
              <w:spacing w:line="240" w:lineRule="auto"/>
              <w:rPr>
                <w:rFonts w:ascii="Times New Roman" w:hAnsi="Times New Roman"/>
              </w:rPr>
            </w:pPr>
            <w:r w:rsidRPr="00B302CE">
              <w:rPr>
                <w:rFonts w:ascii="Times New Roman" w:hAnsi="Times New Roman"/>
              </w:rPr>
              <w:t>budżet państwa</w:t>
            </w:r>
          </w:p>
        </w:tc>
        <w:tc>
          <w:tcPr>
            <w:tcW w:w="708" w:type="dxa"/>
            <w:tcBorders>
              <w:top w:val="single" w:sz="4" w:space="0" w:color="auto"/>
              <w:left w:val="nil"/>
              <w:bottom w:val="single" w:sz="4" w:space="0" w:color="auto"/>
              <w:right w:val="single" w:sz="4" w:space="0" w:color="auto"/>
            </w:tcBorders>
            <w:shd w:val="clear" w:color="auto" w:fill="auto"/>
          </w:tcPr>
          <w:p w14:paraId="3E546B23"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479EEF76" w14:textId="77777777" w:rsidR="00F5245B" w:rsidRPr="00B302CE" w:rsidRDefault="00F5245B" w:rsidP="00F70260">
            <w:pPr>
              <w:spacing w:line="240" w:lineRule="auto"/>
              <w:jc w:val="center"/>
              <w:rPr>
                <w:rFonts w:ascii="Times New Roman" w:hAnsi="Times New Roman"/>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755623A"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61A6152C" w14:textId="77777777" w:rsidR="00F5245B" w:rsidRPr="00B302CE" w:rsidRDefault="00F5245B" w:rsidP="00F70260">
            <w:pPr>
              <w:spacing w:line="240" w:lineRule="auto"/>
              <w:jc w:val="center"/>
              <w:rPr>
                <w:rFonts w:ascii="Times New Roman" w:hAnsi="Times New Roman"/>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3B872B7A" w14:textId="77777777" w:rsidR="00F5245B" w:rsidRPr="00B302CE" w:rsidRDefault="00F5245B" w:rsidP="00F70260">
            <w:pPr>
              <w:spacing w:line="240" w:lineRule="auto"/>
              <w:jc w:val="center"/>
              <w:rPr>
                <w:rFonts w:ascii="Times New Roman" w:hAnsi="Times New Roman"/>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4B9BAFC7" w14:textId="77777777" w:rsidR="00F5245B" w:rsidRPr="00B302CE" w:rsidRDefault="00F5245B" w:rsidP="00F70260">
            <w:pPr>
              <w:spacing w:line="240" w:lineRule="auto"/>
              <w:jc w:val="center"/>
              <w:rPr>
                <w:rFonts w:ascii="Times New Roman" w:hAnsi="Times New Roma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2EB33192" w14:textId="77777777" w:rsidR="00F5245B" w:rsidRPr="00B302CE" w:rsidRDefault="00F5245B" w:rsidP="00F70260">
            <w:pPr>
              <w:spacing w:line="240" w:lineRule="auto"/>
              <w:jc w:val="center"/>
              <w:rPr>
                <w:rFonts w:ascii="Times New Roman" w:hAnsi="Times New Roman"/>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2B81846F" w14:textId="77777777" w:rsidR="00F5245B" w:rsidRPr="00B302CE" w:rsidRDefault="00F5245B" w:rsidP="00F70260">
            <w:pPr>
              <w:spacing w:line="240" w:lineRule="auto"/>
              <w:jc w:val="center"/>
              <w:rPr>
                <w:rFonts w:ascii="Times New Roman" w:hAnsi="Times New Roman"/>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22C25A5C"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15115291"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549941AB" w14:textId="77777777" w:rsidR="00F5245B" w:rsidRPr="00B302CE" w:rsidRDefault="00F5245B" w:rsidP="00F70260">
            <w:pPr>
              <w:spacing w:line="240" w:lineRule="auto"/>
              <w:jc w:val="center"/>
              <w:rPr>
                <w:rFonts w:ascii="Times New Roman" w:hAnsi="Times New Roman"/>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1679116B" w14:textId="77777777" w:rsidR="00F5245B" w:rsidRPr="00B302CE" w:rsidRDefault="00F5245B" w:rsidP="00F70260">
            <w:pPr>
              <w:spacing w:line="240" w:lineRule="auto"/>
              <w:jc w:val="center"/>
              <w:rPr>
                <w:rFonts w:ascii="Times New Roman" w:hAnsi="Times New Roman"/>
              </w:rPr>
            </w:pPr>
          </w:p>
        </w:tc>
      </w:tr>
      <w:tr w:rsidR="00B302CE" w:rsidRPr="00B302CE" w14:paraId="1A7FAE40" w14:textId="77777777" w:rsidTr="00F70260">
        <w:trPr>
          <w:gridAfter w:val="1"/>
          <w:wAfter w:w="40" w:type="dxa"/>
          <w:trHeight w:val="351"/>
          <w:jc w:val="center"/>
        </w:trPr>
        <w:tc>
          <w:tcPr>
            <w:tcW w:w="2260" w:type="dxa"/>
            <w:shd w:val="clear" w:color="auto" w:fill="FFFFFF"/>
            <w:vAlign w:val="center"/>
          </w:tcPr>
          <w:p w14:paraId="700A961C" w14:textId="77777777" w:rsidR="00F5245B" w:rsidRPr="00B302CE" w:rsidRDefault="00F5245B" w:rsidP="00F70260">
            <w:pPr>
              <w:spacing w:line="240" w:lineRule="auto"/>
              <w:rPr>
                <w:rFonts w:ascii="Times New Roman" w:hAnsi="Times New Roman"/>
              </w:rPr>
            </w:pPr>
            <w:r w:rsidRPr="00B302CE">
              <w:rPr>
                <w:rFonts w:ascii="Times New Roman" w:hAnsi="Times New Roman"/>
              </w:rPr>
              <w:t>JST</w:t>
            </w:r>
          </w:p>
        </w:tc>
        <w:tc>
          <w:tcPr>
            <w:tcW w:w="708" w:type="dxa"/>
            <w:tcBorders>
              <w:top w:val="single" w:sz="4" w:space="0" w:color="auto"/>
              <w:left w:val="nil"/>
              <w:bottom w:val="single" w:sz="4" w:space="0" w:color="auto"/>
              <w:right w:val="single" w:sz="4" w:space="0" w:color="auto"/>
            </w:tcBorders>
            <w:shd w:val="clear" w:color="auto" w:fill="auto"/>
          </w:tcPr>
          <w:p w14:paraId="612DAF66"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30AEC661" w14:textId="77777777" w:rsidR="00F5245B" w:rsidRPr="00B302CE" w:rsidRDefault="00F5245B" w:rsidP="00F70260">
            <w:pPr>
              <w:spacing w:line="240" w:lineRule="auto"/>
              <w:jc w:val="center"/>
              <w:rPr>
                <w:rFonts w:ascii="Times New Roman" w:hAnsi="Times New Roman"/>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BFD476A"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7EA96E9E" w14:textId="77777777" w:rsidR="00F5245B" w:rsidRPr="00B302CE" w:rsidRDefault="00F5245B" w:rsidP="00F70260">
            <w:pPr>
              <w:spacing w:line="240" w:lineRule="auto"/>
              <w:jc w:val="center"/>
              <w:rPr>
                <w:rFonts w:ascii="Times New Roman" w:hAnsi="Times New Roman"/>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45059DAE" w14:textId="77777777" w:rsidR="00F5245B" w:rsidRPr="00B302CE" w:rsidRDefault="00F5245B" w:rsidP="00F70260">
            <w:pPr>
              <w:spacing w:line="240" w:lineRule="auto"/>
              <w:jc w:val="center"/>
              <w:rPr>
                <w:rFonts w:ascii="Times New Roman" w:hAnsi="Times New Roman"/>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037F06D7" w14:textId="77777777" w:rsidR="00F5245B" w:rsidRPr="00B302CE" w:rsidRDefault="00F5245B" w:rsidP="00F70260">
            <w:pPr>
              <w:spacing w:line="240" w:lineRule="auto"/>
              <w:jc w:val="center"/>
              <w:rPr>
                <w:rFonts w:ascii="Times New Roman" w:hAnsi="Times New Roma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3B36056D" w14:textId="77777777" w:rsidR="00F5245B" w:rsidRPr="00B302CE" w:rsidRDefault="00F5245B" w:rsidP="00F70260">
            <w:pPr>
              <w:spacing w:line="240" w:lineRule="auto"/>
              <w:jc w:val="center"/>
              <w:rPr>
                <w:rFonts w:ascii="Times New Roman" w:hAnsi="Times New Roman"/>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227AFD97" w14:textId="77777777" w:rsidR="00F5245B" w:rsidRPr="00B302CE" w:rsidRDefault="00F5245B" w:rsidP="00F70260">
            <w:pPr>
              <w:spacing w:line="240" w:lineRule="auto"/>
              <w:jc w:val="center"/>
              <w:rPr>
                <w:rFonts w:ascii="Times New Roman" w:hAnsi="Times New Roman"/>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635F5F46"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5CD6DCF7"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39E7D615" w14:textId="77777777" w:rsidR="00F5245B" w:rsidRPr="00B302CE" w:rsidRDefault="00F5245B" w:rsidP="00F70260">
            <w:pPr>
              <w:spacing w:line="240" w:lineRule="auto"/>
              <w:jc w:val="center"/>
              <w:rPr>
                <w:rFonts w:ascii="Times New Roman" w:hAnsi="Times New Roman"/>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0E0CC21E" w14:textId="77777777" w:rsidR="00F5245B" w:rsidRPr="00B302CE" w:rsidRDefault="00F5245B" w:rsidP="00F70260">
            <w:pPr>
              <w:spacing w:line="240" w:lineRule="auto"/>
              <w:jc w:val="center"/>
              <w:rPr>
                <w:rFonts w:ascii="Times New Roman" w:hAnsi="Times New Roman"/>
              </w:rPr>
            </w:pPr>
          </w:p>
        </w:tc>
      </w:tr>
      <w:tr w:rsidR="00B302CE" w:rsidRPr="00B302CE" w14:paraId="07ADB971" w14:textId="77777777" w:rsidTr="00F70260">
        <w:trPr>
          <w:gridAfter w:val="1"/>
          <w:wAfter w:w="40" w:type="dxa"/>
          <w:trHeight w:val="360"/>
          <w:jc w:val="center"/>
        </w:trPr>
        <w:tc>
          <w:tcPr>
            <w:tcW w:w="2260" w:type="dxa"/>
            <w:shd w:val="clear" w:color="auto" w:fill="FFFFFF"/>
            <w:vAlign w:val="center"/>
          </w:tcPr>
          <w:p w14:paraId="2F4C8D51" w14:textId="77777777" w:rsidR="00F5245B" w:rsidRPr="00B302CE" w:rsidRDefault="00F5245B" w:rsidP="00F70260">
            <w:pPr>
              <w:spacing w:line="240" w:lineRule="auto"/>
              <w:rPr>
                <w:rFonts w:ascii="Times New Roman" w:hAnsi="Times New Roman"/>
              </w:rPr>
            </w:pPr>
            <w:r w:rsidRPr="00B302CE">
              <w:rPr>
                <w:rFonts w:ascii="Times New Roman" w:hAnsi="Times New Roman"/>
                <w:b/>
              </w:rPr>
              <w:t>Saldo ogółem</w:t>
            </w:r>
          </w:p>
        </w:tc>
        <w:tc>
          <w:tcPr>
            <w:tcW w:w="708" w:type="dxa"/>
            <w:tcBorders>
              <w:top w:val="single" w:sz="4" w:space="0" w:color="auto"/>
              <w:left w:val="nil"/>
              <w:bottom w:val="single" w:sz="4" w:space="0" w:color="auto"/>
              <w:right w:val="single" w:sz="4" w:space="0" w:color="auto"/>
            </w:tcBorders>
            <w:shd w:val="clear" w:color="auto" w:fill="auto"/>
          </w:tcPr>
          <w:p w14:paraId="26D61B84" w14:textId="77777777" w:rsidR="00F5245B" w:rsidRPr="00B302CE" w:rsidRDefault="00F5245B" w:rsidP="00F70260">
            <w:pPr>
              <w:spacing w:line="240" w:lineRule="auto"/>
              <w:jc w:val="center"/>
              <w:rPr>
                <w:rFonts w:ascii="Times New Roman" w:hAnsi="Times New Roman"/>
                <w:sz w:val="18"/>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7EEA6E8A" w14:textId="77777777" w:rsidR="00F5245B" w:rsidRPr="00B302CE" w:rsidRDefault="00F5245B" w:rsidP="00F70260">
            <w:pPr>
              <w:spacing w:line="240" w:lineRule="auto"/>
              <w:jc w:val="center"/>
              <w:rPr>
                <w:rFonts w:ascii="Times New Roman" w:hAnsi="Times New Roman"/>
                <w:sz w:val="18"/>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29FB14D" w14:textId="77777777" w:rsidR="00F5245B" w:rsidRPr="00B302CE" w:rsidRDefault="00F5245B" w:rsidP="00F70260">
            <w:pPr>
              <w:spacing w:line="240" w:lineRule="auto"/>
              <w:jc w:val="center"/>
              <w:rPr>
                <w:rFonts w:ascii="Times New Roman" w:hAnsi="Times New Roman"/>
                <w:sz w:val="18"/>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4361928A" w14:textId="77777777" w:rsidR="00F5245B" w:rsidRPr="00B302CE" w:rsidRDefault="00F5245B" w:rsidP="00F70260">
            <w:pPr>
              <w:spacing w:line="240" w:lineRule="auto"/>
              <w:jc w:val="center"/>
              <w:rPr>
                <w:rFonts w:ascii="Times New Roman" w:hAnsi="Times New Roman"/>
                <w:sz w:val="18"/>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113FA17D" w14:textId="77777777" w:rsidR="00F5245B" w:rsidRPr="00B302CE" w:rsidRDefault="00F5245B" w:rsidP="00F70260">
            <w:pPr>
              <w:spacing w:line="240" w:lineRule="auto"/>
              <w:jc w:val="center"/>
              <w:rPr>
                <w:rFonts w:ascii="Times New Roman" w:hAnsi="Times New Roman"/>
                <w:sz w:val="18"/>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5122EB5C" w14:textId="77777777" w:rsidR="00F5245B" w:rsidRPr="00B302CE" w:rsidRDefault="00F5245B" w:rsidP="00F70260">
            <w:pPr>
              <w:spacing w:line="240" w:lineRule="auto"/>
              <w:jc w:val="center"/>
              <w:rPr>
                <w:rFonts w:ascii="Times New Roman" w:hAnsi="Times New Roman"/>
                <w:sz w:val="18"/>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43AC160B" w14:textId="77777777" w:rsidR="00F5245B" w:rsidRPr="00B302CE" w:rsidRDefault="00F5245B" w:rsidP="00F70260">
            <w:pPr>
              <w:spacing w:line="240" w:lineRule="auto"/>
              <w:jc w:val="center"/>
              <w:rPr>
                <w:rFonts w:ascii="Times New Roman" w:hAnsi="Times New Roman"/>
                <w:sz w:val="18"/>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3BD673DF" w14:textId="77777777" w:rsidR="00F5245B" w:rsidRPr="00B302CE" w:rsidRDefault="00F5245B" w:rsidP="00F70260">
            <w:pPr>
              <w:spacing w:line="240" w:lineRule="auto"/>
              <w:jc w:val="center"/>
              <w:rPr>
                <w:rFonts w:ascii="Times New Roman" w:hAnsi="Times New Roman"/>
                <w:sz w:val="18"/>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2D27FD9E" w14:textId="77777777" w:rsidR="00F5245B" w:rsidRPr="00B302CE" w:rsidRDefault="00F5245B" w:rsidP="00F70260">
            <w:pPr>
              <w:spacing w:line="240" w:lineRule="auto"/>
              <w:jc w:val="center"/>
              <w:rPr>
                <w:rFonts w:ascii="Times New Roman" w:hAnsi="Times New Roman"/>
                <w:sz w:val="18"/>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72395470" w14:textId="77777777" w:rsidR="00F5245B" w:rsidRPr="00B302CE" w:rsidRDefault="00F5245B" w:rsidP="00F70260">
            <w:pPr>
              <w:spacing w:line="240" w:lineRule="auto"/>
              <w:jc w:val="center"/>
              <w:rPr>
                <w:rFonts w:ascii="Times New Roman" w:hAnsi="Times New Roman"/>
                <w:sz w:val="18"/>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1C6935D0" w14:textId="77777777" w:rsidR="00F5245B" w:rsidRPr="00B302CE" w:rsidRDefault="00F5245B" w:rsidP="00F70260">
            <w:pPr>
              <w:spacing w:line="240" w:lineRule="auto"/>
              <w:jc w:val="center"/>
              <w:rPr>
                <w:rFonts w:ascii="Times New Roman" w:hAnsi="Times New Roman"/>
                <w:sz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0B424069" w14:textId="77777777" w:rsidR="00F5245B" w:rsidRPr="00B302CE" w:rsidRDefault="00F5245B" w:rsidP="00F70260">
            <w:pPr>
              <w:spacing w:line="240" w:lineRule="auto"/>
              <w:jc w:val="center"/>
              <w:rPr>
                <w:rFonts w:ascii="Times New Roman" w:hAnsi="Times New Roman"/>
                <w:sz w:val="18"/>
              </w:rPr>
            </w:pPr>
          </w:p>
        </w:tc>
      </w:tr>
      <w:tr w:rsidR="00B302CE" w:rsidRPr="00B302CE" w14:paraId="5F378BE9" w14:textId="77777777" w:rsidTr="00F70260">
        <w:trPr>
          <w:gridAfter w:val="1"/>
          <w:wAfter w:w="40" w:type="dxa"/>
          <w:trHeight w:val="360"/>
          <w:jc w:val="center"/>
        </w:trPr>
        <w:tc>
          <w:tcPr>
            <w:tcW w:w="2260" w:type="dxa"/>
            <w:shd w:val="clear" w:color="auto" w:fill="FFFFFF"/>
            <w:vAlign w:val="center"/>
          </w:tcPr>
          <w:p w14:paraId="2EAFC77E" w14:textId="77777777" w:rsidR="00F5245B" w:rsidRPr="00B302CE" w:rsidRDefault="00F5245B" w:rsidP="00F70260">
            <w:pPr>
              <w:spacing w:line="240" w:lineRule="auto"/>
              <w:rPr>
                <w:rFonts w:ascii="Times New Roman" w:hAnsi="Times New Roman"/>
              </w:rPr>
            </w:pPr>
            <w:r w:rsidRPr="00B302CE">
              <w:rPr>
                <w:rFonts w:ascii="Times New Roman" w:hAnsi="Times New Roman"/>
              </w:rPr>
              <w:t>budżet państwa</w:t>
            </w:r>
          </w:p>
        </w:tc>
        <w:tc>
          <w:tcPr>
            <w:tcW w:w="708" w:type="dxa"/>
            <w:tcBorders>
              <w:top w:val="single" w:sz="4" w:space="0" w:color="auto"/>
              <w:left w:val="nil"/>
              <w:bottom w:val="single" w:sz="4" w:space="0" w:color="auto"/>
              <w:right w:val="single" w:sz="4" w:space="0" w:color="auto"/>
            </w:tcBorders>
            <w:shd w:val="clear" w:color="auto" w:fill="auto"/>
          </w:tcPr>
          <w:p w14:paraId="28850364" w14:textId="77777777" w:rsidR="00F5245B" w:rsidRPr="00B302CE" w:rsidRDefault="00F5245B" w:rsidP="00F70260">
            <w:pPr>
              <w:spacing w:line="240" w:lineRule="auto"/>
              <w:jc w:val="center"/>
              <w:rPr>
                <w:rFonts w:ascii="Times New Roman" w:hAnsi="Times New Roman"/>
                <w:sz w:val="18"/>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11DFEC45" w14:textId="77777777" w:rsidR="00F5245B" w:rsidRPr="00B302CE" w:rsidRDefault="00F5245B" w:rsidP="00F70260">
            <w:pPr>
              <w:spacing w:line="240" w:lineRule="auto"/>
              <w:jc w:val="center"/>
              <w:rPr>
                <w:rFonts w:ascii="Times New Roman" w:hAnsi="Times New Roman"/>
                <w:sz w:val="18"/>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677DDD8" w14:textId="77777777" w:rsidR="00F5245B" w:rsidRPr="00B302CE" w:rsidRDefault="00F5245B" w:rsidP="00F70260">
            <w:pPr>
              <w:spacing w:line="240" w:lineRule="auto"/>
              <w:jc w:val="center"/>
              <w:rPr>
                <w:rFonts w:ascii="Times New Roman" w:hAnsi="Times New Roman"/>
                <w:sz w:val="18"/>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4F868BF2" w14:textId="77777777" w:rsidR="00F5245B" w:rsidRPr="00B302CE" w:rsidRDefault="00F5245B" w:rsidP="00F70260">
            <w:pPr>
              <w:spacing w:line="240" w:lineRule="auto"/>
              <w:jc w:val="center"/>
              <w:rPr>
                <w:rFonts w:ascii="Times New Roman" w:hAnsi="Times New Roman"/>
                <w:sz w:val="18"/>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77B3B301" w14:textId="77777777" w:rsidR="00F5245B" w:rsidRPr="00B302CE" w:rsidRDefault="00F5245B" w:rsidP="00F70260">
            <w:pPr>
              <w:spacing w:line="240" w:lineRule="auto"/>
              <w:jc w:val="center"/>
              <w:rPr>
                <w:rFonts w:ascii="Times New Roman" w:hAnsi="Times New Roman"/>
                <w:sz w:val="18"/>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43E72360" w14:textId="77777777" w:rsidR="00F5245B" w:rsidRPr="00B302CE" w:rsidRDefault="00F5245B" w:rsidP="00F70260">
            <w:pPr>
              <w:spacing w:line="240" w:lineRule="auto"/>
              <w:jc w:val="center"/>
              <w:rPr>
                <w:rFonts w:ascii="Times New Roman" w:hAnsi="Times New Roman"/>
                <w:sz w:val="18"/>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1544F704" w14:textId="77777777" w:rsidR="00F5245B" w:rsidRPr="00B302CE" w:rsidRDefault="00F5245B" w:rsidP="00F70260">
            <w:pPr>
              <w:spacing w:line="240" w:lineRule="auto"/>
              <w:jc w:val="center"/>
              <w:rPr>
                <w:rFonts w:ascii="Times New Roman" w:hAnsi="Times New Roman"/>
                <w:sz w:val="18"/>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11C4FF77" w14:textId="77777777" w:rsidR="00F5245B" w:rsidRPr="00B302CE" w:rsidRDefault="00F5245B" w:rsidP="00F70260">
            <w:pPr>
              <w:spacing w:line="240" w:lineRule="auto"/>
              <w:jc w:val="center"/>
              <w:rPr>
                <w:rFonts w:ascii="Times New Roman" w:hAnsi="Times New Roman"/>
                <w:sz w:val="18"/>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4D8935BF" w14:textId="77777777" w:rsidR="00F5245B" w:rsidRPr="00B302CE" w:rsidRDefault="00F5245B" w:rsidP="00F70260">
            <w:pPr>
              <w:spacing w:line="240" w:lineRule="auto"/>
              <w:jc w:val="center"/>
              <w:rPr>
                <w:rFonts w:ascii="Times New Roman" w:hAnsi="Times New Roman"/>
                <w:sz w:val="18"/>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23DFBF19" w14:textId="77777777" w:rsidR="00F5245B" w:rsidRPr="00B302CE" w:rsidRDefault="00F5245B" w:rsidP="00F70260">
            <w:pPr>
              <w:spacing w:line="240" w:lineRule="auto"/>
              <w:jc w:val="center"/>
              <w:rPr>
                <w:rFonts w:ascii="Times New Roman" w:hAnsi="Times New Roman"/>
                <w:sz w:val="18"/>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59B2EC56" w14:textId="77777777" w:rsidR="00F5245B" w:rsidRPr="00B302CE" w:rsidRDefault="00F5245B" w:rsidP="00F70260">
            <w:pPr>
              <w:spacing w:line="240" w:lineRule="auto"/>
              <w:jc w:val="center"/>
              <w:rPr>
                <w:rFonts w:ascii="Times New Roman" w:hAnsi="Times New Roman"/>
                <w:sz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4021794E" w14:textId="77777777" w:rsidR="00F5245B" w:rsidRPr="00B302CE" w:rsidRDefault="00F5245B" w:rsidP="00F70260">
            <w:pPr>
              <w:spacing w:line="240" w:lineRule="auto"/>
              <w:jc w:val="center"/>
              <w:rPr>
                <w:rFonts w:ascii="Times New Roman" w:hAnsi="Times New Roman"/>
                <w:sz w:val="18"/>
              </w:rPr>
            </w:pPr>
          </w:p>
        </w:tc>
      </w:tr>
      <w:tr w:rsidR="00B302CE" w:rsidRPr="00B302CE" w14:paraId="405B6F5C" w14:textId="77777777" w:rsidTr="00F70260">
        <w:trPr>
          <w:gridAfter w:val="1"/>
          <w:wAfter w:w="40" w:type="dxa"/>
          <w:trHeight w:val="357"/>
          <w:jc w:val="center"/>
        </w:trPr>
        <w:tc>
          <w:tcPr>
            <w:tcW w:w="2260" w:type="dxa"/>
            <w:shd w:val="clear" w:color="auto" w:fill="FFFFFF"/>
            <w:vAlign w:val="center"/>
          </w:tcPr>
          <w:p w14:paraId="70FF5D08" w14:textId="77777777" w:rsidR="00F5245B" w:rsidRPr="00B302CE" w:rsidRDefault="00F5245B" w:rsidP="00F70260">
            <w:pPr>
              <w:spacing w:line="240" w:lineRule="auto"/>
              <w:rPr>
                <w:rFonts w:ascii="Times New Roman" w:hAnsi="Times New Roman"/>
              </w:rPr>
            </w:pPr>
            <w:r w:rsidRPr="00B302CE">
              <w:rPr>
                <w:rFonts w:ascii="Times New Roman" w:hAnsi="Times New Roman"/>
              </w:rPr>
              <w:t>JST</w:t>
            </w:r>
          </w:p>
        </w:tc>
        <w:tc>
          <w:tcPr>
            <w:tcW w:w="708" w:type="dxa"/>
            <w:tcBorders>
              <w:top w:val="single" w:sz="4" w:space="0" w:color="auto"/>
              <w:left w:val="nil"/>
              <w:bottom w:val="single" w:sz="4" w:space="0" w:color="auto"/>
              <w:right w:val="single" w:sz="4" w:space="0" w:color="auto"/>
            </w:tcBorders>
            <w:shd w:val="clear" w:color="auto" w:fill="auto"/>
          </w:tcPr>
          <w:p w14:paraId="0FA0F19F"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2C622207" w14:textId="77777777" w:rsidR="00F5245B" w:rsidRPr="00B302CE" w:rsidRDefault="00F5245B" w:rsidP="00F70260">
            <w:pPr>
              <w:spacing w:line="240" w:lineRule="auto"/>
              <w:jc w:val="center"/>
              <w:rPr>
                <w:rFonts w:ascii="Times New Roman" w:hAnsi="Times New Roman"/>
              </w:rPr>
            </w:pP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BC02209"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24E695A7" w14:textId="77777777" w:rsidR="00F5245B" w:rsidRPr="00B302CE" w:rsidRDefault="00F5245B" w:rsidP="00F70260">
            <w:pPr>
              <w:spacing w:line="240" w:lineRule="auto"/>
              <w:jc w:val="center"/>
              <w:rPr>
                <w:rFonts w:ascii="Times New Roman" w:hAnsi="Times New Roman"/>
              </w:rPr>
            </w:pPr>
          </w:p>
        </w:tc>
        <w:tc>
          <w:tcPr>
            <w:tcW w:w="703" w:type="dxa"/>
            <w:gridSpan w:val="3"/>
            <w:tcBorders>
              <w:top w:val="single" w:sz="4" w:space="0" w:color="auto"/>
              <w:left w:val="single" w:sz="4" w:space="0" w:color="auto"/>
              <w:bottom w:val="single" w:sz="4" w:space="0" w:color="auto"/>
              <w:right w:val="single" w:sz="4" w:space="0" w:color="auto"/>
            </w:tcBorders>
            <w:shd w:val="clear" w:color="auto" w:fill="auto"/>
          </w:tcPr>
          <w:p w14:paraId="3D07EE1A" w14:textId="77777777" w:rsidR="00F5245B" w:rsidRPr="00B302CE" w:rsidRDefault="00F5245B" w:rsidP="00F70260">
            <w:pPr>
              <w:spacing w:line="240" w:lineRule="auto"/>
              <w:jc w:val="center"/>
              <w:rPr>
                <w:rFonts w:ascii="Times New Roman" w:hAnsi="Times New Roman"/>
              </w:rPr>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tcPr>
          <w:p w14:paraId="74462B64" w14:textId="77777777" w:rsidR="00F5245B" w:rsidRPr="00B302CE" w:rsidRDefault="00F5245B" w:rsidP="00F70260">
            <w:pPr>
              <w:spacing w:line="240" w:lineRule="auto"/>
              <w:jc w:val="center"/>
              <w:rPr>
                <w:rFonts w:ascii="Times New Roman" w:hAnsi="Times New Roma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14:paraId="42FB9443" w14:textId="77777777" w:rsidR="00F5245B" w:rsidRPr="00B302CE" w:rsidRDefault="00F5245B" w:rsidP="00F70260">
            <w:pPr>
              <w:spacing w:line="240" w:lineRule="auto"/>
              <w:jc w:val="center"/>
              <w:rPr>
                <w:rFonts w:ascii="Times New Roman" w:hAnsi="Times New Roman"/>
              </w:rPr>
            </w:pPr>
          </w:p>
        </w:tc>
        <w:tc>
          <w:tcPr>
            <w:tcW w:w="698" w:type="dxa"/>
            <w:gridSpan w:val="4"/>
            <w:tcBorders>
              <w:top w:val="single" w:sz="4" w:space="0" w:color="auto"/>
              <w:left w:val="single" w:sz="4" w:space="0" w:color="auto"/>
              <w:bottom w:val="single" w:sz="4" w:space="0" w:color="auto"/>
              <w:right w:val="single" w:sz="4" w:space="0" w:color="auto"/>
            </w:tcBorders>
            <w:shd w:val="clear" w:color="auto" w:fill="auto"/>
          </w:tcPr>
          <w:p w14:paraId="4873AEC6" w14:textId="77777777" w:rsidR="00F5245B" w:rsidRPr="00B302CE" w:rsidRDefault="00F5245B" w:rsidP="00F70260">
            <w:pPr>
              <w:spacing w:line="240" w:lineRule="auto"/>
              <w:jc w:val="center"/>
              <w:rPr>
                <w:rFonts w:ascii="Times New Roman" w:hAnsi="Times New Roman"/>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1904B301" w14:textId="77777777" w:rsidR="00F5245B" w:rsidRPr="00B302CE" w:rsidRDefault="00F5245B" w:rsidP="00F70260">
            <w:pPr>
              <w:spacing w:line="240" w:lineRule="auto"/>
              <w:jc w:val="center"/>
              <w:rPr>
                <w:rFonts w:ascii="Times New Roman" w:hAnsi="Times New Roman"/>
              </w:rPr>
            </w:pPr>
          </w:p>
        </w:tc>
        <w:tc>
          <w:tcPr>
            <w:tcW w:w="701" w:type="dxa"/>
            <w:tcBorders>
              <w:top w:val="single" w:sz="4" w:space="0" w:color="auto"/>
              <w:left w:val="single" w:sz="4" w:space="0" w:color="auto"/>
              <w:bottom w:val="single" w:sz="4" w:space="0" w:color="auto"/>
              <w:right w:val="single" w:sz="4" w:space="0" w:color="auto"/>
            </w:tcBorders>
            <w:shd w:val="clear" w:color="auto" w:fill="auto"/>
          </w:tcPr>
          <w:p w14:paraId="6453F55E" w14:textId="77777777" w:rsidR="00F5245B" w:rsidRPr="00B302CE" w:rsidRDefault="00F5245B" w:rsidP="00F70260">
            <w:pPr>
              <w:spacing w:line="240" w:lineRule="auto"/>
              <w:jc w:val="center"/>
              <w:rPr>
                <w:rFonts w:ascii="Times New Roman" w:hAnsi="Times New Roman"/>
              </w:rPr>
            </w:pPr>
          </w:p>
        </w:tc>
        <w:tc>
          <w:tcPr>
            <w:tcW w:w="701" w:type="dxa"/>
            <w:gridSpan w:val="2"/>
            <w:tcBorders>
              <w:top w:val="single" w:sz="4" w:space="0" w:color="auto"/>
              <w:left w:val="single" w:sz="4" w:space="0" w:color="auto"/>
              <w:bottom w:val="single" w:sz="4" w:space="0" w:color="auto"/>
              <w:right w:val="single" w:sz="4" w:space="0" w:color="auto"/>
            </w:tcBorders>
            <w:shd w:val="clear" w:color="auto" w:fill="auto"/>
          </w:tcPr>
          <w:p w14:paraId="03F90659" w14:textId="77777777" w:rsidR="00F5245B" w:rsidRPr="00B302CE" w:rsidRDefault="00F5245B" w:rsidP="00F70260">
            <w:pPr>
              <w:spacing w:line="240" w:lineRule="auto"/>
              <w:jc w:val="center"/>
              <w:rPr>
                <w:rFonts w:ascii="Times New Roman" w:hAnsi="Times New Roman"/>
              </w:rPr>
            </w:pP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037526BA" w14:textId="77777777" w:rsidR="00F5245B" w:rsidRPr="00B302CE" w:rsidRDefault="00F5245B" w:rsidP="00F70260">
            <w:pPr>
              <w:spacing w:line="240" w:lineRule="auto"/>
              <w:jc w:val="center"/>
              <w:rPr>
                <w:rFonts w:ascii="Times New Roman" w:hAnsi="Times New Roman"/>
              </w:rPr>
            </w:pPr>
          </w:p>
        </w:tc>
      </w:tr>
      <w:tr w:rsidR="00B302CE" w:rsidRPr="00B302CE" w14:paraId="7E9B578F" w14:textId="77777777" w:rsidTr="00F70260">
        <w:trPr>
          <w:gridAfter w:val="1"/>
          <w:wAfter w:w="40" w:type="dxa"/>
          <w:trHeight w:val="590"/>
          <w:jc w:val="center"/>
        </w:trPr>
        <w:tc>
          <w:tcPr>
            <w:tcW w:w="2260" w:type="dxa"/>
            <w:shd w:val="clear" w:color="auto" w:fill="FFFFFF"/>
            <w:vAlign w:val="center"/>
          </w:tcPr>
          <w:p w14:paraId="0ECBE255"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 xml:space="preserve">Źródła finansowania </w:t>
            </w:r>
          </w:p>
        </w:tc>
        <w:tc>
          <w:tcPr>
            <w:tcW w:w="8616" w:type="dxa"/>
            <w:gridSpan w:val="21"/>
            <w:tcBorders>
              <w:top w:val="single" w:sz="4" w:space="0" w:color="auto"/>
            </w:tcBorders>
            <w:shd w:val="clear" w:color="auto" w:fill="FFFFFF"/>
            <w:vAlign w:val="center"/>
          </w:tcPr>
          <w:p w14:paraId="3EB69C6A" w14:textId="77777777" w:rsidR="00F5245B" w:rsidRPr="00B302CE" w:rsidRDefault="00F5245B" w:rsidP="00F70260">
            <w:pPr>
              <w:spacing w:line="240" w:lineRule="auto"/>
              <w:jc w:val="both"/>
              <w:rPr>
                <w:rFonts w:ascii="Times New Roman" w:eastAsia="Times New Roman" w:hAnsi="Times New Roman"/>
                <w:bCs/>
                <w:lang w:eastAsia="pl-PL"/>
              </w:rPr>
            </w:pPr>
            <w:r w:rsidRPr="00B302CE">
              <w:rPr>
                <w:rFonts w:ascii="Times New Roman" w:eastAsia="Times New Roman" w:hAnsi="Times New Roman"/>
                <w:bCs/>
                <w:lang w:eastAsia="pl-PL"/>
              </w:rPr>
              <w:t>Wejście w życie proponowanych rozwiązań nie spowoduje skutków finansowych dla sektora finansów publicznych. Wszelkie ewentualne wydatki związane z wejściem w życie projektowanych rozwiązań związane z szeroko rozumianymi wydatkami na informatyzację, w tym dotyczące ewentualnych zmian w systemach teleinformatycznymi, zakupów sprzętu i wyposażenia, będą finansowane w ramach środków zabezpieczonych w budżecie części 15 Sądy powszechne zarówno w roku wejścia projektu w życie, jak i w latach kolejnych.</w:t>
            </w:r>
          </w:p>
        </w:tc>
      </w:tr>
      <w:tr w:rsidR="00B302CE" w:rsidRPr="00B302CE" w14:paraId="03565FAA" w14:textId="77777777" w:rsidTr="00F70260">
        <w:trPr>
          <w:gridAfter w:val="1"/>
          <w:wAfter w:w="40" w:type="dxa"/>
          <w:trHeight w:val="274"/>
          <w:jc w:val="center"/>
        </w:trPr>
        <w:tc>
          <w:tcPr>
            <w:tcW w:w="2260" w:type="dxa"/>
            <w:shd w:val="clear" w:color="auto" w:fill="FFFFFF"/>
          </w:tcPr>
          <w:p w14:paraId="287B0CFA" w14:textId="56145C5A" w:rsidR="00F5245B" w:rsidRPr="00B302CE" w:rsidRDefault="00F5245B" w:rsidP="00F70260">
            <w:pPr>
              <w:spacing w:before="120" w:after="120" w:line="240" w:lineRule="auto"/>
              <w:rPr>
                <w:rFonts w:ascii="Times New Roman" w:hAnsi="Times New Roman"/>
              </w:rPr>
            </w:pPr>
            <w:r w:rsidRPr="00B302CE">
              <w:rPr>
                <w:rFonts w:ascii="Times New Roman" w:hAnsi="Times New Roman"/>
              </w:rPr>
              <w:t xml:space="preserve">Dodatkowe informacje, </w:t>
            </w:r>
            <w:r w:rsidRPr="00B302CE">
              <w:rPr>
                <w:rFonts w:ascii="Times New Roman" w:hAnsi="Times New Roman"/>
              </w:rPr>
              <w:br/>
              <w:t>w tym wskazanie źródeł danych i</w:t>
            </w:r>
            <w:r w:rsidR="008D3A4A" w:rsidRPr="00B302CE">
              <w:rPr>
                <w:rFonts w:ascii="Times New Roman" w:hAnsi="Times New Roman"/>
              </w:rPr>
              <w:t> </w:t>
            </w:r>
            <w:r w:rsidRPr="00B302CE">
              <w:rPr>
                <w:rFonts w:ascii="Times New Roman" w:hAnsi="Times New Roman"/>
              </w:rPr>
              <w:t>przyjętych do obliczeń założeń</w:t>
            </w:r>
          </w:p>
        </w:tc>
        <w:tc>
          <w:tcPr>
            <w:tcW w:w="8616" w:type="dxa"/>
            <w:gridSpan w:val="21"/>
            <w:shd w:val="clear" w:color="auto" w:fill="FFFFFF"/>
          </w:tcPr>
          <w:p w14:paraId="13AD8866" w14:textId="634BA0C3" w:rsidR="00F5245B" w:rsidRPr="00B302CE" w:rsidRDefault="00F5245B" w:rsidP="00F70260">
            <w:pPr>
              <w:spacing w:before="120" w:after="120" w:line="240" w:lineRule="auto"/>
              <w:jc w:val="both"/>
              <w:rPr>
                <w:rFonts w:ascii="Times New Roman" w:eastAsia="Times New Roman" w:hAnsi="Times New Roman"/>
                <w:lang w:eastAsia="pl-PL"/>
              </w:rPr>
            </w:pPr>
            <w:r w:rsidRPr="00B302CE">
              <w:rPr>
                <w:rFonts w:ascii="Times New Roman" w:eastAsia="Times New Roman" w:hAnsi="Times New Roman"/>
                <w:lang w:eastAsia="pl-PL"/>
              </w:rPr>
              <w:t xml:space="preserve">Zaproponowana centralizacja zarządzania (powierzenie prowadzenia systemów </w:t>
            </w:r>
            <w:r w:rsidR="00ED255B" w:rsidRPr="00B302CE">
              <w:rPr>
                <w:rFonts w:ascii="Times New Roman" w:eastAsia="Times New Roman" w:hAnsi="Times New Roman"/>
                <w:lang w:eastAsia="pl-PL"/>
              </w:rPr>
              <w:t>tele</w:t>
            </w:r>
            <w:r w:rsidRPr="00B302CE">
              <w:rPr>
                <w:rFonts w:ascii="Times New Roman" w:eastAsia="Times New Roman" w:hAnsi="Times New Roman"/>
                <w:lang w:eastAsia="pl-PL"/>
              </w:rPr>
              <w:t xml:space="preserve">informatycznych dyrektorom sądów apelacyjnych) </w:t>
            </w:r>
            <w:r w:rsidR="00E70E75" w:rsidRPr="00B302CE">
              <w:rPr>
                <w:rFonts w:ascii="Times New Roman" w:eastAsia="Times New Roman" w:hAnsi="Times New Roman"/>
                <w:lang w:eastAsia="pl-PL"/>
              </w:rPr>
              <w:t>powiązana ze zmianą zasad zatrudniania</w:t>
            </w:r>
            <w:r w:rsidRPr="00B302CE">
              <w:rPr>
                <w:rFonts w:ascii="Times New Roman" w:eastAsia="Times New Roman" w:hAnsi="Times New Roman"/>
                <w:lang w:eastAsia="pl-PL"/>
              </w:rPr>
              <w:t xml:space="preserve"> </w:t>
            </w:r>
            <w:r w:rsidR="00E70E75" w:rsidRPr="00B302CE">
              <w:rPr>
                <w:rFonts w:ascii="Times New Roman" w:eastAsia="Times New Roman" w:hAnsi="Times New Roman"/>
                <w:lang w:eastAsia="pl-PL"/>
              </w:rPr>
              <w:t>pracowników sądów wykonujących zadania z zakresu informatyzacji sądownictwa oraz obsługi informatycznej sądów</w:t>
            </w:r>
            <w:r w:rsidR="00294B4F" w:rsidRPr="00B302CE">
              <w:rPr>
                <w:rFonts w:ascii="Times New Roman" w:eastAsia="Times New Roman" w:hAnsi="Times New Roman"/>
                <w:lang w:eastAsia="pl-PL"/>
              </w:rPr>
              <w:t xml:space="preserve"> (zatrudnianie przez dyrektora sądów apelacyjnych wszystkich </w:t>
            </w:r>
            <w:r w:rsidRPr="00B302CE">
              <w:rPr>
                <w:rFonts w:ascii="Times New Roman" w:eastAsia="Times New Roman" w:hAnsi="Times New Roman"/>
                <w:lang w:eastAsia="pl-PL"/>
              </w:rPr>
              <w:t>pracownik</w:t>
            </w:r>
            <w:r w:rsidR="00FB3950" w:rsidRPr="00B302CE">
              <w:rPr>
                <w:rFonts w:ascii="Times New Roman" w:eastAsia="Times New Roman" w:hAnsi="Times New Roman"/>
                <w:lang w:eastAsia="pl-PL"/>
              </w:rPr>
              <w:t>ów</w:t>
            </w:r>
            <w:r w:rsidRPr="00B302CE">
              <w:rPr>
                <w:rFonts w:ascii="Times New Roman" w:eastAsia="Times New Roman" w:hAnsi="Times New Roman"/>
                <w:lang w:eastAsia="pl-PL"/>
              </w:rPr>
              <w:t xml:space="preserve"> sądów </w:t>
            </w:r>
            <w:r w:rsidR="00294B4F" w:rsidRPr="00B302CE">
              <w:rPr>
                <w:rFonts w:ascii="Times New Roman" w:eastAsia="Times New Roman" w:hAnsi="Times New Roman"/>
                <w:lang w:eastAsia="pl-PL"/>
              </w:rPr>
              <w:t xml:space="preserve">wykonujących zadania z zakresu </w:t>
            </w:r>
            <w:r w:rsidR="00FB3950" w:rsidRPr="00B302CE">
              <w:rPr>
                <w:rFonts w:ascii="Times New Roman" w:eastAsia="Times New Roman" w:hAnsi="Times New Roman"/>
                <w:lang w:eastAsia="pl-PL"/>
              </w:rPr>
              <w:t xml:space="preserve">informatyzacji sądownictwa oraz obsługi informatycznej sądów w sądach </w:t>
            </w:r>
            <w:r w:rsidRPr="00B302CE">
              <w:rPr>
                <w:rFonts w:ascii="Times New Roman" w:eastAsia="Times New Roman" w:hAnsi="Times New Roman"/>
                <w:lang w:eastAsia="pl-PL"/>
              </w:rPr>
              <w:t>działających na obszarze apelacji</w:t>
            </w:r>
            <w:r w:rsidR="00FB3950" w:rsidRPr="00B302CE">
              <w:rPr>
                <w:rFonts w:ascii="Times New Roman" w:eastAsia="Times New Roman" w:hAnsi="Times New Roman"/>
                <w:lang w:eastAsia="pl-PL"/>
              </w:rPr>
              <w:t>)</w:t>
            </w:r>
            <w:r w:rsidRPr="00B302CE">
              <w:rPr>
                <w:rFonts w:ascii="Times New Roman" w:eastAsia="Times New Roman" w:hAnsi="Times New Roman"/>
                <w:lang w:eastAsia="pl-PL"/>
              </w:rPr>
              <w:t xml:space="preserve">, umożliwi wykonywanie zadań z zakresu obsługi systemów teleinformatycznych przez osoby aktualnie zajmujące się tą materią, a więc pozwoli wykorzystać istniejące już doświadczenia poszczególnych pracowników, bez konieczności zatrudniania przez sądy apelacyjne nowych osób, niekoniecznie dotychczas związanych z tego rodzaju zadaniami. Taka organizacja pozwoli zmniejszyć potrzeby etatowe sądów apelacyjnych i nie będzie powodować naglącej potrzeby przydzielenia znacznej liczby etatów w związku z wprowadzanymi zmianami. Powstałe potrzeby etatowe sądów apelacyjnych wykraczające ponad możliwości wykorzystania pracowników sądów podległych w apelacji mogą zostać zaspokojone w normalnym toku czynności, tj. poprzez </w:t>
            </w:r>
            <w:r w:rsidRPr="00B302CE">
              <w:rPr>
                <w:rFonts w:ascii="Times New Roman" w:eastAsia="Times New Roman" w:hAnsi="Times New Roman"/>
                <w:lang w:eastAsia="pl-PL"/>
              </w:rPr>
              <w:lastRenderedPageBreak/>
              <w:t>przydzielanie etatów zwolnionych w innych jednostkach, w razie sygnalizowania potrzeb przez dyrektorów sądów apelacyjnych.</w:t>
            </w:r>
          </w:p>
        </w:tc>
      </w:tr>
      <w:tr w:rsidR="00B302CE" w:rsidRPr="00B302CE" w14:paraId="667900C3" w14:textId="77777777" w:rsidTr="00F70260">
        <w:trPr>
          <w:gridAfter w:val="1"/>
          <w:wAfter w:w="40" w:type="dxa"/>
          <w:trHeight w:val="345"/>
          <w:jc w:val="center"/>
        </w:trPr>
        <w:tc>
          <w:tcPr>
            <w:tcW w:w="10876" w:type="dxa"/>
            <w:gridSpan w:val="22"/>
            <w:shd w:val="clear" w:color="auto" w:fill="99CCFF"/>
          </w:tcPr>
          <w:p w14:paraId="23A0AF7C" w14:textId="77777777" w:rsidR="00F5245B" w:rsidRPr="00B302CE" w:rsidRDefault="00F5245B" w:rsidP="00F70260">
            <w:pPr>
              <w:numPr>
                <w:ilvl w:val="0"/>
                <w:numId w:val="1"/>
              </w:numPr>
              <w:spacing w:before="120" w:after="120" w:line="240" w:lineRule="auto"/>
              <w:jc w:val="both"/>
              <w:rPr>
                <w:rFonts w:ascii="Times New Roman" w:hAnsi="Times New Roman"/>
                <w:b/>
                <w:spacing w:val="-2"/>
              </w:rPr>
            </w:pPr>
            <w:r w:rsidRPr="00B302CE">
              <w:rPr>
                <w:rFonts w:ascii="Times New Roman" w:hAnsi="Times New Roman"/>
                <w:b/>
                <w:spacing w:val="-2"/>
              </w:rPr>
              <w:lastRenderedPageBreak/>
              <w:t xml:space="preserve">Wpływ na </w:t>
            </w:r>
            <w:r w:rsidRPr="00B302CE">
              <w:rPr>
                <w:rFonts w:ascii="Times New Roman" w:hAnsi="Times New Roman"/>
                <w:b/>
              </w:rPr>
              <w:t xml:space="preserve">konkurencyjność gospodarki i przedsiębiorczość, w tym funkcjonowanie przedsiębiorców oraz na rodzinę, obywateli i gospodarstwa domowe </w:t>
            </w:r>
          </w:p>
        </w:tc>
      </w:tr>
      <w:tr w:rsidR="00B302CE" w:rsidRPr="00B302CE" w14:paraId="02786AC0" w14:textId="77777777" w:rsidTr="00F70260">
        <w:trPr>
          <w:gridAfter w:val="1"/>
          <w:wAfter w:w="40" w:type="dxa"/>
          <w:trHeight w:val="142"/>
          <w:jc w:val="center"/>
        </w:trPr>
        <w:tc>
          <w:tcPr>
            <w:tcW w:w="10876" w:type="dxa"/>
            <w:gridSpan w:val="22"/>
            <w:shd w:val="clear" w:color="auto" w:fill="FFFFFF"/>
          </w:tcPr>
          <w:p w14:paraId="4B1F1514" w14:textId="77777777" w:rsidR="00F5245B" w:rsidRPr="00B302CE" w:rsidRDefault="00F5245B" w:rsidP="00F70260">
            <w:pPr>
              <w:spacing w:before="120" w:after="120" w:line="240" w:lineRule="auto"/>
              <w:jc w:val="center"/>
              <w:rPr>
                <w:rFonts w:ascii="Times New Roman" w:hAnsi="Times New Roman"/>
                <w:spacing w:val="-2"/>
              </w:rPr>
            </w:pPr>
            <w:r w:rsidRPr="00B302CE">
              <w:rPr>
                <w:rFonts w:ascii="Times New Roman" w:hAnsi="Times New Roman"/>
                <w:spacing w:val="-2"/>
              </w:rPr>
              <w:t>Skutki</w:t>
            </w:r>
          </w:p>
        </w:tc>
      </w:tr>
      <w:tr w:rsidR="00B302CE" w:rsidRPr="00B302CE" w14:paraId="24BAADE5" w14:textId="77777777" w:rsidTr="00F70260">
        <w:trPr>
          <w:trHeight w:val="142"/>
          <w:jc w:val="center"/>
        </w:trPr>
        <w:tc>
          <w:tcPr>
            <w:tcW w:w="4374" w:type="dxa"/>
            <w:gridSpan w:val="5"/>
            <w:shd w:val="clear" w:color="auto" w:fill="FFFFFF"/>
          </w:tcPr>
          <w:p w14:paraId="60A3E9FE"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Czas w latach od wejścia w życie zmian</w:t>
            </w:r>
          </w:p>
        </w:tc>
        <w:tc>
          <w:tcPr>
            <w:tcW w:w="840" w:type="dxa"/>
            <w:gridSpan w:val="2"/>
            <w:shd w:val="clear" w:color="auto" w:fill="FFFFFF"/>
          </w:tcPr>
          <w:p w14:paraId="0B548F7E" w14:textId="77777777" w:rsidR="00F5245B" w:rsidRPr="00B302CE" w:rsidRDefault="00F5245B" w:rsidP="00F70260">
            <w:pPr>
              <w:spacing w:before="120" w:after="120" w:line="240" w:lineRule="auto"/>
              <w:jc w:val="center"/>
              <w:rPr>
                <w:rFonts w:ascii="Times New Roman" w:hAnsi="Times New Roman"/>
              </w:rPr>
            </w:pPr>
            <w:r w:rsidRPr="00B302CE">
              <w:rPr>
                <w:rFonts w:ascii="Times New Roman" w:hAnsi="Times New Roman"/>
              </w:rPr>
              <w:t>0</w:t>
            </w:r>
          </w:p>
        </w:tc>
        <w:tc>
          <w:tcPr>
            <w:tcW w:w="847" w:type="dxa"/>
            <w:gridSpan w:val="3"/>
            <w:shd w:val="clear" w:color="auto" w:fill="FFFFFF"/>
          </w:tcPr>
          <w:p w14:paraId="46119390" w14:textId="77777777" w:rsidR="00F5245B" w:rsidRPr="00B302CE" w:rsidRDefault="00F5245B" w:rsidP="00F70260">
            <w:pPr>
              <w:spacing w:before="120" w:after="120" w:line="240" w:lineRule="auto"/>
              <w:jc w:val="center"/>
              <w:rPr>
                <w:rFonts w:ascii="Times New Roman" w:hAnsi="Times New Roman"/>
              </w:rPr>
            </w:pPr>
            <w:r w:rsidRPr="00B302CE">
              <w:rPr>
                <w:rFonts w:ascii="Times New Roman" w:hAnsi="Times New Roman"/>
              </w:rPr>
              <w:t>1</w:t>
            </w:r>
          </w:p>
        </w:tc>
        <w:tc>
          <w:tcPr>
            <w:tcW w:w="844" w:type="dxa"/>
            <w:gridSpan w:val="2"/>
            <w:shd w:val="clear" w:color="auto" w:fill="FFFFFF"/>
          </w:tcPr>
          <w:p w14:paraId="2B56DD65" w14:textId="77777777" w:rsidR="00F5245B" w:rsidRPr="00B302CE" w:rsidRDefault="00F5245B" w:rsidP="00F70260">
            <w:pPr>
              <w:spacing w:before="120" w:after="120" w:line="240" w:lineRule="auto"/>
              <w:jc w:val="center"/>
              <w:rPr>
                <w:rFonts w:ascii="Times New Roman" w:hAnsi="Times New Roman"/>
              </w:rPr>
            </w:pPr>
            <w:r w:rsidRPr="00B302CE">
              <w:rPr>
                <w:rFonts w:ascii="Times New Roman" w:hAnsi="Times New Roman"/>
              </w:rPr>
              <w:t>2</w:t>
            </w:r>
          </w:p>
        </w:tc>
        <w:tc>
          <w:tcPr>
            <w:tcW w:w="840" w:type="dxa"/>
            <w:gridSpan w:val="4"/>
            <w:shd w:val="clear" w:color="auto" w:fill="FFFFFF"/>
          </w:tcPr>
          <w:p w14:paraId="3E783C9D" w14:textId="77777777" w:rsidR="00F5245B" w:rsidRPr="00B302CE" w:rsidRDefault="00F5245B" w:rsidP="00F70260">
            <w:pPr>
              <w:spacing w:before="120" w:after="120" w:line="240" w:lineRule="auto"/>
              <w:jc w:val="center"/>
              <w:rPr>
                <w:rFonts w:ascii="Times New Roman" w:hAnsi="Times New Roman"/>
              </w:rPr>
            </w:pPr>
            <w:r w:rsidRPr="00B302CE">
              <w:rPr>
                <w:rFonts w:ascii="Times New Roman" w:hAnsi="Times New Roman"/>
              </w:rPr>
              <w:t>3</w:t>
            </w:r>
          </w:p>
        </w:tc>
        <w:tc>
          <w:tcPr>
            <w:tcW w:w="842" w:type="dxa"/>
            <w:gridSpan w:val="2"/>
            <w:shd w:val="clear" w:color="auto" w:fill="FFFFFF"/>
          </w:tcPr>
          <w:p w14:paraId="25BA3378" w14:textId="77777777" w:rsidR="00F5245B" w:rsidRPr="00B302CE" w:rsidRDefault="00F5245B" w:rsidP="00F70260">
            <w:pPr>
              <w:spacing w:before="120" w:after="120" w:line="240" w:lineRule="auto"/>
              <w:jc w:val="center"/>
              <w:rPr>
                <w:rFonts w:ascii="Times New Roman" w:hAnsi="Times New Roman"/>
              </w:rPr>
            </w:pPr>
            <w:r w:rsidRPr="00B302CE">
              <w:rPr>
                <w:rFonts w:ascii="Times New Roman" w:hAnsi="Times New Roman"/>
              </w:rPr>
              <w:t>5</w:t>
            </w:r>
          </w:p>
        </w:tc>
        <w:tc>
          <w:tcPr>
            <w:tcW w:w="843" w:type="dxa"/>
            <w:gridSpan w:val="2"/>
            <w:shd w:val="clear" w:color="auto" w:fill="FFFFFF"/>
          </w:tcPr>
          <w:p w14:paraId="735553AA" w14:textId="77777777" w:rsidR="00F5245B" w:rsidRPr="00B302CE" w:rsidRDefault="00F5245B" w:rsidP="00F70260">
            <w:pPr>
              <w:spacing w:before="120" w:after="120" w:line="240" w:lineRule="auto"/>
              <w:jc w:val="center"/>
              <w:rPr>
                <w:rFonts w:ascii="Times New Roman" w:hAnsi="Times New Roman"/>
              </w:rPr>
            </w:pPr>
            <w:r w:rsidRPr="00B302CE">
              <w:rPr>
                <w:rFonts w:ascii="Times New Roman" w:hAnsi="Times New Roman"/>
              </w:rPr>
              <w:t>10</w:t>
            </w:r>
          </w:p>
        </w:tc>
        <w:tc>
          <w:tcPr>
            <w:tcW w:w="1486" w:type="dxa"/>
            <w:gridSpan w:val="3"/>
            <w:shd w:val="clear" w:color="auto" w:fill="FFFFFF"/>
          </w:tcPr>
          <w:p w14:paraId="2B778F21" w14:textId="77777777" w:rsidR="00F5245B" w:rsidRPr="00B302CE" w:rsidRDefault="00F5245B" w:rsidP="00F70260">
            <w:pPr>
              <w:spacing w:before="120" w:after="120" w:line="240" w:lineRule="auto"/>
              <w:jc w:val="center"/>
              <w:rPr>
                <w:rFonts w:ascii="Times New Roman" w:hAnsi="Times New Roman"/>
                <w:i/>
                <w:spacing w:val="-2"/>
              </w:rPr>
            </w:pPr>
            <w:r w:rsidRPr="00B302CE">
              <w:rPr>
                <w:rFonts w:ascii="Times New Roman" w:hAnsi="Times New Roman"/>
                <w:i/>
                <w:spacing w:val="-2"/>
              </w:rPr>
              <w:t>Łącznie</w:t>
            </w:r>
            <w:r w:rsidRPr="00B302CE" w:rsidDel="0073273A">
              <w:rPr>
                <w:rFonts w:ascii="Times New Roman" w:hAnsi="Times New Roman"/>
                <w:i/>
                <w:spacing w:val="-2"/>
              </w:rPr>
              <w:t xml:space="preserve"> </w:t>
            </w:r>
            <w:r w:rsidRPr="00B302CE">
              <w:rPr>
                <w:rFonts w:ascii="Times New Roman" w:hAnsi="Times New Roman"/>
                <w:i/>
                <w:spacing w:val="-2"/>
              </w:rPr>
              <w:t>(0-10)</w:t>
            </w:r>
          </w:p>
        </w:tc>
      </w:tr>
      <w:tr w:rsidR="00B302CE" w:rsidRPr="00B302CE" w14:paraId="6F65DED3" w14:textId="77777777" w:rsidTr="00F70260">
        <w:trPr>
          <w:gridAfter w:val="1"/>
          <w:wAfter w:w="40" w:type="dxa"/>
          <w:trHeight w:val="142"/>
          <w:jc w:val="center"/>
        </w:trPr>
        <w:tc>
          <w:tcPr>
            <w:tcW w:w="2260" w:type="dxa"/>
            <w:vMerge w:val="restart"/>
            <w:shd w:val="clear" w:color="auto" w:fill="FFFFFF"/>
          </w:tcPr>
          <w:p w14:paraId="28ADF9EB" w14:textId="77777777" w:rsidR="00F5245B" w:rsidRPr="00B302CE" w:rsidRDefault="00F5245B" w:rsidP="00F70260">
            <w:pPr>
              <w:spacing w:before="120" w:line="240" w:lineRule="auto"/>
              <w:rPr>
                <w:rFonts w:ascii="Times New Roman" w:hAnsi="Times New Roman"/>
              </w:rPr>
            </w:pPr>
            <w:r w:rsidRPr="00B302CE">
              <w:rPr>
                <w:rFonts w:ascii="Times New Roman" w:hAnsi="Times New Roman"/>
              </w:rPr>
              <w:t>W ujęciu pieniężnym</w:t>
            </w:r>
          </w:p>
          <w:p w14:paraId="35596A0A"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spacing w:val="-2"/>
              </w:rPr>
              <w:t xml:space="preserve">(w mln zł, </w:t>
            </w:r>
          </w:p>
          <w:p w14:paraId="4245C7EA" w14:textId="77777777" w:rsidR="00F5245B" w:rsidRPr="00B302CE" w:rsidRDefault="00F5245B" w:rsidP="00F70260">
            <w:pPr>
              <w:spacing w:line="240" w:lineRule="auto"/>
              <w:rPr>
                <w:rFonts w:ascii="Times New Roman" w:hAnsi="Times New Roman"/>
              </w:rPr>
            </w:pPr>
            <w:r w:rsidRPr="00B302CE">
              <w:rPr>
                <w:rFonts w:ascii="Times New Roman" w:hAnsi="Times New Roman"/>
                <w:spacing w:val="-2"/>
              </w:rPr>
              <w:t>ceny stałe z 2022 r.)</w:t>
            </w:r>
          </w:p>
        </w:tc>
        <w:tc>
          <w:tcPr>
            <w:tcW w:w="2114" w:type="dxa"/>
            <w:gridSpan w:val="4"/>
            <w:shd w:val="clear" w:color="auto" w:fill="FFFFFF"/>
          </w:tcPr>
          <w:p w14:paraId="0A134463"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duże przedsiębiorstwa</w:t>
            </w:r>
          </w:p>
        </w:tc>
        <w:tc>
          <w:tcPr>
            <w:tcW w:w="840" w:type="dxa"/>
            <w:gridSpan w:val="2"/>
            <w:vMerge w:val="restart"/>
            <w:shd w:val="clear" w:color="auto" w:fill="FFFFFF"/>
            <w:vAlign w:val="center"/>
          </w:tcPr>
          <w:p w14:paraId="20333E6B" w14:textId="77777777" w:rsidR="00F5245B" w:rsidRPr="00B302CE" w:rsidRDefault="00F5245B" w:rsidP="00F70260">
            <w:pPr>
              <w:spacing w:before="120" w:after="120" w:line="240" w:lineRule="auto"/>
              <w:jc w:val="center"/>
              <w:rPr>
                <w:rFonts w:ascii="Times New Roman" w:hAnsi="Times New Roman"/>
              </w:rPr>
            </w:pPr>
          </w:p>
        </w:tc>
        <w:tc>
          <w:tcPr>
            <w:tcW w:w="847" w:type="dxa"/>
            <w:gridSpan w:val="3"/>
            <w:vMerge w:val="restart"/>
            <w:shd w:val="clear" w:color="auto" w:fill="FFFFFF"/>
            <w:vAlign w:val="center"/>
          </w:tcPr>
          <w:p w14:paraId="68EE480A" w14:textId="77777777" w:rsidR="00F5245B" w:rsidRPr="00B302CE" w:rsidRDefault="00F5245B" w:rsidP="00F70260">
            <w:pPr>
              <w:spacing w:before="120" w:after="120" w:line="240" w:lineRule="auto"/>
              <w:jc w:val="center"/>
              <w:rPr>
                <w:rFonts w:ascii="Times New Roman" w:hAnsi="Times New Roman"/>
              </w:rPr>
            </w:pPr>
          </w:p>
        </w:tc>
        <w:tc>
          <w:tcPr>
            <w:tcW w:w="844" w:type="dxa"/>
            <w:gridSpan w:val="2"/>
            <w:vMerge w:val="restart"/>
            <w:shd w:val="clear" w:color="auto" w:fill="FFFFFF"/>
            <w:vAlign w:val="center"/>
          </w:tcPr>
          <w:p w14:paraId="184E982E" w14:textId="77777777" w:rsidR="00F5245B" w:rsidRPr="00B302CE" w:rsidRDefault="00F5245B" w:rsidP="00F70260">
            <w:pPr>
              <w:spacing w:before="120" w:after="120" w:line="240" w:lineRule="auto"/>
              <w:jc w:val="center"/>
              <w:rPr>
                <w:rFonts w:ascii="Times New Roman" w:hAnsi="Times New Roman"/>
              </w:rPr>
            </w:pPr>
          </w:p>
        </w:tc>
        <w:tc>
          <w:tcPr>
            <w:tcW w:w="840" w:type="dxa"/>
            <w:gridSpan w:val="4"/>
            <w:vMerge w:val="restart"/>
            <w:shd w:val="clear" w:color="auto" w:fill="FFFFFF"/>
            <w:vAlign w:val="center"/>
          </w:tcPr>
          <w:p w14:paraId="1A30C972" w14:textId="77777777" w:rsidR="00F5245B" w:rsidRPr="00B302CE" w:rsidRDefault="00F5245B" w:rsidP="00F70260">
            <w:pPr>
              <w:spacing w:before="120" w:after="120" w:line="240" w:lineRule="auto"/>
              <w:jc w:val="center"/>
              <w:rPr>
                <w:rFonts w:ascii="Times New Roman" w:hAnsi="Times New Roman"/>
              </w:rPr>
            </w:pPr>
          </w:p>
        </w:tc>
        <w:tc>
          <w:tcPr>
            <w:tcW w:w="842" w:type="dxa"/>
            <w:gridSpan w:val="2"/>
            <w:vMerge w:val="restart"/>
            <w:shd w:val="clear" w:color="auto" w:fill="FFFFFF"/>
            <w:vAlign w:val="center"/>
          </w:tcPr>
          <w:p w14:paraId="5CACDEBF" w14:textId="77777777" w:rsidR="00F5245B" w:rsidRPr="00B302CE" w:rsidRDefault="00F5245B" w:rsidP="00F70260">
            <w:pPr>
              <w:spacing w:before="120" w:after="120" w:line="240" w:lineRule="auto"/>
              <w:jc w:val="center"/>
              <w:rPr>
                <w:rFonts w:ascii="Times New Roman" w:hAnsi="Times New Roman"/>
              </w:rPr>
            </w:pPr>
          </w:p>
        </w:tc>
        <w:tc>
          <w:tcPr>
            <w:tcW w:w="843" w:type="dxa"/>
            <w:gridSpan w:val="2"/>
            <w:vMerge w:val="restart"/>
            <w:shd w:val="clear" w:color="auto" w:fill="FFFFFF"/>
            <w:vAlign w:val="center"/>
          </w:tcPr>
          <w:p w14:paraId="6EEA3866" w14:textId="77777777" w:rsidR="00F5245B" w:rsidRPr="00B302CE" w:rsidRDefault="00F5245B" w:rsidP="00F70260">
            <w:pPr>
              <w:spacing w:before="120" w:after="120" w:line="240" w:lineRule="auto"/>
              <w:jc w:val="center"/>
              <w:rPr>
                <w:rFonts w:ascii="Times New Roman" w:hAnsi="Times New Roman"/>
              </w:rPr>
            </w:pPr>
          </w:p>
        </w:tc>
        <w:tc>
          <w:tcPr>
            <w:tcW w:w="1446" w:type="dxa"/>
            <w:gridSpan w:val="2"/>
            <w:vMerge w:val="restart"/>
            <w:shd w:val="clear" w:color="auto" w:fill="FFFFFF"/>
            <w:vAlign w:val="center"/>
          </w:tcPr>
          <w:p w14:paraId="2A829A4A" w14:textId="77777777" w:rsidR="00F5245B" w:rsidRPr="00B302CE" w:rsidRDefault="00F5245B" w:rsidP="00F70260">
            <w:pPr>
              <w:spacing w:before="120" w:after="120" w:line="240" w:lineRule="auto"/>
              <w:jc w:val="center"/>
              <w:rPr>
                <w:rFonts w:ascii="Times New Roman" w:hAnsi="Times New Roman"/>
                <w:spacing w:val="-2"/>
              </w:rPr>
            </w:pPr>
          </w:p>
        </w:tc>
      </w:tr>
      <w:tr w:rsidR="00B302CE" w:rsidRPr="00B302CE" w14:paraId="232CDDE6" w14:textId="77777777" w:rsidTr="00F70260">
        <w:trPr>
          <w:gridAfter w:val="1"/>
          <w:wAfter w:w="40" w:type="dxa"/>
          <w:trHeight w:val="142"/>
          <w:jc w:val="center"/>
        </w:trPr>
        <w:tc>
          <w:tcPr>
            <w:tcW w:w="2260" w:type="dxa"/>
            <w:vMerge/>
            <w:shd w:val="clear" w:color="auto" w:fill="FFFFFF"/>
          </w:tcPr>
          <w:p w14:paraId="32222B9B" w14:textId="77777777" w:rsidR="00F5245B" w:rsidRPr="00B302CE" w:rsidRDefault="00F5245B" w:rsidP="00F70260">
            <w:pPr>
              <w:spacing w:before="120" w:after="120" w:line="240" w:lineRule="auto"/>
              <w:rPr>
                <w:rFonts w:ascii="Times New Roman" w:hAnsi="Times New Roman"/>
              </w:rPr>
            </w:pPr>
          </w:p>
        </w:tc>
        <w:tc>
          <w:tcPr>
            <w:tcW w:w="2114" w:type="dxa"/>
            <w:gridSpan w:val="4"/>
            <w:shd w:val="clear" w:color="auto" w:fill="FFFFFF"/>
          </w:tcPr>
          <w:p w14:paraId="63EFA2F6"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sektor mikro-, małych i średnich przedsiębiorstw</w:t>
            </w:r>
          </w:p>
        </w:tc>
        <w:tc>
          <w:tcPr>
            <w:tcW w:w="840" w:type="dxa"/>
            <w:gridSpan w:val="2"/>
            <w:vMerge/>
            <w:tcBorders>
              <w:bottom w:val="single" w:sz="4" w:space="0" w:color="auto"/>
            </w:tcBorders>
            <w:shd w:val="clear" w:color="auto" w:fill="FFFFFF"/>
          </w:tcPr>
          <w:p w14:paraId="7B4BA668" w14:textId="77777777" w:rsidR="00F5245B" w:rsidRPr="00B302CE" w:rsidRDefault="00F5245B" w:rsidP="00F70260">
            <w:pPr>
              <w:spacing w:before="120" w:after="120" w:line="240" w:lineRule="auto"/>
              <w:rPr>
                <w:rFonts w:ascii="Times New Roman" w:hAnsi="Times New Roman"/>
              </w:rPr>
            </w:pPr>
          </w:p>
        </w:tc>
        <w:tc>
          <w:tcPr>
            <w:tcW w:w="847" w:type="dxa"/>
            <w:gridSpan w:val="3"/>
            <w:vMerge/>
            <w:tcBorders>
              <w:bottom w:val="single" w:sz="4" w:space="0" w:color="auto"/>
            </w:tcBorders>
            <w:shd w:val="clear" w:color="auto" w:fill="FFFFFF"/>
          </w:tcPr>
          <w:p w14:paraId="203BEB54" w14:textId="77777777" w:rsidR="00F5245B" w:rsidRPr="00B302CE" w:rsidRDefault="00F5245B" w:rsidP="00F70260">
            <w:pPr>
              <w:spacing w:before="120" w:after="120" w:line="240" w:lineRule="auto"/>
              <w:rPr>
                <w:rFonts w:ascii="Times New Roman" w:hAnsi="Times New Roman"/>
              </w:rPr>
            </w:pPr>
          </w:p>
        </w:tc>
        <w:tc>
          <w:tcPr>
            <w:tcW w:w="844" w:type="dxa"/>
            <w:gridSpan w:val="2"/>
            <w:vMerge/>
            <w:tcBorders>
              <w:bottom w:val="single" w:sz="4" w:space="0" w:color="auto"/>
            </w:tcBorders>
            <w:shd w:val="clear" w:color="auto" w:fill="FFFFFF"/>
          </w:tcPr>
          <w:p w14:paraId="35BFBF9F" w14:textId="77777777" w:rsidR="00F5245B" w:rsidRPr="00B302CE" w:rsidRDefault="00F5245B" w:rsidP="00F70260">
            <w:pPr>
              <w:spacing w:before="120" w:after="120" w:line="240" w:lineRule="auto"/>
              <w:rPr>
                <w:rFonts w:ascii="Times New Roman" w:hAnsi="Times New Roman"/>
              </w:rPr>
            </w:pPr>
          </w:p>
        </w:tc>
        <w:tc>
          <w:tcPr>
            <w:tcW w:w="840" w:type="dxa"/>
            <w:gridSpan w:val="4"/>
            <w:vMerge/>
            <w:tcBorders>
              <w:bottom w:val="single" w:sz="4" w:space="0" w:color="auto"/>
            </w:tcBorders>
            <w:shd w:val="clear" w:color="auto" w:fill="FFFFFF"/>
          </w:tcPr>
          <w:p w14:paraId="182702E4" w14:textId="77777777" w:rsidR="00F5245B" w:rsidRPr="00B302CE" w:rsidRDefault="00F5245B" w:rsidP="00F70260">
            <w:pPr>
              <w:spacing w:before="120" w:after="120" w:line="240" w:lineRule="auto"/>
              <w:rPr>
                <w:rFonts w:ascii="Times New Roman" w:hAnsi="Times New Roman"/>
              </w:rPr>
            </w:pPr>
          </w:p>
        </w:tc>
        <w:tc>
          <w:tcPr>
            <w:tcW w:w="842" w:type="dxa"/>
            <w:gridSpan w:val="2"/>
            <w:vMerge/>
            <w:tcBorders>
              <w:bottom w:val="single" w:sz="4" w:space="0" w:color="auto"/>
            </w:tcBorders>
            <w:shd w:val="clear" w:color="auto" w:fill="FFFFFF"/>
          </w:tcPr>
          <w:p w14:paraId="2BA6AD49" w14:textId="77777777" w:rsidR="00F5245B" w:rsidRPr="00B302CE" w:rsidRDefault="00F5245B" w:rsidP="00F70260">
            <w:pPr>
              <w:spacing w:before="120" w:after="120" w:line="240" w:lineRule="auto"/>
              <w:rPr>
                <w:rFonts w:ascii="Times New Roman" w:hAnsi="Times New Roman"/>
              </w:rPr>
            </w:pPr>
          </w:p>
        </w:tc>
        <w:tc>
          <w:tcPr>
            <w:tcW w:w="843" w:type="dxa"/>
            <w:gridSpan w:val="2"/>
            <w:vMerge/>
            <w:tcBorders>
              <w:bottom w:val="single" w:sz="4" w:space="0" w:color="auto"/>
            </w:tcBorders>
            <w:shd w:val="clear" w:color="auto" w:fill="FFFFFF"/>
          </w:tcPr>
          <w:p w14:paraId="345295CC" w14:textId="77777777" w:rsidR="00F5245B" w:rsidRPr="00B302CE" w:rsidRDefault="00F5245B" w:rsidP="00F70260">
            <w:pPr>
              <w:spacing w:before="120" w:after="120" w:line="240" w:lineRule="auto"/>
              <w:rPr>
                <w:rFonts w:ascii="Times New Roman" w:hAnsi="Times New Roman"/>
              </w:rPr>
            </w:pPr>
          </w:p>
        </w:tc>
        <w:tc>
          <w:tcPr>
            <w:tcW w:w="1446" w:type="dxa"/>
            <w:gridSpan w:val="2"/>
            <w:vMerge/>
            <w:tcBorders>
              <w:bottom w:val="single" w:sz="4" w:space="0" w:color="auto"/>
            </w:tcBorders>
            <w:shd w:val="clear" w:color="auto" w:fill="FFFFFF"/>
          </w:tcPr>
          <w:p w14:paraId="5F498980" w14:textId="77777777" w:rsidR="00F5245B" w:rsidRPr="00B302CE" w:rsidRDefault="00F5245B" w:rsidP="00F70260">
            <w:pPr>
              <w:spacing w:before="120" w:after="120" w:line="240" w:lineRule="auto"/>
              <w:rPr>
                <w:rFonts w:ascii="Times New Roman" w:hAnsi="Times New Roman"/>
                <w:spacing w:val="-2"/>
              </w:rPr>
            </w:pPr>
          </w:p>
        </w:tc>
      </w:tr>
      <w:tr w:rsidR="00B302CE" w:rsidRPr="00B302CE" w14:paraId="4B874F06" w14:textId="77777777" w:rsidTr="00F70260">
        <w:trPr>
          <w:gridAfter w:val="1"/>
          <w:wAfter w:w="40" w:type="dxa"/>
          <w:trHeight w:val="142"/>
          <w:jc w:val="center"/>
        </w:trPr>
        <w:tc>
          <w:tcPr>
            <w:tcW w:w="2260" w:type="dxa"/>
            <w:vMerge/>
            <w:shd w:val="clear" w:color="auto" w:fill="FFFFFF"/>
          </w:tcPr>
          <w:p w14:paraId="0B4997B3" w14:textId="77777777" w:rsidR="00F5245B" w:rsidRPr="00B302CE" w:rsidRDefault="00F5245B" w:rsidP="00F70260">
            <w:pPr>
              <w:spacing w:before="120" w:after="120" w:line="240" w:lineRule="auto"/>
              <w:rPr>
                <w:rFonts w:ascii="Times New Roman" w:hAnsi="Times New Roman"/>
              </w:rPr>
            </w:pPr>
          </w:p>
        </w:tc>
        <w:tc>
          <w:tcPr>
            <w:tcW w:w="2114" w:type="dxa"/>
            <w:gridSpan w:val="4"/>
            <w:shd w:val="clear" w:color="auto" w:fill="FFFFFF"/>
          </w:tcPr>
          <w:p w14:paraId="214D6B05" w14:textId="2BB418ED" w:rsidR="00F5245B" w:rsidRPr="00B302CE" w:rsidRDefault="00F5245B" w:rsidP="00F70260">
            <w:pPr>
              <w:spacing w:before="120" w:after="120" w:line="240" w:lineRule="auto"/>
              <w:rPr>
                <w:rFonts w:ascii="Times New Roman" w:hAnsi="Times New Roman"/>
              </w:rPr>
            </w:pPr>
            <w:r w:rsidRPr="00B302CE">
              <w:rPr>
                <w:rFonts w:ascii="Times New Roman" w:hAnsi="Times New Roman"/>
              </w:rPr>
              <w:t>rodzina, obywatele oraz gospodarstwa domowe, w</w:t>
            </w:r>
            <w:r w:rsidR="008D3A4A" w:rsidRPr="00B302CE">
              <w:rPr>
                <w:rFonts w:ascii="Times New Roman" w:hAnsi="Times New Roman"/>
              </w:rPr>
              <w:t> </w:t>
            </w:r>
            <w:r w:rsidRPr="00B302CE">
              <w:rPr>
                <w:rFonts w:ascii="Times New Roman" w:hAnsi="Times New Roman"/>
              </w:rPr>
              <w:t>szczególności osoby niepełnosprawne i</w:t>
            </w:r>
            <w:r w:rsidR="008D3A4A" w:rsidRPr="00B302CE">
              <w:rPr>
                <w:rFonts w:ascii="Times New Roman" w:hAnsi="Times New Roman"/>
              </w:rPr>
              <w:t> </w:t>
            </w:r>
            <w:r w:rsidRPr="00B302CE">
              <w:rPr>
                <w:rFonts w:ascii="Times New Roman" w:hAnsi="Times New Roman"/>
              </w:rPr>
              <w:t>starsze</w:t>
            </w:r>
          </w:p>
        </w:tc>
        <w:tc>
          <w:tcPr>
            <w:tcW w:w="840" w:type="dxa"/>
            <w:gridSpan w:val="2"/>
            <w:tcBorders>
              <w:top w:val="nil"/>
              <w:left w:val="nil"/>
              <w:bottom w:val="single" w:sz="8" w:space="0" w:color="auto"/>
              <w:right w:val="single" w:sz="8" w:space="0" w:color="auto"/>
            </w:tcBorders>
            <w:shd w:val="clear" w:color="auto" w:fill="auto"/>
            <w:vAlign w:val="center"/>
          </w:tcPr>
          <w:p w14:paraId="320F731D" w14:textId="77777777" w:rsidR="00F5245B" w:rsidRPr="00B302CE" w:rsidRDefault="00F5245B" w:rsidP="00F70260">
            <w:pPr>
              <w:spacing w:line="240" w:lineRule="auto"/>
              <w:jc w:val="center"/>
              <w:rPr>
                <w:rFonts w:ascii="Times New Roman" w:hAnsi="Times New Roman"/>
                <w:lang w:eastAsia="pl-PL"/>
              </w:rPr>
            </w:pPr>
          </w:p>
        </w:tc>
        <w:tc>
          <w:tcPr>
            <w:tcW w:w="847" w:type="dxa"/>
            <w:gridSpan w:val="3"/>
            <w:tcBorders>
              <w:top w:val="nil"/>
              <w:left w:val="nil"/>
              <w:bottom w:val="single" w:sz="8" w:space="0" w:color="auto"/>
              <w:right w:val="single" w:sz="8" w:space="0" w:color="auto"/>
            </w:tcBorders>
            <w:shd w:val="clear" w:color="auto" w:fill="auto"/>
            <w:vAlign w:val="center"/>
          </w:tcPr>
          <w:p w14:paraId="15BFE047" w14:textId="77777777" w:rsidR="00F5245B" w:rsidRPr="00B302CE" w:rsidRDefault="00F5245B" w:rsidP="00F70260">
            <w:pPr>
              <w:spacing w:line="240" w:lineRule="auto"/>
              <w:jc w:val="center"/>
              <w:rPr>
                <w:rFonts w:ascii="Times New Roman" w:hAnsi="Times New Roman"/>
              </w:rPr>
            </w:pPr>
          </w:p>
        </w:tc>
        <w:tc>
          <w:tcPr>
            <w:tcW w:w="844" w:type="dxa"/>
            <w:gridSpan w:val="2"/>
            <w:tcBorders>
              <w:top w:val="nil"/>
              <w:left w:val="nil"/>
              <w:bottom w:val="single" w:sz="8" w:space="0" w:color="auto"/>
              <w:right w:val="single" w:sz="8" w:space="0" w:color="auto"/>
            </w:tcBorders>
            <w:shd w:val="clear" w:color="auto" w:fill="auto"/>
            <w:vAlign w:val="center"/>
          </w:tcPr>
          <w:p w14:paraId="7D0BB4DE" w14:textId="77777777" w:rsidR="00F5245B" w:rsidRPr="00B302CE" w:rsidRDefault="00F5245B" w:rsidP="00F70260">
            <w:pPr>
              <w:spacing w:line="240" w:lineRule="auto"/>
              <w:jc w:val="center"/>
              <w:rPr>
                <w:rFonts w:ascii="Times New Roman" w:hAnsi="Times New Roman"/>
              </w:rPr>
            </w:pPr>
          </w:p>
        </w:tc>
        <w:tc>
          <w:tcPr>
            <w:tcW w:w="840" w:type="dxa"/>
            <w:gridSpan w:val="4"/>
            <w:tcBorders>
              <w:top w:val="nil"/>
              <w:left w:val="nil"/>
              <w:bottom w:val="single" w:sz="8" w:space="0" w:color="auto"/>
              <w:right w:val="single" w:sz="8" w:space="0" w:color="auto"/>
            </w:tcBorders>
            <w:shd w:val="clear" w:color="auto" w:fill="auto"/>
            <w:vAlign w:val="center"/>
          </w:tcPr>
          <w:p w14:paraId="4526A7E0" w14:textId="77777777" w:rsidR="00F5245B" w:rsidRPr="00B302CE" w:rsidRDefault="00F5245B" w:rsidP="00F70260">
            <w:pPr>
              <w:spacing w:line="240" w:lineRule="auto"/>
              <w:jc w:val="center"/>
              <w:rPr>
                <w:rFonts w:ascii="Times New Roman" w:hAnsi="Times New Roman"/>
              </w:rPr>
            </w:pPr>
          </w:p>
        </w:tc>
        <w:tc>
          <w:tcPr>
            <w:tcW w:w="842" w:type="dxa"/>
            <w:gridSpan w:val="2"/>
            <w:tcBorders>
              <w:top w:val="nil"/>
              <w:left w:val="nil"/>
              <w:bottom w:val="single" w:sz="8" w:space="0" w:color="auto"/>
              <w:right w:val="single" w:sz="8" w:space="0" w:color="auto"/>
            </w:tcBorders>
            <w:shd w:val="clear" w:color="auto" w:fill="auto"/>
            <w:vAlign w:val="center"/>
          </w:tcPr>
          <w:p w14:paraId="770326B2" w14:textId="77777777" w:rsidR="00F5245B" w:rsidRPr="00B302CE" w:rsidRDefault="00F5245B" w:rsidP="00F70260">
            <w:pPr>
              <w:spacing w:line="240" w:lineRule="auto"/>
              <w:jc w:val="center"/>
              <w:rPr>
                <w:rFonts w:ascii="Times New Roman" w:hAnsi="Times New Roman"/>
              </w:rPr>
            </w:pPr>
          </w:p>
        </w:tc>
        <w:tc>
          <w:tcPr>
            <w:tcW w:w="843" w:type="dxa"/>
            <w:gridSpan w:val="2"/>
            <w:tcBorders>
              <w:top w:val="nil"/>
              <w:left w:val="nil"/>
              <w:bottom w:val="single" w:sz="8" w:space="0" w:color="auto"/>
              <w:right w:val="single" w:sz="8" w:space="0" w:color="auto"/>
            </w:tcBorders>
            <w:shd w:val="clear" w:color="auto" w:fill="auto"/>
            <w:vAlign w:val="center"/>
          </w:tcPr>
          <w:p w14:paraId="4EF07133" w14:textId="77777777" w:rsidR="00F5245B" w:rsidRPr="00B302CE" w:rsidRDefault="00F5245B" w:rsidP="00F70260">
            <w:pPr>
              <w:spacing w:line="240" w:lineRule="auto"/>
              <w:jc w:val="center"/>
              <w:rPr>
                <w:rFonts w:ascii="Times New Roman" w:hAnsi="Times New Roman"/>
              </w:rPr>
            </w:pP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339926" w14:textId="77777777" w:rsidR="00F5245B" w:rsidRPr="00B302CE" w:rsidRDefault="00F5245B" w:rsidP="00F70260">
            <w:pPr>
              <w:spacing w:line="240" w:lineRule="auto"/>
              <w:jc w:val="center"/>
              <w:rPr>
                <w:rFonts w:ascii="Times New Roman" w:hAnsi="Times New Roman"/>
                <w:b/>
              </w:rPr>
            </w:pPr>
          </w:p>
        </w:tc>
      </w:tr>
      <w:tr w:rsidR="00B302CE" w:rsidRPr="00B302CE" w14:paraId="1469BA39" w14:textId="77777777" w:rsidTr="00F70260">
        <w:trPr>
          <w:gridAfter w:val="1"/>
          <w:wAfter w:w="40" w:type="dxa"/>
          <w:trHeight w:val="142"/>
          <w:jc w:val="center"/>
        </w:trPr>
        <w:tc>
          <w:tcPr>
            <w:tcW w:w="2260" w:type="dxa"/>
            <w:vMerge w:val="restart"/>
            <w:shd w:val="clear" w:color="auto" w:fill="FFFFFF"/>
          </w:tcPr>
          <w:p w14:paraId="20EF7BB6"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W ujęciu niepieniężnym</w:t>
            </w:r>
          </w:p>
        </w:tc>
        <w:tc>
          <w:tcPr>
            <w:tcW w:w="2114" w:type="dxa"/>
            <w:gridSpan w:val="4"/>
            <w:shd w:val="clear" w:color="auto" w:fill="FFFFFF"/>
          </w:tcPr>
          <w:p w14:paraId="1E69C97D"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duże przedsiębiorstwa</w:t>
            </w:r>
          </w:p>
        </w:tc>
        <w:tc>
          <w:tcPr>
            <w:tcW w:w="6502" w:type="dxa"/>
            <w:gridSpan w:val="17"/>
            <w:tcBorders>
              <w:top w:val="single" w:sz="4" w:space="0" w:color="auto"/>
            </w:tcBorders>
            <w:shd w:val="clear" w:color="auto" w:fill="FFFFFF"/>
          </w:tcPr>
          <w:p w14:paraId="5B63881D" w14:textId="4716FC86" w:rsidR="00F5245B" w:rsidRPr="00B302CE" w:rsidRDefault="00F5245B" w:rsidP="00F70260">
            <w:pPr>
              <w:spacing w:before="120" w:after="120" w:line="240" w:lineRule="auto"/>
              <w:jc w:val="both"/>
              <w:rPr>
                <w:rFonts w:ascii="Times New Roman" w:hAnsi="Times New Roman"/>
              </w:rPr>
            </w:pPr>
            <w:r w:rsidRPr="00B302CE">
              <w:rPr>
                <w:rFonts w:ascii="Times New Roman" w:hAnsi="Times New Roman"/>
              </w:rPr>
              <w:t>Brak wpływu.</w:t>
            </w:r>
          </w:p>
        </w:tc>
      </w:tr>
      <w:tr w:rsidR="00B302CE" w:rsidRPr="00B302CE" w14:paraId="44AD82F9" w14:textId="77777777" w:rsidTr="00F70260">
        <w:trPr>
          <w:gridAfter w:val="1"/>
          <w:wAfter w:w="40" w:type="dxa"/>
          <w:trHeight w:val="142"/>
          <w:jc w:val="center"/>
        </w:trPr>
        <w:tc>
          <w:tcPr>
            <w:tcW w:w="2260" w:type="dxa"/>
            <w:vMerge/>
            <w:shd w:val="clear" w:color="auto" w:fill="FFFFFF"/>
          </w:tcPr>
          <w:p w14:paraId="3719CF96" w14:textId="77777777" w:rsidR="00F5245B" w:rsidRPr="00B302CE" w:rsidRDefault="00F5245B" w:rsidP="00F70260">
            <w:pPr>
              <w:spacing w:before="120" w:after="120" w:line="240" w:lineRule="auto"/>
              <w:rPr>
                <w:rFonts w:ascii="Times New Roman" w:hAnsi="Times New Roman"/>
              </w:rPr>
            </w:pPr>
          </w:p>
        </w:tc>
        <w:tc>
          <w:tcPr>
            <w:tcW w:w="2114" w:type="dxa"/>
            <w:gridSpan w:val="4"/>
            <w:shd w:val="clear" w:color="auto" w:fill="FFFFFF"/>
          </w:tcPr>
          <w:p w14:paraId="743D6DC7"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sektor mikro-, małych i średnich przedsiębiorstw</w:t>
            </w:r>
          </w:p>
        </w:tc>
        <w:tc>
          <w:tcPr>
            <w:tcW w:w="6502" w:type="dxa"/>
            <w:gridSpan w:val="17"/>
            <w:shd w:val="clear" w:color="auto" w:fill="FFFFFF"/>
          </w:tcPr>
          <w:p w14:paraId="73A965A6" w14:textId="1C985975" w:rsidR="00F5245B" w:rsidRPr="00B302CE" w:rsidRDefault="00F5245B" w:rsidP="00F70260">
            <w:pPr>
              <w:spacing w:before="120" w:after="120" w:line="240" w:lineRule="auto"/>
              <w:jc w:val="both"/>
              <w:rPr>
                <w:rFonts w:ascii="Times New Roman" w:hAnsi="Times New Roman"/>
                <w:spacing w:val="-2"/>
              </w:rPr>
            </w:pPr>
            <w:r w:rsidRPr="00B302CE">
              <w:rPr>
                <w:rFonts w:ascii="Times New Roman" w:hAnsi="Times New Roman"/>
                <w:spacing w:val="-2"/>
              </w:rPr>
              <w:t xml:space="preserve">Przedmiotowy projekt nie określa zasad podejmowania, wykonywania lub zakończenia działalności gospodarczej, w związku z czym odstąpiono od analiz i oceny przewidywanych skutków społeczno-gospodarczych, wskazanych w art. 66 ust. 1 ustawy z dnia 6 marca 2018 r. – </w:t>
            </w:r>
            <w:r w:rsidRPr="00B302CE">
              <w:rPr>
                <w:rFonts w:ascii="Times New Roman" w:hAnsi="Times New Roman"/>
                <w:i/>
                <w:iCs/>
                <w:spacing w:val="-2"/>
              </w:rPr>
              <w:t>Prawo przedsiębiorców</w:t>
            </w:r>
            <w:r w:rsidRPr="00B302CE">
              <w:rPr>
                <w:rFonts w:ascii="Times New Roman" w:hAnsi="Times New Roman"/>
                <w:spacing w:val="-2"/>
              </w:rPr>
              <w:t xml:space="preserve"> (Dz. U. z 202</w:t>
            </w:r>
            <w:r w:rsidR="0026098B">
              <w:rPr>
                <w:rFonts w:ascii="Times New Roman" w:hAnsi="Times New Roman"/>
                <w:spacing w:val="-2"/>
              </w:rPr>
              <w:t>3</w:t>
            </w:r>
            <w:r w:rsidRPr="00B302CE">
              <w:rPr>
                <w:rFonts w:ascii="Times New Roman" w:hAnsi="Times New Roman"/>
                <w:spacing w:val="-2"/>
              </w:rPr>
              <w:t xml:space="preserve"> r. poz. </w:t>
            </w:r>
            <w:r w:rsidR="0026098B">
              <w:rPr>
                <w:rFonts w:ascii="Times New Roman" w:hAnsi="Times New Roman"/>
                <w:spacing w:val="-2"/>
              </w:rPr>
              <w:t>221</w:t>
            </w:r>
            <w:r w:rsidRPr="00B302CE">
              <w:rPr>
                <w:rFonts w:ascii="Times New Roman" w:hAnsi="Times New Roman"/>
                <w:spacing w:val="-2"/>
              </w:rPr>
              <w:t>).</w:t>
            </w:r>
          </w:p>
        </w:tc>
      </w:tr>
      <w:tr w:rsidR="00B302CE" w:rsidRPr="00B302CE" w14:paraId="7A6825BE" w14:textId="77777777" w:rsidTr="00F70260">
        <w:trPr>
          <w:gridAfter w:val="1"/>
          <w:wAfter w:w="40" w:type="dxa"/>
          <w:trHeight w:val="596"/>
          <w:jc w:val="center"/>
        </w:trPr>
        <w:tc>
          <w:tcPr>
            <w:tcW w:w="2260" w:type="dxa"/>
            <w:vMerge/>
            <w:shd w:val="clear" w:color="auto" w:fill="FFFFFF"/>
          </w:tcPr>
          <w:p w14:paraId="4F865310" w14:textId="77777777" w:rsidR="00F5245B" w:rsidRPr="00B302CE" w:rsidRDefault="00F5245B" w:rsidP="00F70260">
            <w:pPr>
              <w:spacing w:before="120" w:after="120" w:line="240" w:lineRule="auto"/>
              <w:rPr>
                <w:rFonts w:ascii="Times New Roman" w:hAnsi="Times New Roman"/>
              </w:rPr>
            </w:pPr>
          </w:p>
        </w:tc>
        <w:tc>
          <w:tcPr>
            <w:tcW w:w="2114" w:type="dxa"/>
            <w:gridSpan w:val="4"/>
            <w:shd w:val="clear" w:color="auto" w:fill="FFFFFF"/>
          </w:tcPr>
          <w:p w14:paraId="6F2D6706" w14:textId="4A9871E1" w:rsidR="00F5245B" w:rsidRPr="00B302CE" w:rsidRDefault="00F5245B" w:rsidP="00F70260">
            <w:pPr>
              <w:tabs>
                <w:tab w:val="right" w:pos="1936"/>
              </w:tabs>
              <w:spacing w:before="120" w:after="120" w:line="240" w:lineRule="auto"/>
              <w:rPr>
                <w:rFonts w:ascii="Times New Roman" w:hAnsi="Times New Roman"/>
              </w:rPr>
            </w:pPr>
            <w:r w:rsidRPr="00B302CE">
              <w:rPr>
                <w:rFonts w:ascii="Times New Roman" w:hAnsi="Times New Roman"/>
              </w:rPr>
              <w:t>rodzina, obywatele oraz gospodarstwa domowe, w</w:t>
            </w:r>
            <w:r w:rsidR="0026098B">
              <w:rPr>
                <w:rFonts w:ascii="Times New Roman" w:hAnsi="Times New Roman"/>
              </w:rPr>
              <w:t> </w:t>
            </w:r>
            <w:r w:rsidRPr="00B302CE">
              <w:rPr>
                <w:rFonts w:ascii="Times New Roman" w:hAnsi="Times New Roman"/>
              </w:rPr>
              <w:t>szczególności osoby niepełnosprawne i</w:t>
            </w:r>
            <w:r w:rsidR="0026098B">
              <w:rPr>
                <w:rFonts w:ascii="Times New Roman" w:hAnsi="Times New Roman"/>
              </w:rPr>
              <w:t> </w:t>
            </w:r>
            <w:r w:rsidRPr="00B302CE">
              <w:rPr>
                <w:rFonts w:ascii="Times New Roman" w:hAnsi="Times New Roman"/>
              </w:rPr>
              <w:t>starsze</w:t>
            </w:r>
          </w:p>
        </w:tc>
        <w:tc>
          <w:tcPr>
            <w:tcW w:w="6502" w:type="dxa"/>
            <w:gridSpan w:val="17"/>
            <w:shd w:val="clear" w:color="auto" w:fill="FFFFFF"/>
          </w:tcPr>
          <w:p w14:paraId="3BD645B2" w14:textId="77777777" w:rsidR="00F5245B" w:rsidRPr="00B302CE" w:rsidRDefault="00F5245B" w:rsidP="00F70260">
            <w:pPr>
              <w:pStyle w:val="Style6"/>
              <w:widowControl/>
              <w:spacing w:before="120" w:after="120" w:line="240" w:lineRule="auto"/>
              <w:ind w:firstLine="0"/>
              <w:jc w:val="left"/>
              <w:rPr>
                <w:rStyle w:val="FontStyle15"/>
                <w:i w:val="0"/>
                <w:sz w:val="22"/>
                <w:szCs w:val="22"/>
              </w:rPr>
            </w:pPr>
            <w:r w:rsidRPr="00B302CE">
              <w:rPr>
                <w:rStyle w:val="FontStyle15"/>
                <w:sz w:val="22"/>
                <w:szCs w:val="22"/>
              </w:rPr>
              <w:t>Brak wpływu.</w:t>
            </w:r>
          </w:p>
          <w:p w14:paraId="263C8286" w14:textId="77777777" w:rsidR="00F5245B" w:rsidRPr="00B302CE" w:rsidRDefault="00F5245B" w:rsidP="00F70260">
            <w:pPr>
              <w:spacing w:before="120" w:after="120" w:line="240" w:lineRule="auto"/>
              <w:rPr>
                <w:rFonts w:ascii="Times New Roman" w:hAnsi="Times New Roman"/>
                <w:spacing w:val="-2"/>
              </w:rPr>
            </w:pPr>
          </w:p>
        </w:tc>
      </w:tr>
      <w:tr w:rsidR="00B302CE" w:rsidRPr="00B302CE" w14:paraId="0975C8CD" w14:textId="77777777" w:rsidTr="00F70260">
        <w:trPr>
          <w:gridAfter w:val="1"/>
          <w:wAfter w:w="40" w:type="dxa"/>
          <w:trHeight w:val="550"/>
          <w:jc w:val="center"/>
        </w:trPr>
        <w:tc>
          <w:tcPr>
            <w:tcW w:w="2260" w:type="dxa"/>
            <w:shd w:val="clear" w:color="auto" w:fill="FFFFFF"/>
          </w:tcPr>
          <w:p w14:paraId="087CECC7"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Niemierzalne</w:t>
            </w:r>
          </w:p>
        </w:tc>
        <w:tc>
          <w:tcPr>
            <w:tcW w:w="2114" w:type="dxa"/>
            <w:gridSpan w:val="4"/>
            <w:shd w:val="clear" w:color="auto" w:fill="FFFFFF"/>
          </w:tcPr>
          <w:p w14:paraId="3B94406C"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rodzina, obywatele oraz gospodarstwa domowe, w szczególności osoby niepełnosprawne i starsze</w:t>
            </w:r>
          </w:p>
        </w:tc>
        <w:tc>
          <w:tcPr>
            <w:tcW w:w="6502" w:type="dxa"/>
            <w:gridSpan w:val="17"/>
            <w:shd w:val="clear" w:color="auto" w:fill="FFFFFF"/>
          </w:tcPr>
          <w:p w14:paraId="41783691" w14:textId="77777777" w:rsidR="00F5245B" w:rsidRPr="00B302CE" w:rsidRDefault="00F5245B" w:rsidP="00F70260">
            <w:pPr>
              <w:pStyle w:val="Style6"/>
              <w:widowControl/>
              <w:spacing w:before="120" w:after="120" w:line="240" w:lineRule="auto"/>
              <w:ind w:firstLine="0"/>
              <w:jc w:val="left"/>
              <w:rPr>
                <w:rStyle w:val="FontStyle15"/>
                <w:i w:val="0"/>
                <w:sz w:val="22"/>
                <w:szCs w:val="22"/>
              </w:rPr>
            </w:pPr>
            <w:r w:rsidRPr="00B302CE">
              <w:rPr>
                <w:rStyle w:val="FontStyle15"/>
                <w:sz w:val="22"/>
                <w:szCs w:val="22"/>
              </w:rPr>
              <w:t>Brak wpływu.</w:t>
            </w:r>
          </w:p>
          <w:p w14:paraId="3BD22F85" w14:textId="77777777" w:rsidR="00F5245B" w:rsidRPr="00B302CE" w:rsidRDefault="00F5245B" w:rsidP="00F70260">
            <w:pPr>
              <w:pStyle w:val="Style6"/>
              <w:widowControl/>
              <w:spacing w:before="120" w:after="120" w:line="240" w:lineRule="auto"/>
              <w:ind w:firstLine="0"/>
              <w:rPr>
                <w:iCs/>
                <w:sz w:val="22"/>
                <w:szCs w:val="22"/>
              </w:rPr>
            </w:pPr>
          </w:p>
        </w:tc>
      </w:tr>
      <w:tr w:rsidR="00B302CE" w:rsidRPr="00B302CE" w14:paraId="72A101B3" w14:textId="77777777" w:rsidTr="00F70260">
        <w:trPr>
          <w:gridAfter w:val="1"/>
          <w:wAfter w:w="40" w:type="dxa"/>
          <w:trHeight w:val="266"/>
          <w:jc w:val="center"/>
        </w:trPr>
        <w:tc>
          <w:tcPr>
            <w:tcW w:w="2260" w:type="dxa"/>
            <w:shd w:val="clear" w:color="auto" w:fill="FFFFFF"/>
          </w:tcPr>
          <w:p w14:paraId="06A51EE4"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 xml:space="preserve">Dodatkowe informacje, w tym wskazanie źródeł danych i przyjętych do obliczeń założeń </w:t>
            </w:r>
          </w:p>
        </w:tc>
        <w:tc>
          <w:tcPr>
            <w:tcW w:w="8616" w:type="dxa"/>
            <w:gridSpan w:val="21"/>
            <w:shd w:val="clear" w:color="auto" w:fill="FFFFFF"/>
            <w:vAlign w:val="center"/>
          </w:tcPr>
          <w:p w14:paraId="079ED012" w14:textId="77777777" w:rsidR="00F5245B" w:rsidRPr="00B302CE" w:rsidRDefault="00F5245B" w:rsidP="00F70260">
            <w:pPr>
              <w:rPr>
                <w:rFonts w:cs="Calibri"/>
              </w:rPr>
            </w:pPr>
            <w:r w:rsidRPr="00B302CE">
              <w:rPr>
                <w:rFonts w:ascii="Times New Roman" w:hAnsi="Times New Roman"/>
                <w:sz w:val="24"/>
                <w:szCs w:val="24"/>
              </w:rPr>
              <w:t>Brak.</w:t>
            </w:r>
          </w:p>
        </w:tc>
      </w:tr>
      <w:tr w:rsidR="00B302CE" w:rsidRPr="00B302CE" w14:paraId="7FBB311B" w14:textId="77777777" w:rsidTr="00F70260">
        <w:trPr>
          <w:gridAfter w:val="1"/>
          <w:wAfter w:w="40" w:type="dxa"/>
          <w:trHeight w:val="342"/>
          <w:jc w:val="center"/>
        </w:trPr>
        <w:tc>
          <w:tcPr>
            <w:tcW w:w="10876" w:type="dxa"/>
            <w:gridSpan w:val="22"/>
            <w:shd w:val="clear" w:color="auto" w:fill="99CCFF"/>
            <w:vAlign w:val="center"/>
          </w:tcPr>
          <w:p w14:paraId="25CB34F4" w14:textId="77777777" w:rsidR="00F5245B" w:rsidRPr="00B302CE" w:rsidRDefault="00F5245B" w:rsidP="00F70260">
            <w:pPr>
              <w:numPr>
                <w:ilvl w:val="0"/>
                <w:numId w:val="1"/>
              </w:numPr>
              <w:spacing w:before="120" w:after="120" w:line="240" w:lineRule="auto"/>
              <w:jc w:val="both"/>
              <w:rPr>
                <w:rFonts w:ascii="Times New Roman" w:hAnsi="Times New Roman"/>
                <w:b/>
              </w:rPr>
            </w:pPr>
            <w:r w:rsidRPr="00B302CE">
              <w:rPr>
                <w:rFonts w:ascii="Times New Roman" w:hAnsi="Times New Roman"/>
                <w:b/>
              </w:rPr>
              <w:lastRenderedPageBreak/>
              <w:t xml:space="preserve"> Zmiana obciążeń regulacyjnych (w tym obowiązków informacyjnych) wynikających z projektu</w:t>
            </w:r>
          </w:p>
        </w:tc>
      </w:tr>
      <w:tr w:rsidR="00B302CE" w:rsidRPr="00B302CE" w14:paraId="01C8D576" w14:textId="77777777" w:rsidTr="00F70260">
        <w:trPr>
          <w:gridAfter w:val="1"/>
          <w:wAfter w:w="40" w:type="dxa"/>
          <w:trHeight w:val="151"/>
          <w:jc w:val="center"/>
        </w:trPr>
        <w:tc>
          <w:tcPr>
            <w:tcW w:w="10876" w:type="dxa"/>
            <w:gridSpan w:val="22"/>
            <w:shd w:val="clear" w:color="auto" w:fill="FFFFFF"/>
          </w:tcPr>
          <w:p w14:paraId="4B57C90D"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1"/>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nie dotyczy</w:t>
            </w:r>
          </w:p>
        </w:tc>
      </w:tr>
      <w:tr w:rsidR="00B302CE" w:rsidRPr="00B302CE" w14:paraId="71424AE2" w14:textId="77777777" w:rsidTr="00F70260">
        <w:trPr>
          <w:gridAfter w:val="1"/>
          <w:wAfter w:w="40" w:type="dxa"/>
          <w:trHeight w:val="946"/>
          <w:jc w:val="center"/>
        </w:trPr>
        <w:tc>
          <w:tcPr>
            <w:tcW w:w="6483" w:type="dxa"/>
            <w:gridSpan w:val="11"/>
            <w:shd w:val="clear" w:color="auto" w:fill="FFFFFF"/>
            <w:vAlign w:val="center"/>
          </w:tcPr>
          <w:p w14:paraId="10B1CC43"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spacing w:val="-2"/>
              </w:rPr>
              <w:t xml:space="preserve">Wprowadzane są obciążenia poza bezwzględnie wymaganymi przez UE </w:t>
            </w:r>
            <w:r w:rsidRPr="00B302CE">
              <w:rPr>
                <w:rFonts w:ascii="Times New Roman" w:hAnsi="Times New Roman"/>
              </w:rPr>
              <w:t>(szczegóły w odwróconej tabeli zgodności).</w:t>
            </w:r>
          </w:p>
        </w:tc>
        <w:tc>
          <w:tcPr>
            <w:tcW w:w="4393" w:type="dxa"/>
            <w:gridSpan w:val="11"/>
            <w:shd w:val="clear" w:color="auto" w:fill="FFFFFF"/>
            <w:vAlign w:val="center"/>
          </w:tcPr>
          <w:p w14:paraId="0FF5E942"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tak</w:t>
            </w:r>
          </w:p>
          <w:p w14:paraId="680234F5"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nie</w:t>
            </w:r>
          </w:p>
          <w:p w14:paraId="37B68CBF"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1"/>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nie dotyczy</w:t>
            </w:r>
          </w:p>
        </w:tc>
      </w:tr>
      <w:tr w:rsidR="00B302CE" w:rsidRPr="00B302CE" w14:paraId="09228F0F" w14:textId="77777777" w:rsidTr="00F70260">
        <w:trPr>
          <w:gridAfter w:val="1"/>
          <w:wAfter w:w="40" w:type="dxa"/>
          <w:trHeight w:val="1245"/>
          <w:jc w:val="center"/>
        </w:trPr>
        <w:tc>
          <w:tcPr>
            <w:tcW w:w="6483" w:type="dxa"/>
            <w:gridSpan w:val="11"/>
            <w:shd w:val="clear" w:color="auto" w:fill="FFFFFF"/>
            <w:vAlign w:val="center"/>
          </w:tcPr>
          <w:p w14:paraId="173FB598"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 xml:space="preserve">zmniejszenie liczby dokumentów </w:t>
            </w:r>
          </w:p>
          <w:p w14:paraId="02263481"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zmniejszenie liczby procedur</w:t>
            </w:r>
          </w:p>
          <w:p w14:paraId="0EB8F9C1"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skrócenie czasu na załatwienie sprawy</w:t>
            </w:r>
          </w:p>
          <w:p w14:paraId="69522021" w14:textId="77777777" w:rsidR="00F5245B" w:rsidRPr="00B302CE" w:rsidRDefault="00F5245B" w:rsidP="00F70260">
            <w:pPr>
              <w:spacing w:line="240" w:lineRule="auto"/>
              <w:rPr>
                <w:rFonts w:ascii="Times New Roman" w:hAnsi="Times New Roman"/>
                <w:b/>
                <w:spacing w:val="-2"/>
              </w:rPr>
            </w:pPr>
            <w:r w:rsidRPr="00B302CE">
              <w:rPr>
                <w:rFonts w:ascii="Times New Roman" w:hAnsi="Times New Roman"/>
              </w:rPr>
              <w:fldChar w:fldCharType="begin">
                <w:ffData>
                  <w:name w:val="Wybór1"/>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inne:</w:t>
            </w:r>
            <w:r w:rsidRPr="00B302CE">
              <w:rPr>
                <w:rFonts w:ascii="Times New Roman" w:hAnsi="Times New Roman"/>
              </w:rPr>
              <w:t xml:space="preserve"> </w:t>
            </w:r>
            <w:r w:rsidRPr="00B302CE">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302CE">
              <w:rPr>
                <w:rFonts w:ascii="Times New Roman" w:hAnsi="Times New Roman"/>
              </w:rPr>
              <w:instrText xml:space="preserve"> FORMTEXT </w:instrText>
            </w:r>
            <w:r w:rsidRPr="00B302CE">
              <w:rPr>
                <w:rFonts w:ascii="Times New Roman" w:hAnsi="Times New Roman"/>
              </w:rPr>
            </w:r>
            <w:r w:rsidRPr="00B302CE">
              <w:rPr>
                <w:rFonts w:ascii="Times New Roman" w:hAnsi="Times New Roman"/>
              </w:rPr>
              <w:fldChar w:fldCharType="separate"/>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rPr>
              <w:fldChar w:fldCharType="end"/>
            </w:r>
          </w:p>
        </w:tc>
        <w:tc>
          <w:tcPr>
            <w:tcW w:w="4393" w:type="dxa"/>
            <w:gridSpan w:val="11"/>
            <w:shd w:val="clear" w:color="auto" w:fill="FFFFFF"/>
            <w:vAlign w:val="center"/>
          </w:tcPr>
          <w:p w14:paraId="0EA7799E"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zwiększenie liczby dokumentów</w:t>
            </w:r>
          </w:p>
          <w:p w14:paraId="49F15DE4"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zwiększenie liczby procedur</w:t>
            </w:r>
          </w:p>
          <w:p w14:paraId="4BABD635"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wydłużenie czasu na załatwienie sprawy</w:t>
            </w:r>
          </w:p>
          <w:p w14:paraId="1A459C0D"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Wybór1"/>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inne:</w:t>
            </w:r>
            <w:r w:rsidRPr="00B302CE">
              <w:rPr>
                <w:rFonts w:ascii="Times New Roman" w:hAnsi="Times New Roman"/>
              </w:rPr>
              <w:t xml:space="preserve"> </w:t>
            </w:r>
            <w:r w:rsidRPr="00B302CE">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302CE">
              <w:rPr>
                <w:rFonts w:ascii="Times New Roman" w:hAnsi="Times New Roman"/>
              </w:rPr>
              <w:instrText xml:space="preserve"> FORMTEXT </w:instrText>
            </w:r>
            <w:r w:rsidRPr="00B302CE">
              <w:rPr>
                <w:rFonts w:ascii="Times New Roman" w:hAnsi="Times New Roman"/>
              </w:rPr>
            </w:r>
            <w:r w:rsidRPr="00B302CE">
              <w:rPr>
                <w:rFonts w:ascii="Times New Roman" w:hAnsi="Times New Roman"/>
              </w:rPr>
              <w:fldChar w:fldCharType="separate"/>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rPr>
              <w:fldChar w:fldCharType="end"/>
            </w:r>
          </w:p>
          <w:p w14:paraId="7B806EAB" w14:textId="77777777" w:rsidR="00F5245B" w:rsidRPr="00B302CE" w:rsidRDefault="00F5245B" w:rsidP="00F70260">
            <w:pPr>
              <w:spacing w:line="240" w:lineRule="auto"/>
              <w:rPr>
                <w:rFonts w:ascii="Times New Roman" w:hAnsi="Times New Roman"/>
              </w:rPr>
            </w:pPr>
          </w:p>
        </w:tc>
      </w:tr>
      <w:tr w:rsidR="00B302CE" w:rsidRPr="00B302CE" w14:paraId="16B268A9" w14:textId="77777777" w:rsidTr="00F70260">
        <w:trPr>
          <w:gridAfter w:val="1"/>
          <w:wAfter w:w="40" w:type="dxa"/>
          <w:trHeight w:val="870"/>
          <w:jc w:val="center"/>
        </w:trPr>
        <w:tc>
          <w:tcPr>
            <w:tcW w:w="6483" w:type="dxa"/>
            <w:gridSpan w:val="11"/>
            <w:shd w:val="clear" w:color="auto" w:fill="FFFFFF"/>
            <w:vAlign w:val="center"/>
          </w:tcPr>
          <w:p w14:paraId="0DD6EC86" w14:textId="77777777" w:rsidR="00F5245B" w:rsidRPr="00B302CE" w:rsidRDefault="00F5245B" w:rsidP="00F70260">
            <w:pPr>
              <w:spacing w:line="240" w:lineRule="auto"/>
              <w:rPr>
                <w:rFonts w:ascii="Times New Roman" w:hAnsi="Times New Roman"/>
              </w:rPr>
            </w:pPr>
            <w:r w:rsidRPr="00B302CE">
              <w:rPr>
                <w:rFonts w:ascii="Times New Roman" w:hAnsi="Times New Roman"/>
                <w:spacing w:val="-2"/>
              </w:rPr>
              <w:t xml:space="preserve">Wprowadzane obciążenia są przystosowane do ich elektronizacji. </w:t>
            </w:r>
          </w:p>
        </w:tc>
        <w:tc>
          <w:tcPr>
            <w:tcW w:w="4393" w:type="dxa"/>
            <w:gridSpan w:val="11"/>
            <w:shd w:val="clear" w:color="auto" w:fill="FFFFFF"/>
            <w:vAlign w:val="center"/>
          </w:tcPr>
          <w:p w14:paraId="093C7B64"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tak</w:t>
            </w:r>
          </w:p>
          <w:p w14:paraId="70567355"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Wybór1"/>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nie</w:t>
            </w:r>
          </w:p>
          <w:p w14:paraId="3F937313"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1"/>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nie dotyczy</w:t>
            </w:r>
          </w:p>
        </w:tc>
      </w:tr>
      <w:tr w:rsidR="00B302CE" w:rsidRPr="00B302CE" w14:paraId="3FE319FC" w14:textId="77777777" w:rsidTr="00F70260">
        <w:trPr>
          <w:gridAfter w:val="1"/>
          <w:wAfter w:w="40" w:type="dxa"/>
          <w:trHeight w:val="408"/>
          <w:jc w:val="center"/>
        </w:trPr>
        <w:tc>
          <w:tcPr>
            <w:tcW w:w="10876" w:type="dxa"/>
            <w:gridSpan w:val="22"/>
            <w:shd w:val="clear" w:color="auto" w:fill="FFFFFF"/>
            <w:vAlign w:val="center"/>
          </w:tcPr>
          <w:p w14:paraId="5565DD2E" w14:textId="77777777" w:rsidR="00F5245B" w:rsidRPr="00B302CE" w:rsidRDefault="00F5245B" w:rsidP="00F70260">
            <w:pPr>
              <w:pStyle w:val="ARTartustawynprozporzdzenia"/>
              <w:spacing w:after="120" w:line="240" w:lineRule="auto"/>
              <w:ind w:firstLine="0"/>
              <w:rPr>
                <w:rFonts w:ascii="Times New Roman" w:hAnsi="Times New Roman"/>
              </w:rPr>
            </w:pPr>
            <w:r w:rsidRPr="00B302CE">
              <w:rPr>
                <w:rFonts w:ascii="Times New Roman" w:hAnsi="Times New Roman"/>
                <w:sz w:val="22"/>
                <w:szCs w:val="22"/>
              </w:rPr>
              <w:t xml:space="preserve">Komentarz: Projekt precyzuje </w:t>
            </w:r>
            <w:r w:rsidRPr="00B302CE">
              <w:rPr>
                <w:rFonts w:ascii="Times New Roman" w:hAnsi="Times New Roman"/>
                <w:bCs/>
                <w:sz w:val="22"/>
                <w:szCs w:val="22"/>
              </w:rPr>
              <w:t>podstawę prawną dla przetwarzania przez Ministra Sprawiedliwości danych, w tym danych osobowych znajdujących się w sądowych systemach teleinformatycznych, np. danych stron, pełnomocników i innych osób uczestniczących w postępowaniach sądowych, w zakresie niezbędnym do wykonywania zadań związanych z informatyzacją sądownictwa</w:t>
            </w:r>
            <w:r w:rsidRPr="00B302CE">
              <w:rPr>
                <w:rFonts w:ascii="Times New Roman" w:hAnsi="Times New Roman"/>
                <w:sz w:val="22"/>
                <w:szCs w:val="22"/>
              </w:rPr>
              <w:t>. Zakres i rodzaj przetwarzanych danych będzie uzależniony od tego, jakie dane będą niezbędne dla realizacji poszczególnych zadań.</w:t>
            </w:r>
            <w:r w:rsidRPr="00B302CE">
              <w:rPr>
                <w:rFonts w:ascii="Times New Roman" w:hAnsi="Times New Roman"/>
                <w:bCs/>
                <w:sz w:val="22"/>
                <w:szCs w:val="22"/>
              </w:rPr>
              <w:t xml:space="preserve"> </w:t>
            </w:r>
          </w:p>
        </w:tc>
      </w:tr>
      <w:tr w:rsidR="00B302CE" w:rsidRPr="00B302CE" w14:paraId="768554AE" w14:textId="77777777" w:rsidTr="00F70260">
        <w:trPr>
          <w:gridAfter w:val="1"/>
          <w:wAfter w:w="40" w:type="dxa"/>
          <w:trHeight w:val="142"/>
          <w:jc w:val="center"/>
        </w:trPr>
        <w:tc>
          <w:tcPr>
            <w:tcW w:w="10876" w:type="dxa"/>
            <w:gridSpan w:val="22"/>
            <w:shd w:val="clear" w:color="auto" w:fill="99CCFF"/>
          </w:tcPr>
          <w:p w14:paraId="06689E16" w14:textId="77777777" w:rsidR="00F5245B" w:rsidRPr="00B302CE" w:rsidRDefault="00F5245B" w:rsidP="00F70260">
            <w:pPr>
              <w:numPr>
                <w:ilvl w:val="0"/>
                <w:numId w:val="1"/>
              </w:numPr>
              <w:spacing w:before="120" w:after="120" w:line="240" w:lineRule="auto"/>
              <w:jc w:val="both"/>
              <w:rPr>
                <w:rFonts w:ascii="Times New Roman" w:hAnsi="Times New Roman"/>
                <w:b/>
              </w:rPr>
            </w:pPr>
            <w:r w:rsidRPr="00B302CE">
              <w:rPr>
                <w:rFonts w:ascii="Times New Roman" w:hAnsi="Times New Roman"/>
                <w:b/>
              </w:rPr>
              <w:t xml:space="preserve">Wpływ na rynek pracy </w:t>
            </w:r>
          </w:p>
        </w:tc>
      </w:tr>
      <w:tr w:rsidR="00B302CE" w:rsidRPr="00B302CE" w14:paraId="6F6628BB" w14:textId="77777777" w:rsidTr="00F70260">
        <w:trPr>
          <w:gridAfter w:val="1"/>
          <w:wAfter w:w="40" w:type="dxa"/>
          <w:trHeight w:val="142"/>
          <w:jc w:val="center"/>
        </w:trPr>
        <w:tc>
          <w:tcPr>
            <w:tcW w:w="10876" w:type="dxa"/>
            <w:gridSpan w:val="22"/>
            <w:shd w:val="clear" w:color="auto" w:fill="auto"/>
          </w:tcPr>
          <w:p w14:paraId="740E9B3B" w14:textId="77777777" w:rsidR="00F5245B" w:rsidRPr="00B302CE" w:rsidRDefault="00F5245B" w:rsidP="00F70260">
            <w:pPr>
              <w:spacing w:before="120" w:after="120" w:line="240" w:lineRule="auto"/>
              <w:jc w:val="both"/>
              <w:rPr>
                <w:rFonts w:ascii="Times New Roman" w:hAnsi="Times New Roman"/>
              </w:rPr>
            </w:pPr>
            <w:r w:rsidRPr="00B302CE">
              <w:rPr>
                <w:rFonts w:ascii="Times New Roman" w:hAnsi="Times New Roman"/>
              </w:rPr>
              <w:t>Projektowana regulacja nie będzie miała wpływu na rynek pracy.</w:t>
            </w:r>
          </w:p>
        </w:tc>
      </w:tr>
      <w:tr w:rsidR="00B302CE" w:rsidRPr="00B302CE" w14:paraId="49E2AEBD" w14:textId="77777777" w:rsidTr="00F70260">
        <w:trPr>
          <w:gridAfter w:val="1"/>
          <w:wAfter w:w="40" w:type="dxa"/>
          <w:trHeight w:val="142"/>
          <w:jc w:val="center"/>
        </w:trPr>
        <w:tc>
          <w:tcPr>
            <w:tcW w:w="10876" w:type="dxa"/>
            <w:gridSpan w:val="22"/>
            <w:shd w:val="clear" w:color="auto" w:fill="99CCFF"/>
          </w:tcPr>
          <w:p w14:paraId="3D358957" w14:textId="77777777" w:rsidR="00F5245B" w:rsidRPr="00B302CE" w:rsidRDefault="00F5245B" w:rsidP="00F70260">
            <w:pPr>
              <w:numPr>
                <w:ilvl w:val="0"/>
                <w:numId w:val="1"/>
              </w:numPr>
              <w:spacing w:before="120" w:after="120" w:line="240" w:lineRule="auto"/>
              <w:jc w:val="both"/>
              <w:rPr>
                <w:rFonts w:ascii="Times New Roman" w:hAnsi="Times New Roman"/>
                <w:b/>
              </w:rPr>
            </w:pPr>
            <w:r w:rsidRPr="00B302CE">
              <w:rPr>
                <w:rFonts w:ascii="Times New Roman" w:hAnsi="Times New Roman"/>
                <w:b/>
              </w:rPr>
              <w:t>Wpływ na pozostałe obszary</w:t>
            </w:r>
          </w:p>
        </w:tc>
      </w:tr>
      <w:tr w:rsidR="00B302CE" w:rsidRPr="00B302CE" w14:paraId="0EDB1373" w14:textId="77777777" w:rsidTr="00F70260">
        <w:trPr>
          <w:gridAfter w:val="1"/>
          <w:wAfter w:w="40" w:type="dxa"/>
          <w:trHeight w:val="1031"/>
          <w:jc w:val="center"/>
        </w:trPr>
        <w:tc>
          <w:tcPr>
            <w:tcW w:w="4374" w:type="dxa"/>
            <w:gridSpan w:val="5"/>
            <w:shd w:val="clear" w:color="auto" w:fill="FFFFFF"/>
          </w:tcPr>
          <w:p w14:paraId="1856643A" w14:textId="77777777" w:rsidR="00F5245B" w:rsidRPr="00B302CE" w:rsidRDefault="00F5245B" w:rsidP="00F70260">
            <w:pPr>
              <w:spacing w:line="240" w:lineRule="auto"/>
              <w:rPr>
                <w:rFonts w:ascii="Times New Roman" w:hAnsi="Times New Roman"/>
              </w:rPr>
            </w:pPr>
          </w:p>
          <w:p w14:paraId="454FB733"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Wybór1"/>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środowisko naturalne</w:t>
            </w:r>
          </w:p>
          <w:p w14:paraId="1E33E6DD"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sytuacja i rozwój regionalny</w:t>
            </w:r>
          </w:p>
          <w:p w14:paraId="482C5CC3"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1"/>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sz w:val="20"/>
                <w:szCs w:val="20"/>
              </w:rPr>
              <w:t xml:space="preserve"> </w:t>
            </w:r>
            <w:bookmarkStart w:id="2" w:name="_Hlk88562467"/>
            <w:r w:rsidRPr="00B302CE">
              <w:rPr>
                <w:rFonts w:ascii="Times New Roman" w:hAnsi="Times New Roman"/>
                <w:spacing w:val="-2"/>
              </w:rPr>
              <w:t>sądy powszechne, administracyjne lub wojskowe</w:t>
            </w:r>
            <w:bookmarkEnd w:id="2"/>
          </w:p>
        </w:tc>
        <w:tc>
          <w:tcPr>
            <w:tcW w:w="3226" w:type="dxa"/>
            <w:gridSpan w:val="9"/>
            <w:shd w:val="clear" w:color="auto" w:fill="FFFFFF"/>
          </w:tcPr>
          <w:p w14:paraId="68EF92AF" w14:textId="77777777" w:rsidR="00F5245B" w:rsidRPr="00B302CE" w:rsidRDefault="00F5245B" w:rsidP="00F70260">
            <w:pPr>
              <w:spacing w:line="240" w:lineRule="auto"/>
              <w:rPr>
                <w:rFonts w:ascii="Times New Roman" w:hAnsi="Times New Roman"/>
              </w:rPr>
            </w:pPr>
          </w:p>
          <w:p w14:paraId="49DB285A"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Wybór1"/>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demografia</w:t>
            </w:r>
          </w:p>
          <w:p w14:paraId="77A7EA4C"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mienie państwowe</w:t>
            </w:r>
          </w:p>
          <w:p w14:paraId="7FD44B22"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Wybór1"/>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 xml:space="preserve">inne: </w:t>
            </w:r>
            <w:r w:rsidRPr="00B302CE">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302CE">
              <w:rPr>
                <w:rFonts w:ascii="Times New Roman" w:hAnsi="Times New Roman"/>
              </w:rPr>
              <w:instrText xml:space="preserve"> FORMTEXT </w:instrText>
            </w:r>
            <w:r w:rsidRPr="00B302CE">
              <w:rPr>
                <w:rFonts w:ascii="Times New Roman" w:hAnsi="Times New Roman"/>
              </w:rPr>
            </w:r>
            <w:r w:rsidRPr="00B302CE">
              <w:rPr>
                <w:rFonts w:ascii="Times New Roman" w:hAnsi="Times New Roman"/>
              </w:rPr>
              <w:fldChar w:fldCharType="separate"/>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noProof/>
              </w:rPr>
              <w:t> </w:t>
            </w:r>
            <w:r w:rsidRPr="00B302CE">
              <w:rPr>
                <w:rFonts w:ascii="Times New Roman" w:hAnsi="Times New Roman"/>
              </w:rPr>
              <w:fldChar w:fldCharType="end"/>
            </w:r>
          </w:p>
          <w:p w14:paraId="0E535C5A" w14:textId="77777777" w:rsidR="00F5245B" w:rsidRPr="00B302CE" w:rsidRDefault="00F5245B" w:rsidP="00F70260">
            <w:pPr>
              <w:spacing w:line="240" w:lineRule="auto"/>
              <w:rPr>
                <w:rFonts w:ascii="Times New Roman" w:hAnsi="Times New Roman"/>
              </w:rPr>
            </w:pPr>
          </w:p>
        </w:tc>
        <w:tc>
          <w:tcPr>
            <w:tcW w:w="3276" w:type="dxa"/>
            <w:gridSpan w:val="8"/>
            <w:shd w:val="clear" w:color="auto" w:fill="FFFFFF"/>
          </w:tcPr>
          <w:p w14:paraId="2F0AAC0F" w14:textId="77777777" w:rsidR="00F5245B" w:rsidRPr="00B302CE" w:rsidRDefault="00F5245B" w:rsidP="00F70260">
            <w:pPr>
              <w:spacing w:line="240" w:lineRule="auto"/>
              <w:rPr>
                <w:rFonts w:ascii="Times New Roman" w:hAnsi="Times New Roman"/>
              </w:rPr>
            </w:pPr>
          </w:p>
          <w:p w14:paraId="47777A3D" w14:textId="77777777" w:rsidR="00F5245B" w:rsidRPr="00B302CE" w:rsidRDefault="00F5245B" w:rsidP="00F70260">
            <w:pPr>
              <w:spacing w:line="240" w:lineRule="auto"/>
              <w:rPr>
                <w:rFonts w:ascii="Times New Roman" w:hAnsi="Times New Roman"/>
                <w:spacing w:val="-2"/>
              </w:rPr>
            </w:pPr>
            <w:r w:rsidRPr="00B302CE">
              <w:rPr>
                <w:rFonts w:ascii="Times New Roman" w:hAnsi="Times New Roman"/>
              </w:rPr>
              <w:fldChar w:fldCharType="begin">
                <w:ffData>
                  <w:name w:val=""/>
                  <w:enabled/>
                  <w:calcOnExit w:val="0"/>
                  <w:checkBox>
                    <w:sizeAuto/>
                    <w:default w:val="1"/>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informatyzacja</w:t>
            </w:r>
          </w:p>
          <w:p w14:paraId="4D99583E" w14:textId="77777777" w:rsidR="00F5245B" w:rsidRPr="00B302CE" w:rsidRDefault="00F5245B" w:rsidP="00F70260">
            <w:pPr>
              <w:spacing w:line="240" w:lineRule="auto"/>
              <w:rPr>
                <w:rFonts w:ascii="Times New Roman" w:hAnsi="Times New Roman"/>
              </w:rPr>
            </w:pPr>
            <w:r w:rsidRPr="00B302CE">
              <w:rPr>
                <w:rFonts w:ascii="Times New Roman" w:hAnsi="Times New Roman"/>
              </w:rPr>
              <w:fldChar w:fldCharType="begin">
                <w:ffData>
                  <w:name w:val=""/>
                  <w:enabled/>
                  <w:calcOnExit w:val="0"/>
                  <w:checkBox>
                    <w:sizeAuto/>
                    <w:default w:val="0"/>
                  </w:checkBox>
                </w:ffData>
              </w:fldChar>
            </w:r>
            <w:r w:rsidRPr="00B302CE">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02CE">
              <w:rPr>
                <w:rFonts w:ascii="Times New Roman" w:hAnsi="Times New Roman"/>
              </w:rPr>
              <w:fldChar w:fldCharType="end"/>
            </w:r>
            <w:r w:rsidRPr="00B302CE">
              <w:rPr>
                <w:rFonts w:ascii="Times New Roman" w:hAnsi="Times New Roman"/>
              </w:rPr>
              <w:t xml:space="preserve"> </w:t>
            </w:r>
            <w:r w:rsidRPr="00B302CE">
              <w:rPr>
                <w:rFonts w:ascii="Times New Roman" w:hAnsi="Times New Roman"/>
                <w:spacing w:val="-2"/>
              </w:rPr>
              <w:t>zdrowie</w:t>
            </w:r>
          </w:p>
        </w:tc>
      </w:tr>
      <w:tr w:rsidR="00B302CE" w:rsidRPr="00B302CE" w14:paraId="02CB294B" w14:textId="77777777" w:rsidTr="00F70260">
        <w:trPr>
          <w:gridAfter w:val="1"/>
          <w:wAfter w:w="40" w:type="dxa"/>
          <w:trHeight w:val="492"/>
          <w:jc w:val="center"/>
        </w:trPr>
        <w:tc>
          <w:tcPr>
            <w:tcW w:w="3340" w:type="dxa"/>
            <w:gridSpan w:val="3"/>
            <w:shd w:val="clear" w:color="auto" w:fill="FFFFFF"/>
            <w:vAlign w:val="center"/>
          </w:tcPr>
          <w:p w14:paraId="0585DCDA" w14:textId="77777777" w:rsidR="00F5245B" w:rsidRPr="00B302CE" w:rsidRDefault="00F5245B" w:rsidP="00F70260">
            <w:pPr>
              <w:spacing w:before="120" w:after="120" w:line="240" w:lineRule="auto"/>
              <w:rPr>
                <w:rFonts w:ascii="Times New Roman" w:hAnsi="Times New Roman"/>
              </w:rPr>
            </w:pPr>
            <w:r w:rsidRPr="00B302CE">
              <w:rPr>
                <w:rFonts w:ascii="Times New Roman" w:hAnsi="Times New Roman"/>
              </w:rPr>
              <w:t>Omówienie wpływu</w:t>
            </w:r>
          </w:p>
        </w:tc>
        <w:tc>
          <w:tcPr>
            <w:tcW w:w="7536" w:type="dxa"/>
            <w:gridSpan w:val="19"/>
            <w:shd w:val="clear" w:color="auto" w:fill="FFFFFF"/>
            <w:vAlign w:val="center"/>
          </w:tcPr>
          <w:p w14:paraId="7B7641E7" w14:textId="77777777" w:rsidR="00F5245B" w:rsidRPr="00B302CE" w:rsidRDefault="00F5245B" w:rsidP="00F70260">
            <w:pPr>
              <w:spacing w:before="120" w:after="120" w:line="240" w:lineRule="auto"/>
              <w:jc w:val="both"/>
              <w:rPr>
                <w:rFonts w:ascii="Times New Roman" w:hAnsi="Times New Roman"/>
                <w:spacing w:val="-2"/>
              </w:rPr>
            </w:pPr>
            <w:r w:rsidRPr="00B302CE">
              <w:rPr>
                <w:rFonts w:ascii="Times New Roman" w:hAnsi="Times New Roman"/>
                <w:spacing w:val="-2"/>
              </w:rPr>
              <w:t xml:space="preserve">Wpływ na sądy i informatyzację został omówiony w pkt 2. i 4. </w:t>
            </w:r>
            <w:r w:rsidRPr="00B302CE">
              <w:rPr>
                <w:rFonts w:ascii="Times New Roman" w:hAnsi="Times New Roman"/>
              </w:rPr>
              <w:t xml:space="preserve">Projekt precyzuje </w:t>
            </w:r>
            <w:r w:rsidRPr="00B302CE">
              <w:rPr>
                <w:rFonts w:ascii="Times New Roman" w:hAnsi="Times New Roman"/>
                <w:bCs/>
              </w:rPr>
              <w:t>podstawę prawną dla przetwarzania przez Ministra Sprawiedliwości danych, w tym danych osobowych znajdujących się w sądowych systemach teleinformatycznych, np. danych stron, pełnomocników i innych osób uczestniczących w postepowaniach sądowych, w zakresie niezbędnym do wykonywania zadań związanych z informatyzacją sądownictwa</w:t>
            </w:r>
            <w:r w:rsidRPr="00B302CE">
              <w:rPr>
                <w:rFonts w:ascii="Times New Roman" w:hAnsi="Times New Roman"/>
              </w:rPr>
              <w:t>. Zakres i rodzaj przetwarzanych danych będzie uzależniony od tego, jakie dane będą niezbędne dla realizacji poszczególnych zadań.</w:t>
            </w:r>
          </w:p>
        </w:tc>
      </w:tr>
      <w:tr w:rsidR="00B302CE" w:rsidRPr="00B302CE" w14:paraId="43B9491C" w14:textId="77777777" w:rsidTr="00F70260">
        <w:trPr>
          <w:gridAfter w:val="1"/>
          <w:wAfter w:w="40" w:type="dxa"/>
          <w:trHeight w:val="142"/>
          <w:jc w:val="center"/>
        </w:trPr>
        <w:tc>
          <w:tcPr>
            <w:tcW w:w="10876" w:type="dxa"/>
            <w:gridSpan w:val="22"/>
            <w:shd w:val="clear" w:color="auto" w:fill="99CCFF"/>
          </w:tcPr>
          <w:p w14:paraId="46FBC4CA" w14:textId="77777777" w:rsidR="00F5245B" w:rsidRPr="00B302CE" w:rsidRDefault="00F5245B" w:rsidP="00F70260">
            <w:pPr>
              <w:numPr>
                <w:ilvl w:val="0"/>
                <w:numId w:val="1"/>
              </w:numPr>
              <w:spacing w:before="120" w:after="120" w:line="240" w:lineRule="auto"/>
              <w:jc w:val="both"/>
              <w:rPr>
                <w:rFonts w:ascii="Times New Roman" w:hAnsi="Times New Roman"/>
                <w:b/>
              </w:rPr>
            </w:pPr>
            <w:r w:rsidRPr="00B302CE">
              <w:rPr>
                <w:rFonts w:ascii="Times New Roman" w:hAnsi="Times New Roman"/>
                <w:b/>
                <w:spacing w:val="-2"/>
              </w:rPr>
              <w:t>Planowane wykonanie przepisów aktu prawnego</w:t>
            </w:r>
          </w:p>
        </w:tc>
      </w:tr>
      <w:tr w:rsidR="00B302CE" w:rsidRPr="00B302CE" w14:paraId="659F9AAF" w14:textId="77777777" w:rsidTr="00F70260">
        <w:trPr>
          <w:gridAfter w:val="1"/>
          <w:wAfter w:w="40" w:type="dxa"/>
          <w:trHeight w:val="142"/>
          <w:jc w:val="center"/>
        </w:trPr>
        <w:tc>
          <w:tcPr>
            <w:tcW w:w="10876" w:type="dxa"/>
            <w:gridSpan w:val="22"/>
            <w:shd w:val="clear" w:color="auto" w:fill="FFFFFF"/>
          </w:tcPr>
          <w:p w14:paraId="36368BD7" w14:textId="77777777" w:rsidR="00F5245B" w:rsidRPr="00B302CE" w:rsidRDefault="00F5245B" w:rsidP="00F70260">
            <w:pPr>
              <w:pStyle w:val="ARTartustawynprozporzdzenia"/>
              <w:spacing w:after="120" w:line="240" w:lineRule="auto"/>
              <w:ind w:firstLine="0"/>
              <w:rPr>
                <w:rFonts w:ascii="Times New Roman" w:hAnsi="Times New Roman" w:cs="Times New Roman"/>
                <w:sz w:val="22"/>
                <w:szCs w:val="22"/>
              </w:rPr>
            </w:pPr>
            <w:r w:rsidRPr="00B302CE">
              <w:rPr>
                <w:rStyle w:val="FontStyle13"/>
              </w:rPr>
              <w:t>Ustawa wchodzi w życie po upływie 14 dni od dnia ogłoszenia.</w:t>
            </w:r>
          </w:p>
        </w:tc>
      </w:tr>
      <w:tr w:rsidR="00B302CE" w:rsidRPr="00B302CE" w14:paraId="4C6FCAAB" w14:textId="77777777" w:rsidTr="00F70260">
        <w:trPr>
          <w:gridAfter w:val="1"/>
          <w:wAfter w:w="40" w:type="dxa"/>
          <w:trHeight w:val="142"/>
          <w:jc w:val="center"/>
        </w:trPr>
        <w:tc>
          <w:tcPr>
            <w:tcW w:w="10876" w:type="dxa"/>
            <w:gridSpan w:val="22"/>
            <w:shd w:val="clear" w:color="auto" w:fill="99CCFF"/>
          </w:tcPr>
          <w:p w14:paraId="36FE14C6" w14:textId="77777777" w:rsidR="00F5245B" w:rsidRPr="00B302CE" w:rsidRDefault="00F5245B" w:rsidP="00F70260">
            <w:pPr>
              <w:numPr>
                <w:ilvl w:val="0"/>
                <w:numId w:val="1"/>
              </w:numPr>
              <w:spacing w:before="120" w:after="120" w:line="240" w:lineRule="auto"/>
              <w:jc w:val="both"/>
              <w:rPr>
                <w:rFonts w:ascii="Times New Roman" w:hAnsi="Times New Roman"/>
                <w:b/>
              </w:rPr>
            </w:pPr>
            <w:r w:rsidRPr="00B302CE">
              <w:rPr>
                <w:rFonts w:ascii="Times New Roman" w:hAnsi="Times New Roman"/>
                <w:b/>
              </w:rPr>
              <w:t xml:space="preserve"> </w:t>
            </w:r>
            <w:r w:rsidRPr="00B302CE">
              <w:rPr>
                <w:rFonts w:ascii="Times New Roman" w:hAnsi="Times New Roman"/>
                <w:b/>
                <w:spacing w:val="-2"/>
              </w:rPr>
              <w:t>W jaki sposób i kiedy nastąpi ewaluacja efektów projektu oraz jakie mierniki zostaną zastosowane?</w:t>
            </w:r>
          </w:p>
        </w:tc>
      </w:tr>
      <w:tr w:rsidR="00B302CE" w:rsidRPr="00B302CE" w14:paraId="6FD8603C" w14:textId="77777777" w:rsidTr="00F70260">
        <w:trPr>
          <w:gridAfter w:val="1"/>
          <w:wAfter w:w="40" w:type="dxa"/>
          <w:trHeight w:val="142"/>
          <w:jc w:val="center"/>
        </w:trPr>
        <w:tc>
          <w:tcPr>
            <w:tcW w:w="10876" w:type="dxa"/>
            <w:gridSpan w:val="22"/>
            <w:shd w:val="clear" w:color="auto" w:fill="FFFFFF"/>
          </w:tcPr>
          <w:p w14:paraId="77BEDAAF" w14:textId="77777777" w:rsidR="00F5245B" w:rsidRPr="00B302CE" w:rsidRDefault="00F5245B" w:rsidP="00F70260">
            <w:pPr>
              <w:spacing w:before="120" w:after="120" w:line="240" w:lineRule="auto"/>
              <w:jc w:val="both"/>
              <w:rPr>
                <w:rFonts w:ascii="Times New Roman" w:hAnsi="Times New Roman"/>
                <w:spacing w:val="-2"/>
              </w:rPr>
            </w:pPr>
            <w:r w:rsidRPr="00B302CE">
              <w:rPr>
                <w:rFonts w:ascii="Times New Roman" w:hAnsi="Times New Roman"/>
                <w:spacing w:val="-2"/>
              </w:rPr>
              <w:t>Efekty wejścia w życie projektowanych rozwiązań będą natychmiastowe i nie wymagają pomiaru.</w:t>
            </w:r>
          </w:p>
        </w:tc>
      </w:tr>
      <w:tr w:rsidR="00B302CE" w:rsidRPr="00B302CE" w14:paraId="647343E7" w14:textId="77777777" w:rsidTr="00F70260">
        <w:trPr>
          <w:gridAfter w:val="1"/>
          <w:wAfter w:w="40" w:type="dxa"/>
          <w:trHeight w:val="142"/>
          <w:jc w:val="center"/>
        </w:trPr>
        <w:tc>
          <w:tcPr>
            <w:tcW w:w="10876" w:type="dxa"/>
            <w:gridSpan w:val="22"/>
            <w:shd w:val="clear" w:color="auto" w:fill="99CCFF"/>
          </w:tcPr>
          <w:p w14:paraId="5AF0D6F4" w14:textId="77777777" w:rsidR="00F5245B" w:rsidRPr="00B302CE" w:rsidRDefault="00F5245B" w:rsidP="00F70260">
            <w:pPr>
              <w:numPr>
                <w:ilvl w:val="0"/>
                <w:numId w:val="1"/>
              </w:numPr>
              <w:spacing w:before="120" w:after="120" w:line="240" w:lineRule="auto"/>
              <w:jc w:val="both"/>
              <w:rPr>
                <w:rFonts w:ascii="Times New Roman" w:hAnsi="Times New Roman"/>
                <w:b/>
                <w:spacing w:val="-2"/>
              </w:rPr>
            </w:pPr>
            <w:r w:rsidRPr="00B302CE">
              <w:rPr>
                <w:rFonts w:ascii="Times New Roman" w:hAnsi="Times New Roman"/>
                <w:b/>
                <w:spacing w:val="-2"/>
              </w:rPr>
              <w:t xml:space="preserve">Załączniki (istotne dokumenty źródłowe, badania, analizy itp.) </w:t>
            </w:r>
          </w:p>
        </w:tc>
      </w:tr>
      <w:tr w:rsidR="00B302CE" w:rsidRPr="00B302CE" w14:paraId="7C92886D" w14:textId="77777777" w:rsidTr="00F70260">
        <w:trPr>
          <w:gridAfter w:val="1"/>
          <w:wAfter w:w="40" w:type="dxa"/>
          <w:trHeight w:val="142"/>
          <w:jc w:val="center"/>
        </w:trPr>
        <w:tc>
          <w:tcPr>
            <w:tcW w:w="10876" w:type="dxa"/>
            <w:gridSpan w:val="22"/>
            <w:shd w:val="clear" w:color="auto" w:fill="FFFFFF"/>
          </w:tcPr>
          <w:p w14:paraId="3500D906" w14:textId="77777777" w:rsidR="00F5245B" w:rsidRPr="00B302CE" w:rsidRDefault="00F5245B" w:rsidP="00F70260">
            <w:pPr>
              <w:spacing w:before="120" w:after="120" w:line="240" w:lineRule="auto"/>
              <w:jc w:val="both"/>
              <w:rPr>
                <w:rFonts w:ascii="Times New Roman" w:hAnsi="Times New Roman"/>
                <w:spacing w:val="-2"/>
              </w:rPr>
            </w:pPr>
            <w:r w:rsidRPr="00B302CE">
              <w:rPr>
                <w:rFonts w:ascii="Times New Roman" w:hAnsi="Times New Roman"/>
                <w:spacing w:val="-2"/>
              </w:rPr>
              <w:t xml:space="preserve">Brak. </w:t>
            </w:r>
          </w:p>
        </w:tc>
      </w:tr>
    </w:tbl>
    <w:p w14:paraId="1C88C838" w14:textId="77777777" w:rsidR="00F5245B" w:rsidRPr="00B302CE" w:rsidRDefault="00F5245B" w:rsidP="00EB6C7B">
      <w:pPr>
        <w:pStyle w:val="Nagwek1"/>
        <w:keepNext w:val="0"/>
        <w:spacing w:before="120" w:after="120"/>
        <w:rPr>
          <w:rFonts w:ascii="Times New Roman" w:hAnsi="Times New Roman" w:cs="Times New Roman"/>
          <w:sz w:val="22"/>
          <w:szCs w:val="22"/>
        </w:rPr>
      </w:pPr>
    </w:p>
    <w:sectPr w:rsidR="00F5245B" w:rsidRPr="00B302CE" w:rsidSect="005D4AEA">
      <w:headerReference w:type="default" r:id="rId8"/>
      <w:footerReference w:type="default" r:id="rId9"/>
      <w:pgSz w:w="11906" w:h="16838"/>
      <w:pgMar w:top="568" w:right="707" w:bottom="1985"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29FB0" w14:textId="77777777" w:rsidR="002006F3" w:rsidRDefault="002006F3">
      <w:pPr>
        <w:spacing w:line="240" w:lineRule="auto"/>
      </w:pPr>
      <w:r>
        <w:separator/>
      </w:r>
    </w:p>
  </w:endnote>
  <w:endnote w:type="continuationSeparator" w:id="0">
    <w:p w14:paraId="42E425CF" w14:textId="77777777" w:rsidR="002006F3" w:rsidRDefault="002006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7891" w14:textId="77777777" w:rsidR="00314A01"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16AD3" w14:textId="77777777" w:rsidR="002006F3" w:rsidRDefault="002006F3">
      <w:pPr>
        <w:spacing w:line="240" w:lineRule="auto"/>
      </w:pPr>
      <w:r>
        <w:separator/>
      </w:r>
    </w:p>
  </w:footnote>
  <w:footnote w:type="continuationSeparator" w:id="0">
    <w:p w14:paraId="4ADC7A02" w14:textId="77777777" w:rsidR="002006F3" w:rsidRDefault="002006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5C151" w14:textId="77777777" w:rsidR="00314A01"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A41E7"/>
    <w:multiLevelType w:val="hybridMultilevel"/>
    <w:tmpl w:val="AB14A218"/>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341E02"/>
    <w:multiLevelType w:val="hybridMultilevel"/>
    <w:tmpl w:val="CDF6E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0880757">
    <w:abstractNumId w:val="0"/>
  </w:num>
  <w:num w:numId="2" w16cid:durableId="1457872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45B"/>
    <w:rsid w:val="00053C82"/>
    <w:rsid w:val="0006437C"/>
    <w:rsid w:val="000B75F9"/>
    <w:rsid w:val="000C6242"/>
    <w:rsid w:val="000D3C06"/>
    <w:rsid w:val="000D71B6"/>
    <w:rsid w:val="000F76FE"/>
    <w:rsid w:val="0011661D"/>
    <w:rsid w:val="001262D4"/>
    <w:rsid w:val="001346D1"/>
    <w:rsid w:val="00134C72"/>
    <w:rsid w:val="00146C65"/>
    <w:rsid w:val="00146CDE"/>
    <w:rsid w:val="001751E9"/>
    <w:rsid w:val="0019307C"/>
    <w:rsid w:val="00193EC4"/>
    <w:rsid w:val="001C3B7F"/>
    <w:rsid w:val="001E7796"/>
    <w:rsid w:val="001F31F8"/>
    <w:rsid w:val="002006F3"/>
    <w:rsid w:val="00207FBF"/>
    <w:rsid w:val="00212299"/>
    <w:rsid w:val="00213D8A"/>
    <w:rsid w:val="002263B2"/>
    <w:rsid w:val="00227F52"/>
    <w:rsid w:val="0024138F"/>
    <w:rsid w:val="0026098B"/>
    <w:rsid w:val="00294B4F"/>
    <w:rsid w:val="002A0720"/>
    <w:rsid w:val="002B184D"/>
    <w:rsid w:val="002D2078"/>
    <w:rsid w:val="002F07F5"/>
    <w:rsid w:val="002F38C8"/>
    <w:rsid w:val="002F6194"/>
    <w:rsid w:val="00345E52"/>
    <w:rsid w:val="00373D50"/>
    <w:rsid w:val="00394FE6"/>
    <w:rsid w:val="00397C01"/>
    <w:rsid w:val="003A4DDD"/>
    <w:rsid w:val="003C487A"/>
    <w:rsid w:val="003C7CF4"/>
    <w:rsid w:val="003D2DF8"/>
    <w:rsid w:val="003D7CCA"/>
    <w:rsid w:val="003E316D"/>
    <w:rsid w:val="00412C2C"/>
    <w:rsid w:val="0043591D"/>
    <w:rsid w:val="00457A96"/>
    <w:rsid w:val="004666A9"/>
    <w:rsid w:val="00472908"/>
    <w:rsid w:val="0049260A"/>
    <w:rsid w:val="004B0462"/>
    <w:rsid w:val="004B3127"/>
    <w:rsid w:val="004E2BD2"/>
    <w:rsid w:val="00536F1B"/>
    <w:rsid w:val="00554B94"/>
    <w:rsid w:val="00597A98"/>
    <w:rsid w:val="005A6029"/>
    <w:rsid w:val="005B414F"/>
    <w:rsid w:val="005D0A1E"/>
    <w:rsid w:val="005E0E9E"/>
    <w:rsid w:val="005F3C0E"/>
    <w:rsid w:val="005F404D"/>
    <w:rsid w:val="006316C9"/>
    <w:rsid w:val="006572BD"/>
    <w:rsid w:val="006A0505"/>
    <w:rsid w:val="006C30C2"/>
    <w:rsid w:val="006D33B8"/>
    <w:rsid w:val="006D44E8"/>
    <w:rsid w:val="006E6CAA"/>
    <w:rsid w:val="00740137"/>
    <w:rsid w:val="00760D1A"/>
    <w:rsid w:val="007A12AE"/>
    <w:rsid w:val="007A6106"/>
    <w:rsid w:val="007B46B7"/>
    <w:rsid w:val="007D5422"/>
    <w:rsid w:val="00835272"/>
    <w:rsid w:val="008428C6"/>
    <w:rsid w:val="00857C89"/>
    <w:rsid w:val="00882FCA"/>
    <w:rsid w:val="00893956"/>
    <w:rsid w:val="008C00DB"/>
    <w:rsid w:val="008C0133"/>
    <w:rsid w:val="008D3A4A"/>
    <w:rsid w:val="009202F3"/>
    <w:rsid w:val="00941C7C"/>
    <w:rsid w:val="00942386"/>
    <w:rsid w:val="009A56B9"/>
    <w:rsid w:val="009A740A"/>
    <w:rsid w:val="009B793E"/>
    <w:rsid w:val="009C1092"/>
    <w:rsid w:val="009F4050"/>
    <w:rsid w:val="00A23258"/>
    <w:rsid w:val="00A52EEE"/>
    <w:rsid w:val="00A5510C"/>
    <w:rsid w:val="00A631ED"/>
    <w:rsid w:val="00A8481D"/>
    <w:rsid w:val="00A862AD"/>
    <w:rsid w:val="00A94A59"/>
    <w:rsid w:val="00A9591B"/>
    <w:rsid w:val="00AA542C"/>
    <w:rsid w:val="00AC5567"/>
    <w:rsid w:val="00AE5DE4"/>
    <w:rsid w:val="00B039D7"/>
    <w:rsid w:val="00B14AB4"/>
    <w:rsid w:val="00B302CE"/>
    <w:rsid w:val="00B32108"/>
    <w:rsid w:val="00B73E49"/>
    <w:rsid w:val="00BB4670"/>
    <w:rsid w:val="00BB4FC5"/>
    <w:rsid w:val="00BB7F32"/>
    <w:rsid w:val="00BC6108"/>
    <w:rsid w:val="00BD48B0"/>
    <w:rsid w:val="00C167A9"/>
    <w:rsid w:val="00C3669B"/>
    <w:rsid w:val="00C401E0"/>
    <w:rsid w:val="00C40388"/>
    <w:rsid w:val="00C4705B"/>
    <w:rsid w:val="00C7356B"/>
    <w:rsid w:val="00CB12FD"/>
    <w:rsid w:val="00CD5BCA"/>
    <w:rsid w:val="00CE55F0"/>
    <w:rsid w:val="00CF51A4"/>
    <w:rsid w:val="00D25B27"/>
    <w:rsid w:val="00D5261C"/>
    <w:rsid w:val="00D96739"/>
    <w:rsid w:val="00DA44AC"/>
    <w:rsid w:val="00DA4DBC"/>
    <w:rsid w:val="00DA60FF"/>
    <w:rsid w:val="00E210F1"/>
    <w:rsid w:val="00E21209"/>
    <w:rsid w:val="00E256D9"/>
    <w:rsid w:val="00E45772"/>
    <w:rsid w:val="00E5162B"/>
    <w:rsid w:val="00E61A91"/>
    <w:rsid w:val="00E67B33"/>
    <w:rsid w:val="00E70E75"/>
    <w:rsid w:val="00E74ED5"/>
    <w:rsid w:val="00E8798D"/>
    <w:rsid w:val="00EA1EAD"/>
    <w:rsid w:val="00EB15B9"/>
    <w:rsid w:val="00EB5A41"/>
    <w:rsid w:val="00EB6C7B"/>
    <w:rsid w:val="00ED05A8"/>
    <w:rsid w:val="00ED255B"/>
    <w:rsid w:val="00F07AB8"/>
    <w:rsid w:val="00F11DAA"/>
    <w:rsid w:val="00F27D2C"/>
    <w:rsid w:val="00F3576D"/>
    <w:rsid w:val="00F40FDF"/>
    <w:rsid w:val="00F5245B"/>
    <w:rsid w:val="00F70D38"/>
    <w:rsid w:val="00F71662"/>
    <w:rsid w:val="00F74683"/>
    <w:rsid w:val="00F76773"/>
    <w:rsid w:val="00F80B1B"/>
    <w:rsid w:val="00F97502"/>
    <w:rsid w:val="00FA36F6"/>
    <w:rsid w:val="00FB3950"/>
    <w:rsid w:val="00FB6E7D"/>
    <w:rsid w:val="00FC1267"/>
    <w:rsid w:val="00FE2532"/>
    <w:rsid w:val="00FE2E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31E6"/>
  <w15:chartTrackingRefBased/>
  <w15:docId w15:val="{443EFB8C-0EAF-40F3-8C82-A825792F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245B"/>
    <w:pPr>
      <w:spacing w:after="0"/>
    </w:pPr>
    <w:rPr>
      <w:rFonts w:ascii="Calibri" w:eastAsia="Calibri" w:hAnsi="Calibri" w:cs="Times New Roman"/>
    </w:rPr>
  </w:style>
  <w:style w:type="paragraph" w:styleId="Nagwek1">
    <w:name w:val="heading 1"/>
    <w:basedOn w:val="Normalny"/>
    <w:next w:val="Normalny"/>
    <w:link w:val="Nagwek1Znak"/>
    <w:qFormat/>
    <w:rsid w:val="00F5245B"/>
    <w:pPr>
      <w:keepNext/>
      <w:spacing w:before="240" w:after="60" w:line="240" w:lineRule="auto"/>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5245B"/>
    <w:rPr>
      <w:rFonts w:ascii="Arial" w:eastAsia="Times New Roman" w:hAnsi="Arial" w:cs="Arial"/>
      <w:b/>
      <w:bCs/>
      <w:kern w:val="32"/>
      <w:sz w:val="32"/>
      <w:szCs w:val="32"/>
      <w:lang w:eastAsia="pl-PL"/>
    </w:rPr>
  </w:style>
  <w:style w:type="paragraph" w:styleId="Nagwek">
    <w:name w:val="header"/>
    <w:basedOn w:val="Normalny"/>
    <w:link w:val="NagwekZnak"/>
    <w:uiPriority w:val="99"/>
    <w:unhideWhenUsed/>
    <w:rsid w:val="00F5245B"/>
    <w:pPr>
      <w:tabs>
        <w:tab w:val="center" w:pos="4536"/>
        <w:tab w:val="right" w:pos="9072"/>
      </w:tabs>
      <w:spacing w:line="240" w:lineRule="auto"/>
    </w:pPr>
  </w:style>
  <w:style w:type="character" w:customStyle="1" w:styleId="NagwekZnak">
    <w:name w:val="Nagłówek Znak"/>
    <w:basedOn w:val="Domylnaczcionkaakapitu"/>
    <w:link w:val="Nagwek"/>
    <w:uiPriority w:val="99"/>
    <w:rsid w:val="00F5245B"/>
    <w:rPr>
      <w:rFonts w:ascii="Calibri" w:eastAsia="Calibri" w:hAnsi="Calibri" w:cs="Times New Roman"/>
    </w:rPr>
  </w:style>
  <w:style w:type="paragraph" w:styleId="Stopka">
    <w:name w:val="footer"/>
    <w:basedOn w:val="Normalny"/>
    <w:link w:val="StopkaZnak"/>
    <w:uiPriority w:val="99"/>
    <w:unhideWhenUsed/>
    <w:rsid w:val="00F5245B"/>
    <w:pPr>
      <w:tabs>
        <w:tab w:val="center" w:pos="4536"/>
        <w:tab w:val="right" w:pos="9072"/>
      </w:tabs>
      <w:spacing w:line="240" w:lineRule="auto"/>
    </w:pPr>
  </w:style>
  <w:style w:type="character" w:customStyle="1" w:styleId="StopkaZnak">
    <w:name w:val="Stopka Znak"/>
    <w:basedOn w:val="Domylnaczcionkaakapitu"/>
    <w:link w:val="Stopka"/>
    <w:uiPriority w:val="99"/>
    <w:rsid w:val="00F5245B"/>
    <w:rPr>
      <w:rFonts w:ascii="Calibri" w:eastAsia="Calibri" w:hAnsi="Calibri" w:cs="Times New Roman"/>
    </w:rPr>
  </w:style>
  <w:style w:type="paragraph" w:styleId="Akapitzlist">
    <w:name w:val="List Paragraph"/>
    <w:basedOn w:val="Normalny"/>
    <w:uiPriority w:val="34"/>
    <w:qFormat/>
    <w:rsid w:val="00F5245B"/>
    <w:pPr>
      <w:ind w:left="720"/>
      <w:contextualSpacing/>
    </w:pPr>
  </w:style>
  <w:style w:type="character" w:styleId="Hipercze">
    <w:name w:val="Hyperlink"/>
    <w:uiPriority w:val="99"/>
    <w:unhideWhenUsed/>
    <w:rsid w:val="00F5245B"/>
    <w:rPr>
      <w:color w:val="0000FF"/>
      <w:u w:val="single"/>
    </w:rPr>
  </w:style>
  <w:style w:type="paragraph" w:customStyle="1" w:styleId="Style6">
    <w:name w:val="Style6"/>
    <w:basedOn w:val="Normalny"/>
    <w:uiPriority w:val="99"/>
    <w:rsid w:val="00F5245B"/>
    <w:pPr>
      <w:widowControl w:val="0"/>
      <w:autoSpaceDE w:val="0"/>
      <w:autoSpaceDN w:val="0"/>
      <w:adjustRightInd w:val="0"/>
      <w:spacing w:line="451" w:lineRule="exact"/>
      <w:ind w:firstLine="701"/>
      <w:jc w:val="both"/>
    </w:pPr>
    <w:rPr>
      <w:rFonts w:ascii="Times New Roman" w:eastAsia="Times New Roman" w:hAnsi="Times New Roman"/>
      <w:sz w:val="24"/>
      <w:szCs w:val="24"/>
      <w:lang w:eastAsia="pl-PL"/>
    </w:rPr>
  </w:style>
  <w:style w:type="character" w:customStyle="1" w:styleId="FontStyle15">
    <w:name w:val="Font Style15"/>
    <w:uiPriority w:val="99"/>
    <w:rsid w:val="00F5245B"/>
    <w:rPr>
      <w:rFonts w:ascii="Times New Roman" w:hAnsi="Times New Roman" w:cs="Times New Roman" w:hint="default"/>
      <w:i/>
      <w:iCs/>
      <w:sz w:val="24"/>
      <w:szCs w:val="24"/>
    </w:rPr>
  </w:style>
  <w:style w:type="paragraph" w:customStyle="1" w:styleId="ARTartustawynprozporzdzenia">
    <w:name w:val="ART(§) – art. ustawy (§ np. rozporządzenia)"/>
    <w:uiPriority w:val="11"/>
    <w:qFormat/>
    <w:rsid w:val="00F5245B"/>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FontStyle13">
    <w:name w:val="Font Style13"/>
    <w:uiPriority w:val="99"/>
    <w:rsid w:val="00F5245B"/>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onorata.lopianowska@m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10179</Words>
  <Characters>61074</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Wierzbicka Magdalena  (DLUS)</dc:creator>
  <cp:keywords/>
  <dc:description/>
  <cp:lastModifiedBy>Łopianowska Honorata  (DLUS)</cp:lastModifiedBy>
  <cp:revision>8</cp:revision>
  <dcterms:created xsi:type="dcterms:W3CDTF">2023-02-10T14:18:00Z</dcterms:created>
  <dcterms:modified xsi:type="dcterms:W3CDTF">2023-02-13T11:04:00Z</dcterms:modified>
</cp:coreProperties>
</file>