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1201"/>
        <w:gridCol w:w="1468"/>
        <w:gridCol w:w="2682"/>
        <w:gridCol w:w="3139"/>
      </w:tblGrid>
      <w:tr w:rsidR="008A5DE1" w:rsidRPr="00EB32F2" w14:paraId="7427EB09" w14:textId="77777777" w:rsidTr="00107F2C">
        <w:tc>
          <w:tcPr>
            <w:tcW w:w="0" w:type="auto"/>
            <w:gridSpan w:val="5"/>
            <w:shd w:val="clear" w:color="auto" w:fill="auto"/>
            <w:vAlign w:val="center"/>
          </w:tcPr>
          <w:p w14:paraId="176BEF7A" w14:textId="77777777" w:rsidR="007B2C96" w:rsidRPr="00EB32F2" w:rsidRDefault="00FE2379" w:rsidP="00497BF3">
            <w:pPr>
              <w:spacing w:line="276" w:lineRule="auto"/>
              <w:jc w:val="both"/>
              <w:rPr>
                <w:rFonts w:eastAsia="Calibri"/>
                <w:b/>
                <w:bCs/>
                <w:i/>
                <w:iCs/>
                <w:lang w:eastAsia="en-US"/>
              </w:rPr>
            </w:pPr>
            <w:r w:rsidRPr="00EB32F2">
              <w:rPr>
                <w:rFonts w:eastAsia="Calibri"/>
                <w:b/>
                <w:i/>
                <w:lang w:eastAsia="en-US"/>
              </w:rPr>
              <w:t>Nazwa dokumentu:</w:t>
            </w:r>
            <w:r w:rsidRPr="00EB32F2">
              <w:rPr>
                <w:rFonts w:eastAsia="Calibri"/>
                <w:b/>
                <w:bCs/>
                <w:i/>
                <w:iCs/>
                <w:lang w:eastAsia="en-US"/>
              </w:rPr>
              <w:t xml:space="preserve"> </w:t>
            </w:r>
          </w:p>
          <w:p w14:paraId="22CED757" w14:textId="77777777" w:rsidR="00FE2379" w:rsidRPr="00EB32F2" w:rsidRDefault="007B2C96" w:rsidP="00497BF3">
            <w:pPr>
              <w:autoSpaceDE w:val="0"/>
              <w:autoSpaceDN w:val="0"/>
              <w:adjustRightInd w:val="0"/>
              <w:spacing w:line="276" w:lineRule="auto"/>
              <w:jc w:val="both"/>
              <w:rPr>
                <w:rFonts w:eastAsia="Calibri"/>
                <w:b/>
                <w:lang w:eastAsia="en-US"/>
              </w:rPr>
            </w:pPr>
            <w:r w:rsidRPr="00EB32F2">
              <w:rPr>
                <w:rFonts w:eastAsia="Calibri"/>
                <w:b/>
                <w:bCs/>
                <w:iCs/>
                <w:lang w:eastAsia="en-US"/>
              </w:rPr>
              <w:t>projekt rozporządzenia Ministr</w:t>
            </w:r>
            <w:r w:rsidR="00DF723D" w:rsidRPr="00EB32F2">
              <w:rPr>
                <w:rFonts w:eastAsia="Calibri"/>
                <w:b/>
                <w:bCs/>
                <w:iCs/>
                <w:lang w:eastAsia="en-US"/>
              </w:rPr>
              <w:t xml:space="preserve">a Sprawiedliwości </w:t>
            </w:r>
            <w:r w:rsidR="00560B83" w:rsidRPr="00EB32F2">
              <w:rPr>
                <w:rFonts w:eastAsia="Calibri"/>
                <w:b/>
                <w:bCs/>
                <w:iCs/>
                <w:lang w:eastAsia="en-US"/>
              </w:rPr>
              <w:t>w sprawie sposobu wnoszenia pism procesowych i</w:t>
            </w:r>
            <w:r w:rsidR="00E119AB" w:rsidRPr="00EB32F2">
              <w:rPr>
                <w:rFonts w:eastAsia="Calibri"/>
                <w:b/>
                <w:bCs/>
                <w:iCs/>
                <w:lang w:eastAsia="en-US"/>
              </w:rPr>
              <w:t> </w:t>
            </w:r>
            <w:r w:rsidR="00560B83" w:rsidRPr="00EB32F2">
              <w:rPr>
                <w:rFonts w:eastAsia="Calibri"/>
                <w:b/>
                <w:bCs/>
                <w:iCs/>
                <w:lang w:eastAsia="en-US"/>
              </w:rPr>
              <w:t>składania dokumentów w postępowaniu upadłościowym za pośrednictwem systemu teleinformatycznego obsługującego postępowanie sądowe oraz w biurze podawczym sądu rejonowego</w:t>
            </w:r>
          </w:p>
        </w:tc>
      </w:tr>
      <w:tr w:rsidR="008A5DE1" w:rsidRPr="00EB32F2" w14:paraId="0C53F0BF" w14:textId="77777777" w:rsidTr="00107F2C">
        <w:tc>
          <w:tcPr>
            <w:tcW w:w="0" w:type="auto"/>
            <w:shd w:val="clear" w:color="auto" w:fill="auto"/>
            <w:vAlign w:val="center"/>
          </w:tcPr>
          <w:p w14:paraId="3A70AE95"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t>Lp.</w:t>
            </w:r>
          </w:p>
        </w:tc>
        <w:tc>
          <w:tcPr>
            <w:tcW w:w="0" w:type="auto"/>
            <w:shd w:val="clear" w:color="auto" w:fill="auto"/>
            <w:vAlign w:val="center"/>
          </w:tcPr>
          <w:p w14:paraId="0FE65CC7"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t>Organ wnoszący uwagi</w:t>
            </w:r>
          </w:p>
        </w:tc>
        <w:tc>
          <w:tcPr>
            <w:tcW w:w="0" w:type="auto"/>
            <w:shd w:val="clear" w:color="auto" w:fill="auto"/>
            <w:vAlign w:val="center"/>
          </w:tcPr>
          <w:p w14:paraId="1381FF2F"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t>Jednostka redakcyjna, do której wnoszone są uwagi</w:t>
            </w:r>
          </w:p>
        </w:tc>
        <w:tc>
          <w:tcPr>
            <w:tcW w:w="0" w:type="auto"/>
            <w:shd w:val="clear" w:color="auto" w:fill="auto"/>
            <w:vAlign w:val="center"/>
          </w:tcPr>
          <w:p w14:paraId="7D276D16"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t>Treść uwagi</w:t>
            </w:r>
          </w:p>
        </w:tc>
        <w:tc>
          <w:tcPr>
            <w:tcW w:w="3139" w:type="dxa"/>
            <w:shd w:val="clear" w:color="auto" w:fill="auto"/>
            <w:vAlign w:val="center"/>
          </w:tcPr>
          <w:p w14:paraId="6C90DBFA"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t>Propozycja zmian zapisu</w:t>
            </w:r>
          </w:p>
        </w:tc>
      </w:tr>
      <w:tr w:rsidR="008A5DE1" w:rsidRPr="00EB32F2" w14:paraId="02CA970F" w14:textId="77777777" w:rsidTr="00107F2C">
        <w:tc>
          <w:tcPr>
            <w:tcW w:w="0" w:type="auto"/>
            <w:shd w:val="clear" w:color="auto" w:fill="auto"/>
          </w:tcPr>
          <w:p w14:paraId="0B478AA9"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t>1</w:t>
            </w:r>
            <w:r w:rsidR="00DB333D" w:rsidRPr="00EB32F2">
              <w:rPr>
                <w:rFonts w:eastAsia="Calibri"/>
                <w:b/>
                <w:lang w:eastAsia="en-US"/>
              </w:rPr>
              <w:t>.</w:t>
            </w:r>
          </w:p>
        </w:tc>
        <w:tc>
          <w:tcPr>
            <w:tcW w:w="0" w:type="auto"/>
            <w:shd w:val="clear" w:color="auto" w:fill="auto"/>
          </w:tcPr>
          <w:p w14:paraId="529F1C82"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t>MC</w:t>
            </w:r>
          </w:p>
        </w:tc>
        <w:tc>
          <w:tcPr>
            <w:tcW w:w="0" w:type="auto"/>
            <w:shd w:val="clear" w:color="auto" w:fill="auto"/>
          </w:tcPr>
          <w:p w14:paraId="3D157A06" w14:textId="77777777" w:rsidR="00107F2C" w:rsidRPr="00EB32F2" w:rsidRDefault="000F152A" w:rsidP="00497BF3">
            <w:pPr>
              <w:spacing w:line="276" w:lineRule="auto"/>
              <w:jc w:val="both"/>
              <w:rPr>
                <w:rFonts w:eastAsia="Calibri"/>
                <w:b/>
                <w:lang w:eastAsia="en-US"/>
              </w:rPr>
            </w:pPr>
            <w:r w:rsidRPr="00EB32F2">
              <w:rPr>
                <w:rFonts w:eastAsia="Calibri"/>
                <w:b/>
                <w:lang w:eastAsia="en-US"/>
              </w:rPr>
              <w:t>§ 1</w:t>
            </w:r>
            <w:r w:rsidR="00E119AB" w:rsidRPr="00EB32F2">
              <w:rPr>
                <w:rFonts w:eastAsia="Calibri"/>
                <w:b/>
                <w:lang w:eastAsia="en-US"/>
              </w:rPr>
              <w:t xml:space="preserve"> </w:t>
            </w:r>
          </w:p>
        </w:tc>
        <w:tc>
          <w:tcPr>
            <w:tcW w:w="0" w:type="auto"/>
            <w:shd w:val="clear" w:color="auto" w:fill="auto"/>
          </w:tcPr>
          <w:p w14:paraId="7BF70700" w14:textId="77777777" w:rsidR="000F152A" w:rsidRPr="00EB32F2" w:rsidRDefault="00E119AB" w:rsidP="00497BF3">
            <w:pPr>
              <w:autoSpaceDE w:val="0"/>
              <w:autoSpaceDN w:val="0"/>
              <w:adjustRightInd w:val="0"/>
              <w:spacing w:line="276" w:lineRule="auto"/>
              <w:jc w:val="both"/>
            </w:pPr>
            <w:r w:rsidRPr="00EB32F2">
              <w:t xml:space="preserve">1. </w:t>
            </w:r>
            <w:r w:rsidR="000F152A" w:rsidRPr="00EB32F2">
              <w:t>W § 1 w pkt 1 projektu rozporządzenia:</w:t>
            </w:r>
          </w:p>
          <w:p w14:paraId="4ED48E80" w14:textId="77777777" w:rsidR="000F152A" w:rsidRPr="00EB32F2" w:rsidRDefault="000F152A" w:rsidP="00497BF3">
            <w:pPr>
              <w:autoSpaceDE w:val="0"/>
              <w:autoSpaceDN w:val="0"/>
              <w:adjustRightInd w:val="0"/>
              <w:spacing w:line="276" w:lineRule="auto"/>
              <w:jc w:val="both"/>
            </w:pPr>
            <w:r w:rsidRPr="00EB32F2">
              <w:t>1) w objaśnieniu terminu „konto” stosuje się określenie „tożsamość właściciela konta” po czym w pkt 2 wskazuje się, że "konto" jest zakładane dla podmiotu; w projekcie należy ujednolicić stosowane określenia;</w:t>
            </w:r>
          </w:p>
          <w:p w14:paraId="4B6B95F2" w14:textId="77777777" w:rsidR="000F152A" w:rsidRPr="00EB32F2" w:rsidRDefault="000F152A" w:rsidP="00497BF3">
            <w:pPr>
              <w:autoSpaceDE w:val="0"/>
              <w:autoSpaceDN w:val="0"/>
              <w:adjustRightInd w:val="0"/>
              <w:spacing w:line="276" w:lineRule="auto"/>
              <w:jc w:val="both"/>
            </w:pPr>
            <w:r w:rsidRPr="00EB32F2">
              <w:t>2) wyrazy „zwanego dalej system teleinformatyczny” zastąpić wyrazami „zwanego dalej „systemem teleinformatycznym””;</w:t>
            </w:r>
          </w:p>
          <w:p w14:paraId="79644FC2" w14:textId="77777777" w:rsidR="000F152A" w:rsidRPr="00EB32F2" w:rsidRDefault="000F152A" w:rsidP="00497BF3">
            <w:pPr>
              <w:autoSpaceDE w:val="0"/>
              <w:autoSpaceDN w:val="0"/>
              <w:adjustRightInd w:val="0"/>
              <w:spacing w:line="276" w:lineRule="auto"/>
              <w:jc w:val="both"/>
            </w:pPr>
            <w:r w:rsidRPr="00EB32F2">
              <w:t>3) po wyrazie „podporządkowanymi” proponuję dodać wyrazy „temu właścicielowi konta".</w:t>
            </w:r>
          </w:p>
          <w:p w14:paraId="1854C66E" w14:textId="77777777" w:rsidR="000F152A" w:rsidRPr="00EB32F2" w:rsidRDefault="000F152A" w:rsidP="00497BF3">
            <w:pPr>
              <w:autoSpaceDE w:val="0"/>
              <w:autoSpaceDN w:val="0"/>
              <w:adjustRightInd w:val="0"/>
              <w:spacing w:line="276" w:lineRule="auto"/>
              <w:jc w:val="both"/>
            </w:pPr>
          </w:p>
          <w:p w14:paraId="5B552265" w14:textId="77777777" w:rsidR="00BB0A0F" w:rsidRPr="00EB32F2" w:rsidRDefault="00BB0A0F" w:rsidP="00497BF3">
            <w:pPr>
              <w:autoSpaceDE w:val="0"/>
              <w:autoSpaceDN w:val="0"/>
              <w:adjustRightInd w:val="0"/>
              <w:spacing w:line="276" w:lineRule="auto"/>
              <w:jc w:val="both"/>
            </w:pPr>
          </w:p>
          <w:p w14:paraId="097D32E4" w14:textId="77777777" w:rsidR="00BB0A0F" w:rsidRPr="00EB32F2" w:rsidRDefault="00BB0A0F" w:rsidP="00497BF3">
            <w:pPr>
              <w:autoSpaceDE w:val="0"/>
              <w:autoSpaceDN w:val="0"/>
              <w:adjustRightInd w:val="0"/>
              <w:spacing w:line="276" w:lineRule="auto"/>
              <w:jc w:val="both"/>
            </w:pPr>
          </w:p>
          <w:p w14:paraId="221DC96B" w14:textId="77777777" w:rsidR="00BB0A0F" w:rsidRPr="00EB32F2" w:rsidRDefault="00BB0A0F" w:rsidP="00497BF3">
            <w:pPr>
              <w:autoSpaceDE w:val="0"/>
              <w:autoSpaceDN w:val="0"/>
              <w:adjustRightInd w:val="0"/>
              <w:spacing w:line="276" w:lineRule="auto"/>
              <w:jc w:val="both"/>
            </w:pPr>
          </w:p>
          <w:p w14:paraId="7B814838" w14:textId="77777777" w:rsidR="00BB0A0F" w:rsidRPr="00EB32F2" w:rsidRDefault="00BB0A0F" w:rsidP="00497BF3">
            <w:pPr>
              <w:autoSpaceDE w:val="0"/>
              <w:autoSpaceDN w:val="0"/>
              <w:adjustRightInd w:val="0"/>
              <w:spacing w:line="276" w:lineRule="auto"/>
              <w:jc w:val="both"/>
            </w:pPr>
          </w:p>
          <w:p w14:paraId="3E88C9B7" w14:textId="77777777" w:rsidR="00BB0A0F" w:rsidRPr="00EB32F2" w:rsidRDefault="00BB0A0F" w:rsidP="00497BF3">
            <w:pPr>
              <w:autoSpaceDE w:val="0"/>
              <w:autoSpaceDN w:val="0"/>
              <w:adjustRightInd w:val="0"/>
              <w:spacing w:line="276" w:lineRule="auto"/>
              <w:jc w:val="both"/>
            </w:pPr>
          </w:p>
          <w:p w14:paraId="7E039050" w14:textId="77777777" w:rsidR="00BB0A0F" w:rsidRPr="00EB32F2" w:rsidRDefault="00BB0A0F" w:rsidP="00497BF3">
            <w:pPr>
              <w:autoSpaceDE w:val="0"/>
              <w:autoSpaceDN w:val="0"/>
              <w:adjustRightInd w:val="0"/>
              <w:spacing w:line="276" w:lineRule="auto"/>
              <w:jc w:val="both"/>
            </w:pPr>
          </w:p>
          <w:p w14:paraId="2BA6D1F0" w14:textId="77777777" w:rsidR="00BB0A0F" w:rsidRPr="00EB32F2" w:rsidRDefault="00BB0A0F" w:rsidP="00497BF3">
            <w:pPr>
              <w:autoSpaceDE w:val="0"/>
              <w:autoSpaceDN w:val="0"/>
              <w:adjustRightInd w:val="0"/>
              <w:spacing w:line="276" w:lineRule="auto"/>
              <w:jc w:val="both"/>
            </w:pPr>
          </w:p>
          <w:p w14:paraId="132EBCBC" w14:textId="77777777" w:rsidR="00BB0A0F" w:rsidRPr="00EB32F2" w:rsidRDefault="00BB0A0F" w:rsidP="00497BF3">
            <w:pPr>
              <w:autoSpaceDE w:val="0"/>
              <w:autoSpaceDN w:val="0"/>
              <w:adjustRightInd w:val="0"/>
              <w:spacing w:line="276" w:lineRule="auto"/>
              <w:jc w:val="both"/>
            </w:pPr>
          </w:p>
          <w:p w14:paraId="5E368120" w14:textId="77777777" w:rsidR="00BB0A0F" w:rsidRPr="00EB32F2" w:rsidRDefault="00BB0A0F" w:rsidP="00497BF3">
            <w:pPr>
              <w:autoSpaceDE w:val="0"/>
              <w:autoSpaceDN w:val="0"/>
              <w:adjustRightInd w:val="0"/>
              <w:spacing w:line="276" w:lineRule="auto"/>
              <w:jc w:val="both"/>
            </w:pPr>
          </w:p>
          <w:p w14:paraId="085AE661" w14:textId="77777777" w:rsidR="00BB0A0F" w:rsidRPr="00EB32F2" w:rsidRDefault="00BB0A0F" w:rsidP="00497BF3">
            <w:pPr>
              <w:autoSpaceDE w:val="0"/>
              <w:autoSpaceDN w:val="0"/>
              <w:adjustRightInd w:val="0"/>
              <w:spacing w:line="276" w:lineRule="auto"/>
              <w:jc w:val="both"/>
            </w:pPr>
          </w:p>
          <w:p w14:paraId="41E2BA05" w14:textId="77777777" w:rsidR="00BB0A0F" w:rsidRPr="00EB32F2" w:rsidRDefault="00BB0A0F" w:rsidP="00497BF3">
            <w:pPr>
              <w:autoSpaceDE w:val="0"/>
              <w:autoSpaceDN w:val="0"/>
              <w:adjustRightInd w:val="0"/>
              <w:spacing w:line="276" w:lineRule="auto"/>
              <w:jc w:val="both"/>
            </w:pPr>
          </w:p>
          <w:p w14:paraId="0D52E05D" w14:textId="77777777" w:rsidR="0025615F" w:rsidRPr="00EB32F2" w:rsidRDefault="0025615F" w:rsidP="00497BF3">
            <w:pPr>
              <w:autoSpaceDE w:val="0"/>
              <w:autoSpaceDN w:val="0"/>
              <w:adjustRightInd w:val="0"/>
              <w:spacing w:line="276" w:lineRule="auto"/>
              <w:jc w:val="both"/>
            </w:pPr>
          </w:p>
          <w:p w14:paraId="2D0077AB" w14:textId="77777777" w:rsidR="0025615F" w:rsidRPr="00EB32F2" w:rsidRDefault="0025615F" w:rsidP="00497BF3">
            <w:pPr>
              <w:autoSpaceDE w:val="0"/>
              <w:autoSpaceDN w:val="0"/>
              <w:adjustRightInd w:val="0"/>
              <w:spacing w:line="276" w:lineRule="auto"/>
              <w:jc w:val="both"/>
            </w:pPr>
          </w:p>
          <w:p w14:paraId="23855C9C" w14:textId="77777777" w:rsidR="0025615F" w:rsidRPr="00EB32F2" w:rsidRDefault="0025615F" w:rsidP="00497BF3">
            <w:pPr>
              <w:autoSpaceDE w:val="0"/>
              <w:autoSpaceDN w:val="0"/>
              <w:adjustRightInd w:val="0"/>
              <w:spacing w:line="276" w:lineRule="auto"/>
              <w:jc w:val="both"/>
            </w:pPr>
          </w:p>
          <w:p w14:paraId="542AC566" w14:textId="77777777" w:rsidR="0025615F" w:rsidRPr="00EB32F2" w:rsidRDefault="0025615F" w:rsidP="00497BF3">
            <w:pPr>
              <w:autoSpaceDE w:val="0"/>
              <w:autoSpaceDN w:val="0"/>
              <w:adjustRightInd w:val="0"/>
              <w:spacing w:line="276" w:lineRule="auto"/>
              <w:jc w:val="both"/>
            </w:pPr>
          </w:p>
          <w:p w14:paraId="47EBCDAC" w14:textId="77777777" w:rsidR="0025615F" w:rsidRPr="00EB32F2" w:rsidRDefault="0025615F" w:rsidP="00497BF3">
            <w:pPr>
              <w:autoSpaceDE w:val="0"/>
              <w:autoSpaceDN w:val="0"/>
              <w:adjustRightInd w:val="0"/>
              <w:spacing w:line="276" w:lineRule="auto"/>
              <w:jc w:val="both"/>
            </w:pPr>
          </w:p>
          <w:p w14:paraId="4E73F122" w14:textId="77777777" w:rsidR="0025615F" w:rsidRPr="00EB32F2" w:rsidRDefault="0025615F" w:rsidP="00497BF3">
            <w:pPr>
              <w:autoSpaceDE w:val="0"/>
              <w:autoSpaceDN w:val="0"/>
              <w:adjustRightInd w:val="0"/>
              <w:spacing w:line="276" w:lineRule="auto"/>
              <w:jc w:val="both"/>
            </w:pPr>
          </w:p>
          <w:p w14:paraId="6616CAF7" w14:textId="77777777" w:rsidR="0025615F" w:rsidRPr="00EB32F2" w:rsidRDefault="0025615F" w:rsidP="00497BF3">
            <w:pPr>
              <w:autoSpaceDE w:val="0"/>
              <w:autoSpaceDN w:val="0"/>
              <w:adjustRightInd w:val="0"/>
              <w:spacing w:line="276" w:lineRule="auto"/>
              <w:jc w:val="both"/>
            </w:pPr>
          </w:p>
          <w:p w14:paraId="074D34AB" w14:textId="746BC94F" w:rsidR="000F152A" w:rsidRPr="00EB32F2" w:rsidRDefault="000F152A" w:rsidP="00497BF3">
            <w:pPr>
              <w:autoSpaceDE w:val="0"/>
              <w:autoSpaceDN w:val="0"/>
              <w:adjustRightInd w:val="0"/>
              <w:spacing w:line="276" w:lineRule="auto"/>
              <w:jc w:val="both"/>
            </w:pPr>
            <w:r w:rsidRPr="00EB32F2">
              <w:t xml:space="preserve">2. Odnośnie § 1 w pkt 3 projektu rozporządzenia wyjaśnienia wymaga, o jakim koncie własnym osoby fizycznej jest mowa? W pkt 2 wskazano, że "konto" jest zakładane dla podmiotu, a nie dla osoby fizycznej, więc w tym zakresie przepis wymaga doprecyzowania. Także określenie „zarządzanie kontem na koncie własnym" należy przeredagować, gdyż zawiera niepotrzebne powtórzenie. Ponadto należy wskazać, jakie "czynności inne niż zarządzenie kontem" będzie dokonywała osoba uprawniona. </w:t>
            </w:r>
          </w:p>
          <w:p w14:paraId="37EA3B45" w14:textId="77777777" w:rsidR="000F152A" w:rsidRPr="00EB32F2" w:rsidRDefault="000F152A" w:rsidP="00497BF3">
            <w:pPr>
              <w:autoSpaceDE w:val="0"/>
              <w:autoSpaceDN w:val="0"/>
              <w:adjustRightInd w:val="0"/>
              <w:spacing w:line="276" w:lineRule="auto"/>
              <w:jc w:val="both"/>
            </w:pPr>
            <w:r w:rsidRPr="00EB32F2">
              <w:t xml:space="preserve">Projektowany zapis: „wykonywania czynności innych niż zarządzanie kontem na koncie (…) innego właściciela konta” wymaga precyzyjniejszej redakcji. Ten fragment wymaga wyjaśnienia, gdyż nie jest jasne czy kontem "podmiotu </w:t>
            </w:r>
            <w:r w:rsidRPr="00EB32F2">
              <w:lastRenderedPageBreak/>
              <w:t>A" będą mogły zarządzać osoby fizyczne, które nie są związane z "podmiotem A" ale są związane z "podmiotem B"?</w:t>
            </w:r>
          </w:p>
          <w:p w14:paraId="2FF093EB" w14:textId="77777777" w:rsidR="000F152A" w:rsidRPr="00EB32F2" w:rsidRDefault="000F152A" w:rsidP="00497BF3">
            <w:pPr>
              <w:autoSpaceDE w:val="0"/>
              <w:autoSpaceDN w:val="0"/>
              <w:adjustRightInd w:val="0"/>
              <w:spacing w:line="276" w:lineRule="auto"/>
              <w:jc w:val="both"/>
            </w:pPr>
          </w:p>
          <w:p w14:paraId="3B676DA5" w14:textId="29D1D1E1" w:rsidR="000F152A" w:rsidRPr="00EB32F2" w:rsidRDefault="000F152A" w:rsidP="00497BF3">
            <w:pPr>
              <w:autoSpaceDE w:val="0"/>
              <w:autoSpaceDN w:val="0"/>
              <w:adjustRightInd w:val="0"/>
              <w:spacing w:line="276" w:lineRule="auto"/>
              <w:jc w:val="both"/>
            </w:pPr>
            <w:r w:rsidRPr="00EB32F2">
              <w:t>3.</w:t>
            </w:r>
            <w:r w:rsidR="006E4421" w:rsidRPr="00EB32F2">
              <w:t xml:space="preserve"> Proponuję zmianę brzmienia pkt 5 § 1, gdyż p</w:t>
            </w:r>
            <w:r w:rsidRPr="00EB32F2">
              <w:t xml:space="preserve">ismo procesowe lub wniosek to również dokument, dlatego zasadne wydaje się dodanie, że chodzi o inny dokument. </w:t>
            </w:r>
          </w:p>
          <w:p w14:paraId="57AEA28B" w14:textId="77777777" w:rsidR="00442879" w:rsidRPr="00EB32F2" w:rsidRDefault="00442879" w:rsidP="00497BF3">
            <w:pPr>
              <w:autoSpaceDE w:val="0"/>
              <w:autoSpaceDN w:val="0"/>
              <w:adjustRightInd w:val="0"/>
              <w:spacing w:line="276" w:lineRule="auto"/>
              <w:jc w:val="both"/>
            </w:pPr>
            <w:r w:rsidRPr="00EB32F2">
              <w:t>3. Proponuję następującą zmianę brzmienia pkt 5 § 1:</w:t>
            </w:r>
          </w:p>
          <w:p w14:paraId="619E827D" w14:textId="77777777" w:rsidR="00442879" w:rsidRPr="00EB32F2" w:rsidRDefault="00442879" w:rsidP="00497BF3">
            <w:pPr>
              <w:spacing w:line="276" w:lineRule="auto"/>
              <w:jc w:val="both"/>
            </w:pPr>
            <w:r w:rsidRPr="00EB32F2">
              <w:t>„5) piśmie – rozumie się przez to pismo procesowe albo wniosek lub oświadczenie składane ustnie w biurze podawczym sądu rejonowego przez osobę</w:t>
            </w:r>
          </w:p>
          <w:p w14:paraId="1900E701" w14:textId="77777777" w:rsidR="00442879" w:rsidRPr="00EB32F2" w:rsidRDefault="00442879" w:rsidP="00497BF3">
            <w:pPr>
              <w:spacing w:line="276" w:lineRule="auto"/>
              <w:jc w:val="both"/>
            </w:pPr>
            <w:r w:rsidRPr="00EB32F2">
              <w:t>wskazaną w art. 216aa ust. 1 ustawy z dnia 28 lutego 2003 r. – Prawo upadłościowe (Dz.</w:t>
            </w:r>
          </w:p>
          <w:p w14:paraId="09E63387" w14:textId="52AAD2ED" w:rsidR="00107F2C" w:rsidRPr="00EB32F2" w:rsidRDefault="00442879" w:rsidP="00497BF3">
            <w:pPr>
              <w:spacing w:line="276" w:lineRule="auto"/>
              <w:jc w:val="both"/>
              <w:rPr>
                <w:rFonts w:eastAsia="Calibri"/>
                <w:lang w:eastAsia="en-US"/>
              </w:rPr>
            </w:pPr>
            <w:r w:rsidRPr="00EB32F2">
              <w:t>U. z 2020 r. poz. 1228), zwaną dalej „prawem upadłościowym, lub inny dokument.”</w:t>
            </w:r>
          </w:p>
        </w:tc>
        <w:tc>
          <w:tcPr>
            <w:tcW w:w="3139" w:type="dxa"/>
            <w:shd w:val="clear" w:color="auto" w:fill="auto"/>
          </w:tcPr>
          <w:p w14:paraId="5F537AB0" w14:textId="0422B636" w:rsidR="00107F2C" w:rsidRPr="00EB32F2" w:rsidRDefault="00126F27" w:rsidP="00497BF3">
            <w:pPr>
              <w:spacing w:line="276" w:lineRule="auto"/>
              <w:jc w:val="both"/>
              <w:rPr>
                <w:rFonts w:eastAsia="Calibri"/>
                <w:b/>
                <w:lang w:eastAsia="en-US"/>
              </w:rPr>
            </w:pPr>
            <w:r w:rsidRPr="00EB32F2">
              <w:rPr>
                <w:rFonts w:eastAsia="Calibri"/>
                <w:b/>
                <w:lang w:eastAsia="en-US"/>
              </w:rPr>
              <w:lastRenderedPageBreak/>
              <w:t>Uwag</w:t>
            </w:r>
            <w:r w:rsidR="00DD330C" w:rsidRPr="00EB32F2">
              <w:rPr>
                <w:rFonts w:eastAsia="Calibri"/>
                <w:b/>
                <w:lang w:eastAsia="en-US"/>
              </w:rPr>
              <w:t xml:space="preserve">a uwzględniona </w:t>
            </w:r>
          </w:p>
          <w:p w14:paraId="20969811" w14:textId="5AA0C632" w:rsidR="006E4421" w:rsidRPr="00EB32F2" w:rsidRDefault="00126F27" w:rsidP="00497BF3">
            <w:pPr>
              <w:autoSpaceDE w:val="0"/>
              <w:autoSpaceDN w:val="0"/>
              <w:adjustRightInd w:val="0"/>
              <w:spacing w:line="276" w:lineRule="auto"/>
              <w:jc w:val="both"/>
            </w:pPr>
            <w:r w:rsidRPr="00EB32F2">
              <w:t>W zakresie uwagi wyrażonej w pkt 1 projekt rozporządzeni</w:t>
            </w:r>
            <w:r w:rsidR="00AA7069" w:rsidRPr="00EB32F2">
              <w:t>a</w:t>
            </w:r>
            <w:r w:rsidRPr="00EB32F2">
              <w:t xml:space="preserve"> zostanie zmieniony</w:t>
            </w:r>
            <w:r w:rsidR="00BB0A0F" w:rsidRPr="00EB32F2">
              <w:t xml:space="preserve">. </w:t>
            </w:r>
            <w:r w:rsidRPr="00EB32F2">
              <w:t>Definicja właściciela konta zostanie przeniesiona do pkt 1 a definicja konta do pkt 2</w:t>
            </w:r>
            <w:r w:rsidR="00BB0A0F" w:rsidRPr="00EB32F2">
              <w:t xml:space="preserve"> w § 1. </w:t>
            </w:r>
            <w:r w:rsidRPr="00EB32F2">
              <w:t xml:space="preserve">W </w:t>
            </w:r>
            <w:r w:rsidR="00E8177B" w:rsidRPr="00EB32F2">
              <w:t>definicji</w:t>
            </w:r>
            <w:r w:rsidRPr="00EB32F2">
              <w:t xml:space="preserve"> właściciela konta </w:t>
            </w:r>
            <w:r w:rsidR="00832DBF" w:rsidRPr="00EB32F2">
              <w:t xml:space="preserve">konieczne jest użycie innego określenia dla </w:t>
            </w:r>
            <w:r w:rsidR="006A6812" w:rsidRPr="00EB32F2">
              <w:t>jednostki</w:t>
            </w:r>
            <w:r w:rsidR="00832DBF" w:rsidRPr="00EB32F2">
              <w:t xml:space="preserve"> posiadającej konto w systemie</w:t>
            </w:r>
            <w:r w:rsidR="009730D3">
              <w:t xml:space="preserve"> </w:t>
            </w:r>
            <w:r w:rsidR="00832DBF" w:rsidRPr="00EB32F2">
              <w:t xml:space="preserve">teleinformatycznym. Dlatego też posłużono się ogólnym określeniem </w:t>
            </w:r>
            <w:r w:rsidR="00832DBF" w:rsidRPr="009730D3">
              <w:rPr>
                <w:i/>
                <w:iCs/>
              </w:rPr>
              <w:t>podmiot</w:t>
            </w:r>
            <w:r w:rsidR="00832DBF" w:rsidRPr="00EB32F2">
              <w:t>, tak aby objąć nim osob</w:t>
            </w:r>
            <w:r w:rsidR="006A6812" w:rsidRPr="00EB32F2">
              <w:t xml:space="preserve">y </w:t>
            </w:r>
            <w:r w:rsidR="00832DBF" w:rsidRPr="00EB32F2">
              <w:t>fizyczn</w:t>
            </w:r>
            <w:r w:rsidR="006A6812" w:rsidRPr="00EB32F2">
              <w:t>e</w:t>
            </w:r>
            <w:r w:rsidR="00832DBF" w:rsidRPr="00EB32F2">
              <w:t>, jak i podmioty niebędąc</w:t>
            </w:r>
            <w:r w:rsidR="006A6812" w:rsidRPr="00EB32F2">
              <w:t xml:space="preserve">e </w:t>
            </w:r>
            <w:r w:rsidR="00832DBF" w:rsidRPr="00EB32F2">
              <w:t xml:space="preserve">osobami fizycznymi. </w:t>
            </w:r>
            <w:r w:rsidRPr="00EB32F2">
              <w:t xml:space="preserve"> </w:t>
            </w:r>
            <w:r w:rsidR="006A6812" w:rsidRPr="00EB32F2">
              <w:t>Zaproponowana zmian</w:t>
            </w:r>
            <w:r w:rsidR="009730D3">
              <w:t>a</w:t>
            </w:r>
            <w:r w:rsidR="006A6812" w:rsidRPr="00EB32F2">
              <w:t xml:space="preserve"> pozwala na</w:t>
            </w:r>
            <w:r w:rsidR="009730D3">
              <w:t xml:space="preserve"> lepsze</w:t>
            </w:r>
            <w:r w:rsidR="006A6812" w:rsidRPr="00EB32F2">
              <w:t xml:space="preserve"> zrozumienie tych relacji, gdyż wyjaśnienie pojęcia właściciel konta pojawia się na początku projektu i w dalszej jego </w:t>
            </w:r>
            <w:r w:rsidR="009730D3">
              <w:t>treści</w:t>
            </w:r>
            <w:r w:rsidR="006A6812" w:rsidRPr="00EB32F2">
              <w:t xml:space="preserve"> projekt konsekwentnie się tym pojęciem posługuje.</w:t>
            </w:r>
          </w:p>
          <w:p w14:paraId="14D88C4B" w14:textId="77777777" w:rsidR="00BB0A0F" w:rsidRPr="00EB32F2" w:rsidRDefault="00BB0A0F" w:rsidP="00497BF3">
            <w:pPr>
              <w:autoSpaceDE w:val="0"/>
              <w:autoSpaceDN w:val="0"/>
              <w:adjustRightInd w:val="0"/>
              <w:spacing w:line="276" w:lineRule="auto"/>
              <w:jc w:val="both"/>
            </w:pPr>
          </w:p>
          <w:p w14:paraId="3F4730D1" w14:textId="77777777" w:rsidR="00BB0A0F" w:rsidRPr="00EB32F2" w:rsidRDefault="00BB0A0F" w:rsidP="00497BF3">
            <w:pPr>
              <w:spacing w:line="276" w:lineRule="auto"/>
              <w:jc w:val="both"/>
              <w:rPr>
                <w:rFonts w:eastAsia="Calibri"/>
                <w:b/>
                <w:lang w:eastAsia="en-US"/>
              </w:rPr>
            </w:pPr>
            <w:r w:rsidRPr="00EB32F2">
              <w:rPr>
                <w:rFonts w:eastAsia="Calibri"/>
                <w:b/>
                <w:lang w:eastAsia="en-US"/>
              </w:rPr>
              <w:t xml:space="preserve">Uwaga uwzględniona </w:t>
            </w:r>
          </w:p>
          <w:p w14:paraId="4C548DC1" w14:textId="3AB2B619" w:rsidR="006E4421" w:rsidRPr="00EB32F2" w:rsidRDefault="00DD330C" w:rsidP="00497BF3">
            <w:pPr>
              <w:autoSpaceDE w:val="0"/>
              <w:autoSpaceDN w:val="0"/>
              <w:adjustRightInd w:val="0"/>
              <w:spacing w:line="276" w:lineRule="auto"/>
              <w:jc w:val="both"/>
            </w:pPr>
            <w:r w:rsidRPr="00EB32F2">
              <w:t>W zakresie uwag wyrażonych w pkt 2 zmian</w:t>
            </w:r>
            <w:r w:rsidR="00BB0A0F" w:rsidRPr="00EB32F2">
              <w:t>a</w:t>
            </w:r>
            <w:r w:rsidRPr="00EB32F2">
              <w:t xml:space="preserve"> został</w:t>
            </w:r>
            <w:r w:rsidR="00BB0A0F" w:rsidRPr="00EB32F2">
              <w:t>a</w:t>
            </w:r>
            <w:r w:rsidRPr="00EB32F2">
              <w:t xml:space="preserve"> dokonana zgodnie z sugestią. </w:t>
            </w:r>
          </w:p>
          <w:p w14:paraId="7500A59C" w14:textId="77777777" w:rsidR="0025615F" w:rsidRPr="00EB32F2" w:rsidRDefault="0025615F" w:rsidP="00497BF3">
            <w:pPr>
              <w:autoSpaceDE w:val="0"/>
              <w:autoSpaceDN w:val="0"/>
              <w:adjustRightInd w:val="0"/>
              <w:spacing w:line="276" w:lineRule="auto"/>
              <w:jc w:val="both"/>
            </w:pPr>
          </w:p>
          <w:p w14:paraId="528AD843" w14:textId="246ABA41" w:rsidR="00BB0A0F" w:rsidRPr="00EB32F2" w:rsidRDefault="00BB0A0F" w:rsidP="00497BF3">
            <w:pPr>
              <w:spacing w:line="276" w:lineRule="auto"/>
              <w:jc w:val="both"/>
              <w:rPr>
                <w:rFonts w:eastAsia="Calibri"/>
                <w:b/>
                <w:lang w:eastAsia="en-US"/>
              </w:rPr>
            </w:pPr>
            <w:r w:rsidRPr="00EB32F2">
              <w:rPr>
                <w:rFonts w:eastAsia="Calibri"/>
                <w:b/>
                <w:lang w:eastAsia="en-US"/>
              </w:rPr>
              <w:t xml:space="preserve">Uwaga </w:t>
            </w:r>
            <w:r w:rsidR="0025615F" w:rsidRPr="00EB32F2">
              <w:rPr>
                <w:rFonts w:eastAsia="Calibri"/>
                <w:b/>
                <w:lang w:eastAsia="en-US"/>
              </w:rPr>
              <w:t xml:space="preserve">nieuwzględniona </w:t>
            </w:r>
            <w:r w:rsidRPr="00EB32F2">
              <w:rPr>
                <w:rFonts w:eastAsia="Calibri"/>
                <w:b/>
                <w:lang w:eastAsia="en-US"/>
              </w:rPr>
              <w:t xml:space="preserve"> </w:t>
            </w:r>
          </w:p>
          <w:p w14:paraId="430FD95B" w14:textId="3082C5FF" w:rsidR="00BB0A0F" w:rsidRPr="00EB32F2" w:rsidRDefault="0025615F" w:rsidP="00497BF3">
            <w:pPr>
              <w:autoSpaceDE w:val="0"/>
              <w:autoSpaceDN w:val="0"/>
              <w:adjustRightInd w:val="0"/>
              <w:spacing w:line="276" w:lineRule="auto"/>
              <w:jc w:val="both"/>
            </w:pPr>
            <w:r w:rsidRPr="00EB32F2">
              <w:lastRenderedPageBreak/>
              <w:t xml:space="preserve">W zakresie uwag wyrażonych w pkt 2 zaproponowane doprecyzowanie nie jest konieczne, gdyż innego wniosku nie można wywieść z projektowanej definicji, a proponowane uzupełnienie </w:t>
            </w:r>
            <w:r w:rsidR="009730D3" w:rsidRPr="00EB32F2">
              <w:t>wpłyn</w:t>
            </w:r>
            <w:r w:rsidR="009730D3">
              <w:t>ę</w:t>
            </w:r>
            <w:r w:rsidR="009730D3" w:rsidRPr="00EB32F2">
              <w:t>łoby</w:t>
            </w:r>
            <w:r w:rsidRPr="00EB32F2">
              <w:t xml:space="preserve"> na czytelność definicji.  </w:t>
            </w:r>
          </w:p>
          <w:p w14:paraId="29CB694D" w14:textId="77777777" w:rsidR="009730D3" w:rsidRPr="00EB32F2" w:rsidRDefault="009730D3" w:rsidP="00497BF3">
            <w:pPr>
              <w:autoSpaceDE w:val="0"/>
              <w:autoSpaceDN w:val="0"/>
              <w:adjustRightInd w:val="0"/>
              <w:spacing w:line="276" w:lineRule="auto"/>
              <w:jc w:val="both"/>
            </w:pPr>
          </w:p>
          <w:p w14:paraId="7AF12E06" w14:textId="77777777" w:rsidR="00DD330C" w:rsidRPr="00EB32F2" w:rsidRDefault="00DD330C" w:rsidP="00497BF3">
            <w:pPr>
              <w:spacing w:line="276" w:lineRule="auto"/>
              <w:jc w:val="both"/>
              <w:rPr>
                <w:rFonts w:eastAsia="Calibri"/>
                <w:b/>
                <w:lang w:eastAsia="en-US"/>
              </w:rPr>
            </w:pPr>
            <w:r w:rsidRPr="00EB32F2">
              <w:rPr>
                <w:rFonts w:eastAsia="Calibri"/>
                <w:b/>
                <w:lang w:eastAsia="en-US"/>
              </w:rPr>
              <w:t xml:space="preserve">Uwaga do wyjaśnienia </w:t>
            </w:r>
          </w:p>
          <w:p w14:paraId="58F66C52" w14:textId="07BD24BE" w:rsidR="00DD330C" w:rsidRPr="00EB32F2" w:rsidRDefault="00C95D20" w:rsidP="00497BF3">
            <w:pPr>
              <w:spacing w:line="276" w:lineRule="auto"/>
              <w:jc w:val="both"/>
              <w:rPr>
                <w:rFonts w:eastAsia="Calibri"/>
                <w:bCs/>
                <w:lang w:eastAsia="en-US"/>
              </w:rPr>
            </w:pPr>
            <w:r w:rsidRPr="00EB32F2">
              <w:rPr>
                <w:rFonts w:eastAsia="Calibri"/>
                <w:bCs/>
                <w:lang w:eastAsia="en-US"/>
              </w:rPr>
              <w:t>Projekt r</w:t>
            </w:r>
            <w:r w:rsidR="00DD330C" w:rsidRPr="00EB32F2">
              <w:rPr>
                <w:rFonts w:eastAsia="Calibri"/>
                <w:bCs/>
                <w:lang w:eastAsia="en-US"/>
              </w:rPr>
              <w:t>ozporządzeni</w:t>
            </w:r>
            <w:r w:rsidRPr="00EB32F2">
              <w:rPr>
                <w:rFonts w:eastAsia="Calibri"/>
                <w:bCs/>
                <w:lang w:eastAsia="en-US"/>
              </w:rPr>
              <w:t>a</w:t>
            </w:r>
            <w:r w:rsidR="00DD330C" w:rsidRPr="00EB32F2">
              <w:rPr>
                <w:rFonts w:eastAsia="Calibri"/>
                <w:bCs/>
                <w:lang w:eastAsia="en-US"/>
              </w:rPr>
              <w:t xml:space="preserve"> stanowi o </w:t>
            </w:r>
            <w:r w:rsidR="006D170B" w:rsidRPr="00EB32F2">
              <w:rPr>
                <w:rFonts w:eastAsia="Calibri"/>
                <w:bCs/>
                <w:i/>
                <w:iCs/>
                <w:lang w:eastAsia="en-US"/>
              </w:rPr>
              <w:t>p</w:t>
            </w:r>
            <w:r w:rsidR="00DD330C" w:rsidRPr="00EB32F2">
              <w:rPr>
                <w:rFonts w:eastAsia="Calibri"/>
                <w:bCs/>
                <w:i/>
                <w:iCs/>
                <w:lang w:eastAsia="en-US"/>
              </w:rPr>
              <w:t>odmiocie</w:t>
            </w:r>
            <w:r w:rsidR="00DD330C" w:rsidRPr="00EB32F2">
              <w:rPr>
                <w:rFonts w:eastAsia="Calibri"/>
                <w:bCs/>
                <w:lang w:eastAsia="en-US"/>
              </w:rPr>
              <w:t xml:space="preserve">, którym jest osoba fizyczna jak i osoba niebędąca osobą fizyczną.  </w:t>
            </w:r>
            <w:r w:rsidRPr="00EB32F2">
              <w:rPr>
                <w:rFonts w:eastAsia="Calibri"/>
                <w:bCs/>
                <w:lang w:eastAsia="en-US"/>
              </w:rPr>
              <w:t>Konto własne</w:t>
            </w:r>
            <w:r w:rsidR="00FA5899" w:rsidRPr="00EB32F2">
              <w:rPr>
                <w:rFonts w:eastAsia="Calibri"/>
                <w:bCs/>
                <w:lang w:eastAsia="en-US"/>
              </w:rPr>
              <w:t xml:space="preserve">, o którym mowa w </w:t>
            </w:r>
            <w:r w:rsidR="00FA5899" w:rsidRPr="00EB32F2">
              <w:t>§ 1 w pkt 3</w:t>
            </w:r>
            <w:r w:rsidR="00F75FDB" w:rsidRPr="00EB32F2">
              <w:t xml:space="preserve"> </w:t>
            </w:r>
            <w:r w:rsidRPr="00EB32F2">
              <w:rPr>
                <w:rFonts w:eastAsia="Calibri"/>
                <w:bCs/>
                <w:lang w:eastAsia="en-US"/>
              </w:rPr>
              <w:t>to kont</w:t>
            </w:r>
            <w:r w:rsidR="00FA5899" w:rsidRPr="00EB32F2">
              <w:rPr>
                <w:rFonts w:eastAsia="Calibri"/>
                <w:bCs/>
                <w:lang w:eastAsia="en-US"/>
              </w:rPr>
              <w:t>o</w:t>
            </w:r>
            <w:r w:rsidRPr="00EB32F2">
              <w:rPr>
                <w:rFonts w:eastAsia="Calibri"/>
                <w:bCs/>
                <w:lang w:eastAsia="en-US"/>
              </w:rPr>
              <w:t xml:space="preserve"> podmiotu będącego osobą fizyczną. Taka osoba, zgodnie z projektem rozporządzenia, które ma zostać wydane na podstawie art. 53d ustawy z dnia 27 lipca 2001 r. – Prawo o ustroju sądów powszechnych, będzie użytkownikiem uprawnionym na swoim koncie. </w:t>
            </w:r>
            <w:r w:rsidR="00A1705E" w:rsidRPr="00EB32F2">
              <w:rPr>
                <w:rFonts w:eastAsia="Calibri"/>
                <w:bCs/>
                <w:lang w:eastAsia="en-US"/>
              </w:rPr>
              <w:t xml:space="preserve">Konto będzie obsługiwane tylko przez osoby fizyczne. </w:t>
            </w:r>
          </w:p>
          <w:p w14:paraId="10E375AE" w14:textId="636EEE7B" w:rsidR="006E4421" w:rsidRPr="00EB32F2" w:rsidRDefault="00D629FD" w:rsidP="00497BF3">
            <w:pPr>
              <w:autoSpaceDE w:val="0"/>
              <w:autoSpaceDN w:val="0"/>
              <w:adjustRightInd w:val="0"/>
              <w:spacing w:line="276" w:lineRule="auto"/>
              <w:jc w:val="both"/>
            </w:pPr>
            <w:r w:rsidRPr="00EB32F2">
              <w:t xml:space="preserve">Definicja użytkownika uprawnionego została zmodyfikowana w sposób, który wskazuje </w:t>
            </w:r>
            <w:r w:rsidR="00C95D20" w:rsidRPr="00EB32F2">
              <w:t xml:space="preserve">do jakich czynności uprawniony użytkownik jest </w:t>
            </w:r>
            <w:r w:rsidRPr="00EB32F2">
              <w:t xml:space="preserve"> </w:t>
            </w:r>
            <w:r w:rsidR="00C95D20" w:rsidRPr="00EB32F2">
              <w:t>kompetentny</w:t>
            </w:r>
            <w:r w:rsidR="00FA5899" w:rsidRPr="00EB32F2">
              <w:t xml:space="preserve">. </w:t>
            </w:r>
          </w:p>
          <w:p w14:paraId="31BFC784" w14:textId="06396933" w:rsidR="00AE53BE" w:rsidRPr="00EB32F2" w:rsidRDefault="00AE53BE" w:rsidP="00497BF3">
            <w:pPr>
              <w:autoSpaceDE w:val="0"/>
              <w:autoSpaceDN w:val="0"/>
              <w:adjustRightInd w:val="0"/>
              <w:spacing w:line="276" w:lineRule="auto"/>
              <w:jc w:val="both"/>
            </w:pPr>
            <w:r w:rsidRPr="00EB32F2">
              <w:t>Nowa treść przepisu stanowi:</w:t>
            </w:r>
          </w:p>
          <w:p w14:paraId="63858099" w14:textId="7B938031" w:rsidR="00AE53BE" w:rsidRPr="00EB32F2" w:rsidRDefault="00AE53BE" w:rsidP="00497BF3">
            <w:pPr>
              <w:autoSpaceDE w:val="0"/>
              <w:autoSpaceDN w:val="0"/>
              <w:adjustRightInd w:val="0"/>
              <w:spacing w:line="276" w:lineRule="auto"/>
              <w:jc w:val="both"/>
              <w:rPr>
                <w:i/>
                <w:iCs/>
              </w:rPr>
            </w:pPr>
            <w:bookmarkStart w:id="0" w:name="_Hlk62501003"/>
            <w:r w:rsidRPr="00EB32F2">
              <w:rPr>
                <w:i/>
                <w:iCs/>
              </w:rPr>
              <w:t xml:space="preserve">użytkowniku uprawnionym – </w:t>
            </w:r>
            <w:bookmarkStart w:id="1" w:name="_Hlk62500925"/>
            <w:r w:rsidRPr="00EB32F2">
              <w:rPr>
                <w:i/>
                <w:iCs/>
              </w:rPr>
              <w:t xml:space="preserve">rozumie się przez to osobę fizyczną, która posiada uprawnienie na koncie własnym lub koncie innego właściciela konta do wnoszenia pism za </w:t>
            </w:r>
            <w:r w:rsidRPr="00EB32F2">
              <w:rPr>
                <w:i/>
                <w:iCs/>
              </w:rPr>
              <w:lastRenderedPageBreak/>
              <w:t>pośrednictwem systemu teleinformatycznego;</w:t>
            </w:r>
            <w:bookmarkEnd w:id="1"/>
            <w:r w:rsidRPr="00EB32F2">
              <w:rPr>
                <w:i/>
                <w:iCs/>
              </w:rPr>
              <w:t> </w:t>
            </w:r>
            <w:bookmarkEnd w:id="0"/>
          </w:p>
          <w:p w14:paraId="01265CE5" w14:textId="733108AD" w:rsidR="006E4421" w:rsidRPr="00EB32F2" w:rsidRDefault="006E4421" w:rsidP="00497BF3">
            <w:pPr>
              <w:autoSpaceDE w:val="0"/>
              <w:autoSpaceDN w:val="0"/>
              <w:adjustRightInd w:val="0"/>
              <w:spacing w:line="276" w:lineRule="auto"/>
              <w:jc w:val="both"/>
              <w:rPr>
                <w:i/>
                <w:iCs/>
              </w:rPr>
            </w:pPr>
          </w:p>
          <w:p w14:paraId="787F4811" w14:textId="77777777" w:rsidR="00EB32F2" w:rsidRDefault="00EB32F2" w:rsidP="00497BF3">
            <w:pPr>
              <w:spacing w:line="276" w:lineRule="auto"/>
              <w:jc w:val="both"/>
              <w:rPr>
                <w:rFonts w:eastAsia="Calibri"/>
                <w:b/>
                <w:lang w:eastAsia="en-US"/>
              </w:rPr>
            </w:pPr>
          </w:p>
          <w:p w14:paraId="088A170B" w14:textId="77777777" w:rsidR="00EB32F2" w:rsidRDefault="00EB32F2" w:rsidP="00497BF3">
            <w:pPr>
              <w:spacing w:line="276" w:lineRule="auto"/>
              <w:jc w:val="both"/>
              <w:rPr>
                <w:rFonts w:eastAsia="Calibri"/>
                <w:b/>
                <w:lang w:eastAsia="en-US"/>
              </w:rPr>
            </w:pPr>
          </w:p>
          <w:p w14:paraId="64086993" w14:textId="77777777" w:rsidR="00EB32F2" w:rsidRDefault="00EB32F2" w:rsidP="00497BF3">
            <w:pPr>
              <w:spacing w:line="276" w:lineRule="auto"/>
              <w:jc w:val="both"/>
              <w:rPr>
                <w:rFonts w:eastAsia="Calibri"/>
                <w:b/>
                <w:lang w:eastAsia="en-US"/>
              </w:rPr>
            </w:pPr>
          </w:p>
          <w:p w14:paraId="623AF6D5" w14:textId="77777777" w:rsidR="009730D3" w:rsidRDefault="009730D3" w:rsidP="00497BF3">
            <w:pPr>
              <w:spacing w:line="276" w:lineRule="auto"/>
              <w:jc w:val="both"/>
              <w:rPr>
                <w:rFonts w:eastAsia="Calibri"/>
                <w:b/>
                <w:lang w:eastAsia="en-US"/>
              </w:rPr>
            </w:pPr>
          </w:p>
          <w:p w14:paraId="5EA4CC39" w14:textId="64A9D41B" w:rsidR="00442879" w:rsidRPr="00EB32F2" w:rsidRDefault="00442879" w:rsidP="00497BF3">
            <w:pPr>
              <w:spacing w:line="276" w:lineRule="auto"/>
              <w:jc w:val="both"/>
              <w:rPr>
                <w:rFonts w:eastAsia="Calibri"/>
                <w:b/>
                <w:lang w:eastAsia="en-US"/>
              </w:rPr>
            </w:pPr>
            <w:r w:rsidRPr="00EB32F2">
              <w:rPr>
                <w:rFonts w:eastAsia="Calibri"/>
                <w:b/>
                <w:lang w:eastAsia="en-US"/>
              </w:rPr>
              <w:t xml:space="preserve">Uwaga nieuwzględniona </w:t>
            </w:r>
          </w:p>
          <w:p w14:paraId="25145B9C" w14:textId="49BDF0CD" w:rsidR="006E4421" w:rsidRPr="00EB32F2" w:rsidRDefault="002A346C" w:rsidP="00497BF3">
            <w:pPr>
              <w:spacing w:line="276" w:lineRule="auto"/>
              <w:jc w:val="both"/>
            </w:pPr>
            <w:r w:rsidRPr="00EB32F2">
              <w:rPr>
                <w:rFonts w:eastAsia="Calibri"/>
                <w:bCs/>
                <w:lang w:eastAsia="en-US"/>
              </w:rPr>
              <w:t xml:space="preserve">Należy zgodzić się z uwagą, że pismo procesowe jest również dokumentem, niemniej jednak dążąc do zachowania spójności z ustawa, zasadnym jest podtrzymanie zastosowanego rozróżnienia w projektowanym rozporządzeniu, a tym samym również projektowanej definicji. W tym zakresie wskazać należy na art. 216a ust. 1 ustawy </w:t>
            </w:r>
            <w:r w:rsidR="00CC2EC3">
              <w:rPr>
                <w:rFonts w:eastAsia="Calibri"/>
                <w:bCs/>
                <w:lang w:eastAsia="en-US"/>
              </w:rPr>
              <w:t>P</w:t>
            </w:r>
            <w:r w:rsidRPr="00EB32F2">
              <w:rPr>
                <w:rFonts w:eastAsia="Calibri"/>
                <w:bCs/>
                <w:lang w:eastAsia="en-US"/>
              </w:rPr>
              <w:t xml:space="preserve">rawa upadłościowego, w którym to </w:t>
            </w:r>
            <w:r w:rsidR="00497BF3">
              <w:rPr>
                <w:rFonts w:eastAsia="Calibri"/>
                <w:bCs/>
                <w:lang w:eastAsia="en-US"/>
              </w:rPr>
              <w:t xml:space="preserve">również </w:t>
            </w:r>
            <w:r w:rsidRPr="00EB32F2">
              <w:rPr>
                <w:rFonts w:eastAsia="Calibri"/>
                <w:bCs/>
                <w:lang w:eastAsia="en-US"/>
              </w:rPr>
              <w:t xml:space="preserve">dokonuje się rozróżniania na pisma procesowe oraz dokumenty. </w:t>
            </w:r>
          </w:p>
          <w:p w14:paraId="190B2ADE" w14:textId="77777777" w:rsidR="006E4421" w:rsidRPr="00EB32F2" w:rsidRDefault="006E4421" w:rsidP="00497BF3">
            <w:pPr>
              <w:autoSpaceDE w:val="0"/>
              <w:autoSpaceDN w:val="0"/>
              <w:adjustRightInd w:val="0"/>
              <w:spacing w:line="276" w:lineRule="auto"/>
              <w:jc w:val="both"/>
            </w:pPr>
          </w:p>
          <w:p w14:paraId="5C784D28" w14:textId="77777777" w:rsidR="006E4421" w:rsidRPr="00EB32F2" w:rsidRDefault="006E4421" w:rsidP="00497BF3">
            <w:pPr>
              <w:autoSpaceDE w:val="0"/>
              <w:autoSpaceDN w:val="0"/>
              <w:adjustRightInd w:val="0"/>
              <w:spacing w:line="276" w:lineRule="auto"/>
              <w:jc w:val="both"/>
            </w:pPr>
          </w:p>
          <w:p w14:paraId="0E34CE74" w14:textId="77777777" w:rsidR="006E4421" w:rsidRPr="00EB32F2" w:rsidRDefault="006E4421" w:rsidP="00497BF3">
            <w:pPr>
              <w:autoSpaceDE w:val="0"/>
              <w:autoSpaceDN w:val="0"/>
              <w:adjustRightInd w:val="0"/>
              <w:spacing w:line="276" w:lineRule="auto"/>
              <w:jc w:val="both"/>
            </w:pPr>
          </w:p>
          <w:p w14:paraId="1AE0E03B" w14:textId="77777777" w:rsidR="006E4421" w:rsidRPr="00EB32F2" w:rsidRDefault="006E4421" w:rsidP="00497BF3">
            <w:pPr>
              <w:autoSpaceDE w:val="0"/>
              <w:autoSpaceDN w:val="0"/>
              <w:adjustRightInd w:val="0"/>
              <w:spacing w:line="276" w:lineRule="auto"/>
              <w:jc w:val="both"/>
            </w:pPr>
          </w:p>
          <w:p w14:paraId="4006F1BA" w14:textId="77777777" w:rsidR="006E4421" w:rsidRPr="00EB32F2" w:rsidRDefault="006E4421" w:rsidP="00497BF3">
            <w:pPr>
              <w:autoSpaceDE w:val="0"/>
              <w:autoSpaceDN w:val="0"/>
              <w:adjustRightInd w:val="0"/>
              <w:spacing w:line="276" w:lineRule="auto"/>
              <w:jc w:val="both"/>
            </w:pPr>
          </w:p>
          <w:p w14:paraId="6574528C" w14:textId="77777777" w:rsidR="006E4421" w:rsidRPr="00EB32F2" w:rsidRDefault="006E4421" w:rsidP="00497BF3">
            <w:pPr>
              <w:autoSpaceDE w:val="0"/>
              <w:autoSpaceDN w:val="0"/>
              <w:adjustRightInd w:val="0"/>
              <w:spacing w:line="276" w:lineRule="auto"/>
              <w:jc w:val="both"/>
            </w:pPr>
          </w:p>
          <w:p w14:paraId="47FE5333" w14:textId="3560A535" w:rsidR="00107F2C" w:rsidRPr="00EB32F2" w:rsidRDefault="00107F2C" w:rsidP="00497BF3">
            <w:pPr>
              <w:spacing w:line="276" w:lineRule="auto"/>
              <w:jc w:val="both"/>
              <w:rPr>
                <w:rFonts w:eastAsia="Calibri"/>
                <w:lang w:eastAsia="en-US"/>
              </w:rPr>
            </w:pPr>
          </w:p>
        </w:tc>
      </w:tr>
      <w:tr w:rsidR="008A5DE1" w:rsidRPr="00EB32F2" w14:paraId="3B0E6BFA" w14:textId="77777777" w:rsidTr="00107F2C">
        <w:tc>
          <w:tcPr>
            <w:tcW w:w="0" w:type="auto"/>
            <w:shd w:val="clear" w:color="auto" w:fill="auto"/>
          </w:tcPr>
          <w:p w14:paraId="3111D186" w14:textId="77777777" w:rsidR="00107F2C" w:rsidRPr="00EB32F2" w:rsidRDefault="00107F2C" w:rsidP="00497BF3">
            <w:pPr>
              <w:spacing w:line="276" w:lineRule="auto"/>
              <w:jc w:val="both"/>
              <w:rPr>
                <w:rFonts w:eastAsia="Calibri"/>
                <w:b/>
                <w:lang w:eastAsia="en-US"/>
              </w:rPr>
            </w:pPr>
            <w:r w:rsidRPr="00EB32F2">
              <w:rPr>
                <w:rFonts w:eastAsia="Calibri"/>
                <w:b/>
                <w:lang w:eastAsia="en-US"/>
              </w:rPr>
              <w:lastRenderedPageBreak/>
              <w:t>2</w:t>
            </w:r>
            <w:r w:rsidR="00240A8E" w:rsidRPr="00EB32F2">
              <w:rPr>
                <w:rFonts w:eastAsia="Calibri"/>
                <w:b/>
                <w:lang w:eastAsia="en-US"/>
              </w:rPr>
              <w:t>.</w:t>
            </w:r>
          </w:p>
        </w:tc>
        <w:tc>
          <w:tcPr>
            <w:tcW w:w="0" w:type="auto"/>
            <w:shd w:val="clear" w:color="auto" w:fill="auto"/>
          </w:tcPr>
          <w:p w14:paraId="139FC891" w14:textId="77777777" w:rsidR="00107F2C" w:rsidRPr="00EB32F2" w:rsidRDefault="00240A8E" w:rsidP="00497BF3">
            <w:pPr>
              <w:spacing w:line="276" w:lineRule="auto"/>
              <w:jc w:val="both"/>
              <w:rPr>
                <w:rFonts w:eastAsia="Calibri"/>
                <w:b/>
                <w:lang w:eastAsia="en-US"/>
              </w:rPr>
            </w:pPr>
            <w:r w:rsidRPr="00EB32F2">
              <w:rPr>
                <w:rFonts w:eastAsia="Calibri"/>
                <w:b/>
                <w:lang w:eastAsia="en-US"/>
              </w:rPr>
              <w:t>MC</w:t>
            </w:r>
          </w:p>
        </w:tc>
        <w:tc>
          <w:tcPr>
            <w:tcW w:w="0" w:type="auto"/>
            <w:shd w:val="clear" w:color="auto" w:fill="auto"/>
          </w:tcPr>
          <w:p w14:paraId="73DE26B5" w14:textId="77777777" w:rsidR="00107F2C" w:rsidRPr="00EB32F2" w:rsidRDefault="00240A8E" w:rsidP="00497BF3">
            <w:pPr>
              <w:spacing w:line="276" w:lineRule="auto"/>
              <w:jc w:val="both"/>
              <w:rPr>
                <w:rFonts w:eastAsia="Calibri"/>
                <w:lang w:eastAsia="en-US"/>
              </w:rPr>
            </w:pPr>
            <w:r w:rsidRPr="00EB32F2">
              <w:rPr>
                <w:rFonts w:eastAsia="Calibri"/>
                <w:b/>
                <w:lang w:eastAsia="en-US"/>
              </w:rPr>
              <w:t>§ 2</w:t>
            </w:r>
            <w:r w:rsidR="00107F2C" w:rsidRPr="00EB32F2">
              <w:rPr>
                <w:rFonts w:eastAsia="Calibri"/>
                <w:b/>
                <w:lang w:eastAsia="en-US"/>
              </w:rPr>
              <w:t xml:space="preserve"> ust. </w:t>
            </w:r>
            <w:r w:rsidRPr="00EB32F2">
              <w:rPr>
                <w:rFonts w:eastAsia="Calibri"/>
                <w:b/>
                <w:lang w:eastAsia="en-US"/>
              </w:rPr>
              <w:t>1</w:t>
            </w:r>
          </w:p>
        </w:tc>
        <w:tc>
          <w:tcPr>
            <w:tcW w:w="0" w:type="auto"/>
            <w:shd w:val="clear" w:color="auto" w:fill="auto"/>
          </w:tcPr>
          <w:p w14:paraId="2C7FEB43" w14:textId="77777777" w:rsidR="00240A8E" w:rsidRPr="00EB32F2" w:rsidRDefault="00240A8E" w:rsidP="00497BF3">
            <w:pPr>
              <w:spacing w:line="276" w:lineRule="auto"/>
              <w:jc w:val="both"/>
            </w:pPr>
            <w:r w:rsidRPr="00EB32F2">
              <w:t xml:space="preserve">W § 2 ust. 1 nie jest jasne w jaki sposób użytkownik wnoszący pismo będzie uwierzytelniany, czy za pośrednictwem profilu zaufanego? Należy przesądzić jaki podpis wnoszonego pisma </w:t>
            </w:r>
            <w:r w:rsidRPr="00EB32F2">
              <w:lastRenderedPageBreak/>
              <w:t>procesowego będzie uznany za wystarczający.</w:t>
            </w:r>
          </w:p>
          <w:p w14:paraId="42712668" w14:textId="77777777" w:rsidR="00107F2C" w:rsidRPr="00EB32F2" w:rsidRDefault="00107F2C" w:rsidP="00497BF3">
            <w:pPr>
              <w:spacing w:line="276" w:lineRule="auto"/>
              <w:jc w:val="both"/>
              <w:rPr>
                <w:rFonts w:eastAsia="Calibri"/>
                <w:lang w:eastAsia="en-US"/>
              </w:rPr>
            </w:pPr>
          </w:p>
        </w:tc>
        <w:tc>
          <w:tcPr>
            <w:tcW w:w="3139" w:type="dxa"/>
            <w:shd w:val="clear" w:color="auto" w:fill="auto"/>
          </w:tcPr>
          <w:p w14:paraId="225F37B6" w14:textId="77777777" w:rsidR="00B43680" w:rsidRPr="00EB32F2" w:rsidRDefault="00B43680" w:rsidP="00497BF3">
            <w:pPr>
              <w:spacing w:line="276" w:lineRule="auto"/>
              <w:jc w:val="both"/>
              <w:rPr>
                <w:rFonts w:eastAsia="Calibri"/>
                <w:b/>
                <w:lang w:eastAsia="en-US"/>
              </w:rPr>
            </w:pPr>
            <w:r w:rsidRPr="00EB32F2">
              <w:rPr>
                <w:rFonts w:eastAsia="Calibri"/>
                <w:b/>
                <w:lang w:eastAsia="en-US"/>
              </w:rPr>
              <w:lastRenderedPageBreak/>
              <w:t xml:space="preserve">Uwaga nieuwzględniona </w:t>
            </w:r>
          </w:p>
          <w:p w14:paraId="47DB09CF" w14:textId="4306D5C4" w:rsidR="00B507CF" w:rsidRPr="00EB32F2" w:rsidRDefault="002D4161" w:rsidP="00497BF3">
            <w:pPr>
              <w:pStyle w:val="USTustnpkodeksu"/>
              <w:spacing w:line="276" w:lineRule="auto"/>
              <w:ind w:firstLine="0"/>
              <w:rPr>
                <w:rFonts w:ascii="Times New Roman" w:hAnsi="Times New Roman" w:cs="Times New Roman"/>
                <w:szCs w:val="24"/>
              </w:rPr>
            </w:pPr>
            <w:r w:rsidRPr="00EB32F2">
              <w:rPr>
                <w:rFonts w:ascii="Times New Roman" w:eastAsia="Calibri" w:hAnsi="Times New Roman" w:cs="Times New Roman"/>
                <w:szCs w:val="24"/>
                <w:lang w:eastAsia="en-US"/>
              </w:rPr>
              <w:t>Możliwe sposoby uwierzytelnienia użytkownika</w:t>
            </w:r>
            <w:r w:rsidR="002A346C" w:rsidRPr="00EB32F2">
              <w:rPr>
                <w:rFonts w:ascii="Times New Roman" w:eastAsia="Calibri" w:hAnsi="Times New Roman" w:cs="Times New Roman"/>
                <w:szCs w:val="24"/>
                <w:lang w:eastAsia="en-US"/>
              </w:rPr>
              <w:t xml:space="preserve"> w systemie teleinformatycznym</w:t>
            </w:r>
            <w:r w:rsidRPr="00EB32F2">
              <w:rPr>
                <w:rFonts w:ascii="Times New Roman" w:eastAsia="Calibri" w:hAnsi="Times New Roman" w:cs="Times New Roman"/>
                <w:szCs w:val="24"/>
                <w:lang w:eastAsia="en-US"/>
              </w:rPr>
              <w:t xml:space="preserve"> zostały określone w projekcie rozporządzenia stanowiącym wykonanie </w:t>
            </w:r>
            <w:r w:rsidR="00B507CF" w:rsidRPr="00EB32F2">
              <w:rPr>
                <w:rFonts w:ascii="Times New Roman" w:eastAsia="Calibri" w:hAnsi="Times New Roman" w:cs="Times New Roman"/>
                <w:szCs w:val="24"/>
                <w:lang w:eastAsia="en-US"/>
              </w:rPr>
              <w:t>delegacji z</w:t>
            </w:r>
            <w:r w:rsidRPr="00EB32F2">
              <w:rPr>
                <w:rFonts w:ascii="Times New Roman" w:eastAsia="Calibri" w:hAnsi="Times New Roman" w:cs="Times New Roman"/>
                <w:szCs w:val="24"/>
                <w:lang w:eastAsia="en-US"/>
              </w:rPr>
              <w:t xml:space="preserve"> </w:t>
            </w:r>
            <w:r w:rsidRPr="00EB32F2">
              <w:rPr>
                <w:rFonts w:ascii="Times New Roman" w:eastAsia="Calibri" w:hAnsi="Times New Roman" w:cs="Times New Roman"/>
                <w:bCs w:val="0"/>
                <w:szCs w:val="24"/>
                <w:lang w:eastAsia="en-US"/>
              </w:rPr>
              <w:t xml:space="preserve">art. 53d ustawy z dnia 27 lipca 2001 r. – Prawo o ustroju sądów </w:t>
            </w:r>
            <w:r w:rsidRPr="00EB32F2">
              <w:rPr>
                <w:rFonts w:ascii="Times New Roman" w:eastAsia="Calibri" w:hAnsi="Times New Roman" w:cs="Times New Roman"/>
                <w:bCs w:val="0"/>
                <w:szCs w:val="24"/>
                <w:lang w:eastAsia="en-US"/>
              </w:rPr>
              <w:lastRenderedPageBreak/>
              <w:t>powszechnych</w:t>
            </w:r>
            <w:r w:rsidR="00B507CF" w:rsidRPr="00EB32F2">
              <w:rPr>
                <w:rFonts w:ascii="Times New Roman" w:eastAsia="Calibri" w:hAnsi="Times New Roman" w:cs="Times New Roman"/>
                <w:bCs w:val="0"/>
                <w:szCs w:val="24"/>
                <w:lang w:eastAsia="en-US"/>
              </w:rPr>
              <w:t>. Przewiduje się następujące sposoby uwierzytelnienia przez osobę fizyczną</w:t>
            </w:r>
            <w:r w:rsidR="00EB32F2" w:rsidRPr="00EB32F2">
              <w:rPr>
                <w:rFonts w:ascii="Times New Roman" w:eastAsia="Calibri" w:hAnsi="Times New Roman" w:cs="Times New Roman"/>
                <w:bCs w:val="0"/>
                <w:szCs w:val="24"/>
                <w:lang w:eastAsia="en-US"/>
              </w:rPr>
              <w:t>:</w:t>
            </w:r>
          </w:p>
          <w:p w14:paraId="39142071" w14:textId="00226845" w:rsidR="00B507CF" w:rsidRPr="00EB32F2" w:rsidRDefault="00B507CF" w:rsidP="00497BF3">
            <w:pPr>
              <w:pStyle w:val="PKTpunkt"/>
              <w:spacing w:line="276" w:lineRule="auto"/>
              <w:rPr>
                <w:rFonts w:ascii="Times New Roman" w:hAnsi="Times New Roman" w:cs="Times New Roman"/>
                <w:szCs w:val="24"/>
              </w:rPr>
            </w:pPr>
            <w:r w:rsidRPr="00EB32F2">
              <w:rPr>
                <w:rFonts w:ascii="Times New Roman" w:hAnsi="Times New Roman" w:cs="Times New Roman"/>
                <w:szCs w:val="24"/>
              </w:rPr>
              <w:t xml:space="preserve">1) </w:t>
            </w:r>
            <w:r w:rsidR="00EB32F2" w:rsidRPr="00EB32F2">
              <w:rPr>
                <w:rFonts w:ascii="Times New Roman" w:hAnsi="Times New Roman" w:cs="Times New Roman"/>
                <w:szCs w:val="24"/>
              </w:rPr>
              <w:t>poprzez wpisanie</w:t>
            </w:r>
            <w:r w:rsidRPr="00EB32F2">
              <w:rPr>
                <w:rFonts w:ascii="Times New Roman" w:hAnsi="Times New Roman" w:cs="Times New Roman"/>
                <w:szCs w:val="24"/>
              </w:rPr>
              <w:t xml:space="preserve"> nazw</w:t>
            </w:r>
            <w:r w:rsidR="00EB32F2" w:rsidRPr="00EB32F2">
              <w:rPr>
                <w:rFonts w:ascii="Times New Roman" w:hAnsi="Times New Roman" w:cs="Times New Roman"/>
                <w:szCs w:val="24"/>
              </w:rPr>
              <w:t>y</w:t>
            </w:r>
            <w:r w:rsidRPr="00EB32F2">
              <w:rPr>
                <w:rFonts w:ascii="Times New Roman" w:hAnsi="Times New Roman" w:cs="Times New Roman"/>
                <w:szCs w:val="24"/>
              </w:rPr>
              <w:t xml:space="preserve"> użytkownika i hasł</w:t>
            </w:r>
            <w:r w:rsidR="00EB32F2" w:rsidRPr="00EB32F2">
              <w:rPr>
                <w:rFonts w:ascii="Times New Roman" w:hAnsi="Times New Roman" w:cs="Times New Roman"/>
                <w:szCs w:val="24"/>
              </w:rPr>
              <w:t>a</w:t>
            </w:r>
            <w:r w:rsidRPr="00EB32F2">
              <w:rPr>
                <w:rFonts w:ascii="Times New Roman" w:hAnsi="Times New Roman" w:cs="Times New Roman"/>
                <w:szCs w:val="24"/>
              </w:rPr>
              <w:t>;</w:t>
            </w:r>
          </w:p>
          <w:p w14:paraId="542D6B83" w14:textId="77777777" w:rsidR="00B507CF" w:rsidRPr="00EB32F2" w:rsidRDefault="00B507CF" w:rsidP="00497BF3">
            <w:pPr>
              <w:pStyle w:val="PKTpunkt"/>
              <w:spacing w:line="276" w:lineRule="auto"/>
              <w:rPr>
                <w:rFonts w:ascii="Times New Roman" w:hAnsi="Times New Roman" w:cs="Times New Roman"/>
                <w:szCs w:val="24"/>
              </w:rPr>
            </w:pPr>
            <w:r w:rsidRPr="00EB32F2">
              <w:rPr>
                <w:rFonts w:ascii="Times New Roman" w:hAnsi="Times New Roman" w:cs="Times New Roman"/>
                <w:szCs w:val="24"/>
              </w:rPr>
              <w:t>2) używając kwalifikowanego podpisu elektronicznego, podpisu osobistego, podpisu zaufanego, którego certyfikat jest zapisany na koncie;</w:t>
            </w:r>
          </w:p>
          <w:p w14:paraId="09DB3F0C" w14:textId="10475254" w:rsidR="00107F2C" w:rsidRPr="00EB32F2" w:rsidRDefault="00B507CF" w:rsidP="00497BF3">
            <w:pPr>
              <w:pStyle w:val="PKTpunkt"/>
              <w:spacing w:line="276" w:lineRule="auto"/>
              <w:rPr>
                <w:rFonts w:ascii="Times New Roman" w:hAnsi="Times New Roman" w:cs="Times New Roman"/>
                <w:szCs w:val="24"/>
              </w:rPr>
            </w:pPr>
            <w:r w:rsidRPr="00EB32F2">
              <w:rPr>
                <w:rFonts w:ascii="Times New Roman" w:hAnsi="Times New Roman" w:cs="Times New Roman"/>
                <w:szCs w:val="24"/>
              </w:rPr>
              <w:t>3) za pośrednictwem węzła krajowego identyfikacji elektronicznej.</w:t>
            </w:r>
          </w:p>
        </w:tc>
      </w:tr>
      <w:tr w:rsidR="00240A8E" w:rsidRPr="00EB32F2" w14:paraId="1916BB95" w14:textId="77777777" w:rsidTr="00107F2C">
        <w:tc>
          <w:tcPr>
            <w:tcW w:w="0" w:type="auto"/>
            <w:shd w:val="clear" w:color="auto" w:fill="auto"/>
          </w:tcPr>
          <w:p w14:paraId="33512DA3" w14:textId="77777777" w:rsidR="00240A8E" w:rsidRPr="00EB32F2" w:rsidRDefault="00240A8E" w:rsidP="00497BF3">
            <w:pPr>
              <w:spacing w:line="276" w:lineRule="auto"/>
              <w:jc w:val="both"/>
              <w:rPr>
                <w:rFonts w:eastAsia="Calibri"/>
                <w:b/>
                <w:lang w:eastAsia="en-US"/>
              </w:rPr>
            </w:pPr>
            <w:r w:rsidRPr="00EB32F2">
              <w:rPr>
                <w:rFonts w:eastAsia="Calibri"/>
                <w:b/>
                <w:lang w:eastAsia="en-US"/>
              </w:rPr>
              <w:lastRenderedPageBreak/>
              <w:t>3.</w:t>
            </w:r>
          </w:p>
        </w:tc>
        <w:tc>
          <w:tcPr>
            <w:tcW w:w="0" w:type="auto"/>
            <w:shd w:val="clear" w:color="auto" w:fill="auto"/>
          </w:tcPr>
          <w:p w14:paraId="4C509B8F" w14:textId="77777777" w:rsidR="00240A8E" w:rsidRPr="00EB32F2" w:rsidRDefault="00240A8E" w:rsidP="00497BF3">
            <w:pPr>
              <w:spacing w:line="276" w:lineRule="auto"/>
              <w:jc w:val="both"/>
              <w:rPr>
                <w:rFonts w:eastAsia="Calibri"/>
                <w:b/>
                <w:lang w:eastAsia="en-US"/>
              </w:rPr>
            </w:pPr>
            <w:r w:rsidRPr="00EB32F2">
              <w:rPr>
                <w:rFonts w:eastAsia="Calibri"/>
                <w:b/>
                <w:lang w:eastAsia="en-US"/>
              </w:rPr>
              <w:t>MC</w:t>
            </w:r>
          </w:p>
        </w:tc>
        <w:tc>
          <w:tcPr>
            <w:tcW w:w="0" w:type="auto"/>
            <w:shd w:val="clear" w:color="auto" w:fill="auto"/>
          </w:tcPr>
          <w:p w14:paraId="4B6C9284" w14:textId="77777777" w:rsidR="00240A8E" w:rsidRPr="00EB32F2" w:rsidRDefault="00240A8E" w:rsidP="00497BF3">
            <w:pPr>
              <w:spacing w:line="276" w:lineRule="auto"/>
              <w:jc w:val="both"/>
              <w:rPr>
                <w:rFonts w:eastAsia="Calibri"/>
                <w:b/>
                <w:lang w:eastAsia="en-US"/>
              </w:rPr>
            </w:pPr>
            <w:r w:rsidRPr="00EB32F2">
              <w:t>§ 3 ust. 1</w:t>
            </w:r>
          </w:p>
        </w:tc>
        <w:tc>
          <w:tcPr>
            <w:tcW w:w="0" w:type="auto"/>
            <w:shd w:val="clear" w:color="auto" w:fill="auto"/>
          </w:tcPr>
          <w:p w14:paraId="1E727FB6" w14:textId="55E9A78E" w:rsidR="00FE075C" w:rsidRPr="00EB32F2" w:rsidRDefault="00240A8E" w:rsidP="00497BF3">
            <w:pPr>
              <w:spacing w:line="276" w:lineRule="auto"/>
              <w:jc w:val="both"/>
            </w:pPr>
            <w:r w:rsidRPr="00EB32F2">
              <w:t>W § 3 ust. 1 projektu rozporządzenia budzą wątpliwości czynności w zakresie opisu obsługi przyjęcia wniosku przez biuro podawcze; w szczególności nieuzasadniona wydaje się konieczność ręcznego podpisania w obecności urzędnika wydruku cyfrowo odwzorowanego dokumentu wniesionego osobiście przez osobę składającą pismo.</w:t>
            </w:r>
          </w:p>
        </w:tc>
        <w:tc>
          <w:tcPr>
            <w:tcW w:w="3139" w:type="dxa"/>
            <w:shd w:val="clear" w:color="auto" w:fill="auto"/>
          </w:tcPr>
          <w:p w14:paraId="2A3CFAEA" w14:textId="77777777" w:rsidR="00B43680" w:rsidRPr="00EB32F2" w:rsidRDefault="00B43680" w:rsidP="00497BF3">
            <w:pPr>
              <w:spacing w:line="276" w:lineRule="auto"/>
              <w:jc w:val="both"/>
              <w:rPr>
                <w:rFonts w:eastAsia="Calibri"/>
                <w:b/>
                <w:lang w:eastAsia="en-US"/>
              </w:rPr>
            </w:pPr>
            <w:r w:rsidRPr="00EB32F2">
              <w:rPr>
                <w:rFonts w:eastAsia="Calibri"/>
                <w:b/>
                <w:lang w:eastAsia="en-US"/>
              </w:rPr>
              <w:t xml:space="preserve">Uwaga nieuwzględniona </w:t>
            </w:r>
          </w:p>
          <w:p w14:paraId="299A21FD" w14:textId="3B30FB3E" w:rsidR="00240A8E" w:rsidRPr="00EB32F2" w:rsidRDefault="00B43680" w:rsidP="00497BF3">
            <w:pPr>
              <w:spacing w:line="276" w:lineRule="auto"/>
              <w:jc w:val="both"/>
              <w:rPr>
                <w:rFonts w:eastAsia="Calibri"/>
                <w:lang w:eastAsia="en-US"/>
              </w:rPr>
            </w:pPr>
            <w:r w:rsidRPr="00EB32F2">
              <w:rPr>
                <w:rFonts w:eastAsia="Calibri"/>
                <w:lang w:eastAsia="en-US"/>
              </w:rPr>
              <w:t>Osoba dokonująca czynności procesowej w biurze podawczym sądu rejonowego nie będzie podpisywać</w:t>
            </w:r>
            <w:r w:rsidRPr="00EB32F2">
              <w:t xml:space="preserve"> wydruku cyfrow</w:t>
            </w:r>
            <w:r w:rsidR="00EB32F2" w:rsidRPr="00EB32F2">
              <w:t>ego</w:t>
            </w:r>
            <w:r w:rsidRPr="00EB32F2">
              <w:t xml:space="preserve"> </w:t>
            </w:r>
            <w:r w:rsidR="00497BF3">
              <w:t xml:space="preserve">odwzorowania </w:t>
            </w:r>
            <w:r w:rsidRPr="00EB32F2">
              <w:t xml:space="preserve">dokumentu, a wprowadzoną do systemu teleinformatycznego treści pisma wraz z wykazem załączników. </w:t>
            </w:r>
          </w:p>
        </w:tc>
      </w:tr>
      <w:tr w:rsidR="00240A8E" w:rsidRPr="00EB32F2" w14:paraId="12D0106B" w14:textId="77777777" w:rsidTr="00107F2C">
        <w:tc>
          <w:tcPr>
            <w:tcW w:w="0" w:type="auto"/>
            <w:shd w:val="clear" w:color="auto" w:fill="auto"/>
          </w:tcPr>
          <w:p w14:paraId="18270059" w14:textId="77777777" w:rsidR="00240A8E" w:rsidRPr="00EB32F2" w:rsidRDefault="008A5DE1" w:rsidP="00497BF3">
            <w:pPr>
              <w:spacing w:line="276" w:lineRule="auto"/>
              <w:jc w:val="both"/>
              <w:rPr>
                <w:rFonts w:eastAsia="Calibri"/>
                <w:b/>
                <w:lang w:eastAsia="en-US"/>
              </w:rPr>
            </w:pPr>
            <w:r w:rsidRPr="00EB32F2">
              <w:rPr>
                <w:rFonts w:eastAsia="Calibri"/>
                <w:b/>
                <w:lang w:eastAsia="en-US"/>
              </w:rPr>
              <w:t>4.</w:t>
            </w:r>
          </w:p>
        </w:tc>
        <w:tc>
          <w:tcPr>
            <w:tcW w:w="0" w:type="auto"/>
            <w:shd w:val="clear" w:color="auto" w:fill="auto"/>
          </w:tcPr>
          <w:p w14:paraId="2B45192B" w14:textId="77777777" w:rsidR="00240A8E" w:rsidRPr="00EB32F2" w:rsidRDefault="008A5DE1" w:rsidP="00497BF3">
            <w:pPr>
              <w:spacing w:line="276" w:lineRule="auto"/>
              <w:jc w:val="both"/>
              <w:rPr>
                <w:rFonts w:eastAsia="Calibri"/>
                <w:b/>
                <w:lang w:eastAsia="en-US"/>
              </w:rPr>
            </w:pPr>
            <w:r w:rsidRPr="00EB32F2">
              <w:rPr>
                <w:rFonts w:eastAsia="Calibri"/>
                <w:b/>
                <w:lang w:eastAsia="en-US"/>
              </w:rPr>
              <w:t>MC</w:t>
            </w:r>
          </w:p>
        </w:tc>
        <w:tc>
          <w:tcPr>
            <w:tcW w:w="0" w:type="auto"/>
            <w:shd w:val="clear" w:color="auto" w:fill="auto"/>
          </w:tcPr>
          <w:p w14:paraId="14E3615D" w14:textId="77777777" w:rsidR="00240A8E" w:rsidRPr="00EB32F2" w:rsidRDefault="008A5DE1" w:rsidP="00497BF3">
            <w:pPr>
              <w:spacing w:line="276" w:lineRule="auto"/>
              <w:jc w:val="both"/>
            </w:pPr>
            <w:r w:rsidRPr="00EB32F2">
              <w:t>Uwaga ogólna</w:t>
            </w:r>
          </w:p>
        </w:tc>
        <w:tc>
          <w:tcPr>
            <w:tcW w:w="0" w:type="auto"/>
            <w:shd w:val="clear" w:color="auto" w:fill="auto"/>
          </w:tcPr>
          <w:p w14:paraId="721ADEFC" w14:textId="77777777" w:rsidR="00240A8E" w:rsidRPr="00EB32F2" w:rsidRDefault="008A5DE1" w:rsidP="00497BF3">
            <w:pPr>
              <w:spacing w:line="276" w:lineRule="auto"/>
              <w:jc w:val="both"/>
            </w:pPr>
            <w:r w:rsidRPr="00EB32F2">
              <w:t xml:space="preserve">Brak informacji na czym polega założenie konta: czy zakłada je sąd na wniosek osoby, która chce skorzystać z możliwości wniesienia pisma za pośrednictwem systemu teleinformatycznego? Jeśli tak – czy wniosek ten może być także złożony drogą elektroniczną, czy </w:t>
            </w:r>
            <w:r w:rsidRPr="00EB32F2">
              <w:lastRenderedPageBreak/>
              <w:t>wyłącznie za pośrednictwem biura podawczego? Czy raczej osoba ta zakłada konto samodzielnie w systemie teleinformatycznym.  </w:t>
            </w:r>
          </w:p>
        </w:tc>
        <w:tc>
          <w:tcPr>
            <w:tcW w:w="3139" w:type="dxa"/>
            <w:shd w:val="clear" w:color="auto" w:fill="auto"/>
          </w:tcPr>
          <w:p w14:paraId="0BE95E37" w14:textId="34344FE4" w:rsidR="00B43680" w:rsidRPr="00EB32F2" w:rsidRDefault="00B43680" w:rsidP="00497BF3">
            <w:pPr>
              <w:spacing w:line="276" w:lineRule="auto"/>
              <w:jc w:val="both"/>
              <w:rPr>
                <w:rFonts w:eastAsia="Calibri"/>
                <w:lang w:eastAsia="en-US"/>
              </w:rPr>
            </w:pPr>
            <w:r w:rsidRPr="00EB32F2">
              <w:rPr>
                <w:rFonts w:eastAsia="Calibri"/>
                <w:lang w:eastAsia="en-US"/>
              </w:rPr>
              <w:lastRenderedPageBreak/>
              <w:t xml:space="preserve">Sposób zakładania konta w systemie </w:t>
            </w:r>
            <w:r w:rsidR="004D7D57" w:rsidRPr="00EB32F2">
              <w:rPr>
                <w:rFonts w:eastAsia="Calibri"/>
                <w:lang w:eastAsia="en-US"/>
              </w:rPr>
              <w:t>teleinformatycznym</w:t>
            </w:r>
            <w:r w:rsidRPr="00EB32F2">
              <w:rPr>
                <w:rFonts w:eastAsia="Calibri"/>
                <w:lang w:eastAsia="en-US"/>
              </w:rPr>
              <w:t xml:space="preserve"> obsługującym postępowanie sadowe</w:t>
            </w:r>
            <w:r w:rsidR="00497BF3">
              <w:rPr>
                <w:rFonts w:eastAsia="Calibri"/>
                <w:lang w:eastAsia="en-US"/>
              </w:rPr>
              <w:t xml:space="preserve"> </w:t>
            </w:r>
            <w:r w:rsidR="00EB32F2" w:rsidRPr="00EB32F2">
              <w:rPr>
                <w:rFonts w:eastAsia="Calibri"/>
                <w:lang w:eastAsia="en-US"/>
              </w:rPr>
              <w:t>s</w:t>
            </w:r>
            <w:r w:rsidRPr="00EB32F2">
              <w:rPr>
                <w:rFonts w:eastAsia="Calibri"/>
                <w:lang w:eastAsia="en-US"/>
              </w:rPr>
              <w:t>tanowi przedmiot odrębnej regulacji, tj. projektu rozporządzenia</w:t>
            </w:r>
            <w:r w:rsidR="004D7D57" w:rsidRPr="00EB32F2">
              <w:rPr>
                <w:rFonts w:eastAsia="Calibri"/>
                <w:lang w:eastAsia="en-US"/>
              </w:rPr>
              <w:t xml:space="preserve">, którego delegacja zawarta została w </w:t>
            </w:r>
            <w:r w:rsidRPr="00EB32F2">
              <w:rPr>
                <w:rFonts w:eastAsia="Calibri"/>
                <w:bCs/>
                <w:lang w:eastAsia="en-US"/>
              </w:rPr>
              <w:t>art. 53d ustawy z dnia 27 lipca 2001 r. – Prawo o ustroju sądów powszechnych.</w:t>
            </w:r>
          </w:p>
        </w:tc>
      </w:tr>
    </w:tbl>
    <w:p w14:paraId="53128155" w14:textId="77777777" w:rsidR="00FE2379" w:rsidRPr="00EB32F2" w:rsidRDefault="00FE2379" w:rsidP="00497BF3">
      <w:pPr>
        <w:spacing w:line="276" w:lineRule="auto"/>
        <w:jc w:val="both"/>
        <w:rPr>
          <w:rFonts w:eastAsia="Calibri"/>
          <w:lang w:eastAsia="en-US"/>
        </w:rPr>
      </w:pPr>
    </w:p>
    <w:sectPr w:rsidR="00FE2379" w:rsidRPr="00EB32F2" w:rsidSect="004633D0">
      <w:footerReference w:type="default" r:id="rId6"/>
      <w:footerReference w:type="first" r:id="rId7"/>
      <w:pgSz w:w="11906" w:h="16838" w:code="9"/>
      <w:pgMar w:top="1418" w:right="1418" w:bottom="1418"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2F460" w14:textId="77777777" w:rsidR="00FE5C33" w:rsidRDefault="00FE5C33">
      <w:r>
        <w:separator/>
      </w:r>
    </w:p>
  </w:endnote>
  <w:endnote w:type="continuationSeparator" w:id="0">
    <w:p w14:paraId="2CE0537E" w14:textId="77777777" w:rsidR="00FE5C33" w:rsidRDefault="00FE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E4A3F" w14:textId="77777777" w:rsidR="005E753F" w:rsidRDefault="00FC48B0">
    <w:pPr>
      <w:pStyle w:val="Stopka"/>
    </w:pPr>
    <w:r>
      <w:rPr>
        <w:noProof/>
      </w:rPr>
      <mc:AlternateContent>
        <mc:Choice Requires="wps">
          <w:drawing>
            <wp:anchor distT="45720" distB="45720" distL="114300" distR="114300" simplePos="0" relativeHeight="251658240" behindDoc="0" locked="0" layoutInCell="1" allowOverlap="1" wp14:anchorId="3C241D77" wp14:editId="508B3393">
              <wp:simplePos x="0" y="0"/>
              <wp:positionH relativeFrom="column">
                <wp:posOffset>344170</wp:posOffset>
              </wp:positionH>
              <wp:positionV relativeFrom="paragraph">
                <wp:posOffset>251460</wp:posOffset>
              </wp:positionV>
              <wp:extent cx="2517775" cy="239395"/>
              <wp:effectExtent l="0" t="0" r="0" b="825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7775" cy="239395"/>
                      </a:xfrm>
                      <a:prstGeom prst="rect">
                        <a:avLst/>
                      </a:prstGeom>
                      <a:solidFill>
                        <a:srgbClr val="FFFFFF"/>
                      </a:solidFill>
                      <a:ln w="9525">
                        <a:noFill/>
                        <a:miter lim="800000"/>
                        <a:headEnd/>
                        <a:tailEnd/>
                      </a:ln>
                    </wps:spPr>
                    <wps:txbx>
                      <w:txbxContent>
                        <w:p w14:paraId="24ECD513" w14:textId="77777777" w:rsidR="005E753F" w:rsidRDefault="00FC48B0" w:rsidP="005E753F">
                          <w:pPr>
                            <w:rPr>
                              <w:rFonts w:asciiTheme="majorHAnsi" w:hAnsiTheme="majorHAnsi" w:cstheme="majorHAnsi"/>
                              <w:color w:val="828282"/>
                              <w:sz w:val="15"/>
                              <w:szCs w:val="15"/>
                            </w:rPr>
                          </w:pPr>
                          <w:r>
                            <w:rPr>
                              <w:rFonts w:asciiTheme="majorHAnsi" w:hAnsiTheme="majorHAnsi" w:cstheme="majorHAnsi"/>
                              <w:color w:val="828282"/>
                              <w:sz w:val="15"/>
                              <w:szCs w:val="15"/>
                            </w:rPr>
                            <w:t>ul. Królewska 27; 00-060 Warszawa, tel. +48 (22) 245 59 21</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w14:anchorId="3C241D77" id="_x0000_t202" coordsize="21600,21600" o:spt="202" path="m,l,21600r21600,l21600,xe">
              <v:stroke joinstyle="miter"/>
              <v:path gradientshapeok="t" o:connecttype="rect"/>
            </v:shapetype>
            <v:shape id="Pole tekstowe 5" o:spid="_x0000_s1026" type="#_x0000_t202" style="position:absolute;margin-left:27.1pt;margin-top:19.8pt;width:198.25pt;height:18.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" stroked="f">
              <v:textbox>
                <w:txbxContent>
                  <w:p w14:paraId="24ECD513" w14:textId="77777777" w:rsidR="005E753F" w:rsidRDefault="00FC48B0" w:rsidP="005E753F">
                    <w:pPr>
                      <w:rPr>
                        <w:rFonts w:asciiTheme="majorHAnsi" w:hAnsiTheme="majorHAnsi" w:cstheme="majorHAnsi"/>
                        <w:color w:val="828282"/>
                        <w:sz w:val="15"/>
                        <w:szCs w:val="15"/>
                      </w:rPr>
                    </w:pPr>
                    <w:r>
                      <w:rPr>
                        <w:rFonts w:asciiTheme="majorHAnsi" w:hAnsiTheme="majorHAnsi" w:cstheme="majorHAnsi"/>
                        <w:color w:val="828282"/>
                        <w:sz w:val="15"/>
                        <w:szCs w:val="15"/>
                      </w:rPr>
                      <w:t>ul. Królewska 27; 00-060 Warszawa, tel. +48 (22) 245 59 21</w:t>
                    </w:r>
                  </w:p>
                </w:txbxContent>
              </v:textbox>
            </v:shape>
          </w:pict>
        </mc:Fallback>
      </mc:AlternateContent>
    </w:r>
    <w:r>
      <w:rPr>
        <w:noProof/>
      </w:rPr>
      <w:drawing>
        <wp:inline distT="0" distB="0" distL="0" distR="0" wp14:anchorId="074663F9" wp14:editId="32760B91">
          <wp:extent cx="5400040" cy="96139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9613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D832C" w14:textId="77777777" w:rsidR="00AE7731" w:rsidRDefault="00FC48B0">
    <w:pPr>
      <w:pStyle w:val="Stopka"/>
    </w:pPr>
    <w:r w:rsidRPr="00AE7731">
      <w:rPr>
        <w:noProof/>
      </w:rPr>
      <w:drawing>
        <wp:anchor distT="0" distB="0" distL="114300" distR="114300" simplePos="0" relativeHeight="251662336" behindDoc="1" locked="0" layoutInCell="1" allowOverlap="1" wp14:anchorId="42C6504F" wp14:editId="4D03C6C2">
          <wp:simplePos x="0" y="0"/>
          <wp:positionH relativeFrom="margin">
            <wp:align>right</wp:align>
          </wp:positionH>
          <wp:positionV relativeFrom="paragraph">
            <wp:posOffset>-633501</wp:posOffset>
          </wp:positionV>
          <wp:extent cx="3096000" cy="644400"/>
          <wp:effectExtent l="0" t="0" r="0" b="3810"/>
          <wp:wrapTight wrapText="bothSides">
            <wp:wrapPolygon edited="0">
              <wp:start x="0" y="0"/>
              <wp:lineTo x="0" y="21089"/>
              <wp:lineTo x="21401" y="21089"/>
              <wp:lineTo x="21401" y="0"/>
              <wp:lineTo x="0" y="0"/>
            </wp:wrapPolygon>
          </wp:wrapTight>
          <wp:docPr id="8" name="Obraz 8" descr="C:\Users\p.jezewski\Desktop\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jezewski\Desktop\stopka.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096000" cy="6444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A9448" w14:textId="77777777" w:rsidR="00FE5C33" w:rsidRDefault="00FE5C33">
      <w:r>
        <w:separator/>
      </w:r>
    </w:p>
  </w:footnote>
  <w:footnote w:type="continuationSeparator" w:id="0">
    <w:p w14:paraId="28C564E2" w14:textId="77777777" w:rsidR="00FE5C33" w:rsidRDefault="00FE5C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06F"/>
    <w:rsid w:val="00031C5A"/>
    <w:rsid w:val="00065442"/>
    <w:rsid w:val="00097F3E"/>
    <w:rsid w:val="000A0579"/>
    <w:rsid w:val="000F152A"/>
    <w:rsid w:val="001075C1"/>
    <w:rsid w:val="00107F2C"/>
    <w:rsid w:val="00126F27"/>
    <w:rsid w:val="00194315"/>
    <w:rsid w:val="002108F4"/>
    <w:rsid w:val="00212276"/>
    <w:rsid w:val="00240A8E"/>
    <w:rsid w:val="0025615F"/>
    <w:rsid w:val="00256611"/>
    <w:rsid w:val="002956B8"/>
    <w:rsid w:val="002A346C"/>
    <w:rsid w:val="002D4161"/>
    <w:rsid w:val="002E65D2"/>
    <w:rsid w:val="00442879"/>
    <w:rsid w:val="00446A6E"/>
    <w:rsid w:val="00497BF3"/>
    <w:rsid w:val="004C3A89"/>
    <w:rsid w:val="004D7D57"/>
    <w:rsid w:val="00560B83"/>
    <w:rsid w:val="006A6812"/>
    <w:rsid w:val="006D170B"/>
    <w:rsid w:val="006E4421"/>
    <w:rsid w:val="00727BE9"/>
    <w:rsid w:val="00784ADC"/>
    <w:rsid w:val="007B2C96"/>
    <w:rsid w:val="00804CE2"/>
    <w:rsid w:val="00832DBF"/>
    <w:rsid w:val="008A5DE1"/>
    <w:rsid w:val="008D2BA8"/>
    <w:rsid w:val="00933FE3"/>
    <w:rsid w:val="009730D3"/>
    <w:rsid w:val="00A1705E"/>
    <w:rsid w:val="00AA3815"/>
    <w:rsid w:val="00AA7069"/>
    <w:rsid w:val="00AE53BE"/>
    <w:rsid w:val="00AE79F3"/>
    <w:rsid w:val="00B24B6E"/>
    <w:rsid w:val="00B43680"/>
    <w:rsid w:val="00B507CF"/>
    <w:rsid w:val="00B75B48"/>
    <w:rsid w:val="00B8106F"/>
    <w:rsid w:val="00BB0A0F"/>
    <w:rsid w:val="00C95D20"/>
    <w:rsid w:val="00CC2EC3"/>
    <w:rsid w:val="00D061F2"/>
    <w:rsid w:val="00D629FD"/>
    <w:rsid w:val="00D7044B"/>
    <w:rsid w:val="00DA6E3F"/>
    <w:rsid w:val="00DB333D"/>
    <w:rsid w:val="00DD330C"/>
    <w:rsid w:val="00DF723D"/>
    <w:rsid w:val="00E10196"/>
    <w:rsid w:val="00E119AB"/>
    <w:rsid w:val="00E8177B"/>
    <w:rsid w:val="00EB32F2"/>
    <w:rsid w:val="00F75FDB"/>
    <w:rsid w:val="00FA5899"/>
    <w:rsid w:val="00FC48B0"/>
    <w:rsid w:val="00FE075C"/>
    <w:rsid w:val="00FE2379"/>
    <w:rsid w:val="00FE5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2B22F3"/>
  <w15:docId w15:val="{149486F2-D28E-4560-9FDF-C62EC677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7F3E"/>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A0DA3"/>
    <w:pPr>
      <w:tabs>
        <w:tab w:val="center" w:pos="4536"/>
        <w:tab w:val="right" w:pos="9072"/>
      </w:tabs>
    </w:pPr>
  </w:style>
  <w:style w:type="paragraph" w:styleId="Stopka">
    <w:name w:val="footer"/>
    <w:basedOn w:val="Normalny"/>
    <w:link w:val="StopkaZnak"/>
    <w:uiPriority w:val="99"/>
    <w:rsid w:val="002A0DA3"/>
    <w:pPr>
      <w:tabs>
        <w:tab w:val="center" w:pos="4536"/>
        <w:tab w:val="right" w:pos="9072"/>
      </w:tabs>
    </w:pPr>
  </w:style>
  <w:style w:type="character" w:customStyle="1" w:styleId="StopkaZnak">
    <w:name w:val="Stopka Znak"/>
    <w:basedOn w:val="Domylnaczcionkaakapitu"/>
    <w:link w:val="Stopka"/>
    <w:uiPriority w:val="99"/>
    <w:rsid w:val="006A5C4D"/>
    <w:rPr>
      <w:sz w:val="24"/>
      <w:szCs w:val="24"/>
    </w:rPr>
  </w:style>
  <w:style w:type="paragraph" w:styleId="Tekstprzypisukocowego">
    <w:name w:val="endnote text"/>
    <w:basedOn w:val="Normalny"/>
    <w:link w:val="TekstprzypisukocowegoZnak"/>
    <w:uiPriority w:val="99"/>
    <w:semiHidden/>
    <w:unhideWhenUsed/>
    <w:rsid w:val="00126F27"/>
    <w:rPr>
      <w:sz w:val="20"/>
      <w:szCs w:val="20"/>
    </w:rPr>
  </w:style>
  <w:style w:type="character" w:customStyle="1" w:styleId="TekstprzypisukocowegoZnak">
    <w:name w:val="Tekst przypisu końcowego Znak"/>
    <w:basedOn w:val="Domylnaczcionkaakapitu"/>
    <w:link w:val="Tekstprzypisukocowego"/>
    <w:uiPriority w:val="99"/>
    <w:semiHidden/>
    <w:rsid w:val="00126F27"/>
  </w:style>
  <w:style w:type="character" w:styleId="Odwoanieprzypisukocowego">
    <w:name w:val="endnote reference"/>
    <w:basedOn w:val="Domylnaczcionkaakapitu"/>
    <w:uiPriority w:val="99"/>
    <w:semiHidden/>
    <w:unhideWhenUsed/>
    <w:rsid w:val="00126F27"/>
    <w:rPr>
      <w:vertAlign w:val="superscript"/>
    </w:rPr>
  </w:style>
  <w:style w:type="paragraph" w:customStyle="1" w:styleId="USTustnpkodeksu">
    <w:name w:val="UST(§) – ust. (§ np. kodeksu)"/>
    <w:basedOn w:val="Normalny"/>
    <w:uiPriority w:val="12"/>
    <w:qFormat/>
    <w:rsid w:val="00B507CF"/>
    <w:pPr>
      <w:suppressAutoHyphens/>
      <w:autoSpaceDE w:val="0"/>
      <w:autoSpaceDN w:val="0"/>
      <w:adjustRightInd w:val="0"/>
      <w:spacing w:line="360" w:lineRule="auto"/>
      <w:ind w:firstLine="510"/>
      <w:jc w:val="both"/>
    </w:pPr>
    <w:rPr>
      <w:rFonts w:ascii="Times" w:eastAsiaTheme="minorEastAsia" w:hAnsi="Times" w:cs="Arial"/>
      <w:bCs/>
      <w:szCs w:val="20"/>
    </w:rPr>
  </w:style>
  <w:style w:type="paragraph" w:customStyle="1" w:styleId="PKTpunkt">
    <w:name w:val="PKT – punkt"/>
    <w:uiPriority w:val="13"/>
    <w:qFormat/>
    <w:rsid w:val="00B507CF"/>
    <w:pPr>
      <w:spacing w:line="360" w:lineRule="auto"/>
      <w:ind w:left="510" w:hanging="510"/>
      <w:jc w:val="both"/>
    </w:pPr>
    <w:rPr>
      <w:rFonts w:ascii="Times" w:eastAsiaTheme="minorEastAsia" w:hAnsi="Times" w:cs="Arial"/>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usmire\Desktop\szablony\KPRM_papier_pieczatki\Jakub%20Jaworowski%20SEKRETARZ%20STANU%20PE&#321;NOMOCNIK%20PRM%20DS%20KOORDYNACJI%20OCEN%20SKUTK&#211;W%20REGULACJ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Jakub Jaworowski SEKRETARZ STANU PEŁNOMOCNIK PRM DS KOORDYNACJI OCEN SKUTKÓW REGULACJI</Template>
  <TotalTime>62</TotalTime>
  <Pages>5</Pages>
  <Words>945</Words>
  <Characters>5676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Kuśmirek Miłosław</dc:creator>
  <cp:lastModifiedBy>Płuciennik Monika  (DLPC)</cp:lastModifiedBy>
  <cp:revision>5</cp:revision>
  <dcterms:created xsi:type="dcterms:W3CDTF">2021-05-10T14:15:00Z</dcterms:created>
  <dcterms:modified xsi:type="dcterms:W3CDTF">2021-05-11T05:56:00Z</dcterms:modified>
</cp:coreProperties>
</file>