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86" w:rsidRPr="008E2314" w:rsidRDefault="004B137C">
      <w:pPr>
        <w:rPr>
          <w:rFonts w:asciiTheme="majorHAnsi" w:hAnsiTheme="majorHAnsi"/>
        </w:rPr>
      </w:pPr>
      <w:bookmarkStart w:id="0" w:name="_GoBack"/>
      <w:bookmarkEnd w:id="0"/>
      <w:r w:rsidRPr="008E2314">
        <w:rPr>
          <w:rFonts w:asciiTheme="majorHAnsi" w:hAnsiTheme="majorHAnsi"/>
          <w:noProof/>
          <w:lang w:eastAsia="pl-PL"/>
        </w:rPr>
        <w:drawing>
          <wp:anchor distT="0" distB="0" distL="114300" distR="114300" simplePos="0" relativeHeight="251658240" behindDoc="1" locked="0" layoutInCell="1" allowOverlap="1">
            <wp:simplePos x="0" y="0"/>
            <wp:positionH relativeFrom="column">
              <wp:posOffset>-4445</wp:posOffset>
            </wp:positionH>
            <wp:positionV relativeFrom="paragraph">
              <wp:posOffset>-4445</wp:posOffset>
            </wp:positionV>
            <wp:extent cx="1152525" cy="666750"/>
            <wp:effectExtent l="19050" t="0" r="9525" b="0"/>
            <wp:wrapTight wrapText="bothSides">
              <wp:wrapPolygon edited="0">
                <wp:start x="-357" y="0"/>
                <wp:lineTo x="-357" y="20983"/>
                <wp:lineTo x="21779" y="20983"/>
                <wp:lineTo x="21779" y="0"/>
                <wp:lineTo x="-357"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666750"/>
                    </a:xfrm>
                    <a:prstGeom prst="rect">
                      <a:avLst/>
                    </a:prstGeom>
                    <a:noFill/>
                    <a:ln>
                      <a:noFill/>
                    </a:ln>
                  </pic:spPr>
                </pic:pic>
              </a:graphicData>
            </a:graphic>
          </wp:anchor>
        </w:drawing>
      </w:r>
      <w:r w:rsidRPr="008E2314">
        <w:rPr>
          <w:rFonts w:asciiTheme="majorHAnsi" w:hAnsiTheme="majorHAnsi"/>
        </w:rPr>
        <w:t>KOMISJA EUROPEJSKA</w:t>
      </w:r>
    </w:p>
    <w:p w:rsidR="004B137C" w:rsidRPr="008E2314" w:rsidRDefault="004B137C">
      <w:pPr>
        <w:rPr>
          <w:rFonts w:asciiTheme="majorHAnsi" w:hAnsiTheme="majorHAnsi"/>
          <w:sz w:val="16"/>
          <w:szCs w:val="16"/>
        </w:rPr>
      </w:pPr>
      <w:r w:rsidRPr="008E2314">
        <w:rPr>
          <w:rFonts w:asciiTheme="majorHAnsi" w:hAnsiTheme="majorHAnsi"/>
          <w:sz w:val="16"/>
          <w:szCs w:val="16"/>
        </w:rPr>
        <w:t>DYREKCJA GENERALNA DS. ZDROWIA I BEZPIECZEŃTWA ŻYWNOŚCI</w:t>
      </w:r>
    </w:p>
    <w:p w:rsidR="004B137C" w:rsidRPr="008E2314" w:rsidRDefault="004B137C">
      <w:pPr>
        <w:rPr>
          <w:rFonts w:asciiTheme="majorHAnsi" w:hAnsiTheme="majorHAnsi"/>
          <w:sz w:val="16"/>
          <w:szCs w:val="16"/>
        </w:rPr>
      </w:pPr>
    </w:p>
    <w:p w:rsidR="004B137C" w:rsidRPr="008E2314" w:rsidRDefault="004B137C">
      <w:pPr>
        <w:rPr>
          <w:rFonts w:asciiTheme="majorHAnsi" w:hAnsiTheme="majorHAnsi"/>
          <w:b/>
          <w:bCs/>
          <w:sz w:val="16"/>
          <w:szCs w:val="16"/>
        </w:rPr>
      </w:pPr>
      <w:r w:rsidRPr="008E2314">
        <w:rPr>
          <w:rFonts w:asciiTheme="majorHAnsi" w:hAnsiTheme="majorHAnsi"/>
          <w:b/>
          <w:bCs/>
          <w:sz w:val="16"/>
          <w:szCs w:val="16"/>
        </w:rPr>
        <w:t>Bezpieczeństwo żywności i paszy, innowacje</w:t>
      </w:r>
    </w:p>
    <w:p w:rsidR="004B137C" w:rsidRPr="008E2314" w:rsidRDefault="004B137C">
      <w:pPr>
        <w:rPr>
          <w:rFonts w:asciiTheme="majorHAnsi" w:hAnsiTheme="majorHAnsi"/>
          <w:b/>
          <w:bCs/>
          <w:sz w:val="16"/>
          <w:szCs w:val="16"/>
        </w:rPr>
      </w:pPr>
      <w:r w:rsidRPr="008E2314">
        <w:rPr>
          <w:rFonts w:asciiTheme="majorHAnsi" w:hAnsiTheme="majorHAnsi"/>
          <w:b/>
          <w:bCs/>
          <w:sz w:val="16"/>
          <w:szCs w:val="16"/>
        </w:rPr>
        <w:t>Pestycydy i produkty biobójcze</w:t>
      </w:r>
    </w:p>
    <w:p w:rsidR="004B137C" w:rsidRPr="008E2314" w:rsidRDefault="004B137C">
      <w:pPr>
        <w:rPr>
          <w:rFonts w:asciiTheme="majorHAnsi" w:hAnsiTheme="majorHAnsi"/>
          <w:b/>
          <w:bCs/>
          <w:sz w:val="16"/>
          <w:szCs w:val="16"/>
        </w:rPr>
      </w:pPr>
    </w:p>
    <w:p w:rsidR="004B137C" w:rsidRPr="008E2314" w:rsidRDefault="004B137C">
      <w:pPr>
        <w:rPr>
          <w:rFonts w:asciiTheme="majorHAnsi" w:hAnsiTheme="majorHAnsi"/>
          <w:b/>
          <w:bCs/>
          <w:sz w:val="16"/>
          <w:szCs w:val="16"/>
        </w:rPr>
      </w:pPr>
    </w:p>
    <w:p w:rsidR="004B137C" w:rsidRPr="008E2314" w:rsidRDefault="004B137C" w:rsidP="004B137C">
      <w:pPr>
        <w:jc w:val="right"/>
        <w:rPr>
          <w:rFonts w:asciiTheme="majorHAnsi" w:hAnsiTheme="majorHAnsi"/>
          <w:b/>
          <w:bCs/>
        </w:rPr>
      </w:pPr>
      <w:r w:rsidRPr="008E2314">
        <w:rPr>
          <w:rFonts w:asciiTheme="majorHAnsi" w:hAnsiTheme="majorHAnsi"/>
          <w:b/>
          <w:bCs/>
        </w:rPr>
        <w:t>Substancja podstawowa</w:t>
      </w:r>
    </w:p>
    <w:p w:rsidR="004B137C" w:rsidRPr="008E2314" w:rsidRDefault="004B137C" w:rsidP="004B137C">
      <w:pPr>
        <w:jc w:val="right"/>
        <w:rPr>
          <w:rFonts w:asciiTheme="majorHAnsi" w:hAnsiTheme="majorHAnsi"/>
          <w:b/>
          <w:bCs/>
        </w:rPr>
      </w:pPr>
      <w:r w:rsidRPr="008E2314">
        <w:rPr>
          <w:rFonts w:asciiTheme="majorHAnsi" w:hAnsiTheme="majorHAnsi"/>
          <w:b/>
          <w:bCs/>
        </w:rPr>
        <w:t>Olej cebulowy</w:t>
      </w:r>
    </w:p>
    <w:p w:rsidR="004B137C" w:rsidRPr="008E2314" w:rsidRDefault="004B137C" w:rsidP="004B137C">
      <w:pPr>
        <w:jc w:val="right"/>
        <w:rPr>
          <w:rFonts w:asciiTheme="majorHAnsi" w:hAnsiTheme="majorHAnsi"/>
          <w:b/>
          <w:bCs/>
        </w:rPr>
      </w:pPr>
      <w:r w:rsidRPr="008E2314">
        <w:rPr>
          <w:rFonts w:asciiTheme="majorHAnsi" w:hAnsiTheme="majorHAnsi"/>
          <w:b/>
          <w:bCs/>
        </w:rPr>
        <w:t>SANTE/10615/2018– wersja 1</w:t>
      </w:r>
    </w:p>
    <w:p w:rsidR="004B137C" w:rsidRPr="008E2314" w:rsidRDefault="004B137C" w:rsidP="004B137C">
      <w:pPr>
        <w:jc w:val="right"/>
        <w:rPr>
          <w:rFonts w:asciiTheme="majorHAnsi" w:hAnsiTheme="majorHAnsi"/>
          <w:b/>
          <w:bCs/>
        </w:rPr>
      </w:pPr>
      <w:r w:rsidRPr="008E2314">
        <w:rPr>
          <w:rFonts w:asciiTheme="majorHAnsi" w:hAnsiTheme="majorHAnsi"/>
          <w:b/>
          <w:bCs/>
        </w:rPr>
        <w:t>20 lipca 2018 r.</w:t>
      </w:r>
    </w:p>
    <w:p w:rsidR="004B137C" w:rsidRPr="008E2314" w:rsidRDefault="004B137C" w:rsidP="004B137C">
      <w:pPr>
        <w:jc w:val="right"/>
        <w:rPr>
          <w:rFonts w:asciiTheme="majorHAnsi" w:hAnsiTheme="majorHAnsi"/>
          <w:b/>
          <w:bCs/>
        </w:rPr>
      </w:pPr>
    </w:p>
    <w:p w:rsidR="004B137C" w:rsidRPr="008E2314" w:rsidRDefault="004B137C" w:rsidP="004B137C">
      <w:pPr>
        <w:jc w:val="center"/>
        <w:rPr>
          <w:rFonts w:asciiTheme="majorHAnsi" w:hAnsiTheme="majorHAnsi"/>
        </w:rPr>
      </w:pPr>
      <w:r w:rsidRPr="008E2314">
        <w:rPr>
          <w:rFonts w:asciiTheme="majorHAnsi" w:hAnsiTheme="majorHAnsi"/>
        </w:rPr>
        <w:t>Sprawozdanie końcowe z przeglądu dla substancji podstawowej olej cebulowy</w:t>
      </w:r>
    </w:p>
    <w:p w:rsidR="004B137C" w:rsidRPr="008E2314" w:rsidRDefault="006E7B2D" w:rsidP="004B137C">
      <w:pPr>
        <w:jc w:val="center"/>
        <w:rPr>
          <w:rFonts w:asciiTheme="majorHAnsi" w:hAnsiTheme="majorHAnsi"/>
        </w:rPr>
      </w:pPr>
      <w:r w:rsidRPr="008E2314">
        <w:rPr>
          <w:rFonts w:asciiTheme="majorHAnsi" w:hAnsiTheme="majorHAnsi"/>
        </w:rPr>
        <w:t>Sfinalizowane w Stałym Komitecie</w:t>
      </w:r>
      <w:r w:rsidR="004B137C" w:rsidRPr="008E2314">
        <w:rPr>
          <w:rFonts w:asciiTheme="majorHAnsi" w:hAnsiTheme="majorHAnsi"/>
        </w:rPr>
        <w:t xml:space="preserve"> ds. Roślin, Zwierząt, Żywności i Pasz</w:t>
      </w:r>
    </w:p>
    <w:p w:rsidR="004B137C" w:rsidRPr="008E2314" w:rsidRDefault="006E7B2D" w:rsidP="004B137C">
      <w:pPr>
        <w:jc w:val="center"/>
        <w:rPr>
          <w:rFonts w:asciiTheme="majorHAnsi" w:hAnsiTheme="majorHAnsi"/>
        </w:rPr>
      </w:pPr>
      <w:r w:rsidRPr="008E2314">
        <w:rPr>
          <w:rFonts w:asciiTheme="majorHAnsi" w:hAnsiTheme="majorHAnsi"/>
        </w:rPr>
        <w:t xml:space="preserve">na posiedzeniu w dniu </w:t>
      </w:r>
      <w:r w:rsidR="004B137C" w:rsidRPr="008E2314">
        <w:rPr>
          <w:rFonts w:asciiTheme="majorHAnsi" w:hAnsiTheme="majorHAnsi"/>
        </w:rPr>
        <w:t>20 lipca 2018 r.</w:t>
      </w:r>
    </w:p>
    <w:p w:rsidR="004B137C" w:rsidRPr="008E2314" w:rsidRDefault="006E7B2D" w:rsidP="004B137C">
      <w:pPr>
        <w:jc w:val="center"/>
        <w:rPr>
          <w:rFonts w:asciiTheme="majorHAnsi" w:hAnsiTheme="majorHAnsi"/>
        </w:rPr>
      </w:pPr>
      <w:r w:rsidRPr="008E2314">
        <w:rPr>
          <w:rFonts w:asciiTheme="majorHAnsi" w:hAnsiTheme="majorHAnsi"/>
        </w:rPr>
        <w:t xml:space="preserve">w związku z zatwierdzeniem </w:t>
      </w:r>
      <w:r w:rsidR="004B137C" w:rsidRPr="008E2314">
        <w:rPr>
          <w:rFonts w:asciiTheme="majorHAnsi" w:hAnsiTheme="majorHAnsi"/>
        </w:rPr>
        <w:t>oleju cebulowego jako substancji podstawowej</w:t>
      </w:r>
    </w:p>
    <w:p w:rsidR="004B137C" w:rsidRPr="008E2314" w:rsidRDefault="004B137C" w:rsidP="004B137C">
      <w:pPr>
        <w:jc w:val="center"/>
        <w:rPr>
          <w:rFonts w:asciiTheme="majorHAnsi" w:hAnsiTheme="majorHAnsi"/>
        </w:rPr>
      </w:pPr>
      <w:r w:rsidRPr="008E2314">
        <w:rPr>
          <w:rFonts w:asciiTheme="majorHAnsi" w:hAnsiTheme="majorHAnsi"/>
        </w:rPr>
        <w:t>zgodnie z postanowieniami Rozporządzenia (WE) Nr 1107/2009</w:t>
      </w:r>
      <w:r w:rsidR="006E7B2D" w:rsidRPr="008E2314">
        <w:rPr>
          <w:rStyle w:val="Odwoanieprzypisudolnego"/>
          <w:rFonts w:asciiTheme="majorHAnsi" w:hAnsiTheme="majorHAnsi"/>
        </w:rPr>
        <w:footnoteReference w:id="1"/>
      </w:r>
    </w:p>
    <w:p w:rsidR="004B137C" w:rsidRPr="008E2314" w:rsidRDefault="004B137C" w:rsidP="004B137C">
      <w:pPr>
        <w:jc w:val="center"/>
        <w:rPr>
          <w:rFonts w:asciiTheme="majorHAnsi" w:hAnsiTheme="majorHAnsi"/>
        </w:rPr>
      </w:pPr>
    </w:p>
    <w:p w:rsidR="006E7B2D" w:rsidRPr="008E2314" w:rsidRDefault="006E7B2D" w:rsidP="006E7B2D">
      <w:pPr>
        <w:rPr>
          <w:rFonts w:asciiTheme="majorHAnsi" w:hAnsiTheme="majorHAnsi"/>
          <w:b/>
          <w:bCs/>
        </w:rPr>
      </w:pPr>
      <w:r w:rsidRPr="008E2314">
        <w:rPr>
          <w:rFonts w:asciiTheme="majorHAnsi" w:hAnsiTheme="majorHAnsi"/>
          <w:b/>
          <w:bCs/>
        </w:rPr>
        <w:t>1.</w:t>
      </w:r>
      <w:r w:rsidRPr="008E2314">
        <w:rPr>
          <w:rFonts w:asciiTheme="majorHAnsi" w:hAnsiTheme="majorHAnsi"/>
          <w:b/>
          <w:bCs/>
        </w:rPr>
        <w:tab/>
        <w:t>Procedura zastosowana w procesie oceny</w:t>
      </w:r>
    </w:p>
    <w:p w:rsidR="006E7B2D" w:rsidRPr="008E2314" w:rsidRDefault="006E7B2D" w:rsidP="006E7B2D">
      <w:pPr>
        <w:rPr>
          <w:rFonts w:asciiTheme="majorHAnsi" w:hAnsiTheme="majorHAnsi"/>
          <w:b/>
          <w:bCs/>
        </w:rPr>
      </w:pPr>
    </w:p>
    <w:p w:rsidR="006E7B2D" w:rsidRPr="008E2314" w:rsidRDefault="006E7B2D" w:rsidP="006E7B2D">
      <w:pPr>
        <w:rPr>
          <w:rFonts w:asciiTheme="majorHAnsi" w:hAnsiTheme="majorHAnsi"/>
        </w:rPr>
      </w:pPr>
      <w:r w:rsidRPr="008E2314">
        <w:rPr>
          <w:rFonts w:asciiTheme="majorHAnsi" w:hAnsiTheme="majorHAnsi"/>
        </w:rPr>
        <w:t>Niniejsze sprawozdanie z przeglądu zostało sporządzone w wyniku oceny oleju cebulowego przeprowadzonej w kontekście oceny subs</w:t>
      </w:r>
      <w:r w:rsidR="00031A28" w:rsidRPr="008E2314">
        <w:rPr>
          <w:rFonts w:asciiTheme="majorHAnsi" w:hAnsiTheme="majorHAnsi"/>
        </w:rPr>
        <w:t>tancji przewidzianej w art. 23 Rozporządzenia (WE) N</w:t>
      </w:r>
      <w:r w:rsidRPr="008E2314">
        <w:rPr>
          <w:rFonts w:asciiTheme="majorHAnsi" w:hAnsiTheme="majorHAnsi"/>
        </w:rPr>
        <w:t>r 1107/2009</w:t>
      </w:r>
      <w:r w:rsidRPr="008E2314">
        <w:rPr>
          <w:rStyle w:val="Odwoanieprzypisudolnego"/>
          <w:rFonts w:asciiTheme="majorHAnsi" w:hAnsiTheme="majorHAnsi"/>
        </w:rPr>
        <w:footnoteReference w:id="2"/>
      </w:r>
      <w:r w:rsidRPr="008E2314">
        <w:rPr>
          <w:rFonts w:asciiTheme="majorHAnsi" w:hAnsiTheme="majorHAnsi"/>
        </w:rPr>
        <w:t xml:space="preserve"> dotyczącego wprowadzania do obrotu środków ochrony roślin, w celu ewentualnego zatwierdzenia tej substancji jako substancji podstawowej.</w:t>
      </w:r>
    </w:p>
    <w:p w:rsidR="006E7B2D" w:rsidRPr="008E2314" w:rsidRDefault="006E7B2D" w:rsidP="006E7B2D">
      <w:pPr>
        <w:rPr>
          <w:rFonts w:asciiTheme="majorHAnsi" w:hAnsiTheme="majorHAnsi"/>
        </w:rPr>
      </w:pPr>
    </w:p>
    <w:p w:rsidR="006E7B2D" w:rsidRPr="008E2314" w:rsidRDefault="006E7B2D" w:rsidP="006E7B2D">
      <w:pPr>
        <w:rPr>
          <w:rFonts w:asciiTheme="majorHAnsi" w:hAnsiTheme="majorHAnsi"/>
        </w:rPr>
      </w:pPr>
      <w:r w:rsidRPr="008E2314">
        <w:rPr>
          <w:rFonts w:asciiTheme="majorHAnsi" w:hAnsiTheme="majorHAnsi"/>
        </w:rPr>
        <w:t xml:space="preserve">Zgodnie z </w:t>
      </w:r>
      <w:r w:rsidR="00031A28" w:rsidRPr="008E2314">
        <w:rPr>
          <w:rFonts w:asciiTheme="majorHAnsi" w:hAnsiTheme="majorHAnsi"/>
        </w:rPr>
        <w:t>postanowieniami art. 23 ust. 3 Rozporządzenia (WE) N</w:t>
      </w:r>
      <w:r w:rsidRPr="008E2314">
        <w:rPr>
          <w:rFonts w:asciiTheme="majorHAnsi" w:hAnsiTheme="majorHAnsi"/>
        </w:rPr>
        <w:t xml:space="preserve">r 1107/2009, Komisja otrzymała w dniu 12 grudnia 2016 r. wniosek </w:t>
      </w:r>
      <w:proofErr w:type="spellStart"/>
      <w:r w:rsidRPr="008E2314">
        <w:rPr>
          <w:rFonts w:asciiTheme="majorHAnsi" w:hAnsiTheme="majorHAnsi"/>
        </w:rPr>
        <w:t>Bionext</w:t>
      </w:r>
      <w:proofErr w:type="spellEnd"/>
      <w:r w:rsidRPr="008E2314">
        <w:rPr>
          <w:rFonts w:asciiTheme="majorHAnsi" w:hAnsiTheme="majorHAnsi"/>
        </w:rPr>
        <w:t>, zwanego dalej wnioskodawcą, w celu zatwierdzenia oleju cebulowego jako substancji podstawowej. Wniosek nie był kompletny</w:t>
      </w:r>
      <w:r w:rsidR="00B72403" w:rsidRPr="008E2314">
        <w:rPr>
          <w:rFonts w:asciiTheme="majorHAnsi" w:hAnsiTheme="majorHAnsi"/>
        </w:rPr>
        <w:t>, a zmieniony wniosek został przedłożony w dniu 20 marca 2017 r.</w:t>
      </w:r>
    </w:p>
    <w:p w:rsidR="00B72403" w:rsidRPr="008E2314" w:rsidRDefault="00B72403" w:rsidP="006E7B2D">
      <w:pPr>
        <w:rPr>
          <w:rFonts w:asciiTheme="majorHAnsi" w:hAnsiTheme="majorHAnsi"/>
        </w:rPr>
      </w:pPr>
    </w:p>
    <w:p w:rsidR="00B72403" w:rsidRPr="008E2314" w:rsidRDefault="00B72403" w:rsidP="006E7B2D">
      <w:pPr>
        <w:rPr>
          <w:rFonts w:asciiTheme="majorHAnsi" w:hAnsiTheme="majorHAnsi"/>
        </w:rPr>
      </w:pPr>
      <w:r w:rsidRPr="008E2314">
        <w:rPr>
          <w:rFonts w:asciiTheme="majorHAnsi" w:hAnsiTheme="majorHAnsi"/>
        </w:rPr>
        <w:t xml:space="preserve">Wniosek i załączone informacje zostały przekazane państwom członkowskim i Europejskiemu Urzędowi ds. Bezpieczeństwa Żywności (EFSA) w celu uzyskania uwag. Wnioskodawca mógł również odnieść się do zebranych uwag i dostarczyć dodatkowe informacje w celu uzupełnienia wniosku, który został sfinalizowany w nowej wersji we wrześniu 2017 r. </w:t>
      </w:r>
    </w:p>
    <w:p w:rsidR="00B72403" w:rsidRPr="008E2314" w:rsidRDefault="00B72403" w:rsidP="006E7B2D">
      <w:pPr>
        <w:rPr>
          <w:rFonts w:asciiTheme="majorHAnsi" w:hAnsiTheme="majorHAnsi"/>
        </w:rPr>
      </w:pPr>
    </w:p>
    <w:p w:rsidR="00B72403" w:rsidRPr="008E2314" w:rsidRDefault="00B72403" w:rsidP="006E7B2D">
      <w:pPr>
        <w:rPr>
          <w:rFonts w:asciiTheme="majorHAnsi" w:hAnsiTheme="majorHAnsi"/>
        </w:rPr>
      </w:pPr>
      <w:r w:rsidRPr="008E2314">
        <w:rPr>
          <w:rFonts w:asciiTheme="majorHAnsi" w:hAnsiTheme="majorHAnsi"/>
        </w:rPr>
        <w:t xml:space="preserve">Zgodnie z </w:t>
      </w:r>
      <w:r w:rsidR="00031A28" w:rsidRPr="008E2314">
        <w:rPr>
          <w:rFonts w:asciiTheme="majorHAnsi" w:hAnsiTheme="majorHAnsi"/>
        </w:rPr>
        <w:t>postanowieniami art. 23 ust. 4 R</w:t>
      </w:r>
      <w:r w:rsidRPr="008E2314">
        <w:rPr>
          <w:rFonts w:asciiTheme="majorHAnsi" w:hAnsiTheme="majorHAnsi"/>
        </w:rPr>
        <w:t xml:space="preserve">ozporządzenia (WE) </w:t>
      </w:r>
      <w:r w:rsidR="00031A28" w:rsidRPr="008E2314">
        <w:rPr>
          <w:rFonts w:asciiTheme="majorHAnsi" w:hAnsiTheme="majorHAnsi"/>
        </w:rPr>
        <w:t>N</w:t>
      </w:r>
      <w:r w:rsidRPr="008E2314">
        <w:rPr>
          <w:rFonts w:asciiTheme="majorHAnsi" w:hAnsiTheme="majorHAnsi"/>
        </w:rPr>
        <w:t>r 1107/2009, Komisja potrzebowała wsparcia naukowego w zakresie oceny wniosku do EFSA, który przedstawił swoje poglądy na temat konkretnych kwestii poruszonych na etapie zgłaszania uwag.</w:t>
      </w:r>
    </w:p>
    <w:p w:rsidR="00B72403" w:rsidRPr="008E2314" w:rsidRDefault="00B72403" w:rsidP="006E7B2D">
      <w:pPr>
        <w:rPr>
          <w:rFonts w:asciiTheme="majorHAnsi" w:hAnsiTheme="majorHAnsi"/>
        </w:rPr>
      </w:pPr>
    </w:p>
    <w:p w:rsidR="00B72403" w:rsidRPr="008E2314" w:rsidRDefault="00B72403" w:rsidP="006E7B2D">
      <w:pPr>
        <w:rPr>
          <w:rFonts w:asciiTheme="majorHAnsi" w:hAnsiTheme="majorHAnsi"/>
        </w:rPr>
      </w:pPr>
      <w:r w:rsidRPr="008E2314">
        <w:rPr>
          <w:rFonts w:asciiTheme="majorHAnsi" w:hAnsiTheme="majorHAnsi"/>
        </w:rPr>
        <w:t>EFSA przedstawił Komisji wyniki swojej pracy w formie sprawozdania technicznego dotyczącego oleju cebulowego w dniu 31 października 2017 r.</w:t>
      </w:r>
      <w:r w:rsidRPr="008E2314">
        <w:rPr>
          <w:rStyle w:val="Odwoanieprzypisudolnego"/>
          <w:rFonts w:asciiTheme="majorHAnsi" w:hAnsiTheme="majorHAnsi"/>
        </w:rPr>
        <w:footnoteReference w:id="3"/>
      </w:r>
    </w:p>
    <w:p w:rsidR="009F79A2" w:rsidRPr="008E2314" w:rsidRDefault="009F79A2" w:rsidP="006E7B2D">
      <w:pPr>
        <w:rPr>
          <w:rFonts w:asciiTheme="majorHAnsi" w:hAnsiTheme="majorHAnsi"/>
        </w:rPr>
      </w:pPr>
      <w:r w:rsidRPr="008E2314">
        <w:rPr>
          <w:rFonts w:asciiTheme="majorHAnsi" w:hAnsiTheme="majorHAnsi"/>
        </w:rPr>
        <w:t xml:space="preserve">Komisja zbadała wniosek, uwagi państw członkowskich i EFSA oraz sprawozdanie techniczne EFSA dotyczące substancji wraz z dodatkowymi informacjami i uwagami przedłożonymi przez wnioskodawcę przed sfinalizowaniem projektu niniejszego sprawozdania z przeglądu </w:t>
      </w:r>
      <w:r w:rsidRPr="008E2314">
        <w:rPr>
          <w:rFonts w:asciiTheme="majorHAnsi" w:hAnsiTheme="majorHAnsi"/>
        </w:rPr>
        <w:lastRenderedPageBreak/>
        <w:t xml:space="preserve">przekazanego Stałemu Komitetowi ds. Roślin, Zwierząt, Żywności i Paszy do analizy. Projekt sprawozdania z przeglądu został sfinalizowany podczas posiedzenia Stałego Komitetu w dniu 20 lipca 2018 r. </w:t>
      </w:r>
    </w:p>
    <w:p w:rsidR="009F79A2" w:rsidRPr="008E2314" w:rsidRDefault="009F79A2" w:rsidP="006E7B2D">
      <w:pPr>
        <w:rPr>
          <w:rFonts w:asciiTheme="majorHAnsi" w:hAnsiTheme="majorHAnsi"/>
        </w:rPr>
      </w:pPr>
    </w:p>
    <w:p w:rsidR="006E7B2D" w:rsidRPr="008E2314" w:rsidRDefault="009F79A2" w:rsidP="006E7B2D">
      <w:pPr>
        <w:rPr>
          <w:rFonts w:asciiTheme="majorHAnsi" w:hAnsiTheme="majorHAnsi"/>
        </w:rPr>
      </w:pPr>
      <w:r w:rsidRPr="008E2314">
        <w:rPr>
          <w:rFonts w:asciiTheme="majorHAnsi" w:hAnsiTheme="majorHAnsi"/>
        </w:rPr>
        <w:t>Niniejsze sprawozdanie z przeglądu zawiera wnioski z analizy końcowej przeprowadzonej przez Stały Komitet. Biorąc pod uwagę znaczenie sprawozdania technicznego EFSA, uwag, dodatkowych informacji i wyjaśnień, wszystkie te dokumenty są traktowane jak część niniejszego sprawozdania z przeglądu.</w:t>
      </w:r>
    </w:p>
    <w:p w:rsidR="009F79A2" w:rsidRPr="008E2314" w:rsidRDefault="009F79A2" w:rsidP="006E7B2D">
      <w:pPr>
        <w:rPr>
          <w:rFonts w:asciiTheme="majorHAnsi" w:hAnsiTheme="majorHAnsi"/>
        </w:rPr>
      </w:pPr>
    </w:p>
    <w:p w:rsidR="009F79A2" w:rsidRPr="008E2314" w:rsidRDefault="009F79A2" w:rsidP="006E7B2D">
      <w:pPr>
        <w:rPr>
          <w:rFonts w:asciiTheme="majorHAnsi" w:hAnsiTheme="majorHAnsi"/>
          <w:b/>
          <w:bCs/>
        </w:rPr>
      </w:pPr>
      <w:r w:rsidRPr="008E2314">
        <w:rPr>
          <w:rFonts w:asciiTheme="majorHAnsi" w:hAnsiTheme="majorHAnsi"/>
          <w:b/>
          <w:bCs/>
        </w:rPr>
        <w:t xml:space="preserve">2. </w:t>
      </w:r>
      <w:r w:rsidRPr="008E2314">
        <w:rPr>
          <w:rFonts w:asciiTheme="majorHAnsi" w:hAnsiTheme="majorHAnsi"/>
          <w:b/>
          <w:bCs/>
        </w:rPr>
        <w:tab/>
        <w:t>Cele sprawozdania z przeglądu</w:t>
      </w:r>
    </w:p>
    <w:p w:rsidR="009F79A2" w:rsidRPr="008E2314" w:rsidRDefault="009F79A2" w:rsidP="006E7B2D">
      <w:pPr>
        <w:rPr>
          <w:rFonts w:asciiTheme="majorHAnsi" w:hAnsiTheme="majorHAnsi"/>
        </w:rPr>
      </w:pPr>
    </w:p>
    <w:p w:rsidR="00D57C57" w:rsidRPr="008E2314" w:rsidRDefault="009F79A2" w:rsidP="006E7B2D">
      <w:pPr>
        <w:rPr>
          <w:rFonts w:asciiTheme="majorHAnsi" w:hAnsiTheme="majorHAnsi"/>
        </w:rPr>
      </w:pPr>
      <w:r w:rsidRPr="008E2314">
        <w:rPr>
          <w:rFonts w:asciiTheme="majorHAnsi" w:hAnsiTheme="majorHAnsi"/>
        </w:rPr>
        <w:t xml:space="preserve">Niniejsze sprawozdanie z przeglądu, w tym dokumenty uzupełniające i załączniki, zostało opracowano na potrzeby uzasadnienia </w:t>
      </w:r>
      <w:r w:rsidRPr="008E2314">
        <w:rPr>
          <w:rFonts w:asciiTheme="majorHAnsi" w:hAnsiTheme="majorHAnsi"/>
          <w:b/>
          <w:bCs/>
        </w:rPr>
        <w:t>Rozporządzenia Wykonawczego Komisji (UE) 2018/1294</w:t>
      </w:r>
      <w:r w:rsidRPr="008E2314">
        <w:rPr>
          <w:rStyle w:val="Odwoanieprzypisudolnego"/>
          <w:rFonts w:asciiTheme="majorHAnsi" w:hAnsiTheme="majorHAnsi"/>
          <w:b/>
          <w:bCs/>
        </w:rPr>
        <w:footnoteReference w:id="4"/>
      </w:r>
      <w:r w:rsidRPr="008E2314">
        <w:rPr>
          <w:rFonts w:asciiTheme="majorHAnsi" w:hAnsiTheme="majorHAnsi"/>
        </w:rPr>
        <w:t xml:space="preserve"> w sprawie zatwierdzenia substancji podstawowej olej cebulowy zgodnie z rozporządzeniem Parlamentu Europejskiego i Rady (WE) nr 1107/2009. </w:t>
      </w:r>
    </w:p>
    <w:p w:rsidR="00D57C57" w:rsidRPr="008E2314" w:rsidRDefault="00D57C57" w:rsidP="006E7B2D">
      <w:pPr>
        <w:rPr>
          <w:rFonts w:asciiTheme="majorHAnsi" w:hAnsiTheme="majorHAnsi"/>
        </w:rPr>
      </w:pPr>
    </w:p>
    <w:p w:rsidR="00D57C57" w:rsidRPr="008E2314" w:rsidRDefault="009F79A2" w:rsidP="006E7B2D">
      <w:pPr>
        <w:rPr>
          <w:rFonts w:asciiTheme="majorHAnsi" w:hAnsiTheme="majorHAnsi"/>
        </w:rPr>
      </w:pPr>
      <w:r w:rsidRPr="008E2314">
        <w:rPr>
          <w:rFonts w:asciiTheme="majorHAnsi" w:hAnsiTheme="majorHAnsi"/>
        </w:rPr>
        <w:t xml:space="preserve">Sprawozdanie z przeglądu zostanie udostępnione do konsultacji publicznych przez wszystkie zainteresowane strony. </w:t>
      </w:r>
    </w:p>
    <w:p w:rsidR="00D57C57" w:rsidRPr="008E2314" w:rsidRDefault="00D57C57" w:rsidP="006E7B2D">
      <w:pPr>
        <w:rPr>
          <w:rFonts w:asciiTheme="majorHAnsi" w:hAnsiTheme="majorHAnsi"/>
        </w:rPr>
      </w:pPr>
    </w:p>
    <w:p w:rsidR="00D57C57" w:rsidRPr="008E2314" w:rsidRDefault="009F79A2" w:rsidP="006E7B2D">
      <w:pPr>
        <w:rPr>
          <w:rFonts w:asciiTheme="majorHAnsi" w:hAnsiTheme="majorHAnsi"/>
        </w:rPr>
      </w:pPr>
      <w:r w:rsidRPr="008E2314">
        <w:rPr>
          <w:rFonts w:asciiTheme="majorHAnsi" w:hAnsiTheme="majorHAnsi"/>
        </w:rPr>
        <w:t>Bez uszczerbku dla p</w:t>
      </w:r>
      <w:r w:rsidR="00031A28" w:rsidRPr="008E2314">
        <w:rPr>
          <w:rFonts w:asciiTheme="majorHAnsi" w:hAnsiTheme="majorHAnsi"/>
        </w:rPr>
        <w:t>rzepisów Rozporządzenia (WE) N</w:t>
      </w:r>
      <w:r w:rsidR="00D57C57" w:rsidRPr="008E2314">
        <w:rPr>
          <w:rFonts w:asciiTheme="majorHAnsi" w:hAnsiTheme="majorHAnsi"/>
        </w:rPr>
        <w:t>r 178/2002</w:t>
      </w:r>
      <w:r w:rsidR="00D57C57" w:rsidRPr="008E2314">
        <w:rPr>
          <w:rStyle w:val="Odwoanieprzypisudolnego"/>
          <w:rFonts w:asciiTheme="majorHAnsi" w:hAnsiTheme="majorHAnsi"/>
        </w:rPr>
        <w:footnoteReference w:id="5"/>
      </w:r>
      <w:r w:rsidRPr="008E2314">
        <w:rPr>
          <w:rFonts w:asciiTheme="majorHAnsi" w:hAnsiTheme="majorHAnsi"/>
        </w:rPr>
        <w:t xml:space="preserve"> , w szczególności w odniesieniu do odpowiedzialności podmiotów gospodarczych, po zatwierdzeniu oleju </w:t>
      </w:r>
      <w:r w:rsidR="00D57C57" w:rsidRPr="008E2314">
        <w:rPr>
          <w:rFonts w:asciiTheme="majorHAnsi" w:hAnsiTheme="majorHAnsi"/>
        </w:rPr>
        <w:t>cebulowego</w:t>
      </w:r>
      <w:r w:rsidRPr="008E2314">
        <w:rPr>
          <w:rFonts w:asciiTheme="majorHAnsi" w:hAnsiTheme="majorHAnsi"/>
        </w:rPr>
        <w:t xml:space="preserve"> jako substancji podstawowej</w:t>
      </w:r>
      <w:r w:rsidR="00D57C57" w:rsidRPr="008E2314">
        <w:rPr>
          <w:rFonts w:asciiTheme="majorHAnsi" w:hAnsiTheme="majorHAnsi"/>
        </w:rPr>
        <w:t>,</w:t>
      </w:r>
      <w:r w:rsidRPr="008E2314">
        <w:rPr>
          <w:rFonts w:asciiTheme="majorHAnsi" w:hAnsiTheme="majorHAnsi"/>
        </w:rPr>
        <w:t xml:space="preserve"> podmioty gospodarcze są odpowiedzialne za stosowanie go do celów ochrony roślin</w:t>
      </w:r>
      <w:r w:rsidR="00031A28" w:rsidRPr="008E2314">
        <w:rPr>
          <w:rFonts w:asciiTheme="majorHAnsi" w:hAnsiTheme="majorHAnsi"/>
        </w:rPr>
        <w:t xml:space="preserve"> zgodnie z przepisami prawnymi Rozporządzenia (WE) N</w:t>
      </w:r>
      <w:r w:rsidRPr="008E2314">
        <w:rPr>
          <w:rFonts w:asciiTheme="majorHAnsi" w:hAnsiTheme="majorHAnsi"/>
        </w:rPr>
        <w:t xml:space="preserve">r 1107/2009 oraz warunkami określonymi w sekcjach 4 i 5 oraz w załącznikach I </w:t>
      </w:r>
      <w:proofErr w:type="spellStart"/>
      <w:r w:rsidRPr="008E2314">
        <w:rPr>
          <w:rFonts w:asciiTheme="majorHAnsi" w:hAnsiTheme="majorHAnsi"/>
        </w:rPr>
        <w:t>i</w:t>
      </w:r>
      <w:proofErr w:type="spellEnd"/>
      <w:r w:rsidRPr="008E2314">
        <w:rPr>
          <w:rFonts w:asciiTheme="majorHAnsi" w:hAnsiTheme="majorHAnsi"/>
        </w:rPr>
        <w:t xml:space="preserve"> II niniejszego sprawozdania z przeglądu. </w:t>
      </w:r>
    </w:p>
    <w:p w:rsidR="00D57C57" w:rsidRPr="008E2314" w:rsidRDefault="00D57C57" w:rsidP="006E7B2D">
      <w:pPr>
        <w:rPr>
          <w:rFonts w:asciiTheme="majorHAnsi" w:hAnsiTheme="majorHAnsi"/>
        </w:rPr>
      </w:pPr>
    </w:p>
    <w:p w:rsidR="00D57C57" w:rsidRPr="008E2314" w:rsidRDefault="009F79A2" w:rsidP="006E7B2D">
      <w:pPr>
        <w:rPr>
          <w:rFonts w:asciiTheme="majorHAnsi" w:hAnsiTheme="majorHAnsi"/>
        </w:rPr>
      </w:pPr>
      <w:r w:rsidRPr="008E2314">
        <w:rPr>
          <w:rFonts w:asciiTheme="majorHAnsi" w:hAnsiTheme="majorHAnsi"/>
        </w:rPr>
        <w:t xml:space="preserve">EFSA udostępni do wiadomości publicznej wszystkie dokumenty uzupełniające i końcowe Sprawozdanie Techniczne EFSA, a także wniosek bez załączników i wszelkich informacji, których poufne traktowanie jest uzasadnione </w:t>
      </w:r>
      <w:r w:rsidR="00D57C57" w:rsidRPr="008E2314">
        <w:rPr>
          <w:rFonts w:asciiTheme="majorHAnsi" w:hAnsiTheme="majorHAnsi"/>
        </w:rPr>
        <w:t xml:space="preserve">na mocy </w:t>
      </w:r>
      <w:r w:rsidR="00031A28" w:rsidRPr="008E2314">
        <w:rPr>
          <w:rFonts w:asciiTheme="majorHAnsi" w:hAnsiTheme="majorHAnsi"/>
        </w:rPr>
        <w:t>art. 63 Rozporządzenia (WE) N</w:t>
      </w:r>
      <w:r w:rsidRPr="008E2314">
        <w:rPr>
          <w:rFonts w:asciiTheme="majorHAnsi" w:hAnsiTheme="majorHAnsi"/>
        </w:rPr>
        <w:t xml:space="preserve">r 1107/2009. </w:t>
      </w:r>
    </w:p>
    <w:p w:rsidR="00D57C57" w:rsidRPr="008E2314" w:rsidRDefault="00D57C57" w:rsidP="006E7B2D">
      <w:pPr>
        <w:rPr>
          <w:rFonts w:asciiTheme="majorHAnsi" w:hAnsiTheme="majorHAnsi"/>
        </w:rPr>
      </w:pPr>
    </w:p>
    <w:p w:rsidR="006E7B2D" w:rsidRPr="008E2314" w:rsidRDefault="009F79A2" w:rsidP="006E7B2D">
      <w:pPr>
        <w:rPr>
          <w:rFonts w:asciiTheme="majorHAnsi" w:hAnsiTheme="majorHAnsi"/>
        </w:rPr>
      </w:pPr>
      <w:r w:rsidRPr="008E2314">
        <w:rPr>
          <w:rFonts w:asciiTheme="majorHAnsi" w:hAnsiTheme="majorHAnsi"/>
        </w:rPr>
        <w:t>Produkty zawierające wyłącznie jedną substancję podstawową lub więcej nie wymagają autoryzacji zgodnie z odstępstwe</w:t>
      </w:r>
      <w:r w:rsidR="00031A28" w:rsidRPr="008E2314">
        <w:rPr>
          <w:rFonts w:asciiTheme="majorHAnsi" w:hAnsiTheme="majorHAnsi"/>
        </w:rPr>
        <w:t>m ustanowionym na mocy art. 28 Rozporządzenia (WE) N</w:t>
      </w:r>
      <w:r w:rsidRPr="008E2314">
        <w:rPr>
          <w:rFonts w:asciiTheme="majorHAnsi" w:hAnsiTheme="majorHAnsi"/>
        </w:rPr>
        <w:t xml:space="preserve">r 1107/2009. W związku z tym dalsza ocena takich produktów nie będzie przeprowadzana. Jednakże Komisja może w dowolnej chwili dokonać przeglądu zatwierdzenia substancji podstawowej zgodnie z </w:t>
      </w:r>
      <w:r w:rsidR="00031A28" w:rsidRPr="008E2314">
        <w:rPr>
          <w:rFonts w:asciiTheme="majorHAnsi" w:hAnsiTheme="majorHAnsi"/>
        </w:rPr>
        <w:t>postanowieniami art. 23 ust. 6 Rozporządzenia (WE) N</w:t>
      </w:r>
      <w:r w:rsidRPr="008E2314">
        <w:rPr>
          <w:rFonts w:asciiTheme="majorHAnsi" w:hAnsiTheme="majorHAnsi"/>
        </w:rPr>
        <w:t>r 1107/2009.</w:t>
      </w:r>
    </w:p>
    <w:p w:rsidR="00D57C57" w:rsidRPr="008E2314" w:rsidRDefault="00D57C57" w:rsidP="006E7B2D">
      <w:pPr>
        <w:rPr>
          <w:rFonts w:asciiTheme="majorHAnsi" w:hAnsiTheme="majorHAnsi"/>
        </w:rPr>
      </w:pPr>
    </w:p>
    <w:p w:rsidR="00D57C57" w:rsidRPr="008E2314" w:rsidRDefault="00D57C57" w:rsidP="006E7B2D">
      <w:pPr>
        <w:rPr>
          <w:rFonts w:asciiTheme="majorHAnsi" w:hAnsiTheme="majorHAnsi"/>
          <w:b/>
          <w:bCs/>
        </w:rPr>
      </w:pPr>
      <w:r w:rsidRPr="008E2314">
        <w:rPr>
          <w:rFonts w:asciiTheme="majorHAnsi" w:hAnsiTheme="majorHAnsi"/>
          <w:b/>
          <w:bCs/>
        </w:rPr>
        <w:t xml:space="preserve">3. </w:t>
      </w:r>
      <w:r w:rsidRPr="008E2314">
        <w:rPr>
          <w:rFonts w:asciiTheme="majorHAnsi" w:hAnsiTheme="majorHAnsi"/>
          <w:b/>
          <w:bCs/>
        </w:rPr>
        <w:tab/>
        <w:t>Wniosek ogólny w kontekści</w:t>
      </w:r>
      <w:r w:rsidR="00031A28" w:rsidRPr="008E2314">
        <w:rPr>
          <w:rFonts w:asciiTheme="majorHAnsi" w:hAnsiTheme="majorHAnsi"/>
          <w:b/>
          <w:bCs/>
        </w:rPr>
        <w:t>e Rozporządzenia (WE) N</w:t>
      </w:r>
      <w:r w:rsidRPr="008E2314">
        <w:rPr>
          <w:rFonts w:asciiTheme="majorHAnsi" w:hAnsiTheme="majorHAnsi"/>
          <w:b/>
          <w:bCs/>
        </w:rPr>
        <w:t>r 1107/2009</w:t>
      </w:r>
    </w:p>
    <w:p w:rsidR="00D57C57" w:rsidRPr="008E2314" w:rsidRDefault="00D57C57" w:rsidP="006E7B2D">
      <w:pPr>
        <w:rPr>
          <w:rFonts w:asciiTheme="majorHAnsi" w:hAnsiTheme="majorHAnsi"/>
          <w:b/>
          <w:bCs/>
        </w:rPr>
      </w:pPr>
    </w:p>
    <w:p w:rsidR="00D57C57" w:rsidRPr="008E2314" w:rsidRDefault="00D57C57" w:rsidP="006E7B2D">
      <w:pPr>
        <w:rPr>
          <w:rFonts w:asciiTheme="majorHAnsi" w:hAnsiTheme="majorHAnsi"/>
        </w:rPr>
      </w:pPr>
      <w:r w:rsidRPr="008E2314">
        <w:rPr>
          <w:rFonts w:asciiTheme="majorHAnsi" w:hAnsiTheme="majorHAnsi"/>
        </w:rPr>
        <w:t xml:space="preserve">W oparciu o złożony wniosek, w tym o wyniki oceny przeprowadzonej przy wsparciu naukowym EFSA, a także o uwagi i dodatkowe informacje przekazane przez wnioskodawcę w celu wyjaśnienia wątpliwości zidentyfikowanych w Sprawozdaniu Technicznym EFSA, </w:t>
      </w:r>
      <w:r w:rsidRPr="008E2314">
        <w:rPr>
          <w:rFonts w:asciiTheme="majorHAnsi" w:hAnsiTheme="majorHAnsi"/>
        </w:rPr>
        <w:lastRenderedPageBreak/>
        <w:t xml:space="preserve">wywnioskowano, iż istnieją wyraźne wskazania, na podstawie których można oczekiwać, że olej cebulowy spełnia kryteria określone w art. 23. </w:t>
      </w:r>
    </w:p>
    <w:p w:rsidR="00D57C57" w:rsidRPr="008E2314" w:rsidRDefault="00D57C57" w:rsidP="006E7B2D">
      <w:pPr>
        <w:rPr>
          <w:rFonts w:asciiTheme="majorHAnsi" w:hAnsiTheme="majorHAnsi"/>
        </w:rPr>
      </w:pPr>
    </w:p>
    <w:p w:rsidR="00D57C57" w:rsidRPr="008E2314" w:rsidRDefault="00D57C57" w:rsidP="006E7B2D">
      <w:pPr>
        <w:rPr>
          <w:rFonts w:asciiTheme="majorHAnsi" w:hAnsiTheme="majorHAnsi"/>
        </w:rPr>
      </w:pPr>
      <w:r w:rsidRPr="008E2314">
        <w:rPr>
          <w:rFonts w:asciiTheme="majorHAnsi" w:hAnsiTheme="majorHAnsi"/>
        </w:rPr>
        <w:t xml:space="preserve">Olej cebulowy jest stosowany jako </w:t>
      </w:r>
      <w:r w:rsidR="00950B3C" w:rsidRPr="008E2314">
        <w:rPr>
          <w:rFonts w:asciiTheme="majorHAnsi" w:hAnsiTheme="majorHAnsi"/>
        </w:rPr>
        <w:t xml:space="preserve">środek smakowy i zapachowy w przemyśle spożywczym, a także w medycynie tradycyjnej i fitoterapii. </w:t>
      </w:r>
    </w:p>
    <w:p w:rsidR="00950B3C" w:rsidRPr="008E2314" w:rsidRDefault="00950B3C" w:rsidP="006E7B2D">
      <w:pPr>
        <w:rPr>
          <w:rFonts w:asciiTheme="majorHAnsi" w:hAnsiTheme="majorHAnsi"/>
        </w:rPr>
      </w:pPr>
    </w:p>
    <w:p w:rsidR="00950B3C" w:rsidRPr="008E2314" w:rsidRDefault="00950B3C" w:rsidP="006E7B2D">
      <w:pPr>
        <w:rPr>
          <w:rFonts w:asciiTheme="majorHAnsi" w:hAnsiTheme="majorHAnsi"/>
        </w:rPr>
      </w:pPr>
      <w:r w:rsidRPr="008E2314">
        <w:rPr>
          <w:rFonts w:asciiTheme="majorHAnsi" w:hAnsiTheme="majorHAnsi"/>
        </w:rPr>
        <w:t xml:space="preserve">Olej cebulowy może być stosowany jako środek aromatyzujący będący składnikiem żywności zgodnie z postanowieniami Rozporządzenia (WE) Nr 1334/2008, przez co spełnia kryteria „środka spożywczego” zdefiniowanego w </w:t>
      </w:r>
      <w:proofErr w:type="spellStart"/>
      <w:r w:rsidRPr="008E2314">
        <w:rPr>
          <w:rFonts w:asciiTheme="majorHAnsi" w:hAnsiTheme="majorHAnsi"/>
        </w:rPr>
        <w:t>w</w:t>
      </w:r>
      <w:proofErr w:type="spellEnd"/>
      <w:r w:rsidRPr="008E2314">
        <w:rPr>
          <w:rFonts w:asciiTheme="majorHAnsi" w:hAnsiTheme="majorHAnsi"/>
        </w:rPr>
        <w:t xml:space="preserve"> art. 2 Rozporządzenia (WE) Nr 178/2002.</w:t>
      </w:r>
    </w:p>
    <w:p w:rsidR="00D57C57" w:rsidRPr="008E2314" w:rsidRDefault="00D57C57" w:rsidP="006E7B2D">
      <w:pPr>
        <w:rPr>
          <w:rFonts w:asciiTheme="majorHAnsi" w:hAnsiTheme="majorHAnsi"/>
        </w:rPr>
      </w:pPr>
    </w:p>
    <w:p w:rsidR="00D57C57" w:rsidRPr="008E2314" w:rsidRDefault="00950B3C" w:rsidP="006E7B2D">
      <w:pPr>
        <w:rPr>
          <w:rFonts w:asciiTheme="majorHAnsi" w:hAnsiTheme="majorHAnsi"/>
          <w:sz w:val="23"/>
          <w:szCs w:val="23"/>
        </w:rPr>
      </w:pPr>
      <w:r w:rsidRPr="008E2314">
        <w:rPr>
          <w:rFonts w:asciiTheme="majorHAnsi" w:hAnsiTheme="majorHAnsi"/>
        </w:rPr>
        <w:t>Proponowane wykorzystanie jako substancji podstawowej zostało poparte badaniami na roślinach należących do rodziny baldaszkowatych (</w:t>
      </w:r>
      <w:proofErr w:type="spellStart"/>
      <w:r w:rsidRPr="008E2314">
        <w:rPr>
          <w:rFonts w:asciiTheme="majorHAnsi" w:hAnsiTheme="majorHAnsi"/>
          <w:i/>
          <w:iCs/>
          <w:sz w:val="23"/>
          <w:szCs w:val="23"/>
        </w:rPr>
        <w:t>Umbelliferae</w:t>
      </w:r>
      <w:proofErr w:type="spellEnd"/>
      <w:r w:rsidRPr="008E2314">
        <w:rPr>
          <w:rFonts w:asciiTheme="majorHAnsi" w:hAnsiTheme="majorHAnsi"/>
          <w:sz w:val="23"/>
          <w:szCs w:val="23"/>
        </w:rPr>
        <w:t xml:space="preserve">) (marchewka, seler, pasternak, pietruszka) </w:t>
      </w:r>
      <w:r w:rsidR="00EA19A2" w:rsidRPr="008E2314">
        <w:rPr>
          <w:rFonts w:asciiTheme="majorHAnsi" w:hAnsiTheme="majorHAnsi"/>
          <w:sz w:val="23"/>
          <w:szCs w:val="23"/>
        </w:rPr>
        <w:t xml:space="preserve">w zakresie skuteczności przeciw </w:t>
      </w:r>
      <w:proofErr w:type="spellStart"/>
      <w:r w:rsidR="00EA19A2" w:rsidRPr="008E2314">
        <w:rPr>
          <w:rFonts w:asciiTheme="majorHAnsi" w:hAnsiTheme="majorHAnsi"/>
          <w:sz w:val="23"/>
          <w:szCs w:val="23"/>
        </w:rPr>
        <w:t>połyśnicy</w:t>
      </w:r>
      <w:proofErr w:type="spellEnd"/>
      <w:r w:rsidR="00EA19A2" w:rsidRPr="008E2314">
        <w:rPr>
          <w:rFonts w:asciiTheme="majorHAnsi" w:hAnsiTheme="majorHAnsi"/>
          <w:sz w:val="23"/>
          <w:szCs w:val="23"/>
        </w:rPr>
        <w:t xml:space="preserve"> marchwiance w drodze maskowania zapachu roślin baldaszkowatych. </w:t>
      </w:r>
    </w:p>
    <w:p w:rsidR="00EA19A2" w:rsidRPr="008E2314" w:rsidRDefault="00EA19A2" w:rsidP="006E7B2D">
      <w:pPr>
        <w:rPr>
          <w:rFonts w:asciiTheme="majorHAnsi" w:hAnsiTheme="majorHAnsi"/>
          <w:sz w:val="23"/>
          <w:szCs w:val="23"/>
        </w:rPr>
      </w:pPr>
    </w:p>
    <w:p w:rsidR="00EA19A2" w:rsidRPr="008E2314" w:rsidRDefault="00EA19A2" w:rsidP="006E7B2D">
      <w:pPr>
        <w:rPr>
          <w:rFonts w:asciiTheme="majorHAnsi" w:hAnsiTheme="majorHAnsi"/>
          <w:sz w:val="23"/>
          <w:szCs w:val="23"/>
        </w:rPr>
      </w:pPr>
      <w:r w:rsidRPr="008E2314">
        <w:rPr>
          <w:rFonts w:asciiTheme="majorHAnsi" w:hAnsiTheme="majorHAnsi"/>
          <w:sz w:val="23"/>
          <w:szCs w:val="23"/>
        </w:rPr>
        <w:t>Sprawozdanie techniczne EFSA wskazuje niemożność ocenienia narażenia konsumentów na pozostałości oleju cebulowego. Jednakże, biorąc pod uwagę metodę aplikacji (np. przez dozowniki lub granulki) i lotność głównych komponentów, a także charakter komponentów, nie ma dowodów oddziaływania toksycznych pozostałości na konsumentów.</w:t>
      </w:r>
    </w:p>
    <w:p w:rsidR="00EA19A2" w:rsidRPr="008E2314" w:rsidRDefault="00EA19A2" w:rsidP="006E7B2D">
      <w:pPr>
        <w:rPr>
          <w:rFonts w:asciiTheme="majorHAnsi" w:hAnsiTheme="majorHAnsi"/>
          <w:sz w:val="23"/>
          <w:szCs w:val="23"/>
        </w:rPr>
      </w:pPr>
    </w:p>
    <w:p w:rsidR="00EA19A2" w:rsidRPr="008E2314" w:rsidRDefault="00EA19A2" w:rsidP="006E7B2D">
      <w:pPr>
        <w:rPr>
          <w:rFonts w:asciiTheme="majorHAnsi" w:hAnsiTheme="majorHAnsi"/>
          <w:sz w:val="23"/>
          <w:szCs w:val="23"/>
        </w:rPr>
      </w:pPr>
      <w:r w:rsidRPr="008E2314">
        <w:rPr>
          <w:rFonts w:asciiTheme="majorHAnsi" w:hAnsiTheme="majorHAnsi"/>
          <w:sz w:val="23"/>
          <w:szCs w:val="23"/>
        </w:rPr>
        <w:t>Ponadto, uwzględniając dawkowanie i porównując potencjalne zanieczyszczenia upraw marchwi z naturalną obecnością komponentów w uprawach cebuli i narażenie konsumentów w wyniku spożycia, można wywnioskować, iż ekspozycja upraw marchwi na działanie substancji nie spowoduje narażenia konsumentów na jej pozostałości.</w:t>
      </w:r>
    </w:p>
    <w:p w:rsidR="00EA19A2" w:rsidRPr="008E2314" w:rsidRDefault="00EA19A2" w:rsidP="006E7B2D">
      <w:pPr>
        <w:rPr>
          <w:rFonts w:asciiTheme="majorHAnsi" w:hAnsiTheme="majorHAnsi"/>
          <w:sz w:val="23"/>
          <w:szCs w:val="23"/>
        </w:rPr>
      </w:pPr>
    </w:p>
    <w:p w:rsidR="00EA19A2" w:rsidRPr="008E2314" w:rsidRDefault="00EA19A2" w:rsidP="006E7B2D">
      <w:pPr>
        <w:rPr>
          <w:rFonts w:asciiTheme="majorHAnsi" w:hAnsiTheme="majorHAnsi"/>
        </w:rPr>
      </w:pPr>
      <w:r w:rsidRPr="008E2314">
        <w:rPr>
          <w:rFonts w:asciiTheme="majorHAnsi" w:hAnsiTheme="majorHAnsi"/>
          <w:sz w:val="23"/>
          <w:szCs w:val="23"/>
        </w:rPr>
        <w:t xml:space="preserve">W związku z powyższym, uwzględniając wnioski EFSA, dawkowanie oraz warunki stosowania opisane szczegółowo w załączniku I </w:t>
      </w:r>
      <w:proofErr w:type="spellStart"/>
      <w:r w:rsidRPr="008E2314">
        <w:rPr>
          <w:rFonts w:asciiTheme="majorHAnsi" w:hAnsiTheme="majorHAnsi"/>
          <w:sz w:val="23"/>
          <w:szCs w:val="23"/>
        </w:rPr>
        <w:t>i</w:t>
      </w:r>
      <w:proofErr w:type="spellEnd"/>
      <w:r w:rsidRPr="008E2314">
        <w:rPr>
          <w:rFonts w:asciiTheme="majorHAnsi" w:hAnsiTheme="majorHAnsi"/>
          <w:sz w:val="23"/>
          <w:szCs w:val="23"/>
        </w:rPr>
        <w:t xml:space="preserve"> II, można wywnioskować, że zastosowanie oleju cebulowego nie </w:t>
      </w:r>
      <w:r w:rsidR="00304744" w:rsidRPr="008E2314">
        <w:rPr>
          <w:rFonts w:asciiTheme="majorHAnsi" w:hAnsiTheme="majorHAnsi"/>
          <w:sz w:val="23"/>
          <w:szCs w:val="23"/>
        </w:rPr>
        <w:t xml:space="preserve">stwarza zagrożenia dla zdrowia ludzi. Ponadto, biorąc pod uwagę warunki zastosowania oraz ścieżkę rozkładu, nie oczekuje się obecności pozostałości lub niedopuszczalnego oddziaływania na środowisko. </w:t>
      </w:r>
    </w:p>
    <w:p w:rsidR="00950B3C" w:rsidRPr="008E2314" w:rsidRDefault="00950B3C" w:rsidP="006E7B2D">
      <w:pPr>
        <w:rPr>
          <w:rFonts w:asciiTheme="majorHAnsi" w:hAnsiTheme="majorHAnsi"/>
        </w:rPr>
      </w:pPr>
    </w:p>
    <w:p w:rsidR="00950B3C" w:rsidRPr="008E2314" w:rsidRDefault="00D57C57" w:rsidP="006E7B2D">
      <w:pPr>
        <w:rPr>
          <w:rFonts w:asciiTheme="majorHAnsi" w:hAnsiTheme="majorHAnsi"/>
        </w:rPr>
      </w:pPr>
      <w:r w:rsidRPr="008E2314">
        <w:rPr>
          <w:rFonts w:asciiTheme="majorHAnsi" w:hAnsiTheme="majorHAnsi"/>
        </w:rPr>
        <w:t xml:space="preserve">Olej </w:t>
      </w:r>
      <w:r w:rsidR="00B87239" w:rsidRPr="008E2314">
        <w:rPr>
          <w:rFonts w:asciiTheme="majorHAnsi" w:hAnsiTheme="majorHAnsi"/>
        </w:rPr>
        <w:t xml:space="preserve">cebulowy </w:t>
      </w:r>
      <w:r w:rsidRPr="008E2314">
        <w:rPr>
          <w:rFonts w:asciiTheme="majorHAnsi" w:hAnsiTheme="majorHAnsi"/>
        </w:rPr>
        <w:t xml:space="preserve">nie jest substancją potencjalnie niebezpieczną i nie </w:t>
      </w:r>
      <w:r w:rsidR="00304744" w:rsidRPr="008E2314">
        <w:rPr>
          <w:rFonts w:asciiTheme="majorHAnsi" w:hAnsiTheme="majorHAnsi"/>
        </w:rPr>
        <w:t>posiada swoistej zdolności</w:t>
      </w:r>
      <w:r w:rsidRPr="008E2314">
        <w:rPr>
          <w:rFonts w:asciiTheme="majorHAnsi" w:hAnsiTheme="majorHAnsi"/>
        </w:rPr>
        <w:t xml:space="preserve"> do </w:t>
      </w:r>
      <w:r w:rsidR="00304744" w:rsidRPr="008E2314">
        <w:rPr>
          <w:rFonts w:asciiTheme="majorHAnsi" w:hAnsiTheme="majorHAnsi"/>
        </w:rPr>
        <w:t xml:space="preserve">powodowania zaburzeń układu endokrynologicznego, </w:t>
      </w:r>
      <w:r w:rsidRPr="008E2314">
        <w:rPr>
          <w:rFonts w:asciiTheme="majorHAnsi" w:hAnsiTheme="majorHAnsi"/>
        </w:rPr>
        <w:t xml:space="preserve">działania neurotoksycznego lub </w:t>
      </w:r>
      <w:proofErr w:type="spellStart"/>
      <w:r w:rsidRPr="008E2314">
        <w:rPr>
          <w:rFonts w:asciiTheme="majorHAnsi" w:hAnsiTheme="majorHAnsi"/>
        </w:rPr>
        <w:t>immunotoksycznego</w:t>
      </w:r>
      <w:proofErr w:type="spellEnd"/>
      <w:r w:rsidRPr="008E2314">
        <w:rPr>
          <w:rFonts w:asciiTheme="majorHAnsi" w:hAnsiTheme="majorHAnsi"/>
        </w:rPr>
        <w:t xml:space="preserve"> i nie </w:t>
      </w:r>
      <w:r w:rsidR="00B87239" w:rsidRPr="008E2314">
        <w:rPr>
          <w:rFonts w:asciiTheme="majorHAnsi" w:hAnsiTheme="majorHAnsi"/>
        </w:rPr>
        <w:t xml:space="preserve">jest w głównej mierze wykorzystywana do celów ochrony roślin, ale mimo to jest ona użyteczna w zakresie ochrony roślin w postaci produktu składającego się z tej substancji </w:t>
      </w:r>
      <w:r w:rsidR="00304744" w:rsidRPr="008E2314">
        <w:rPr>
          <w:rFonts w:asciiTheme="majorHAnsi" w:hAnsiTheme="majorHAnsi"/>
        </w:rPr>
        <w:t xml:space="preserve">i wody. </w:t>
      </w:r>
      <w:r w:rsidRPr="008E2314">
        <w:rPr>
          <w:rFonts w:asciiTheme="majorHAnsi" w:hAnsiTheme="majorHAnsi"/>
        </w:rPr>
        <w:t xml:space="preserve"> </w:t>
      </w:r>
      <w:r w:rsidR="00304744" w:rsidRPr="008E2314">
        <w:rPr>
          <w:rFonts w:asciiTheme="majorHAnsi" w:hAnsiTheme="majorHAnsi"/>
        </w:rPr>
        <w:t>Ponadto,</w:t>
      </w:r>
      <w:r w:rsidRPr="008E2314">
        <w:rPr>
          <w:rFonts w:asciiTheme="majorHAnsi" w:hAnsiTheme="majorHAnsi"/>
        </w:rPr>
        <w:t xml:space="preserve"> nie jest wprowadzany do obrotu jako środek ochrony roślin. </w:t>
      </w:r>
    </w:p>
    <w:p w:rsidR="00950B3C" w:rsidRPr="008E2314" w:rsidRDefault="00950B3C" w:rsidP="006E7B2D">
      <w:pPr>
        <w:rPr>
          <w:rFonts w:asciiTheme="majorHAnsi" w:hAnsiTheme="majorHAnsi"/>
        </w:rPr>
      </w:pPr>
    </w:p>
    <w:p w:rsidR="00950B3C" w:rsidRPr="008E2314" w:rsidRDefault="00D57C57" w:rsidP="006E7B2D">
      <w:pPr>
        <w:rPr>
          <w:rFonts w:asciiTheme="majorHAnsi" w:hAnsiTheme="majorHAnsi"/>
        </w:rPr>
      </w:pPr>
      <w:r w:rsidRPr="008E2314">
        <w:rPr>
          <w:rFonts w:asciiTheme="majorHAnsi" w:hAnsiTheme="majorHAnsi"/>
        </w:rPr>
        <w:t xml:space="preserve">Można stwierdzić, że substancja nie </w:t>
      </w:r>
      <w:r w:rsidR="00304744" w:rsidRPr="008E2314">
        <w:rPr>
          <w:rFonts w:asciiTheme="majorHAnsi" w:hAnsiTheme="majorHAnsi"/>
        </w:rPr>
        <w:t xml:space="preserve">wykazuje bezpośredniego, ani też </w:t>
      </w:r>
      <w:r w:rsidRPr="008E2314">
        <w:rPr>
          <w:rFonts w:asciiTheme="majorHAnsi" w:hAnsiTheme="majorHAnsi"/>
        </w:rPr>
        <w:t>opóźnionego szkodliwego wpływu na zdrowie ludzi lub zwierząt</w:t>
      </w:r>
      <w:r w:rsidR="00304744" w:rsidRPr="008E2314">
        <w:rPr>
          <w:rFonts w:asciiTheme="majorHAnsi" w:hAnsiTheme="majorHAnsi"/>
        </w:rPr>
        <w:t>, a także</w:t>
      </w:r>
      <w:r w:rsidRPr="008E2314">
        <w:rPr>
          <w:rFonts w:asciiTheme="majorHAnsi" w:hAnsiTheme="majorHAnsi"/>
        </w:rPr>
        <w:t xml:space="preserve"> niedopuszczalnego wpływu na środowisko, </w:t>
      </w:r>
      <w:r w:rsidR="00304744" w:rsidRPr="008E2314">
        <w:rPr>
          <w:rFonts w:asciiTheme="majorHAnsi" w:hAnsiTheme="majorHAnsi"/>
        </w:rPr>
        <w:t>jeżeli</w:t>
      </w:r>
      <w:r w:rsidRPr="008E2314">
        <w:rPr>
          <w:rFonts w:asciiTheme="majorHAnsi" w:hAnsiTheme="majorHAnsi"/>
        </w:rPr>
        <w:t xml:space="preserve"> jest stosowana zgodnie z przewidzianym zastosowaniem opisanym w załączniku II. </w:t>
      </w:r>
    </w:p>
    <w:p w:rsidR="00304744" w:rsidRPr="008E2314" w:rsidRDefault="00304744" w:rsidP="006E7B2D">
      <w:pPr>
        <w:rPr>
          <w:rFonts w:asciiTheme="majorHAnsi" w:hAnsiTheme="majorHAnsi"/>
        </w:rPr>
      </w:pPr>
    </w:p>
    <w:p w:rsidR="00950B3C" w:rsidRPr="008E2314" w:rsidRDefault="00304744" w:rsidP="006E7B2D">
      <w:pPr>
        <w:rPr>
          <w:rFonts w:asciiTheme="majorHAnsi" w:hAnsiTheme="majorHAnsi"/>
        </w:rPr>
      </w:pPr>
      <w:r w:rsidRPr="008E2314">
        <w:rPr>
          <w:rFonts w:asciiTheme="majorHAnsi" w:hAnsiTheme="majorHAnsi"/>
        </w:rPr>
        <w:t xml:space="preserve">W rzeczywistości, opisane powyżej wskazana uzyskano w ramach </w:t>
      </w:r>
      <w:r w:rsidR="00D57C57" w:rsidRPr="008E2314">
        <w:rPr>
          <w:rFonts w:asciiTheme="majorHAnsi" w:hAnsiTheme="majorHAnsi"/>
        </w:rPr>
        <w:t xml:space="preserve">zastosowań, które zostały przewidziane przez wnioskodawcę i wymienione w wykazie zastosowań popartym dostępnymi danymi (dołączonym jako załącznik II do niniejszego sprawozdania z przeglądu), a zatem podlegają one również szczególnym warunkom i ograniczeniom określonym w sekcji 4 i 5 niniejszego sprawozdania. </w:t>
      </w:r>
    </w:p>
    <w:p w:rsidR="00950B3C" w:rsidRPr="008E2314" w:rsidRDefault="00950B3C" w:rsidP="006E7B2D">
      <w:pPr>
        <w:rPr>
          <w:rFonts w:asciiTheme="majorHAnsi" w:hAnsiTheme="majorHAnsi"/>
        </w:rPr>
      </w:pPr>
    </w:p>
    <w:p w:rsidR="00D57C57" w:rsidRPr="008E2314" w:rsidRDefault="00304744" w:rsidP="006E7B2D">
      <w:pPr>
        <w:rPr>
          <w:rFonts w:asciiTheme="majorHAnsi" w:hAnsiTheme="majorHAnsi"/>
        </w:rPr>
      </w:pPr>
      <w:r w:rsidRPr="008E2314">
        <w:rPr>
          <w:rFonts w:asciiTheme="majorHAnsi" w:hAnsiTheme="majorHAnsi"/>
        </w:rPr>
        <w:t>Rozszerzenie wzorca</w:t>
      </w:r>
      <w:r w:rsidR="00D57C57" w:rsidRPr="008E2314">
        <w:rPr>
          <w:rFonts w:asciiTheme="majorHAnsi" w:hAnsiTheme="majorHAnsi"/>
        </w:rPr>
        <w:t xml:space="preserve"> stosowania </w:t>
      </w:r>
      <w:r w:rsidRPr="008E2314">
        <w:rPr>
          <w:rFonts w:asciiTheme="majorHAnsi" w:hAnsiTheme="majorHAnsi"/>
        </w:rPr>
        <w:t xml:space="preserve">poza zastosowania </w:t>
      </w:r>
      <w:r w:rsidR="00D57C57" w:rsidRPr="008E2314">
        <w:rPr>
          <w:rFonts w:asciiTheme="majorHAnsi" w:hAnsiTheme="majorHAnsi"/>
        </w:rPr>
        <w:t xml:space="preserve">opisane powyżej będzie wymagało oceny na poziomie wspólnotowym w celu ustalenia, czy proponowane </w:t>
      </w:r>
      <w:r w:rsidRPr="008E2314">
        <w:rPr>
          <w:rFonts w:asciiTheme="majorHAnsi" w:hAnsiTheme="majorHAnsi"/>
        </w:rPr>
        <w:t>dodatkowe zastosowania</w:t>
      </w:r>
      <w:r w:rsidR="00D57C57" w:rsidRPr="008E2314">
        <w:rPr>
          <w:rFonts w:asciiTheme="majorHAnsi" w:hAnsiTheme="majorHAnsi"/>
        </w:rPr>
        <w:t xml:space="preserve"> </w:t>
      </w:r>
      <w:r w:rsidR="00031A28" w:rsidRPr="008E2314">
        <w:rPr>
          <w:rFonts w:asciiTheme="majorHAnsi" w:hAnsiTheme="majorHAnsi"/>
        </w:rPr>
        <w:t>nadal spełniają wymogi art. 23 Rozporządzenia (WE) N</w:t>
      </w:r>
      <w:r w:rsidR="00D57C57" w:rsidRPr="008E2314">
        <w:rPr>
          <w:rFonts w:asciiTheme="majorHAnsi" w:hAnsiTheme="majorHAnsi"/>
        </w:rPr>
        <w:t xml:space="preserve">r 1107/2009. </w:t>
      </w:r>
    </w:p>
    <w:p w:rsidR="00304744" w:rsidRPr="008E2314" w:rsidRDefault="00304744" w:rsidP="006E7B2D">
      <w:pPr>
        <w:rPr>
          <w:rFonts w:asciiTheme="majorHAnsi" w:hAnsiTheme="majorHAnsi"/>
        </w:rPr>
      </w:pPr>
    </w:p>
    <w:p w:rsidR="00304744" w:rsidRPr="008E2314" w:rsidRDefault="00304744" w:rsidP="006E7B2D">
      <w:pPr>
        <w:rPr>
          <w:rFonts w:asciiTheme="majorHAnsi" w:hAnsiTheme="majorHAnsi"/>
          <w:b/>
          <w:bCs/>
        </w:rPr>
      </w:pPr>
      <w:r w:rsidRPr="008E2314">
        <w:rPr>
          <w:rFonts w:asciiTheme="majorHAnsi" w:hAnsiTheme="majorHAnsi"/>
          <w:b/>
          <w:bCs/>
        </w:rPr>
        <w:t>4.</w:t>
      </w:r>
      <w:r w:rsidRPr="008E2314">
        <w:rPr>
          <w:rFonts w:asciiTheme="majorHAnsi" w:hAnsiTheme="majorHAnsi"/>
          <w:b/>
          <w:bCs/>
        </w:rPr>
        <w:tab/>
        <w:t>Identyfikacja i właściwości chemiczne</w:t>
      </w:r>
    </w:p>
    <w:p w:rsidR="00304744" w:rsidRPr="008E2314" w:rsidRDefault="00304744" w:rsidP="006E7B2D">
      <w:pPr>
        <w:rPr>
          <w:rFonts w:asciiTheme="majorHAnsi" w:hAnsiTheme="majorHAnsi"/>
          <w:b/>
          <w:bCs/>
        </w:rPr>
      </w:pPr>
    </w:p>
    <w:p w:rsidR="009E04E1" w:rsidRPr="008E2314" w:rsidRDefault="00304744" w:rsidP="006E7B2D">
      <w:pPr>
        <w:rPr>
          <w:rFonts w:asciiTheme="majorHAnsi" w:hAnsiTheme="majorHAnsi"/>
        </w:rPr>
      </w:pPr>
      <w:r w:rsidRPr="008E2314">
        <w:rPr>
          <w:rFonts w:asciiTheme="majorHAnsi" w:hAnsiTheme="majorHAnsi"/>
        </w:rPr>
        <w:t xml:space="preserve">Główne właściwości oleju </w:t>
      </w:r>
      <w:r w:rsidR="00832BC3">
        <w:rPr>
          <w:rFonts w:asciiTheme="majorHAnsi" w:hAnsiTheme="majorHAnsi"/>
        </w:rPr>
        <w:t xml:space="preserve">cebulowego </w:t>
      </w:r>
      <w:r w:rsidRPr="008E2314">
        <w:rPr>
          <w:rFonts w:asciiTheme="majorHAnsi" w:hAnsiTheme="majorHAnsi"/>
        </w:rPr>
        <w:t xml:space="preserve">podano w załączniku I. </w:t>
      </w:r>
    </w:p>
    <w:p w:rsidR="009E04E1" w:rsidRPr="008E2314" w:rsidRDefault="009E04E1" w:rsidP="006E7B2D">
      <w:pPr>
        <w:rPr>
          <w:rFonts w:asciiTheme="majorHAnsi" w:hAnsiTheme="majorHAnsi"/>
        </w:rPr>
      </w:pPr>
    </w:p>
    <w:p w:rsidR="009E04E1" w:rsidRPr="008E2314" w:rsidRDefault="009E04E1" w:rsidP="006E7B2D">
      <w:pPr>
        <w:rPr>
          <w:rFonts w:asciiTheme="majorHAnsi" w:hAnsiTheme="majorHAnsi"/>
        </w:rPr>
      </w:pPr>
      <w:r w:rsidRPr="008E2314">
        <w:rPr>
          <w:rFonts w:asciiTheme="majorHAnsi" w:hAnsiTheme="majorHAnsi"/>
        </w:rPr>
        <w:t xml:space="preserve">Olej cebulowy powinien być produktem przeznaczonym do kontaktu z żywnością. </w:t>
      </w:r>
    </w:p>
    <w:p w:rsidR="009E04E1" w:rsidRPr="008E2314" w:rsidRDefault="009E04E1" w:rsidP="006E7B2D">
      <w:pPr>
        <w:rPr>
          <w:rFonts w:asciiTheme="majorHAnsi" w:hAnsiTheme="majorHAnsi"/>
        </w:rPr>
      </w:pPr>
    </w:p>
    <w:p w:rsidR="00304744" w:rsidRPr="008E2314" w:rsidRDefault="00304744" w:rsidP="006E7B2D">
      <w:pPr>
        <w:rPr>
          <w:rFonts w:asciiTheme="majorHAnsi" w:hAnsiTheme="majorHAnsi"/>
        </w:rPr>
      </w:pPr>
      <w:r w:rsidRPr="008E2314">
        <w:rPr>
          <w:rFonts w:asciiTheme="majorHAnsi" w:hAnsiTheme="majorHAnsi"/>
        </w:rPr>
        <w:t>Ustal</w:t>
      </w:r>
      <w:r w:rsidR="009E04E1" w:rsidRPr="008E2314">
        <w:rPr>
          <w:rFonts w:asciiTheme="majorHAnsi" w:hAnsiTheme="majorHAnsi"/>
        </w:rPr>
        <w:t>ono, że w odniesieniu do oleju cebulowego przeznaczonego do kontaktu z żywnością</w:t>
      </w:r>
      <w:r w:rsidRPr="008E2314">
        <w:rPr>
          <w:rFonts w:asciiTheme="majorHAnsi" w:hAnsiTheme="majorHAnsi"/>
        </w:rPr>
        <w:t xml:space="preserve"> zgłoszonego przez wnioskodawcę</w:t>
      </w:r>
      <w:r w:rsidR="009E04E1" w:rsidRPr="008E2314">
        <w:rPr>
          <w:rFonts w:asciiTheme="majorHAnsi" w:hAnsiTheme="majorHAnsi"/>
        </w:rPr>
        <w:t>, w oparciu o aktualnie dostępne informacje</w:t>
      </w:r>
      <w:r w:rsidRPr="008E2314">
        <w:rPr>
          <w:rFonts w:asciiTheme="majorHAnsi" w:hAnsiTheme="majorHAnsi"/>
        </w:rPr>
        <w:t xml:space="preserve"> nie </w:t>
      </w:r>
      <w:r w:rsidR="009E04E1" w:rsidRPr="008E2314">
        <w:rPr>
          <w:rFonts w:asciiTheme="majorHAnsi" w:hAnsiTheme="majorHAnsi"/>
        </w:rPr>
        <w:t>uwzględnia się</w:t>
      </w:r>
      <w:r w:rsidRPr="008E2314">
        <w:rPr>
          <w:rFonts w:asciiTheme="majorHAnsi" w:hAnsiTheme="majorHAnsi"/>
        </w:rPr>
        <w:t xml:space="preserve"> ża</w:t>
      </w:r>
      <w:r w:rsidR="009E04E1" w:rsidRPr="008E2314">
        <w:rPr>
          <w:rFonts w:asciiTheme="majorHAnsi" w:hAnsiTheme="majorHAnsi"/>
        </w:rPr>
        <w:t>dnych istotnych zanieczyszczeń powodujących powstanie ryzyka toksykologicznego, ekotoksykologicznego lub dla środowiska.</w:t>
      </w:r>
    </w:p>
    <w:p w:rsidR="009E04E1" w:rsidRPr="008E2314" w:rsidRDefault="009E04E1" w:rsidP="006E7B2D">
      <w:pPr>
        <w:rPr>
          <w:rFonts w:asciiTheme="majorHAnsi" w:hAnsiTheme="majorHAnsi"/>
        </w:rPr>
      </w:pPr>
    </w:p>
    <w:p w:rsidR="009E04E1" w:rsidRPr="008E2314" w:rsidRDefault="009E04E1" w:rsidP="006E7B2D">
      <w:pPr>
        <w:rPr>
          <w:rFonts w:asciiTheme="majorHAnsi" w:hAnsiTheme="majorHAnsi"/>
          <w:b/>
          <w:bCs/>
        </w:rPr>
      </w:pPr>
      <w:r w:rsidRPr="008E2314">
        <w:rPr>
          <w:rFonts w:asciiTheme="majorHAnsi" w:hAnsiTheme="majorHAnsi"/>
          <w:b/>
          <w:bCs/>
        </w:rPr>
        <w:t xml:space="preserve">5. </w:t>
      </w:r>
      <w:r w:rsidRPr="008E2314">
        <w:rPr>
          <w:rFonts w:asciiTheme="majorHAnsi" w:hAnsiTheme="majorHAnsi"/>
          <w:b/>
          <w:bCs/>
        </w:rPr>
        <w:tab/>
        <w:t>Szczególne warunki, które należy wziąć pod uwagę w odniesieniu do zastosowań substancji podstawowej olej cebulowy</w:t>
      </w:r>
    </w:p>
    <w:p w:rsidR="009E04E1" w:rsidRPr="008E2314" w:rsidRDefault="009E04E1" w:rsidP="006E7B2D">
      <w:pPr>
        <w:rPr>
          <w:rFonts w:asciiTheme="majorHAnsi" w:hAnsiTheme="majorHAnsi"/>
          <w:b/>
          <w:bCs/>
        </w:rPr>
      </w:pPr>
    </w:p>
    <w:p w:rsidR="009E04E1" w:rsidRPr="008E2314" w:rsidRDefault="009E04E1" w:rsidP="006E7B2D">
      <w:pPr>
        <w:rPr>
          <w:rFonts w:asciiTheme="majorHAnsi" w:hAnsiTheme="majorHAnsi"/>
        </w:rPr>
      </w:pPr>
      <w:r w:rsidRPr="008E2314">
        <w:rPr>
          <w:rFonts w:asciiTheme="majorHAnsi" w:hAnsiTheme="majorHAnsi"/>
        </w:rPr>
        <w:t xml:space="preserve">Olej cebulowy powinien posiadać specyfikacje określone w załączniku I  </w:t>
      </w:r>
      <w:proofErr w:type="spellStart"/>
      <w:r w:rsidRPr="008E2314">
        <w:rPr>
          <w:rFonts w:asciiTheme="majorHAnsi" w:hAnsiTheme="majorHAnsi"/>
        </w:rPr>
        <w:t>i</w:t>
      </w:r>
      <w:proofErr w:type="spellEnd"/>
      <w:r w:rsidRPr="008E2314">
        <w:rPr>
          <w:rFonts w:asciiTheme="majorHAnsi" w:hAnsiTheme="majorHAnsi"/>
        </w:rPr>
        <w:t xml:space="preserve"> musi być stosowany zgodnie z metodą przygotowywania i warunkami zastosowania wskazanymi w załączniku I </w:t>
      </w:r>
      <w:proofErr w:type="spellStart"/>
      <w:r w:rsidRPr="008E2314">
        <w:rPr>
          <w:rFonts w:asciiTheme="majorHAnsi" w:hAnsiTheme="majorHAnsi"/>
        </w:rPr>
        <w:t>i</w:t>
      </w:r>
      <w:proofErr w:type="spellEnd"/>
      <w:r w:rsidRPr="008E2314">
        <w:rPr>
          <w:rFonts w:asciiTheme="majorHAnsi" w:hAnsiTheme="majorHAnsi"/>
        </w:rPr>
        <w:t xml:space="preserve"> II. </w:t>
      </w:r>
    </w:p>
    <w:p w:rsidR="009E04E1" w:rsidRPr="008E2314" w:rsidRDefault="009E04E1" w:rsidP="006E7B2D">
      <w:pPr>
        <w:rPr>
          <w:rFonts w:asciiTheme="majorHAnsi" w:hAnsiTheme="majorHAnsi"/>
        </w:rPr>
      </w:pPr>
    </w:p>
    <w:p w:rsidR="009E04E1" w:rsidRPr="008E2314" w:rsidRDefault="009E04E1" w:rsidP="006E7B2D">
      <w:pPr>
        <w:rPr>
          <w:rFonts w:asciiTheme="majorHAnsi" w:hAnsiTheme="majorHAnsi"/>
        </w:rPr>
      </w:pPr>
      <w:r w:rsidRPr="008E2314">
        <w:rPr>
          <w:rFonts w:asciiTheme="majorHAnsi" w:hAnsiTheme="majorHAnsi"/>
        </w:rPr>
        <w:t>Użytkownicy muszą przestrzegać następujących warunków użytkowania wynikających z oceny wniosku:</w:t>
      </w:r>
    </w:p>
    <w:p w:rsidR="009E04E1" w:rsidRPr="008E2314" w:rsidRDefault="009E04E1" w:rsidP="006E7B2D">
      <w:pPr>
        <w:rPr>
          <w:rFonts w:asciiTheme="majorHAnsi" w:hAnsiTheme="majorHAnsi"/>
        </w:rPr>
      </w:pPr>
    </w:p>
    <w:p w:rsidR="009E04E1" w:rsidRPr="008E2314" w:rsidRDefault="009E04E1" w:rsidP="006E7B2D">
      <w:pPr>
        <w:rPr>
          <w:rFonts w:asciiTheme="majorHAnsi" w:hAnsiTheme="majorHAnsi"/>
          <w:i/>
          <w:iCs/>
        </w:rPr>
      </w:pPr>
      <w:r w:rsidRPr="008E2314">
        <w:rPr>
          <w:rFonts w:asciiTheme="majorHAnsi" w:hAnsiTheme="majorHAnsi"/>
        </w:rPr>
        <w:t xml:space="preserve">- </w:t>
      </w:r>
      <w:r w:rsidRPr="008E2314">
        <w:rPr>
          <w:rFonts w:asciiTheme="majorHAnsi" w:hAnsiTheme="majorHAnsi"/>
          <w:i/>
          <w:iCs/>
        </w:rPr>
        <w:t>Dopuszczone jest stosowanie wyłącznie jako substancji podstawowej odstraszającej owady;</w:t>
      </w:r>
    </w:p>
    <w:p w:rsidR="009E04E1" w:rsidRPr="008E2314" w:rsidRDefault="009E04E1" w:rsidP="006E7B2D">
      <w:pPr>
        <w:rPr>
          <w:rFonts w:asciiTheme="majorHAnsi" w:hAnsiTheme="majorHAnsi"/>
          <w:i/>
          <w:iCs/>
        </w:rPr>
      </w:pPr>
      <w:r w:rsidRPr="008E2314">
        <w:rPr>
          <w:rFonts w:asciiTheme="majorHAnsi" w:hAnsiTheme="majorHAnsi"/>
          <w:i/>
          <w:iCs/>
        </w:rPr>
        <w:t xml:space="preserve">- Dopuszczone jest stosowanie wyłącznie w pojemnikach i dozownikach granulek; </w:t>
      </w:r>
    </w:p>
    <w:p w:rsidR="009E04E1" w:rsidRPr="008E2314" w:rsidRDefault="003C1FB1" w:rsidP="006E7B2D">
      <w:pPr>
        <w:rPr>
          <w:rFonts w:asciiTheme="majorHAnsi" w:hAnsiTheme="majorHAnsi"/>
          <w:i/>
          <w:iCs/>
        </w:rPr>
      </w:pPr>
      <w:r w:rsidRPr="008E2314">
        <w:rPr>
          <w:rFonts w:asciiTheme="majorHAnsi" w:hAnsiTheme="majorHAnsi"/>
          <w:i/>
          <w:iCs/>
        </w:rPr>
        <w:t>Podczas stosowania oleju, użytkownicy muszą przestrzegać środków ostrożności wskazanych w karcie charakterystyki substancji niebezpiecznej, która musi być dostępna na etapie zakupu. Użytkownicy powinni w szczególności stosować okulary ochronne, nosić odzież ochronną i rękawice odporne na działanie rozpuszczalników, a jeżeli istnieje ryzyko przedostania się produktu do dróg oddechowych, wkładać respirator przeciw oparom organicznym.</w:t>
      </w:r>
    </w:p>
    <w:p w:rsidR="003C1FB1" w:rsidRPr="008E2314" w:rsidRDefault="003C1FB1" w:rsidP="006E7B2D">
      <w:pPr>
        <w:rPr>
          <w:rFonts w:asciiTheme="majorHAnsi" w:hAnsiTheme="majorHAnsi"/>
          <w:i/>
          <w:iCs/>
        </w:rPr>
      </w:pPr>
    </w:p>
    <w:p w:rsidR="003C1FB1" w:rsidRPr="008E2314" w:rsidRDefault="003C1FB1" w:rsidP="006E7B2D">
      <w:pPr>
        <w:rPr>
          <w:rFonts w:asciiTheme="majorHAnsi" w:hAnsiTheme="majorHAnsi"/>
        </w:rPr>
      </w:pPr>
      <w:r w:rsidRPr="008E2314">
        <w:rPr>
          <w:rFonts w:asciiTheme="majorHAnsi" w:hAnsiTheme="majorHAnsi"/>
        </w:rPr>
        <w:t xml:space="preserve">W oparciu o proponowane i przewidziane zastosowania (wymienione w załączniku II) nie wskazano żadnych szczególnych ryzyk. </w:t>
      </w:r>
    </w:p>
    <w:p w:rsidR="003C1FB1" w:rsidRPr="008E2314" w:rsidRDefault="003C1FB1" w:rsidP="006E7B2D">
      <w:pPr>
        <w:rPr>
          <w:rFonts w:asciiTheme="majorHAnsi" w:hAnsiTheme="majorHAnsi"/>
        </w:rPr>
      </w:pPr>
    </w:p>
    <w:p w:rsidR="003C1FB1" w:rsidRPr="008E2314" w:rsidRDefault="003C1FB1" w:rsidP="006E7B2D">
      <w:pPr>
        <w:rPr>
          <w:rFonts w:asciiTheme="majorHAnsi" w:hAnsiTheme="majorHAnsi"/>
        </w:rPr>
      </w:pPr>
      <w:r w:rsidRPr="008E2314">
        <w:rPr>
          <w:rFonts w:asciiTheme="majorHAnsi" w:hAnsiTheme="majorHAnsi"/>
        </w:rPr>
        <w:t>Jakość oleju powinna spełniać wymogi Rozporządzenia (WE) Nr 1334/2008 sprawie środków aromatyzujących i niektórych składników żywności o właściwościach aromatyzujących do użycia w oraz na środkach spożywczych.</w:t>
      </w:r>
    </w:p>
    <w:p w:rsidR="003C1FB1" w:rsidRPr="008E2314" w:rsidRDefault="003C1FB1" w:rsidP="006E7B2D">
      <w:pPr>
        <w:rPr>
          <w:rFonts w:asciiTheme="majorHAnsi" w:hAnsiTheme="majorHAnsi"/>
        </w:rPr>
      </w:pPr>
    </w:p>
    <w:p w:rsidR="003C1FB1" w:rsidRPr="008E2314" w:rsidRDefault="003C1FB1" w:rsidP="006E7B2D">
      <w:pPr>
        <w:rPr>
          <w:rFonts w:asciiTheme="majorHAnsi" w:hAnsiTheme="majorHAnsi"/>
          <w:b/>
          <w:bCs/>
        </w:rPr>
      </w:pPr>
      <w:r w:rsidRPr="008E2314">
        <w:rPr>
          <w:rFonts w:asciiTheme="majorHAnsi" w:hAnsiTheme="majorHAnsi"/>
          <w:b/>
          <w:bCs/>
        </w:rPr>
        <w:t xml:space="preserve">6. </w:t>
      </w:r>
      <w:r w:rsidRPr="008E2314">
        <w:rPr>
          <w:rFonts w:asciiTheme="majorHAnsi" w:hAnsiTheme="majorHAnsi"/>
          <w:b/>
          <w:bCs/>
        </w:rPr>
        <w:tab/>
        <w:t>Wykaz badań</w:t>
      </w:r>
      <w:r w:rsidR="00031A28" w:rsidRPr="008E2314">
        <w:rPr>
          <w:rFonts w:asciiTheme="majorHAnsi" w:hAnsiTheme="majorHAnsi"/>
          <w:b/>
          <w:bCs/>
        </w:rPr>
        <w:t xml:space="preserve"> wymagających przeprowadzenia</w:t>
      </w:r>
    </w:p>
    <w:p w:rsidR="00031A28" w:rsidRPr="008E2314" w:rsidRDefault="00031A28" w:rsidP="006E7B2D">
      <w:pPr>
        <w:rPr>
          <w:rFonts w:asciiTheme="majorHAnsi" w:hAnsiTheme="majorHAnsi"/>
          <w:b/>
          <w:bCs/>
        </w:rPr>
      </w:pPr>
    </w:p>
    <w:p w:rsidR="00031A28" w:rsidRPr="008E2314" w:rsidRDefault="00031A28" w:rsidP="006E7B2D">
      <w:pPr>
        <w:rPr>
          <w:rFonts w:asciiTheme="majorHAnsi" w:hAnsiTheme="majorHAnsi"/>
        </w:rPr>
      </w:pPr>
      <w:r w:rsidRPr="008E2314">
        <w:rPr>
          <w:rFonts w:asciiTheme="majorHAnsi" w:hAnsiTheme="majorHAnsi"/>
        </w:rPr>
        <w:t xml:space="preserve">Nie zidentyfikowano żadnych badań uznanych na obecnym etapie za konieczne. </w:t>
      </w:r>
    </w:p>
    <w:p w:rsidR="00031A28" w:rsidRPr="008E2314" w:rsidRDefault="00031A28" w:rsidP="006E7B2D">
      <w:pPr>
        <w:rPr>
          <w:rFonts w:asciiTheme="majorHAnsi" w:hAnsiTheme="majorHAnsi"/>
        </w:rPr>
      </w:pPr>
    </w:p>
    <w:p w:rsidR="00031A28" w:rsidRPr="008E2314" w:rsidRDefault="00031A28" w:rsidP="006E7B2D">
      <w:pPr>
        <w:rPr>
          <w:rFonts w:asciiTheme="majorHAnsi" w:hAnsiTheme="majorHAnsi"/>
          <w:b/>
          <w:bCs/>
        </w:rPr>
      </w:pPr>
      <w:r w:rsidRPr="008E2314">
        <w:rPr>
          <w:rFonts w:asciiTheme="majorHAnsi" w:hAnsiTheme="majorHAnsi"/>
          <w:b/>
          <w:bCs/>
        </w:rPr>
        <w:t xml:space="preserve">7. </w:t>
      </w:r>
      <w:r w:rsidRPr="008E2314">
        <w:rPr>
          <w:rFonts w:asciiTheme="majorHAnsi" w:hAnsiTheme="majorHAnsi"/>
          <w:b/>
          <w:bCs/>
        </w:rPr>
        <w:tab/>
        <w:t>Aktualizacja sprawozdania z przeglądu</w:t>
      </w:r>
    </w:p>
    <w:p w:rsidR="00031A28" w:rsidRPr="008E2314" w:rsidRDefault="00031A28" w:rsidP="006E7B2D">
      <w:pPr>
        <w:rPr>
          <w:rFonts w:asciiTheme="majorHAnsi" w:hAnsiTheme="majorHAnsi"/>
          <w:b/>
          <w:bCs/>
        </w:rPr>
      </w:pPr>
    </w:p>
    <w:p w:rsidR="00031A28" w:rsidRPr="008E2314" w:rsidRDefault="00031A28" w:rsidP="006E7B2D">
      <w:pPr>
        <w:rPr>
          <w:rFonts w:asciiTheme="majorHAnsi" w:hAnsiTheme="majorHAnsi"/>
        </w:rPr>
      </w:pPr>
      <w:r w:rsidRPr="008E2314">
        <w:rPr>
          <w:rFonts w:asciiTheme="majorHAnsi" w:hAnsiTheme="majorHAnsi"/>
        </w:rPr>
        <w:t>Informacje zawarte w niniejszym sprawozdaniu mogą wymagać okresowej aktualizacji w celu uwzględnienia postępu technicznego i naukowego, a także wyników analizy wszelkich informacji przekazanych Komisji na podstawie art. 23 Rozporządzenia (WE) Nr 1107/2009. Każda taka modyfikacja będzie finalizowana w Stałym Komitecie ds. Roślin, Zwierząt, Żywności i Paszy, stosownie do przypadku, dla każdej zmiany warunków zatwierdzania oleju cebulowego w części C załącznika do Rozporządzenia (WE) Nr 540/2011</w:t>
      </w:r>
      <w:r w:rsidR="00B87239" w:rsidRPr="008E2314">
        <w:rPr>
          <w:rStyle w:val="Odwoanieprzypisudolnego"/>
          <w:rFonts w:asciiTheme="majorHAnsi" w:hAnsiTheme="majorHAnsi"/>
        </w:rPr>
        <w:footnoteReference w:id="6"/>
      </w:r>
    </w:p>
    <w:p w:rsidR="00031A28" w:rsidRPr="008E2314" w:rsidRDefault="00031A28" w:rsidP="006E7B2D">
      <w:pPr>
        <w:rPr>
          <w:rFonts w:asciiTheme="majorHAnsi" w:hAnsiTheme="majorHAnsi"/>
        </w:rPr>
      </w:pPr>
    </w:p>
    <w:p w:rsidR="00031A28" w:rsidRPr="008E2314" w:rsidRDefault="00031A28" w:rsidP="006E7B2D">
      <w:pPr>
        <w:rPr>
          <w:rFonts w:asciiTheme="majorHAnsi" w:hAnsiTheme="majorHAnsi"/>
          <w:b/>
          <w:bCs/>
        </w:rPr>
      </w:pPr>
      <w:r w:rsidRPr="008E2314">
        <w:rPr>
          <w:rFonts w:asciiTheme="majorHAnsi" w:hAnsiTheme="majorHAnsi"/>
          <w:b/>
          <w:bCs/>
        </w:rPr>
        <w:t xml:space="preserve">8. </w:t>
      </w:r>
      <w:r w:rsidRPr="008E2314">
        <w:rPr>
          <w:rFonts w:asciiTheme="majorHAnsi" w:hAnsiTheme="majorHAnsi"/>
          <w:b/>
          <w:bCs/>
        </w:rPr>
        <w:tab/>
        <w:t xml:space="preserve">Zalecane ujawnienie sprawozdania z przeglądu </w:t>
      </w:r>
    </w:p>
    <w:p w:rsidR="00031A28" w:rsidRPr="008E2314" w:rsidRDefault="00031A28" w:rsidP="006E7B2D">
      <w:pPr>
        <w:rPr>
          <w:rFonts w:asciiTheme="majorHAnsi" w:hAnsiTheme="majorHAnsi"/>
        </w:rPr>
      </w:pPr>
    </w:p>
    <w:p w:rsidR="00031A28" w:rsidRPr="008E2314" w:rsidRDefault="00031A28" w:rsidP="006E7B2D">
      <w:pPr>
        <w:rPr>
          <w:rFonts w:asciiTheme="majorHAnsi" w:hAnsiTheme="majorHAnsi"/>
        </w:rPr>
      </w:pPr>
      <w:r w:rsidRPr="008E2314">
        <w:rPr>
          <w:rFonts w:asciiTheme="majorHAnsi" w:hAnsiTheme="majorHAnsi"/>
        </w:rPr>
        <w:t>Biorąc pod uwagę wagę przestrzegania zatwierdzonych warunków stosowania oraz fakt, że substancja podstawowa nie zostanie wprowadzona do obrotu jako środek ochrony roślin, przez co dalsza ocena substancji jest niewymagana, poinformowanie wnioskodawców i potencjalnych użytkowników substancji o istnieniu niniejszego sprawozdania z przeglądu jest niezwykle istotne.</w:t>
      </w:r>
    </w:p>
    <w:p w:rsidR="00031A28" w:rsidRPr="008E2314" w:rsidRDefault="00031A28" w:rsidP="006E7B2D">
      <w:pPr>
        <w:rPr>
          <w:rFonts w:asciiTheme="majorHAnsi" w:hAnsiTheme="majorHAnsi"/>
        </w:rPr>
      </w:pPr>
    </w:p>
    <w:p w:rsidR="00031A28" w:rsidRPr="008E2314" w:rsidRDefault="00031A28" w:rsidP="006E7B2D">
      <w:pPr>
        <w:rPr>
          <w:rFonts w:asciiTheme="majorHAnsi" w:hAnsiTheme="majorHAnsi"/>
        </w:rPr>
      </w:pPr>
      <w:r w:rsidRPr="008E2314">
        <w:rPr>
          <w:rFonts w:asciiTheme="majorHAnsi" w:hAnsiTheme="majorHAnsi"/>
        </w:rPr>
        <w:t xml:space="preserve"> Zaleca się zatem, aby właściwe organy państw członkowskich udostępniły niniejsze sprawozdanie publicznie, a także podmiotom gospodarczym za pośrednictwem odpowiednich krajowych stron internetowych oraz z pomocą wszelkich innych odpowiednich form komunikacji w celu zapewnienia, że informacje dotrą do potencjalnych użytkowników.</w:t>
      </w:r>
    </w:p>
    <w:p w:rsidR="00B87239" w:rsidRPr="008E2314" w:rsidRDefault="00B87239" w:rsidP="006E7B2D">
      <w:pPr>
        <w:rPr>
          <w:rFonts w:asciiTheme="majorHAnsi" w:hAnsiTheme="majorHAnsi"/>
        </w:rPr>
      </w:pPr>
    </w:p>
    <w:p w:rsidR="00B87239" w:rsidRPr="008E2314" w:rsidRDefault="00B87239">
      <w:pPr>
        <w:rPr>
          <w:rFonts w:asciiTheme="majorHAnsi" w:hAnsiTheme="majorHAnsi"/>
        </w:rPr>
      </w:pPr>
      <w:r w:rsidRPr="008E2314">
        <w:rPr>
          <w:rFonts w:asciiTheme="majorHAnsi" w:hAnsiTheme="majorHAnsi"/>
        </w:rPr>
        <w:br w:type="page"/>
      </w:r>
    </w:p>
    <w:p w:rsidR="00B87239" w:rsidRPr="008E2314" w:rsidRDefault="00B87239" w:rsidP="00B87239">
      <w:pPr>
        <w:jc w:val="center"/>
        <w:rPr>
          <w:rFonts w:asciiTheme="majorHAnsi" w:hAnsiTheme="majorHAnsi"/>
          <w:b/>
          <w:bCs/>
        </w:rPr>
      </w:pPr>
      <w:r w:rsidRPr="008E2314">
        <w:rPr>
          <w:rFonts w:asciiTheme="majorHAnsi" w:hAnsiTheme="majorHAnsi"/>
          <w:b/>
          <w:bCs/>
        </w:rPr>
        <w:t>ZAŁĄCZNIK I</w:t>
      </w:r>
    </w:p>
    <w:p w:rsidR="00B87239" w:rsidRPr="008E2314" w:rsidRDefault="00B87239" w:rsidP="00B87239">
      <w:pPr>
        <w:jc w:val="center"/>
        <w:rPr>
          <w:rFonts w:asciiTheme="majorHAnsi" w:hAnsiTheme="majorHAnsi"/>
          <w:b/>
          <w:bCs/>
        </w:rPr>
      </w:pPr>
      <w:r w:rsidRPr="008E2314">
        <w:rPr>
          <w:rFonts w:asciiTheme="majorHAnsi" w:hAnsiTheme="majorHAnsi"/>
          <w:b/>
          <w:bCs/>
        </w:rPr>
        <w:t>Identyfikacja i właściwości biologiczne</w:t>
      </w:r>
    </w:p>
    <w:p w:rsidR="00B87239" w:rsidRPr="008E2314" w:rsidRDefault="00B87239" w:rsidP="00B87239">
      <w:pPr>
        <w:jc w:val="center"/>
        <w:rPr>
          <w:rFonts w:asciiTheme="majorHAnsi" w:hAnsiTheme="majorHAnsi"/>
        </w:rPr>
      </w:pPr>
      <w:r w:rsidRPr="008E2314">
        <w:rPr>
          <w:rFonts w:asciiTheme="majorHAnsi" w:hAnsiTheme="majorHAnsi"/>
        </w:rPr>
        <w:t>Olej cebulowy</w:t>
      </w:r>
    </w:p>
    <w:p w:rsidR="00B87239" w:rsidRPr="008E2314" w:rsidRDefault="00B87239" w:rsidP="00B87239">
      <w:pPr>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7"/>
        <w:gridCol w:w="4827"/>
      </w:tblGrid>
      <w:tr w:rsidR="00B87239" w:rsidRPr="008E2314" w:rsidTr="00B87239">
        <w:trPr>
          <w:trHeight w:val="111"/>
        </w:trPr>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b/>
                <w:bCs/>
                <w:sz w:val="23"/>
                <w:szCs w:val="23"/>
              </w:rPr>
              <w:t xml:space="preserve">Nazwa zwyczajowa (ISO) </w:t>
            </w:r>
          </w:p>
        </w:tc>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sz w:val="23"/>
                <w:szCs w:val="23"/>
              </w:rPr>
              <w:t xml:space="preserve">Olej cebulowy </w:t>
            </w:r>
          </w:p>
        </w:tc>
      </w:tr>
      <w:tr w:rsidR="00B87239" w:rsidRPr="008E2314" w:rsidTr="00B87239">
        <w:trPr>
          <w:trHeight w:val="269"/>
        </w:trPr>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b/>
                <w:bCs/>
                <w:sz w:val="23"/>
                <w:szCs w:val="23"/>
              </w:rPr>
              <w:t xml:space="preserve">Nazwa chemiczna (IUPAC) </w:t>
            </w:r>
          </w:p>
        </w:tc>
        <w:tc>
          <w:tcPr>
            <w:tcW w:w="4827" w:type="dxa"/>
          </w:tcPr>
          <w:p w:rsidR="00B87239" w:rsidRPr="008E2314" w:rsidRDefault="00B87239" w:rsidP="00B87239">
            <w:pPr>
              <w:pStyle w:val="Default"/>
              <w:rPr>
                <w:rFonts w:asciiTheme="majorHAnsi" w:hAnsiTheme="majorHAnsi"/>
                <w:sz w:val="23"/>
                <w:szCs w:val="23"/>
              </w:rPr>
            </w:pPr>
            <w:r w:rsidRPr="008E2314">
              <w:rPr>
                <w:rFonts w:asciiTheme="majorHAnsi" w:hAnsiTheme="majorHAnsi"/>
                <w:sz w:val="23"/>
                <w:szCs w:val="23"/>
              </w:rPr>
              <w:t xml:space="preserve">Nie dotyczy (mieszanina złożona) </w:t>
            </w:r>
          </w:p>
        </w:tc>
      </w:tr>
      <w:tr w:rsidR="00B87239" w:rsidRPr="008E2314" w:rsidTr="00B87239">
        <w:trPr>
          <w:trHeight w:val="111"/>
        </w:trPr>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b/>
                <w:bCs/>
                <w:sz w:val="23"/>
                <w:szCs w:val="23"/>
              </w:rPr>
              <w:t xml:space="preserve">Nazwa chemiczna (CA) </w:t>
            </w:r>
          </w:p>
        </w:tc>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sz w:val="23"/>
                <w:szCs w:val="23"/>
              </w:rPr>
              <w:t>Nie dotyczy (mieszanina złożona)</w:t>
            </w:r>
          </w:p>
        </w:tc>
      </w:tr>
      <w:tr w:rsidR="00B87239" w:rsidRPr="008E2314" w:rsidTr="00B87239">
        <w:trPr>
          <w:trHeight w:val="132"/>
        </w:trPr>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b/>
                <w:bCs/>
                <w:sz w:val="23"/>
                <w:szCs w:val="23"/>
              </w:rPr>
              <w:t xml:space="preserve">Nazwy zwyczajowe </w:t>
            </w:r>
          </w:p>
        </w:tc>
        <w:tc>
          <w:tcPr>
            <w:tcW w:w="4827" w:type="dxa"/>
          </w:tcPr>
          <w:p w:rsidR="00B87239" w:rsidRPr="008E2314" w:rsidRDefault="00B87239" w:rsidP="00B87239">
            <w:pPr>
              <w:pStyle w:val="Default"/>
              <w:rPr>
                <w:rFonts w:asciiTheme="majorHAnsi" w:hAnsiTheme="majorHAnsi"/>
                <w:sz w:val="23"/>
                <w:szCs w:val="23"/>
              </w:rPr>
            </w:pPr>
            <w:r w:rsidRPr="008E2314">
              <w:rPr>
                <w:rFonts w:asciiTheme="majorHAnsi" w:hAnsiTheme="majorHAnsi"/>
                <w:sz w:val="23"/>
                <w:szCs w:val="23"/>
              </w:rPr>
              <w:t xml:space="preserve">Olej z </w:t>
            </w:r>
            <w:proofErr w:type="spellStart"/>
            <w:r w:rsidRPr="008E2314">
              <w:rPr>
                <w:rFonts w:asciiTheme="majorHAnsi" w:hAnsiTheme="majorHAnsi"/>
                <w:i/>
                <w:iCs/>
                <w:sz w:val="23"/>
                <w:szCs w:val="23"/>
              </w:rPr>
              <w:t>Allium</w:t>
            </w:r>
            <w:proofErr w:type="spellEnd"/>
            <w:r w:rsidRPr="008E2314">
              <w:rPr>
                <w:rFonts w:asciiTheme="majorHAnsi" w:hAnsiTheme="majorHAnsi"/>
                <w:i/>
                <w:iCs/>
                <w:sz w:val="23"/>
                <w:szCs w:val="23"/>
              </w:rPr>
              <w:t xml:space="preserve"> cepa</w:t>
            </w:r>
            <w:r w:rsidRPr="008E2314">
              <w:rPr>
                <w:rFonts w:asciiTheme="majorHAnsi" w:hAnsiTheme="majorHAnsi"/>
                <w:sz w:val="23"/>
                <w:szCs w:val="23"/>
              </w:rPr>
              <w:t xml:space="preserve">, naturalny olej cebulowy, ekologiczny olej cebulowy </w:t>
            </w:r>
          </w:p>
        </w:tc>
      </w:tr>
      <w:tr w:rsidR="00B87239" w:rsidRPr="008E2314" w:rsidTr="00B87239">
        <w:trPr>
          <w:trHeight w:val="131"/>
        </w:trPr>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b/>
                <w:bCs/>
                <w:sz w:val="23"/>
                <w:szCs w:val="23"/>
              </w:rPr>
              <w:t xml:space="preserve">Nr CAS </w:t>
            </w:r>
          </w:p>
        </w:tc>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sz w:val="23"/>
                <w:szCs w:val="23"/>
              </w:rPr>
              <w:t xml:space="preserve">8002-72-0 </w:t>
            </w:r>
          </w:p>
        </w:tc>
      </w:tr>
      <w:tr w:rsidR="00B87239" w:rsidRPr="008E2314" w:rsidTr="00B87239">
        <w:trPr>
          <w:trHeight w:val="131"/>
        </w:trPr>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b/>
                <w:bCs/>
                <w:sz w:val="23"/>
                <w:szCs w:val="23"/>
              </w:rPr>
              <w:t xml:space="preserve">Nr CIPAC i EINECS </w:t>
            </w:r>
          </w:p>
        </w:tc>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sz w:val="23"/>
                <w:szCs w:val="23"/>
              </w:rPr>
              <w:t xml:space="preserve">232-498-2(EINECS) </w:t>
            </w:r>
          </w:p>
        </w:tc>
      </w:tr>
      <w:tr w:rsidR="00B87239" w:rsidRPr="008E2314" w:rsidTr="00B87239">
        <w:trPr>
          <w:trHeight w:val="270"/>
        </w:trPr>
        <w:tc>
          <w:tcPr>
            <w:tcW w:w="4827" w:type="dxa"/>
          </w:tcPr>
          <w:p w:rsidR="00B87239" w:rsidRPr="008E2314" w:rsidRDefault="00B87239" w:rsidP="00B87239">
            <w:pPr>
              <w:pStyle w:val="Default"/>
              <w:rPr>
                <w:rFonts w:asciiTheme="majorHAnsi" w:hAnsiTheme="majorHAnsi"/>
                <w:sz w:val="23"/>
                <w:szCs w:val="23"/>
              </w:rPr>
            </w:pPr>
            <w:r w:rsidRPr="008E2314">
              <w:rPr>
                <w:rFonts w:asciiTheme="majorHAnsi" w:hAnsiTheme="majorHAnsi"/>
                <w:b/>
                <w:bCs/>
                <w:sz w:val="23"/>
                <w:szCs w:val="23"/>
              </w:rPr>
              <w:t>SPECYFIKACJA FAO</w:t>
            </w:r>
          </w:p>
        </w:tc>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sz w:val="23"/>
                <w:szCs w:val="23"/>
              </w:rPr>
              <w:t>Brak</w:t>
            </w:r>
          </w:p>
        </w:tc>
      </w:tr>
      <w:tr w:rsidR="00B87239" w:rsidRPr="008E2314" w:rsidTr="00B87239">
        <w:trPr>
          <w:trHeight w:val="447"/>
        </w:trPr>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b/>
                <w:bCs/>
                <w:sz w:val="23"/>
                <w:szCs w:val="23"/>
              </w:rPr>
              <w:t xml:space="preserve">Czystość </w:t>
            </w:r>
          </w:p>
        </w:tc>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sz w:val="23"/>
                <w:szCs w:val="23"/>
              </w:rPr>
              <w:t>Przeznaczony do kontaktu z żywnością</w:t>
            </w:r>
          </w:p>
          <w:p w:rsidR="00B87239" w:rsidRPr="008E2314" w:rsidRDefault="00B87239">
            <w:pPr>
              <w:pStyle w:val="Default"/>
              <w:rPr>
                <w:rFonts w:asciiTheme="majorHAnsi" w:hAnsiTheme="majorHAnsi"/>
                <w:sz w:val="23"/>
                <w:szCs w:val="23"/>
              </w:rPr>
            </w:pPr>
            <w:r w:rsidRPr="008E2314">
              <w:rPr>
                <w:rFonts w:asciiTheme="majorHAnsi" w:hAnsiTheme="majorHAnsi"/>
                <w:sz w:val="23"/>
                <w:szCs w:val="23"/>
              </w:rPr>
              <w:t>Nie dotyczy (mieszanina złożona)</w:t>
            </w:r>
          </w:p>
        </w:tc>
      </w:tr>
      <w:tr w:rsidR="00B87239" w:rsidRPr="008E2314" w:rsidTr="00B87239">
        <w:trPr>
          <w:trHeight w:val="131"/>
        </w:trPr>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b/>
                <w:bCs/>
                <w:sz w:val="23"/>
                <w:szCs w:val="23"/>
              </w:rPr>
              <w:t xml:space="preserve">Zanieczyszczenia </w:t>
            </w:r>
          </w:p>
        </w:tc>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sz w:val="23"/>
                <w:szCs w:val="23"/>
              </w:rPr>
              <w:t>Brak</w:t>
            </w:r>
          </w:p>
        </w:tc>
      </w:tr>
      <w:tr w:rsidR="00B87239" w:rsidRPr="008E2314" w:rsidTr="00B87239">
        <w:trPr>
          <w:trHeight w:val="268"/>
        </w:trPr>
        <w:tc>
          <w:tcPr>
            <w:tcW w:w="4827" w:type="dxa"/>
          </w:tcPr>
          <w:p w:rsidR="00B87239" w:rsidRPr="00832BC3" w:rsidRDefault="00B87239" w:rsidP="00B87239">
            <w:pPr>
              <w:pStyle w:val="Default"/>
              <w:rPr>
                <w:rFonts w:asciiTheme="majorHAnsi" w:hAnsiTheme="majorHAnsi"/>
                <w:sz w:val="23"/>
                <w:szCs w:val="23"/>
              </w:rPr>
            </w:pPr>
            <w:r w:rsidRPr="00832BC3">
              <w:rPr>
                <w:rFonts w:asciiTheme="majorHAnsi" w:hAnsiTheme="majorHAnsi"/>
                <w:b/>
                <w:bCs/>
                <w:sz w:val="23"/>
                <w:szCs w:val="23"/>
              </w:rPr>
              <w:t xml:space="preserve">Masa cząsteczkowa i wzór strukturalny </w:t>
            </w:r>
          </w:p>
        </w:tc>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sz w:val="23"/>
                <w:szCs w:val="23"/>
              </w:rPr>
              <w:t>Nie dotyczy (mieszanina złożona)</w:t>
            </w:r>
          </w:p>
        </w:tc>
      </w:tr>
      <w:tr w:rsidR="00B87239" w:rsidRPr="008E2314" w:rsidTr="00B87239">
        <w:trPr>
          <w:trHeight w:val="131"/>
        </w:trPr>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b/>
                <w:bCs/>
                <w:sz w:val="23"/>
                <w:szCs w:val="23"/>
              </w:rPr>
              <w:t xml:space="preserve">Tryb stosowania </w:t>
            </w:r>
          </w:p>
        </w:tc>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sz w:val="23"/>
                <w:szCs w:val="23"/>
              </w:rPr>
              <w:t xml:space="preserve">Dozowniki oleju </w:t>
            </w:r>
          </w:p>
        </w:tc>
      </w:tr>
      <w:tr w:rsidR="00B87239" w:rsidRPr="008E2314" w:rsidTr="00B87239">
        <w:trPr>
          <w:trHeight w:val="1573"/>
        </w:trPr>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b/>
                <w:bCs/>
                <w:sz w:val="23"/>
                <w:szCs w:val="23"/>
              </w:rPr>
              <w:t>Stosowany prepara</w:t>
            </w:r>
            <w:r w:rsidR="008E2314">
              <w:rPr>
                <w:rFonts w:asciiTheme="majorHAnsi" w:hAnsiTheme="majorHAnsi"/>
                <w:b/>
                <w:bCs/>
                <w:sz w:val="23"/>
                <w:szCs w:val="23"/>
              </w:rPr>
              <w:t>t</w:t>
            </w:r>
          </w:p>
        </w:tc>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sz w:val="23"/>
                <w:szCs w:val="23"/>
              </w:rPr>
              <w:t>AL (</w:t>
            </w:r>
            <w:r w:rsidR="00550978" w:rsidRPr="008E2314">
              <w:rPr>
                <w:rFonts w:asciiTheme="majorHAnsi" w:hAnsiTheme="majorHAnsi"/>
                <w:sz w:val="23"/>
                <w:szCs w:val="23"/>
              </w:rPr>
              <w:t xml:space="preserve">wszystkie ciecze): ciecz stosowana bez rozcieńczenia </w:t>
            </w:r>
          </w:p>
          <w:p w:rsidR="00B87239" w:rsidRPr="008E2314" w:rsidRDefault="00B87239">
            <w:pPr>
              <w:pStyle w:val="Default"/>
              <w:rPr>
                <w:rFonts w:asciiTheme="majorHAnsi" w:hAnsiTheme="majorHAnsi"/>
                <w:sz w:val="23"/>
                <w:szCs w:val="23"/>
              </w:rPr>
            </w:pPr>
            <w:r w:rsidRPr="008E2314">
              <w:rPr>
                <w:rFonts w:asciiTheme="majorHAnsi" w:hAnsiTheme="majorHAnsi"/>
                <w:sz w:val="23"/>
                <w:szCs w:val="23"/>
              </w:rPr>
              <w:t xml:space="preserve">1. </w:t>
            </w:r>
            <w:r w:rsidR="00550978" w:rsidRPr="008E2314">
              <w:rPr>
                <w:rFonts w:asciiTheme="majorHAnsi" w:hAnsiTheme="majorHAnsi"/>
                <w:sz w:val="23"/>
                <w:szCs w:val="23"/>
              </w:rPr>
              <w:t>Dozowniki (małe butelki szklane lub plastikowe oraz małe pojemniki plastikowe, z otworami umożliwiającym parowanie) napełnione 20 ml oleju cebulowego</w:t>
            </w:r>
            <w:r w:rsidRPr="008E2314">
              <w:rPr>
                <w:rFonts w:asciiTheme="majorHAnsi" w:hAnsiTheme="majorHAnsi"/>
                <w:sz w:val="23"/>
                <w:szCs w:val="23"/>
              </w:rPr>
              <w:t xml:space="preserve">. </w:t>
            </w:r>
          </w:p>
          <w:p w:rsidR="00B87239" w:rsidRPr="008E2314" w:rsidRDefault="00B87239">
            <w:pPr>
              <w:pStyle w:val="Default"/>
              <w:rPr>
                <w:rFonts w:asciiTheme="majorHAnsi" w:hAnsiTheme="majorHAnsi"/>
                <w:sz w:val="23"/>
                <w:szCs w:val="23"/>
              </w:rPr>
            </w:pPr>
          </w:p>
          <w:p w:rsidR="00B87239" w:rsidRPr="008E2314" w:rsidRDefault="00550978">
            <w:pPr>
              <w:pStyle w:val="Default"/>
              <w:rPr>
                <w:rFonts w:asciiTheme="majorHAnsi" w:hAnsiTheme="majorHAnsi"/>
                <w:sz w:val="23"/>
                <w:szCs w:val="23"/>
                <w:lang w:val="en-US"/>
              </w:rPr>
            </w:pPr>
            <w:proofErr w:type="spellStart"/>
            <w:r w:rsidRPr="008E2314">
              <w:rPr>
                <w:rFonts w:asciiTheme="majorHAnsi" w:hAnsiTheme="majorHAnsi"/>
                <w:sz w:val="23"/>
                <w:szCs w:val="23"/>
                <w:lang w:val="en-US"/>
              </w:rPr>
              <w:t>lub</w:t>
            </w:r>
            <w:proofErr w:type="spellEnd"/>
          </w:p>
          <w:p w:rsidR="00B87239" w:rsidRPr="008E2314" w:rsidRDefault="00B87239">
            <w:pPr>
              <w:pStyle w:val="Default"/>
              <w:rPr>
                <w:rFonts w:asciiTheme="majorHAnsi" w:hAnsiTheme="majorHAnsi"/>
                <w:sz w:val="23"/>
                <w:szCs w:val="23"/>
                <w:lang w:val="en-US"/>
              </w:rPr>
            </w:pPr>
            <w:r w:rsidRPr="008E2314">
              <w:rPr>
                <w:rFonts w:asciiTheme="majorHAnsi" w:hAnsiTheme="majorHAnsi"/>
                <w:sz w:val="23"/>
                <w:szCs w:val="23"/>
              </w:rPr>
              <w:t xml:space="preserve">2. </w:t>
            </w:r>
            <w:r w:rsidR="00550978" w:rsidRPr="008E2314">
              <w:rPr>
                <w:rFonts w:asciiTheme="majorHAnsi" w:hAnsiTheme="majorHAnsi"/>
                <w:sz w:val="23"/>
                <w:szCs w:val="23"/>
              </w:rPr>
              <w:t>Dozowniki</w:t>
            </w:r>
            <w:r w:rsidRPr="008E2314">
              <w:rPr>
                <w:rFonts w:asciiTheme="majorHAnsi" w:hAnsiTheme="majorHAnsi"/>
                <w:sz w:val="23"/>
                <w:szCs w:val="23"/>
              </w:rPr>
              <w:t xml:space="preserve"> (</w:t>
            </w:r>
            <w:r w:rsidR="00550978" w:rsidRPr="008E2314">
              <w:rPr>
                <w:rFonts w:asciiTheme="majorHAnsi" w:hAnsiTheme="majorHAnsi"/>
                <w:sz w:val="23"/>
                <w:szCs w:val="23"/>
              </w:rPr>
              <w:t>jak powyżej</w:t>
            </w:r>
            <w:r w:rsidRPr="008E2314">
              <w:rPr>
                <w:rFonts w:asciiTheme="majorHAnsi" w:hAnsiTheme="majorHAnsi"/>
                <w:sz w:val="23"/>
                <w:szCs w:val="23"/>
              </w:rPr>
              <w:t xml:space="preserve">) </w:t>
            </w:r>
            <w:r w:rsidR="00550978" w:rsidRPr="008E2314">
              <w:rPr>
                <w:rFonts w:asciiTheme="majorHAnsi" w:hAnsiTheme="majorHAnsi"/>
                <w:sz w:val="23"/>
                <w:szCs w:val="23"/>
              </w:rPr>
              <w:t>wypełnione 4,4 g oleju cebulowego i granulkami z etylenu i octanu winylu</w:t>
            </w:r>
            <w:r w:rsidRPr="008E2314">
              <w:rPr>
                <w:rFonts w:asciiTheme="majorHAnsi" w:hAnsiTheme="majorHAnsi"/>
                <w:sz w:val="23"/>
                <w:szCs w:val="23"/>
              </w:rPr>
              <w:t xml:space="preserve"> (</w:t>
            </w:r>
            <w:r w:rsidR="00550978" w:rsidRPr="008E2314">
              <w:rPr>
                <w:rFonts w:asciiTheme="majorHAnsi" w:hAnsiTheme="majorHAnsi"/>
                <w:sz w:val="23"/>
                <w:szCs w:val="23"/>
              </w:rPr>
              <w:t>ogólnodostępnego) do masy 30 g</w:t>
            </w:r>
            <w:r w:rsidRPr="008E2314">
              <w:rPr>
                <w:rFonts w:asciiTheme="majorHAnsi" w:hAnsiTheme="majorHAnsi"/>
                <w:sz w:val="23"/>
                <w:szCs w:val="23"/>
              </w:rPr>
              <w:t xml:space="preserve">. </w:t>
            </w:r>
            <w:r w:rsidR="00550978" w:rsidRPr="008E2314">
              <w:rPr>
                <w:rFonts w:asciiTheme="majorHAnsi" w:hAnsiTheme="majorHAnsi"/>
                <w:sz w:val="23"/>
                <w:szCs w:val="23"/>
              </w:rPr>
              <w:t xml:space="preserve">Otrzymana proporcja to 1 g oleju na 4,8 g granulek. </w:t>
            </w:r>
            <w:proofErr w:type="spellStart"/>
            <w:r w:rsidR="00550978" w:rsidRPr="008E2314">
              <w:rPr>
                <w:rFonts w:asciiTheme="majorHAnsi" w:hAnsiTheme="majorHAnsi"/>
                <w:sz w:val="23"/>
                <w:szCs w:val="23"/>
                <w:lang w:val="en-US"/>
              </w:rPr>
              <w:t>Granulki</w:t>
            </w:r>
            <w:proofErr w:type="spellEnd"/>
            <w:r w:rsidR="00550978" w:rsidRPr="008E2314">
              <w:rPr>
                <w:rFonts w:asciiTheme="majorHAnsi" w:hAnsiTheme="majorHAnsi"/>
                <w:sz w:val="23"/>
                <w:szCs w:val="23"/>
                <w:lang w:val="en-US"/>
              </w:rPr>
              <w:t xml:space="preserve"> </w:t>
            </w:r>
            <w:proofErr w:type="spellStart"/>
            <w:r w:rsidR="00550978" w:rsidRPr="008E2314">
              <w:rPr>
                <w:rFonts w:asciiTheme="majorHAnsi" w:hAnsiTheme="majorHAnsi"/>
                <w:sz w:val="23"/>
                <w:szCs w:val="23"/>
                <w:lang w:val="en-US"/>
              </w:rPr>
              <w:t>ułatwiają</w:t>
            </w:r>
            <w:proofErr w:type="spellEnd"/>
            <w:r w:rsidR="00550978" w:rsidRPr="008E2314">
              <w:rPr>
                <w:rFonts w:asciiTheme="majorHAnsi" w:hAnsiTheme="majorHAnsi"/>
                <w:sz w:val="23"/>
                <w:szCs w:val="23"/>
                <w:lang w:val="en-US"/>
              </w:rPr>
              <w:t xml:space="preserve"> </w:t>
            </w:r>
            <w:proofErr w:type="spellStart"/>
            <w:r w:rsidR="00550978" w:rsidRPr="008E2314">
              <w:rPr>
                <w:rFonts w:asciiTheme="majorHAnsi" w:hAnsiTheme="majorHAnsi"/>
                <w:sz w:val="23"/>
                <w:szCs w:val="23"/>
                <w:lang w:val="en-US"/>
              </w:rPr>
              <w:t>uwalnianie</w:t>
            </w:r>
            <w:proofErr w:type="spellEnd"/>
            <w:r w:rsidR="00550978" w:rsidRPr="008E2314">
              <w:rPr>
                <w:rFonts w:asciiTheme="majorHAnsi" w:hAnsiTheme="majorHAnsi"/>
                <w:sz w:val="23"/>
                <w:szCs w:val="23"/>
                <w:lang w:val="en-US"/>
              </w:rPr>
              <w:t xml:space="preserve"> </w:t>
            </w:r>
            <w:proofErr w:type="spellStart"/>
            <w:r w:rsidR="00550978" w:rsidRPr="008E2314">
              <w:rPr>
                <w:rFonts w:asciiTheme="majorHAnsi" w:hAnsiTheme="majorHAnsi"/>
                <w:sz w:val="23"/>
                <w:szCs w:val="23"/>
                <w:lang w:val="en-US"/>
              </w:rPr>
              <w:t>oparu</w:t>
            </w:r>
            <w:proofErr w:type="spellEnd"/>
            <w:r w:rsidR="00550978" w:rsidRPr="008E2314">
              <w:rPr>
                <w:rFonts w:asciiTheme="majorHAnsi" w:hAnsiTheme="majorHAnsi"/>
                <w:sz w:val="23"/>
                <w:szCs w:val="23"/>
                <w:lang w:val="en-US"/>
              </w:rPr>
              <w:t xml:space="preserve"> z </w:t>
            </w:r>
            <w:proofErr w:type="spellStart"/>
            <w:r w:rsidR="00550978" w:rsidRPr="008E2314">
              <w:rPr>
                <w:rFonts w:asciiTheme="majorHAnsi" w:hAnsiTheme="majorHAnsi"/>
                <w:sz w:val="23"/>
                <w:szCs w:val="23"/>
                <w:lang w:val="en-US"/>
              </w:rPr>
              <w:t>dozownika</w:t>
            </w:r>
            <w:proofErr w:type="spellEnd"/>
            <w:r w:rsidR="00550978" w:rsidRPr="008E2314">
              <w:rPr>
                <w:rFonts w:asciiTheme="majorHAnsi" w:hAnsiTheme="majorHAnsi"/>
                <w:sz w:val="23"/>
                <w:szCs w:val="23"/>
                <w:lang w:val="en-US"/>
              </w:rPr>
              <w:t>.</w:t>
            </w:r>
            <w:r w:rsidRPr="008E2314">
              <w:rPr>
                <w:rFonts w:asciiTheme="majorHAnsi" w:hAnsiTheme="majorHAnsi"/>
                <w:sz w:val="23"/>
                <w:szCs w:val="23"/>
                <w:lang w:val="en-US"/>
              </w:rPr>
              <w:t xml:space="preserve"> </w:t>
            </w:r>
          </w:p>
          <w:p w:rsidR="00B87239" w:rsidRPr="008E2314" w:rsidRDefault="00B87239">
            <w:pPr>
              <w:pStyle w:val="Default"/>
              <w:rPr>
                <w:rFonts w:asciiTheme="majorHAnsi" w:hAnsiTheme="majorHAnsi"/>
                <w:sz w:val="23"/>
                <w:szCs w:val="23"/>
                <w:lang w:val="en-US"/>
              </w:rPr>
            </w:pPr>
          </w:p>
        </w:tc>
      </w:tr>
      <w:tr w:rsidR="00B87239" w:rsidRPr="008E2314" w:rsidTr="00B87239">
        <w:trPr>
          <w:trHeight w:val="268"/>
        </w:trPr>
        <w:tc>
          <w:tcPr>
            <w:tcW w:w="4827" w:type="dxa"/>
          </w:tcPr>
          <w:p w:rsidR="00B87239" w:rsidRPr="008E2314" w:rsidRDefault="00B87239">
            <w:pPr>
              <w:pStyle w:val="Default"/>
              <w:rPr>
                <w:rFonts w:asciiTheme="majorHAnsi" w:hAnsiTheme="majorHAnsi"/>
                <w:sz w:val="23"/>
                <w:szCs w:val="23"/>
              </w:rPr>
            </w:pPr>
            <w:r w:rsidRPr="008E2314">
              <w:rPr>
                <w:rFonts w:asciiTheme="majorHAnsi" w:hAnsiTheme="majorHAnsi"/>
                <w:b/>
                <w:bCs/>
                <w:sz w:val="23"/>
                <w:szCs w:val="23"/>
              </w:rPr>
              <w:t xml:space="preserve">Funkcja ochrony roślin </w:t>
            </w:r>
          </w:p>
        </w:tc>
        <w:tc>
          <w:tcPr>
            <w:tcW w:w="4827" w:type="dxa"/>
          </w:tcPr>
          <w:p w:rsidR="00B87239" w:rsidRPr="008E2314" w:rsidRDefault="00550978" w:rsidP="00550978">
            <w:pPr>
              <w:pStyle w:val="Default"/>
              <w:rPr>
                <w:rFonts w:asciiTheme="majorHAnsi" w:hAnsiTheme="majorHAnsi"/>
                <w:sz w:val="23"/>
                <w:szCs w:val="23"/>
              </w:rPr>
            </w:pPr>
            <w:r w:rsidRPr="008E2314">
              <w:rPr>
                <w:rFonts w:asciiTheme="majorHAnsi" w:hAnsiTheme="majorHAnsi"/>
                <w:sz w:val="23"/>
                <w:szCs w:val="23"/>
              </w:rPr>
              <w:t>Środek odstraszający owady, maskujący zapach</w:t>
            </w:r>
          </w:p>
        </w:tc>
      </w:tr>
    </w:tbl>
    <w:p w:rsidR="00B87239" w:rsidRPr="008E2314" w:rsidRDefault="00B87239" w:rsidP="00B87239">
      <w:pPr>
        <w:rPr>
          <w:rFonts w:asciiTheme="majorHAnsi" w:hAnsiTheme="majorHAnsi"/>
        </w:rPr>
      </w:pPr>
    </w:p>
    <w:p w:rsidR="00550978" w:rsidRPr="008E2314" w:rsidRDefault="00550978" w:rsidP="00B87239">
      <w:pPr>
        <w:rPr>
          <w:rFonts w:asciiTheme="majorHAnsi" w:hAnsiTheme="majorHAnsi"/>
        </w:rPr>
        <w:sectPr w:rsidR="00550978" w:rsidRPr="008E2314" w:rsidSect="00887B86">
          <w:pgSz w:w="11906" w:h="16838"/>
          <w:pgMar w:top="1417" w:right="1417" w:bottom="1417" w:left="1417" w:header="708" w:footer="708" w:gutter="0"/>
          <w:cols w:space="708"/>
          <w:docGrid w:linePitch="360"/>
        </w:sectPr>
      </w:pPr>
    </w:p>
    <w:p w:rsidR="00550978" w:rsidRPr="008E2314" w:rsidRDefault="00550978" w:rsidP="00550978">
      <w:pPr>
        <w:jc w:val="center"/>
        <w:rPr>
          <w:rFonts w:asciiTheme="majorHAnsi" w:hAnsiTheme="majorHAnsi"/>
          <w:b/>
          <w:bCs/>
        </w:rPr>
      </w:pPr>
      <w:r w:rsidRPr="008E2314">
        <w:rPr>
          <w:rFonts w:asciiTheme="majorHAnsi" w:hAnsiTheme="majorHAnsi"/>
          <w:b/>
          <w:bCs/>
        </w:rPr>
        <w:t xml:space="preserve">ZAŁĄCZNIK II </w:t>
      </w:r>
    </w:p>
    <w:p w:rsidR="00550978" w:rsidRPr="008E2314" w:rsidRDefault="00550978" w:rsidP="00550978">
      <w:pPr>
        <w:jc w:val="center"/>
        <w:rPr>
          <w:rFonts w:asciiTheme="majorHAnsi" w:hAnsiTheme="majorHAnsi"/>
        </w:rPr>
      </w:pPr>
      <w:r w:rsidRPr="008E2314">
        <w:rPr>
          <w:rFonts w:asciiTheme="majorHAnsi" w:hAnsiTheme="majorHAnsi"/>
          <w:b/>
          <w:bCs/>
        </w:rPr>
        <w:t>Lista zastosowań na podstawie dostępnych danych</w:t>
      </w:r>
      <w:r w:rsidRPr="008E2314">
        <w:rPr>
          <w:rFonts w:asciiTheme="majorHAnsi" w:hAnsiTheme="majorHAnsi"/>
        </w:rPr>
        <w:t xml:space="preserve"> </w:t>
      </w:r>
    </w:p>
    <w:p w:rsidR="00550978" w:rsidRPr="008E2314" w:rsidRDefault="00550978" w:rsidP="00550978">
      <w:pPr>
        <w:jc w:val="center"/>
        <w:rPr>
          <w:rFonts w:asciiTheme="majorHAnsi" w:hAnsiTheme="majorHAnsi"/>
          <w:b/>
          <w:bCs/>
        </w:rPr>
      </w:pPr>
      <w:r w:rsidRPr="008E2314">
        <w:rPr>
          <w:rFonts w:asciiTheme="majorHAnsi" w:hAnsiTheme="majorHAnsi"/>
          <w:b/>
          <w:bCs/>
        </w:rPr>
        <w:t>OLEJ CEBULOWY</w:t>
      </w:r>
    </w:p>
    <w:p w:rsidR="00550978" w:rsidRPr="008E2314" w:rsidRDefault="00550978" w:rsidP="00550978">
      <w:pPr>
        <w:jc w:val="center"/>
        <w:rPr>
          <w:rFonts w:asciiTheme="majorHAnsi" w:hAnsiTheme="majorHAnsi"/>
          <w:b/>
          <w:bCs/>
        </w:rPr>
      </w:pPr>
    </w:p>
    <w:tbl>
      <w:tblPr>
        <w:tblStyle w:val="Tabela-Siatka"/>
        <w:tblW w:w="15593" w:type="dxa"/>
        <w:tblInd w:w="-459" w:type="dxa"/>
        <w:tblLayout w:type="fixed"/>
        <w:tblLook w:val="04A0" w:firstRow="1" w:lastRow="0" w:firstColumn="1" w:lastColumn="0" w:noHBand="0" w:noVBand="1"/>
      </w:tblPr>
      <w:tblGrid>
        <w:gridCol w:w="1182"/>
        <w:gridCol w:w="945"/>
        <w:gridCol w:w="1134"/>
        <w:gridCol w:w="500"/>
        <w:gridCol w:w="1090"/>
        <w:gridCol w:w="593"/>
        <w:gridCol w:w="827"/>
        <w:gridCol w:w="1326"/>
        <w:gridCol w:w="199"/>
        <w:gridCol w:w="757"/>
        <w:gridCol w:w="612"/>
        <w:gridCol w:w="1257"/>
        <w:gridCol w:w="827"/>
        <w:gridCol w:w="1095"/>
        <w:gridCol w:w="827"/>
        <w:gridCol w:w="827"/>
        <w:gridCol w:w="714"/>
        <w:gridCol w:w="881"/>
      </w:tblGrid>
      <w:tr w:rsidR="007A1B0A" w:rsidRPr="008E2314" w:rsidTr="008E2314">
        <w:tc>
          <w:tcPr>
            <w:tcW w:w="1182" w:type="dxa"/>
            <w:vMerge w:val="restart"/>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Uprawa i/lub sytuacja (a)</w:t>
            </w:r>
          </w:p>
        </w:tc>
        <w:tc>
          <w:tcPr>
            <w:tcW w:w="945" w:type="dxa"/>
            <w:vMerge w:val="restart"/>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Państwo członkowskie lub kraj</w:t>
            </w:r>
          </w:p>
        </w:tc>
        <w:tc>
          <w:tcPr>
            <w:tcW w:w="1134" w:type="dxa"/>
            <w:vMerge w:val="restart"/>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Przykładowe nazwy produktu dostępne na rynku</w:t>
            </w:r>
          </w:p>
        </w:tc>
        <w:tc>
          <w:tcPr>
            <w:tcW w:w="500" w:type="dxa"/>
            <w:vMerge w:val="restart"/>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F G I (b)</w:t>
            </w:r>
          </w:p>
        </w:tc>
        <w:tc>
          <w:tcPr>
            <w:tcW w:w="1090" w:type="dxa"/>
            <w:vMerge w:val="restart"/>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Zwalczane szkodniki lub grupy szkodników (c)</w:t>
            </w:r>
          </w:p>
        </w:tc>
        <w:tc>
          <w:tcPr>
            <w:tcW w:w="1420" w:type="dxa"/>
            <w:gridSpan w:val="2"/>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Produkt**</w:t>
            </w:r>
          </w:p>
        </w:tc>
        <w:tc>
          <w:tcPr>
            <w:tcW w:w="4151" w:type="dxa"/>
            <w:gridSpan w:val="5"/>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Zastosowanie</w:t>
            </w:r>
          </w:p>
        </w:tc>
        <w:tc>
          <w:tcPr>
            <w:tcW w:w="2749" w:type="dxa"/>
            <w:gridSpan w:val="3"/>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Dawka stosowania na zabieg</w:t>
            </w:r>
          </w:p>
        </w:tc>
        <w:tc>
          <w:tcPr>
            <w:tcW w:w="827" w:type="dxa"/>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Łączna dawka</w:t>
            </w:r>
          </w:p>
        </w:tc>
        <w:tc>
          <w:tcPr>
            <w:tcW w:w="714" w:type="dxa"/>
            <w:vMerge w:val="restart"/>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PHI (dni) (m)</w:t>
            </w:r>
          </w:p>
        </w:tc>
        <w:tc>
          <w:tcPr>
            <w:tcW w:w="881" w:type="dxa"/>
            <w:vMerge w:val="restart"/>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Uwagi Typ (*,**)</w:t>
            </w:r>
          </w:p>
        </w:tc>
      </w:tr>
      <w:tr w:rsidR="007A1B0A" w:rsidRPr="008E2314" w:rsidTr="008E2314">
        <w:tc>
          <w:tcPr>
            <w:tcW w:w="1182" w:type="dxa"/>
            <w:vMerge/>
          </w:tcPr>
          <w:p w:rsidR="008909D8" w:rsidRPr="008E2314" w:rsidRDefault="008909D8" w:rsidP="00550978">
            <w:pPr>
              <w:jc w:val="center"/>
              <w:rPr>
                <w:rFonts w:asciiTheme="majorHAnsi" w:hAnsiTheme="majorHAnsi"/>
                <w:sz w:val="14"/>
                <w:szCs w:val="14"/>
              </w:rPr>
            </w:pPr>
          </w:p>
        </w:tc>
        <w:tc>
          <w:tcPr>
            <w:tcW w:w="945" w:type="dxa"/>
            <w:vMerge/>
          </w:tcPr>
          <w:p w:rsidR="008909D8" w:rsidRPr="008E2314" w:rsidRDefault="008909D8" w:rsidP="00550978">
            <w:pPr>
              <w:jc w:val="center"/>
              <w:rPr>
                <w:rFonts w:asciiTheme="majorHAnsi" w:hAnsiTheme="majorHAnsi"/>
                <w:sz w:val="14"/>
                <w:szCs w:val="14"/>
              </w:rPr>
            </w:pPr>
          </w:p>
        </w:tc>
        <w:tc>
          <w:tcPr>
            <w:tcW w:w="1134" w:type="dxa"/>
            <w:vMerge/>
          </w:tcPr>
          <w:p w:rsidR="008909D8" w:rsidRPr="008E2314" w:rsidRDefault="008909D8" w:rsidP="00550978">
            <w:pPr>
              <w:jc w:val="center"/>
              <w:rPr>
                <w:rFonts w:asciiTheme="majorHAnsi" w:hAnsiTheme="majorHAnsi"/>
                <w:sz w:val="14"/>
                <w:szCs w:val="14"/>
              </w:rPr>
            </w:pPr>
          </w:p>
        </w:tc>
        <w:tc>
          <w:tcPr>
            <w:tcW w:w="500" w:type="dxa"/>
            <w:vMerge/>
          </w:tcPr>
          <w:p w:rsidR="008909D8" w:rsidRPr="008E2314" w:rsidRDefault="008909D8" w:rsidP="00550978">
            <w:pPr>
              <w:jc w:val="center"/>
              <w:rPr>
                <w:rFonts w:asciiTheme="majorHAnsi" w:hAnsiTheme="majorHAnsi"/>
                <w:sz w:val="14"/>
                <w:szCs w:val="14"/>
              </w:rPr>
            </w:pPr>
          </w:p>
        </w:tc>
        <w:tc>
          <w:tcPr>
            <w:tcW w:w="1090" w:type="dxa"/>
            <w:vMerge/>
          </w:tcPr>
          <w:p w:rsidR="008909D8" w:rsidRPr="008E2314" w:rsidRDefault="008909D8" w:rsidP="00550978">
            <w:pPr>
              <w:jc w:val="center"/>
              <w:rPr>
                <w:rFonts w:asciiTheme="majorHAnsi" w:hAnsiTheme="majorHAnsi"/>
                <w:sz w:val="14"/>
                <w:szCs w:val="14"/>
              </w:rPr>
            </w:pPr>
          </w:p>
        </w:tc>
        <w:tc>
          <w:tcPr>
            <w:tcW w:w="593" w:type="dxa"/>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Typ (*,**) (d-f)</w:t>
            </w:r>
          </w:p>
        </w:tc>
        <w:tc>
          <w:tcPr>
            <w:tcW w:w="827" w:type="dxa"/>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 xml:space="preserve">Stężenie </w:t>
            </w:r>
            <w:proofErr w:type="spellStart"/>
            <w:r w:rsidRPr="008E2314">
              <w:rPr>
                <w:rFonts w:asciiTheme="majorHAnsi" w:hAnsiTheme="majorHAnsi"/>
                <w:sz w:val="14"/>
                <w:szCs w:val="14"/>
              </w:rPr>
              <w:t>skł</w:t>
            </w:r>
            <w:proofErr w:type="spellEnd"/>
            <w:r w:rsidRPr="008E2314">
              <w:rPr>
                <w:rFonts w:asciiTheme="majorHAnsi" w:hAnsiTheme="majorHAnsi"/>
                <w:sz w:val="14"/>
                <w:szCs w:val="14"/>
              </w:rPr>
              <w:t>. czynnego g/kg (i)</w:t>
            </w:r>
          </w:p>
        </w:tc>
        <w:tc>
          <w:tcPr>
            <w:tcW w:w="1326" w:type="dxa"/>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Metoda rodzaj (f-h)</w:t>
            </w:r>
          </w:p>
        </w:tc>
        <w:tc>
          <w:tcPr>
            <w:tcW w:w="956" w:type="dxa"/>
            <w:gridSpan w:val="2"/>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Etap wzrostu i pora roku (j)</w:t>
            </w:r>
          </w:p>
        </w:tc>
        <w:tc>
          <w:tcPr>
            <w:tcW w:w="612" w:type="dxa"/>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Liczba min. maks. (k)</w:t>
            </w:r>
          </w:p>
        </w:tc>
        <w:tc>
          <w:tcPr>
            <w:tcW w:w="1257" w:type="dxa"/>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Odstęp czasu między poszcz. zastosowaniami (min.)</w:t>
            </w:r>
          </w:p>
        </w:tc>
        <w:tc>
          <w:tcPr>
            <w:tcW w:w="827" w:type="dxa"/>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 xml:space="preserve">kg </w:t>
            </w:r>
            <w:proofErr w:type="spellStart"/>
            <w:r w:rsidRPr="008E2314">
              <w:rPr>
                <w:rFonts w:asciiTheme="majorHAnsi" w:hAnsiTheme="majorHAnsi"/>
                <w:sz w:val="14"/>
                <w:szCs w:val="14"/>
              </w:rPr>
              <w:t>skł</w:t>
            </w:r>
            <w:proofErr w:type="spellEnd"/>
            <w:r w:rsidRPr="008E2314">
              <w:rPr>
                <w:rFonts w:asciiTheme="majorHAnsi" w:hAnsiTheme="majorHAnsi"/>
                <w:sz w:val="14"/>
                <w:szCs w:val="14"/>
              </w:rPr>
              <w:t xml:space="preserve">. czynnego na </w:t>
            </w:r>
            <w:proofErr w:type="spellStart"/>
            <w:r w:rsidRPr="008E2314">
              <w:rPr>
                <w:rFonts w:asciiTheme="majorHAnsi" w:hAnsiTheme="majorHAnsi"/>
                <w:sz w:val="14"/>
                <w:szCs w:val="14"/>
              </w:rPr>
              <w:t>hl</w:t>
            </w:r>
            <w:proofErr w:type="spellEnd"/>
            <w:r w:rsidRPr="008E2314">
              <w:rPr>
                <w:rFonts w:asciiTheme="majorHAnsi" w:hAnsiTheme="majorHAnsi"/>
                <w:sz w:val="14"/>
                <w:szCs w:val="14"/>
              </w:rPr>
              <w:t xml:space="preserve"> min. maks</w:t>
            </w:r>
          </w:p>
        </w:tc>
        <w:tc>
          <w:tcPr>
            <w:tcW w:w="1095" w:type="dxa"/>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g lub L produktu /ha min. maks</w:t>
            </w:r>
          </w:p>
        </w:tc>
        <w:tc>
          <w:tcPr>
            <w:tcW w:w="827" w:type="dxa"/>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 xml:space="preserve">kg </w:t>
            </w:r>
            <w:proofErr w:type="spellStart"/>
            <w:r w:rsidRPr="008E2314">
              <w:rPr>
                <w:rFonts w:asciiTheme="majorHAnsi" w:hAnsiTheme="majorHAnsi"/>
                <w:sz w:val="14"/>
                <w:szCs w:val="14"/>
              </w:rPr>
              <w:t>skł</w:t>
            </w:r>
            <w:proofErr w:type="spellEnd"/>
            <w:r w:rsidRPr="008E2314">
              <w:rPr>
                <w:rFonts w:asciiTheme="majorHAnsi" w:hAnsiTheme="majorHAnsi"/>
                <w:sz w:val="14"/>
                <w:szCs w:val="14"/>
              </w:rPr>
              <w:t>. czynnego na ha min. maks.</w:t>
            </w:r>
          </w:p>
        </w:tc>
        <w:tc>
          <w:tcPr>
            <w:tcW w:w="827" w:type="dxa"/>
          </w:tcPr>
          <w:p w:rsidR="008909D8" w:rsidRPr="008E2314" w:rsidRDefault="008909D8" w:rsidP="00550978">
            <w:pPr>
              <w:jc w:val="center"/>
              <w:rPr>
                <w:rFonts w:asciiTheme="majorHAnsi" w:hAnsiTheme="majorHAnsi"/>
                <w:sz w:val="14"/>
                <w:szCs w:val="14"/>
              </w:rPr>
            </w:pPr>
            <w:r w:rsidRPr="008E2314">
              <w:rPr>
                <w:rFonts w:asciiTheme="majorHAnsi" w:hAnsiTheme="majorHAnsi"/>
                <w:sz w:val="14"/>
                <w:szCs w:val="14"/>
              </w:rPr>
              <w:t xml:space="preserve">kg </w:t>
            </w:r>
            <w:proofErr w:type="spellStart"/>
            <w:r w:rsidRPr="008E2314">
              <w:rPr>
                <w:rFonts w:asciiTheme="majorHAnsi" w:hAnsiTheme="majorHAnsi"/>
                <w:sz w:val="14"/>
                <w:szCs w:val="14"/>
              </w:rPr>
              <w:t>skł</w:t>
            </w:r>
            <w:proofErr w:type="spellEnd"/>
            <w:r w:rsidRPr="008E2314">
              <w:rPr>
                <w:rFonts w:asciiTheme="majorHAnsi" w:hAnsiTheme="majorHAnsi"/>
                <w:sz w:val="14"/>
                <w:szCs w:val="14"/>
              </w:rPr>
              <w:t>. czynnego na ha min. maks. (l)</w:t>
            </w:r>
          </w:p>
        </w:tc>
        <w:tc>
          <w:tcPr>
            <w:tcW w:w="714" w:type="dxa"/>
            <w:vMerge/>
          </w:tcPr>
          <w:p w:rsidR="008909D8" w:rsidRPr="008E2314" w:rsidRDefault="008909D8" w:rsidP="00550978">
            <w:pPr>
              <w:jc w:val="center"/>
              <w:rPr>
                <w:rFonts w:asciiTheme="majorHAnsi" w:hAnsiTheme="majorHAnsi"/>
                <w:sz w:val="14"/>
                <w:szCs w:val="14"/>
              </w:rPr>
            </w:pPr>
          </w:p>
        </w:tc>
        <w:tc>
          <w:tcPr>
            <w:tcW w:w="881" w:type="dxa"/>
            <w:vMerge/>
          </w:tcPr>
          <w:p w:rsidR="008909D8" w:rsidRPr="008E2314" w:rsidRDefault="008909D8" w:rsidP="00550978">
            <w:pPr>
              <w:jc w:val="center"/>
              <w:rPr>
                <w:rFonts w:asciiTheme="majorHAnsi" w:hAnsiTheme="majorHAnsi"/>
                <w:sz w:val="14"/>
                <w:szCs w:val="14"/>
              </w:rPr>
            </w:pPr>
          </w:p>
        </w:tc>
      </w:tr>
      <w:tr w:rsidR="007A1B0A" w:rsidRPr="008E2314" w:rsidTr="008E2314">
        <w:tc>
          <w:tcPr>
            <w:tcW w:w="1182" w:type="dxa"/>
          </w:tcPr>
          <w:p w:rsidR="008909D8" w:rsidRPr="008E2314" w:rsidRDefault="007A1B0A" w:rsidP="00550978">
            <w:pPr>
              <w:jc w:val="center"/>
              <w:rPr>
                <w:rFonts w:asciiTheme="majorHAnsi" w:hAnsiTheme="majorHAnsi"/>
                <w:sz w:val="14"/>
                <w:szCs w:val="14"/>
              </w:rPr>
            </w:pPr>
            <w:r w:rsidRPr="008E2314">
              <w:rPr>
                <w:rFonts w:asciiTheme="majorHAnsi" w:hAnsiTheme="majorHAnsi"/>
                <w:sz w:val="14"/>
                <w:szCs w:val="14"/>
              </w:rPr>
              <w:t>Rośliny baldaszkowate (marchew, seler, pasternak, pietruszka)</w:t>
            </w:r>
          </w:p>
        </w:tc>
        <w:tc>
          <w:tcPr>
            <w:tcW w:w="945" w:type="dxa"/>
          </w:tcPr>
          <w:p w:rsidR="007A1B0A" w:rsidRPr="008E2314" w:rsidRDefault="007A1B0A" w:rsidP="00550978">
            <w:pPr>
              <w:jc w:val="center"/>
              <w:rPr>
                <w:rFonts w:asciiTheme="majorHAnsi" w:hAnsiTheme="majorHAnsi"/>
                <w:sz w:val="14"/>
                <w:szCs w:val="14"/>
              </w:rPr>
            </w:pPr>
          </w:p>
          <w:p w:rsidR="007A1B0A" w:rsidRPr="008E2314" w:rsidRDefault="007A1B0A" w:rsidP="00550978">
            <w:pPr>
              <w:jc w:val="center"/>
              <w:rPr>
                <w:rFonts w:asciiTheme="majorHAnsi" w:hAnsiTheme="majorHAnsi"/>
                <w:sz w:val="14"/>
                <w:szCs w:val="14"/>
              </w:rPr>
            </w:pPr>
          </w:p>
          <w:p w:rsidR="008909D8" w:rsidRPr="008E2314" w:rsidRDefault="007A1B0A" w:rsidP="007A1B0A">
            <w:pPr>
              <w:rPr>
                <w:rFonts w:asciiTheme="majorHAnsi" w:hAnsiTheme="majorHAnsi"/>
                <w:sz w:val="14"/>
                <w:szCs w:val="14"/>
              </w:rPr>
            </w:pPr>
            <w:r w:rsidRPr="008E2314">
              <w:rPr>
                <w:rFonts w:asciiTheme="majorHAnsi" w:hAnsiTheme="majorHAnsi"/>
                <w:sz w:val="14"/>
                <w:szCs w:val="14"/>
              </w:rPr>
              <w:t>Wszystkie PC</w:t>
            </w:r>
          </w:p>
        </w:tc>
        <w:tc>
          <w:tcPr>
            <w:tcW w:w="1134" w:type="dxa"/>
          </w:tcPr>
          <w:p w:rsidR="008909D8" w:rsidRPr="008E2314" w:rsidRDefault="007A1B0A" w:rsidP="00550978">
            <w:pPr>
              <w:jc w:val="center"/>
              <w:rPr>
                <w:rFonts w:asciiTheme="majorHAnsi" w:hAnsiTheme="majorHAnsi"/>
                <w:sz w:val="14"/>
                <w:szCs w:val="14"/>
              </w:rPr>
            </w:pPr>
            <w:r w:rsidRPr="008E2314">
              <w:rPr>
                <w:rFonts w:asciiTheme="majorHAnsi" w:hAnsiTheme="majorHAnsi"/>
                <w:sz w:val="14"/>
                <w:szCs w:val="14"/>
              </w:rPr>
              <w:t xml:space="preserve">Olej cebulowy, olej cebulowy TOP, naturalny olej cebulowy, olej cebulowy wypełniający; </w:t>
            </w:r>
          </w:p>
          <w:p w:rsidR="007A1B0A" w:rsidRPr="008E2314" w:rsidRDefault="007A1B0A" w:rsidP="00550978">
            <w:pPr>
              <w:jc w:val="center"/>
              <w:rPr>
                <w:rFonts w:asciiTheme="majorHAnsi" w:hAnsiTheme="majorHAnsi"/>
                <w:sz w:val="14"/>
                <w:szCs w:val="14"/>
              </w:rPr>
            </w:pPr>
            <w:r w:rsidRPr="008E2314">
              <w:rPr>
                <w:rFonts w:asciiTheme="majorHAnsi" w:hAnsiTheme="majorHAnsi"/>
                <w:sz w:val="14"/>
                <w:szCs w:val="14"/>
              </w:rPr>
              <w:t>BJONIEXT, Ekologiczny olej cebulowy, EO cebulowy</w:t>
            </w:r>
          </w:p>
        </w:tc>
        <w:tc>
          <w:tcPr>
            <w:tcW w:w="500" w:type="dxa"/>
          </w:tcPr>
          <w:p w:rsidR="007A1B0A" w:rsidRPr="008E2314" w:rsidRDefault="007A1B0A" w:rsidP="00550978">
            <w:pPr>
              <w:jc w:val="center"/>
              <w:rPr>
                <w:rFonts w:asciiTheme="majorHAnsi" w:hAnsiTheme="majorHAnsi"/>
                <w:sz w:val="14"/>
                <w:szCs w:val="14"/>
              </w:rPr>
            </w:pPr>
          </w:p>
          <w:p w:rsidR="007A1B0A" w:rsidRPr="008E2314" w:rsidRDefault="007A1B0A" w:rsidP="00550978">
            <w:pPr>
              <w:jc w:val="center"/>
              <w:rPr>
                <w:rFonts w:asciiTheme="majorHAnsi" w:hAnsiTheme="majorHAnsi"/>
                <w:sz w:val="14"/>
                <w:szCs w:val="14"/>
              </w:rPr>
            </w:pPr>
          </w:p>
          <w:p w:rsidR="008909D8" w:rsidRPr="008E2314" w:rsidRDefault="007A1B0A" w:rsidP="00550978">
            <w:pPr>
              <w:jc w:val="center"/>
              <w:rPr>
                <w:rFonts w:asciiTheme="majorHAnsi" w:hAnsiTheme="majorHAnsi"/>
                <w:sz w:val="14"/>
                <w:szCs w:val="14"/>
              </w:rPr>
            </w:pPr>
            <w:r w:rsidRPr="008E2314">
              <w:rPr>
                <w:rFonts w:asciiTheme="majorHAnsi" w:hAnsiTheme="majorHAnsi"/>
                <w:sz w:val="14"/>
                <w:szCs w:val="14"/>
              </w:rPr>
              <w:t>F</w:t>
            </w:r>
          </w:p>
        </w:tc>
        <w:tc>
          <w:tcPr>
            <w:tcW w:w="1090" w:type="dxa"/>
          </w:tcPr>
          <w:p w:rsidR="008909D8" w:rsidRPr="008E2314" w:rsidRDefault="007A1B0A" w:rsidP="00550978">
            <w:pPr>
              <w:jc w:val="center"/>
              <w:rPr>
                <w:rFonts w:asciiTheme="majorHAnsi" w:hAnsiTheme="majorHAnsi"/>
                <w:i/>
                <w:iCs/>
                <w:sz w:val="14"/>
                <w:szCs w:val="14"/>
              </w:rPr>
            </w:pPr>
            <w:proofErr w:type="spellStart"/>
            <w:r w:rsidRPr="008E2314">
              <w:rPr>
                <w:rFonts w:asciiTheme="majorHAnsi" w:hAnsiTheme="majorHAnsi"/>
                <w:sz w:val="14"/>
                <w:szCs w:val="14"/>
              </w:rPr>
              <w:t>Połyśnica</w:t>
            </w:r>
            <w:proofErr w:type="spellEnd"/>
            <w:r w:rsidRPr="008E2314">
              <w:rPr>
                <w:rFonts w:asciiTheme="majorHAnsi" w:hAnsiTheme="majorHAnsi"/>
                <w:sz w:val="14"/>
                <w:szCs w:val="14"/>
              </w:rPr>
              <w:t xml:space="preserve"> marchwianka (</w:t>
            </w:r>
            <w:proofErr w:type="spellStart"/>
            <w:r w:rsidRPr="008E2314">
              <w:rPr>
                <w:rFonts w:asciiTheme="majorHAnsi" w:hAnsiTheme="majorHAnsi"/>
                <w:i/>
                <w:iCs/>
                <w:sz w:val="14"/>
                <w:szCs w:val="14"/>
              </w:rPr>
              <w:t>Psila</w:t>
            </w:r>
            <w:proofErr w:type="spellEnd"/>
            <w:r w:rsidRPr="008E2314">
              <w:rPr>
                <w:rFonts w:asciiTheme="majorHAnsi" w:hAnsiTheme="majorHAnsi"/>
                <w:i/>
                <w:iCs/>
                <w:sz w:val="14"/>
                <w:szCs w:val="14"/>
              </w:rPr>
              <w:t xml:space="preserve"> </w:t>
            </w:r>
            <w:proofErr w:type="spellStart"/>
            <w:r w:rsidRPr="008E2314">
              <w:rPr>
                <w:rFonts w:asciiTheme="majorHAnsi" w:hAnsiTheme="majorHAnsi"/>
                <w:i/>
                <w:iCs/>
                <w:sz w:val="14"/>
                <w:szCs w:val="14"/>
              </w:rPr>
              <w:t>rosae</w:t>
            </w:r>
            <w:proofErr w:type="spellEnd"/>
            <w:r w:rsidRPr="008E2314">
              <w:rPr>
                <w:rFonts w:asciiTheme="majorHAnsi" w:hAnsiTheme="majorHAnsi"/>
                <w:i/>
                <w:iCs/>
                <w:sz w:val="14"/>
                <w:szCs w:val="14"/>
              </w:rPr>
              <w:t>)</w:t>
            </w:r>
          </w:p>
        </w:tc>
        <w:tc>
          <w:tcPr>
            <w:tcW w:w="593" w:type="dxa"/>
          </w:tcPr>
          <w:p w:rsidR="008909D8" w:rsidRPr="008E2314" w:rsidRDefault="008909D8" w:rsidP="00550978">
            <w:pPr>
              <w:jc w:val="center"/>
              <w:rPr>
                <w:rFonts w:asciiTheme="majorHAnsi" w:hAnsiTheme="majorHAnsi"/>
                <w:sz w:val="14"/>
                <w:szCs w:val="14"/>
              </w:rPr>
            </w:pPr>
          </w:p>
          <w:p w:rsidR="007A1B0A" w:rsidRPr="008E2314" w:rsidRDefault="007A1B0A" w:rsidP="00550978">
            <w:pPr>
              <w:jc w:val="center"/>
              <w:rPr>
                <w:rFonts w:asciiTheme="majorHAnsi" w:hAnsiTheme="majorHAnsi"/>
                <w:sz w:val="14"/>
                <w:szCs w:val="14"/>
              </w:rPr>
            </w:pPr>
          </w:p>
          <w:p w:rsidR="007A1B0A" w:rsidRPr="008E2314" w:rsidRDefault="007A1B0A" w:rsidP="00550978">
            <w:pPr>
              <w:jc w:val="center"/>
              <w:rPr>
                <w:rFonts w:asciiTheme="majorHAnsi" w:hAnsiTheme="majorHAnsi"/>
                <w:sz w:val="14"/>
                <w:szCs w:val="14"/>
              </w:rPr>
            </w:pPr>
            <w:r w:rsidRPr="008E2314">
              <w:rPr>
                <w:rFonts w:asciiTheme="majorHAnsi" w:hAnsiTheme="majorHAnsi"/>
                <w:sz w:val="14"/>
                <w:szCs w:val="14"/>
              </w:rPr>
              <w:t>AL</w:t>
            </w:r>
          </w:p>
        </w:tc>
        <w:tc>
          <w:tcPr>
            <w:tcW w:w="827" w:type="dxa"/>
          </w:tcPr>
          <w:p w:rsidR="008909D8" w:rsidRPr="008E2314" w:rsidRDefault="008909D8" w:rsidP="00550978">
            <w:pPr>
              <w:jc w:val="center"/>
              <w:rPr>
                <w:rFonts w:asciiTheme="majorHAnsi" w:hAnsiTheme="majorHAnsi"/>
                <w:sz w:val="14"/>
                <w:szCs w:val="14"/>
              </w:rPr>
            </w:pPr>
          </w:p>
          <w:p w:rsidR="007A1B0A" w:rsidRPr="008E2314" w:rsidRDefault="007A1B0A" w:rsidP="00550978">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r w:rsidRPr="008E2314">
              <w:rPr>
                <w:rFonts w:asciiTheme="majorHAnsi" w:hAnsiTheme="majorHAnsi"/>
                <w:sz w:val="14"/>
                <w:szCs w:val="14"/>
              </w:rPr>
              <w:t>-</w:t>
            </w:r>
          </w:p>
        </w:tc>
        <w:tc>
          <w:tcPr>
            <w:tcW w:w="1326" w:type="dxa"/>
          </w:tcPr>
          <w:p w:rsidR="008909D8" w:rsidRPr="008E2314" w:rsidRDefault="008909D8"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r w:rsidRPr="008E2314">
              <w:rPr>
                <w:rFonts w:asciiTheme="majorHAnsi" w:hAnsiTheme="majorHAnsi"/>
                <w:sz w:val="14"/>
                <w:szCs w:val="14"/>
              </w:rPr>
              <w:t>Maskowanie zapachu oślin baldaszkowatych przez parowanie oleju cebulowego z dozownika</w:t>
            </w:r>
          </w:p>
        </w:tc>
        <w:tc>
          <w:tcPr>
            <w:tcW w:w="956" w:type="dxa"/>
            <w:gridSpan w:val="2"/>
          </w:tcPr>
          <w:p w:rsidR="008909D8" w:rsidRPr="008E2314" w:rsidRDefault="008909D8"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r w:rsidRPr="008E2314">
              <w:rPr>
                <w:rFonts w:asciiTheme="majorHAnsi" w:hAnsiTheme="majorHAnsi"/>
                <w:sz w:val="14"/>
                <w:szCs w:val="14"/>
              </w:rPr>
              <w:t>Krótko po posadzeniu lub pojawieniu się roślin (w połowie kwietnia) do końca listopada (przed zbiorami)</w:t>
            </w:r>
          </w:p>
        </w:tc>
        <w:tc>
          <w:tcPr>
            <w:tcW w:w="612" w:type="dxa"/>
          </w:tcPr>
          <w:p w:rsidR="008909D8" w:rsidRPr="008E2314" w:rsidRDefault="008909D8"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r w:rsidRPr="008E2314">
              <w:rPr>
                <w:rFonts w:asciiTheme="majorHAnsi" w:hAnsiTheme="majorHAnsi"/>
                <w:sz w:val="14"/>
                <w:szCs w:val="14"/>
              </w:rPr>
              <w:t>1</w:t>
            </w:r>
          </w:p>
        </w:tc>
        <w:tc>
          <w:tcPr>
            <w:tcW w:w="1257" w:type="dxa"/>
          </w:tcPr>
          <w:p w:rsidR="008909D8" w:rsidRPr="008E2314" w:rsidRDefault="008909D8" w:rsidP="007A1B0A">
            <w:pPr>
              <w:jc w:val="center"/>
              <w:rPr>
                <w:rFonts w:asciiTheme="majorHAnsi" w:hAnsiTheme="majorHAnsi"/>
                <w:sz w:val="14"/>
                <w:szCs w:val="14"/>
              </w:rPr>
            </w:pPr>
          </w:p>
        </w:tc>
        <w:tc>
          <w:tcPr>
            <w:tcW w:w="827" w:type="dxa"/>
          </w:tcPr>
          <w:p w:rsidR="008909D8" w:rsidRPr="008E2314" w:rsidRDefault="008909D8" w:rsidP="007A1B0A">
            <w:pPr>
              <w:jc w:val="center"/>
              <w:rPr>
                <w:rFonts w:asciiTheme="majorHAnsi" w:hAnsiTheme="majorHAnsi"/>
                <w:sz w:val="14"/>
                <w:szCs w:val="14"/>
              </w:rPr>
            </w:pPr>
          </w:p>
          <w:p w:rsidR="007A1B0A" w:rsidRPr="008E2314" w:rsidRDefault="007A1B0A" w:rsidP="007A1B0A">
            <w:pP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r w:rsidRPr="008E2314">
              <w:rPr>
                <w:rFonts w:asciiTheme="majorHAnsi" w:hAnsiTheme="majorHAnsi"/>
                <w:sz w:val="14"/>
                <w:szCs w:val="14"/>
              </w:rPr>
              <w:t>-</w:t>
            </w:r>
          </w:p>
        </w:tc>
        <w:tc>
          <w:tcPr>
            <w:tcW w:w="1095" w:type="dxa"/>
          </w:tcPr>
          <w:p w:rsidR="008909D8" w:rsidRPr="008E2314" w:rsidRDefault="008909D8"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r w:rsidRPr="008E2314">
              <w:rPr>
                <w:rFonts w:asciiTheme="majorHAnsi" w:hAnsiTheme="majorHAnsi"/>
                <w:sz w:val="14"/>
                <w:szCs w:val="14"/>
              </w:rPr>
              <w:t>Dozownik pojemnikowy 0,08 – 0,160 l/ha</w:t>
            </w: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r w:rsidRPr="008E2314">
              <w:rPr>
                <w:rFonts w:asciiTheme="majorHAnsi" w:hAnsiTheme="majorHAnsi"/>
                <w:sz w:val="14"/>
                <w:szCs w:val="14"/>
              </w:rPr>
              <w:t>Dozownik na granulki</w:t>
            </w: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r w:rsidRPr="008E2314">
              <w:rPr>
                <w:rFonts w:asciiTheme="majorHAnsi" w:hAnsiTheme="majorHAnsi"/>
                <w:sz w:val="14"/>
                <w:szCs w:val="14"/>
              </w:rPr>
              <w:t>17,6 – 35,2 g/ha</w:t>
            </w:r>
          </w:p>
        </w:tc>
        <w:tc>
          <w:tcPr>
            <w:tcW w:w="827" w:type="dxa"/>
          </w:tcPr>
          <w:p w:rsidR="008909D8" w:rsidRPr="008E2314" w:rsidRDefault="008909D8"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r w:rsidRPr="008E2314">
              <w:rPr>
                <w:rFonts w:asciiTheme="majorHAnsi" w:hAnsiTheme="majorHAnsi"/>
                <w:sz w:val="14"/>
                <w:szCs w:val="14"/>
              </w:rPr>
              <w:t>-</w:t>
            </w:r>
          </w:p>
        </w:tc>
        <w:tc>
          <w:tcPr>
            <w:tcW w:w="827" w:type="dxa"/>
          </w:tcPr>
          <w:p w:rsidR="008909D8" w:rsidRPr="008E2314" w:rsidRDefault="008909D8"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r w:rsidRPr="008E2314">
              <w:rPr>
                <w:rFonts w:asciiTheme="majorHAnsi" w:hAnsiTheme="majorHAnsi"/>
                <w:sz w:val="14"/>
                <w:szCs w:val="14"/>
              </w:rPr>
              <w:t>-</w:t>
            </w:r>
          </w:p>
        </w:tc>
        <w:tc>
          <w:tcPr>
            <w:tcW w:w="714" w:type="dxa"/>
          </w:tcPr>
          <w:p w:rsidR="008909D8" w:rsidRPr="008E2314" w:rsidRDefault="008909D8"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r w:rsidRPr="008E2314">
              <w:rPr>
                <w:rFonts w:asciiTheme="majorHAnsi" w:hAnsiTheme="majorHAnsi"/>
                <w:sz w:val="14"/>
                <w:szCs w:val="14"/>
              </w:rPr>
              <w:t>Nie dotyczy</w:t>
            </w:r>
          </w:p>
        </w:tc>
        <w:tc>
          <w:tcPr>
            <w:tcW w:w="881" w:type="dxa"/>
          </w:tcPr>
          <w:p w:rsidR="008909D8" w:rsidRPr="008E2314" w:rsidRDefault="008909D8"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r w:rsidRPr="008E2314">
              <w:rPr>
                <w:rFonts w:asciiTheme="majorHAnsi" w:hAnsiTheme="majorHAnsi"/>
                <w:sz w:val="14"/>
                <w:szCs w:val="14"/>
              </w:rPr>
              <w:t>4-5 dozowników na ha</w:t>
            </w:r>
          </w:p>
          <w:p w:rsidR="007A1B0A" w:rsidRPr="008E2314" w:rsidRDefault="007A1B0A" w:rsidP="007A1B0A">
            <w:pPr>
              <w:jc w:val="center"/>
              <w:rPr>
                <w:rFonts w:asciiTheme="majorHAnsi" w:hAnsiTheme="majorHAnsi"/>
                <w:sz w:val="14"/>
                <w:szCs w:val="14"/>
              </w:rPr>
            </w:pPr>
          </w:p>
          <w:p w:rsidR="007A1B0A" w:rsidRPr="008E2314" w:rsidRDefault="007A1B0A" w:rsidP="007A1B0A">
            <w:pPr>
              <w:jc w:val="center"/>
              <w:rPr>
                <w:rFonts w:asciiTheme="majorHAnsi" w:hAnsiTheme="majorHAnsi"/>
                <w:sz w:val="14"/>
                <w:szCs w:val="14"/>
              </w:rPr>
            </w:pPr>
            <w:r w:rsidRPr="008E2314">
              <w:rPr>
                <w:rFonts w:asciiTheme="majorHAnsi" w:hAnsiTheme="majorHAnsi"/>
                <w:sz w:val="14"/>
                <w:szCs w:val="14"/>
              </w:rPr>
              <w:t>Wyłącznie do użytku specjalistycznego</w:t>
            </w:r>
          </w:p>
        </w:tc>
      </w:tr>
      <w:tr w:rsidR="007A1B0A" w:rsidRPr="008E2314" w:rsidTr="007144BA">
        <w:tc>
          <w:tcPr>
            <w:tcW w:w="7796" w:type="dxa"/>
            <w:gridSpan w:val="9"/>
          </w:tcPr>
          <w:p w:rsidR="008E2314" w:rsidRPr="008E2314" w:rsidRDefault="007A1B0A" w:rsidP="007A1B0A">
            <w:pPr>
              <w:jc w:val="left"/>
              <w:rPr>
                <w:rFonts w:asciiTheme="majorHAnsi" w:hAnsiTheme="majorHAnsi"/>
                <w:sz w:val="16"/>
                <w:szCs w:val="16"/>
              </w:rPr>
            </w:pPr>
            <w:r w:rsidRPr="008E2314">
              <w:rPr>
                <w:rFonts w:asciiTheme="majorHAnsi" w:hAnsiTheme="majorHAnsi"/>
                <w:sz w:val="16"/>
                <w:szCs w:val="16"/>
              </w:rPr>
              <w:t xml:space="preserve">(a) W przypadku upraw należy wziąć po uwagę zarówno klasyfikację unijną, jak i klasyfikację </w:t>
            </w:r>
            <w:proofErr w:type="spellStart"/>
            <w:r w:rsidRPr="008E2314">
              <w:rPr>
                <w:rFonts w:asciiTheme="majorHAnsi" w:hAnsiTheme="majorHAnsi"/>
                <w:sz w:val="16"/>
                <w:szCs w:val="16"/>
              </w:rPr>
              <w:t>Codex</w:t>
            </w:r>
            <w:proofErr w:type="spellEnd"/>
            <w:r w:rsidRPr="008E2314">
              <w:rPr>
                <w:rFonts w:asciiTheme="majorHAnsi" w:hAnsiTheme="majorHAnsi"/>
                <w:sz w:val="16"/>
                <w:szCs w:val="16"/>
              </w:rPr>
              <w:t xml:space="preserve">; w stosowanych przypadkach należy opisać sytuację zastosowania (np. fumigacja konstrukcji). </w:t>
            </w:r>
          </w:p>
          <w:p w:rsidR="008E2314" w:rsidRPr="008E2314" w:rsidRDefault="007A1B0A" w:rsidP="007A1B0A">
            <w:pPr>
              <w:jc w:val="left"/>
              <w:rPr>
                <w:rFonts w:asciiTheme="majorHAnsi" w:hAnsiTheme="majorHAnsi"/>
                <w:sz w:val="16"/>
                <w:szCs w:val="16"/>
              </w:rPr>
            </w:pPr>
            <w:r w:rsidRPr="008E2314">
              <w:rPr>
                <w:rFonts w:asciiTheme="majorHAnsi" w:hAnsiTheme="majorHAnsi"/>
                <w:sz w:val="16"/>
                <w:szCs w:val="16"/>
              </w:rPr>
              <w:t xml:space="preserve">(b) Zastosowanie na zewnątrz lub na polu (F), zastosowanie w szklarni (G) lub zastosowanie w pomieszczeniach (I). (c) np. szkodniki gryzące i ssące, owady przenoszone przez glebą, grzyby liści, chwasty lub owady wywołujące powstanie roślin. </w:t>
            </w:r>
          </w:p>
          <w:p w:rsidR="008E2314" w:rsidRPr="008E2314" w:rsidRDefault="007A1B0A" w:rsidP="007A1B0A">
            <w:pPr>
              <w:jc w:val="left"/>
              <w:rPr>
                <w:rFonts w:asciiTheme="majorHAnsi" w:hAnsiTheme="majorHAnsi"/>
                <w:sz w:val="16"/>
                <w:szCs w:val="16"/>
              </w:rPr>
            </w:pPr>
            <w:r w:rsidRPr="008E2314">
              <w:rPr>
                <w:rFonts w:asciiTheme="majorHAnsi" w:hAnsiTheme="majorHAnsi"/>
                <w:sz w:val="16"/>
                <w:szCs w:val="16"/>
              </w:rPr>
              <w:t xml:space="preserve">(d) np. proszek zawiesinowy (WP), koncentrat emulgujący (EC), granulat (GR) itp. </w:t>
            </w:r>
          </w:p>
          <w:p w:rsidR="008E2314" w:rsidRPr="008E2314" w:rsidRDefault="007A1B0A" w:rsidP="007A1B0A">
            <w:pPr>
              <w:jc w:val="left"/>
              <w:rPr>
                <w:rFonts w:asciiTheme="majorHAnsi" w:hAnsiTheme="majorHAnsi"/>
                <w:sz w:val="16"/>
                <w:szCs w:val="16"/>
              </w:rPr>
            </w:pPr>
            <w:r w:rsidRPr="008E2314">
              <w:rPr>
                <w:rFonts w:asciiTheme="majorHAnsi" w:hAnsiTheme="majorHAnsi"/>
                <w:sz w:val="16"/>
                <w:szCs w:val="16"/>
              </w:rPr>
              <w:t>(e) Kody GCPF – Techniczna monografia GIFAP Nr 2, 1989. (</w:t>
            </w:r>
          </w:p>
          <w:p w:rsidR="008E2314" w:rsidRPr="008E2314" w:rsidRDefault="007A1B0A" w:rsidP="007A1B0A">
            <w:pPr>
              <w:jc w:val="left"/>
              <w:rPr>
                <w:rFonts w:asciiTheme="majorHAnsi" w:hAnsiTheme="majorHAnsi"/>
                <w:sz w:val="16"/>
                <w:szCs w:val="16"/>
              </w:rPr>
            </w:pPr>
            <w:r w:rsidRPr="008E2314">
              <w:rPr>
                <w:rFonts w:asciiTheme="majorHAnsi" w:hAnsiTheme="majorHAnsi"/>
                <w:sz w:val="16"/>
                <w:szCs w:val="16"/>
              </w:rPr>
              <w:t xml:space="preserve">f) Należy objaśnić wszystkie stosowane skróty. </w:t>
            </w:r>
          </w:p>
          <w:p w:rsidR="007A1B0A" w:rsidRPr="008E2314" w:rsidRDefault="007A1B0A" w:rsidP="007A1B0A">
            <w:pPr>
              <w:jc w:val="left"/>
              <w:rPr>
                <w:rFonts w:asciiTheme="majorHAnsi" w:hAnsiTheme="majorHAnsi"/>
                <w:sz w:val="16"/>
                <w:szCs w:val="16"/>
              </w:rPr>
            </w:pPr>
            <w:r w:rsidRPr="008E2314">
              <w:rPr>
                <w:rFonts w:asciiTheme="majorHAnsi" w:hAnsiTheme="majorHAnsi"/>
                <w:sz w:val="16"/>
                <w:szCs w:val="16"/>
              </w:rPr>
              <w:t>(g) Metoda, np. opryskiwanie dużą ilością środka, opryskiwanie małą ilością środka, nakładanie, posypywanie, moczenie.</w:t>
            </w:r>
          </w:p>
          <w:p w:rsidR="008E2314" w:rsidRPr="008E2314" w:rsidRDefault="008E2314" w:rsidP="008E2314">
            <w:pPr>
              <w:jc w:val="left"/>
              <w:rPr>
                <w:rFonts w:asciiTheme="majorHAnsi" w:hAnsiTheme="majorHAnsi"/>
                <w:sz w:val="16"/>
                <w:szCs w:val="16"/>
              </w:rPr>
            </w:pPr>
            <w:r w:rsidRPr="008E2314">
              <w:rPr>
                <w:rFonts w:asciiTheme="majorHAnsi" w:hAnsiTheme="majorHAnsi"/>
                <w:sz w:val="16"/>
                <w:szCs w:val="16"/>
              </w:rPr>
              <w:t xml:space="preserve">(h) Rodzaj, np. ogólne, rozpylanie, opryski, w rzędach, na poszczególnych roślinach, pomiędzy roślinami – należy wskazać rodzaj sprzętu. </w:t>
            </w:r>
          </w:p>
        </w:tc>
        <w:tc>
          <w:tcPr>
            <w:tcW w:w="7797" w:type="dxa"/>
            <w:gridSpan w:val="9"/>
          </w:tcPr>
          <w:p w:rsidR="008E2314" w:rsidRPr="008E2314" w:rsidRDefault="007A1B0A" w:rsidP="007A1B0A">
            <w:pPr>
              <w:jc w:val="left"/>
              <w:rPr>
                <w:rFonts w:asciiTheme="majorHAnsi" w:hAnsiTheme="majorHAnsi"/>
                <w:sz w:val="16"/>
                <w:szCs w:val="16"/>
              </w:rPr>
            </w:pPr>
            <w:r w:rsidRPr="008E2314">
              <w:rPr>
                <w:rFonts w:asciiTheme="majorHAnsi" w:hAnsiTheme="majorHAnsi"/>
                <w:sz w:val="16"/>
                <w:szCs w:val="16"/>
              </w:rPr>
              <w:t xml:space="preserve"> </w:t>
            </w:r>
            <w:r w:rsidR="008E2314" w:rsidRPr="008E2314">
              <w:rPr>
                <w:rFonts w:asciiTheme="majorHAnsi" w:hAnsiTheme="majorHAnsi"/>
                <w:sz w:val="16"/>
                <w:szCs w:val="16"/>
              </w:rPr>
              <w:t xml:space="preserve">(i) g/kg lub g/l. Zwykle należy podać dawkę dla substancji czynnej (zgodnie z ISO). </w:t>
            </w:r>
          </w:p>
          <w:p w:rsidR="008E2314" w:rsidRPr="008E2314" w:rsidRDefault="007A1B0A" w:rsidP="007A1B0A">
            <w:pPr>
              <w:jc w:val="left"/>
              <w:rPr>
                <w:rFonts w:asciiTheme="majorHAnsi" w:hAnsiTheme="majorHAnsi"/>
                <w:sz w:val="16"/>
                <w:szCs w:val="16"/>
              </w:rPr>
            </w:pPr>
            <w:r w:rsidRPr="008E2314">
              <w:rPr>
                <w:rFonts w:asciiTheme="majorHAnsi" w:hAnsiTheme="majorHAnsi"/>
                <w:sz w:val="16"/>
                <w:szCs w:val="16"/>
              </w:rPr>
              <w:t xml:space="preserve">(j) Etap wzrostu roślin podczas ostatniego zastosowania (BBCH </w:t>
            </w:r>
            <w:proofErr w:type="spellStart"/>
            <w:r w:rsidRPr="008E2314">
              <w:rPr>
                <w:rFonts w:asciiTheme="majorHAnsi" w:hAnsiTheme="majorHAnsi"/>
                <w:sz w:val="16"/>
                <w:szCs w:val="16"/>
              </w:rPr>
              <w:t>Monograph</w:t>
            </w:r>
            <w:proofErr w:type="spellEnd"/>
            <w:r w:rsidRPr="008E2314">
              <w:rPr>
                <w:rFonts w:asciiTheme="majorHAnsi" w:hAnsiTheme="majorHAnsi"/>
                <w:sz w:val="16"/>
                <w:szCs w:val="16"/>
              </w:rPr>
              <w:t xml:space="preserve">, </w:t>
            </w:r>
            <w:proofErr w:type="spellStart"/>
            <w:r w:rsidRPr="008E2314">
              <w:rPr>
                <w:rFonts w:asciiTheme="majorHAnsi" w:hAnsiTheme="majorHAnsi"/>
                <w:sz w:val="16"/>
                <w:szCs w:val="16"/>
              </w:rPr>
              <w:t>Growth</w:t>
            </w:r>
            <w:proofErr w:type="spellEnd"/>
            <w:r w:rsidRPr="008E2314">
              <w:rPr>
                <w:rFonts w:asciiTheme="majorHAnsi" w:hAnsiTheme="majorHAnsi"/>
                <w:sz w:val="16"/>
                <w:szCs w:val="16"/>
              </w:rPr>
              <w:t xml:space="preserve"> </w:t>
            </w:r>
            <w:proofErr w:type="spellStart"/>
            <w:r w:rsidRPr="008E2314">
              <w:rPr>
                <w:rFonts w:asciiTheme="majorHAnsi" w:hAnsiTheme="majorHAnsi"/>
                <w:sz w:val="16"/>
                <w:szCs w:val="16"/>
              </w:rPr>
              <w:t>Stages</w:t>
            </w:r>
            <w:proofErr w:type="spellEnd"/>
            <w:r w:rsidRPr="008E2314">
              <w:rPr>
                <w:rFonts w:asciiTheme="majorHAnsi" w:hAnsiTheme="majorHAnsi"/>
                <w:sz w:val="16"/>
                <w:szCs w:val="16"/>
              </w:rPr>
              <w:t xml:space="preserve"> of </w:t>
            </w:r>
            <w:proofErr w:type="spellStart"/>
            <w:r w:rsidRPr="008E2314">
              <w:rPr>
                <w:rFonts w:asciiTheme="majorHAnsi" w:hAnsiTheme="majorHAnsi"/>
                <w:sz w:val="16"/>
                <w:szCs w:val="16"/>
              </w:rPr>
              <w:t>Plants</w:t>
            </w:r>
            <w:proofErr w:type="spellEnd"/>
            <w:r w:rsidRPr="008E2314">
              <w:rPr>
                <w:rFonts w:asciiTheme="majorHAnsi" w:hAnsiTheme="majorHAnsi"/>
                <w:sz w:val="16"/>
                <w:szCs w:val="16"/>
              </w:rPr>
              <w:t xml:space="preserve">, 1997, </w:t>
            </w:r>
            <w:proofErr w:type="spellStart"/>
            <w:r w:rsidRPr="008E2314">
              <w:rPr>
                <w:rFonts w:asciiTheme="majorHAnsi" w:hAnsiTheme="majorHAnsi"/>
                <w:sz w:val="16"/>
                <w:szCs w:val="16"/>
              </w:rPr>
              <w:t>Blackwell</w:t>
            </w:r>
            <w:proofErr w:type="spellEnd"/>
            <w:r w:rsidRPr="008E2314">
              <w:rPr>
                <w:rFonts w:asciiTheme="majorHAnsi" w:hAnsiTheme="majorHAnsi"/>
                <w:sz w:val="16"/>
                <w:szCs w:val="16"/>
              </w:rPr>
              <w:t xml:space="preserve">. ISBN 3-8263-3152-4), w tym, w stosowanych przypadkach, pora roku zastosowania. </w:t>
            </w:r>
          </w:p>
          <w:p w:rsidR="008E2314" w:rsidRPr="008E2314" w:rsidRDefault="007A1B0A" w:rsidP="007A1B0A">
            <w:pPr>
              <w:jc w:val="left"/>
              <w:rPr>
                <w:rFonts w:asciiTheme="majorHAnsi" w:hAnsiTheme="majorHAnsi"/>
                <w:sz w:val="16"/>
                <w:szCs w:val="16"/>
              </w:rPr>
            </w:pPr>
            <w:r w:rsidRPr="008E2314">
              <w:rPr>
                <w:rFonts w:asciiTheme="majorHAnsi" w:hAnsiTheme="majorHAnsi"/>
                <w:sz w:val="16"/>
                <w:szCs w:val="16"/>
              </w:rPr>
              <w:t>(k) Należy podać minimalną i maksymalną liczbę możliwych zastosowań w praktycznych warunkach stosowania.</w:t>
            </w:r>
          </w:p>
          <w:p w:rsidR="008E2314" w:rsidRPr="008E2314" w:rsidRDefault="007A1B0A" w:rsidP="007A1B0A">
            <w:pPr>
              <w:jc w:val="left"/>
              <w:rPr>
                <w:rFonts w:asciiTheme="majorHAnsi" w:hAnsiTheme="majorHAnsi"/>
                <w:sz w:val="16"/>
                <w:szCs w:val="16"/>
              </w:rPr>
            </w:pPr>
            <w:r w:rsidRPr="008E2314">
              <w:rPr>
                <w:rFonts w:asciiTheme="majorHAnsi" w:hAnsiTheme="majorHAnsi"/>
                <w:sz w:val="16"/>
                <w:szCs w:val="16"/>
              </w:rPr>
              <w:t xml:space="preserve"> (l) Należy podać wartość w g lub kg, zależnie od tego, która jest bardziej przejrzysta (np. 200 kg/ha zamiast 200 000 g/ha lub 12,5 g/ha zamiast 0,0125 kg/ha). </w:t>
            </w:r>
          </w:p>
          <w:p w:rsidR="007A1B0A" w:rsidRPr="008E2314" w:rsidRDefault="007A1B0A" w:rsidP="008E2314">
            <w:pPr>
              <w:jc w:val="left"/>
              <w:rPr>
                <w:rFonts w:asciiTheme="majorHAnsi" w:hAnsiTheme="majorHAnsi"/>
                <w:sz w:val="16"/>
                <w:szCs w:val="16"/>
              </w:rPr>
            </w:pPr>
            <w:r w:rsidRPr="008E2314">
              <w:rPr>
                <w:rFonts w:asciiTheme="majorHAnsi" w:hAnsiTheme="majorHAnsi"/>
                <w:sz w:val="16"/>
                <w:szCs w:val="16"/>
              </w:rPr>
              <w:t>(m) PHI – minimalny okres między zastosowaniem środka a zbiorami</w:t>
            </w:r>
          </w:p>
        </w:tc>
      </w:tr>
    </w:tbl>
    <w:p w:rsidR="00550978" w:rsidRPr="008E2314" w:rsidRDefault="00550978" w:rsidP="00550978">
      <w:pPr>
        <w:jc w:val="center"/>
        <w:rPr>
          <w:rFonts w:asciiTheme="majorHAnsi" w:hAnsiTheme="majorHAnsi"/>
        </w:rPr>
      </w:pPr>
    </w:p>
    <w:sectPr w:rsidR="00550978" w:rsidRPr="008E2314" w:rsidSect="0055097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0A3" w:rsidRDefault="00A120A3" w:rsidP="006E7B2D">
      <w:pPr>
        <w:spacing w:line="240" w:lineRule="auto"/>
      </w:pPr>
      <w:r>
        <w:separator/>
      </w:r>
    </w:p>
  </w:endnote>
  <w:endnote w:type="continuationSeparator" w:id="0">
    <w:p w:rsidR="00A120A3" w:rsidRDefault="00A120A3" w:rsidP="006E7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0A3" w:rsidRDefault="00A120A3" w:rsidP="006E7B2D">
      <w:pPr>
        <w:spacing w:line="240" w:lineRule="auto"/>
      </w:pPr>
      <w:r>
        <w:separator/>
      </w:r>
    </w:p>
  </w:footnote>
  <w:footnote w:type="continuationSeparator" w:id="0">
    <w:p w:rsidR="00A120A3" w:rsidRDefault="00A120A3" w:rsidP="006E7B2D">
      <w:pPr>
        <w:spacing w:line="240" w:lineRule="auto"/>
      </w:pPr>
      <w:r>
        <w:continuationSeparator/>
      </w:r>
    </w:p>
  </w:footnote>
  <w:footnote w:id="1">
    <w:p w:rsidR="006E7B2D" w:rsidRPr="008E2314" w:rsidRDefault="006E7B2D">
      <w:pPr>
        <w:pStyle w:val="Tekstprzypisudolnego"/>
        <w:rPr>
          <w:rFonts w:asciiTheme="majorHAnsi" w:hAnsiTheme="majorHAnsi"/>
          <w:sz w:val="16"/>
          <w:szCs w:val="16"/>
        </w:rPr>
      </w:pPr>
      <w:r w:rsidRPr="008E2314">
        <w:rPr>
          <w:rStyle w:val="Odwoanieprzypisudolnego"/>
          <w:rFonts w:asciiTheme="majorHAnsi" w:hAnsiTheme="majorHAnsi"/>
          <w:sz w:val="16"/>
          <w:szCs w:val="16"/>
        </w:rPr>
        <w:footnoteRef/>
      </w:r>
      <w:r w:rsidRPr="008E2314">
        <w:rPr>
          <w:rFonts w:asciiTheme="majorHAnsi" w:hAnsiTheme="majorHAnsi"/>
          <w:sz w:val="16"/>
          <w:szCs w:val="16"/>
        </w:rPr>
        <w:t xml:space="preserve"> Sprawozdanie z przeglądu sporządzone zgodnie z postanowieniami art. 13 Rozporządzenia (UE) Nr 1107/2009; sprawozdanie </w:t>
      </w:r>
      <w:r w:rsidR="00B72403" w:rsidRPr="008E2314">
        <w:rPr>
          <w:rFonts w:asciiTheme="majorHAnsi" w:hAnsiTheme="majorHAnsi"/>
          <w:sz w:val="16"/>
          <w:szCs w:val="16"/>
        </w:rPr>
        <w:t>niekoniecznie odzwierciedla stanowisko</w:t>
      </w:r>
      <w:r w:rsidRPr="008E2314">
        <w:rPr>
          <w:rFonts w:asciiTheme="majorHAnsi" w:hAnsiTheme="majorHAnsi"/>
          <w:sz w:val="16"/>
          <w:szCs w:val="16"/>
        </w:rPr>
        <w:t xml:space="preserve"> Komisji Europejskiej.</w:t>
      </w:r>
    </w:p>
  </w:footnote>
  <w:footnote w:id="2">
    <w:p w:rsidR="006E7B2D" w:rsidRPr="008E2314" w:rsidRDefault="006E7B2D">
      <w:pPr>
        <w:pStyle w:val="Tekstprzypisudolnego"/>
        <w:rPr>
          <w:rFonts w:asciiTheme="majorHAnsi" w:hAnsiTheme="majorHAnsi"/>
          <w:sz w:val="16"/>
          <w:szCs w:val="16"/>
        </w:rPr>
      </w:pPr>
      <w:r w:rsidRPr="008E2314">
        <w:rPr>
          <w:rStyle w:val="Odwoanieprzypisudolnego"/>
          <w:rFonts w:asciiTheme="majorHAnsi" w:hAnsiTheme="majorHAnsi"/>
          <w:sz w:val="16"/>
          <w:szCs w:val="16"/>
        </w:rPr>
        <w:footnoteRef/>
      </w:r>
      <w:r w:rsidRPr="008E2314">
        <w:rPr>
          <w:rFonts w:asciiTheme="majorHAnsi" w:hAnsiTheme="majorHAnsi"/>
          <w:sz w:val="16"/>
          <w:szCs w:val="16"/>
        </w:rPr>
        <w:t xml:space="preserve"> Dz.U. L 309, 24.11.2009, str. 1 - 50</w:t>
      </w:r>
    </w:p>
  </w:footnote>
  <w:footnote w:id="3">
    <w:p w:rsidR="00B72403" w:rsidRPr="008E2314" w:rsidRDefault="00B72403">
      <w:pPr>
        <w:pStyle w:val="Tekstprzypisudolnego"/>
        <w:rPr>
          <w:rFonts w:asciiTheme="majorHAnsi" w:hAnsiTheme="majorHAnsi"/>
          <w:sz w:val="16"/>
          <w:szCs w:val="16"/>
        </w:rPr>
      </w:pPr>
      <w:r w:rsidRPr="008E2314">
        <w:rPr>
          <w:rStyle w:val="Odwoanieprzypisudolnego"/>
          <w:rFonts w:asciiTheme="majorHAnsi" w:hAnsiTheme="majorHAnsi"/>
          <w:sz w:val="16"/>
          <w:szCs w:val="16"/>
        </w:rPr>
        <w:footnoteRef/>
      </w:r>
      <w:r w:rsidRPr="008E2314">
        <w:rPr>
          <w:rFonts w:asciiTheme="majorHAnsi" w:hAnsiTheme="majorHAnsi"/>
          <w:sz w:val="16"/>
          <w:szCs w:val="16"/>
        </w:rPr>
        <w:t xml:space="preserve"> EFSA (Europejski Urząd ds. Bezpieczeństwa Żywności), 2017 r. Sprawozdanie techniczne dotyczące wyniku konsultacji z państwami członkowskimi i EFSA w sprawie stosowania oleju cebulowego jako substancji podstawowej do ochrony roślin jako środka odstraszającego owady. Publikacja uzupełniająca EFSA 2017:EN-1315. 36 str. doi:10.2903/sp.efsa.2017.EN-1315</w:t>
      </w:r>
    </w:p>
  </w:footnote>
  <w:footnote w:id="4">
    <w:p w:rsidR="009F79A2" w:rsidRPr="008E2314" w:rsidRDefault="009F79A2">
      <w:pPr>
        <w:pStyle w:val="Tekstprzypisudolnego"/>
        <w:rPr>
          <w:rFonts w:asciiTheme="majorHAnsi" w:hAnsiTheme="majorHAnsi"/>
          <w:sz w:val="16"/>
          <w:szCs w:val="16"/>
        </w:rPr>
      </w:pPr>
      <w:r w:rsidRPr="008E2314">
        <w:rPr>
          <w:rStyle w:val="Odwoanieprzypisudolnego"/>
          <w:rFonts w:asciiTheme="majorHAnsi" w:hAnsiTheme="majorHAnsi"/>
          <w:sz w:val="16"/>
          <w:szCs w:val="16"/>
        </w:rPr>
        <w:footnoteRef/>
      </w:r>
      <w:r w:rsidRPr="008E2314">
        <w:rPr>
          <w:rFonts w:asciiTheme="majorHAnsi" w:hAnsiTheme="majorHAnsi"/>
          <w:sz w:val="16"/>
          <w:szCs w:val="16"/>
        </w:rPr>
        <w:t xml:space="preserve"> Dz.U L 243, 27.9.2018, str. 7</w:t>
      </w:r>
    </w:p>
  </w:footnote>
  <w:footnote w:id="5">
    <w:p w:rsidR="00D57C57" w:rsidRPr="008E2314" w:rsidRDefault="00D57C57">
      <w:pPr>
        <w:pStyle w:val="Tekstprzypisudolnego"/>
        <w:rPr>
          <w:rFonts w:asciiTheme="majorHAnsi" w:hAnsiTheme="majorHAnsi"/>
          <w:sz w:val="16"/>
          <w:szCs w:val="16"/>
        </w:rPr>
      </w:pPr>
      <w:r w:rsidRPr="008E2314">
        <w:rPr>
          <w:rStyle w:val="Odwoanieprzypisudolnego"/>
          <w:rFonts w:asciiTheme="majorHAnsi" w:hAnsiTheme="majorHAnsi"/>
          <w:sz w:val="16"/>
          <w:szCs w:val="16"/>
        </w:rPr>
        <w:footnoteRef/>
      </w:r>
      <w:r w:rsidRPr="008E2314">
        <w:rPr>
          <w:rFonts w:asciiTheme="majorHAnsi" w:hAnsiTheme="majorHAnsi"/>
          <w:sz w:val="16"/>
          <w:szCs w:val="16"/>
        </w:rPr>
        <w:t xml:space="preserve"> Dz.U. L 31 z 1.2.2002 s</w:t>
      </w:r>
      <w:r w:rsidR="00031A28" w:rsidRPr="008E2314">
        <w:rPr>
          <w:rFonts w:asciiTheme="majorHAnsi" w:hAnsiTheme="majorHAnsi"/>
          <w:sz w:val="16"/>
          <w:szCs w:val="16"/>
        </w:rPr>
        <w:t>tr. 1-24 – Rozporządzenie (WE) N</w:t>
      </w:r>
      <w:r w:rsidRPr="008E2314">
        <w:rPr>
          <w:rFonts w:asciiTheme="majorHAnsi" w:hAnsiTheme="majorHAnsi"/>
          <w:sz w:val="16"/>
          <w:szCs w:val="16"/>
        </w:rPr>
        <w:t>r 178/2002 Parlamentu Europejskiego i Rady z dnia 28 stycznia 2002 r. ustanawiające ogólne zasady i wymagania prawa żywnościowego, powołujące Europejski Urząd ds. Bezpieczeństwa Żywności oraz ustanawiające procedury w zakresie bezpieczeństwa żywności</w:t>
      </w:r>
    </w:p>
  </w:footnote>
  <w:footnote w:id="6">
    <w:p w:rsidR="00B87239" w:rsidRPr="008E2314" w:rsidRDefault="00B87239">
      <w:pPr>
        <w:pStyle w:val="Tekstprzypisudolnego"/>
        <w:rPr>
          <w:rFonts w:asciiTheme="majorHAnsi" w:hAnsiTheme="majorHAnsi"/>
          <w:sz w:val="16"/>
          <w:szCs w:val="16"/>
        </w:rPr>
      </w:pPr>
      <w:r w:rsidRPr="008E2314">
        <w:rPr>
          <w:rStyle w:val="Odwoanieprzypisudolnego"/>
          <w:rFonts w:asciiTheme="majorHAnsi" w:hAnsiTheme="majorHAnsi"/>
          <w:sz w:val="16"/>
          <w:szCs w:val="16"/>
        </w:rPr>
        <w:footnoteRef/>
      </w:r>
      <w:r w:rsidRPr="008E2314">
        <w:rPr>
          <w:rFonts w:asciiTheme="majorHAnsi" w:hAnsiTheme="majorHAnsi"/>
          <w:sz w:val="16"/>
          <w:szCs w:val="16"/>
        </w:rPr>
        <w:t xml:space="preserve"> Dz.U. L 153, 11.6.2011, str. 1-186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7C"/>
    <w:rsid w:val="00031A28"/>
    <w:rsid w:val="00045C0F"/>
    <w:rsid w:val="00304744"/>
    <w:rsid w:val="003570B0"/>
    <w:rsid w:val="003C1FB1"/>
    <w:rsid w:val="004B137C"/>
    <w:rsid w:val="00550978"/>
    <w:rsid w:val="006633C0"/>
    <w:rsid w:val="006D62CC"/>
    <w:rsid w:val="006E7B2D"/>
    <w:rsid w:val="00765321"/>
    <w:rsid w:val="007A1B0A"/>
    <w:rsid w:val="00832BC3"/>
    <w:rsid w:val="00875F2F"/>
    <w:rsid w:val="00887B86"/>
    <w:rsid w:val="008909D8"/>
    <w:rsid w:val="008E2314"/>
    <w:rsid w:val="00950B3C"/>
    <w:rsid w:val="009E04E1"/>
    <w:rsid w:val="009F79A2"/>
    <w:rsid w:val="00A120A3"/>
    <w:rsid w:val="00B72403"/>
    <w:rsid w:val="00B87239"/>
    <w:rsid w:val="00D57C57"/>
    <w:rsid w:val="00DB38A7"/>
    <w:rsid w:val="00E20726"/>
    <w:rsid w:val="00EA19A2"/>
  </w:rsids>
  <m:mathPr>
    <m:mathFont m:val="Cambria Math"/>
    <m:brkBin m:val="before"/>
    <m:brkBinSub m:val="--"/>
    <m:smallFrac m:val="0"/>
    <m:dispDef/>
    <m:lMargin m:val="0"/>
    <m:rMargin m:val="0"/>
    <m:defJc m:val="centerGroup"/>
    <m:wrapIndent m:val="1440"/>
    <m:intLim m:val="subSup"/>
    <m:naryLim m:val="undOvr"/>
  </m:mathPr>
  <w:themeFontLang w:val="pl-PL"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0B31B-F46C-4D16-9B55-EE9C9422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7B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B13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37C"/>
    <w:rPr>
      <w:rFonts w:ascii="Tahoma" w:hAnsi="Tahoma" w:cs="Tahoma"/>
      <w:sz w:val="16"/>
      <w:szCs w:val="16"/>
    </w:rPr>
  </w:style>
  <w:style w:type="paragraph" w:styleId="Tekstprzypisudolnego">
    <w:name w:val="footnote text"/>
    <w:basedOn w:val="Normalny"/>
    <w:link w:val="TekstprzypisudolnegoZnak"/>
    <w:uiPriority w:val="99"/>
    <w:semiHidden/>
    <w:unhideWhenUsed/>
    <w:rsid w:val="006E7B2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7B2D"/>
    <w:rPr>
      <w:sz w:val="20"/>
      <w:szCs w:val="20"/>
    </w:rPr>
  </w:style>
  <w:style w:type="character" w:styleId="Odwoanieprzypisudolnego">
    <w:name w:val="footnote reference"/>
    <w:basedOn w:val="Domylnaczcionkaakapitu"/>
    <w:uiPriority w:val="99"/>
    <w:semiHidden/>
    <w:unhideWhenUsed/>
    <w:rsid w:val="006E7B2D"/>
    <w:rPr>
      <w:vertAlign w:val="superscript"/>
    </w:rPr>
  </w:style>
  <w:style w:type="paragraph" w:customStyle="1" w:styleId="Default">
    <w:name w:val="Default"/>
    <w:rsid w:val="00B87239"/>
    <w:pPr>
      <w:autoSpaceDE w:val="0"/>
      <w:autoSpaceDN w:val="0"/>
      <w:adjustRightInd w:val="0"/>
      <w:spacing w:line="240" w:lineRule="auto"/>
      <w:jc w:val="left"/>
    </w:pPr>
    <w:rPr>
      <w:rFonts w:ascii="Times New Roman" w:hAnsi="Times New Roman" w:cs="Times New Roman"/>
      <w:color w:val="000000"/>
      <w:sz w:val="24"/>
      <w:szCs w:val="24"/>
      <w:lang w:bidi="ne-IN"/>
    </w:rPr>
  </w:style>
  <w:style w:type="table" w:styleId="Tabela-Siatka">
    <w:name w:val="Table Grid"/>
    <w:basedOn w:val="Standardowy"/>
    <w:uiPriority w:val="59"/>
    <w:rsid w:val="008909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1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A9F68-223A-4CB1-B95E-7BDC3481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2143</Words>
  <Characters>12861</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Rogulska Maria Katarzyna</cp:lastModifiedBy>
  <cp:revision>2</cp:revision>
  <dcterms:created xsi:type="dcterms:W3CDTF">2018-12-14T13:35:00Z</dcterms:created>
  <dcterms:modified xsi:type="dcterms:W3CDTF">2018-12-14T13:35:00Z</dcterms:modified>
</cp:coreProperties>
</file>