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39A" w:rsidRPr="006F139A" w:rsidRDefault="006F139A" w:rsidP="006F139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139A">
        <w:rPr>
          <w:rFonts w:ascii="Times New Roman" w:eastAsia="Calibri" w:hAnsi="Times New Roman" w:cs="Times New Roman"/>
          <w:b/>
          <w:sz w:val="24"/>
          <w:szCs w:val="24"/>
        </w:rPr>
        <w:t>Uchwała nr 1</w:t>
      </w:r>
    </w:p>
    <w:p w:rsidR="006F139A" w:rsidRPr="006F139A" w:rsidRDefault="006F139A" w:rsidP="006F139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139A">
        <w:rPr>
          <w:rFonts w:ascii="Times New Roman" w:eastAsia="Calibri" w:hAnsi="Times New Roman" w:cs="Times New Roman"/>
          <w:b/>
          <w:sz w:val="24"/>
          <w:szCs w:val="24"/>
        </w:rPr>
        <w:t>Rady Dialogu z Młodym Pokoleniem</w:t>
      </w:r>
    </w:p>
    <w:p w:rsidR="006F139A" w:rsidRPr="006F139A" w:rsidRDefault="006F139A" w:rsidP="006F139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139A">
        <w:rPr>
          <w:rFonts w:ascii="Times New Roman" w:eastAsia="Calibri" w:hAnsi="Times New Roman" w:cs="Times New Roman"/>
          <w:b/>
          <w:sz w:val="24"/>
          <w:szCs w:val="24"/>
        </w:rPr>
        <w:t>z dnia 2 grudnia 2019 r.</w:t>
      </w:r>
    </w:p>
    <w:p w:rsidR="006F139A" w:rsidRPr="006F139A" w:rsidRDefault="006F139A" w:rsidP="006F139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139A">
        <w:rPr>
          <w:rFonts w:ascii="Times New Roman" w:eastAsia="Calibri" w:hAnsi="Times New Roman" w:cs="Times New Roman"/>
          <w:b/>
          <w:sz w:val="24"/>
          <w:szCs w:val="24"/>
        </w:rPr>
        <w:t>w sprawie projektu „Regulaminu Rady Dialogu z Młodym Pokoleniem”</w:t>
      </w:r>
    </w:p>
    <w:p w:rsidR="006F139A" w:rsidRPr="006F139A" w:rsidRDefault="006F139A" w:rsidP="006F139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139A" w:rsidRPr="006F139A" w:rsidRDefault="006F139A" w:rsidP="006F139A">
      <w:pPr>
        <w:spacing w:after="144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pl-PL"/>
        </w:rPr>
      </w:pPr>
      <w:r w:rsidRPr="006F13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Na podstawie § 17 rozporządzenia Przewodniczącego Komitetu do spraw Pożytku Publicznego </w:t>
      </w:r>
      <w:r w:rsidRPr="006F139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z dnia 10 września 2019 r. </w:t>
      </w:r>
      <w:r w:rsidRPr="006F13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sprawie Rady Dialogu z Młodym Pokoleniem </w:t>
      </w:r>
      <w:r w:rsidRPr="006F139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(Dz. U. poz. 1743)</w:t>
      </w:r>
      <w:r w:rsidRPr="006F13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Rada uchwala „Regulamin Rady Dialogu z Młodym Pokoleniem”.</w:t>
      </w:r>
    </w:p>
    <w:p w:rsidR="006F139A" w:rsidRPr="006F139A" w:rsidRDefault="006F139A" w:rsidP="006F139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139A" w:rsidRPr="006F139A" w:rsidRDefault="006F139A" w:rsidP="006F139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39A">
        <w:rPr>
          <w:rFonts w:ascii="Times New Roman" w:eastAsia="Calibri" w:hAnsi="Times New Roman" w:cs="Times New Roman"/>
          <w:sz w:val="24"/>
          <w:szCs w:val="24"/>
        </w:rPr>
        <w:t>§ 1</w:t>
      </w:r>
    </w:p>
    <w:p w:rsidR="006F139A" w:rsidRPr="006F139A" w:rsidRDefault="006F139A" w:rsidP="006F139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39A">
        <w:rPr>
          <w:rFonts w:ascii="Times New Roman" w:eastAsia="Calibri" w:hAnsi="Times New Roman" w:cs="Times New Roman"/>
          <w:sz w:val="24"/>
          <w:szCs w:val="24"/>
        </w:rPr>
        <w:t xml:space="preserve">Rada Dialogu z Młodym Pokoleniem przyjmuje projekt „Regulaminu Rady Dialogu z Młodym Pokoleniem”, który stanowi załącznik niniejszej uchwały. </w:t>
      </w:r>
    </w:p>
    <w:p w:rsidR="006F139A" w:rsidRPr="006F139A" w:rsidRDefault="006F139A" w:rsidP="006F139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39A"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6F139A" w:rsidRPr="006F139A" w:rsidRDefault="006F139A" w:rsidP="006F139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39A"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:rsidR="006C7AB0" w:rsidRDefault="006C7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01A9" w:rsidRDefault="006C7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Załącznik: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bCs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6C7AB0">
        <w:rPr>
          <w:rFonts w:ascii="Calibri" w:eastAsia="Calibri" w:hAnsi="Calibri" w:cs="Times New Roman"/>
          <w:b/>
          <w:bCs/>
          <w:sz w:val="24"/>
          <w:szCs w:val="24"/>
        </w:rPr>
        <w:t>Regulamin Rady Dialogu z Młodym Pokoleniem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bCs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bCs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C7AB0">
        <w:rPr>
          <w:rFonts w:ascii="Calibri" w:eastAsia="Calibri" w:hAnsi="Calibri" w:cs="Times New Roman"/>
          <w:b/>
          <w:sz w:val="24"/>
          <w:szCs w:val="24"/>
        </w:rPr>
        <w:t>Wstęp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Do trybu działania Rady Dialogu z Młodym Pokoleniem odnoszą się następujące przepisy prawa: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  <w:u w:val="single"/>
          <w:lang w:eastAsia="de-DE"/>
        </w:rPr>
      </w:pPr>
      <w:r w:rsidRPr="006C7AB0">
        <w:rPr>
          <w:rFonts w:ascii="Calibri" w:eastAsia="Calibri" w:hAnsi="Calibri" w:cs="Times New Roman"/>
          <w:b/>
          <w:sz w:val="24"/>
          <w:szCs w:val="24"/>
          <w:u w:val="single"/>
          <w:lang w:eastAsia="de-DE"/>
        </w:rPr>
        <w:t>Ustawa o działalności pożytku publicznego i o wolontariacie</w:t>
      </w:r>
    </w:p>
    <w:p w:rsidR="006C7AB0" w:rsidRPr="006C7AB0" w:rsidRDefault="006C7AB0" w:rsidP="006C7AB0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  <w:u w:val="single"/>
          <w:lang w:eastAsia="de-DE"/>
        </w:rPr>
      </w:pPr>
    </w:p>
    <w:p w:rsidR="006C7AB0" w:rsidRPr="006C7AB0" w:rsidRDefault="006C7AB0" w:rsidP="006C7AB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b/>
          <w:sz w:val="24"/>
          <w:szCs w:val="24"/>
          <w:lang w:eastAsia="de-DE"/>
        </w:rPr>
        <w:t xml:space="preserve">Aa) </w:t>
      </w:r>
      <w:r w:rsidRPr="006C7AB0">
        <w:rPr>
          <w:rFonts w:ascii="Calibri" w:eastAsia="Calibri" w:hAnsi="Calibri" w:cs="Times New Roman"/>
          <w:b/>
          <w:sz w:val="24"/>
          <w:szCs w:val="24"/>
        </w:rPr>
        <w:t>Art. 41</w:t>
      </w:r>
      <w:r w:rsidRPr="006C7AB0">
        <w:rPr>
          <w:rFonts w:ascii="Calibri" w:eastAsia="Calibri" w:hAnsi="Calibri" w:cs="Times New Roman"/>
          <w:b/>
          <w:sz w:val="24"/>
          <w:szCs w:val="24"/>
          <w:vertAlign w:val="superscript"/>
        </w:rPr>
        <w:t>1</w:t>
      </w:r>
    </w:p>
    <w:p w:rsidR="006C7AB0" w:rsidRPr="006C7AB0" w:rsidRDefault="006C7AB0" w:rsidP="006C7AB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 xml:space="preserve">1. Rada Dialogu z Młodym Pokoleniem jest organem opiniodawczo-doradczym Przewodniczącego Komitetu do spraw Pożytku Publicznego. </w:t>
      </w:r>
    </w:p>
    <w:p w:rsidR="006C7AB0" w:rsidRPr="006C7AB0" w:rsidRDefault="006C7AB0" w:rsidP="006C7AB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pl-PL"/>
        </w:rPr>
      </w:pPr>
      <w:r w:rsidRPr="006C7AB0">
        <w:rPr>
          <w:rFonts w:ascii="Calibri" w:eastAsia="Calibri" w:hAnsi="Calibri" w:cs="Times New Roman"/>
          <w:sz w:val="24"/>
          <w:szCs w:val="24"/>
          <w:lang w:eastAsia="pl-PL"/>
        </w:rPr>
        <w:t xml:space="preserve">2. Do zadań Rady Dialogu z Młodym Pokoleniem należy w szczególności: </w:t>
      </w:r>
    </w:p>
    <w:p w:rsidR="006C7AB0" w:rsidRPr="006C7AB0" w:rsidRDefault="006C7AB0" w:rsidP="006C7AB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pl-PL"/>
        </w:rPr>
      </w:pPr>
      <w:r w:rsidRPr="006C7AB0">
        <w:rPr>
          <w:rFonts w:ascii="Calibri" w:eastAsia="Calibri" w:hAnsi="Calibri" w:cs="Times New Roman"/>
          <w:sz w:val="24"/>
          <w:szCs w:val="24"/>
          <w:lang w:eastAsia="pl-PL"/>
        </w:rPr>
        <w:t>1) wyrażanie opinii w sprawach dotyczących stosowania ustawy w zakresie dotyczącym młodego pokolenia;</w:t>
      </w:r>
    </w:p>
    <w:p w:rsidR="006C7AB0" w:rsidRPr="006C7AB0" w:rsidRDefault="006C7AB0" w:rsidP="006C7AB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pl-PL"/>
        </w:rPr>
      </w:pPr>
      <w:r w:rsidRPr="006C7AB0">
        <w:rPr>
          <w:rFonts w:ascii="Calibri" w:eastAsia="Calibri" w:hAnsi="Calibri" w:cs="Times New Roman"/>
          <w:sz w:val="24"/>
          <w:szCs w:val="24"/>
          <w:lang w:eastAsia="pl-PL"/>
        </w:rPr>
        <w:t xml:space="preserve">2) wyrażanie opinii o projektach aktów prawnych oraz programach rządowych w zakresie dotyczącym młodego pokolenia; </w:t>
      </w:r>
    </w:p>
    <w:p w:rsidR="006C7AB0" w:rsidRPr="006C7AB0" w:rsidRDefault="006C7AB0" w:rsidP="006C7AB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pl-PL"/>
        </w:rPr>
      </w:pPr>
      <w:r w:rsidRPr="006C7AB0">
        <w:rPr>
          <w:rFonts w:ascii="Calibri" w:eastAsia="Calibri" w:hAnsi="Calibri" w:cs="Times New Roman"/>
          <w:sz w:val="24"/>
          <w:szCs w:val="24"/>
          <w:lang w:eastAsia="pl-PL"/>
        </w:rPr>
        <w:t xml:space="preserve">3) inicjowanie i wspieranie działań na rzecz zwiększania poziomu partycypacji obywatelskiej młodych ludzi w Rzeczypospolitej Polskiej; </w:t>
      </w:r>
    </w:p>
    <w:p w:rsidR="006C7AB0" w:rsidRPr="006C7AB0" w:rsidRDefault="006C7AB0" w:rsidP="006C7AB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pl-PL"/>
        </w:rPr>
      </w:pPr>
      <w:r w:rsidRPr="006C7AB0">
        <w:rPr>
          <w:rFonts w:ascii="Calibri" w:eastAsia="Calibri" w:hAnsi="Calibri" w:cs="Times New Roman"/>
          <w:sz w:val="24"/>
          <w:szCs w:val="24"/>
          <w:lang w:eastAsia="pl-PL"/>
        </w:rPr>
        <w:t xml:space="preserve">4) tworzenie forum dialogu między organizacjami pozarządowymi i innymi instytucjami społecznymi a organami władzy publicznej w zakresie dotyczącym młodego pokolenia; </w:t>
      </w:r>
    </w:p>
    <w:p w:rsidR="006C7AB0" w:rsidRPr="006C7AB0" w:rsidRDefault="006C7AB0" w:rsidP="006C7AB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pl-PL"/>
        </w:rPr>
      </w:pPr>
      <w:r w:rsidRPr="006C7AB0">
        <w:rPr>
          <w:rFonts w:ascii="Calibri" w:eastAsia="Calibri" w:hAnsi="Calibri" w:cs="Times New Roman"/>
          <w:sz w:val="24"/>
          <w:szCs w:val="24"/>
          <w:lang w:eastAsia="pl-PL"/>
        </w:rPr>
        <w:t xml:space="preserve">5) wspieranie działalności instytucji dialogu obywatelskiego działających na rzecz młodego pokolenia, w tym dzieci i młodzieży, ze szczególnym uwzględnieniem młodzieżowych rad gmin. </w:t>
      </w:r>
    </w:p>
    <w:p w:rsidR="006C7AB0" w:rsidRPr="006C7AB0" w:rsidRDefault="006C7AB0" w:rsidP="006C7AB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pl-PL"/>
        </w:rPr>
      </w:pPr>
      <w:r w:rsidRPr="006C7AB0">
        <w:rPr>
          <w:rFonts w:ascii="Calibri" w:eastAsia="Calibri" w:hAnsi="Calibri" w:cs="Times New Roman"/>
          <w:sz w:val="24"/>
          <w:szCs w:val="24"/>
          <w:lang w:eastAsia="pl-PL"/>
        </w:rPr>
        <w:t xml:space="preserve">3. Kadencja Rady Dialogu z Młodym Pokoleniem trwa 2 lata. </w:t>
      </w:r>
    </w:p>
    <w:p w:rsidR="006C7AB0" w:rsidRPr="006C7AB0" w:rsidRDefault="006C7AB0" w:rsidP="006C7AB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4. Termin wyrażenia przez Radę Dialogu z Młodym Pokoleniem opinii wynosi 30 dni od dnia doręczenia projektów aktów prawnych lub programów rządowych w zakresie dotyczącym młodego pokolenia. Nieprzedstawienie opinii w terminie oznacza rezygnację z prawa do jej wyrażenia.</w:t>
      </w:r>
    </w:p>
    <w:p w:rsidR="006C7AB0" w:rsidRPr="006C7AB0" w:rsidRDefault="006C7AB0" w:rsidP="006C7AB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de-DE"/>
        </w:rPr>
      </w:pPr>
    </w:p>
    <w:p w:rsidR="006C7AB0" w:rsidRPr="006C7AB0" w:rsidRDefault="006C7AB0" w:rsidP="006C7AB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  <w:b/>
          <w:sz w:val="24"/>
          <w:szCs w:val="24"/>
          <w:lang w:eastAsia="de-DE"/>
        </w:rPr>
      </w:pPr>
      <w:r w:rsidRPr="006C7AB0">
        <w:rPr>
          <w:rFonts w:ascii="Calibri" w:eastAsia="Calibri" w:hAnsi="Calibri" w:cs="Times New Roman"/>
          <w:b/>
          <w:sz w:val="24"/>
          <w:szCs w:val="24"/>
          <w:lang w:eastAsia="de-DE"/>
        </w:rPr>
        <w:t>Ab) Art. 37</w:t>
      </w:r>
    </w:p>
    <w:p w:rsidR="006C7AB0" w:rsidRPr="006C7AB0" w:rsidRDefault="006C7AB0" w:rsidP="006C7AB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de-DE"/>
        </w:rPr>
      </w:pPr>
      <w:r w:rsidRPr="006C7AB0">
        <w:rPr>
          <w:rFonts w:ascii="Calibri" w:eastAsia="Calibri" w:hAnsi="Calibri" w:cs="Times New Roman"/>
          <w:sz w:val="24"/>
          <w:szCs w:val="24"/>
          <w:lang w:eastAsia="de-DE"/>
        </w:rPr>
        <w:t xml:space="preserve">Posiedzenia Rady </w:t>
      </w:r>
      <w:proofErr w:type="spellStart"/>
      <w:r w:rsidRPr="006C7AB0">
        <w:rPr>
          <w:rFonts w:ascii="Calibri" w:eastAsia="Calibri" w:hAnsi="Calibri" w:cs="Times New Roman"/>
          <w:sz w:val="24"/>
          <w:szCs w:val="24"/>
          <w:lang w:eastAsia="de-DE"/>
        </w:rPr>
        <w:t>sa</w:t>
      </w:r>
      <w:proofErr w:type="spellEnd"/>
      <w:r w:rsidRPr="006C7AB0">
        <w:rPr>
          <w:rFonts w:ascii="Calibri" w:eastAsia="Calibri" w:hAnsi="Calibri" w:cs="Times New Roman"/>
          <w:sz w:val="24"/>
          <w:szCs w:val="24"/>
          <w:lang w:eastAsia="de-DE"/>
        </w:rPr>
        <w:t xml:space="preserve">̨ zwoływane przez </w:t>
      </w:r>
      <w:proofErr w:type="spellStart"/>
      <w:r w:rsidRPr="006C7AB0">
        <w:rPr>
          <w:rFonts w:ascii="Calibri" w:eastAsia="Calibri" w:hAnsi="Calibri" w:cs="Times New Roman"/>
          <w:sz w:val="24"/>
          <w:szCs w:val="24"/>
          <w:lang w:eastAsia="de-DE"/>
        </w:rPr>
        <w:t>Przewodniczącego</w:t>
      </w:r>
      <w:proofErr w:type="spellEnd"/>
      <w:r w:rsidRPr="006C7AB0">
        <w:rPr>
          <w:rFonts w:ascii="Calibri" w:eastAsia="Calibri" w:hAnsi="Calibri" w:cs="Times New Roman"/>
          <w:sz w:val="24"/>
          <w:szCs w:val="24"/>
          <w:lang w:eastAsia="de-DE"/>
        </w:rPr>
        <w:t xml:space="preserve"> Komitetu lub na wniosek co najmniej jednej czwartej liczby członków Rady.</w:t>
      </w:r>
    </w:p>
    <w:p w:rsidR="006C7AB0" w:rsidRPr="006C7AB0" w:rsidRDefault="006C7AB0" w:rsidP="006C7AB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de-DE"/>
        </w:rPr>
      </w:pPr>
    </w:p>
    <w:p w:rsidR="006C7AB0" w:rsidRPr="006C7AB0" w:rsidRDefault="006C7AB0" w:rsidP="006C7AB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  <w:b/>
          <w:sz w:val="24"/>
          <w:szCs w:val="24"/>
          <w:lang w:eastAsia="de-DE"/>
        </w:rPr>
      </w:pPr>
      <w:r w:rsidRPr="006C7AB0">
        <w:rPr>
          <w:rFonts w:ascii="Calibri" w:eastAsia="Calibri" w:hAnsi="Calibri" w:cs="Times New Roman"/>
          <w:b/>
          <w:sz w:val="24"/>
          <w:szCs w:val="24"/>
          <w:lang w:eastAsia="de-DE"/>
        </w:rPr>
        <w:t>Ac) Art. 38</w:t>
      </w:r>
    </w:p>
    <w:p w:rsidR="006C7AB0" w:rsidRPr="006C7AB0" w:rsidRDefault="006C7AB0" w:rsidP="006C7AB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de-DE"/>
        </w:rPr>
      </w:pPr>
      <w:r w:rsidRPr="006C7AB0">
        <w:rPr>
          <w:rFonts w:ascii="Calibri" w:eastAsia="Calibri" w:hAnsi="Calibri" w:cs="Times New Roman"/>
          <w:sz w:val="24"/>
          <w:szCs w:val="24"/>
          <w:lang w:eastAsia="de-DE"/>
        </w:rPr>
        <w:t xml:space="preserve">Rada </w:t>
      </w:r>
      <w:proofErr w:type="spellStart"/>
      <w:r w:rsidRPr="006C7AB0">
        <w:rPr>
          <w:rFonts w:ascii="Calibri" w:eastAsia="Calibri" w:hAnsi="Calibri" w:cs="Times New Roman"/>
          <w:sz w:val="24"/>
          <w:szCs w:val="24"/>
          <w:lang w:eastAsia="de-DE"/>
        </w:rPr>
        <w:t>może</w:t>
      </w:r>
      <w:proofErr w:type="spellEnd"/>
      <w:r w:rsidRPr="006C7AB0">
        <w:rPr>
          <w:rFonts w:ascii="Calibri" w:eastAsia="Calibri" w:hAnsi="Calibri" w:cs="Times New Roman"/>
          <w:sz w:val="24"/>
          <w:szCs w:val="24"/>
          <w:lang w:eastAsia="de-DE"/>
        </w:rPr>
        <w:t>:</w:t>
      </w:r>
    </w:p>
    <w:p w:rsidR="006C7AB0" w:rsidRPr="006C7AB0" w:rsidRDefault="006C7AB0" w:rsidP="006C7AB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de-DE"/>
        </w:rPr>
      </w:pPr>
      <w:r w:rsidRPr="006C7AB0">
        <w:rPr>
          <w:rFonts w:ascii="Calibri" w:eastAsia="Calibri" w:hAnsi="Calibri" w:cs="Times New Roman"/>
          <w:sz w:val="24"/>
          <w:szCs w:val="24"/>
          <w:lang w:eastAsia="de-DE"/>
        </w:rPr>
        <w:t xml:space="preserve">1) </w:t>
      </w:r>
      <w:proofErr w:type="spellStart"/>
      <w:r w:rsidRPr="006C7AB0">
        <w:rPr>
          <w:rFonts w:ascii="Calibri" w:eastAsia="Calibri" w:hAnsi="Calibri" w:cs="Times New Roman"/>
          <w:sz w:val="24"/>
          <w:szCs w:val="24"/>
          <w:lang w:eastAsia="de-DE"/>
        </w:rPr>
        <w:t>powoływac</w:t>
      </w:r>
      <w:proofErr w:type="spellEnd"/>
      <w:r w:rsidRPr="006C7AB0">
        <w:rPr>
          <w:rFonts w:ascii="Calibri" w:eastAsia="Calibri" w:hAnsi="Calibri" w:cs="Times New Roman"/>
          <w:sz w:val="24"/>
          <w:szCs w:val="24"/>
          <w:lang w:eastAsia="de-DE"/>
        </w:rPr>
        <w:t>́ ekspertów;</w:t>
      </w:r>
    </w:p>
    <w:p w:rsidR="006C7AB0" w:rsidRPr="006C7AB0" w:rsidRDefault="006C7AB0" w:rsidP="006C7AB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de-DE"/>
        </w:rPr>
      </w:pPr>
      <w:r w:rsidRPr="006C7AB0">
        <w:rPr>
          <w:rFonts w:ascii="Calibri" w:eastAsia="Calibri" w:hAnsi="Calibri" w:cs="Times New Roman"/>
          <w:sz w:val="24"/>
          <w:szCs w:val="24"/>
          <w:lang w:eastAsia="de-DE"/>
        </w:rPr>
        <w:t xml:space="preserve">2) </w:t>
      </w:r>
      <w:proofErr w:type="spellStart"/>
      <w:r w:rsidRPr="006C7AB0">
        <w:rPr>
          <w:rFonts w:ascii="Calibri" w:eastAsia="Calibri" w:hAnsi="Calibri" w:cs="Times New Roman"/>
          <w:sz w:val="24"/>
          <w:szCs w:val="24"/>
          <w:lang w:eastAsia="de-DE"/>
        </w:rPr>
        <w:t>zapraszac</w:t>
      </w:r>
      <w:proofErr w:type="spellEnd"/>
      <w:r w:rsidRPr="006C7AB0">
        <w:rPr>
          <w:rFonts w:ascii="Calibri" w:eastAsia="Calibri" w:hAnsi="Calibri" w:cs="Times New Roman"/>
          <w:sz w:val="24"/>
          <w:szCs w:val="24"/>
          <w:lang w:eastAsia="de-DE"/>
        </w:rPr>
        <w:t xml:space="preserve">́ do uczestnictwa w jej posiedzeniach przedstawicieli organów administracji publicznej i organizacji </w:t>
      </w:r>
      <w:proofErr w:type="spellStart"/>
      <w:r w:rsidRPr="006C7AB0">
        <w:rPr>
          <w:rFonts w:ascii="Calibri" w:eastAsia="Calibri" w:hAnsi="Calibri" w:cs="Times New Roman"/>
          <w:sz w:val="24"/>
          <w:szCs w:val="24"/>
          <w:lang w:eastAsia="de-DE"/>
        </w:rPr>
        <w:t>pozarządowych</w:t>
      </w:r>
      <w:proofErr w:type="spellEnd"/>
      <w:r w:rsidRPr="006C7AB0">
        <w:rPr>
          <w:rFonts w:ascii="Calibri" w:eastAsia="Calibri" w:hAnsi="Calibri" w:cs="Times New Roman"/>
          <w:sz w:val="24"/>
          <w:szCs w:val="24"/>
          <w:lang w:eastAsia="de-DE"/>
        </w:rPr>
        <w:t xml:space="preserve"> oraz podmiotów wymienionych</w:t>
      </w:r>
      <w:r w:rsidRPr="006C7AB0">
        <w:rPr>
          <w:rFonts w:ascii="Calibri" w:eastAsia="Calibri" w:hAnsi="Calibri" w:cs="Times New Roman"/>
          <w:sz w:val="24"/>
          <w:szCs w:val="24"/>
          <w:lang w:eastAsia="de-DE"/>
        </w:rPr>
        <w:br/>
        <w:t xml:space="preserve">w art. 3 ust. 3 niereprezentowanych w Radzie, a </w:t>
      </w:r>
      <w:proofErr w:type="spellStart"/>
      <w:r w:rsidRPr="006C7AB0">
        <w:rPr>
          <w:rFonts w:ascii="Calibri" w:eastAsia="Calibri" w:hAnsi="Calibri" w:cs="Times New Roman"/>
          <w:sz w:val="24"/>
          <w:szCs w:val="24"/>
          <w:lang w:eastAsia="de-DE"/>
        </w:rPr>
        <w:t>także</w:t>
      </w:r>
      <w:proofErr w:type="spellEnd"/>
      <w:r w:rsidRPr="006C7AB0">
        <w:rPr>
          <w:rFonts w:ascii="Calibri" w:eastAsia="Calibri" w:hAnsi="Calibri" w:cs="Times New Roman"/>
          <w:sz w:val="24"/>
          <w:szCs w:val="24"/>
          <w:lang w:eastAsia="de-DE"/>
        </w:rPr>
        <w:t xml:space="preserve"> przedstawicieli rad wojewódzkich, </w:t>
      </w:r>
      <w:r w:rsidRPr="006C7AB0">
        <w:rPr>
          <w:rFonts w:ascii="Calibri" w:eastAsia="Calibri" w:hAnsi="Calibri" w:cs="Times New Roman"/>
          <w:sz w:val="24"/>
          <w:szCs w:val="24"/>
          <w:lang w:eastAsia="de-DE"/>
        </w:rPr>
        <w:lastRenderedPageBreak/>
        <w:t>powiatowych i gminnych [Rad Działalności Pożytku Publicznego];</w:t>
      </w:r>
    </w:p>
    <w:p w:rsidR="006C7AB0" w:rsidRPr="006C7AB0" w:rsidRDefault="006C7AB0" w:rsidP="006C7AB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de-DE"/>
        </w:rPr>
      </w:pPr>
      <w:r w:rsidRPr="006C7AB0">
        <w:rPr>
          <w:rFonts w:ascii="Calibri" w:eastAsia="Calibri" w:hAnsi="Calibri" w:cs="Times New Roman"/>
          <w:sz w:val="24"/>
          <w:szCs w:val="24"/>
          <w:lang w:eastAsia="de-DE"/>
        </w:rPr>
        <w:t xml:space="preserve">3) </w:t>
      </w:r>
      <w:proofErr w:type="spellStart"/>
      <w:r w:rsidRPr="006C7AB0">
        <w:rPr>
          <w:rFonts w:ascii="Calibri" w:eastAsia="Calibri" w:hAnsi="Calibri" w:cs="Times New Roman"/>
          <w:sz w:val="24"/>
          <w:szCs w:val="24"/>
          <w:lang w:eastAsia="de-DE"/>
        </w:rPr>
        <w:t>zlecac</w:t>
      </w:r>
      <w:proofErr w:type="spellEnd"/>
      <w:r w:rsidRPr="006C7AB0">
        <w:rPr>
          <w:rFonts w:ascii="Calibri" w:eastAsia="Calibri" w:hAnsi="Calibri" w:cs="Times New Roman"/>
          <w:sz w:val="24"/>
          <w:szCs w:val="24"/>
          <w:lang w:eastAsia="de-DE"/>
        </w:rPr>
        <w:t xml:space="preserve">́ przeprowadzanie badań i opracowanie ekspertyz </w:t>
      </w:r>
      <w:proofErr w:type="spellStart"/>
      <w:r w:rsidRPr="006C7AB0">
        <w:rPr>
          <w:rFonts w:ascii="Calibri" w:eastAsia="Calibri" w:hAnsi="Calibri" w:cs="Times New Roman"/>
          <w:sz w:val="24"/>
          <w:szCs w:val="24"/>
          <w:lang w:eastAsia="de-DE"/>
        </w:rPr>
        <w:t>związanych</w:t>
      </w:r>
      <w:proofErr w:type="spellEnd"/>
      <w:r w:rsidRPr="006C7AB0">
        <w:rPr>
          <w:rFonts w:ascii="Calibri" w:eastAsia="Calibri" w:hAnsi="Calibri" w:cs="Times New Roman"/>
          <w:sz w:val="24"/>
          <w:szCs w:val="24"/>
          <w:lang w:eastAsia="de-DE"/>
        </w:rPr>
        <w:t xml:space="preserve"> z realizacją jej </w:t>
      </w:r>
      <w:proofErr w:type="spellStart"/>
      <w:r w:rsidRPr="006C7AB0">
        <w:rPr>
          <w:rFonts w:ascii="Calibri" w:eastAsia="Calibri" w:hAnsi="Calibri" w:cs="Times New Roman"/>
          <w:sz w:val="24"/>
          <w:szCs w:val="24"/>
          <w:lang w:eastAsia="de-DE"/>
        </w:rPr>
        <w:t>zadan</w:t>
      </w:r>
      <w:proofErr w:type="spellEnd"/>
      <w:r w:rsidRPr="006C7AB0">
        <w:rPr>
          <w:rFonts w:ascii="Calibri" w:eastAsia="Calibri" w:hAnsi="Calibri" w:cs="Times New Roman"/>
          <w:sz w:val="24"/>
          <w:szCs w:val="24"/>
          <w:lang w:eastAsia="de-DE"/>
        </w:rPr>
        <w:t>́.</w:t>
      </w:r>
    </w:p>
    <w:p w:rsidR="006C7AB0" w:rsidRPr="006C7AB0" w:rsidRDefault="006C7AB0" w:rsidP="006C7AB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de-DE"/>
        </w:rPr>
      </w:pPr>
    </w:p>
    <w:p w:rsidR="006C7AB0" w:rsidRPr="006C7AB0" w:rsidRDefault="006C7AB0" w:rsidP="006C7AB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  <w:b/>
          <w:sz w:val="24"/>
          <w:szCs w:val="24"/>
          <w:lang w:eastAsia="de-DE"/>
        </w:rPr>
      </w:pPr>
      <w:r w:rsidRPr="006C7AB0">
        <w:rPr>
          <w:rFonts w:ascii="Calibri" w:eastAsia="Calibri" w:hAnsi="Calibri" w:cs="Times New Roman"/>
          <w:b/>
          <w:sz w:val="24"/>
          <w:szCs w:val="24"/>
          <w:lang w:eastAsia="de-DE"/>
        </w:rPr>
        <w:t>Ad) Art. 39</w:t>
      </w:r>
    </w:p>
    <w:p w:rsidR="006C7AB0" w:rsidRPr="006C7AB0" w:rsidRDefault="006C7AB0" w:rsidP="006C7A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 w:cs="TimesNewRoman"/>
          <w:sz w:val="24"/>
          <w:szCs w:val="24"/>
          <w:lang w:eastAsia="pl-PL"/>
        </w:rPr>
      </w:pPr>
      <w:r w:rsidRPr="006C7AB0">
        <w:rPr>
          <w:rFonts w:ascii="Calibri" w:eastAsia="Calibri" w:hAnsi="Calibri" w:cs="TimesNewRoman"/>
          <w:sz w:val="24"/>
          <w:szCs w:val="24"/>
          <w:lang w:eastAsia="pl-PL"/>
        </w:rPr>
        <w:t>1. Koszty funkcjonowania Rady związane z obsługą, przeprowadzaniem badań i opracowywaniem ekspertyz, a także z uczestnictwem w jej posiedzeniach członków Rady, ekspertów i osób, o których mowa w art. 38 pkt 2, pokrywa się z budżetu państwa z części, której dysponentem jest Kancelaria Prezesa Rady Ministrów.”,</w:t>
      </w:r>
    </w:p>
    <w:p w:rsidR="006C7AB0" w:rsidRPr="006C7AB0" w:rsidRDefault="006C7AB0" w:rsidP="006C7AB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de-DE"/>
        </w:rPr>
      </w:pPr>
      <w:r w:rsidRPr="006C7AB0">
        <w:rPr>
          <w:rFonts w:ascii="Calibri" w:eastAsia="Calibri" w:hAnsi="Calibri" w:cs="Times New Roman"/>
          <w:sz w:val="24"/>
          <w:szCs w:val="24"/>
          <w:lang w:eastAsia="de-DE"/>
        </w:rPr>
        <w:t xml:space="preserve">2. Za udział w pracach Rady </w:t>
      </w:r>
      <w:proofErr w:type="spellStart"/>
      <w:r w:rsidRPr="006C7AB0">
        <w:rPr>
          <w:rFonts w:ascii="Calibri" w:eastAsia="Calibri" w:hAnsi="Calibri" w:cs="Times New Roman"/>
          <w:sz w:val="24"/>
          <w:szCs w:val="24"/>
          <w:lang w:eastAsia="de-DE"/>
        </w:rPr>
        <w:t>przysługuja</w:t>
      </w:r>
      <w:proofErr w:type="spellEnd"/>
      <w:r w:rsidRPr="006C7AB0">
        <w:rPr>
          <w:rFonts w:ascii="Calibri" w:eastAsia="Calibri" w:hAnsi="Calibri" w:cs="Times New Roman"/>
          <w:sz w:val="24"/>
          <w:szCs w:val="24"/>
          <w:lang w:eastAsia="de-DE"/>
        </w:rPr>
        <w:t xml:space="preserve">̨ diety oraz zwrot kosztów </w:t>
      </w:r>
      <w:proofErr w:type="spellStart"/>
      <w:r w:rsidRPr="006C7AB0">
        <w:rPr>
          <w:rFonts w:ascii="Calibri" w:eastAsia="Calibri" w:hAnsi="Calibri" w:cs="Times New Roman"/>
          <w:sz w:val="24"/>
          <w:szCs w:val="24"/>
          <w:lang w:eastAsia="de-DE"/>
        </w:rPr>
        <w:t>podróży</w:t>
      </w:r>
      <w:proofErr w:type="spellEnd"/>
      <w:r w:rsidRPr="006C7AB0">
        <w:rPr>
          <w:rFonts w:ascii="Calibri" w:eastAsia="Calibri" w:hAnsi="Calibri" w:cs="Times New Roman"/>
          <w:sz w:val="24"/>
          <w:szCs w:val="24"/>
          <w:lang w:eastAsia="de-DE"/>
        </w:rPr>
        <w:t xml:space="preserve"> na zasadach </w:t>
      </w:r>
      <w:proofErr w:type="spellStart"/>
      <w:r w:rsidRPr="006C7AB0">
        <w:rPr>
          <w:rFonts w:ascii="Calibri" w:eastAsia="Calibri" w:hAnsi="Calibri" w:cs="Times New Roman"/>
          <w:sz w:val="24"/>
          <w:szCs w:val="24"/>
          <w:lang w:eastAsia="de-DE"/>
        </w:rPr>
        <w:t>określonych</w:t>
      </w:r>
      <w:proofErr w:type="spellEnd"/>
      <w:r w:rsidRPr="006C7AB0">
        <w:rPr>
          <w:rFonts w:ascii="Calibri" w:eastAsia="Calibri" w:hAnsi="Calibri" w:cs="Times New Roman"/>
          <w:sz w:val="24"/>
          <w:szCs w:val="24"/>
          <w:lang w:eastAsia="de-DE"/>
        </w:rPr>
        <w:t xml:space="preserve"> w przepisach wydanych na podstawie art. 77</w:t>
      </w:r>
      <w:r w:rsidRPr="006C7AB0">
        <w:rPr>
          <w:rFonts w:ascii="Calibri" w:eastAsia="Calibri" w:hAnsi="Calibri" w:cs="Times New Roman"/>
          <w:position w:val="13"/>
          <w:sz w:val="20"/>
          <w:szCs w:val="20"/>
          <w:lang w:eastAsia="de-DE"/>
        </w:rPr>
        <w:t>5</w:t>
      </w:r>
      <w:r w:rsidRPr="006C7AB0">
        <w:rPr>
          <w:rFonts w:ascii="Calibri" w:eastAsia="Calibri" w:hAnsi="Calibri" w:cs="Times New Roman"/>
          <w:position w:val="13"/>
          <w:sz w:val="24"/>
          <w:szCs w:val="24"/>
          <w:lang w:eastAsia="de-DE"/>
        </w:rPr>
        <w:t xml:space="preserve"> </w:t>
      </w:r>
      <w:r w:rsidRPr="006C7AB0">
        <w:rPr>
          <w:rFonts w:ascii="Calibri" w:eastAsia="Calibri" w:hAnsi="Calibri" w:cs="Times New Roman"/>
          <w:sz w:val="24"/>
          <w:szCs w:val="24"/>
          <w:lang w:eastAsia="de-DE"/>
        </w:rPr>
        <w:t>§ 2 Kodeksu pracy.</w:t>
      </w:r>
    </w:p>
    <w:p w:rsidR="006C7AB0" w:rsidRPr="006C7AB0" w:rsidRDefault="006C7AB0" w:rsidP="006C7AB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de-DE"/>
        </w:rPr>
      </w:pPr>
      <w:r w:rsidRPr="006C7AB0">
        <w:rPr>
          <w:rFonts w:ascii="Calibri" w:eastAsia="Calibri" w:hAnsi="Calibri" w:cs="Times New Roman"/>
          <w:sz w:val="24"/>
          <w:szCs w:val="24"/>
          <w:lang w:eastAsia="de-DE"/>
        </w:rPr>
        <w:t xml:space="preserve">3. </w:t>
      </w:r>
      <w:r w:rsidRPr="006C7AB0">
        <w:rPr>
          <w:rFonts w:ascii="Calibri" w:eastAsia="Calibri" w:hAnsi="Calibri" w:cs="TimesNewRoman"/>
          <w:sz w:val="24"/>
          <w:szCs w:val="24"/>
          <w:lang w:eastAsia="pl-PL"/>
        </w:rPr>
        <w:t>Pracodawca jest obowiązany zwolnić pracownika będącego członkiem Rady od pracy w celu wzięcia udziału w posiedzeniach Rady. Za czas zwolnienia pracownik zachowuje prawo do wynagrodzenia ustalonego według zasad obowiązujących przy obliczaniu ekwiwalentu pieniężnego za urlop wypoczynkowy, pokrywanego z budżetu państwa z części, której dysponentem jest Kancelaria Prezesa Rady Ministrów, które będzie wypłacone po otrzymaniu od pracodawcy noty księgowej obciążającej Kancelarię Prezesa Rady Ministrów.</w:t>
      </w:r>
    </w:p>
    <w:p w:rsidR="006C7AB0" w:rsidRPr="006C7AB0" w:rsidRDefault="006C7AB0" w:rsidP="006C7AB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6C7AB0" w:rsidRPr="006C7AB0" w:rsidRDefault="006C7AB0" w:rsidP="006C7AB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proofErr w:type="spellStart"/>
      <w:r w:rsidRPr="006C7AB0">
        <w:rPr>
          <w:rFonts w:ascii="Calibri" w:eastAsia="Calibri" w:hAnsi="Calibri" w:cs="Times New Roman"/>
          <w:b/>
          <w:bCs/>
          <w:sz w:val="24"/>
          <w:szCs w:val="24"/>
        </w:rPr>
        <w:t>Ae</w:t>
      </w:r>
      <w:proofErr w:type="spellEnd"/>
      <w:r w:rsidRPr="006C7AB0">
        <w:rPr>
          <w:rFonts w:ascii="Calibri" w:eastAsia="Calibri" w:hAnsi="Calibri" w:cs="Times New Roman"/>
          <w:b/>
          <w:bCs/>
          <w:sz w:val="24"/>
          <w:szCs w:val="24"/>
        </w:rPr>
        <w:t>) Art. 40a</w:t>
      </w:r>
    </w:p>
    <w:p w:rsidR="006C7AB0" w:rsidRPr="006C7AB0" w:rsidRDefault="006C7AB0" w:rsidP="006C7AB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Rada przedstawia Przewodniczącemu Komitetu, na koniec kadencji, sprawozdanie ze swojej działalności.</w:t>
      </w:r>
    </w:p>
    <w:p w:rsidR="006C7AB0" w:rsidRPr="006C7AB0" w:rsidRDefault="006C7AB0" w:rsidP="006C7AB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de-DE"/>
        </w:rPr>
      </w:pPr>
    </w:p>
    <w:p w:rsidR="006C7AB0" w:rsidRPr="006C7AB0" w:rsidRDefault="006C7AB0" w:rsidP="006C7AB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  <w:b/>
          <w:sz w:val="24"/>
          <w:szCs w:val="24"/>
          <w:lang w:eastAsia="de-DE"/>
        </w:rPr>
      </w:pPr>
      <w:proofErr w:type="spellStart"/>
      <w:r w:rsidRPr="006C7AB0">
        <w:rPr>
          <w:rFonts w:ascii="Calibri" w:eastAsia="Calibri" w:hAnsi="Calibri" w:cs="Times New Roman"/>
          <w:b/>
          <w:sz w:val="24"/>
          <w:szCs w:val="24"/>
          <w:lang w:eastAsia="de-DE"/>
        </w:rPr>
        <w:t>Af</w:t>
      </w:r>
      <w:proofErr w:type="spellEnd"/>
      <w:r w:rsidRPr="006C7AB0">
        <w:rPr>
          <w:rFonts w:ascii="Calibri" w:eastAsia="Calibri" w:hAnsi="Calibri" w:cs="Times New Roman"/>
          <w:b/>
          <w:sz w:val="24"/>
          <w:szCs w:val="24"/>
          <w:lang w:eastAsia="de-DE"/>
        </w:rPr>
        <w:t>) Art. 41</w:t>
      </w:r>
    </w:p>
    <w:p w:rsidR="006C7AB0" w:rsidRPr="006C7AB0" w:rsidRDefault="006C7AB0" w:rsidP="006C7AB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de-DE"/>
        </w:rPr>
      </w:pPr>
      <w:proofErr w:type="spellStart"/>
      <w:r w:rsidRPr="006C7AB0">
        <w:rPr>
          <w:rFonts w:ascii="Calibri" w:eastAsia="Calibri" w:hAnsi="Calibri" w:cs="Times New Roman"/>
          <w:sz w:val="24"/>
          <w:szCs w:val="24"/>
          <w:lang w:eastAsia="de-DE"/>
        </w:rPr>
        <w:t>Obsługe</w:t>
      </w:r>
      <w:proofErr w:type="spellEnd"/>
      <w:r w:rsidRPr="006C7AB0">
        <w:rPr>
          <w:rFonts w:ascii="Calibri" w:eastAsia="Calibri" w:hAnsi="Calibri" w:cs="Times New Roman"/>
          <w:sz w:val="24"/>
          <w:szCs w:val="24"/>
          <w:lang w:eastAsia="de-DE"/>
        </w:rPr>
        <w:t>̨ administracyjno-biurową Rady zapewnia Kancelaria Prezesa Rady Ministrów.</w:t>
      </w:r>
    </w:p>
    <w:p w:rsidR="006C7AB0" w:rsidRPr="006C7AB0" w:rsidRDefault="006C7AB0" w:rsidP="006C7AB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de-DE"/>
        </w:rPr>
      </w:pPr>
    </w:p>
    <w:p w:rsidR="006C7AB0" w:rsidRPr="006C7AB0" w:rsidRDefault="006C7AB0" w:rsidP="006C7AB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de-DE"/>
        </w:rPr>
      </w:pPr>
    </w:p>
    <w:p w:rsidR="006C7AB0" w:rsidRPr="006C7AB0" w:rsidRDefault="006C7AB0" w:rsidP="006C7AB0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Calibri" w:hAnsi="Calibri" w:cs="Times New Roman"/>
          <w:b/>
          <w:iCs/>
          <w:sz w:val="24"/>
          <w:szCs w:val="24"/>
          <w:u w:val="single"/>
        </w:rPr>
      </w:pPr>
      <w:r w:rsidRPr="006C7AB0">
        <w:rPr>
          <w:rFonts w:ascii="Calibri" w:eastAsia="Calibri" w:hAnsi="Calibri" w:cs="Times New Roman"/>
          <w:b/>
          <w:sz w:val="24"/>
          <w:szCs w:val="24"/>
          <w:u w:val="single"/>
          <w:lang w:eastAsia="de-DE"/>
        </w:rPr>
        <w:t xml:space="preserve">B. </w:t>
      </w:r>
      <w:r w:rsidRPr="006C7AB0">
        <w:rPr>
          <w:rFonts w:ascii="Calibri" w:eastAsia="Calibri" w:hAnsi="Calibri" w:cs="Times New Roman"/>
          <w:b/>
          <w:iCs/>
          <w:sz w:val="24"/>
          <w:szCs w:val="24"/>
          <w:u w:val="single"/>
        </w:rPr>
        <w:t>Rozporządzenie Przewodniczącego Komitetu do spraw Pożytku Publicznego z dnia 10 września 2019 roku w sprawie Rady Dialogu z Młodym Pokoleniem:</w:t>
      </w:r>
    </w:p>
    <w:p w:rsidR="006C7AB0" w:rsidRPr="006C7AB0" w:rsidRDefault="006C7AB0" w:rsidP="006C7AB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  <w:iCs/>
          <w:color w:val="FF0000"/>
          <w:sz w:val="24"/>
          <w:szCs w:val="24"/>
        </w:rPr>
      </w:pPr>
    </w:p>
    <w:p w:rsidR="006C7AB0" w:rsidRPr="006C7AB0" w:rsidRDefault="006C7AB0" w:rsidP="006C7AB0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6C7AB0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Ba) </w:t>
      </w:r>
      <w:hyperlink r:id="rId5" w:history="1">
        <w:r w:rsidRPr="006C7AB0">
          <w:rPr>
            <w:rFonts w:ascii="Calibri" w:eastAsia="Times New Roman" w:hAnsi="Calibri" w:cs="Times New Roman"/>
            <w:b/>
            <w:sz w:val="24"/>
            <w:szCs w:val="24"/>
            <w:lang w:eastAsia="pl-PL"/>
          </w:rPr>
          <w:t xml:space="preserve">§  13 </w:t>
        </w:r>
      </w:hyperlink>
    </w:p>
    <w:p w:rsidR="006C7AB0" w:rsidRPr="006C7AB0" w:rsidRDefault="006C7AB0" w:rsidP="006C7AB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>1.  Rada obraduje na posiedzeniach.</w:t>
      </w:r>
    </w:p>
    <w:p w:rsidR="006C7AB0" w:rsidRPr="006C7AB0" w:rsidRDefault="006C7AB0" w:rsidP="006C7AB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>2.  Uchwały Rady na posiedzeniach są podejmowane zwykłą większością głosów w obecności co najmniej połowy członków Rady.</w:t>
      </w:r>
    </w:p>
    <w:p w:rsidR="006C7AB0" w:rsidRPr="006C7AB0" w:rsidRDefault="006C7AB0" w:rsidP="006C7AB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3.  W przypadku niepodjęcia uchwały, o której mowa w ust. 2, przedstawiciele organów administracji publicznej, przedstawiciel Rady Działalności Pożytku Publicznego, przedstawiciel jednostek samorządu terytorialnego, przedstawiciele organizacji pozarządowych oraz podmiotów wymienionych w </w:t>
      </w:r>
      <w:hyperlink r:id="rId6" w:history="1">
        <w:r w:rsidRPr="006C7AB0">
          <w:rPr>
            <w:rFonts w:ascii="Calibri" w:eastAsia="Times New Roman" w:hAnsi="Calibri" w:cs="Times New Roman"/>
            <w:sz w:val="24"/>
            <w:szCs w:val="24"/>
            <w:lang w:eastAsia="pl-PL"/>
          </w:rPr>
          <w:t>art. 3 ust. 3</w:t>
        </w:r>
      </w:hyperlink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ustawy, przedstawiciele młodzieżowych rad gmin i przedstawiciele Parlamentu Studentów Rzeczypospolitej Polskiej prezentują stanowisko podmiotów reprezentowanych przez nich w Radzie.</w:t>
      </w:r>
    </w:p>
    <w:p w:rsidR="006C7AB0" w:rsidRPr="006C7AB0" w:rsidRDefault="006C7AB0" w:rsidP="006C7AB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>4.  Posiedzenia Rady odbywają się w zależności od potrzeb.</w:t>
      </w:r>
    </w:p>
    <w:p w:rsidR="006C7AB0" w:rsidRPr="006C7AB0" w:rsidRDefault="006C7AB0" w:rsidP="006C7AB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>5.  Uchwały Rady między posiedzeniami są podejmowane w trybie obiegowym.</w:t>
      </w:r>
    </w:p>
    <w:p w:rsidR="006C7AB0" w:rsidRPr="006C7AB0" w:rsidRDefault="006C7AB0" w:rsidP="006C7AB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>6.  Sposób podejmowania uchwał w trybie obiegowym określa regulamin Rady.</w:t>
      </w:r>
    </w:p>
    <w:p w:rsidR="006C7AB0" w:rsidRPr="006C7AB0" w:rsidRDefault="006C7AB0" w:rsidP="006C7AB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C7AB0" w:rsidRPr="006C7AB0" w:rsidRDefault="006C7AB0" w:rsidP="006C7AB0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proofErr w:type="spellStart"/>
      <w:r w:rsidRPr="006C7AB0">
        <w:rPr>
          <w:rFonts w:ascii="Calibri" w:eastAsia="Times New Roman" w:hAnsi="Calibri" w:cs="Times New Roman"/>
          <w:b/>
          <w:sz w:val="24"/>
          <w:szCs w:val="24"/>
          <w:lang w:eastAsia="pl-PL"/>
        </w:rPr>
        <w:t>Bb</w:t>
      </w:r>
      <w:proofErr w:type="spellEnd"/>
      <w:r w:rsidRPr="006C7AB0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) </w:t>
      </w:r>
      <w:hyperlink r:id="rId7" w:history="1">
        <w:r w:rsidRPr="006C7AB0">
          <w:rPr>
            <w:rFonts w:ascii="Calibri" w:eastAsia="Times New Roman" w:hAnsi="Calibri" w:cs="Times New Roman"/>
            <w:b/>
            <w:sz w:val="24"/>
            <w:szCs w:val="24"/>
            <w:lang w:eastAsia="pl-PL"/>
          </w:rPr>
          <w:t xml:space="preserve">§  14  </w:t>
        </w:r>
      </w:hyperlink>
    </w:p>
    <w:p w:rsidR="006C7AB0" w:rsidRPr="006C7AB0" w:rsidRDefault="006C7AB0" w:rsidP="006C7AB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>1.  Pracami Rady kieruje dwóch współprzewodniczących, którymi są wybrani spośród członków Rady:</w:t>
      </w:r>
    </w:p>
    <w:p w:rsidR="006C7AB0" w:rsidRPr="006C7AB0" w:rsidRDefault="006C7AB0" w:rsidP="006C7AB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1) przedstawiciel organów administracji publicznej, o których mowa w </w:t>
      </w:r>
      <w:hyperlink r:id="rId8" w:history="1">
        <w:r w:rsidRPr="006C7AB0">
          <w:rPr>
            <w:rFonts w:ascii="Calibri" w:eastAsia="Times New Roman" w:hAnsi="Calibri" w:cs="Times New Roman"/>
            <w:sz w:val="24"/>
            <w:szCs w:val="24"/>
            <w:lang w:eastAsia="pl-PL"/>
          </w:rPr>
          <w:t>art. 41</w:t>
        </w:r>
        <w:r w:rsidRPr="006C7AB0">
          <w:rPr>
            <w:rFonts w:ascii="Calibri" w:eastAsia="Times New Roman" w:hAnsi="Calibri" w:cs="Times New Roman"/>
            <w:sz w:val="24"/>
            <w:szCs w:val="24"/>
            <w:vertAlign w:val="superscript"/>
            <w:lang w:eastAsia="pl-PL"/>
          </w:rPr>
          <w:t>2</w:t>
        </w:r>
        <w:r w:rsidRPr="006C7AB0">
          <w:rPr>
            <w:rFonts w:ascii="Calibri" w:eastAsia="Times New Roman" w:hAnsi="Calibri" w:cs="Times New Roman"/>
            <w:sz w:val="24"/>
            <w:szCs w:val="24"/>
            <w:lang w:eastAsia="pl-PL"/>
          </w:rPr>
          <w:t xml:space="preserve"> ust. 1 pkt 1-7</w:t>
        </w:r>
      </w:hyperlink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ustawy, Rady Działalności Pożytku Publicznego lub jednostek samorządu terytorialnego;</w:t>
      </w:r>
    </w:p>
    <w:p w:rsidR="006C7AB0" w:rsidRPr="006C7AB0" w:rsidRDefault="006C7AB0" w:rsidP="006C7AB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2) przedstawiciel organizacji pozarządowych, związków i porozumień organizacji pozarządowych oraz podmiotów wymienionych w </w:t>
      </w:r>
      <w:hyperlink r:id="rId9" w:history="1">
        <w:r w:rsidRPr="006C7AB0">
          <w:rPr>
            <w:rFonts w:ascii="Calibri" w:eastAsia="Times New Roman" w:hAnsi="Calibri" w:cs="Times New Roman"/>
            <w:sz w:val="24"/>
            <w:szCs w:val="24"/>
            <w:lang w:eastAsia="pl-PL"/>
          </w:rPr>
          <w:t>art. 3 ust. 3</w:t>
        </w:r>
      </w:hyperlink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ustawy, przedstawiciel młodzieżowych rad gmin lub przedstawiciel Parlamentu Studentów Rzeczypospolitej Polskiej wybrany przez członków Rady będących przedstawicielami tych organizacji, związków, porozumień oraz podmiotów wymienionych w </w:t>
      </w:r>
      <w:hyperlink r:id="rId10" w:history="1">
        <w:r w:rsidRPr="006C7AB0">
          <w:rPr>
            <w:rFonts w:ascii="Calibri" w:eastAsia="Times New Roman" w:hAnsi="Calibri" w:cs="Times New Roman"/>
            <w:sz w:val="24"/>
            <w:szCs w:val="24"/>
            <w:lang w:eastAsia="pl-PL"/>
          </w:rPr>
          <w:t>art. 3 ust. 3</w:t>
        </w:r>
      </w:hyperlink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ustawy, młodzieżowych rad gmin lub Parlamentu Studentów Rzeczypospolitej Polskiej.</w:t>
      </w:r>
    </w:p>
    <w:p w:rsidR="006C7AB0" w:rsidRPr="006C7AB0" w:rsidRDefault="006C7AB0" w:rsidP="006C7AB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>2.  Do zadań współprzewodniczących Rady należy w szczególności:</w:t>
      </w:r>
    </w:p>
    <w:p w:rsidR="006C7AB0" w:rsidRPr="006C7AB0" w:rsidRDefault="006C7AB0" w:rsidP="006C7AB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>1) przewodniczenie posiedzeniom Rady;</w:t>
      </w:r>
    </w:p>
    <w:p w:rsidR="006C7AB0" w:rsidRPr="006C7AB0" w:rsidRDefault="006C7AB0" w:rsidP="006C7AB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>2) organizowanie prac Rady;</w:t>
      </w:r>
    </w:p>
    <w:p w:rsidR="006C7AB0" w:rsidRPr="006C7AB0" w:rsidRDefault="006C7AB0" w:rsidP="006C7AB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>3) ustalanie harmonogramu prac Rady, w szczególności przez ustalenie terminów i programów kolejnych posiedzeń Rady;</w:t>
      </w:r>
    </w:p>
    <w:p w:rsidR="006C7AB0" w:rsidRPr="006C7AB0" w:rsidRDefault="006C7AB0" w:rsidP="006C7AB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>4) reprezentowanie Rady między jej posiedzeniami;</w:t>
      </w:r>
    </w:p>
    <w:p w:rsidR="006C7AB0" w:rsidRPr="006C7AB0" w:rsidRDefault="006C7AB0" w:rsidP="006C7AB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>5) występowanie na zewnątrz w sprawach dotyczących działalności Rady.</w:t>
      </w:r>
    </w:p>
    <w:p w:rsidR="006C7AB0" w:rsidRPr="006C7AB0" w:rsidRDefault="006C7AB0" w:rsidP="006C7AB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C7AB0" w:rsidRPr="006C7AB0" w:rsidRDefault="006C7AB0" w:rsidP="006C7AB0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proofErr w:type="spellStart"/>
      <w:r w:rsidRPr="006C7AB0">
        <w:rPr>
          <w:rFonts w:ascii="Calibri" w:eastAsia="Times New Roman" w:hAnsi="Calibri" w:cs="Times New Roman"/>
          <w:b/>
          <w:sz w:val="24"/>
          <w:szCs w:val="24"/>
          <w:lang w:eastAsia="pl-PL"/>
        </w:rPr>
        <w:t>Bc</w:t>
      </w:r>
      <w:proofErr w:type="spellEnd"/>
      <w:r w:rsidRPr="006C7AB0">
        <w:rPr>
          <w:rFonts w:ascii="Calibri" w:eastAsia="Times New Roman" w:hAnsi="Calibri" w:cs="Times New Roman"/>
          <w:b/>
          <w:sz w:val="24"/>
          <w:szCs w:val="24"/>
          <w:lang w:eastAsia="pl-PL"/>
        </w:rPr>
        <w:t>)</w:t>
      </w:r>
      <w:hyperlink r:id="rId11" w:history="1">
        <w:r w:rsidRPr="006C7AB0">
          <w:rPr>
            <w:rFonts w:ascii="Calibri" w:eastAsia="Times New Roman" w:hAnsi="Calibri" w:cs="Times New Roman"/>
            <w:b/>
            <w:sz w:val="24"/>
            <w:szCs w:val="24"/>
            <w:lang w:eastAsia="pl-PL"/>
          </w:rPr>
          <w:t xml:space="preserve">§  15 </w:t>
        </w:r>
      </w:hyperlink>
    </w:p>
    <w:p w:rsidR="006C7AB0" w:rsidRPr="006C7AB0" w:rsidRDefault="006C7AB0" w:rsidP="006C7AB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>Rada może zapraszać do udziału w posiedzeniach, z głosem doradczym, osoby niebędące członkami Rady.</w:t>
      </w:r>
    </w:p>
    <w:p w:rsidR="006C7AB0" w:rsidRPr="006C7AB0" w:rsidRDefault="006C7AB0" w:rsidP="006C7AB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C7AB0" w:rsidRPr="006C7AB0" w:rsidRDefault="006C7AB0" w:rsidP="006C7AB0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proofErr w:type="spellStart"/>
      <w:r w:rsidRPr="006C7AB0">
        <w:rPr>
          <w:rFonts w:ascii="Calibri" w:eastAsia="Times New Roman" w:hAnsi="Calibri" w:cs="Times New Roman"/>
          <w:b/>
          <w:sz w:val="24"/>
          <w:szCs w:val="24"/>
          <w:lang w:eastAsia="pl-PL"/>
        </w:rPr>
        <w:t>Bd</w:t>
      </w:r>
      <w:proofErr w:type="spellEnd"/>
      <w:r w:rsidRPr="006C7AB0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) </w:t>
      </w:r>
      <w:hyperlink r:id="rId12" w:history="1">
        <w:r w:rsidRPr="006C7AB0">
          <w:rPr>
            <w:rFonts w:ascii="Calibri" w:eastAsia="Times New Roman" w:hAnsi="Calibri" w:cs="Times New Roman"/>
            <w:b/>
            <w:sz w:val="24"/>
            <w:szCs w:val="24"/>
            <w:lang w:eastAsia="pl-PL"/>
          </w:rPr>
          <w:t xml:space="preserve">§  16 </w:t>
        </w:r>
      </w:hyperlink>
    </w:p>
    <w:p w:rsidR="006C7AB0" w:rsidRPr="006C7AB0" w:rsidRDefault="006C7AB0" w:rsidP="006C7AB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>1.  Z posiedzeń Rady sporządza się protokół.</w:t>
      </w:r>
    </w:p>
    <w:p w:rsidR="006C7AB0" w:rsidRPr="006C7AB0" w:rsidRDefault="006C7AB0" w:rsidP="006C7AB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>2.  Protokół posiedzenia Rady podpisują obecni na posiedzeniu współprzewodniczący oraz protokolant.</w:t>
      </w:r>
    </w:p>
    <w:p w:rsidR="006C7AB0" w:rsidRPr="006C7AB0" w:rsidRDefault="006C7AB0" w:rsidP="006C7AB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C7AB0" w:rsidRPr="006C7AB0" w:rsidRDefault="006C7AB0" w:rsidP="006C7AB0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6C7AB0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Be) </w:t>
      </w:r>
      <w:r w:rsidRPr="006C7AB0">
        <w:rPr>
          <w:rFonts w:ascii="Calibri" w:eastAsia="Times New Roman" w:hAnsi="Calibri" w:cs="Times New Roman"/>
          <w:b/>
          <w:sz w:val="24"/>
          <w:szCs w:val="24"/>
          <w:lang w:eastAsia="pl-PL"/>
        </w:rPr>
        <w:fldChar w:fldCharType="begin"/>
      </w:r>
      <w:r w:rsidRPr="006C7AB0">
        <w:rPr>
          <w:rFonts w:ascii="Calibri" w:eastAsia="Times New Roman" w:hAnsi="Calibri" w:cs="Times New Roman"/>
          <w:b/>
          <w:sz w:val="24"/>
          <w:szCs w:val="24"/>
          <w:lang w:eastAsia="pl-PL"/>
        </w:rPr>
        <w:instrText xml:space="preserve"> HYPERLINK "https://sip.lex.pl/akty-prawne/dzu-dziennik-ustaw/rada-dialogu-z-mlodym-pokoleniem-18891366/par-17" </w:instrText>
      </w:r>
      <w:r w:rsidRPr="006C7AB0">
        <w:rPr>
          <w:rFonts w:ascii="Calibri" w:eastAsia="Times New Roman" w:hAnsi="Calibri" w:cs="Times New Roman"/>
          <w:b/>
          <w:sz w:val="24"/>
          <w:szCs w:val="24"/>
          <w:lang w:eastAsia="pl-PL"/>
        </w:rPr>
        <w:fldChar w:fldCharType="separate"/>
      </w:r>
      <w:r w:rsidRPr="006C7AB0">
        <w:rPr>
          <w:rFonts w:ascii="Calibri" w:eastAsia="Times New Roman" w:hAnsi="Calibri" w:cs="Times New Roman"/>
          <w:b/>
          <w:sz w:val="24"/>
          <w:szCs w:val="24"/>
          <w:lang w:eastAsia="pl-PL"/>
        </w:rPr>
        <w:t>§  17</w:t>
      </w:r>
    </w:p>
    <w:p w:rsidR="006C7AB0" w:rsidRPr="006C7AB0" w:rsidRDefault="006C7AB0" w:rsidP="006C7AB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7AB0">
        <w:rPr>
          <w:rFonts w:ascii="Calibri" w:eastAsia="Times New Roman" w:hAnsi="Calibri" w:cs="Times New Roman"/>
          <w:b/>
          <w:sz w:val="24"/>
          <w:szCs w:val="24"/>
          <w:lang w:eastAsia="pl-PL"/>
        </w:rPr>
        <w:fldChar w:fldCharType="end"/>
      </w:r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>Rada uchwala regulamin Rady, który określa szczegółową organizację i tryb działania Rady.</w:t>
      </w:r>
    </w:p>
    <w:p w:rsidR="006C7AB0" w:rsidRPr="006C7AB0" w:rsidRDefault="006C7AB0" w:rsidP="006C7AB0">
      <w:pPr>
        <w:spacing w:after="0" w:line="240" w:lineRule="auto"/>
        <w:jc w:val="both"/>
        <w:rPr>
          <w:rFonts w:ascii="Calibri" w:eastAsia="Calibri" w:hAnsi="Calibri" w:cs="Times New Roman"/>
          <w:iCs/>
          <w:color w:val="FF0000"/>
          <w:sz w:val="24"/>
          <w:szCs w:val="24"/>
        </w:rPr>
      </w:pPr>
      <w:r w:rsidRPr="006C7AB0">
        <w:rPr>
          <w:rFonts w:ascii="Calibri" w:eastAsia="Calibri" w:hAnsi="Calibri" w:cs="Times New Roman"/>
          <w:iCs/>
          <w:color w:val="FF0000"/>
          <w:sz w:val="24"/>
          <w:szCs w:val="24"/>
        </w:rPr>
        <w:br w:type="page"/>
      </w:r>
    </w:p>
    <w:p w:rsidR="006C7AB0" w:rsidRPr="006C7AB0" w:rsidRDefault="006C7AB0" w:rsidP="006C7AB0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lastRenderedPageBreak/>
        <w:t>§ 1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Regulamin określa tryb działania Rady Dialogu z Młodym Pokoleniem zwanej dalej „Radą” oraz zespołów problemowych zwanych dalej „zespołami”, a także zasady uczestnictwa w jej pracach przedstawicieli organów administracji publicznej, organizacji pozarządowych oraz podmiotów wymienionych w art. 3 ust. 3 ustawy z dnia 24 kwietnia 2003 r. o działalności pożytku publicznego i o wolontariacie (Dz. U. z 2018 r., poz. 450, 650, 723 i 1365), zwanej dalej „ustawą”.</w:t>
      </w:r>
    </w:p>
    <w:p w:rsidR="006C7AB0" w:rsidRPr="006C7AB0" w:rsidRDefault="006C7AB0" w:rsidP="006C7AB0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§ 2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>1. Pracami Rady kieruje dwóch Współprzewodniczących, którymi są wybrani spośród członków Rady:</w:t>
      </w:r>
    </w:p>
    <w:p w:rsidR="006C7AB0" w:rsidRPr="006C7AB0" w:rsidRDefault="006C7AB0" w:rsidP="006C7AB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1) przedstawiciel organów administracji publicznej, o których mowa w </w:t>
      </w:r>
      <w:hyperlink r:id="rId13" w:history="1">
        <w:r w:rsidRPr="006C7AB0">
          <w:rPr>
            <w:rFonts w:ascii="Calibri" w:eastAsia="Times New Roman" w:hAnsi="Calibri" w:cs="Times New Roman"/>
            <w:sz w:val="24"/>
            <w:szCs w:val="24"/>
            <w:lang w:eastAsia="pl-PL"/>
          </w:rPr>
          <w:t>art. 41</w:t>
        </w:r>
        <w:r w:rsidRPr="006C7AB0">
          <w:rPr>
            <w:rFonts w:ascii="Calibri" w:eastAsia="Times New Roman" w:hAnsi="Calibri" w:cs="Times New Roman"/>
            <w:sz w:val="24"/>
            <w:szCs w:val="24"/>
            <w:vertAlign w:val="superscript"/>
            <w:lang w:eastAsia="pl-PL"/>
          </w:rPr>
          <w:t>2</w:t>
        </w:r>
        <w:r w:rsidRPr="006C7AB0">
          <w:rPr>
            <w:rFonts w:ascii="Calibri" w:eastAsia="Times New Roman" w:hAnsi="Calibri" w:cs="Times New Roman"/>
            <w:sz w:val="24"/>
            <w:szCs w:val="24"/>
            <w:lang w:eastAsia="pl-PL"/>
          </w:rPr>
          <w:t xml:space="preserve"> ust. 1 pkt 1-7</w:t>
        </w:r>
      </w:hyperlink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ustawy, Rady Działalności Pożytku Publicznego lub jednostek samorządu terytorialnego;</w:t>
      </w:r>
    </w:p>
    <w:p w:rsidR="006C7AB0" w:rsidRPr="006C7AB0" w:rsidRDefault="006C7AB0" w:rsidP="006C7AB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2) przedstawiciel organizacji pozarządowych, związków i porozumień organizacji pozarządowych oraz podmiotów wymienionych w </w:t>
      </w:r>
      <w:hyperlink r:id="rId14" w:history="1">
        <w:r w:rsidRPr="006C7AB0">
          <w:rPr>
            <w:rFonts w:ascii="Calibri" w:eastAsia="Times New Roman" w:hAnsi="Calibri" w:cs="Times New Roman"/>
            <w:sz w:val="24"/>
            <w:szCs w:val="24"/>
            <w:lang w:eastAsia="pl-PL"/>
          </w:rPr>
          <w:t>art. 3 ust. 3</w:t>
        </w:r>
      </w:hyperlink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ustawy, przedstawiciel młodzieżowych rad gmin lub przedstawiciel Parlamentu Studentów Rzeczypospolitej Polskiej wybrany przez członków Rady będących przedstawicielami tych organizacji, związków, porozumień oraz podmiotów wymienionych w </w:t>
      </w:r>
      <w:hyperlink r:id="rId15" w:history="1">
        <w:r w:rsidRPr="006C7AB0">
          <w:rPr>
            <w:rFonts w:ascii="Calibri" w:eastAsia="Times New Roman" w:hAnsi="Calibri" w:cs="Times New Roman"/>
            <w:sz w:val="24"/>
            <w:szCs w:val="24"/>
            <w:lang w:eastAsia="pl-PL"/>
          </w:rPr>
          <w:t>art. 3 ust. 3</w:t>
        </w:r>
      </w:hyperlink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ustawy, młodzieżowych rad gmin lub Parlamentu Studentów Rzeczypospolitej Polskiej.</w:t>
      </w:r>
    </w:p>
    <w:p w:rsidR="006C7AB0" w:rsidRPr="006C7AB0" w:rsidRDefault="006C7AB0" w:rsidP="006C7AB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>2. Każdy Współprzewodniczący jest wybierany przez członków Rady w dwóch odrębnych głosowaniach. W głosowaniu na odpowiedniego Współprzewodniczącego mogą uczestniczyć wyłącznie osoby posiadające bierne prawo wyborcze w wyborach danego Współprzewodniczącego.</w:t>
      </w:r>
    </w:p>
    <w:p w:rsidR="006C7AB0" w:rsidRPr="006C7AB0" w:rsidRDefault="006C7AB0" w:rsidP="006C7AB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>3. Współprzewodniczący jest wybierany zwykłą większością głosów przy obecności co najmniej połowy uprawnionych do głosowania na odpowiedniego Współprzewodniczącego.</w:t>
      </w:r>
    </w:p>
    <w:p w:rsidR="006C7AB0" w:rsidRPr="006C7AB0" w:rsidRDefault="006C7AB0" w:rsidP="006C7AB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>4. Współprzewodniczący może zostać odwołany zwykłą większością głosów przez członków Rady mających bierne prawo wyborcze w wyborach danego Współprzewodniczącego pod warunkiem jednoczesnego wyboru następcy. W głosowaniu musi uczestniczyć co najmniej połowa osób uprawnionych do głosowania na odpowiedniego Współprzewodniczącego.</w:t>
      </w:r>
    </w:p>
    <w:p w:rsidR="006C7AB0" w:rsidRPr="006C7AB0" w:rsidRDefault="006C7AB0" w:rsidP="006C7AB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>5. Wniosek o odwołanie Współprzewodniczącego i jednoczesny wybór następcy może złożyć w formie pisemnej co najmniej 1/3 członków Rady uprawnionych do głosowania na odpowiedniego Współprzewodniczącego.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§ 3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Do zadań Współprzewodniczących należy:</w:t>
      </w:r>
    </w:p>
    <w:p w:rsidR="006C7AB0" w:rsidRPr="006C7AB0" w:rsidRDefault="006C7AB0" w:rsidP="006C7AB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>1) przewodniczenie posiedzeniom Rady;</w:t>
      </w:r>
    </w:p>
    <w:p w:rsidR="006C7AB0" w:rsidRPr="006C7AB0" w:rsidRDefault="006C7AB0" w:rsidP="006C7AB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>2) organizowanie prac Rady;</w:t>
      </w:r>
    </w:p>
    <w:p w:rsidR="006C7AB0" w:rsidRPr="006C7AB0" w:rsidRDefault="006C7AB0" w:rsidP="006C7AB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>3) ustalanie harmonogramu prac Rady, w szczególności przez ustalenie terminów i programów kolejnych posiedzeń Rady;</w:t>
      </w:r>
    </w:p>
    <w:p w:rsidR="006C7AB0" w:rsidRPr="006C7AB0" w:rsidRDefault="006C7AB0" w:rsidP="006C7AB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>4) reprezentowanie Rady między jej posiedzeniami;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>5) występowanie na zewnątrz w sprawach dotyczących działalności Rady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6) ustalanie porządku dziennego prac Rady przy uwzględnieniu charakteru i rodzaju spraw przewidzianych do rozpatrzenia;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lastRenderedPageBreak/>
        <w:t>7) przedstawianie propozycji działań w sprawach organizacyjnych;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8) występowanie z wnioskiem o zlecanie ekspertyz na rzecz Rady oraz zespołów;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9) przekazywanie Przewodniczącemu Komitetu do spraw Pożytku Publicznego informacji związanych z działalnością Rady;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10) wykonywanie innych zdań określonych przez Radę i Przewodniczącego Komitetu do spraw Pożytku Publicznego;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11) zapraszanie osób w charakterze obserwatorów/gości do udziału w posiedzeniu Rady.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§ 4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Rada realizuje zadania określone w ustawie w ramach: posiedzeń Rady, posiedzeń zespołów oraz w trybie obiegowym.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§ 5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1. Rada, w tym zespoły, podejmuje uchwały w głosowaniu jawnym.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2. Na wniosek członka Rady na posiedzeniu plenarnym Współprzewodniczący mogą zarządzić głosowanie tajne. Na posiedzeniu zespołu uprawnienie to przysługuje przewodniczącemu zespołu.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§ 6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1. Współprzewodniczący mogą zwrócić się do członków Rady w okresie między posiedzeniami Rady o podjęcie uchwały w sposób obiegowy przy wykorzystaniu poczty elektronicznej.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2. Za ważne będą uznane głosy „za”, „przeciw” oraz „wstrzymujące się” oddane przy użyciu poczty elektronicznej, we wskazanym terminie.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3. W razie nieosiągnięcia kworum w terminie wskazanym, zarządza się ponowne głosowanie. Nieoddanie głosu w przewidzianym terminie w ponownym głosowaniu traktowane będzie jako głos „wstrzymuję się”.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§ 7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1. W przypadku niemożności przewodniczenia posiedzeniu Rady przez żadnego z Współprzewodniczących, członkowie Rady, wybierają jednorazowo prowadzącego obrady.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2. Współprzewodniczący Rady mogą podjąć decyzję o przerwaniu posiedzenia</w:t>
      </w:r>
      <w:r w:rsidRPr="006C7AB0">
        <w:rPr>
          <w:rFonts w:ascii="Calibri" w:eastAsia="Calibri" w:hAnsi="Calibri" w:cs="Times New Roman"/>
          <w:sz w:val="24"/>
          <w:szCs w:val="24"/>
        </w:rPr>
        <w:br/>
        <w:t>Rady w przypadku stwierdzenia nieobecności ponad połowy członków Rady.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§ 8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lastRenderedPageBreak/>
        <w:t>1. Współprzewodniczący przy wykonywaniu swoich zadań korzystają z pomocy Sekretarza Rady.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2. Sekretarzem Rady jest osoba wyznaczona przez Przewodniczącego Komitetu do spraw Pożytku Publicznego.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3. Do zadań Sekretarza należy: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1) przedstawianie propozycji działań w sprawach organizacyjnych;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2) sporządzanie projektu komunikatu z posiedzenia Rady;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3) organizowanie spraw proceduralnych oraz przepływu informacji w związku z działalnością Rady;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4) sporządzanie projektów protokołów z posiedzeń Rady i zespołów;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5) wykonywanie innych zadań zleconych przez Radę.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4. Sekretarz odpowiedzialny jest za koordynację obsługi administracyjno-biurowej Rady.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5. Sekretarz lub upoważnieni przez niego pracownicy Kancelarii Prezesa Rady Ministrów uczestniczą w posiedzeniach Rady i zespołów.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vertAlign w:val="superscript"/>
        </w:rPr>
      </w:pPr>
      <w:r w:rsidRPr="006C7AB0">
        <w:rPr>
          <w:rFonts w:ascii="Calibri" w:eastAsia="Calibri" w:hAnsi="Calibri" w:cs="Times New Roman"/>
          <w:sz w:val="24"/>
          <w:szCs w:val="24"/>
        </w:rPr>
        <w:t>§ 9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Rada może podjąć uchwałę o reprezentowaniu Rady przez jej członka w określonych sprawach, w szczególności poprzez udział w komisjach, radach i innych gremiach.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§ 10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Decyzje w sprawach, o których mowa w art. 38 ustawy, podejmują Współprzewodniczący Rady: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1) z własnej inicjatywy;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2) na wniosek co najmniej 1/3 liczby członków.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§ 11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1. W pracach Rady i jej zespołów mogą uczestniczyć inne osoby wskazane przez Przewodniczącego Komitetu do spraw Pożytku Publicznego lub zaproszone przez Współprzewodniczących.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2. W pracach zespołów mogą uczestniczyć także osoby zaproszone przez przewodniczącego zespołu.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3. Osoby, o których mowa w ust. 1-2, uczestniczą w posiedzeniach Rady i zespołów bez prawa do głosowania.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br w:type="page"/>
      </w:r>
      <w:r w:rsidRPr="006C7AB0">
        <w:rPr>
          <w:rFonts w:ascii="Calibri" w:eastAsia="Calibri" w:hAnsi="Calibri" w:cs="Times New Roman"/>
          <w:sz w:val="24"/>
          <w:szCs w:val="24"/>
        </w:rPr>
        <w:lastRenderedPageBreak/>
        <w:t>§ 12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>1. Sporządzanie opinii i stanowisk Rady może odbywać się w trybie zwykłym, trybie zdalnym lub w trybie poszerzonym. Decyzję o zastosowaniu właściwego trybu podejmują Współprzewodniczący.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>2. Podstawowym trybem sporządzania opinii i stanowisk jest tryb zwykły.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>3. W ramach trybu zwykłego projekt aktu prawnego lub programu jest opiniowany na posiedzeniu Rady.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C7AB0" w:rsidRPr="006C7AB0" w:rsidRDefault="006C7AB0" w:rsidP="006C7AB0">
      <w:pPr>
        <w:spacing w:after="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7AB0">
        <w:rPr>
          <w:rFonts w:ascii="Calibri" w:eastAsia="Calibri" w:hAnsi="Calibri" w:cs="Times New Roman"/>
        </w:rPr>
        <w:t>§ 13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>1. W ramach trybu poszerzonego projekt aktu prawnego przed opiniowaniem przez Radę może zostać skierowany do opiniowania przez zespół lub zespoły.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>2. W ramach trybu poszerzonego, Rada na posiedzeniu opiniuje projekt aktu prawnego na podstawie sprawozdań i rekomendacji przygotowanych przez zespół lub zespoły.</w:t>
      </w:r>
    </w:p>
    <w:p w:rsidR="006C7AB0" w:rsidRPr="006C7AB0" w:rsidRDefault="006C7AB0" w:rsidP="006C7AB0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C7AB0" w:rsidRPr="006C7AB0" w:rsidRDefault="006C7AB0" w:rsidP="006C7AB0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§ 14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>1. W ramach trybu zdalnego Współprzewodniczący lub Sekretarz Rady kieruje projekt aktu prawnego lub programu rządowego przy pomocy poczty elektronicznej do członków Rady z prośbą o wyrażenie opinii.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>2. Termin na wyrażenie opinii przy pomocy poczty elektronicznej wynosi co najmniej</w:t>
      </w:r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br/>
        <w:t>3 dni robocze.</w:t>
      </w:r>
    </w:p>
    <w:p w:rsidR="006C7AB0" w:rsidRPr="006C7AB0" w:rsidRDefault="006C7AB0" w:rsidP="006C7AB0">
      <w:pPr>
        <w:spacing w:after="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>§ 15</w:t>
      </w:r>
    </w:p>
    <w:p w:rsidR="006C7AB0" w:rsidRPr="006C7AB0" w:rsidRDefault="006C7AB0" w:rsidP="006C7AB0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7AB0">
        <w:rPr>
          <w:rFonts w:ascii="Calibri" w:eastAsia="Times New Roman" w:hAnsi="Calibri" w:cs="Times New Roman"/>
          <w:sz w:val="24"/>
          <w:szCs w:val="24"/>
          <w:lang w:eastAsia="pl-PL"/>
        </w:rPr>
        <w:t>Sekretarz Rady przekazuje niezwłocznie opinię lub stanowisko Rady dotyczącą projektu aktu prawnego lub programu rządowego do właściwego organu odpowiedzialnego za projekt.</w:t>
      </w:r>
    </w:p>
    <w:p w:rsidR="006C7AB0" w:rsidRPr="006C7AB0" w:rsidRDefault="006C7AB0" w:rsidP="006C7AB0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C7AB0" w:rsidRPr="006C7AB0" w:rsidRDefault="006C7AB0" w:rsidP="006C7AB0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§ 16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1. Z posiedzenia Rady i zespołów Sekretarz sporządza protokół obejmujący: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1) określenie porządku dziennego;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2) listę imienną uczestników;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3) treść wystąpień;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4) treść podjętych uchwał, stanowisk i opinii;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5) ustalenia z prac Rady.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2. Protokół z posiedzenia Rady sporządza się w terminie do 30 dni od dnia posiedzenia.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3. Protokół jest przekazywany poszczególnym członkom Rady przy wykorzystaniu poczty elektronicznej.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4. Członkowie Rady mogą zgłaszać uwagi do protokołu w terminie</w:t>
      </w:r>
      <w:r w:rsidRPr="006C7AB0">
        <w:rPr>
          <w:rFonts w:ascii="Calibri" w:eastAsia="Calibri" w:hAnsi="Calibri" w:cs="Times New Roman"/>
          <w:sz w:val="24"/>
          <w:szCs w:val="24"/>
        </w:rPr>
        <w:br/>
        <w:t>do 7 dni od dnia otrzymania protokołu.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lastRenderedPageBreak/>
        <w:t>5. Sekretarz Rady w terminie 7 dni od upływu terminu zgłaszania uwag odnosi się lub uwzględnia uwagi, o których mowa w ust. 4 oraz przesyła członkom Rady nową wersję protokołu.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6. Członkowie Rady mogą zgłaszać kolejne uwagi do protokołu w terminie</w:t>
      </w:r>
      <w:r w:rsidRPr="006C7AB0">
        <w:rPr>
          <w:rFonts w:ascii="Calibri" w:eastAsia="Calibri" w:hAnsi="Calibri" w:cs="Times New Roman"/>
          <w:sz w:val="24"/>
          <w:szCs w:val="24"/>
        </w:rPr>
        <w:br/>
        <w:t>do 3 dni od dnia otrzymania nowej wersji protokołu.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7. W przypadku zgłoszenia kolejnych uwag do protokołu o ostatecznej treści protokołu decydują Współprzewodniczący Rady. W przypadku braku porozumienia w sprawie ostatecznej treści protokołu, w odpowiednim miejscu jego tekstu zaznacza się zdanie odrębne według uwag członka lub członków Rady.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8. Sekretarz Rady może wprowadzać do protokołu poprawki o charakterze redakcyjnym.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9. Protokół podpisują odpowiednio z posiedzeń Rady - Współprzewodniczący Rady oraz protokolant, z posiedzenia zespołu - przewodniczący zespołu oraz protokolant.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§ 17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1. Komunikat z posiedzenia Rady sporządza się niezwłocznie po zakończeniu posiedzenia, nie później niż w terminie 3 dni od dnia posiedzenia. Komunikat zatwierdzają Współprzewodniczący.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2. Sekretarz Rady zamieszcza komunikat na stronach internetowych Kancelarii Prezesa Rady Ministrów i Przewodniczącego Komitetu do spraw Pożytku Publicznego.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§ 18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Członkowie Rady podają Sekretarzowi swoje dane adresowe wraz z numerami telefonów i adresami poczty elektronicznej, które służyć będą do bezpośredniego kontaktu.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§ 19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1. Termin i projekt porządku obrad posiedzenia Rady jest uzgadniany pomiędzy Współprzewodniczącymi.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2. Sekretarz Rady niezwłocznie zgłasza Współprzewodniczącym wszelkie sprawy pod obrady Rady, które do niego wpływają.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3. Członkowie Rady powiadamiani są przez Sekretarza Rady za pomocą poczty elektronicznej na wskazany do korespondencji adres o planowanym posiedzeniu i projekcie porządku obrad,</w:t>
      </w:r>
      <w:r w:rsidRPr="006C7AB0">
        <w:rPr>
          <w:rFonts w:ascii="Calibri" w:eastAsia="Calibri" w:hAnsi="Calibri" w:cs="Times New Roman"/>
          <w:sz w:val="24"/>
          <w:szCs w:val="24"/>
        </w:rPr>
        <w:br/>
        <w:t>na co najmniej 7 dni przed planowanym terminem. Członkowie mogą wnosić uwagi i uzupełnienia do porządku obrad. Tak przygotowany projekt podlega akceptacji Współprzewodniczących Rady.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4. W szczególnie uzasadnionych przypadkach termin, o którym mowa w ust. 3, może ulec skróceniu.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lastRenderedPageBreak/>
        <w:t>§ 20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1. W razie niemożności wzięcia udziału w posiedzeniu Rady, członek Rady zawiadamia za pomocą poczty elektronicznej Sekretarza Rady, najpóźniej w dniu posiedzenia. W celu usprawiedliwienia nieobecności, należy podać uzasadnienie nieobecności.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2. O usprawiedliwieniu nieobecności na posiedzeniu Rady decydują Współprzewodniczący, biorąc pod uwagę usprawiedliwienie wskazane w ust. 1. Usprawiedliwienie jest zasadne szczególnie w sytuacjach losowych, zwłaszcza choroby członka, konieczności opieki nad osobą bliską lub z powodu niemożliwych do przełożenia obowiązków służbowych, naukowych lub społecznych.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3. W razie niemożności wzięcia udziału w posiedzeniu zespołu, członek zespołu zawiadamia za pomocą poczty elektronicznej przewodniczącego zespołu przed rozpoczęciem posiedzenia zespołu.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§ 21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1. Za udział w pracach Rady członkom przysługują diety oraz zwrot kosztów podróży na zasadach określonych w przepisach wydanych na podstawie art. 77</w:t>
      </w:r>
      <w:r w:rsidRPr="006C7AB0">
        <w:rPr>
          <w:rFonts w:ascii="Calibri" w:eastAsia="Calibri" w:hAnsi="Calibri" w:cs="Times New Roman"/>
          <w:sz w:val="24"/>
          <w:szCs w:val="24"/>
          <w:vertAlign w:val="superscript"/>
        </w:rPr>
        <w:t>5</w:t>
      </w:r>
      <w:r w:rsidRPr="006C7AB0">
        <w:rPr>
          <w:rFonts w:ascii="Calibri" w:eastAsia="Calibri" w:hAnsi="Calibri" w:cs="Times New Roman"/>
          <w:sz w:val="24"/>
          <w:szCs w:val="24"/>
        </w:rPr>
        <w:t xml:space="preserve"> § 2 Kodeksu pracy.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2. Członek Rady dokonuje rozliczenia diet i kosztów podróży, o których mowa</w:t>
      </w:r>
      <w:r w:rsidRPr="006C7AB0">
        <w:rPr>
          <w:rFonts w:ascii="Calibri" w:eastAsia="Calibri" w:hAnsi="Calibri" w:cs="Times New Roman"/>
          <w:sz w:val="24"/>
          <w:szCs w:val="24"/>
        </w:rPr>
        <w:br/>
        <w:t>w ust. 1, nie później niż w terminie 14 dni od dnia zakończenia posiedzenia.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3. Do rozliczenia, o którym mowa w ust. 2, członek Rady załącza dokumenty, w szczególności rachunki, faktury lub bilety potwierdzające poszczególne wydatki; nie dotyczy to diet oraz wydatków objętych ryczałtami. Jeżeli przedstawienie dokumentu nie jest możliwe, członek Rady składa pisemne oświadczenie o dokonanym wydatku i przyczynach braku jego udokumentowania.</w:t>
      </w: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4. Przepisy ust. 1 – 3 stosuje się odpowiednio do osób, o których mowa w § 13 i 14.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§ 22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Obsługę administracyjno-biurową Rady i zespołów zapewnia Kancelaria Prezesa Rady Ministrów.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vertAlign w:val="superscript"/>
        </w:rPr>
      </w:pPr>
      <w:r w:rsidRPr="006C7AB0">
        <w:rPr>
          <w:rFonts w:ascii="Calibri" w:eastAsia="Calibri" w:hAnsi="Calibri" w:cs="Times New Roman"/>
          <w:sz w:val="24"/>
          <w:szCs w:val="24"/>
        </w:rPr>
        <w:t>§ 23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Rada może uchwalić plan wydatków w ramach swojego budżetu rocznego. Projekt planu wydatków przed procedowaniem przez Radę jest akceptowany przez Współprzewodniczących Rady.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§ 24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lastRenderedPageBreak/>
        <w:t>Informacje o pracach Rady publikowane są obszernie i regularnie na stronach internetowych Kancelarii Prezesa Rady Ministrów oraz stronie internetowej Przewodniczącego Komitetu do spraw Pożytku Publicznego.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§ 25</w:t>
      </w:r>
    </w:p>
    <w:p w:rsidR="006C7AB0" w:rsidRPr="006C7AB0" w:rsidRDefault="006C7AB0" w:rsidP="006C7AB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C7AB0" w:rsidRPr="006C7AB0" w:rsidRDefault="006C7AB0" w:rsidP="006C7A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7AB0">
        <w:rPr>
          <w:rFonts w:ascii="Calibri" w:eastAsia="Calibri" w:hAnsi="Calibri" w:cs="Times New Roman"/>
          <w:sz w:val="24"/>
          <w:szCs w:val="24"/>
        </w:rPr>
        <w:t>Kwestie administracyjne nieuregulowane przepisami niniejszego regulaminu rozstrzygają Współprzewodniczący w trybie uzgodnienia.</w:t>
      </w:r>
    </w:p>
    <w:p w:rsidR="006C7AB0" w:rsidRPr="006C7AB0" w:rsidRDefault="006C7AB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7AB0" w:rsidRPr="006C7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4B4"/>
    <w:multiLevelType w:val="hybridMultilevel"/>
    <w:tmpl w:val="CB646D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9A"/>
    <w:rsid w:val="006C7AB0"/>
    <w:rsid w:val="006F139A"/>
    <w:rsid w:val="00FB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5550"/>
  <w15:chartTrackingRefBased/>
  <w15:docId w15:val="{2F3B3AF3-120D-4741-BE8B-DB959369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dzialalnosc-pozytku-publicznego-i-wolontariat-17030487/art-41-2" TargetMode="External"/><Relationship Id="rId13" Type="http://schemas.openxmlformats.org/officeDocument/2006/relationships/hyperlink" Target="https://sip.lex.pl/akty-prawne/dzu-dziennik-ustaw/dzialalnosc-pozytku-publicznego-i-wolontariat-17030487/art-41-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akty-prawne/dzu-dziennik-ustaw/rada-dialogu-z-mlodym-pokoleniem-18891366/par-14" TargetMode="External"/><Relationship Id="rId12" Type="http://schemas.openxmlformats.org/officeDocument/2006/relationships/hyperlink" Target="https://sip.lex.pl/akty-prawne/dzu-dziennik-ustaw/rada-dialogu-z-mlodym-pokoleniem-18891366/par-1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ip.lex.pl/akty-prawne/dzu-dziennik-ustaw/dzialalnosc-pozytku-publicznego-i-wolontariat-17030487/art-3" TargetMode="External"/><Relationship Id="rId11" Type="http://schemas.openxmlformats.org/officeDocument/2006/relationships/hyperlink" Target="https://sip.lex.pl/akty-prawne/dzu-dziennik-ustaw/rada-dialogu-z-mlodym-pokoleniem-18891366/par-15" TargetMode="External"/><Relationship Id="rId5" Type="http://schemas.openxmlformats.org/officeDocument/2006/relationships/hyperlink" Target="https://sip.lex.pl/akty-prawne/dzu-dziennik-ustaw/rada-dialogu-z-mlodym-pokoleniem-18891366/par-13" TargetMode="External"/><Relationship Id="rId15" Type="http://schemas.openxmlformats.org/officeDocument/2006/relationships/hyperlink" Target="https://sip.lex.pl/akty-prawne/dzu-dziennik-ustaw/dzialalnosc-pozytku-publicznego-i-wolontariat-17030487/art-3" TargetMode="External"/><Relationship Id="rId10" Type="http://schemas.openxmlformats.org/officeDocument/2006/relationships/hyperlink" Target="https://sip.lex.pl/akty-prawne/dzu-dziennik-ustaw/dzialalnosc-pozytku-publicznego-i-wolontariat-17030487/art-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akty-prawne/dzu-dziennik-ustaw/dzialalnosc-pozytku-publicznego-i-wolontariat-17030487/art-3" TargetMode="External"/><Relationship Id="rId14" Type="http://schemas.openxmlformats.org/officeDocument/2006/relationships/hyperlink" Target="https://sip.lex.pl/akty-prawne/dzu-dziennik-ustaw/dzialalnosc-pozytku-publicznego-i-wolontariat-17030487/art-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2786</Words>
  <Characters>16721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Przekwas Krzysztof</cp:lastModifiedBy>
  <cp:revision>2</cp:revision>
  <dcterms:created xsi:type="dcterms:W3CDTF">2019-12-05T14:14:00Z</dcterms:created>
  <dcterms:modified xsi:type="dcterms:W3CDTF">2020-05-07T14:43:00Z</dcterms:modified>
</cp:coreProperties>
</file>