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2E02C9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</w:t>
      </w:r>
      <w:r w:rsidRPr="002E02C9">
        <w:rPr>
          <w:rFonts w:ascii="Calibri" w:hAnsi="Calibri" w:cs="Calibri"/>
          <w:b/>
          <w:szCs w:val="24"/>
          <w:u w:val="single"/>
        </w:rPr>
        <w:t xml:space="preserve">do zawiadomienia o przetargu nr </w:t>
      </w:r>
      <w:r w:rsidR="0092533F" w:rsidRPr="002E02C9">
        <w:rPr>
          <w:rFonts w:ascii="Calibri" w:hAnsi="Calibri" w:cs="Calibri"/>
          <w:b/>
          <w:szCs w:val="24"/>
          <w:u w:val="single"/>
        </w:rPr>
        <w:t>D</w:t>
      </w:r>
      <w:r w:rsidR="0000613F" w:rsidRPr="002E02C9">
        <w:rPr>
          <w:rFonts w:ascii="Calibri" w:hAnsi="Calibri" w:cs="Calibri"/>
          <w:b/>
          <w:szCs w:val="24"/>
          <w:u w:val="single"/>
        </w:rPr>
        <w:t>A</w:t>
      </w:r>
      <w:r w:rsidR="0092533F" w:rsidRPr="002E02C9">
        <w:rPr>
          <w:rFonts w:ascii="Calibri" w:hAnsi="Calibri" w:cs="Calibri"/>
          <w:b/>
          <w:szCs w:val="24"/>
          <w:u w:val="single"/>
        </w:rPr>
        <w:t>G</w:t>
      </w:r>
      <w:r w:rsidR="0000613F" w:rsidRPr="002E02C9">
        <w:rPr>
          <w:rFonts w:ascii="Calibri" w:hAnsi="Calibri" w:cs="Calibri"/>
          <w:b/>
          <w:szCs w:val="24"/>
          <w:u w:val="single"/>
        </w:rPr>
        <w:t>11</w:t>
      </w:r>
      <w:r w:rsidRPr="002E02C9">
        <w:rPr>
          <w:rFonts w:ascii="Calibri" w:hAnsi="Calibri" w:cs="Calibri"/>
          <w:b/>
          <w:szCs w:val="24"/>
          <w:u w:val="single"/>
        </w:rPr>
        <w:t>.683</w:t>
      </w:r>
      <w:r w:rsidR="003076BB" w:rsidRPr="002E02C9">
        <w:rPr>
          <w:rFonts w:ascii="Calibri" w:hAnsi="Calibri" w:cs="Calibri"/>
          <w:b/>
          <w:szCs w:val="24"/>
          <w:u w:val="single"/>
        </w:rPr>
        <w:t>8</w:t>
      </w:r>
      <w:r w:rsidRPr="002E02C9">
        <w:rPr>
          <w:rFonts w:ascii="Calibri" w:hAnsi="Calibri" w:cs="Calibri"/>
          <w:b/>
          <w:szCs w:val="24"/>
          <w:u w:val="single"/>
        </w:rPr>
        <w:t>.</w:t>
      </w:r>
      <w:r w:rsidR="00C155F6" w:rsidRPr="002E02C9">
        <w:rPr>
          <w:rFonts w:ascii="Calibri" w:hAnsi="Calibri" w:cs="Calibri"/>
          <w:b/>
          <w:szCs w:val="24"/>
          <w:u w:val="single"/>
        </w:rPr>
        <w:t>14</w:t>
      </w:r>
      <w:r w:rsidRPr="002E02C9">
        <w:rPr>
          <w:rFonts w:ascii="Calibri" w:hAnsi="Calibri" w:cs="Calibri"/>
          <w:b/>
          <w:szCs w:val="24"/>
          <w:u w:val="single"/>
        </w:rPr>
        <w:t>.20</w:t>
      </w:r>
      <w:r w:rsidR="003076BB" w:rsidRPr="002E02C9">
        <w:rPr>
          <w:rFonts w:ascii="Calibri" w:hAnsi="Calibri" w:cs="Calibri"/>
          <w:b/>
          <w:szCs w:val="24"/>
          <w:u w:val="single"/>
        </w:rPr>
        <w:t>2</w:t>
      </w:r>
      <w:r w:rsidR="005F527F" w:rsidRPr="002E02C9">
        <w:rPr>
          <w:rFonts w:ascii="Calibri" w:hAnsi="Calibri" w:cs="Calibri"/>
          <w:b/>
          <w:szCs w:val="24"/>
          <w:u w:val="single"/>
        </w:rPr>
        <w:t>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2E02C9">
        <w:rPr>
          <w:rFonts w:ascii="Calibri" w:hAnsi="Calibri" w:cs="Calibri"/>
          <w:b/>
          <w:szCs w:val="24"/>
          <w:u w:val="single"/>
        </w:rPr>
        <w:t>z dnia</w:t>
      </w:r>
      <w:r w:rsidR="0008572F">
        <w:rPr>
          <w:rFonts w:ascii="Calibri" w:hAnsi="Calibri" w:cs="Calibri"/>
          <w:b/>
          <w:szCs w:val="24"/>
          <w:u w:val="single"/>
        </w:rPr>
        <w:t xml:space="preserve"> 10</w:t>
      </w:r>
      <w:r w:rsidR="002E02C9" w:rsidRPr="002E02C9">
        <w:rPr>
          <w:rFonts w:ascii="Calibri" w:hAnsi="Calibri" w:cs="Calibri"/>
          <w:b/>
          <w:szCs w:val="24"/>
          <w:u w:val="single"/>
        </w:rPr>
        <w:t xml:space="preserve"> listopada</w:t>
      </w:r>
      <w:r w:rsidR="003076BB" w:rsidRPr="002E02C9">
        <w:rPr>
          <w:rFonts w:ascii="Calibri" w:hAnsi="Calibri" w:cs="Calibri"/>
          <w:b/>
          <w:szCs w:val="24"/>
          <w:u w:val="single"/>
        </w:rPr>
        <w:t xml:space="preserve"> 202</w:t>
      </w:r>
      <w:r w:rsidR="00DB2552" w:rsidRPr="002E02C9">
        <w:rPr>
          <w:rFonts w:ascii="Calibri" w:hAnsi="Calibri" w:cs="Calibri"/>
          <w:b/>
          <w:szCs w:val="24"/>
          <w:u w:val="single"/>
        </w:rPr>
        <w:t>2</w:t>
      </w:r>
      <w:r w:rsidR="00922632" w:rsidRPr="002E02C9">
        <w:rPr>
          <w:rFonts w:ascii="Calibri" w:hAnsi="Calibri" w:cs="Calibri"/>
          <w:b/>
          <w:szCs w:val="24"/>
          <w:u w:val="single"/>
        </w:rPr>
        <w:t xml:space="preserve"> r.</w:t>
      </w:r>
      <w:r w:rsidR="00375CA3">
        <w:rPr>
          <w:rFonts w:ascii="Calibri" w:hAnsi="Calibri" w:cs="Calibri"/>
          <w:b/>
          <w:szCs w:val="24"/>
          <w:u w:val="single"/>
        </w:rPr>
        <w:t xml:space="preserve"> 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C155F6">
      <w:pPr>
        <w:tabs>
          <w:tab w:val="left" w:pos="284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C155F6" w:rsidRDefault="00922632" w:rsidP="00C155F6">
      <w:pPr>
        <w:pStyle w:val="Akapitzlist"/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3 pkt – w przypadku zadeklarowania przez podmiot bądź podmioty ubiegające się o udzielenie koncesji terminu rozpoczęcia działalności nieprzekraczającego 3 miesięcy od dnia udzielenia koncesji;</w:t>
      </w:r>
    </w:p>
    <w:p w:rsidR="00922632" w:rsidRPr="00C155F6" w:rsidRDefault="00922632" w:rsidP="00C155F6">
      <w:pPr>
        <w:pStyle w:val="Akapitzlist"/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 xml:space="preserve">2 pkt – w przypadku zadeklarowania przez podmiot bądź podmioty ubiegające się o udzielenie koncesji terminu rozpoczęcia działalności wynoszącego ponad 3 miesiące i nieprzekraczającego </w:t>
      </w:r>
      <w:r w:rsidRPr="00C155F6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C155F6" w:rsidRDefault="00922632" w:rsidP="00C155F6">
      <w:pPr>
        <w:pStyle w:val="Akapitzlist"/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 xml:space="preserve">1 pkt – w przypadku zadeklarowania przez podmiot bądź podmioty ubiegające się o udzielenie koncesji terminu rozpoczęcia działalności wynoszącego ponad 6 miesięcy i nieprzekraczającego </w:t>
      </w:r>
      <w:r w:rsidRPr="00C155F6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C155F6" w:rsidRDefault="00922632" w:rsidP="00C155F6">
      <w:pPr>
        <w:pStyle w:val="Akapitzlist"/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C155F6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 pkt – w przypadku zadeklarowania najwyższej podstawy opodatkowania podatkiem od gier przez podmiot bądź podmioty ubiegające się o udzielenie koncesji;</w:t>
      </w:r>
    </w:p>
    <w:p w:rsidR="00922632" w:rsidRPr="003076BB" w:rsidRDefault="00922632" w:rsidP="00C155F6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C155F6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C155F6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C155F6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C155F6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C155F6" w:rsidRDefault="00922632" w:rsidP="00C155F6">
      <w:pPr>
        <w:pStyle w:val="Akapitzlist"/>
        <w:numPr>
          <w:ilvl w:val="0"/>
          <w:numId w:val="5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 xml:space="preserve">3 pkt – w przypadku gdy podmiot ubiegający się o udzielenie koncesji lub zezwolenia uzyskał </w:t>
      </w:r>
      <w:r w:rsidRPr="00C155F6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3 pkt – w przypadku otwarcia w zadeklarowanym terminie od 100 % do 75 % ośrodków,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2 pkt – w przypadku otwarcia w zadeklarowanym terminie poniżej 75 % do 50 % ośrodków,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1 pkt – w przypadku otwarcia w zadeklarowanym terminie poniżej 50 % do 25 % ośrodków,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0 pkt – w przypadku otwarcia w zadeklarowanym terminie poniżej 25 % ośrodków;</w:t>
      </w:r>
    </w:p>
    <w:p w:rsidR="00922632" w:rsidRPr="00C155F6" w:rsidRDefault="00922632" w:rsidP="00C155F6">
      <w:pPr>
        <w:pStyle w:val="Akapitzlist"/>
        <w:numPr>
          <w:ilvl w:val="0"/>
          <w:numId w:val="5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2 pkt – w przypadku podmiotu ubiegającego się o udzielenie koncesji lub zezwolenia, który: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dotychczas nie uzyskał koncesji lub zezwolenia w wyniku przetargu, w tym dotychczas nie przystępował do przetargu,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uzyskał koncesję lub zezwolenie w wyniku przetargu w innym okresie,</w:t>
      </w:r>
    </w:p>
    <w:p w:rsidR="00922632" w:rsidRPr="00C155F6" w:rsidRDefault="00922632" w:rsidP="00C155F6">
      <w:pPr>
        <w:pStyle w:val="Akapitzlist"/>
        <w:numPr>
          <w:ilvl w:val="1"/>
          <w:numId w:val="5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nie może być poddany ocenie ze względu na fakt, że deklarowany termin rozpoczęcia działalności jeszcze nie upłynął;</w:t>
      </w:r>
    </w:p>
    <w:p w:rsidR="00922632" w:rsidRPr="00C155F6" w:rsidRDefault="00922632" w:rsidP="00C155F6">
      <w:pPr>
        <w:pStyle w:val="Akapitzlist"/>
        <w:numPr>
          <w:ilvl w:val="0"/>
          <w:numId w:val="5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 xml:space="preserve">0 pkt – w przypadku gdy podmiot ubiegający się o udzielenie koncesji lub zezwolenia uzyskał </w:t>
      </w:r>
      <w:r w:rsidRPr="00C155F6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C155F6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C155F6" w:rsidRDefault="00C155F6" w:rsidP="00C155F6">
      <w:pPr>
        <w:pStyle w:val="Akapitzlist"/>
        <w:numPr>
          <w:ilvl w:val="0"/>
          <w:numId w:val="6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4 pkt – w przypadku gdy zgodność pomiędzy deklarowaną a realnie uzyskaną podstawą opodatkowania występuje w przedziale powyżej 75 % do 100%,</w:t>
      </w:r>
    </w:p>
    <w:p w:rsidR="00922632" w:rsidRPr="00C155F6" w:rsidRDefault="00C155F6" w:rsidP="00C155F6">
      <w:pPr>
        <w:pStyle w:val="Akapitzlist"/>
        <w:numPr>
          <w:ilvl w:val="0"/>
          <w:numId w:val="6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2 pkt – w przypadku gdy zgodność pomiędzy deklarowaną a realnie uzyskaną podstawą opodatkowania występuje w przedziale od 50 % do 75 %,</w:t>
      </w:r>
    </w:p>
    <w:p w:rsidR="00922632" w:rsidRPr="00C155F6" w:rsidRDefault="00C155F6" w:rsidP="00C155F6">
      <w:pPr>
        <w:pStyle w:val="Akapitzlist"/>
        <w:numPr>
          <w:ilvl w:val="0"/>
          <w:numId w:val="6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C155F6" w:rsidRDefault="00C155F6" w:rsidP="00C155F6">
      <w:pPr>
        <w:pStyle w:val="Akapitzlist"/>
        <w:numPr>
          <w:ilvl w:val="0"/>
          <w:numId w:val="6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C155F6" w:rsidRDefault="00922632" w:rsidP="00C155F6">
      <w:pPr>
        <w:pStyle w:val="Akapitzlist"/>
        <w:numPr>
          <w:ilvl w:val="0"/>
          <w:numId w:val="7"/>
        </w:num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2 pkt – w przypadku podmiotu:</w:t>
      </w:r>
    </w:p>
    <w:p w:rsidR="00922632" w:rsidRPr="00C155F6" w:rsidRDefault="00922632" w:rsidP="00C155F6">
      <w:pPr>
        <w:pStyle w:val="Akapitzlist"/>
        <w:numPr>
          <w:ilvl w:val="1"/>
          <w:numId w:val="7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 xml:space="preserve">któremu w tym okresie nie cofnięto koncesji, zezwolenia lub innego zezwolenia </w:t>
      </w:r>
      <w:r w:rsidR="00C155F6">
        <w:rPr>
          <w:rFonts w:ascii="Calibri" w:hAnsi="Calibri" w:cs="Calibri"/>
          <w:szCs w:val="24"/>
        </w:rPr>
        <w:br/>
      </w:r>
      <w:r w:rsidRPr="00C155F6">
        <w:rPr>
          <w:rFonts w:ascii="Calibri" w:hAnsi="Calibri" w:cs="Calibri"/>
          <w:szCs w:val="24"/>
        </w:rPr>
        <w:t xml:space="preserve">w zakresie gier hazardowych ani do którego nie skierowano w tym okresie wezwania </w:t>
      </w:r>
      <w:r w:rsidR="00C155F6">
        <w:rPr>
          <w:rFonts w:ascii="Calibri" w:hAnsi="Calibri" w:cs="Calibri"/>
          <w:szCs w:val="24"/>
        </w:rPr>
        <w:br/>
      </w:r>
      <w:r w:rsidRPr="00C155F6">
        <w:rPr>
          <w:rFonts w:ascii="Calibri" w:hAnsi="Calibri" w:cs="Calibri"/>
          <w:szCs w:val="24"/>
        </w:rPr>
        <w:t>do usunięcia stwierdzonych uchybień,</w:t>
      </w:r>
    </w:p>
    <w:p w:rsidR="00922632" w:rsidRPr="00C155F6" w:rsidRDefault="00922632" w:rsidP="00C155F6">
      <w:pPr>
        <w:pStyle w:val="Akapitzlist"/>
        <w:numPr>
          <w:ilvl w:val="1"/>
          <w:numId w:val="7"/>
        </w:numPr>
        <w:tabs>
          <w:tab w:val="left" w:pos="680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>który nie prowadził w tym okresie działalności w zakresie gier hazardowych;</w:t>
      </w:r>
    </w:p>
    <w:p w:rsidR="00922632" w:rsidRPr="00C155F6" w:rsidRDefault="00922632" w:rsidP="00C155F6">
      <w:pPr>
        <w:pStyle w:val="Akapitzlist"/>
        <w:numPr>
          <w:ilvl w:val="0"/>
          <w:numId w:val="7"/>
        </w:num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C155F6">
        <w:rPr>
          <w:rFonts w:ascii="Calibri" w:hAnsi="Calibri" w:cs="Calibri"/>
          <w:szCs w:val="24"/>
        </w:rPr>
        <w:t xml:space="preserve">0 pkt – w przypadku podmiotu, do którego w tym okresie skierowano wezwanie do usunięcia stwierdzonych uchybień bądź któremu cofnięto koncesję, zezwolenie lub inne zezwolenie </w:t>
      </w:r>
      <w:r w:rsidR="00C155F6">
        <w:rPr>
          <w:rFonts w:ascii="Calibri" w:hAnsi="Calibri" w:cs="Calibri"/>
          <w:szCs w:val="24"/>
        </w:rPr>
        <w:br/>
      </w:r>
      <w:r w:rsidRPr="00C155F6">
        <w:rPr>
          <w:rFonts w:ascii="Calibri" w:hAnsi="Calibri" w:cs="Calibri"/>
          <w:szCs w:val="24"/>
        </w:rPr>
        <w:t>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C155F6" w:rsidRDefault="00C155F6" w:rsidP="00C155F6">
      <w:pPr>
        <w:pStyle w:val="Akapitzlist"/>
        <w:numPr>
          <w:ilvl w:val="0"/>
          <w:numId w:val="8"/>
        </w:numPr>
        <w:tabs>
          <w:tab w:val="left" w:pos="284"/>
        </w:tabs>
        <w:overflowPunct/>
        <w:ind w:left="360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C155F6" w:rsidRDefault="00C155F6" w:rsidP="00C155F6">
      <w:pPr>
        <w:pStyle w:val="Akapitzlist"/>
        <w:numPr>
          <w:ilvl w:val="0"/>
          <w:numId w:val="8"/>
        </w:numPr>
        <w:tabs>
          <w:tab w:val="left" w:pos="284"/>
        </w:tabs>
        <w:overflowPunct/>
        <w:ind w:left="360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0 pkt – w przypadku gdy stwierdzono uchybienia, które w tym okresie zostały potwierdzone.</w:t>
      </w:r>
    </w:p>
    <w:p w:rsidR="00922632" w:rsidRPr="003076BB" w:rsidRDefault="00922632" w:rsidP="00C155F6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C155F6" w:rsidRDefault="00C155F6" w:rsidP="00C155F6">
      <w:pPr>
        <w:pStyle w:val="Akapitzlist"/>
        <w:numPr>
          <w:ilvl w:val="0"/>
          <w:numId w:val="9"/>
        </w:num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2 pkt – w przypadku wyniku dodatniego;</w:t>
      </w:r>
    </w:p>
    <w:p w:rsidR="00922632" w:rsidRPr="00C155F6" w:rsidRDefault="00C155F6" w:rsidP="00C155F6">
      <w:pPr>
        <w:pStyle w:val="Akapitzlist"/>
        <w:numPr>
          <w:ilvl w:val="0"/>
          <w:numId w:val="9"/>
        </w:num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1 pkt – w przypadku podmiotów, co do których nie można ustalić wyniku netto w trzech ostatnich latach działalności;</w:t>
      </w:r>
    </w:p>
    <w:p w:rsidR="00922632" w:rsidRPr="00C155F6" w:rsidRDefault="00C155F6" w:rsidP="00C155F6">
      <w:pPr>
        <w:pStyle w:val="Akapitzlist"/>
        <w:numPr>
          <w:ilvl w:val="0"/>
          <w:numId w:val="9"/>
        </w:num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922632" w:rsidRPr="00C155F6">
        <w:rPr>
          <w:rFonts w:ascii="Calibri" w:hAnsi="Calibri" w:cs="Calibri"/>
          <w:szCs w:val="24"/>
        </w:rPr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C155F6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C155F6">
      <w:pPr>
        <w:pStyle w:val="NormalnyWeb"/>
        <w:numPr>
          <w:ilvl w:val="0"/>
          <w:numId w:val="10"/>
        </w:numPr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C155F6">
      <w:pPr>
        <w:pStyle w:val="NormalnyWeb"/>
        <w:numPr>
          <w:ilvl w:val="0"/>
          <w:numId w:val="10"/>
        </w:numPr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C155F6">
      <w:pPr>
        <w:pStyle w:val="NormalnyWeb"/>
        <w:numPr>
          <w:ilvl w:val="0"/>
          <w:numId w:val="10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0</w:t>
      </w:r>
      <w:r w:rsidR="002953FA">
        <w:rPr>
          <w:rFonts w:ascii="Calibri" w:hAnsi="Calibri" w:cs="Calibri"/>
          <w:bCs/>
          <w:color w:val="auto"/>
          <w:sz w:val="24"/>
        </w:rPr>
        <w:t xml:space="preserve"> </w:t>
      </w:r>
      <w:r w:rsidRPr="003076BB">
        <w:rPr>
          <w:rFonts w:ascii="Calibri" w:hAnsi="Calibri" w:cs="Calibri"/>
          <w:bCs/>
          <w:color w:val="auto"/>
          <w:sz w:val="24"/>
        </w:rPr>
        <w:t xml:space="preserve">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7C" w:rsidRDefault="00A26C7C">
      <w:r>
        <w:separator/>
      </w:r>
    </w:p>
  </w:endnote>
  <w:endnote w:type="continuationSeparator" w:id="0">
    <w:p w:rsidR="00A26C7C" w:rsidRDefault="00A2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D65942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7C" w:rsidRDefault="00A26C7C">
      <w:r>
        <w:separator/>
      </w:r>
    </w:p>
  </w:footnote>
  <w:footnote w:type="continuationSeparator" w:id="0">
    <w:p w:rsidR="00A26C7C" w:rsidRDefault="00A2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E28"/>
    <w:multiLevelType w:val="hybridMultilevel"/>
    <w:tmpl w:val="F43682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40985"/>
    <w:multiLevelType w:val="hybridMultilevel"/>
    <w:tmpl w:val="C5DC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288B"/>
    <w:multiLevelType w:val="hybridMultilevel"/>
    <w:tmpl w:val="D08C44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21D20"/>
    <w:multiLevelType w:val="hybridMultilevel"/>
    <w:tmpl w:val="6AE2D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50CDC2">
      <w:start w:val="1"/>
      <w:numFmt w:val="lowerLetter"/>
      <w:lvlText w:val="%2)"/>
      <w:lvlJc w:val="left"/>
      <w:pPr>
        <w:ind w:left="111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70873"/>
    <w:multiLevelType w:val="hybridMultilevel"/>
    <w:tmpl w:val="9C90D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07505"/>
    <w:multiLevelType w:val="hybridMultilevel"/>
    <w:tmpl w:val="33DCE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C7DF5"/>
    <w:multiLevelType w:val="hybridMultilevel"/>
    <w:tmpl w:val="CCCC6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9A0EE4"/>
    <w:multiLevelType w:val="hybridMultilevel"/>
    <w:tmpl w:val="D79E76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AE5ACA"/>
    <w:multiLevelType w:val="hybridMultilevel"/>
    <w:tmpl w:val="5C406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0613F"/>
    <w:rsid w:val="00015E1D"/>
    <w:rsid w:val="000704A6"/>
    <w:rsid w:val="0008572F"/>
    <w:rsid w:val="000B4767"/>
    <w:rsid w:val="000E447E"/>
    <w:rsid w:val="00120F8C"/>
    <w:rsid w:val="00123281"/>
    <w:rsid w:val="00123D92"/>
    <w:rsid w:val="00166531"/>
    <w:rsid w:val="001D0741"/>
    <w:rsid w:val="00207411"/>
    <w:rsid w:val="002173ED"/>
    <w:rsid w:val="00275A4D"/>
    <w:rsid w:val="002953FA"/>
    <w:rsid w:val="002A0C41"/>
    <w:rsid w:val="002A31E7"/>
    <w:rsid w:val="002E02C9"/>
    <w:rsid w:val="003076BB"/>
    <w:rsid w:val="003331E5"/>
    <w:rsid w:val="00375CA3"/>
    <w:rsid w:val="003C10C1"/>
    <w:rsid w:val="00444F23"/>
    <w:rsid w:val="00472B14"/>
    <w:rsid w:val="0047577C"/>
    <w:rsid w:val="004831FE"/>
    <w:rsid w:val="004E7BEA"/>
    <w:rsid w:val="005F527F"/>
    <w:rsid w:val="00630116"/>
    <w:rsid w:val="006A6A66"/>
    <w:rsid w:val="00732C6F"/>
    <w:rsid w:val="00747756"/>
    <w:rsid w:val="007563FA"/>
    <w:rsid w:val="007601E0"/>
    <w:rsid w:val="007F7CEC"/>
    <w:rsid w:val="00877309"/>
    <w:rsid w:val="008C4DFC"/>
    <w:rsid w:val="008E1DE1"/>
    <w:rsid w:val="00922632"/>
    <w:rsid w:val="0092533F"/>
    <w:rsid w:val="00931D6E"/>
    <w:rsid w:val="009738EC"/>
    <w:rsid w:val="009A2B03"/>
    <w:rsid w:val="009E0AE1"/>
    <w:rsid w:val="00A01C33"/>
    <w:rsid w:val="00A026C4"/>
    <w:rsid w:val="00A1033C"/>
    <w:rsid w:val="00A10BE1"/>
    <w:rsid w:val="00A26C7C"/>
    <w:rsid w:val="00A97789"/>
    <w:rsid w:val="00AA26A5"/>
    <w:rsid w:val="00AA5529"/>
    <w:rsid w:val="00B33DB3"/>
    <w:rsid w:val="00B36ABE"/>
    <w:rsid w:val="00B54091"/>
    <w:rsid w:val="00BC2415"/>
    <w:rsid w:val="00C155F6"/>
    <w:rsid w:val="00CA2441"/>
    <w:rsid w:val="00CF5CE4"/>
    <w:rsid w:val="00D02971"/>
    <w:rsid w:val="00D47C3A"/>
    <w:rsid w:val="00D53814"/>
    <w:rsid w:val="00D61C49"/>
    <w:rsid w:val="00D65942"/>
    <w:rsid w:val="00DB2552"/>
    <w:rsid w:val="00E07B38"/>
    <w:rsid w:val="00E10BD5"/>
    <w:rsid w:val="00E252E0"/>
    <w:rsid w:val="00E40FD0"/>
    <w:rsid w:val="00E619C0"/>
    <w:rsid w:val="00EA1EFE"/>
    <w:rsid w:val="00EF2139"/>
    <w:rsid w:val="00F02051"/>
    <w:rsid w:val="00F04B0B"/>
    <w:rsid w:val="00FA29F3"/>
    <w:rsid w:val="00FB1216"/>
    <w:rsid w:val="00FC0580"/>
    <w:rsid w:val="00FE7DC2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1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Tkacz Ewelina 2</cp:lastModifiedBy>
  <cp:revision>2</cp:revision>
  <dcterms:created xsi:type="dcterms:W3CDTF">2022-11-10T09:36:00Z</dcterms:created>
  <dcterms:modified xsi:type="dcterms:W3CDTF">2022-11-10T09:36:00Z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2022-01-11T10:21:05.9323299+01:00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GRN-06784442-7202-4549-8035-66e930ffe3f9</vt:lpwstr>
  </property>
  <property fmtid="{D5CDD505-2E9C-101B-9397-08002B2CF9AE}" pid="7" name="MFHash">
    <vt:lpwstr>laVgiFAh4TeQSarxnFljEdbo+0Zf1kJrF5Vf6gIMu/k=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