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6666" w14:textId="77777777" w:rsidR="000309AE" w:rsidRDefault="000309AE" w:rsidP="00F423DF"/>
    <w:p w14:paraId="0A1C261C" w14:textId="77777777" w:rsidR="00F14A3F" w:rsidRDefault="00F14A3F" w:rsidP="00F423DF"/>
    <w:p w14:paraId="7DA80FCC" w14:textId="77777777" w:rsidR="000349FF" w:rsidRDefault="00720F95" w:rsidP="00F423DF">
      <w:pPr>
        <w:spacing w:after="0" w:line="360" w:lineRule="auto"/>
        <w:jc w:val="center"/>
        <w:rPr>
          <w:rFonts w:ascii="Arial" w:hAnsi="Arial" w:cs="Arial"/>
          <w:b/>
          <w:bCs/>
        </w:rPr>
      </w:pPr>
      <w:r w:rsidRPr="00740B40">
        <w:rPr>
          <w:rFonts w:ascii="Arial" w:hAnsi="Arial" w:cs="Arial"/>
          <w:b/>
          <w:bCs/>
          <w:shd w:val="clear" w:color="auto" w:fill="FFFFFF"/>
        </w:rPr>
        <w:t>I</w:t>
      </w:r>
      <w:r w:rsidR="00F708C6" w:rsidRPr="00740B40">
        <w:rPr>
          <w:rFonts w:ascii="Arial" w:hAnsi="Arial" w:cs="Arial"/>
          <w:b/>
          <w:bCs/>
          <w:shd w:val="clear" w:color="auto" w:fill="FFFFFF"/>
        </w:rPr>
        <w:t>stotn</w:t>
      </w:r>
      <w:r w:rsidRPr="00740B40">
        <w:rPr>
          <w:rFonts w:ascii="Arial" w:hAnsi="Arial" w:cs="Arial"/>
          <w:b/>
          <w:bCs/>
          <w:shd w:val="clear" w:color="auto" w:fill="FFFFFF"/>
        </w:rPr>
        <w:t>y</w:t>
      </w:r>
      <w:r w:rsidR="00F708C6" w:rsidRPr="00740B40">
        <w:rPr>
          <w:rFonts w:ascii="Arial" w:hAnsi="Arial" w:cs="Arial"/>
          <w:b/>
          <w:bCs/>
          <w:shd w:val="clear" w:color="auto" w:fill="FFFFFF"/>
        </w:rPr>
        <w:t xml:space="preserve"> interes bezpieczeństwa państwa, o którym mowa w art. 12 ust. 1 ustawy </w:t>
      </w:r>
      <w:r w:rsidR="00ED5126" w:rsidRPr="00F423DF">
        <w:rPr>
          <w:rFonts w:ascii="Arial" w:hAnsi="Arial" w:cs="Arial"/>
          <w:b/>
          <w:bCs/>
        </w:rPr>
        <w:t>z dnia</w:t>
      </w:r>
      <w:r w:rsidR="000349FF">
        <w:rPr>
          <w:rFonts w:ascii="Arial" w:hAnsi="Arial" w:cs="Arial"/>
          <w:b/>
          <w:bCs/>
        </w:rPr>
        <w:t xml:space="preserve"> </w:t>
      </w:r>
    </w:p>
    <w:p w14:paraId="4A52A9E0" w14:textId="71EF1FE9" w:rsidR="009B6A31" w:rsidRPr="00740B40" w:rsidRDefault="00ED5126" w:rsidP="00F423DF">
      <w:pPr>
        <w:spacing w:after="0" w:line="360" w:lineRule="auto"/>
        <w:jc w:val="center"/>
        <w:rPr>
          <w:rFonts w:ascii="Arial" w:hAnsi="Arial" w:cs="Arial"/>
          <w:b/>
        </w:rPr>
      </w:pPr>
      <w:r w:rsidRPr="00F423DF">
        <w:rPr>
          <w:rFonts w:ascii="Arial" w:hAnsi="Arial" w:cs="Arial"/>
          <w:b/>
          <w:bCs/>
        </w:rPr>
        <w:t xml:space="preserve">11 września 2019 r. – </w:t>
      </w:r>
      <w:r w:rsidR="00F708C6" w:rsidRPr="00740B40">
        <w:rPr>
          <w:rFonts w:ascii="Arial" w:hAnsi="Arial" w:cs="Arial"/>
          <w:b/>
          <w:bCs/>
          <w:shd w:val="clear" w:color="auto" w:fill="FFFFFF"/>
        </w:rPr>
        <w:t>Prawo zamówień publicznych</w:t>
      </w:r>
      <w:r w:rsidR="00720F95" w:rsidRPr="00740B40">
        <w:rPr>
          <w:rFonts w:ascii="Arial" w:hAnsi="Arial" w:cs="Arial"/>
          <w:b/>
          <w:bCs/>
          <w:shd w:val="clear" w:color="auto" w:fill="FFFFFF"/>
        </w:rPr>
        <w:t xml:space="preserve">, </w:t>
      </w:r>
      <w:r w:rsidR="009B6A31" w:rsidRPr="00740B40">
        <w:rPr>
          <w:rFonts w:ascii="Arial" w:hAnsi="Arial" w:cs="Arial"/>
          <w:b/>
        </w:rPr>
        <w:t>w kontekście zamówień w dziedzinach obronności i bezpieczeństwa</w:t>
      </w:r>
    </w:p>
    <w:p w14:paraId="16276908" w14:textId="03B86E0F" w:rsidR="00720F95" w:rsidRPr="00740B40" w:rsidRDefault="00720F95" w:rsidP="00F423DF">
      <w:pPr>
        <w:spacing w:after="0" w:line="360" w:lineRule="auto"/>
      </w:pPr>
    </w:p>
    <w:p w14:paraId="5562DA17" w14:textId="77777777" w:rsidR="00720F95" w:rsidRDefault="00720F95" w:rsidP="00F423DF">
      <w:pPr>
        <w:spacing w:after="0" w:line="360" w:lineRule="auto"/>
      </w:pPr>
    </w:p>
    <w:p w14:paraId="3CBEFAF3" w14:textId="412316C2" w:rsidR="00F97880" w:rsidRDefault="003F45CA" w:rsidP="00F423DF">
      <w:pPr>
        <w:pStyle w:val="Nagwek1"/>
        <w:numPr>
          <w:ilvl w:val="0"/>
          <w:numId w:val="11"/>
        </w:numPr>
        <w:ind w:left="567" w:hanging="578"/>
      </w:pPr>
      <w:r w:rsidRPr="009A1AB7">
        <w:t>Wprowadzenie</w:t>
      </w:r>
    </w:p>
    <w:p w14:paraId="19C5B45D" w14:textId="77777777" w:rsidR="00F423DF" w:rsidRPr="00F423DF" w:rsidRDefault="00F423DF" w:rsidP="00F423DF"/>
    <w:p w14:paraId="76A53285" w14:textId="279FFA79" w:rsidR="00204F57" w:rsidRPr="00F423DF" w:rsidRDefault="00F70774" w:rsidP="00F423DF">
      <w:pPr>
        <w:spacing w:after="0" w:line="360" w:lineRule="auto"/>
        <w:ind w:firstLine="567"/>
        <w:rPr>
          <w:rFonts w:ascii="Arial" w:hAnsi="Arial" w:cs="Arial"/>
          <w:sz w:val="20"/>
          <w:szCs w:val="20"/>
        </w:rPr>
      </w:pPr>
      <w:r w:rsidRPr="00F423DF">
        <w:rPr>
          <w:rFonts w:ascii="Arial" w:hAnsi="Arial" w:cs="Arial"/>
          <w:sz w:val="20"/>
          <w:szCs w:val="20"/>
        </w:rPr>
        <w:t>Interesy bezpieczeństwa narodowego obejmują w szczególności strzeżenie niepodległości, nienaruszalności terytorialnej, suwerenności oraz zapewnienie bezpieczeństwa państwa i obywateli</w:t>
      </w:r>
      <w:r w:rsidR="00AB2AD0" w:rsidRPr="00F423DF">
        <w:rPr>
          <w:rFonts w:ascii="Arial" w:hAnsi="Arial" w:cs="Arial"/>
          <w:sz w:val="20"/>
          <w:szCs w:val="20"/>
        </w:rPr>
        <w:t>, w tym</w:t>
      </w:r>
      <w:r w:rsidR="00F66DB4" w:rsidRPr="00F423DF">
        <w:rPr>
          <w:rFonts w:ascii="Arial" w:hAnsi="Arial" w:cs="Arial"/>
          <w:sz w:val="20"/>
          <w:szCs w:val="20"/>
        </w:rPr>
        <w:t xml:space="preserve"> aspekty militarne jak i polityczne</w:t>
      </w:r>
      <w:r>
        <w:rPr>
          <w:rStyle w:val="Odwoanieprzypisudolnego"/>
          <w:rFonts w:ascii="Arial" w:hAnsi="Arial" w:cs="Arial"/>
          <w:sz w:val="20"/>
          <w:szCs w:val="20"/>
          <w:lang w:val="es-ES"/>
        </w:rPr>
        <w:footnoteReference w:id="1"/>
      </w:r>
      <w:r w:rsidR="00951077" w:rsidRPr="00F423DF">
        <w:rPr>
          <w:rFonts w:ascii="Arial" w:hAnsi="Arial" w:cs="Arial"/>
          <w:sz w:val="20"/>
          <w:szCs w:val="20"/>
        </w:rPr>
        <w:t>.</w:t>
      </w:r>
      <w:r w:rsidR="004B288A" w:rsidRPr="00F423DF">
        <w:rPr>
          <w:rFonts w:ascii="Arial" w:hAnsi="Arial" w:cs="Arial"/>
          <w:sz w:val="20"/>
          <w:szCs w:val="20"/>
        </w:rPr>
        <w:t xml:space="preserve"> </w:t>
      </w:r>
      <w:r w:rsidR="004E06C6" w:rsidRPr="00F423DF">
        <w:rPr>
          <w:rFonts w:ascii="Arial" w:hAnsi="Arial" w:cs="Arial"/>
          <w:sz w:val="20"/>
          <w:szCs w:val="20"/>
        </w:rPr>
        <w:t>Prawo do o</w:t>
      </w:r>
      <w:r w:rsidR="004B288A" w:rsidRPr="00F423DF">
        <w:rPr>
          <w:rFonts w:ascii="Arial" w:hAnsi="Arial" w:cs="Arial"/>
          <w:sz w:val="20"/>
          <w:szCs w:val="20"/>
        </w:rPr>
        <w:t>chron</w:t>
      </w:r>
      <w:r w:rsidR="004E06C6" w:rsidRPr="00F423DF">
        <w:rPr>
          <w:rFonts w:ascii="Arial" w:hAnsi="Arial" w:cs="Arial"/>
          <w:sz w:val="20"/>
          <w:szCs w:val="20"/>
        </w:rPr>
        <w:t>y</w:t>
      </w:r>
      <w:r w:rsidR="004B288A" w:rsidRPr="00F423DF">
        <w:rPr>
          <w:rFonts w:ascii="Arial" w:hAnsi="Arial" w:cs="Arial"/>
          <w:sz w:val="20"/>
          <w:szCs w:val="20"/>
        </w:rPr>
        <w:t xml:space="preserve"> interesów bezpieczeństwa państwa</w:t>
      </w:r>
      <w:r w:rsidR="00204F57" w:rsidRPr="00F423DF">
        <w:rPr>
          <w:rFonts w:ascii="Arial" w:hAnsi="Arial" w:cs="Arial"/>
          <w:sz w:val="20"/>
          <w:szCs w:val="20"/>
        </w:rPr>
        <w:t xml:space="preserve"> przez każde państwo członkowskie Unii Europejskiej</w:t>
      </w:r>
      <w:r w:rsidR="004E06C6" w:rsidRPr="00F423DF">
        <w:rPr>
          <w:rFonts w:ascii="Arial" w:hAnsi="Arial" w:cs="Arial"/>
          <w:sz w:val="20"/>
          <w:szCs w:val="20"/>
        </w:rPr>
        <w:t>,</w:t>
      </w:r>
      <w:r w:rsidR="004B288A" w:rsidRPr="00F423DF">
        <w:rPr>
          <w:rFonts w:ascii="Arial" w:hAnsi="Arial" w:cs="Arial"/>
          <w:sz w:val="20"/>
          <w:szCs w:val="20"/>
        </w:rPr>
        <w:t xml:space="preserve"> </w:t>
      </w:r>
      <w:r w:rsidR="004E06C6" w:rsidRPr="00F423DF">
        <w:rPr>
          <w:rFonts w:ascii="Arial" w:hAnsi="Arial" w:cs="Arial"/>
          <w:sz w:val="20"/>
          <w:szCs w:val="20"/>
        </w:rPr>
        <w:t xml:space="preserve">zostało podkreślone w prawie </w:t>
      </w:r>
      <w:r w:rsidR="004B288A" w:rsidRPr="00F423DF">
        <w:rPr>
          <w:rFonts w:ascii="Arial" w:hAnsi="Arial" w:cs="Arial"/>
          <w:sz w:val="20"/>
          <w:szCs w:val="20"/>
        </w:rPr>
        <w:t>Unii Europejskiej</w:t>
      </w:r>
      <w:r w:rsidR="004E06C6" w:rsidRPr="00F423DF">
        <w:rPr>
          <w:rFonts w:ascii="Arial" w:hAnsi="Arial" w:cs="Arial"/>
          <w:sz w:val="20"/>
          <w:szCs w:val="20"/>
        </w:rPr>
        <w:t xml:space="preserve">. </w:t>
      </w:r>
      <w:r w:rsidR="00204F57" w:rsidRPr="00F423DF">
        <w:rPr>
          <w:rFonts w:ascii="Arial" w:hAnsi="Arial" w:cs="Arial"/>
          <w:sz w:val="20"/>
          <w:szCs w:val="20"/>
        </w:rPr>
        <w:t>W odniesieniu do</w:t>
      </w:r>
      <w:r w:rsidR="004E06C6" w:rsidRPr="00F423DF">
        <w:rPr>
          <w:rFonts w:ascii="Arial" w:hAnsi="Arial" w:cs="Arial"/>
          <w:sz w:val="20"/>
          <w:szCs w:val="20"/>
        </w:rPr>
        <w:t xml:space="preserve"> zamówień publicznych respektowanie tego prawa wyraża się poprzez wyłączenie stosowania przepisów z zakresu zamówień publicznych w odniesieniu do udzielania zamówień i organizacji konkursów, które ze względu na ochronę interesów bezpieczeństwa państwa muszą być objęte takim wyłączeniem. N</w:t>
      </w:r>
      <w:r w:rsidR="00754AD3" w:rsidRPr="00F423DF">
        <w:rPr>
          <w:rFonts w:ascii="Arial" w:hAnsi="Arial" w:cs="Arial"/>
          <w:sz w:val="20"/>
          <w:szCs w:val="20"/>
        </w:rPr>
        <w:t>a grun</w:t>
      </w:r>
      <w:r w:rsidR="004E06C6" w:rsidRPr="00F423DF">
        <w:rPr>
          <w:rFonts w:ascii="Arial" w:hAnsi="Arial" w:cs="Arial"/>
          <w:sz w:val="20"/>
          <w:szCs w:val="20"/>
        </w:rPr>
        <w:t xml:space="preserve">cie </w:t>
      </w:r>
      <w:r w:rsidR="00754AD3" w:rsidRPr="00F423DF">
        <w:rPr>
          <w:rFonts w:ascii="Arial" w:hAnsi="Arial" w:cs="Arial"/>
          <w:sz w:val="20"/>
          <w:szCs w:val="20"/>
        </w:rPr>
        <w:t xml:space="preserve">prawa polskiego </w:t>
      </w:r>
      <w:r w:rsidR="00204F57" w:rsidRPr="00F423DF">
        <w:rPr>
          <w:rFonts w:ascii="Arial" w:hAnsi="Arial" w:cs="Arial"/>
          <w:sz w:val="20"/>
          <w:szCs w:val="20"/>
        </w:rPr>
        <w:t xml:space="preserve">przepisem zapewniającym stosowanie tej zasady jest </w:t>
      </w:r>
      <w:r w:rsidR="00AB2AD0" w:rsidRPr="00F423DF">
        <w:rPr>
          <w:rFonts w:ascii="Arial" w:hAnsi="Arial" w:cs="Arial"/>
          <w:sz w:val="20"/>
          <w:szCs w:val="20"/>
        </w:rPr>
        <w:t xml:space="preserve">w szczególności </w:t>
      </w:r>
      <w:r w:rsidR="008C32C3" w:rsidRPr="00F423DF">
        <w:rPr>
          <w:rFonts w:ascii="Arial" w:hAnsi="Arial" w:cs="Arial"/>
          <w:sz w:val="20"/>
          <w:szCs w:val="20"/>
        </w:rPr>
        <w:t xml:space="preserve">art. 12 ust. 1 ustawy z dnia 11 września 2019 r. – Prawo zamówień publicznych (Dz. U. z 2023 r. poz. 1605 i 1720), dalej „ustawa </w:t>
      </w:r>
      <w:proofErr w:type="spellStart"/>
      <w:r w:rsidR="008C32C3" w:rsidRPr="00F423DF">
        <w:rPr>
          <w:rFonts w:ascii="Arial" w:hAnsi="Arial" w:cs="Arial"/>
          <w:sz w:val="20"/>
          <w:szCs w:val="20"/>
        </w:rPr>
        <w:t>Pzp</w:t>
      </w:r>
      <w:proofErr w:type="spellEnd"/>
      <w:r w:rsidR="008C32C3" w:rsidRPr="00F423DF">
        <w:rPr>
          <w:rFonts w:ascii="Arial" w:hAnsi="Arial" w:cs="Arial"/>
          <w:sz w:val="20"/>
          <w:szCs w:val="20"/>
        </w:rPr>
        <w:t>”</w:t>
      </w:r>
      <w:r w:rsidR="00204F57" w:rsidRPr="00F423DF">
        <w:rPr>
          <w:rFonts w:ascii="Arial" w:hAnsi="Arial" w:cs="Arial"/>
          <w:sz w:val="20"/>
          <w:szCs w:val="20"/>
        </w:rPr>
        <w:t xml:space="preserve">. </w:t>
      </w:r>
    </w:p>
    <w:p w14:paraId="5096C77B" w14:textId="5FDE682D" w:rsidR="00994C82" w:rsidRDefault="00AB2AD0" w:rsidP="00F423DF">
      <w:pPr>
        <w:tabs>
          <w:tab w:val="left" w:pos="360"/>
          <w:tab w:val="left" w:pos="588"/>
        </w:tabs>
        <w:spacing w:after="0" w:line="360" w:lineRule="auto"/>
        <w:rPr>
          <w:rFonts w:ascii="Arial" w:hAnsi="Arial" w:cs="Arial"/>
          <w:sz w:val="20"/>
          <w:szCs w:val="20"/>
        </w:rPr>
      </w:pPr>
      <w:r>
        <w:rPr>
          <w:rFonts w:ascii="Arial" w:hAnsi="Arial" w:cs="Arial"/>
          <w:sz w:val="20"/>
          <w:szCs w:val="20"/>
        </w:rPr>
        <w:tab/>
      </w:r>
      <w:r w:rsidR="007F300D">
        <w:rPr>
          <w:rFonts w:ascii="Arial" w:hAnsi="Arial" w:cs="Arial"/>
          <w:sz w:val="20"/>
          <w:szCs w:val="20"/>
        </w:rPr>
        <w:t>Ponieważ w</w:t>
      </w:r>
      <w:r w:rsidR="00754AD3" w:rsidRPr="009A1AB7">
        <w:rPr>
          <w:rFonts w:ascii="Arial" w:hAnsi="Arial" w:cs="Arial"/>
          <w:sz w:val="20"/>
          <w:szCs w:val="20"/>
        </w:rPr>
        <w:t>prowadzeni</w:t>
      </w:r>
      <w:r w:rsidR="00027850" w:rsidRPr="009A1AB7">
        <w:rPr>
          <w:rFonts w:ascii="Arial" w:hAnsi="Arial" w:cs="Arial"/>
          <w:sz w:val="20"/>
          <w:szCs w:val="20"/>
        </w:rPr>
        <w:t>e</w:t>
      </w:r>
      <w:r w:rsidR="00754AD3" w:rsidRPr="009A1AB7">
        <w:rPr>
          <w:rFonts w:ascii="Arial" w:hAnsi="Arial" w:cs="Arial"/>
          <w:sz w:val="20"/>
          <w:szCs w:val="20"/>
        </w:rPr>
        <w:t xml:space="preserve"> przepisu art. 12 ust. 1 ustawy Pzp do polskiego </w:t>
      </w:r>
      <w:r w:rsidR="00027850" w:rsidRPr="009A1AB7">
        <w:rPr>
          <w:rFonts w:ascii="Arial" w:hAnsi="Arial" w:cs="Arial"/>
          <w:sz w:val="20"/>
          <w:szCs w:val="20"/>
        </w:rPr>
        <w:t xml:space="preserve">systemu </w:t>
      </w:r>
      <w:r w:rsidR="00754AD3" w:rsidRPr="009A1AB7">
        <w:rPr>
          <w:rFonts w:ascii="Arial" w:hAnsi="Arial" w:cs="Arial"/>
          <w:sz w:val="20"/>
          <w:szCs w:val="20"/>
        </w:rPr>
        <w:t>prawa</w:t>
      </w:r>
      <w:r w:rsidR="005167CC" w:rsidRPr="009A1AB7">
        <w:rPr>
          <w:rFonts w:ascii="Arial" w:hAnsi="Arial" w:cs="Arial"/>
          <w:sz w:val="20"/>
          <w:szCs w:val="20"/>
        </w:rPr>
        <w:t xml:space="preserve"> </w:t>
      </w:r>
      <w:r w:rsidR="00027850" w:rsidRPr="009A1AB7">
        <w:rPr>
          <w:rFonts w:ascii="Arial" w:hAnsi="Arial" w:cs="Arial"/>
          <w:sz w:val="20"/>
          <w:szCs w:val="20"/>
        </w:rPr>
        <w:t xml:space="preserve">wiąże się </w:t>
      </w:r>
      <w:r w:rsidR="00204F57">
        <w:rPr>
          <w:rFonts w:ascii="Arial" w:hAnsi="Arial" w:cs="Arial"/>
          <w:sz w:val="20"/>
          <w:szCs w:val="20"/>
        </w:rPr>
        <w:br/>
      </w:r>
      <w:r w:rsidR="005167CC" w:rsidRPr="009A1AB7">
        <w:rPr>
          <w:rFonts w:ascii="Arial" w:hAnsi="Arial" w:cs="Arial"/>
          <w:sz w:val="20"/>
          <w:szCs w:val="20"/>
        </w:rPr>
        <w:t>z implementacją prawa europejskiego</w:t>
      </w:r>
      <w:r w:rsidR="007F300D">
        <w:rPr>
          <w:rFonts w:ascii="Arial" w:hAnsi="Arial" w:cs="Arial"/>
          <w:sz w:val="20"/>
          <w:szCs w:val="20"/>
        </w:rPr>
        <w:t xml:space="preserve">, </w:t>
      </w:r>
      <w:r w:rsidR="00754AD3" w:rsidRPr="009A1AB7">
        <w:rPr>
          <w:rFonts w:ascii="Arial" w:hAnsi="Arial" w:cs="Arial"/>
          <w:sz w:val="20"/>
          <w:szCs w:val="20"/>
        </w:rPr>
        <w:t>wykładni</w:t>
      </w:r>
      <w:r w:rsidR="007F300D">
        <w:rPr>
          <w:rFonts w:ascii="Arial" w:hAnsi="Arial" w:cs="Arial"/>
          <w:sz w:val="20"/>
          <w:szCs w:val="20"/>
        </w:rPr>
        <w:t>a</w:t>
      </w:r>
      <w:r w:rsidR="00754AD3" w:rsidRPr="009A1AB7">
        <w:rPr>
          <w:rFonts w:ascii="Arial" w:hAnsi="Arial" w:cs="Arial"/>
          <w:sz w:val="20"/>
          <w:szCs w:val="20"/>
        </w:rPr>
        <w:t xml:space="preserve"> tego przepisu</w:t>
      </w:r>
      <w:r w:rsidR="007F300D">
        <w:rPr>
          <w:rFonts w:ascii="Arial" w:hAnsi="Arial" w:cs="Arial"/>
          <w:sz w:val="20"/>
          <w:szCs w:val="20"/>
        </w:rPr>
        <w:t xml:space="preserve"> </w:t>
      </w:r>
      <w:r w:rsidR="00754AD3" w:rsidRPr="009A1AB7">
        <w:rPr>
          <w:rFonts w:ascii="Arial" w:hAnsi="Arial" w:cs="Arial"/>
          <w:sz w:val="20"/>
          <w:szCs w:val="20"/>
        </w:rPr>
        <w:t xml:space="preserve">musi być zgodna z wykładnią </w:t>
      </w:r>
      <w:r w:rsidR="00204F57">
        <w:rPr>
          <w:rFonts w:ascii="Arial" w:hAnsi="Arial" w:cs="Arial"/>
          <w:sz w:val="20"/>
          <w:szCs w:val="20"/>
        </w:rPr>
        <w:t xml:space="preserve">obowiązującą </w:t>
      </w:r>
      <w:r w:rsidR="00204F57">
        <w:rPr>
          <w:rFonts w:ascii="Arial" w:hAnsi="Arial" w:cs="Arial"/>
          <w:sz w:val="20"/>
          <w:szCs w:val="20"/>
        </w:rPr>
        <w:br/>
        <w:t>w Unii Europejskiej</w:t>
      </w:r>
      <w:r w:rsidR="00754AD3" w:rsidRPr="009A1AB7">
        <w:rPr>
          <w:rFonts w:ascii="Arial" w:hAnsi="Arial" w:cs="Arial"/>
          <w:sz w:val="20"/>
          <w:szCs w:val="20"/>
        </w:rPr>
        <w:t>.</w:t>
      </w:r>
      <w:r w:rsidR="009B6A31" w:rsidRPr="009A1AB7">
        <w:rPr>
          <w:rFonts w:ascii="Arial" w:hAnsi="Arial" w:cs="Arial"/>
          <w:sz w:val="20"/>
          <w:szCs w:val="20"/>
        </w:rPr>
        <w:t xml:space="preserve"> </w:t>
      </w:r>
    </w:p>
    <w:p w14:paraId="78A658EF" w14:textId="20AECC07" w:rsidR="00317515" w:rsidRDefault="00317515" w:rsidP="00F423DF">
      <w:pPr>
        <w:tabs>
          <w:tab w:val="left" w:pos="360"/>
          <w:tab w:val="left" w:pos="588"/>
        </w:tabs>
        <w:spacing w:after="0" w:line="360" w:lineRule="auto"/>
        <w:rPr>
          <w:rFonts w:ascii="Arial" w:hAnsi="Arial" w:cs="Arial"/>
          <w:sz w:val="20"/>
          <w:szCs w:val="20"/>
        </w:rPr>
      </w:pPr>
    </w:p>
    <w:p w14:paraId="7E067C72" w14:textId="65EE7419" w:rsidR="00A40E46" w:rsidRPr="00317515" w:rsidRDefault="00A40E46" w:rsidP="00F423DF">
      <w:pPr>
        <w:pStyle w:val="Nagwek1"/>
        <w:numPr>
          <w:ilvl w:val="0"/>
          <w:numId w:val="11"/>
        </w:numPr>
        <w:ind w:left="567" w:hanging="578"/>
      </w:pPr>
      <w:r w:rsidRPr="00317515">
        <w:t>Kontekst europejski</w:t>
      </w:r>
    </w:p>
    <w:p w14:paraId="75AB3346" w14:textId="77777777" w:rsidR="00317515" w:rsidRPr="00317515" w:rsidRDefault="00317515" w:rsidP="00F423DF">
      <w:pPr>
        <w:spacing w:after="0" w:line="360" w:lineRule="auto"/>
        <w:ind w:left="360"/>
        <w:rPr>
          <w:rFonts w:ascii="Arial" w:hAnsi="Arial" w:cs="Arial"/>
          <w:b/>
          <w:bCs/>
          <w:color w:val="000000"/>
          <w:sz w:val="20"/>
          <w:szCs w:val="20"/>
        </w:rPr>
      </w:pPr>
    </w:p>
    <w:p w14:paraId="3BF524BA" w14:textId="25FE5993" w:rsidR="00317515" w:rsidRDefault="00317515" w:rsidP="00F423DF">
      <w:pPr>
        <w:pStyle w:val="CM1"/>
        <w:spacing w:line="360" w:lineRule="auto"/>
        <w:ind w:firstLine="567"/>
        <w:rPr>
          <w:rFonts w:ascii="Arial" w:hAnsi="Arial" w:cs="Arial"/>
          <w:sz w:val="20"/>
          <w:szCs w:val="20"/>
        </w:rPr>
      </w:pPr>
      <w:r>
        <w:rPr>
          <w:rFonts w:ascii="Arial" w:hAnsi="Arial" w:cs="Arial"/>
          <w:sz w:val="20"/>
          <w:szCs w:val="20"/>
          <w:shd w:val="clear" w:color="auto" w:fill="FFFFFF"/>
        </w:rPr>
        <w:t>P</w:t>
      </w:r>
      <w:r w:rsidR="00F708C6" w:rsidRPr="009A1AB7">
        <w:rPr>
          <w:rFonts w:ascii="Arial" w:hAnsi="Arial" w:cs="Arial"/>
          <w:sz w:val="20"/>
          <w:szCs w:val="20"/>
          <w:shd w:val="clear" w:color="auto" w:fill="FFFFFF"/>
        </w:rPr>
        <w:t xml:space="preserve">rzepis </w:t>
      </w:r>
      <w:r w:rsidR="00994C82" w:rsidRPr="009A1AB7">
        <w:rPr>
          <w:rFonts w:ascii="Arial" w:hAnsi="Arial" w:cs="Arial"/>
          <w:sz w:val="20"/>
          <w:szCs w:val="20"/>
          <w:shd w:val="clear" w:color="auto" w:fill="FFFFFF"/>
        </w:rPr>
        <w:t xml:space="preserve">art. 12 ust. 1 ustawy Pzp </w:t>
      </w:r>
      <w:r w:rsidR="00F708C6" w:rsidRPr="009A1AB7">
        <w:rPr>
          <w:rFonts w:ascii="Arial" w:hAnsi="Arial" w:cs="Arial"/>
          <w:sz w:val="20"/>
          <w:szCs w:val="20"/>
          <w:shd w:val="clear" w:color="auto" w:fill="FFFFFF"/>
        </w:rPr>
        <w:t xml:space="preserve">stanowi implementację do polskiego porządku prawnego art. 15 ust. </w:t>
      </w:r>
      <w:r w:rsidR="0024552C" w:rsidRPr="009A1AB7">
        <w:rPr>
          <w:rFonts w:ascii="Arial" w:hAnsi="Arial" w:cs="Arial"/>
          <w:sz w:val="20"/>
          <w:szCs w:val="20"/>
          <w:shd w:val="clear" w:color="auto" w:fill="FFFFFF"/>
        </w:rPr>
        <w:t xml:space="preserve">2 i </w:t>
      </w:r>
      <w:r w:rsidR="00F708C6" w:rsidRPr="009A1AB7">
        <w:rPr>
          <w:rFonts w:ascii="Arial" w:hAnsi="Arial" w:cs="Arial"/>
          <w:sz w:val="20"/>
          <w:szCs w:val="20"/>
          <w:shd w:val="clear" w:color="auto" w:fill="FFFFFF"/>
        </w:rPr>
        <w:t xml:space="preserve">3 dyrektywy </w:t>
      </w:r>
      <w:r w:rsidR="00994C82" w:rsidRPr="009A1AB7">
        <w:rPr>
          <w:rFonts w:ascii="Arial" w:hAnsi="Arial" w:cs="Arial"/>
          <w:sz w:val="20"/>
          <w:szCs w:val="20"/>
        </w:rPr>
        <w:t>Parlamentu Europejskiego i Rady 2014/24/UE z dnia 26 lutego 2014 r. w sprawie zamówień publicznych</w:t>
      </w:r>
      <w:r w:rsidR="00994C82" w:rsidRPr="009A1AB7">
        <w:rPr>
          <w:rStyle w:val="Odwoanieprzypisudolnego"/>
          <w:rFonts w:ascii="Arial" w:hAnsi="Arial" w:cs="Arial"/>
          <w:sz w:val="20"/>
          <w:szCs w:val="20"/>
        </w:rPr>
        <w:footnoteReference w:id="2"/>
      </w:r>
      <w:r w:rsidR="00994C82" w:rsidRPr="009A1AB7">
        <w:rPr>
          <w:rFonts w:ascii="Arial" w:hAnsi="Arial" w:cs="Arial"/>
          <w:sz w:val="20"/>
          <w:szCs w:val="20"/>
        </w:rPr>
        <w:t xml:space="preserve">, </w:t>
      </w:r>
      <w:r w:rsidR="00F708C6" w:rsidRPr="009A1AB7">
        <w:rPr>
          <w:rFonts w:ascii="Arial" w:hAnsi="Arial" w:cs="Arial"/>
          <w:sz w:val="20"/>
          <w:szCs w:val="20"/>
          <w:shd w:val="clear" w:color="auto" w:fill="FFFFFF"/>
        </w:rPr>
        <w:t xml:space="preserve">oraz art. 24 ust. </w:t>
      </w:r>
      <w:r w:rsidR="00E661B1" w:rsidRPr="009A1AB7">
        <w:rPr>
          <w:rFonts w:ascii="Arial" w:hAnsi="Arial" w:cs="Arial"/>
          <w:sz w:val="20"/>
          <w:szCs w:val="20"/>
          <w:shd w:val="clear" w:color="auto" w:fill="FFFFFF"/>
        </w:rPr>
        <w:t xml:space="preserve">2 i </w:t>
      </w:r>
      <w:r w:rsidR="00F708C6" w:rsidRPr="009A1AB7">
        <w:rPr>
          <w:rFonts w:ascii="Arial" w:hAnsi="Arial" w:cs="Arial"/>
          <w:sz w:val="20"/>
          <w:szCs w:val="20"/>
          <w:shd w:val="clear" w:color="auto" w:fill="FFFFFF"/>
        </w:rPr>
        <w:t xml:space="preserve">3 dyrektywy </w:t>
      </w:r>
      <w:r w:rsidR="00994C82" w:rsidRPr="009A1AB7">
        <w:rPr>
          <w:rFonts w:ascii="Arial" w:hAnsi="Arial" w:cs="Arial"/>
          <w:sz w:val="20"/>
          <w:szCs w:val="20"/>
        </w:rPr>
        <w:t xml:space="preserve">Parlamentu Europejskiego i Rady 2014/25/UE z dnia 26 lutego 2014 r. w sprawie udzielania zamówień przez podmioty działające w sektorach gospodarki wodnej, </w:t>
      </w:r>
      <w:r w:rsidR="00994C82" w:rsidRPr="009A1AB7">
        <w:rPr>
          <w:rFonts w:ascii="Arial" w:hAnsi="Arial" w:cs="Arial"/>
          <w:sz w:val="20"/>
          <w:szCs w:val="20"/>
        </w:rPr>
        <w:lastRenderedPageBreak/>
        <w:t>energetyki, transportu i usług pocztowych</w:t>
      </w:r>
      <w:r w:rsidR="00994C82" w:rsidRPr="009A1AB7">
        <w:rPr>
          <w:rStyle w:val="Odwoanieprzypisudolnego"/>
          <w:rFonts w:ascii="Arial" w:hAnsi="Arial" w:cs="Arial"/>
          <w:sz w:val="20"/>
          <w:szCs w:val="20"/>
        </w:rPr>
        <w:footnoteReference w:id="3"/>
      </w:r>
      <w:r>
        <w:rPr>
          <w:rFonts w:ascii="Arial" w:hAnsi="Arial" w:cs="Arial"/>
          <w:sz w:val="20"/>
          <w:szCs w:val="20"/>
        </w:rPr>
        <w:t xml:space="preserve">. Są to </w:t>
      </w:r>
      <w:r w:rsidR="00AB2AD0">
        <w:rPr>
          <w:rFonts w:ascii="Arial" w:hAnsi="Arial" w:cs="Arial"/>
          <w:sz w:val="20"/>
          <w:szCs w:val="20"/>
        </w:rPr>
        <w:t>zatem</w:t>
      </w:r>
      <w:r>
        <w:rPr>
          <w:rFonts w:ascii="Arial" w:hAnsi="Arial" w:cs="Arial"/>
          <w:sz w:val="20"/>
          <w:szCs w:val="20"/>
        </w:rPr>
        <w:t xml:space="preserve"> regulacje </w:t>
      </w:r>
      <w:r w:rsidR="00E661B1" w:rsidRPr="009A1AB7">
        <w:rPr>
          <w:rFonts w:ascii="Arial" w:hAnsi="Arial" w:cs="Arial"/>
          <w:sz w:val="20"/>
          <w:szCs w:val="20"/>
        </w:rPr>
        <w:t>odnosząc</w:t>
      </w:r>
      <w:r>
        <w:rPr>
          <w:rFonts w:ascii="Arial" w:hAnsi="Arial" w:cs="Arial"/>
          <w:sz w:val="20"/>
          <w:szCs w:val="20"/>
        </w:rPr>
        <w:t>e</w:t>
      </w:r>
      <w:r w:rsidR="00E661B1" w:rsidRPr="009A1AB7">
        <w:rPr>
          <w:rFonts w:ascii="Arial" w:hAnsi="Arial" w:cs="Arial"/>
          <w:sz w:val="20"/>
          <w:szCs w:val="20"/>
        </w:rPr>
        <w:t xml:space="preserve"> się do zamówień </w:t>
      </w:r>
      <w:r>
        <w:rPr>
          <w:rFonts w:ascii="Arial" w:hAnsi="Arial" w:cs="Arial"/>
          <w:sz w:val="20"/>
          <w:szCs w:val="20"/>
        </w:rPr>
        <w:t xml:space="preserve">klasycznych i sektorowych </w:t>
      </w:r>
      <w:r w:rsidR="00E661B1" w:rsidRPr="009A1AB7">
        <w:rPr>
          <w:rFonts w:ascii="Arial" w:hAnsi="Arial" w:cs="Arial"/>
          <w:sz w:val="20"/>
          <w:szCs w:val="20"/>
        </w:rPr>
        <w:t>obejmujących aspekty obronności i bezpieczeństwa</w:t>
      </w:r>
      <w:r w:rsidR="00994C82" w:rsidRPr="009A1AB7">
        <w:rPr>
          <w:rFonts w:ascii="Arial" w:hAnsi="Arial" w:cs="Arial"/>
          <w:sz w:val="20"/>
          <w:szCs w:val="20"/>
        </w:rPr>
        <w:t xml:space="preserve">. </w:t>
      </w:r>
    </w:p>
    <w:p w14:paraId="17365FC4" w14:textId="74BECF23" w:rsidR="002464F5" w:rsidRPr="009A1AB7" w:rsidRDefault="00994C82" w:rsidP="00F423DF">
      <w:pPr>
        <w:pStyle w:val="CM1"/>
        <w:spacing w:line="360" w:lineRule="auto"/>
        <w:ind w:firstLine="567"/>
        <w:rPr>
          <w:rFonts w:ascii="Arial" w:hAnsi="Arial" w:cs="Arial"/>
          <w:sz w:val="20"/>
          <w:szCs w:val="20"/>
          <w:shd w:val="clear" w:color="auto" w:fill="FFFFFF"/>
        </w:rPr>
      </w:pPr>
      <w:r w:rsidRPr="009A1AB7">
        <w:rPr>
          <w:rFonts w:ascii="Arial" w:hAnsi="Arial" w:cs="Arial"/>
          <w:sz w:val="20"/>
          <w:szCs w:val="20"/>
        </w:rPr>
        <w:t xml:space="preserve">W </w:t>
      </w:r>
      <w:r w:rsidR="00F708C6" w:rsidRPr="009A1AB7">
        <w:rPr>
          <w:rFonts w:ascii="Arial" w:hAnsi="Arial" w:cs="Arial"/>
          <w:sz w:val="20"/>
          <w:szCs w:val="20"/>
          <w:shd w:val="clear" w:color="auto" w:fill="FFFFFF"/>
        </w:rPr>
        <w:t>myśl</w:t>
      </w:r>
      <w:r w:rsidRPr="009A1AB7">
        <w:rPr>
          <w:rFonts w:ascii="Arial" w:hAnsi="Arial" w:cs="Arial"/>
          <w:sz w:val="20"/>
          <w:szCs w:val="20"/>
          <w:shd w:val="clear" w:color="auto" w:fill="FFFFFF"/>
        </w:rPr>
        <w:t xml:space="preserve"> tych przepisów w </w:t>
      </w:r>
      <w:r w:rsidR="00F708C6" w:rsidRPr="009A1AB7">
        <w:rPr>
          <w:rFonts w:ascii="Arial" w:hAnsi="Arial" w:cs="Arial"/>
          <w:sz w:val="20"/>
          <w:szCs w:val="20"/>
          <w:shd w:val="clear" w:color="auto" w:fill="FFFFFF"/>
        </w:rPr>
        <w:t xml:space="preserve">przypadku, gdy zamówienie i realizacja umowy w sprawie zamówienia publicznego lub konkurs zostały określone jako tajne lub muszą im towarzyszyć szczególne środki bezpieczeństwa zgodnie z przepisami ustawowymi, wykonawczymi lub administracyjnymi obowiązującymi </w:t>
      </w:r>
      <w:r w:rsidR="00317515">
        <w:rPr>
          <w:rFonts w:ascii="Arial" w:hAnsi="Arial" w:cs="Arial"/>
          <w:sz w:val="20"/>
          <w:szCs w:val="20"/>
          <w:shd w:val="clear" w:color="auto" w:fill="FFFFFF"/>
        </w:rPr>
        <w:br/>
      </w:r>
      <w:r w:rsidR="00F708C6" w:rsidRPr="009A1AB7">
        <w:rPr>
          <w:rFonts w:ascii="Arial" w:hAnsi="Arial" w:cs="Arial"/>
          <w:sz w:val="20"/>
          <w:szCs w:val="20"/>
          <w:shd w:val="clear" w:color="auto" w:fill="FFFFFF"/>
        </w:rPr>
        <w:t xml:space="preserve">w danym państwie członkowskim, dyrektywa nie ma zastosowania, pod warunkiem że dane państwo członkowskie stwierdziło, że nie można zagwarantować ochrony odnośnych podstawowych interesów za pomocą mniej inwazyjnych środków, takich jak nałożenie na wykonawców wymagań mających na celu ochronę poufnego charakteru informacji udostępnianych przez instytucję zamawiającą </w:t>
      </w:r>
      <w:r w:rsidR="00305653" w:rsidRPr="009A1AB7">
        <w:rPr>
          <w:rFonts w:ascii="Arial" w:hAnsi="Arial" w:cs="Arial"/>
          <w:sz w:val="20"/>
          <w:szCs w:val="20"/>
          <w:shd w:val="clear" w:color="auto" w:fill="FFFFFF"/>
        </w:rPr>
        <w:t xml:space="preserve">albo podmiot zamawiający </w:t>
      </w:r>
      <w:r w:rsidR="00F708C6" w:rsidRPr="009A1AB7">
        <w:rPr>
          <w:rFonts w:ascii="Arial" w:hAnsi="Arial" w:cs="Arial"/>
          <w:sz w:val="20"/>
          <w:szCs w:val="20"/>
          <w:shd w:val="clear" w:color="auto" w:fill="FFFFFF"/>
        </w:rPr>
        <w:t xml:space="preserve">w trakcie trwania postępowania o udzielenie zamówienia. </w:t>
      </w:r>
      <w:r w:rsidR="00B83F8E" w:rsidRPr="009A1AB7">
        <w:rPr>
          <w:rFonts w:ascii="Arial" w:hAnsi="Arial" w:cs="Arial"/>
          <w:sz w:val="20"/>
          <w:szCs w:val="20"/>
          <w:shd w:val="clear" w:color="auto" w:fill="FFFFFF"/>
        </w:rPr>
        <w:t>Przy czym</w:t>
      </w:r>
      <w:r w:rsidR="00305653" w:rsidRPr="009A1AB7">
        <w:rPr>
          <w:rFonts w:ascii="Arial" w:hAnsi="Arial" w:cs="Arial"/>
          <w:sz w:val="20"/>
          <w:szCs w:val="20"/>
          <w:shd w:val="clear" w:color="auto" w:fill="FFFFFF"/>
        </w:rPr>
        <w:t xml:space="preserve">, w każdym </w:t>
      </w:r>
      <w:r w:rsidR="00317A5D" w:rsidRPr="009A1AB7">
        <w:rPr>
          <w:rFonts w:ascii="Arial" w:hAnsi="Arial" w:cs="Arial"/>
          <w:sz w:val="20"/>
          <w:szCs w:val="20"/>
          <w:shd w:val="clear" w:color="auto" w:fill="FFFFFF"/>
        </w:rPr>
        <w:t xml:space="preserve">ze wskazanych wyżej </w:t>
      </w:r>
      <w:r w:rsidR="00305653" w:rsidRPr="009A1AB7">
        <w:rPr>
          <w:rFonts w:ascii="Arial" w:hAnsi="Arial" w:cs="Arial"/>
          <w:sz w:val="20"/>
          <w:szCs w:val="20"/>
          <w:shd w:val="clear" w:color="auto" w:fill="FFFFFF"/>
        </w:rPr>
        <w:t>przypadk</w:t>
      </w:r>
      <w:r w:rsidR="00317A5D" w:rsidRPr="009A1AB7">
        <w:rPr>
          <w:rFonts w:ascii="Arial" w:hAnsi="Arial" w:cs="Arial"/>
          <w:sz w:val="20"/>
          <w:szCs w:val="20"/>
          <w:shd w:val="clear" w:color="auto" w:fill="FFFFFF"/>
        </w:rPr>
        <w:t>ów</w:t>
      </w:r>
      <w:r w:rsidR="00B83F8E" w:rsidRPr="009A1AB7">
        <w:rPr>
          <w:rFonts w:ascii="Arial" w:hAnsi="Arial" w:cs="Arial"/>
          <w:sz w:val="20"/>
          <w:szCs w:val="20"/>
          <w:shd w:val="clear" w:color="auto" w:fill="FFFFFF"/>
        </w:rPr>
        <w:t>,</w:t>
      </w:r>
      <w:r w:rsidR="00F708C6" w:rsidRPr="009A1AB7">
        <w:rPr>
          <w:rFonts w:ascii="Arial" w:hAnsi="Arial" w:cs="Arial"/>
          <w:sz w:val="20"/>
          <w:szCs w:val="20"/>
          <w:shd w:val="clear" w:color="auto" w:fill="FFFFFF"/>
        </w:rPr>
        <w:t xml:space="preserve"> </w:t>
      </w:r>
      <w:r w:rsidR="00317515">
        <w:rPr>
          <w:rFonts w:ascii="Arial" w:hAnsi="Arial" w:cs="Arial"/>
          <w:sz w:val="20"/>
          <w:szCs w:val="20"/>
          <w:shd w:val="clear" w:color="auto" w:fill="FFFFFF"/>
        </w:rPr>
        <w:t>d</w:t>
      </w:r>
      <w:r w:rsidR="00317515" w:rsidRPr="009A1AB7">
        <w:rPr>
          <w:rFonts w:ascii="Arial" w:hAnsi="Arial" w:cs="Arial"/>
          <w:sz w:val="20"/>
          <w:szCs w:val="20"/>
        </w:rPr>
        <w:t xml:space="preserve">yrektywa nie ma zastosowania do zamówień publicznych i konkursów </w:t>
      </w:r>
      <w:r w:rsidR="00317515">
        <w:rPr>
          <w:rFonts w:ascii="Arial" w:hAnsi="Arial" w:cs="Arial"/>
          <w:sz w:val="20"/>
          <w:szCs w:val="20"/>
        </w:rPr>
        <w:t xml:space="preserve">tylko </w:t>
      </w:r>
      <w:r w:rsidR="00317515" w:rsidRPr="009A1AB7">
        <w:rPr>
          <w:rFonts w:ascii="Arial" w:hAnsi="Arial" w:cs="Arial"/>
          <w:sz w:val="20"/>
          <w:szCs w:val="20"/>
        </w:rPr>
        <w:t xml:space="preserve">w </w:t>
      </w:r>
      <w:r w:rsidR="00317515">
        <w:rPr>
          <w:rFonts w:ascii="Arial" w:hAnsi="Arial" w:cs="Arial"/>
          <w:sz w:val="20"/>
          <w:szCs w:val="20"/>
        </w:rPr>
        <w:t xml:space="preserve">takim </w:t>
      </w:r>
      <w:r w:rsidR="00317515" w:rsidRPr="009A1AB7">
        <w:rPr>
          <w:rFonts w:ascii="Arial" w:hAnsi="Arial" w:cs="Arial"/>
          <w:sz w:val="20"/>
          <w:szCs w:val="20"/>
        </w:rPr>
        <w:t>stopniu, w jakim ochrona podstawowych interesów danego państwa członkowskiego w zakresie bezpieczeństwa nie może zostać zagwarantowana przez mniej inwazyjne środki</w:t>
      </w:r>
      <w:r w:rsidR="00915941">
        <w:rPr>
          <w:rFonts w:ascii="Arial" w:hAnsi="Arial" w:cs="Arial"/>
          <w:sz w:val="20"/>
          <w:szCs w:val="20"/>
        </w:rPr>
        <w:t>.</w:t>
      </w:r>
      <w:r w:rsidR="00317515" w:rsidRPr="009A1AB7">
        <w:rPr>
          <w:rFonts w:ascii="Arial" w:hAnsi="Arial" w:cs="Arial"/>
          <w:sz w:val="20"/>
          <w:szCs w:val="20"/>
        </w:rPr>
        <w:t xml:space="preserve"> </w:t>
      </w:r>
    </w:p>
    <w:p w14:paraId="7989E7E0" w14:textId="68103848" w:rsidR="002464F5" w:rsidRPr="009A1AB7" w:rsidRDefault="007A7FEB" w:rsidP="00F423DF">
      <w:pPr>
        <w:spacing w:after="0" w:line="360" w:lineRule="auto"/>
        <w:ind w:firstLine="567"/>
        <w:rPr>
          <w:rFonts w:ascii="Arial" w:hAnsi="Arial" w:cs="Arial"/>
          <w:i/>
          <w:iCs/>
          <w:sz w:val="20"/>
          <w:szCs w:val="20"/>
        </w:rPr>
      </w:pPr>
      <w:r w:rsidRPr="009A1AB7">
        <w:rPr>
          <w:rFonts w:ascii="Arial" w:hAnsi="Arial" w:cs="Arial"/>
          <w:sz w:val="20"/>
          <w:szCs w:val="20"/>
          <w:lang w:eastAsia="pl-PL"/>
        </w:rPr>
        <w:t xml:space="preserve">Treść art. 346 ust. 1 </w:t>
      </w:r>
      <w:r w:rsidR="00EE3345" w:rsidRPr="009A1AB7">
        <w:rPr>
          <w:rFonts w:ascii="Arial" w:hAnsi="Arial" w:cs="Arial"/>
          <w:sz w:val="20"/>
          <w:szCs w:val="20"/>
        </w:rPr>
        <w:t>Traktatu o funkcjonowaniu Unii Europejskiej (TFUE)</w:t>
      </w:r>
      <w:r w:rsidR="00EE3345" w:rsidRPr="009A1AB7">
        <w:rPr>
          <w:rStyle w:val="Odwoanieprzypisudolnego"/>
          <w:rFonts w:ascii="Arial" w:hAnsi="Arial" w:cs="Arial"/>
          <w:sz w:val="20"/>
          <w:szCs w:val="20"/>
        </w:rPr>
        <w:footnoteReference w:id="4"/>
      </w:r>
      <w:r w:rsidRPr="009A1AB7">
        <w:rPr>
          <w:rFonts w:ascii="Arial" w:hAnsi="Arial" w:cs="Arial"/>
          <w:sz w:val="20"/>
          <w:szCs w:val="20"/>
          <w:lang w:eastAsia="pl-PL"/>
        </w:rPr>
        <w:t>, do którego odwołanie znajduje się w</w:t>
      </w:r>
      <w:r w:rsidR="005167CC" w:rsidRPr="009A1AB7">
        <w:rPr>
          <w:rFonts w:ascii="Arial" w:hAnsi="Arial" w:cs="Arial"/>
          <w:sz w:val="20"/>
          <w:szCs w:val="20"/>
          <w:lang w:eastAsia="pl-PL"/>
        </w:rPr>
        <w:t>e</w:t>
      </w:r>
      <w:r w:rsidR="00317A5D" w:rsidRPr="009A1AB7">
        <w:rPr>
          <w:rFonts w:ascii="Arial" w:hAnsi="Arial" w:cs="Arial"/>
          <w:sz w:val="20"/>
          <w:szCs w:val="20"/>
          <w:lang w:eastAsia="pl-PL"/>
        </w:rPr>
        <w:t xml:space="preserve"> </w:t>
      </w:r>
      <w:r w:rsidR="00E32B64" w:rsidRPr="009A1AB7">
        <w:rPr>
          <w:rFonts w:ascii="Arial" w:hAnsi="Arial" w:cs="Arial"/>
          <w:sz w:val="20"/>
          <w:szCs w:val="20"/>
          <w:lang w:eastAsia="pl-PL"/>
        </w:rPr>
        <w:t xml:space="preserve">wskazanych </w:t>
      </w:r>
      <w:r w:rsidR="005167CC" w:rsidRPr="009A1AB7">
        <w:rPr>
          <w:rFonts w:ascii="Arial" w:hAnsi="Arial" w:cs="Arial"/>
          <w:sz w:val="20"/>
          <w:szCs w:val="20"/>
          <w:lang w:eastAsia="pl-PL"/>
        </w:rPr>
        <w:t xml:space="preserve">wyżej </w:t>
      </w:r>
      <w:r w:rsidR="00317A5D" w:rsidRPr="009A1AB7">
        <w:rPr>
          <w:rFonts w:ascii="Arial" w:hAnsi="Arial" w:cs="Arial"/>
          <w:sz w:val="20"/>
          <w:szCs w:val="20"/>
          <w:lang w:eastAsia="pl-PL"/>
        </w:rPr>
        <w:t>przepis</w:t>
      </w:r>
      <w:r w:rsidR="00E32B64" w:rsidRPr="009A1AB7">
        <w:rPr>
          <w:rFonts w:ascii="Arial" w:hAnsi="Arial" w:cs="Arial"/>
          <w:sz w:val="20"/>
          <w:szCs w:val="20"/>
          <w:lang w:eastAsia="pl-PL"/>
        </w:rPr>
        <w:t>ach</w:t>
      </w:r>
      <w:r w:rsidR="00317A5D" w:rsidRPr="009A1AB7">
        <w:rPr>
          <w:rFonts w:ascii="Arial" w:hAnsi="Arial" w:cs="Arial"/>
          <w:sz w:val="20"/>
          <w:szCs w:val="20"/>
          <w:lang w:eastAsia="pl-PL"/>
        </w:rPr>
        <w:t xml:space="preserve"> dyrektyw </w:t>
      </w:r>
      <w:r w:rsidR="00027850" w:rsidRPr="009A1AB7">
        <w:rPr>
          <w:rFonts w:ascii="Arial" w:hAnsi="Arial" w:cs="Arial"/>
          <w:sz w:val="20"/>
          <w:szCs w:val="20"/>
          <w:lang w:eastAsia="pl-PL"/>
        </w:rPr>
        <w:t xml:space="preserve">w kontekście omawianego zagadnienia </w:t>
      </w:r>
      <w:r w:rsidR="00317515">
        <w:rPr>
          <w:rFonts w:ascii="Arial" w:hAnsi="Arial" w:cs="Arial"/>
          <w:sz w:val="20"/>
          <w:szCs w:val="20"/>
          <w:lang w:eastAsia="pl-PL"/>
        </w:rPr>
        <w:t>ma</w:t>
      </w:r>
      <w:r w:rsidR="00027850" w:rsidRPr="009A1AB7">
        <w:rPr>
          <w:rFonts w:ascii="Arial" w:hAnsi="Arial" w:cs="Arial"/>
          <w:sz w:val="20"/>
          <w:szCs w:val="20"/>
          <w:lang w:eastAsia="pl-PL"/>
        </w:rPr>
        <w:t xml:space="preserve"> istotn</w:t>
      </w:r>
      <w:r w:rsidR="00317515">
        <w:rPr>
          <w:rFonts w:ascii="Arial" w:hAnsi="Arial" w:cs="Arial"/>
          <w:sz w:val="20"/>
          <w:szCs w:val="20"/>
          <w:lang w:eastAsia="pl-PL"/>
        </w:rPr>
        <w:t xml:space="preserve">e </w:t>
      </w:r>
      <w:r w:rsidRPr="009A1AB7">
        <w:rPr>
          <w:rFonts w:ascii="Arial" w:hAnsi="Arial" w:cs="Arial"/>
          <w:sz w:val="20"/>
          <w:szCs w:val="20"/>
          <w:lang w:eastAsia="pl-PL"/>
        </w:rPr>
        <w:t xml:space="preserve">znaczenie dla </w:t>
      </w:r>
      <w:r w:rsidR="00317515">
        <w:rPr>
          <w:rFonts w:ascii="Arial" w:hAnsi="Arial" w:cs="Arial"/>
          <w:sz w:val="20"/>
          <w:szCs w:val="20"/>
          <w:lang w:eastAsia="pl-PL"/>
        </w:rPr>
        <w:t>właściwego zrozumienia a</w:t>
      </w:r>
      <w:r w:rsidRPr="009A1AB7">
        <w:rPr>
          <w:rFonts w:ascii="Arial" w:hAnsi="Arial" w:cs="Arial"/>
          <w:sz w:val="20"/>
          <w:szCs w:val="20"/>
          <w:lang w:eastAsia="pl-PL"/>
        </w:rPr>
        <w:t xml:space="preserve">rt. 15 dyrektywy </w:t>
      </w:r>
      <w:r w:rsidRPr="009A1AB7">
        <w:rPr>
          <w:rFonts w:ascii="Arial" w:hAnsi="Arial" w:cs="Arial"/>
          <w:sz w:val="20"/>
          <w:szCs w:val="20"/>
        </w:rPr>
        <w:t xml:space="preserve">2014/24/UE </w:t>
      </w:r>
      <w:r w:rsidRPr="009A1AB7">
        <w:rPr>
          <w:rFonts w:ascii="Arial" w:hAnsi="Arial" w:cs="Arial"/>
          <w:sz w:val="20"/>
          <w:szCs w:val="20"/>
          <w:lang w:eastAsia="pl-PL"/>
        </w:rPr>
        <w:t xml:space="preserve">i art. 24 dyrektywy </w:t>
      </w:r>
      <w:r w:rsidRPr="009A1AB7">
        <w:rPr>
          <w:rFonts w:ascii="Arial" w:hAnsi="Arial" w:cs="Arial"/>
          <w:sz w:val="20"/>
          <w:szCs w:val="20"/>
        </w:rPr>
        <w:t>2014/25/UE</w:t>
      </w:r>
      <w:r w:rsidR="00E32B64" w:rsidRPr="009A1AB7">
        <w:rPr>
          <w:rFonts w:ascii="Arial" w:hAnsi="Arial" w:cs="Arial"/>
          <w:sz w:val="20"/>
          <w:szCs w:val="20"/>
          <w:lang w:eastAsia="pl-PL"/>
        </w:rPr>
        <w:t>.</w:t>
      </w:r>
      <w:r w:rsidR="005167CC" w:rsidRPr="009A1AB7">
        <w:rPr>
          <w:rFonts w:ascii="Arial" w:hAnsi="Arial" w:cs="Arial"/>
          <w:sz w:val="20"/>
          <w:szCs w:val="20"/>
          <w:lang w:eastAsia="pl-PL"/>
        </w:rPr>
        <w:t xml:space="preserve"> </w:t>
      </w:r>
      <w:r w:rsidR="00560C0E" w:rsidRPr="009A1AB7">
        <w:rPr>
          <w:rFonts w:ascii="Arial" w:hAnsi="Arial" w:cs="Arial"/>
          <w:sz w:val="20"/>
          <w:szCs w:val="20"/>
        </w:rPr>
        <w:t xml:space="preserve">Zgodnie z artykułem 346 ust. 1 TFUE (dawny artykuł 296 </w:t>
      </w:r>
      <w:r w:rsidR="00CA5BFD" w:rsidRPr="009A1AB7">
        <w:rPr>
          <w:rFonts w:ascii="Arial" w:hAnsi="Arial" w:cs="Arial"/>
          <w:sz w:val="20"/>
          <w:szCs w:val="20"/>
        </w:rPr>
        <w:t>Traktatu ustanawiającego Wspólnotę Europejską (</w:t>
      </w:r>
      <w:r w:rsidR="00560C0E" w:rsidRPr="009A1AB7">
        <w:rPr>
          <w:rFonts w:ascii="Arial" w:hAnsi="Arial" w:cs="Arial"/>
          <w:sz w:val="20"/>
          <w:szCs w:val="20"/>
        </w:rPr>
        <w:t>TWE)</w:t>
      </w:r>
      <w:r w:rsidR="00CA5BFD" w:rsidRPr="009A1AB7">
        <w:rPr>
          <w:rStyle w:val="Odwoanieprzypisudolnego"/>
          <w:rFonts w:ascii="Arial" w:hAnsi="Arial" w:cs="Arial"/>
          <w:sz w:val="20"/>
          <w:szCs w:val="20"/>
        </w:rPr>
        <w:footnoteReference w:id="5"/>
      </w:r>
      <w:r w:rsidR="00CA5BFD" w:rsidRPr="009A1AB7">
        <w:rPr>
          <w:rFonts w:ascii="Arial" w:hAnsi="Arial" w:cs="Arial"/>
          <w:sz w:val="20"/>
          <w:szCs w:val="20"/>
        </w:rPr>
        <w:t>)</w:t>
      </w:r>
      <w:r w:rsidR="00560C0E" w:rsidRPr="009A1AB7">
        <w:rPr>
          <w:rFonts w:ascii="Arial" w:hAnsi="Arial" w:cs="Arial"/>
          <w:sz w:val="20"/>
          <w:szCs w:val="20"/>
        </w:rPr>
        <w:t xml:space="preserve"> </w:t>
      </w:r>
      <w:r w:rsidR="00E32B64" w:rsidRPr="009A1AB7">
        <w:rPr>
          <w:rFonts w:ascii="Arial" w:hAnsi="Arial" w:cs="Arial"/>
          <w:sz w:val="20"/>
          <w:szCs w:val="20"/>
        </w:rPr>
        <w:t>„</w:t>
      </w:r>
      <w:r w:rsidR="00560C0E" w:rsidRPr="009A1AB7">
        <w:rPr>
          <w:rFonts w:ascii="Arial" w:hAnsi="Arial" w:cs="Arial"/>
          <w:i/>
          <w:iCs/>
          <w:sz w:val="20"/>
          <w:szCs w:val="20"/>
        </w:rPr>
        <w:t xml:space="preserve">postanowienia Traktatów nie stanowią przeszkody w stosowaniu następujących reguł: a) żadne Państwo Członkowskie nie ma obowiązku udzielania informacji, których ujawnienie uznaje za sprzeczne </w:t>
      </w:r>
      <w:r w:rsidR="00AB2AD0">
        <w:rPr>
          <w:rFonts w:ascii="Arial" w:hAnsi="Arial" w:cs="Arial"/>
          <w:i/>
          <w:iCs/>
          <w:sz w:val="20"/>
          <w:szCs w:val="20"/>
        </w:rPr>
        <w:br/>
      </w:r>
      <w:r w:rsidR="00560C0E" w:rsidRPr="009A1AB7">
        <w:rPr>
          <w:rFonts w:ascii="Arial" w:hAnsi="Arial" w:cs="Arial"/>
          <w:i/>
          <w:iCs/>
          <w:sz w:val="20"/>
          <w:szCs w:val="20"/>
        </w:rPr>
        <w:t>z podstawowymi interesami jego bezpieczeństwa; b) każde Państwo Członkowskie może podejmować środki, jakie uważa za konieczne w celu ochrony podstawowych interesów jego bezpieczeństwa, a które odnoszą się do produkcji lub handlu bronią, amunicją lub materiałami wojennymi; środki takie nie mogą negatywnie wpływać na warunki konkurencji na rynku wewnętrznym w odniesieniu do produktów, które nie są przeznaczone wyłącznie do celów wojskowych</w:t>
      </w:r>
      <w:r w:rsidR="00E32B64" w:rsidRPr="009A1AB7">
        <w:rPr>
          <w:rFonts w:ascii="Arial" w:hAnsi="Arial" w:cs="Arial"/>
          <w:i/>
          <w:iCs/>
          <w:sz w:val="20"/>
          <w:szCs w:val="20"/>
        </w:rPr>
        <w:t>”.</w:t>
      </w:r>
    </w:p>
    <w:p w14:paraId="50E3B988" w14:textId="77777777" w:rsidR="00083C9C" w:rsidRPr="009A1AB7" w:rsidRDefault="00083C9C" w:rsidP="00F423DF">
      <w:pPr>
        <w:spacing w:after="0" w:line="360" w:lineRule="auto"/>
        <w:rPr>
          <w:rFonts w:ascii="Arial" w:hAnsi="Arial" w:cs="Arial"/>
          <w:sz w:val="20"/>
          <w:szCs w:val="20"/>
          <w:shd w:val="clear" w:color="auto" w:fill="FFFFFF"/>
        </w:rPr>
      </w:pPr>
    </w:p>
    <w:p w14:paraId="458A9F27" w14:textId="7394F09D" w:rsidR="00BF2FC7" w:rsidRPr="009A1AB7" w:rsidRDefault="00E32B64" w:rsidP="00F423DF">
      <w:pPr>
        <w:spacing w:after="0" w:line="360" w:lineRule="auto"/>
        <w:ind w:firstLine="567"/>
        <w:rPr>
          <w:rFonts w:ascii="Arial" w:hAnsi="Arial" w:cs="Arial"/>
          <w:sz w:val="20"/>
          <w:szCs w:val="20"/>
          <w:shd w:val="clear" w:color="auto" w:fill="FFFFFF"/>
        </w:rPr>
      </w:pPr>
      <w:r w:rsidRPr="009A1AB7">
        <w:rPr>
          <w:rFonts w:ascii="Arial" w:hAnsi="Arial" w:cs="Arial"/>
          <w:sz w:val="20"/>
          <w:szCs w:val="20"/>
          <w:shd w:val="clear" w:color="auto" w:fill="FFFFFF"/>
        </w:rPr>
        <w:t>P</w:t>
      </w:r>
      <w:r w:rsidR="008F1695" w:rsidRPr="009A1AB7">
        <w:rPr>
          <w:rFonts w:ascii="Arial" w:hAnsi="Arial" w:cs="Arial"/>
          <w:sz w:val="20"/>
          <w:szCs w:val="20"/>
          <w:shd w:val="clear" w:color="auto" w:fill="FFFFFF"/>
        </w:rPr>
        <w:t xml:space="preserve">rzepisy </w:t>
      </w:r>
      <w:r w:rsidR="003173F4" w:rsidRPr="009A1AB7">
        <w:rPr>
          <w:rFonts w:ascii="Arial" w:hAnsi="Arial" w:cs="Arial"/>
          <w:sz w:val="20"/>
          <w:szCs w:val="20"/>
          <w:shd w:val="clear" w:color="auto" w:fill="FFFFFF"/>
        </w:rPr>
        <w:t>analogiczn</w:t>
      </w:r>
      <w:r w:rsidR="008F1695" w:rsidRPr="009A1AB7">
        <w:rPr>
          <w:rFonts w:ascii="Arial" w:hAnsi="Arial" w:cs="Arial"/>
          <w:sz w:val="20"/>
          <w:szCs w:val="20"/>
          <w:shd w:val="clear" w:color="auto" w:fill="FFFFFF"/>
        </w:rPr>
        <w:t>e</w:t>
      </w:r>
      <w:r w:rsidR="003173F4" w:rsidRPr="009A1AB7">
        <w:rPr>
          <w:rFonts w:ascii="Arial" w:hAnsi="Arial" w:cs="Arial"/>
          <w:sz w:val="20"/>
          <w:szCs w:val="20"/>
          <w:shd w:val="clear" w:color="auto" w:fill="FFFFFF"/>
        </w:rPr>
        <w:t xml:space="preserve"> </w:t>
      </w:r>
      <w:r w:rsidR="008F1695" w:rsidRPr="009A1AB7">
        <w:rPr>
          <w:rFonts w:ascii="Arial" w:hAnsi="Arial" w:cs="Arial"/>
          <w:sz w:val="20"/>
          <w:szCs w:val="20"/>
          <w:shd w:val="clear" w:color="auto" w:fill="FFFFFF"/>
        </w:rPr>
        <w:t>do</w:t>
      </w:r>
      <w:r w:rsidR="00725E59" w:rsidRPr="009A1AB7">
        <w:rPr>
          <w:rFonts w:ascii="Arial" w:hAnsi="Arial" w:cs="Arial"/>
          <w:sz w:val="20"/>
          <w:szCs w:val="20"/>
          <w:lang w:eastAsia="pl-PL"/>
        </w:rPr>
        <w:t xml:space="preserve"> art. 15 dyrektywy </w:t>
      </w:r>
      <w:r w:rsidR="00725E59" w:rsidRPr="009A1AB7">
        <w:rPr>
          <w:rFonts w:ascii="Arial" w:hAnsi="Arial" w:cs="Arial"/>
          <w:sz w:val="20"/>
          <w:szCs w:val="20"/>
        </w:rPr>
        <w:t xml:space="preserve">2014/24/UE </w:t>
      </w:r>
      <w:r w:rsidR="00725E59" w:rsidRPr="009A1AB7">
        <w:rPr>
          <w:rFonts w:ascii="Arial" w:hAnsi="Arial" w:cs="Arial"/>
          <w:sz w:val="20"/>
          <w:szCs w:val="20"/>
          <w:lang w:eastAsia="pl-PL"/>
        </w:rPr>
        <w:t xml:space="preserve">i art. 24 dyrektywy </w:t>
      </w:r>
      <w:r w:rsidR="00725E59" w:rsidRPr="009A1AB7">
        <w:rPr>
          <w:rFonts w:ascii="Arial" w:hAnsi="Arial" w:cs="Arial"/>
          <w:sz w:val="20"/>
          <w:szCs w:val="20"/>
        </w:rPr>
        <w:t>2014/25/UE</w:t>
      </w:r>
      <w:r w:rsidR="003173F4" w:rsidRPr="009A1AB7">
        <w:rPr>
          <w:rFonts w:ascii="Arial" w:hAnsi="Arial" w:cs="Arial"/>
          <w:sz w:val="20"/>
          <w:szCs w:val="20"/>
          <w:shd w:val="clear" w:color="auto" w:fill="FFFFFF"/>
        </w:rPr>
        <w:t xml:space="preserve"> </w:t>
      </w:r>
      <w:r w:rsidR="00107F5C" w:rsidRPr="009A1AB7">
        <w:rPr>
          <w:rFonts w:ascii="Arial" w:hAnsi="Arial" w:cs="Arial"/>
          <w:sz w:val="20"/>
          <w:szCs w:val="20"/>
          <w:shd w:val="clear" w:color="auto" w:fill="FFFFFF"/>
        </w:rPr>
        <w:t>znajdowały się</w:t>
      </w:r>
      <w:r w:rsidR="003173F4" w:rsidRPr="009A1AB7">
        <w:rPr>
          <w:rFonts w:ascii="Arial" w:hAnsi="Arial" w:cs="Arial"/>
          <w:sz w:val="20"/>
          <w:szCs w:val="20"/>
          <w:shd w:val="clear" w:color="auto" w:fill="FFFFFF"/>
        </w:rPr>
        <w:t xml:space="preserve"> </w:t>
      </w:r>
      <w:r w:rsidRPr="009A1AB7">
        <w:rPr>
          <w:rFonts w:ascii="Arial" w:hAnsi="Arial" w:cs="Arial"/>
          <w:sz w:val="20"/>
          <w:szCs w:val="20"/>
          <w:shd w:val="clear" w:color="auto" w:fill="FFFFFF"/>
        </w:rPr>
        <w:t xml:space="preserve">również </w:t>
      </w:r>
      <w:r w:rsidR="003173F4" w:rsidRPr="009A1AB7">
        <w:rPr>
          <w:rFonts w:ascii="Arial" w:hAnsi="Arial" w:cs="Arial"/>
          <w:sz w:val="20"/>
          <w:szCs w:val="20"/>
          <w:shd w:val="clear" w:color="auto" w:fill="FFFFFF"/>
        </w:rPr>
        <w:t xml:space="preserve">w </w:t>
      </w:r>
      <w:r w:rsidRPr="009A1AB7">
        <w:rPr>
          <w:rFonts w:ascii="Arial" w:hAnsi="Arial" w:cs="Arial"/>
          <w:sz w:val="20"/>
          <w:szCs w:val="20"/>
          <w:shd w:val="clear" w:color="auto" w:fill="FFFFFF"/>
        </w:rPr>
        <w:t xml:space="preserve">poprzedzających </w:t>
      </w:r>
      <w:r w:rsidR="005D0AB2" w:rsidRPr="009A1AB7">
        <w:rPr>
          <w:rFonts w:ascii="Arial" w:hAnsi="Arial" w:cs="Arial"/>
          <w:sz w:val="20"/>
          <w:szCs w:val="20"/>
          <w:shd w:val="clear" w:color="auto" w:fill="FFFFFF"/>
        </w:rPr>
        <w:t xml:space="preserve">je </w:t>
      </w:r>
      <w:r w:rsidR="003173F4" w:rsidRPr="009A1AB7">
        <w:rPr>
          <w:rFonts w:ascii="Arial" w:hAnsi="Arial" w:cs="Arial"/>
          <w:sz w:val="20"/>
          <w:szCs w:val="20"/>
          <w:shd w:val="clear" w:color="auto" w:fill="FFFFFF"/>
        </w:rPr>
        <w:t xml:space="preserve">dyrektywach </w:t>
      </w:r>
      <w:r w:rsidR="00004DE6" w:rsidRPr="009A1AB7">
        <w:rPr>
          <w:rFonts w:ascii="Arial" w:hAnsi="Arial" w:cs="Arial"/>
          <w:sz w:val="20"/>
          <w:szCs w:val="20"/>
          <w:shd w:val="clear" w:color="auto" w:fill="FFFFFF"/>
        </w:rPr>
        <w:t xml:space="preserve">regulujących procedury udzielania </w:t>
      </w:r>
      <w:r w:rsidR="003173F4" w:rsidRPr="009A1AB7">
        <w:rPr>
          <w:rFonts w:ascii="Arial" w:hAnsi="Arial" w:cs="Arial"/>
          <w:sz w:val="20"/>
          <w:szCs w:val="20"/>
          <w:shd w:val="clear" w:color="auto" w:fill="FFFFFF"/>
        </w:rPr>
        <w:t>zamówie</w:t>
      </w:r>
      <w:r w:rsidR="00004DE6" w:rsidRPr="009A1AB7">
        <w:rPr>
          <w:rFonts w:ascii="Arial" w:hAnsi="Arial" w:cs="Arial"/>
          <w:sz w:val="20"/>
          <w:szCs w:val="20"/>
          <w:shd w:val="clear" w:color="auto" w:fill="FFFFFF"/>
        </w:rPr>
        <w:t>ń publicznych tj.</w:t>
      </w:r>
      <w:r w:rsidR="0056426D" w:rsidRPr="009A1AB7">
        <w:rPr>
          <w:rFonts w:ascii="Arial" w:hAnsi="Arial" w:cs="Arial"/>
          <w:sz w:val="20"/>
          <w:szCs w:val="20"/>
          <w:shd w:val="clear" w:color="auto" w:fill="FFFFFF"/>
        </w:rPr>
        <w:t xml:space="preserve"> </w:t>
      </w:r>
      <w:r w:rsidR="007F300D">
        <w:rPr>
          <w:rFonts w:ascii="Arial" w:hAnsi="Arial" w:cs="Arial"/>
          <w:sz w:val="20"/>
          <w:szCs w:val="20"/>
          <w:shd w:val="clear" w:color="auto" w:fill="FFFFFF"/>
        </w:rPr>
        <w:br/>
      </w:r>
      <w:r w:rsidR="0056426D" w:rsidRPr="009A1AB7">
        <w:rPr>
          <w:rFonts w:ascii="Arial" w:hAnsi="Arial" w:cs="Arial"/>
          <w:sz w:val="20"/>
          <w:szCs w:val="20"/>
          <w:shd w:val="clear" w:color="auto" w:fill="FFFFFF"/>
        </w:rPr>
        <w:t>w dyrektywie 2004/18/</w:t>
      </w:r>
      <w:r w:rsidR="00086C07" w:rsidRPr="009A1AB7">
        <w:rPr>
          <w:rFonts w:ascii="Arial" w:hAnsi="Arial" w:cs="Arial"/>
          <w:sz w:val="20"/>
          <w:szCs w:val="20"/>
          <w:shd w:val="clear" w:color="auto" w:fill="FFFFFF"/>
        </w:rPr>
        <w:t>WE</w:t>
      </w:r>
      <w:r w:rsidR="00086C07" w:rsidRPr="009A1AB7">
        <w:rPr>
          <w:rStyle w:val="Odwoanieprzypisudolnego"/>
          <w:rFonts w:ascii="Arial" w:hAnsi="Arial" w:cs="Arial"/>
          <w:sz w:val="20"/>
          <w:szCs w:val="20"/>
          <w:shd w:val="clear" w:color="auto" w:fill="FFFFFF"/>
        </w:rPr>
        <w:footnoteReference w:id="6"/>
      </w:r>
      <w:r w:rsidR="00086C07" w:rsidRPr="009A1AB7">
        <w:rPr>
          <w:rFonts w:ascii="Arial" w:hAnsi="Arial" w:cs="Arial"/>
          <w:sz w:val="20"/>
          <w:szCs w:val="20"/>
          <w:shd w:val="clear" w:color="auto" w:fill="FFFFFF"/>
        </w:rPr>
        <w:t xml:space="preserve"> (art.14</w:t>
      </w:r>
      <w:r w:rsidR="00803B29" w:rsidRPr="009A1AB7">
        <w:rPr>
          <w:rStyle w:val="Odwoanieprzypisudolnego"/>
          <w:rFonts w:ascii="Arial" w:hAnsi="Arial" w:cs="Arial"/>
          <w:sz w:val="20"/>
          <w:szCs w:val="20"/>
          <w:shd w:val="clear" w:color="auto" w:fill="FFFFFF"/>
        </w:rPr>
        <w:footnoteReference w:id="7"/>
      </w:r>
      <w:r w:rsidR="00086C07" w:rsidRPr="009A1AB7">
        <w:rPr>
          <w:rFonts w:ascii="Arial" w:hAnsi="Arial" w:cs="Arial"/>
          <w:sz w:val="20"/>
          <w:szCs w:val="20"/>
          <w:shd w:val="clear" w:color="auto" w:fill="FFFFFF"/>
        </w:rPr>
        <w:t xml:space="preserve">) </w:t>
      </w:r>
      <w:r w:rsidR="00004DE6" w:rsidRPr="009A1AB7">
        <w:rPr>
          <w:rFonts w:ascii="Arial" w:hAnsi="Arial" w:cs="Arial"/>
          <w:sz w:val="20"/>
          <w:szCs w:val="20"/>
          <w:shd w:val="clear" w:color="auto" w:fill="FFFFFF"/>
        </w:rPr>
        <w:t>oraz</w:t>
      </w:r>
      <w:r w:rsidR="00086C07" w:rsidRPr="009A1AB7">
        <w:rPr>
          <w:rFonts w:ascii="Arial" w:hAnsi="Arial" w:cs="Arial"/>
          <w:sz w:val="20"/>
          <w:szCs w:val="20"/>
          <w:shd w:val="clear" w:color="auto" w:fill="FFFFFF"/>
        </w:rPr>
        <w:t xml:space="preserve"> w dyrektywie 2004/17/WE</w:t>
      </w:r>
      <w:r w:rsidR="00086C07" w:rsidRPr="009A1AB7">
        <w:rPr>
          <w:rStyle w:val="Odwoanieprzypisudolnego"/>
          <w:rFonts w:ascii="Arial" w:hAnsi="Arial" w:cs="Arial"/>
          <w:sz w:val="20"/>
          <w:szCs w:val="20"/>
          <w:shd w:val="clear" w:color="auto" w:fill="FFFFFF"/>
        </w:rPr>
        <w:footnoteReference w:id="8"/>
      </w:r>
      <w:r w:rsidR="00086C07" w:rsidRPr="009A1AB7">
        <w:rPr>
          <w:rFonts w:ascii="Arial" w:hAnsi="Arial" w:cs="Arial"/>
          <w:sz w:val="20"/>
          <w:szCs w:val="20"/>
          <w:shd w:val="clear" w:color="auto" w:fill="FFFFFF"/>
        </w:rPr>
        <w:t xml:space="preserve"> </w:t>
      </w:r>
      <w:r w:rsidR="003F77E2" w:rsidRPr="009A1AB7">
        <w:rPr>
          <w:rFonts w:ascii="Arial" w:hAnsi="Arial" w:cs="Arial"/>
          <w:sz w:val="20"/>
          <w:szCs w:val="20"/>
          <w:shd w:val="clear" w:color="auto" w:fill="FFFFFF"/>
        </w:rPr>
        <w:t>(art. 21</w:t>
      </w:r>
      <w:r w:rsidR="003F77E2" w:rsidRPr="009A1AB7">
        <w:rPr>
          <w:rStyle w:val="Odwoanieprzypisudolnego"/>
          <w:rFonts w:ascii="Arial" w:hAnsi="Arial" w:cs="Arial"/>
          <w:sz w:val="20"/>
          <w:szCs w:val="20"/>
          <w:shd w:val="clear" w:color="auto" w:fill="FFFFFF"/>
        </w:rPr>
        <w:footnoteReference w:id="9"/>
      </w:r>
      <w:r w:rsidR="003F77E2" w:rsidRPr="009A1AB7">
        <w:rPr>
          <w:rFonts w:ascii="Arial" w:hAnsi="Arial" w:cs="Arial"/>
          <w:sz w:val="20"/>
          <w:szCs w:val="20"/>
          <w:shd w:val="clear" w:color="auto" w:fill="FFFFFF"/>
        </w:rPr>
        <w:t>)</w:t>
      </w:r>
      <w:r w:rsidR="00A25FE0" w:rsidRPr="009A1AB7">
        <w:rPr>
          <w:rFonts w:ascii="Arial" w:hAnsi="Arial" w:cs="Arial"/>
          <w:sz w:val="20"/>
          <w:szCs w:val="20"/>
          <w:shd w:val="clear" w:color="auto" w:fill="FFFFFF"/>
        </w:rPr>
        <w:t xml:space="preserve">. Przy czym od czasu wejścia </w:t>
      </w:r>
      <w:r w:rsidR="007F300D">
        <w:rPr>
          <w:rFonts w:ascii="Arial" w:hAnsi="Arial" w:cs="Arial"/>
          <w:sz w:val="20"/>
          <w:szCs w:val="20"/>
          <w:shd w:val="clear" w:color="auto" w:fill="FFFFFF"/>
        </w:rPr>
        <w:br/>
      </w:r>
      <w:r w:rsidR="00A25FE0" w:rsidRPr="009A1AB7">
        <w:rPr>
          <w:rFonts w:ascii="Arial" w:hAnsi="Arial" w:cs="Arial"/>
          <w:sz w:val="20"/>
          <w:szCs w:val="20"/>
          <w:shd w:val="clear" w:color="auto" w:fill="FFFFFF"/>
        </w:rPr>
        <w:lastRenderedPageBreak/>
        <w:t>w życie</w:t>
      </w:r>
      <w:r w:rsidR="00004DE6" w:rsidRPr="009A1AB7">
        <w:rPr>
          <w:rFonts w:ascii="Arial" w:hAnsi="Arial" w:cs="Arial"/>
          <w:sz w:val="20"/>
          <w:szCs w:val="20"/>
          <w:shd w:val="clear" w:color="auto" w:fill="FFFFFF"/>
        </w:rPr>
        <w:t xml:space="preserve"> regulacj</w:t>
      </w:r>
      <w:r w:rsidR="00A25FE0" w:rsidRPr="009A1AB7">
        <w:rPr>
          <w:rFonts w:ascii="Arial" w:hAnsi="Arial" w:cs="Arial"/>
          <w:sz w:val="20"/>
          <w:szCs w:val="20"/>
          <w:shd w:val="clear" w:color="auto" w:fill="FFFFFF"/>
        </w:rPr>
        <w:t>i</w:t>
      </w:r>
      <w:r w:rsidR="00004DE6" w:rsidRPr="009A1AB7">
        <w:rPr>
          <w:rFonts w:ascii="Arial" w:hAnsi="Arial" w:cs="Arial"/>
          <w:sz w:val="20"/>
          <w:szCs w:val="20"/>
          <w:shd w:val="clear" w:color="auto" w:fill="FFFFFF"/>
        </w:rPr>
        <w:t xml:space="preserve"> przewidzian</w:t>
      </w:r>
      <w:r w:rsidR="00083C9C" w:rsidRPr="009A1AB7">
        <w:rPr>
          <w:rFonts w:ascii="Arial" w:hAnsi="Arial" w:cs="Arial"/>
          <w:sz w:val="20"/>
          <w:szCs w:val="20"/>
          <w:shd w:val="clear" w:color="auto" w:fill="FFFFFF"/>
        </w:rPr>
        <w:t>ych</w:t>
      </w:r>
      <w:r w:rsidR="00004DE6" w:rsidRPr="009A1AB7">
        <w:rPr>
          <w:rFonts w:ascii="Arial" w:hAnsi="Arial" w:cs="Arial"/>
          <w:sz w:val="20"/>
          <w:szCs w:val="20"/>
          <w:shd w:val="clear" w:color="auto" w:fill="FFFFFF"/>
        </w:rPr>
        <w:t xml:space="preserve"> dyrektyw</w:t>
      </w:r>
      <w:r w:rsidR="008F1695" w:rsidRPr="009A1AB7">
        <w:rPr>
          <w:rFonts w:ascii="Arial" w:hAnsi="Arial" w:cs="Arial"/>
          <w:sz w:val="20"/>
          <w:szCs w:val="20"/>
          <w:shd w:val="clear" w:color="auto" w:fill="FFFFFF"/>
        </w:rPr>
        <w:t xml:space="preserve">ą </w:t>
      </w:r>
      <w:r w:rsidR="008F1695" w:rsidRPr="009A1AB7">
        <w:rPr>
          <w:rFonts w:ascii="Arial" w:hAnsi="Arial" w:cs="Arial"/>
          <w:sz w:val="20"/>
          <w:szCs w:val="20"/>
        </w:rPr>
        <w:t>Parlamentu Europejskiego i Rady 2009/81/WE z dnia 13 lipca 2009 r. w sprawie koordynacji procedur udzielania niektórych zamówień na roboty budowlane, dostawy i usługi przez instytucje lub podmioty zamawiające w dziedzinach obronności i bezpieczeństwa</w:t>
      </w:r>
      <w:r w:rsidR="008F1695" w:rsidRPr="009A1AB7">
        <w:rPr>
          <w:rStyle w:val="Odwoanieprzypisudolnego"/>
          <w:rFonts w:ascii="Arial" w:hAnsi="Arial" w:cs="Arial"/>
          <w:sz w:val="20"/>
          <w:szCs w:val="20"/>
        </w:rPr>
        <w:footnoteReference w:id="10"/>
      </w:r>
      <w:r w:rsidR="00A25FE0" w:rsidRPr="009A1AB7">
        <w:rPr>
          <w:rFonts w:ascii="Arial" w:hAnsi="Arial" w:cs="Arial"/>
          <w:sz w:val="20"/>
          <w:szCs w:val="20"/>
        </w:rPr>
        <w:t xml:space="preserve">, stosowanie tych </w:t>
      </w:r>
      <w:proofErr w:type="spellStart"/>
      <w:r w:rsidR="00A25FE0" w:rsidRPr="009A1AB7">
        <w:rPr>
          <w:rFonts w:ascii="Arial" w:hAnsi="Arial" w:cs="Arial"/>
          <w:sz w:val="20"/>
          <w:szCs w:val="20"/>
        </w:rPr>
        <w:t>wyłączeń</w:t>
      </w:r>
      <w:proofErr w:type="spellEnd"/>
      <w:r w:rsidR="00A25FE0" w:rsidRPr="009A1AB7">
        <w:rPr>
          <w:rFonts w:ascii="Arial" w:hAnsi="Arial" w:cs="Arial"/>
          <w:sz w:val="20"/>
          <w:szCs w:val="20"/>
        </w:rPr>
        <w:t xml:space="preserve"> </w:t>
      </w:r>
      <w:r w:rsidR="00725E59" w:rsidRPr="009A1AB7">
        <w:rPr>
          <w:rFonts w:ascii="Arial" w:hAnsi="Arial" w:cs="Arial"/>
          <w:sz w:val="20"/>
          <w:szCs w:val="20"/>
        </w:rPr>
        <w:t>było</w:t>
      </w:r>
      <w:r w:rsidR="00083C9C" w:rsidRPr="009A1AB7">
        <w:rPr>
          <w:rFonts w:ascii="Arial" w:hAnsi="Arial" w:cs="Arial"/>
          <w:sz w:val="20"/>
          <w:szCs w:val="20"/>
        </w:rPr>
        <w:t xml:space="preserve"> </w:t>
      </w:r>
      <w:r w:rsidR="005167CC" w:rsidRPr="009A1AB7">
        <w:rPr>
          <w:rFonts w:ascii="Arial" w:hAnsi="Arial" w:cs="Arial"/>
          <w:sz w:val="20"/>
          <w:szCs w:val="20"/>
        </w:rPr>
        <w:t xml:space="preserve">już wyraźnie </w:t>
      </w:r>
      <w:r w:rsidR="005D0AB2" w:rsidRPr="009A1AB7">
        <w:rPr>
          <w:rFonts w:ascii="Arial" w:hAnsi="Arial" w:cs="Arial"/>
          <w:sz w:val="20"/>
          <w:szCs w:val="20"/>
        </w:rPr>
        <w:t xml:space="preserve">postrzegane w kontekście </w:t>
      </w:r>
      <w:r w:rsidR="00083C9C" w:rsidRPr="009A1AB7">
        <w:rPr>
          <w:rFonts w:ascii="Arial" w:hAnsi="Arial" w:cs="Arial"/>
          <w:sz w:val="20"/>
          <w:szCs w:val="20"/>
        </w:rPr>
        <w:t xml:space="preserve">przepisów </w:t>
      </w:r>
      <w:r w:rsidR="005D0AB2" w:rsidRPr="009A1AB7">
        <w:rPr>
          <w:rFonts w:ascii="Arial" w:hAnsi="Arial" w:cs="Arial"/>
          <w:sz w:val="20"/>
          <w:szCs w:val="20"/>
        </w:rPr>
        <w:t xml:space="preserve">dyrektywy 2009/81/WE </w:t>
      </w:r>
      <w:r w:rsidR="00BF2FC7" w:rsidRPr="009A1AB7">
        <w:rPr>
          <w:rFonts w:ascii="Arial" w:hAnsi="Arial" w:cs="Arial"/>
          <w:sz w:val="20"/>
          <w:szCs w:val="20"/>
        </w:rPr>
        <w:t>oraz</w:t>
      </w:r>
      <w:r w:rsidR="005D0AB2" w:rsidRPr="009A1AB7">
        <w:rPr>
          <w:rFonts w:ascii="Arial" w:hAnsi="Arial" w:cs="Arial"/>
          <w:sz w:val="20"/>
          <w:szCs w:val="20"/>
        </w:rPr>
        <w:t xml:space="preserve"> środków proporcjonalnych</w:t>
      </w:r>
      <w:r w:rsidR="008F1695" w:rsidRPr="009A1AB7">
        <w:rPr>
          <w:rFonts w:ascii="Arial" w:hAnsi="Arial" w:cs="Arial"/>
          <w:sz w:val="20"/>
          <w:szCs w:val="20"/>
          <w:shd w:val="clear" w:color="auto" w:fill="FFFFFF"/>
        </w:rPr>
        <w:t xml:space="preserve">. </w:t>
      </w:r>
    </w:p>
    <w:p w14:paraId="4EDD9546" w14:textId="31AB7725" w:rsidR="00E90941" w:rsidRPr="009A1AB7" w:rsidRDefault="005D0AB2" w:rsidP="00F423DF">
      <w:pPr>
        <w:spacing w:after="0" w:line="360" w:lineRule="auto"/>
        <w:ind w:firstLine="567"/>
        <w:rPr>
          <w:rFonts w:ascii="Arial" w:hAnsi="Arial" w:cs="Arial"/>
          <w:i/>
          <w:iCs/>
          <w:sz w:val="20"/>
          <w:szCs w:val="20"/>
        </w:rPr>
      </w:pPr>
      <w:r w:rsidRPr="009A1AB7">
        <w:rPr>
          <w:rFonts w:ascii="Arial" w:hAnsi="Arial" w:cs="Arial"/>
          <w:sz w:val="20"/>
          <w:szCs w:val="20"/>
          <w:shd w:val="clear" w:color="auto" w:fill="FFFFFF"/>
        </w:rPr>
        <w:t xml:space="preserve">W </w:t>
      </w:r>
      <w:r w:rsidRPr="009A1AB7">
        <w:rPr>
          <w:rFonts w:ascii="Arial" w:hAnsi="Arial" w:cs="Arial"/>
          <w:i/>
          <w:iCs/>
          <w:sz w:val="20"/>
          <w:szCs w:val="20"/>
          <w:shd w:val="clear" w:color="auto" w:fill="FFFFFF"/>
        </w:rPr>
        <w:t xml:space="preserve">Nocie wyjaśniającej dotyczącej zakresu stosowania </w:t>
      </w:r>
      <w:r w:rsidRPr="009A1AB7">
        <w:rPr>
          <w:rFonts w:ascii="Arial" w:hAnsi="Arial" w:cs="Arial"/>
          <w:i/>
          <w:iCs/>
          <w:sz w:val="20"/>
          <w:szCs w:val="20"/>
        </w:rPr>
        <w:t>dyrektywy 2009/81/WE w sprawie udzielania zamówień w dziedzinach obronności i bezpieczeństwa</w:t>
      </w:r>
      <w:r w:rsidR="00A40E46" w:rsidRPr="009A1AB7">
        <w:rPr>
          <w:rStyle w:val="Odwoanieprzypisudolnego"/>
          <w:rFonts w:ascii="Arial" w:hAnsi="Arial" w:cs="Arial"/>
          <w:i/>
          <w:iCs/>
          <w:sz w:val="20"/>
          <w:szCs w:val="20"/>
        </w:rPr>
        <w:footnoteReference w:id="11"/>
      </w:r>
      <w:r w:rsidR="007A7FEB" w:rsidRPr="009A1AB7">
        <w:rPr>
          <w:rFonts w:ascii="Arial" w:hAnsi="Arial" w:cs="Arial"/>
          <w:iCs/>
          <w:sz w:val="20"/>
          <w:szCs w:val="20"/>
        </w:rPr>
        <w:t xml:space="preserve">, która zachowuje aktualność również na gruncie obecnie obowiązujących dyrektyw </w:t>
      </w:r>
      <w:r w:rsidR="007A7FEB" w:rsidRPr="009A1AB7">
        <w:rPr>
          <w:rFonts w:ascii="Arial" w:hAnsi="Arial" w:cs="Arial"/>
          <w:sz w:val="20"/>
          <w:szCs w:val="20"/>
        </w:rPr>
        <w:t>2014/24/UE i 2014/25/UE,</w:t>
      </w:r>
      <w:r w:rsidRPr="009A1AB7">
        <w:rPr>
          <w:rFonts w:ascii="Arial" w:hAnsi="Arial" w:cs="Arial"/>
          <w:i/>
          <w:iCs/>
          <w:sz w:val="20"/>
          <w:szCs w:val="20"/>
        </w:rPr>
        <w:t xml:space="preserve"> </w:t>
      </w:r>
      <w:bookmarkStart w:id="0" w:name="_Hlk149052924"/>
      <w:r w:rsidRPr="009A1AB7">
        <w:rPr>
          <w:rFonts w:ascii="Arial" w:hAnsi="Arial" w:cs="Arial"/>
          <w:sz w:val="20"/>
          <w:szCs w:val="20"/>
        </w:rPr>
        <w:t xml:space="preserve">Dyrekcja Generalna ds. Rynku Wewnętrznego </w:t>
      </w:r>
      <w:r w:rsidR="007F300D">
        <w:rPr>
          <w:rFonts w:ascii="Arial" w:hAnsi="Arial" w:cs="Arial"/>
          <w:sz w:val="20"/>
          <w:szCs w:val="20"/>
        </w:rPr>
        <w:br/>
      </w:r>
      <w:r w:rsidRPr="009A1AB7">
        <w:rPr>
          <w:rFonts w:ascii="Arial" w:hAnsi="Arial" w:cs="Arial"/>
          <w:sz w:val="20"/>
          <w:szCs w:val="20"/>
        </w:rPr>
        <w:t>i Usług</w:t>
      </w:r>
      <w:bookmarkEnd w:id="0"/>
      <w:r w:rsidRPr="009A1AB7">
        <w:rPr>
          <w:rFonts w:ascii="Arial" w:hAnsi="Arial" w:cs="Arial"/>
          <w:sz w:val="20"/>
          <w:szCs w:val="20"/>
        </w:rPr>
        <w:t xml:space="preserve"> Komisji Europejskiej podkreśliła, że </w:t>
      </w:r>
      <w:r w:rsidR="00107F5C" w:rsidRPr="009A1AB7">
        <w:rPr>
          <w:rFonts w:ascii="Arial" w:hAnsi="Arial" w:cs="Arial"/>
          <w:sz w:val="20"/>
          <w:szCs w:val="20"/>
        </w:rPr>
        <w:t>„</w:t>
      </w:r>
      <w:r w:rsidRPr="009A1AB7">
        <w:rPr>
          <w:rFonts w:ascii="Arial" w:hAnsi="Arial" w:cs="Arial"/>
          <w:i/>
          <w:iCs/>
          <w:sz w:val="20"/>
          <w:szCs w:val="20"/>
        </w:rPr>
        <w:t xml:space="preserve">dyrektywa 2009/81/WE ma zastosowanie do udzielania </w:t>
      </w:r>
      <w:r w:rsidRPr="009A1AB7">
        <w:rPr>
          <w:rFonts w:ascii="Arial" w:hAnsi="Arial" w:cs="Arial"/>
          <w:i/>
          <w:iCs/>
          <w:sz w:val="20"/>
          <w:szCs w:val="20"/>
          <w:u w:val="single"/>
        </w:rPr>
        <w:t>niektórych</w:t>
      </w:r>
      <w:r w:rsidRPr="009A1AB7">
        <w:rPr>
          <w:rFonts w:ascii="Arial" w:hAnsi="Arial" w:cs="Arial"/>
          <w:i/>
          <w:iCs/>
          <w:sz w:val="20"/>
          <w:szCs w:val="20"/>
        </w:rPr>
        <w:t xml:space="preserve"> zamówień w dziedzinach obronności i bezpieczeństwa przez instytucje i podmioty zamawiające. Zamówienia udzielane przez instytucje i podmioty zamawiające w tych dziedzinach, których nie obejmuje swym zakresem dyrektywa 2009/81/WE, podlegają zasadniczo w dalszym ciągu dyrektywom 2004/17/WE oraz 2004/18/WE.</w:t>
      </w:r>
      <w:r w:rsidR="00107F5C" w:rsidRPr="009A1AB7">
        <w:rPr>
          <w:rFonts w:ascii="Arial" w:hAnsi="Arial" w:cs="Arial"/>
          <w:i/>
          <w:iCs/>
          <w:sz w:val="20"/>
          <w:szCs w:val="20"/>
        </w:rPr>
        <w:t xml:space="preserve"> (…) W związku z tym, jeżeli państwo członkowskie zamierza w oparciu o art. 346 TFUE udzielić zamówienia objętego postanowieniami dyrektywy (lub dyrektyw 2004/17/WE lub 2004/18/WE) bez przestrzegania wymogów proceduralnych określonych w tych dyrektywach, musi zagwarantować, że wybrany środek – na przykład bezpośrednie udzielenie zamówienia konkretnemu producentowi – jest niezbędne w celu ochrony jego podstawowych interesów bezpieczeństwa. Decyzja o zastosowaniu art. 346 TFUE musi zatem opierać się na jednostkowej ocenie każdego przypadku, która określa zagrożone podstawowe interesy bezpieczeństwa oraz ocenia konieczność zastosowania konkretnego środka, tj. niezastosowania dyrektywy, biorąc pod uwagę zasadę proporcjonalności oraz potrzebę ścisłej interpretacji art. 346 TFUE. W tym kontekście ważna jest świadomość, że prawo UE daje obecnie, za pośrednictwem dyrektywy 2009/81/WE, prawny instrument, który został stworzony specjalnie w celu zaspokojenia konkretnych potrzeb i wymogów zamówień w dziedzinie obronności i bezpieczeństwa. Jednakże mogą wciąż istnieć zamówienia, które na przykład wymagają spełnienia takich szczególnych warunków w zakresie bezpieczeństwa dostaw lub, które mają charakter tak tajny lub mają tak ogromne znaczenie dla suwerenności narodowej, że nawet szczególne przepisy dyrektywy 2009/81/WE nie są wystarczające, aby zabezpieczyć istotne interesy bezpieczeństwa państwa członkowskiego. W takich przypadkach dane państwo członkowskie musi zapewnić, i w razie konieczności udowodnić, że konkretny zastosowany środek jest obiektywnie właściwy dla ochrony określonych istotnych interesów bezpieczeństwa oraz, że w zakresie jakościowym i ilościowym nie wykracza poza to co jest ściśle konieczne w tym celu.</w:t>
      </w:r>
      <w:r w:rsidR="00EE3345">
        <w:rPr>
          <w:rFonts w:ascii="Arial" w:hAnsi="Arial" w:cs="Arial"/>
          <w:i/>
          <w:iCs/>
          <w:sz w:val="20"/>
          <w:szCs w:val="20"/>
        </w:rPr>
        <w:t>”</w:t>
      </w:r>
      <w:r w:rsidR="00107F5C" w:rsidRPr="009A1AB7">
        <w:rPr>
          <w:rFonts w:ascii="Arial" w:hAnsi="Arial" w:cs="Arial"/>
          <w:i/>
          <w:iCs/>
          <w:sz w:val="20"/>
          <w:szCs w:val="20"/>
        </w:rPr>
        <w:t xml:space="preserve"> </w:t>
      </w:r>
    </w:p>
    <w:p w14:paraId="634C3ADB" w14:textId="33F041B0" w:rsidR="00BD1B63" w:rsidRDefault="00BD1B63" w:rsidP="00F423DF">
      <w:pPr>
        <w:spacing w:after="0" w:line="360" w:lineRule="auto"/>
        <w:ind w:firstLine="567"/>
        <w:rPr>
          <w:rFonts w:ascii="Arial" w:hAnsi="Arial" w:cs="Arial"/>
          <w:i/>
          <w:iCs/>
          <w:sz w:val="20"/>
          <w:szCs w:val="20"/>
        </w:rPr>
      </w:pPr>
      <w:r w:rsidRPr="009A1AB7">
        <w:rPr>
          <w:rFonts w:ascii="Arial" w:hAnsi="Arial" w:cs="Arial"/>
          <w:sz w:val="20"/>
          <w:szCs w:val="20"/>
          <w:shd w:val="clear" w:color="auto" w:fill="FFFFFF"/>
        </w:rPr>
        <w:t>Wyjaśnie</w:t>
      </w:r>
      <w:r w:rsidR="00A40E46" w:rsidRPr="009A1AB7">
        <w:rPr>
          <w:rFonts w:ascii="Arial" w:hAnsi="Arial" w:cs="Arial"/>
          <w:sz w:val="20"/>
          <w:szCs w:val="20"/>
          <w:shd w:val="clear" w:color="auto" w:fill="FFFFFF"/>
        </w:rPr>
        <w:t xml:space="preserve">ń dotyczących wyłączenia </w:t>
      </w:r>
      <w:r w:rsidR="00725E59" w:rsidRPr="009A1AB7">
        <w:rPr>
          <w:rFonts w:ascii="Arial" w:hAnsi="Arial" w:cs="Arial"/>
          <w:sz w:val="20"/>
          <w:szCs w:val="20"/>
          <w:shd w:val="clear" w:color="auto" w:fill="FFFFFF"/>
        </w:rPr>
        <w:t xml:space="preserve">stosowania dyrektyw </w:t>
      </w:r>
      <w:r w:rsidR="00A40E46" w:rsidRPr="009A1AB7">
        <w:rPr>
          <w:rFonts w:ascii="Arial" w:hAnsi="Arial" w:cs="Arial"/>
          <w:sz w:val="20"/>
          <w:szCs w:val="20"/>
          <w:shd w:val="clear" w:color="auto" w:fill="FFFFFF"/>
        </w:rPr>
        <w:t xml:space="preserve">wywodzącego się z </w:t>
      </w:r>
      <w:r w:rsidR="00725E59" w:rsidRPr="009A1AB7">
        <w:rPr>
          <w:rFonts w:ascii="Arial" w:hAnsi="Arial" w:cs="Arial"/>
          <w:sz w:val="20"/>
          <w:szCs w:val="20"/>
          <w:lang w:eastAsia="pl-PL"/>
        </w:rPr>
        <w:t>art. 346 ust. 1 TFUE</w:t>
      </w:r>
      <w:r w:rsidR="00725E59" w:rsidRPr="009A1AB7">
        <w:rPr>
          <w:rFonts w:ascii="Arial" w:hAnsi="Arial" w:cs="Arial"/>
          <w:sz w:val="20"/>
          <w:szCs w:val="20"/>
          <w:shd w:val="clear" w:color="auto" w:fill="FFFFFF"/>
        </w:rPr>
        <w:t xml:space="preserve"> </w:t>
      </w:r>
      <w:r w:rsidRPr="009A1AB7">
        <w:rPr>
          <w:rFonts w:ascii="Arial" w:hAnsi="Arial" w:cs="Arial"/>
          <w:sz w:val="20"/>
          <w:szCs w:val="20"/>
          <w:shd w:val="clear" w:color="auto" w:fill="FFFFFF"/>
        </w:rPr>
        <w:t>dostarcza</w:t>
      </w:r>
      <w:r w:rsidR="00A40E46" w:rsidRPr="009A1AB7">
        <w:rPr>
          <w:rFonts w:ascii="Arial" w:hAnsi="Arial" w:cs="Arial"/>
          <w:sz w:val="20"/>
          <w:szCs w:val="20"/>
          <w:shd w:val="clear" w:color="auto" w:fill="FFFFFF"/>
        </w:rPr>
        <w:t xml:space="preserve"> również</w:t>
      </w:r>
      <w:r w:rsidRPr="009A1AB7">
        <w:rPr>
          <w:rFonts w:ascii="Arial" w:hAnsi="Arial" w:cs="Arial"/>
          <w:sz w:val="20"/>
          <w:szCs w:val="20"/>
          <w:shd w:val="clear" w:color="auto" w:fill="FFFFFF"/>
        </w:rPr>
        <w:t xml:space="preserve"> motyw 20 preambuły do dyrektywy </w:t>
      </w:r>
      <w:r w:rsidRPr="009A1AB7">
        <w:rPr>
          <w:rFonts w:ascii="Arial" w:hAnsi="Arial" w:cs="Arial"/>
          <w:sz w:val="20"/>
          <w:szCs w:val="20"/>
        </w:rPr>
        <w:t>2009/81/WE</w:t>
      </w:r>
      <w:r w:rsidR="007F300D">
        <w:rPr>
          <w:rFonts w:ascii="Arial" w:hAnsi="Arial" w:cs="Arial"/>
          <w:sz w:val="20"/>
          <w:szCs w:val="20"/>
        </w:rPr>
        <w:t>,</w:t>
      </w:r>
      <w:r w:rsidRPr="009A1AB7">
        <w:rPr>
          <w:rFonts w:ascii="Arial" w:hAnsi="Arial" w:cs="Arial"/>
          <w:sz w:val="20"/>
          <w:szCs w:val="20"/>
        </w:rPr>
        <w:t xml:space="preserve"> zgodnie z którym</w:t>
      </w:r>
      <w:r w:rsidRPr="009A1AB7">
        <w:rPr>
          <w:rFonts w:ascii="Arial" w:hAnsi="Arial" w:cs="Arial"/>
          <w:sz w:val="20"/>
          <w:szCs w:val="20"/>
          <w:shd w:val="clear" w:color="auto" w:fill="FFFFFF"/>
        </w:rPr>
        <w:t xml:space="preserve"> </w:t>
      </w:r>
      <w:r w:rsidRPr="009A1AB7">
        <w:rPr>
          <w:rFonts w:ascii="Arial" w:hAnsi="Arial" w:cs="Arial"/>
          <w:i/>
          <w:iCs/>
          <w:sz w:val="20"/>
          <w:szCs w:val="20"/>
          <w:shd w:val="clear" w:color="auto" w:fill="FFFFFF"/>
        </w:rPr>
        <w:t>„z</w:t>
      </w:r>
      <w:r w:rsidRPr="009A1AB7">
        <w:rPr>
          <w:rFonts w:ascii="Arial" w:hAnsi="Arial" w:cs="Arial"/>
          <w:i/>
          <w:iCs/>
          <w:sz w:val="20"/>
          <w:szCs w:val="20"/>
        </w:rPr>
        <w:t xml:space="preserve">amówienia w  dziedzinach obronności  i  bezpieczeństwa zawierają często poufne informacje, które na mocy przepisów ustawowych, wykonawczych  i  administracyjnych obowiązujących w danym państwie członkowskim muszą być ze względów bezpieczeństwa chronione przed dostępem ze strony osób nieupoważnionych. </w:t>
      </w:r>
      <w:r w:rsidRPr="009A1AB7">
        <w:rPr>
          <w:rFonts w:ascii="Arial" w:hAnsi="Arial" w:cs="Arial"/>
          <w:i/>
          <w:iCs/>
          <w:sz w:val="20"/>
          <w:szCs w:val="20"/>
        </w:rPr>
        <w:lastRenderedPageBreak/>
        <w:t>W dziedzinie wojskowej istnieją w  państwach członkowskich systemy opatrywania takich informacji klauzulą tajności w  celach wojskowych. W  zakresie bezpieczeństwa niewojskowego nie wszystkie państwa członkowskie posiadają system opatrywania takich informacji klauzulą tajności. W związku z tym właściwe jest zastosowanie koncepcji, która wzięłaby pod uwagę różnorodność praktyk w państwach członkowskich i która pozwoliłaby objąć zarówno aspekty wojskowe, jak i niewojskowe.(…) Ponadto art. 296 ust. 1 lit. a) Traktatu oferuje państwom członkowskim możliwość zwolnienia zamówień w dziedzinie obronności i bezpieczeństwa z obowiązku stosowania przepisów niniejszej dyrektywy, jeżeli jej zastosowanie zobligowałoby je do dostarczenia informacji, których ujawnienie uznałyby za sprzeczne z  istotnymi interesami ich bezpieczeństwa. Taka sytuacja może zaistnieć zwłaszcza w  przypadkach, gdy zamówienie jest tak newralgiczne, że nawet sam fakt jego istnienia powinien zostać objęty tajemnicą</w:t>
      </w:r>
      <w:r w:rsidR="00A40E46" w:rsidRPr="009A1AB7">
        <w:rPr>
          <w:rFonts w:ascii="Arial" w:hAnsi="Arial" w:cs="Arial"/>
          <w:i/>
          <w:iCs/>
          <w:sz w:val="20"/>
          <w:szCs w:val="20"/>
        </w:rPr>
        <w:t>.”</w:t>
      </w:r>
    </w:p>
    <w:p w14:paraId="693945CB" w14:textId="77777777" w:rsidR="00521F8A" w:rsidRPr="009A1AB7" w:rsidRDefault="00521F8A" w:rsidP="00F423DF">
      <w:pPr>
        <w:spacing w:after="0" w:line="360" w:lineRule="auto"/>
        <w:ind w:firstLine="360"/>
        <w:rPr>
          <w:rFonts w:ascii="Arial" w:hAnsi="Arial" w:cs="Arial"/>
          <w:i/>
          <w:iCs/>
          <w:sz w:val="20"/>
          <w:szCs w:val="20"/>
          <w:shd w:val="clear" w:color="auto" w:fill="FFFFFF"/>
        </w:rPr>
      </w:pPr>
    </w:p>
    <w:p w14:paraId="3D5105A5" w14:textId="202F3499" w:rsidR="006310A2" w:rsidRDefault="006310A2" w:rsidP="00F423DF">
      <w:pPr>
        <w:pStyle w:val="Nagwek1"/>
        <w:numPr>
          <w:ilvl w:val="0"/>
          <w:numId w:val="11"/>
        </w:numPr>
        <w:ind w:left="567" w:hanging="578"/>
        <w:rPr>
          <w:shd w:val="clear" w:color="auto" w:fill="FFFFFF"/>
        </w:rPr>
      </w:pPr>
      <w:r w:rsidRPr="009A1AB7">
        <w:rPr>
          <w:shd w:val="clear" w:color="auto" w:fill="FFFFFF"/>
        </w:rPr>
        <w:t xml:space="preserve">Art. 12 ust. 1 ustawy </w:t>
      </w:r>
      <w:proofErr w:type="spellStart"/>
      <w:r w:rsidRPr="009A1AB7">
        <w:rPr>
          <w:shd w:val="clear" w:color="auto" w:fill="FFFFFF"/>
        </w:rPr>
        <w:t>Pzp</w:t>
      </w:r>
      <w:proofErr w:type="spellEnd"/>
    </w:p>
    <w:p w14:paraId="4AFDFC41" w14:textId="77777777" w:rsidR="00521F8A" w:rsidRPr="00521F8A" w:rsidRDefault="00521F8A" w:rsidP="00F423DF">
      <w:pPr>
        <w:spacing w:after="0" w:line="360" w:lineRule="auto"/>
        <w:ind w:left="360"/>
        <w:rPr>
          <w:rFonts w:ascii="Arial" w:hAnsi="Arial" w:cs="Arial"/>
          <w:b/>
          <w:bCs/>
          <w:sz w:val="20"/>
          <w:szCs w:val="20"/>
          <w:shd w:val="clear" w:color="auto" w:fill="FFFFFF"/>
        </w:rPr>
      </w:pPr>
    </w:p>
    <w:p w14:paraId="6E8C5F14" w14:textId="77777777" w:rsidR="009B6A31" w:rsidRPr="009A1AB7" w:rsidRDefault="009B6A31" w:rsidP="00F423DF">
      <w:pPr>
        <w:spacing w:after="0" w:line="360" w:lineRule="auto"/>
        <w:ind w:left="567"/>
        <w:rPr>
          <w:rFonts w:ascii="Arial" w:hAnsi="Arial" w:cs="Arial"/>
          <w:color w:val="000000"/>
          <w:sz w:val="20"/>
          <w:szCs w:val="20"/>
        </w:rPr>
      </w:pPr>
      <w:r w:rsidRPr="009A1AB7">
        <w:rPr>
          <w:rFonts w:ascii="Arial" w:hAnsi="Arial" w:cs="Arial"/>
          <w:color w:val="000000"/>
          <w:sz w:val="20"/>
          <w:szCs w:val="20"/>
        </w:rPr>
        <w:t>Na podstawie art. 12 ust. 1 ustawy Pzp przepisów ustawy nie stosuje się do:</w:t>
      </w:r>
    </w:p>
    <w:p w14:paraId="1A2886E4" w14:textId="77777777" w:rsidR="009B6A31" w:rsidRPr="009A1AB7" w:rsidRDefault="009B6A31" w:rsidP="00F423DF">
      <w:pPr>
        <w:spacing w:after="0" w:line="360" w:lineRule="auto"/>
        <w:ind w:left="567"/>
        <w:rPr>
          <w:rFonts w:ascii="Arial" w:hAnsi="Arial" w:cs="Arial"/>
          <w:color w:val="000000"/>
          <w:sz w:val="20"/>
          <w:szCs w:val="20"/>
        </w:rPr>
      </w:pPr>
      <w:r w:rsidRPr="009A1AB7">
        <w:rPr>
          <w:rFonts w:ascii="Arial" w:hAnsi="Arial" w:cs="Arial"/>
          <w:color w:val="000000"/>
          <w:sz w:val="20"/>
          <w:szCs w:val="20"/>
        </w:rPr>
        <w:t>1)     zamówień lub konkursów:</w:t>
      </w:r>
    </w:p>
    <w:p w14:paraId="1FCB9FCA" w14:textId="77777777" w:rsidR="009B6A31" w:rsidRPr="009A1AB7" w:rsidRDefault="009B6A31" w:rsidP="00F423DF">
      <w:pPr>
        <w:spacing w:after="0" w:line="360" w:lineRule="auto"/>
        <w:ind w:left="1276" w:hanging="425"/>
        <w:rPr>
          <w:rFonts w:ascii="Arial" w:hAnsi="Arial" w:cs="Arial"/>
          <w:color w:val="000000"/>
          <w:sz w:val="20"/>
          <w:szCs w:val="20"/>
        </w:rPr>
      </w:pPr>
      <w:r w:rsidRPr="009A1AB7">
        <w:rPr>
          <w:rFonts w:ascii="Arial" w:hAnsi="Arial" w:cs="Arial"/>
          <w:color w:val="000000"/>
          <w:sz w:val="20"/>
          <w:szCs w:val="20"/>
        </w:rPr>
        <w:t xml:space="preserve">a)    którym nadano klauzulę zgodnie z przepisami ustawy z dnia 5 sierpnia 2010 r. </w:t>
      </w:r>
      <w:r w:rsidRPr="009A1AB7">
        <w:rPr>
          <w:rFonts w:ascii="Arial" w:hAnsi="Arial" w:cs="Arial"/>
          <w:color w:val="000000"/>
          <w:sz w:val="20"/>
          <w:szCs w:val="20"/>
        </w:rPr>
        <w:br/>
        <w:t>o ochronie informacji niejawnych lub, którym muszą towarzyszyć, na podstawie odrębnych przepisów, szczególne środki bezpieczeństwa lub</w:t>
      </w:r>
    </w:p>
    <w:p w14:paraId="61BDBC62" w14:textId="77777777" w:rsidR="009B6A31" w:rsidRPr="009A1AB7" w:rsidRDefault="009B6A31" w:rsidP="00F423DF">
      <w:pPr>
        <w:spacing w:after="0" w:line="360" w:lineRule="auto"/>
        <w:ind w:left="1276" w:hanging="425"/>
        <w:rPr>
          <w:rFonts w:ascii="Arial" w:hAnsi="Arial" w:cs="Arial"/>
          <w:color w:val="000000"/>
          <w:sz w:val="20"/>
          <w:szCs w:val="20"/>
        </w:rPr>
      </w:pPr>
      <w:r w:rsidRPr="009A1AB7">
        <w:rPr>
          <w:rFonts w:ascii="Arial" w:hAnsi="Arial" w:cs="Arial"/>
          <w:color w:val="000000"/>
          <w:sz w:val="20"/>
          <w:szCs w:val="20"/>
        </w:rPr>
        <w:t>b)     jeżeli wymaga tego istotny interes bezpieczeństwa państwa</w:t>
      </w:r>
    </w:p>
    <w:p w14:paraId="46F0D7B0" w14:textId="77777777" w:rsidR="009B6A31" w:rsidRPr="009A1AB7" w:rsidRDefault="009B6A31" w:rsidP="00F423DF">
      <w:pPr>
        <w:spacing w:after="0" w:line="360" w:lineRule="auto"/>
        <w:ind w:left="851"/>
        <w:rPr>
          <w:rFonts w:ascii="Arial" w:hAnsi="Arial" w:cs="Arial"/>
          <w:color w:val="000000"/>
          <w:sz w:val="20"/>
          <w:szCs w:val="20"/>
        </w:rPr>
      </w:pPr>
      <w:r w:rsidRPr="009A1AB7">
        <w:rPr>
          <w:rFonts w:ascii="Arial" w:hAnsi="Arial" w:cs="Arial"/>
          <w:color w:val="000000"/>
          <w:sz w:val="20"/>
          <w:szCs w:val="20"/>
        </w:rPr>
        <w:t>– w zakresie, w jakim ochrona istotnych interesów bezpieczeństwa państwa nie może zostać zagwarantowana w inny sposób, w szczególności z zastosowaniem przepisów działu VI;</w:t>
      </w:r>
    </w:p>
    <w:p w14:paraId="208F5DD8" w14:textId="3E4255D9" w:rsidR="009B6A31" w:rsidRPr="009A1AB7" w:rsidRDefault="009B6A31" w:rsidP="00F423DF">
      <w:pPr>
        <w:spacing w:after="0" w:line="360" w:lineRule="auto"/>
        <w:ind w:left="567"/>
        <w:rPr>
          <w:rFonts w:ascii="Arial" w:hAnsi="Arial" w:cs="Arial"/>
          <w:color w:val="000000"/>
          <w:sz w:val="20"/>
          <w:szCs w:val="20"/>
        </w:rPr>
      </w:pPr>
      <w:r w:rsidRPr="009A1AB7">
        <w:rPr>
          <w:rFonts w:ascii="Arial" w:hAnsi="Arial" w:cs="Arial"/>
          <w:color w:val="000000"/>
          <w:sz w:val="20"/>
          <w:szCs w:val="20"/>
        </w:rPr>
        <w:t xml:space="preserve">2)     zamówień, dotyczących produkcji lub handlu bronią, amunicją lub materiałami wojennymi, </w:t>
      </w:r>
      <w:r w:rsidRPr="009A1AB7">
        <w:rPr>
          <w:rFonts w:ascii="Arial" w:hAnsi="Arial" w:cs="Arial"/>
          <w:color w:val="000000"/>
          <w:sz w:val="20"/>
          <w:szCs w:val="20"/>
        </w:rPr>
        <w:br/>
        <w:t>o których mowa w art. 346 Traktatu o funkcjonowaniu Unii Europejskiej, jeżeli wymaga tego podstawowy interes bezpieczeństwa państwa, a udzielenie zamówienia bez zastosowania ustawy nie wpłynie negatywnie na warunki konkurencji na rynku wewnętrznym w odniesieniu do produktów, które nie są przeznaczone wyłącznie do celów wojskowych w zakresie, w jakim ochrona podstawowych interesów bezpieczeństwa państwa nie może zostać zagwarantowana w inny sposób, w szczególności z zastosowaniem przepisów działu VI.</w:t>
      </w:r>
    </w:p>
    <w:p w14:paraId="4D54AF54" w14:textId="30BF3402" w:rsidR="00C44F87" w:rsidRPr="009A1AB7" w:rsidRDefault="008E75BC" w:rsidP="00F423DF">
      <w:pPr>
        <w:spacing w:after="0" w:line="360" w:lineRule="auto"/>
        <w:ind w:firstLine="567"/>
        <w:rPr>
          <w:rFonts w:ascii="Arial" w:hAnsi="Arial" w:cs="Arial"/>
          <w:color w:val="000000"/>
          <w:sz w:val="20"/>
          <w:szCs w:val="20"/>
        </w:rPr>
      </w:pPr>
      <w:r w:rsidRPr="009A1AB7">
        <w:rPr>
          <w:rFonts w:ascii="Arial" w:hAnsi="Arial" w:cs="Arial"/>
          <w:color w:val="000000"/>
          <w:sz w:val="20"/>
          <w:szCs w:val="20"/>
        </w:rPr>
        <w:t>Przytoczony wyżej przepis art. 12 ust. 1 ustawy Pzp reguluje dw</w:t>
      </w:r>
      <w:r w:rsidR="004F1367" w:rsidRPr="009A1AB7">
        <w:rPr>
          <w:rFonts w:ascii="Arial" w:hAnsi="Arial" w:cs="Arial"/>
          <w:color w:val="000000"/>
          <w:sz w:val="20"/>
          <w:szCs w:val="20"/>
        </w:rPr>
        <w:t>a</w:t>
      </w:r>
      <w:r w:rsidRPr="009A1AB7">
        <w:rPr>
          <w:rFonts w:ascii="Arial" w:hAnsi="Arial" w:cs="Arial"/>
          <w:color w:val="000000"/>
          <w:sz w:val="20"/>
          <w:szCs w:val="20"/>
        </w:rPr>
        <w:t xml:space="preserve"> </w:t>
      </w:r>
      <w:r w:rsidR="006067E0" w:rsidRPr="009A1AB7">
        <w:rPr>
          <w:rFonts w:ascii="Arial" w:hAnsi="Arial" w:cs="Arial"/>
          <w:color w:val="000000"/>
          <w:sz w:val="20"/>
          <w:szCs w:val="20"/>
        </w:rPr>
        <w:t>rodzaje</w:t>
      </w:r>
      <w:r w:rsidRPr="009A1AB7">
        <w:rPr>
          <w:rFonts w:ascii="Arial" w:hAnsi="Arial" w:cs="Arial"/>
          <w:color w:val="000000"/>
          <w:sz w:val="20"/>
          <w:szCs w:val="20"/>
        </w:rPr>
        <w:t xml:space="preserve"> podstaw wyłączenia stosowania przepisów ustawy Pzp:</w:t>
      </w:r>
      <w:r w:rsidR="006067E0" w:rsidRPr="009A1AB7">
        <w:rPr>
          <w:rFonts w:ascii="Arial" w:hAnsi="Arial" w:cs="Arial"/>
          <w:color w:val="000000"/>
          <w:sz w:val="20"/>
          <w:szCs w:val="20"/>
        </w:rPr>
        <w:t xml:space="preserve"> podstawy</w:t>
      </w:r>
      <w:r w:rsidRPr="009A1AB7">
        <w:rPr>
          <w:rFonts w:ascii="Arial" w:hAnsi="Arial" w:cs="Arial"/>
          <w:color w:val="000000"/>
          <w:sz w:val="20"/>
          <w:szCs w:val="20"/>
        </w:rPr>
        <w:t xml:space="preserve"> ogóln</w:t>
      </w:r>
      <w:r w:rsidR="006067E0" w:rsidRPr="009A1AB7">
        <w:rPr>
          <w:rFonts w:ascii="Arial" w:hAnsi="Arial" w:cs="Arial"/>
          <w:color w:val="000000"/>
          <w:sz w:val="20"/>
          <w:szCs w:val="20"/>
        </w:rPr>
        <w:t>e</w:t>
      </w:r>
      <w:r w:rsidRPr="009A1AB7">
        <w:rPr>
          <w:rFonts w:ascii="Arial" w:hAnsi="Arial" w:cs="Arial"/>
          <w:color w:val="000000"/>
          <w:sz w:val="20"/>
          <w:szCs w:val="20"/>
        </w:rPr>
        <w:t xml:space="preserve"> </w:t>
      </w:r>
      <w:r w:rsidR="006067E0" w:rsidRPr="009A1AB7">
        <w:rPr>
          <w:rFonts w:ascii="Arial" w:hAnsi="Arial" w:cs="Arial"/>
          <w:color w:val="000000"/>
          <w:sz w:val="20"/>
          <w:szCs w:val="20"/>
        </w:rPr>
        <w:t>(art. 12 ust. 1 pkt 1 ustawy Pzp</w:t>
      </w:r>
      <w:r w:rsidR="00F05C34" w:rsidRPr="009A1AB7">
        <w:rPr>
          <w:rFonts w:ascii="Arial" w:hAnsi="Arial" w:cs="Arial"/>
          <w:color w:val="000000"/>
          <w:sz w:val="20"/>
          <w:szCs w:val="20"/>
        </w:rPr>
        <w:t>) oraz</w:t>
      </w:r>
      <w:r w:rsidRPr="009A1AB7">
        <w:rPr>
          <w:rFonts w:ascii="Arial" w:hAnsi="Arial" w:cs="Arial"/>
          <w:color w:val="000000"/>
          <w:sz w:val="20"/>
          <w:szCs w:val="20"/>
        </w:rPr>
        <w:t xml:space="preserve"> </w:t>
      </w:r>
      <w:r w:rsidR="006067E0" w:rsidRPr="009A1AB7">
        <w:rPr>
          <w:rFonts w:ascii="Arial" w:hAnsi="Arial" w:cs="Arial"/>
          <w:color w:val="000000"/>
          <w:sz w:val="20"/>
          <w:szCs w:val="20"/>
        </w:rPr>
        <w:t>podstaw</w:t>
      </w:r>
      <w:r w:rsidR="004F1367" w:rsidRPr="009A1AB7">
        <w:rPr>
          <w:rFonts w:ascii="Arial" w:hAnsi="Arial" w:cs="Arial"/>
          <w:color w:val="000000"/>
          <w:sz w:val="20"/>
          <w:szCs w:val="20"/>
        </w:rPr>
        <w:t>ę</w:t>
      </w:r>
      <w:r w:rsidR="006067E0" w:rsidRPr="009A1AB7">
        <w:rPr>
          <w:rFonts w:ascii="Arial" w:hAnsi="Arial" w:cs="Arial"/>
          <w:color w:val="000000"/>
          <w:sz w:val="20"/>
          <w:szCs w:val="20"/>
        </w:rPr>
        <w:t xml:space="preserve"> </w:t>
      </w:r>
      <w:r w:rsidR="00492372">
        <w:rPr>
          <w:rFonts w:ascii="Arial" w:hAnsi="Arial" w:cs="Arial"/>
          <w:color w:val="000000"/>
          <w:sz w:val="20"/>
          <w:szCs w:val="20"/>
        </w:rPr>
        <w:t xml:space="preserve">odnoszącą się do </w:t>
      </w:r>
      <w:r w:rsidRPr="009A1AB7">
        <w:rPr>
          <w:rFonts w:ascii="Arial" w:hAnsi="Arial" w:cs="Arial"/>
          <w:color w:val="000000"/>
          <w:sz w:val="20"/>
          <w:szCs w:val="20"/>
        </w:rPr>
        <w:t>przedmiot</w:t>
      </w:r>
      <w:r w:rsidR="00492372">
        <w:rPr>
          <w:rFonts w:ascii="Arial" w:hAnsi="Arial" w:cs="Arial"/>
          <w:color w:val="000000"/>
          <w:sz w:val="20"/>
          <w:szCs w:val="20"/>
        </w:rPr>
        <w:t>u zamówienia</w:t>
      </w:r>
      <w:r w:rsidR="006067E0" w:rsidRPr="009A1AB7">
        <w:rPr>
          <w:rFonts w:ascii="Arial" w:hAnsi="Arial" w:cs="Arial"/>
          <w:color w:val="000000"/>
          <w:sz w:val="20"/>
          <w:szCs w:val="20"/>
        </w:rPr>
        <w:t xml:space="preserve"> (art. 12 ust. 1 pkt </w:t>
      </w:r>
      <w:r w:rsidR="004F1367" w:rsidRPr="009A1AB7">
        <w:rPr>
          <w:rFonts w:ascii="Arial" w:hAnsi="Arial" w:cs="Arial"/>
          <w:color w:val="000000"/>
          <w:sz w:val="20"/>
          <w:szCs w:val="20"/>
        </w:rPr>
        <w:t>2</w:t>
      </w:r>
      <w:r w:rsidR="006067E0" w:rsidRPr="009A1AB7">
        <w:rPr>
          <w:rFonts w:ascii="Arial" w:hAnsi="Arial" w:cs="Arial"/>
          <w:color w:val="000000"/>
          <w:sz w:val="20"/>
          <w:szCs w:val="20"/>
        </w:rPr>
        <w:t xml:space="preserve"> ustawy Pzp</w:t>
      </w:r>
      <w:r w:rsidR="004F1367" w:rsidRPr="009A1AB7">
        <w:rPr>
          <w:rFonts w:ascii="Arial" w:hAnsi="Arial" w:cs="Arial"/>
          <w:color w:val="000000"/>
          <w:sz w:val="20"/>
          <w:szCs w:val="20"/>
        </w:rPr>
        <w:t>)</w:t>
      </w:r>
      <w:r w:rsidRPr="009A1AB7">
        <w:rPr>
          <w:rFonts w:ascii="Arial" w:hAnsi="Arial" w:cs="Arial"/>
          <w:color w:val="000000"/>
          <w:sz w:val="20"/>
          <w:szCs w:val="20"/>
        </w:rPr>
        <w:t xml:space="preserve">. </w:t>
      </w:r>
    </w:p>
    <w:p w14:paraId="11E44AC3" w14:textId="2DA1A0F1" w:rsidR="008E75BC" w:rsidRPr="009A1AB7" w:rsidRDefault="008E75BC" w:rsidP="00F423DF">
      <w:pPr>
        <w:spacing w:after="0" w:line="360" w:lineRule="auto"/>
        <w:ind w:firstLine="567"/>
        <w:rPr>
          <w:rFonts w:ascii="Arial" w:hAnsi="Arial" w:cs="Arial"/>
          <w:color w:val="000000"/>
          <w:sz w:val="20"/>
          <w:szCs w:val="20"/>
        </w:rPr>
      </w:pPr>
      <w:r w:rsidRPr="009A1AB7">
        <w:rPr>
          <w:rFonts w:ascii="Arial" w:hAnsi="Arial" w:cs="Arial"/>
          <w:color w:val="000000"/>
          <w:sz w:val="20"/>
          <w:szCs w:val="20"/>
        </w:rPr>
        <w:t>Podstaw</w:t>
      </w:r>
      <w:r w:rsidR="006067E0" w:rsidRPr="009A1AB7">
        <w:rPr>
          <w:rFonts w:ascii="Arial" w:hAnsi="Arial" w:cs="Arial"/>
          <w:color w:val="000000"/>
          <w:sz w:val="20"/>
          <w:szCs w:val="20"/>
        </w:rPr>
        <w:t>y</w:t>
      </w:r>
      <w:r w:rsidRPr="009A1AB7">
        <w:rPr>
          <w:rFonts w:ascii="Arial" w:hAnsi="Arial" w:cs="Arial"/>
          <w:color w:val="000000"/>
          <w:sz w:val="20"/>
          <w:szCs w:val="20"/>
        </w:rPr>
        <w:t xml:space="preserve"> wyłączenia o charakterze ogólnym odwołuj</w:t>
      </w:r>
      <w:r w:rsidR="006067E0" w:rsidRPr="009A1AB7">
        <w:rPr>
          <w:rFonts w:ascii="Arial" w:hAnsi="Arial" w:cs="Arial"/>
          <w:color w:val="000000"/>
          <w:sz w:val="20"/>
          <w:szCs w:val="20"/>
        </w:rPr>
        <w:t>ą</w:t>
      </w:r>
      <w:r w:rsidRPr="009A1AB7">
        <w:rPr>
          <w:rFonts w:ascii="Arial" w:hAnsi="Arial" w:cs="Arial"/>
          <w:color w:val="000000"/>
          <w:sz w:val="20"/>
          <w:szCs w:val="20"/>
        </w:rPr>
        <w:t xml:space="preserve"> się do szczególnych okoliczności, jakie muszą towarzyszyć udzielaniu zamówienia lub konkursowi</w:t>
      </w:r>
      <w:r w:rsidR="006067E0" w:rsidRPr="009A1AB7">
        <w:rPr>
          <w:rFonts w:ascii="Arial" w:hAnsi="Arial" w:cs="Arial"/>
          <w:color w:val="000000"/>
          <w:sz w:val="20"/>
          <w:szCs w:val="20"/>
        </w:rPr>
        <w:t>. Przepis wymienia trzy</w:t>
      </w:r>
      <w:r w:rsidR="00C44F87" w:rsidRPr="009A1AB7">
        <w:rPr>
          <w:rFonts w:ascii="Arial" w:hAnsi="Arial" w:cs="Arial"/>
          <w:color w:val="000000"/>
          <w:sz w:val="20"/>
          <w:szCs w:val="20"/>
        </w:rPr>
        <w:t xml:space="preserve"> odrębne</w:t>
      </w:r>
      <w:r w:rsidR="00492372">
        <w:rPr>
          <w:rFonts w:ascii="Arial" w:hAnsi="Arial" w:cs="Arial"/>
          <w:color w:val="000000"/>
          <w:sz w:val="20"/>
          <w:szCs w:val="20"/>
        </w:rPr>
        <w:t xml:space="preserve"> </w:t>
      </w:r>
      <w:r w:rsidR="00C44F87" w:rsidRPr="009A1AB7">
        <w:rPr>
          <w:rFonts w:ascii="Arial" w:hAnsi="Arial" w:cs="Arial"/>
          <w:color w:val="000000"/>
          <w:sz w:val="20"/>
          <w:szCs w:val="20"/>
        </w:rPr>
        <w:t>podstawy wyłączenia</w:t>
      </w:r>
      <w:r w:rsidRPr="009A1AB7">
        <w:rPr>
          <w:rFonts w:ascii="Arial" w:hAnsi="Arial" w:cs="Arial"/>
          <w:color w:val="000000"/>
          <w:sz w:val="20"/>
          <w:szCs w:val="20"/>
        </w:rPr>
        <w:t xml:space="preserve">: </w:t>
      </w:r>
      <w:r w:rsidR="00492372">
        <w:rPr>
          <w:rFonts w:ascii="Arial" w:hAnsi="Arial" w:cs="Arial"/>
          <w:color w:val="000000"/>
          <w:sz w:val="20"/>
          <w:szCs w:val="20"/>
        </w:rPr>
        <w:br/>
      </w:r>
      <w:r w:rsidR="00C44F87" w:rsidRPr="009A1AB7">
        <w:rPr>
          <w:rFonts w:ascii="Arial" w:hAnsi="Arial" w:cs="Arial"/>
          <w:color w:val="000000"/>
          <w:sz w:val="20"/>
          <w:szCs w:val="20"/>
        </w:rPr>
        <w:t xml:space="preserve">1) </w:t>
      </w:r>
      <w:r w:rsidRPr="009A1AB7">
        <w:rPr>
          <w:rFonts w:ascii="Arial" w:hAnsi="Arial" w:cs="Arial"/>
          <w:color w:val="000000"/>
          <w:sz w:val="20"/>
          <w:szCs w:val="20"/>
        </w:rPr>
        <w:t>nadanie zamówieniu lub konkursowi klauzuli tajności zgodnie z przepisami ustawy z dnia 5 sierpnia 2010 r. o ochronie informacji niejawnych,</w:t>
      </w:r>
      <w:r w:rsidR="00C44F87" w:rsidRPr="009A1AB7">
        <w:rPr>
          <w:rFonts w:ascii="Arial" w:hAnsi="Arial" w:cs="Arial"/>
          <w:color w:val="000000"/>
          <w:sz w:val="20"/>
          <w:szCs w:val="20"/>
        </w:rPr>
        <w:t xml:space="preserve"> 2) gdy zamówieniu lub konkursowi</w:t>
      </w:r>
      <w:r w:rsidRPr="009A1AB7">
        <w:rPr>
          <w:rFonts w:ascii="Arial" w:hAnsi="Arial" w:cs="Arial"/>
          <w:color w:val="000000"/>
          <w:sz w:val="20"/>
          <w:szCs w:val="20"/>
        </w:rPr>
        <w:t xml:space="preserve"> </w:t>
      </w:r>
      <w:r w:rsidR="00C44F87" w:rsidRPr="009A1AB7">
        <w:rPr>
          <w:rFonts w:ascii="Arial" w:hAnsi="Arial" w:cs="Arial"/>
          <w:color w:val="000000"/>
          <w:sz w:val="20"/>
          <w:szCs w:val="20"/>
        </w:rPr>
        <w:t xml:space="preserve">muszą towarzyszyć, na podstawie odrębnych przepisów, szczególne środki bezpieczeństwa, oraz 3) jeżeli wymaga tego istotny interes bezpieczeństwa państwa. </w:t>
      </w:r>
      <w:r w:rsidR="00492372">
        <w:rPr>
          <w:rFonts w:ascii="Arial" w:hAnsi="Arial" w:cs="Arial"/>
          <w:color w:val="000000"/>
          <w:sz w:val="20"/>
          <w:szCs w:val="20"/>
        </w:rPr>
        <w:t xml:space="preserve">Warunkiem zastosowania wyłączenia ustawy Pzp w oparciu o </w:t>
      </w:r>
      <w:r w:rsidR="00F84CCD">
        <w:rPr>
          <w:rFonts w:ascii="Arial" w:hAnsi="Arial" w:cs="Arial"/>
          <w:color w:val="000000"/>
          <w:sz w:val="20"/>
          <w:szCs w:val="20"/>
        </w:rPr>
        <w:t>każdą z</w:t>
      </w:r>
      <w:r w:rsidR="00AB2AD0">
        <w:rPr>
          <w:rFonts w:ascii="Arial" w:hAnsi="Arial" w:cs="Arial"/>
          <w:color w:val="000000"/>
          <w:sz w:val="20"/>
          <w:szCs w:val="20"/>
        </w:rPr>
        <w:t>e</w:t>
      </w:r>
      <w:r w:rsidR="00F84CCD">
        <w:rPr>
          <w:rFonts w:ascii="Arial" w:hAnsi="Arial" w:cs="Arial"/>
          <w:color w:val="000000"/>
          <w:sz w:val="20"/>
          <w:szCs w:val="20"/>
        </w:rPr>
        <w:t xml:space="preserve"> </w:t>
      </w:r>
      <w:r w:rsidR="00AB2AD0">
        <w:rPr>
          <w:rFonts w:ascii="Arial" w:hAnsi="Arial" w:cs="Arial"/>
          <w:color w:val="000000"/>
          <w:sz w:val="20"/>
          <w:szCs w:val="20"/>
        </w:rPr>
        <w:t xml:space="preserve">wskazanych wyżej </w:t>
      </w:r>
      <w:r w:rsidR="00492372">
        <w:rPr>
          <w:rFonts w:ascii="Arial" w:hAnsi="Arial" w:cs="Arial"/>
          <w:color w:val="000000"/>
          <w:sz w:val="20"/>
          <w:szCs w:val="20"/>
        </w:rPr>
        <w:t>podstaw jest</w:t>
      </w:r>
      <w:r w:rsidR="00F84CCD">
        <w:rPr>
          <w:rFonts w:ascii="Arial" w:hAnsi="Arial" w:cs="Arial"/>
          <w:color w:val="000000"/>
          <w:sz w:val="20"/>
          <w:szCs w:val="20"/>
        </w:rPr>
        <w:t xml:space="preserve"> dokonanie przez </w:t>
      </w:r>
      <w:r w:rsidR="00492372">
        <w:rPr>
          <w:rFonts w:ascii="Arial" w:hAnsi="Arial" w:cs="Arial"/>
          <w:color w:val="000000"/>
          <w:sz w:val="20"/>
          <w:szCs w:val="20"/>
        </w:rPr>
        <w:t>zamawiając</w:t>
      </w:r>
      <w:r w:rsidR="00F84CCD">
        <w:rPr>
          <w:rFonts w:ascii="Arial" w:hAnsi="Arial" w:cs="Arial"/>
          <w:color w:val="000000"/>
          <w:sz w:val="20"/>
          <w:szCs w:val="20"/>
        </w:rPr>
        <w:t>ego</w:t>
      </w:r>
      <w:r w:rsidR="00492372">
        <w:rPr>
          <w:rFonts w:ascii="Arial" w:hAnsi="Arial" w:cs="Arial"/>
          <w:color w:val="000000"/>
          <w:sz w:val="20"/>
          <w:szCs w:val="20"/>
        </w:rPr>
        <w:t xml:space="preserve"> ustal</w:t>
      </w:r>
      <w:r w:rsidR="00F84CCD">
        <w:rPr>
          <w:rFonts w:ascii="Arial" w:hAnsi="Arial" w:cs="Arial"/>
          <w:color w:val="000000"/>
          <w:sz w:val="20"/>
          <w:szCs w:val="20"/>
        </w:rPr>
        <w:t>enia</w:t>
      </w:r>
      <w:r w:rsidR="00492372">
        <w:rPr>
          <w:rFonts w:ascii="Arial" w:hAnsi="Arial" w:cs="Arial"/>
          <w:color w:val="000000"/>
          <w:sz w:val="20"/>
          <w:szCs w:val="20"/>
        </w:rPr>
        <w:t xml:space="preserve">, iż </w:t>
      </w:r>
      <w:r w:rsidR="00C44F87" w:rsidRPr="009A1AB7">
        <w:rPr>
          <w:rFonts w:ascii="Arial" w:hAnsi="Arial" w:cs="Arial"/>
          <w:color w:val="000000"/>
          <w:sz w:val="20"/>
          <w:szCs w:val="20"/>
        </w:rPr>
        <w:t xml:space="preserve">ochrona istotnych interesów </w:t>
      </w:r>
      <w:r w:rsidR="00C44F87" w:rsidRPr="009A1AB7">
        <w:rPr>
          <w:rFonts w:ascii="Arial" w:hAnsi="Arial" w:cs="Arial"/>
          <w:color w:val="000000"/>
          <w:sz w:val="20"/>
          <w:szCs w:val="20"/>
        </w:rPr>
        <w:lastRenderedPageBreak/>
        <w:t xml:space="preserve">bezpieczeństwa państwa </w:t>
      </w:r>
      <w:r w:rsidR="00F84CCD">
        <w:rPr>
          <w:rFonts w:ascii="Arial" w:hAnsi="Arial" w:cs="Arial"/>
          <w:color w:val="000000"/>
          <w:sz w:val="20"/>
          <w:szCs w:val="20"/>
        </w:rPr>
        <w:t xml:space="preserve">przy udzielaniu zamówienia albo organizacji konkursu </w:t>
      </w:r>
      <w:r w:rsidR="00C44F87" w:rsidRPr="009A1AB7">
        <w:rPr>
          <w:rFonts w:ascii="Arial" w:hAnsi="Arial" w:cs="Arial"/>
          <w:color w:val="000000"/>
          <w:sz w:val="20"/>
          <w:szCs w:val="20"/>
        </w:rPr>
        <w:t>nie może zostać zagwarantowana w inny sposób</w:t>
      </w:r>
      <w:r w:rsidR="00F84CCD">
        <w:rPr>
          <w:rFonts w:ascii="Arial" w:hAnsi="Arial" w:cs="Arial"/>
          <w:color w:val="000000"/>
          <w:sz w:val="20"/>
          <w:szCs w:val="20"/>
        </w:rPr>
        <w:t xml:space="preserve"> niż przez wyłączenie ustawy Pzp</w:t>
      </w:r>
      <w:r w:rsidR="00C44F87" w:rsidRPr="009A1AB7">
        <w:rPr>
          <w:rFonts w:ascii="Arial" w:hAnsi="Arial" w:cs="Arial"/>
          <w:color w:val="000000"/>
          <w:sz w:val="20"/>
          <w:szCs w:val="20"/>
        </w:rPr>
        <w:t xml:space="preserve">, w szczególności </w:t>
      </w:r>
      <w:r w:rsidR="00AB2AD0">
        <w:rPr>
          <w:rFonts w:ascii="Arial" w:hAnsi="Arial" w:cs="Arial"/>
          <w:color w:val="000000"/>
          <w:sz w:val="20"/>
          <w:szCs w:val="20"/>
        </w:rPr>
        <w:t xml:space="preserve">nawet </w:t>
      </w:r>
      <w:r w:rsidR="00C44F87" w:rsidRPr="009A1AB7">
        <w:rPr>
          <w:rFonts w:ascii="Arial" w:hAnsi="Arial" w:cs="Arial"/>
          <w:color w:val="000000"/>
          <w:sz w:val="20"/>
          <w:szCs w:val="20"/>
        </w:rPr>
        <w:t xml:space="preserve">z zastosowaniem przepisów działu VI, a więc przepisów dotyczących udzielania zamówień w dziedzinach obronności </w:t>
      </w:r>
      <w:r w:rsidR="00AB2AD0">
        <w:rPr>
          <w:rFonts w:ascii="Arial" w:hAnsi="Arial" w:cs="Arial"/>
          <w:color w:val="000000"/>
          <w:sz w:val="20"/>
          <w:szCs w:val="20"/>
        </w:rPr>
        <w:br/>
      </w:r>
      <w:r w:rsidR="00C44F87" w:rsidRPr="009A1AB7">
        <w:rPr>
          <w:rFonts w:ascii="Arial" w:hAnsi="Arial" w:cs="Arial"/>
          <w:color w:val="000000"/>
          <w:sz w:val="20"/>
          <w:szCs w:val="20"/>
        </w:rPr>
        <w:t xml:space="preserve">i bezpieczeństwa. </w:t>
      </w:r>
    </w:p>
    <w:p w14:paraId="711108EA" w14:textId="3B1F1FFB" w:rsidR="00F05C34" w:rsidRPr="009A1AB7" w:rsidRDefault="00F05C34" w:rsidP="00F423DF">
      <w:pPr>
        <w:spacing w:after="0" w:line="360" w:lineRule="auto"/>
        <w:ind w:firstLine="567"/>
        <w:rPr>
          <w:rFonts w:ascii="Arial" w:hAnsi="Arial" w:cs="Arial"/>
          <w:sz w:val="20"/>
          <w:szCs w:val="20"/>
        </w:rPr>
      </w:pPr>
      <w:r w:rsidRPr="009A1AB7">
        <w:rPr>
          <w:rFonts w:ascii="Arial" w:hAnsi="Arial" w:cs="Arial"/>
          <w:sz w:val="20"/>
          <w:szCs w:val="20"/>
        </w:rPr>
        <w:t xml:space="preserve">Stosownie do art. 1 ust. 1 zdanie wstępne </w:t>
      </w:r>
      <w:r w:rsidRPr="009A1AB7">
        <w:rPr>
          <w:rFonts w:ascii="Arial" w:hAnsi="Arial" w:cs="Arial"/>
          <w:i/>
          <w:sz w:val="20"/>
          <w:szCs w:val="20"/>
        </w:rPr>
        <w:t>ustawy z dnia 5 sierpnia 2010 r. o ochronie informacji niejawnych</w:t>
      </w:r>
      <w:r w:rsidR="00915941">
        <w:rPr>
          <w:rStyle w:val="Odwoanieprzypisudolnego"/>
          <w:rFonts w:ascii="Arial" w:hAnsi="Arial" w:cs="Arial"/>
          <w:i/>
          <w:sz w:val="20"/>
          <w:szCs w:val="20"/>
        </w:rPr>
        <w:footnoteReference w:id="12"/>
      </w:r>
      <w:r w:rsidRPr="009A1AB7">
        <w:rPr>
          <w:rFonts w:ascii="Arial" w:hAnsi="Arial" w:cs="Arial"/>
          <w:sz w:val="20"/>
          <w:szCs w:val="20"/>
        </w:rPr>
        <w:t xml:space="preserve">, przez informacje niejawne należy rozumieć informacje, których nieuprawnione ujawnienie spowodowałoby lub mogłoby spowodować szkody dla Rzeczypospolitej Polskiej albo byłoby z punktu widzenia jej interesów niekorzystne, także w trakcie ich opracowywania oraz niezależnie od formy i sposobu ich wyrażania. Przepis art. 12 ust. 1 pkt 1 lit. a ustawy Pzp nie ogranicza wyłączenia do wybranych rodzajów klauzuli tajności, </w:t>
      </w:r>
      <w:r w:rsidR="002533D2">
        <w:rPr>
          <w:rFonts w:ascii="Arial" w:hAnsi="Arial" w:cs="Arial"/>
          <w:sz w:val="20"/>
          <w:szCs w:val="20"/>
        </w:rPr>
        <w:t>spośród</w:t>
      </w:r>
      <w:r w:rsidRPr="009A1AB7">
        <w:rPr>
          <w:rFonts w:ascii="Arial" w:hAnsi="Arial" w:cs="Arial"/>
          <w:sz w:val="20"/>
          <w:szCs w:val="20"/>
        </w:rPr>
        <w:t xml:space="preserve"> wymienion</w:t>
      </w:r>
      <w:r w:rsidR="002533D2">
        <w:rPr>
          <w:rFonts w:ascii="Arial" w:hAnsi="Arial" w:cs="Arial"/>
          <w:sz w:val="20"/>
          <w:szCs w:val="20"/>
        </w:rPr>
        <w:t>ych</w:t>
      </w:r>
      <w:r w:rsidRPr="009A1AB7">
        <w:rPr>
          <w:rFonts w:ascii="Arial" w:hAnsi="Arial" w:cs="Arial"/>
          <w:sz w:val="20"/>
          <w:szCs w:val="20"/>
        </w:rPr>
        <w:t xml:space="preserve"> w art. 5 ustawy o ochronie informacji niejawnych, niemniej, jak zostało wskazane wyżej, </w:t>
      </w:r>
      <w:r w:rsidRPr="009A1AB7">
        <w:rPr>
          <w:rFonts w:ascii="Arial" w:hAnsi="Arial" w:cs="Arial"/>
          <w:color w:val="000000"/>
          <w:sz w:val="20"/>
          <w:szCs w:val="20"/>
        </w:rPr>
        <w:t xml:space="preserve">u podstaw zastosowanego wyłączenia powinna leżeć ochrona istotnych interesów bezpieczeństwa państwa i brak możliwości zastosowania przepisów z zakresu obronności i bezpieczeństwa. Sam fakt objęcia zamówienia lub konkursu klauzulą tajności może </w:t>
      </w:r>
      <w:r w:rsidR="00F84CCD">
        <w:rPr>
          <w:rFonts w:ascii="Arial" w:hAnsi="Arial" w:cs="Arial"/>
          <w:color w:val="000000"/>
          <w:sz w:val="20"/>
          <w:szCs w:val="20"/>
        </w:rPr>
        <w:t xml:space="preserve">zatem </w:t>
      </w:r>
      <w:r w:rsidRPr="009A1AB7">
        <w:rPr>
          <w:rFonts w:ascii="Arial" w:hAnsi="Arial" w:cs="Arial"/>
          <w:color w:val="000000"/>
          <w:sz w:val="20"/>
          <w:szCs w:val="20"/>
        </w:rPr>
        <w:t xml:space="preserve">nie być wystarczający dla zastosowania </w:t>
      </w:r>
      <w:r w:rsidR="00AB2AD0">
        <w:rPr>
          <w:rFonts w:ascii="Arial" w:hAnsi="Arial" w:cs="Arial"/>
          <w:color w:val="000000"/>
          <w:sz w:val="20"/>
          <w:szCs w:val="20"/>
        </w:rPr>
        <w:t xml:space="preserve">tego </w:t>
      </w:r>
      <w:r w:rsidRPr="009A1AB7">
        <w:rPr>
          <w:rFonts w:ascii="Arial" w:hAnsi="Arial" w:cs="Arial"/>
          <w:color w:val="000000"/>
          <w:sz w:val="20"/>
          <w:szCs w:val="20"/>
        </w:rPr>
        <w:t xml:space="preserve">wyłączenia. </w:t>
      </w:r>
    </w:p>
    <w:p w14:paraId="530103AF" w14:textId="37698810" w:rsidR="00F05C34" w:rsidRDefault="00F05C34" w:rsidP="00F423DF">
      <w:pPr>
        <w:spacing w:after="0" w:line="360" w:lineRule="auto"/>
        <w:ind w:firstLine="567"/>
        <w:rPr>
          <w:rFonts w:ascii="Arial" w:hAnsi="Arial" w:cs="Arial"/>
          <w:color w:val="000000"/>
          <w:sz w:val="20"/>
          <w:szCs w:val="20"/>
        </w:rPr>
      </w:pPr>
      <w:r w:rsidRPr="009A1AB7">
        <w:rPr>
          <w:rFonts w:ascii="Arial" w:hAnsi="Arial" w:cs="Arial"/>
          <w:color w:val="000000"/>
          <w:sz w:val="20"/>
          <w:szCs w:val="20"/>
        </w:rPr>
        <w:t xml:space="preserve">Wyłączenie ustawy </w:t>
      </w:r>
      <w:r w:rsidR="00F84CCD">
        <w:rPr>
          <w:rFonts w:ascii="Arial" w:hAnsi="Arial" w:cs="Arial"/>
          <w:color w:val="000000"/>
          <w:sz w:val="20"/>
          <w:szCs w:val="20"/>
        </w:rPr>
        <w:t xml:space="preserve">Pzp </w:t>
      </w:r>
      <w:r w:rsidRPr="009A1AB7">
        <w:rPr>
          <w:rFonts w:ascii="Arial" w:hAnsi="Arial" w:cs="Arial"/>
          <w:color w:val="000000"/>
          <w:sz w:val="20"/>
          <w:szCs w:val="20"/>
        </w:rPr>
        <w:t xml:space="preserve">ze względu na szczególne środki bezpieczeństwa przewidziane przez odrębne przepisy, o którym mowa w art. 12 ust. 1 pkt 1 lit. b ustawy Pzp, odwołuje się do szczególnych regulacji prawnych wymagających </w:t>
      </w:r>
      <w:r w:rsidR="002D6435" w:rsidRPr="009A1AB7">
        <w:rPr>
          <w:rFonts w:ascii="Arial" w:hAnsi="Arial" w:cs="Arial"/>
          <w:color w:val="000000"/>
          <w:sz w:val="20"/>
          <w:szCs w:val="20"/>
        </w:rPr>
        <w:t>ochrony informacji w odniesieniu do niektórych rodzajów zamówień.</w:t>
      </w:r>
      <w:r w:rsidR="00941DB7">
        <w:rPr>
          <w:rFonts w:ascii="Arial" w:hAnsi="Arial" w:cs="Arial"/>
          <w:color w:val="000000"/>
          <w:sz w:val="20"/>
          <w:szCs w:val="20"/>
        </w:rPr>
        <w:t xml:space="preserve"> Wśród przepisów, które mogą stanowić (po dokonaniu przez zamawiającego odpowiednich ustaleń w odniesieniu do konkretnego zamówienia) podstawę wyłączenia z uwagi na szczególne środki bezpieczeństwa w nich przewidziane można wymienić </w:t>
      </w:r>
      <w:r w:rsidR="00AB7BFC">
        <w:rPr>
          <w:rFonts w:ascii="Arial" w:hAnsi="Arial" w:cs="Arial"/>
          <w:color w:val="000000"/>
          <w:sz w:val="20"/>
          <w:szCs w:val="20"/>
        </w:rPr>
        <w:t xml:space="preserve">przepisy wydane </w:t>
      </w:r>
      <w:r w:rsidR="00941DB7">
        <w:rPr>
          <w:rFonts w:ascii="Arial" w:hAnsi="Arial" w:cs="Arial"/>
          <w:color w:val="000000"/>
          <w:sz w:val="20"/>
          <w:szCs w:val="20"/>
        </w:rPr>
        <w:t>w odniesieniu do terenów zamkniętych niezbędnych dla obronności państwa w oparciu o przepisy ustawy z dnia 17 maja 1987</w:t>
      </w:r>
      <w:r w:rsidR="00AB7BFC">
        <w:rPr>
          <w:rFonts w:ascii="Arial" w:hAnsi="Arial" w:cs="Arial"/>
          <w:color w:val="000000"/>
          <w:sz w:val="20"/>
          <w:szCs w:val="20"/>
        </w:rPr>
        <w:t xml:space="preserve"> r.</w:t>
      </w:r>
      <w:r w:rsidR="00941DB7">
        <w:rPr>
          <w:rFonts w:ascii="Arial" w:hAnsi="Arial" w:cs="Arial"/>
          <w:color w:val="000000"/>
          <w:sz w:val="20"/>
          <w:szCs w:val="20"/>
        </w:rPr>
        <w:t xml:space="preserve"> - Prawo geodezyjne i kartograficzne</w:t>
      </w:r>
      <w:r w:rsidR="00941DB7">
        <w:rPr>
          <w:rStyle w:val="Odwoanieprzypisudolnego"/>
          <w:rFonts w:ascii="Arial" w:hAnsi="Arial" w:cs="Arial"/>
          <w:color w:val="000000"/>
          <w:sz w:val="20"/>
          <w:szCs w:val="20"/>
        </w:rPr>
        <w:footnoteReference w:id="13"/>
      </w:r>
      <w:r w:rsidR="00AB7BFC">
        <w:rPr>
          <w:rFonts w:ascii="Arial" w:hAnsi="Arial" w:cs="Arial"/>
          <w:color w:val="000000"/>
          <w:sz w:val="20"/>
          <w:szCs w:val="20"/>
        </w:rPr>
        <w:t>.</w:t>
      </w:r>
    </w:p>
    <w:p w14:paraId="132E674C" w14:textId="4AC38322" w:rsidR="00AB7BFC" w:rsidRDefault="00AB7BFC" w:rsidP="00F423DF">
      <w:pPr>
        <w:spacing w:after="0" w:line="360" w:lineRule="auto"/>
        <w:ind w:firstLine="567"/>
        <w:rPr>
          <w:rFonts w:ascii="Arial" w:hAnsi="Arial" w:cs="Arial"/>
          <w:color w:val="000000"/>
          <w:sz w:val="20"/>
          <w:szCs w:val="20"/>
        </w:rPr>
      </w:pPr>
      <w:r>
        <w:rPr>
          <w:rFonts w:ascii="Arial" w:hAnsi="Arial" w:cs="Arial"/>
          <w:color w:val="000000"/>
          <w:sz w:val="20"/>
          <w:szCs w:val="20"/>
        </w:rPr>
        <w:t xml:space="preserve">Podstawa wyłączenia odwołująca się do konieczności </w:t>
      </w:r>
      <w:r w:rsidR="00C47389">
        <w:rPr>
          <w:rFonts w:ascii="Arial" w:hAnsi="Arial" w:cs="Arial"/>
          <w:color w:val="000000"/>
          <w:sz w:val="20"/>
          <w:szCs w:val="20"/>
        </w:rPr>
        <w:t xml:space="preserve">odstąpienia od </w:t>
      </w:r>
      <w:r>
        <w:rPr>
          <w:rFonts w:ascii="Arial" w:hAnsi="Arial" w:cs="Arial"/>
          <w:color w:val="000000"/>
          <w:sz w:val="20"/>
          <w:szCs w:val="20"/>
        </w:rPr>
        <w:t xml:space="preserve">stosowania przepisów ustawy Pzp ze względu </w:t>
      </w:r>
      <w:r w:rsidRPr="009A1AB7">
        <w:rPr>
          <w:rFonts w:ascii="Arial" w:hAnsi="Arial" w:cs="Arial"/>
          <w:color w:val="000000"/>
          <w:sz w:val="20"/>
          <w:szCs w:val="20"/>
        </w:rPr>
        <w:t>istotny interes bezpieczeństwa państwa</w:t>
      </w:r>
      <w:r>
        <w:rPr>
          <w:rFonts w:ascii="Arial" w:hAnsi="Arial" w:cs="Arial"/>
          <w:color w:val="000000"/>
          <w:sz w:val="20"/>
          <w:szCs w:val="20"/>
        </w:rPr>
        <w:t xml:space="preserve"> stanowi w istocie dopełnienie dwóch poprzedzających podstaw wyłączenia stosowania ustawy Pzp o wszystkie inne przypadki, które nie łączą się z </w:t>
      </w:r>
      <w:r w:rsidRPr="009A1AB7">
        <w:rPr>
          <w:rFonts w:ascii="Arial" w:hAnsi="Arial" w:cs="Arial"/>
          <w:color w:val="000000"/>
          <w:sz w:val="20"/>
          <w:szCs w:val="20"/>
        </w:rPr>
        <w:t>nadanie</w:t>
      </w:r>
      <w:r>
        <w:rPr>
          <w:rFonts w:ascii="Arial" w:hAnsi="Arial" w:cs="Arial"/>
          <w:color w:val="000000"/>
          <w:sz w:val="20"/>
          <w:szCs w:val="20"/>
        </w:rPr>
        <w:t>m</w:t>
      </w:r>
      <w:r w:rsidRPr="009A1AB7">
        <w:rPr>
          <w:rFonts w:ascii="Arial" w:hAnsi="Arial" w:cs="Arial"/>
          <w:color w:val="000000"/>
          <w:sz w:val="20"/>
          <w:szCs w:val="20"/>
        </w:rPr>
        <w:t xml:space="preserve"> klauzuli tajności </w:t>
      </w:r>
      <w:r>
        <w:rPr>
          <w:rFonts w:ascii="Arial" w:hAnsi="Arial" w:cs="Arial"/>
          <w:color w:val="000000"/>
          <w:sz w:val="20"/>
          <w:szCs w:val="20"/>
        </w:rPr>
        <w:t>ani z zastosowaniem</w:t>
      </w:r>
      <w:r w:rsidRPr="009A1AB7">
        <w:rPr>
          <w:rFonts w:ascii="Arial" w:hAnsi="Arial" w:cs="Arial"/>
          <w:color w:val="000000"/>
          <w:sz w:val="20"/>
          <w:szCs w:val="20"/>
        </w:rPr>
        <w:t xml:space="preserve"> odrębnych przepisów</w:t>
      </w:r>
      <w:r w:rsidR="008167E4">
        <w:rPr>
          <w:rFonts w:ascii="Arial" w:hAnsi="Arial" w:cs="Arial"/>
          <w:color w:val="000000"/>
          <w:sz w:val="20"/>
          <w:szCs w:val="20"/>
        </w:rPr>
        <w:t xml:space="preserve"> wprowadzających </w:t>
      </w:r>
      <w:r>
        <w:rPr>
          <w:rFonts w:ascii="Arial" w:hAnsi="Arial" w:cs="Arial"/>
          <w:color w:val="000000"/>
          <w:sz w:val="20"/>
          <w:szCs w:val="20"/>
        </w:rPr>
        <w:t>s</w:t>
      </w:r>
      <w:r w:rsidRPr="009A1AB7">
        <w:rPr>
          <w:rFonts w:ascii="Arial" w:hAnsi="Arial" w:cs="Arial"/>
          <w:color w:val="000000"/>
          <w:sz w:val="20"/>
          <w:szCs w:val="20"/>
        </w:rPr>
        <w:t>zczególne środki bezpieczeństwa</w:t>
      </w:r>
      <w:r>
        <w:rPr>
          <w:rFonts w:ascii="Arial" w:hAnsi="Arial" w:cs="Arial"/>
          <w:color w:val="000000"/>
          <w:sz w:val="20"/>
          <w:szCs w:val="20"/>
        </w:rPr>
        <w:t xml:space="preserve">, </w:t>
      </w:r>
      <w:r w:rsidR="009247D8">
        <w:rPr>
          <w:rFonts w:ascii="Arial" w:hAnsi="Arial" w:cs="Arial"/>
          <w:color w:val="000000"/>
          <w:sz w:val="20"/>
          <w:szCs w:val="20"/>
        </w:rPr>
        <w:t>a również mają na celu ochronę istotnego interesu bezpieczeństwa państwa</w:t>
      </w:r>
      <w:r>
        <w:rPr>
          <w:rFonts w:ascii="Arial" w:hAnsi="Arial" w:cs="Arial"/>
          <w:color w:val="000000"/>
          <w:sz w:val="20"/>
          <w:szCs w:val="20"/>
        </w:rPr>
        <w:t>.</w:t>
      </w:r>
      <w:r w:rsidR="009247D8">
        <w:rPr>
          <w:rFonts w:ascii="Arial" w:hAnsi="Arial" w:cs="Arial"/>
          <w:color w:val="000000"/>
          <w:sz w:val="20"/>
          <w:szCs w:val="20"/>
        </w:rPr>
        <w:t xml:space="preserve"> </w:t>
      </w:r>
    </w:p>
    <w:p w14:paraId="417F16B4" w14:textId="77777777" w:rsidR="005B1004" w:rsidRPr="009A1AB7" w:rsidRDefault="005B1004" w:rsidP="00F423DF">
      <w:pPr>
        <w:spacing w:after="0" w:line="360" w:lineRule="auto"/>
        <w:ind w:firstLine="567"/>
        <w:rPr>
          <w:rFonts w:ascii="Arial" w:hAnsi="Arial" w:cs="Arial"/>
          <w:sz w:val="20"/>
          <w:szCs w:val="20"/>
        </w:rPr>
      </w:pPr>
      <w:r w:rsidRPr="009A1AB7">
        <w:rPr>
          <w:rFonts w:ascii="Arial" w:hAnsi="Arial" w:cs="Arial"/>
          <w:sz w:val="20"/>
          <w:szCs w:val="20"/>
        </w:rPr>
        <w:t>Jak wskazuje motyw 27 dyrektywy 2009/81/WE „</w:t>
      </w:r>
      <w:r w:rsidRPr="009A1AB7">
        <w:rPr>
          <w:rFonts w:ascii="Arial" w:hAnsi="Arial" w:cs="Arial"/>
          <w:i/>
          <w:iCs/>
          <w:sz w:val="20"/>
          <w:szCs w:val="20"/>
        </w:rPr>
        <w:t>w dziedzinie obronności i bezpieczeństwa niektóre zamówienia mają charakter tak newralgiczny, że stosowanie do nich niniejszej dyrektywy byłoby niewłaściwe, pomimo jej szczególnej natury. Dotyczy to zamówień składanych przez służby wywiadowcze lub zamówień na wszystkie typy działań wywiadowczych, w tym działań kontrwywiadowczych określonych przez państwa członkowskie. Dotyczy to również innych, szczególnie newralgicznych zakupów wymagających bardzo wysokiego stopnia poufności, takich jak przykładowo pewne zakupy przewidziane do ochrony granic, zwalczania terroryzmu lub przestępczości zorganizowanej, odnoszące się do szyfrowania lub przewidziane konkretnie do prowadzenia tajnych działań lub innych równie newralgicznych działań prowadzonych przez policję i służby bezpieczeństwa.”</w:t>
      </w:r>
      <w:r>
        <w:rPr>
          <w:rFonts w:ascii="Arial" w:hAnsi="Arial" w:cs="Arial"/>
          <w:i/>
          <w:iCs/>
          <w:sz w:val="20"/>
          <w:szCs w:val="20"/>
        </w:rPr>
        <w:t xml:space="preserve"> </w:t>
      </w:r>
    </w:p>
    <w:p w14:paraId="7881E65C" w14:textId="77777777" w:rsidR="00AB7BFC" w:rsidRDefault="00AB7BFC" w:rsidP="00F423DF">
      <w:pPr>
        <w:spacing w:after="0" w:line="360" w:lineRule="auto"/>
        <w:ind w:firstLine="708"/>
        <w:rPr>
          <w:rFonts w:ascii="Arial" w:hAnsi="Arial" w:cs="Arial"/>
          <w:color w:val="000000"/>
          <w:sz w:val="20"/>
          <w:szCs w:val="20"/>
        </w:rPr>
      </w:pPr>
    </w:p>
    <w:p w14:paraId="73ACF0EB" w14:textId="76B5AF8C" w:rsidR="00C44F87" w:rsidRDefault="00C44F87" w:rsidP="00F423DF">
      <w:pPr>
        <w:spacing w:after="0" w:line="360" w:lineRule="auto"/>
        <w:ind w:firstLine="567"/>
        <w:rPr>
          <w:rFonts w:ascii="Arial" w:hAnsi="Arial" w:cs="Arial"/>
          <w:color w:val="000000"/>
          <w:sz w:val="20"/>
          <w:szCs w:val="20"/>
        </w:rPr>
      </w:pPr>
      <w:r w:rsidRPr="009A1AB7">
        <w:rPr>
          <w:rFonts w:ascii="Arial" w:hAnsi="Arial" w:cs="Arial"/>
          <w:color w:val="000000"/>
          <w:sz w:val="20"/>
          <w:szCs w:val="20"/>
        </w:rPr>
        <w:t>Podstawa wyłączenia o charakterze przedmiotowym</w:t>
      </w:r>
      <w:r w:rsidR="008167E4">
        <w:rPr>
          <w:rFonts w:ascii="Arial" w:hAnsi="Arial" w:cs="Arial"/>
          <w:color w:val="000000"/>
          <w:sz w:val="20"/>
          <w:szCs w:val="20"/>
        </w:rPr>
        <w:t>, o której mowa w art. 12 ust. 1 pkt 2 ustawy Pzp</w:t>
      </w:r>
      <w:r w:rsidRPr="009A1AB7">
        <w:rPr>
          <w:rFonts w:ascii="Arial" w:hAnsi="Arial" w:cs="Arial"/>
          <w:color w:val="000000"/>
          <w:sz w:val="20"/>
          <w:szCs w:val="20"/>
        </w:rPr>
        <w:t xml:space="preserve"> </w:t>
      </w:r>
      <w:r w:rsidR="006067E0" w:rsidRPr="009A1AB7">
        <w:rPr>
          <w:rFonts w:ascii="Arial" w:hAnsi="Arial" w:cs="Arial"/>
          <w:color w:val="000000"/>
          <w:sz w:val="20"/>
          <w:szCs w:val="20"/>
        </w:rPr>
        <w:t xml:space="preserve">odnosi się </w:t>
      </w:r>
      <w:r w:rsidR="009A1AB7">
        <w:rPr>
          <w:rFonts w:ascii="Arial" w:hAnsi="Arial" w:cs="Arial"/>
          <w:color w:val="000000"/>
          <w:sz w:val="20"/>
          <w:szCs w:val="20"/>
        </w:rPr>
        <w:t xml:space="preserve">natomiast </w:t>
      </w:r>
      <w:r w:rsidR="006067E0" w:rsidRPr="009A1AB7">
        <w:rPr>
          <w:rFonts w:ascii="Arial" w:hAnsi="Arial" w:cs="Arial"/>
          <w:color w:val="000000"/>
          <w:sz w:val="20"/>
          <w:szCs w:val="20"/>
        </w:rPr>
        <w:t xml:space="preserve">do </w:t>
      </w:r>
      <w:r w:rsidRPr="009A1AB7">
        <w:rPr>
          <w:rFonts w:ascii="Arial" w:hAnsi="Arial" w:cs="Arial"/>
          <w:color w:val="000000"/>
          <w:sz w:val="20"/>
          <w:szCs w:val="20"/>
        </w:rPr>
        <w:t xml:space="preserve">zamówień dotyczących produkcji lub handlu bronią, amunicją lub materiałami wojennymi, o których mowa w art. 346 </w:t>
      </w:r>
      <w:r w:rsidR="00C47389">
        <w:rPr>
          <w:rFonts w:ascii="Arial" w:hAnsi="Arial" w:cs="Arial"/>
          <w:color w:val="000000"/>
          <w:sz w:val="20"/>
          <w:szCs w:val="20"/>
        </w:rPr>
        <w:t xml:space="preserve">lit. b </w:t>
      </w:r>
      <w:r w:rsidRPr="009A1AB7">
        <w:rPr>
          <w:rFonts w:ascii="Arial" w:hAnsi="Arial" w:cs="Arial"/>
          <w:color w:val="000000"/>
          <w:sz w:val="20"/>
          <w:szCs w:val="20"/>
        </w:rPr>
        <w:t>T</w:t>
      </w:r>
      <w:r w:rsidR="00C47389">
        <w:rPr>
          <w:rFonts w:ascii="Arial" w:hAnsi="Arial" w:cs="Arial"/>
          <w:color w:val="000000"/>
          <w:sz w:val="20"/>
          <w:szCs w:val="20"/>
        </w:rPr>
        <w:t>FUE</w:t>
      </w:r>
      <w:r w:rsidR="006067E0" w:rsidRPr="009A1AB7">
        <w:rPr>
          <w:rFonts w:ascii="Arial" w:hAnsi="Arial" w:cs="Arial"/>
          <w:color w:val="000000"/>
          <w:sz w:val="20"/>
          <w:szCs w:val="20"/>
        </w:rPr>
        <w:t xml:space="preserve">. Zastosowanie wyłączenia w odniesieniu do zamówień mających za przedmiot produkcję lub handel bronią, amunicją lub materiałami wojennymi jest możliwe tylko pod warunkiem, że </w:t>
      </w:r>
      <w:r w:rsidR="009247D8">
        <w:rPr>
          <w:rFonts w:ascii="Arial" w:hAnsi="Arial" w:cs="Arial"/>
          <w:color w:val="000000"/>
          <w:sz w:val="20"/>
          <w:szCs w:val="20"/>
        </w:rPr>
        <w:t xml:space="preserve">wyłączenia tego </w:t>
      </w:r>
      <w:r w:rsidR="006067E0" w:rsidRPr="009A1AB7">
        <w:rPr>
          <w:rFonts w:ascii="Arial" w:hAnsi="Arial" w:cs="Arial"/>
          <w:color w:val="000000"/>
          <w:sz w:val="20"/>
          <w:szCs w:val="20"/>
        </w:rPr>
        <w:t xml:space="preserve">wymaga podstawowy interes bezpieczeństwa państwa i jednocześnie pod warunkiem, że udzielenie zamówienia bez zastosowania ustawy </w:t>
      </w:r>
      <w:r w:rsidR="009247D8">
        <w:rPr>
          <w:rFonts w:ascii="Arial" w:hAnsi="Arial" w:cs="Arial"/>
          <w:color w:val="000000"/>
          <w:sz w:val="20"/>
          <w:szCs w:val="20"/>
        </w:rPr>
        <w:t xml:space="preserve">Pzp </w:t>
      </w:r>
      <w:r w:rsidR="006067E0" w:rsidRPr="009A1AB7">
        <w:rPr>
          <w:rFonts w:ascii="Arial" w:hAnsi="Arial" w:cs="Arial"/>
          <w:color w:val="000000"/>
          <w:sz w:val="20"/>
          <w:szCs w:val="20"/>
        </w:rPr>
        <w:t xml:space="preserve">nie wpłynie negatywnie na warunki konkurencji na rynku wewnętrznym w odniesieniu do produktów, które nie są przeznaczone wyłącznie do celów wojskowych </w:t>
      </w:r>
      <w:bookmarkStart w:id="1" w:name="_Hlk149338524"/>
      <w:r w:rsidR="006067E0" w:rsidRPr="009A1AB7">
        <w:rPr>
          <w:rFonts w:ascii="Arial" w:hAnsi="Arial" w:cs="Arial"/>
          <w:color w:val="000000"/>
          <w:sz w:val="20"/>
          <w:szCs w:val="20"/>
        </w:rPr>
        <w:t xml:space="preserve">w zakresie, w jakim ochrona podstawowych interesów bezpieczeństwa państwa nie może zostać zagwarantowana w inny sposób, w szczególności z zastosowaniem przepisów działu VI, a więc </w:t>
      </w:r>
      <w:r w:rsidR="00F05C34" w:rsidRPr="009A1AB7">
        <w:rPr>
          <w:rFonts w:ascii="Arial" w:hAnsi="Arial" w:cs="Arial"/>
          <w:color w:val="000000"/>
          <w:sz w:val="20"/>
          <w:szCs w:val="20"/>
        </w:rPr>
        <w:t xml:space="preserve">zastosowaniem </w:t>
      </w:r>
      <w:r w:rsidR="006067E0" w:rsidRPr="009A1AB7">
        <w:rPr>
          <w:rFonts w:ascii="Arial" w:hAnsi="Arial" w:cs="Arial"/>
          <w:color w:val="000000"/>
          <w:sz w:val="20"/>
          <w:szCs w:val="20"/>
        </w:rPr>
        <w:t>przepisów dotyczących udzielania zamówień w dziedzinach obronności i bezpieczeństwa.</w:t>
      </w:r>
      <w:bookmarkEnd w:id="1"/>
    </w:p>
    <w:p w14:paraId="3EF6B55E" w14:textId="77777777" w:rsidR="00F423DF" w:rsidRDefault="009247D8" w:rsidP="00F423DF">
      <w:pPr>
        <w:spacing w:after="0" w:line="360" w:lineRule="auto"/>
        <w:ind w:firstLine="567"/>
        <w:rPr>
          <w:rFonts w:ascii="Arial" w:hAnsi="Arial" w:cs="Arial"/>
          <w:sz w:val="20"/>
          <w:szCs w:val="20"/>
        </w:rPr>
      </w:pPr>
      <w:r>
        <w:rPr>
          <w:rFonts w:ascii="Arial" w:hAnsi="Arial" w:cs="Arial"/>
          <w:sz w:val="20"/>
          <w:szCs w:val="20"/>
        </w:rPr>
        <w:t>Warto podkreślić, że z</w:t>
      </w:r>
      <w:r w:rsidR="007B5E54" w:rsidRPr="009A1AB7">
        <w:rPr>
          <w:rFonts w:ascii="Arial" w:hAnsi="Arial" w:cs="Arial"/>
          <w:sz w:val="20"/>
          <w:szCs w:val="20"/>
        </w:rPr>
        <w:t xml:space="preserve">amawiający udzielając zamówień, których przedmiotem jest sprzęt wojskowy, ma zasadniczo obowiązek udzielania zamówień publicznych na podstawie przepisów materialnych </w:t>
      </w:r>
      <w:r>
        <w:rPr>
          <w:rFonts w:ascii="Arial" w:hAnsi="Arial" w:cs="Arial"/>
          <w:sz w:val="20"/>
          <w:szCs w:val="20"/>
        </w:rPr>
        <w:br/>
      </w:r>
      <w:r w:rsidR="007B5E54" w:rsidRPr="009A1AB7">
        <w:rPr>
          <w:rFonts w:ascii="Arial" w:hAnsi="Arial" w:cs="Arial"/>
          <w:sz w:val="20"/>
          <w:szCs w:val="20"/>
        </w:rPr>
        <w:t xml:space="preserve">i proceduralnych ustawy Pzp. </w:t>
      </w:r>
      <w:r>
        <w:rPr>
          <w:rFonts w:ascii="Arial" w:hAnsi="Arial" w:cs="Arial"/>
          <w:sz w:val="20"/>
          <w:szCs w:val="20"/>
        </w:rPr>
        <w:t>D</w:t>
      </w:r>
      <w:r w:rsidR="007B5E54" w:rsidRPr="009A1AB7">
        <w:rPr>
          <w:rFonts w:ascii="Arial" w:hAnsi="Arial" w:cs="Arial"/>
          <w:sz w:val="20"/>
          <w:szCs w:val="20"/>
        </w:rPr>
        <w:t xml:space="preserve">o udzielania zamówień w dziedzinach obronności i bezpieczeństwa </w:t>
      </w:r>
      <w:r>
        <w:rPr>
          <w:rFonts w:ascii="Arial" w:hAnsi="Arial" w:cs="Arial"/>
          <w:sz w:val="20"/>
          <w:szCs w:val="20"/>
        </w:rPr>
        <w:br/>
        <w:t>przepisy ustawy Pzp mają zastosowanie</w:t>
      </w:r>
      <w:r w:rsidR="007B5E54" w:rsidRPr="009A1AB7">
        <w:rPr>
          <w:rFonts w:ascii="Arial" w:hAnsi="Arial" w:cs="Arial"/>
          <w:sz w:val="20"/>
          <w:szCs w:val="20"/>
        </w:rPr>
        <w:t>, gdy łącznie występują następujące okoliczności:</w:t>
      </w:r>
    </w:p>
    <w:p w14:paraId="2C48B5B5" w14:textId="77777777" w:rsidR="00F423DF" w:rsidRDefault="007B5E54" w:rsidP="00F423DF">
      <w:pPr>
        <w:spacing w:after="0" w:line="360" w:lineRule="auto"/>
        <w:ind w:firstLine="567"/>
        <w:rPr>
          <w:rFonts w:ascii="Arial" w:hAnsi="Arial" w:cs="Arial"/>
          <w:sz w:val="20"/>
          <w:szCs w:val="20"/>
        </w:rPr>
      </w:pPr>
      <w:r w:rsidRPr="009A1AB7">
        <w:rPr>
          <w:rFonts w:ascii="Arial" w:hAnsi="Arial" w:cs="Arial"/>
          <w:sz w:val="20"/>
          <w:szCs w:val="20"/>
        </w:rPr>
        <w:t>1) zamówienie jest udzielane przez zamawiających publicznych lub zamawiających sektorowych, o których</w:t>
      </w:r>
      <w:r w:rsidR="00F423DF">
        <w:rPr>
          <w:rFonts w:ascii="Arial" w:hAnsi="Arial" w:cs="Arial"/>
          <w:sz w:val="20"/>
          <w:szCs w:val="20"/>
        </w:rPr>
        <w:t xml:space="preserve"> </w:t>
      </w:r>
      <w:r w:rsidRPr="009A1AB7">
        <w:rPr>
          <w:rFonts w:ascii="Arial" w:hAnsi="Arial" w:cs="Arial"/>
          <w:sz w:val="20"/>
          <w:szCs w:val="20"/>
        </w:rPr>
        <w:t xml:space="preserve">mowa w art. 4 i art. 5 ust. 1 ustawy </w:t>
      </w:r>
      <w:proofErr w:type="spellStart"/>
      <w:r w:rsidRPr="009A1AB7">
        <w:rPr>
          <w:rFonts w:ascii="Arial" w:hAnsi="Arial" w:cs="Arial"/>
          <w:sz w:val="20"/>
          <w:szCs w:val="20"/>
        </w:rPr>
        <w:t>Pzp</w:t>
      </w:r>
      <w:proofErr w:type="spellEnd"/>
      <w:r w:rsidRPr="009A1AB7">
        <w:rPr>
          <w:rFonts w:ascii="Arial" w:hAnsi="Arial" w:cs="Arial"/>
          <w:sz w:val="20"/>
          <w:szCs w:val="20"/>
        </w:rPr>
        <w:t>;</w:t>
      </w:r>
    </w:p>
    <w:p w14:paraId="75BA1D74" w14:textId="77777777" w:rsidR="00F423DF" w:rsidRDefault="007B5E54" w:rsidP="00F423DF">
      <w:pPr>
        <w:spacing w:after="0" w:line="360" w:lineRule="auto"/>
        <w:ind w:firstLine="567"/>
        <w:rPr>
          <w:rFonts w:ascii="Arial" w:hAnsi="Arial" w:cs="Arial"/>
          <w:sz w:val="20"/>
          <w:szCs w:val="20"/>
        </w:rPr>
      </w:pPr>
      <w:r w:rsidRPr="009A1AB7">
        <w:rPr>
          <w:rFonts w:ascii="Arial" w:hAnsi="Arial" w:cs="Arial"/>
          <w:sz w:val="20"/>
          <w:szCs w:val="20"/>
        </w:rPr>
        <w:t xml:space="preserve">2) przedmiotem zamówienia są zamówienia w dziedzinach obronności i bezpieczeństwa, o których mowa w </w:t>
      </w:r>
      <w:r w:rsidR="009247D8">
        <w:rPr>
          <w:rFonts w:ascii="Arial" w:hAnsi="Arial" w:cs="Arial"/>
          <w:sz w:val="20"/>
          <w:szCs w:val="20"/>
        </w:rPr>
        <w:t xml:space="preserve"> </w:t>
      </w:r>
      <w:r w:rsidRPr="009A1AB7">
        <w:rPr>
          <w:rFonts w:ascii="Arial" w:hAnsi="Arial" w:cs="Arial"/>
          <w:sz w:val="20"/>
          <w:szCs w:val="20"/>
        </w:rPr>
        <w:t xml:space="preserve">art. 7 pkt 36 ustawy </w:t>
      </w:r>
      <w:proofErr w:type="spellStart"/>
      <w:r w:rsidRPr="009A1AB7">
        <w:rPr>
          <w:rFonts w:ascii="Arial" w:hAnsi="Arial" w:cs="Arial"/>
          <w:sz w:val="20"/>
          <w:szCs w:val="20"/>
        </w:rPr>
        <w:t>Pzp</w:t>
      </w:r>
      <w:proofErr w:type="spellEnd"/>
      <w:r w:rsidRPr="009A1AB7">
        <w:rPr>
          <w:rFonts w:ascii="Arial" w:hAnsi="Arial" w:cs="Arial"/>
          <w:sz w:val="20"/>
          <w:szCs w:val="20"/>
        </w:rPr>
        <w:t>;</w:t>
      </w:r>
    </w:p>
    <w:p w14:paraId="7C887186" w14:textId="77777777" w:rsidR="00F423DF" w:rsidRDefault="007B5E54" w:rsidP="00F423DF">
      <w:pPr>
        <w:spacing w:after="0" w:line="360" w:lineRule="auto"/>
        <w:ind w:firstLine="567"/>
        <w:rPr>
          <w:rFonts w:ascii="Arial" w:hAnsi="Arial" w:cs="Arial"/>
          <w:sz w:val="20"/>
          <w:szCs w:val="20"/>
        </w:rPr>
      </w:pPr>
      <w:r w:rsidRPr="009A1AB7">
        <w:rPr>
          <w:rFonts w:ascii="Arial" w:hAnsi="Arial" w:cs="Arial"/>
          <w:sz w:val="20"/>
          <w:szCs w:val="20"/>
        </w:rPr>
        <w:t>3) umowa jest odpłatna a wartość udzielanego zamówienia na dostawy, usługi lub roboty budowlane jest równa lub przekracza progi unijne, o których mowa w art. 3 ust. 1 pkt 3 w zw. z art. 2 ust. 1 pkt 3 ustawy Pzp;</w:t>
      </w:r>
    </w:p>
    <w:p w14:paraId="5A38BBBB" w14:textId="09D70A40" w:rsidR="009247D8" w:rsidRDefault="007B5E54" w:rsidP="00F423DF">
      <w:pPr>
        <w:spacing w:after="0" w:line="360" w:lineRule="auto"/>
        <w:ind w:firstLine="567"/>
        <w:rPr>
          <w:rFonts w:ascii="Arial" w:hAnsi="Arial" w:cs="Arial"/>
          <w:sz w:val="20"/>
          <w:szCs w:val="20"/>
        </w:rPr>
      </w:pPr>
      <w:r w:rsidRPr="009A1AB7">
        <w:rPr>
          <w:rFonts w:ascii="Arial" w:hAnsi="Arial" w:cs="Arial"/>
          <w:sz w:val="20"/>
          <w:szCs w:val="20"/>
        </w:rPr>
        <w:t>4) zamówienie nie podlega wyłączeniu ze stosowania ustawy Pzp, w szczególności w oparciu o żadną</w:t>
      </w:r>
      <w:r w:rsidR="00F423DF">
        <w:rPr>
          <w:rFonts w:ascii="Arial" w:hAnsi="Arial" w:cs="Arial"/>
          <w:sz w:val="20"/>
          <w:szCs w:val="20"/>
        </w:rPr>
        <w:t xml:space="preserve"> </w:t>
      </w:r>
      <w:r w:rsidRPr="009A1AB7">
        <w:rPr>
          <w:rFonts w:ascii="Arial" w:hAnsi="Arial" w:cs="Arial"/>
          <w:sz w:val="20"/>
          <w:szCs w:val="20"/>
        </w:rPr>
        <w:t xml:space="preserve">z przesłanek, o których mowa w art. 12, 13 i 14 ustawy Pzp. </w:t>
      </w:r>
    </w:p>
    <w:p w14:paraId="304310FB" w14:textId="5C6A488B" w:rsidR="006D5A50" w:rsidRPr="009A1AB7" w:rsidRDefault="00C47389" w:rsidP="00F423DF">
      <w:pPr>
        <w:spacing w:after="0" w:line="360" w:lineRule="auto"/>
        <w:ind w:firstLine="567"/>
        <w:rPr>
          <w:rFonts w:ascii="Arial" w:hAnsi="Arial" w:cs="Arial"/>
          <w:color w:val="000000"/>
          <w:sz w:val="20"/>
          <w:szCs w:val="20"/>
        </w:rPr>
      </w:pPr>
      <w:r>
        <w:rPr>
          <w:rFonts w:ascii="Arial" w:hAnsi="Arial" w:cs="Arial"/>
          <w:sz w:val="20"/>
          <w:szCs w:val="20"/>
        </w:rPr>
        <w:t>Stosowanie ustawy Pzp do zamówień w dziedzinach obronności i bezpieczeństwa wynika stąd, że z</w:t>
      </w:r>
      <w:r w:rsidR="007B5E54" w:rsidRPr="009A1AB7">
        <w:rPr>
          <w:rFonts w:ascii="Arial" w:hAnsi="Arial" w:cs="Arial"/>
          <w:sz w:val="20"/>
          <w:szCs w:val="20"/>
        </w:rPr>
        <w:t xml:space="preserve">godnie z obowiązującym prawem Unii Europejskiej, zamówienia </w:t>
      </w:r>
      <w:r>
        <w:rPr>
          <w:rFonts w:ascii="Arial" w:hAnsi="Arial" w:cs="Arial"/>
          <w:sz w:val="20"/>
          <w:szCs w:val="20"/>
        </w:rPr>
        <w:t xml:space="preserve">takie </w:t>
      </w:r>
      <w:r w:rsidR="007B5E54" w:rsidRPr="009A1AB7">
        <w:rPr>
          <w:rFonts w:ascii="Arial" w:hAnsi="Arial" w:cs="Arial"/>
          <w:sz w:val="20"/>
          <w:szCs w:val="20"/>
        </w:rPr>
        <w:t>podlegają przepisom rynku wewnętrznego. Ochrona rynku wewnętrznego Unii Europejskiej odnosi się m.in. do ustanowienia wspólnych w prawie Unii Europejskiej zasad udzielania zamówień publicznych</w:t>
      </w:r>
      <w:r w:rsidR="006D5A50">
        <w:rPr>
          <w:rFonts w:ascii="Arial" w:hAnsi="Arial" w:cs="Arial"/>
          <w:sz w:val="20"/>
          <w:szCs w:val="20"/>
        </w:rPr>
        <w:t xml:space="preserve"> określonych </w:t>
      </w:r>
      <w:r w:rsidR="007B5E54" w:rsidRPr="009A1AB7">
        <w:rPr>
          <w:rFonts w:ascii="Arial" w:hAnsi="Arial" w:cs="Arial"/>
          <w:sz w:val="20"/>
          <w:szCs w:val="20"/>
        </w:rPr>
        <w:t>dyrektyw</w:t>
      </w:r>
      <w:r w:rsidR="006D5A50">
        <w:rPr>
          <w:rFonts w:ascii="Arial" w:hAnsi="Arial" w:cs="Arial"/>
          <w:sz w:val="20"/>
          <w:szCs w:val="20"/>
        </w:rPr>
        <w:t>ami:</w:t>
      </w:r>
      <w:r w:rsidR="007B5E54" w:rsidRPr="009A1AB7">
        <w:rPr>
          <w:rFonts w:ascii="Arial" w:hAnsi="Arial" w:cs="Arial"/>
          <w:sz w:val="20"/>
          <w:szCs w:val="20"/>
        </w:rPr>
        <w:t xml:space="preserve"> 2014/24/UE, 2014/25/UE oraz 2009/81/WE. </w:t>
      </w:r>
      <w:r w:rsidR="006D5A50">
        <w:rPr>
          <w:rFonts w:ascii="Arial" w:hAnsi="Arial" w:cs="Arial"/>
          <w:sz w:val="20"/>
          <w:szCs w:val="20"/>
        </w:rPr>
        <w:t>Ochrona tych zasad w prawie polskim została zapewniona poprzez wdrożenie wymienionych dyrektyw w ustawie Pzp, p</w:t>
      </w:r>
      <w:r w:rsidR="007B5E54" w:rsidRPr="009A1AB7">
        <w:rPr>
          <w:rFonts w:ascii="Arial" w:hAnsi="Arial" w:cs="Arial"/>
          <w:sz w:val="20"/>
          <w:szCs w:val="20"/>
        </w:rPr>
        <w:t xml:space="preserve">rzy czym w odniesieniu do zamawiania sprzętu wojskowego z zasady </w:t>
      </w:r>
      <w:r>
        <w:rPr>
          <w:rFonts w:ascii="Arial" w:hAnsi="Arial" w:cs="Arial"/>
          <w:sz w:val="20"/>
          <w:szCs w:val="20"/>
        </w:rPr>
        <w:t xml:space="preserve">będą </w:t>
      </w:r>
      <w:r w:rsidR="007B5E54" w:rsidRPr="009A1AB7">
        <w:rPr>
          <w:rFonts w:ascii="Arial" w:hAnsi="Arial" w:cs="Arial"/>
          <w:sz w:val="20"/>
          <w:szCs w:val="20"/>
        </w:rPr>
        <w:t>m</w:t>
      </w:r>
      <w:r>
        <w:rPr>
          <w:rFonts w:ascii="Arial" w:hAnsi="Arial" w:cs="Arial"/>
          <w:sz w:val="20"/>
          <w:szCs w:val="20"/>
        </w:rPr>
        <w:t>iały</w:t>
      </w:r>
      <w:r w:rsidR="007B5E54" w:rsidRPr="009A1AB7">
        <w:rPr>
          <w:rFonts w:ascii="Arial" w:hAnsi="Arial" w:cs="Arial"/>
          <w:sz w:val="20"/>
          <w:szCs w:val="20"/>
        </w:rPr>
        <w:t xml:space="preserve"> zastosowanie przepisy Działu VI ustawy Pzp regulujące udzielanie zamówień w dziedzinach obronności i bezpieczeństwa. </w:t>
      </w:r>
      <w:r w:rsidR="006D5A50">
        <w:rPr>
          <w:rFonts w:ascii="Arial" w:hAnsi="Arial" w:cs="Arial"/>
          <w:sz w:val="20"/>
          <w:szCs w:val="20"/>
        </w:rPr>
        <w:t xml:space="preserve">W tym kontekście </w:t>
      </w:r>
      <w:r w:rsidR="00B13782">
        <w:rPr>
          <w:rFonts w:ascii="Arial" w:hAnsi="Arial" w:cs="Arial"/>
          <w:sz w:val="20"/>
          <w:szCs w:val="20"/>
        </w:rPr>
        <w:t>z</w:t>
      </w:r>
      <w:r w:rsidR="006D5A50" w:rsidRPr="009A1AB7">
        <w:rPr>
          <w:rFonts w:ascii="Arial" w:hAnsi="Arial" w:cs="Arial"/>
          <w:sz w:val="20"/>
          <w:szCs w:val="20"/>
        </w:rPr>
        <w:t>amówienia</w:t>
      </w:r>
      <w:r w:rsidR="00B13782" w:rsidRPr="00B13782">
        <w:rPr>
          <w:rFonts w:ascii="Arial" w:hAnsi="Arial" w:cs="Arial"/>
          <w:sz w:val="20"/>
          <w:szCs w:val="20"/>
        </w:rPr>
        <w:t xml:space="preserve"> </w:t>
      </w:r>
      <w:r w:rsidR="00B13782">
        <w:rPr>
          <w:rFonts w:ascii="Arial" w:hAnsi="Arial" w:cs="Arial"/>
          <w:sz w:val="20"/>
          <w:szCs w:val="20"/>
        </w:rPr>
        <w:t>w dziedzinach obronności i bezpieczeństwa</w:t>
      </w:r>
      <w:r w:rsidR="006D5A50" w:rsidRPr="009A1AB7">
        <w:rPr>
          <w:rFonts w:ascii="Arial" w:hAnsi="Arial" w:cs="Arial"/>
          <w:sz w:val="20"/>
          <w:szCs w:val="20"/>
        </w:rPr>
        <w:t xml:space="preserve">, których nie obejmuje swym zakresem dyrektywa 2009/81/WE, podlegają z zasady dyrektywom 2014/24/UE oraz 2014/25/UE. Definicja zamówień objętych zakresem dyrektywy 2009/81/WE obejmuje zasadniczo wszystkie zamówienia na zakup sprzętu wojskowego, wojskowych robót budowlanych i usług do celów wojskowych, jak również ma zastosowanie do wszystkich tych zamówień dla </w:t>
      </w:r>
      <w:r w:rsidR="006D5A50" w:rsidRPr="009A1AB7">
        <w:rPr>
          <w:rFonts w:ascii="Arial" w:hAnsi="Arial" w:cs="Arial"/>
          <w:sz w:val="20"/>
          <w:szCs w:val="20"/>
        </w:rPr>
        <w:lastRenderedPageBreak/>
        <w:t>celów bezpieczeństwa, które wiążą się z korzystaniem z informacji niejawnych</w:t>
      </w:r>
      <w:r w:rsidR="006D5A50" w:rsidRPr="009A1AB7">
        <w:rPr>
          <w:rStyle w:val="Odwoanieprzypisudolnego"/>
          <w:rFonts w:ascii="Arial" w:hAnsi="Arial" w:cs="Arial"/>
          <w:sz w:val="20"/>
          <w:szCs w:val="20"/>
        </w:rPr>
        <w:footnoteReference w:id="14"/>
      </w:r>
      <w:r w:rsidR="006D5A50" w:rsidRPr="009A1AB7">
        <w:rPr>
          <w:rFonts w:ascii="Arial" w:hAnsi="Arial" w:cs="Arial"/>
          <w:sz w:val="20"/>
          <w:szCs w:val="20"/>
        </w:rPr>
        <w:t xml:space="preserve">. Ustawa Pzp wdraża przepisy dyrektywy 2009/81/WE odnoszące się zarówno do udzielania zamówień w dziedzinie obronności i jak i do udzielania zamówień w dziedzinie bezpieczeństwa. </w:t>
      </w:r>
      <w:r w:rsidR="006D5A50" w:rsidRPr="009A1AB7">
        <w:rPr>
          <w:rFonts w:ascii="Arial" w:hAnsi="Arial" w:cs="Arial"/>
          <w:color w:val="000000"/>
          <w:sz w:val="20"/>
          <w:szCs w:val="20"/>
        </w:rPr>
        <w:t>Zgodnie z art. 7 pkt 36 ustawy Pzp przez zamówienie w dziedzinach obronności i bezpieczeństwa należy rozumieć zamówienie udzielane przez zamawiającego publicznego lub zamawiającego sektorowego, którego przedmiotem są:</w:t>
      </w:r>
    </w:p>
    <w:p w14:paraId="17EF4740" w14:textId="77777777" w:rsidR="006D5A50" w:rsidRPr="009A1AB7" w:rsidRDefault="006D5A50" w:rsidP="00F423DF">
      <w:pPr>
        <w:spacing w:after="0" w:line="360" w:lineRule="auto"/>
        <w:ind w:left="986" w:hanging="419"/>
        <w:rPr>
          <w:rFonts w:ascii="Arial" w:hAnsi="Arial" w:cs="Arial"/>
          <w:color w:val="000000"/>
          <w:sz w:val="20"/>
          <w:szCs w:val="20"/>
        </w:rPr>
      </w:pPr>
      <w:r w:rsidRPr="009A1AB7">
        <w:rPr>
          <w:rFonts w:ascii="Arial" w:hAnsi="Arial" w:cs="Arial"/>
          <w:color w:val="000000"/>
          <w:sz w:val="20"/>
          <w:szCs w:val="20"/>
        </w:rPr>
        <w:t>a)     dostawy sprzętu wojskowego, w tym wszelkich jego części, komponentów, podzespołów lub jego oprogramowania,</w:t>
      </w:r>
    </w:p>
    <w:p w14:paraId="518D2276" w14:textId="77777777" w:rsidR="006D5A50" w:rsidRPr="009A1AB7" w:rsidRDefault="006D5A50" w:rsidP="00F423DF">
      <w:pPr>
        <w:spacing w:after="0" w:line="360" w:lineRule="auto"/>
        <w:ind w:left="986" w:hanging="419"/>
        <w:rPr>
          <w:rFonts w:ascii="Arial" w:hAnsi="Arial" w:cs="Arial"/>
          <w:color w:val="000000"/>
          <w:sz w:val="20"/>
          <w:szCs w:val="20"/>
        </w:rPr>
      </w:pPr>
      <w:r w:rsidRPr="009A1AB7">
        <w:rPr>
          <w:rFonts w:ascii="Arial" w:hAnsi="Arial" w:cs="Arial"/>
          <w:color w:val="000000"/>
          <w:sz w:val="20"/>
          <w:szCs w:val="20"/>
        </w:rPr>
        <w:t>b)    dostawy newralgicznego sprzętu, w tym wszelkich jego części, komponentów, podzespołów lub jego oprogramowania,</w:t>
      </w:r>
    </w:p>
    <w:p w14:paraId="2E6FFC42" w14:textId="77777777" w:rsidR="006D5A50" w:rsidRPr="009A1AB7" w:rsidRDefault="006D5A50" w:rsidP="00F423DF">
      <w:pPr>
        <w:spacing w:after="0" w:line="360" w:lineRule="auto"/>
        <w:ind w:left="986" w:hanging="419"/>
        <w:rPr>
          <w:rFonts w:ascii="Arial" w:hAnsi="Arial" w:cs="Arial"/>
          <w:color w:val="000000"/>
          <w:sz w:val="20"/>
          <w:szCs w:val="20"/>
        </w:rPr>
      </w:pPr>
      <w:r w:rsidRPr="009A1AB7">
        <w:rPr>
          <w:rFonts w:ascii="Arial" w:hAnsi="Arial" w:cs="Arial"/>
          <w:color w:val="000000"/>
          <w:sz w:val="20"/>
          <w:szCs w:val="20"/>
        </w:rPr>
        <w:t>c)     roboty budowlane, dostawy i usługi związane z zabezpieczeniem obiektów będących w dyspozycji podmiotów realizujących zamówienia w dziedzinach obronności i bezpieczeństwa lub związane ze sprzętem, o którym mowa w lit. a i b, i wszystkich jego części, komponentów i podzespołów związanych z cyklem życia tego produktu lub usługi,</w:t>
      </w:r>
    </w:p>
    <w:p w14:paraId="192D3F54" w14:textId="77777777" w:rsidR="006D5A50" w:rsidRPr="009A1AB7" w:rsidRDefault="006D5A50" w:rsidP="00F423DF">
      <w:pPr>
        <w:spacing w:after="0" w:line="360" w:lineRule="auto"/>
        <w:ind w:left="986" w:hanging="419"/>
        <w:rPr>
          <w:rFonts w:ascii="Arial" w:hAnsi="Arial" w:cs="Arial"/>
          <w:color w:val="000000"/>
          <w:sz w:val="20"/>
          <w:szCs w:val="20"/>
        </w:rPr>
      </w:pPr>
      <w:r w:rsidRPr="009A1AB7">
        <w:rPr>
          <w:rFonts w:ascii="Arial" w:hAnsi="Arial" w:cs="Arial"/>
          <w:color w:val="000000"/>
          <w:sz w:val="20"/>
          <w:szCs w:val="20"/>
        </w:rPr>
        <w:t>d)     roboty budowlane i usługi przeznaczone wyłącznie do celów wojskowych, newralgiczne roboty budowlane lub newralgiczne usługi.</w:t>
      </w:r>
    </w:p>
    <w:p w14:paraId="77E33AB3" w14:textId="156DC17A" w:rsidR="006D5A50" w:rsidRPr="009A1AB7" w:rsidRDefault="006D5A50" w:rsidP="00F423DF">
      <w:pPr>
        <w:spacing w:after="0" w:line="360" w:lineRule="auto"/>
        <w:ind w:firstLine="567"/>
        <w:rPr>
          <w:rFonts w:ascii="Arial" w:hAnsi="Arial" w:cs="Arial"/>
          <w:color w:val="000000"/>
          <w:sz w:val="20"/>
          <w:szCs w:val="20"/>
        </w:rPr>
      </w:pPr>
      <w:r w:rsidRPr="009A1AB7">
        <w:rPr>
          <w:rFonts w:ascii="Arial" w:hAnsi="Arial" w:cs="Arial"/>
          <w:color w:val="000000"/>
          <w:sz w:val="20"/>
          <w:szCs w:val="20"/>
        </w:rPr>
        <w:t>Zgodnie z definicją pojęcia „sprzęt wojskowy” zawartą w art. 7 pkt. 22 ustawy Pzp przez sprzęt wojskowy należy rozumieć wyposażenie specjalnie zaprojektowane lub zaadaptowane do potrzeb wojskowych</w:t>
      </w:r>
      <w:r w:rsidR="00F423DF">
        <w:rPr>
          <w:rFonts w:ascii="Arial" w:hAnsi="Arial" w:cs="Arial"/>
          <w:color w:val="000000"/>
          <w:sz w:val="20"/>
          <w:szCs w:val="20"/>
        </w:rPr>
        <w:t xml:space="preserve"> </w:t>
      </w:r>
      <w:r w:rsidRPr="009A1AB7">
        <w:rPr>
          <w:rFonts w:ascii="Arial" w:hAnsi="Arial" w:cs="Arial"/>
          <w:color w:val="000000"/>
          <w:sz w:val="20"/>
          <w:szCs w:val="20"/>
        </w:rPr>
        <w:t xml:space="preserve">i przeznaczone do użycia jako broń, amunicja lub materiały wojenne. </w:t>
      </w:r>
      <w:r w:rsidRPr="009A1AB7">
        <w:rPr>
          <w:rFonts w:ascii="Arial" w:hAnsi="Arial" w:cs="Arial"/>
          <w:sz w:val="20"/>
          <w:szCs w:val="20"/>
        </w:rPr>
        <w:t xml:space="preserve">Jak zostało wskazane w motywie 10 preambuły do dyrektywy 2009/81/WE, (…)  </w:t>
      </w:r>
      <w:r w:rsidRPr="009A1AB7">
        <w:rPr>
          <w:rFonts w:ascii="Arial" w:hAnsi="Arial" w:cs="Arial"/>
          <w:i/>
          <w:sz w:val="20"/>
          <w:szCs w:val="20"/>
        </w:rPr>
        <w:t>dla celów tej dyrektywy, jako sprzęt wojskowy należy rozumieć w szczególności typy produktów figurujące w wykazie broni, amunicji i materiałów wojennych przyjętych decyzją Rady 255/58 z dnia 15 kwietnia 1958 r.</w:t>
      </w:r>
      <w:r w:rsidRPr="009A1AB7">
        <w:rPr>
          <w:rStyle w:val="Odwoanieprzypisudolnego"/>
          <w:rFonts w:ascii="Arial" w:hAnsi="Arial" w:cs="Arial"/>
          <w:i/>
          <w:sz w:val="20"/>
          <w:szCs w:val="20"/>
        </w:rPr>
        <w:footnoteReference w:id="15"/>
      </w:r>
      <w:r w:rsidRPr="009A1AB7">
        <w:rPr>
          <w:rFonts w:ascii="Arial" w:hAnsi="Arial" w:cs="Arial"/>
          <w:i/>
          <w:sz w:val="20"/>
          <w:szCs w:val="20"/>
        </w:rPr>
        <w:t xml:space="preserve"> W wykazie tym figuruje jedynie sprzęt, który został zaprojektowany, opracowany i wyprodukowany konkretnie dla celów wojskowych. Wykaz ten ma jednak charakter ogólny i ma być szeroko interpretowany w miarę rozwoju techniki, polityki zamówień i wymogów wojskowych prowadzącego do opracowania nowych typów sprzętu, przykładowo na podstawie wspólnej listy sprzętu wojskowego Unii.(…). </w:t>
      </w:r>
      <w:r w:rsidRPr="009A1AB7">
        <w:rPr>
          <w:rFonts w:ascii="Arial" w:hAnsi="Arial" w:cs="Arial"/>
          <w:sz w:val="20"/>
          <w:szCs w:val="20"/>
        </w:rPr>
        <w:t xml:space="preserve">W szczególności interpretacja pojęcia „sprzęt wojskowy” może </w:t>
      </w:r>
      <w:r w:rsidR="00B13782">
        <w:rPr>
          <w:rFonts w:ascii="Arial" w:hAnsi="Arial" w:cs="Arial"/>
          <w:sz w:val="20"/>
          <w:szCs w:val="20"/>
        </w:rPr>
        <w:t>następować</w:t>
      </w:r>
      <w:r w:rsidR="00F423DF">
        <w:rPr>
          <w:rFonts w:ascii="Arial" w:hAnsi="Arial" w:cs="Arial"/>
          <w:sz w:val="20"/>
          <w:szCs w:val="20"/>
        </w:rPr>
        <w:t xml:space="preserve"> </w:t>
      </w:r>
      <w:r w:rsidRPr="009A1AB7">
        <w:rPr>
          <w:rFonts w:ascii="Arial" w:hAnsi="Arial" w:cs="Arial"/>
          <w:sz w:val="20"/>
          <w:szCs w:val="20"/>
        </w:rPr>
        <w:t xml:space="preserve">w oparciu o Wspólny Wykaz Uzbrojenia Unii Europejskiej przyjęty przez Radę w dniu 21 lutego </w:t>
      </w:r>
      <w:r w:rsidR="008167E4">
        <w:rPr>
          <w:rFonts w:ascii="Arial" w:hAnsi="Arial" w:cs="Arial"/>
          <w:sz w:val="20"/>
          <w:szCs w:val="20"/>
        </w:rPr>
        <w:br/>
      </w:r>
      <w:r w:rsidRPr="009A1AB7">
        <w:rPr>
          <w:rFonts w:ascii="Arial" w:hAnsi="Arial" w:cs="Arial"/>
          <w:sz w:val="20"/>
          <w:szCs w:val="20"/>
        </w:rPr>
        <w:t>2022 r. (sprzęt objęty wspólnym stanowiskiem Rady 2008/944/</w:t>
      </w:r>
      <w:proofErr w:type="spellStart"/>
      <w:r w:rsidRPr="009A1AB7">
        <w:rPr>
          <w:rFonts w:ascii="Arial" w:hAnsi="Arial" w:cs="Arial"/>
          <w:sz w:val="20"/>
          <w:szCs w:val="20"/>
        </w:rPr>
        <w:t>WPZiB</w:t>
      </w:r>
      <w:proofErr w:type="spellEnd"/>
      <w:r w:rsidRPr="009A1AB7">
        <w:rPr>
          <w:rFonts w:ascii="Arial" w:hAnsi="Arial" w:cs="Arial"/>
          <w:sz w:val="20"/>
          <w:szCs w:val="20"/>
        </w:rPr>
        <w:t xml:space="preserve"> określającym wspólne zasady kontroli wywozu technologii wojskowych i sprzętu wojskowego), który uaktualnia i zastępuje wspólny wykaz uzbrojenia Unii Europejskiej przyjęty przez Radę w dniu 17 lutego 2020 r.</w:t>
      </w:r>
      <w:r w:rsidR="002533D2">
        <w:rPr>
          <w:rStyle w:val="Odwoanieprzypisudolnego"/>
          <w:rFonts w:ascii="Arial" w:hAnsi="Arial" w:cs="Arial"/>
          <w:sz w:val="20"/>
          <w:szCs w:val="20"/>
        </w:rPr>
        <w:footnoteReference w:id="16"/>
      </w:r>
      <w:r w:rsidRPr="009A1AB7">
        <w:rPr>
          <w:rFonts w:ascii="Arial" w:hAnsi="Arial" w:cs="Arial"/>
          <w:sz w:val="20"/>
          <w:szCs w:val="20"/>
        </w:rPr>
        <w:t xml:space="preserve">. </w:t>
      </w:r>
    </w:p>
    <w:p w14:paraId="122B3AB2" w14:textId="438CEFF2" w:rsidR="00641BF5" w:rsidRPr="009A1AB7" w:rsidRDefault="008167E4" w:rsidP="00F423DF">
      <w:pPr>
        <w:spacing w:after="0" w:line="360" w:lineRule="auto"/>
        <w:ind w:firstLine="567"/>
        <w:rPr>
          <w:rFonts w:ascii="Arial" w:hAnsi="Arial" w:cs="Arial"/>
          <w:sz w:val="20"/>
          <w:szCs w:val="20"/>
        </w:rPr>
      </w:pPr>
      <w:r>
        <w:rPr>
          <w:rFonts w:ascii="Arial" w:hAnsi="Arial" w:cs="Arial"/>
          <w:sz w:val="20"/>
          <w:szCs w:val="20"/>
        </w:rPr>
        <w:t xml:space="preserve">Ponieważ </w:t>
      </w:r>
      <w:r w:rsidR="007B5E54" w:rsidRPr="009A1AB7">
        <w:rPr>
          <w:rFonts w:ascii="Arial" w:hAnsi="Arial" w:cs="Arial"/>
          <w:sz w:val="20"/>
          <w:szCs w:val="20"/>
        </w:rPr>
        <w:t xml:space="preserve">ustawa Pzp znajduje </w:t>
      </w:r>
      <w:r w:rsidR="006D5A50">
        <w:rPr>
          <w:rFonts w:ascii="Arial" w:hAnsi="Arial" w:cs="Arial"/>
          <w:sz w:val="20"/>
          <w:szCs w:val="20"/>
        </w:rPr>
        <w:t xml:space="preserve">zasadniczo </w:t>
      </w:r>
      <w:r w:rsidR="007B5E54" w:rsidRPr="009A1AB7">
        <w:rPr>
          <w:rFonts w:ascii="Arial" w:hAnsi="Arial" w:cs="Arial"/>
          <w:sz w:val="20"/>
          <w:szCs w:val="20"/>
        </w:rPr>
        <w:t>zastosowanie do zamówień, których przedmiotem są dostawy sprzętu wojskowego, w tym wszelkich jego części, komponentów, podzespołów lub jego oprogramowania</w:t>
      </w:r>
      <w:r>
        <w:rPr>
          <w:rFonts w:ascii="Arial" w:hAnsi="Arial" w:cs="Arial"/>
          <w:sz w:val="20"/>
          <w:szCs w:val="20"/>
        </w:rPr>
        <w:t xml:space="preserve">, </w:t>
      </w:r>
      <w:r w:rsidR="006D5A50">
        <w:rPr>
          <w:rFonts w:ascii="Arial" w:hAnsi="Arial" w:cs="Arial"/>
          <w:sz w:val="20"/>
          <w:szCs w:val="20"/>
        </w:rPr>
        <w:t>a</w:t>
      </w:r>
      <w:r w:rsidR="006D5A50" w:rsidRPr="009A1AB7">
        <w:rPr>
          <w:rFonts w:ascii="Arial" w:hAnsi="Arial" w:cs="Arial"/>
          <w:sz w:val="20"/>
          <w:szCs w:val="20"/>
        </w:rPr>
        <w:t xml:space="preserve">rt. 12 ust. 1 pkt 2 ustawy Pzp </w:t>
      </w:r>
      <w:r w:rsidR="006D5A50">
        <w:rPr>
          <w:rFonts w:ascii="Arial" w:hAnsi="Arial" w:cs="Arial"/>
          <w:sz w:val="20"/>
          <w:szCs w:val="20"/>
        </w:rPr>
        <w:t>stanowi</w:t>
      </w:r>
      <w:r w:rsidR="006D5A50" w:rsidRPr="009A1AB7">
        <w:rPr>
          <w:rFonts w:ascii="Arial" w:hAnsi="Arial" w:cs="Arial"/>
          <w:sz w:val="20"/>
          <w:szCs w:val="20"/>
        </w:rPr>
        <w:t xml:space="preserve"> </w:t>
      </w:r>
      <w:r w:rsidR="00B13782">
        <w:rPr>
          <w:rFonts w:ascii="Arial" w:hAnsi="Arial" w:cs="Arial"/>
          <w:sz w:val="20"/>
          <w:szCs w:val="20"/>
        </w:rPr>
        <w:t>wyjątkowy</w:t>
      </w:r>
      <w:r w:rsidR="006D5A50" w:rsidRPr="009A1AB7">
        <w:rPr>
          <w:rFonts w:ascii="Arial" w:hAnsi="Arial" w:cs="Arial"/>
          <w:sz w:val="20"/>
          <w:szCs w:val="20"/>
        </w:rPr>
        <w:t xml:space="preserve"> przypad</w:t>
      </w:r>
      <w:r w:rsidR="006D5A50">
        <w:rPr>
          <w:rFonts w:ascii="Arial" w:hAnsi="Arial" w:cs="Arial"/>
          <w:sz w:val="20"/>
          <w:szCs w:val="20"/>
        </w:rPr>
        <w:t>e</w:t>
      </w:r>
      <w:r w:rsidR="006D5A50" w:rsidRPr="009A1AB7">
        <w:rPr>
          <w:rFonts w:ascii="Arial" w:hAnsi="Arial" w:cs="Arial"/>
          <w:sz w:val="20"/>
          <w:szCs w:val="20"/>
        </w:rPr>
        <w:t>k wyłączenia stosowania ustawy Pzp</w:t>
      </w:r>
      <w:r w:rsidR="00B13782">
        <w:rPr>
          <w:rFonts w:ascii="Arial" w:hAnsi="Arial" w:cs="Arial"/>
          <w:sz w:val="20"/>
          <w:szCs w:val="20"/>
        </w:rPr>
        <w:t xml:space="preserve">, który może zaistnieć tylko </w:t>
      </w:r>
      <w:r w:rsidR="006D5A50" w:rsidRPr="009A1AB7">
        <w:rPr>
          <w:rFonts w:ascii="Arial" w:hAnsi="Arial" w:cs="Arial"/>
          <w:sz w:val="20"/>
          <w:szCs w:val="20"/>
        </w:rPr>
        <w:t xml:space="preserve">okolicznościach, gdy wynika </w:t>
      </w:r>
      <w:r w:rsidR="006D5A50">
        <w:rPr>
          <w:rFonts w:ascii="Arial" w:hAnsi="Arial" w:cs="Arial"/>
          <w:sz w:val="20"/>
          <w:szCs w:val="20"/>
        </w:rPr>
        <w:t xml:space="preserve">to </w:t>
      </w:r>
      <w:r w:rsidR="006D5A50" w:rsidRPr="009A1AB7">
        <w:rPr>
          <w:rFonts w:ascii="Arial" w:hAnsi="Arial" w:cs="Arial"/>
          <w:sz w:val="20"/>
          <w:szCs w:val="20"/>
        </w:rPr>
        <w:t xml:space="preserve">z konieczności utajnienia zamówienia </w:t>
      </w:r>
      <w:r w:rsidR="00B13782">
        <w:rPr>
          <w:rFonts w:ascii="Arial" w:hAnsi="Arial" w:cs="Arial"/>
          <w:sz w:val="20"/>
          <w:szCs w:val="20"/>
        </w:rPr>
        <w:br/>
      </w:r>
      <w:r w:rsidR="006D5A50" w:rsidRPr="009A1AB7">
        <w:rPr>
          <w:rFonts w:ascii="Arial" w:hAnsi="Arial" w:cs="Arial"/>
          <w:sz w:val="20"/>
          <w:szCs w:val="20"/>
        </w:rPr>
        <w:t>i informacji o tym zamówieniu</w:t>
      </w:r>
      <w:r>
        <w:rPr>
          <w:rFonts w:ascii="Arial" w:hAnsi="Arial" w:cs="Arial"/>
          <w:sz w:val="20"/>
          <w:szCs w:val="20"/>
        </w:rPr>
        <w:t xml:space="preserve"> ze względu na podstawowy interes bezpieczeństwa państwa, co wyłącza </w:t>
      </w:r>
      <w:r>
        <w:rPr>
          <w:rFonts w:ascii="Arial" w:hAnsi="Arial" w:cs="Arial"/>
          <w:sz w:val="20"/>
          <w:szCs w:val="20"/>
        </w:rPr>
        <w:lastRenderedPageBreak/>
        <w:t xml:space="preserve">zastosowanie nawet przepisów szczególnych dotyczących udzielania zamówień w dziedzinach obronności </w:t>
      </w:r>
      <w:r w:rsidR="00B13782">
        <w:rPr>
          <w:rFonts w:ascii="Arial" w:hAnsi="Arial" w:cs="Arial"/>
          <w:sz w:val="20"/>
          <w:szCs w:val="20"/>
        </w:rPr>
        <w:br/>
      </w:r>
      <w:r>
        <w:rPr>
          <w:rFonts w:ascii="Arial" w:hAnsi="Arial" w:cs="Arial"/>
          <w:sz w:val="20"/>
          <w:szCs w:val="20"/>
        </w:rPr>
        <w:t>i bezpieczeństwa.</w:t>
      </w:r>
      <w:r w:rsidR="00B13782">
        <w:rPr>
          <w:rFonts w:ascii="Arial" w:hAnsi="Arial" w:cs="Arial"/>
          <w:sz w:val="20"/>
          <w:szCs w:val="20"/>
        </w:rPr>
        <w:t xml:space="preserve"> </w:t>
      </w:r>
    </w:p>
    <w:p w14:paraId="0F3545F2" w14:textId="77777777" w:rsidR="00CE4766" w:rsidRPr="009A1AB7" w:rsidRDefault="00CE4766" w:rsidP="00F423DF">
      <w:pPr>
        <w:spacing w:after="0" w:line="360" w:lineRule="auto"/>
        <w:ind w:left="284"/>
        <w:rPr>
          <w:rFonts w:ascii="Arial" w:hAnsi="Arial" w:cs="Arial"/>
          <w:sz w:val="20"/>
          <w:szCs w:val="20"/>
        </w:rPr>
      </w:pPr>
    </w:p>
    <w:p w14:paraId="7A597BA1" w14:textId="3C9C2F4D" w:rsidR="00CE4766" w:rsidRPr="009A1AB7" w:rsidRDefault="00CE4766" w:rsidP="00F423DF">
      <w:pPr>
        <w:pStyle w:val="Nagwek1"/>
        <w:numPr>
          <w:ilvl w:val="0"/>
          <w:numId w:val="11"/>
        </w:numPr>
        <w:ind w:left="567" w:hanging="578"/>
      </w:pPr>
      <w:r w:rsidRPr="009A1AB7">
        <w:t xml:space="preserve">Istotny interes bezpieczeństwa państwa </w:t>
      </w:r>
    </w:p>
    <w:p w14:paraId="772FAAC5" w14:textId="77777777" w:rsidR="00840271" w:rsidRPr="009A1AB7" w:rsidRDefault="00840271" w:rsidP="00F423DF">
      <w:pPr>
        <w:spacing w:after="0" w:line="360" w:lineRule="auto"/>
        <w:ind w:left="284"/>
        <w:rPr>
          <w:rFonts w:ascii="Arial" w:hAnsi="Arial" w:cs="Arial"/>
          <w:b/>
          <w:bCs/>
          <w:sz w:val="20"/>
          <w:szCs w:val="20"/>
        </w:rPr>
      </w:pPr>
    </w:p>
    <w:p w14:paraId="056DBF11" w14:textId="143017D6" w:rsidR="0069594E" w:rsidRPr="009A1AB7" w:rsidRDefault="0069594E" w:rsidP="00F423DF">
      <w:pPr>
        <w:spacing w:after="0" w:line="360" w:lineRule="auto"/>
        <w:ind w:firstLine="567"/>
        <w:rPr>
          <w:rFonts w:ascii="Arial" w:hAnsi="Arial" w:cs="Arial"/>
          <w:sz w:val="20"/>
          <w:szCs w:val="20"/>
        </w:rPr>
      </w:pPr>
      <w:r w:rsidRPr="009A1AB7">
        <w:rPr>
          <w:rFonts w:ascii="Arial" w:hAnsi="Arial" w:cs="Arial"/>
          <w:sz w:val="20"/>
          <w:szCs w:val="20"/>
        </w:rPr>
        <w:t xml:space="preserve">Mimo że </w:t>
      </w:r>
      <w:r>
        <w:rPr>
          <w:rFonts w:ascii="Arial" w:hAnsi="Arial" w:cs="Arial"/>
          <w:sz w:val="20"/>
          <w:szCs w:val="20"/>
        </w:rPr>
        <w:t xml:space="preserve">ustawa Pzp w </w:t>
      </w:r>
      <w:r w:rsidRPr="009A1AB7">
        <w:rPr>
          <w:rFonts w:ascii="Arial" w:hAnsi="Arial" w:cs="Arial"/>
          <w:sz w:val="20"/>
          <w:szCs w:val="20"/>
        </w:rPr>
        <w:t xml:space="preserve">art. 12 ust. 1 pkt 1 ustawy Pzp posługuje się pojęciem „istotnego interesu bezpieczeństwa państwa”, </w:t>
      </w:r>
      <w:r>
        <w:rPr>
          <w:rFonts w:ascii="Arial" w:hAnsi="Arial" w:cs="Arial"/>
          <w:sz w:val="20"/>
          <w:szCs w:val="20"/>
        </w:rPr>
        <w:t xml:space="preserve">zaś w art. 12 ust. 1 pkt 2 pojęciem „podstawowego interesu bezpieczeństwa państwa” z uwagi na wymiar europejski normy </w:t>
      </w:r>
      <w:r w:rsidR="005B1004">
        <w:rPr>
          <w:rFonts w:ascii="Arial" w:hAnsi="Arial" w:cs="Arial"/>
          <w:sz w:val="20"/>
          <w:szCs w:val="20"/>
        </w:rPr>
        <w:t>wdrożonej</w:t>
      </w:r>
      <w:r>
        <w:rPr>
          <w:rFonts w:ascii="Arial" w:hAnsi="Arial" w:cs="Arial"/>
          <w:sz w:val="20"/>
          <w:szCs w:val="20"/>
        </w:rPr>
        <w:t xml:space="preserve"> przepisem art. 12 ust. 1 ustawy Pzp, pojęcia te </w:t>
      </w:r>
      <w:r w:rsidR="0090215D">
        <w:rPr>
          <w:rFonts w:ascii="Arial" w:hAnsi="Arial" w:cs="Arial"/>
          <w:sz w:val="20"/>
          <w:szCs w:val="20"/>
        </w:rPr>
        <w:t>odpowiadają sobie znaczeniowo</w:t>
      </w:r>
      <w:r w:rsidR="005B1004">
        <w:rPr>
          <w:rFonts w:ascii="Arial" w:hAnsi="Arial" w:cs="Arial"/>
          <w:sz w:val="20"/>
          <w:szCs w:val="20"/>
        </w:rPr>
        <w:t>. W obu przypadkach źródłowym przepisem, przywoływanym w dyrektywach z zakresu zamówień publicznych</w:t>
      </w:r>
      <w:r w:rsidR="00C47389">
        <w:rPr>
          <w:rFonts w:ascii="Arial" w:hAnsi="Arial" w:cs="Arial"/>
          <w:sz w:val="20"/>
          <w:szCs w:val="20"/>
        </w:rPr>
        <w:t xml:space="preserve"> w odniesieniu do tej normy</w:t>
      </w:r>
      <w:r w:rsidR="005B1004">
        <w:rPr>
          <w:rFonts w:ascii="Arial" w:hAnsi="Arial" w:cs="Arial"/>
          <w:sz w:val="20"/>
          <w:szCs w:val="20"/>
        </w:rPr>
        <w:t>, jest art. 346 TFUE</w:t>
      </w:r>
      <w:r>
        <w:rPr>
          <w:rFonts w:ascii="Arial" w:hAnsi="Arial" w:cs="Arial"/>
          <w:sz w:val="20"/>
          <w:szCs w:val="20"/>
        </w:rPr>
        <w:t xml:space="preserve"> odwołują</w:t>
      </w:r>
      <w:r w:rsidR="005B1004">
        <w:rPr>
          <w:rFonts w:ascii="Arial" w:hAnsi="Arial" w:cs="Arial"/>
          <w:sz w:val="20"/>
          <w:szCs w:val="20"/>
        </w:rPr>
        <w:t>cy</w:t>
      </w:r>
      <w:r>
        <w:rPr>
          <w:rFonts w:ascii="Arial" w:hAnsi="Arial" w:cs="Arial"/>
          <w:sz w:val="20"/>
          <w:szCs w:val="20"/>
        </w:rPr>
        <w:t xml:space="preserve"> się do podstawowego interesu bezpieczeństwa państwa</w:t>
      </w:r>
      <w:r w:rsidR="00700AB8">
        <w:rPr>
          <w:rFonts w:ascii="Arial" w:hAnsi="Arial" w:cs="Arial"/>
          <w:sz w:val="20"/>
          <w:szCs w:val="20"/>
        </w:rPr>
        <w:t>.</w:t>
      </w:r>
      <w:r w:rsidRPr="009A1AB7">
        <w:rPr>
          <w:rFonts w:ascii="Arial" w:hAnsi="Arial" w:cs="Arial"/>
          <w:sz w:val="20"/>
          <w:szCs w:val="20"/>
        </w:rPr>
        <w:t xml:space="preserve"> </w:t>
      </w:r>
      <w:r w:rsidR="00700AB8">
        <w:rPr>
          <w:rFonts w:ascii="Arial" w:hAnsi="Arial" w:cs="Arial"/>
          <w:sz w:val="20"/>
          <w:szCs w:val="20"/>
        </w:rPr>
        <w:t xml:space="preserve">Ze względu na wspólnotowy wymiar normy wdrażanej przepisem art. 12 ust. 1 ustawy Pzp </w:t>
      </w:r>
      <w:r w:rsidRPr="009A1AB7">
        <w:rPr>
          <w:rFonts w:ascii="Arial" w:hAnsi="Arial" w:cs="Arial"/>
          <w:sz w:val="20"/>
          <w:szCs w:val="20"/>
        </w:rPr>
        <w:t xml:space="preserve">rozumienie tego </w:t>
      </w:r>
      <w:r w:rsidR="00700AB8">
        <w:rPr>
          <w:rFonts w:ascii="Arial" w:hAnsi="Arial" w:cs="Arial"/>
          <w:sz w:val="20"/>
          <w:szCs w:val="20"/>
        </w:rPr>
        <w:t xml:space="preserve">przepisu, w tym rozumienie pojęcia istotnego interesu bezpieczeństwa państwa </w:t>
      </w:r>
      <w:r w:rsidRPr="009A1AB7">
        <w:rPr>
          <w:rFonts w:ascii="Arial" w:hAnsi="Arial" w:cs="Arial"/>
          <w:sz w:val="20"/>
          <w:szCs w:val="20"/>
        </w:rPr>
        <w:t xml:space="preserve">we wszystkich państwach członkowskich Unii Europejskiej powinno być takie samo. W związku z tym, że pojęcie </w:t>
      </w:r>
      <w:r w:rsidR="00700AB8">
        <w:rPr>
          <w:rFonts w:ascii="Arial" w:hAnsi="Arial" w:cs="Arial"/>
          <w:sz w:val="20"/>
          <w:szCs w:val="20"/>
        </w:rPr>
        <w:t>istotnego</w:t>
      </w:r>
      <w:r w:rsidRPr="009A1AB7">
        <w:rPr>
          <w:rFonts w:ascii="Arial" w:hAnsi="Arial" w:cs="Arial"/>
          <w:sz w:val="20"/>
          <w:szCs w:val="20"/>
        </w:rPr>
        <w:t xml:space="preserve"> interes</w:t>
      </w:r>
      <w:r w:rsidR="00700AB8">
        <w:rPr>
          <w:rFonts w:ascii="Arial" w:hAnsi="Arial" w:cs="Arial"/>
          <w:sz w:val="20"/>
          <w:szCs w:val="20"/>
        </w:rPr>
        <w:t xml:space="preserve">u </w:t>
      </w:r>
      <w:r w:rsidRPr="009A1AB7">
        <w:rPr>
          <w:rFonts w:ascii="Arial" w:hAnsi="Arial" w:cs="Arial"/>
          <w:sz w:val="20"/>
          <w:szCs w:val="20"/>
        </w:rPr>
        <w:t>bezpieczeństwa państwa musi być jednakowo interpretowane we wszystkich państwach członkowskich Unii Europejskiej</w:t>
      </w:r>
      <w:r w:rsidR="00700AB8">
        <w:rPr>
          <w:rFonts w:ascii="Arial" w:hAnsi="Arial" w:cs="Arial"/>
          <w:sz w:val="20"/>
          <w:szCs w:val="20"/>
        </w:rPr>
        <w:t xml:space="preserve">, </w:t>
      </w:r>
      <w:r w:rsidR="00C47389">
        <w:rPr>
          <w:rFonts w:ascii="Arial" w:hAnsi="Arial" w:cs="Arial"/>
          <w:sz w:val="20"/>
          <w:szCs w:val="20"/>
        </w:rPr>
        <w:t xml:space="preserve">należy przyjąć, że </w:t>
      </w:r>
      <w:r w:rsidR="00700AB8">
        <w:rPr>
          <w:rFonts w:ascii="Arial" w:hAnsi="Arial" w:cs="Arial"/>
          <w:sz w:val="20"/>
          <w:szCs w:val="20"/>
        </w:rPr>
        <w:t>odpowiada ono pojęciu podstawowego</w:t>
      </w:r>
      <w:r w:rsidRPr="009A1AB7">
        <w:rPr>
          <w:rFonts w:ascii="Arial" w:hAnsi="Arial" w:cs="Arial"/>
          <w:sz w:val="20"/>
          <w:szCs w:val="20"/>
        </w:rPr>
        <w:t xml:space="preserve"> interesu bezpieczeństwa państwa</w:t>
      </w:r>
      <w:r w:rsidR="00700AB8">
        <w:rPr>
          <w:rFonts w:ascii="Arial" w:hAnsi="Arial" w:cs="Arial"/>
          <w:sz w:val="20"/>
          <w:szCs w:val="20"/>
        </w:rPr>
        <w:t xml:space="preserve">. </w:t>
      </w:r>
    </w:p>
    <w:p w14:paraId="6815DC0A" w14:textId="2290C317" w:rsidR="004B0E2B" w:rsidRPr="009A1AB7" w:rsidRDefault="00840271" w:rsidP="00F423DF">
      <w:pPr>
        <w:shd w:val="clear" w:color="auto" w:fill="FFFFFF"/>
        <w:spacing w:after="0" w:line="360" w:lineRule="auto"/>
        <w:ind w:firstLine="567"/>
        <w:textAlignment w:val="baseline"/>
        <w:rPr>
          <w:rFonts w:ascii="Arial" w:hAnsi="Arial" w:cs="Arial"/>
          <w:sz w:val="20"/>
          <w:szCs w:val="20"/>
        </w:rPr>
      </w:pPr>
      <w:r w:rsidRPr="009A1AB7">
        <w:rPr>
          <w:rFonts w:ascii="Arial" w:hAnsi="Arial" w:cs="Arial"/>
          <w:sz w:val="20"/>
          <w:szCs w:val="20"/>
        </w:rPr>
        <w:t xml:space="preserve">Pojęcie istotnego </w:t>
      </w:r>
      <w:r w:rsidR="004B0E2B" w:rsidRPr="009A1AB7">
        <w:rPr>
          <w:rFonts w:ascii="Arial" w:hAnsi="Arial" w:cs="Arial"/>
          <w:sz w:val="20"/>
          <w:szCs w:val="20"/>
        </w:rPr>
        <w:t xml:space="preserve">(podstawowego) </w:t>
      </w:r>
      <w:r w:rsidRPr="009A1AB7">
        <w:rPr>
          <w:rFonts w:ascii="Arial" w:hAnsi="Arial" w:cs="Arial"/>
          <w:sz w:val="20"/>
          <w:szCs w:val="20"/>
        </w:rPr>
        <w:t>interesu bezpieczeństwa państwa</w:t>
      </w:r>
      <w:r w:rsidR="004B0E2B" w:rsidRPr="009A1AB7">
        <w:rPr>
          <w:rFonts w:ascii="Arial" w:hAnsi="Arial" w:cs="Arial"/>
          <w:sz w:val="20"/>
          <w:szCs w:val="20"/>
        </w:rPr>
        <w:t xml:space="preserve">, którym posługuje się ustawa </w:t>
      </w:r>
      <w:proofErr w:type="spellStart"/>
      <w:r w:rsidR="004B0E2B" w:rsidRPr="009A1AB7">
        <w:rPr>
          <w:rFonts w:ascii="Arial" w:hAnsi="Arial" w:cs="Arial"/>
          <w:sz w:val="20"/>
          <w:szCs w:val="20"/>
        </w:rPr>
        <w:t>Pzp</w:t>
      </w:r>
      <w:proofErr w:type="spellEnd"/>
      <w:r w:rsidR="004B0E2B" w:rsidRPr="009A1AB7">
        <w:rPr>
          <w:rFonts w:ascii="Arial" w:hAnsi="Arial" w:cs="Arial"/>
          <w:sz w:val="20"/>
          <w:szCs w:val="20"/>
        </w:rPr>
        <w:t xml:space="preserve"> w art. 12 ust. 1 nie zostało zdefiniowane w prawie krajowym, w tym w ustawie Pzp</w:t>
      </w:r>
      <w:r w:rsidR="009A1AB7" w:rsidRPr="009A1AB7">
        <w:rPr>
          <w:rFonts w:ascii="Arial" w:hAnsi="Arial" w:cs="Arial"/>
          <w:sz w:val="20"/>
          <w:szCs w:val="20"/>
        </w:rPr>
        <w:t>,</w:t>
      </w:r>
      <w:r w:rsidR="004B0E2B" w:rsidRPr="009A1AB7">
        <w:rPr>
          <w:rFonts w:ascii="Arial" w:hAnsi="Arial" w:cs="Arial"/>
          <w:sz w:val="20"/>
          <w:szCs w:val="20"/>
        </w:rPr>
        <w:t xml:space="preserve"> ani w prawie europejskim. B</w:t>
      </w:r>
      <w:r w:rsidRPr="009A1AB7">
        <w:rPr>
          <w:rFonts w:ascii="Arial" w:hAnsi="Arial" w:cs="Arial"/>
          <w:sz w:val="20"/>
          <w:szCs w:val="20"/>
        </w:rPr>
        <w:t xml:space="preserve">rak definicji legalnej </w:t>
      </w:r>
      <w:r w:rsidR="004B0E2B" w:rsidRPr="009A1AB7">
        <w:rPr>
          <w:rFonts w:ascii="Arial" w:hAnsi="Arial" w:cs="Arial"/>
          <w:sz w:val="20"/>
          <w:szCs w:val="20"/>
        </w:rPr>
        <w:t xml:space="preserve">tego pojęcia nie stoi </w:t>
      </w:r>
      <w:r w:rsidR="005B1004">
        <w:rPr>
          <w:rFonts w:ascii="Arial" w:hAnsi="Arial" w:cs="Arial"/>
          <w:sz w:val="20"/>
          <w:szCs w:val="20"/>
        </w:rPr>
        <w:t xml:space="preserve">jednak </w:t>
      </w:r>
      <w:r w:rsidR="004B0E2B" w:rsidRPr="009A1AB7">
        <w:rPr>
          <w:rFonts w:ascii="Arial" w:hAnsi="Arial" w:cs="Arial"/>
          <w:sz w:val="20"/>
          <w:szCs w:val="20"/>
        </w:rPr>
        <w:t xml:space="preserve">na przeszkodzie w </w:t>
      </w:r>
      <w:r w:rsidR="005B1004">
        <w:rPr>
          <w:rFonts w:ascii="Arial" w:hAnsi="Arial" w:cs="Arial"/>
          <w:sz w:val="20"/>
          <w:szCs w:val="20"/>
        </w:rPr>
        <w:t xml:space="preserve">prawidłowym </w:t>
      </w:r>
      <w:r w:rsidR="004B0E2B" w:rsidRPr="009A1AB7">
        <w:rPr>
          <w:rFonts w:ascii="Arial" w:hAnsi="Arial" w:cs="Arial"/>
          <w:sz w:val="20"/>
          <w:szCs w:val="20"/>
        </w:rPr>
        <w:t>stosowaniu regulacji</w:t>
      </w:r>
      <w:r w:rsidR="005E1AC8" w:rsidRPr="009A1AB7">
        <w:rPr>
          <w:rFonts w:ascii="Arial" w:hAnsi="Arial" w:cs="Arial"/>
          <w:sz w:val="20"/>
          <w:szCs w:val="20"/>
        </w:rPr>
        <w:t>. D</w:t>
      </w:r>
      <w:r w:rsidR="004B0E2B" w:rsidRPr="009A1AB7">
        <w:rPr>
          <w:rFonts w:ascii="Arial" w:hAnsi="Arial" w:cs="Arial"/>
          <w:sz w:val="20"/>
          <w:szCs w:val="20"/>
        </w:rPr>
        <w:t>ecyzja zamawiającego co do zakwalifikowania danego zamówienia publicznego jako podlegającego wyłączeniu ze stosowania przepisów ustawy Pzp ze względu na istotny (podstawowy) interes bezpieczeństwa państwa</w:t>
      </w:r>
      <w:r w:rsidR="005E1AC8" w:rsidRPr="009A1AB7">
        <w:rPr>
          <w:rFonts w:ascii="Arial" w:hAnsi="Arial" w:cs="Arial"/>
          <w:sz w:val="20"/>
          <w:szCs w:val="20"/>
        </w:rPr>
        <w:t xml:space="preserve"> musi </w:t>
      </w:r>
      <w:r w:rsidR="005B1004">
        <w:rPr>
          <w:rFonts w:ascii="Arial" w:hAnsi="Arial" w:cs="Arial"/>
          <w:sz w:val="20"/>
          <w:szCs w:val="20"/>
        </w:rPr>
        <w:t xml:space="preserve">bowiem zawsze </w:t>
      </w:r>
      <w:r w:rsidR="005E1AC8" w:rsidRPr="009A1AB7">
        <w:rPr>
          <w:rFonts w:ascii="Arial" w:hAnsi="Arial" w:cs="Arial"/>
          <w:sz w:val="20"/>
          <w:szCs w:val="20"/>
        </w:rPr>
        <w:t xml:space="preserve">zawierać indywidualną ocenę </w:t>
      </w:r>
      <w:r w:rsidR="005B1004">
        <w:rPr>
          <w:rFonts w:ascii="Arial" w:hAnsi="Arial" w:cs="Arial"/>
          <w:sz w:val="20"/>
          <w:szCs w:val="20"/>
        </w:rPr>
        <w:t xml:space="preserve">potrzeby ochrony interesów bezpieczeństwa państwa </w:t>
      </w:r>
      <w:r w:rsidR="005E1AC8" w:rsidRPr="009A1AB7">
        <w:rPr>
          <w:rFonts w:ascii="Arial" w:hAnsi="Arial" w:cs="Arial"/>
          <w:sz w:val="20"/>
          <w:szCs w:val="20"/>
        </w:rPr>
        <w:t>w okolicznościach dotyczących konkretnego przypadku</w:t>
      </w:r>
      <w:r w:rsidR="004B0E2B" w:rsidRPr="009A1AB7">
        <w:rPr>
          <w:rFonts w:ascii="Arial" w:hAnsi="Arial" w:cs="Arial"/>
          <w:sz w:val="20"/>
          <w:szCs w:val="20"/>
        </w:rPr>
        <w:t xml:space="preserve"> zamówienia</w:t>
      </w:r>
      <w:r w:rsidR="005B1004">
        <w:rPr>
          <w:rFonts w:ascii="Arial" w:hAnsi="Arial" w:cs="Arial"/>
          <w:sz w:val="20"/>
          <w:szCs w:val="20"/>
        </w:rPr>
        <w:t>, a więc musi następować</w:t>
      </w:r>
      <w:r w:rsidR="005E1AC8" w:rsidRPr="009A1AB7">
        <w:rPr>
          <w:rFonts w:ascii="Arial" w:hAnsi="Arial" w:cs="Arial"/>
          <w:sz w:val="20"/>
          <w:szCs w:val="20"/>
        </w:rPr>
        <w:t xml:space="preserve"> z uwzględnieniem okoliczności </w:t>
      </w:r>
      <w:r w:rsidR="004B0E2B" w:rsidRPr="009A1AB7">
        <w:rPr>
          <w:rFonts w:ascii="Arial" w:hAnsi="Arial" w:cs="Arial"/>
          <w:sz w:val="20"/>
          <w:szCs w:val="20"/>
        </w:rPr>
        <w:t>prawnych i faktycznych</w:t>
      </w:r>
      <w:r w:rsidR="005B1004">
        <w:rPr>
          <w:rFonts w:ascii="Arial" w:hAnsi="Arial" w:cs="Arial"/>
          <w:sz w:val="20"/>
          <w:szCs w:val="20"/>
        </w:rPr>
        <w:t xml:space="preserve"> realizujących się tylko w odniesieniu do danego zamówienia</w:t>
      </w:r>
      <w:r w:rsidR="004B0E2B" w:rsidRPr="009A1AB7">
        <w:rPr>
          <w:rFonts w:ascii="Arial" w:hAnsi="Arial" w:cs="Arial"/>
          <w:sz w:val="20"/>
          <w:szCs w:val="20"/>
        </w:rPr>
        <w:t>.</w:t>
      </w:r>
      <w:r w:rsidR="005E1AC8" w:rsidRPr="009A1AB7">
        <w:rPr>
          <w:rFonts w:ascii="Arial" w:hAnsi="Arial" w:cs="Arial"/>
          <w:sz w:val="20"/>
          <w:szCs w:val="20"/>
        </w:rPr>
        <w:t xml:space="preserve"> Konieczność wyłączenia stosowania przepisów ustawy Pzp ze względu na cel jakim jest ochrona istotnych (podstawowych) interesów bezpieczeństwa państwa konkretyzuje się w przypadku, gdy </w:t>
      </w:r>
      <w:r w:rsidR="00145285" w:rsidRPr="009A1AB7">
        <w:rPr>
          <w:rFonts w:ascii="Arial" w:hAnsi="Arial" w:cs="Arial"/>
          <w:sz w:val="20"/>
          <w:szCs w:val="20"/>
        </w:rPr>
        <w:t xml:space="preserve">ścisła </w:t>
      </w:r>
      <w:r w:rsidR="005E1AC8" w:rsidRPr="009A1AB7">
        <w:rPr>
          <w:rFonts w:ascii="Arial" w:hAnsi="Arial" w:cs="Arial"/>
          <w:sz w:val="20"/>
          <w:szCs w:val="20"/>
        </w:rPr>
        <w:t xml:space="preserve">ochrona informacji niezbędnych do udzielenia zamówienia jest </w:t>
      </w:r>
      <w:r w:rsidR="00145285" w:rsidRPr="009A1AB7">
        <w:rPr>
          <w:rFonts w:ascii="Arial" w:hAnsi="Arial" w:cs="Arial"/>
          <w:sz w:val="20"/>
          <w:szCs w:val="20"/>
        </w:rPr>
        <w:t xml:space="preserve">wymuszona przez niezależne od zamawiającego okoliczności związane z ochroną bezpieczeństwa państwa (przepisy, decyzje itp.), co skutkuje brakiem możliwości udzielenia tego zamówienia z uwzględnieniem zasad, do których odwołuje się ustawa Pzp, w szczególności zasady jawności. Innymi słowy </w:t>
      </w:r>
      <w:r w:rsidR="00F77F49">
        <w:rPr>
          <w:rFonts w:ascii="Arial" w:hAnsi="Arial" w:cs="Arial"/>
          <w:sz w:val="20"/>
          <w:szCs w:val="20"/>
        </w:rPr>
        <w:t>są to okoliczności</w:t>
      </w:r>
      <w:r w:rsidR="00BD1A44">
        <w:rPr>
          <w:rFonts w:ascii="Arial" w:hAnsi="Arial" w:cs="Arial"/>
          <w:sz w:val="20"/>
          <w:szCs w:val="20"/>
        </w:rPr>
        <w:t xml:space="preserve"> konkretyzujące się w odniesieniu do danego zamówienia</w:t>
      </w:r>
      <w:r w:rsidR="00F77F49">
        <w:rPr>
          <w:rFonts w:ascii="Arial" w:hAnsi="Arial" w:cs="Arial"/>
          <w:sz w:val="20"/>
          <w:szCs w:val="20"/>
        </w:rPr>
        <w:t xml:space="preserve">, w których </w:t>
      </w:r>
      <w:r w:rsidR="00145285" w:rsidRPr="009A1AB7">
        <w:rPr>
          <w:rFonts w:ascii="Arial" w:hAnsi="Arial" w:cs="Arial"/>
          <w:sz w:val="20"/>
          <w:szCs w:val="20"/>
        </w:rPr>
        <w:t xml:space="preserve">udzielenie  zamówienia publicznego z zastosowaniem przepisów ustawy Pzp </w:t>
      </w:r>
      <w:r w:rsidR="00F77F49">
        <w:rPr>
          <w:rFonts w:ascii="Arial" w:hAnsi="Arial" w:cs="Arial"/>
          <w:sz w:val="20"/>
          <w:szCs w:val="20"/>
        </w:rPr>
        <w:t>powodowałoby</w:t>
      </w:r>
      <w:r w:rsidR="00145285" w:rsidRPr="009A1AB7">
        <w:rPr>
          <w:rFonts w:ascii="Arial" w:hAnsi="Arial" w:cs="Arial"/>
          <w:sz w:val="20"/>
          <w:szCs w:val="20"/>
        </w:rPr>
        <w:t xml:space="preserve"> zagrożeni</w:t>
      </w:r>
      <w:r w:rsidR="00F77F49">
        <w:rPr>
          <w:rFonts w:ascii="Arial" w:hAnsi="Arial" w:cs="Arial"/>
          <w:sz w:val="20"/>
          <w:szCs w:val="20"/>
        </w:rPr>
        <w:t>e</w:t>
      </w:r>
      <w:r w:rsidR="00145285" w:rsidRPr="009A1AB7">
        <w:rPr>
          <w:rFonts w:ascii="Arial" w:hAnsi="Arial" w:cs="Arial"/>
          <w:sz w:val="20"/>
          <w:szCs w:val="20"/>
        </w:rPr>
        <w:t xml:space="preserve"> istotnego (podstawowego) interesu bezpieczeństwa państwa</w:t>
      </w:r>
      <w:r w:rsidR="00BD1A44">
        <w:rPr>
          <w:rFonts w:ascii="Arial" w:hAnsi="Arial" w:cs="Arial"/>
          <w:sz w:val="20"/>
          <w:szCs w:val="20"/>
        </w:rPr>
        <w:t xml:space="preserve"> związanego z udzieleniem tego zamówienia</w:t>
      </w:r>
      <w:r w:rsidR="00145285" w:rsidRPr="009A1AB7">
        <w:rPr>
          <w:rFonts w:ascii="Arial" w:hAnsi="Arial" w:cs="Arial"/>
          <w:sz w:val="20"/>
          <w:szCs w:val="20"/>
        </w:rPr>
        <w:t xml:space="preserve">.  </w:t>
      </w:r>
    </w:p>
    <w:p w14:paraId="3CA66C85" w14:textId="74E99A64" w:rsidR="00700AB8" w:rsidRDefault="00240A25" w:rsidP="00F423DF">
      <w:pPr>
        <w:spacing w:after="0" w:line="360" w:lineRule="auto"/>
        <w:ind w:firstLine="567"/>
        <w:rPr>
          <w:rFonts w:ascii="Arial" w:eastAsia="Times New Roman" w:hAnsi="Arial" w:cs="Arial"/>
          <w:color w:val="000000"/>
          <w:sz w:val="20"/>
          <w:szCs w:val="20"/>
          <w:lang w:eastAsia="pl-PL"/>
        </w:rPr>
      </w:pPr>
      <w:r>
        <w:rPr>
          <w:rFonts w:ascii="Arial" w:hAnsi="Arial" w:cs="Arial"/>
          <w:sz w:val="20"/>
          <w:szCs w:val="20"/>
        </w:rPr>
        <w:t>Ochrona interesów bezpieczeństwa państwa, o których mowa w a</w:t>
      </w:r>
      <w:r w:rsidR="00F708C6" w:rsidRPr="009A1AB7">
        <w:rPr>
          <w:rFonts w:ascii="Arial" w:hAnsi="Arial" w:cs="Arial"/>
          <w:sz w:val="20"/>
          <w:szCs w:val="20"/>
        </w:rPr>
        <w:t>rt. 12 ust. 1 ustawy Pzp dotyczy interesów bezpieczeństwa państwa</w:t>
      </w:r>
      <w:r w:rsidR="00785EEB">
        <w:rPr>
          <w:rFonts w:ascii="Arial" w:hAnsi="Arial" w:cs="Arial"/>
          <w:sz w:val="20"/>
          <w:szCs w:val="20"/>
        </w:rPr>
        <w:t xml:space="preserve"> uznawanych za podstawowe</w:t>
      </w:r>
      <w:r w:rsidR="00F708C6" w:rsidRPr="009A1AB7">
        <w:rPr>
          <w:rFonts w:ascii="Arial" w:hAnsi="Arial" w:cs="Arial"/>
          <w:sz w:val="20"/>
          <w:szCs w:val="20"/>
        </w:rPr>
        <w:t xml:space="preserve">, </w:t>
      </w:r>
      <w:r>
        <w:rPr>
          <w:rFonts w:ascii="Arial" w:hAnsi="Arial" w:cs="Arial"/>
          <w:sz w:val="20"/>
          <w:szCs w:val="20"/>
        </w:rPr>
        <w:t>a więc zasadniczo służących</w:t>
      </w:r>
      <w:r w:rsidR="00F708C6" w:rsidRPr="009A1AB7">
        <w:rPr>
          <w:rFonts w:ascii="Arial" w:hAnsi="Arial" w:cs="Arial"/>
          <w:sz w:val="20"/>
          <w:szCs w:val="20"/>
        </w:rPr>
        <w:t xml:space="preserve"> ochron</w:t>
      </w:r>
      <w:r>
        <w:rPr>
          <w:rFonts w:ascii="Arial" w:hAnsi="Arial" w:cs="Arial"/>
          <w:sz w:val="20"/>
          <w:szCs w:val="20"/>
        </w:rPr>
        <w:t>ie</w:t>
      </w:r>
      <w:r w:rsidR="00F708C6" w:rsidRPr="009A1AB7">
        <w:rPr>
          <w:rFonts w:ascii="Arial" w:hAnsi="Arial" w:cs="Arial"/>
          <w:sz w:val="20"/>
          <w:szCs w:val="20"/>
        </w:rPr>
        <w:t xml:space="preserve"> takich wartości jak: suwerenność, niepodległość, nienaruszalność terytorium państwa</w:t>
      </w:r>
      <w:r>
        <w:rPr>
          <w:rFonts w:ascii="Arial" w:hAnsi="Arial" w:cs="Arial"/>
          <w:sz w:val="20"/>
          <w:szCs w:val="20"/>
        </w:rPr>
        <w:t xml:space="preserve"> a także bezpieczeństwo wewnętrzne państwa</w:t>
      </w:r>
      <w:r w:rsidR="00F708C6" w:rsidRPr="009A1AB7">
        <w:rPr>
          <w:rFonts w:ascii="Arial" w:hAnsi="Arial" w:cs="Arial"/>
          <w:sz w:val="20"/>
          <w:szCs w:val="20"/>
        </w:rPr>
        <w:t xml:space="preserve">. </w:t>
      </w:r>
      <w:r w:rsidR="008B5833" w:rsidRPr="009A1AB7">
        <w:rPr>
          <w:rFonts w:ascii="Arial" w:hAnsi="Arial" w:cs="Arial"/>
          <w:sz w:val="20"/>
          <w:szCs w:val="20"/>
        </w:rPr>
        <w:t xml:space="preserve">Inne cele, w szczególności ekonomiczne i gospodarcze, chociaż również leżą w sferze zainteresowania państwa nie mogą stanowić samodzielnego uzasadnienia dla </w:t>
      </w:r>
      <w:r w:rsidR="008B5833" w:rsidRPr="009A1AB7">
        <w:rPr>
          <w:rFonts w:ascii="Arial" w:hAnsi="Arial" w:cs="Arial"/>
          <w:sz w:val="20"/>
          <w:szCs w:val="20"/>
        </w:rPr>
        <w:lastRenderedPageBreak/>
        <w:t>zastosowania tego wyłączenia.</w:t>
      </w:r>
      <w:r w:rsidR="008B5833" w:rsidRPr="008B5833">
        <w:rPr>
          <w:rFonts w:ascii="Arial" w:hAnsi="Arial" w:cs="Arial"/>
          <w:sz w:val="20"/>
          <w:szCs w:val="20"/>
        </w:rPr>
        <w:t xml:space="preserve"> </w:t>
      </w:r>
      <w:r w:rsidR="008B5833" w:rsidRPr="009A1AB7">
        <w:rPr>
          <w:rFonts w:ascii="Arial" w:hAnsi="Arial" w:cs="Arial"/>
          <w:sz w:val="20"/>
          <w:szCs w:val="20"/>
        </w:rPr>
        <w:t xml:space="preserve">Ponadto podstawą wyłączenia nie mogą być samodzielnie cele związane z ochroną interesów bezpieczeństwa państwa innych niż istotne (podstawowe). </w:t>
      </w:r>
      <w:r w:rsidR="00CE4766" w:rsidRPr="009A1AB7">
        <w:rPr>
          <w:rFonts w:ascii="Arial" w:hAnsi="Arial" w:cs="Arial"/>
          <w:sz w:val="20"/>
          <w:szCs w:val="20"/>
        </w:rPr>
        <w:t xml:space="preserve">Każde państwo członkowskie Unii Europejskiej ma prawo do zdefiniowania jakie swoje interesy w zakresie bezpieczeństwa uznaje za podstawowe. </w:t>
      </w:r>
      <w:r>
        <w:rPr>
          <w:rFonts w:ascii="Arial" w:hAnsi="Arial" w:cs="Arial"/>
          <w:sz w:val="20"/>
          <w:szCs w:val="20"/>
        </w:rPr>
        <w:t>Natomiast n</w:t>
      </w:r>
      <w:r w:rsidR="00CE4766" w:rsidRPr="009A1AB7">
        <w:rPr>
          <w:rFonts w:ascii="Arial" w:eastAsia="Times New Roman" w:hAnsi="Arial" w:cs="Arial"/>
          <w:color w:val="000000"/>
          <w:sz w:val="20"/>
          <w:szCs w:val="20"/>
          <w:lang w:eastAsia="pl-PL"/>
        </w:rPr>
        <w:t xml:space="preserve">a </w:t>
      </w:r>
      <w:r w:rsidR="00F076CA" w:rsidRPr="009A1AB7">
        <w:rPr>
          <w:rFonts w:ascii="Arial" w:eastAsia="Times New Roman" w:hAnsi="Arial" w:cs="Arial"/>
          <w:color w:val="000000"/>
          <w:sz w:val="20"/>
          <w:szCs w:val="20"/>
          <w:lang w:eastAsia="pl-PL"/>
        </w:rPr>
        <w:t xml:space="preserve">zamawiających odwołujących się do </w:t>
      </w:r>
      <w:r>
        <w:rPr>
          <w:rFonts w:ascii="Arial" w:eastAsia="Times New Roman" w:hAnsi="Arial" w:cs="Arial"/>
          <w:color w:val="000000"/>
          <w:sz w:val="20"/>
          <w:szCs w:val="20"/>
          <w:lang w:eastAsia="pl-PL"/>
        </w:rPr>
        <w:t xml:space="preserve">wyłączenia stosowania ustawy Pzp, </w:t>
      </w:r>
      <w:r>
        <w:rPr>
          <w:rFonts w:ascii="Arial" w:hAnsi="Arial" w:cs="Arial"/>
          <w:sz w:val="20"/>
          <w:szCs w:val="20"/>
        </w:rPr>
        <w:t>o których mowa w a</w:t>
      </w:r>
      <w:r w:rsidRPr="009A1AB7">
        <w:rPr>
          <w:rFonts w:ascii="Arial" w:hAnsi="Arial" w:cs="Arial"/>
          <w:sz w:val="20"/>
          <w:szCs w:val="20"/>
        </w:rPr>
        <w:t xml:space="preserve">rt. 12 ust. 1 ustawy Pzp </w:t>
      </w:r>
      <w:r w:rsidR="00CE4766" w:rsidRPr="009A1AB7">
        <w:rPr>
          <w:rFonts w:ascii="Arial" w:eastAsia="Times New Roman" w:hAnsi="Arial" w:cs="Arial"/>
          <w:color w:val="000000"/>
          <w:sz w:val="20"/>
          <w:szCs w:val="20"/>
          <w:lang w:eastAsia="pl-PL"/>
        </w:rPr>
        <w:t>spoczywa obowiązek w</w:t>
      </w:r>
      <w:r w:rsidR="00F076CA" w:rsidRPr="009A1AB7">
        <w:rPr>
          <w:rFonts w:ascii="Arial" w:eastAsia="Times New Roman" w:hAnsi="Arial" w:cs="Arial"/>
          <w:color w:val="000000"/>
          <w:sz w:val="20"/>
          <w:szCs w:val="20"/>
          <w:lang w:eastAsia="pl-PL"/>
        </w:rPr>
        <w:t>s</w:t>
      </w:r>
      <w:r w:rsidR="00CE4766" w:rsidRPr="009A1AB7">
        <w:rPr>
          <w:rFonts w:ascii="Arial" w:eastAsia="Times New Roman" w:hAnsi="Arial" w:cs="Arial"/>
          <w:color w:val="000000"/>
          <w:sz w:val="20"/>
          <w:szCs w:val="20"/>
          <w:lang w:eastAsia="pl-PL"/>
        </w:rPr>
        <w:t xml:space="preserve">kazania, jakich krajowych </w:t>
      </w:r>
      <w:r w:rsidR="00F076CA" w:rsidRPr="009A1AB7">
        <w:rPr>
          <w:rFonts w:ascii="Arial" w:eastAsia="Times New Roman" w:hAnsi="Arial" w:cs="Arial"/>
          <w:color w:val="000000"/>
          <w:sz w:val="20"/>
          <w:szCs w:val="20"/>
          <w:lang w:eastAsia="pl-PL"/>
        </w:rPr>
        <w:t xml:space="preserve">podstawowych </w:t>
      </w:r>
      <w:r w:rsidR="00CE4766" w:rsidRPr="009A1AB7">
        <w:rPr>
          <w:rFonts w:ascii="Arial" w:eastAsia="Times New Roman" w:hAnsi="Arial" w:cs="Arial"/>
          <w:color w:val="000000"/>
          <w:sz w:val="20"/>
          <w:szCs w:val="20"/>
          <w:lang w:eastAsia="pl-PL"/>
        </w:rPr>
        <w:t>interesów w zakresie bezpieczeństwa dotyczy</w:t>
      </w:r>
      <w:r w:rsidR="00F076CA" w:rsidRPr="009A1AB7">
        <w:rPr>
          <w:rFonts w:ascii="Arial" w:eastAsia="Times New Roman" w:hAnsi="Arial" w:cs="Arial"/>
          <w:color w:val="000000"/>
          <w:sz w:val="20"/>
          <w:szCs w:val="20"/>
          <w:lang w:eastAsia="pl-PL"/>
        </w:rPr>
        <w:t xml:space="preserve"> prowadzone postępowanie albo konkurs</w:t>
      </w:r>
      <w:r w:rsidR="00CE4766" w:rsidRPr="009A1AB7">
        <w:rPr>
          <w:rFonts w:ascii="Arial" w:eastAsia="Times New Roman" w:hAnsi="Arial" w:cs="Arial"/>
          <w:color w:val="000000"/>
          <w:sz w:val="20"/>
          <w:szCs w:val="20"/>
          <w:lang w:eastAsia="pl-PL"/>
        </w:rPr>
        <w:t>, i w jakim zakresie przestrzeganie obowiązków</w:t>
      </w:r>
      <w:r w:rsidR="00F076CA" w:rsidRPr="009A1AB7">
        <w:rPr>
          <w:rFonts w:ascii="Arial" w:eastAsia="Times New Roman" w:hAnsi="Arial" w:cs="Arial"/>
          <w:color w:val="000000"/>
          <w:sz w:val="20"/>
          <w:szCs w:val="20"/>
          <w:lang w:eastAsia="pl-PL"/>
        </w:rPr>
        <w:t xml:space="preserve"> wynikających z ustawy Pzp </w:t>
      </w:r>
      <w:r w:rsidR="00CE4766" w:rsidRPr="009A1AB7">
        <w:rPr>
          <w:rFonts w:ascii="Arial" w:eastAsia="Times New Roman" w:hAnsi="Arial" w:cs="Arial"/>
          <w:color w:val="000000"/>
          <w:sz w:val="20"/>
          <w:szCs w:val="20"/>
          <w:lang w:eastAsia="pl-PL"/>
        </w:rPr>
        <w:t xml:space="preserve"> byłoby sprzeczne z tymi interesami.</w:t>
      </w:r>
      <w:r w:rsidR="003501E0" w:rsidRPr="009A1AB7">
        <w:rPr>
          <w:rFonts w:ascii="Arial" w:eastAsia="Times New Roman" w:hAnsi="Arial" w:cs="Arial"/>
          <w:color w:val="000000"/>
          <w:sz w:val="20"/>
          <w:szCs w:val="20"/>
          <w:lang w:eastAsia="pl-PL"/>
        </w:rPr>
        <w:t xml:space="preserve"> </w:t>
      </w:r>
    </w:p>
    <w:p w14:paraId="1C1994C2" w14:textId="455A5E7A" w:rsidR="00951077" w:rsidRPr="009A1AB7" w:rsidRDefault="00240A25" w:rsidP="00F423DF">
      <w:pPr>
        <w:spacing w:after="0" w:line="360" w:lineRule="auto"/>
        <w:ind w:firstLine="567"/>
        <w:rPr>
          <w:rFonts w:ascii="Arial" w:hAnsi="Arial" w:cs="Arial"/>
          <w:sz w:val="20"/>
          <w:szCs w:val="20"/>
        </w:rPr>
      </w:pPr>
      <w:r>
        <w:rPr>
          <w:rFonts w:ascii="Arial" w:eastAsia="Times New Roman" w:hAnsi="Arial" w:cs="Arial"/>
          <w:color w:val="000000"/>
          <w:sz w:val="20"/>
          <w:szCs w:val="20"/>
          <w:lang w:eastAsia="pl-PL"/>
        </w:rPr>
        <w:t xml:space="preserve">Ustalenie możliwości zastosowania </w:t>
      </w:r>
      <w:r>
        <w:rPr>
          <w:rFonts w:ascii="Arial" w:hAnsi="Arial" w:cs="Arial"/>
          <w:sz w:val="20"/>
          <w:szCs w:val="20"/>
        </w:rPr>
        <w:t>a</w:t>
      </w:r>
      <w:r w:rsidRPr="009A1AB7">
        <w:rPr>
          <w:rFonts w:ascii="Arial" w:hAnsi="Arial" w:cs="Arial"/>
          <w:sz w:val="20"/>
          <w:szCs w:val="20"/>
        </w:rPr>
        <w:t>rt. 12 ust. 1 ustawy Pzp</w:t>
      </w:r>
      <w:r w:rsidR="003501E0" w:rsidRPr="009A1AB7">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 xml:space="preserve">w odniesieniu do udzielanego zamówienia </w:t>
      </w:r>
      <w:r w:rsidR="003501E0" w:rsidRPr="009A1AB7">
        <w:rPr>
          <w:rFonts w:ascii="Arial" w:eastAsia="Times New Roman" w:hAnsi="Arial" w:cs="Arial"/>
          <w:color w:val="000000"/>
          <w:sz w:val="20"/>
          <w:szCs w:val="20"/>
          <w:lang w:eastAsia="pl-PL"/>
        </w:rPr>
        <w:t xml:space="preserve">wymaga </w:t>
      </w:r>
      <w:r w:rsidR="00BD1A44">
        <w:rPr>
          <w:rFonts w:ascii="Arial" w:eastAsia="Times New Roman" w:hAnsi="Arial" w:cs="Arial"/>
          <w:color w:val="000000"/>
          <w:sz w:val="20"/>
          <w:szCs w:val="20"/>
          <w:lang w:eastAsia="pl-PL"/>
        </w:rPr>
        <w:t>ponadto</w:t>
      </w:r>
      <w:r>
        <w:rPr>
          <w:rFonts w:ascii="Arial" w:eastAsia="Times New Roman" w:hAnsi="Arial" w:cs="Arial"/>
          <w:color w:val="000000"/>
          <w:sz w:val="20"/>
          <w:szCs w:val="20"/>
          <w:lang w:eastAsia="pl-PL"/>
        </w:rPr>
        <w:t xml:space="preserve"> </w:t>
      </w:r>
      <w:r w:rsidR="003501E0" w:rsidRPr="009A1AB7">
        <w:rPr>
          <w:rFonts w:ascii="Arial" w:eastAsia="Times New Roman" w:hAnsi="Arial" w:cs="Arial"/>
          <w:color w:val="000000"/>
          <w:sz w:val="20"/>
          <w:szCs w:val="20"/>
          <w:lang w:eastAsia="pl-PL"/>
        </w:rPr>
        <w:t>przeprowadzenia</w:t>
      </w:r>
      <w:r>
        <w:rPr>
          <w:rFonts w:ascii="Arial" w:eastAsia="Times New Roman" w:hAnsi="Arial" w:cs="Arial"/>
          <w:color w:val="000000"/>
          <w:sz w:val="20"/>
          <w:szCs w:val="20"/>
          <w:lang w:eastAsia="pl-PL"/>
        </w:rPr>
        <w:t xml:space="preserve"> przez zamawiającego</w:t>
      </w:r>
      <w:r w:rsidR="003501E0" w:rsidRPr="009A1AB7">
        <w:rPr>
          <w:rFonts w:ascii="Arial" w:eastAsia="Times New Roman" w:hAnsi="Arial" w:cs="Arial"/>
          <w:color w:val="000000"/>
          <w:sz w:val="20"/>
          <w:szCs w:val="20"/>
          <w:lang w:eastAsia="pl-PL"/>
        </w:rPr>
        <w:t xml:space="preserve"> testu proporcjonalności.</w:t>
      </w:r>
      <w:r w:rsidR="00C40F65">
        <w:rPr>
          <w:rStyle w:val="Odwoanieprzypisudolnego"/>
          <w:rFonts w:ascii="Arial" w:eastAsia="Times New Roman" w:hAnsi="Arial" w:cs="Arial"/>
          <w:color w:val="000000"/>
          <w:sz w:val="20"/>
          <w:szCs w:val="20"/>
          <w:lang w:eastAsia="pl-PL"/>
        </w:rPr>
        <w:footnoteReference w:id="17"/>
      </w:r>
      <w:r w:rsidR="003501E0" w:rsidRPr="009A1AB7">
        <w:rPr>
          <w:rFonts w:ascii="Arial" w:hAnsi="Arial" w:cs="Arial"/>
          <w:sz w:val="20"/>
          <w:szCs w:val="20"/>
        </w:rPr>
        <w:t xml:space="preserve"> </w:t>
      </w:r>
      <w:r w:rsidR="008B5833">
        <w:rPr>
          <w:rFonts w:ascii="Arial" w:hAnsi="Arial" w:cs="Arial"/>
          <w:sz w:val="20"/>
          <w:szCs w:val="20"/>
        </w:rPr>
        <w:br/>
        <w:t xml:space="preserve">W </w:t>
      </w:r>
      <w:r w:rsidR="00BD1A44">
        <w:rPr>
          <w:rFonts w:ascii="Arial" w:hAnsi="Arial" w:cs="Arial"/>
          <w:sz w:val="20"/>
          <w:szCs w:val="20"/>
        </w:rPr>
        <w:t>tym celu</w:t>
      </w:r>
      <w:r w:rsidR="008B5833">
        <w:rPr>
          <w:rFonts w:ascii="Arial" w:hAnsi="Arial" w:cs="Arial"/>
          <w:sz w:val="20"/>
          <w:szCs w:val="20"/>
        </w:rPr>
        <w:t xml:space="preserve"> mogą mieć pomocniczo zastosowanie następujące pytania</w:t>
      </w:r>
      <w:r w:rsidR="003338D4" w:rsidRPr="009A1AB7">
        <w:rPr>
          <w:rFonts w:ascii="Arial" w:hAnsi="Arial" w:cs="Arial"/>
          <w:sz w:val="20"/>
          <w:szCs w:val="20"/>
        </w:rPr>
        <w:t xml:space="preserve">: </w:t>
      </w:r>
    </w:p>
    <w:p w14:paraId="127A1D2A" w14:textId="79DCD3B5" w:rsidR="00D66C75" w:rsidRPr="009A1AB7" w:rsidRDefault="00700AB8" w:rsidP="00F423DF">
      <w:pPr>
        <w:pStyle w:val="Akapitzlist"/>
        <w:numPr>
          <w:ilvl w:val="0"/>
          <w:numId w:val="3"/>
        </w:numPr>
        <w:shd w:val="clear" w:color="auto" w:fill="FFFFFF"/>
        <w:spacing w:after="0" w:line="360" w:lineRule="auto"/>
        <w:ind w:left="851" w:hanging="284"/>
        <w:textAlignment w:val="baseline"/>
        <w:rPr>
          <w:rFonts w:ascii="Arial" w:hAnsi="Arial" w:cs="Arial"/>
          <w:sz w:val="20"/>
          <w:szCs w:val="20"/>
        </w:rPr>
      </w:pPr>
      <w:r>
        <w:rPr>
          <w:rFonts w:ascii="Arial" w:hAnsi="Arial" w:cs="Arial"/>
          <w:sz w:val="20"/>
          <w:szCs w:val="20"/>
        </w:rPr>
        <w:t>c</w:t>
      </w:r>
      <w:r w:rsidR="00951077" w:rsidRPr="009A1AB7">
        <w:rPr>
          <w:rFonts w:ascii="Arial" w:hAnsi="Arial" w:cs="Arial"/>
          <w:sz w:val="20"/>
          <w:szCs w:val="20"/>
        </w:rPr>
        <w:t>zy z udzielanym zamówieniem są związane interesy bezpieczeństwa, któr</w:t>
      </w:r>
      <w:r w:rsidR="00D66C75" w:rsidRPr="009A1AB7">
        <w:rPr>
          <w:rFonts w:ascii="Arial" w:hAnsi="Arial" w:cs="Arial"/>
          <w:sz w:val="20"/>
          <w:szCs w:val="20"/>
        </w:rPr>
        <w:t xml:space="preserve">ych </w:t>
      </w:r>
      <w:r w:rsidR="00951077" w:rsidRPr="009A1AB7">
        <w:rPr>
          <w:rFonts w:ascii="Arial" w:hAnsi="Arial" w:cs="Arial"/>
          <w:sz w:val="20"/>
          <w:szCs w:val="20"/>
        </w:rPr>
        <w:t>ochron</w:t>
      </w:r>
      <w:r w:rsidR="00D66C75" w:rsidRPr="009A1AB7">
        <w:rPr>
          <w:rFonts w:ascii="Arial" w:hAnsi="Arial" w:cs="Arial"/>
          <w:sz w:val="20"/>
          <w:szCs w:val="20"/>
        </w:rPr>
        <w:t xml:space="preserve">a leży </w:t>
      </w:r>
      <w:r>
        <w:rPr>
          <w:rFonts w:ascii="Arial" w:hAnsi="Arial" w:cs="Arial"/>
          <w:sz w:val="20"/>
          <w:szCs w:val="20"/>
        </w:rPr>
        <w:br/>
      </w:r>
      <w:r w:rsidR="00D66C75" w:rsidRPr="009A1AB7">
        <w:rPr>
          <w:rFonts w:ascii="Arial" w:hAnsi="Arial" w:cs="Arial"/>
          <w:sz w:val="20"/>
          <w:szCs w:val="20"/>
        </w:rPr>
        <w:t>w interesie państwa polskiego</w:t>
      </w:r>
      <w:r w:rsidR="00951077" w:rsidRPr="009A1AB7">
        <w:rPr>
          <w:rFonts w:ascii="Arial" w:hAnsi="Arial" w:cs="Arial"/>
          <w:sz w:val="20"/>
          <w:szCs w:val="20"/>
        </w:rPr>
        <w:t xml:space="preserve">? </w:t>
      </w:r>
    </w:p>
    <w:p w14:paraId="1F7A6DA4" w14:textId="77FD9E7C" w:rsidR="00D66C75" w:rsidRPr="009A1AB7" w:rsidRDefault="00700AB8" w:rsidP="00F423DF">
      <w:pPr>
        <w:pStyle w:val="Akapitzlist"/>
        <w:numPr>
          <w:ilvl w:val="0"/>
          <w:numId w:val="3"/>
        </w:numPr>
        <w:shd w:val="clear" w:color="auto" w:fill="FFFFFF"/>
        <w:spacing w:after="0" w:line="360" w:lineRule="auto"/>
        <w:ind w:left="851" w:hanging="284"/>
        <w:textAlignment w:val="baseline"/>
        <w:rPr>
          <w:rFonts w:ascii="Arial" w:hAnsi="Arial" w:cs="Arial"/>
          <w:sz w:val="20"/>
          <w:szCs w:val="20"/>
        </w:rPr>
      </w:pPr>
      <w:r>
        <w:rPr>
          <w:rFonts w:ascii="Arial" w:hAnsi="Arial" w:cs="Arial"/>
          <w:sz w:val="20"/>
          <w:szCs w:val="20"/>
        </w:rPr>
        <w:t>c</w:t>
      </w:r>
      <w:r w:rsidR="00D66C75" w:rsidRPr="009A1AB7">
        <w:rPr>
          <w:rFonts w:ascii="Arial" w:hAnsi="Arial" w:cs="Arial"/>
          <w:sz w:val="20"/>
          <w:szCs w:val="20"/>
        </w:rPr>
        <w:t xml:space="preserve">zy te interesy bezpieczeństwa są istotne (podstawowe) – jakie konkretnie interesy istotne (podstawowe) bezpieczeństwa </w:t>
      </w:r>
      <w:r w:rsidR="00EC02B1" w:rsidRPr="009A1AB7">
        <w:rPr>
          <w:rFonts w:ascii="Arial" w:hAnsi="Arial" w:cs="Arial"/>
          <w:sz w:val="20"/>
          <w:szCs w:val="20"/>
        </w:rPr>
        <w:t xml:space="preserve">państwa </w:t>
      </w:r>
      <w:r w:rsidR="00D66C75" w:rsidRPr="009A1AB7">
        <w:rPr>
          <w:rFonts w:ascii="Arial" w:hAnsi="Arial" w:cs="Arial"/>
          <w:sz w:val="20"/>
          <w:szCs w:val="20"/>
        </w:rPr>
        <w:t>są związane z udzielanym zamówieniem?</w:t>
      </w:r>
    </w:p>
    <w:p w14:paraId="237441B7" w14:textId="79EDA995" w:rsidR="00D66C75" w:rsidRPr="009A1AB7" w:rsidRDefault="00700AB8" w:rsidP="00F423DF">
      <w:pPr>
        <w:pStyle w:val="Akapitzlist"/>
        <w:numPr>
          <w:ilvl w:val="0"/>
          <w:numId w:val="3"/>
        </w:numPr>
        <w:shd w:val="clear" w:color="auto" w:fill="FFFFFF"/>
        <w:spacing w:after="0" w:line="360" w:lineRule="auto"/>
        <w:ind w:left="851" w:hanging="284"/>
        <w:textAlignment w:val="baseline"/>
        <w:rPr>
          <w:rFonts w:ascii="Arial" w:hAnsi="Arial" w:cs="Arial"/>
          <w:sz w:val="20"/>
          <w:szCs w:val="20"/>
        </w:rPr>
      </w:pPr>
      <w:r>
        <w:rPr>
          <w:rFonts w:ascii="Arial" w:hAnsi="Arial" w:cs="Arial"/>
          <w:sz w:val="20"/>
          <w:szCs w:val="20"/>
        </w:rPr>
        <w:t>c</w:t>
      </w:r>
      <w:r w:rsidR="00D66C75" w:rsidRPr="009A1AB7">
        <w:rPr>
          <w:rFonts w:ascii="Arial" w:hAnsi="Arial" w:cs="Arial"/>
          <w:sz w:val="20"/>
          <w:szCs w:val="20"/>
        </w:rPr>
        <w:t xml:space="preserve">zy istnieje zależność pomiędzy ochroną tych interesów bezpieczeństwa </w:t>
      </w:r>
      <w:r w:rsidR="00EC02B1" w:rsidRPr="009A1AB7">
        <w:rPr>
          <w:rFonts w:ascii="Arial" w:hAnsi="Arial" w:cs="Arial"/>
          <w:sz w:val="20"/>
          <w:szCs w:val="20"/>
        </w:rPr>
        <w:t xml:space="preserve">państwa </w:t>
      </w:r>
      <w:r w:rsidR="00D66C75" w:rsidRPr="009A1AB7">
        <w:rPr>
          <w:rFonts w:ascii="Arial" w:hAnsi="Arial" w:cs="Arial"/>
          <w:sz w:val="20"/>
          <w:szCs w:val="20"/>
        </w:rPr>
        <w:t>i udzielanym zamówieniem publicznym</w:t>
      </w:r>
      <w:r w:rsidR="00EC02B1" w:rsidRPr="009A1AB7">
        <w:rPr>
          <w:rFonts w:ascii="Arial" w:hAnsi="Arial" w:cs="Arial"/>
          <w:sz w:val="20"/>
          <w:szCs w:val="20"/>
        </w:rPr>
        <w:t xml:space="preserve"> i jaka jest ta zależność</w:t>
      </w:r>
      <w:r w:rsidR="00D66C75" w:rsidRPr="009A1AB7">
        <w:rPr>
          <w:rFonts w:ascii="Arial" w:hAnsi="Arial" w:cs="Arial"/>
          <w:sz w:val="20"/>
          <w:szCs w:val="20"/>
        </w:rPr>
        <w:t>?</w:t>
      </w:r>
    </w:p>
    <w:p w14:paraId="164BD8E8" w14:textId="33071CDF" w:rsidR="00951077" w:rsidRPr="009A1AB7" w:rsidRDefault="00700AB8" w:rsidP="00F423DF">
      <w:pPr>
        <w:pStyle w:val="Akapitzlist"/>
        <w:numPr>
          <w:ilvl w:val="0"/>
          <w:numId w:val="3"/>
        </w:numPr>
        <w:shd w:val="clear" w:color="auto" w:fill="FFFFFF"/>
        <w:spacing w:after="0" w:line="360" w:lineRule="auto"/>
        <w:ind w:left="851" w:hanging="284"/>
        <w:textAlignment w:val="baseline"/>
        <w:rPr>
          <w:rFonts w:ascii="Arial" w:hAnsi="Arial" w:cs="Arial"/>
          <w:sz w:val="20"/>
          <w:szCs w:val="20"/>
        </w:rPr>
      </w:pPr>
      <w:r>
        <w:rPr>
          <w:rFonts w:ascii="Arial" w:hAnsi="Arial" w:cs="Arial"/>
          <w:sz w:val="20"/>
          <w:szCs w:val="20"/>
        </w:rPr>
        <w:t>c</w:t>
      </w:r>
      <w:r w:rsidR="00D66C75" w:rsidRPr="009A1AB7">
        <w:rPr>
          <w:rFonts w:ascii="Arial" w:hAnsi="Arial" w:cs="Arial"/>
          <w:sz w:val="20"/>
          <w:szCs w:val="20"/>
        </w:rPr>
        <w:t xml:space="preserve">zy odstąpienie od stosowania przepisów ustawy Pzp jest konieczne, </w:t>
      </w:r>
      <w:r w:rsidR="00BD1A44">
        <w:rPr>
          <w:rFonts w:ascii="Arial" w:hAnsi="Arial" w:cs="Arial"/>
          <w:sz w:val="20"/>
          <w:szCs w:val="20"/>
        </w:rPr>
        <w:t>ab</w:t>
      </w:r>
      <w:r w:rsidR="00D66C75" w:rsidRPr="009A1AB7">
        <w:rPr>
          <w:rFonts w:ascii="Arial" w:hAnsi="Arial" w:cs="Arial"/>
          <w:sz w:val="20"/>
          <w:szCs w:val="20"/>
        </w:rPr>
        <w:t>y interesy te były chronione</w:t>
      </w:r>
      <w:r w:rsidR="00EC02B1" w:rsidRPr="009A1AB7">
        <w:rPr>
          <w:rFonts w:ascii="Arial" w:hAnsi="Arial" w:cs="Arial"/>
          <w:sz w:val="20"/>
          <w:szCs w:val="20"/>
        </w:rPr>
        <w:t xml:space="preserve"> – a jeżeli tak to dlaczego</w:t>
      </w:r>
      <w:r w:rsidR="00D66C75" w:rsidRPr="009A1AB7">
        <w:rPr>
          <w:rFonts w:ascii="Arial" w:hAnsi="Arial" w:cs="Arial"/>
          <w:sz w:val="20"/>
          <w:szCs w:val="20"/>
        </w:rPr>
        <w:t>?</w:t>
      </w:r>
      <w:r w:rsidR="00951077" w:rsidRPr="009A1AB7">
        <w:rPr>
          <w:rFonts w:ascii="Arial" w:hAnsi="Arial" w:cs="Arial"/>
          <w:sz w:val="20"/>
          <w:szCs w:val="20"/>
        </w:rPr>
        <w:t xml:space="preserve"> </w:t>
      </w:r>
    </w:p>
    <w:p w14:paraId="5CA0E8D1" w14:textId="1C4AD037" w:rsidR="00EC02B1" w:rsidRDefault="008B5833" w:rsidP="00F423DF">
      <w:pPr>
        <w:shd w:val="clear" w:color="auto" w:fill="FFFFFF"/>
        <w:spacing w:after="0" w:line="360" w:lineRule="auto"/>
        <w:ind w:firstLine="567"/>
        <w:textAlignment w:val="baseline"/>
        <w:rPr>
          <w:rFonts w:ascii="Arial" w:hAnsi="Arial" w:cs="Arial"/>
          <w:sz w:val="20"/>
          <w:szCs w:val="20"/>
        </w:rPr>
      </w:pPr>
      <w:r w:rsidRPr="009A1AB7">
        <w:rPr>
          <w:rFonts w:ascii="Arial" w:hAnsi="Arial" w:cs="Arial"/>
          <w:sz w:val="20"/>
          <w:szCs w:val="20"/>
        </w:rPr>
        <w:t xml:space="preserve">Przepis art. 12 ust. 1 </w:t>
      </w:r>
      <w:r w:rsidR="006362B2">
        <w:rPr>
          <w:rFonts w:ascii="Arial" w:hAnsi="Arial" w:cs="Arial"/>
          <w:sz w:val="20"/>
          <w:szCs w:val="20"/>
        </w:rPr>
        <w:t xml:space="preserve">ustawy Pzp odnosi do przypadków udzielania zamówień, w których </w:t>
      </w:r>
      <w:r w:rsidRPr="009A1AB7">
        <w:rPr>
          <w:rFonts w:ascii="Arial" w:hAnsi="Arial" w:cs="Arial"/>
          <w:sz w:val="20"/>
          <w:szCs w:val="20"/>
        </w:rPr>
        <w:t xml:space="preserve">ze względu na szczególne uwarunkowania związane z ochroną informacji nie jest wystarczające zastosowanie w postępowaniu o udzielenie zamówienia publicznego lub w konkursie innych środków ochrony informacji niż szczególne </w:t>
      </w:r>
      <w:r>
        <w:rPr>
          <w:rFonts w:ascii="Arial" w:hAnsi="Arial" w:cs="Arial"/>
          <w:sz w:val="20"/>
          <w:szCs w:val="20"/>
        </w:rPr>
        <w:t>polegające na</w:t>
      </w:r>
      <w:r w:rsidRPr="009A1AB7">
        <w:rPr>
          <w:rFonts w:ascii="Arial" w:hAnsi="Arial" w:cs="Arial"/>
          <w:sz w:val="20"/>
          <w:szCs w:val="20"/>
        </w:rPr>
        <w:t xml:space="preserve"> wyłączeni</w:t>
      </w:r>
      <w:r>
        <w:rPr>
          <w:rFonts w:ascii="Arial" w:hAnsi="Arial" w:cs="Arial"/>
          <w:sz w:val="20"/>
          <w:szCs w:val="20"/>
        </w:rPr>
        <w:t>u</w:t>
      </w:r>
      <w:r w:rsidRPr="009A1AB7">
        <w:rPr>
          <w:rFonts w:ascii="Arial" w:hAnsi="Arial" w:cs="Arial"/>
          <w:sz w:val="20"/>
          <w:szCs w:val="20"/>
        </w:rPr>
        <w:t xml:space="preserve"> stosowania ustawy Pzp w odniesieniu do całości takiego </w:t>
      </w:r>
      <w:r w:rsidR="00BD1A44">
        <w:rPr>
          <w:rFonts w:ascii="Arial" w:hAnsi="Arial" w:cs="Arial"/>
          <w:sz w:val="20"/>
          <w:szCs w:val="20"/>
        </w:rPr>
        <w:t xml:space="preserve">zamówienia </w:t>
      </w:r>
      <w:r w:rsidRPr="009A1AB7">
        <w:rPr>
          <w:rFonts w:ascii="Arial" w:hAnsi="Arial" w:cs="Arial"/>
          <w:sz w:val="20"/>
          <w:szCs w:val="20"/>
        </w:rPr>
        <w:t xml:space="preserve">lub konkursu. </w:t>
      </w:r>
      <w:r w:rsidR="006362B2">
        <w:rPr>
          <w:rFonts w:ascii="Arial" w:hAnsi="Arial" w:cs="Arial"/>
          <w:sz w:val="20"/>
          <w:szCs w:val="20"/>
        </w:rPr>
        <w:t xml:space="preserve">Dlatego </w:t>
      </w:r>
      <w:r w:rsidRPr="009A1AB7">
        <w:rPr>
          <w:rFonts w:ascii="Arial" w:hAnsi="Arial" w:cs="Arial"/>
          <w:sz w:val="20"/>
          <w:szCs w:val="20"/>
        </w:rPr>
        <w:t xml:space="preserve">wyłączeniu </w:t>
      </w:r>
      <w:r w:rsidR="006362B2">
        <w:rPr>
          <w:rFonts w:ascii="Arial" w:hAnsi="Arial" w:cs="Arial"/>
          <w:sz w:val="20"/>
          <w:szCs w:val="20"/>
        </w:rPr>
        <w:t>opart</w:t>
      </w:r>
      <w:r w:rsidR="00BD1A44">
        <w:rPr>
          <w:rFonts w:ascii="Arial" w:hAnsi="Arial" w:cs="Arial"/>
          <w:sz w:val="20"/>
          <w:szCs w:val="20"/>
        </w:rPr>
        <w:t>emu</w:t>
      </w:r>
      <w:r w:rsidR="006362B2">
        <w:rPr>
          <w:rFonts w:ascii="Arial" w:hAnsi="Arial" w:cs="Arial"/>
          <w:sz w:val="20"/>
          <w:szCs w:val="20"/>
        </w:rPr>
        <w:t xml:space="preserve"> na tym przepisie </w:t>
      </w:r>
      <w:r w:rsidRPr="009A1AB7">
        <w:rPr>
          <w:rFonts w:ascii="Arial" w:hAnsi="Arial" w:cs="Arial"/>
          <w:sz w:val="20"/>
          <w:szCs w:val="20"/>
        </w:rPr>
        <w:t>nie będą podlegały takie zamówienia lub konkursy, w których występują jedynie elementy chronione np. w sytuacji, gdy tylko niektóre z dokumentów postępowania są objęte klauzulą tajności, a w odniesieniu do pozostałych dokumentów lub części postępowania lub konkursu mogą być z powodzeniem zastosowane przepisy ustawy Pzp, w szczególności przepisy dotyczące udzielania zamówień w dziedzinach obronności i bezpieczeństwa.</w:t>
      </w:r>
      <w:r w:rsidRPr="008B5833">
        <w:rPr>
          <w:rFonts w:ascii="Arial" w:hAnsi="Arial" w:cs="Arial"/>
          <w:sz w:val="20"/>
          <w:szCs w:val="20"/>
        </w:rPr>
        <w:t xml:space="preserve"> </w:t>
      </w:r>
      <w:r w:rsidRPr="009A1AB7">
        <w:rPr>
          <w:rFonts w:ascii="Arial" w:hAnsi="Arial" w:cs="Arial"/>
          <w:sz w:val="20"/>
          <w:szCs w:val="20"/>
        </w:rPr>
        <w:t xml:space="preserve">Stosowanie </w:t>
      </w:r>
      <w:r w:rsidR="006362B2">
        <w:rPr>
          <w:rFonts w:ascii="Arial" w:hAnsi="Arial" w:cs="Arial"/>
          <w:sz w:val="20"/>
          <w:szCs w:val="20"/>
        </w:rPr>
        <w:t xml:space="preserve">art. 12 ust. 1 ustawy Pzp </w:t>
      </w:r>
      <w:r w:rsidRPr="009A1AB7">
        <w:rPr>
          <w:rFonts w:ascii="Arial" w:hAnsi="Arial" w:cs="Arial"/>
          <w:sz w:val="20"/>
          <w:szCs w:val="20"/>
        </w:rPr>
        <w:t xml:space="preserve">powinno </w:t>
      </w:r>
      <w:r w:rsidR="006362B2">
        <w:rPr>
          <w:rFonts w:ascii="Arial" w:hAnsi="Arial" w:cs="Arial"/>
          <w:sz w:val="20"/>
          <w:szCs w:val="20"/>
        </w:rPr>
        <w:t xml:space="preserve">dotyczyć </w:t>
      </w:r>
      <w:r w:rsidRPr="009A1AB7">
        <w:rPr>
          <w:rFonts w:ascii="Arial" w:hAnsi="Arial" w:cs="Arial"/>
          <w:sz w:val="20"/>
          <w:szCs w:val="20"/>
        </w:rPr>
        <w:t xml:space="preserve">tylko takiego zakresu, który jest niezbędny do ochrony istotnych (podstawowych) interesów bezpieczeństwa państwa i nie wykraczać poza to co konieczne. </w:t>
      </w:r>
    </w:p>
    <w:p w14:paraId="4B26D08D" w14:textId="2B1B8332" w:rsidR="006362B2" w:rsidRDefault="006362B2" w:rsidP="00F423DF">
      <w:pPr>
        <w:shd w:val="clear" w:color="auto" w:fill="FFFFFF"/>
        <w:spacing w:after="0" w:line="360" w:lineRule="auto"/>
        <w:ind w:firstLine="360"/>
        <w:textAlignment w:val="baseline"/>
        <w:rPr>
          <w:rFonts w:ascii="Arial" w:hAnsi="Arial" w:cs="Arial"/>
          <w:sz w:val="20"/>
          <w:szCs w:val="20"/>
        </w:rPr>
      </w:pPr>
    </w:p>
    <w:p w14:paraId="10E626FE" w14:textId="77777777" w:rsidR="00F423DF" w:rsidRDefault="00F423DF" w:rsidP="00F423DF">
      <w:pPr>
        <w:shd w:val="clear" w:color="auto" w:fill="FFFFFF"/>
        <w:spacing w:after="0" w:line="360" w:lineRule="auto"/>
        <w:ind w:firstLine="360"/>
        <w:textAlignment w:val="baseline"/>
        <w:rPr>
          <w:rFonts w:ascii="Arial" w:hAnsi="Arial" w:cs="Arial"/>
          <w:sz w:val="20"/>
          <w:szCs w:val="20"/>
        </w:rPr>
      </w:pPr>
    </w:p>
    <w:p w14:paraId="1161E0FD" w14:textId="77777777" w:rsidR="00F423DF" w:rsidRDefault="00F423DF" w:rsidP="00F423DF">
      <w:pPr>
        <w:shd w:val="clear" w:color="auto" w:fill="FFFFFF"/>
        <w:spacing w:after="0" w:line="360" w:lineRule="auto"/>
        <w:ind w:firstLine="360"/>
        <w:textAlignment w:val="baseline"/>
        <w:rPr>
          <w:rFonts w:ascii="Arial" w:hAnsi="Arial" w:cs="Arial"/>
          <w:sz w:val="20"/>
          <w:szCs w:val="20"/>
        </w:rPr>
      </w:pPr>
    </w:p>
    <w:p w14:paraId="0B35EBE9" w14:textId="77777777" w:rsidR="00F423DF" w:rsidRDefault="00F423DF" w:rsidP="00F423DF">
      <w:pPr>
        <w:shd w:val="clear" w:color="auto" w:fill="FFFFFF"/>
        <w:spacing w:after="0" w:line="360" w:lineRule="auto"/>
        <w:ind w:firstLine="360"/>
        <w:textAlignment w:val="baseline"/>
        <w:rPr>
          <w:rFonts w:ascii="Arial" w:hAnsi="Arial" w:cs="Arial"/>
          <w:sz w:val="20"/>
          <w:szCs w:val="20"/>
        </w:rPr>
      </w:pPr>
    </w:p>
    <w:p w14:paraId="006F3FDD" w14:textId="77777777" w:rsidR="00F423DF" w:rsidRDefault="00F423DF" w:rsidP="00F423DF">
      <w:pPr>
        <w:shd w:val="clear" w:color="auto" w:fill="FFFFFF"/>
        <w:spacing w:after="0" w:line="360" w:lineRule="auto"/>
        <w:ind w:firstLine="360"/>
        <w:textAlignment w:val="baseline"/>
        <w:rPr>
          <w:rFonts w:ascii="Arial" w:hAnsi="Arial" w:cs="Arial"/>
          <w:sz w:val="20"/>
          <w:szCs w:val="20"/>
        </w:rPr>
      </w:pPr>
    </w:p>
    <w:p w14:paraId="43B0177E" w14:textId="77777777" w:rsidR="00F423DF" w:rsidRDefault="00F423DF" w:rsidP="00F423DF">
      <w:pPr>
        <w:shd w:val="clear" w:color="auto" w:fill="FFFFFF"/>
        <w:spacing w:after="0" w:line="360" w:lineRule="auto"/>
        <w:ind w:firstLine="360"/>
        <w:textAlignment w:val="baseline"/>
        <w:rPr>
          <w:rFonts w:ascii="Arial" w:hAnsi="Arial" w:cs="Arial"/>
          <w:sz w:val="20"/>
          <w:szCs w:val="20"/>
        </w:rPr>
      </w:pPr>
    </w:p>
    <w:p w14:paraId="5984E410" w14:textId="20C195C5" w:rsidR="006362B2" w:rsidRPr="00EE13B7" w:rsidRDefault="006362B2" w:rsidP="00F423DF">
      <w:pPr>
        <w:pStyle w:val="Nagwek1"/>
        <w:numPr>
          <w:ilvl w:val="0"/>
          <w:numId w:val="11"/>
        </w:numPr>
        <w:ind w:left="567" w:hanging="578"/>
      </w:pPr>
      <w:r w:rsidRPr="00EE13B7">
        <w:lastRenderedPageBreak/>
        <w:t>Podsumowanie</w:t>
      </w:r>
    </w:p>
    <w:p w14:paraId="46D50954" w14:textId="77777777" w:rsidR="0090215D" w:rsidRPr="00EE13B7" w:rsidRDefault="0090215D" w:rsidP="00F423DF">
      <w:pPr>
        <w:shd w:val="clear" w:color="auto" w:fill="FFFFFF"/>
        <w:spacing w:after="0" w:line="360" w:lineRule="auto"/>
        <w:ind w:firstLine="360"/>
        <w:textAlignment w:val="baseline"/>
        <w:rPr>
          <w:rFonts w:ascii="Arial" w:hAnsi="Arial" w:cs="Arial"/>
          <w:b/>
          <w:sz w:val="20"/>
          <w:szCs w:val="20"/>
        </w:rPr>
      </w:pPr>
    </w:p>
    <w:p w14:paraId="54F1F593" w14:textId="1DB91529" w:rsidR="006362B2" w:rsidRDefault="00F423DF" w:rsidP="00F423DF">
      <w:pPr>
        <w:spacing w:after="0" w:line="360" w:lineRule="auto"/>
        <w:ind w:left="567"/>
        <w:rPr>
          <w:rFonts w:ascii="Arial" w:hAnsi="Arial" w:cs="Arial"/>
          <w:b/>
          <w:sz w:val="20"/>
          <w:szCs w:val="20"/>
        </w:rPr>
      </w:pPr>
      <w:r>
        <w:rPr>
          <w:rFonts w:ascii="Arial" w:hAnsi="Arial" w:cs="Arial"/>
          <w:b/>
          <w:sz w:val="20"/>
          <w:szCs w:val="20"/>
        </w:rPr>
        <w:t xml:space="preserve">1. </w:t>
      </w:r>
      <w:r w:rsidR="006362B2" w:rsidRPr="00F423DF">
        <w:rPr>
          <w:rFonts w:ascii="Arial" w:hAnsi="Arial" w:cs="Arial"/>
          <w:b/>
          <w:sz w:val="20"/>
          <w:szCs w:val="20"/>
        </w:rPr>
        <w:t xml:space="preserve">Przepis art. 12 ust. 1 ustawy Pzp może stanowić podstawę wyłączenia stosowania przepisów ustawy Pzp w sytuacji, gdy zostanie ustalona przez zamawiającego konieczność zapewnienia takiej ochrony informacji związanych z udzielanym zamówieniem albo organizowanym konkursem, że nie byłoby wystarczające dla zapewnienia tej ochrony, gdyby postępowanie o udzielenie zamówienia publicznego bądź konkurs były przeprowadzane zgodnie z przepisami ustawy Pzp, w tym nawet z zastosowaniem przepisów dotyczących udzielania zamówień z zakresu obronności i bezpieczeństwa, </w:t>
      </w:r>
      <w:r w:rsidR="00EE13B7" w:rsidRPr="00F423DF">
        <w:rPr>
          <w:rFonts w:ascii="Arial" w:hAnsi="Arial" w:cs="Arial"/>
          <w:b/>
          <w:sz w:val="20"/>
          <w:szCs w:val="20"/>
        </w:rPr>
        <w:t>gdyż</w:t>
      </w:r>
      <w:r w:rsidR="006362B2" w:rsidRPr="00F423DF">
        <w:rPr>
          <w:rFonts w:ascii="Arial" w:hAnsi="Arial" w:cs="Arial"/>
          <w:b/>
          <w:sz w:val="20"/>
          <w:szCs w:val="20"/>
        </w:rPr>
        <w:t xml:space="preserve"> pozostawałoby </w:t>
      </w:r>
      <w:r w:rsidR="00EE13B7" w:rsidRPr="00F423DF">
        <w:rPr>
          <w:rFonts w:ascii="Arial" w:hAnsi="Arial" w:cs="Arial"/>
          <w:b/>
          <w:sz w:val="20"/>
          <w:szCs w:val="20"/>
        </w:rPr>
        <w:t xml:space="preserve">to </w:t>
      </w:r>
      <w:r w:rsidR="006362B2" w:rsidRPr="00F423DF">
        <w:rPr>
          <w:rFonts w:ascii="Arial" w:hAnsi="Arial" w:cs="Arial"/>
          <w:b/>
          <w:sz w:val="20"/>
          <w:szCs w:val="20"/>
        </w:rPr>
        <w:t xml:space="preserve">w sprzeczności z </w:t>
      </w:r>
      <w:r w:rsidR="00EE13B7" w:rsidRPr="00F423DF">
        <w:rPr>
          <w:rFonts w:ascii="Arial" w:hAnsi="Arial" w:cs="Arial"/>
          <w:b/>
          <w:sz w:val="20"/>
          <w:szCs w:val="20"/>
        </w:rPr>
        <w:t xml:space="preserve">istotnymi (podstawowymi) </w:t>
      </w:r>
      <w:r w:rsidR="006362B2" w:rsidRPr="00F423DF">
        <w:rPr>
          <w:rFonts w:ascii="Arial" w:hAnsi="Arial" w:cs="Arial"/>
          <w:b/>
          <w:sz w:val="20"/>
          <w:szCs w:val="20"/>
        </w:rPr>
        <w:t xml:space="preserve">interesami bezpieczeństwa państwa. </w:t>
      </w:r>
    </w:p>
    <w:p w14:paraId="70F0846F" w14:textId="77777777" w:rsidR="00F423DF" w:rsidRPr="00F423DF" w:rsidRDefault="00F423DF" w:rsidP="00F423DF">
      <w:pPr>
        <w:spacing w:after="0" w:line="360" w:lineRule="auto"/>
        <w:ind w:left="567"/>
        <w:rPr>
          <w:rFonts w:ascii="Arial" w:hAnsi="Arial" w:cs="Arial"/>
          <w:b/>
          <w:sz w:val="20"/>
          <w:szCs w:val="20"/>
        </w:rPr>
      </w:pPr>
    </w:p>
    <w:p w14:paraId="2B081E3A" w14:textId="10AA0EA8" w:rsidR="00361883" w:rsidRPr="00EE13B7" w:rsidRDefault="00361883" w:rsidP="00F423DF">
      <w:pPr>
        <w:pStyle w:val="Akapitzlist"/>
        <w:numPr>
          <w:ilvl w:val="0"/>
          <w:numId w:val="7"/>
        </w:numPr>
        <w:spacing w:after="0" w:line="360" w:lineRule="auto"/>
        <w:ind w:left="567" w:firstLine="0"/>
        <w:rPr>
          <w:rFonts w:ascii="Arial" w:eastAsia="Times New Roman" w:hAnsi="Arial" w:cs="Arial"/>
          <w:b/>
          <w:vanish/>
          <w:sz w:val="20"/>
          <w:szCs w:val="20"/>
          <w:lang w:eastAsia="pl-PL"/>
        </w:rPr>
      </w:pPr>
    </w:p>
    <w:p w14:paraId="3850A690" w14:textId="725A55F5" w:rsidR="006362B2" w:rsidRPr="00EE13B7" w:rsidRDefault="00361883" w:rsidP="00F423DF">
      <w:pPr>
        <w:spacing w:after="0" w:line="360" w:lineRule="auto"/>
        <w:ind w:left="567"/>
        <w:rPr>
          <w:rFonts w:ascii="Arial" w:eastAsia="Times New Roman" w:hAnsi="Arial" w:cs="Arial"/>
          <w:b/>
          <w:vanish/>
          <w:sz w:val="20"/>
          <w:szCs w:val="20"/>
          <w:lang w:eastAsia="pl-PL"/>
        </w:rPr>
      </w:pPr>
      <w:r w:rsidRPr="00EE13B7">
        <w:rPr>
          <w:rFonts w:ascii="Arial" w:hAnsi="Arial" w:cs="Arial"/>
          <w:b/>
          <w:sz w:val="20"/>
          <w:szCs w:val="20"/>
        </w:rPr>
        <w:t>2.  K</w:t>
      </w:r>
      <w:r w:rsidR="006362B2" w:rsidRPr="00EE13B7">
        <w:rPr>
          <w:rFonts w:ascii="Arial" w:hAnsi="Arial" w:cs="Arial"/>
          <w:b/>
          <w:sz w:val="20"/>
          <w:szCs w:val="20"/>
        </w:rPr>
        <w:t>oniecz</w:t>
      </w:r>
    </w:p>
    <w:p w14:paraId="2D3687F2" w14:textId="77777777" w:rsidR="006362B2" w:rsidRPr="00EE13B7" w:rsidRDefault="006362B2" w:rsidP="00F423DF">
      <w:pPr>
        <w:pStyle w:val="Akapitzlist"/>
        <w:numPr>
          <w:ilvl w:val="0"/>
          <w:numId w:val="8"/>
        </w:numPr>
        <w:spacing w:after="0" w:line="360" w:lineRule="auto"/>
        <w:ind w:left="567" w:firstLine="0"/>
        <w:rPr>
          <w:rFonts w:ascii="Arial" w:eastAsia="Times New Roman" w:hAnsi="Arial" w:cs="Arial"/>
          <w:b/>
          <w:vanish/>
          <w:sz w:val="20"/>
          <w:szCs w:val="20"/>
          <w:lang w:eastAsia="pl-PL"/>
        </w:rPr>
      </w:pPr>
    </w:p>
    <w:p w14:paraId="5B86A793" w14:textId="6FAB9F55" w:rsidR="005A2324" w:rsidRPr="00EE13B7" w:rsidRDefault="006362B2" w:rsidP="00F423DF">
      <w:pPr>
        <w:pStyle w:val="Akapitzlist"/>
        <w:numPr>
          <w:ilvl w:val="0"/>
          <w:numId w:val="8"/>
        </w:numPr>
        <w:spacing w:after="0" w:line="360" w:lineRule="auto"/>
        <w:ind w:left="567" w:firstLine="0"/>
        <w:rPr>
          <w:rFonts w:ascii="Arial" w:eastAsia="Times New Roman" w:hAnsi="Arial" w:cs="Arial"/>
          <w:b/>
          <w:vanish/>
          <w:sz w:val="20"/>
          <w:szCs w:val="20"/>
          <w:lang w:eastAsia="pl-PL"/>
        </w:rPr>
      </w:pPr>
      <w:r w:rsidRPr="00EE13B7">
        <w:rPr>
          <w:rFonts w:ascii="Arial" w:hAnsi="Arial" w:cs="Arial"/>
          <w:b/>
          <w:sz w:val="20"/>
          <w:szCs w:val="20"/>
        </w:rPr>
        <w:t xml:space="preserve">ność wyłączenia stosowania ustawy Pzp </w:t>
      </w:r>
      <w:r w:rsidR="006031C4" w:rsidRPr="00EE13B7">
        <w:rPr>
          <w:rFonts w:ascii="Arial" w:hAnsi="Arial" w:cs="Arial"/>
          <w:b/>
          <w:sz w:val="20"/>
          <w:szCs w:val="20"/>
        </w:rPr>
        <w:t xml:space="preserve">na podstawie art. 12 ust. 1 ustawy Pzp </w:t>
      </w:r>
      <w:r w:rsidR="00361883" w:rsidRPr="00EE13B7">
        <w:rPr>
          <w:rFonts w:ascii="Arial" w:hAnsi="Arial" w:cs="Arial"/>
          <w:b/>
          <w:sz w:val="20"/>
          <w:szCs w:val="20"/>
        </w:rPr>
        <w:t>musi dotyczyć</w:t>
      </w:r>
      <w:r w:rsidRPr="00EE13B7">
        <w:rPr>
          <w:rFonts w:ascii="Arial" w:hAnsi="Arial" w:cs="Arial"/>
          <w:b/>
          <w:sz w:val="20"/>
          <w:szCs w:val="20"/>
        </w:rPr>
        <w:t xml:space="preserve"> cał</w:t>
      </w:r>
      <w:r w:rsidR="00361883" w:rsidRPr="00EE13B7">
        <w:rPr>
          <w:rFonts w:ascii="Arial" w:hAnsi="Arial" w:cs="Arial"/>
          <w:b/>
          <w:sz w:val="20"/>
          <w:szCs w:val="20"/>
        </w:rPr>
        <w:t>ego</w:t>
      </w:r>
      <w:r w:rsidRPr="00EE13B7">
        <w:rPr>
          <w:rFonts w:ascii="Arial" w:hAnsi="Arial" w:cs="Arial"/>
          <w:b/>
          <w:sz w:val="20"/>
          <w:szCs w:val="20"/>
        </w:rPr>
        <w:t xml:space="preserve"> postępowania lub konkursu.</w:t>
      </w:r>
      <w:r w:rsidR="006031C4" w:rsidRPr="00EE13B7">
        <w:rPr>
          <w:rFonts w:ascii="Arial" w:hAnsi="Arial" w:cs="Arial"/>
          <w:b/>
          <w:sz w:val="20"/>
          <w:szCs w:val="20"/>
        </w:rPr>
        <w:t xml:space="preserve"> Wyłączenie to opiera się</w:t>
      </w:r>
      <w:r w:rsidR="00F708C6" w:rsidRPr="00EE13B7">
        <w:rPr>
          <w:rFonts w:ascii="Arial" w:hAnsi="Arial" w:cs="Arial"/>
          <w:b/>
          <w:sz w:val="20"/>
          <w:szCs w:val="20"/>
        </w:rPr>
        <w:t xml:space="preserve"> </w:t>
      </w:r>
      <w:r w:rsidR="006031C4" w:rsidRPr="00EE13B7">
        <w:rPr>
          <w:rFonts w:ascii="Arial" w:hAnsi="Arial" w:cs="Arial"/>
          <w:b/>
          <w:sz w:val="20"/>
          <w:szCs w:val="20"/>
        </w:rPr>
        <w:t xml:space="preserve">na </w:t>
      </w:r>
      <w:r w:rsidR="00F708C6" w:rsidRPr="00EE13B7">
        <w:rPr>
          <w:rFonts w:ascii="Arial" w:hAnsi="Arial" w:cs="Arial"/>
          <w:b/>
          <w:sz w:val="20"/>
          <w:szCs w:val="20"/>
        </w:rPr>
        <w:t>proporcjonaln</w:t>
      </w:r>
      <w:r w:rsidR="006031C4" w:rsidRPr="00EE13B7">
        <w:rPr>
          <w:rFonts w:ascii="Arial" w:hAnsi="Arial" w:cs="Arial"/>
          <w:b/>
          <w:sz w:val="20"/>
          <w:szCs w:val="20"/>
        </w:rPr>
        <w:t>ości</w:t>
      </w:r>
      <w:r w:rsidR="00F708C6" w:rsidRPr="00EE13B7">
        <w:rPr>
          <w:rFonts w:ascii="Arial" w:hAnsi="Arial" w:cs="Arial"/>
          <w:b/>
          <w:sz w:val="20"/>
          <w:szCs w:val="20"/>
        </w:rPr>
        <w:t xml:space="preserve"> </w:t>
      </w:r>
      <w:r w:rsidR="00EE13B7">
        <w:rPr>
          <w:rFonts w:ascii="Arial" w:hAnsi="Arial" w:cs="Arial"/>
          <w:b/>
          <w:sz w:val="20"/>
          <w:szCs w:val="20"/>
        </w:rPr>
        <w:t xml:space="preserve">w stosunku </w:t>
      </w:r>
      <w:r w:rsidR="00F708C6" w:rsidRPr="00EE13B7">
        <w:rPr>
          <w:rFonts w:ascii="Arial" w:hAnsi="Arial" w:cs="Arial"/>
          <w:b/>
          <w:sz w:val="20"/>
          <w:szCs w:val="20"/>
        </w:rPr>
        <w:t xml:space="preserve">do celu, jakim jest </w:t>
      </w:r>
      <w:r w:rsidR="006031C4" w:rsidRPr="00EE13B7">
        <w:rPr>
          <w:rFonts w:ascii="Arial" w:hAnsi="Arial" w:cs="Arial"/>
          <w:b/>
          <w:sz w:val="20"/>
          <w:szCs w:val="20"/>
        </w:rPr>
        <w:t xml:space="preserve">zapewnienie </w:t>
      </w:r>
      <w:r w:rsidR="00F708C6" w:rsidRPr="00EE13B7">
        <w:rPr>
          <w:rFonts w:ascii="Arial" w:hAnsi="Arial" w:cs="Arial"/>
          <w:b/>
          <w:sz w:val="20"/>
          <w:szCs w:val="20"/>
        </w:rPr>
        <w:t>ochron</w:t>
      </w:r>
      <w:r w:rsidR="006031C4" w:rsidRPr="00EE13B7">
        <w:rPr>
          <w:rFonts w:ascii="Arial" w:hAnsi="Arial" w:cs="Arial"/>
          <w:b/>
          <w:sz w:val="20"/>
          <w:szCs w:val="20"/>
        </w:rPr>
        <w:t>y</w:t>
      </w:r>
      <w:r w:rsidR="00F708C6" w:rsidRPr="00EE13B7">
        <w:rPr>
          <w:rFonts w:ascii="Arial" w:hAnsi="Arial" w:cs="Arial"/>
          <w:b/>
          <w:sz w:val="20"/>
          <w:szCs w:val="20"/>
        </w:rPr>
        <w:t xml:space="preserve"> interes</w:t>
      </w:r>
      <w:r w:rsidR="006031C4" w:rsidRPr="00EE13B7">
        <w:rPr>
          <w:rFonts w:ascii="Arial" w:hAnsi="Arial" w:cs="Arial"/>
          <w:b/>
          <w:sz w:val="20"/>
          <w:szCs w:val="20"/>
        </w:rPr>
        <w:t>om</w:t>
      </w:r>
      <w:r w:rsidR="00F708C6" w:rsidRPr="00EE13B7">
        <w:rPr>
          <w:rFonts w:ascii="Arial" w:hAnsi="Arial" w:cs="Arial"/>
          <w:b/>
          <w:sz w:val="20"/>
          <w:szCs w:val="20"/>
        </w:rPr>
        <w:t xml:space="preserve"> bezpieczeństwa państwa i może mieć miejsce tylko wówczas, gdy cel ten nie mógłby zostać osiągnięty przy udzielaniu zamówienia w oparciu o przepisy ustawy Pzp</w:t>
      </w:r>
      <w:r w:rsidR="006031C4" w:rsidRPr="00EE13B7">
        <w:rPr>
          <w:rFonts w:ascii="Arial" w:hAnsi="Arial" w:cs="Arial"/>
          <w:b/>
          <w:sz w:val="20"/>
          <w:szCs w:val="20"/>
        </w:rPr>
        <w:t xml:space="preserve">; </w:t>
      </w:r>
    </w:p>
    <w:p w14:paraId="50FD13E1" w14:textId="2AC957D0" w:rsidR="00EC06DE" w:rsidRPr="00F423DF" w:rsidRDefault="006031C4" w:rsidP="00F423DF">
      <w:pPr>
        <w:pStyle w:val="Akapitzlist"/>
        <w:numPr>
          <w:ilvl w:val="0"/>
          <w:numId w:val="8"/>
        </w:numPr>
        <w:shd w:val="clear" w:color="auto" w:fill="FFFFFF"/>
        <w:spacing w:after="0" w:line="360" w:lineRule="auto"/>
        <w:ind w:left="567" w:firstLine="0"/>
        <w:textAlignment w:val="baseline"/>
        <w:rPr>
          <w:rFonts w:ascii="Arial" w:eastAsia="Times New Roman" w:hAnsi="Arial" w:cs="Arial"/>
          <w:b/>
          <w:sz w:val="20"/>
          <w:szCs w:val="20"/>
          <w:lang w:eastAsia="pl-PL"/>
        </w:rPr>
      </w:pPr>
      <w:r w:rsidRPr="00EE13B7">
        <w:rPr>
          <w:rFonts w:ascii="Arial" w:hAnsi="Arial" w:cs="Arial"/>
          <w:b/>
          <w:sz w:val="20"/>
          <w:szCs w:val="20"/>
        </w:rPr>
        <w:t>w przypadku gdyby postępowanie o udzielenie zamówienia publicznego bądź konkurs były przeprowadzane zgodnie z przepisami ustawy Pzp, w tym nawet z zastosowaniem przepisów dotyczących udzielania zamówień z zakresu obronności i bezpieczeństwa, pozostawałoby w sprzeczności z istotnymi (podstawowymi) interesami bezpieczeństwa państwa.</w:t>
      </w:r>
    </w:p>
    <w:p w14:paraId="28D224F9" w14:textId="77777777" w:rsidR="00F423DF" w:rsidRPr="00EE13B7" w:rsidRDefault="00F423DF" w:rsidP="00F423DF">
      <w:pPr>
        <w:pStyle w:val="Akapitzlist"/>
        <w:shd w:val="clear" w:color="auto" w:fill="FFFFFF"/>
        <w:spacing w:after="0" w:line="360" w:lineRule="auto"/>
        <w:ind w:left="567"/>
        <w:textAlignment w:val="baseline"/>
        <w:rPr>
          <w:rFonts w:ascii="Arial" w:eastAsia="Times New Roman" w:hAnsi="Arial" w:cs="Arial"/>
          <w:b/>
          <w:sz w:val="20"/>
          <w:szCs w:val="20"/>
          <w:lang w:eastAsia="pl-PL"/>
        </w:rPr>
      </w:pPr>
    </w:p>
    <w:p w14:paraId="4660BA9F" w14:textId="3A8E0DFD" w:rsidR="00EE13B7" w:rsidRPr="00EE13B7" w:rsidRDefault="006031C4" w:rsidP="00F423DF">
      <w:pPr>
        <w:shd w:val="clear" w:color="auto" w:fill="FFFFFF"/>
        <w:spacing w:after="0" w:line="360" w:lineRule="auto"/>
        <w:ind w:left="567"/>
        <w:textAlignment w:val="baseline"/>
        <w:rPr>
          <w:rFonts w:ascii="Arial" w:hAnsi="Arial" w:cs="Arial"/>
          <w:b/>
          <w:sz w:val="20"/>
          <w:szCs w:val="20"/>
        </w:rPr>
      </w:pPr>
      <w:r w:rsidRPr="00EE13B7">
        <w:rPr>
          <w:rFonts w:ascii="Arial" w:hAnsi="Arial" w:cs="Arial"/>
          <w:b/>
          <w:sz w:val="20"/>
          <w:szCs w:val="20"/>
        </w:rPr>
        <w:t xml:space="preserve">3. </w:t>
      </w:r>
      <w:r w:rsidR="0090215D" w:rsidRPr="00EE13B7">
        <w:rPr>
          <w:rFonts w:ascii="Arial" w:hAnsi="Arial" w:cs="Arial"/>
          <w:b/>
          <w:sz w:val="20"/>
          <w:szCs w:val="20"/>
        </w:rPr>
        <w:t xml:space="preserve">Pojęcia: „istotnego interesu bezpieczeństwa państwa” oraz „podstawowego interesu bezpieczeństwa państwa”, którymi posługuje się art. 12 ust. 1 ustawy Pzp nie różnią się </w:t>
      </w:r>
      <w:r w:rsidR="003E275D">
        <w:rPr>
          <w:rFonts w:ascii="Arial" w:hAnsi="Arial" w:cs="Arial"/>
          <w:b/>
          <w:sz w:val="20"/>
          <w:szCs w:val="20"/>
        </w:rPr>
        <w:t xml:space="preserve">od siebie  </w:t>
      </w:r>
      <w:r w:rsidR="0090215D" w:rsidRPr="00EE13B7">
        <w:rPr>
          <w:rFonts w:ascii="Arial" w:hAnsi="Arial" w:cs="Arial"/>
          <w:b/>
          <w:sz w:val="20"/>
          <w:szCs w:val="20"/>
        </w:rPr>
        <w:t>pod względem znaczeni</w:t>
      </w:r>
      <w:r w:rsidR="00EE13B7">
        <w:rPr>
          <w:rFonts w:ascii="Arial" w:hAnsi="Arial" w:cs="Arial"/>
          <w:b/>
          <w:sz w:val="20"/>
          <w:szCs w:val="20"/>
        </w:rPr>
        <w:t>a</w:t>
      </w:r>
      <w:r w:rsidR="0090215D" w:rsidRPr="00EE13B7">
        <w:rPr>
          <w:rFonts w:ascii="Arial" w:hAnsi="Arial" w:cs="Arial"/>
          <w:b/>
          <w:sz w:val="20"/>
          <w:szCs w:val="20"/>
        </w:rPr>
        <w:t>. Ze względu na wspólnotowy wymiar normy wdrażanej przepisem art. 12 ust. 1 ustawy Pzp</w:t>
      </w:r>
      <w:r w:rsidR="00EE13B7" w:rsidRPr="00EE13B7">
        <w:rPr>
          <w:rFonts w:ascii="Arial" w:hAnsi="Arial" w:cs="Arial"/>
          <w:b/>
          <w:sz w:val="20"/>
          <w:szCs w:val="20"/>
        </w:rPr>
        <w:t>, dla której źródłowym przepisem przywoływanym w dyrektywach z zakresu zamówień publicznych jest art. 346 TFUE</w:t>
      </w:r>
      <w:r w:rsidR="003E275D">
        <w:rPr>
          <w:rFonts w:ascii="Arial" w:hAnsi="Arial" w:cs="Arial"/>
          <w:b/>
          <w:sz w:val="20"/>
          <w:szCs w:val="20"/>
        </w:rPr>
        <w:t>,</w:t>
      </w:r>
      <w:r w:rsidR="00EE13B7" w:rsidRPr="00EE13B7">
        <w:rPr>
          <w:rFonts w:ascii="Arial" w:hAnsi="Arial" w:cs="Arial"/>
          <w:b/>
          <w:sz w:val="20"/>
          <w:szCs w:val="20"/>
        </w:rPr>
        <w:t xml:space="preserve"> odwołujący się do podstawowego interesu bezpieczeństwa państwa</w:t>
      </w:r>
      <w:r w:rsidR="00BD1A44">
        <w:rPr>
          <w:rFonts w:ascii="Arial" w:hAnsi="Arial" w:cs="Arial"/>
          <w:b/>
          <w:sz w:val="20"/>
          <w:szCs w:val="20"/>
        </w:rPr>
        <w:t>,</w:t>
      </w:r>
      <w:r w:rsidR="00EE13B7" w:rsidRPr="00EE13B7">
        <w:rPr>
          <w:rFonts w:ascii="Arial" w:hAnsi="Arial" w:cs="Arial"/>
          <w:b/>
          <w:sz w:val="20"/>
          <w:szCs w:val="20"/>
        </w:rPr>
        <w:t xml:space="preserve"> </w:t>
      </w:r>
      <w:r w:rsidR="0090215D" w:rsidRPr="00EE13B7">
        <w:rPr>
          <w:rFonts w:ascii="Arial" w:hAnsi="Arial" w:cs="Arial"/>
          <w:b/>
          <w:sz w:val="20"/>
          <w:szCs w:val="20"/>
        </w:rPr>
        <w:t>rozumienie tego przepisu we wszystkich państwach członkowskich Unii Europejskiej powinno być takie samo.</w:t>
      </w:r>
    </w:p>
    <w:sectPr w:rsidR="00EE13B7" w:rsidRPr="00EE13B7" w:rsidSect="002A7F95">
      <w:headerReference w:type="default" r:id="rId8"/>
      <w:footerReference w:type="default" r:id="rId9"/>
      <w:pgSz w:w="11906" w:h="16838"/>
      <w:pgMar w:top="2127" w:right="851"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4974" w14:textId="77777777" w:rsidR="002A7F95" w:rsidRDefault="002A7F95" w:rsidP="000309AE">
      <w:pPr>
        <w:spacing w:after="0" w:line="240" w:lineRule="auto"/>
      </w:pPr>
      <w:r>
        <w:separator/>
      </w:r>
    </w:p>
  </w:endnote>
  <w:endnote w:type="continuationSeparator" w:id="0">
    <w:p w14:paraId="7F432CC8" w14:textId="77777777" w:rsidR="002A7F95" w:rsidRDefault="002A7F95"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998840"/>
      <w:docPartObj>
        <w:docPartGallery w:val="Page Numbers (Bottom of Page)"/>
        <w:docPartUnique/>
      </w:docPartObj>
    </w:sdtPr>
    <w:sdtContent>
      <w:p w14:paraId="7CE69B2D" w14:textId="2131EC1C" w:rsidR="00915941" w:rsidRDefault="00915941">
        <w:pPr>
          <w:pStyle w:val="Stopka"/>
          <w:jc w:val="center"/>
        </w:pPr>
        <w:r>
          <w:fldChar w:fldCharType="begin"/>
        </w:r>
        <w:r>
          <w:instrText>PAGE   \* MERGEFORMAT</w:instrText>
        </w:r>
        <w:r>
          <w:fldChar w:fldCharType="separate"/>
        </w:r>
        <w:r w:rsidR="00740B40">
          <w:rPr>
            <w:noProof/>
          </w:rPr>
          <w:t>10</w:t>
        </w:r>
        <w:r>
          <w:fldChar w:fldCharType="end"/>
        </w:r>
      </w:p>
    </w:sdtContent>
  </w:sdt>
  <w:p w14:paraId="31956AE2" w14:textId="77777777" w:rsidR="00915941" w:rsidRDefault="009159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DD50" w14:textId="77777777" w:rsidR="002A7F95" w:rsidRDefault="002A7F95" w:rsidP="000309AE">
      <w:pPr>
        <w:spacing w:after="0" w:line="240" w:lineRule="auto"/>
      </w:pPr>
      <w:r>
        <w:separator/>
      </w:r>
    </w:p>
  </w:footnote>
  <w:footnote w:type="continuationSeparator" w:id="0">
    <w:p w14:paraId="56630FEE" w14:textId="77777777" w:rsidR="002A7F95" w:rsidRDefault="002A7F95" w:rsidP="000309AE">
      <w:pPr>
        <w:spacing w:after="0" w:line="240" w:lineRule="auto"/>
      </w:pPr>
      <w:r>
        <w:continuationSeparator/>
      </w:r>
    </w:p>
  </w:footnote>
  <w:footnote w:id="1">
    <w:p w14:paraId="3656C30B" w14:textId="2C304A6A" w:rsidR="00F70774" w:rsidRPr="004B288A" w:rsidRDefault="00F70774" w:rsidP="00740B40">
      <w:pPr>
        <w:pStyle w:val="Tekstprzypisudolnego"/>
        <w:ind w:left="142" w:hanging="142"/>
        <w:jc w:val="both"/>
        <w:rPr>
          <w:rFonts w:ascii="Arial" w:hAnsi="Arial" w:cs="Arial"/>
          <w:sz w:val="16"/>
          <w:szCs w:val="16"/>
        </w:rPr>
      </w:pPr>
      <w:r>
        <w:rPr>
          <w:rStyle w:val="Odwoanieprzypisudolnego"/>
        </w:rPr>
        <w:footnoteRef/>
      </w:r>
      <w:r w:rsidR="004B288A">
        <w:rPr>
          <w:rFonts w:ascii="Arial" w:hAnsi="Arial" w:cs="Arial"/>
          <w:sz w:val="16"/>
          <w:szCs w:val="16"/>
        </w:rPr>
        <w:t xml:space="preserve"> </w:t>
      </w:r>
      <w:r w:rsidRPr="004B288A">
        <w:rPr>
          <w:rFonts w:ascii="Arial" w:hAnsi="Arial" w:cs="Arial"/>
          <w:i/>
          <w:sz w:val="16"/>
          <w:szCs w:val="16"/>
        </w:rPr>
        <w:t>Strategia bezpieczeństwa narodowego Rzeczpospolitej Polskiej</w:t>
      </w:r>
      <w:r w:rsidRPr="004B288A">
        <w:rPr>
          <w:rFonts w:ascii="Arial" w:hAnsi="Arial" w:cs="Arial"/>
          <w:sz w:val="16"/>
          <w:szCs w:val="16"/>
        </w:rPr>
        <w:t>, zatwierdzona postanowieniem Prezydenta RP w dniu</w:t>
      </w:r>
      <w:r w:rsidR="004B288A" w:rsidRPr="004B288A">
        <w:rPr>
          <w:rFonts w:ascii="Arial" w:hAnsi="Arial" w:cs="Arial"/>
          <w:sz w:val="16"/>
          <w:szCs w:val="16"/>
        </w:rPr>
        <w:t xml:space="preserve"> 12 maja </w:t>
      </w:r>
      <w:r w:rsidR="00FB001A">
        <w:rPr>
          <w:rFonts w:ascii="Arial" w:hAnsi="Arial" w:cs="Arial"/>
          <w:sz w:val="16"/>
          <w:szCs w:val="16"/>
        </w:rPr>
        <w:br/>
      </w:r>
      <w:r w:rsidR="004B288A" w:rsidRPr="004B288A">
        <w:rPr>
          <w:rFonts w:ascii="Arial" w:hAnsi="Arial" w:cs="Arial"/>
          <w:sz w:val="16"/>
          <w:szCs w:val="16"/>
        </w:rPr>
        <w:t xml:space="preserve">2020 </w:t>
      </w:r>
      <w:r w:rsidR="00FB001A">
        <w:rPr>
          <w:rFonts w:ascii="Arial" w:hAnsi="Arial" w:cs="Arial"/>
          <w:sz w:val="16"/>
          <w:szCs w:val="16"/>
        </w:rPr>
        <w:t>r</w:t>
      </w:r>
      <w:r w:rsidR="004B288A" w:rsidRPr="004B288A">
        <w:rPr>
          <w:rFonts w:ascii="Arial" w:hAnsi="Arial" w:cs="Arial"/>
          <w:sz w:val="16"/>
          <w:szCs w:val="16"/>
        </w:rPr>
        <w:t>.</w:t>
      </w:r>
      <w:r w:rsidR="004B288A">
        <w:rPr>
          <w:rFonts w:ascii="Arial" w:hAnsi="Arial" w:cs="Arial"/>
          <w:sz w:val="16"/>
          <w:szCs w:val="16"/>
        </w:rPr>
        <w:t>, str. 11</w:t>
      </w:r>
    </w:p>
  </w:footnote>
  <w:footnote w:id="2">
    <w:p w14:paraId="0DAA63EB" w14:textId="3A96C3DD" w:rsidR="00994C82" w:rsidRPr="00027850" w:rsidRDefault="00994C82" w:rsidP="00740B40">
      <w:pPr>
        <w:pStyle w:val="Tekstprzypisudolnego"/>
        <w:ind w:left="142" w:hanging="142"/>
        <w:jc w:val="both"/>
        <w:rPr>
          <w:rFonts w:ascii="Arial" w:hAnsi="Arial" w:cs="Arial"/>
          <w:sz w:val="16"/>
          <w:szCs w:val="16"/>
        </w:rPr>
      </w:pPr>
      <w:r>
        <w:rPr>
          <w:rStyle w:val="Odwoanieprzypisudolnego"/>
        </w:rPr>
        <w:footnoteRef/>
      </w:r>
      <w:r>
        <w:t xml:space="preserve"> </w:t>
      </w:r>
      <w:r w:rsidRPr="00027850">
        <w:rPr>
          <w:rFonts w:ascii="Arial" w:hAnsi="Arial" w:cs="Arial"/>
          <w:sz w:val="16"/>
          <w:szCs w:val="16"/>
        </w:rPr>
        <w:t>D</w:t>
      </w:r>
      <w:r w:rsidRPr="00027850">
        <w:rPr>
          <w:rFonts w:ascii="Arial" w:hAnsi="Arial" w:cs="Arial"/>
          <w:sz w:val="16"/>
          <w:szCs w:val="16"/>
          <w:shd w:val="clear" w:color="auto" w:fill="FFFFFF"/>
        </w:rPr>
        <w:t xml:space="preserve">yrektywa </w:t>
      </w:r>
      <w:r w:rsidRPr="00027850">
        <w:rPr>
          <w:rFonts w:ascii="Arial" w:hAnsi="Arial" w:cs="Arial"/>
          <w:sz w:val="16"/>
          <w:szCs w:val="16"/>
        </w:rPr>
        <w:t>Parlamentu Europejskiego i Rady 2014/24/UE z dnia 26 lutego 2014 r. w sprawie zamówień publicznych, uchylająca dyrektywę 2004/18/WE (Dz. Urz. UE L 94 z 28.03.2014, str. 65, z późn. zm.)</w:t>
      </w:r>
    </w:p>
  </w:footnote>
  <w:footnote w:id="3">
    <w:p w14:paraId="7D6B70B2" w14:textId="3A47AC23" w:rsidR="00994C82" w:rsidRPr="00027850" w:rsidRDefault="00994C82" w:rsidP="00740B40">
      <w:pPr>
        <w:pStyle w:val="Tekstprzypisudolnego"/>
        <w:ind w:left="142" w:hanging="142"/>
        <w:jc w:val="both"/>
        <w:rPr>
          <w:rFonts w:ascii="Arial" w:hAnsi="Arial" w:cs="Arial"/>
          <w:sz w:val="16"/>
          <w:szCs w:val="16"/>
        </w:rPr>
      </w:pPr>
      <w:r w:rsidRPr="006310A2">
        <w:rPr>
          <w:rStyle w:val="Odwoanieprzypisudolnego"/>
        </w:rPr>
        <w:footnoteRef/>
      </w:r>
      <w:r w:rsidRPr="006310A2">
        <w:t xml:space="preserve"> </w:t>
      </w:r>
      <w:r w:rsidRPr="00027850">
        <w:rPr>
          <w:rFonts w:ascii="Arial" w:hAnsi="Arial" w:cs="Arial"/>
          <w:sz w:val="16"/>
          <w:szCs w:val="16"/>
        </w:rPr>
        <w:t>D</w:t>
      </w:r>
      <w:r w:rsidRPr="00027850">
        <w:rPr>
          <w:rFonts w:ascii="Arial" w:hAnsi="Arial" w:cs="Arial"/>
          <w:sz w:val="16"/>
          <w:szCs w:val="16"/>
          <w:shd w:val="clear" w:color="auto" w:fill="FFFFFF"/>
        </w:rPr>
        <w:t xml:space="preserve">yrektywa </w:t>
      </w:r>
      <w:r w:rsidRPr="00027850">
        <w:rPr>
          <w:rFonts w:ascii="Arial" w:hAnsi="Arial" w:cs="Arial"/>
          <w:sz w:val="16"/>
          <w:szCs w:val="16"/>
        </w:rPr>
        <w:t>Parlamentu Europejskiego i Rady 2014/25/UE z dnia 26 lutego 2014 r. w sprawie udzielania zamówień przez podmioty działające w sektorach gospodarki wodnej, energetyki, transportu i usług pocztowych, uchylająca dyrektywę 2004/17/WE (Dz. Urz. UE L 94 z 28.03.2014, str. 243, z późn. zm.)</w:t>
      </w:r>
    </w:p>
  </w:footnote>
  <w:footnote w:id="4">
    <w:p w14:paraId="095A5236" w14:textId="77777777" w:rsidR="00EE3345" w:rsidRPr="00027850" w:rsidRDefault="00EE3345" w:rsidP="00EE3345">
      <w:pPr>
        <w:tabs>
          <w:tab w:val="left" w:pos="9072"/>
        </w:tabs>
        <w:spacing w:after="0" w:line="240" w:lineRule="auto"/>
        <w:jc w:val="both"/>
        <w:rPr>
          <w:rFonts w:ascii="Arial" w:hAnsi="Arial" w:cs="Arial"/>
          <w:sz w:val="16"/>
          <w:szCs w:val="16"/>
        </w:rPr>
      </w:pPr>
      <w:r w:rsidRPr="00027850">
        <w:rPr>
          <w:rStyle w:val="Odwoanieprzypisudolnego"/>
          <w:rFonts w:ascii="Arial" w:hAnsi="Arial" w:cs="Arial"/>
          <w:sz w:val="16"/>
          <w:szCs w:val="16"/>
        </w:rPr>
        <w:footnoteRef/>
      </w:r>
      <w:r w:rsidRPr="00027850">
        <w:rPr>
          <w:rFonts w:ascii="Arial" w:hAnsi="Arial" w:cs="Arial"/>
          <w:sz w:val="16"/>
          <w:szCs w:val="16"/>
        </w:rPr>
        <w:t xml:space="preserve"> Traktat o funkcjonowaniu Unii Europejskiej</w:t>
      </w:r>
      <w:r w:rsidRPr="00027850">
        <w:rPr>
          <w:rFonts w:ascii="Arial" w:hAnsi="Arial" w:cs="Arial"/>
          <w:color w:val="333333"/>
          <w:sz w:val="16"/>
          <w:szCs w:val="16"/>
        </w:rPr>
        <w:t xml:space="preserve"> (wersja skonsolidowana 2016) </w:t>
      </w:r>
      <w:hyperlink r:id="rId1" w:history="1">
        <w:r w:rsidRPr="00027850">
          <w:rPr>
            <w:rFonts w:ascii="Arial" w:hAnsi="Arial" w:cs="Arial"/>
            <w:sz w:val="16"/>
            <w:szCs w:val="16"/>
          </w:rPr>
          <w:t>D</w:t>
        </w:r>
        <w:r w:rsidRPr="00027850">
          <w:rPr>
            <w:rStyle w:val="Hipercze"/>
            <w:rFonts w:ascii="Arial" w:hAnsi="Arial" w:cs="Arial"/>
            <w:color w:val="auto"/>
            <w:sz w:val="16"/>
            <w:szCs w:val="16"/>
            <w:u w:val="none"/>
          </w:rPr>
          <w:t>z.U. C 202 z 7.6.2016</w:t>
        </w:r>
      </w:hyperlink>
      <w:r w:rsidRPr="00027850">
        <w:rPr>
          <w:rFonts w:ascii="Arial" w:hAnsi="Arial" w:cs="Arial"/>
          <w:sz w:val="16"/>
          <w:szCs w:val="16"/>
        </w:rPr>
        <w:t xml:space="preserve"> str. 47</w:t>
      </w:r>
    </w:p>
  </w:footnote>
  <w:footnote w:id="5">
    <w:p w14:paraId="1300815E" w14:textId="2DADB1A8" w:rsidR="00CA5BFD" w:rsidRPr="00027850" w:rsidRDefault="00CA5BFD" w:rsidP="00027850">
      <w:pPr>
        <w:pStyle w:val="Tekstprzypisudolnego"/>
        <w:jc w:val="both"/>
        <w:rPr>
          <w:rFonts w:ascii="Arial" w:hAnsi="Arial" w:cs="Arial"/>
          <w:sz w:val="16"/>
          <w:szCs w:val="16"/>
        </w:rPr>
      </w:pPr>
      <w:r w:rsidRPr="00027850">
        <w:rPr>
          <w:rStyle w:val="Odwoanieprzypisudolnego"/>
          <w:rFonts w:ascii="Arial" w:hAnsi="Arial" w:cs="Arial"/>
          <w:sz w:val="16"/>
          <w:szCs w:val="16"/>
        </w:rPr>
        <w:footnoteRef/>
      </w:r>
      <w:r w:rsidRPr="00027850">
        <w:rPr>
          <w:rFonts w:ascii="Arial" w:hAnsi="Arial" w:cs="Arial"/>
          <w:sz w:val="16"/>
          <w:szCs w:val="16"/>
        </w:rPr>
        <w:t xml:space="preserve"> </w:t>
      </w:r>
      <w:r w:rsidR="00AD600A" w:rsidRPr="00027850">
        <w:rPr>
          <w:rFonts w:ascii="Arial" w:hAnsi="Arial" w:cs="Arial"/>
          <w:sz w:val="16"/>
          <w:szCs w:val="16"/>
        </w:rPr>
        <w:t xml:space="preserve">Traktat ustanawiający Wspólnotę Europejską (wersja skonsolidowana 2006 r.) </w:t>
      </w:r>
      <w:hyperlink r:id="rId2" w:history="1">
        <w:r w:rsidR="00AD600A" w:rsidRPr="00027850">
          <w:rPr>
            <w:rFonts w:ascii="Arial" w:hAnsi="Arial" w:cs="Arial"/>
            <w:sz w:val="16"/>
            <w:szCs w:val="16"/>
          </w:rPr>
          <w:t>Dz.U. C 321E z 29.12.2006</w:t>
        </w:r>
      </w:hyperlink>
      <w:r w:rsidR="00AD600A" w:rsidRPr="00027850">
        <w:rPr>
          <w:rFonts w:ascii="Arial" w:hAnsi="Arial" w:cs="Arial"/>
          <w:sz w:val="16"/>
          <w:szCs w:val="16"/>
        </w:rPr>
        <w:t xml:space="preserve"> str. 1</w:t>
      </w:r>
    </w:p>
  </w:footnote>
  <w:footnote w:id="6">
    <w:p w14:paraId="5CAD7381" w14:textId="6CCCF093" w:rsidR="00086C07" w:rsidRPr="00027850" w:rsidRDefault="00086C07" w:rsidP="008E75BC">
      <w:pPr>
        <w:pStyle w:val="Tekstprzypisudolnego"/>
        <w:ind w:left="142" w:hanging="142"/>
        <w:jc w:val="both"/>
        <w:rPr>
          <w:rFonts w:ascii="Arial" w:hAnsi="Arial" w:cs="Arial"/>
          <w:sz w:val="16"/>
          <w:szCs w:val="16"/>
        </w:rPr>
      </w:pPr>
      <w:r>
        <w:rPr>
          <w:rStyle w:val="Odwoanieprzypisudolnego"/>
        </w:rPr>
        <w:footnoteRef/>
      </w:r>
      <w:r>
        <w:t xml:space="preserve"> </w:t>
      </w:r>
      <w:r w:rsidRPr="00027850">
        <w:rPr>
          <w:rFonts w:ascii="Arial" w:hAnsi="Arial" w:cs="Arial"/>
          <w:sz w:val="16"/>
          <w:szCs w:val="16"/>
        </w:rPr>
        <w:t>Dyrektywa 2004/18/WE Parlamentu Europejskiego i Rady z dnia 31 marca 2004 r. w sprawie koordynacji procedur udzielania zamówień publicznych na roboty budowlane, dostawy i usługi (Urz. UE L 134 z 30.4.2004, s. 114)</w:t>
      </w:r>
    </w:p>
  </w:footnote>
  <w:footnote w:id="7">
    <w:p w14:paraId="689C36A6" w14:textId="3C4D4764" w:rsidR="00803B29" w:rsidRPr="00027850" w:rsidRDefault="00803B29" w:rsidP="008E75BC">
      <w:pPr>
        <w:shd w:val="clear" w:color="auto" w:fill="FFFFFF"/>
        <w:spacing w:after="0" w:line="240" w:lineRule="auto"/>
        <w:ind w:left="142" w:hanging="142"/>
        <w:jc w:val="both"/>
        <w:rPr>
          <w:rFonts w:ascii="Arial" w:hAnsi="Arial" w:cs="Arial"/>
          <w:sz w:val="16"/>
          <w:szCs w:val="16"/>
        </w:rPr>
      </w:pPr>
      <w:r w:rsidRPr="00027850">
        <w:rPr>
          <w:rStyle w:val="Odwoanieprzypisudolnego"/>
          <w:rFonts w:ascii="Arial" w:hAnsi="Arial" w:cs="Arial"/>
          <w:sz w:val="16"/>
          <w:szCs w:val="16"/>
        </w:rPr>
        <w:footnoteRef/>
      </w:r>
      <w:r w:rsidRPr="00027850">
        <w:rPr>
          <w:rFonts w:ascii="Arial" w:hAnsi="Arial" w:cs="Arial"/>
          <w:sz w:val="16"/>
          <w:szCs w:val="16"/>
        </w:rPr>
        <w:t xml:space="preserve"> </w:t>
      </w:r>
      <w:r w:rsidR="00C32965" w:rsidRPr="00027850">
        <w:rPr>
          <w:rFonts w:ascii="Arial" w:eastAsia="Times New Roman" w:hAnsi="Arial" w:cs="Arial"/>
          <w:b/>
          <w:bCs/>
          <w:color w:val="212529"/>
          <w:sz w:val="16"/>
          <w:szCs w:val="16"/>
          <w:lang w:eastAsia="pl-PL"/>
        </w:rPr>
        <w:t>Artykuł  14</w:t>
      </w:r>
      <w:r w:rsidR="00C32965" w:rsidRPr="00027850">
        <w:rPr>
          <w:rFonts w:ascii="Arial" w:eastAsia="Times New Roman" w:hAnsi="Arial" w:cs="Arial"/>
          <w:color w:val="212529"/>
          <w:sz w:val="16"/>
          <w:szCs w:val="16"/>
          <w:lang w:eastAsia="pl-PL"/>
        </w:rPr>
        <w:t xml:space="preserve"> - </w:t>
      </w:r>
      <w:r w:rsidR="00C32965" w:rsidRPr="00027850">
        <w:rPr>
          <w:rFonts w:ascii="Arial" w:eastAsia="Times New Roman" w:hAnsi="Arial" w:cs="Arial"/>
          <w:b/>
          <w:bCs/>
          <w:color w:val="212529"/>
          <w:sz w:val="16"/>
          <w:szCs w:val="16"/>
          <w:lang w:eastAsia="pl-PL"/>
        </w:rPr>
        <w:t xml:space="preserve">Zamówienia tajne oraz zamówienia wymagające zastosowania szczególnych środków bezpieczeństwa: </w:t>
      </w:r>
      <w:r w:rsidR="00C32965" w:rsidRPr="00027850">
        <w:rPr>
          <w:rFonts w:ascii="Arial" w:eastAsia="Times New Roman" w:hAnsi="Arial" w:cs="Arial"/>
          <w:color w:val="212529"/>
          <w:sz w:val="16"/>
          <w:szCs w:val="16"/>
          <w:lang w:eastAsia="pl-PL"/>
        </w:rPr>
        <w:t>„Niniejsza dyrektywa nie ma zastosowania do zamówień publicznych określonych jako tajne, jeżeli ich realizacji muszą towarzyszyć szczególne środki bezpieczeństwa zgodnie z przepisami ustawowymi, wykonawczymi i administracyjnymi obowiązującymi w danym Państwie Członkowskim, albo jeżeli wymaga tego ochrona podstawowych interesów tego państwa.”</w:t>
      </w:r>
    </w:p>
  </w:footnote>
  <w:footnote w:id="8">
    <w:p w14:paraId="256E165B" w14:textId="7BB89DCB" w:rsidR="00086C07" w:rsidRPr="00027850" w:rsidRDefault="00086C07" w:rsidP="008E75BC">
      <w:pPr>
        <w:pStyle w:val="Tekstprzypisudolnego"/>
        <w:ind w:left="142" w:hanging="142"/>
        <w:jc w:val="both"/>
        <w:rPr>
          <w:rFonts w:ascii="Arial" w:hAnsi="Arial" w:cs="Arial"/>
          <w:sz w:val="16"/>
          <w:szCs w:val="16"/>
        </w:rPr>
      </w:pPr>
      <w:r w:rsidRPr="00027850">
        <w:rPr>
          <w:rStyle w:val="Odwoanieprzypisudolnego"/>
          <w:rFonts w:ascii="Arial" w:hAnsi="Arial" w:cs="Arial"/>
          <w:sz w:val="16"/>
          <w:szCs w:val="16"/>
        </w:rPr>
        <w:footnoteRef/>
      </w:r>
      <w:r w:rsidRPr="00027850">
        <w:rPr>
          <w:rFonts w:ascii="Arial" w:hAnsi="Arial" w:cs="Arial"/>
          <w:sz w:val="16"/>
          <w:szCs w:val="16"/>
        </w:rPr>
        <w:t xml:space="preserve"> Dyrektywa 2004/17/WE Parlamentu Europejskiego i Rady z dnia 31 marca 2004 r. koordynująca procedury udzielania zamówień przez podmioty działające w sektorach gospodarki wodnej, energetyki, transportu i usług pocztowych (Dz. Urz. UE L 134 z 30.4.2004, s. 1)</w:t>
      </w:r>
    </w:p>
  </w:footnote>
  <w:footnote w:id="9">
    <w:p w14:paraId="4004979A" w14:textId="10C4029C" w:rsidR="003F77E2" w:rsidRPr="00027850" w:rsidRDefault="003F77E2" w:rsidP="008E75BC">
      <w:pPr>
        <w:pStyle w:val="Tekstprzypisudolnego"/>
        <w:ind w:left="142" w:hanging="142"/>
        <w:jc w:val="both"/>
        <w:rPr>
          <w:rFonts w:ascii="Arial" w:hAnsi="Arial" w:cs="Arial"/>
          <w:sz w:val="16"/>
          <w:szCs w:val="16"/>
        </w:rPr>
      </w:pPr>
      <w:r w:rsidRPr="00027850">
        <w:rPr>
          <w:rStyle w:val="Odwoanieprzypisudolnego"/>
          <w:rFonts w:ascii="Arial" w:hAnsi="Arial" w:cs="Arial"/>
          <w:sz w:val="16"/>
          <w:szCs w:val="16"/>
        </w:rPr>
        <w:footnoteRef/>
      </w:r>
      <w:r w:rsidRPr="00027850">
        <w:rPr>
          <w:rFonts w:ascii="Arial" w:hAnsi="Arial" w:cs="Arial"/>
          <w:sz w:val="16"/>
          <w:szCs w:val="16"/>
        </w:rPr>
        <w:t xml:space="preserve"> </w:t>
      </w:r>
      <w:r w:rsidR="00C32965" w:rsidRPr="00027850">
        <w:rPr>
          <w:rFonts w:ascii="Arial" w:hAnsi="Arial" w:cs="Arial"/>
          <w:b/>
          <w:bCs/>
          <w:sz w:val="16"/>
          <w:szCs w:val="16"/>
        </w:rPr>
        <w:t>Artykuł 21 - Zamówienia tajne lub zamówienia wymagające szczególnych środków bezpieczeństwa:</w:t>
      </w:r>
      <w:r w:rsidR="00C32965" w:rsidRPr="00027850">
        <w:rPr>
          <w:rFonts w:ascii="Arial" w:hAnsi="Arial" w:cs="Arial"/>
          <w:sz w:val="16"/>
          <w:szCs w:val="16"/>
        </w:rPr>
        <w:t xml:space="preserve"> „Niniejsza dyrektywa nie ma zastosowania do zamówień, określonych jako tajne przez Państwo Członkowskie, jeżeli ich realizacji muszą towarzyszyć szczególne środki bezpieczeństwa, zgodnie z przepisami ustawowymi, wykonawczymi i administracyjnymi obowiązującymi w danym Państwie Członkowskim, lub jeżeli wymaga tego ochrona podstawowych interesów bezpieczeństwa Państwa Członkowskiego”</w:t>
      </w:r>
    </w:p>
  </w:footnote>
  <w:footnote w:id="10">
    <w:p w14:paraId="1ADB604A" w14:textId="3502E21C" w:rsidR="008F1695" w:rsidRPr="00027850" w:rsidRDefault="008F1695" w:rsidP="008E75BC">
      <w:pPr>
        <w:pStyle w:val="Tekstprzypisudolnego"/>
        <w:ind w:left="142" w:hanging="142"/>
        <w:jc w:val="both"/>
        <w:rPr>
          <w:rFonts w:ascii="Arial" w:hAnsi="Arial" w:cs="Arial"/>
          <w:sz w:val="16"/>
          <w:szCs w:val="16"/>
        </w:rPr>
      </w:pPr>
      <w:r w:rsidRPr="00027850">
        <w:rPr>
          <w:rStyle w:val="Odwoanieprzypisudolnego"/>
          <w:rFonts w:ascii="Arial" w:hAnsi="Arial" w:cs="Arial"/>
          <w:sz w:val="16"/>
          <w:szCs w:val="16"/>
        </w:rPr>
        <w:footnoteRef/>
      </w:r>
      <w:r w:rsidRPr="00027850">
        <w:rPr>
          <w:rFonts w:ascii="Arial" w:hAnsi="Arial" w:cs="Arial"/>
          <w:sz w:val="16"/>
          <w:szCs w:val="16"/>
        </w:rPr>
        <w:t xml:space="preserve"> Dyrektywa Parlamentu Europejskiego i Rady 2009/81/WE z dnia 13 lipca 2009 r. w sprawie koordynacji procedur udzielania niektórych zamówień na roboty budowlane, dostawy i usługi przez instytucje lub podmioty zamawiające w dziedzinach obronności i bezpieczeństwa i zmieniającą dyrektywy 2004/17/WE i 2004/18/WE (Dz. Urz. UE L 216 z 20.08.2009, str. 76)</w:t>
      </w:r>
    </w:p>
  </w:footnote>
  <w:footnote w:id="11">
    <w:p w14:paraId="13D68010" w14:textId="4F1A47D3" w:rsidR="00A40E46" w:rsidRPr="00027850" w:rsidRDefault="00A40E46" w:rsidP="008E75BC">
      <w:pPr>
        <w:pStyle w:val="Tekstprzypisudolnego"/>
        <w:ind w:left="142" w:hanging="142"/>
        <w:rPr>
          <w:rFonts w:ascii="Arial" w:hAnsi="Arial" w:cs="Arial"/>
          <w:sz w:val="16"/>
          <w:szCs w:val="16"/>
        </w:rPr>
      </w:pPr>
      <w:r w:rsidRPr="00027850">
        <w:rPr>
          <w:rStyle w:val="Odwoanieprzypisudolnego"/>
          <w:rFonts w:ascii="Arial" w:hAnsi="Arial" w:cs="Arial"/>
          <w:sz w:val="16"/>
          <w:szCs w:val="16"/>
        </w:rPr>
        <w:footnoteRef/>
      </w:r>
      <w:r w:rsidRPr="00027850">
        <w:rPr>
          <w:rFonts w:ascii="Arial" w:hAnsi="Arial" w:cs="Arial"/>
          <w:sz w:val="16"/>
          <w:szCs w:val="16"/>
        </w:rPr>
        <w:t xml:space="preserve"> Nota wyjaśniająca Komisji Europejskiej dotycząca zakresu stosowania dyrektywy obronnej, (w:) Zamówienia w dziedzinie obronności i bezpieczeństwa, Wydawni</w:t>
      </w:r>
      <w:r w:rsidR="008E75BC" w:rsidRPr="00027850">
        <w:rPr>
          <w:rFonts w:ascii="Arial" w:hAnsi="Arial" w:cs="Arial"/>
          <w:sz w:val="16"/>
          <w:szCs w:val="16"/>
        </w:rPr>
        <w:t>ctwo UZP, Warszawa 2011, s. 113</w:t>
      </w:r>
    </w:p>
  </w:footnote>
  <w:footnote w:id="12">
    <w:p w14:paraId="6DEDCBB8" w14:textId="4604FFCE" w:rsidR="00915941" w:rsidRPr="00740B40" w:rsidRDefault="00915941">
      <w:pPr>
        <w:pStyle w:val="Tekstprzypisudolnego"/>
        <w:rPr>
          <w:rFonts w:ascii="Arial" w:hAnsi="Arial" w:cs="Arial"/>
          <w:sz w:val="16"/>
          <w:szCs w:val="16"/>
        </w:rPr>
      </w:pPr>
      <w:r>
        <w:rPr>
          <w:rStyle w:val="Odwoanieprzypisudolnego"/>
        </w:rPr>
        <w:footnoteRef/>
      </w:r>
      <w:r>
        <w:t xml:space="preserve"> </w:t>
      </w:r>
      <w:r w:rsidRPr="00740B40">
        <w:rPr>
          <w:rFonts w:ascii="Arial" w:hAnsi="Arial" w:cs="Arial"/>
          <w:sz w:val="16"/>
          <w:szCs w:val="16"/>
        </w:rPr>
        <w:t>Dz. U. z 2023 r. poz. 756 z późn. zm.</w:t>
      </w:r>
    </w:p>
  </w:footnote>
  <w:footnote w:id="13">
    <w:p w14:paraId="67966648" w14:textId="10F2345A" w:rsidR="00941DB7" w:rsidRPr="00740B40" w:rsidRDefault="00941DB7">
      <w:pPr>
        <w:pStyle w:val="Tekstprzypisudolnego"/>
        <w:rPr>
          <w:rFonts w:ascii="Arial" w:hAnsi="Arial" w:cs="Arial"/>
          <w:sz w:val="16"/>
          <w:szCs w:val="16"/>
        </w:rPr>
      </w:pPr>
      <w:r w:rsidRPr="00740B40">
        <w:rPr>
          <w:rStyle w:val="Odwoanieprzypisudolnego"/>
          <w:rFonts w:ascii="Arial" w:hAnsi="Arial" w:cs="Arial"/>
          <w:sz w:val="16"/>
          <w:szCs w:val="16"/>
        </w:rPr>
        <w:footnoteRef/>
      </w:r>
      <w:r w:rsidRPr="00740B40">
        <w:rPr>
          <w:rFonts w:ascii="Arial" w:hAnsi="Arial" w:cs="Arial"/>
          <w:sz w:val="16"/>
          <w:szCs w:val="16"/>
        </w:rPr>
        <w:t xml:space="preserve"> Dz.U. z 2023 r. poz. 1752 z późn. zm.</w:t>
      </w:r>
    </w:p>
  </w:footnote>
  <w:footnote w:id="14">
    <w:p w14:paraId="634FE647" w14:textId="77777777" w:rsidR="006D5A50" w:rsidRPr="007B5E54" w:rsidRDefault="006D5A50" w:rsidP="00740B40">
      <w:pPr>
        <w:pStyle w:val="Tekstprzypisudolnego"/>
        <w:ind w:left="142" w:hanging="142"/>
        <w:jc w:val="both"/>
        <w:rPr>
          <w:rFonts w:ascii="Arial" w:hAnsi="Arial" w:cs="Arial"/>
          <w:sz w:val="16"/>
          <w:szCs w:val="16"/>
        </w:rPr>
      </w:pPr>
      <w:r w:rsidRPr="007B5E54">
        <w:rPr>
          <w:rStyle w:val="Odwoanieprzypisudolnego"/>
          <w:rFonts w:ascii="Arial" w:hAnsi="Arial" w:cs="Arial"/>
          <w:sz w:val="16"/>
          <w:szCs w:val="16"/>
        </w:rPr>
        <w:footnoteRef/>
      </w:r>
      <w:r w:rsidRPr="007B5E54">
        <w:rPr>
          <w:rFonts w:ascii="Arial" w:hAnsi="Arial" w:cs="Arial"/>
          <w:sz w:val="16"/>
          <w:szCs w:val="16"/>
        </w:rPr>
        <w:t xml:space="preserve"> Por. Nota wyjaśniająca Komisji Europejskiej dotycząca zakresu zastosowania dyrektywy 2009/81/WE (</w:t>
      </w:r>
      <w:proofErr w:type="spellStart"/>
      <w:r w:rsidRPr="007B5E54">
        <w:rPr>
          <w:rFonts w:ascii="Arial" w:hAnsi="Arial" w:cs="Arial"/>
          <w:i/>
          <w:iCs/>
          <w:sz w:val="16"/>
          <w:szCs w:val="16"/>
        </w:rPr>
        <w:t>Guidance</w:t>
      </w:r>
      <w:proofErr w:type="spellEnd"/>
      <w:r w:rsidRPr="007B5E54">
        <w:rPr>
          <w:rFonts w:ascii="Arial" w:hAnsi="Arial" w:cs="Arial"/>
          <w:i/>
          <w:iCs/>
          <w:sz w:val="16"/>
          <w:szCs w:val="16"/>
        </w:rPr>
        <w:t xml:space="preserve"> </w:t>
      </w:r>
      <w:proofErr w:type="spellStart"/>
      <w:r w:rsidRPr="007B5E54">
        <w:rPr>
          <w:rFonts w:ascii="Arial" w:hAnsi="Arial" w:cs="Arial"/>
          <w:i/>
          <w:iCs/>
          <w:sz w:val="16"/>
          <w:szCs w:val="16"/>
        </w:rPr>
        <w:t>Note</w:t>
      </w:r>
      <w:proofErr w:type="spellEnd"/>
      <w:r w:rsidRPr="007B5E54">
        <w:rPr>
          <w:rFonts w:ascii="Arial" w:hAnsi="Arial" w:cs="Arial"/>
          <w:i/>
          <w:iCs/>
          <w:sz w:val="16"/>
          <w:szCs w:val="16"/>
        </w:rPr>
        <w:t xml:space="preserve"> – Field of </w:t>
      </w:r>
      <w:proofErr w:type="spellStart"/>
      <w:r w:rsidRPr="007B5E54">
        <w:rPr>
          <w:rFonts w:ascii="Arial" w:hAnsi="Arial" w:cs="Arial"/>
          <w:i/>
          <w:iCs/>
          <w:sz w:val="16"/>
          <w:szCs w:val="16"/>
        </w:rPr>
        <w:t>application</w:t>
      </w:r>
      <w:proofErr w:type="spellEnd"/>
      <w:r w:rsidRPr="007B5E54">
        <w:rPr>
          <w:rFonts w:ascii="Arial" w:hAnsi="Arial" w:cs="Arial"/>
          <w:i/>
          <w:iCs/>
          <w:sz w:val="16"/>
          <w:szCs w:val="16"/>
        </w:rPr>
        <w:t>)</w:t>
      </w:r>
      <w:r w:rsidRPr="007B5E54">
        <w:rPr>
          <w:rFonts w:ascii="Arial" w:hAnsi="Arial" w:cs="Arial"/>
          <w:sz w:val="16"/>
          <w:szCs w:val="16"/>
        </w:rPr>
        <w:t xml:space="preserve"> dostępna pod adresem </w:t>
      </w:r>
      <w:hyperlink r:id="rId3" w:history="1">
        <w:r w:rsidRPr="007B5E54">
          <w:rPr>
            <w:rStyle w:val="Hipercze"/>
            <w:rFonts w:ascii="Arial" w:hAnsi="Arial" w:cs="Arial"/>
            <w:sz w:val="16"/>
            <w:szCs w:val="16"/>
          </w:rPr>
          <w:t>https://ec.europa.eu/growth/single-market/public-procurement/rules-implementation/defence_pl</w:t>
        </w:r>
      </w:hyperlink>
      <w:r w:rsidRPr="007B5E54">
        <w:rPr>
          <w:rFonts w:ascii="Arial" w:hAnsi="Arial" w:cs="Arial"/>
          <w:sz w:val="16"/>
          <w:szCs w:val="16"/>
        </w:rPr>
        <w:t xml:space="preserve">; także </w:t>
      </w:r>
      <w:r w:rsidRPr="007B5E54">
        <w:rPr>
          <w:rFonts w:ascii="Arial" w:hAnsi="Arial" w:cs="Arial"/>
          <w:i/>
          <w:iCs/>
          <w:sz w:val="16"/>
          <w:szCs w:val="16"/>
        </w:rPr>
        <w:t>Zamówienia w dziedzinach obronności i  bezpieczeństwa</w:t>
      </w:r>
      <w:r w:rsidRPr="007B5E54">
        <w:rPr>
          <w:rFonts w:ascii="Arial" w:hAnsi="Arial" w:cs="Arial"/>
          <w:sz w:val="16"/>
          <w:szCs w:val="16"/>
        </w:rPr>
        <w:t>, Urząd Zamówień Publicznych, Warszawa 2011 r., s. 113 i nast.</w:t>
      </w:r>
    </w:p>
  </w:footnote>
  <w:footnote w:id="15">
    <w:p w14:paraId="01ADC18B" w14:textId="1A69B0B4" w:rsidR="006D5A50" w:rsidRPr="00161AEF" w:rsidRDefault="006D5A50" w:rsidP="00740B40">
      <w:pPr>
        <w:pStyle w:val="Default"/>
        <w:ind w:left="142" w:hanging="142"/>
        <w:rPr>
          <w:sz w:val="16"/>
          <w:szCs w:val="16"/>
        </w:rPr>
      </w:pPr>
      <w:r w:rsidRPr="00B601D6">
        <w:rPr>
          <w:rStyle w:val="Odwoanieprzypisudolnego"/>
          <w:rFonts w:ascii="Arial" w:hAnsi="Arial" w:cs="Arial"/>
          <w:sz w:val="16"/>
          <w:szCs w:val="16"/>
        </w:rPr>
        <w:footnoteRef/>
      </w:r>
      <w:r w:rsidRPr="00161AEF">
        <w:rPr>
          <w:rFonts w:ascii="Times New Roman" w:hAnsi="Times New Roman" w:cs="Times New Roman"/>
          <w:color w:val="211D1E"/>
          <w:sz w:val="16"/>
          <w:szCs w:val="16"/>
        </w:rPr>
        <w:t xml:space="preserve"> </w:t>
      </w:r>
      <w:r w:rsidRPr="003E275D">
        <w:rPr>
          <w:rFonts w:ascii="Arial" w:hAnsi="Arial" w:cs="Arial"/>
          <w:color w:val="211D1E"/>
          <w:sz w:val="16"/>
          <w:szCs w:val="16"/>
        </w:rPr>
        <w:t>Decyzja w sprawie ustalenia listy produktów (broń, amunicja i materiały wojenne), do których odnoszą się przepisy art. 223 ust. 1 lit. b)— obecnie art. 296 ust. 1 lit. b) — Traktatu (dok. 255/58). Protokół z d</w:t>
      </w:r>
      <w:r w:rsidRPr="00161AEF">
        <w:rPr>
          <w:rFonts w:ascii="Times New Roman" w:hAnsi="Times New Roman" w:cs="Times New Roman"/>
          <w:color w:val="211D1E"/>
          <w:sz w:val="16"/>
          <w:szCs w:val="16"/>
        </w:rPr>
        <w:t xml:space="preserve">nia 15 kwietnia 1958 r.: dok. 368/58 </w:t>
      </w:r>
      <w:r w:rsidRPr="00161AEF">
        <w:rPr>
          <w:sz w:val="16"/>
          <w:szCs w:val="16"/>
        </w:rPr>
        <w:t xml:space="preserve"> </w:t>
      </w:r>
    </w:p>
  </w:footnote>
  <w:footnote w:id="16">
    <w:p w14:paraId="606DAC5A" w14:textId="694C0981" w:rsidR="002533D2" w:rsidRDefault="002533D2" w:rsidP="00740B40">
      <w:pPr>
        <w:pStyle w:val="Tekstprzypisudolnego"/>
        <w:ind w:left="142" w:hanging="142"/>
      </w:pPr>
      <w:r>
        <w:rPr>
          <w:rStyle w:val="Odwoanieprzypisudolnego"/>
        </w:rPr>
        <w:footnoteRef/>
      </w:r>
      <w:r>
        <w:t xml:space="preserve"> </w:t>
      </w:r>
      <w:r w:rsidRPr="002533D2">
        <w:rPr>
          <w:rFonts w:ascii="Arial" w:hAnsi="Arial" w:cs="Arial"/>
          <w:sz w:val="16"/>
          <w:szCs w:val="16"/>
        </w:rPr>
        <w:t>Dz.</w:t>
      </w:r>
      <w:r w:rsidR="003E275D">
        <w:rPr>
          <w:rFonts w:ascii="Arial" w:hAnsi="Arial" w:cs="Arial"/>
          <w:sz w:val="16"/>
          <w:szCs w:val="16"/>
        </w:rPr>
        <w:t xml:space="preserve"> </w:t>
      </w:r>
      <w:r w:rsidRPr="002533D2">
        <w:rPr>
          <w:rFonts w:ascii="Arial" w:hAnsi="Arial" w:cs="Arial"/>
          <w:sz w:val="16"/>
          <w:szCs w:val="16"/>
        </w:rPr>
        <w:t>Urz. UE C 100 z 1.3.2022 str. 3</w:t>
      </w:r>
    </w:p>
  </w:footnote>
  <w:footnote w:id="17">
    <w:p w14:paraId="42433DE3" w14:textId="379C90C4" w:rsidR="00C40F65" w:rsidRPr="00C40F65" w:rsidRDefault="00C40F65" w:rsidP="00740B40">
      <w:pPr>
        <w:tabs>
          <w:tab w:val="left" w:pos="360"/>
        </w:tabs>
        <w:spacing w:after="0" w:line="240" w:lineRule="auto"/>
        <w:ind w:left="142" w:hanging="142"/>
        <w:jc w:val="both"/>
        <w:rPr>
          <w:rFonts w:ascii="Arial" w:hAnsi="Arial" w:cs="Arial"/>
          <w:sz w:val="16"/>
          <w:szCs w:val="16"/>
        </w:rPr>
      </w:pPr>
      <w:r>
        <w:rPr>
          <w:rStyle w:val="Odwoanieprzypisudolnego"/>
        </w:rPr>
        <w:footnoteRef/>
      </w:r>
      <w:r>
        <w:t xml:space="preserve"> </w:t>
      </w:r>
      <w:r w:rsidR="00FD40F4" w:rsidRPr="00FD40F4">
        <w:rPr>
          <w:rFonts w:ascii="Arial" w:hAnsi="Arial" w:cs="Arial"/>
          <w:sz w:val="16"/>
          <w:szCs w:val="16"/>
        </w:rPr>
        <w:t>Jak wynika z orzecznictwa Trybunału Sprawiedliwości Unii Europejskiej</w:t>
      </w:r>
      <w:r w:rsidR="00FD40F4">
        <w:t xml:space="preserve"> </w:t>
      </w:r>
      <w:r w:rsidRPr="00C40F65">
        <w:rPr>
          <w:rFonts w:ascii="Arial" w:hAnsi="Arial" w:cs="Arial"/>
          <w:sz w:val="16"/>
          <w:szCs w:val="16"/>
        </w:rPr>
        <w:t xml:space="preserve">stosowanie odstępstw od norm mających zapewnić skuteczność praw przyznanych przez Traktat, musi podlegać ocenie pod kątem zgodności z zasadą proporcjonalności (orzeczenie ETS z dnia 20 maja 1976 r. w sprawie 104/75 </w:t>
      </w:r>
      <w:proofErr w:type="spellStart"/>
      <w:r w:rsidRPr="00C40F65">
        <w:rPr>
          <w:rFonts w:ascii="Arial" w:hAnsi="Arial" w:cs="Arial"/>
          <w:sz w:val="16"/>
          <w:szCs w:val="16"/>
        </w:rPr>
        <w:t>Adriaan</w:t>
      </w:r>
      <w:proofErr w:type="spellEnd"/>
      <w:r w:rsidRPr="00C40F65">
        <w:rPr>
          <w:rFonts w:ascii="Arial" w:hAnsi="Arial" w:cs="Arial"/>
          <w:sz w:val="16"/>
          <w:szCs w:val="16"/>
        </w:rPr>
        <w:t xml:space="preserve"> de Peiper, Zb. Orz. 1976, str. 613, pkt 17).</w:t>
      </w:r>
    </w:p>
    <w:p w14:paraId="10412018" w14:textId="28A9FF4A" w:rsidR="00C40F65" w:rsidRDefault="00C40F65" w:rsidP="00740B40">
      <w:pPr>
        <w:pStyle w:val="Tekstprzypisudolnego"/>
        <w:ind w:left="142"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8791" w14:textId="77777777" w:rsidR="000309AE" w:rsidRDefault="002961F3" w:rsidP="000309AE">
    <w:pPr>
      <w:pStyle w:val="Nagwek"/>
      <w:tabs>
        <w:tab w:val="clear" w:pos="4536"/>
        <w:tab w:val="clear" w:pos="9072"/>
      </w:tabs>
    </w:pPr>
    <w:r>
      <w:rPr>
        <w:noProof/>
        <w:lang w:eastAsia="pl-PL"/>
      </w:rPr>
      <w:drawing>
        <wp:anchor distT="0" distB="0" distL="114300" distR="114300" simplePos="0" relativeHeight="251657728" behindDoc="0" locked="0" layoutInCell="1" allowOverlap="1" wp14:anchorId="411FDF19" wp14:editId="7EBEA0B7">
          <wp:simplePos x="0" y="0"/>
          <wp:positionH relativeFrom="page">
            <wp:posOffset>361950</wp:posOffset>
          </wp:positionH>
          <wp:positionV relativeFrom="page">
            <wp:posOffset>105410</wp:posOffset>
          </wp:positionV>
          <wp:extent cx="6861810" cy="1204595"/>
          <wp:effectExtent l="0" t="0" r="0" b="0"/>
          <wp:wrapNone/>
          <wp:docPr id="1"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81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BB8"/>
    <w:multiLevelType w:val="hybridMultilevel"/>
    <w:tmpl w:val="7A663ABC"/>
    <w:lvl w:ilvl="0" w:tplc="60506EC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B8390F"/>
    <w:multiLevelType w:val="hybridMultilevel"/>
    <w:tmpl w:val="CB343E0A"/>
    <w:lvl w:ilvl="0" w:tplc="8A323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D08D3"/>
    <w:multiLevelType w:val="hybridMultilevel"/>
    <w:tmpl w:val="27484CC4"/>
    <w:lvl w:ilvl="0" w:tplc="60506E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DE3729"/>
    <w:multiLevelType w:val="hybridMultilevel"/>
    <w:tmpl w:val="0E48487E"/>
    <w:lvl w:ilvl="0" w:tplc="BA7A61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2225B2"/>
    <w:multiLevelType w:val="hybridMultilevel"/>
    <w:tmpl w:val="6DD86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DC5DD4"/>
    <w:multiLevelType w:val="hybridMultilevel"/>
    <w:tmpl w:val="A12466AE"/>
    <w:lvl w:ilvl="0" w:tplc="60506E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7713F6"/>
    <w:multiLevelType w:val="hybridMultilevel"/>
    <w:tmpl w:val="E328FBA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5F976CB4"/>
    <w:multiLevelType w:val="hybridMultilevel"/>
    <w:tmpl w:val="20E40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4A2D12"/>
    <w:multiLevelType w:val="hybridMultilevel"/>
    <w:tmpl w:val="C540C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544AC6"/>
    <w:multiLevelType w:val="hybridMultilevel"/>
    <w:tmpl w:val="6D605CC4"/>
    <w:lvl w:ilvl="0" w:tplc="60506E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5D2069"/>
    <w:multiLevelType w:val="hybridMultilevel"/>
    <w:tmpl w:val="553A2A3A"/>
    <w:lvl w:ilvl="0" w:tplc="EEB068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9046929">
    <w:abstractNumId w:val="10"/>
  </w:num>
  <w:num w:numId="2" w16cid:durableId="680742707">
    <w:abstractNumId w:val="1"/>
  </w:num>
  <w:num w:numId="3" w16cid:durableId="1254778387">
    <w:abstractNumId w:val="7"/>
  </w:num>
  <w:num w:numId="4" w16cid:durableId="1594046239">
    <w:abstractNumId w:val="5"/>
  </w:num>
  <w:num w:numId="5" w16cid:durableId="327635798">
    <w:abstractNumId w:val="6"/>
  </w:num>
  <w:num w:numId="6" w16cid:durableId="1927884933">
    <w:abstractNumId w:val="0"/>
  </w:num>
  <w:num w:numId="7" w16cid:durableId="556941290">
    <w:abstractNumId w:val="9"/>
  </w:num>
  <w:num w:numId="8" w16cid:durableId="22439482">
    <w:abstractNumId w:val="2"/>
  </w:num>
  <w:num w:numId="9" w16cid:durableId="1134644302">
    <w:abstractNumId w:val="8"/>
  </w:num>
  <w:num w:numId="10" w16cid:durableId="224877119">
    <w:abstractNumId w:val="4"/>
  </w:num>
  <w:num w:numId="11" w16cid:durableId="1979722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AE"/>
    <w:rsid w:val="000030A8"/>
    <w:rsid w:val="000032C5"/>
    <w:rsid w:val="00004DE6"/>
    <w:rsid w:val="0000501B"/>
    <w:rsid w:val="00014A88"/>
    <w:rsid w:val="0002042E"/>
    <w:rsid w:val="0002656A"/>
    <w:rsid w:val="00027850"/>
    <w:rsid w:val="000309AE"/>
    <w:rsid w:val="000349FF"/>
    <w:rsid w:val="0003551B"/>
    <w:rsid w:val="00035701"/>
    <w:rsid w:val="0003609D"/>
    <w:rsid w:val="00037B80"/>
    <w:rsid w:val="000442F7"/>
    <w:rsid w:val="0005530B"/>
    <w:rsid w:val="00055B1C"/>
    <w:rsid w:val="00055EB3"/>
    <w:rsid w:val="000562E8"/>
    <w:rsid w:val="00056506"/>
    <w:rsid w:val="00077A40"/>
    <w:rsid w:val="00077E13"/>
    <w:rsid w:val="00083C9C"/>
    <w:rsid w:val="0008564A"/>
    <w:rsid w:val="00086C07"/>
    <w:rsid w:val="00091078"/>
    <w:rsid w:val="000915C3"/>
    <w:rsid w:val="0009164E"/>
    <w:rsid w:val="00092E8D"/>
    <w:rsid w:val="00092F1E"/>
    <w:rsid w:val="00093F3C"/>
    <w:rsid w:val="00094C13"/>
    <w:rsid w:val="00095C8D"/>
    <w:rsid w:val="000A64E1"/>
    <w:rsid w:val="000A66B4"/>
    <w:rsid w:val="000B47E2"/>
    <w:rsid w:val="000C71A1"/>
    <w:rsid w:val="000D0282"/>
    <w:rsid w:val="000D5DE0"/>
    <w:rsid w:val="000D72CB"/>
    <w:rsid w:val="000F7B58"/>
    <w:rsid w:val="0010076E"/>
    <w:rsid w:val="00103BA8"/>
    <w:rsid w:val="001071FD"/>
    <w:rsid w:val="00107F5C"/>
    <w:rsid w:val="00121ADD"/>
    <w:rsid w:val="00121D85"/>
    <w:rsid w:val="00122721"/>
    <w:rsid w:val="00122FA8"/>
    <w:rsid w:val="00125134"/>
    <w:rsid w:val="001251E6"/>
    <w:rsid w:val="0012710F"/>
    <w:rsid w:val="00132C5D"/>
    <w:rsid w:val="001353C6"/>
    <w:rsid w:val="00135781"/>
    <w:rsid w:val="00137FB4"/>
    <w:rsid w:val="00141C26"/>
    <w:rsid w:val="00142968"/>
    <w:rsid w:val="00142F0D"/>
    <w:rsid w:val="00145285"/>
    <w:rsid w:val="0015484B"/>
    <w:rsid w:val="001573D0"/>
    <w:rsid w:val="001615CC"/>
    <w:rsid w:val="0016623E"/>
    <w:rsid w:val="00172CD4"/>
    <w:rsid w:val="00176BAC"/>
    <w:rsid w:val="001833E8"/>
    <w:rsid w:val="00184FBF"/>
    <w:rsid w:val="00195827"/>
    <w:rsid w:val="001A0136"/>
    <w:rsid w:val="001A49F1"/>
    <w:rsid w:val="001B53B3"/>
    <w:rsid w:val="001B5A2A"/>
    <w:rsid w:val="001C2C63"/>
    <w:rsid w:val="001C3586"/>
    <w:rsid w:val="001C49D6"/>
    <w:rsid w:val="001C64B7"/>
    <w:rsid w:val="001C7157"/>
    <w:rsid w:val="001D3559"/>
    <w:rsid w:val="001D4013"/>
    <w:rsid w:val="001D4043"/>
    <w:rsid w:val="001E164F"/>
    <w:rsid w:val="001E782D"/>
    <w:rsid w:val="001F161D"/>
    <w:rsid w:val="00200BA6"/>
    <w:rsid w:val="0020460B"/>
    <w:rsid w:val="00204F57"/>
    <w:rsid w:val="00205475"/>
    <w:rsid w:val="00211F18"/>
    <w:rsid w:val="00212754"/>
    <w:rsid w:val="002174E4"/>
    <w:rsid w:val="00224D8D"/>
    <w:rsid w:val="00225D25"/>
    <w:rsid w:val="00230E5A"/>
    <w:rsid w:val="00240446"/>
    <w:rsid w:val="00240A25"/>
    <w:rsid w:val="002449CE"/>
    <w:rsid w:val="0024552C"/>
    <w:rsid w:val="00245BC0"/>
    <w:rsid w:val="002462ED"/>
    <w:rsid w:val="002464F5"/>
    <w:rsid w:val="00250B22"/>
    <w:rsid w:val="002533D2"/>
    <w:rsid w:val="00255B19"/>
    <w:rsid w:val="00256C7D"/>
    <w:rsid w:val="00257818"/>
    <w:rsid w:val="0026121C"/>
    <w:rsid w:val="00263363"/>
    <w:rsid w:val="002668B8"/>
    <w:rsid w:val="00266A55"/>
    <w:rsid w:val="002726BC"/>
    <w:rsid w:val="00274A6A"/>
    <w:rsid w:val="00275530"/>
    <w:rsid w:val="0027689E"/>
    <w:rsid w:val="00282219"/>
    <w:rsid w:val="00284B51"/>
    <w:rsid w:val="002922C6"/>
    <w:rsid w:val="00292EA6"/>
    <w:rsid w:val="0029600A"/>
    <w:rsid w:val="00296067"/>
    <w:rsid w:val="002961F3"/>
    <w:rsid w:val="002A67D3"/>
    <w:rsid w:val="002A74A6"/>
    <w:rsid w:val="002A7F95"/>
    <w:rsid w:val="002B0039"/>
    <w:rsid w:val="002B31DF"/>
    <w:rsid w:val="002B5503"/>
    <w:rsid w:val="002B7B9F"/>
    <w:rsid w:val="002C15F8"/>
    <w:rsid w:val="002C2438"/>
    <w:rsid w:val="002C79B3"/>
    <w:rsid w:val="002D1010"/>
    <w:rsid w:val="002D40F6"/>
    <w:rsid w:val="002D6435"/>
    <w:rsid w:val="002D78ED"/>
    <w:rsid w:val="002F1337"/>
    <w:rsid w:val="002F715F"/>
    <w:rsid w:val="00305653"/>
    <w:rsid w:val="00305710"/>
    <w:rsid w:val="003067B3"/>
    <w:rsid w:val="003173F4"/>
    <w:rsid w:val="00317515"/>
    <w:rsid w:val="00317A5D"/>
    <w:rsid w:val="00321C5D"/>
    <w:rsid w:val="00324B74"/>
    <w:rsid w:val="00330B33"/>
    <w:rsid w:val="003338D4"/>
    <w:rsid w:val="003431DE"/>
    <w:rsid w:val="00344BF2"/>
    <w:rsid w:val="00345A47"/>
    <w:rsid w:val="003501E0"/>
    <w:rsid w:val="00351356"/>
    <w:rsid w:val="00354177"/>
    <w:rsid w:val="003557AA"/>
    <w:rsid w:val="00361883"/>
    <w:rsid w:val="003678DD"/>
    <w:rsid w:val="0036799E"/>
    <w:rsid w:val="00371A82"/>
    <w:rsid w:val="003860E0"/>
    <w:rsid w:val="0039044A"/>
    <w:rsid w:val="003937ED"/>
    <w:rsid w:val="003A55FF"/>
    <w:rsid w:val="003C1D7F"/>
    <w:rsid w:val="003C6093"/>
    <w:rsid w:val="003C6DC9"/>
    <w:rsid w:val="003D4271"/>
    <w:rsid w:val="003D7707"/>
    <w:rsid w:val="003E275D"/>
    <w:rsid w:val="003E2914"/>
    <w:rsid w:val="003F45CA"/>
    <w:rsid w:val="003F477C"/>
    <w:rsid w:val="003F77E2"/>
    <w:rsid w:val="004033DC"/>
    <w:rsid w:val="00404930"/>
    <w:rsid w:val="0040580B"/>
    <w:rsid w:val="00410144"/>
    <w:rsid w:val="00424FA5"/>
    <w:rsid w:val="00427595"/>
    <w:rsid w:val="004339FC"/>
    <w:rsid w:val="00436CFA"/>
    <w:rsid w:val="00441B37"/>
    <w:rsid w:val="004464BC"/>
    <w:rsid w:val="00447FD0"/>
    <w:rsid w:val="004515CB"/>
    <w:rsid w:val="00455BC3"/>
    <w:rsid w:val="00461CE3"/>
    <w:rsid w:val="004654D0"/>
    <w:rsid w:val="00473274"/>
    <w:rsid w:val="004802CB"/>
    <w:rsid w:val="00483B4B"/>
    <w:rsid w:val="0048620B"/>
    <w:rsid w:val="00492372"/>
    <w:rsid w:val="004958C4"/>
    <w:rsid w:val="004B0E2B"/>
    <w:rsid w:val="004B288A"/>
    <w:rsid w:val="004B36D6"/>
    <w:rsid w:val="004B3993"/>
    <w:rsid w:val="004B509D"/>
    <w:rsid w:val="004B7CE1"/>
    <w:rsid w:val="004C486D"/>
    <w:rsid w:val="004C73FE"/>
    <w:rsid w:val="004E01EE"/>
    <w:rsid w:val="004E06C6"/>
    <w:rsid w:val="004E1543"/>
    <w:rsid w:val="004E3410"/>
    <w:rsid w:val="004E36CF"/>
    <w:rsid w:val="004F1367"/>
    <w:rsid w:val="004F167D"/>
    <w:rsid w:val="004F3EEF"/>
    <w:rsid w:val="00506C88"/>
    <w:rsid w:val="00514B53"/>
    <w:rsid w:val="005167CC"/>
    <w:rsid w:val="00521F8A"/>
    <w:rsid w:val="00523DAA"/>
    <w:rsid w:val="00526BD4"/>
    <w:rsid w:val="00534622"/>
    <w:rsid w:val="005543E0"/>
    <w:rsid w:val="00560C0E"/>
    <w:rsid w:val="00563024"/>
    <w:rsid w:val="0056426D"/>
    <w:rsid w:val="005912F6"/>
    <w:rsid w:val="00597280"/>
    <w:rsid w:val="00597657"/>
    <w:rsid w:val="00597806"/>
    <w:rsid w:val="005A2324"/>
    <w:rsid w:val="005A791B"/>
    <w:rsid w:val="005B1004"/>
    <w:rsid w:val="005B15AE"/>
    <w:rsid w:val="005D0AB2"/>
    <w:rsid w:val="005D15D4"/>
    <w:rsid w:val="005D4A45"/>
    <w:rsid w:val="005D7CA3"/>
    <w:rsid w:val="005D7ED0"/>
    <w:rsid w:val="005E097E"/>
    <w:rsid w:val="005E1AC8"/>
    <w:rsid w:val="005E53B9"/>
    <w:rsid w:val="006031B1"/>
    <w:rsid w:val="006031C4"/>
    <w:rsid w:val="006067E0"/>
    <w:rsid w:val="00611C9B"/>
    <w:rsid w:val="006153F2"/>
    <w:rsid w:val="006160F3"/>
    <w:rsid w:val="0061626A"/>
    <w:rsid w:val="00617706"/>
    <w:rsid w:val="00623930"/>
    <w:rsid w:val="006302CA"/>
    <w:rsid w:val="006310A2"/>
    <w:rsid w:val="006317AB"/>
    <w:rsid w:val="00632D5D"/>
    <w:rsid w:val="006362B2"/>
    <w:rsid w:val="0064163A"/>
    <w:rsid w:val="00641BF5"/>
    <w:rsid w:val="00644DA8"/>
    <w:rsid w:val="00646E04"/>
    <w:rsid w:val="00651418"/>
    <w:rsid w:val="0065617C"/>
    <w:rsid w:val="006644C1"/>
    <w:rsid w:val="00665BAA"/>
    <w:rsid w:val="0067251E"/>
    <w:rsid w:val="00672EE3"/>
    <w:rsid w:val="00672F0F"/>
    <w:rsid w:val="0067518A"/>
    <w:rsid w:val="00681FAE"/>
    <w:rsid w:val="00690E94"/>
    <w:rsid w:val="00691355"/>
    <w:rsid w:val="00691F7F"/>
    <w:rsid w:val="006933BF"/>
    <w:rsid w:val="00694FCE"/>
    <w:rsid w:val="0069594E"/>
    <w:rsid w:val="006B16C1"/>
    <w:rsid w:val="006B3186"/>
    <w:rsid w:val="006C2997"/>
    <w:rsid w:val="006D505E"/>
    <w:rsid w:val="006D5A50"/>
    <w:rsid w:val="006E2913"/>
    <w:rsid w:val="006F1189"/>
    <w:rsid w:val="006F354F"/>
    <w:rsid w:val="006F5023"/>
    <w:rsid w:val="00700AB8"/>
    <w:rsid w:val="0070716D"/>
    <w:rsid w:val="00712FBD"/>
    <w:rsid w:val="007138A9"/>
    <w:rsid w:val="00713C05"/>
    <w:rsid w:val="00720F95"/>
    <w:rsid w:val="00722439"/>
    <w:rsid w:val="00725E59"/>
    <w:rsid w:val="0073135E"/>
    <w:rsid w:val="007322E0"/>
    <w:rsid w:val="00740229"/>
    <w:rsid w:val="00740B40"/>
    <w:rsid w:val="007428E6"/>
    <w:rsid w:val="00742C25"/>
    <w:rsid w:val="007433E2"/>
    <w:rsid w:val="00750C4E"/>
    <w:rsid w:val="007529B4"/>
    <w:rsid w:val="00752C90"/>
    <w:rsid w:val="00754AD3"/>
    <w:rsid w:val="007556ED"/>
    <w:rsid w:val="00764689"/>
    <w:rsid w:val="00766C3C"/>
    <w:rsid w:val="00770431"/>
    <w:rsid w:val="00772E91"/>
    <w:rsid w:val="00773E31"/>
    <w:rsid w:val="0078046F"/>
    <w:rsid w:val="00780E01"/>
    <w:rsid w:val="007827B9"/>
    <w:rsid w:val="007844A0"/>
    <w:rsid w:val="00785EEB"/>
    <w:rsid w:val="007907C0"/>
    <w:rsid w:val="0079103C"/>
    <w:rsid w:val="00791699"/>
    <w:rsid w:val="00791708"/>
    <w:rsid w:val="00795FB1"/>
    <w:rsid w:val="007A3D63"/>
    <w:rsid w:val="007A579E"/>
    <w:rsid w:val="007A6F23"/>
    <w:rsid w:val="007A75C5"/>
    <w:rsid w:val="007A7FEB"/>
    <w:rsid w:val="007B33D9"/>
    <w:rsid w:val="007B5E54"/>
    <w:rsid w:val="007B63A5"/>
    <w:rsid w:val="007C0299"/>
    <w:rsid w:val="007C10A7"/>
    <w:rsid w:val="007C1F14"/>
    <w:rsid w:val="007C694F"/>
    <w:rsid w:val="007D5612"/>
    <w:rsid w:val="007D6082"/>
    <w:rsid w:val="007D6C4E"/>
    <w:rsid w:val="007E1ABE"/>
    <w:rsid w:val="007E2CA2"/>
    <w:rsid w:val="007F06E1"/>
    <w:rsid w:val="007F156C"/>
    <w:rsid w:val="007F300D"/>
    <w:rsid w:val="00802B9E"/>
    <w:rsid w:val="00803B29"/>
    <w:rsid w:val="00803B78"/>
    <w:rsid w:val="00814894"/>
    <w:rsid w:val="008167E4"/>
    <w:rsid w:val="0081798E"/>
    <w:rsid w:val="00826FF7"/>
    <w:rsid w:val="008321E3"/>
    <w:rsid w:val="00833512"/>
    <w:rsid w:val="008338B6"/>
    <w:rsid w:val="00840271"/>
    <w:rsid w:val="00840B05"/>
    <w:rsid w:val="008410C5"/>
    <w:rsid w:val="0084506B"/>
    <w:rsid w:val="00846565"/>
    <w:rsid w:val="008471EE"/>
    <w:rsid w:val="00862DD6"/>
    <w:rsid w:val="008648B6"/>
    <w:rsid w:val="00865ECA"/>
    <w:rsid w:val="008732EA"/>
    <w:rsid w:val="00873B43"/>
    <w:rsid w:val="0089275F"/>
    <w:rsid w:val="008945FC"/>
    <w:rsid w:val="00897E3C"/>
    <w:rsid w:val="008B5833"/>
    <w:rsid w:val="008C32C3"/>
    <w:rsid w:val="008D456B"/>
    <w:rsid w:val="008D479E"/>
    <w:rsid w:val="008D4B8F"/>
    <w:rsid w:val="008E46A4"/>
    <w:rsid w:val="008E75BC"/>
    <w:rsid w:val="008F0248"/>
    <w:rsid w:val="008F1695"/>
    <w:rsid w:val="008F4535"/>
    <w:rsid w:val="0090215D"/>
    <w:rsid w:val="00904B3C"/>
    <w:rsid w:val="0091071F"/>
    <w:rsid w:val="00915941"/>
    <w:rsid w:val="00923E65"/>
    <w:rsid w:val="009247D8"/>
    <w:rsid w:val="00924941"/>
    <w:rsid w:val="00927119"/>
    <w:rsid w:val="00933685"/>
    <w:rsid w:val="00933E95"/>
    <w:rsid w:val="009367C2"/>
    <w:rsid w:val="009401D5"/>
    <w:rsid w:val="00941DB7"/>
    <w:rsid w:val="00945072"/>
    <w:rsid w:val="00946E17"/>
    <w:rsid w:val="00951077"/>
    <w:rsid w:val="009532C1"/>
    <w:rsid w:val="00970D63"/>
    <w:rsid w:val="00973CB0"/>
    <w:rsid w:val="009741C3"/>
    <w:rsid w:val="00976A56"/>
    <w:rsid w:val="00985B65"/>
    <w:rsid w:val="00987FDC"/>
    <w:rsid w:val="00990DED"/>
    <w:rsid w:val="00992307"/>
    <w:rsid w:val="0099343E"/>
    <w:rsid w:val="00994C82"/>
    <w:rsid w:val="00994E91"/>
    <w:rsid w:val="00996337"/>
    <w:rsid w:val="009A1AB7"/>
    <w:rsid w:val="009B1906"/>
    <w:rsid w:val="009B2345"/>
    <w:rsid w:val="009B6A31"/>
    <w:rsid w:val="009C0A30"/>
    <w:rsid w:val="009C1943"/>
    <w:rsid w:val="009D1256"/>
    <w:rsid w:val="009E12E7"/>
    <w:rsid w:val="009E3699"/>
    <w:rsid w:val="00A009C4"/>
    <w:rsid w:val="00A170B0"/>
    <w:rsid w:val="00A20717"/>
    <w:rsid w:val="00A213D4"/>
    <w:rsid w:val="00A22C9A"/>
    <w:rsid w:val="00A25FE0"/>
    <w:rsid w:val="00A32817"/>
    <w:rsid w:val="00A33BDB"/>
    <w:rsid w:val="00A359FD"/>
    <w:rsid w:val="00A40E46"/>
    <w:rsid w:val="00A53F13"/>
    <w:rsid w:val="00A700D9"/>
    <w:rsid w:val="00A73FB0"/>
    <w:rsid w:val="00A7625C"/>
    <w:rsid w:val="00A7691F"/>
    <w:rsid w:val="00A8162F"/>
    <w:rsid w:val="00A819EF"/>
    <w:rsid w:val="00A85B1C"/>
    <w:rsid w:val="00A934B2"/>
    <w:rsid w:val="00A953E0"/>
    <w:rsid w:val="00AA7FAC"/>
    <w:rsid w:val="00AB2AD0"/>
    <w:rsid w:val="00AB5E4D"/>
    <w:rsid w:val="00AB71ED"/>
    <w:rsid w:val="00AB7BFC"/>
    <w:rsid w:val="00AC3460"/>
    <w:rsid w:val="00AC3B7C"/>
    <w:rsid w:val="00AC7175"/>
    <w:rsid w:val="00AD0BB3"/>
    <w:rsid w:val="00AD53B5"/>
    <w:rsid w:val="00AD57E1"/>
    <w:rsid w:val="00AD600A"/>
    <w:rsid w:val="00AD6018"/>
    <w:rsid w:val="00AD6A11"/>
    <w:rsid w:val="00AD6D9F"/>
    <w:rsid w:val="00AE08A9"/>
    <w:rsid w:val="00AE66DE"/>
    <w:rsid w:val="00AF0A38"/>
    <w:rsid w:val="00AF3DDA"/>
    <w:rsid w:val="00B00710"/>
    <w:rsid w:val="00B13782"/>
    <w:rsid w:val="00B161A7"/>
    <w:rsid w:val="00B21312"/>
    <w:rsid w:val="00B27657"/>
    <w:rsid w:val="00B4336E"/>
    <w:rsid w:val="00B475C5"/>
    <w:rsid w:val="00B47883"/>
    <w:rsid w:val="00B6140F"/>
    <w:rsid w:val="00B65B18"/>
    <w:rsid w:val="00B67A34"/>
    <w:rsid w:val="00B7361A"/>
    <w:rsid w:val="00B744DC"/>
    <w:rsid w:val="00B7537E"/>
    <w:rsid w:val="00B81C17"/>
    <w:rsid w:val="00B83F8E"/>
    <w:rsid w:val="00B8446C"/>
    <w:rsid w:val="00B93E53"/>
    <w:rsid w:val="00BA2167"/>
    <w:rsid w:val="00BA54F1"/>
    <w:rsid w:val="00BB2EFE"/>
    <w:rsid w:val="00BC5809"/>
    <w:rsid w:val="00BC7182"/>
    <w:rsid w:val="00BC7FC0"/>
    <w:rsid w:val="00BD1A44"/>
    <w:rsid w:val="00BD1B63"/>
    <w:rsid w:val="00BD56DD"/>
    <w:rsid w:val="00BD69EC"/>
    <w:rsid w:val="00BE733E"/>
    <w:rsid w:val="00BF2FC7"/>
    <w:rsid w:val="00BF320D"/>
    <w:rsid w:val="00BF4172"/>
    <w:rsid w:val="00BF4454"/>
    <w:rsid w:val="00BF64F1"/>
    <w:rsid w:val="00C042AD"/>
    <w:rsid w:val="00C05A5A"/>
    <w:rsid w:val="00C167DB"/>
    <w:rsid w:val="00C20D3B"/>
    <w:rsid w:val="00C20E34"/>
    <w:rsid w:val="00C20EEE"/>
    <w:rsid w:val="00C2133B"/>
    <w:rsid w:val="00C30E2A"/>
    <w:rsid w:val="00C32965"/>
    <w:rsid w:val="00C330C8"/>
    <w:rsid w:val="00C33E95"/>
    <w:rsid w:val="00C355C2"/>
    <w:rsid w:val="00C36668"/>
    <w:rsid w:val="00C40F65"/>
    <w:rsid w:val="00C42BF3"/>
    <w:rsid w:val="00C44F87"/>
    <w:rsid w:val="00C47389"/>
    <w:rsid w:val="00C52C91"/>
    <w:rsid w:val="00C55B18"/>
    <w:rsid w:val="00C609B4"/>
    <w:rsid w:val="00C6270D"/>
    <w:rsid w:val="00C62924"/>
    <w:rsid w:val="00C66DEE"/>
    <w:rsid w:val="00C6772D"/>
    <w:rsid w:val="00C7080E"/>
    <w:rsid w:val="00C73EAF"/>
    <w:rsid w:val="00C76798"/>
    <w:rsid w:val="00C76B57"/>
    <w:rsid w:val="00C86B4D"/>
    <w:rsid w:val="00C923EE"/>
    <w:rsid w:val="00C955B2"/>
    <w:rsid w:val="00CA5BFD"/>
    <w:rsid w:val="00CB4423"/>
    <w:rsid w:val="00CC191E"/>
    <w:rsid w:val="00CC2338"/>
    <w:rsid w:val="00CC28D0"/>
    <w:rsid w:val="00CC4503"/>
    <w:rsid w:val="00CD6D22"/>
    <w:rsid w:val="00CE4766"/>
    <w:rsid w:val="00CE5DC6"/>
    <w:rsid w:val="00CF2E6D"/>
    <w:rsid w:val="00CF6097"/>
    <w:rsid w:val="00CF77D6"/>
    <w:rsid w:val="00D03C67"/>
    <w:rsid w:val="00D11D37"/>
    <w:rsid w:val="00D12AAB"/>
    <w:rsid w:val="00D15CBC"/>
    <w:rsid w:val="00D21706"/>
    <w:rsid w:val="00D22C5D"/>
    <w:rsid w:val="00D2699B"/>
    <w:rsid w:val="00D37B5A"/>
    <w:rsid w:val="00D52708"/>
    <w:rsid w:val="00D534AC"/>
    <w:rsid w:val="00D550DE"/>
    <w:rsid w:val="00D56095"/>
    <w:rsid w:val="00D60E24"/>
    <w:rsid w:val="00D62BD3"/>
    <w:rsid w:val="00D6583C"/>
    <w:rsid w:val="00D66C75"/>
    <w:rsid w:val="00D73638"/>
    <w:rsid w:val="00D73EFA"/>
    <w:rsid w:val="00D81090"/>
    <w:rsid w:val="00D83610"/>
    <w:rsid w:val="00D8374D"/>
    <w:rsid w:val="00D846EC"/>
    <w:rsid w:val="00D935D5"/>
    <w:rsid w:val="00DA0C8F"/>
    <w:rsid w:val="00DA2399"/>
    <w:rsid w:val="00DA367C"/>
    <w:rsid w:val="00DA4094"/>
    <w:rsid w:val="00DB09F5"/>
    <w:rsid w:val="00DB3300"/>
    <w:rsid w:val="00DC41F8"/>
    <w:rsid w:val="00DD1DBA"/>
    <w:rsid w:val="00DE6B89"/>
    <w:rsid w:val="00DF0D1D"/>
    <w:rsid w:val="00DF1BFF"/>
    <w:rsid w:val="00DF6D04"/>
    <w:rsid w:val="00E02C0D"/>
    <w:rsid w:val="00E051F3"/>
    <w:rsid w:val="00E10ABC"/>
    <w:rsid w:val="00E12B2C"/>
    <w:rsid w:val="00E27AD5"/>
    <w:rsid w:val="00E32B64"/>
    <w:rsid w:val="00E376E2"/>
    <w:rsid w:val="00E5022A"/>
    <w:rsid w:val="00E530C8"/>
    <w:rsid w:val="00E56A1C"/>
    <w:rsid w:val="00E64A0B"/>
    <w:rsid w:val="00E661B1"/>
    <w:rsid w:val="00E711F3"/>
    <w:rsid w:val="00E72970"/>
    <w:rsid w:val="00E90941"/>
    <w:rsid w:val="00E9169C"/>
    <w:rsid w:val="00E967E8"/>
    <w:rsid w:val="00EA13BD"/>
    <w:rsid w:val="00EA13EA"/>
    <w:rsid w:val="00EA142E"/>
    <w:rsid w:val="00EA4A0E"/>
    <w:rsid w:val="00EB388E"/>
    <w:rsid w:val="00EB65FF"/>
    <w:rsid w:val="00EB7BF6"/>
    <w:rsid w:val="00EC02B1"/>
    <w:rsid w:val="00EC06DE"/>
    <w:rsid w:val="00ED1C35"/>
    <w:rsid w:val="00ED1FF8"/>
    <w:rsid w:val="00ED3241"/>
    <w:rsid w:val="00ED5126"/>
    <w:rsid w:val="00EE08F4"/>
    <w:rsid w:val="00EE13B7"/>
    <w:rsid w:val="00EE3345"/>
    <w:rsid w:val="00EE4EA9"/>
    <w:rsid w:val="00EE5B62"/>
    <w:rsid w:val="00F004AE"/>
    <w:rsid w:val="00F05C34"/>
    <w:rsid w:val="00F06B1F"/>
    <w:rsid w:val="00F076CA"/>
    <w:rsid w:val="00F07EC3"/>
    <w:rsid w:val="00F101F1"/>
    <w:rsid w:val="00F14A3F"/>
    <w:rsid w:val="00F15728"/>
    <w:rsid w:val="00F2309D"/>
    <w:rsid w:val="00F30FDC"/>
    <w:rsid w:val="00F331EC"/>
    <w:rsid w:val="00F36DEB"/>
    <w:rsid w:val="00F41904"/>
    <w:rsid w:val="00F423DF"/>
    <w:rsid w:val="00F44A84"/>
    <w:rsid w:val="00F51F6C"/>
    <w:rsid w:val="00F54F96"/>
    <w:rsid w:val="00F57BA0"/>
    <w:rsid w:val="00F62DD9"/>
    <w:rsid w:val="00F6665D"/>
    <w:rsid w:val="00F66DB4"/>
    <w:rsid w:val="00F70774"/>
    <w:rsid w:val="00F708C6"/>
    <w:rsid w:val="00F77F49"/>
    <w:rsid w:val="00F8290C"/>
    <w:rsid w:val="00F82A04"/>
    <w:rsid w:val="00F84CCD"/>
    <w:rsid w:val="00F85003"/>
    <w:rsid w:val="00F86221"/>
    <w:rsid w:val="00F901DF"/>
    <w:rsid w:val="00F933B5"/>
    <w:rsid w:val="00F93A24"/>
    <w:rsid w:val="00F97880"/>
    <w:rsid w:val="00FB001A"/>
    <w:rsid w:val="00FB5899"/>
    <w:rsid w:val="00FB6171"/>
    <w:rsid w:val="00FB6283"/>
    <w:rsid w:val="00FD3832"/>
    <w:rsid w:val="00FD40F4"/>
    <w:rsid w:val="00FD45BF"/>
    <w:rsid w:val="00FD73AA"/>
    <w:rsid w:val="00FD7BFF"/>
    <w:rsid w:val="00FE06F3"/>
    <w:rsid w:val="00FE159B"/>
    <w:rsid w:val="00FE2205"/>
    <w:rsid w:val="00FE2E83"/>
    <w:rsid w:val="00FE3873"/>
    <w:rsid w:val="00FE392E"/>
    <w:rsid w:val="00FE5127"/>
    <w:rsid w:val="00FF0192"/>
    <w:rsid w:val="00FF26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8AE53"/>
  <w15:chartTrackingRefBased/>
  <w15:docId w15:val="{57D69B98-323A-475B-8A54-0ACFA202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6ED"/>
    <w:pPr>
      <w:spacing w:after="160" w:line="259" w:lineRule="auto"/>
    </w:pPr>
    <w:rPr>
      <w:sz w:val="22"/>
      <w:szCs w:val="22"/>
      <w:lang w:eastAsia="en-US"/>
    </w:rPr>
  </w:style>
  <w:style w:type="paragraph" w:styleId="Nagwek1">
    <w:name w:val="heading 1"/>
    <w:basedOn w:val="Normalny"/>
    <w:next w:val="Normalny"/>
    <w:link w:val="Nagwek1Znak"/>
    <w:uiPriority w:val="9"/>
    <w:qFormat/>
    <w:rsid w:val="00F423DF"/>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F8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A04"/>
    <w:rPr>
      <w:rFonts w:ascii="Segoe UI" w:hAnsi="Segoe UI" w:cs="Segoe UI"/>
      <w:sz w:val="18"/>
      <w:szCs w:val="18"/>
    </w:rPr>
  </w:style>
  <w:style w:type="paragraph" w:styleId="Akapitzlist">
    <w:name w:val="List Paragraph"/>
    <w:basedOn w:val="Normalny"/>
    <w:uiPriority w:val="34"/>
    <w:qFormat/>
    <w:rsid w:val="003F45CA"/>
    <w:pPr>
      <w:ind w:left="720"/>
      <w:contextualSpacing/>
    </w:pPr>
  </w:style>
  <w:style w:type="character" w:styleId="Hipercze">
    <w:name w:val="Hyperlink"/>
    <w:basedOn w:val="Domylnaczcionkaakapitu"/>
    <w:uiPriority w:val="99"/>
    <w:semiHidden/>
    <w:unhideWhenUsed/>
    <w:rsid w:val="001A49F1"/>
    <w:rPr>
      <w:color w:val="0000FF"/>
      <w:u w:val="single"/>
    </w:rPr>
  </w:style>
  <w:style w:type="character" w:styleId="Pogrubienie">
    <w:name w:val="Strong"/>
    <w:basedOn w:val="Domylnaczcionkaakapitu"/>
    <w:uiPriority w:val="22"/>
    <w:qFormat/>
    <w:rsid w:val="00330B33"/>
    <w:rPr>
      <w:b/>
      <w:bCs/>
    </w:rPr>
  </w:style>
  <w:style w:type="paragraph" w:styleId="Tekstprzypisukocowego">
    <w:name w:val="endnote text"/>
    <w:basedOn w:val="Normalny"/>
    <w:link w:val="TekstprzypisukocowegoZnak"/>
    <w:uiPriority w:val="99"/>
    <w:semiHidden/>
    <w:unhideWhenUsed/>
    <w:rsid w:val="00526BD4"/>
    <w:rPr>
      <w:sz w:val="20"/>
      <w:szCs w:val="20"/>
    </w:rPr>
  </w:style>
  <w:style w:type="character" w:customStyle="1" w:styleId="TekstprzypisukocowegoZnak">
    <w:name w:val="Tekst przypisu końcowego Znak"/>
    <w:basedOn w:val="Domylnaczcionkaakapitu"/>
    <w:link w:val="Tekstprzypisukocowego"/>
    <w:uiPriority w:val="99"/>
    <w:semiHidden/>
    <w:rsid w:val="00526BD4"/>
    <w:rPr>
      <w:lang w:eastAsia="en-US"/>
    </w:rPr>
  </w:style>
  <w:style w:type="character" w:styleId="Odwoanieprzypisukocowego">
    <w:name w:val="endnote reference"/>
    <w:basedOn w:val="Domylnaczcionkaakapitu"/>
    <w:uiPriority w:val="99"/>
    <w:semiHidden/>
    <w:unhideWhenUsed/>
    <w:rsid w:val="00526BD4"/>
    <w:rPr>
      <w:vertAlign w:val="superscript"/>
    </w:rPr>
  </w:style>
  <w:style w:type="paragraph" w:styleId="Tekstkomentarza">
    <w:name w:val="annotation text"/>
    <w:basedOn w:val="Normalny"/>
    <w:link w:val="TekstkomentarzaZnak"/>
    <w:uiPriority w:val="99"/>
    <w:unhideWhenUsed/>
    <w:rsid w:val="00AC3460"/>
    <w:rPr>
      <w:sz w:val="20"/>
      <w:szCs w:val="20"/>
    </w:rPr>
  </w:style>
  <w:style w:type="character" w:customStyle="1" w:styleId="TekstkomentarzaZnak">
    <w:name w:val="Tekst komentarza Znak"/>
    <w:basedOn w:val="Domylnaczcionkaakapitu"/>
    <w:link w:val="Tekstkomentarza"/>
    <w:uiPriority w:val="99"/>
    <w:rsid w:val="00AC3460"/>
    <w:rPr>
      <w:lang w:eastAsia="en-US"/>
    </w:rPr>
  </w:style>
  <w:style w:type="character" w:customStyle="1" w:styleId="highlight">
    <w:name w:val="highlight"/>
    <w:basedOn w:val="Domylnaczcionkaakapitu"/>
    <w:rsid w:val="002174E4"/>
  </w:style>
  <w:style w:type="character" w:styleId="Odwoaniedokomentarza">
    <w:name w:val="annotation reference"/>
    <w:basedOn w:val="Domylnaczcionkaakapitu"/>
    <w:uiPriority w:val="99"/>
    <w:semiHidden/>
    <w:unhideWhenUsed/>
    <w:rsid w:val="00EE08F4"/>
    <w:rPr>
      <w:sz w:val="16"/>
      <w:szCs w:val="16"/>
    </w:rPr>
  </w:style>
  <w:style w:type="paragraph" w:styleId="Tematkomentarza">
    <w:name w:val="annotation subject"/>
    <w:basedOn w:val="Tekstkomentarza"/>
    <w:next w:val="Tekstkomentarza"/>
    <w:link w:val="TematkomentarzaZnak"/>
    <w:uiPriority w:val="99"/>
    <w:semiHidden/>
    <w:unhideWhenUsed/>
    <w:rsid w:val="00EE08F4"/>
    <w:pPr>
      <w:spacing w:line="240" w:lineRule="auto"/>
    </w:pPr>
    <w:rPr>
      <w:b/>
      <w:bCs/>
    </w:rPr>
  </w:style>
  <w:style w:type="character" w:customStyle="1" w:styleId="TematkomentarzaZnak">
    <w:name w:val="Temat komentarza Znak"/>
    <w:basedOn w:val="TekstkomentarzaZnak"/>
    <w:link w:val="Tematkomentarza"/>
    <w:uiPriority w:val="99"/>
    <w:semiHidden/>
    <w:rsid w:val="00EE08F4"/>
    <w:rPr>
      <w:b/>
      <w:bCs/>
      <w:lang w:eastAsia="en-US"/>
    </w:rPr>
  </w:style>
  <w:style w:type="paragraph" w:styleId="NormalnyWeb">
    <w:name w:val="Normal (Web)"/>
    <w:basedOn w:val="Normalny"/>
    <w:uiPriority w:val="99"/>
    <w:semiHidden/>
    <w:unhideWhenUsed/>
    <w:rsid w:val="00C76798"/>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410144"/>
    <w:pPr>
      <w:spacing w:after="0" w:line="36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410144"/>
    <w:rPr>
      <w:rFonts w:ascii="Times New Roman" w:eastAsia="Times New Roman" w:hAnsi="Times New Roman"/>
      <w:sz w:val="24"/>
    </w:rPr>
  </w:style>
  <w:style w:type="character" w:customStyle="1" w:styleId="txt-new">
    <w:name w:val="txt-new"/>
    <w:basedOn w:val="Domylnaczcionkaakapitu"/>
    <w:uiPriority w:val="99"/>
    <w:rsid w:val="00410144"/>
    <w:rPr>
      <w:rFonts w:cs="Times New Roman"/>
    </w:rPr>
  </w:style>
  <w:style w:type="paragraph" w:customStyle="1" w:styleId="Znak">
    <w:name w:val="Znak"/>
    <w:basedOn w:val="Normalny"/>
    <w:rsid w:val="00137FB4"/>
    <w:pPr>
      <w:spacing w:after="0"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994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4C82"/>
    <w:rPr>
      <w:lang w:eastAsia="en-US"/>
    </w:rPr>
  </w:style>
  <w:style w:type="character" w:styleId="Odwoanieprzypisudolnego">
    <w:name w:val="footnote reference"/>
    <w:basedOn w:val="Domylnaczcionkaakapitu"/>
    <w:uiPriority w:val="99"/>
    <w:semiHidden/>
    <w:unhideWhenUsed/>
    <w:rsid w:val="00994C82"/>
    <w:rPr>
      <w:vertAlign w:val="superscript"/>
    </w:rPr>
  </w:style>
  <w:style w:type="paragraph" w:customStyle="1" w:styleId="CM1">
    <w:name w:val="CM1"/>
    <w:basedOn w:val="Normalny"/>
    <w:next w:val="Normalny"/>
    <w:uiPriority w:val="99"/>
    <w:rsid w:val="00FD7BFF"/>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FD7BFF"/>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7B63A5"/>
    <w:pPr>
      <w:autoSpaceDE w:val="0"/>
      <w:autoSpaceDN w:val="0"/>
      <w:adjustRightInd w:val="0"/>
    </w:pPr>
    <w:rPr>
      <w:rFonts w:ascii="EUAlbertina" w:hAnsi="EUAlbertina" w:cs="EUAlbertina"/>
      <w:color w:val="000000"/>
      <w:sz w:val="24"/>
      <w:szCs w:val="24"/>
    </w:rPr>
  </w:style>
  <w:style w:type="character" w:customStyle="1" w:styleId="Nagwek1Znak">
    <w:name w:val="Nagłówek 1 Znak"/>
    <w:basedOn w:val="Domylnaczcionkaakapitu"/>
    <w:link w:val="Nagwek1"/>
    <w:uiPriority w:val="9"/>
    <w:rsid w:val="00F423DF"/>
    <w:rPr>
      <w:rFonts w:ascii="Arial" w:eastAsiaTheme="majorEastAsia" w:hAnsi="Arial" w:cstheme="majorBidi"/>
      <w:b/>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04">
      <w:bodyDiv w:val="1"/>
      <w:marLeft w:val="0"/>
      <w:marRight w:val="0"/>
      <w:marTop w:val="0"/>
      <w:marBottom w:val="0"/>
      <w:divBdr>
        <w:top w:val="none" w:sz="0" w:space="0" w:color="auto"/>
        <w:left w:val="none" w:sz="0" w:space="0" w:color="auto"/>
        <w:bottom w:val="none" w:sz="0" w:space="0" w:color="auto"/>
        <w:right w:val="none" w:sz="0" w:space="0" w:color="auto"/>
      </w:divBdr>
      <w:divsChild>
        <w:div w:id="381712556">
          <w:marLeft w:val="0"/>
          <w:marRight w:val="0"/>
          <w:marTop w:val="0"/>
          <w:marBottom w:val="0"/>
          <w:divBdr>
            <w:top w:val="none" w:sz="0" w:space="0" w:color="auto"/>
            <w:left w:val="none" w:sz="0" w:space="0" w:color="auto"/>
            <w:bottom w:val="none" w:sz="0" w:space="0" w:color="auto"/>
            <w:right w:val="none" w:sz="0" w:space="0" w:color="auto"/>
          </w:divBdr>
          <w:divsChild>
            <w:div w:id="689599040">
              <w:marLeft w:val="171"/>
              <w:marRight w:val="0"/>
              <w:marTop w:val="0"/>
              <w:marBottom w:val="0"/>
              <w:divBdr>
                <w:top w:val="none" w:sz="0" w:space="0" w:color="auto"/>
                <w:left w:val="none" w:sz="0" w:space="0" w:color="auto"/>
                <w:bottom w:val="none" w:sz="0" w:space="0" w:color="auto"/>
                <w:right w:val="none" w:sz="0" w:space="0" w:color="auto"/>
              </w:divBdr>
            </w:div>
            <w:div w:id="861629472">
              <w:marLeft w:val="171"/>
              <w:marRight w:val="0"/>
              <w:marTop w:val="0"/>
              <w:marBottom w:val="0"/>
              <w:divBdr>
                <w:top w:val="none" w:sz="0" w:space="0" w:color="auto"/>
                <w:left w:val="none" w:sz="0" w:space="0" w:color="auto"/>
                <w:bottom w:val="none" w:sz="0" w:space="0" w:color="auto"/>
                <w:right w:val="none" w:sz="0" w:space="0" w:color="auto"/>
              </w:divBdr>
            </w:div>
            <w:div w:id="894200415">
              <w:marLeft w:val="171"/>
              <w:marRight w:val="0"/>
              <w:marTop w:val="0"/>
              <w:marBottom w:val="0"/>
              <w:divBdr>
                <w:top w:val="none" w:sz="0" w:space="0" w:color="auto"/>
                <w:left w:val="none" w:sz="0" w:space="0" w:color="auto"/>
                <w:bottom w:val="none" w:sz="0" w:space="0" w:color="auto"/>
                <w:right w:val="none" w:sz="0" w:space="0" w:color="auto"/>
              </w:divBdr>
            </w:div>
            <w:div w:id="1424109949">
              <w:marLeft w:val="171"/>
              <w:marRight w:val="0"/>
              <w:marTop w:val="0"/>
              <w:marBottom w:val="0"/>
              <w:divBdr>
                <w:top w:val="none" w:sz="0" w:space="0" w:color="auto"/>
                <w:left w:val="none" w:sz="0" w:space="0" w:color="auto"/>
                <w:bottom w:val="none" w:sz="0" w:space="0" w:color="auto"/>
                <w:right w:val="none" w:sz="0" w:space="0" w:color="auto"/>
              </w:divBdr>
            </w:div>
            <w:div w:id="1935547253">
              <w:marLeft w:val="171"/>
              <w:marRight w:val="0"/>
              <w:marTop w:val="0"/>
              <w:marBottom w:val="0"/>
              <w:divBdr>
                <w:top w:val="none" w:sz="0" w:space="0" w:color="auto"/>
                <w:left w:val="none" w:sz="0" w:space="0" w:color="auto"/>
                <w:bottom w:val="none" w:sz="0" w:space="0" w:color="auto"/>
                <w:right w:val="none" w:sz="0" w:space="0" w:color="auto"/>
              </w:divBdr>
            </w:div>
          </w:divsChild>
        </w:div>
        <w:div w:id="1397784067">
          <w:marLeft w:val="0"/>
          <w:marRight w:val="0"/>
          <w:marTop w:val="0"/>
          <w:marBottom w:val="0"/>
          <w:divBdr>
            <w:top w:val="none" w:sz="0" w:space="0" w:color="auto"/>
            <w:left w:val="none" w:sz="0" w:space="0" w:color="auto"/>
            <w:bottom w:val="none" w:sz="0" w:space="0" w:color="auto"/>
            <w:right w:val="none" w:sz="0" w:space="0" w:color="auto"/>
          </w:divBdr>
        </w:div>
        <w:div w:id="1475219238">
          <w:marLeft w:val="0"/>
          <w:marRight w:val="0"/>
          <w:marTop w:val="0"/>
          <w:marBottom w:val="0"/>
          <w:divBdr>
            <w:top w:val="none" w:sz="0" w:space="0" w:color="auto"/>
            <w:left w:val="none" w:sz="0" w:space="0" w:color="auto"/>
            <w:bottom w:val="none" w:sz="0" w:space="0" w:color="auto"/>
            <w:right w:val="none" w:sz="0" w:space="0" w:color="auto"/>
          </w:divBdr>
        </w:div>
      </w:divsChild>
    </w:div>
    <w:div w:id="210658504">
      <w:bodyDiv w:val="1"/>
      <w:marLeft w:val="0"/>
      <w:marRight w:val="0"/>
      <w:marTop w:val="0"/>
      <w:marBottom w:val="0"/>
      <w:divBdr>
        <w:top w:val="none" w:sz="0" w:space="0" w:color="auto"/>
        <w:left w:val="none" w:sz="0" w:space="0" w:color="auto"/>
        <w:bottom w:val="none" w:sz="0" w:space="0" w:color="auto"/>
        <w:right w:val="none" w:sz="0" w:space="0" w:color="auto"/>
      </w:divBdr>
    </w:div>
    <w:div w:id="255597959">
      <w:bodyDiv w:val="1"/>
      <w:marLeft w:val="0"/>
      <w:marRight w:val="0"/>
      <w:marTop w:val="0"/>
      <w:marBottom w:val="0"/>
      <w:divBdr>
        <w:top w:val="none" w:sz="0" w:space="0" w:color="auto"/>
        <w:left w:val="none" w:sz="0" w:space="0" w:color="auto"/>
        <w:bottom w:val="none" w:sz="0" w:space="0" w:color="auto"/>
        <w:right w:val="none" w:sz="0" w:space="0" w:color="auto"/>
      </w:divBdr>
    </w:div>
    <w:div w:id="349189287">
      <w:bodyDiv w:val="1"/>
      <w:marLeft w:val="0"/>
      <w:marRight w:val="0"/>
      <w:marTop w:val="0"/>
      <w:marBottom w:val="0"/>
      <w:divBdr>
        <w:top w:val="none" w:sz="0" w:space="0" w:color="auto"/>
        <w:left w:val="none" w:sz="0" w:space="0" w:color="auto"/>
        <w:bottom w:val="none" w:sz="0" w:space="0" w:color="auto"/>
        <w:right w:val="none" w:sz="0" w:space="0" w:color="auto"/>
      </w:divBdr>
    </w:div>
    <w:div w:id="610357853">
      <w:bodyDiv w:val="1"/>
      <w:marLeft w:val="0"/>
      <w:marRight w:val="0"/>
      <w:marTop w:val="0"/>
      <w:marBottom w:val="0"/>
      <w:divBdr>
        <w:top w:val="none" w:sz="0" w:space="0" w:color="auto"/>
        <w:left w:val="none" w:sz="0" w:space="0" w:color="auto"/>
        <w:bottom w:val="none" w:sz="0" w:space="0" w:color="auto"/>
        <w:right w:val="none" w:sz="0" w:space="0" w:color="auto"/>
      </w:divBdr>
      <w:divsChild>
        <w:div w:id="1270743264">
          <w:marLeft w:val="0"/>
          <w:marRight w:val="0"/>
          <w:marTop w:val="0"/>
          <w:marBottom w:val="0"/>
          <w:divBdr>
            <w:top w:val="none" w:sz="0" w:space="0" w:color="auto"/>
            <w:left w:val="none" w:sz="0" w:space="0" w:color="auto"/>
            <w:bottom w:val="none" w:sz="0" w:space="0" w:color="auto"/>
            <w:right w:val="none" w:sz="0" w:space="0" w:color="auto"/>
          </w:divBdr>
        </w:div>
        <w:div w:id="1647783531">
          <w:marLeft w:val="0"/>
          <w:marRight w:val="0"/>
          <w:marTop w:val="0"/>
          <w:marBottom w:val="0"/>
          <w:divBdr>
            <w:top w:val="none" w:sz="0" w:space="0" w:color="auto"/>
            <w:left w:val="none" w:sz="0" w:space="0" w:color="auto"/>
            <w:bottom w:val="none" w:sz="0" w:space="0" w:color="auto"/>
            <w:right w:val="none" w:sz="0" w:space="0" w:color="auto"/>
          </w:divBdr>
        </w:div>
      </w:divsChild>
    </w:div>
    <w:div w:id="724529193">
      <w:bodyDiv w:val="1"/>
      <w:marLeft w:val="0"/>
      <w:marRight w:val="0"/>
      <w:marTop w:val="0"/>
      <w:marBottom w:val="0"/>
      <w:divBdr>
        <w:top w:val="none" w:sz="0" w:space="0" w:color="auto"/>
        <w:left w:val="none" w:sz="0" w:space="0" w:color="auto"/>
        <w:bottom w:val="none" w:sz="0" w:space="0" w:color="auto"/>
        <w:right w:val="none" w:sz="0" w:space="0" w:color="auto"/>
      </w:divBdr>
      <w:divsChild>
        <w:div w:id="1133213599">
          <w:marLeft w:val="0"/>
          <w:marRight w:val="0"/>
          <w:marTop w:val="0"/>
          <w:marBottom w:val="0"/>
          <w:divBdr>
            <w:top w:val="none" w:sz="0" w:space="0" w:color="auto"/>
            <w:left w:val="none" w:sz="0" w:space="0" w:color="auto"/>
            <w:bottom w:val="none" w:sz="0" w:space="0" w:color="auto"/>
            <w:right w:val="none" w:sz="0" w:space="0" w:color="auto"/>
          </w:divBdr>
        </w:div>
      </w:divsChild>
    </w:div>
    <w:div w:id="849567346">
      <w:bodyDiv w:val="1"/>
      <w:marLeft w:val="0"/>
      <w:marRight w:val="0"/>
      <w:marTop w:val="0"/>
      <w:marBottom w:val="0"/>
      <w:divBdr>
        <w:top w:val="none" w:sz="0" w:space="0" w:color="auto"/>
        <w:left w:val="none" w:sz="0" w:space="0" w:color="auto"/>
        <w:bottom w:val="none" w:sz="0" w:space="0" w:color="auto"/>
        <w:right w:val="none" w:sz="0" w:space="0" w:color="auto"/>
      </w:divBdr>
      <w:divsChild>
        <w:div w:id="302273474">
          <w:marLeft w:val="0"/>
          <w:marRight w:val="0"/>
          <w:marTop w:val="0"/>
          <w:marBottom w:val="0"/>
          <w:divBdr>
            <w:top w:val="none" w:sz="0" w:space="0" w:color="auto"/>
            <w:left w:val="none" w:sz="0" w:space="0" w:color="auto"/>
            <w:bottom w:val="none" w:sz="0" w:space="0" w:color="auto"/>
            <w:right w:val="none" w:sz="0" w:space="0" w:color="auto"/>
          </w:divBdr>
        </w:div>
        <w:div w:id="458955312">
          <w:marLeft w:val="0"/>
          <w:marRight w:val="0"/>
          <w:marTop w:val="0"/>
          <w:marBottom w:val="0"/>
          <w:divBdr>
            <w:top w:val="none" w:sz="0" w:space="0" w:color="auto"/>
            <w:left w:val="none" w:sz="0" w:space="0" w:color="auto"/>
            <w:bottom w:val="none" w:sz="0" w:space="0" w:color="auto"/>
            <w:right w:val="none" w:sz="0" w:space="0" w:color="auto"/>
          </w:divBdr>
        </w:div>
        <w:div w:id="938416077">
          <w:marLeft w:val="0"/>
          <w:marRight w:val="0"/>
          <w:marTop w:val="0"/>
          <w:marBottom w:val="0"/>
          <w:divBdr>
            <w:top w:val="none" w:sz="0" w:space="0" w:color="auto"/>
            <w:left w:val="none" w:sz="0" w:space="0" w:color="auto"/>
            <w:bottom w:val="none" w:sz="0" w:space="0" w:color="auto"/>
            <w:right w:val="none" w:sz="0" w:space="0" w:color="auto"/>
          </w:divBdr>
        </w:div>
        <w:div w:id="1640380615">
          <w:marLeft w:val="0"/>
          <w:marRight w:val="0"/>
          <w:marTop w:val="0"/>
          <w:marBottom w:val="0"/>
          <w:divBdr>
            <w:top w:val="none" w:sz="0" w:space="0" w:color="auto"/>
            <w:left w:val="none" w:sz="0" w:space="0" w:color="auto"/>
            <w:bottom w:val="none" w:sz="0" w:space="0" w:color="auto"/>
            <w:right w:val="none" w:sz="0" w:space="0" w:color="auto"/>
          </w:divBdr>
        </w:div>
      </w:divsChild>
    </w:div>
    <w:div w:id="869609194">
      <w:bodyDiv w:val="1"/>
      <w:marLeft w:val="0"/>
      <w:marRight w:val="0"/>
      <w:marTop w:val="0"/>
      <w:marBottom w:val="0"/>
      <w:divBdr>
        <w:top w:val="none" w:sz="0" w:space="0" w:color="auto"/>
        <w:left w:val="none" w:sz="0" w:space="0" w:color="auto"/>
        <w:bottom w:val="none" w:sz="0" w:space="0" w:color="auto"/>
        <w:right w:val="none" w:sz="0" w:space="0" w:color="auto"/>
      </w:divBdr>
    </w:div>
    <w:div w:id="1058673332">
      <w:bodyDiv w:val="1"/>
      <w:marLeft w:val="0"/>
      <w:marRight w:val="0"/>
      <w:marTop w:val="0"/>
      <w:marBottom w:val="0"/>
      <w:divBdr>
        <w:top w:val="none" w:sz="0" w:space="0" w:color="auto"/>
        <w:left w:val="none" w:sz="0" w:space="0" w:color="auto"/>
        <w:bottom w:val="none" w:sz="0" w:space="0" w:color="auto"/>
        <w:right w:val="none" w:sz="0" w:space="0" w:color="auto"/>
      </w:divBdr>
      <w:divsChild>
        <w:div w:id="94982792">
          <w:marLeft w:val="282"/>
          <w:marRight w:val="0"/>
          <w:marTop w:val="0"/>
          <w:marBottom w:val="35"/>
          <w:divBdr>
            <w:top w:val="none" w:sz="0" w:space="0" w:color="auto"/>
            <w:left w:val="none" w:sz="0" w:space="0" w:color="auto"/>
            <w:bottom w:val="none" w:sz="0" w:space="0" w:color="auto"/>
            <w:right w:val="none" w:sz="0" w:space="0" w:color="auto"/>
          </w:divBdr>
        </w:div>
        <w:div w:id="1093354384">
          <w:marLeft w:val="0"/>
          <w:marRight w:val="0"/>
          <w:marTop w:val="0"/>
          <w:marBottom w:val="35"/>
          <w:divBdr>
            <w:top w:val="none" w:sz="0" w:space="0" w:color="auto"/>
            <w:left w:val="none" w:sz="0" w:space="0" w:color="auto"/>
            <w:bottom w:val="none" w:sz="0" w:space="0" w:color="auto"/>
            <w:right w:val="none" w:sz="0" w:space="0" w:color="auto"/>
          </w:divBdr>
        </w:div>
      </w:divsChild>
    </w:div>
    <w:div w:id="1074621323">
      <w:bodyDiv w:val="1"/>
      <w:marLeft w:val="0"/>
      <w:marRight w:val="0"/>
      <w:marTop w:val="0"/>
      <w:marBottom w:val="0"/>
      <w:divBdr>
        <w:top w:val="none" w:sz="0" w:space="0" w:color="auto"/>
        <w:left w:val="none" w:sz="0" w:space="0" w:color="auto"/>
        <w:bottom w:val="none" w:sz="0" w:space="0" w:color="auto"/>
        <w:right w:val="none" w:sz="0" w:space="0" w:color="auto"/>
      </w:divBdr>
      <w:divsChild>
        <w:div w:id="47337688">
          <w:marLeft w:val="0"/>
          <w:marRight w:val="0"/>
          <w:marTop w:val="0"/>
          <w:marBottom w:val="0"/>
          <w:divBdr>
            <w:top w:val="none" w:sz="0" w:space="0" w:color="auto"/>
            <w:left w:val="none" w:sz="0" w:space="0" w:color="auto"/>
            <w:bottom w:val="none" w:sz="0" w:space="0" w:color="auto"/>
            <w:right w:val="none" w:sz="0" w:space="0" w:color="auto"/>
          </w:divBdr>
        </w:div>
        <w:div w:id="347367289">
          <w:marLeft w:val="0"/>
          <w:marRight w:val="0"/>
          <w:marTop w:val="0"/>
          <w:marBottom w:val="0"/>
          <w:divBdr>
            <w:top w:val="none" w:sz="0" w:space="0" w:color="auto"/>
            <w:left w:val="none" w:sz="0" w:space="0" w:color="auto"/>
            <w:bottom w:val="none" w:sz="0" w:space="0" w:color="auto"/>
            <w:right w:val="none" w:sz="0" w:space="0" w:color="auto"/>
          </w:divBdr>
        </w:div>
        <w:div w:id="892279225">
          <w:marLeft w:val="0"/>
          <w:marRight w:val="0"/>
          <w:marTop w:val="67"/>
          <w:marBottom w:val="168"/>
          <w:divBdr>
            <w:top w:val="none" w:sz="0" w:space="0" w:color="auto"/>
            <w:left w:val="none" w:sz="0" w:space="0" w:color="auto"/>
            <w:bottom w:val="none" w:sz="0" w:space="0" w:color="auto"/>
            <w:right w:val="none" w:sz="0" w:space="0" w:color="auto"/>
          </w:divBdr>
        </w:div>
        <w:div w:id="1433277028">
          <w:marLeft w:val="0"/>
          <w:marRight w:val="0"/>
          <w:marTop w:val="0"/>
          <w:marBottom w:val="0"/>
          <w:divBdr>
            <w:top w:val="none" w:sz="0" w:space="0" w:color="auto"/>
            <w:left w:val="none" w:sz="0" w:space="0" w:color="auto"/>
            <w:bottom w:val="none" w:sz="0" w:space="0" w:color="auto"/>
            <w:right w:val="none" w:sz="0" w:space="0" w:color="auto"/>
          </w:divBdr>
        </w:div>
      </w:divsChild>
    </w:div>
    <w:div w:id="1128010495">
      <w:bodyDiv w:val="1"/>
      <w:marLeft w:val="0"/>
      <w:marRight w:val="0"/>
      <w:marTop w:val="0"/>
      <w:marBottom w:val="0"/>
      <w:divBdr>
        <w:top w:val="none" w:sz="0" w:space="0" w:color="auto"/>
        <w:left w:val="none" w:sz="0" w:space="0" w:color="auto"/>
        <w:bottom w:val="none" w:sz="0" w:space="0" w:color="auto"/>
        <w:right w:val="none" w:sz="0" w:space="0" w:color="auto"/>
      </w:divBdr>
      <w:divsChild>
        <w:div w:id="81145761">
          <w:marLeft w:val="0"/>
          <w:marRight w:val="0"/>
          <w:marTop w:val="0"/>
          <w:marBottom w:val="0"/>
          <w:divBdr>
            <w:top w:val="none" w:sz="0" w:space="0" w:color="auto"/>
            <w:left w:val="none" w:sz="0" w:space="0" w:color="auto"/>
            <w:bottom w:val="none" w:sz="0" w:space="0" w:color="auto"/>
            <w:right w:val="none" w:sz="0" w:space="0" w:color="auto"/>
          </w:divBdr>
        </w:div>
        <w:div w:id="248975287">
          <w:marLeft w:val="0"/>
          <w:marRight w:val="0"/>
          <w:marTop w:val="0"/>
          <w:marBottom w:val="0"/>
          <w:divBdr>
            <w:top w:val="none" w:sz="0" w:space="0" w:color="auto"/>
            <w:left w:val="none" w:sz="0" w:space="0" w:color="auto"/>
            <w:bottom w:val="none" w:sz="0" w:space="0" w:color="auto"/>
            <w:right w:val="none" w:sz="0" w:space="0" w:color="auto"/>
          </w:divBdr>
        </w:div>
        <w:div w:id="957029371">
          <w:marLeft w:val="0"/>
          <w:marRight w:val="0"/>
          <w:marTop w:val="0"/>
          <w:marBottom w:val="0"/>
          <w:divBdr>
            <w:top w:val="none" w:sz="0" w:space="0" w:color="auto"/>
            <w:left w:val="none" w:sz="0" w:space="0" w:color="auto"/>
            <w:bottom w:val="none" w:sz="0" w:space="0" w:color="auto"/>
            <w:right w:val="none" w:sz="0" w:space="0" w:color="auto"/>
          </w:divBdr>
        </w:div>
        <w:div w:id="1647198569">
          <w:marLeft w:val="0"/>
          <w:marRight w:val="0"/>
          <w:marTop w:val="0"/>
          <w:marBottom w:val="0"/>
          <w:divBdr>
            <w:top w:val="none" w:sz="0" w:space="0" w:color="auto"/>
            <w:left w:val="none" w:sz="0" w:space="0" w:color="auto"/>
            <w:bottom w:val="none" w:sz="0" w:space="0" w:color="auto"/>
            <w:right w:val="none" w:sz="0" w:space="0" w:color="auto"/>
          </w:divBdr>
        </w:div>
      </w:divsChild>
    </w:div>
    <w:div w:id="1459370871">
      <w:bodyDiv w:val="1"/>
      <w:marLeft w:val="0"/>
      <w:marRight w:val="0"/>
      <w:marTop w:val="0"/>
      <w:marBottom w:val="0"/>
      <w:divBdr>
        <w:top w:val="none" w:sz="0" w:space="0" w:color="auto"/>
        <w:left w:val="none" w:sz="0" w:space="0" w:color="auto"/>
        <w:bottom w:val="none" w:sz="0" w:space="0" w:color="auto"/>
        <w:right w:val="none" w:sz="0" w:space="0" w:color="auto"/>
      </w:divBdr>
    </w:div>
    <w:div w:id="1522354416">
      <w:bodyDiv w:val="1"/>
      <w:marLeft w:val="0"/>
      <w:marRight w:val="0"/>
      <w:marTop w:val="0"/>
      <w:marBottom w:val="0"/>
      <w:divBdr>
        <w:top w:val="none" w:sz="0" w:space="0" w:color="auto"/>
        <w:left w:val="none" w:sz="0" w:space="0" w:color="auto"/>
        <w:bottom w:val="none" w:sz="0" w:space="0" w:color="auto"/>
        <w:right w:val="none" w:sz="0" w:space="0" w:color="auto"/>
      </w:divBdr>
      <w:divsChild>
        <w:div w:id="222375659">
          <w:marLeft w:val="0"/>
          <w:marRight w:val="0"/>
          <w:marTop w:val="0"/>
          <w:marBottom w:val="0"/>
          <w:divBdr>
            <w:top w:val="none" w:sz="0" w:space="0" w:color="auto"/>
            <w:left w:val="none" w:sz="0" w:space="0" w:color="auto"/>
            <w:bottom w:val="none" w:sz="0" w:space="0" w:color="auto"/>
            <w:right w:val="none" w:sz="0" w:space="0" w:color="auto"/>
          </w:divBdr>
        </w:div>
        <w:div w:id="339233485">
          <w:marLeft w:val="0"/>
          <w:marRight w:val="0"/>
          <w:marTop w:val="0"/>
          <w:marBottom w:val="0"/>
          <w:divBdr>
            <w:top w:val="none" w:sz="0" w:space="0" w:color="auto"/>
            <w:left w:val="none" w:sz="0" w:space="0" w:color="auto"/>
            <w:bottom w:val="none" w:sz="0" w:space="0" w:color="auto"/>
            <w:right w:val="none" w:sz="0" w:space="0" w:color="auto"/>
          </w:divBdr>
        </w:div>
        <w:div w:id="682048912">
          <w:marLeft w:val="0"/>
          <w:marRight w:val="0"/>
          <w:marTop w:val="0"/>
          <w:marBottom w:val="0"/>
          <w:divBdr>
            <w:top w:val="none" w:sz="0" w:space="0" w:color="auto"/>
            <w:left w:val="none" w:sz="0" w:space="0" w:color="auto"/>
            <w:bottom w:val="none" w:sz="0" w:space="0" w:color="auto"/>
            <w:right w:val="none" w:sz="0" w:space="0" w:color="auto"/>
          </w:divBdr>
        </w:div>
      </w:divsChild>
    </w:div>
    <w:div w:id="1727948402">
      <w:bodyDiv w:val="1"/>
      <w:marLeft w:val="0"/>
      <w:marRight w:val="0"/>
      <w:marTop w:val="0"/>
      <w:marBottom w:val="0"/>
      <w:divBdr>
        <w:top w:val="none" w:sz="0" w:space="0" w:color="auto"/>
        <w:left w:val="none" w:sz="0" w:space="0" w:color="auto"/>
        <w:bottom w:val="none" w:sz="0" w:space="0" w:color="auto"/>
        <w:right w:val="none" w:sz="0" w:space="0" w:color="auto"/>
      </w:divBdr>
    </w:div>
    <w:div w:id="1751075023">
      <w:bodyDiv w:val="1"/>
      <w:marLeft w:val="0"/>
      <w:marRight w:val="0"/>
      <w:marTop w:val="0"/>
      <w:marBottom w:val="0"/>
      <w:divBdr>
        <w:top w:val="none" w:sz="0" w:space="0" w:color="auto"/>
        <w:left w:val="none" w:sz="0" w:space="0" w:color="auto"/>
        <w:bottom w:val="none" w:sz="0" w:space="0" w:color="auto"/>
        <w:right w:val="none" w:sz="0" w:space="0" w:color="auto"/>
      </w:divBdr>
    </w:div>
    <w:div w:id="1895046152">
      <w:bodyDiv w:val="1"/>
      <w:marLeft w:val="0"/>
      <w:marRight w:val="0"/>
      <w:marTop w:val="0"/>
      <w:marBottom w:val="0"/>
      <w:divBdr>
        <w:top w:val="none" w:sz="0" w:space="0" w:color="auto"/>
        <w:left w:val="none" w:sz="0" w:space="0" w:color="auto"/>
        <w:bottom w:val="none" w:sz="0" w:space="0" w:color="auto"/>
        <w:right w:val="none" w:sz="0" w:space="0" w:color="auto"/>
      </w:divBdr>
    </w:div>
    <w:div w:id="1905024604">
      <w:bodyDiv w:val="1"/>
      <w:marLeft w:val="0"/>
      <w:marRight w:val="0"/>
      <w:marTop w:val="0"/>
      <w:marBottom w:val="0"/>
      <w:divBdr>
        <w:top w:val="none" w:sz="0" w:space="0" w:color="auto"/>
        <w:left w:val="none" w:sz="0" w:space="0" w:color="auto"/>
        <w:bottom w:val="none" w:sz="0" w:space="0" w:color="auto"/>
        <w:right w:val="none" w:sz="0" w:space="0" w:color="auto"/>
      </w:divBdr>
      <w:divsChild>
        <w:div w:id="391270352">
          <w:marLeft w:val="218"/>
          <w:marRight w:val="0"/>
          <w:marTop w:val="0"/>
          <w:marBottom w:val="27"/>
          <w:divBdr>
            <w:top w:val="none" w:sz="0" w:space="0" w:color="auto"/>
            <w:left w:val="none" w:sz="0" w:space="0" w:color="auto"/>
            <w:bottom w:val="none" w:sz="0" w:space="0" w:color="auto"/>
            <w:right w:val="none" w:sz="0" w:space="0" w:color="auto"/>
          </w:divBdr>
        </w:div>
        <w:div w:id="520628017">
          <w:marLeft w:val="0"/>
          <w:marRight w:val="0"/>
          <w:marTop w:val="0"/>
          <w:marBottom w:val="27"/>
          <w:divBdr>
            <w:top w:val="none" w:sz="0" w:space="0" w:color="auto"/>
            <w:left w:val="none" w:sz="0" w:space="0" w:color="auto"/>
            <w:bottom w:val="none" w:sz="0" w:space="0" w:color="auto"/>
            <w:right w:val="none" w:sz="0" w:space="0" w:color="auto"/>
          </w:divBdr>
        </w:div>
        <w:div w:id="1884824495">
          <w:marLeft w:val="218"/>
          <w:marRight w:val="0"/>
          <w:marTop w:val="0"/>
          <w:marBottom w:val="27"/>
          <w:divBdr>
            <w:top w:val="none" w:sz="0" w:space="0" w:color="auto"/>
            <w:left w:val="none" w:sz="0" w:space="0" w:color="auto"/>
            <w:bottom w:val="none" w:sz="0" w:space="0" w:color="auto"/>
            <w:right w:val="none" w:sz="0" w:space="0" w:color="auto"/>
          </w:divBdr>
        </w:div>
      </w:divsChild>
    </w:div>
    <w:div w:id="2069374826">
      <w:bodyDiv w:val="1"/>
      <w:marLeft w:val="0"/>
      <w:marRight w:val="0"/>
      <w:marTop w:val="0"/>
      <w:marBottom w:val="0"/>
      <w:divBdr>
        <w:top w:val="none" w:sz="0" w:space="0" w:color="auto"/>
        <w:left w:val="none" w:sz="0" w:space="0" w:color="auto"/>
        <w:bottom w:val="none" w:sz="0" w:space="0" w:color="auto"/>
        <w:right w:val="none" w:sz="0" w:space="0" w:color="auto"/>
      </w:divBdr>
      <w:divsChild>
        <w:div w:id="47270110">
          <w:marLeft w:val="0"/>
          <w:marRight w:val="0"/>
          <w:marTop w:val="0"/>
          <w:marBottom w:val="0"/>
          <w:divBdr>
            <w:top w:val="none" w:sz="0" w:space="0" w:color="auto"/>
            <w:left w:val="none" w:sz="0" w:space="0" w:color="auto"/>
            <w:bottom w:val="none" w:sz="0" w:space="0" w:color="auto"/>
            <w:right w:val="none" w:sz="0" w:space="0" w:color="auto"/>
          </w:divBdr>
        </w:div>
        <w:div w:id="105620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ingle-market/public-procurement/rules-implementation/defence_pl" TargetMode="External"/><Relationship Id="rId2" Type="http://schemas.openxmlformats.org/officeDocument/2006/relationships/hyperlink" Target="https://eur-lex.europa.eu/legal-content/PL/TXT/?uri=OJ:C:2006:321E:TOC" TargetMode="External"/><Relationship Id="rId1" Type="http://schemas.openxmlformats.org/officeDocument/2006/relationships/hyperlink" Target="https://eur-lex.europa.eu/legal-content/PL/TXT/?uri=OJ:C:2016:202: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951B-04F8-468D-915C-4851BC8C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4021</Words>
  <Characters>24129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B</Company>
  <LinksUpToDate>false</LinksUpToDate>
  <CharactersWithSpaces>28094</CharactersWithSpaces>
  <SharedDoc>false</SharedDoc>
  <HLinks>
    <vt:vector size="42" baseType="variant">
      <vt:variant>
        <vt:i4>3735613</vt:i4>
      </vt:variant>
      <vt:variant>
        <vt:i4>18</vt:i4>
      </vt:variant>
      <vt:variant>
        <vt:i4>0</vt:i4>
      </vt:variant>
      <vt:variant>
        <vt:i4>5</vt:i4>
      </vt:variant>
      <vt:variant>
        <vt:lpwstr>https://sip.legalis.pl/document-view.seam?documentId=mfrxilrtg4ytimjzhe4tiltqmfyc4njrga4danrtg4</vt:lpwstr>
      </vt:variant>
      <vt:variant>
        <vt:lpwstr/>
      </vt:variant>
      <vt:variant>
        <vt:i4>3735673</vt:i4>
      </vt:variant>
      <vt:variant>
        <vt:i4>15</vt:i4>
      </vt:variant>
      <vt:variant>
        <vt:i4>0</vt:i4>
      </vt:variant>
      <vt:variant>
        <vt:i4>5</vt:i4>
      </vt:variant>
      <vt:variant>
        <vt:lpwstr>https://sip.legalis.pl/document-view.seam?documentId=mfrxilrtg4ytkmjzhezdmltqmfyc4njug4zdgmrqgu</vt:lpwstr>
      </vt:variant>
      <vt:variant>
        <vt:lpwstr/>
      </vt:variant>
      <vt:variant>
        <vt:i4>2556018</vt:i4>
      </vt:variant>
      <vt:variant>
        <vt:i4>12</vt:i4>
      </vt:variant>
      <vt:variant>
        <vt:i4>0</vt:i4>
      </vt:variant>
      <vt:variant>
        <vt:i4>5</vt:i4>
      </vt:variant>
      <vt:variant>
        <vt:lpwstr>https://sip.legalis.pl/document-view.seam?documentId=mfrxilrtg4ytkmjzguztsltqmfyc4njug4ydsojxgu</vt:lpwstr>
      </vt:variant>
      <vt:variant>
        <vt:lpwstr/>
      </vt:variant>
      <vt:variant>
        <vt:i4>3538992</vt:i4>
      </vt:variant>
      <vt:variant>
        <vt:i4>9</vt:i4>
      </vt:variant>
      <vt:variant>
        <vt:i4>0</vt:i4>
      </vt:variant>
      <vt:variant>
        <vt:i4>5</vt:i4>
      </vt:variant>
      <vt:variant>
        <vt:lpwstr>https://sip.legalis.pl/document-view.seam?documentId=mfrxilrtg4ytimjzhe4tiltqmfyc4njrga4danryhe</vt:lpwstr>
      </vt:variant>
      <vt:variant>
        <vt:lpwstr/>
      </vt:variant>
      <vt:variant>
        <vt:i4>3538992</vt:i4>
      </vt:variant>
      <vt:variant>
        <vt:i4>6</vt:i4>
      </vt:variant>
      <vt:variant>
        <vt:i4>0</vt:i4>
      </vt:variant>
      <vt:variant>
        <vt:i4>5</vt:i4>
      </vt:variant>
      <vt:variant>
        <vt:lpwstr>https://sip.legalis.pl/document-view.seam?documentId=mfrxilrtg4ytimjzhe4tiltqmfyc4njrga4danryhe</vt:lpwstr>
      </vt:variant>
      <vt:variant>
        <vt:lpwstr/>
      </vt:variant>
      <vt:variant>
        <vt:i4>3538992</vt:i4>
      </vt:variant>
      <vt:variant>
        <vt:i4>3</vt:i4>
      </vt:variant>
      <vt:variant>
        <vt:i4>0</vt:i4>
      </vt:variant>
      <vt:variant>
        <vt:i4>5</vt:i4>
      </vt:variant>
      <vt:variant>
        <vt:lpwstr>https://sip.legalis.pl/document-view.seam?documentId=mfrxilrtg4ytimjzhe4tiltqmfyc4njrga4danryhe</vt:lpwstr>
      </vt:variant>
      <vt:variant>
        <vt:lpwstr/>
      </vt:variant>
      <vt:variant>
        <vt:i4>3538992</vt:i4>
      </vt:variant>
      <vt:variant>
        <vt:i4>0</vt:i4>
      </vt:variant>
      <vt:variant>
        <vt:i4>0</vt:i4>
      </vt:variant>
      <vt:variant>
        <vt:i4>5</vt:i4>
      </vt:variant>
      <vt:variant>
        <vt:lpwstr>https://sip.legalis.pl/document-view.seam?documentId=mfrxilrtg4ytimjzhe4tiltqmfyc4njrga4danryhe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Śmiarowska Anna</dc:creator>
  <cp:keywords/>
  <cp:lastModifiedBy>Trybusz Michał</cp:lastModifiedBy>
  <cp:revision>2</cp:revision>
  <cp:lastPrinted>2016-08-10T10:17:00Z</cp:lastPrinted>
  <dcterms:created xsi:type="dcterms:W3CDTF">2024-02-09T13:45:00Z</dcterms:created>
  <dcterms:modified xsi:type="dcterms:W3CDTF">2024-02-09T13:45:00Z</dcterms:modified>
</cp:coreProperties>
</file>